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467F3E0" w:rsidR="00D279DA" w:rsidRDefault="002205C9">
      <w:pPr>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noProof/>
        </w:rPr>
        <w:drawing>
          <wp:inline distT="0" distB="0" distL="0" distR="0" wp14:anchorId="6AF8552E" wp14:editId="13B678BD">
            <wp:extent cx="1195753" cy="1266093"/>
            <wp:effectExtent l="0" t="0" r="444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96331" cy="1266705"/>
                    </a:xfrm>
                    <a:prstGeom prst="rect">
                      <a:avLst/>
                    </a:prstGeom>
                    <a:ln/>
                  </pic:spPr>
                </pic:pic>
              </a:graphicData>
            </a:graphic>
          </wp:inline>
        </w:drawing>
      </w:r>
      <w:r w:rsidR="00AE6C0F">
        <w:rPr>
          <w:rFonts w:ascii="Times New Roman" w:eastAsia="Times New Roman" w:hAnsi="Times New Roman" w:cs="Times New Roman"/>
        </w:rPr>
        <w:t xml:space="preserve">      </w:t>
      </w:r>
      <w:r w:rsidR="00AE6C0F">
        <w:rPr>
          <w:rFonts w:ascii="Times New Roman" w:eastAsia="Times New Roman" w:hAnsi="Times New Roman" w:cs="Times New Roman"/>
          <w:noProof/>
        </w:rPr>
        <w:drawing>
          <wp:inline distT="0" distB="0" distL="0" distR="0" wp14:anchorId="0303B60A" wp14:editId="4B0EA2F1">
            <wp:extent cx="2201333" cy="1467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990300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7611" cy="1471740"/>
                    </a:xfrm>
                    <a:prstGeom prst="rect">
                      <a:avLst/>
                    </a:prstGeom>
                  </pic:spPr>
                </pic:pic>
              </a:graphicData>
            </a:graphic>
          </wp:inline>
        </w:drawing>
      </w:r>
    </w:p>
    <w:p w14:paraId="00000002" w14:textId="77777777" w:rsidR="00D279DA" w:rsidRDefault="00D279DA">
      <w:pPr>
        <w:jc w:val="both"/>
        <w:rPr>
          <w:rFonts w:ascii="Times New Roman" w:eastAsia="Times New Roman" w:hAnsi="Times New Roman" w:cs="Times New Roman"/>
          <w:color w:val="231F20"/>
          <w:sz w:val="24"/>
          <w:szCs w:val="24"/>
        </w:rPr>
      </w:pPr>
    </w:p>
    <w:p w14:paraId="00000003" w14:textId="77777777" w:rsidR="00D279DA" w:rsidRDefault="00D279DA">
      <w:pPr>
        <w:jc w:val="both"/>
        <w:rPr>
          <w:rFonts w:ascii="Times New Roman" w:eastAsia="Times New Roman" w:hAnsi="Times New Roman" w:cs="Times New Roman"/>
          <w:color w:val="231F20"/>
          <w:sz w:val="30"/>
          <w:szCs w:val="30"/>
        </w:rPr>
      </w:pPr>
    </w:p>
    <w:p w14:paraId="319A93F2" w14:textId="77777777" w:rsidR="00F071ED" w:rsidRDefault="00F071ED">
      <w:pPr>
        <w:jc w:val="center"/>
        <w:rPr>
          <w:rFonts w:ascii="Times New Roman" w:eastAsia="Times New Roman" w:hAnsi="Times New Roman" w:cs="Times New Roman"/>
          <w:b/>
          <w:bCs/>
          <w:color w:val="231F20"/>
          <w:sz w:val="30"/>
          <w:szCs w:val="30"/>
        </w:rPr>
      </w:pPr>
    </w:p>
    <w:p w14:paraId="00000004" w14:textId="77777777" w:rsidR="00D279DA" w:rsidRPr="00F071ED" w:rsidRDefault="002205C9">
      <w:pPr>
        <w:jc w:val="center"/>
        <w:rPr>
          <w:rFonts w:ascii="Times New Roman" w:eastAsia="Times New Roman" w:hAnsi="Times New Roman" w:cs="Times New Roman"/>
          <w:b/>
          <w:bCs/>
          <w:color w:val="231F20"/>
          <w:sz w:val="30"/>
          <w:szCs w:val="30"/>
        </w:rPr>
      </w:pPr>
      <w:r w:rsidRPr="00F071ED">
        <w:rPr>
          <w:rFonts w:ascii="Times New Roman" w:eastAsia="Times New Roman" w:hAnsi="Times New Roman" w:cs="Times New Roman"/>
          <w:b/>
          <w:bCs/>
          <w:color w:val="231F20"/>
          <w:sz w:val="30"/>
          <w:szCs w:val="30"/>
        </w:rPr>
        <w:t>Comments on the Draft Convention on the Right to development</w:t>
      </w:r>
    </w:p>
    <w:p w14:paraId="00000007" w14:textId="0B8DD4FD" w:rsidR="00D279DA" w:rsidRDefault="002205C9" w:rsidP="0001443B">
      <w:pPr>
        <w:jc w:val="cente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Submission to the Intergovernmental Working Group</w:t>
      </w:r>
    </w:p>
    <w:p w14:paraId="00000008" w14:textId="77777777" w:rsidR="00D279DA" w:rsidRDefault="002205C9">
      <w:pPr>
        <w:jc w:val="cente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on the Right to Development</w:t>
      </w:r>
    </w:p>
    <w:p w14:paraId="00000009" w14:textId="77777777" w:rsidR="00D279DA" w:rsidRDefault="00D279DA">
      <w:pPr>
        <w:jc w:val="center"/>
        <w:rPr>
          <w:rFonts w:ascii="Times New Roman" w:eastAsia="Times New Roman" w:hAnsi="Times New Roman" w:cs="Times New Roman"/>
          <w:color w:val="231F20"/>
          <w:sz w:val="24"/>
          <w:szCs w:val="24"/>
        </w:rPr>
      </w:pPr>
    </w:p>
    <w:p w14:paraId="5B30B4CA" w14:textId="77777777" w:rsidR="0001443B" w:rsidRDefault="0001443B">
      <w:pPr>
        <w:jc w:val="center"/>
        <w:rPr>
          <w:rFonts w:ascii="Times New Roman" w:eastAsia="Times New Roman" w:hAnsi="Times New Roman" w:cs="Times New Roman"/>
          <w:color w:val="231F20"/>
          <w:sz w:val="24"/>
          <w:szCs w:val="24"/>
        </w:rPr>
      </w:pPr>
    </w:p>
    <w:p w14:paraId="7694A323" w14:textId="77777777" w:rsidR="0001443B" w:rsidRDefault="0001443B">
      <w:pPr>
        <w:jc w:val="center"/>
        <w:rPr>
          <w:rFonts w:ascii="Times New Roman" w:eastAsia="Times New Roman" w:hAnsi="Times New Roman" w:cs="Times New Roman"/>
          <w:color w:val="231F20"/>
          <w:sz w:val="24"/>
          <w:szCs w:val="24"/>
        </w:rPr>
      </w:pPr>
    </w:p>
    <w:p w14:paraId="47114150" w14:textId="77777777" w:rsidR="0052099A" w:rsidRPr="0052099A" w:rsidRDefault="002205C9">
      <w:pPr>
        <w:jc w:val="center"/>
        <w:rPr>
          <w:rFonts w:ascii="Times New Roman" w:eastAsia="Times New Roman" w:hAnsi="Times New Roman" w:cs="Times New Roman"/>
          <w:b/>
          <w:bCs/>
          <w:color w:val="231F20"/>
          <w:sz w:val="24"/>
          <w:szCs w:val="24"/>
        </w:rPr>
      </w:pPr>
      <w:r w:rsidRPr="0052099A">
        <w:rPr>
          <w:rFonts w:ascii="Times New Roman" w:eastAsia="Times New Roman" w:hAnsi="Times New Roman" w:cs="Times New Roman"/>
          <w:b/>
          <w:bCs/>
          <w:color w:val="231F20"/>
          <w:sz w:val="24"/>
          <w:szCs w:val="24"/>
        </w:rPr>
        <w:t xml:space="preserve">Submitted by: </w:t>
      </w:r>
    </w:p>
    <w:p w14:paraId="0000000E" w14:textId="7C03680F" w:rsidR="00D279DA" w:rsidRPr="0052099A" w:rsidRDefault="002205C9">
      <w:pPr>
        <w:jc w:val="center"/>
        <w:rPr>
          <w:rFonts w:ascii="Times New Roman" w:eastAsia="Times New Roman" w:hAnsi="Times New Roman" w:cs="Times New Roman"/>
          <w:b/>
          <w:bCs/>
          <w:color w:val="231F20"/>
          <w:sz w:val="24"/>
          <w:szCs w:val="24"/>
        </w:rPr>
      </w:pPr>
      <w:r w:rsidRPr="0052099A">
        <w:rPr>
          <w:rFonts w:ascii="Times New Roman" w:eastAsia="Times New Roman" w:hAnsi="Times New Roman" w:cs="Times New Roman"/>
          <w:b/>
          <w:bCs/>
          <w:color w:val="231F20"/>
          <w:sz w:val="24"/>
          <w:szCs w:val="24"/>
        </w:rPr>
        <w:t>Al-Haq, Law in the Service of Man</w:t>
      </w:r>
    </w:p>
    <w:p w14:paraId="29BC0B06" w14:textId="7C827CDC" w:rsidR="0052099A" w:rsidRPr="0052099A" w:rsidRDefault="0052099A">
      <w:pPr>
        <w:jc w:val="center"/>
        <w:rPr>
          <w:rFonts w:asciiTheme="majorBidi" w:eastAsia="Times New Roman" w:hAnsiTheme="majorBidi" w:cstheme="majorBidi"/>
          <w:b/>
          <w:bCs/>
          <w:color w:val="231F20"/>
          <w:sz w:val="24"/>
          <w:szCs w:val="24"/>
        </w:rPr>
      </w:pPr>
      <w:r w:rsidRPr="0052099A">
        <w:rPr>
          <w:rFonts w:asciiTheme="majorBidi" w:hAnsiTheme="majorBidi" w:cstheme="majorBidi"/>
          <w:b/>
          <w:bCs/>
          <w:color w:val="333333"/>
          <w:sz w:val="24"/>
          <w:szCs w:val="24"/>
          <w:shd w:val="clear" w:color="auto" w:fill="FFFFFF"/>
        </w:rPr>
        <w:t>Al Mezan Cent</w:t>
      </w:r>
      <w:r w:rsidR="00F22C08">
        <w:rPr>
          <w:rFonts w:asciiTheme="majorBidi" w:hAnsiTheme="majorBidi" w:cstheme="majorBidi"/>
          <w:b/>
          <w:bCs/>
          <w:color w:val="333333"/>
          <w:sz w:val="24"/>
          <w:szCs w:val="24"/>
          <w:shd w:val="clear" w:color="auto" w:fill="FFFFFF"/>
        </w:rPr>
        <w:t>re</w:t>
      </w:r>
      <w:r w:rsidRPr="0052099A">
        <w:rPr>
          <w:rFonts w:asciiTheme="majorBidi" w:hAnsiTheme="majorBidi" w:cstheme="majorBidi"/>
          <w:b/>
          <w:bCs/>
          <w:color w:val="333333"/>
          <w:sz w:val="24"/>
          <w:szCs w:val="24"/>
          <w:shd w:val="clear" w:color="auto" w:fill="FFFFFF"/>
        </w:rPr>
        <w:t xml:space="preserve"> for Human Rights</w:t>
      </w:r>
    </w:p>
    <w:p w14:paraId="0000000F" w14:textId="1E191096" w:rsidR="00D279DA" w:rsidRDefault="002205C9">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NGO</w:t>
      </w:r>
      <w:r w:rsidR="0052099A">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in Special Consultative Status with the United Nations Economic and Social Council</w:t>
      </w:r>
    </w:p>
    <w:p w14:paraId="00000010" w14:textId="77777777" w:rsidR="00D279DA" w:rsidRDefault="00D279DA">
      <w:pPr>
        <w:jc w:val="center"/>
        <w:rPr>
          <w:rFonts w:ascii="Times New Roman" w:eastAsia="Times New Roman" w:hAnsi="Times New Roman" w:cs="Times New Roman"/>
          <w:color w:val="231F20"/>
          <w:sz w:val="24"/>
          <w:szCs w:val="24"/>
        </w:rPr>
      </w:pPr>
    </w:p>
    <w:p w14:paraId="429E0D7A" w14:textId="77777777" w:rsidR="0052099A" w:rsidRDefault="0052099A">
      <w:pPr>
        <w:jc w:val="center"/>
        <w:rPr>
          <w:rFonts w:ascii="Times New Roman" w:eastAsia="Times New Roman" w:hAnsi="Times New Roman" w:cs="Times New Roman"/>
          <w:color w:val="231F20"/>
          <w:sz w:val="24"/>
          <w:szCs w:val="24"/>
        </w:rPr>
      </w:pPr>
    </w:p>
    <w:p w14:paraId="4477E9FF" w14:textId="77777777" w:rsidR="0052099A" w:rsidRDefault="0052099A">
      <w:pPr>
        <w:jc w:val="center"/>
        <w:rPr>
          <w:rFonts w:ascii="Times New Roman" w:eastAsia="Times New Roman" w:hAnsi="Times New Roman" w:cs="Times New Roman"/>
          <w:color w:val="231F20"/>
          <w:sz w:val="24"/>
          <w:szCs w:val="24"/>
        </w:rPr>
      </w:pPr>
    </w:p>
    <w:p w14:paraId="3F437C49" w14:textId="77777777" w:rsidR="0001443B" w:rsidRDefault="0001443B">
      <w:pPr>
        <w:jc w:val="center"/>
        <w:rPr>
          <w:rFonts w:ascii="Times New Roman" w:eastAsia="Times New Roman" w:hAnsi="Times New Roman" w:cs="Times New Roman"/>
          <w:color w:val="231F20"/>
          <w:sz w:val="24"/>
          <w:szCs w:val="24"/>
        </w:rPr>
      </w:pPr>
    </w:p>
    <w:p w14:paraId="00000012" w14:textId="34FD0566" w:rsidR="00D279DA" w:rsidRDefault="002205C9">
      <w:pPr>
        <w:jc w:val="cente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Date: </w:t>
      </w:r>
      <w:r w:rsidR="00FD027E">
        <w:rPr>
          <w:rFonts w:ascii="Times New Roman" w:eastAsia="Times New Roman" w:hAnsi="Times New Roman" w:cs="Times New Roman"/>
          <w:color w:val="231F20"/>
          <w:sz w:val="24"/>
          <w:szCs w:val="24"/>
        </w:rPr>
        <w:t xml:space="preserve">20 </w:t>
      </w:r>
      <w:r>
        <w:rPr>
          <w:rFonts w:ascii="Times New Roman" w:eastAsia="Times New Roman" w:hAnsi="Times New Roman" w:cs="Times New Roman"/>
          <w:color w:val="231F20"/>
          <w:sz w:val="24"/>
          <w:szCs w:val="24"/>
        </w:rPr>
        <w:t>August 2021</w:t>
      </w:r>
    </w:p>
    <w:p w14:paraId="00000013" w14:textId="77777777" w:rsidR="00D279DA" w:rsidRDefault="002205C9">
      <w:pPr>
        <w:rPr>
          <w:rFonts w:ascii="Times New Roman" w:eastAsia="Times New Roman" w:hAnsi="Times New Roman" w:cs="Times New Roman"/>
          <w:color w:val="231F20"/>
          <w:sz w:val="24"/>
          <w:szCs w:val="24"/>
        </w:rPr>
      </w:pPr>
      <w:r>
        <w:br w:type="page"/>
      </w:r>
    </w:p>
    <w:p w14:paraId="00000014" w14:textId="77777777" w:rsidR="00D279DA" w:rsidRDefault="00D279DA">
      <w:pPr>
        <w:jc w:val="center"/>
        <w:rPr>
          <w:rFonts w:ascii="Times New Roman" w:eastAsia="Times New Roman" w:hAnsi="Times New Roman" w:cs="Times New Roman"/>
          <w:color w:val="231F20"/>
          <w:sz w:val="24"/>
          <w:szCs w:val="24"/>
        </w:rPr>
      </w:pPr>
    </w:p>
    <w:p w14:paraId="00000015" w14:textId="77777777" w:rsidR="00D279DA" w:rsidRPr="0094794C" w:rsidRDefault="002205C9" w:rsidP="005C4475">
      <w:pPr>
        <w:pStyle w:val="Heading2"/>
      </w:pPr>
      <w:r w:rsidRPr="0094794C">
        <w:t>Introduction</w:t>
      </w:r>
    </w:p>
    <w:p w14:paraId="00000016" w14:textId="42A075B5" w:rsidR="00D279DA" w:rsidRDefault="00B25394" w:rsidP="00DD540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importance of securing and protecting the right to development </w:t>
      </w:r>
      <w:r w:rsidR="00FD027E">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z w:val="24"/>
          <w:szCs w:val="24"/>
        </w:rPr>
        <w:t xml:space="preserve"> the Palestinian people </w:t>
      </w:r>
      <w:r w:rsidR="002205C9">
        <w:rPr>
          <w:rFonts w:ascii="Times New Roman" w:eastAsia="Times New Roman" w:hAnsi="Times New Roman" w:cs="Times New Roman"/>
          <w:color w:val="231F20"/>
          <w:sz w:val="24"/>
          <w:szCs w:val="24"/>
        </w:rPr>
        <w:t xml:space="preserve">has </w:t>
      </w:r>
      <w:r>
        <w:rPr>
          <w:rFonts w:ascii="Times New Roman" w:eastAsia="Times New Roman" w:hAnsi="Times New Roman" w:cs="Times New Roman"/>
          <w:color w:val="231F20"/>
          <w:sz w:val="24"/>
          <w:szCs w:val="24"/>
        </w:rPr>
        <w:t xml:space="preserve">been </w:t>
      </w:r>
      <w:r w:rsidR="002205C9">
        <w:rPr>
          <w:rFonts w:ascii="Times New Roman" w:eastAsia="Times New Roman" w:hAnsi="Times New Roman" w:cs="Times New Roman"/>
          <w:color w:val="231F20"/>
          <w:sz w:val="24"/>
          <w:szCs w:val="24"/>
        </w:rPr>
        <w:t>elaborated already</w:t>
      </w:r>
      <w:r>
        <w:rPr>
          <w:rFonts w:ascii="Times New Roman" w:eastAsia="Times New Roman" w:hAnsi="Times New Roman" w:cs="Times New Roman"/>
          <w:color w:val="231F20"/>
          <w:sz w:val="24"/>
          <w:szCs w:val="24"/>
        </w:rPr>
        <w:t>.</w:t>
      </w:r>
      <w:r w:rsidR="00CF10B9">
        <w:rPr>
          <w:rFonts w:ascii="Times New Roman" w:eastAsia="Times New Roman" w:hAnsi="Times New Roman" w:cs="Times New Roman"/>
          <w:color w:val="231F20"/>
          <w:sz w:val="24"/>
          <w:szCs w:val="24"/>
          <w:vertAlign w:val="superscript"/>
        </w:rPr>
        <w:footnoteReference w:id="1"/>
      </w:r>
      <w:r w:rsidR="002205C9">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Palestinian </w:t>
      </w:r>
      <w:r w:rsidR="002205C9">
        <w:rPr>
          <w:rFonts w:ascii="Times New Roman" w:eastAsia="Times New Roman" w:hAnsi="Times New Roman" w:cs="Times New Roman"/>
          <w:color w:val="231F20"/>
          <w:sz w:val="24"/>
          <w:szCs w:val="24"/>
        </w:rPr>
        <w:t xml:space="preserve">inalienable rights, including </w:t>
      </w:r>
      <w:r w:rsidR="00FD027E">
        <w:rPr>
          <w:rFonts w:ascii="Times New Roman" w:eastAsia="Times New Roman" w:hAnsi="Times New Roman" w:cs="Times New Roman"/>
          <w:color w:val="231F20"/>
          <w:sz w:val="24"/>
          <w:szCs w:val="24"/>
        </w:rPr>
        <w:t xml:space="preserve">the </w:t>
      </w:r>
      <w:r w:rsidR="002205C9">
        <w:rPr>
          <w:rFonts w:ascii="Times New Roman" w:eastAsia="Times New Roman" w:hAnsi="Times New Roman" w:cs="Times New Roman"/>
          <w:color w:val="231F20"/>
          <w:sz w:val="24"/>
          <w:szCs w:val="24"/>
        </w:rPr>
        <w:t>right to self-determination,</w:t>
      </w:r>
      <w:r w:rsidR="00C10171">
        <w:rPr>
          <w:rStyle w:val="FootnoteReference"/>
          <w:rFonts w:ascii="Times New Roman" w:eastAsia="Times New Roman" w:hAnsi="Times New Roman" w:cs="Times New Roman"/>
          <w:color w:val="231F20"/>
          <w:sz w:val="24"/>
          <w:szCs w:val="24"/>
        </w:rPr>
        <w:footnoteReference w:id="2"/>
      </w:r>
      <w:r w:rsidR="002205C9">
        <w:rPr>
          <w:rFonts w:ascii="Times New Roman" w:eastAsia="Times New Roman" w:hAnsi="Times New Roman" w:cs="Times New Roman"/>
          <w:color w:val="231F20"/>
          <w:sz w:val="24"/>
          <w:szCs w:val="24"/>
        </w:rPr>
        <w:t xml:space="preserve"> </w:t>
      </w:r>
      <w:r w:rsidR="00FD027E">
        <w:rPr>
          <w:rFonts w:ascii="Times New Roman" w:eastAsia="Times New Roman" w:hAnsi="Times New Roman" w:cs="Times New Roman"/>
          <w:color w:val="231F20"/>
          <w:sz w:val="24"/>
          <w:szCs w:val="24"/>
        </w:rPr>
        <w:t>are being</w:t>
      </w:r>
      <w:r w:rsidR="002205C9">
        <w:rPr>
          <w:rFonts w:ascii="Times New Roman" w:eastAsia="Times New Roman" w:hAnsi="Times New Roman" w:cs="Times New Roman"/>
          <w:color w:val="231F20"/>
          <w:sz w:val="24"/>
          <w:szCs w:val="24"/>
        </w:rPr>
        <w:t xml:space="preserve"> violated by Israel’s laws, policies, and practices </w:t>
      </w:r>
      <w:r w:rsidR="00FD027E">
        <w:rPr>
          <w:rFonts w:ascii="Times New Roman" w:eastAsia="Times New Roman" w:hAnsi="Times New Roman" w:cs="Times New Roman"/>
          <w:color w:val="231F20"/>
          <w:sz w:val="24"/>
          <w:szCs w:val="24"/>
        </w:rPr>
        <w:t>including through the</w:t>
      </w:r>
      <w:r w:rsidR="002205C9">
        <w:rPr>
          <w:rFonts w:ascii="Times New Roman" w:eastAsia="Times New Roman" w:hAnsi="Times New Roman" w:cs="Times New Roman"/>
          <w:color w:val="231F20"/>
          <w:sz w:val="24"/>
          <w:szCs w:val="24"/>
        </w:rPr>
        <w:t xml:space="preserve"> unlawful </w:t>
      </w:r>
      <w:r w:rsidR="002205C9">
        <w:rPr>
          <w:rFonts w:ascii="Times New Roman" w:eastAsia="Times New Roman" w:hAnsi="Times New Roman" w:cs="Times New Roman"/>
          <w:i/>
          <w:color w:val="231F20"/>
          <w:sz w:val="24"/>
          <w:szCs w:val="24"/>
        </w:rPr>
        <w:t>de facto</w:t>
      </w:r>
      <w:r w:rsidR="002205C9">
        <w:rPr>
          <w:rFonts w:ascii="Times New Roman" w:eastAsia="Times New Roman" w:hAnsi="Times New Roman" w:cs="Times New Roman"/>
          <w:color w:val="231F20"/>
          <w:sz w:val="24"/>
          <w:szCs w:val="24"/>
        </w:rPr>
        <w:t xml:space="preserve"> and </w:t>
      </w:r>
      <w:r w:rsidR="002205C9">
        <w:rPr>
          <w:rFonts w:ascii="Times New Roman" w:eastAsia="Times New Roman" w:hAnsi="Times New Roman" w:cs="Times New Roman"/>
          <w:i/>
          <w:color w:val="231F20"/>
          <w:sz w:val="24"/>
          <w:szCs w:val="24"/>
        </w:rPr>
        <w:t>de iure</w:t>
      </w:r>
      <w:r w:rsidR="002205C9">
        <w:rPr>
          <w:rFonts w:ascii="Times New Roman" w:eastAsia="Times New Roman" w:hAnsi="Times New Roman" w:cs="Times New Roman"/>
          <w:color w:val="231F20"/>
          <w:sz w:val="24"/>
          <w:szCs w:val="24"/>
        </w:rPr>
        <w:t xml:space="preserve"> annexation of the </w:t>
      </w:r>
      <w:r w:rsidR="0094794C">
        <w:rPr>
          <w:rFonts w:ascii="Times New Roman" w:eastAsia="Times New Roman" w:hAnsi="Times New Roman" w:cs="Times New Roman"/>
          <w:color w:val="231F20"/>
          <w:sz w:val="24"/>
          <w:szCs w:val="24"/>
        </w:rPr>
        <w:t>Palestinian land,</w:t>
      </w:r>
      <w:r w:rsidR="002205C9">
        <w:rPr>
          <w:rFonts w:ascii="Times New Roman" w:eastAsia="Times New Roman" w:hAnsi="Times New Roman" w:cs="Times New Roman"/>
          <w:color w:val="231F20"/>
          <w:sz w:val="24"/>
          <w:szCs w:val="24"/>
        </w:rPr>
        <w:t xml:space="preserve"> </w:t>
      </w:r>
      <w:r w:rsidR="00CF10B9">
        <w:rPr>
          <w:rFonts w:ascii="Times New Roman" w:eastAsia="Times New Roman" w:hAnsi="Times New Roman" w:cs="Times New Roman"/>
          <w:color w:val="231F20"/>
          <w:sz w:val="24"/>
          <w:szCs w:val="24"/>
        </w:rPr>
        <w:t xml:space="preserve">the </w:t>
      </w:r>
      <w:r w:rsidR="002205C9">
        <w:rPr>
          <w:rFonts w:ascii="Times New Roman" w:eastAsia="Times New Roman" w:hAnsi="Times New Roman" w:cs="Times New Roman"/>
          <w:color w:val="231F20"/>
          <w:sz w:val="24"/>
          <w:szCs w:val="24"/>
        </w:rPr>
        <w:t>expropriation of natural resources (</w:t>
      </w:r>
      <w:r w:rsidR="00CF10B9" w:rsidRPr="00CF10B9">
        <w:rPr>
          <w:rFonts w:ascii="Times New Roman" w:eastAsia="Times New Roman" w:hAnsi="Times New Roman" w:cs="Times New Roman"/>
          <w:i/>
          <w:iCs/>
          <w:color w:val="231F20"/>
          <w:sz w:val="24"/>
          <w:szCs w:val="24"/>
        </w:rPr>
        <w:t>i.e</w:t>
      </w:r>
      <w:r w:rsidR="00CF10B9" w:rsidRPr="0052099A">
        <w:rPr>
          <w:rFonts w:ascii="Times New Roman" w:eastAsia="Times New Roman" w:hAnsi="Times New Roman" w:cs="Times New Roman"/>
          <w:color w:val="231F20"/>
          <w:sz w:val="24"/>
          <w:szCs w:val="24"/>
        </w:rPr>
        <w:t>.,</w:t>
      </w:r>
      <w:r w:rsidR="002205C9">
        <w:rPr>
          <w:rFonts w:ascii="Times New Roman" w:eastAsia="Times New Roman" w:hAnsi="Times New Roman" w:cs="Times New Roman"/>
          <w:color w:val="231F20"/>
          <w:sz w:val="24"/>
          <w:szCs w:val="24"/>
        </w:rPr>
        <w:t xml:space="preserve"> water, oil, gas, stone and Dead Sea minerals)</w:t>
      </w:r>
      <w:r w:rsidR="00A932C6">
        <w:rPr>
          <w:rFonts w:ascii="Times New Roman" w:eastAsia="Times New Roman" w:hAnsi="Times New Roman" w:cs="Times New Roman"/>
          <w:color w:val="231F20"/>
          <w:sz w:val="24"/>
          <w:szCs w:val="24"/>
        </w:rPr>
        <w:t xml:space="preserve"> and the</w:t>
      </w:r>
      <w:r w:rsidR="0052099A">
        <w:rPr>
          <w:rFonts w:ascii="Times New Roman" w:eastAsia="Times New Roman" w:hAnsi="Times New Roman" w:cs="Times New Roman"/>
          <w:color w:val="231F20"/>
          <w:sz w:val="24"/>
          <w:szCs w:val="24"/>
        </w:rPr>
        <w:t xml:space="preserve"> </w:t>
      </w:r>
      <w:r w:rsidR="002205C9">
        <w:rPr>
          <w:rFonts w:ascii="Times New Roman" w:eastAsia="Times New Roman" w:hAnsi="Times New Roman" w:cs="Times New Roman"/>
          <w:color w:val="231F20"/>
          <w:sz w:val="24"/>
          <w:szCs w:val="24"/>
        </w:rPr>
        <w:t xml:space="preserve">14 year-long </w:t>
      </w:r>
      <w:r w:rsidR="00F22C08">
        <w:rPr>
          <w:rFonts w:ascii="Times New Roman" w:eastAsia="Times New Roman" w:hAnsi="Times New Roman" w:cs="Times New Roman"/>
          <w:color w:val="231F20"/>
          <w:sz w:val="24"/>
          <w:szCs w:val="24"/>
        </w:rPr>
        <w:t xml:space="preserve">closure and </w:t>
      </w:r>
      <w:r w:rsidR="002205C9">
        <w:rPr>
          <w:rFonts w:ascii="Times New Roman" w:eastAsia="Times New Roman" w:hAnsi="Times New Roman" w:cs="Times New Roman"/>
          <w:color w:val="231F20"/>
          <w:sz w:val="24"/>
          <w:szCs w:val="24"/>
        </w:rPr>
        <w:t xml:space="preserve">military </w:t>
      </w:r>
      <w:r w:rsidR="00CF10B9">
        <w:rPr>
          <w:rFonts w:ascii="Times New Roman" w:eastAsia="Times New Roman" w:hAnsi="Times New Roman" w:cs="Times New Roman"/>
          <w:color w:val="231F20"/>
          <w:sz w:val="24"/>
          <w:szCs w:val="24"/>
        </w:rPr>
        <w:t xml:space="preserve">blockade </w:t>
      </w:r>
      <w:r w:rsidR="002205C9">
        <w:rPr>
          <w:rFonts w:ascii="Times New Roman" w:eastAsia="Times New Roman" w:hAnsi="Times New Roman" w:cs="Times New Roman"/>
          <w:color w:val="231F20"/>
          <w:sz w:val="24"/>
          <w:szCs w:val="24"/>
        </w:rPr>
        <w:t>o</w:t>
      </w:r>
      <w:r w:rsidR="00FD027E">
        <w:rPr>
          <w:rFonts w:ascii="Times New Roman" w:eastAsia="Times New Roman" w:hAnsi="Times New Roman" w:cs="Times New Roman"/>
          <w:color w:val="231F20"/>
          <w:sz w:val="24"/>
          <w:szCs w:val="24"/>
        </w:rPr>
        <w:t>f</w:t>
      </w:r>
      <w:r w:rsidR="002205C9">
        <w:rPr>
          <w:rFonts w:ascii="Times New Roman" w:eastAsia="Times New Roman" w:hAnsi="Times New Roman" w:cs="Times New Roman"/>
          <w:color w:val="231F20"/>
          <w:sz w:val="24"/>
          <w:szCs w:val="24"/>
        </w:rPr>
        <w:t xml:space="preserve"> the Gaza Strip</w:t>
      </w:r>
      <w:r w:rsidR="00F22C08">
        <w:rPr>
          <w:rFonts w:ascii="Times New Roman" w:eastAsia="Times New Roman" w:hAnsi="Times New Roman" w:cs="Times New Roman"/>
          <w:color w:val="231F20"/>
          <w:sz w:val="24"/>
          <w:szCs w:val="24"/>
        </w:rPr>
        <w:t>,</w:t>
      </w:r>
      <w:r w:rsidR="002205C9">
        <w:rPr>
          <w:rFonts w:ascii="Times New Roman" w:eastAsia="Times New Roman" w:hAnsi="Times New Roman" w:cs="Times New Roman"/>
          <w:color w:val="231F20"/>
          <w:sz w:val="24"/>
          <w:szCs w:val="24"/>
        </w:rPr>
        <w:t xml:space="preserve"> </w:t>
      </w:r>
      <w:r w:rsidR="00A932C6">
        <w:rPr>
          <w:rFonts w:ascii="Times New Roman" w:eastAsia="Times New Roman" w:hAnsi="Times New Roman" w:cs="Times New Roman"/>
          <w:color w:val="231F20"/>
          <w:sz w:val="24"/>
          <w:szCs w:val="24"/>
        </w:rPr>
        <w:t xml:space="preserve">which amounts </w:t>
      </w:r>
      <w:r w:rsidR="002205C9">
        <w:rPr>
          <w:rFonts w:ascii="Times New Roman" w:eastAsia="Times New Roman" w:hAnsi="Times New Roman" w:cs="Times New Roman"/>
          <w:color w:val="231F20"/>
          <w:sz w:val="24"/>
          <w:szCs w:val="24"/>
        </w:rPr>
        <w:t xml:space="preserve">to </w:t>
      </w:r>
      <w:r>
        <w:rPr>
          <w:rFonts w:ascii="Times New Roman" w:eastAsia="Times New Roman" w:hAnsi="Times New Roman" w:cs="Times New Roman"/>
          <w:color w:val="231F20"/>
          <w:sz w:val="24"/>
          <w:szCs w:val="24"/>
        </w:rPr>
        <w:t xml:space="preserve">unlawful </w:t>
      </w:r>
      <w:r w:rsidR="002205C9">
        <w:rPr>
          <w:rFonts w:ascii="Times New Roman" w:eastAsia="Times New Roman" w:hAnsi="Times New Roman" w:cs="Times New Roman"/>
          <w:color w:val="231F20"/>
          <w:sz w:val="24"/>
          <w:szCs w:val="24"/>
        </w:rPr>
        <w:t>collective punishment</w:t>
      </w:r>
      <w:r w:rsidR="00685D8B">
        <w:rPr>
          <w:rStyle w:val="FootnoteReference"/>
          <w:rFonts w:ascii="Times New Roman" w:eastAsia="Times New Roman" w:hAnsi="Times New Roman" w:cs="Times New Roman"/>
          <w:color w:val="231F20"/>
          <w:sz w:val="24"/>
          <w:szCs w:val="24"/>
        </w:rPr>
        <w:footnoteReference w:id="3"/>
      </w:r>
      <w:r w:rsidR="002205C9">
        <w:rPr>
          <w:rFonts w:ascii="Times New Roman" w:eastAsia="Times New Roman" w:hAnsi="Times New Roman" w:cs="Times New Roman"/>
          <w:color w:val="231F20"/>
          <w:sz w:val="24"/>
          <w:szCs w:val="24"/>
        </w:rPr>
        <w:t xml:space="preserve">. </w:t>
      </w:r>
    </w:p>
    <w:p w14:paraId="00000017" w14:textId="356FFFA9" w:rsidR="00D279DA" w:rsidRDefault="00A932C6" w:rsidP="006E1A5D">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w:t>
      </w:r>
      <w:r w:rsidR="002205C9">
        <w:rPr>
          <w:rFonts w:ascii="Times New Roman" w:eastAsia="Times New Roman" w:hAnsi="Times New Roman" w:cs="Times New Roman"/>
          <w:color w:val="231F20"/>
          <w:sz w:val="24"/>
          <w:szCs w:val="24"/>
        </w:rPr>
        <w:t>he strategic fragmentation imposed on Palestinian people by Israel through its legal domains administrating d</w:t>
      </w:r>
      <w:r w:rsidR="006E1A5D">
        <w:rPr>
          <w:rFonts w:ascii="Times New Roman" w:eastAsia="Times New Roman" w:hAnsi="Times New Roman" w:cs="Times New Roman"/>
          <w:color w:val="231F20"/>
          <w:sz w:val="24"/>
          <w:szCs w:val="24"/>
        </w:rPr>
        <w:t>ifferent aspects of life, creates</w:t>
      </w:r>
      <w:r w:rsidR="002205C9">
        <w:rPr>
          <w:rFonts w:ascii="Times New Roman" w:eastAsia="Times New Roman" w:hAnsi="Times New Roman" w:cs="Times New Roman"/>
          <w:color w:val="231F20"/>
          <w:sz w:val="24"/>
          <w:szCs w:val="24"/>
        </w:rPr>
        <w:t xml:space="preserve"> </w:t>
      </w:r>
      <w:r w:rsidR="002205C9">
        <w:rPr>
          <w:rFonts w:ascii="Times New Roman" w:eastAsia="Times New Roman" w:hAnsi="Times New Roman" w:cs="Times New Roman"/>
          <w:sz w:val="24"/>
          <w:szCs w:val="24"/>
        </w:rPr>
        <w:t>a legal architecture that codifies a privileged status for its Israeli-Jewish citizens and discriminates against all non-Jewish persons, particularly Palestinians</w:t>
      </w:r>
      <w:r w:rsidR="00FD027E">
        <w:rPr>
          <w:rFonts w:ascii="Times New Roman" w:eastAsia="Times New Roman" w:hAnsi="Times New Roman" w:cs="Times New Roman"/>
          <w:sz w:val="24"/>
          <w:szCs w:val="24"/>
        </w:rPr>
        <w:t>.</w:t>
      </w:r>
      <w:r w:rsidR="002205C9">
        <w:rPr>
          <w:rFonts w:ascii="Times New Roman" w:eastAsia="Times New Roman" w:hAnsi="Times New Roman" w:cs="Times New Roman"/>
          <w:sz w:val="24"/>
          <w:szCs w:val="24"/>
          <w:vertAlign w:val="superscript"/>
        </w:rPr>
        <w:footnoteReference w:id="4"/>
      </w:r>
      <w:r w:rsidR="00FD027E">
        <w:rPr>
          <w:rFonts w:ascii="Times New Roman" w:eastAsia="Times New Roman" w:hAnsi="Times New Roman" w:cs="Times New Roman"/>
          <w:sz w:val="24"/>
          <w:szCs w:val="24"/>
        </w:rPr>
        <w:t xml:space="preserve"> Importantly,</w:t>
      </w:r>
      <w:r w:rsidR="00074F95">
        <w:rPr>
          <w:rFonts w:ascii="Times New Roman" w:eastAsia="Times New Roman" w:hAnsi="Times New Roman" w:cs="Times New Roman"/>
          <w:sz w:val="24"/>
          <w:szCs w:val="24"/>
        </w:rPr>
        <w:t xml:space="preserve"> </w:t>
      </w:r>
      <w:r w:rsidR="00074F95" w:rsidRPr="00A932C6">
        <w:rPr>
          <w:rFonts w:ascii="Times New Roman" w:eastAsia="Times New Roman" w:hAnsi="Times New Roman" w:cs="Times New Roman"/>
          <w:sz w:val="24"/>
          <w:szCs w:val="24"/>
        </w:rPr>
        <w:t>independent scholars</w:t>
      </w:r>
      <w:r w:rsidR="00FD027E">
        <w:rPr>
          <w:rFonts w:ascii="Times New Roman" w:eastAsia="Times New Roman" w:hAnsi="Times New Roman" w:cs="Times New Roman"/>
          <w:sz w:val="24"/>
          <w:szCs w:val="24"/>
        </w:rPr>
        <w:t>,</w:t>
      </w:r>
      <w:r w:rsidR="00074F95">
        <w:rPr>
          <w:rFonts w:ascii="Times New Roman" w:eastAsia="Times New Roman" w:hAnsi="Times New Roman" w:cs="Times New Roman"/>
          <w:color w:val="231F20"/>
          <w:sz w:val="24"/>
          <w:szCs w:val="24"/>
          <w:vertAlign w:val="superscript"/>
        </w:rPr>
        <w:footnoteReference w:id="5"/>
      </w:r>
      <w:r w:rsidR="00074F95" w:rsidRPr="00A932C6">
        <w:rPr>
          <w:rFonts w:ascii="Times New Roman" w:eastAsia="Times New Roman" w:hAnsi="Times New Roman" w:cs="Times New Roman"/>
          <w:sz w:val="24"/>
          <w:szCs w:val="24"/>
        </w:rPr>
        <w:t xml:space="preserve"> as well as</w:t>
      </w:r>
      <w:r w:rsidR="00074F95">
        <w:rPr>
          <w:rFonts w:ascii="Times New Roman" w:eastAsia="Times New Roman" w:hAnsi="Times New Roman" w:cs="Times New Roman"/>
          <w:sz w:val="24"/>
          <w:szCs w:val="24"/>
        </w:rPr>
        <w:t xml:space="preserve"> </w:t>
      </w:r>
      <w:r w:rsidR="00074F95" w:rsidRPr="00A932C6">
        <w:rPr>
          <w:rFonts w:ascii="Times New Roman" w:eastAsia="Times New Roman" w:hAnsi="Times New Roman" w:cs="Times New Roman"/>
          <w:sz w:val="24"/>
          <w:szCs w:val="24"/>
        </w:rPr>
        <w:t>human rights organisations</w:t>
      </w:r>
      <w:r w:rsidR="00FD027E">
        <w:rPr>
          <w:rFonts w:ascii="Times New Roman" w:eastAsia="Times New Roman" w:hAnsi="Times New Roman" w:cs="Times New Roman"/>
          <w:sz w:val="24"/>
          <w:szCs w:val="24"/>
        </w:rPr>
        <w:t>,</w:t>
      </w:r>
      <w:r w:rsidR="00074F95">
        <w:rPr>
          <w:rFonts w:ascii="Times New Roman" w:eastAsia="Times New Roman" w:hAnsi="Times New Roman" w:cs="Times New Roman"/>
          <w:color w:val="231F20"/>
          <w:sz w:val="24"/>
          <w:szCs w:val="24"/>
          <w:vertAlign w:val="superscript"/>
        </w:rPr>
        <w:footnoteReference w:id="6"/>
      </w:r>
      <w:r w:rsidR="00074F95">
        <w:rPr>
          <w:rFonts w:ascii="Times New Roman" w:eastAsia="Times New Roman" w:hAnsi="Times New Roman" w:cs="Times New Roman"/>
          <w:sz w:val="24"/>
          <w:szCs w:val="24"/>
        </w:rPr>
        <w:t xml:space="preserve"> have recognized </w:t>
      </w:r>
      <w:r w:rsidR="00FD027E">
        <w:rPr>
          <w:rFonts w:ascii="Times New Roman" w:eastAsia="Times New Roman" w:hAnsi="Times New Roman" w:cs="Times New Roman"/>
          <w:sz w:val="24"/>
          <w:szCs w:val="24"/>
        </w:rPr>
        <w:t>the maintenance of a systematic regime of discrimination against the Palestinian people as a whole as</w:t>
      </w:r>
      <w:r w:rsidR="00074F95">
        <w:rPr>
          <w:rFonts w:ascii="Times New Roman" w:eastAsia="Times New Roman" w:hAnsi="Times New Roman" w:cs="Times New Roman"/>
          <w:sz w:val="24"/>
          <w:szCs w:val="24"/>
        </w:rPr>
        <w:t xml:space="preserve"> apartheid, </w:t>
      </w:r>
      <w:r w:rsidR="00FD027E">
        <w:rPr>
          <w:rFonts w:ascii="Times New Roman" w:eastAsia="Times New Roman" w:hAnsi="Times New Roman" w:cs="Times New Roman"/>
          <w:sz w:val="24"/>
          <w:szCs w:val="24"/>
        </w:rPr>
        <w:t xml:space="preserve">a grave breach of Additional Protocol I to the Geneva Conventions and </w:t>
      </w:r>
      <w:r w:rsidR="00074F95">
        <w:rPr>
          <w:rFonts w:ascii="Times New Roman" w:eastAsia="Times New Roman" w:hAnsi="Times New Roman" w:cs="Times New Roman"/>
          <w:sz w:val="24"/>
          <w:szCs w:val="24"/>
        </w:rPr>
        <w:t>a crime against humanity under the Rome Statute.</w:t>
      </w:r>
      <w:r w:rsidR="0066637A">
        <w:rPr>
          <w:rStyle w:val="FootnoteReference"/>
          <w:rFonts w:ascii="Times New Roman" w:eastAsia="Times New Roman" w:hAnsi="Times New Roman" w:cs="Times New Roman"/>
          <w:sz w:val="24"/>
          <w:szCs w:val="24"/>
        </w:rPr>
        <w:footnoteReference w:id="7"/>
      </w:r>
      <w:r w:rsidR="00074F95">
        <w:rPr>
          <w:rFonts w:ascii="Times New Roman" w:eastAsia="Times New Roman" w:hAnsi="Times New Roman" w:cs="Times New Roman"/>
          <w:sz w:val="24"/>
          <w:szCs w:val="24"/>
        </w:rPr>
        <w:t xml:space="preserve"> </w:t>
      </w:r>
      <w:r w:rsidR="002205C9">
        <w:rPr>
          <w:rFonts w:ascii="Times New Roman" w:eastAsia="Times New Roman" w:hAnsi="Times New Roman" w:cs="Times New Roman"/>
          <w:color w:val="231F20"/>
          <w:sz w:val="24"/>
          <w:szCs w:val="24"/>
        </w:rPr>
        <w:t xml:space="preserve">Rooted in Israel’s ongoing settler-colonial ideology of dispossession, wide arrays of human rights violations hamper any chances of social, economic, cultural, political, and sustainable development for Palestinian people, as understood in the </w:t>
      </w:r>
      <w:r w:rsidR="002205C9">
        <w:rPr>
          <w:rFonts w:ascii="Times New Roman" w:eastAsia="Times New Roman" w:hAnsi="Times New Roman" w:cs="Times New Roman"/>
          <w:i/>
          <w:color w:val="231F20"/>
          <w:sz w:val="24"/>
          <w:szCs w:val="24"/>
        </w:rPr>
        <w:t>Declaration on the Right to Developmen</w:t>
      </w:r>
      <w:r w:rsidR="002205C9">
        <w:rPr>
          <w:rFonts w:ascii="Times New Roman" w:eastAsia="Times New Roman" w:hAnsi="Times New Roman" w:cs="Times New Roman"/>
          <w:color w:val="231F20"/>
          <w:sz w:val="24"/>
          <w:szCs w:val="24"/>
        </w:rPr>
        <w:t>t (DRT), reiterated and strengthen</w:t>
      </w:r>
      <w:r w:rsidR="00FD027E">
        <w:rPr>
          <w:rFonts w:ascii="Times New Roman" w:eastAsia="Times New Roman" w:hAnsi="Times New Roman" w:cs="Times New Roman"/>
          <w:color w:val="231F20"/>
          <w:sz w:val="24"/>
          <w:szCs w:val="24"/>
        </w:rPr>
        <w:t>ed</w:t>
      </w:r>
      <w:r w:rsidR="002205C9">
        <w:rPr>
          <w:rFonts w:ascii="Times New Roman" w:eastAsia="Times New Roman" w:hAnsi="Times New Roman" w:cs="Times New Roman"/>
          <w:color w:val="231F20"/>
          <w:sz w:val="24"/>
          <w:szCs w:val="24"/>
        </w:rPr>
        <w:t xml:space="preserve"> in the </w:t>
      </w:r>
      <w:r w:rsidR="002205C9">
        <w:rPr>
          <w:rFonts w:ascii="Times New Roman" w:eastAsia="Times New Roman" w:hAnsi="Times New Roman" w:cs="Times New Roman"/>
          <w:i/>
          <w:color w:val="231F20"/>
          <w:sz w:val="24"/>
          <w:szCs w:val="24"/>
        </w:rPr>
        <w:t>Draft Convention on the Right to Development</w:t>
      </w:r>
      <w:r w:rsidR="002205C9">
        <w:rPr>
          <w:rFonts w:ascii="Times New Roman" w:eastAsia="Times New Roman" w:hAnsi="Times New Roman" w:cs="Times New Roman"/>
          <w:color w:val="231F20"/>
          <w:sz w:val="24"/>
          <w:szCs w:val="24"/>
        </w:rPr>
        <w:t xml:space="preserve"> (DC RTD).</w:t>
      </w:r>
    </w:p>
    <w:p w14:paraId="130D4DD2" w14:textId="77777777" w:rsidR="0001443B" w:rsidRDefault="0001443B" w:rsidP="006E1A5D">
      <w:pPr>
        <w:jc w:val="both"/>
        <w:rPr>
          <w:rFonts w:ascii="Times New Roman" w:eastAsia="Times New Roman" w:hAnsi="Times New Roman" w:cs="Times New Roman"/>
          <w:color w:val="231F20"/>
          <w:sz w:val="24"/>
          <w:szCs w:val="24"/>
        </w:rPr>
      </w:pPr>
    </w:p>
    <w:p w14:paraId="00000018" w14:textId="3D0790F4" w:rsidR="00D279DA" w:rsidRPr="00F27A29" w:rsidRDefault="0066637A" w:rsidP="005C4475">
      <w:pPr>
        <w:pStyle w:val="Heading2"/>
        <w:rPr>
          <w:sz w:val="32"/>
          <w:szCs w:val="32"/>
        </w:rPr>
      </w:pPr>
      <w:r w:rsidRPr="00F27A29">
        <w:rPr>
          <w:sz w:val="32"/>
          <w:szCs w:val="32"/>
        </w:rPr>
        <w:t>F</w:t>
      </w:r>
      <w:r w:rsidR="002205C9" w:rsidRPr="00F27A29">
        <w:rPr>
          <w:sz w:val="32"/>
          <w:szCs w:val="32"/>
        </w:rPr>
        <w:t xml:space="preserve">actors of the Palestinian </w:t>
      </w:r>
      <w:r w:rsidRPr="00F27A29">
        <w:rPr>
          <w:sz w:val="32"/>
          <w:szCs w:val="32"/>
        </w:rPr>
        <w:t>R</w:t>
      </w:r>
      <w:r w:rsidR="002205C9" w:rsidRPr="00F27A29">
        <w:rPr>
          <w:sz w:val="32"/>
          <w:szCs w:val="32"/>
        </w:rPr>
        <w:t xml:space="preserve">ight to </w:t>
      </w:r>
      <w:r w:rsidRPr="00F27A29">
        <w:rPr>
          <w:sz w:val="32"/>
          <w:szCs w:val="32"/>
        </w:rPr>
        <w:t>D</w:t>
      </w:r>
      <w:r w:rsidR="002205C9" w:rsidRPr="00F27A29">
        <w:rPr>
          <w:sz w:val="32"/>
          <w:szCs w:val="32"/>
        </w:rPr>
        <w:t xml:space="preserve">evelopment </w:t>
      </w:r>
    </w:p>
    <w:p w14:paraId="00000019" w14:textId="47E65209" w:rsidR="00D279DA" w:rsidRDefault="002205C9" w:rsidP="00F6642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As stated by the UN Special Rapporteur on the situation of human rights in the Palestinian territories occu</w:t>
      </w:r>
      <w:r w:rsidR="00F6642F">
        <w:rPr>
          <w:rFonts w:ascii="Times New Roman" w:eastAsia="Times New Roman" w:hAnsi="Times New Roman" w:cs="Times New Roman"/>
          <w:color w:val="231F20"/>
          <w:sz w:val="24"/>
          <w:szCs w:val="24"/>
        </w:rPr>
        <w:t>pied since 1967 (hereinafter ‘UN</w:t>
      </w:r>
      <w:r>
        <w:rPr>
          <w:rFonts w:ascii="Times New Roman" w:eastAsia="Times New Roman" w:hAnsi="Times New Roman" w:cs="Times New Roman"/>
          <w:color w:val="231F20"/>
          <w:sz w:val="24"/>
          <w:szCs w:val="24"/>
        </w:rPr>
        <w:t xml:space="preserve"> Special Rapporteur’) </w:t>
      </w:r>
      <w:r w:rsidR="0066637A">
        <w:rPr>
          <w:rFonts w:ascii="Times New Roman" w:eastAsia="Times New Roman" w:hAnsi="Times New Roman" w:cs="Times New Roman"/>
          <w:color w:val="231F20"/>
          <w:sz w:val="24"/>
          <w:szCs w:val="24"/>
        </w:rPr>
        <w:t>Michael</w:t>
      </w:r>
      <w:r>
        <w:rPr>
          <w:rFonts w:ascii="Times New Roman" w:eastAsia="Times New Roman" w:hAnsi="Times New Roman" w:cs="Times New Roman"/>
          <w:color w:val="231F20"/>
          <w:sz w:val="24"/>
          <w:szCs w:val="24"/>
        </w:rPr>
        <w:t xml:space="preserve"> Lynk:</w:t>
      </w:r>
    </w:p>
    <w:p w14:paraId="0000001A" w14:textId="5A63CFC8" w:rsidR="00D279DA" w:rsidRDefault="00DE20D4">
      <w:pPr>
        <w:jc w:val="both"/>
        <w:rPr>
          <w:rFonts w:ascii="Times New Roman" w:eastAsia="Times New Roman" w:hAnsi="Times New Roman" w:cs="Times New Roman"/>
          <w:color w:val="231F20"/>
          <w:sz w:val="24"/>
          <w:szCs w:val="24"/>
        </w:rPr>
      </w:pPr>
      <w:r>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rPr>
        <w:t xml:space="preserve">Palestine’s right to development is being denied by Israel, creating an environment plagued by poverty, </w:t>
      </w:r>
      <w:r w:rsidR="00FD027E">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rPr>
        <w:t>epic</w:t>
      </w:r>
      <w:r w:rsidR="00FD027E">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rPr>
        <w:t xml:space="preserve"> unemployment and economic stagnation</w:t>
      </w:r>
      <w:r w:rsidR="002205C9">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w:t>
      </w:r>
      <w:r w:rsidR="002205C9">
        <w:rPr>
          <w:rFonts w:ascii="Times New Roman" w:eastAsia="Times New Roman" w:hAnsi="Times New Roman" w:cs="Times New Roman"/>
          <w:color w:val="231F20"/>
          <w:sz w:val="24"/>
          <w:szCs w:val="24"/>
          <w:vertAlign w:val="superscript"/>
        </w:rPr>
        <w:footnoteReference w:id="8"/>
      </w:r>
    </w:p>
    <w:p w14:paraId="0000001B" w14:textId="35260B16" w:rsidR="00D279DA" w:rsidRDefault="002205C9" w:rsidP="00F6642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importance of the right to development is essential to understand the predicaments of the human rights situation in Palestine, as stated </w:t>
      </w:r>
      <w:r w:rsidR="00FD027E">
        <w:rPr>
          <w:rFonts w:ascii="Times New Roman" w:eastAsia="Times New Roman" w:hAnsi="Times New Roman" w:cs="Times New Roman"/>
          <w:color w:val="231F20"/>
          <w:sz w:val="24"/>
          <w:szCs w:val="24"/>
        </w:rPr>
        <w:t>by UN</w:t>
      </w:r>
      <w:r>
        <w:rPr>
          <w:rFonts w:ascii="Times New Roman" w:eastAsia="Times New Roman" w:hAnsi="Times New Roman" w:cs="Times New Roman"/>
          <w:color w:val="231F20"/>
          <w:sz w:val="24"/>
          <w:szCs w:val="24"/>
        </w:rPr>
        <w:t xml:space="preserve"> Special Rapporteur</w:t>
      </w:r>
      <w:r w:rsidR="00FD027E">
        <w:rPr>
          <w:rFonts w:ascii="Times New Roman" w:eastAsia="Times New Roman" w:hAnsi="Times New Roman" w:cs="Times New Roman"/>
          <w:color w:val="231F20"/>
          <w:sz w:val="24"/>
          <w:szCs w:val="24"/>
        </w:rPr>
        <w:t>, Michael Lynk</w:t>
      </w:r>
      <w:r>
        <w:rPr>
          <w:rFonts w:ascii="Times New Roman" w:eastAsia="Times New Roman" w:hAnsi="Times New Roman" w:cs="Times New Roman"/>
          <w:color w:val="231F20"/>
          <w:sz w:val="24"/>
          <w:szCs w:val="24"/>
        </w:rPr>
        <w:t xml:space="preserve"> in his first report in 2016</w:t>
      </w:r>
      <w:r w:rsidR="00FD027E">
        <w:rPr>
          <w:rFonts w:ascii="Times New Roman" w:eastAsia="Times New Roman" w:hAnsi="Times New Roman" w:cs="Times New Roman"/>
          <w:color w:val="231F20"/>
          <w:sz w:val="24"/>
          <w:szCs w:val="24"/>
        </w:rPr>
        <w:t xml:space="preserve">. The report </w:t>
      </w:r>
      <w:r>
        <w:rPr>
          <w:rFonts w:ascii="Times New Roman" w:eastAsia="Times New Roman" w:hAnsi="Times New Roman" w:cs="Times New Roman"/>
          <w:color w:val="231F20"/>
          <w:sz w:val="24"/>
          <w:szCs w:val="24"/>
        </w:rPr>
        <w:t>point</w:t>
      </w:r>
      <w:r w:rsidR="00FD027E">
        <w:rPr>
          <w:rFonts w:ascii="Times New Roman" w:eastAsia="Times New Roman" w:hAnsi="Times New Roman" w:cs="Times New Roman"/>
          <w:color w:val="231F20"/>
          <w:sz w:val="24"/>
          <w:szCs w:val="24"/>
        </w:rPr>
        <w:t>ed</w:t>
      </w:r>
      <w:r>
        <w:rPr>
          <w:rFonts w:ascii="Times New Roman" w:eastAsia="Times New Roman" w:hAnsi="Times New Roman" w:cs="Times New Roman"/>
          <w:color w:val="231F20"/>
          <w:sz w:val="24"/>
          <w:szCs w:val="24"/>
        </w:rPr>
        <w:t xml:space="preserve"> out </w:t>
      </w:r>
      <w:r w:rsidR="00711B25">
        <w:rPr>
          <w:rFonts w:ascii="Times New Roman" w:eastAsia="Times New Roman" w:hAnsi="Times New Roman" w:cs="Times New Roman"/>
          <w:color w:val="231F20"/>
          <w:sz w:val="24"/>
          <w:szCs w:val="24"/>
        </w:rPr>
        <w:t xml:space="preserve">the interrelation between </w:t>
      </w:r>
      <w:r>
        <w:rPr>
          <w:rFonts w:ascii="Times New Roman" w:eastAsia="Times New Roman" w:hAnsi="Times New Roman" w:cs="Times New Roman"/>
          <w:color w:val="231F20"/>
          <w:sz w:val="24"/>
          <w:szCs w:val="24"/>
        </w:rPr>
        <w:t>the right to development</w:t>
      </w:r>
      <w:r w:rsidR="00711B25">
        <w:rPr>
          <w:rFonts w:ascii="Times New Roman" w:eastAsia="Times New Roman" w:hAnsi="Times New Roman" w:cs="Times New Roman"/>
          <w:color w:val="231F20"/>
          <w:sz w:val="24"/>
          <w:szCs w:val="24"/>
        </w:rPr>
        <w:t xml:space="preserve"> and</w:t>
      </w:r>
      <w:r>
        <w:rPr>
          <w:rFonts w:ascii="Times New Roman" w:eastAsia="Times New Roman" w:hAnsi="Times New Roman" w:cs="Times New Roman"/>
          <w:color w:val="231F20"/>
          <w:sz w:val="24"/>
          <w:szCs w:val="24"/>
        </w:rPr>
        <w:t xml:space="preserve"> the realization of human rights </w:t>
      </w:r>
      <w:r w:rsidR="00FD027E">
        <w:rPr>
          <w:rFonts w:ascii="Times New Roman" w:eastAsia="Times New Roman" w:hAnsi="Times New Roman" w:cs="Times New Roman"/>
          <w:color w:val="231F20"/>
          <w:sz w:val="24"/>
          <w:szCs w:val="24"/>
        </w:rPr>
        <w:t xml:space="preserve">as </w:t>
      </w:r>
      <w:r w:rsidR="00711B25">
        <w:rPr>
          <w:rFonts w:ascii="Times New Roman" w:eastAsia="Times New Roman" w:hAnsi="Times New Roman" w:cs="Times New Roman"/>
          <w:color w:val="231F20"/>
          <w:sz w:val="24"/>
          <w:szCs w:val="24"/>
        </w:rPr>
        <w:t xml:space="preserve">particularly critical </w:t>
      </w:r>
      <w:r>
        <w:rPr>
          <w:rFonts w:ascii="Times New Roman" w:eastAsia="Times New Roman" w:hAnsi="Times New Roman" w:cs="Times New Roman"/>
          <w:color w:val="231F20"/>
          <w:sz w:val="24"/>
          <w:szCs w:val="24"/>
        </w:rPr>
        <w:t xml:space="preserve">in the Palestinian context, </w:t>
      </w:r>
      <w:r w:rsidR="00711B25">
        <w:rPr>
          <w:rFonts w:ascii="Times New Roman" w:eastAsia="Times New Roman" w:hAnsi="Times New Roman" w:cs="Times New Roman"/>
          <w:color w:val="231F20"/>
          <w:sz w:val="24"/>
          <w:szCs w:val="24"/>
        </w:rPr>
        <w:t>including the</w:t>
      </w:r>
      <w:r>
        <w:rPr>
          <w:rFonts w:ascii="Times New Roman" w:eastAsia="Times New Roman" w:hAnsi="Times New Roman" w:cs="Times New Roman"/>
          <w:color w:val="231F20"/>
          <w:sz w:val="24"/>
          <w:szCs w:val="24"/>
        </w:rPr>
        <w:t xml:space="preserve"> right to self-determination</w:t>
      </w:r>
      <w:r w:rsidR="00F6642F">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the elimination of foreign domination and </w:t>
      </w:r>
      <w:r w:rsidR="00C97562" w:rsidRPr="00C97562">
        <w:rPr>
          <w:rFonts w:ascii="Times New Roman" w:eastAsia="Times New Roman" w:hAnsi="Times New Roman" w:cs="Times New Roman"/>
          <w:color w:val="231F20"/>
          <w:sz w:val="24"/>
          <w:szCs w:val="24"/>
        </w:rPr>
        <w:t xml:space="preserve">belligerent </w:t>
      </w:r>
      <w:r>
        <w:rPr>
          <w:rFonts w:ascii="Times New Roman" w:eastAsia="Times New Roman" w:hAnsi="Times New Roman" w:cs="Times New Roman"/>
          <w:color w:val="231F20"/>
          <w:sz w:val="24"/>
          <w:szCs w:val="24"/>
        </w:rPr>
        <w:t>occupation</w:t>
      </w:r>
      <w:r w:rsidR="00F6642F">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r w:rsidR="00711B25">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prohibition against discrimination and flagrant </w:t>
      </w:r>
      <w:r w:rsidR="00711B25">
        <w:rPr>
          <w:rFonts w:ascii="Times New Roman" w:eastAsia="Times New Roman" w:hAnsi="Times New Roman" w:cs="Times New Roman"/>
          <w:color w:val="231F20"/>
          <w:sz w:val="24"/>
          <w:szCs w:val="24"/>
        </w:rPr>
        <w:t xml:space="preserve">human rights </w:t>
      </w:r>
      <w:r>
        <w:rPr>
          <w:rFonts w:ascii="Times New Roman" w:eastAsia="Times New Roman" w:hAnsi="Times New Roman" w:cs="Times New Roman"/>
          <w:color w:val="231F20"/>
          <w:sz w:val="24"/>
          <w:szCs w:val="24"/>
        </w:rPr>
        <w:t>abuse</w:t>
      </w:r>
      <w:r w:rsidR="00711B25">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the full enjoyment of all human rights and fundamental freedoms, including socioeconomic rights; </w:t>
      </w:r>
      <w:r w:rsidR="00711B25">
        <w:rPr>
          <w:rFonts w:ascii="Times New Roman" w:eastAsia="Times New Roman" w:hAnsi="Times New Roman" w:cs="Times New Roman"/>
          <w:color w:val="231F20"/>
          <w:sz w:val="24"/>
          <w:szCs w:val="24"/>
        </w:rPr>
        <w:t xml:space="preserve">peoples’ </w:t>
      </w:r>
      <w:r>
        <w:rPr>
          <w:rFonts w:ascii="Times New Roman" w:eastAsia="Times New Roman" w:hAnsi="Times New Roman" w:cs="Times New Roman"/>
          <w:color w:val="231F20"/>
          <w:sz w:val="24"/>
          <w:szCs w:val="24"/>
        </w:rPr>
        <w:t xml:space="preserve">full sovereignty over </w:t>
      </w:r>
      <w:r w:rsidR="00711B25">
        <w:rPr>
          <w:rFonts w:ascii="Times New Roman" w:eastAsia="Times New Roman" w:hAnsi="Times New Roman" w:cs="Times New Roman"/>
          <w:color w:val="231F20"/>
          <w:sz w:val="24"/>
          <w:szCs w:val="24"/>
        </w:rPr>
        <w:t>their</w:t>
      </w:r>
      <w:r>
        <w:rPr>
          <w:rFonts w:ascii="Times New Roman" w:eastAsia="Times New Roman" w:hAnsi="Times New Roman" w:cs="Times New Roman"/>
          <w:color w:val="231F20"/>
          <w:sz w:val="24"/>
          <w:szCs w:val="24"/>
        </w:rPr>
        <w:t xml:space="preserve"> natural resources; and participatory decision-making in public affairs.</w:t>
      </w:r>
      <w:r>
        <w:rPr>
          <w:rFonts w:ascii="Times New Roman" w:eastAsia="Times New Roman" w:hAnsi="Times New Roman" w:cs="Times New Roman"/>
          <w:color w:val="231F20"/>
          <w:sz w:val="24"/>
          <w:szCs w:val="24"/>
          <w:vertAlign w:val="superscript"/>
        </w:rPr>
        <w:footnoteReference w:id="9"/>
      </w:r>
      <w:r>
        <w:rPr>
          <w:rFonts w:ascii="Times New Roman" w:eastAsia="Times New Roman" w:hAnsi="Times New Roman" w:cs="Times New Roman"/>
          <w:color w:val="231F20"/>
          <w:sz w:val="24"/>
          <w:szCs w:val="24"/>
        </w:rPr>
        <w:t xml:space="preserve"> </w:t>
      </w:r>
    </w:p>
    <w:p w14:paraId="0000001C" w14:textId="0845A9AD" w:rsidR="00D279DA"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As concluded by </w:t>
      </w:r>
      <w:r w:rsidR="00FD027E">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United Nations Conference on Trade and Development (UNCTAD):</w:t>
      </w:r>
    </w:p>
    <w:p w14:paraId="0000001D" w14:textId="2D6A13D1" w:rsidR="00D279DA" w:rsidRDefault="00DE20D4">
      <w:pPr>
        <w:jc w:val="both"/>
        <w:rPr>
          <w:rFonts w:ascii="Times New Roman" w:eastAsia="Times New Roman" w:hAnsi="Times New Roman" w:cs="Times New Roman"/>
          <w:color w:val="231F20"/>
          <w:sz w:val="24"/>
          <w:szCs w:val="24"/>
        </w:rPr>
      </w:pPr>
      <w:r w:rsidRPr="009F7E1B">
        <w:rPr>
          <w:rFonts w:ascii="Times New Roman" w:eastAsia="Times New Roman" w:hAnsi="Times New Roman" w:cs="Times New Roman"/>
          <w:i/>
          <w:iCs/>
          <w:color w:val="231F20"/>
          <w:sz w:val="24"/>
          <w:szCs w:val="24"/>
        </w:rPr>
        <w:t>“</w:t>
      </w:r>
      <w:r w:rsidR="002205C9">
        <w:rPr>
          <w:rFonts w:ascii="Times New Roman" w:eastAsia="Times New Roman" w:hAnsi="Times New Roman" w:cs="Times New Roman"/>
          <w:color w:val="231F20"/>
          <w:sz w:val="24"/>
          <w:szCs w:val="24"/>
        </w:rPr>
        <w:t xml:space="preserve">[…] </w:t>
      </w:r>
      <w:r w:rsidR="002205C9">
        <w:rPr>
          <w:rFonts w:ascii="Times New Roman" w:eastAsia="Times New Roman" w:hAnsi="Times New Roman" w:cs="Times New Roman"/>
          <w:i/>
          <w:color w:val="231F20"/>
          <w:sz w:val="24"/>
          <w:szCs w:val="24"/>
        </w:rPr>
        <w:t>Palestinian people and Government are not allowed to carry out essential tasks required for economic and social development to take place. This prevents them from enjoying the inalienable human right to development, which maintains that every human person and all peoples are entitled to freely participate in, contribute to and enjoy economic, social, cultural and political development.</w:t>
      </w:r>
      <w:r>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vertAlign w:val="superscript"/>
        </w:rPr>
        <w:footnoteReference w:id="10"/>
      </w:r>
    </w:p>
    <w:p w14:paraId="0000001E" w14:textId="574A21CE" w:rsidR="00D279DA"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Israel’s institutionalised regime of systematic racial oppression and domination compound</w:t>
      </w:r>
      <w:r w:rsidR="00711B25">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the denial of Palestinians’ underlying determinants of health, thereby amplifying the susceptibility of Palestinian communities to COVID-19.</w:t>
      </w:r>
      <w:r>
        <w:rPr>
          <w:rFonts w:ascii="Times New Roman" w:eastAsia="Times New Roman" w:hAnsi="Times New Roman" w:cs="Times New Roman"/>
          <w:color w:val="231F20"/>
          <w:sz w:val="24"/>
          <w:szCs w:val="24"/>
          <w:vertAlign w:val="superscript"/>
        </w:rPr>
        <w:footnoteReference w:id="11"/>
      </w:r>
      <w:r>
        <w:rPr>
          <w:rFonts w:ascii="Times New Roman" w:eastAsia="Times New Roman" w:hAnsi="Times New Roman" w:cs="Times New Roman"/>
          <w:color w:val="231F20"/>
          <w:sz w:val="24"/>
          <w:szCs w:val="24"/>
        </w:rPr>
        <w:t xml:space="preserve"> Pandemic restrictions </w:t>
      </w:r>
      <w:r w:rsidR="00FD027E">
        <w:rPr>
          <w:rFonts w:ascii="Times New Roman" w:eastAsia="Times New Roman" w:hAnsi="Times New Roman" w:cs="Times New Roman"/>
          <w:color w:val="231F20"/>
          <w:sz w:val="24"/>
          <w:szCs w:val="24"/>
        </w:rPr>
        <w:t xml:space="preserve">have </w:t>
      </w:r>
      <w:r w:rsidR="003F6865">
        <w:rPr>
          <w:rFonts w:ascii="Times New Roman" w:eastAsia="Times New Roman" w:hAnsi="Times New Roman" w:cs="Times New Roman"/>
          <w:color w:val="231F20"/>
          <w:sz w:val="24"/>
          <w:szCs w:val="24"/>
        </w:rPr>
        <w:t xml:space="preserve">further </w:t>
      </w:r>
      <w:r>
        <w:rPr>
          <w:rFonts w:ascii="Times New Roman" w:eastAsia="Times New Roman" w:hAnsi="Times New Roman" w:cs="Times New Roman"/>
          <w:color w:val="231F20"/>
          <w:sz w:val="24"/>
          <w:szCs w:val="24"/>
        </w:rPr>
        <w:t xml:space="preserve">resulted in </w:t>
      </w:r>
      <w:r w:rsidR="003F6865">
        <w:rPr>
          <w:rFonts w:ascii="Times New Roman" w:eastAsia="Times New Roman" w:hAnsi="Times New Roman" w:cs="Times New Roman"/>
          <w:color w:val="231F20"/>
          <w:sz w:val="24"/>
          <w:szCs w:val="24"/>
        </w:rPr>
        <w:t>a sharp</w:t>
      </w:r>
      <w:r>
        <w:rPr>
          <w:rFonts w:ascii="Times New Roman" w:eastAsia="Times New Roman" w:hAnsi="Times New Roman" w:cs="Times New Roman"/>
          <w:color w:val="231F20"/>
          <w:sz w:val="24"/>
          <w:szCs w:val="24"/>
        </w:rPr>
        <w:t xml:space="preserve"> economic decline</w:t>
      </w:r>
      <w:r w:rsidR="003F6865">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r w:rsidR="003F6865">
        <w:rPr>
          <w:rFonts w:ascii="Times New Roman" w:eastAsia="Times New Roman" w:hAnsi="Times New Roman" w:cs="Times New Roman"/>
          <w:color w:val="231F20"/>
          <w:sz w:val="24"/>
          <w:szCs w:val="24"/>
        </w:rPr>
        <w:t>of</w:t>
      </w:r>
      <w:r>
        <w:rPr>
          <w:rFonts w:ascii="Times New Roman" w:eastAsia="Times New Roman" w:hAnsi="Times New Roman" w:cs="Times New Roman"/>
          <w:i/>
          <w:color w:val="231F20"/>
          <w:sz w:val="24"/>
          <w:szCs w:val="24"/>
        </w:rPr>
        <w:t xml:space="preserve"> </w:t>
      </w:r>
      <w:r w:rsidRPr="00E733DF">
        <w:rPr>
          <w:rFonts w:ascii="Times New Roman" w:eastAsia="Times New Roman" w:hAnsi="Times New Roman" w:cs="Times New Roman"/>
          <w:iCs/>
          <w:color w:val="231F20"/>
          <w:sz w:val="24"/>
          <w:szCs w:val="24"/>
        </w:rPr>
        <w:t>11.5</w:t>
      </w:r>
      <w:r w:rsidR="00FD027E">
        <w:rPr>
          <w:rFonts w:ascii="Times New Roman" w:eastAsia="Times New Roman" w:hAnsi="Times New Roman" w:cs="Times New Roman"/>
          <w:iCs/>
          <w:color w:val="231F20"/>
          <w:sz w:val="24"/>
          <w:szCs w:val="24"/>
        </w:rPr>
        <w:t xml:space="preserve"> percent</w:t>
      </w:r>
      <w:r w:rsidRPr="00E733DF">
        <w:rPr>
          <w:rFonts w:ascii="Times New Roman" w:eastAsia="Times New Roman" w:hAnsi="Times New Roman" w:cs="Times New Roman"/>
          <w:iCs/>
          <w:color w:val="231F20"/>
          <w:sz w:val="24"/>
          <w:szCs w:val="24"/>
        </w:rPr>
        <w:t xml:space="preserve"> in 2020 in real terms, as Palestinians have limited fiscal space and monetary policy tools (due to the lack of a national currency) to mitigate the crisis impact</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vertAlign w:val="superscript"/>
        </w:rPr>
        <w:footnoteReference w:id="12"/>
      </w:r>
    </w:p>
    <w:p w14:paraId="0000001F" w14:textId="5845AD7C" w:rsidR="00D279DA" w:rsidRDefault="002205C9" w:rsidP="00DD540F">
      <w:pP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Recent hostilities against Palestinians on both side of the Green Line</w:t>
      </w:r>
      <w:r>
        <w:rPr>
          <w:rFonts w:ascii="Times New Roman" w:eastAsia="Times New Roman" w:hAnsi="Times New Roman" w:cs="Times New Roman"/>
          <w:color w:val="231F20"/>
          <w:sz w:val="24"/>
          <w:szCs w:val="24"/>
          <w:vertAlign w:val="superscript"/>
        </w:rPr>
        <w:footnoteReference w:id="13"/>
      </w:r>
      <w:r>
        <w:rPr>
          <w:rFonts w:ascii="Times New Roman" w:eastAsia="Times New Roman" w:hAnsi="Times New Roman" w:cs="Times New Roman"/>
          <w:color w:val="231F20"/>
          <w:sz w:val="24"/>
          <w:szCs w:val="24"/>
        </w:rPr>
        <w:t xml:space="preserve"> as i</w:t>
      </w:r>
      <w:r w:rsidR="00D61A8E">
        <w:rPr>
          <w:rFonts w:ascii="Times New Roman" w:eastAsia="Times New Roman" w:hAnsi="Times New Roman" w:cs="Times New Roman"/>
          <w:color w:val="231F20"/>
          <w:sz w:val="24"/>
          <w:szCs w:val="24"/>
        </w:rPr>
        <w:t>t continues in several locations</w:t>
      </w:r>
      <w:r w:rsidR="00DE20D4">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vertAlign w:val="superscript"/>
        </w:rPr>
        <w:footnoteReference w:id="14"/>
      </w:r>
      <w:r>
        <w:rPr>
          <w:rFonts w:ascii="Times New Roman" w:eastAsia="Times New Roman" w:hAnsi="Times New Roman" w:cs="Times New Roman"/>
          <w:color w:val="231F20"/>
          <w:sz w:val="24"/>
          <w:szCs w:val="24"/>
        </w:rPr>
        <w:t xml:space="preserve"> </w:t>
      </w:r>
      <w:r w:rsidR="00FD027E">
        <w:rPr>
          <w:rFonts w:ascii="Times New Roman" w:eastAsia="Times New Roman" w:hAnsi="Times New Roman" w:cs="Times New Roman"/>
          <w:color w:val="231F20"/>
          <w:sz w:val="24"/>
          <w:szCs w:val="24"/>
        </w:rPr>
        <w:t>have been</w:t>
      </w:r>
      <w:r>
        <w:rPr>
          <w:rFonts w:ascii="Times New Roman" w:eastAsia="Times New Roman" w:hAnsi="Times New Roman" w:cs="Times New Roman"/>
          <w:color w:val="231F20"/>
          <w:sz w:val="24"/>
          <w:szCs w:val="24"/>
        </w:rPr>
        <w:t xml:space="preserve"> particularly deadly </w:t>
      </w:r>
      <w:r w:rsidR="00FD027E">
        <w:rPr>
          <w:rFonts w:ascii="Times New Roman" w:eastAsia="Times New Roman" w:hAnsi="Times New Roman" w:cs="Times New Roman"/>
          <w:color w:val="231F20"/>
          <w:sz w:val="24"/>
          <w:szCs w:val="24"/>
        </w:rPr>
        <w:t>with grave</w:t>
      </w:r>
      <w:r>
        <w:rPr>
          <w:rFonts w:ascii="Times New Roman" w:eastAsia="Times New Roman" w:hAnsi="Times New Roman" w:cs="Times New Roman"/>
          <w:color w:val="231F20"/>
          <w:sz w:val="24"/>
          <w:szCs w:val="24"/>
        </w:rPr>
        <w:t xml:space="preserve"> consequences</w:t>
      </w:r>
      <w:r w:rsidR="00D61A8E">
        <w:rPr>
          <w:rFonts w:ascii="Times New Roman" w:eastAsia="Times New Roman" w:hAnsi="Times New Roman" w:cs="Times New Roman"/>
          <w:color w:val="231F20"/>
          <w:sz w:val="24"/>
          <w:szCs w:val="24"/>
        </w:rPr>
        <w:t xml:space="preserve"> in the Gaza Strip</w:t>
      </w:r>
      <w:r w:rsidR="00C1580F">
        <w:rPr>
          <w:rFonts w:ascii="Times New Roman" w:eastAsia="Times New Roman" w:hAnsi="Times New Roman" w:cs="Times New Roman"/>
          <w:color w:val="231F20"/>
          <w:sz w:val="24"/>
          <w:szCs w:val="24"/>
        </w:rPr>
        <w:t xml:space="preserve">. Last May, </w:t>
      </w:r>
      <w:r w:rsidR="00FD027E">
        <w:rPr>
          <w:rFonts w:ascii="Times New Roman" w:eastAsia="Times New Roman" w:hAnsi="Times New Roman" w:cs="Times New Roman"/>
          <w:color w:val="231F20"/>
          <w:sz w:val="24"/>
          <w:szCs w:val="24"/>
        </w:rPr>
        <w:t>Israel’s</w:t>
      </w:r>
      <w:r w:rsidR="00C1580F">
        <w:rPr>
          <w:rFonts w:ascii="Times New Roman" w:eastAsia="Times New Roman" w:hAnsi="Times New Roman" w:cs="Times New Roman"/>
          <w:color w:val="231F20"/>
          <w:sz w:val="24"/>
          <w:szCs w:val="24"/>
        </w:rPr>
        <w:t xml:space="preserve"> 11-day aggression </w:t>
      </w:r>
      <w:r w:rsidR="00FD027E">
        <w:rPr>
          <w:rFonts w:ascii="Times New Roman" w:eastAsia="Times New Roman" w:hAnsi="Times New Roman" w:cs="Times New Roman"/>
          <w:color w:val="231F20"/>
          <w:sz w:val="24"/>
          <w:szCs w:val="24"/>
        </w:rPr>
        <w:t>resulted in the killing</w:t>
      </w:r>
      <w:r>
        <w:rPr>
          <w:rFonts w:ascii="Times New Roman" w:eastAsia="Times New Roman" w:hAnsi="Times New Roman" w:cs="Times New Roman"/>
          <w:color w:val="231F20"/>
          <w:sz w:val="24"/>
          <w:szCs w:val="24"/>
        </w:rPr>
        <w:t xml:space="preserve"> of </w:t>
      </w:r>
      <w:r w:rsidR="00E733DF" w:rsidRPr="00E733DF">
        <w:rPr>
          <w:rFonts w:ascii="Times New Roman" w:eastAsia="Times New Roman" w:hAnsi="Times New Roman" w:cs="Times New Roman"/>
          <w:color w:val="231F20"/>
          <w:sz w:val="24"/>
          <w:szCs w:val="24"/>
        </w:rPr>
        <w:t>261 Palestinians</w:t>
      </w:r>
      <w:r w:rsidR="00F22C08">
        <w:rPr>
          <w:rFonts w:ascii="Times New Roman" w:eastAsia="Times New Roman" w:hAnsi="Times New Roman" w:cs="Times New Roman"/>
          <w:color w:val="231F20"/>
          <w:sz w:val="24"/>
          <w:szCs w:val="24"/>
        </w:rPr>
        <w:t>—</w:t>
      </w:r>
      <w:r w:rsidR="00E733DF" w:rsidRPr="00E733DF">
        <w:rPr>
          <w:rFonts w:ascii="Times New Roman" w:eastAsia="Times New Roman" w:hAnsi="Times New Roman" w:cs="Times New Roman"/>
          <w:color w:val="231F20"/>
          <w:sz w:val="24"/>
          <w:szCs w:val="24"/>
        </w:rPr>
        <w:t>including</w:t>
      </w:r>
      <w:r w:rsidR="00E733DF">
        <w:rPr>
          <w:rFonts w:ascii="Times New Roman" w:eastAsia="Times New Roman" w:hAnsi="Times New Roman" w:cs="Times New Roman"/>
          <w:color w:val="231F20"/>
          <w:sz w:val="24"/>
          <w:szCs w:val="24"/>
        </w:rPr>
        <w:t xml:space="preserve"> </w:t>
      </w:r>
      <w:r w:rsidR="00E733DF" w:rsidRPr="00E733DF">
        <w:rPr>
          <w:rFonts w:ascii="Times New Roman" w:eastAsia="Times New Roman" w:hAnsi="Times New Roman" w:cs="Times New Roman"/>
          <w:color w:val="231F20"/>
          <w:sz w:val="24"/>
          <w:szCs w:val="24"/>
        </w:rPr>
        <w:t>67 children and 41 women, making up over 41</w:t>
      </w:r>
      <w:r w:rsidR="00FD027E">
        <w:rPr>
          <w:rFonts w:ascii="Times New Roman" w:eastAsia="Times New Roman" w:hAnsi="Times New Roman" w:cs="Times New Roman"/>
          <w:color w:val="231F20"/>
          <w:sz w:val="24"/>
          <w:szCs w:val="24"/>
        </w:rPr>
        <w:t xml:space="preserve"> percent </w:t>
      </w:r>
      <w:r w:rsidR="00E733DF" w:rsidRPr="00E733DF">
        <w:rPr>
          <w:rFonts w:ascii="Times New Roman" w:eastAsia="Times New Roman" w:hAnsi="Times New Roman" w:cs="Times New Roman"/>
          <w:color w:val="231F20"/>
          <w:sz w:val="24"/>
          <w:szCs w:val="24"/>
        </w:rPr>
        <w:t xml:space="preserve">of all deaths—and </w:t>
      </w:r>
      <w:r w:rsidR="00FD027E">
        <w:rPr>
          <w:rFonts w:ascii="Times New Roman" w:eastAsia="Times New Roman" w:hAnsi="Times New Roman" w:cs="Times New Roman"/>
          <w:color w:val="231F20"/>
          <w:sz w:val="24"/>
          <w:szCs w:val="24"/>
        </w:rPr>
        <w:t>a further</w:t>
      </w:r>
      <w:r w:rsidR="00E733DF" w:rsidRPr="00E733DF">
        <w:rPr>
          <w:rFonts w:ascii="Times New Roman" w:eastAsia="Times New Roman" w:hAnsi="Times New Roman" w:cs="Times New Roman"/>
          <w:color w:val="231F20"/>
          <w:sz w:val="24"/>
          <w:szCs w:val="24"/>
        </w:rPr>
        <w:t xml:space="preserve"> 1,981 people were wounde</w:t>
      </w:r>
      <w:r w:rsidR="00E733DF" w:rsidRPr="00E733DF">
        <w:rPr>
          <w:rFonts w:ascii="Times New Roman" w:eastAsia="Times New Roman" w:hAnsi="Times New Roman" w:cs="Times New Roman"/>
          <w:sz w:val="24"/>
          <w:szCs w:val="24"/>
        </w:rPr>
        <w:t>d.</w:t>
      </w:r>
      <w:r w:rsidRPr="00E733DF">
        <w:rPr>
          <w:rFonts w:ascii="Times New Roman" w:eastAsia="Times New Roman" w:hAnsi="Times New Roman" w:cs="Times New Roman"/>
          <w:sz w:val="24"/>
          <w:szCs w:val="24"/>
          <w:vertAlign w:val="superscript"/>
        </w:rPr>
        <w:footnoteReference w:id="15"/>
      </w:r>
      <w:r w:rsidRPr="00E733DF">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attacks </w:t>
      </w:r>
      <w:r>
        <w:rPr>
          <w:rFonts w:ascii="Times New Roman" w:eastAsia="Times New Roman" w:hAnsi="Times New Roman" w:cs="Times New Roman"/>
          <w:color w:val="231F20"/>
          <w:sz w:val="24"/>
          <w:szCs w:val="24"/>
        </w:rPr>
        <w:t>resulted in physical damage of US$380 million and US$190 million in economic losses</w:t>
      </w:r>
      <w:r w:rsidR="00FD027E">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vertAlign w:val="superscript"/>
        </w:rPr>
        <w:footnoteReference w:id="16"/>
      </w:r>
      <w:r>
        <w:rPr>
          <w:rFonts w:ascii="Times New Roman" w:eastAsia="Times New Roman" w:hAnsi="Times New Roman" w:cs="Times New Roman"/>
          <w:color w:val="231F20"/>
          <w:sz w:val="24"/>
          <w:szCs w:val="24"/>
        </w:rPr>
        <w:t xml:space="preserve"> whilst still not being able to rebuild from previous attacks and suffering from</w:t>
      </w:r>
      <w:r w:rsidR="00FD027E">
        <w:rPr>
          <w:rFonts w:ascii="Times New Roman" w:eastAsia="Times New Roman" w:hAnsi="Times New Roman" w:cs="Times New Roman"/>
          <w:color w:val="231F20"/>
          <w:sz w:val="24"/>
          <w:szCs w:val="24"/>
        </w:rPr>
        <w:t xml:space="preserve"> an</w:t>
      </w:r>
      <w:r>
        <w:rPr>
          <w:rFonts w:ascii="Times New Roman" w:eastAsia="Times New Roman" w:hAnsi="Times New Roman" w:cs="Times New Roman"/>
          <w:color w:val="231F20"/>
          <w:sz w:val="24"/>
          <w:szCs w:val="24"/>
        </w:rPr>
        <w:t xml:space="preserve"> illegal military closure </w:t>
      </w:r>
      <w:r w:rsidR="00FD027E">
        <w:rPr>
          <w:rFonts w:ascii="Times New Roman" w:eastAsia="Times New Roman" w:hAnsi="Times New Roman" w:cs="Times New Roman"/>
          <w:color w:val="231F20"/>
          <w:sz w:val="24"/>
          <w:szCs w:val="24"/>
        </w:rPr>
        <w:t xml:space="preserve">which </w:t>
      </w:r>
      <w:r w:rsidR="00C1580F">
        <w:rPr>
          <w:rFonts w:ascii="Times New Roman" w:eastAsia="Times New Roman" w:hAnsi="Times New Roman" w:cs="Times New Roman"/>
          <w:color w:val="231F20"/>
          <w:sz w:val="24"/>
          <w:szCs w:val="24"/>
        </w:rPr>
        <w:t>affec</w:t>
      </w:r>
      <w:r w:rsidR="00FD027E">
        <w:rPr>
          <w:rFonts w:ascii="Times New Roman" w:eastAsia="Times New Roman" w:hAnsi="Times New Roman" w:cs="Times New Roman"/>
          <w:color w:val="231F20"/>
          <w:sz w:val="24"/>
          <w:szCs w:val="24"/>
        </w:rPr>
        <w:t>ts</w:t>
      </w:r>
      <w:r>
        <w:rPr>
          <w:rFonts w:ascii="Times New Roman" w:eastAsia="Times New Roman" w:hAnsi="Times New Roman" w:cs="Times New Roman"/>
          <w:color w:val="231F20"/>
          <w:sz w:val="24"/>
          <w:szCs w:val="24"/>
        </w:rPr>
        <w:t xml:space="preserve"> all aspect</w:t>
      </w:r>
      <w:r w:rsidR="00DD540F">
        <w:rPr>
          <w:rFonts w:ascii="Times New Roman" w:eastAsia="Times New Roman" w:hAnsi="Times New Roman" w:cs="Times New Roman"/>
          <w:color w:val="231F20"/>
          <w:sz w:val="24"/>
          <w:szCs w:val="24"/>
        </w:rPr>
        <w:t>s of life and human development, wh</w:t>
      </w:r>
      <w:r w:rsidR="00FD027E">
        <w:rPr>
          <w:rFonts w:ascii="Times New Roman" w:eastAsia="Times New Roman" w:hAnsi="Times New Roman" w:cs="Times New Roman"/>
          <w:color w:val="231F20"/>
          <w:sz w:val="24"/>
          <w:szCs w:val="24"/>
        </w:rPr>
        <w:t>ereby</w:t>
      </w:r>
      <w:r w:rsidR="00DD540F">
        <w:rPr>
          <w:rFonts w:ascii="Times New Roman" w:eastAsia="Times New Roman" w:hAnsi="Times New Roman" w:cs="Times New Roman"/>
          <w:color w:val="231F20"/>
          <w:sz w:val="24"/>
          <w:szCs w:val="24"/>
        </w:rPr>
        <w:t xml:space="preserve"> “</w:t>
      </w:r>
      <w:r w:rsidR="00DD540F" w:rsidRPr="00DD540F">
        <w:rPr>
          <w:rFonts w:ascii="Times New Roman" w:eastAsia="Times New Roman" w:hAnsi="Times New Roman" w:cs="Times New Roman"/>
          <w:i/>
          <w:iCs/>
          <w:color w:val="231F20"/>
          <w:sz w:val="24"/>
          <w:szCs w:val="24"/>
        </w:rPr>
        <w:t>residents of Gaza are denied the enjoyment of fundamental rights and freedoms and forced into profound levels of poverty, aid dependency, food insecurity, and unemployment</w:t>
      </w:r>
      <w:r w:rsidR="00DD540F" w:rsidRPr="00DD540F">
        <w:rPr>
          <w:rFonts w:ascii="Times New Roman" w:eastAsia="Times New Roman" w:hAnsi="Times New Roman" w:cs="Times New Roman"/>
          <w:color w:val="231F20"/>
          <w:sz w:val="24"/>
          <w:szCs w:val="24"/>
        </w:rPr>
        <w:t>.</w:t>
      </w:r>
      <w:r w:rsidR="00DD540F">
        <w:rPr>
          <w:rFonts w:ascii="Times New Roman" w:eastAsia="Times New Roman" w:hAnsi="Times New Roman" w:cs="Times New Roman"/>
          <w:color w:val="231F20"/>
          <w:sz w:val="24"/>
          <w:szCs w:val="24"/>
        </w:rPr>
        <w:t>”</w:t>
      </w:r>
      <w:r w:rsidR="00DD540F">
        <w:rPr>
          <w:rStyle w:val="FootnoteReference"/>
          <w:rFonts w:ascii="Times New Roman" w:eastAsia="Times New Roman" w:hAnsi="Times New Roman" w:cs="Times New Roman"/>
          <w:color w:val="231F20"/>
          <w:sz w:val="24"/>
          <w:szCs w:val="24"/>
        </w:rPr>
        <w:footnoteReference w:id="17"/>
      </w:r>
    </w:p>
    <w:p w14:paraId="00000020" w14:textId="741C0CF6" w:rsidR="00D279DA" w:rsidRDefault="002205C9" w:rsidP="00DD540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To conclude, the context of Israel’s </w:t>
      </w:r>
      <w:r w:rsidR="00C97562" w:rsidRPr="00C97562">
        <w:rPr>
          <w:rFonts w:ascii="Times New Roman" w:eastAsia="Times New Roman" w:hAnsi="Times New Roman" w:cs="Times New Roman"/>
          <w:color w:val="231F20"/>
          <w:sz w:val="24"/>
          <w:szCs w:val="24"/>
        </w:rPr>
        <w:t xml:space="preserve">belligerent </w:t>
      </w:r>
      <w:r w:rsidR="00DD540F">
        <w:rPr>
          <w:rFonts w:ascii="Times New Roman" w:eastAsia="Times New Roman" w:hAnsi="Times New Roman" w:cs="Times New Roman"/>
          <w:color w:val="231F20"/>
          <w:sz w:val="24"/>
          <w:szCs w:val="24"/>
        </w:rPr>
        <w:t xml:space="preserve">occupation, </w:t>
      </w:r>
      <w:r>
        <w:rPr>
          <w:rFonts w:ascii="Times New Roman" w:eastAsia="Times New Roman" w:hAnsi="Times New Roman" w:cs="Times New Roman"/>
          <w:color w:val="231F20"/>
          <w:sz w:val="24"/>
          <w:szCs w:val="24"/>
        </w:rPr>
        <w:t xml:space="preserve">apartheid </w:t>
      </w:r>
      <w:r w:rsidR="00DD540F">
        <w:rPr>
          <w:rFonts w:ascii="Times New Roman" w:eastAsia="Times New Roman" w:hAnsi="Times New Roman" w:cs="Times New Roman"/>
          <w:color w:val="231F20"/>
          <w:sz w:val="24"/>
          <w:szCs w:val="24"/>
        </w:rPr>
        <w:t xml:space="preserve">and settler colonialism </w:t>
      </w:r>
      <w:r>
        <w:rPr>
          <w:rFonts w:ascii="Times New Roman" w:eastAsia="Times New Roman" w:hAnsi="Times New Roman" w:cs="Times New Roman"/>
          <w:color w:val="231F20"/>
          <w:sz w:val="24"/>
          <w:szCs w:val="24"/>
        </w:rPr>
        <w:t xml:space="preserve">result in continued and purposeful measures against the right to development of the Palestinian protected civilian population. Therefore, </w:t>
      </w:r>
      <w:r w:rsidR="00DD540F">
        <w:rPr>
          <w:rFonts w:ascii="Times New Roman" w:eastAsia="Times New Roman" w:hAnsi="Times New Roman" w:cs="Times New Roman"/>
          <w:color w:val="231F20"/>
          <w:sz w:val="24"/>
          <w:szCs w:val="24"/>
        </w:rPr>
        <w:t xml:space="preserve">it is necessary </w:t>
      </w:r>
      <w:r>
        <w:rPr>
          <w:rFonts w:ascii="Times New Roman" w:eastAsia="Times New Roman" w:hAnsi="Times New Roman" w:cs="Times New Roman"/>
          <w:color w:val="231F20"/>
          <w:sz w:val="24"/>
          <w:szCs w:val="24"/>
        </w:rPr>
        <w:t xml:space="preserve">to ensure the right to development of </w:t>
      </w:r>
      <w:r w:rsidR="00FD027E">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Palestinian people as </w:t>
      </w:r>
      <w:r w:rsidR="00FD027E">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protected population</w:t>
      </w:r>
      <w:r w:rsidR="00FD027E">
        <w:rPr>
          <w:rFonts w:ascii="Times New Roman" w:eastAsia="Times New Roman" w:hAnsi="Times New Roman" w:cs="Times New Roman"/>
          <w:color w:val="231F20"/>
          <w:sz w:val="24"/>
          <w:szCs w:val="24"/>
        </w:rPr>
        <w:t xml:space="preserve"> under military occupation</w:t>
      </w:r>
      <w:r>
        <w:rPr>
          <w:rFonts w:ascii="Times New Roman" w:eastAsia="Times New Roman" w:hAnsi="Times New Roman" w:cs="Times New Roman"/>
          <w:color w:val="231F20"/>
          <w:sz w:val="24"/>
          <w:szCs w:val="24"/>
        </w:rPr>
        <w:t xml:space="preserve"> and people living under Israel’s apartheid regime.</w:t>
      </w:r>
    </w:p>
    <w:p w14:paraId="00000021" w14:textId="67777C42" w:rsidR="00D279DA" w:rsidRPr="00F27A29" w:rsidRDefault="002205C9" w:rsidP="005C4475">
      <w:pPr>
        <w:pStyle w:val="Heading2"/>
        <w:rPr>
          <w:sz w:val="32"/>
          <w:szCs w:val="32"/>
        </w:rPr>
      </w:pPr>
      <w:r w:rsidRPr="00F27A29">
        <w:rPr>
          <w:sz w:val="32"/>
          <w:szCs w:val="32"/>
        </w:rPr>
        <w:t xml:space="preserve">Comments and </w:t>
      </w:r>
      <w:r w:rsidR="006B3323" w:rsidRPr="00F27A29">
        <w:rPr>
          <w:sz w:val="32"/>
          <w:szCs w:val="32"/>
        </w:rPr>
        <w:t>T</w:t>
      </w:r>
      <w:r w:rsidRPr="00F27A29">
        <w:rPr>
          <w:sz w:val="32"/>
          <w:szCs w:val="32"/>
        </w:rPr>
        <w:t xml:space="preserve">ext </w:t>
      </w:r>
      <w:r w:rsidR="006B3323" w:rsidRPr="00F27A29">
        <w:rPr>
          <w:sz w:val="32"/>
          <w:szCs w:val="32"/>
        </w:rPr>
        <w:t>S</w:t>
      </w:r>
      <w:r w:rsidRPr="00F27A29">
        <w:rPr>
          <w:sz w:val="32"/>
          <w:szCs w:val="32"/>
        </w:rPr>
        <w:t>uggestions for the D</w:t>
      </w:r>
      <w:r w:rsidR="006B3323" w:rsidRPr="00F27A29">
        <w:rPr>
          <w:sz w:val="32"/>
          <w:szCs w:val="32"/>
        </w:rPr>
        <w:t>raft Convention on the Right to Development</w:t>
      </w:r>
    </w:p>
    <w:p w14:paraId="00000022" w14:textId="5BAAA4EC" w:rsidR="00D279DA" w:rsidRDefault="002205C9" w:rsidP="00DD540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Draft Convention on </w:t>
      </w:r>
      <w:r w:rsidR="006226D0">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Right to Development in its </w:t>
      </w:r>
      <w:r w:rsidR="007424A4">
        <w:rPr>
          <w:rFonts w:ascii="Times New Roman" w:eastAsia="Times New Roman" w:hAnsi="Times New Roman" w:cs="Times New Roman"/>
          <w:color w:val="231F20"/>
          <w:sz w:val="24"/>
          <w:szCs w:val="24"/>
        </w:rPr>
        <w:t xml:space="preserve">current </w:t>
      </w:r>
      <w:r w:rsidR="006226D0">
        <w:rPr>
          <w:rFonts w:ascii="Times New Roman" w:eastAsia="Times New Roman" w:hAnsi="Times New Roman" w:cs="Times New Roman"/>
          <w:color w:val="231F20"/>
          <w:sz w:val="24"/>
          <w:szCs w:val="24"/>
        </w:rPr>
        <w:t>form</w:t>
      </w:r>
      <w:r>
        <w:rPr>
          <w:rFonts w:ascii="Times New Roman" w:eastAsia="Times New Roman" w:hAnsi="Times New Roman" w:cs="Times New Roman"/>
          <w:color w:val="231F20"/>
          <w:sz w:val="24"/>
          <w:szCs w:val="24"/>
        </w:rPr>
        <w:t xml:space="preserve"> covers many aspects </w:t>
      </w:r>
      <w:r w:rsidR="007424A4">
        <w:rPr>
          <w:rFonts w:ascii="Times New Roman" w:eastAsia="Times New Roman" w:hAnsi="Times New Roman" w:cs="Times New Roman"/>
          <w:color w:val="231F20"/>
          <w:sz w:val="24"/>
          <w:szCs w:val="24"/>
        </w:rPr>
        <w:t>fundamental</w:t>
      </w:r>
      <w:r>
        <w:rPr>
          <w:rFonts w:ascii="Times New Roman" w:eastAsia="Times New Roman" w:hAnsi="Times New Roman" w:cs="Times New Roman"/>
          <w:color w:val="231F20"/>
          <w:sz w:val="24"/>
          <w:szCs w:val="24"/>
        </w:rPr>
        <w:t xml:space="preserve"> to </w:t>
      </w:r>
      <w:r w:rsidR="007424A4">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Palestinian people as a whole.</w:t>
      </w:r>
      <w:r>
        <w:rPr>
          <w:rFonts w:ascii="Times New Roman" w:eastAsia="Times New Roman" w:hAnsi="Times New Roman" w:cs="Times New Roman"/>
          <w:color w:val="231F20"/>
          <w:sz w:val="24"/>
          <w:szCs w:val="24"/>
          <w:vertAlign w:val="superscript"/>
        </w:rPr>
        <w:footnoteReference w:id="18"/>
      </w:r>
      <w:r>
        <w:rPr>
          <w:rFonts w:ascii="Times New Roman" w:eastAsia="Times New Roman" w:hAnsi="Times New Roman" w:cs="Times New Roman"/>
          <w:color w:val="231F20"/>
          <w:sz w:val="24"/>
          <w:szCs w:val="24"/>
        </w:rPr>
        <w:t xml:space="preserve"> In particular,</w:t>
      </w:r>
      <w:r w:rsidR="00F26CB9">
        <w:rPr>
          <w:rFonts w:ascii="Times New Roman" w:eastAsia="Times New Roman" w:hAnsi="Times New Roman" w:cs="Times New Roman"/>
          <w:color w:val="231F20"/>
          <w:sz w:val="24"/>
          <w:szCs w:val="24"/>
        </w:rPr>
        <w:t xml:space="preserve"> it highlights</w:t>
      </w:r>
      <w:r>
        <w:rPr>
          <w:rFonts w:ascii="Times New Roman" w:eastAsia="Times New Roman" w:hAnsi="Times New Roman" w:cs="Times New Roman"/>
          <w:color w:val="231F20"/>
          <w:sz w:val="24"/>
          <w:szCs w:val="24"/>
        </w:rPr>
        <w:t xml:space="preserve"> the interdependence between the right to self-determination, and other human rights</w:t>
      </w:r>
      <w:r w:rsidR="007424A4">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r w:rsidR="007424A4">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color w:val="231F20"/>
          <w:sz w:val="24"/>
          <w:szCs w:val="24"/>
        </w:rPr>
        <w:t>the right to development, as we</w:t>
      </w:r>
      <w:r w:rsidR="007424A4">
        <w:rPr>
          <w:rFonts w:ascii="Times New Roman" w:eastAsia="Times New Roman" w:hAnsi="Times New Roman" w:cs="Times New Roman"/>
          <w:color w:val="231F20"/>
          <w:sz w:val="24"/>
          <w:szCs w:val="24"/>
        </w:rPr>
        <w:t>ll</w:t>
      </w:r>
      <w:r>
        <w:rPr>
          <w:rFonts w:ascii="Times New Roman" w:eastAsia="Times New Roman" w:hAnsi="Times New Roman" w:cs="Times New Roman"/>
          <w:color w:val="231F20"/>
          <w:sz w:val="24"/>
          <w:szCs w:val="24"/>
        </w:rPr>
        <w:t xml:space="preserve"> as </w:t>
      </w:r>
      <w:r w:rsidR="006226D0">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z w:val="24"/>
          <w:szCs w:val="24"/>
        </w:rPr>
        <w:t xml:space="preserve"> importance of recognizing people as one of the central subjects of the development process</w:t>
      </w:r>
      <w:r w:rsidR="006226D0">
        <w:rPr>
          <w:rFonts w:ascii="Times New Roman" w:eastAsia="Times New Roman" w:hAnsi="Times New Roman" w:cs="Times New Roman"/>
          <w:color w:val="231F20"/>
          <w:sz w:val="24"/>
          <w:szCs w:val="24"/>
        </w:rPr>
        <w:t>. As such, as the</w:t>
      </w:r>
      <w:r>
        <w:rPr>
          <w:rFonts w:ascii="Times New Roman" w:eastAsia="Times New Roman" w:hAnsi="Times New Roman" w:cs="Times New Roman"/>
          <w:color w:val="231F20"/>
          <w:sz w:val="24"/>
          <w:szCs w:val="24"/>
        </w:rPr>
        <w:t xml:space="preserve"> </w:t>
      </w:r>
      <w:r w:rsidR="007424A4">
        <w:rPr>
          <w:rFonts w:ascii="Times New Roman" w:eastAsia="Times New Roman" w:hAnsi="Times New Roman" w:cs="Times New Roman"/>
          <w:color w:val="231F20"/>
          <w:sz w:val="24"/>
          <w:szCs w:val="24"/>
        </w:rPr>
        <w:t xml:space="preserve">main participants and </w:t>
      </w:r>
      <w:r>
        <w:rPr>
          <w:rFonts w:ascii="Times New Roman" w:eastAsia="Times New Roman" w:hAnsi="Times New Roman" w:cs="Times New Roman"/>
          <w:color w:val="231F20"/>
          <w:sz w:val="24"/>
          <w:szCs w:val="24"/>
        </w:rPr>
        <w:t>beneficiar</w:t>
      </w:r>
      <w:r w:rsidR="006226D0">
        <w:rPr>
          <w:rFonts w:ascii="Times New Roman" w:eastAsia="Times New Roman" w:hAnsi="Times New Roman" w:cs="Times New Roman"/>
          <w:color w:val="231F20"/>
          <w:sz w:val="24"/>
          <w:szCs w:val="24"/>
        </w:rPr>
        <w:t>ies</w:t>
      </w:r>
      <w:r>
        <w:rPr>
          <w:rFonts w:ascii="Times New Roman" w:eastAsia="Times New Roman" w:hAnsi="Times New Roman" w:cs="Times New Roman"/>
          <w:color w:val="231F20"/>
          <w:sz w:val="24"/>
          <w:szCs w:val="24"/>
        </w:rPr>
        <w:t xml:space="preserve"> of development</w:t>
      </w:r>
      <w:r w:rsidR="006226D0">
        <w:rPr>
          <w:rFonts w:ascii="Times New Roman" w:eastAsia="Times New Roman" w:hAnsi="Times New Roman" w:cs="Times New Roman"/>
          <w:color w:val="231F20"/>
          <w:sz w:val="24"/>
          <w:szCs w:val="24"/>
        </w:rPr>
        <w:t xml:space="preserve"> the treaty is of</w:t>
      </w:r>
      <w:r w:rsidR="007424A4">
        <w:rPr>
          <w:rFonts w:ascii="Times New Roman" w:eastAsia="Times New Roman" w:hAnsi="Times New Roman" w:cs="Times New Roman"/>
          <w:color w:val="231F20"/>
          <w:sz w:val="24"/>
          <w:szCs w:val="24"/>
        </w:rPr>
        <w:t xml:space="preserve"> utmost significance for the Palestinian people</w:t>
      </w:r>
      <w:r>
        <w:rPr>
          <w:rFonts w:ascii="Times New Roman" w:eastAsia="Times New Roman" w:hAnsi="Times New Roman" w:cs="Times New Roman"/>
          <w:color w:val="231F20"/>
          <w:sz w:val="24"/>
          <w:szCs w:val="24"/>
        </w:rPr>
        <w:t xml:space="preserve">. </w:t>
      </w:r>
      <w:r w:rsidR="00F26CB9">
        <w:rPr>
          <w:rFonts w:ascii="Times New Roman" w:eastAsia="Times New Roman" w:hAnsi="Times New Roman" w:cs="Times New Roman"/>
          <w:color w:val="231F20"/>
          <w:sz w:val="24"/>
          <w:szCs w:val="24"/>
        </w:rPr>
        <w:t xml:space="preserve">It also insists on the necessarily sustainable nature of the right to development, which in turn reinforces the importance of a human rights-based approach </w:t>
      </w:r>
      <w:r w:rsidR="006226D0">
        <w:rPr>
          <w:rFonts w:ascii="Times New Roman" w:eastAsia="Times New Roman" w:hAnsi="Times New Roman" w:cs="Times New Roman"/>
          <w:color w:val="231F20"/>
          <w:sz w:val="24"/>
          <w:szCs w:val="24"/>
        </w:rPr>
        <w:t>to</w:t>
      </w:r>
      <w:r w:rsidR="00F26CB9">
        <w:rPr>
          <w:rFonts w:ascii="Times New Roman" w:eastAsia="Times New Roman" w:hAnsi="Times New Roman" w:cs="Times New Roman"/>
          <w:color w:val="231F20"/>
          <w:sz w:val="24"/>
          <w:szCs w:val="24"/>
        </w:rPr>
        <w:t xml:space="preserve"> the implementation of sustainable development.</w:t>
      </w:r>
      <w:r>
        <w:rPr>
          <w:rFonts w:ascii="Times New Roman" w:eastAsia="Times New Roman" w:hAnsi="Times New Roman" w:cs="Times New Roman"/>
          <w:color w:val="231F20"/>
          <w:sz w:val="24"/>
          <w:szCs w:val="24"/>
        </w:rPr>
        <w:t xml:space="preserve"> </w:t>
      </w:r>
    </w:p>
    <w:p w14:paraId="6650C3C5" w14:textId="77C8D124" w:rsidR="005C4475" w:rsidRDefault="005C4475" w:rsidP="005C4475">
      <w:pPr>
        <w:pStyle w:val="Heading3"/>
      </w:pPr>
      <w:r>
        <w:t xml:space="preserve">Role of Business enterprises on right to development </w:t>
      </w:r>
    </w:p>
    <w:p w14:paraId="00000023" w14:textId="34D919AC" w:rsidR="00D279DA" w:rsidRDefault="002205C9" w:rsidP="00967AA6">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As the DC RTD states </w:t>
      </w:r>
      <w:r w:rsidR="00DE20D4">
        <w:rPr>
          <w:rFonts w:ascii="Times New Roman" w:eastAsia="Times New Roman" w:hAnsi="Times New Roman" w:cs="Times New Roman"/>
          <w:color w:val="231F20"/>
          <w:sz w:val="24"/>
          <w:szCs w:val="24"/>
        </w:rPr>
        <w:t>“</w:t>
      </w:r>
      <w:r>
        <w:rPr>
          <w:rFonts w:ascii="Times New Roman" w:eastAsia="Times New Roman" w:hAnsi="Times New Roman" w:cs="Times New Roman"/>
          <w:i/>
          <w:color w:val="231F20"/>
          <w:sz w:val="24"/>
          <w:szCs w:val="24"/>
        </w:rPr>
        <w:t>every organ of society at the national or international level has a duty to respect the rights of individuals and peoples, including the right to development</w:t>
      </w:r>
      <w:r w:rsidR="00DE20D4">
        <w:rPr>
          <w:rFonts w:ascii="Times New Roman" w:eastAsia="Times New Roman" w:hAnsi="Times New Roman" w:cs="Times New Roman"/>
          <w:i/>
          <w:color w:val="231F20"/>
          <w:sz w:val="24"/>
          <w:szCs w:val="24"/>
        </w:rPr>
        <w:t>”</w:t>
      </w:r>
      <w:r w:rsidR="006226D0">
        <w:rPr>
          <w:rFonts w:ascii="Times New Roman" w:eastAsia="Times New Roman" w:hAnsi="Times New Roman" w:cs="Times New Roman"/>
          <w:i/>
          <w:color w:val="231F20"/>
          <w:sz w:val="24"/>
          <w:szCs w:val="24"/>
        </w:rPr>
        <w:t>.</w:t>
      </w:r>
      <w:r w:rsidR="00DD540F">
        <w:rPr>
          <w:rStyle w:val="FootnoteReference"/>
          <w:rFonts w:ascii="Times New Roman" w:eastAsia="Times New Roman" w:hAnsi="Times New Roman" w:cs="Times New Roman"/>
          <w:i/>
          <w:color w:val="231F20"/>
          <w:sz w:val="24"/>
          <w:szCs w:val="24"/>
        </w:rPr>
        <w:footnoteReference w:id="19"/>
      </w:r>
      <w:r w:rsidR="006226D0">
        <w:rPr>
          <w:rFonts w:ascii="Times New Roman" w:eastAsia="Times New Roman" w:hAnsi="Times New Roman" w:cs="Times New Roman"/>
          <w:iCs/>
          <w:color w:val="231F20"/>
          <w:sz w:val="24"/>
          <w:szCs w:val="24"/>
        </w:rPr>
        <w:t xml:space="preserve"> This</w:t>
      </w:r>
      <w:r>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highlights the</w:t>
      </w:r>
      <w:r>
        <w:rPr>
          <w:rFonts w:ascii="Times New Roman" w:eastAsia="Times New Roman" w:hAnsi="Times New Roman" w:cs="Times New Roman"/>
          <w:color w:val="231F20"/>
          <w:sz w:val="24"/>
          <w:szCs w:val="24"/>
        </w:rPr>
        <w:t xml:space="preserve"> crucial role of non-State actor</w:t>
      </w:r>
      <w:r w:rsidR="005F3E71">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in </w:t>
      </w:r>
      <w:r w:rsidR="006226D0">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realisation of the right to development, with </w:t>
      </w:r>
      <w:r w:rsidR="00F26CB9">
        <w:rPr>
          <w:rFonts w:ascii="Times New Roman" w:eastAsia="Times New Roman" w:hAnsi="Times New Roman" w:cs="Times New Roman"/>
          <w:color w:val="231F20"/>
          <w:sz w:val="24"/>
          <w:szCs w:val="24"/>
        </w:rPr>
        <w:t xml:space="preserve">an </w:t>
      </w:r>
      <w:r>
        <w:rPr>
          <w:rFonts w:ascii="Times New Roman" w:eastAsia="Times New Roman" w:hAnsi="Times New Roman" w:cs="Times New Roman"/>
          <w:color w:val="231F20"/>
          <w:sz w:val="24"/>
          <w:szCs w:val="24"/>
        </w:rPr>
        <w:t>emphasis</w:t>
      </w:r>
      <w:r w:rsidR="00F26CB9">
        <w:rPr>
          <w:rFonts w:ascii="Times New Roman" w:eastAsia="Times New Roman" w:hAnsi="Times New Roman" w:cs="Times New Roman"/>
          <w:color w:val="231F20"/>
          <w:sz w:val="24"/>
          <w:szCs w:val="24"/>
        </w:rPr>
        <w:t xml:space="preserve"> placed</w:t>
      </w:r>
      <w:r>
        <w:rPr>
          <w:rFonts w:ascii="Times New Roman" w:eastAsia="Times New Roman" w:hAnsi="Times New Roman" w:cs="Times New Roman"/>
          <w:color w:val="231F20"/>
          <w:sz w:val="24"/>
          <w:szCs w:val="24"/>
        </w:rPr>
        <w:t xml:space="preserve"> o</w:t>
      </w:r>
      <w:r w:rsidR="00967AA6">
        <w:rPr>
          <w:rFonts w:ascii="Times New Roman" w:eastAsia="Times New Roman" w:hAnsi="Times New Roman" w:cs="Times New Roman"/>
          <w:color w:val="231F20"/>
          <w:sz w:val="24"/>
          <w:szCs w:val="24"/>
        </w:rPr>
        <w:t xml:space="preserve">n international organizations. Al-Haq and Al Mezan </w:t>
      </w:r>
      <w:r w:rsidR="00F26CB9">
        <w:rPr>
          <w:rFonts w:ascii="Times New Roman" w:eastAsia="Times New Roman" w:hAnsi="Times New Roman" w:cs="Times New Roman"/>
          <w:color w:val="231F20"/>
          <w:sz w:val="24"/>
          <w:szCs w:val="24"/>
        </w:rPr>
        <w:t>underline the</w:t>
      </w:r>
      <w:r>
        <w:rPr>
          <w:rFonts w:ascii="Times New Roman" w:eastAsia="Times New Roman" w:hAnsi="Times New Roman" w:cs="Times New Roman"/>
          <w:color w:val="231F20"/>
          <w:sz w:val="24"/>
          <w:szCs w:val="24"/>
        </w:rPr>
        <w:t xml:space="preserve"> </w:t>
      </w:r>
      <w:r w:rsidRPr="005C4475">
        <w:rPr>
          <w:rFonts w:ascii="Times New Roman" w:eastAsia="Times New Roman" w:hAnsi="Times New Roman" w:cs="Times New Roman"/>
          <w:color w:val="231F20"/>
          <w:sz w:val="24"/>
          <w:szCs w:val="24"/>
        </w:rPr>
        <w:t xml:space="preserve">necessity </w:t>
      </w:r>
      <w:r w:rsidR="006226D0">
        <w:rPr>
          <w:rFonts w:ascii="Times New Roman" w:eastAsia="Times New Roman" w:hAnsi="Times New Roman" w:cs="Times New Roman"/>
          <w:color w:val="231F20"/>
          <w:sz w:val="24"/>
          <w:szCs w:val="24"/>
        </w:rPr>
        <w:t>of</w:t>
      </w:r>
      <w:r w:rsidRPr="005C4475">
        <w:rPr>
          <w:rFonts w:ascii="Times New Roman" w:eastAsia="Times New Roman" w:hAnsi="Times New Roman" w:cs="Times New Roman"/>
          <w:color w:val="231F20"/>
          <w:sz w:val="24"/>
          <w:szCs w:val="24"/>
        </w:rPr>
        <w:t xml:space="preserve"> reflect</w:t>
      </w:r>
      <w:r w:rsidR="006226D0">
        <w:rPr>
          <w:rFonts w:ascii="Times New Roman" w:eastAsia="Times New Roman" w:hAnsi="Times New Roman" w:cs="Times New Roman"/>
          <w:color w:val="231F20"/>
          <w:sz w:val="24"/>
          <w:szCs w:val="24"/>
        </w:rPr>
        <w:t>ing</w:t>
      </w:r>
      <w:r w:rsidRPr="005C4475">
        <w:rPr>
          <w:rFonts w:ascii="Times New Roman" w:eastAsia="Times New Roman" w:hAnsi="Times New Roman" w:cs="Times New Roman"/>
          <w:color w:val="231F20"/>
          <w:sz w:val="24"/>
          <w:szCs w:val="24"/>
        </w:rPr>
        <w:t xml:space="preserve"> the growing role of the business enterprises</w:t>
      </w:r>
      <w:r w:rsidRPr="00967AA6">
        <w:rPr>
          <w:rFonts w:ascii="Times New Roman" w:eastAsia="Times New Roman" w:hAnsi="Times New Roman" w:cs="Times New Roman"/>
          <w:b/>
          <w:bCs/>
          <w:color w:val="231F20"/>
          <w:sz w:val="24"/>
          <w:szCs w:val="24"/>
        </w:rPr>
        <w:t xml:space="preserve"> </w:t>
      </w:r>
      <w:r>
        <w:rPr>
          <w:rFonts w:ascii="Times New Roman" w:eastAsia="Times New Roman" w:hAnsi="Times New Roman" w:cs="Times New Roman"/>
          <w:color w:val="231F20"/>
          <w:sz w:val="24"/>
          <w:szCs w:val="24"/>
        </w:rPr>
        <w:t xml:space="preserve">and the impact that business activities might have on the realization of the right to development. In order to fully implement the right to development at national and international level, core actors such as multinationals and business enterprises must </w:t>
      </w:r>
      <w:r w:rsidR="00333009">
        <w:rPr>
          <w:rFonts w:ascii="Times New Roman" w:eastAsia="Times New Roman" w:hAnsi="Times New Roman" w:cs="Times New Roman"/>
          <w:color w:val="231F20"/>
          <w:sz w:val="24"/>
          <w:szCs w:val="24"/>
        </w:rPr>
        <w:t>be held responsible to</w:t>
      </w:r>
      <w:r>
        <w:rPr>
          <w:rFonts w:ascii="Times New Roman" w:eastAsia="Times New Roman" w:hAnsi="Times New Roman" w:cs="Times New Roman"/>
          <w:color w:val="231F20"/>
          <w:sz w:val="24"/>
          <w:szCs w:val="24"/>
        </w:rPr>
        <w:t xml:space="preserve"> adapt to requirements of international law and sustainability</w:t>
      </w:r>
      <w:r w:rsidR="006226D0">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as assumed in </w:t>
      </w:r>
      <w:r w:rsidR="00333009">
        <w:rPr>
          <w:rFonts w:ascii="Times New Roman" w:eastAsia="Times New Roman" w:hAnsi="Times New Roman" w:cs="Times New Roman"/>
          <w:color w:val="231F20"/>
          <w:sz w:val="24"/>
          <w:szCs w:val="24"/>
        </w:rPr>
        <w:t xml:space="preserve">Article 3 of the </w:t>
      </w:r>
      <w:r>
        <w:rPr>
          <w:rFonts w:ascii="Times New Roman" w:eastAsia="Times New Roman" w:hAnsi="Times New Roman" w:cs="Times New Roman"/>
          <w:color w:val="231F20"/>
          <w:sz w:val="24"/>
          <w:szCs w:val="24"/>
        </w:rPr>
        <w:t>DC RTD.</w:t>
      </w:r>
    </w:p>
    <w:p w14:paraId="00000024" w14:textId="722A8CD1" w:rsidR="00D279DA" w:rsidRDefault="002205C9" w:rsidP="00B16FED">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For instance, Israeli settlement</w:t>
      </w:r>
      <w:r w:rsidR="00967AA6">
        <w:rPr>
          <w:rFonts w:ascii="Times New Roman" w:eastAsia="Times New Roman" w:hAnsi="Times New Roman" w:cs="Times New Roman"/>
          <w:color w:val="231F20"/>
          <w:sz w:val="24"/>
          <w:szCs w:val="24"/>
        </w:rPr>
        <w:t>s are</w:t>
      </w:r>
      <w:r>
        <w:rPr>
          <w:rFonts w:ascii="Times New Roman" w:eastAsia="Times New Roman" w:hAnsi="Times New Roman" w:cs="Times New Roman"/>
          <w:color w:val="231F20"/>
          <w:sz w:val="24"/>
          <w:szCs w:val="24"/>
        </w:rPr>
        <w:t xml:space="preserve"> built and developed on land</w:t>
      </w:r>
      <w:r w:rsidR="00333009">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appropriated from the</w:t>
      </w:r>
      <w:r w:rsidR="006226D0">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Palestinians</w:t>
      </w:r>
      <w:r w:rsidR="006226D0">
        <w:rPr>
          <w:rFonts w:ascii="Times New Roman" w:eastAsia="Times New Roman" w:hAnsi="Times New Roman" w:cs="Times New Roman"/>
          <w:color w:val="231F20"/>
          <w:sz w:val="24"/>
          <w:szCs w:val="24"/>
        </w:rPr>
        <w:t xml:space="preserve"> in the </w:t>
      </w:r>
      <w:r w:rsidR="00F22C08">
        <w:rPr>
          <w:rFonts w:ascii="Times New Roman" w:eastAsia="Times New Roman" w:hAnsi="Times New Roman" w:cs="Times New Roman"/>
          <w:color w:val="231F20"/>
          <w:sz w:val="24"/>
          <w:szCs w:val="24"/>
        </w:rPr>
        <w:t>o</w:t>
      </w:r>
      <w:r w:rsidR="006226D0">
        <w:rPr>
          <w:rFonts w:ascii="Times New Roman" w:eastAsia="Times New Roman" w:hAnsi="Times New Roman" w:cs="Times New Roman"/>
          <w:color w:val="231F20"/>
          <w:sz w:val="24"/>
          <w:szCs w:val="24"/>
        </w:rPr>
        <w:t xml:space="preserve">ccupied Palestinian </w:t>
      </w:r>
      <w:r w:rsidR="00F22C08">
        <w:rPr>
          <w:rFonts w:ascii="Times New Roman" w:eastAsia="Times New Roman" w:hAnsi="Times New Roman" w:cs="Times New Roman"/>
          <w:color w:val="231F20"/>
          <w:sz w:val="24"/>
          <w:szCs w:val="24"/>
        </w:rPr>
        <w:t>t</w:t>
      </w:r>
      <w:r w:rsidR="006226D0">
        <w:rPr>
          <w:rFonts w:ascii="Times New Roman" w:eastAsia="Times New Roman" w:hAnsi="Times New Roman" w:cs="Times New Roman"/>
          <w:color w:val="231F20"/>
          <w:sz w:val="24"/>
          <w:szCs w:val="24"/>
        </w:rPr>
        <w:t>erritory (OPT)</w:t>
      </w:r>
      <w:r w:rsidR="00B83483">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and </w:t>
      </w:r>
      <w:r w:rsidR="00967AA6">
        <w:rPr>
          <w:rFonts w:ascii="Times New Roman" w:eastAsia="Times New Roman" w:hAnsi="Times New Roman" w:cs="Times New Roman"/>
          <w:color w:val="231F20"/>
          <w:sz w:val="24"/>
          <w:szCs w:val="24"/>
        </w:rPr>
        <w:t>through</w:t>
      </w:r>
      <w:r w:rsidR="006226D0">
        <w:rPr>
          <w:rFonts w:ascii="Times New Roman" w:eastAsia="Times New Roman" w:hAnsi="Times New Roman" w:cs="Times New Roman"/>
          <w:color w:val="231F20"/>
          <w:sz w:val="24"/>
          <w:szCs w:val="24"/>
        </w:rPr>
        <w:t xml:space="preserve"> the</w:t>
      </w:r>
      <w:r w:rsidR="00967AA6">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use </w:t>
      </w:r>
      <w:r w:rsidR="00967AA6">
        <w:rPr>
          <w:rFonts w:ascii="Times New Roman" w:eastAsia="Times New Roman" w:hAnsi="Times New Roman" w:cs="Times New Roman"/>
          <w:color w:val="231F20"/>
          <w:sz w:val="24"/>
          <w:szCs w:val="24"/>
        </w:rPr>
        <w:t xml:space="preserve">of </w:t>
      </w:r>
      <w:r>
        <w:rPr>
          <w:rFonts w:ascii="Times New Roman" w:eastAsia="Times New Roman" w:hAnsi="Times New Roman" w:cs="Times New Roman"/>
          <w:color w:val="231F20"/>
          <w:sz w:val="24"/>
          <w:szCs w:val="24"/>
        </w:rPr>
        <w:t>Palestinian</w:t>
      </w:r>
      <w:r w:rsidR="00967AA6">
        <w:rPr>
          <w:rFonts w:ascii="Times New Roman" w:eastAsia="Times New Roman" w:hAnsi="Times New Roman" w:cs="Times New Roman"/>
          <w:color w:val="231F20"/>
          <w:sz w:val="24"/>
          <w:szCs w:val="24"/>
        </w:rPr>
        <w:t xml:space="preserve"> natural</w:t>
      </w:r>
      <w:r>
        <w:rPr>
          <w:rFonts w:ascii="Times New Roman" w:eastAsia="Times New Roman" w:hAnsi="Times New Roman" w:cs="Times New Roman"/>
          <w:color w:val="231F20"/>
          <w:sz w:val="24"/>
          <w:szCs w:val="24"/>
        </w:rPr>
        <w:t xml:space="preserve"> resources</w:t>
      </w:r>
      <w:r w:rsidR="00B83483">
        <w:rPr>
          <w:rFonts w:ascii="Times New Roman" w:eastAsia="Times New Roman" w:hAnsi="Times New Roman" w:cs="Times New Roman"/>
          <w:color w:val="231F20"/>
          <w:sz w:val="24"/>
          <w:szCs w:val="24"/>
        </w:rPr>
        <w:t xml:space="preserve">, while preventing access </w:t>
      </w:r>
      <w:r w:rsidR="00967AA6">
        <w:rPr>
          <w:rFonts w:ascii="Times New Roman" w:eastAsia="Times New Roman" w:hAnsi="Times New Roman" w:cs="Times New Roman"/>
          <w:color w:val="231F20"/>
          <w:sz w:val="24"/>
          <w:szCs w:val="24"/>
        </w:rPr>
        <w:t>of</w:t>
      </w:r>
      <w:r w:rsidR="00B83483">
        <w:rPr>
          <w:rFonts w:ascii="Times New Roman" w:eastAsia="Times New Roman" w:hAnsi="Times New Roman" w:cs="Times New Roman"/>
          <w:color w:val="231F20"/>
          <w:sz w:val="24"/>
          <w:szCs w:val="24"/>
        </w:rPr>
        <w:t xml:space="preserve"> neighbouring Palestinian communities</w:t>
      </w:r>
      <w:r>
        <w:rPr>
          <w:rFonts w:ascii="Times New Roman" w:eastAsia="Times New Roman" w:hAnsi="Times New Roman" w:cs="Times New Roman"/>
          <w:color w:val="231F20"/>
          <w:sz w:val="24"/>
          <w:szCs w:val="24"/>
        </w:rPr>
        <w:t xml:space="preserve">. The establishment of Israeli settlements in the OPT constitutes a serious and flagrant violation of international law, </w:t>
      </w:r>
      <w:r w:rsidR="00B83483">
        <w:rPr>
          <w:rFonts w:ascii="Times New Roman" w:eastAsia="Times New Roman" w:hAnsi="Times New Roman" w:cs="Times New Roman"/>
          <w:color w:val="231F20"/>
          <w:sz w:val="24"/>
          <w:szCs w:val="24"/>
        </w:rPr>
        <w:t>while</w:t>
      </w:r>
      <w:r>
        <w:rPr>
          <w:rFonts w:ascii="Times New Roman" w:eastAsia="Times New Roman" w:hAnsi="Times New Roman" w:cs="Times New Roman"/>
          <w:color w:val="231F20"/>
          <w:sz w:val="24"/>
          <w:szCs w:val="24"/>
        </w:rPr>
        <w:t xml:space="preserve"> undermin</w:t>
      </w:r>
      <w:r w:rsidR="00B83483">
        <w:rPr>
          <w:rFonts w:ascii="Times New Roman" w:eastAsia="Times New Roman" w:hAnsi="Times New Roman" w:cs="Times New Roman"/>
          <w:color w:val="231F20"/>
          <w:sz w:val="24"/>
          <w:szCs w:val="24"/>
        </w:rPr>
        <w:t>ing</w:t>
      </w:r>
      <w:r>
        <w:rPr>
          <w:rFonts w:ascii="Times New Roman" w:eastAsia="Times New Roman" w:hAnsi="Times New Roman" w:cs="Times New Roman"/>
          <w:color w:val="231F20"/>
          <w:sz w:val="24"/>
          <w:szCs w:val="24"/>
        </w:rPr>
        <w:t xml:space="preserve"> </w:t>
      </w:r>
      <w:r w:rsidR="00B83483">
        <w:rPr>
          <w:rFonts w:ascii="Times New Roman" w:eastAsia="Times New Roman" w:hAnsi="Times New Roman" w:cs="Times New Roman"/>
          <w:color w:val="231F20"/>
          <w:sz w:val="24"/>
          <w:szCs w:val="24"/>
        </w:rPr>
        <w:t>Palestinians’ employment opportunities and</w:t>
      </w:r>
      <w:r>
        <w:rPr>
          <w:rFonts w:ascii="Times New Roman" w:eastAsia="Times New Roman" w:hAnsi="Times New Roman" w:cs="Times New Roman"/>
          <w:color w:val="231F20"/>
          <w:sz w:val="24"/>
          <w:szCs w:val="24"/>
        </w:rPr>
        <w:t xml:space="preserve"> </w:t>
      </w:r>
      <w:r w:rsidR="00B83483">
        <w:rPr>
          <w:rFonts w:ascii="Times New Roman" w:eastAsia="Times New Roman" w:hAnsi="Times New Roman" w:cs="Times New Roman"/>
          <w:color w:val="231F20"/>
          <w:sz w:val="24"/>
          <w:szCs w:val="24"/>
        </w:rPr>
        <w:t xml:space="preserve">capacity </w:t>
      </w:r>
      <w:r>
        <w:rPr>
          <w:rFonts w:ascii="Times New Roman" w:eastAsia="Times New Roman" w:hAnsi="Times New Roman" w:cs="Times New Roman"/>
          <w:color w:val="231F20"/>
          <w:sz w:val="24"/>
          <w:szCs w:val="24"/>
        </w:rPr>
        <w:t>for sustainable development. Al-Haq</w:t>
      </w:r>
      <w:r w:rsidR="00967AA6">
        <w:rPr>
          <w:rFonts w:ascii="Times New Roman" w:eastAsia="Times New Roman" w:hAnsi="Times New Roman" w:cs="Times New Roman"/>
          <w:color w:val="231F20"/>
          <w:sz w:val="24"/>
          <w:szCs w:val="24"/>
        </w:rPr>
        <w:t xml:space="preserve"> and Al Mezan</w:t>
      </w:r>
      <w:r>
        <w:rPr>
          <w:rFonts w:ascii="Times New Roman" w:eastAsia="Times New Roman" w:hAnsi="Times New Roman" w:cs="Times New Roman"/>
          <w:color w:val="231F20"/>
          <w:sz w:val="24"/>
          <w:szCs w:val="24"/>
        </w:rPr>
        <w:t xml:space="preserve"> advise that DC RTD includes </w:t>
      </w:r>
      <w:r w:rsidRPr="004858A0">
        <w:rPr>
          <w:rFonts w:ascii="Times New Roman" w:eastAsia="Times New Roman" w:hAnsi="Times New Roman" w:cs="Times New Roman"/>
          <w:color w:val="231F20"/>
          <w:sz w:val="24"/>
          <w:szCs w:val="24"/>
        </w:rPr>
        <w:t>provisions on corporate liability</w:t>
      </w:r>
      <w:r>
        <w:rPr>
          <w:rFonts w:ascii="Times New Roman" w:eastAsia="Times New Roman" w:hAnsi="Times New Roman" w:cs="Times New Roman"/>
          <w:color w:val="231F20"/>
          <w:sz w:val="24"/>
          <w:szCs w:val="24"/>
        </w:rPr>
        <w:t xml:space="preserve">, whereby corporations and corporate agents </w:t>
      </w:r>
      <w:r w:rsidR="00B83483">
        <w:rPr>
          <w:rFonts w:ascii="Times New Roman" w:eastAsia="Times New Roman" w:hAnsi="Times New Roman" w:cs="Times New Roman"/>
          <w:color w:val="231F20"/>
          <w:sz w:val="24"/>
          <w:szCs w:val="24"/>
        </w:rPr>
        <w:t xml:space="preserve">would </w:t>
      </w:r>
      <w:r>
        <w:rPr>
          <w:rFonts w:ascii="Times New Roman" w:eastAsia="Times New Roman" w:hAnsi="Times New Roman" w:cs="Times New Roman"/>
          <w:color w:val="231F20"/>
          <w:sz w:val="24"/>
          <w:szCs w:val="24"/>
        </w:rPr>
        <w:t xml:space="preserve">be held </w:t>
      </w:r>
      <w:r w:rsidR="00967AA6">
        <w:rPr>
          <w:rFonts w:ascii="Times New Roman" w:eastAsia="Times New Roman" w:hAnsi="Times New Roman" w:cs="Times New Roman"/>
          <w:color w:val="231F20"/>
          <w:sz w:val="24"/>
          <w:szCs w:val="24"/>
        </w:rPr>
        <w:t>accountable</w:t>
      </w:r>
      <w:r>
        <w:rPr>
          <w:rFonts w:ascii="Times New Roman" w:eastAsia="Times New Roman" w:hAnsi="Times New Roman" w:cs="Times New Roman"/>
          <w:color w:val="231F20"/>
          <w:sz w:val="24"/>
          <w:szCs w:val="24"/>
        </w:rPr>
        <w:t xml:space="preserve"> for violations of the right to development. A duty of enhanced human right due diligence</w:t>
      </w:r>
      <w:r w:rsidR="00967AA6">
        <w:rPr>
          <w:rFonts w:ascii="Times New Roman" w:eastAsia="Times New Roman" w:hAnsi="Times New Roman" w:cs="Times New Roman"/>
          <w:color w:val="231F20"/>
          <w:sz w:val="24"/>
          <w:szCs w:val="24"/>
        </w:rPr>
        <w:t>, as presumed in the UN Guiding Principles on Business and Human Rights</w:t>
      </w:r>
      <w:r>
        <w:rPr>
          <w:rFonts w:ascii="Times New Roman" w:eastAsia="Times New Roman" w:hAnsi="Times New Roman" w:cs="Times New Roman"/>
          <w:color w:val="231F20"/>
          <w:sz w:val="24"/>
          <w:szCs w:val="24"/>
        </w:rPr>
        <w:t xml:space="preserve"> should be required</w:t>
      </w:r>
      <w:r w:rsidR="00967AA6">
        <w:rPr>
          <w:rFonts w:ascii="Times New Roman" w:eastAsia="Times New Roman" w:hAnsi="Times New Roman" w:cs="Times New Roman"/>
          <w:color w:val="231F20"/>
          <w:sz w:val="24"/>
          <w:szCs w:val="24"/>
        </w:rPr>
        <w:t xml:space="preserve"> by State</w:t>
      </w:r>
      <w:r>
        <w:rPr>
          <w:rFonts w:ascii="Times New Roman" w:eastAsia="Times New Roman" w:hAnsi="Times New Roman" w:cs="Times New Roman"/>
          <w:color w:val="231F20"/>
          <w:sz w:val="24"/>
          <w:szCs w:val="24"/>
        </w:rPr>
        <w:t xml:space="preserve"> from non-State actors </w:t>
      </w:r>
      <w:r w:rsidR="00967AA6" w:rsidRPr="00967AA6">
        <w:rPr>
          <w:rFonts w:ascii="Times New Roman" w:eastAsia="Times New Roman" w:hAnsi="Times New Roman" w:cs="Times New Roman"/>
          <w:color w:val="231F20"/>
          <w:sz w:val="24"/>
          <w:szCs w:val="24"/>
        </w:rPr>
        <w:t>to protect against human rights</w:t>
      </w:r>
      <w:r w:rsidR="00967AA6">
        <w:rPr>
          <w:rFonts w:ascii="Times New Roman" w:eastAsia="Times New Roman" w:hAnsi="Times New Roman" w:cs="Times New Roman"/>
          <w:color w:val="231F20"/>
          <w:sz w:val="24"/>
          <w:szCs w:val="24"/>
        </w:rPr>
        <w:t xml:space="preserve"> </w:t>
      </w:r>
      <w:r w:rsidR="00967AA6" w:rsidRPr="00967AA6">
        <w:rPr>
          <w:rFonts w:ascii="Times New Roman" w:eastAsia="Times New Roman" w:hAnsi="Times New Roman" w:cs="Times New Roman"/>
          <w:color w:val="231F20"/>
          <w:sz w:val="24"/>
          <w:szCs w:val="24"/>
        </w:rPr>
        <w:t>abuses by business enterprises</w:t>
      </w:r>
      <w:r w:rsidR="00967AA6">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 xml:space="preserve">in conflict affected areas, such as those held under military occupation, </w:t>
      </w:r>
      <w:r>
        <w:rPr>
          <w:rFonts w:ascii="Times New Roman" w:eastAsia="Times New Roman" w:hAnsi="Times New Roman" w:cs="Times New Roman"/>
          <w:color w:val="231F20"/>
          <w:sz w:val="24"/>
          <w:szCs w:val="24"/>
        </w:rPr>
        <w:t>when their actions contribute or benefit from the international law violations.</w:t>
      </w:r>
      <w:r w:rsidR="0094511D">
        <w:rPr>
          <w:rStyle w:val="FootnoteReference"/>
          <w:rFonts w:ascii="Times New Roman" w:eastAsia="Times New Roman" w:hAnsi="Times New Roman" w:cs="Times New Roman"/>
          <w:color w:val="231F20"/>
          <w:sz w:val="24"/>
          <w:szCs w:val="24"/>
        </w:rPr>
        <w:footnoteReference w:id="20"/>
      </w:r>
      <w:r>
        <w:rPr>
          <w:rFonts w:ascii="Times New Roman" w:eastAsia="Times New Roman" w:hAnsi="Times New Roman" w:cs="Times New Roman"/>
          <w:color w:val="231F20"/>
          <w:sz w:val="24"/>
          <w:szCs w:val="24"/>
        </w:rPr>
        <w:t xml:space="preserve"> </w:t>
      </w:r>
    </w:p>
    <w:p w14:paraId="4530215B" w14:textId="627C7ACC" w:rsidR="005C4475" w:rsidRDefault="005C4475" w:rsidP="005C4475">
      <w:pPr>
        <w:pStyle w:val="Heading3"/>
      </w:pPr>
      <w:r>
        <w:t xml:space="preserve">Right to Self-determination </w:t>
      </w:r>
    </w:p>
    <w:p w14:paraId="00000025" w14:textId="7A0A7EA6" w:rsidR="00D279DA"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The proper realization of the right to development is inherent with</w:t>
      </w:r>
      <w:r w:rsidR="006226D0">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z w:val="24"/>
          <w:szCs w:val="24"/>
        </w:rPr>
        <w:t xml:space="preserve"> the right to self-determination, especially in the situation of </w:t>
      </w:r>
      <w:r w:rsidR="00C97562" w:rsidRPr="00C97562">
        <w:rPr>
          <w:rFonts w:ascii="Times New Roman" w:eastAsia="Times New Roman" w:hAnsi="Times New Roman" w:cs="Times New Roman"/>
          <w:color w:val="231F20"/>
          <w:sz w:val="24"/>
          <w:szCs w:val="24"/>
        </w:rPr>
        <w:t xml:space="preserve">belligerent </w:t>
      </w:r>
      <w:r>
        <w:rPr>
          <w:rFonts w:ascii="Times New Roman" w:eastAsia="Times New Roman" w:hAnsi="Times New Roman" w:cs="Times New Roman"/>
          <w:color w:val="231F20"/>
          <w:sz w:val="24"/>
          <w:szCs w:val="24"/>
        </w:rPr>
        <w:t>occupation</w:t>
      </w:r>
      <w:r w:rsidR="006226D0">
        <w:rPr>
          <w:rFonts w:ascii="Times New Roman" w:eastAsia="Times New Roman" w:hAnsi="Times New Roman" w:cs="Times New Roman"/>
          <w:color w:val="231F20"/>
          <w:sz w:val="24"/>
          <w:szCs w:val="24"/>
        </w:rPr>
        <w:t>s,</w:t>
      </w:r>
      <w:r>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which effectively creates</w:t>
      </w:r>
      <w:r>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a relationship</w:t>
      </w:r>
      <w:r>
        <w:rPr>
          <w:rFonts w:ascii="Times New Roman" w:eastAsia="Times New Roman" w:hAnsi="Times New Roman" w:cs="Times New Roman"/>
          <w:color w:val="231F20"/>
          <w:sz w:val="24"/>
          <w:szCs w:val="24"/>
        </w:rPr>
        <w:t xml:space="preserve"> of dependency between </w:t>
      </w:r>
      <w:r w:rsidR="006226D0">
        <w:rPr>
          <w:rFonts w:ascii="Times New Roman" w:eastAsia="Times New Roman" w:hAnsi="Times New Roman" w:cs="Times New Roman"/>
          <w:color w:val="231F20"/>
          <w:sz w:val="24"/>
          <w:szCs w:val="24"/>
        </w:rPr>
        <w:t xml:space="preserve">the Occupying </w:t>
      </w:r>
      <w:r>
        <w:rPr>
          <w:rFonts w:ascii="Times New Roman" w:eastAsia="Times New Roman" w:hAnsi="Times New Roman" w:cs="Times New Roman"/>
          <w:color w:val="231F20"/>
          <w:sz w:val="24"/>
          <w:szCs w:val="24"/>
        </w:rPr>
        <w:t xml:space="preserve">State and </w:t>
      </w:r>
      <w:r w:rsidR="006226D0">
        <w:rPr>
          <w:rFonts w:ascii="Times New Roman" w:eastAsia="Times New Roman" w:hAnsi="Times New Roman" w:cs="Times New Roman"/>
          <w:color w:val="231F20"/>
          <w:sz w:val="24"/>
          <w:szCs w:val="24"/>
        </w:rPr>
        <w:t xml:space="preserve">the occupied </w:t>
      </w:r>
      <w:r>
        <w:rPr>
          <w:rFonts w:ascii="Times New Roman" w:eastAsia="Times New Roman" w:hAnsi="Times New Roman" w:cs="Times New Roman"/>
          <w:color w:val="231F20"/>
          <w:sz w:val="24"/>
          <w:szCs w:val="24"/>
        </w:rPr>
        <w:t>people</w:t>
      </w:r>
      <w:r w:rsidR="00F22C08">
        <w:rPr>
          <w:rFonts w:ascii="Times New Roman" w:eastAsia="Times New Roman" w:hAnsi="Times New Roman" w:cs="Times New Roman"/>
          <w:color w:val="231F20"/>
          <w:sz w:val="24"/>
          <w:szCs w:val="24"/>
        </w:rPr>
        <w:t>—</w:t>
      </w:r>
      <w:r w:rsidR="006226D0">
        <w:rPr>
          <w:rFonts w:ascii="Times New Roman" w:eastAsia="Times New Roman" w:hAnsi="Times New Roman" w:cs="Times New Roman"/>
          <w:color w:val="231F20"/>
          <w:sz w:val="24"/>
          <w:szCs w:val="24"/>
        </w:rPr>
        <w:t>this dependence</w:t>
      </w:r>
      <w:r>
        <w:rPr>
          <w:rFonts w:ascii="Times New Roman" w:eastAsia="Times New Roman" w:hAnsi="Times New Roman" w:cs="Times New Roman"/>
          <w:color w:val="231F20"/>
          <w:sz w:val="24"/>
          <w:szCs w:val="24"/>
        </w:rPr>
        <w:t xml:space="preserve"> should be </w:t>
      </w:r>
      <w:r w:rsidR="006226D0">
        <w:rPr>
          <w:rFonts w:ascii="Times New Roman" w:eastAsia="Times New Roman" w:hAnsi="Times New Roman" w:cs="Times New Roman"/>
          <w:color w:val="231F20"/>
          <w:sz w:val="24"/>
          <w:szCs w:val="24"/>
        </w:rPr>
        <w:t xml:space="preserve">reflected </w:t>
      </w:r>
      <w:r>
        <w:rPr>
          <w:rFonts w:ascii="Times New Roman" w:eastAsia="Times New Roman" w:hAnsi="Times New Roman" w:cs="Times New Roman"/>
          <w:color w:val="231F20"/>
          <w:sz w:val="24"/>
          <w:szCs w:val="24"/>
        </w:rPr>
        <w:t>and added in</w:t>
      </w:r>
      <w:r w:rsidR="006226D0">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z w:val="24"/>
          <w:szCs w:val="24"/>
        </w:rPr>
        <w:t xml:space="preserve"> Para</w:t>
      </w:r>
      <w:r w:rsidR="00B83483">
        <w:rPr>
          <w:rFonts w:ascii="Times New Roman" w:eastAsia="Times New Roman" w:hAnsi="Times New Roman" w:cs="Times New Roman"/>
          <w:color w:val="231F20"/>
          <w:sz w:val="24"/>
          <w:szCs w:val="24"/>
        </w:rPr>
        <w:t>graph</w:t>
      </w:r>
      <w:r>
        <w:rPr>
          <w:rFonts w:ascii="Times New Roman" w:eastAsia="Times New Roman" w:hAnsi="Times New Roman" w:cs="Times New Roman"/>
          <w:color w:val="231F20"/>
          <w:sz w:val="24"/>
          <w:szCs w:val="24"/>
        </w:rPr>
        <w:t xml:space="preserve"> 4, Art</w:t>
      </w:r>
      <w:r w:rsidR="00B83483">
        <w:rPr>
          <w:rFonts w:ascii="Times New Roman" w:eastAsia="Times New Roman" w:hAnsi="Times New Roman" w:cs="Times New Roman"/>
          <w:color w:val="231F20"/>
          <w:sz w:val="24"/>
          <w:szCs w:val="24"/>
        </w:rPr>
        <w:t>icle</w:t>
      </w:r>
      <w:r>
        <w:rPr>
          <w:rFonts w:ascii="Times New Roman" w:eastAsia="Times New Roman" w:hAnsi="Times New Roman" w:cs="Times New Roman"/>
          <w:color w:val="231F20"/>
          <w:sz w:val="24"/>
          <w:szCs w:val="24"/>
        </w:rPr>
        <w:t xml:space="preserve"> 5 of </w:t>
      </w:r>
      <w:r w:rsidR="00B83483">
        <w:rPr>
          <w:rFonts w:ascii="Times New Roman" w:eastAsia="Times New Roman" w:hAnsi="Times New Roman" w:cs="Times New Roman"/>
          <w:color w:val="231F20"/>
          <w:sz w:val="24"/>
          <w:szCs w:val="24"/>
        </w:rPr>
        <w:t>the DC RDD</w:t>
      </w:r>
      <w:r w:rsidR="006226D0">
        <w:rPr>
          <w:rFonts w:ascii="Times New Roman" w:eastAsia="Times New Roman" w:hAnsi="Times New Roman" w:cs="Times New Roman"/>
          <w:color w:val="231F20"/>
          <w:sz w:val="24"/>
          <w:szCs w:val="24"/>
        </w:rPr>
        <w:t>. Currently,</w:t>
      </w:r>
      <w:r>
        <w:rPr>
          <w:rFonts w:ascii="Times New Roman" w:eastAsia="Times New Roman" w:hAnsi="Times New Roman" w:cs="Times New Roman"/>
          <w:color w:val="231F20"/>
          <w:sz w:val="24"/>
          <w:szCs w:val="24"/>
        </w:rPr>
        <w:t xml:space="preserve"> it states:</w:t>
      </w:r>
    </w:p>
    <w:p w14:paraId="00000026" w14:textId="04E31945" w:rsidR="00D279DA" w:rsidRDefault="00DE20D4">
      <w:pPr>
        <w:jc w:val="both"/>
        <w:rPr>
          <w:rFonts w:ascii="Times New Roman" w:eastAsia="Times New Roman" w:hAnsi="Times New Roman" w:cs="Times New Roman"/>
          <w:color w:val="231F20"/>
          <w:sz w:val="24"/>
          <w:szCs w:val="24"/>
        </w:rPr>
      </w:pPr>
      <w:r>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rPr>
        <w:t>The State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r w:rsidR="002205C9">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w:t>
      </w:r>
    </w:p>
    <w:p w14:paraId="00000027" w14:textId="62392600" w:rsidR="00D279DA" w:rsidRDefault="00145CBF">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 realisation of the right to development is contingent upon the overall context of its implementation, as </w:t>
      </w:r>
      <w:r w:rsidR="002205C9">
        <w:rPr>
          <w:rFonts w:ascii="Times New Roman" w:eastAsia="Times New Roman" w:hAnsi="Times New Roman" w:cs="Times New Roman"/>
          <w:color w:val="231F20"/>
          <w:sz w:val="24"/>
          <w:szCs w:val="24"/>
        </w:rPr>
        <w:t>indicated in the commentary to the DC RTD</w:t>
      </w:r>
      <w:r w:rsidR="006226D0">
        <w:rPr>
          <w:rFonts w:ascii="Times New Roman" w:eastAsia="Times New Roman" w:hAnsi="Times New Roman" w:cs="Times New Roman"/>
          <w:color w:val="231F20"/>
          <w:sz w:val="24"/>
          <w:szCs w:val="24"/>
        </w:rPr>
        <w:t>.</w:t>
      </w:r>
      <w:r w:rsidR="002205C9">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T</w:t>
      </w:r>
      <w:r w:rsidR="002205C9">
        <w:rPr>
          <w:rFonts w:ascii="Times New Roman" w:eastAsia="Times New Roman" w:hAnsi="Times New Roman" w:cs="Times New Roman"/>
          <w:color w:val="231F20"/>
          <w:sz w:val="24"/>
          <w:szCs w:val="24"/>
        </w:rPr>
        <w:t>herefore the relation</w:t>
      </w:r>
      <w:r w:rsidR="006226D0">
        <w:rPr>
          <w:rFonts w:ascii="Times New Roman" w:eastAsia="Times New Roman" w:hAnsi="Times New Roman" w:cs="Times New Roman"/>
          <w:color w:val="231F20"/>
          <w:sz w:val="24"/>
          <w:szCs w:val="24"/>
        </w:rPr>
        <w:t>ship</w:t>
      </w:r>
      <w:r w:rsidR="002205C9">
        <w:rPr>
          <w:rFonts w:ascii="Times New Roman" w:eastAsia="Times New Roman" w:hAnsi="Times New Roman" w:cs="Times New Roman"/>
          <w:color w:val="231F20"/>
          <w:sz w:val="24"/>
          <w:szCs w:val="24"/>
        </w:rPr>
        <w:t xml:space="preserve"> in the situation of </w:t>
      </w:r>
      <w:r w:rsidR="00C97562" w:rsidRPr="004858A0">
        <w:rPr>
          <w:rFonts w:ascii="Times New Roman" w:eastAsia="Times New Roman" w:hAnsi="Times New Roman" w:cs="Times New Roman"/>
          <w:color w:val="231F20"/>
          <w:sz w:val="24"/>
          <w:szCs w:val="24"/>
        </w:rPr>
        <w:t xml:space="preserve">belligerent </w:t>
      </w:r>
      <w:r w:rsidR="002205C9" w:rsidRPr="004858A0">
        <w:rPr>
          <w:rFonts w:ascii="Times New Roman" w:eastAsia="Times New Roman" w:hAnsi="Times New Roman" w:cs="Times New Roman"/>
          <w:color w:val="231F20"/>
          <w:sz w:val="24"/>
          <w:szCs w:val="24"/>
        </w:rPr>
        <w:t>occupation should not be omitted</w:t>
      </w:r>
      <w:r w:rsidR="002205C9">
        <w:rPr>
          <w:rFonts w:ascii="Times New Roman" w:eastAsia="Times New Roman" w:hAnsi="Times New Roman" w:cs="Times New Roman"/>
          <w:color w:val="231F20"/>
          <w:sz w:val="24"/>
          <w:szCs w:val="24"/>
        </w:rPr>
        <w:t xml:space="preserve">, as </w:t>
      </w:r>
      <w:r w:rsidR="006226D0">
        <w:rPr>
          <w:rFonts w:ascii="Times New Roman" w:eastAsia="Times New Roman" w:hAnsi="Times New Roman" w:cs="Times New Roman"/>
          <w:color w:val="231F20"/>
          <w:sz w:val="24"/>
          <w:szCs w:val="24"/>
        </w:rPr>
        <w:t xml:space="preserve">the </w:t>
      </w:r>
      <w:r w:rsidR="002205C9">
        <w:rPr>
          <w:rFonts w:ascii="Times New Roman" w:eastAsia="Times New Roman" w:hAnsi="Times New Roman" w:cs="Times New Roman"/>
          <w:color w:val="231F20"/>
          <w:sz w:val="24"/>
          <w:szCs w:val="24"/>
        </w:rPr>
        <w:t xml:space="preserve">human right situation of Palestinians heavily depends on decisions and polices of </w:t>
      </w:r>
      <w:r w:rsidR="006226D0">
        <w:rPr>
          <w:rFonts w:ascii="Times New Roman" w:eastAsia="Times New Roman" w:hAnsi="Times New Roman" w:cs="Times New Roman"/>
          <w:color w:val="231F20"/>
          <w:sz w:val="24"/>
          <w:szCs w:val="24"/>
        </w:rPr>
        <w:t xml:space="preserve">Israel, the Occupying Power as </w:t>
      </w:r>
      <w:r w:rsidR="002205C9" w:rsidRPr="00744CC9">
        <w:rPr>
          <w:rFonts w:ascii="Times New Roman" w:eastAsia="Times New Roman" w:hAnsi="Times New Roman" w:cs="Times New Roman"/>
          <w:i/>
          <w:iCs/>
          <w:color w:val="231F20"/>
          <w:sz w:val="24"/>
          <w:szCs w:val="24"/>
        </w:rPr>
        <w:t>de facto</w:t>
      </w:r>
      <w:r w:rsidR="002205C9">
        <w:rPr>
          <w:rFonts w:ascii="Times New Roman" w:eastAsia="Times New Roman" w:hAnsi="Times New Roman" w:cs="Times New Roman"/>
          <w:color w:val="231F20"/>
          <w:sz w:val="24"/>
          <w:szCs w:val="24"/>
        </w:rPr>
        <w:t xml:space="preserve"> administrator of the </w:t>
      </w:r>
      <w:r w:rsidR="006226D0">
        <w:rPr>
          <w:rFonts w:ascii="Times New Roman" w:eastAsia="Times New Roman" w:hAnsi="Times New Roman" w:cs="Times New Roman"/>
          <w:color w:val="231F20"/>
          <w:sz w:val="24"/>
          <w:szCs w:val="24"/>
        </w:rPr>
        <w:t>OPT.</w:t>
      </w:r>
      <w:r w:rsidR="002205C9">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The prolonged nature</w:t>
      </w:r>
      <w:r w:rsidR="002205C9">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of the</w:t>
      </w:r>
      <w:r w:rsidR="002205C9">
        <w:rPr>
          <w:rFonts w:ascii="Times New Roman" w:eastAsia="Times New Roman" w:hAnsi="Times New Roman" w:cs="Times New Roman"/>
          <w:color w:val="231F20"/>
          <w:sz w:val="24"/>
          <w:szCs w:val="24"/>
        </w:rPr>
        <w:t xml:space="preserve"> occupation and conflict does not cancel the responsibility </w:t>
      </w:r>
      <w:r w:rsidR="006226D0">
        <w:rPr>
          <w:rFonts w:ascii="Times New Roman" w:eastAsia="Times New Roman" w:hAnsi="Times New Roman" w:cs="Times New Roman"/>
          <w:color w:val="231F20"/>
          <w:sz w:val="24"/>
          <w:szCs w:val="24"/>
        </w:rPr>
        <w:t xml:space="preserve">of the </w:t>
      </w:r>
      <w:r w:rsidR="002205C9">
        <w:rPr>
          <w:rFonts w:ascii="Times New Roman" w:eastAsia="Times New Roman" w:hAnsi="Times New Roman" w:cs="Times New Roman"/>
          <w:color w:val="231F20"/>
          <w:sz w:val="24"/>
          <w:szCs w:val="24"/>
        </w:rPr>
        <w:t xml:space="preserve">State to protect </w:t>
      </w:r>
      <w:r w:rsidR="006226D0">
        <w:rPr>
          <w:rFonts w:ascii="Times New Roman" w:eastAsia="Times New Roman" w:hAnsi="Times New Roman" w:cs="Times New Roman"/>
          <w:color w:val="231F20"/>
          <w:sz w:val="24"/>
          <w:szCs w:val="24"/>
        </w:rPr>
        <w:t xml:space="preserve">the </w:t>
      </w:r>
      <w:r w:rsidR="002205C9">
        <w:rPr>
          <w:rFonts w:ascii="Times New Roman" w:eastAsia="Times New Roman" w:hAnsi="Times New Roman" w:cs="Times New Roman"/>
          <w:color w:val="231F20"/>
          <w:sz w:val="24"/>
          <w:szCs w:val="24"/>
        </w:rPr>
        <w:t xml:space="preserve">human rights of </w:t>
      </w:r>
      <w:r w:rsidR="006226D0">
        <w:rPr>
          <w:rFonts w:ascii="Times New Roman" w:eastAsia="Times New Roman" w:hAnsi="Times New Roman" w:cs="Times New Roman"/>
          <w:color w:val="231F20"/>
          <w:sz w:val="24"/>
          <w:szCs w:val="24"/>
        </w:rPr>
        <w:t xml:space="preserve">the </w:t>
      </w:r>
      <w:r w:rsidR="002205C9">
        <w:rPr>
          <w:rFonts w:ascii="Times New Roman" w:eastAsia="Times New Roman" w:hAnsi="Times New Roman" w:cs="Times New Roman"/>
          <w:color w:val="231F20"/>
          <w:sz w:val="24"/>
          <w:szCs w:val="24"/>
        </w:rPr>
        <w:t xml:space="preserve">protected </w:t>
      </w:r>
      <w:r w:rsidR="006226D0">
        <w:rPr>
          <w:rFonts w:ascii="Times New Roman" w:eastAsia="Times New Roman" w:hAnsi="Times New Roman" w:cs="Times New Roman"/>
          <w:color w:val="231F20"/>
          <w:sz w:val="24"/>
          <w:szCs w:val="24"/>
        </w:rPr>
        <w:t xml:space="preserve">occupied </w:t>
      </w:r>
      <w:r w:rsidR="002205C9">
        <w:rPr>
          <w:rFonts w:ascii="Times New Roman" w:eastAsia="Times New Roman" w:hAnsi="Times New Roman" w:cs="Times New Roman"/>
          <w:color w:val="231F20"/>
          <w:sz w:val="24"/>
          <w:szCs w:val="24"/>
        </w:rPr>
        <w:t xml:space="preserve">population. Therefore, the DC RTD should </w:t>
      </w:r>
      <w:r w:rsidR="006226D0">
        <w:rPr>
          <w:rFonts w:ascii="Times New Roman" w:eastAsia="Times New Roman" w:hAnsi="Times New Roman" w:cs="Times New Roman"/>
          <w:color w:val="231F20"/>
          <w:sz w:val="24"/>
          <w:szCs w:val="24"/>
        </w:rPr>
        <w:t>ensure</w:t>
      </w:r>
      <w:r w:rsidR="002205C9">
        <w:rPr>
          <w:rFonts w:ascii="Times New Roman" w:eastAsia="Times New Roman" w:hAnsi="Times New Roman" w:cs="Times New Roman"/>
          <w:color w:val="231F20"/>
          <w:sz w:val="24"/>
          <w:szCs w:val="24"/>
        </w:rPr>
        <w:t xml:space="preserve"> the obligation of the Occupying Power to only develop the occupied territory for the benefit of the protected population</w:t>
      </w:r>
      <w:r w:rsidR="006226D0">
        <w:rPr>
          <w:rFonts w:ascii="Times New Roman" w:eastAsia="Times New Roman" w:hAnsi="Times New Roman" w:cs="Times New Roman"/>
          <w:color w:val="231F20"/>
          <w:sz w:val="24"/>
          <w:szCs w:val="24"/>
        </w:rPr>
        <w:t>, but to also</w:t>
      </w:r>
      <w:r w:rsidR="002205C9">
        <w:rPr>
          <w:rFonts w:ascii="Times New Roman" w:eastAsia="Times New Roman" w:hAnsi="Times New Roman" w:cs="Times New Roman"/>
          <w:color w:val="231F20"/>
          <w:sz w:val="24"/>
          <w:szCs w:val="24"/>
        </w:rPr>
        <w:t xml:space="preserve"> </w:t>
      </w:r>
      <w:r w:rsidR="006226D0">
        <w:rPr>
          <w:rFonts w:ascii="Times New Roman" w:eastAsia="Times New Roman" w:hAnsi="Times New Roman" w:cs="Times New Roman"/>
          <w:color w:val="231F20"/>
          <w:sz w:val="24"/>
          <w:szCs w:val="24"/>
        </w:rPr>
        <w:t>ensure the</w:t>
      </w:r>
      <w:r w:rsidR="002205C9">
        <w:rPr>
          <w:rFonts w:ascii="Times New Roman" w:eastAsia="Times New Roman" w:hAnsi="Times New Roman" w:cs="Times New Roman"/>
          <w:color w:val="231F20"/>
          <w:sz w:val="24"/>
          <w:szCs w:val="24"/>
        </w:rPr>
        <w:t xml:space="preserve"> occupier </w:t>
      </w:r>
      <w:r w:rsidR="006226D0">
        <w:rPr>
          <w:rFonts w:ascii="Times New Roman" w:eastAsia="Times New Roman" w:hAnsi="Times New Roman" w:cs="Times New Roman"/>
          <w:color w:val="231F20"/>
          <w:sz w:val="24"/>
          <w:szCs w:val="24"/>
        </w:rPr>
        <w:t xml:space="preserve">does not </w:t>
      </w:r>
      <w:r w:rsidR="002205C9">
        <w:rPr>
          <w:rFonts w:ascii="Times New Roman" w:eastAsia="Times New Roman" w:hAnsi="Times New Roman" w:cs="Times New Roman"/>
          <w:color w:val="231F20"/>
          <w:sz w:val="24"/>
          <w:szCs w:val="24"/>
        </w:rPr>
        <w:t>financially benefit from the</w:t>
      </w:r>
      <w:r w:rsidR="006226D0">
        <w:rPr>
          <w:rFonts w:ascii="Times New Roman" w:eastAsia="Times New Roman" w:hAnsi="Times New Roman" w:cs="Times New Roman"/>
          <w:color w:val="231F20"/>
          <w:sz w:val="24"/>
          <w:szCs w:val="24"/>
        </w:rPr>
        <w:t xml:space="preserve"> exploitation of the</w:t>
      </w:r>
      <w:r w:rsidR="002205C9">
        <w:rPr>
          <w:rFonts w:ascii="Times New Roman" w:eastAsia="Times New Roman" w:hAnsi="Times New Roman" w:cs="Times New Roman"/>
          <w:color w:val="231F20"/>
          <w:sz w:val="24"/>
          <w:szCs w:val="24"/>
        </w:rPr>
        <w:t xml:space="preserve"> occupied territory’s resources</w:t>
      </w:r>
      <w:r w:rsidR="006226D0">
        <w:rPr>
          <w:rFonts w:ascii="Times New Roman" w:eastAsia="Times New Roman" w:hAnsi="Times New Roman" w:cs="Times New Roman"/>
          <w:color w:val="231F20"/>
          <w:sz w:val="24"/>
          <w:szCs w:val="24"/>
        </w:rPr>
        <w:t>, an act which is prohibited by Article 55 of the Hague Regulations of 1907, and which may constitute the war crime of pillage.</w:t>
      </w:r>
    </w:p>
    <w:p w14:paraId="306A7ECA" w14:textId="4A381B48" w:rsidR="0094511D"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Principles of </w:t>
      </w:r>
      <w:r w:rsidRPr="004858A0">
        <w:rPr>
          <w:rFonts w:ascii="Times New Roman" w:eastAsia="Times New Roman" w:hAnsi="Times New Roman" w:cs="Times New Roman"/>
          <w:color w:val="231F20"/>
          <w:sz w:val="24"/>
          <w:szCs w:val="24"/>
        </w:rPr>
        <w:t>self-determined development</w:t>
      </w:r>
      <w:r>
        <w:rPr>
          <w:rFonts w:ascii="Times New Roman" w:eastAsia="Times New Roman" w:hAnsi="Times New Roman" w:cs="Times New Roman"/>
          <w:color w:val="231F20"/>
          <w:sz w:val="24"/>
          <w:szCs w:val="24"/>
        </w:rPr>
        <w:t xml:space="preserve"> and enforced connection between </w:t>
      </w:r>
      <w:r w:rsidR="00184610">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right </w:t>
      </w:r>
      <w:r w:rsidR="00184610">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z w:val="24"/>
          <w:szCs w:val="24"/>
        </w:rPr>
        <w:t xml:space="preserve"> development and </w:t>
      </w:r>
      <w:r w:rsidR="00184610">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right to self-determination is essential in the situation of Palestinian people</w:t>
      </w:r>
      <w:r w:rsidR="00184610">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whose right to self-determination is continuously undermined</w:t>
      </w:r>
      <w:r w:rsidR="00184610">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r w:rsidR="00184610">
        <w:rPr>
          <w:rFonts w:ascii="Times New Roman" w:eastAsia="Times New Roman" w:hAnsi="Times New Roman" w:cs="Times New Roman"/>
          <w:color w:val="231F20"/>
          <w:sz w:val="24"/>
          <w:szCs w:val="24"/>
        </w:rPr>
        <w:t>The Palestinian right to self-determination has been</w:t>
      </w:r>
      <w:r>
        <w:rPr>
          <w:rFonts w:ascii="Times New Roman" w:eastAsia="Times New Roman" w:hAnsi="Times New Roman" w:cs="Times New Roman"/>
          <w:color w:val="231F20"/>
          <w:sz w:val="24"/>
          <w:szCs w:val="24"/>
        </w:rPr>
        <w:t xml:space="preserve"> recognized and reaffirmed on several occasions by the United Nations bodies and Member States (UN General Assembly Resolution 67/19)</w:t>
      </w:r>
      <w:r w:rsidR="00DE20D4">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vertAlign w:val="superscript"/>
        </w:rPr>
        <w:footnoteReference w:id="21"/>
      </w:r>
      <w:r>
        <w:rPr>
          <w:rFonts w:ascii="Times New Roman" w:eastAsia="Times New Roman" w:hAnsi="Times New Roman" w:cs="Times New Roman"/>
          <w:color w:val="231F20"/>
          <w:sz w:val="24"/>
          <w:szCs w:val="24"/>
        </w:rPr>
        <w:t xml:space="preserve"> </w:t>
      </w:r>
    </w:p>
    <w:p w14:paraId="00000028" w14:textId="008ECD19" w:rsidR="00D279DA"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The As DC RTD states in Art.5, para 5:</w:t>
      </w:r>
    </w:p>
    <w:p w14:paraId="00000029" w14:textId="578BFB5C" w:rsidR="00D279DA" w:rsidRDefault="00DE20D4">
      <w:pPr>
        <w:jc w:val="both"/>
        <w:rPr>
          <w:rFonts w:ascii="Times New Roman" w:eastAsia="Times New Roman" w:hAnsi="Times New Roman" w:cs="Times New Roman"/>
          <w:color w:val="231F20"/>
          <w:sz w:val="24"/>
          <w:szCs w:val="24"/>
        </w:rPr>
      </w:pPr>
      <w:r>
        <w:rPr>
          <w:rFonts w:ascii="Times New Roman" w:eastAsia="Times New Roman" w:hAnsi="Times New Roman" w:cs="Times New Roman"/>
          <w:i/>
          <w:color w:val="231F20"/>
          <w:sz w:val="24"/>
          <w:szCs w:val="24"/>
        </w:rPr>
        <w:t>“</w:t>
      </w:r>
      <w:r w:rsidR="002205C9">
        <w:rPr>
          <w:rFonts w:ascii="Times New Roman" w:eastAsia="Times New Roman" w:hAnsi="Times New Roman" w:cs="Times New Roman"/>
          <w:i/>
          <w:color w:val="231F20"/>
          <w:sz w:val="24"/>
          <w:szCs w:val="24"/>
        </w:rPr>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r w:rsidR="002205C9">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w:t>
      </w:r>
    </w:p>
    <w:p w14:paraId="5C7FBCAC" w14:textId="317E950F" w:rsidR="005C4475" w:rsidRDefault="002205C9" w:rsidP="005C4475">
      <w:pPr>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A belligerent occupation, settler-colonialism, and apartheid </w:t>
      </w:r>
      <w:r w:rsidR="00C97562">
        <w:rPr>
          <w:rFonts w:ascii="Times New Roman" w:eastAsia="Times New Roman" w:hAnsi="Times New Roman" w:cs="Times New Roman"/>
          <w:sz w:val="24"/>
          <w:szCs w:val="24"/>
        </w:rPr>
        <w:t>regime</w:t>
      </w:r>
      <w:r w:rsidR="00C97562">
        <w:rPr>
          <w:rFonts w:ascii="Times New Roman" w:eastAsia="Times New Roman" w:hAnsi="Times New Roman" w:cs="Times New Roman"/>
          <w:color w:val="231F20"/>
          <w:sz w:val="24"/>
          <w:szCs w:val="24"/>
        </w:rPr>
        <w:t xml:space="preserve"> must </w:t>
      </w:r>
      <w:r>
        <w:rPr>
          <w:rFonts w:ascii="Times New Roman" w:eastAsia="Times New Roman" w:hAnsi="Times New Roman" w:cs="Times New Roman"/>
          <w:color w:val="231F20"/>
          <w:sz w:val="24"/>
          <w:szCs w:val="24"/>
        </w:rPr>
        <w:t xml:space="preserve">be </w:t>
      </w:r>
      <w:r w:rsidR="00C97562">
        <w:rPr>
          <w:rFonts w:ascii="Times New Roman" w:eastAsia="Times New Roman" w:hAnsi="Times New Roman" w:cs="Times New Roman"/>
          <w:color w:val="231F20"/>
          <w:sz w:val="24"/>
          <w:szCs w:val="24"/>
        </w:rPr>
        <w:t xml:space="preserve">acknowledged </w:t>
      </w:r>
      <w:r>
        <w:rPr>
          <w:rFonts w:ascii="Times New Roman" w:eastAsia="Times New Roman" w:hAnsi="Times New Roman" w:cs="Times New Roman"/>
          <w:color w:val="231F20"/>
          <w:sz w:val="24"/>
          <w:szCs w:val="24"/>
        </w:rPr>
        <w:t>in Palestine; therefore</w:t>
      </w:r>
      <w:r w:rsidR="00DE20D4">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a clear intention of the above text is needed, as it seems to blur the direct and ongoing character of listed situations and </w:t>
      </w:r>
      <w:r w:rsidR="00184610">
        <w:rPr>
          <w:rFonts w:ascii="Times New Roman" w:eastAsia="Times New Roman" w:hAnsi="Times New Roman" w:cs="Times New Roman"/>
          <w:color w:val="231F20"/>
          <w:sz w:val="24"/>
          <w:szCs w:val="24"/>
        </w:rPr>
        <w:t>further presents</w:t>
      </w:r>
      <w:r>
        <w:rPr>
          <w:rFonts w:ascii="Times New Roman" w:eastAsia="Times New Roman" w:hAnsi="Times New Roman" w:cs="Times New Roman"/>
          <w:color w:val="231F20"/>
          <w:sz w:val="24"/>
          <w:szCs w:val="24"/>
        </w:rPr>
        <w:t xml:space="preserve"> </w:t>
      </w:r>
      <w:r w:rsidR="00184610">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z w:val="24"/>
          <w:szCs w:val="24"/>
        </w:rPr>
        <w:t xml:space="preserve"> historical </w:t>
      </w:r>
      <w:r w:rsidR="00184610">
        <w:rPr>
          <w:rFonts w:ascii="Times New Roman" w:eastAsia="Times New Roman" w:hAnsi="Times New Roman" w:cs="Times New Roman"/>
          <w:color w:val="231F20"/>
          <w:sz w:val="24"/>
          <w:szCs w:val="24"/>
        </w:rPr>
        <w:t>lens for the purposes of</w:t>
      </w:r>
      <w:r>
        <w:rPr>
          <w:rFonts w:ascii="Times New Roman" w:eastAsia="Times New Roman" w:hAnsi="Times New Roman" w:cs="Times New Roman"/>
          <w:color w:val="231F20"/>
          <w:sz w:val="24"/>
          <w:szCs w:val="24"/>
        </w:rPr>
        <w:t xml:space="preserve"> interpretation</w:t>
      </w:r>
      <w:r w:rsidR="00F22C08">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as if the</w:t>
      </w:r>
      <w:r w:rsidR="00184610">
        <w:rPr>
          <w:rFonts w:ascii="Times New Roman" w:eastAsia="Times New Roman" w:hAnsi="Times New Roman" w:cs="Times New Roman"/>
          <w:color w:val="231F20"/>
          <w:sz w:val="24"/>
          <w:szCs w:val="24"/>
        </w:rPr>
        <w:t>se</w:t>
      </w:r>
      <w:r>
        <w:rPr>
          <w:rFonts w:ascii="Times New Roman" w:eastAsia="Times New Roman" w:hAnsi="Times New Roman" w:cs="Times New Roman"/>
          <w:color w:val="231F20"/>
          <w:sz w:val="24"/>
          <w:szCs w:val="24"/>
        </w:rPr>
        <w:t xml:space="preserve"> were past events, </w:t>
      </w:r>
      <w:r w:rsidR="00184610">
        <w:rPr>
          <w:rFonts w:ascii="Times New Roman" w:eastAsia="Times New Roman" w:hAnsi="Times New Roman" w:cs="Times New Roman"/>
          <w:color w:val="231F20"/>
          <w:sz w:val="24"/>
          <w:szCs w:val="24"/>
        </w:rPr>
        <w:t xml:space="preserve">and </w:t>
      </w:r>
      <w:r>
        <w:rPr>
          <w:rFonts w:ascii="Times New Roman" w:eastAsia="Times New Roman" w:hAnsi="Times New Roman" w:cs="Times New Roman"/>
          <w:color w:val="231F20"/>
          <w:sz w:val="24"/>
          <w:szCs w:val="24"/>
        </w:rPr>
        <w:t>not ongoing crimes</w:t>
      </w:r>
      <w:r w:rsidR="00184610">
        <w:rPr>
          <w:rFonts w:ascii="Times New Roman" w:eastAsia="Times New Roman" w:hAnsi="Times New Roman" w:cs="Times New Roman"/>
          <w:color w:val="231F20"/>
          <w:sz w:val="24"/>
          <w:szCs w:val="24"/>
        </w:rPr>
        <w:t xml:space="preserve"> related to of a </w:t>
      </w:r>
      <w:r w:rsidR="00184610" w:rsidRPr="00744CC9">
        <w:rPr>
          <w:rFonts w:ascii="Times New Roman" w:eastAsia="Times New Roman" w:hAnsi="Times New Roman" w:cs="Times New Roman"/>
          <w:b/>
          <w:bCs/>
          <w:color w:val="231F20"/>
          <w:sz w:val="24"/>
          <w:szCs w:val="24"/>
        </w:rPr>
        <w:t>current colonisation and apartheid</w:t>
      </w:r>
      <w:r w:rsidR="00184610" w:rsidRPr="00184610">
        <w:rPr>
          <w:rFonts w:ascii="Times New Roman" w:eastAsia="Times New Roman" w:hAnsi="Times New Roman" w:cs="Times New Roman"/>
          <w:color w:val="231F20"/>
          <w:sz w:val="24"/>
          <w:szCs w:val="24"/>
        </w:rPr>
        <w:t xml:space="preserve"> </w:t>
      </w:r>
      <w:r w:rsidR="00184610">
        <w:rPr>
          <w:rFonts w:ascii="Times New Roman" w:eastAsia="Times New Roman" w:hAnsi="Times New Roman" w:cs="Times New Roman"/>
          <w:color w:val="231F20"/>
          <w:sz w:val="24"/>
          <w:szCs w:val="24"/>
        </w:rPr>
        <w:t>territory (emphasis added)</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sz w:val="24"/>
          <w:szCs w:val="24"/>
        </w:rPr>
        <w:t xml:space="preserve">Additionally, the attempt to balance in one paragraph </w:t>
      </w:r>
      <w:r w:rsidRPr="004858A0">
        <w:rPr>
          <w:rFonts w:ascii="Times New Roman" w:eastAsia="Times New Roman" w:hAnsi="Times New Roman" w:cs="Times New Roman"/>
          <w:sz w:val="24"/>
          <w:szCs w:val="24"/>
        </w:rPr>
        <w:t>the interest of the State and people’s interest and right to self-determination</w:t>
      </w:r>
      <w:r>
        <w:rPr>
          <w:rFonts w:ascii="Times New Roman" w:eastAsia="Times New Roman" w:hAnsi="Times New Roman" w:cs="Times New Roman"/>
          <w:sz w:val="24"/>
          <w:szCs w:val="24"/>
        </w:rPr>
        <w:t xml:space="preserve"> might be destructive</w:t>
      </w:r>
      <w:r w:rsidR="001846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184610">
        <w:rPr>
          <w:rFonts w:ascii="Times New Roman" w:eastAsia="Times New Roman" w:hAnsi="Times New Roman" w:cs="Times New Roman"/>
          <w:sz w:val="24"/>
          <w:szCs w:val="24"/>
        </w:rPr>
        <w:t>s it</w:t>
      </w:r>
      <w:r>
        <w:rPr>
          <w:rFonts w:ascii="Times New Roman" w:eastAsia="Times New Roman" w:hAnsi="Times New Roman" w:cs="Times New Roman"/>
          <w:sz w:val="24"/>
          <w:szCs w:val="24"/>
        </w:rPr>
        <w:t xml:space="preserve"> does not reflect the limited agency of the people due to the existing power asymmetry between the subjects. A balance should not be a litmus test for protecting the right to self-determination of the people as inherently connected to full sovereignty over all</w:t>
      </w:r>
      <w:r w:rsidR="001846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natural wealth and resources and </w:t>
      </w:r>
      <w:r w:rsidR="0018461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right to development as such. The context of </w:t>
      </w:r>
      <w:r w:rsidR="00C97562" w:rsidRPr="00C97562">
        <w:rPr>
          <w:rFonts w:ascii="Times New Roman" w:eastAsia="Times New Roman" w:hAnsi="Times New Roman" w:cs="Times New Roman"/>
          <w:color w:val="231F20"/>
          <w:sz w:val="24"/>
          <w:szCs w:val="24"/>
        </w:rPr>
        <w:t xml:space="preserve">belligerent </w:t>
      </w:r>
      <w:r>
        <w:rPr>
          <w:rFonts w:ascii="Times New Roman" w:eastAsia="Times New Roman" w:hAnsi="Times New Roman" w:cs="Times New Roman"/>
          <w:sz w:val="24"/>
          <w:szCs w:val="24"/>
        </w:rPr>
        <w:t xml:space="preserve">occupation and </w:t>
      </w:r>
      <w:r w:rsidR="0018461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struggle for the right to self-determination experience</w:t>
      </w:r>
      <w:r w:rsidR="0018461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by the Palestinian people is a grave example of connecting and limiting the right to self-determination with national sovereignty and territorial integrity assigned only to States, and </w:t>
      </w:r>
      <w:r w:rsidR="00184610">
        <w:rPr>
          <w:rFonts w:ascii="Times New Roman" w:eastAsia="Times New Roman" w:hAnsi="Times New Roman" w:cs="Times New Roman"/>
          <w:sz w:val="24"/>
          <w:szCs w:val="24"/>
        </w:rPr>
        <w:t>the article as it stands,</w:t>
      </w:r>
      <w:r>
        <w:rPr>
          <w:rFonts w:ascii="Times New Roman" w:eastAsia="Times New Roman" w:hAnsi="Times New Roman" w:cs="Times New Roman"/>
          <w:sz w:val="24"/>
          <w:szCs w:val="24"/>
        </w:rPr>
        <w:t xml:space="preserve"> could be interpreted in a manner that </w:t>
      </w:r>
      <w:r w:rsidR="00184610">
        <w:rPr>
          <w:rFonts w:ascii="Times New Roman" w:eastAsia="Times New Roman" w:hAnsi="Times New Roman" w:cs="Times New Roman"/>
          <w:sz w:val="24"/>
          <w:szCs w:val="24"/>
        </w:rPr>
        <w:t>undermines</w:t>
      </w:r>
      <w:r>
        <w:rPr>
          <w:rFonts w:ascii="Times New Roman" w:eastAsia="Times New Roman" w:hAnsi="Times New Roman" w:cs="Times New Roman"/>
          <w:sz w:val="24"/>
          <w:szCs w:val="24"/>
        </w:rPr>
        <w:t xml:space="preserve"> the </w:t>
      </w:r>
      <w:r w:rsidR="00184610">
        <w:rPr>
          <w:rFonts w:ascii="Times New Roman" w:eastAsia="Times New Roman" w:hAnsi="Times New Roman" w:cs="Times New Roman"/>
          <w:sz w:val="24"/>
          <w:szCs w:val="24"/>
        </w:rPr>
        <w:t xml:space="preserve">collective </w:t>
      </w:r>
      <w:r>
        <w:rPr>
          <w:rFonts w:ascii="Times New Roman" w:eastAsia="Times New Roman" w:hAnsi="Times New Roman" w:cs="Times New Roman"/>
          <w:sz w:val="24"/>
          <w:szCs w:val="24"/>
        </w:rPr>
        <w:t xml:space="preserve">right of </w:t>
      </w:r>
      <w:r w:rsidR="0018461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people as </w:t>
      </w:r>
      <w:r w:rsidR="0018461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subject</w:t>
      </w:r>
      <w:r w:rsidR="001846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right to development.</w:t>
      </w:r>
    </w:p>
    <w:p w14:paraId="69FD0F86" w14:textId="4E673277" w:rsidR="005C4475" w:rsidRPr="005C4475" w:rsidRDefault="005C4475" w:rsidP="005C4475">
      <w:pPr>
        <w:pStyle w:val="Heading3"/>
      </w:pPr>
      <w:r w:rsidRPr="005C4475">
        <w:t xml:space="preserve">Mechanism </w:t>
      </w:r>
      <w:r>
        <w:t>on</w:t>
      </w:r>
      <w:r w:rsidRPr="005C4475">
        <w:t xml:space="preserve"> </w:t>
      </w:r>
      <w:r>
        <w:t xml:space="preserve">Implementation and </w:t>
      </w:r>
      <w:r w:rsidRPr="005C4475">
        <w:t xml:space="preserve">Accountability </w:t>
      </w:r>
    </w:p>
    <w:p w14:paraId="0000002B" w14:textId="06988627" w:rsidR="00D279DA" w:rsidRDefault="002205C9">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As assumed and pointed out in several places by the DC RTD, the </w:t>
      </w:r>
      <w:r w:rsidRPr="002B4650">
        <w:rPr>
          <w:rFonts w:ascii="Times New Roman" w:eastAsia="Times New Roman" w:hAnsi="Times New Roman" w:cs="Times New Roman"/>
          <w:color w:val="231F20"/>
          <w:sz w:val="24"/>
          <w:szCs w:val="24"/>
        </w:rPr>
        <w:t>objectives of development</w:t>
      </w:r>
      <w:r>
        <w:rPr>
          <w:rFonts w:ascii="Times New Roman" w:eastAsia="Times New Roman" w:hAnsi="Times New Roman" w:cs="Times New Roman"/>
          <w:color w:val="231F20"/>
          <w:sz w:val="24"/>
          <w:szCs w:val="24"/>
        </w:rPr>
        <w:t xml:space="preserve"> should not harm or undermine the</w:t>
      </w:r>
      <w:r w:rsidR="00B0539E">
        <w:rPr>
          <w:rFonts w:ascii="Times New Roman" w:eastAsia="Times New Roman" w:hAnsi="Times New Roman" w:cs="Times New Roman"/>
          <w:color w:val="231F20"/>
          <w:sz w:val="24"/>
          <w:szCs w:val="24"/>
        </w:rPr>
        <w:t xml:space="preserve"> people’s</w:t>
      </w:r>
      <w:r>
        <w:rPr>
          <w:rFonts w:ascii="Times New Roman" w:eastAsia="Times New Roman" w:hAnsi="Times New Roman" w:cs="Times New Roman"/>
          <w:color w:val="231F20"/>
          <w:sz w:val="24"/>
          <w:szCs w:val="24"/>
        </w:rPr>
        <w:t xml:space="preserve"> right to development. Moreover, it is essential </w:t>
      </w:r>
      <w:r w:rsidR="00184610">
        <w:rPr>
          <w:rFonts w:ascii="Times New Roman" w:eastAsia="Times New Roman" w:hAnsi="Times New Roman" w:cs="Times New Roman"/>
          <w:color w:val="231F20"/>
          <w:sz w:val="24"/>
          <w:szCs w:val="24"/>
        </w:rPr>
        <w:t xml:space="preserve">for development </w:t>
      </w:r>
      <w:r>
        <w:rPr>
          <w:rFonts w:ascii="Times New Roman" w:eastAsia="Times New Roman" w:hAnsi="Times New Roman" w:cs="Times New Roman"/>
          <w:color w:val="231F20"/>
          <w:sz w:val="24"/>
          <w:szCs w:val="24"/>
        </w:rPr>
        <w:t xml:space="preserve">to be aligned with human rights norms and standards and </w:t>
      </w:r>
      <w:r w:rsidR="00184610">
        <w:rPr>
          <w:rFonts w:ascii="Times New Roman" w:eastAsia="Times New Roman" w:hAnsi="Times New Roman" w:cs="Times New Roman"/>
          <w:color w:val="231F20"/>
          <w:sz w:val="24"/>
          <w:szCs w:val="24"/>
        </w:rPr>
        <w:t xml:space="preserve">it </w:t>
      </w:r>
      <w:r>
        <w:rPr>
          <w:rFonts w:ascii="Times New Roman" w:eastAsia="Times New Roman" w:hAnsi="Times New Roman" w:cs="Times New Roman"/>
          <w:color w:val="231F20"/>
          <w:sz w:val="24"/>
          <w:szCs w:val="24"/>
        </w:rPr>
        <w:t xml:space="preserve">must be sustainable. To ensure that those principles are met, people as a subject of the right to development should have a </w:t>
      </w:r>
      <w:r w:rsidRPr="002B4650">
        <w:rPr>
          <w:rFonts w:ascii="Times New Roman" w:eastAsia="Times New Roman" w:hAnsi="Times New Roman" w:cs="Times New Roman"/>
          <w:b/>
          <w:bCs/>
          <w:color w:val="231F20"/>
          <w:sz w:val="24"/>
          <w:szCs w:val="24"/>
        </w:rPr>
        <w:t>reliable complaint mechanism</w:t>
      </w:r>
      <w:r>
        <w:rPr>
          <w:rFonts w:ascii="Times New Roman" w:eastAsia="Times New Roman" w:hAnsi="Times New Roman" w:cs="Times New Roman"/>
          <w:color w:val="231F20"/>
          <w:sz w:val="24"/>
          <w:szCs w:val="24"/>
        </w:rPr>
        <w:t xml:space="preserve"> that could effectively affect the decision-making process when policies, laws, or practices are introduced or designed</w:t>
      </w:r>
      <w:r w:rsidR="00184610">
        <w:rPr>
          <w:rFonts w:ascii="Times New Roman" w:eastAsia="Times New Roman" w:hAnsi="Times New Roman" w:cs="Times New Roman"/>
          <w:color w:val="231F20"/>
          <w:sz w:val="24"/>
          <w:szCs w:val="24"/>
        </w:rPr>
        <w:t>, especially where this</w:t>
      </w:r>
      <w:r>
        <w:rPr>
          <w:rFonts w:ascii="Times New Roman" w:eastAsia="Times New Roman" w:hAnsi="Times New Roman" w:cs="Times New Roman"/>
          <w:color w:val="231F20"/>
          <w:sz w:val="24"/>
          <w:szCs w:val="24"/>
        </w:rPr>
        <w:t xml:space="preserve"> would obstruct their well-being, and/or of future generations. </w:t>
      </w:r>
      <w:r w:rsidR="00184610">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z w:val="24"/>
          <w:szCs w:val="24"/>
        </w:rPr>
        <w:t xml:space="preserve"> mechanism of Free, Prior and Informed Consent as a compromise </w:t>
      </w:r>
      <w:r w:rsidR="00184610">
        <w:rPr>
          <w:rFonts w:ascii="Times New Roman" w:eastAsia="Times New Roman" w:hAnsi="Times New Roman" w:cs="Times New Roman"/>
          <w:color w:val="231F20"/>
          <w:sz w:val="24"/>
          <w:szCs w:val="24"/>
        </w:rPr>
        <w:t>might not</w:t>
      </w:r>
      <w:r>
        <w:rPr>
          <w:rFonts w:ascii="Times New Roman" w:eastAsia="Times New Roman" w:hAnsi="Times New Roman" w:cs="Times New Roman"/>
          <w:color w:val="231F20"/>
          <w:sz w:val="24"/>
          <w:szCs w:val="24"/>
        </w:rPr>
        <w:t xml:space="preserve"> resul</w:t>
      </w:r>
      <w:r w:rsidR="00184610">
        <w:rPr>
          <w:rFonts w:ascii="Times New Roman" w:eastAsia="Times New Roman" w:hAnsi="Times New Roman" w:cs="Times New Roman"/>
          <w:color w:val="231F20"/>
          <w:sz w:val="24"/>
          <w:szCs w:val="24"/>
        </w:rPr>
        <w:t xml:space="preserve">t </w:t>
      </w:r>
      <w:r>
        <w:rPr>
          <w:rFonts w:ascii="Times New Roman" w:eastAsia="Times New Roman" w:hAnsi="Times New Roman" w:cs="Times New Roman"/>
          <w:color w:val="231F20"/>
          <w:sz w:val="24"/>
          <w:szCs w:val="24"/>
        </w:rPr>
        <w:t xml:space="preserve">in the actual agency of the people </w:t>
      </w:r>
      <w:r w:rsidR="00184610">
        <w:rPr>
          <w:rFonts w:ascii="Times New Roman" w:eastAsia="Times New Roman" w:hAnsi="Times New Roman" w:cs="Times New Roman"/>
          <w:color w:val="231F20"/>
          <w:sz w:val="24"/>
          <w:szCs w:val="24"/>
        </w:rPr>
        <w:t xml:space="preserve">or ensure their </w:t>
      </w:r>
      <w:r>
        <w:rPr>
          <w:rFonts w:ascii="Times New Roman" w:eastAsia="Times New Roman" w:hAnsi="Times New Roman" w:cs="Times New Roman"/>
          <w:color w:val="231F20"/>
          <w:sz w:val="24"/>
          <w:szCs w:val="24"/>
        </w:rPr>
        <w:t>participation in decision-making</w:t>
      </w:r>
      <w:r w:rsidR="00184610">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vertAlign w:val="superscript"/>
        </w:rPr>
        <w:footnoteReference w:id="22"/>
      </w:r>
      <w:r w:rsidR="00184610">
        <w:rPr>
          <w:rFonts w:ascii="Times New Roman" w:eastAsia="Times New Roman" w:hAnsi="Times New Roman" w:cs="Times New Roman"/>
          <w:color w:val="231F20"/>
          <w:sz w:val="24"/>
          <w:szCs w:val="24"/>
        </w:rPr>
        <w:t xml:space="preserve"> It is therefore</w:t>
      </w:r>
      <w:r>
        <w:rPr>
          <w:rFonts w:ascii="Times New Roman" w:eastAsia="Times New Roman" w:hAnsi="Times New Roman" w:cs="Times New Roman"/>
          <w:color w:val="231F20"/>
          <w:sz w:val="24"/>
          <w:szCs w:val="24"/>
        </w:rPr>
        <w:t xml:space="preserve"> </w:t>
      </w:r>
      <w:r w:rsidR="00184610">
        <w:rPr>
          <w:rFonts w:ascii="Times New Roman" w:eastAsia="Times New Roman" w:hAnsi="Times New Roman" w:cs="Times New Roman"/>
          <w:color w:val="231F20"/>
          <w:sz w:val="24"/>
          <w:szCs w:val="24"/>
        </w:rPr>
        <w:t xml:space="preserve">important to provide an </w:t>
      </w:r>
      <w:r>
        <w:rPr>
          <w:rFonts w:ascii="Times New Roman" w:eastAsia="Times New Roman" w:hAnsi="Times New Roman" w:cs="Times New Roman"/>
          <w:color w:val="231F20"/>
          <w:sz w:val="24"/>
          <w:szCs w:val="24"/>
        </w:rPr>
        <w:t xml:space="preserve">effective mechanism that is applicable to different situations </w:t>
      </w:r>
      <w:r w:rsidR="00184610">
        <w:rPr>
          <w:rFonts w:ascii="Times New Roman" w:eastAsia="Times New Roman" w:hAnsi="Times New Roman" w:cs="Times New Roman"/>
          <w:color w:val="231F20"/>
          <w:sz w:val="24"/>
          <w:szCs w:val="24"/>
        </w:rPr>
        <w:t>such as belligerent occupation</w:t>
      </w:r>
      <w:r>
        <w:rPr>
          <w:rFonts w:ascii="Times New Roman" w:eastAsia="Times New Roman" w:hAnsi="Times New Roman" w:cs="Times New Roman"/>
          <w:color w:val="231F20"/>
          <w:sz w:val="24"/>
          <w:szCs w:val="24"/>
        </w:rPr>
        <w:t xml:space="preserve"> due to the structural power asymmetry</w:t>
      </w:r>
      <w:r w:rsidR="00184610">
        <w:rPr>
          <w:rFonts w:ascii="Times New Roman" w:eastAsia="Times New Roman" w:hAnsi="Times New Roman" w:cs="Times New Roman"/>
          <w:color w:val="231F20"/>
          <w:sz w:val="24"/>
          <w:szCs w:val="24"/>
        </w:rPr>
        <w:t xml:space="preserve"> between the occupied people and the Occupying Power</w:t>
      </w:r>
      <w:r>
        <w:rPr>
          <w:rFonts w:ascii="Times New Roman" w:eastAsia="Times New Roman" w:hAnsi="Times New Roman" w:cs="Times New Roman"/>
          <w:color w:val="231F20"/>
          <w:sz w:val="24"/>
          <w:szCs w:val="24"/>
        </w:rPr>
        <w:t xml:space="preserve"> and existing colonial domination.</w:t>
      </w:r>
    </w:p>
    <w:p w14:paraId="0000002C" w14:textId="21FF8072" w:rsidR="00D279DA" w:rsidRDefault="002205C9" w:rsidP="00FA46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Article 15 of DC RTD, on special or </w:t>
      </w:r>
      <w:r>
        <w:rPr>
          <w:rFonts w:ascii="Times New Roman" w:eastAsia="Times New Roman" w:hAnsi="Times New Roman" w:cs="Times New Roman"/>
          <w:b/>
          <w:sz w:val="24"/>
          <w:szCs w:val="24"/>
        </w:rPr>
        <w:t>remedial measures, recognizing vulnerable States, groups and peoples</w:t>
      </w:r>
      <w:r>
        <w:rPr>
          <w:rFonts w:ascii="Times New Roman" w:eastAsia="Times New Roman" w:hAnsi="Times New Roman" w:cs="Times New Roman"/>
          <w:sz w:val="24"/>
          <w:szCs w:val="24"/>
        </w:rPr>
        <w:t xml:space="preserve"> seem</w:t>
      </w:r>
      <w:r w:rsidR="001846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omit the situation of occupation and colonization that impose</w:t>
      </w:r>
      <w:r w:rsidR="001846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several obstacles </w:t>
      </w:r>
      <w:r w:rsidR="0018461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people and groups not captured by the categories that have been already suggested. A</w:t>
      </w:r>
      <w:r w:rsidR="00633FA6">
        <w:rPr>
          <w:rFonts w:ascii="Times New Roman" w:eastAsia="Times New Roman" w:hAnsi="Times New Roman" w:cs="Times New Roman"/>
          <w:sz w:val="24"/>
          <w:szCs w:val="24"/>
        </w:rPr>
        <w:t xml:space="preserve"> case in point</w:t>
      </w:r>
      <w:r>
        <w:rPr>
          <w:rFonts w:ascii="Times New Roman" w:eastAsia="Times New Roman" w:hAnsi="Times New Roman" w:cs="Times New Roman"/>
          <w:sz w:val="24"/>
          <w:szCs w:val="24"/>
        </w:rPr>
        <w:t xml:space="preserve"> i</w:t>
      </w:r>
      <w:r w:rsidR="00633F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C9756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Palestinian people in the Gaza Strip, vulnerable and deprived of their rights due to </w:t>
      </w:r>
      <w:r w:rsidR="00633FA6">
        <w:rPr>
          <w:rFonts w:ascii="Times New Roman" w:eastAsia="Times New Roman" w:hAnsi="Times New Roman" w:cs="Times New Roman"/>
          <w:sz w:val="24"/>
          <w:szCs w:val="24"/>
        </w:rPr>
        <w:t>Israel’s</w:t>
      </w:r>
      <w:r>
        <w:rPr>
          <w:rFonts w:ascii="Times New Roman" w:eastAsia="Times New Roman" w:hAnsi="Times New Roman" w:cs="Times New Roman"/>
          <w:sz w:val="24"/>
          <w:szCs w:val="24"/>
        </w:rPr>
        <w:t xml:space="preserve"> 14-years long </w:t>
      </w:r>
      <w:r w:rsidR="00C97562">
        <w:rPr>
          <w:rFonts w:ascii="Times New Roman" w:eastAsia="Times New Roman" w:hAnsi="Times New Roman" w:cs="Times New Roman"/>
          <w:sz w:val="24"/>
          <w:szCs w:val="24"/>
        </w:rPr>
        <w:t xml:space="preserve">military </w:t>
      </w:r>
      <w:r>
        <w:rPr>
          <w:rFonts w:ascii="Times New Roman" w:eastAsia="Times New Roman" w:hAnsi="Times New Roman" w:cs="Times New Roman"/>
          <w:sz w:val="24"/>
          <w:szCs w:val="24"/>
        </w:rPr>
        <w:t xml:space="preserve">blockade that </w:t>
      </w:r>
      <w:r w:rsidR="00184610">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closed off the Gaza Strip by land, sea, and air. Consequently</w:t>
      </w:r>
      <w:r w:rsidR="00C975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undermining any chances for development and well-being</w:t>
      </w:r>
      <w:r w:rsidR="002B4650">
        <w:rPr>
          <w:rStyle w:val="FootnoteReference"/>
          <w:rFonts w:ascii="Times New Roman" w:eastAsia="Times New Roman" w:hAnsi="Times New Roman" w:cs="Times New Roman"/>
          <w:sz w:val="24"/>
          <w:szCs w:val="24"/>
        </w:rPr>
        <w:footnoteReference w:id="23"/>
      </w:r>
      <w:r>
        <w:rPr>
          <w:rFonts w:ascii="Times New Roman" w:eastAsia="Times New Roman" w:hAnsi="Times New Roman" w:cs="Times New Roman"/>
          <w:sz w:val="24"/>
          <w:szCs w:val="24"/>
        </w:rPr>
        <w:t xml:space="preserve"> due to </w:t>
      </w:r>
      <w:r w:rsidR="00633FA6">
        <w:rPr>
          <w:rFonts w:ascii="Times New Roman" w:eastAsia="Times New Roman" w:hAnsi="Times New Roman" w:cs="Times New Roman"/>
          <w:sz w:val="24"/>
          <w:szCs w:val="24"/>
        </w:rPr>
        <w:t>the</w:t>
      </w:r>
      <w:r w:rsidR="001846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imposed</w:t>
      </w:r>
      <w:r w:rsidR="0018461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stringent permit regime that largely </w:t>
      </w:r>
      <w:r w:rsidR="00633FA6">
        <w:rPr>
          <w:rFonts w:ascii="Times New Roman" w:eastAsia="Times New Roman" w:hAnsi="Times New Roman" w:cs="Times New Roman"/>
          <w:sz w:val="24"/>
          <w:szCs w:val="24"/>
        </w:rPr>
        <w:t xml:space="preserve">and arbitrarily </w:t>
      </w:r>
      <w:r>
        <w:rPr>
          <w:rFonts w:ascii="Times New Roman" w:eastAsia="Times New Roman" w:hAnsi="Times New Roman" w:cs="Times New Roman"/>
          <w:sz w:val="24"/>
          <w:szCs w:val="24"/>
        </w:rPr>
        <w:t xml:space="preserve">prohibits </w:t>
      </w:r>
      <w:r w:rsidR="00633FA6">
        <w:rPr>
          <w:rFonts w:ascii="Times New Roman" w:eastAsia="Times New Roman" w:hAnsi="Times New Roman" w:cs="Times New Roman"/>
          <w:sz w:val="24"/>
          <w:szCs w:val="24"/>
        </w:rPr>
        <w:t xml:space="preserve">the free </w:t>
      </w:r>
      <w:r>
        <w:rPr>
          <w:rFonts w:ascii="Times New Roman" w:eastAsia="Times New Roman" w:hAnsi="Times New Roman" w:cs="Times New Roman"/>
          <w:sz w:val="24"/>
          <w:szCs w:val="24"/>
        </w:rPr>
        <w:t xml:space="preserve">movement </w:t>
      </w:r>
      <w:r w:rsidR="00633FA6">
        <w:rPr>
          <w:rFonts w:ascii="Times New Roman" w:eastAsia="Times New Roman" w:hAnsi="Times New Roman" w:cs="Times New Roman"/>
          <w:sz w:val="24"/>
          <w:szCs w:val="24"/>
        </w:rPr>
        <w:t xml:space="preserve">of goods, people and services </w:t>
      </w:r>
      <w:r>
        <w:rPr>
          <w:rFonts w:ascii="Times New Roman" w:eastAsia="Times New Roman" w:hAnsi="Times New Roman" w:cs="Times New Roman"/>
          <w:sz w:val="24"/>
          <w:szCs w:val="24"/>
        </w:rPr>
        <w:t>in</w:t>
      </w:r>
      <w:r w:rsidR="00633FA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and out of the Strip. The resulting human rights and humanitarian crisis following </w:t>
      </w:r>
      <w:r w:rsidRPr="005C4475">
        <w:rPr>
          <w:rFonts w:ascii="Times New Roman" w:eastAsia="Times New Roman" w:hAnsi="Times New Roman" w:cs="Times New Roman"/>
          <w:sz w:val="24"/>
          <w:szCs w:val="24"/>
        </w:rPr>
        <w:t>Israel’s closure of the Gaza Strip</w:t>
      </w:r>
      <w:r>
        <w:rPr>
          <w:rFonts w:ascii="Times New Roman" w:eastAsia="Times New Roman" w:hAnsi="Times New Roman" w:cs="Times New Roman"/>
          <w:sz w:val="24"/>
          <w:szCs w:val="24"/>
        </w:rPr>
        <w:t xml:space="preserve"> is an entirely </w:t>
      </w:r>
      <w:r w:rsidR="00F22C08">
        <w:rPr>
          <w:rFonts w:ascii="Times New Roman" w:eastAsia="Times New Roman" w:hAnsi="Times New Roman" w:cs="Times New Roman"/>
          <w:sz w:val="24"/>
          <w:szCs w:val="24"/>
        </w:rPr>
        <w:t>human</w:t>
      </w:r>
      <w:r>
        <w:rPr>
          <w:rFonts w:ascii="Times New Roman" w:eastAsia="Times New Roman" w:hAnsi="Times New Roman" w:cs="Times New Roman"/>
          <w:sz w:val="24"/>
          <w:szCs w:val="24"/>
        </w:rPr>
        <w:t xml:space="preserve">-made crisis </w:t>
      </w:r>
      <w:r w:rsidR="00F22C08">
        <w:rPr>
          <w:rFonts w:ascii="Times New Roman" w:eastAsia="Times New Roman" w:hAnsi="Times New Roman" w:cs="Times New Roman"/>
          <w:sz w:val="24"/>
          <w:szCs w:val="24"/>
        </w:rPr>
        <w:t xml:space="preserve">that is </w:t>
      </w:r>
      <w:r>
        <w:rPr>
          <w:rFonts w:ascii="Times New Roman" w:eastAsia="Times New Roman" w:hAnsi="Times New Roman" w:cs="Times New Roman"/>
          <w:sz w:val="24"/>
          <w:szCs w:val="24"/>
        </w:rPr>
        <w:t xml:space="preserve">aggravated by </w:t>
      </w:r>
      <w:r w:rsidR="00FA46AB">
        <w:rPr>
          <w:rFonts w:ascii="Times New Roman" w:eastAsia="Times New Roman" w:hAnsi="Times New Roman" w:cs="Times New Roman"/>
          <w:sz w:val="24"/>
          <w:szCs w:val="24"/>
        </w:rPr>
        <w:t xml:space="preserve">four </w:t>
      </w:r>
      <w:r>
        <w:rPr>
          <w:rFonts w:ascii="Times New Roman" w:eastAsia="Times New Roman" w:hAnsi="Times New Roman" w:cs="Times New Roman"/>
          <w:sz w:val="24"/>
          <w:szCs w:val="24"/>
        </w:rPr>
        <w:t xml:space="preserve">successive </w:t>
      </w:r>
      <w:r w:rsidR="00F22C08">
        <w:rPr>
          <w:rFonts w:ascii="Times New Roman" w:eastAsia="Times New Roman" w:hAnsi="Times New Roman" w:cs="Times New Roman"/>
          <w:sz w:val="24"/>
          <w:szCs w:val="24"/>
        </w:rPr>
        <w:t xml:space="preserve">full-scale </w:t>
      </w:r>
      <w:r>
        <w:rPr>
          <w:rFonts w:ascii="Times New Roman" w:eastAsia="Times New Roman" w:hAnsi="Times New Roman" w:cs="Times New Roman"/>
          <w:sz w:val="24"/>
          <w:szCs w:val="24"/>
        </w:rPr>
        <w:t>Israeli military assaults (</w:t>
      </w:r>
      <w:r w:rsidR="00633FA6">
        <w:rPr>
          <w:rFonts w:ascii="Times New Roman" w:eastAsia="Times New Roman" w:hAnsi="Times New Roman" w:cs="Times New Roman"/>
          <w:sz w:val="24"/>
          <w:szCs w:val="24"/>
        </w:rPr>
        <w:t xml:space="preserve">the most </w:t>
      </w:r>
      <w:r>
        <w:rPr>
          <w:rFonts w:ascii="Times New Roman" w:eastAsia="Times New Roman" w:hAnsi="Times New Roman" w:cs="Times New Roman"/>
          <w:sz w:val="24"/>
          <w:szCs w:val="24"/>
        </w:rPr>
        <w:t>recent in May 2021) that have repeatedly destroyed</w:t>
      </w:r>
      <w:r w:rsidR="001A0D1A">
        <w:rPr>
          <w:rFonts w:ascii="Times New Roman" w:eastAsia="Times New Roman" w:hAnsi="Times New Roman" w:cs="Times New Roman"/>
          <w:sz w:val="24"/>
          <w:szCs w:val="24"/>
        </w:rPr>
        <w:t xml:space="preserve"> civilian</w:t>
      </w:r>
      <w:r>
        <w:rPr>
          <w:rFonts w:ascii="Times New Roman" w:eastAsia="Times New Roman" w:hAnsi="Times New Roman" w:cs="Times New Roman"/>
          <w:sz w:val="24"/>
          <w:szCs w:val="24"/>
        </w:rPr>
        <w:t xml:space="preserve"> homes and infrastructure</w:t>
      </w:r>
      <w:r w:rsidR="00F22C08">
        <w:rPr>
          <w:rFonts w:ascii="Times New Roman" w:eastAsia="Times New Roman" w:hAnsi="Times New Roman" w:cs="Times New Roman"/>
          <w:sz w:val="24"/>
          <w:szCs w:val="24"/>
        </w:rPr>
        <w:t xml:space="preserve"> </w:t>
      </w:r>
      <w:r w:rsidR="00F22C08" w:rsidRPr="00744CC9">
        <w:rPr>
          <w:rFonts w:ascii="Times New Roman" w:eastAsia="Times New Roman" w:hAnsi="Times New Roman" w:cs="Times New Roman"/>
          <w:i/>
          <w:iCs/>
          <w:sz w:val="24"/>
          <w:szCs w:val="24"/>
        </w:rPr>
        <w:t>en masse</w:t>
      </w:r>
      <w:r>
        <w:rPr>
          <w:rFonts w:ascii="Times New Roman" w:eastAsia="Times New Roman" w:hAnsi="Times New Roman" w:cs="Times New Roman"/>
          <w:sz w:val="24"/>
          <w:szCs w:val="24"/>
        </w:rPr>
        <w:t xml:space="preserve">, with the closure undermining the ability </w:t>
      </w:r>
      <w:r w:rsidR="00633FA6">
        <w:rPr>
          <w:rFonts w:ascii="Times New Roman" w:eastAsia="Times New Roman" w:hAnsi="Times New Roman" w:cs="Times New Roman"/>
          <w:sz w:val="24"/>
          <w:szCs w:val="24"/>
        </w:rPr>
        <w:t xml:space="preserve">of Palestinians in Gaza </w:t>
      </w:r>
      <w:r>
        <w:rPr>
          <w:rFonts w:ascii="Times New Roman" w:eastAsia="Times New Roman" w:hAnsi="Times New Roman" w:cs="Times New Roman"/>
          <w:sz w:val="24"/>
          <w:szCs w:val="24"/>
        </w:rPr>
        <w:t>to rebuild</w:t>
      </w:r>
      <w:r w:rsidR="00633FA6">
        <w:rPr>
          <w:rFonts w:ascii="Times New Roman" w:eastAsia="Times New Roman" w:hAnsi="Times New Roman" w:cs="Times New Roman"/>
          <w:sz w:val="24"/>
          <w:szCs w:val="24"/>
        </w:rPr>
        <w:t>, both residentially and economically</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4"/>
      </w:r>
    </w:p>
    <w:p w14:paraId="0C17567E" w14:textId="6E130FDF" w:rsidR="00F071ED" w:rsidRDefault="002205C9">
      <w:pPr>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xml:space="preserve">Although, an enjoyment of the </w:t>
      </w:r>
      <w:r w:rsidRPr="00F071ED">
        <w:rPr>
          <w:rFonts w:ascii="Times New Roman" w:eastAsia="Times New Roman" w:hAnsi="Times New Roman" w:cs="Times New Roman"/>
          <w:bCs/>
          <w:sz w:val="24"/>
          <w:szCs w:val="24"/>
        </w:rPr>
        <w:t>right to development is attributed to everyone</w:t>
      </w:r>
      <w:r>
        <w:rPr>
          <w:rFonts w:ascii="Times New Roman" w:eastAsia="Times New Roman" w:hAnsi="Times New Roman" w:cs="Times New Roman"/>
          <w:sz w:val="24"/>
          <w:szCs w:val="24"/>
        </w:rPr>
        <w:t xml:space="preserve"> and ‘nobody should be left behind’ as reiterated several times throughout the DC RTD, Palestinian people as whole seem to pass unnoticed or unrecognized</w:t>
      </w:r>
      <w:r w:rsidR="00633FA6">
        <w:rPr>
          <w:rFonts w:ascii="Times New Roman" w:eastAsia="Times New Roman" w:hAnsi="Times New Roman" w:cs="Times New Roman"/>
          <w:sz w:val="24"/>
          <w:szCs w:val="24"/>
        </w:rPr>
        <w:t>, as their particular situation of an ongoing military occupation, apartheid and colonisation</w:t>
      </w:r>
      <w:r>
        <w:rPr>
          <w:rFonts w:ascii="Times New Roman" w:eastAsia="Times New Roman" w:hAnsi="Times New Roman" w:cs="Times New Roman"/>
          <w:sz w:val="24"/>
          <w:szCs w:val="24"/>
        </w:rPr>
        <w:t xml:space="preserve"> </w:t>
      </w:r>
      <w:r w:rsidR="00633FA6">
        <w:rPr>
          <w:rFonts w:ascii="Times New Roman" w:eastAsia="Times New Roman" w:hAnsi="Times New Roman" w:cs="Times New Roman"/>
          <w:sz w:val="24"/>
          <w:szCs w:val="24"/>
        </w:rPr>
        <w:t>does not</w:t>
      </w:r>
      <w:r>
        <w:rPr>
          <w:rFonts w:ascii="Times New Roman" w:eastAsia="Times New Roman" w:hAnsi="Times New Roman" w:cs="Times New Roman"/>
          <w:sz w:val="24"/>
          <w:szCs w:val="24"/>
        </w:rPr>
        <w:t xml:space="preserve"> to fit the several categories framed according to general rules of development in time</w:t>
      </w:r>
      <w:r w:rsidR="00633F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peace</w:t>
      </w:r>
      <w:r w:rsidR="00633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807D120" w14:textId="53B9976E" w:rsidR="005C4475" w:rsidRPr="00F27A29" w:rsidRDefault="005C4475" w:rsidP="005C4475">
      <w:pPr>
        <w:pStyle w:val="Heading2"/>
        <w:rPr>
          <w:sz w:val="32"/>
          <w:szCs w:val="32"/>
        </w:rPr>
      </w:pPr>
      <w:r w:rsidRPr="00F27A29">
        <w:rPr>
          <w:sz w:val="32"/>
          <w:szCs w:val="32"/>
        </w:rPr>
        <w:t xml:space="preserve">Conclusions </w:t>
      </w:r>
    </w:p>
    <w:p w14:paraId="0000002F" w14:textId="2D155F1C" w:rsidR="00D279DA" w:rsidRDefault="00F071ED" w:rsidP="00B16F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r w:rsidR="00B16FED">
        <w:rPr>
          <w:rFonts w:ascii="Times New Roman" w:eastAsia="Times New Roman" w:hAnsi="Times New Roman" w:cs="Times New Roman"/>
          <w:sz w:val="24"/>
          <w:szCs w:val="24"/>
        </w:rPr>
        <w:t>-</w:t>
      </w:r>
      <w:r>
        <w:rPr>
          <w:rFonts w:ascii="Times New Roman" w:eastAsia="Times New Roman" w:hAnsi="Times New Roman" w:cs="Times New Roman"/>
          <w:sz w:val="24"/>
          <w:szCs w:val="24"/>
        </w:rPr>
        <w:t>Haq and Al Mezan underline t</w:t>
      </w:r>
      <w:r w:rsidR="00633FA6">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s</w:t>
      </w:r>
      <w:r w:rsidR="002205C9">
        <w:rPr>
          <w:rFonts w:ascii="Times New Roman" w:eastAsia="Times New Roman" w:hAnsi="Times New Roman" w:cs="Times New Roman"/>
          <w:sz w:val="24"/>
          <w:szCs w:val="24"/>
        </w:rPr>
        <w:t xml:space="preserve">evere consequences of the situation of </w:t>
      </w:r>
      <w:r w:rsidR="00633FA6">
        <w:rPr>
          <w:rFonts w:ascii="Times New Roman" w:eastAsia="Times New Roman" w:hAnsi="Times New Roman" w:cs="Times New Roman"/>
          <w:sz w:val="24"/>
          <w:szCs w:val="24"/>
        </w:rPr>
        <w:t xml:space="preserve">prolonged </w:t>
      </w:r>
      <w:r w:rsidR="002205C9">
        <w:rPr>
          <w:rFonts w:ascii="Times New Roman" w:eastAsia="Times New Roman" w:hAnsi="Times New Roman" w:cs="Times New Roman"/>
          <w:sz w:val="24"/>
          <w:szCs w:val="24"/>
        </w:rPr>
        <w:t>belligerent</w:t>
      </w:r>
      <w:r w:rsidR="00633FA6">
        <w:rPr>
          <w:rFonts w:ascii="Times New Roman" w:eastAsia="Times New Roman" w:hAnsi="Times New Roman" w:cs="Times New Roman"/>
          <w:sz w:val="24"/>
          <w:szCs w:val="24"/>
        </w:rPr>
        <w:t xml:space="preserve">, apartheid </w:t>
      </w:r>
      <w:r w:rsidR="002205C9">
        <w:rPr>
          <w:rFonts w:ascii="Times New Roman" w:eastAsia="Times New Roman" w:hAnsi="Times New Roman" w:cs="Times New Roman"/>
          <w:sz w:val="24"/>
          <w:szCs w:val="24"/>
        </w:rPr>
        <w:t xml:space="preserve">as well as ongoing colonial practices </w:t>
      </w:r>
      <w:r w:rsidR="00633FA6">
        <w:rPr>
          <w:rFonts w:ascii="Times New Roman" w:eastAsia="Times New Roman" w:hAnsi="Times New Roman" w:cs="Times New Roman"/>
          <w:sz w:val="24"/>
          <w:szCs w:val="24"/>
        </w:rPr>
        <w:t xml:space="preserve">which </w:t>
      </w:r>
      <w:r w:rsidR="002205C9">
        <w:rPr>
          <w:rFonts w:ascii="Times New Roman" w:eastAsia="Times New Roman" w:hAnsi="Times New Roman" w:cs="Times New Roman"/>
          <w:sz w:val="24"/>
          <w:szCs w:val="24"/>
        </w:rPr>
        <w:t>must be reflected in</w:t>
      </w:r>
      <w:r w:rsidR="00517A7E">
        <w:rPr>
          <w:rFonts w:ascii="Times New Roman" w:eastAsia="Times New Roman" w:hAnsi="Times New Roman" w:cs="Times New Roman"/>
          <w:sz w:val="24"/>
          <w:szCs w:val="24"/>
        </w:rPr>
        <w:t xml:space="preserve"> a</w:t>
      </w:r>
      <w:r w:rsidR="002205C9">
        <w:rPr>
          <w:rFonts w:ascii="Times New Roman" w:eastAsia="Times New Roman" w:hAnsi="Times New Roman" w:cs="Times New Roman"/>
          <w:sz w:val="24"/>
          <w:szCs w:val="24"/>
        </w:rPr>
        <w:t xml:space="preserve"> more explicit way</w:t>
      </w:r>
      <w:r>
        <w:rPr>
          <w:rFonts w:ascii="Times New Roman" w:eastAsia="Times New Roman" w:hAnsi="Times New Roman" w:cs="Times New Roman"/>
          <w:sz w:val="24"/>
          <w:szCs w:val="24"/>
        </w:rPr>
        <w:t xml:space="preserve"> in the DC RTD</w:t>
      </w:r>
      <w:r w:rsidR="002205C9">
        <w:rPr>
          <w:rFonts w:ascii="Times New Roman" w:eastAsia="Times New Roman" w:hAnsi="Times New Roman" w:cs="Times New Roman"/>
          <w:sz w:val="24"/>
          <w:szCs w:val="24"/>
        </w:rPr>
        <w:t xml:space="preserve"> to avoid failing those people from the very </w:t>
      </w:r>
      <w:r w:rsidR="00C97562">
        <w:rPr>
          <w:rFonts w:ascii="Times New Roman" w:eastAsia="Times New Roman" w:hAnsi="Times New Roman" w:cs="Times New Roman"/>
          <w:sz w:val="24"/>
          <w:szCs w:val="24"/>
        </w:rPr>
        <w:t>beginning</w:t>
      </w:r>
      <w:r w:rsidR="002205C9">
        <w:rPr>
          <w:rFonts w:ascii="Times New Roman" w:eastAsia="Times New Roman" w:hAnsi="Times New Roman" w:cs="Times New Roman"/>
          <w:sz w:val="24"/>
          <w:szCs w:val="24"/>
        </w:rPr>
        <w:t>.</w:t>
      </w:r>
      <w:r w:rsidR="00B16FED">
        <w:rPr>
          <w:rFonts w:ascii="Times New Roman" w:eastAsia="Times New Roman" w:hAnsi="Times New Roman" w:cs="Times New Roman"/>
          <w:sz w:val="24"/>
          <w:szCs w:val="24"/>
        </w:rPr>
        <w:t xml:space="preserve"> We point out </w:t>
      </w:r>
      <w:r w:rsidR="00517A7E">
        <w:rPr>
          <w:rFonts w:ascii="Times New Roman" w:eastAsia="Times New Roman" w:hAnsi="Times New Roman" w:cs="Times New Roman"/>
          <w:sz w:val="24"/>
          <w:szCs w:val="24"/>
        </w:rPr>
        <w:t xml:space="preserve">briefly </w:t>
      </w:r>
      <w:r w:rsidR="00B16FED">
        <w:rPr>
          <w:rFonts w:ascii="Times New Roman" w:eastAsia="Times New Roman" w:hAnsi="Times New Roman" w:cs="Times New Roman"/>
          <w:sz w:val="24"/>
          <w:szCs w:val="24"/>
        </w:rPr>
        <w:t xml:space="preserve">how </w:t>
      </w:r>
      <w:r w:rsidR="00633FA6">
        <w:rPr>
          <w:rFonts w:ascii="Times New Roman" w:eastAsia="Times New Roman" w:hAnsi="Times New Roman" w:cs="Times New Roman"/>
          <w:sz w:val="24"/>
          <w:szCs w:val="24"/>
        </w:rPr>
        <w:t xml:space="preserve">the </w:t>
      </w:r>
      <w:r w:rsidR="00A94A35">
        <w:rPr>
          <w:rFonts w:ascii="Times New Roman" w:eastAsia="Times New Roman" w:hAnsi="Times New Roman" w:cs="Times New Roman"/>
          <w:sz w:val="24"/>
          <w:szCs w:val="24"/>
        </w:rPr>
        <w:t>o</w:t>
      </w:r>
      <w:r w:rsidR="00B16FED">
        <w:rPr>
          <w:rFonts w:ascii="Times New Roman" w:eastAsia="Times New Roman" w:hAnsi="Times New Roman" w:cs="Times New Roman"/>
          <w:color w:val="231F20"/>
          <w:sz w:val="24"/>
          <w:szCs w:val="24"/>
        </w:rPr>
        <w:t>ngoing belligerent occupation, apartheid and unlawful collective punishment imposed on Palestinians limit</w:t>
      </w:r>
      <w:r w:rsidR="00633FA6">
        <w:rPr>
          <w:rFonts w:ascii="Times New Roman" w:eastAsia="Times New Roman" w:hAnsi="Times New Roman" w:cs="Times New Roman"/>
          <w:color w:val="231F20"/>
          <w:sz w:val="24"/>
          <w:szCs w:val="24"/>
        </w:rPr>
        <w:t>s</w:t>
      </w:r>
      <w:r w:rsidR="00B16FED">
        <w:rPr>
          <w:rFonts w:ascii="Times New Roman" w:eastAsia="Times New Roman" w:hAnsi="Times New Roman" w:cs="Times New Roman"/>
          <w:color w:val="231F20"/>
          <w:sz w:val="24"/>
          <w:szCs w:val="24"/>
        </w:rPr>
        <w:t xml:space="preserve"> the right to development as defined by the DRD and the DCRTD.</w:t>
      </w:r>
    </w:p>
    <w:p w14:paraId="1BADC180" w14:textId="3E6EDC51" w:rsidR="00B16FED" w:rsidRDefault="00A94A35" w:rsidP="00A94A35">
      <w:pPr>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There is a need for </w:t>
      </w:r>
      <w:r w:rsidR="00633FA6">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z w:val="24"/>
          <w:szCs w:val="24"/>
        </w:rPr>
        <w:t xml:space="preserve">acknowledgement of </w:t>
      </w:r>
      <w:r w:rsidR="00B16FED" w:rsidRPr="005C4475">
        <w:rPr>
          <w:rFonts w:ascii="Times New Roman" w:eastAsia="Times New Roman" w:hAnsi="Times New Roman" w:cs="Times New Roman"/>
          <w:color w:val="231F20"/>
          <w:sz w:val="24"/>
          <w:szCs w:val="24"/>
        </w:rPr>
        <w:t>the growing role of the business enterprises</w:t>
      </w:r>
      <w:r w:rsidR="00B16FED" w:rsidRPr="00967AA6">
        <w:rPr>
          <w:rFonts w:ascii="Times New Roman" w:eastAsia="Times New Roman" w:hAnsi="Times New Roman" w:cs="Times New Roman"/>
          <w:b/>
          <w:bCs/>
          <w:color w:val="231F20"/>
          <w:sz w:val="24"/>
          <w:szCs w:val="24"/>
        </w:rPr>
        <w:t xml:space="preserve"> </w:t>
      </w:r>
      <w:r w:rsidRPr="00A94A35">
        <w:rPr>
          <w:rFonts w:ascii="Times New Roman" w:eastAsia="Times New Roman" w:hAnsi="Times New Roman" w:cs="Times New Roman"/>
          <w:color w:val="231F20"/>
          <w:sz w:val="24"/>
          <w:szCs w:val="24"/>
        </w:rPr>
        <w:t xml:space="preserve">as non-State actors in the process of development </w:t>
      </w:r>
      <w:r w:rsidR="00B16FED">
        <w:rPr>
          <w:rFonts w:ascii="Times New Roman" w:eastAsia="Times New Roman" w:hAnsi="Times New Roman" w:cs="Times New Roman"/>
          <w:color w:val="231F20"/>
          <w:sz w:val="24"/>
          <w:szCs w:val="24"/>
        </w:rPr>
        <w:t>and the impact</w:t>
      </w:r>
      <w:r>
        <w:rPr>
          <w:rFonts w:ascii="Times New Roman" w:eastAsia="Times New Roman" w:hAnsi="Times New Roman" w:cs="Times New Roman"/>
          <w:color w:val="231F20"/>
          <w:sz w:val="24"/>
          <w:szCs w:val="24"/>
        </w:rPr>
        <w:t>s</w:t>
      </w:r>
      <w:r w:rsidR="00B16FED">
        <w:rPr>
          <w:rFonts w:ascii="Times New Roman" w:eastAsia="Times New Roman" w:hAnsi="Times New Roman" w:cs="Times New Roman"/>
          <w:color w:val="231F20"/>
          <w:sz w:val="24"/>
          <w:szCs w:val="24"/>
        </w:rPr>
        <w:t xml:space="preserve"> that business activities might have on the realization of the right to development. Therefore, we advise that </w:t>
      </w:r>
      <w:r w:rsidR="00633FA6">
        <w:rPr>
          <w:rFonts w:ascii="Times New Roman" w:eastAsia="Times New Roman" w:hAnsi="Times New Roman" w:cs="Times New Roman"/>
          <w:color w:val="231F20"/>
          <w:sz w:val="24"/>
          <w:szCs w:val="24"/>
        </w:rPr>
        <w:t xml:space="preserve">the </w:t>
      </w:r>
      <w:r w:rsidR="00B16FED">
        <w:rPr>
          <w:rFonts w:ascii="Times New Roman" w:eastAsia="Times New Roman" w:hAnsi="Times New Roman" w:cs="Times New Roman"/>
          <w:color w:val="231F20"/>
          <w:sz w:val="24"/>
          <w:szCs w:val="24"/>
        </w:rPr>
        <w:t xml:space="preserve">DC RTD includes </w:t>
      </w:r>
      <w:r w:rsidR="00B16FED" w:rsidRPr="004858A0">
        <w:rPr>
          <w:rFonts w:ascii="Times New Roman" w:eastAsia="Times New Roman" w:hAnsi="Times New Roman" w:cs="Times New Roman"/>
          <w:color w:val="231F20"/>
          <w:sz w:val="24"/>
          <w:szCs w:val="24"/>
        </w:rPr>
        <w:t>provisions on corporate liability</w:t>
      </w:r>
      <w:r>
        <w:rPr>
          <w:rFonts w:ascii="Times New Roman" w:eastAsia="Times New Roman" w:hAnsi="Times New Roman" w:cs="Times New Roman"/>
          <w:color w:val="231F20"/>
          <w:sz w:val="24"/>
          <w:szCs w:val="24"/>
        </w:rPr>
        <w:t xml:space="preserve"> and reflect </w:t>
      </w:r>
      <w:r w:rsidRPr="00A94A35">
        <w:rPr>
          <w:rFonts w:ascii="Times New Roman" w:eastAsia="Times New Roman" w:hAnsi="Times New Roman" w:cs="Times New Roman"/>
          <w:color w:val="231F20"/>
          <w:sz w:val="24"/>
          <w:szCs w:val="24"/>
        </w:rPr>
        <w:t xml:space="preserve">the United Nations 'Protect, Respect and </w:t>
      </w:r>
      <w:r>
        <w:rPr>
          <w:rFonts w:ascii="Times New Roman" w:eastAsia="Times New Roman" w:hAnsi="Times New Roman" w:cs="Times New Roman"/>
          <w:color w:val="231F20"/>
          <w:sz w:val="24"/>
          <w:szCs w:val="24"/>
        </w:rPr>
        <w:t xml:space="preserve">Remedy' Framework as per UN Guiding Principles on Business and Human Rights </w:t>
      </w:r>
    </w:p>
    <w:p w14:paraId="6244302A" w14:textId="27EE85B9" w:rsidR="00B16FED" w:rsidRDefault="00517A7E" w:rsidP="00A94A35">
      <w:pPr>
        <w:jc w:val="both"/>
        <w:rPr>
          <w:rFonts w:ascii="Times New Roman" w:eastAsia="Times New Roman" w:hAnsi="Times New Roman" w:cs="Times New Roman"/>
          <w:color w:val="231F20"/>
          <w:sz w:val="24"/>
          <w:szCs w:val="24"/>
        </w:rPr>
      </w:pPr>
      <w:r w:rsidRPr="00517A7E">
        <w:rPr>
          <w:rFonts w:ascii="Times New Roman" w:eastAsia="Times New Roman" w:hAnsi="Times New Roman" w:cs="Times New Roman"/>
          <w:color w:val="231F20"/>
          <w:sz w:val="24"/>
          <w:szCs w:val="24"/>
        </w:rPr>
        <w:t>The comprehensive nature of limitations for the right to development</w:t>
      </w:r>
      <w:r w:rsidR="00633FA6">
        <w:rPr>
          <w:rFonts w:ascii="Times New Roman" w:eastAsia="Times New Roman" w:hAnsi="Times New Roman" w:cs="Times New Roman"/>
          <w:color w:val="231F20"/>
          <w:sz w:val="24"/>
          <w:szCs w:val="24"/>
        </w:rPr>
        <w:t>, as</w:t>
      </w:r>
      <w:r w:rsidRPr="00517A7E">
        <w:rPr>
          <w:rFonts w:ascii="Times New Roman" w:eastAsia="Times New Roman" w:hAnsi="Times New Roman" w:cs="Times New Roman"/>
          <w:color w:val="231F20"/>
          <w:sz w:val="24"/>
          <w:szCs w:val="24"/>
        </w:rPr>
        <w:t xml:space="preserve"> acknowledged in the DC RTD</w:t>
      </w:r>
      <w:r w:rsidR="00633FA6">
        <w:rPr>
          <w:rFonts w:ascii="Times New Roman" w:eastAsia="Times New Roman" w:hAnsi="Times New Roman" w:cs="Times New Roman"/>
          <w:color w:val="231F20"/>
          <w:sz w:val="24"/>
          <w:szCs w:val="24"/>
        </w:rPr>
        <w:t>,</w:t>
      </w:r>
      <w:r w:rsidRPr="00517A7E">
        <w:rPr>
          <w:rFonts w:ascii="Times New Roman" w:eastAsia="Times New Roman" w:hAnsi="Times New Roman" w:cs="Times New Roman"/>
          <w:color w:val="231F20"/>
          <w:sz w:val="24"/>
          <w:szCs w:val="24"/>
        </w:rPr>
        <w:t xml:space="preserve"> as well as its strong connection to the right to self-determination requires provisions that translate the struggles of the people under overwhelming conditions of existing power asymmetry between the subjects. </w:t>
      </w:r>
      <w:r w:rsidR="00A94A35" w:rsidRPr="00A94A35">
        <w:rPr>
          <w:rFonts w:ascii="Times New Roman" w:eastAsia="Times New Roman" w:hAnsi="Times New Roman" w:cs="Times New Roman"/>
          <w:sz w:val="24"/>
          <w:szCs w:val="24"/>
        </w:rPr>
        <w:t xml:space="preserve">Therefore, to secure self-determined development demands a clear accountability mechanism that would allow the main subjects of the right to development to </w:t>
      </w:r>
      <w:r w:rsidR="001A0D1A">
        <w:rPr>
          <w:rFonts w:ascii="Times New Roman" w:eastAsia="Times New Roman" w:hAnsi="Times New Roman" w:cs="Times New Roman"/>
          <w:sz w:val="24"/>
          <w:szCs w:val="24"/>
        </w:rPr>
        <w:t>ensure</w:t>
      </w:r>
      <w:r w:rsidR="001A0D1A" w:rsidRPr="00A94A35">
        <w:rPr>
          <w:rFonts w:ascii="Times New Roman" w:eastAsia="Times New Roman" w:hAnsi="Times New Roman" w:cs="Times New Roman"/>
          <w:sz w:val="24"/>
          <w:szCs w:val="24"/>
        </w:rPr>
        <w:t xml:space="preserve"> </w:t>
      </w:r>
      <w:r w:rsidR="00A94A35" w:rsidRPr="00A94A35">
        <w:rPr>
          <w:rFonts w:ascii="Times New Roman" w:eastAsia="Times New Roman" w:hAnsi="Times New Roman" w:cs="Times New Roman"/>
          <w:sz w:val="24"/>
          <w:szCs w:val="24"/>
        </w:rPr>
        <w:t>their ability to secure their sovereignty over natural resources as a crucial component of the right to development.</w:t>
      </w:r>
    </w:p>
    <w:sectPr w:rsidR="00B16FED" w:rsidSect="0001443B">
      <w:footerReference w:type="default" r:id="rId11"/>
      <w:pgSz w:w="12240" w:h="15840"/>
      <w:pgMar w:top="1417" w:right="1417" w:bottom="1417" w:left="1417" w:header="708" w:footer="70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4CC7" w16cex:dateUtc="2021-08-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7FFD3" w16cid:durableId="24CA4C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4C17" w14:textId="77777777" w:rsidR="00BD78D2" w:rsidRDefault="00BD78D2">
      <w:pPr>
        <w:spacing w:after="0" w:line="240" w:lineRule="auto"/>
      </w:pPr>
      <w:r>
        <w:separator/>
      </w:r>
    </w:p>
  </w:endnote>
  <w:endnote w:type="continuationSeparator" w:id="0">
    <w:p w14:paraId="588E3A8D" w14:textId="77777777" w:rsidR="00BD78D2" w:rsidRDefault="00BD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Std-Light">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93644"/>
      <w:docPartObj>
        <w:docPartGallery w:val="Page Numbers (Bottom of Page)"/>
        <w:docPartUnique/>
      </w:docPartObj>
    </w:sdtPr>
    <w:sdtEndPr>
      <w:rPr>
        <w:noProof/>
      </w:rPr>
    </w:sdtEndPr>
    <w:sdtContent>
      <w:p w14:paraId="4C4D35D6" w14:textId="71ECC86E" w:rsidR="0001443B" w:rsidRDefault="0001443B">
        <w:pPr>
          <w:pStyle w:val="Footer"/>
          <w:jc w:val="right"/>
        </w:pPr>
        <w:r>
          <w:fldChar w:fldCharType="begin"/>
        </w:r>
        <w:r>
          <w:instrText xml:space="preserve"> PAGE   \* MERGEFORMAT </w:instrText>
        </w:r>
        <w:r>
          <w:fldChar w:fldCharType="separate"/>
        </w:r>
        <w:r w:rsidR="005219DB">
          <w:rPr>
            <w:noProof/>
          </w:rPr>
          <w:t>2</w:t>
        </w:r>
        <w:r>
          <w:rPr>
            <w:noProof/>
          </w:rPr>
          <w:fldChar w:fldCharType="end"/>
        </w:r>
      </w:p>
    </w:sdtContent>
  </w:sdt>
  <w:p w14:paraId="174F4FF4" w14:textId="77777777" w:rsidR="00F27A29" w:rsidRDefault="00F2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C1343" w14:textId="77777777" w:rsidR="00BD78D2" w:rsidRDefault="00BD78D2">
      <w:pPr>
        <w:spacing w:after="0" w:line="240" w:lineRule="auto"/>
      </w:pPr>
      <w:r>
        <w:separator/>
      </w:r>
    </w:p>
  </w:footnote>
  <w:footnote w:type="continuationSeparator" w:id="0">
    <w:p w14:paraId="74B72FF3" w14:textId="77777777" w:rsidR="00BD78D2" w:rsidRDefault="00BD78D2">
      <w:pPr>
        <w:spacing w:after="0" w:line="240" w:lineRule="auto"/>
      </w:pPr>
      <w:r>
        <w:continuationSeparator/>
      </w:r>
    </w:p>
  </w:footnote>
  <w:footnote w:id="1">
    <w:p w14:paraId="49E25479" w14:textId="77777777" w:rsidR="00CF10B9" w:rsidRPr="006E1A5D" w:rsidRDefault="00CF10B9" w:rsidP="00CF10B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w:t>
      </w:r>
      <w:r w:rsidRPr="006E1A5D">
        <w:rPr>
          <w:rFonts w:asciiTheme="majorBidi" w:hAnsiTheme="majorBidi" w:cstheme="majorBidi"/>
          <w:i/>
          <w:color w:val="000000"/>
          <w:sz w:val="20"/>
          <w:szCs w:val="20"/>
        </w:rPr>
        <w:t>Al-Haq’s Reasons in Support of an International Treaty on the Right to Development</w:t>
      </w:r>
      <w:r w:rsidRPr="006E1A5D">
        <w:rPr>
          <w:rFonts w:asciiTheme="majorBidi" w:hAnsiTheme="majorBidi" w:cstheme="majorBidi"/>
          <w:color w:val="000000"/>
          <w:sz w:val="20"/>
          <w:szCs w:val="20"/>
        </w:rPr>
        <w:t>, 3 May 2019, available at: &lt;</w:t>
      </w:r>
      <w:hyperlink r:id="rId1">
        <w:r w:rsidRPr="006E1A5D">
          <w:rPr>
            <w:rFonts w:asciiTheme="majorBidi" w:hAnsiTheme="majorBidi" w:cstheme="majorBidi"/>
            <w:color w:val="0000FF"/>
            <w:sz w:val="20"/>
            <w:szCs w:val="20"/>
            <w:u w:val="single"/>
          </w:rPr>
          <w:t>https://www.alhaq.org/advocacy/6059.html</w:t>
        </w:r>
      </w:hyperlink>
      <w:r w:rsidRPr="006E1A5D">
        <w:rPr>
          <w:rFonts w:asciiTheme="majorBidi" w:hAnsiTheme="majorBidi" w:cstheme="majorBidi"/>
          <w:color w:val="000000"/>
          <w:sz w:val="20"/>
          <w:szCs w:val="20"/>
        </w:rPr>
        <w:t>&gt;.</w:t>
      </w:r>
    </w:p>
  </w:footnote>
  <w:footnote w:id="2">
    <w:p w14:paraId="78608397" w14:textId="359EE4AE" w:rsidR="00C10171" w:rsidRPr="006E1A5D" w:rsidRDefault="00C10171" w:rsidP="006E1A5D">
      <w:pPr>
        <w:pStyle w:val="FootnoteText"/>
        <w:rPr>
          <w:rFonts w:asciiTheme="majorBidi" w:hAnsiTheme="majorBidi" w:cstheme="majorBidi"/>
        </w:rPr>
      </w:pPr>
      <w:r w:rsidRPr="006E1A5D">
        <w:rPr>
          <w:rStyle w:val="FootnoteReference"/>
          <w:rFonts w:asciiTheme="majorBidi" w:hAnsiTheme="majorBidi" w:cstheme="majorBidi"/>
        </w:rPr>
        <w:footnoteRef/>
      </w:r>
      <w:r w:rsidRPr="006E1A5D">
        <w:rPr>
          <w:rFonts w:asciiTheme="majorBidi" w:hAnsiTheme="majorBidi" w:cstheme="majorBidi"/>
        </w:rPr>
        <w:t xml:space="preserve"> </w:t>
      </w:r>
      <w:r w:rsidRPr="006E1A5D">
        <w:rPr>
          <w:rFonts w:asciiTheme="majorBidi" w:hAnsiTheme="majorBidi" w:cstheme="majorBidi"/>
          <w:i/>
          <w:iCs/>
        </w:rPr>
        <w:t xml:space="preserve">See </w:t>
      </w:r>
      <w:r w:rsidRPr="006E1A5D">
        <w:rPr>
          <w:rFonts w:asciiTheme="majorBidi" w:hAnsiTheme="majorBidi" w:cstheme="majorBidi"/>
        </w:rPr>
        <w:t xml:space="preserve">UNGA, A/RES/3376(XXX), 10 November 1975, </w:t>
      </w:r>
      <w:r w:rsidR="006E1A5D" w:rsidRPr="006E1A5D">
        <w:rPr>
          <w:rFonts w:asciiTheme="majorBidi" w:hAnsiTheme="majorBidi" w:cstheme="majorBidi"/>
        </w:rPr>
        <w:t xml:space="preserve">available at: </w:t>
      </w:r>
      <w:r w:rsidRPr="006E1A5D">
        <w:rPr>
          <w:rFonts w:asciiTheme="majorBidi" w:hAnsiTheme="majorBidi" w:cstheme="majorBidi"/>
        </w:rPr>
        <w:t xml:space="preserve">&lt;https://unispal.un.org/DPA/DPR/unispal.nsf/0/B5B4720B8192FDE3852560DE004F3C47&gt;. </w:t>
      </w:r>
    </w:p>
  </w:footnote>
  <w:footnote w:id="3">
    <w:p w14:paraId="20D0755A" w14:textId="06B7FBC3" w:rsidR="00685D8B" w:rsidRPr="00685D8B" w:rsidRDefault="00685D8B" w:rsidP="00F6642F">
      <w:pPr>
        <w:pStyle w:val="FootnoteText"/>
        <w:rPr>
          <w:rFonts w:asciiTheme="majorBidi" w:hAnsiTheme="majorBidi" w:cstheme="majorBidi"/>
        </w:rPr>
      </w:pPr>
      <w:r w:rsidRPr="00685D8B">
        <w:rPr>
          <w:rStyle w:val="FootnoteReference"/>
          <w:rFonts w:asciiTheme="majorBidi" w:hAnsiTheme="majorBidi" w:cstheme="majorBidi"/>
        </w:rPr>
        <w:footnoteRef/>
      </w:r>
      <w:r w:rsidRPr="00685D8B">
        <w:rPr>
          <w:rFonts w:asciiTheme="majorBidi" w:hAnsiTheme="majorBidi" w:cstheme="majorBidi"/>
        </w:rPr>
        <w:t xml:space="preserve"> </w:t>
      </w:r>
      <w:r>
        <w:rPr>
          <w:rFonts w:asciiTheme="majorBidi" w:hAnsiTheme="majorBidi" w:cstheme="majorBidi"/>
        </w:rPr>
        <w:t xml:space="preserve">OHCHR, </w:t>
      </w:r>
      <w:r w:rsidRPr="00F6642F">
        <w:rPr>
          <w:rFonts w:asciiTheme="majorBidi" w:hAnsiTheme="majorBidi" w:cstheme="majorBidi"/>
          <w:i/>
          <w:iCs/>
        </w:rPr>
        <w:t>Report of the Special Rapporteur on the situation of human rights in</w:t>
      </w:r>
      <w:r w:rsidR="00F6642F" w:rsidRPr="00F6642F">
        <w:rPr>
          <w:rFonts w:asciiTheme="majorBidi" w:hAnsiTheme="majorBidi" w:cstheme="majorBidi"/>
          <w:i/>
          <w:iCs/>
        </w:rPr>
        <w:t xml:space="preserve"> </w:t>
      </w:r>
      <w:r w:rsidRPr="00F6642F">
        <w:rPr>
          <w:rFonts w:asciiTheme="majorBidi" w:hAnsiTheme="majorBidi" w:cstheme="majorBidi"/>
          <w:i/>
          <w:iCs/>
        </w:rPr>
        <w:t>the Palestinian territories occupied since 1967</w:t>
      </w:r>
      <w:r>
        <w:rPr>
          <w:rFonts w:asciiTheme="majorBidi" w:hAnsiTheme="majorBidi" w:cstheme="majorBidi"/>
        </w:rPr>
        <w:t xml:space="preserve">, </w:t>
      </w:r>
      <w:r w:rsidR="00F6642F">
        <w:rPr>
          <w:rFonts w:asciiTheme="majorBidi" w:hAnsiTheme="majorBidi" w:cstheme="majorBidi"/>
        </w:rPr>
        <w:t xml:space="preserve">p. 7-8, </w:t>
      </w:r>
      <w:r w:rsidRPr="00685D8B">
        <w:rPr>
          <w:rFonts w:asciiTheme="majorBidi" w:hAnsiTheme="majorBidi" w:cstheme="majorBidi"/>
        </w:rPr>
        <w:t>A/HRC/44/60</w:t>
      </w:r>
      <w:r>
        <w:rPr>
          <w:rFonts w:asciiTheme="majorBidi" w:hAnsiTheme="majorBidi" w:cstheme="majorBidi"/>
        </w:rPr>
        <w:t>, 15 July 2020, available at: &lt;</w:t>
      </w:r>
      <w:r w:rsidRPr="00685D8B">
        <w:rPr>
          <w:rFonts w:asciiTheme="majorBidi" w:hAnsiTheme="majorBidi" w:cstheme="majorBidi"/>
        </w:rPr>
        <w:t>https://www.ohchr.org/EN/HRBodies/HRC/RegularSessions/Session44/Documents/A_HRC_44_60.pdf</w:t>
      </w:r>
      <w:r>
        <w:rPr>
          <w:rFonts w:asciiTheme="majorBidi" w:hAnsiTheme="majorBidi" w:cstheme="majorBidi"/>
        </w:rPr>
        <w:t>&gt;.</w:t>
      </w:r>
    </w:p>
  </w:footnote>
  <w:footnote w:id="4">
    <w:p w14:paraId="00000031" w14:textId="77777777" w:rsidR="00D279DA" w:rsidRPr="006E1A5D" w:rsidRDefault="002205C9">
      <w:pPr>
        <w:spacing w:after="0" w:line="240" w:lineRule="auto"/>
        <w:rPr>
          <w:rFonts w:asciiTheme="majorBidi" w:hAnsiTheme="majorBidi" w:cstheme="majorBidi"/>
          <w:sz w:val="20"/>
          <w:szCs w:val="20"/>
        </w:rPr>
      </w:pPr>
      <w:r w:rsidRPr="006E1A5D">
        <w:rPr>
          <w:rStyle w:val="FootnoteReference"/>
          <w:rFonts w:asciiTheme="majorBidi" w:hAnsiTheme="majorBidi" w:cstheme="majorBidi"/>
        </w:rPr>
        <w:footnoteRef/>
      </w:r>
      <w:r w:rsidRPr="006E1A5D">
        <w:rPr>
          <w:rFonts w:asciiTheme="majorBidi" w:hAnsiTheme="majorBidi" w:cstheme="majorBidi"/>
          <w:sz w:val="20"/>
          <w:szCs w:val="20"/>
        </w:rPr>
        <w:t xml:space="preserve"> Susan Power, </w:t>
      </w:r>
      <w:r w:rsidRPr="006E1A5D">
        <w:rPr>
          <w:rFonts w:asciiTheme="majorBidi" w:hAnsiTheme="majorBidi" w:cstheme="majorBidi"/>
          <w:i/>
          <w:sz w:val="20"/>
          <w:szCs w:val="20"/>
        </w:rPr>
        <w:t>The Legal Architecture of Apartheid – by Dr. Susan Power</w:t>
      </w:r>
      <w:r w:rsidRPr="006E1A5D">
        <w:rPr>
          <w:rFonts w:asciiTheme="majorBidi" w:hAnsiTheme="majorBidi" w:cstheme="majorBidi"/>
          <w:sz w:val="20"/>
          <w:szCs w:val="20"/>
        </w:rPr>
        <w:t>, 2 April 2021, available at: &lt;</w:t>
      </w:r>
      <w:hyperlink r:id="rId2">
        <w:r w:rsidRPr="006E1A5D">
          <w:rPr>
            <w:rFonts w:asciiTheme="majorBidi" w:hAnsiTheme="majorBidi" w:cstheme="majorBidi"/>
            <w:sz w:val="20"/>
            <w:szCs w:val="20"/>
          </w:rPr>
          <w:t>https://aardi.org/2021/04/02/the-legal-architecture-of-apartheid-by-dr-susan-powers-al-haq/</w:t>
        </w:r>
      </w:hyperlink>
      <w:r w:rsidRPr="006E1A5D">
        <w:rPr>
          <w:rFonts w:asciiTheme="majorBidi" w:hAnsiTheme="majorBidi" w:cstheme="majorBidi"/>
          <w:sz w:val="20"/>
          <w:szCs w:val="20"/>
        </w:rPr>
        <w:t xml:space="preserve">&gt;. </w:t>
      </w:r>
    </w:p>
  </w:footnote>
  <w:footnote w:id="5">
    <w:p w14:paraId="4BB92861" w14:textId="77777777" w:rsidR="00074F95" w:rsidRPr="006E1A5D" w:rsidRDefault="00074F95" w:rsidP="00074F95">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See R. Falk, V. Tilly, </w:t>
      </w:r>
      <w:r w:rsidRPr="006E1A5D">
        <w:rPr>
          <w:rFonts w:asciiTheme="majorBidi" w:hAnsiTheme="majorBidi" w:cstheme="majorBidi"/>
          <w:i/>
          <w:color w:val="000000"/>
          <w:sz w:val="20"/>
          <w:szCs w:val="20"/>
        </w:rPr>
        <w:t>Israeli Practices towards the Palestinian People and the Question of Apartheid</w:t>
      </w:r>
      <w:r w:rsidRPr="006E1A5D">
        <w:rPr>
          <w:rFonts w:asciiTheme="majorBidi" w:hAnsiTheme="majorBidi" w:cstheme="majorBidi"/>
          <w:color w:val="000000"/>
          <w:sz w:val="20"/>
          <w:szCs w:val="20"/>
        </w:rPr>
        <w:t>, E/ESCWA/ECRI/2017/1, available at: &lt;https://aardi.org/wp-content/uploads/2020/04/ESCWA-2017-Richard-Falk-Apartheid.pdf&gt;.</w:t>
      </w:r>
    </w:p>
  </w:footnote>
  <w:footnote w:id="6">
    <w:p w14:paraId="194F00E2" w14:textId="77777777" w:rsidR="00074F95" w:rsidRPr="006E1A5D" w:rsidRDefault="00074F95" w:rsidP="00074F95">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Al-Haq, </w:t>
      </w:r>
      <w:r w:rsidRPr="006E1A5D">
        <w:rPr>
          <w:rFonts w:asciiTheme="majorBidi" w:hAnsiTheme="majorBidi" w:cstheme="majorBidi"/>
          <w:i/>
          <w:color w:val="000000"/>
          <w:sz w:val="20"/>
          <w:szCs w:val="20"/>
        </w:rPr>
        <w:t>Palestinian, regional, and international groups submit report on Israeli apartheid to UN Committee on the Elimination of Racial Discrimination</w:t>
      </w:r>
      <w:r w:rsidRPr="006E1A5D">
        <w:rPr>
          <w:rFonts w:asciiTheme="majorBidi" w:hAnsiTheme="majorBidi" w:cstheme="majorBidi"/>
          <w:color w:val="000000"/>
          <w:sz w:val="20"/>
          <w:szCs w:val="20"/>
        </w:rPr>
        <w:t>, 12 November 2019, available at: &lt;</w:t>
      </w:r>
      <w:hyperlink r:id="rId3">
        <w:r w:rsidRPr="006E1A5D">
          <w:rPr>
            <w:rFonts w:asciiTheme="majorBidi" w:hAnsiTheme="majorBidi" w:cstheme="majorBidi"/>
            <w:color w:val="0000FF"/>
            <w:sz w:val="20"/>
            <w:szCs w:val="20"/>
            <w:u w:val="single"/>
          </w:rPr>
          <w:t>https://www.alhaq.org/advocacy/16183.html</w:t>
        </w:r>
      </w:hyperlink>
      <w:r w:rsidRPr="006E1A5D">
        <w:rPr>
          <w:rFonts w:asciiTheme="majorBidi" w:hAnsiTheme="majorBidi" w:cstheme="majorBidi"/>
          <w:color w:val="000000"/>
          <w:sz w:val="20"/>
          <w:szCs w:val="20"/>
        </w:rPr>
        <w:t xml:space="preserve">&gt;; Human Rights Watch, </w:t>
      </w:r>
      <w:r w:rsidRPr="006E1A5D">
        <w:rPr>
          <w:rFonts w:asciiTheme="majorBidi" w:hAnsiTheme="majorBidi" w:cstheme="majorBidi"/>
          <w:i/>
          <w:color w:val="000000"/>
          <w:sz w:val="20"/>
          <w:szCs w:val="20"/>
        </w:rPr>
        <w:t>A Threshold Crossed. Israeli Authorities and the Crimes of Apartheid and Persecution</w:t>
      </w:r>
      <w:r w:rsidRPr="006E1A5D">
        <w:rPr>
          <w:rFonts w:asciiTheme="majorBidi" w:hAnsiTheme="majorBidi" w:cstheme="majorBidi"/>
          <w:color w:val="000000"/>
          <w:sz w:val="20"/>
          <w:szCs w:val="20"/>
        </w:rPr>
        <w:t xml:space="preserve">, 27 April 2021, available at: &lt;https://www.hrw.org/report/2021/04/27/threshold-crossed/israeli-authorities-and-crimes-apartheid-and-persecution&gt;; B’tselem, </w:t>
      </w:r>
      <w:r w:rsidRPr="006E1A5D">
        <w:rPr>
          <w:rFonts w:asciiTheme="majorBidi" w:hAnsiTheme="majorBidi" w:cstheme="majorBidi"/>
          <w:i/>
          <w:color w:val="000000"/>
          <w:sz w:val="20"/>
          <w:szCs w:val="20"/>
        </w:rPr>
        <w:t>A regime of Jewish supremacy from the Jordan River to the Mediterranean Sea: This is apartheid</w:t>
      </w:r>
      <w:r w:rsidRPr="006E1A5D">
        <w:rPr>
          <w:rFonts w:asciiTheme="majorBidi" w:hAnsiTheme="majorBidi" w:cstheme="majorBidi"/>
          <w:color w:val="000000"/>
          <w:sz w:val="20"/>
          <w:szCs w:val="20"/>
        </w:rPr>
        <w:t>, 12 January 2021, available at: &lt;https://www.btselem.org/publications/fulltext/202101_this_is_apartheid&gt;.</w:t>
      </w:r>
    </w:p>
  </w:footnote>
  <w:footnote w:id="7">
    <w:p w14:paraId="352E0915" w14:textId="11D46DE0" w:rsidR="0066637A" w:rsidRPr="006E1A5D" w:rsidRDefault="0066637A">
      <w:pPr>
        <w:pStyle w:val="FootnoteText"/>
        <w:rPr>
          <w:rFonts w:asciiTheme="majorBidi" w:hAnsiTheme="majorBidi" w:cstheme="majorBidi"/>
          <w:lang w:val="en-US"/>
        </w:rPr>
      </w:pPr>
      <w:r w:rsidRPr="006E1A5D">
        <w:rPr>
          <w:rStyle w:val="FootnoteReference"/>
          <w:rFonts w:asciiTheme="majorBidi" w:hAnsiTheme="majorBidi" w:cstheme="majorBidi"/>
        </w:rPr>
        <w:footnoteRef/>
      </w:r>
      <w:r w:rsidRPr="006E1A5D">
        <w:rPr>
          <w:rFonts w:asciiTheme="majorBidi" w:hAnsiTheme="majorBidi" w:cstheme="majorBidi"/>
        </w:rPr>
        <w:t xml:space="preserve"> </w:t>
      </w:r>
      <w:r w:rsidRPr="006E1A5D">
        <w:rPr>
          <w:rFonts w:asciiTheme="majorBidi" w:hAnsiTheme="majorBidi" w:cstheme="majorBidi"/>
          <w:lang w:val="en-US"/>
        </w:rPr>
        <w:t xml:space="preserve">UNGA, Rome Statute of the International Criminal Court, 1998, Article 7(1)(j), &lt;https://www.icc-cpi.int/nr/rdonlyres/add16852-aee9-4757-abe7-9cdc7cf02886/283503/romestatuteng1.pdf&gt;. </w:t>
      </w:r>
    </w:p>
  </w:footnote>
  <w:footnote w:id="8">
    <w:p w14:paraId="00000034"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OHCHR, </w:t>
      </w:r>
      <w:r w:rsidRPr="006E1A5D">
        <w:rPr>
          <w:rFonts w:asciiTheme="majorBidi" w:hAnsiTheme="majorBidi" w:cstheme="majorBidi"/>
          <w:i/>
          <w:color w:val="000000"/>
          <w:sz w:val="20"/>
          <w:szCs w:val="20"/>
        </w:rPr>
        <w:t>Israel breaching Palestine’s right to development, UN human rights expert finds</w:t>
      </w:r>
      <w:r w:rsidRPr="006E1A5D">
        <w:rPr>
          <w:rFonts w:asciiTheme="majorBidi" w:hAnsiTheme="majorBidi" w:cstheme="majorBidi"/>
          <w:color w:val="000000"/>
          <w:sz w:val="20"/>
          <w:szCs w:val="20"/>
        </w:rPr>
        <w:t>, 27 October 2016, available at: &lt;</w:t>
      </w:r>
      <w:hyperlink r:id="rId4">
        <w:r w:rsidRPr="006E1A5D">
          <w:rPr>
            <w:rFonts w:asciiTheme="majorBidi" w:hAnsiTheme="majorBidi" w:cstheme="majorBidi"/>
            <w:color w:val="0000FF"/>
            <w:sz w:val="20"/>
            <w:szCs w:val="20"/>
            <w:u w:val="single"/>
          </w:rPr>
          <w:t>https://www.ohchr.org/EN/NewsEvents/Pages/DisplayNews.aspx?NewsID=20781&amp;LangID=E</w:t>
        </w:r>
      </w:hyperlink>
      <w:r w:rsidRPr="006E1A5D">
        <w:rPr>
          <w:rFonts w:asciiTheme="majorBidi" w:hAnsiTheme="majorBidi" w:cstheme="majorBidi"/>
          <w:color w:val="000000"/>
          <w:sz w:val="20"/>
          <w:szCs w:val="20"/>
        </w:rPr>
        <w:t xml:space="preserve">&gt;. </w:t>
      </w:r>
    </w:p>
  </w:footnote>
  <w:footnote w:id="9">
    <w:p w14:paraId="00000035"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OHCHR, </w:t>
      </w:r>
      <w:r w:rsidRPr="006E1A5D">
        <w:rPr>
          <w:rFonts w:asciiTheme="majorBidi" w:hAnsiTheme="majorBidi" w:cstheme="majorBidi"/>
          <w:i/>
          <w:color w:val="000000"/>
          <w:sz w:val="20"/>
          <w:szCs w:val="20"/>
        </w:rPr>
        <w:t>Report on situation of human rights in the Palestinian territories occupied since 1967</w:t>
      </w:r>
      <w:r w:rsidRPr="006E1A5D">
        <w:rPr>
          <w:rFonts w:asciiTheme="majorBidi" w:hAnsiTheme="majorBidi" w:cstheme="majorBidi"/>
          <w:color w:val="000000"/>
          <w:sz w:val="20"/>
          <w:szCs w:val="20"/>
        </w:rPr>
        <w:t xml:space="preserve">, A/71/554, 19 October 2016, p. 15, available at: &lt; </w:t>
      </w:r>
      <w:hyperlink r:id="rId5">
        <w:r w:rsidRPr="006E1A5D">
          <w:rPr>
            <w:rFonts w:asciiTheme="majorBidi" w:hAnsiTheme="majorBidi" w:cstheme="majorBidi"/>
            <w:color w:val="0000FF"/>
            <w:sz w:val="20"/>
            <w:szCs w:val="20"/>
            <w:u w:val="single"/>
          </w:rPr>
          <w:t>https://undocs.org/A/71/554</w:t>
        </w:r>
      </w:hyperlink>
      <w:r w:rsidRPr="006E1A5D">
        <w:rPr>
          <w:rFonts w:asciiTheme="majorBidi" w:hAnsiTheme="majorBidi" w:cstheme="majorBidi"/>
          <w:color w:val="000000"/>
          <w:sz w:val="20"/>
          <w:szCs w:val="20"/>
        </w:rPr>
        <w:t xml:space="preserve">&gt;. </w:t>
      </w:r>
    </w:p>
  </w:footnote>
  <w:footnote w:id="10">
    <w:p w14:paraId="00000036"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Palestinian people denied human right to development, UNCTAD study says, 3 April 2018, available at: &lt;https://unctad.org/news/palestinian-people-denied-human-right-development-unctad-study-says&gt;.</w:t>
      </w:r>
    </w:p>
  </w:footnote>
  <w:footnote w:id="11">
    <w:p w14:paraId="00000037"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Al-Haq, </w:t>
      </w:r>
      <w:r w:rsidRPr="006E1A5D">
        <w:rPr>
          <w:rFonts w:asciiTheme="majorBidi" w:hAnsiTheme="majorBidi" w:cstheme="majorBidi"/>
          <w:i/>
          <w:color w:val="000000"/>
          <w:sz w:val="20"/>
          <w:szCs w:val="20"/>
        </w:rPr>
        <w:t xml:space="preserve">COVID-19 and the Right to Health of Palestinians under Israeli Occupation, Colonisation, and Apartheid, </w:t>
      </w:r>
      <w:r w:rsidRPr="006E1A5D">
        <w:rPr>
          <w:rFonts w:asciiTheme="majorBidi" w:hAnsiTheme="majorBidi" w:cstheme="majorBidi"/>
          <w:color w:val="000000"/>
          <w:sz w:val="20"/>
          <w:szCs w:val="20"/>
        </w:rPr>
        <w:t xml:space="preserve">8 December 2020, available at: &lt;https://www.alhaq.org/publications/17621.html&gt;; See also Al-Haq, Jerusalem Legal Aid and Human Rights Centre (JLAC), Medical Aid for Palestinians (MAP), </w:t>
      </w:r>
      <w:r w:rsidRPr="006E1A5D">
        <w:rPr>
          <w:rFonts w:asciiTheme="majorBidi" w:hAnsiTheme="majorBidi" w:cstheme="majorBidi"/>
          <w:i/>
          <w:color w:val="000000"/>
          <w:sz w:val="20"/>
          <w:szCs w:val="20"/>
        </w:rPr>
        <w:t>COVID-19 and the Systematic Neglect of East Jerusalem</w:t>
      </w:r>
      <w:r w:rsidRPr="006E1A5D">
        <w:rPr>
          <w:rFonts w:asciiTheme="majorBidi" w:hAnsiTheme="majorBidi" w:cstheme="majorBidi"/>
          <w:color w:val="000000"/>
          <w:sz w:val="20"/>
          <w:szCs w:val="20"/>
        </w:rPr>
        <w:t>, 14 July 2020, available at: &lt;https://www.alhaq.org/publications/17118.html&gt;.</w:t>
      </w:r>
    </w:p>
  </w:footnote>
  <w:footnote w:id="12">
    <w:p w14:paraId="00000038"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The World Bank, </w:t>
      </w:r>
      <w:r w:rsidRPr="006E1A5D">
        <w:rPr>
          <w:rFonts w:asciiTheme="majorBidi" w:hAnsiTheme="majorBidi" w:cstheme="majorBidi"/>
          <w:i/>
          <w:color w:val="000000"/>
          <w:sz w:val="20"/>
          <w:szCs w:val="20"/>
        </w:rPr>
        <w:t>Palestinian Territories' Economic Update — April 2021</w:t>
      </w:r>
      <w:r w:rsidRPr="006E1A5D">
        <w:rPr>
          <w:rFonts w:asciiTheme="majorBidi" w:hAnsiTheme="majorBidi" w:cstheme="majorBidi"/>
          <w:color w:val="000000"/>
          <w:sz w:val="20"/>
          <w:szCs w:val="20"/>
        </w:rPr>
        <w:t>, available at: &lt;https://www.worldbank.org/en/country/westbankandgaza/publication/economic-update-april-2021&gt;.</w:t>
      </w:r>
    </w:p>
  </w:footnote>
  <w:footnote w:id="13">
    <w:p w14:paraId="00000039"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Al-Haq, </w:t>
      </w:r>
      <w:r w:rsidRPr="006E1A5D">
        <w:rPr>
          <w:rFonts w:asciiTheme="majorBidi" w:hAnsiTheme="majorBidi" w:cstheme="majorBidi"/>
          <w:i/>
          <w:color w:val="000000"/>
          <w:sz w:val="20"/>
          <w:szCs w:val="20"/>
        </w:rPr>
        <w:t>International Community Must Address Root Causes, of Colonialism, Apartheid and De Facto Annexation Leading to Killing of 123 Palestinians and injury of over 1,500 in an Eid of Israeli Terror</w:t>
      </w:r>
      <w:r w:rsidRPr="006E1A5D">
        <w:rPr>
          <w:rFonts w:asciiTheme="majorBidi" w:hAnsiTheme="majorBidi" w:cstheme="majorBidi"/>
          <w:color w:val="000000"/>
          <w:sz w:val="20"/>
          <w:szCs w:val="20"/>
        </w:rPr>
        <w:t>, 13 May 2021, available at: &lt;https://www.alhaq.org/advocacy/18323.html&gt;.</w:t>
      </w:r>
    </w:p>
  </w:footnote>
  <w:footnote w:id="14">
    <w:p w14:paraId="0000003A"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w:t>
      </w:r>
      <w:r w:rsidRPr="006E1A5D">
        <w:rPr>
          <w:rFonts w:asciiTheme="majorBidi" w:hAnsiTheme="majorBidi" w:cstheme="majorBidi"/>
          <w:i/>
          <w:color w:val="000000"/>
          <w:sz w:val="20"/>
          <w:szCs w:val="20"/>
        </w:rPr>
        <w:t>Al-Haq Condemns the Killing of Four Palestinian youth during an Israeli Occupying Forces (IOF) special undercover force raid in Jenin</w:t>
      </w:r>
      <w:r w:rsidRPr="006E1A5D">
        <w:rPr>
          <w:rFonts w:asciiTheme="majorBidi" w:hAnsiTheme="majorBidi" w:cstheme="majorBidi"/>
          <w:color w:val="000000"/>
          <w:sz w:val="20"/>
          <w:szCs w:val="20"/>
        </w:rPr>
        <w:t>, 17 August 2021, available at: &lt;alhaq.org/advocacy/18728.html&gt;.</w:t>
      </w:r>
    </w:p>
  </w:footnote>
  <w:footnote w:id="15">
    <w:p w14:paraId="0000003B" w14:textId="49899CA1" w:rsidR="00D279DA" w:rsidRPr="006E1A5D" w:rsidRDefault="002205C9" w:rsidP="00FA46AB">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w:t>
      </w:r>
      <w:r w:rsidR="00D61A8E">
        <w:rPr>
          <w:rFonts w:asciiTheme="majorBidi" w:hAnsiTheme="majorBidi" w:cstheme="majorBidi"/>
          <w:color w:val="000000"/>
          <w:sz w:val="20"/>
          <w:szCs w:val="20"/>
        </w:rPr>
        <w:t>Al Mezan</w:t>
      </w:r>
      <w:r w:rsidR="00FA46AB">
        <w:rPr>
          <w:rFonts w:asciiTheme="majorBidi" w:hAnsiTheme="majorBidi" w:cstheme="majorBidi"/>
          <w:color w:val="000000"/>
          <w:sz w:val="20"/>
          <w:szCs w:val="20"/>
        </w:rPr>
        <w:t xml:space="preserve">, </w:t>
      </w:r>
      <w:r w:rsidR="00FA46AB" w:rsidRPr="00FA46AB">
        <w:rPr>
          <w:rFonts w:asciiTheme="majorBidi" w:hAnsiTheme="majorBidi" w:cstheme="majorBidi"/>
          <w:i/>
          <w:iCs/>
          <w:color w:val="000000"/>
          <w:sz w:val="20"/>
          <w:szCs w:val="20"/>
        </w:rPr>
        <w:t>In focus: The effects of Israel’s offensive and tightened blockade on Gaza’s patients and healthcare system – May 2021</w:t>
      </w:r>
      <w:r w:rsidR="00FA46AB">
        <w:rPr>
          <w:rFonts w:asciiTheme="majorBidi" w:hAnsiTheme="majorBidi" w:cstheme="majorBidi"/>
          <w:color w:val="000000"/>
          <w:sz w:val="20"/>
          <w:szCs w:val="20"/>
        </w:rPr>
        <w:t xml:space="preserve">, available at: &lt; </w:t>
      </w:r>
      <w:r w:rsidR="00FA46AB" w:rsidRPr="00FA46AB">
        <w:rPr>
          <w:rFonts w:asciiTheme="majorBidi" w:hAnsiTheme="majorBidi" w:cstheme="majorBidi"/>
          <w:color w:val="000000"/>
          <w:sz w:val="20"/>
          <w:szCs w:val="20"/>
        </w:rPr>
        <w:t>http://mezan.org/en/post/24021</w:t>
      </w:r>
      <w:r w:rsidR="00FA46AB">
        <w:rPr>
          <w:rFonts w:asciiTheme="majorBidi" w:hAnsiTheme="majorBidi" w:cstheme="majorBidi"/>
          <w:color w:val="000000"/>
          <w:sz w:val="20"/>
          <w:szCs w:val="20"/>
        </w:rPr>
        <w:t>&gt;</w:t>
      </w:r>
      <w:r w:rsidRPr="006E1A5D">
        <w:rPr>
          <w:rFonts w:asciiTheme="majorBidi" w:hAnsiTheme="majorBidi" w:cstheme="majorBidi"/>
          <w:color w:val="000000"/>
          <w:sz w:val="20"/>
          <w:szCs w:val="20"/>
        </w:rPr>
        <w:t>.</w:t>
      </w:r>
    </w:p>
  </w:footnote>
  <w:footnote w:id="16">
    <w:p w14:paraId="0000003C"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The World Bank, </w:t>
      </w:r>
      <w:r w:rsidRPr="006E1A5D">
        <w:rPr>
          <w:rFonts w:asciiTheme="majorBidi" w:hAnsiTheme="majorBidi" w:cstheme="majorBidi"/>
          <w:i/>
          <w:color w:val="000000"/>
          <w:sz w:val="20"/>
          <w:szCs w:val="20"/>
        </w:rPr>
        <w:t>The Rebuilding of Gaza Amid Dire Conditions: Damage, Losses, and Needs</w:t>
      </w:r>
      <w:r w:rsidRPr="006E1A5D">
        <w:rPr>
          <w:rFonts w:asciiTheme="majorBidi" w:hAnsiTheme="majorBidi" w:cstheme="majorBidi"/>
          <w:color w:val="000000"/>
          <w:sz w:val="20"/>
          <w:szCs w:val="20"/>
        </w:rPr>
        <w:t>, 6 July 2021, available at: &lt;https://www.worldbank.org/en/news/press-release/2021/07/06/the-rebuilding-of-gaza-amid-dire-conditions-damage-losses-and-needs&gt;</w:t>
      </w:r>
    </w:p>
  </w:footnote>
  <w:footnote w:id="17">
    <w:p w14:paraId="3C5D4D77" w14:textId="0392069F" w:rsidR="00DD540F" w:rsidRPr="00DD540F" w:rsidRDefault="00DD540F" w:rsidP="00DD540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Al </w:t>
      </w:r>
      <w:r w:rsidRPr="00B25394">
        <w:rPr>
          <w:rFonts w:ascii="Times New Roman" w:hAnsi="Times New Roman" w:cs="Times New Roman"/>
        </w:rPr>
        <w:t xml:space="preserve">Mezan, </w:t>
      </w:r>
      <w:r w:rsidRPr="00B25394">
        <w:rPr>
          <w:rFonts w:ascii="Times New Roman" w:hAnsi="Times New Roman" w:cs="Times New Roman"/>
          <w:i/>
          <w:iCs/>
        </w:rPr>
        <w:t>In focus: The effects of Israel’s tightened blockade on the economic and humanitarian conditions in the Gaza Strip</w:t>
      </w:r>
      <w:r>
        <w:rPr>
          <w:rFonts w:ascii="Times New Roman" w:hAnsi="Times New Roman" w:cs="Times New Roman"/>
          <w:i/>
          <w:iCs/>
        </w:rPr>
        <w:t>,</w:t>
      </w:r>
      <w:r>
        <w:rPr>
          <w:rFonts w:ascii="Times New Roman" w:hAnsi="Times New Roman" w:cs="Times New Roman"/>
        </w:rPr>
        <w:t>2021, available at: &lt;</w:t>
      </w:r>
      <w:r w:rsidRPr="00920383">
        <w:rPr>
          <w:rFonts w:ascii="Times New Roman" w:hAnsi="Times New Roman" w:cs="Times New Roman"/>
        </w:rPr>
        <w:t>https://mezan.org/en/uploads/files/16254902691600.pdf</w:t>
      </w:r>
      <w:r>
        <w:rPr>
          <w:rFonts w:ascii="Times New Roman" w:hAnsi="Times New Roman" w:cs="Times New Roman"/>
        </w:rPr>
        <w:t>&gt;.</w:t>
      </w:r>
    </w:p>
  </w:footnote>
  <w:footnote w:id="18">
    <w:p w14:paraId="0000003D"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Al-Haq, </w:t>
      </w:r>
      <w:r w:rsidRPr="006E1A5D">
        <w:rPr>
          <w:rFonts w:asciiTheme="majorBidi" w:hAnsiTheme="majorBidi" w:cstheme="majorBidi"/>
          <w:i/>
          <w:color w:val="000000"/>
          <w:sz w:val="20"/>
          <w:szCs w:val="20"/>
        </w:rPr>
        <w:t>Submission to the Human Rights Council Advisory Committee on the Importance of a Legally Binding Instrument on the Right to Development</w:t>
      </w:r>
      <w:r w:rsidRPr="006E1A5D">
        <w:rPr>
          <w:rFonts w:asciiTheme="majorBidi" w:hAnsiTheme="majorBidi" w:cstheme="majorBidi"/>
          <w:color w:val="000000"/>
          <w:sz w:val="20"/>
          <w:szCs w:val="20"/>
        </w:rPr>
        <w:t>, 30 April 2019, available at: &lt;</w:t>
      </w:r>
      <w:hyperlink r:id="rId6">
        <w:r w:rsidRPr="006E1A5D">
          <w:rPr>
            <w:rFonts w:asciiTheme="majorBidi" w:hAnsiTheme="majorBidi" w:cstheme="majorBidi"/>
            <w:color w:val="0000FF"/>
            <w:sz w:val="20"/>
            <w:szCs w:val="20"/>
            <w:u w:val="single"/>
          </w:rPr>
          <w:t>https://www.ohchr.org/Documents/HRBodies/HRCouncil/AdvisoryCom/RighttoDevelopment/Al-haq.pdf</w:t>
        </w:r>
      </w:hyperlink>
      <w:r w:rsidRPr="006E1A5D">
        <w:rPr>
          <w:rFonts w:asciiTheme="majorBidi" w:hAnsiTheme="majorBidi" w:cstheme="majorBidi"/>
          <w:color w:val="000000"/>
          <w:sz w:val="20"/>
          <w:szCs w:val="20"/>
        </w:rPr>
        <w:t>&gt;.</w:t>
      </w:r>
    </w:p>
  </w:footnote>
  <w:footnote w:id="19">
    <w:p w14:paraId="1A058C57" w14:textId="07764951" w:rsidR="00DD540F" w:rsidRPr="00DD540F" w:rsidRDefault="00DD540F">
      <w:pPr>
        <w:pStyle w:val="FootnoteText"/>
        <w:rPr>
          <w:rFonts w:asciiTheme="majorBidi" w:hAnsiTheme="majorBidi" w:cstheme="majorBidi"/>
        </w:rPr>
      </w:pPr>
      <w:r w:rsidRPr="00DD540F">
        <w:rPr>
          <w:rStyle w:val="FootnoteReference"/>
          <w:rFonts w:asciiTheme="majorBidi" w:hAnsiTheme="majorBidi" w:cstheme="majorBidi"/>
        </w:rPr>
        <w:footnoteRef/>
      </w:r>
      <w:r w:rsidRPr="00DD540F">
        <w:rPr>
          <w:rFonts w:asciiTheme="majorBidi" w:hAnsiTheme="majorBidi" w:cstheme="majorBidi"/>
        </w:rPr>
        <w:t xml:space="preserve"> </w:t>
      </w:r>
      <w:r w:rsidRPr="00DD540F">
        <w:rPr>
          <w:rFonts w:asciiTheme="majorBidi" w:hAnsiTheme="majorBidi" w:cstheme="majorBidi"/>
          <w:i/>
          <w:iCs/>
        </w:rPr>
        <w:t>Draft Convention on the Right to Development, with commentaries</w:t>
      </w:r>
      <w:r>
        <w:rPr>
          <w:rFonts w:asciiTheme="majorBidi" w:hAnsiTheme="majorBidi" w:cstheme="majorBidi"/>
        </w:rPr>
        <w:t>, A/HRC/WG.2/2</w:t>
      </w:r>
      <w:r w:rsidR="005F3E71">
        <w:rPr>
          <w:rFonts w:asciiTheme="majorBidi" w:hAnsiTheme="majorBidi" w:cstheme="majorBidi"/>
        </w:rPr>
        <w:t>1/2/Add.1, 20 January 2020, p</w:t>
      </w:r>
      <w:r>
        <w:rPr>
          <w:rFonts w:asciiTheme="majorBidi" w:hAnsiTheme="majorBidi" w:cstheme="majorBidi"/>
        </w:rPr>
        <w:t>.</w:t>
      </w:r>
      <w:r w:rsidR="005F3E71">
        <w:rPr>
          <w:rFonts w:asciiTheme="majorBidi" w:hAnsiTheme="majorBidi" w:cstheme="majorBidi"/>
        </w:rPr>
        <w:t xml:space="preserve"> 16</w:t>
      </w:r>
      <w:r>
        <w:rPr>
          <w:rFonts w:asciiTheme="majorBidi" w:hAnsiTheme="majorBidi" w:cstheme="majorBidi"/>
        </w:rPr>
        <w:t xml:space="preserve"> </w:t>
      </w:r>
    </w:p>
  </w:footnote>
  <w:footnote w:id="20">
    <w:p w14:paraId="77EF27CD" w14:textId="13307276" w:rsidR="0094511D" w:rsidRPr="0094511D" w:rsidRDefault="0094511D">
      <w:pPr>
        <w:pStyle w:val="FootnoteText"/>
        <w:rPr>
          <w:rFonts w:asciiTheme="majorBidi" w:hAnsiTheme="majorBidi" w:cstheme="majorBidi"/>
        </w:rPr>
      </w:pPr>
      <w:r w:rsidRPr="0094511D">
        <w:rPr>
          <w:rStyle w:val="FootnoteReference"/>
          <w:rFonts w:asciiTheme="majorBidi" w:hAnsiTheme="majorBidi" w:cstheme="majorBidi"/>
        </w:rPr>
        <w:footnoteRef/>
      </w:r>
      <w:r>
        <w:rPr>
          <w:rFonts w:asciiTheme="majorBidi" w:hAnsiTheme="majorBidi" w:cstheme="majorBidi"/>
        </w:rPr>
        <w:t xml:space="preserve"> OHCHR,</w:t>
      </w:r>
      <w:r w:rsidRPr="0094511D">
        <w:rPr>
          <w:rFonts w:asciiTheme="majorBidi" w:hAnsiTheme="majorBidi" w:cstheme="majorBidi"/>
        </w:rPr>
        <w:t xml:space="preserve"> </w:t>
      </w:r>
      <w:r w:rsidRPr="0094511D">
        <w:rPr>
          <w:rFonts w:asciiTheme="majorBidi" w:hAnsiTheme="majorBidi" w:cstheme="majorBidi"/>
          <w:i/>
          <w:iCs/>
        </w:rPr>
        <w:t>UN Guiding Principles on Business and Human Rights</w:t>
      </w:r>
      <w:r w:rsidRPr="0094511D">
        <w:rPr>
          <w:rFonts w:asciiTheme="majorBidi" w:hAnsiTheme="majorBidi" w:cstheme="majorBidi"/>
        </w:rPr>
        <w:t xml:space="preserve">, </w:t>
      </w:r>
      <w:r>
        <w:rPr>
          <w:rFonts w:asciiTheme="majorBidi" w:hAnsiTheme="majorBidi" w:cstheme="majorBidi"/>
        </w:rPr>
        <w:t xml:space="preserve">2011, </w:t>
      </w:r>
      <w:r w:rsidRPr="0094511D">
        <w:rPr>
          <w:rFonts w:asciiTheme="majorBidi" w:hAnsiTheme="majorBidi" w:cstheme="majorBidi"/>
        </w:rPr>
        <w:t>p. 6, available at: &lt;https://www.ohchr.org/documents/publications/guidingprinciplesbusinesshr_en.pdf&gt;.</w:t>
      </w:r>
    </w:p>
  </w:footnote>
  <w:footnote w:id="21">
    <w:p w14:paraId="0000003E"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i/>
          <w:color w:val="000000"/>
          <w:sz w:val="20"/>
          <w:szCs w:val="20"/>
        </w:rPr>
        <w:t xml:space="preserve"> Report of the independent international fact-finding mission to investigate the implications of the Israeli settlements on the civil, political, economic, social and cultural rights of the Palestinian people throughout the Occupied Palestinian Territory, including East Jerusalem</w:t>
      </w:r>
      <w:r w:rsidRPr="006E1A5D">
        <w:rPr>
          <w:rFonts w:asciiTheme="majorBidi" w:hAnsiTheme="majorBidi" w:cstheme="majorBidi"/>
          <w:color w:val="000000"/>
          <w:sz w:val="20"/>
          <w:szCs w:val="20"/>
        </w:rPr>
        <w:t>, A/HRC/22/63, 7 February 2013, p. 8, available at: &lt; https://www.ohchr.org/Documents/HRBodies/HRCouncil/RegularSession/Session22/A-HRC-22-63_en.pdf&gt;.</w:t>
      </w:r>
    </w:p>
  </w:footnote>
  <w:footnote w:id="22">
    <w:p w14:paraId="00000040" w14:textId="77777777" w:rsidR="00D279DA" w:rsidRPr="006E1A5D" w:rsidRDefault="002205C9">
      <w:pPr>
        <w:spacing w:after="0" w:line="240" w:lineRule="auto"/>
        <w:rPr>
          <w:rFonts w:asciiTheme="majorBidi" w:hAnsiTheme="majorBidi" w:cstheme="majorBidi"/>
          <w:sz w:val="20"/>
          <w:szCs w:val="20"/>
        </w:rPr>
      </w:pPr>
      <w:r w:rsidRPr="006E1A5D">
        <w:rPr>
          <w:rStyle w:val="FootnoteReference"/>
          <w:rFonts w:asciiTheme="majorBidi" w:hAnsiTheme="majorBidi" w:cstheme="majorBidi"/>
        </w:rPr>
        <w:footnoteRef/>
      </w:r>
      <w:r w:rsidRPr="006E1A5D">
        <w:rPr>
          <w:rFonts w:asciiTheme="majorBidi" w:hAnsiTheme="majorBidi" w:cstheme="majorBidi"/>
          <w:sz w:val="20"/>
          <w:szCs w:val="20"/>
        </w:rPr>
        <w:t xml:space="preserve"> Martin Papillon, Jean Leclair, Dominique Leydet, </w:t>
      </w:r>
      <w:r w:rsidRPr="006E1A5D">
        <w:rPr>
          <w:rFonts w:asciiTheme="majorBidi" w:hAnsiTheme="majorBidi" w:cstheme="majorBidi"/>
          <w:i/>
          <w:sz w:val="20"/>
          <w:szCs w:val="20"/>
        </w:rPr>
        <w:t>Free, Prior and Informed Consent: Between Legal Ambiguity and Political Agency</w:t>
      </w:r>
      <w:r w:rsidRPr="006E1A5D">
        <w:rPr>
          <w:rFonts w:asciiTheme="majorBidi" w:hAnsiTheme="majorBidi" w:cstheme="majorBidi"/>
          <w:sz w:val="20"/>
          <w:szCs w:val="20"/>
        </w:rPr>
        <w:t>, International Journal on Minority and Group Rights, 17 March 2020, available at: &lt;https://brill.com/view/journals/ijgr/27/2/article-p223_223.xml?language=en&gt;</w:t>
      </w:r>
    </w:p>
  </w:footnote>
  <w:footnote w:id="23">
    <w:p w14:paraId="0B83B471" w14:textId="251372F8" w:rsidR="002B4650" w:rsidRPr="002B4650" w:rsidRDefault="002B4650">
      <w:pPr>
        <w:pStyle w:val="FootnoteText"/>
        <w:rPr>
          <w:rFonts w:asciiTheme="majorBidi" w:hAnsiTheme="majorBidi" w:cstheme="majorBidi"/>
        </w:rPr>
      </w:pPr>
      <w:r w:rsidRPr="002B4650">
        <w:rPr>
          <w:rStyle w:val="FootnoteReference"/>
          <w:rFonts w:asciiTheme="majorBidi" w:hAnsiTheme="majorBidi" w:cstheme="majorBidi"/>
        </w:rPr>
        <w:footnoteRef/>
      </w:r>
      <w:r w:rsidRPr="002B4650">
        <w:rPr>
          <w:rFonts w:asciiTheme="majorBidi" w:hAnsiTheme="majorBidi" w:cstheme="majorBidi"/>
        </w:rPr>
        <w:t xml:space="preserve"> </w:t>
      </w:r>
      <w:r w:rsidRPr="002B4650">
        <w:rPr>
          <w:rFonts w:asciiTheme="majorBidi" w:hAnsiTheme="majorBidi" w:cstheme="majorBidi"/>
          <w:i/>
          <w:iCs/>
        </w:rPr>
        <w:t>See</w:t>
      </w:r>
      <w:r w:rsidRPr="002B4650">
        <w:rPr>
          <w:rFonts w:asciiTheme="majorBidi" w:hAnsiTheme="majorBidi" w:cstheme="majorBidi"/>
        </w:rPr>
        <w:t xml:space="preserve"> Al Mezan, </w:t>
      </w:r>
      <w:r w:rsidRPr="002B4650">
        <w:rPr>
          <w:rFonts w:asciiTheme="majorBidi" w:hAnsiTheme="majorBidi" w:cstheme="majorBidi"/>
          <w:i/>
          <w:iCs/>
        </w:rPr>
        <w:t>Farming in a Buffer Zone, The conditions</w:t>
      </w:r>
      <w:r>
        <w:rPr>
          <w:rFonts w:asciiTheme="majorBidi" w:hAnsiTheme="majorBidi" w:cstheme="majorBidi"/>
          <w:i/>
          <w:iCs/>
        </w:rPr>
        <w:t xml:space="preserve"> Gaza farmers face under closure</w:t>
      </w:r>
      <w:r>
        <w:rPr>
          <w:rFonts w:asciiTheme="majorBidi" w:hAnsiTheme="majorBidi" w:cstheme="majorBidi"/>
        </w:rPr>
        <w:t xml:space="preserve">, 25 February 2021, </w:t>
      </w:r>
      <w:r w:rsidRPr="006E1A5D">
        <w:rPr>
          <w:rFonts w:asciiTheme="majorBidi" w:hAnsiTheme="majorBidi" w:cstheme="majorBidi"/>
          <w:color w:val="000000"/>
        </w:rPr>
        <w:t>available at:</w:t>
      </w:r>
      <w:r>
        <w:rPr>
          <w:rFonts w:asciiTheme="majorBidi" w:hAnsiTheme="majorBidi" w:cstheme="majorBidi"/>
          <w:color w:val="000000"/>
        </w:rPr>
        <w:t xml:space="preserve"> &lt;</w:t>
      </w:r>
      <w:r w:rsidRPr="002B4650">
        <w:t xml:space="preserve"> </w:t>
      </w:r>
      <w:r w:rsidRPr="002B4650">
        <w:rPr>
          <w:rFonts w:asciiTheme="majorBidi" w:hAnsiTheme="majorBidi" w:cstheme="majorBidi"/>
          <w:color w:val="000000"/>
        </w:rPr>
        <w:t>http://mezan.org/en/uploads/files/16142371071857.pdf</w:t>
      </w:r>
      <w:r>
        <w:rPr>
          <w:rFonts w:asciiTheme="majorBidi" w:hAnsiTheme="majorBidi" w:cstheme="majorBidi"/>
          <w:color w:val="000000"/>
        </w:rPr>
        <w:t xml:space="preserve">&gt;; </w:t>
      </w:r>
      <w:r w:rsidR="00FA46AB">
        <w:rPr>
          <w:rFonts w:asciiTheme="majorBidi" w:hAnsiTheme="majorBidi" w:cstheme="majorBidi"/>
          <w:color w:val="000000"/>
        </w:rPr>
        <w:t xml:space="preserve">Al Mezan, </w:t>
      </w:r>
    </w:p>
  </w:footnote>
  <w:footnote w:id="24">
    <w:p w14:paraId="0000003F" w14:textId="77777777" w:rsidR="00D279DA" w:rsidRPr="006E1A5D" w:rsidRDefault="002205C9">
      <w:pPr>
        <w:pBdr>
          <w:top w:val="nil"/>
          <w:left w:val="nil"/>
          <w:bottom w:val="nil"/>
          <w:right w:val="nil"/>
          <w:between w:val="nil"/>
        </w:pBdr>
        <w:spacing w:after="0" w:line="240" w:lineRule="auto"/>
        <w:rPr>
          <w:rFonts w:asciiTheme="majorBidi" w:hAnsiTheme="majorBidi" w:cstheme="majorBidi"/>
          <w:color w:val="000000"/>
          <w:sz w:val="20"/>
          <w:szCs w:val="20"/>
        </w:rPr>
      </w:pPr>
      <w:r w:rsidRPr="006E1A5D">
        <w:rPr>
          <w:rStyle w:val="FootnoteReference"/>
          <w:rFonts w:asciiTheme="majorBidi" w:hAnsiTheme="majorBidi" w:cstheme="majorBidi"/>
        </w:rPr>
        <w:footnoteRef/>
      </w:r>
      <w:r w:rsidRPr="006E1A5D">
        <w:rPr>
          <w:rFonts w:asciiTheme="majorBidi" w:hAnsiTheme="majorBidi" w:cstheme="majorBidi"/>
          <w:color w:val="000000"/>
          <w:sz w:val="20"/>
          <w:szCs w:val="20"/>
        </w:rPr>
        <w:t xml:space="preserve"> </w:t>
      </w:r>
      <w:r w:rsidRPr="002B4650">
        <w:rPr>
          <w:rFonts w:asciiTheme="majorBidi" w:hAnsiTheme="majorBidi" w:cstheme="majorBidi"/>
          <w:i/>
          <w:iCs/>
          <w:color w:val="000000"/>
          <w:sz w:val="20"/>
          <w:szCs w:val="20"/>
        </w:rPr>
        <w:t>See</w:t>
      </w:r>
      <w:r w:rsidRPr="006E1A5D">
        <w:rPr>
          <w:rFonts w:asciiTheme="majorBidi" w:hAnsiTheme="majorBidi" w:cstheme="majorBidi"/>
          <w:color w:val="000000"/>
          <w:sz w:val="20"/>
          <w:szCs w:val="20"/>
        </w:rPr>
        <w:t xml:space="preserve"> Al-Haq, MAP, PCHR, Al Mezan, </w:t>
      </w:r>
      <w:r w:rsidRPr="006E1A5D">
        <w:rPr>
          <w:rFonts w:asciiTheme="majorBidi" w:hAnsiTheme="majorBidi" w:cstheme="majorBidi"/>
          <w:i/>
          <w:color w:val="000000"/>
          <w:sz w:val="20"/>
          <w:szCs w:val="20"/>
        </w:rPr>
        <w:t>It’s 2020 — Lift the Gaza Closure!</w:t>
      </w:r>
      <w:r w:rsidRPr="006E1A5D">
        <w:rPr>
          <w:rFonts w:asciiTheme="majorBidi" w:hAnsiTheme="majorBidi" w:cstheme="majorBidi"/>
          <w:color w:val="000000"/>
          <w:sz w:val="20"/>
          <w:szCs w:val="20"/>
        </w:rPr>
        <w:t>, 9 June 2020, available at: &lt;https://medium.com/@lifttheclosure/its-2020-lift-the-gaza-closure-c3f586611c11&gt;.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056"/>
    <w:multiLevelType w:val="hybridMultilevel"/>
    <w:tmpl w:val="46104842"/>
    <w:lvl w:ilvl="0" w:tplc="F47025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A3C18"/>
    <w:multiLevelType w:val="hybridMultilevel"/>
    <w:tmpl w:val="B630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DA"/>
    <w:rsid w:val="0001443B"/>
    <w:rsid w:val="00025B4C"/>
    <w:rsid w:val="00032020"/>
    <w:rsid w:val="00036E10"/>
    <w:rsid w:val="00074F95"/>
    <w:rsid w:val="00092EBB"/>
    <w:rsid w:val="00145CBF"/>
    <w:rsid w:val="00184610"/>
    <w:rsid w:val="001A0D1A"/>
    <w:rsid w:val="002205C9"/>
    <w:rsid w:val="002B4650"/>
    <w:rsid w:val="002F2043"/>
    <w:rsid w:val="00333009"/>
    <w:rsid w:val="003B1328"/>
    <w:rsid w:val="003F6865"/>
    <w:rsid w:val="00462A97"/>
    <w:rsid w:val="004858A0"/>
    <w:rsid w:val="00495F54"/>
    <w:rsid w:val="00517A7E"/>
    <w:rsid w:val="0052099A"/>
    <w:rsid w:val="005219DB"/>
    <w:rsid w:val="005C4475"/>
    <w:rsid w:val="005F3E71"/>
    <w:rsid w:val="006226D0"/>
    <w:rsid w:val="00633FA6"/>
    <w:rsid w:val="0066637A"/>
    <w:rsid w:val="00685D8B"/>
    <w:rsid w:val="006B3323"/>
    <w:rsid w:val="006E1A5D"/>
    <w:rsid w:val="00711B25"/>
    <w:rsid w:val="007424A4"/>
    <w:rsid w:val="00744CC9"/>
    <w:rsid w:val="0076541A"/>
    <w:rsid w:val="00920383"/>
    <w:rsid w:val="0094511D"/>
    <w:rsid w:val="0094794C"/>
    <w:rsid w:val="00967AA6"/>
    <w:rsid w:val="009F7E1B"/>
    <w:rsid w:val="00A908CA"/>
    <w:rsid w:val="00A932C6"/>
    <w:rsid w:val="00A94A35"/>
    <w:rsid w:val="00AE6C0F"/>
    <w:rsid w:val="00B0539E"/>
    <w:rsid w:val="00B16FED"/>
    <w:rsid w:val="00B25394"/>
    <w:rsid w:val="00B83483"/>
    <w:rsid w:val="00B96D94"/>
    <w:rsid w:val="00BD78D2"/>
    <w:rsid w:val="00C10171"/>
    <w:rsid w:val="00C1580F"/>
    <w:rsid w:val="00C97562"/>
    <w:rsid w:val="00CF10B9"/>
    <w:rsid w:val="00D279DA"/>
    <w:rsid w:val="00D61A8E"/>
    <w:rsid w:val="00DD540F"/>
    <w:rsid w:val="00DE20D4"/>
    <w:rsid w:val="00E63A34"/>
    <w:rsid w:val="00E733DF"/>
    <w:rsid w:val="00F071ED"/>
    <w:rsid w:val="00F22C08"/>
    <w:rsid w:val="00F26CB9"/>
    <w:rsid w:val="00F27A29"/>
    <w:rsid w:val="00F6642F"/>
    <w:rsid w:val="00FA46AB"/>
    <w:rsid w:val="00FD0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EF2D"/>
  <w15:docId w15:val="{645EE080-8EF4-4A34-ADDB-7F7F625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950FD6"/>
    <w:rPr>
      <w:rFonts w:ascii="FuturaStd-Light" w:hAnsi="FuturaStd-Light" w:hint="default"/>
      <w:b w:val="0"/>
      <w:bCs w:val="0"/>
      <w:i w:val="0"/>
      <w:iCs w:val="0"/>
      <w:color w:val="231F20"/>
      <w:sz w:val="20"/>
      <w:szCs w:val="20"/>
    </w:rPr>
  </w:style>
  <w:style w:type="character" w:styleId="FootnoteReference">
    <w:name w:val="footnote reference"/>
    <w:basedOn w:val="DefaultParagraphFont"/>
    <w:uiPriority w:val="99"/>
    <w:semiHidden/>
    <w:unhideWhenUsed/>
    <w:rsid w:val="0000554B"/>
    <w:rPr>
      <w:vertAlign w:val="superscript"/>
    </w:rPr>
  </w:style>
  <w:style w:type="character" w:styleId="Hyperlink">
    <w:name w:val="Hyperlink"/>
    <w:basedOn w:val="DefaultParagraphFont"/>
    <w:uiPriority w:val="99"/>
    <w:unhideWhenUsed/>
    <w:rsid w:val="008F04A7"/>
    <w:rPr>
      <w:color w:val="0000FF" w:themeColor="hyperlink"/>
      <w:u w:val="single"/>
    </w:rPr>
  </w:style>
  <w:style w:type="character" w:styleId="CommentReference">
    <w:name w:val="annotation reference"/>
    <w:basedOn w:val="DefaultParagraphFont"/>
    <w:uiPriority w:val="99"/>
    <w:semiHidden/>
    <w:unhideWhenUsed/>
    <w:rsid w:val="0096009D"/>
    <w:rPr>
      <w:sz w:val="16"/>
      <w:szCs w:val="16"/>
    </w:rPr>
  </w:style>
  <w:style w:type="paragraph" w:styleId="CommentText">
    <w:name w:val="annotation text"/>
    <w:basedOn w:val="Normal"/>
    <w:link w:val="CommentTextChar"/>
    <w:uiPriority w:val="99"/>
    <w:semiHidden/>
    <w:unhideWhenUsed/>
    <w:rsid w:val="0096009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6009D"/>
    <w:rPr>
      <w:sz w:val="20"/>
      <w:szCs w:val="20"/>
    </w:rPr>
  </w:style>
  <w:style w:type="paragraph" w:styleId="BalloonText">
    <w:name w:val="Balloon Text"/>
    <w:basedOn w:val="Normal"/>
    <w:link w:val="BalloonTextChar"/>
    <w:uiPriority w:val="99"/>
    <w:semiHidden/>
    <w:unhideWhenUsed/>
    <w:rsid w:val="0096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9D"/>
    <w:rPr>
      <w:rFonts w:ascii="Tahoma" w:hAnsi="Tahoma" w:cs="Tahoma"/>
      <w:sz w:val="16"/>
      <w:szCs w:val="16"/>
    </w:rPr>
  </w:style>
  <w:style w:type="paragraph" w:styleId="NormalWeb">
    <w:name w:val="Normal (Web)"/>
    <w:basedOn w:val="Normal"/>
    <w:uiPriority w:val="99"/>
    <w:semiHidden/>
    <w:unhideWhenUsed/>
    <w:rsid w:val="0096009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94B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B01"/>
    <w:rPr>
      <w:sz w:val="20"/>
      <w:szCs w:val="20"/>
    </w:rPr>
  </w:style>
  <w:style w:type="character" w:styleId="EndnoteReference">
    <w:name w:val="endnote reference"/>
    <w:basedOn w:val="DefaultParagraphFont"/>
    <w:uiPriority w:val="99"/>
    <w:semiHidden/>
    <w:unhideWhenUsed/>
    <w:rsid w:val="00A94B01"/>
    <w:rPr>
      <w:vertAlign w:val="superscript"/>
    </w:rPr>
  </w:style>
  <w:style w:type="paragraph" w:styleId="FootnoteText">
    <w:name w:val="footnote text"/>
    <w:basedOn w:val="Normal"/>
    <w:link w:val="FootnoteTextChar"/>
    <w:uiPriority w:val="99"/>
    <w:semiHidden/>
    <w:unhideWhenUsed/>
    <w:rsid w:val="00A94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B01"/>
    <w:rPr>
      <w:sz w:val="20"/>
      <w:szCs w:val="20"/>
    </w:rPr>
  </w:style>
  <w:style w:type="paragraph" w:styleId="CommentSubject">
    <w:name w:val="annotation subject"/>
    <w:basedOn w:val="CommentText"/>
    <w:next w:val="CommentText"/>
    <w:link w:val="CommentSubjectChar"/>
    <w:uiPriority w:val="99"/>
    <w:semiHidden/>
    <w:unhideWhenUsed/>
    <w:rsid w:val="00204513"/>
    <w:pPr>
      <w:spacing w:after="200"/>
    </w:pPr>
    <w:rPr>
      <w:b/>
      <w:bCs/>
    </w:rPr>
  </w:style>
  <w:style w:type="character" w:customStyle="1" w:styleId="CommentSubjectChar">
    <w:name w:val="Comment Subject Char"/>
    <w:basedOn w:val="CommentTextChar"/>
    <w:link w:val="CommentSubject"/>
    <w:uiPriority w:val="99"/>
    <w:semiHidden/>
    <w:rsid w:val="0020451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C10171"/>
    <w:rPr>
      <w:color w:val="605E5C"/>
      <w:shd w:val="clear" w:color="auto" w:fill="E1DFDD"/>
    </w:rPr>
  </w:style>
  <w:style w:type="paragraph" w:styleId="Header">
    <w:name w:val="header"/>
    <w:basedOn w:val="Normal"/>
    <w:link w:val="HeaderChar"/>
    <w:uiPriority w:val="99"/>
    <w:unhideWhenUsed/>
    <w:rsid w:val="00F27A29"/>
    <w:pPr>
      <w:tabs>
        <w:tab w:val="center" w:pos="4703"/>
        <w:tab w:val="right" w:pos="9406"/>
      </w:tabs>
      <w:spacing w:after="0" w:line="240" w:lineRule="auto"/>
    </w:pPr>
  </w:style>
  <w:style w:type="character" w:customStyle="1" w:styleId="HeaderChar">
    <w:name w:val="Header Char"/>
    <w:basedOn w:val="DefaultParagraphFont"/>
    <w:link w:val="Header"/>
    <w:uiPriority w:val="99"/>
    <w:rsid w:val="00F27A29"/>
    <w:rPr>
      <w:lang w:val="en-GB"/>
    </w:rPr>
  </w:style>
  <w:style w:type="paragraph" w:styleId="Footer">
    <w:name w:val="footer"/>
    <w:basedOn w:val="Normal"/>
    <w:link w:val="FooterChar"/>
    <w:uiPriority w:val="99"/>
    <w:unhideWhenUsed/>
    <w:rsid w:val="00F27A29"/>
    <w:pPr>
      <w:tabs>
        <w:tab w:val="center" w:pos="4703"/>
        <w:tab w:val="right" w:pos="9406"/>
      </w:tabs>
      <w:spacing w:after="0" w:line="240" w:lineRule="auto"/>
    </w:pPr>
  </w:style>
  <w:style w:type="character" w:customStyle="1" w:styleId="FooterChar">
    <w:name w:val="Footer Char"/>
    <w:basedOn w:val="DefaultParagraphFont"/>
    <w:link w:val="Footer"/>
    <w:uiPriority w:val="99"/>
    <w:rsid w:val="00F27A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alhaq.org/advocacy/16183.html" TargetMode="External"/><Relationship Id="rId2" Type="http://schemas.openxmlformats.org/officeDocument/2006/relationships/hyperlink" Target="https://aardi.org/2021/04/02/the-legal-architecture-of-apartheid-by-dr-susan-powers-al-haq/" TargetMode="External"/><Relationship Id="rId1" Type="http://schemas.openxmlformats.org/officeDocument/2006/relationships/hyperlink" Target="https://www.alhaq.org/advocacy/6059.html" TargetMode="External"/><Relationship Id="rId6" Type="http://schemas.openxmlformats.org/officeDocument/2006/relationships/hyperlink" Target="https://www.ohchr.org/Documents/HRBodies/HRCouncil/AdvisoryCom/RighttoDevelopment/Al-haq.pdf" TargetMode="External"/><Relationship Id="rId5" Type="http://schemas.openxmlformats.org/officeDocument/2006/relationships/hyperlink" Target="https://undocs.org/A/71/554" TargetMode="External"/><Relationship Id="rId4" Type="http://schemas.openxmlformats.org/officeDocument/2006/relationships/hyperlink" Target="https://www.ohchr.org/EN/NewsEvents/Pages/DisplayNews.aspx?NewsID=20781&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iePs/JmpeOj3ibspLvV4GoBwhA==">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81A0AA-4188-43BE-A76D-E949A8896FB7}">
  <ds:schemaRefs>
    <ds:schemaRef ds:uri="http://schemas.openxmlformats.org/officeDocument/2006/bibliography"/>
  </ds:schemaRefs>
</ds:datastoreItem>
</file>

<file path=customXml/itemProps3.xml><?xml version="1.0" encoding="utf-8"?>
<ds:datastoreItem xmlns:ds="http://schemas.openxmlformats.org/officeDocument/2006/customXml" ds:itemID="{A7F35B7E-65E8-4530-9B14-E0ED0BAAF017}"/>
</file>

<file path=customXml/itemProps4.xml><?xml version="1.0" encoding="utf-8"?>
<ds:datastoreItem xmlns:ds="http://schemas.openxmlformats.org/officeDocument/2006/customXml" ds:itemID="{55EBA6BD-9BA1-4F7B-B0B4-9C9FBBECA5D0}"/>
</file>

<file path=customXml/itemProps5.xml><?xml version="1.0" encoding="utf-8"?>
<ds:datastoreItem xmlns:ds="http://schemas.openxmlformats.org/officeDocument/2006/customXml" ds:itemID="{963E9B1E-340B-4749-B678-7B2D17968865}"/>
</file>

<file path=docProps/app.xml><?xml version="1.0" encoding="utf-8"?>
<Properties xmlns="http://schemas.openxmlformats.org/officeDocument/2006/extended-properties" xmlns:vt="http://schemas.openxmlformats.org/officeDocument/2006/docPropsVTypes">
  <Template>Normal.dotm</Template>
  <TotalTime>1</TotalTime>
  <Pages>8</Pages>
  <Words>2430</Words>
  <Characters>13855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Richard Lapper</cp:lastModifiedBy>
  <cp:revision>2</cp:revision>
  <dcterms:created xsi:type="dcterms:W3CDTF">2021-09-03T07:37:00Z</dcterms:created>
  <dcterms:modified xsi:type="dcterms:W3CDTF">2021-09-03T07:37:00Z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