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15D8E" w14:textId="77777777" w:rsidR="000A4228" w:rsidRPr="009158C8" w:rsidRDefault="009158C8" w:rsidP="00FF2DDB">
      <w:pPr>
        <w:pStyle w:val="BodyText"/>
        <w:jc w:val="center"/>
        <w:rPr>
          <w:b/>
          <w:sz w:val="32"/>
          <w:szCs w:val="32"/>
        </w:rPr>
      </w:pPr>
      <w:r w:rsidRPr="00AF7E0F">
        <w:rPr>
          <w:b/>
          <w:sz w:val="36"/>
          <w:szCs w:val="36"/>
        </w:rPr>
        <w:t>Chapter 9</w:t>
      </w:r>
    </w:p>
    <w:p w14:paraId="5D7EEC39" w14:textId="22C9F1F0" w:rsidR="000A4228" w:rsidRDefault="000A4228" w:rsidP="00FF2DDB">
      <w:pPr>
        <w:pStyle w:val="BodyText"/>
        <w:jc w:val="center"/>
        <w:rPr>
          <w:b/>
          <w:sz w:val="28"/>
          <w:szCs w:val="28"/>
        </w:rPr>
      </w:pPr>
    </w:p>
    <w:p w14:paraId="38533830" w14:textId="77777777" w:rsidR="006932F3" w:rsidRPr="009158C8" w:rsidRDefault="006932F3" w:rsidP="00FF2DDB">
      <w:pPr>
        <w:pStyle w:val="BodyText"/>
        <w:jc w:val="center"/>
        <w:rPr>
          <w:b/>
          <w:sz w:val="28"/>
          <w:szCs w:val="28"/>
        </w:rPr>
      </w:pPr>
    </w:p>
    <w:p w14:paraId="6939262A" w14:textId="77777777" w:rsidR="00FF2DDB" w:rsidRPr="009158C8" w:rsidRDefault="002A3728" w:rsidP="00FF2DDB">
      <w:pPr>
        <w:pStyle w:val="BodyText"/>
        <w:jc w:val="center"/>
        <w:rPr>
          <w:b/>
          <w:sz w:val="28"/>
          <w:szCs w:val="28"/>
        </w:rPr>
      </w:pPr>
      <w:r w:rsidRPr="009158C8">
        <w:rPr>
          <w:b/>
          <w:sz w:val="28"/>
          <w:szCs w:val="28"/>
        </w:rPr>
        <w:t>Operationalizing the R</w:t>
      </w:r>
      <w:r w:rsidR="008C1C06" w:rsidRPr="009158C8">
        <w:rPr>
          <w:b/>
          <w:sz w:val="28"/>
          <w:szCs w:val="28"/>
        </w:rPr>
        <w:t xml:space="preserve">ight to Development: Health and </w:t>
      </w:r>
      <w:r w:rsidRPr="009158C8">
        <w:rPr>
          <w:b/>
          <w:sz w:val="28"/>
          <w:szCs w:val="28"/>
        </w:rPr>
        <w:t xml:space="preserve">Well-Being </w:t>
      </w:r>
      <w:r w:rsidR="008C1C06" w:rsidRPr="009158C8">
        <w:rPr>
          <w:b/>
          <w:sz w:val="28"/>
          <w:szCs w:val="28"/>
        </w:rPr>
        <w:t xml:space="preserve">in the 2030 Agenda for </w:t>
      </w:r>
      <w:r w:rsidR="009158C8" w:rsidRPr="009158C8">
        <w:rPr>
          <w:b/>
          <w:sz w:val="28"/>
          <w:szCs w:val="28"/>
        </w:rPr>
        <w:t>Sustainable Development</w:t>
      </w:r>
    </w:p>
    <w:p w14:paraId="507A02D5" w14:textId="77777777" w:rsidR="000A4228" w:rsidRPr="009158C8" w:rsidRDefault="000A4228" w:rsidP="00FF2DDB">
      <w:pPr>
        <w:pStyle w:val="BodyText"/>
        <w:jc w:val="center"/>
        <w:rPr>
          <w:b/>
          <w:sz w:val="28"/>
          <w:szCs w:val="28"/>
        </w:rPr>
      </w:pPr>
    </w:p>
    <w:p w14:paraId="73CB7C98" w14:textId="77777777" w:rsidR="00F331FB" w:rsidRPr="009158C8" w:rsidRDefault="000A4228" w:rsidP="000A4228">
      <w:pPr>
        <w:pStyle w:val="BodyText"/>
        <w:jc w:val="center"/>
        <w:rPr>
          <w:b/>
          <w:sz w:val="28"/>
          <w:szCs w:val="28"/>
        </w:rPr>
      </w:pPr>
      <w:proofErr w:type="spellStart"/>
      <w:r w:rsidRPr="009158C8">
        <w:rPr>
          <w:b/>
          <w:sz w:val="28"/>
          <w:szCs w:val="28"/>
        </w:rPr>
        <w:t>Obijiofor</w:t>
      </w:r>
      <w:proofErr w:type="spellEnd"/>
      <w:r w:rsidRPr="009158C8">
        <w:rPr>
          <w:b/>
          <w:sz w:val="28"/>
          <w:szCs w:val="28"/>
        </w:rPr>
        <w:t xml:space="preserve"> </w:t>
      </w:r>
      <w:proofErr w:type="spellStart"/>
      <w:r w:rsidRPr="009158C8">
        <w:rPr>
          <w:b/>
          <w:sz w:val="28"/>
          <w:szCs w:val="28"/>
        </w:rPr>
        <w:t>Aginam</w:t>
      </w:r>
      <w:proofErr w:type="spellEnd"/>
      <w:r w:rsidRPr="009158C8">
        <w:rPr>
          <w:b/>
          <w:sz w:val="28"/>
          <w:szCs w:val="28"/>
        </w:rPr>
        <w:t>*</w:t>
      </w:r>
    </w:p>
    <w:p w14:paraId="6077BD8A" w14:textId="77777777" w:rsidR="00F331FB" w:rsidRPr="009158C8" w:rsidRDefault="00C442AA">
      <w:pPr>
        <w:pStyle w:val="BodyText"/>
        <w:rPr>
          <w:b/>
          <w:szCs w:val="24"/>
        </w:rPr>
      </w:pPr>
      <w:r w:rsidRPr="009158C8">
        <w:rPr>
          <w:noProof/>
          <w:szCs w:val="24"/>
          <w:lang w:val="en-GB" w:eastAsia="en-GB"/>
        </w:rPr>
        <mc:AlternateContent>
          <mc:Choice Requires="wps">
            <w:drawing>
              <wp:anchor distT="45720" distB="45720" distL="114300" distR="114300" simplePos="0" relativeHeight="251657728" behindDoc="0" locked="0" layoutInCell="1" allowOverlap="1" wp14:anchorId="2387667C" wp14:editId="1C735C98">
                <wp:simplePos x="0" y="0"/>
                <wp:positionH relativeFrom="column">
                  <wp:align>center</wp:align>
                </wp:positionH>
                <wp:positionV relativeFrom="paragraph">
                  <wp:posOffset>358140</wp:posOffset>
                </wp:positionV>
                <wp:extent cx="5248910" cy="18567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1856740"/>
                        </a:xfrm>
                        <a:prstGeom prst="rect">
                          <a:avLst/>
                        </a:prstGeom>
                        <a:solidFill>
                          <a:srgbClr val="FFFFFF"/>
                        </a:solidFill>
                        <a:ln w="9525">
                          <a:solidFill>
                            <a:srgbClr val="000000"/>
                          </a:solidFill>
                          <a:miter lim="800000"/>
                          <a:headEnd/>
                          <a:tailEnd/>
                        </a:ln>
                      </wps:spPr>
                      <wps:txbx>
                        <w:txbxContent>
                          <w:p w14:paraId="5882E455" w14:textId="77777777" w:rsidR="00922726" w:rsidRPr="00AE48CA" w:rsidRDefault="00922726">
                            <w:pPr>
                              <w:rPr>
                                <w:sz w:val="24"/>
                                <w:szCs w:val="24"/>
                              </w:rPr>
                            </w:pPr>
                            <w:r w:rsidRPr="00AE48CA">
                              <w:rPr>
                                <w:b/>
                                <w:bCs/>
                                <w:sz w:val="24"/>
                                <w:szCs w:val="24"/>
                              </w:rPr>
                              <w:t>Learning Objectives:</w:t>
                            </w:r>
                          </w:p>
                          <w:p w14:paraId="307E7429" w14:textId="77777777" w:rsidR="00922726" w:rsidRPr="00AE48CA" w:rsidRDefault="00922726">
                            <w:pPr>
                              <w:rPr>
                                <w:sz w:val="24"/>
                                <w:szCs w:val="24"/>
                              </w:rPr>
                            </w:pPr>
                          </w:p>
                          <w:p w14:paraId="7E3B1638" w14:textId="509E8575" w:rsidR="00922726" w:rsidRDefault="00922726" w:rsidP="0015617C">
                            <w:pPr>
                              <w:numPr>
                                <w:ilvl w:val="0"/>
                                <w:numId w:val="4"/>
                              </w:numPr>
                              <w:rPr>
                                <w:sz w:val="24"/>
                                <w:szCs w:val="24"/>
                              </w:rPr>
                            </w:pPr>
                            <w:r w:rsidRPr="00AE48CA">
                              <w:rPr>
                                <w:sz w:val="24"/>
                                <w:szCs w:val="24"/>
                              </w:rPr>
                              <w:t xml:space="preserve">To understand the </w:t>
                            </w:r>
                            <w:r w:rsidR="002A190B">
                              <w:rPr>
                                <w:sz w:val="24"/>
                                <w:szCs w:val="24"/>
                              </w:rPr>
                              <w:t xml:space="preserve">scope and content of the </w:t>
                            </w:r>
                            <w:r w:rsidRPr="00AE48CA">
                              <w:rPr>
                                <w:sz w:val="24"/>
                                <w:szCs w:val="24"/>
                              </w:rPr>
                              <w:t xml:space="preserve">right to </w:t>
                            </w:r>
                            <w:r w:rsidR="007E4FDA">
                              <w:rPr>
                                <w:sz w:val="24"/>
                                <w:szCs w:val="24"/>
                              </w:rPr>
                              <w:t xml:space="preserve">the </w:t>
                            </w:r>
                            <w:r w:rsidRPr="00AE48CA">
                              <w:rPr>
                                <w:sz w:val="24"/>
                                <w:szCs w:val="24"/>
                              </w:rPr>
                              <w:t>highest attainable standard of health using the right to development framework.</w:t>
                            </w:r>
                          </w:p>
                          <w:p w14:paraId="6C72BD88" w14:textId="77777777" w:rsidR="006932F3" w:rsidRDefault="006932F3" w:rsidP="006932F3">
                            <w:pPr>
                              <w:ind w:left="720"/>
                              <w:rPr>
                                <w:sz w:val="24"/>
                                <w:szCs w:val="24"/>
                              </w:rPr>
                            </w:pPr>
                          </w:p>
                          <w:p w14:paraId="3BD04D91" w14:textId="77777777" w:rsidR="002A190B" w:rsidRPr="00AE48CA" w:rsidRDefault="002A190B" w:rsidP="0015617C">
                            <w:pPr>
                              <w:numPr>
                                <w:ilvl w:val="0"/>
                                <w:numId w:val="4"/>
                              </w:numPr>
                              <w:rPr>
                                <w:sz w:val="24"/>
                                <w:szCs w:val="24"/>
                              </w:rPr>
                            </w:pPr>
                            <w:r>
                              <w:rPr>
                                <w:sz w:val="24"/>
                                <w:szCs w:val="24"/>
                              </w:rPr>
                              <w:t>To analyze the Goals and Targets in the 2030 Agenda</w:t>
                            </w:r>
                            <w:r w:rsidR="00C92726">
                              <w:rPr>
                                <w:sz w:val="24"/>
                                <w:szCs w:val="24"/>
                              </w:rPr>
                              <w:t xml:space="preserve"> related to health and well-being</w:t>
                            </w:r>
                            <w:r>
                              <w:rPr>
                                <w:sz w:val="24"/>
                                <w:szCs w:val="24"/>
                              </w:rPr>
                              <w:t>.</w:t>
                            </w:r>
                          </w:p>
                          <w:p w14:paraId="465B963F" w14:textId="77777777" w:rsidR="006932F3" w:rsidRDefault="006932F3" w:rsidP="0015617C">
                            <w:pPr>
                              <w:numPr>
                                <w:ilvl w:val="0"/>
                                <w:numId w:val="4"/>
                              </w:numPr>
                              <w:rPr>
                                <w:sz w:val="24"/>
                                <w:szCs w:val="24"/>
                              </w:rPr>
                            </w:pPr>
                          </w:p>
                          <w:p w14:paraId="413C8AD1" w14:textId="08DDF70E" w:rsidR="00922726" w:rsidRPr="00AE48CA" w:rsidRDefault="00922726" w:rsidP="0015617C">
                            <w:pPr>
                              <w:numPr>
                                <w:ilvl w:val="0"/>
                                <w:numId w:val="4"/>
                              </w:numPr>
                              <w:rPr>
                                <w:sz w:val="24"/>
                                <w:szCs w:val="24"/>
                              </w:rPr>
                            </w:pPr>
                            <w:r w:rsidRPr="00AE48CA">
                              <w:rPr>
                                <w:sz w:val="24"/>
                                <w:szCs w:val="24"/>
                              </w:rPr>
                              <w:t>To understand how operationalizing the right to development can help in bett</w:t>
                            </w:r>
                            <w:r w:rsidR="00F42C4D">
                              <w:rPr>
                                <w:sz w:val="24"/>
                                <w:szCs w:val="24"/>
                              </w:rPr>
                              <w:t xml:space="preserve">er implementation of the </w:t>
                            </w:r>
                            <w:r w:rsidRPr="00AE48CA">
                              <w:rPr>
                                <w:sz w:val="24"/>
                                <w:szCs w:val="24"/>
                              </w:rPr>
                              <w:t>Goals and Targets in the 2030 Agenda</w:t>
                            </w:r>
                            <w:r w:rsidR="00C92726">
                              <w:rPr>
                                <w:sz w:val="24"/>
                                <w:szCs w:val="24"/>
                              </w:rPr>
                              <w:t xml:space="preserve"> related to health and well-being</w:t>
                            </w:r>
                            <w:r w:rsidRPr="00AE48CA">
                              <w:rPr>
                                <w:sz w:val="24"/>
                                <w:szCs w:val="24"/>
                              </w:rPr>
                              <w:t>.</w:t>
                            </w:r>
                          </w:p>
                          <w:p w14:paraId="4AA65748" w14:textId="77777777" w:rsidR="00922726" w:rsidRPr="0015617C" w:rsidRDefault="0092272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87667C" id="_x0000_t202" coordsize="21600,21600" o:spt="202" path="m,l,21600r21600,l21600,xe">
                <v:stroke joinstyle="miter"/>
                <v:path gradientshapeok="t" o:connecttype="rect"/>
              </v:shapetype>
              <v:shape id="Text Box 2" o:spid="_x0000_s1026" type="#_x0000_t202" style="position:absolute;margin-left:0;margin-top:28.2pt;width:413.3pt;height:146.2pt;z-index:25165772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">
                <v:textbox style="mso-fit-shape-to-text:t">
                  <w:txbxContent>
                    <w:p w14:paraId="5882E455" w14:textId="77777777" w:rsidR="00922726" w:rsidRPr="00AE48CA" w:rsidRDefault="00922726">
                      <w:pPr>
                        <w:rPr>
                          <w:sz w:val="24"/>
                          <w:szCs w:val="24"/>
                        </w:rPr>
                      </w:pPr>
                      <w:r w:rsidRPr="00AE48CA">
                        <w:rPr>
                          <w:b/>
                          <w:bCs/>
                          <w:sz w:val="24"/>
                          <w:szCs w:val="24"/>
                        </w:rPr>
                        <w:t>Learning Objectives:</w:t>
                      </w:r>
                    </w:p>
                    <w:p w14:paraId="307E7429" w14:textId="77777777" w:rsidR="00922726" w:rsidRPr="00AE48CA" w:rsidRDefault="00922726">
                      <w:pPr>
                        <w:rPr>
                          <w:sz w:val="24"/>
                          <w:szCs w:val="24"/>
                        </w:rPr>
                      </w:pPr>
                    </w:p>
                    <w:p w14:paraId="7E3B1638" w14:textId="509E8575" w:rsidR="00922726" w:rsidRDefault="00922726" w:rsidP="0015617C">
                      <w:pPr>
                        <w:numPr>
                          <w:ilvl w:val="0"/>
                          <w:numId w:val="4"/>
                        </w:numPr>
                        <w:rPr>
                          <w:sz w:val="24"/>
                          <w:szCs w:val="24"/>
                        </w:rPr>
                      </w:pPr>
                      <w:r w:rsidRPr="00AE48CA">
                        <w:rPr>
                          <w:sz w:val="24"/>
                          <w:szCs w:val="24"/>
                        </w:rPr>
                        <w:t xml:space="preserve">To understand the </w:t>
                      </w:r>
                      <w:r w:rsidR="002A190B">
                        <w:rPr>
                          <w:sz w:val="24"/>
                          <w:szCs w:val="24"/>
                        </w:rPr>
                        <w:t xml:space="preserve">scope and content of the </w:t>
                      </w:r>
                      <w:r w:rsidRPr="00AE48CA">
                        <w:rPr>
                          <w:sz w:val="24"/>
                          <w:szCs w:val="24"/>
                        </w:rPr>
                        <w:t xml:space="preserve">right to </w:t>
                      </w:r>
                      <w:r w:rsidR="007E4FDA">
                        <w:rPr>
                          <w:sz w:val="24"/>
                          <w:szCs w:val="24"/>
                        </w:rPr>
                        <w:t xml:space="preserve">the </w:t>
                      </w:r>
                      <w:r w:rsidRPr="00AE48CA">
                        <w:rPr>
                          <w:sz w:val="24"/>
                          <w:szCs w:val="24"/>
                        </w:rPr>
                        <w:t>highest attainable standard of health using the right to development framework.</w:t>
                      </w:r>
                    </w:p>
                    <w:p w14:paraId="6C72BD88" w14:textId="77777777" w:rsidR="006932F3" w:rsidRDefault="006932F3" w:rsidP="006932F3">
                      <w:pPr>
                        <w:ind w:left="720"/>
                        <w:rPr>
                          <w:sz w:val="24"/>
                          <w:szCs w:val="24"/>
                        </w:rPr>
                      </w:pPr>
                    </w:p>
                    <w:p w14:paraId="3BD04D91" w14:textId="77777777" w:rsidR="002A190B" w:rsidRPr="00AE48CA" w:rsidRDefault="002A190B" w:rsidP="0015617C">
                      <w:pPr>
                        <w:numPr>
                          <w:ilvl w:val="0"/>
                          <w:numId w:val="4"/>
                        </w:numPr>
                        <w:rPr>
                          <w:sz w:val="24"/>
                          <w:szCs w:val="24"/>
                        </w:rPr>
                      </w:pPr>
                      <w:r>
                        <w:rPr>
                          <w:sz w:val="24"/>
                          <w:szCs w:val="24"/>
                        </w:rPr>
                        <w:t>To analyze the Goals and Targets in the 2030 Agenda</w:t>
                      </w:r>
                      <w:r w:rsidR="00C92726">
                        <w:rPr>
                          <w:sz w:val="24"/>
                          <w:szCs w:val="24"/>
                        </w:rPr>
                        <w:t xml:space="preserve"> related to health and well-being</w:t>
                      </w:r>
                      <w:r>
                        <w:rPr>
                          <w:sz w:val="24"/>
                          <w:szCs w:val="24"/>
                        </w:rPr>
                        <w:t>.</w:t>
                      </w:r>
                    </w:p>
                    <w:p w14:paraId="465B963F" w14:textId="77777777" w:rsidR="006932F3" w:rsidRDefault="006932F3" w:rsidP="0015617C">
                      <w:pPr>
                        <w:numPr>
                          <w:ilvl w:val="0"/>
                          <w:numId w:val="4"/>
                        </w:numPr>
                        <w:rPr>
                          <w:sz w:val="24"/>
                          <w:szCs w:val="24"/>
                        </w:rPr>
                      </w:pPr>
                    </w:p>
                    <w:p w14:paraId="413C8AD1" w14:textId="08DDF70E" w:rsidR="00922726" w:rsidRPr="00AE48CA" w:rsidRDefault="00922726" w:rsidP="0015617C">
                      <w:pPr>
                        <w:numPr>
                          <w:ilvl w:val="0"/>
                          <w:numId w:val="4"/>
                        </w:numPr>
                        <w:rPr>
                          <w:sz w:val="24"/>
                          <w:szCs w:val="24"/>
                        </w:rPr>
                      </w:pPr>
                      <w:r w:rsidRPr="00AE48CA">
                        <w:rPr>
                          <w:sz w:val="24"/>
                          <w:szCs w:val="24"/>
                        </w:rPr>
                        <w:t>To understand how operationalizing the right to development can help in bett</w:t>
                      </w:r>
                      <w:r w:rsidR="00F42C4D">
                        <w:rPr>
                          <w:sz w:val="24"/>
                          <w:szCs w:val="24"/>
                        </w:rPr>
                        <w:t xml:space="preserve">er implementation of the </w:t>
                      </w:r>
                      <w:r w:rsidRPr="00AE48CA">
                        <w:rPr>
                          <w:sz w:val="24"/>
                          <w:szCs w:val="24"/>
                        </w:rPr>
                        <w:t>Goals and Targets in the 2030 Agenda</w:t>
                      </w:r>
                      <w:r w:rsidR="00C92726">
                        <w:rPr>
                          <w:sz w:val="24"/>
                          <w:szCs w:val="24"/>
                        </w:rPr>
                        <w:t xml:space="preserve"> related to health and well-being</w:t>
                      </w:r>
                      <w:r w:rsidRPr="00AE48CA">
                        <w:rPr>
                          <w:sz w:val="24"/>
                          <w:szCs w:val="24"/>
                        </w:rPr>
                        <w:t>.</w:t>
                      </w:r>
                    </w:p>
                    <w:p w14:paraId="4AA65748" w14:textId="77777777" w:rsidR="00922726" w:rsidRPr="0015617C" w:rsidRDefault="00922726"/>
                  </w:txbxContent>
                </v:textbox>
                <w10:wrap type="square"/>
              </v:shape>
            </w:pict>
          </mc:Fallback>
        </mc:AlternateContent>
      </w:r>
    </w:p>
    <w:p w14:paraId="09205F83" w14:textId="2C44C84E" w:rsidR="006932F3" w:rsidRDefault="006932F3" w:rsidP="002A190B">
      <w:pPr>
        <w:pStyle w:val="BodyText3"/>
        <w:ind w:left="864" w:right="864"/>
        <w:jc w:val="both"/>
        <w:rPr>
          <w:i/>
          <w:sz w:val="24"/>
          <w:szCs w:val="24"/>
        </w:rPr>
      </w:pPr>
    </w:p>
    <w:p w14:paraId="7274AB32" w14:textId="77777777" w:rsidR="006932F3" w:rsidRDefault="006932F3" w:rsidP="006932F3">
      <w:pPr>
        <w:pStyle w:val="BodyText3"/>
        <w:ind w:right="864"/>
        <w:jc w:val="both"/>
        <w:rPr>
          <w:rFonts w:eastAsia="Calibri"/>
          <w:b/>
          <w:i/>
          <w:iCs/>
          <w:sz w:val="23"/>
          <w:szCs w:val="23"/>
        </w:rPr>
      </w:pPr>
    </w:p>
    <w:p w14:paraId="119B4B01" w14:textId="77777777" w:rsidR="006932F3" w:rsidRDefault="006932F3" w:rsidP="006932F3">
      <w:pPr>
        <w:pStyle w:val="BodyText3"/>
        <w:ind w:right="864"/>
        <w:jc w:val="both"/>
        <w:rPr>
          <w:rFonts w:eastAsia="Calibri"/>
          <w:b/>
          <w:i/>
          <w:iCs/>
          <w:sz w:val="23"/>
          <w:szCs w:val="23"/>
        </w:rPr>
      </w:pPr>
    </w:p>
    <w:p w14:paraId="463DE310" w14:textId="77777777" w:rsidR="006932F3" w:rsidRDefault="006932F3" w:rsidP="006932F3">
      <w:pPr>
        <w:pStyle w:val="BodyText3"/>
        <w:ind w:right="864"/>
        <w:jc w:val="both"/>
        <w:rPr>
          <w:rFonts w:eastAsia="Calibri"/>
          <w:b/>
          <w:i/>
          <w:iCs/>
          <w:sz w:val="23"/>
          <w:szCs w:val="23"/>
        </w:rPr>
      </w:pPr>
    </w:p>
    <w:p w14:paraId="668CEDFF" w14:textId="77777777" w:rsidR="006932F3" w:rsidRDefault="006932F3" w:rsidP="006932F3">
      <w:pPr>
        <w:pStyle w:val="BodyText3"/>
        <w:ind w:right="864"/>
        <w:jc w:val="both"/>
        <w:rPr>
          <w:rFonts w:eastAsia="Calibri"/>
          <w:b/>
          <w:i/>
          <w:iCs/>
          <w:sz w:val="23"/>
          <w:szCs w:val="23"/>
        </w:rPr>
      </w:pPr>
    </w:p>
    <w:p w14:paraId="75546BD9" w14:textId="77777777" w:rsidR="006932F3" w:rsidRDefault="006932F3" w:rsidP="006932F3">
      <w:pPr>
        <w:pStyle w:val="BodyText3"/>
        <w:ind w:right="864"/>
        <w:jc w:val="both"/>
        <w:rPr>
          <w:rFonts w:eastAsia="Calibri"/>
          <w:b/>
          <w:i/>
          <w:iCs/>
          <w:sz w:val="23"/>
          <w:szCs w:val="23"/>
        </w:rPr>
      </w:pPr>
    </w:p>
    <w:p w14:paraId="0420B912" w14:textId="77777777" w:rsidR="006932F3" w:rsidRDefault="006932F3" w:rsidP="006932F3">
      <w:pPr>
        <w:pStyle w:val="BodyText3"/>
        <w:ind w:right="864"/>
        <w:jc w:val="both"/>
        <w:rPr>
          <w:rFonts w:eastAsia="Calibri"/>
          <w:b/>
          <w:i/>
          <w:iCs/>
          <w:sz w:val="23"/>
          <w:szCs w:val="23"/>
        </w:rPr>
      </w:pPr>
    </w:p>
    <w:p w14:paraId="27600AFF" w14:textId="77777777" w:rsidR="006932F3" w:rsidRDefault="006932F3" w:rsidP="006932F3">
      <w:pPr>
        <w:pStyle w:val="BodyText3"/>
        <w:ind w:right="864"/>
        <w:jc w:val="both"/>
        <w:rPr>
          <w:rFonts w:eastAsia="Calibri"/>
          <w:b/>
          <w:i/>
          <w:iCs/>
          <w:sz w:val="23"/>
          <w:szCs w:val="23"/>
        </w:rPr>
      </w:pPr>
    </w:p>
    <w:p w14:paraId="5582EA46" w14:textId="77777777" w:rsidR="006932F3" w:rsidRDefault="006932F3" w:rsidP="006932F3">
      <w:pPr>
        <w:pStyle w:val="BodyText3"/>
        <w:ind w:right="864"/>
        <w:jc w:val="both"/>
        <w:rPr>
          <w:rFonts w:eastAsia="Calibri"/>
          <w:b/>
          <w:i/>
          <w:iCs/>
          <w:sz w:val="23"/>
          <w:szCs w:val="23"/>
        </w:rPr>
      </w:pPr>
    </w:p>
    <w:p w14:paraId="65C52416" w14:textId="2A929C4C" w:rsidR="006932F3" w:rsidRDefault="006932F3" w:rsidP="00AF7E0F">
      <w:pPr>
        <w:pStyle w:val="BodyText3"/>
        <w:ind w:right="4"/>
        <w:jc w:val="both"/>
        <w:rPr>
          <w:rFonts w:eastAsia="Calibri"/>
          <w:b/>
          <w:i/>
          <w:iCs/>
          <w:sz w:val="23"/>
          <w:szCs w:val="23"/>
        </w:rPr>
      </w:pPr>
      <w:r>
        <w:rPr>
          <w:rFonts w:eastAsia="Calibri"/>
          <w:b/>
          <w:i/>
          <w:iCs/>
          <w:sz w:val="23"/>
          <w:szCs w:val="23"/>
        </w:rPr>
        <w:t xml:space="preserve">This Chapter is part of the E-Learning Module on “Operationalizing the Right to Development in Implementing the Sustainable Development Goals” conceived, developed, and supported by the Right to Development Section of the Office of the United Nations High Commissioner for Human Rights (OHCHR) in collaboration with the University for Peace (UPEACE). The Module is offered by OHCHR in partnership with UPEACE and the United Nations University – International Institute for Global Health (UNU-IIGH). All Chapters in the module are co-edited by Dr. Mihir Kanade (Director, UPEACE Human Rights Centre) and Dr. </w:t>
      </w:r>
      <w:proofErr w:type="spellStart"/>
      <w:r>
        <w:rPr>
          <w:rFonts w:eastAsia="Calibri"/>
          <w:b/>
          <w:i/>
          <w:iCs/>
          <w:sz w:val="23"/>
          <w:szCs w:val="23"/>
        </w:rPr>
        <w:t>Shyami</w:t>
      </w:r>
      <w:proofErr w:type="spellEnd"/>
      <w:r>
        <w:rPr>
          <w:rFonts w:eastAsia="Calibri"/>
          <w:b/>
          <w:i/>
          <w:iCs/>
          <w:sz w:val="23"/>
          <w:szCs w:val="23"/>
        </w:rPr>
        <w:t xml:space="preserve"> </w:t>
      </w:r>
      <w:proofErr w:type="spellStart"/>
      <w:r>
        <w:rPr>
          <w:rFonts w:eastAsia="Calibri"/>
          <w:b/>
          <w:i/>
          <w:iCs/>
          <w:sz w:val="23"/>
          <w:szCs w:val="23"/>
        </w:rPr>
        <w:t>Puvimanasinghe</w:t>
      </w:r>
      <w:proofErr w:type="spellEnd"/>
      <w:r>
        <w:rPr>
          <w:rFonts w:eastAsia="Calibri"/>
          <w:b/>
          <w:i/>
          <w:iCs/>
          <w:sz w:val="23"/>
          <w:szCs w:val="23"/>
        </w:rPr>
        <w:t xml:space="preserve"> (Human Rights Officer, Right to Development Section, OHCHR).</w:t>
      </w:r>
    </w:p>
    <w:p w14:paraId="1B1445E3" w14:textId="53A1C5C7" w:rsidR="006932F3" w:rsidRDefault="006932F3" w:rsidP="006932F3">
      <w:pPr>
        <w:pStyle w:val="BodyText3"/>
        <w:ind w:right="864"/>
        <w:jc w:val="both"/>
        <w:rPr>
          <w:rFonts w:eastAsia="Calibri"/>
          <w:b/>
          <w:i/>
          <w:iCs/>
          <w:sz w:val="23"/>
          <w:szCs w:val="23"/>
        </w:rPr>
      </w:pPr>
    </w:p>
    <w:p w14:paraId="1C466078" w14:textId="7C6B3CD4" w:rsidR="00AE48CA" w:rsidRPr="009158C8" w:rsidRDefault="002A3728" w:rsidP="002A190B">
      <w:pPr>
        <w:pStyle w:val="BodyText3"/>
        <w:ind w:left="864" w:right="864"/>
        <w:jc w:val="both"/>
        <w:rPr>
          <w:sz w:val="24"/>
          <w:szCs w:val="24"/>
        </w:rPr>
      </w:pPr>
      <w:r w:rsidRPr="009158C8">
        <w:rPr>
          <w:i/>
          <w:sz w:val="24"/>
          <w:szCs w:val="24"/>
        </w:rPr>
        <w:lastRenderedPageBreak/>
        <w:t>The right to development is an inalienable human right by virtue of which every human person and all peoples are entitled to participate in, contribute to, and enjoy economic, social, cultural and political development, in which all human rights and fundamental freedoms can be fully realized</w:t>
      </w:r>
      <w:r w:rsidR="00AE48CA" w:rsidRPr="009158C8">
        <w:rPr>
          <w:sz w:val="24"/>
          <w:szCs w:val="24"/>
        </w:rPr>
        <w:t>.</w:t>
      </w:r>
    </w:p>
    <w:p w14:paraId="52EFAB8B" w14:textId="77777777" w:rsidR="002A3728" w:rsidRPr="009158C8" w:rsidRDefault="00AE48CA" w:rsidP="002A190B">
      <w:pPr>
        <w:pStyle w:val="BodyText3"/>
        <w:ind w:left="864" w:right="864"/>
        <w:jc w:val="right"/>
        <w:rPr>
          <w:sz w:val="24"/>
          <w:szCs w:val="24"/>
        </w:rPr>
      </w:pPr>
      <w:r w:rsidRPr="009158C8">
        <w:rPr>
          <w:sz w:val="24"/>
          <w:szCs w:val="24"/>
        </w:rPr>
        <w:t xml:space="preserve">UN </w:t>
      </w:r>
      <w:r w:rsidR="002A3728" w:rsidRPr="009158C8">
        <w:rPr>
          <w:sz w:val="24"/>
          <w:szCs w:val="24"/>
        </w:rPr>
        <w:t>Declaration on the Right to Development</w:t>
      </w:r>
      <w:r w:rsidRPr="009158C8">
        <w:rPr>
          <w:sz w:val="24"/>
          <w:szCs w:val="24"/>
        </w:rPr>
        <w:t xml:space="preserve"> (DRTD)</w:t>
      </w:r>
      <w:r w:rsidR="00CC64A3" w:rsidRPr="009158C8">
        <w:rPr>
          <w:sz w:val="24"/>
          <w:szCs w:val="24"/>
        </w:rPr>
        <w:t xml:space="preserve"> </w:t>
      </w:r>
      <w:r w:rsidR="002A3728" w:rsidRPr="009158C8">
        <w:rPr>
          <w:rStyle w:val="FootnoteReference"/>
          <w:sz w:val="24"/>
          <w:szCs w:val="24"/>
        </w:rPr>
        <w:footnoteReference w:id="1"/>
      </w:r>
    </w:p>
    <w:p w14:paraId="4F94C611" w14:textId="77777777" w:rsidR="002A3728" w:rsidRPr="009158C8" w:rsidRDefault="002A3728" w:rsidP="002A190B">
      <w:pPr>
        <w:pStyle w:val="BodyText3"/>
        <w:ind w:left="864" w:right="864"/>
        <w:jc w:val="both"/>
        <w:rPr>
          <w:i/>
          <w:sz w:val="24"/>
          <w:szCs w:val="24"/>
        </w:rPr>
      </w:pPr>
    </w:p>
    <w:p w14:paraId="197F5A76" w14:textId="77777777" w:rsidR="00AE48CA" w:rsidRPr="009158C8" w:rsidRDefault="00F331FB" w:rsidP="002A190B">
      <w:pPr>
        <w:pStyle w:val="BodyText3"/>
        <w:ind w:left="864" w:right="864"/>
        <w:jc w:val="both"/>
        <w:rPr>
          <w:i/>
          <w:sz w:val="24"/>
          <w:szCs w:val="24"/>
        </w:rPr>
      </w:pPr>
      <w:r w:rsidRPr="009158C8">
        <w:rPr>
          <w:i/>
          <w:sz w:val="24"/>
          <w:szCs w:val="24"/>
        </w:rPr>
        <w:t>The enjoyment of the highest attainable standard of health is one of the fundamental rights of every human being without distinction of race, religion, political belief, economic or social condition</w:t>
      </w:r>
      <w:r w:rsidR="00AE48CA" w:rsidRPr="009158C8">
        <w:rPr>
          <w:i/>
          <w:sz w:val="24"/>
          <w:szCs w:val="24"/>
        </w:rPr>
        <w:t>.</w:t>
      </w:r>
      <w:r w:rsidRPr="009158C8">
        <w:rPr>
          <w:i/>
          <w:sz w:val="24"/>
          <w:szCs w:val="24"/>
        </w:rPr>
        <w:t xml:space="preserve"> </w:t>
      </w:r>
    </w:p>
    <w:p w14:paraId="45BE2401" w14:textId="77777777" w:rsidR="004A2EDA" w:rsidRPr="009158C8" w:rsidRDefault="00F331FB" w:rsidP="002A190B">
      <w:pPr>
        <w:pStyle w:val="BodyText3"/>
        <w:ind w:left="864" w:right="864"/>
        <w:jc w:val="right"/>
        <w:rPr>
          <w:sz w:val="24"/>
          <w:szCs w:val="24"/>
        </w:rPr>
      </w:pPr>
      <w:r w:rsidRPr="009158C8">
        <w:rPr>
          <w:sz w:val="24"/>
          <w:szCs w:val="24"/>
        </w:rPr>
        <w:t>Constitution of the World Health Organization</w:t>
      </w:r>
      <w:r w:rsidR="00CC64A3" w:rsidRPr="009158C8">
        <w:rPr>
          <w:sz w:val="24"/>
          <w:szCs w:val="24"/>
        </w:rPr>
        <w:t xml:space="preserve"> </w:t>
      </w:r>
      <w:r w:rsidRPr="009158C8">
        <w:rPr>
          <w:rStyle w:val="FootnoteReference"/>
          <w:sz w:val="24"/>
          <w:szCs w:val="24"/>
        </w:rPr>
        <w:footnoteReference w:id="2"/>
      </w:r>
    </w:p>
    <w:p w14:paraId="2A780A9D" w14:textId="77777777" w:rsidR="00251FC9" w:rsidRPr="009158C8" w:rsidRDefault="00251FC9" w:rsidP="002A190B">
      <w:pPr>
        <w:jc w:val="center"/>
        <w:rPr>
          <w:b/>
          <w:sz w:val="24"/>
        </w:rPr>
      </w:pPr>
    </w:p>
    <w:p w14:paraId="5A3BF11D" w14:textId="77777777" w:rsidR="009A4D0B" w:rsidRPr="009158C8" w:rsidRDefault="000736EC" w:rsidP="002A190B">
      <w:pPr>
        <w:rPr>
          <w:b/>
          <w:sz w:val="24"/>
        </w:rPr>
      </w:pPr>
      <w:r w:rsidRPr="009158C8">
        <w:rPr>
          <w:b/>
          <w:sz w:val="24"/>
        </w:rPr>
        <w:t>Context</w:t>
      </w:r>
    </w:p>
    <w:p w14:paraId="489DDBB2" w14:textId="77777777" w:rsidR="00251FC9" w:rsidRPr="009158C8" w:rsidRDefault="00251FC9" w:rsidP="002A190B">
      <w:pPr>
        <w:jc w:val="center"/>
        <w:rPr>
          <w:b/>
          <w:i/>
          <w:sz w:val="24"/>
        </w:rPr>
      </w:pPr>
    </w:p>
    <w:p w14:paraId="6B0226A9" w14:textId="77777777" w:rsidR="00182886" w:rsidRPr="009158C8" w:rsidRDefault="00874356" w:rsidP="002A190B">
      <w:pPr>
        <w:pStyle w:val="BodyText"/>
        <w:jc w:val="both"/>
      </w:pPr>
      <w:r w:rsidRPr="009158C8">
        <w:t>The celebration, in 2016, of the 30</w:t>
      </w:r>
      <w:r w:rsidRPr="009158C8">
        <w:rPr>
          <w:vertAlign w:val="superscript"/>
        </w:rPr>
        <w:t>th</w:t>
      </w:r>
      <w:r w:rsidRPr="009158C8">
        <w:t xml:space="preserve"> anniversary of the United Nations Declaration on the Right to Development (</w:t>
      </w:r>
      <w:r w:rsidR="000736EC" w:rsidRPr="009158C8">
        <w:t>DRTD)</w:t>
      </w:r>
      <w:r w:rsidR="009568DF" w:rsidRPr="009158C8">
        <w:rPr>
          <w:rStyle w:val="FootnoteReference"/>
        </w:rPr>
        <w:footnoteReference w:id="3"/>
      </w:r>
      <w:r w:rsidRPr="009158C8">
        <w:t xml:space="preserve"> by </w:t>
      </w:r>
      <w:r w:rsidR="005D2AC2" w:rsidRPr="009158C8">
        <w:t>epistemic and policy communities, international organizations, and civil society</w:t>
      </w:r>
      <w:r w:rsidRPr="009158C8">
        <w:t xml:space="preserve"> </w:t>
      </w:r>
      <w:r w:rsidR="002E2F18" w:rsidRPr="009158C8">
        <w:t xml:space="preserve">across the world </w:t>
      </w:r>
      <w:r w:rsidR="002D0853" w:rsidRPr="009158C8">
        <w:t xml:space="preserve">provided </w:t>
      </w:r>
      <w:r w:rsidRPr="009158C8">
        <w:t xml:space="preserve">an opportunity to reflect on the challenges of operationalizing the </w:t>
      </w:r>
      <w:r w:rsidR="000736EC" w:rsidRPr="009158C8">
        <w:t>right to development (</w:t>
      </w:r>
      <w:r w:rsidRPr="009158C8">
        <w:t>RtD</w:t>
      </w:r>
      <w:r w:rsidR="000736EC" w:rsidRPr="009158C8">
        <w:t>)</w:t>
      </w:r>
      <w:r w:rsidRPr="009158C8">
        <w:t xml:space="preserve"> </w:t>
      </w:r>
      <w:r w:rsidR="003416CE" w:rsidRPr="009158C8">
        <w:t xml:space="preserve">in </w:t>
      </w:r>
      <w:r w:rsidR="00776EF2" w:rsidRPr="009158C8">
        <w:t xml:space="preserve">human rights </w:t>
      </w:r>
      <w:r w:rsidR="003416CE" w:rsidRPr="009158C8">
        <w:t xml:space="preserve">discourse. </w:t>
      </w:r>
      <w:r w:rsidR="00632B85" w:rsidRPr="009158C8">
        <w:t>The D</w:t>
      </w:r>
      <w:r w:rsidR="000736EC" w:rsidRPr="009158C8">
        <w:t>RTD</w:t>
      </w:r>
      <w:r w:rsidR="005A50BC" w:rsidRPr="009158C8">
        <w:t xml:space="preserve"> </w:t>
      </w:r>
      <w:r w:rsidR="00B6760D" w:rsidRPr="009158C8">
        <w:t xml:space="preserve">adopted </w:t>
      </w:r>
      <w:r w:rsidR="005A50BC" w:rsidRPr="009158C8">
        <w:t xml:space="preserve">on December 4, 1986 </w:t>
      </w:r>
      <w:r w:rsidR="00632B85" w:rsidRPr="009158C8">
        <w:t xml:space="preserve">was catalyzed by </w:t>
      </w:r>
      <w:r w:rsidR="00B93C4F" w:rsidRPr="009158C8">
        <w:t>decade</w:t>
      </w:r>
      <w:r w:rsidR="00DC7941" w:rsidRPr="009158C8">
        <w:t>s</w:t>
      </w:r>
      <w:r w:rsidR="00B93C4F" w:rsidRPr="009158C8">
        <w:t xml:space="preserve"> of sustained </w:t>
      </w:r>
      <w:r w:rsidR="00632B85" w:rsidRPr="009158C8">
        <w:t xml:space="preserve">agitation </w:t>
      </w:r>
      <w:r w:rsidR="00DC7941" w:rsidRPr="009158C8">
        <w:t>by</w:t>
      </w:r>
      <w:r w:rsidR="00632B85" w:rsidRPr="009158C8">
        <w:t xml:space="preserve"> “Third World”</w:t>
      </w:r>
      <w:r w:rsidR="00E56BAD" w:rsidRPr="009158C8">
        <w:t xml:space="preserve"> states for a New International Economic O</w:t>
      </w:r>
      <w:r w:rsidR="00632B85" w:rsidRPr="009158C8">
        <w:t xml:space="preserve">rder </w:t>
      </w:r>
      <w:r w:rsidR="00E56BAD" w:rsidRPr="009158C8">
        <w:t>(NIEO)</w:t>
      </w:r>
      <w:r w:rsidR="009D186D" w:rsidRPr="009158C8">
        <w:rPr>
          <w:rStyle w:val="FootnoteReference"/>
        </w:rPr>
        <w:footnoteReference w:id="4"/>
      </w:r>
      <w:r w:rsidR="002E2F18" w:rsidRPr="009158C8">
        <w:t xml:space="preserve"> </w:t>
      </w:r>
      <w:r w:rsidR="00632B85" w:rsidRPr="009158C8">
        <w:t xml:space="preserve">which </w:t>
      </w:r>
      <w:r w:rsidR="00E56BAD" w:rsidRPr="009158C8">
        <w:t xml:space="preserve">led to the adoption of two key resolutions by the United Nations in 1974: </w:t>
      </w:r>
      <w:r w:rsidR="00776EF2" w:rsidRPr="009158C8">
        <w:t>Resolution on the Establishment of a New International Economic Order,</w:t>
      </w:r>
      <w:r w:rsidR="00776EF2" w:rsidRPr="009158C8">
        <w:rPr>
          <w:rStyle w:val="FootnoteReference"/>
        </w:rPr>
        <w:footnoteReference w:id="5"/>
      </w:r>
      <w:r w:rsidR="00776EF2" w:rsidRPr="009158C8">
        <w:t xml:space="preserve"> and Resolution on the Economic Charter of Rights and Duties of States.</w:t>
      </w:r>
      <w:r w:rsidR="005A50BC" w:rsidRPr="009158C8">
        <w:rPr>
          <w:rStyle w:val="FootnoteReference"/>
        </w:rPr>
        <w:footnoteReference w:id="6"/>
      </w:r>
      <w:r w:rsidR="00776EF2" w:rsidRPr="009158C8">
        <w:t xml:space="preserve"> </w:t>
      </w:r>
      <w:r w:rsidR="00D568CE" w:rsidRPr="009158C8">
        <w:t xml:space="preserve">Within the larger </w:t>
      </w:r>
      <w:r w:rsidR="00EE2BB2" w:rsidRPr="009158C8">
        <w:t xml:space="preserve">NIEO discourse, the credit </w:t>
      </w:r>
      <w:r w:rsidR="003E07E0" w:rsidRPr="009158C8">
        <w:t xml:space="preserve">for the </w:t>
      </w:r>
      <w:r w:rsidR="00EE2BB2" w:rsidRPr="009158C8">
        <w:t xml:space="preserve">pioneer articulation of the right to development is often given to Senegalese jurist, </w:t>
      </w:r>
      <w:proofErr w:type="spellStart"/>
      <w:r w:rsidR="00EE2BB2" w:rsidRPr="009158C8">
        <w:t>Keba</w:t>
      </w:r>
      <w:proofErr w:type="spellEnd"/>
      <w:r w:rsidR="00EE2BB2" w:rsidRPr="009158C8">
        <w:t xml:space="preserve"> M’Baye</w:t>
      </w:r>
      <w:r w:rsidR="00C65A57" w:rsidRPr="009158C8">
        <w:t>.</w:t>
      </w:r>
      <w:r w:rsidR="00C65A57" w:rsidRPr="009158C8">
        <w:rPr>
          <w:rStyle w:val="FootnoteReference"/>
        </w:rPr>
        <w:footnoteReference w:id="7"/>
      </w:r>
      <w:r w:rsidR="00867547" w:rsidRPr="009158C8">
        <w:t xml:space="preserve"> </w:t>
      </w:r>
      <w:r w:rsidR="002D0853" w:rsidRPr="009158C8">
        <w:t>In t</w:t>
      </w:r>
      <w:r w:rsidR="00867547" w:rsidRPr="009158C8">
        <w:t xml:space="preserve">he years immediately following </w:t>
      </w:r>
      <w:proofErr w:type="spellStart"/>
      <w:r w:rsidR="00EE2BB2" w:rsidRPr="009158C8">
        <w:t>M’baye</w:t>
      </w:r>
      <w:r w:rsidR="009146CD" w:rsidRPr="009158C8">
        <w:t>’s</w:t>
      </w:r>
      <w:proofErr w:type="spellEnd"/>
      <w:r w:rsidR="009146CD" w:rsidRPr="009158C8">
        <w:t xml:space="preserve"> treatise, the </w:t>
      </w:r>
      <w:r w:rsidR="007923AA" w:rsidRPr="009158C8">
        <w:t xml:space="preserve">RtD </w:t>
      </w:r>
      <w:r w:rsidR="003E07E0" w:rsidRPr="009158C8">
        <w:t xml:space="preserve">discourse </w:t>
      </w:r>
      <w:r w:rsidR="00867547" w:rsidRPr="009158C8">
        <w:t xml:space="preserve">became </w:t>
      </w:r>
      <w:r w:rsidR="007923AA" w:rsidRPr="009158C8">
        <w:t xml:space="preserve">the subject of </w:t>
      </w:r>
      <w:r w:rsidR="003E07E0" w:rsidRPr="009158C8">
        <w:t xml:space="preserve">insightful but </w:t>
      </w:r>
      <w:r w:rsidR="009146CD" w:rsidRPr="009158C8">
        <w:t xml:space="preserve">often </w:t>
      </w:r>
      <w:r w:rsidR="003E07E0" w:rsidRPr="009158C8">
        <w:t>polarized and acrimonious debate</w:t>
      </w:r>
      <w:r w:rsidR="009146CD" w:rsidRPr="009158C8">
        <w:t xml:space="preserve"> </w:t>
      </w:r>
      <w:r w:rsidR="00867547" w:rsidRPr="009158C8">
        <w:t>in international human rights law</w:t>
      </w:r>
      <w:r w:rsidR="009D7147" w:rsidRPr="009158C8">
        <w:t>.</w:t>
      </w:r>
      <w:r w:rsidR="009D7147" w:rsidRPr="009158C8">
        <w:rPr>
          <w:rStyle w:val="FootnoteReference"/>
        </w:rPr>
        <w:footnoteReference w:id="8"/>
      </w:r>
      <w:r w:rsidR="00867547" w:rsidRPr="009158C8">
        <w:t xml:space="preserve"> </w:t>
      </w:r>
      <w:r w:rsidR="003E07E0" w:rsidRPr="009158C8">
        <w:t xml:space="preserve">As </w:t>
      </w:r>
      <w:r w:rsidR="000736EC" w:rsidRPr="009158C8">
        <w:t xml:space="preserve">Mickelson </w:t>
      </w:r>
      <w:r w:rsidR="003E07E0" w:rsidRPr="009158C8">
        <w:t xml:space="preserve">observed “scholarly debate on the existence and </w:t>
      </w:r>
      <w:r w:rsidR="003E07E0" w:rsidRPr="009158C8">
        <w:lastRenderedPageBreak/>
        <w:t xml:space="preserve">scope </w:t>
      </w:r>
      <w:r w:rsidR="0023269B" w:rsidRPr="009158C8">
        <w:t>of a right to development as a human right continued in the late 1970s and into the 1980s; during that time</w:t>
      </w:r>
      <w:r w:rsidR="00467682" w:rsidRPr="009158C8">
        <w:t>,</w:t>
      </w:r>
      <w:r w:rsidR="0023269B" w:rsidRPr="009158C8">
        <w:t xml:space="preserve"> it was frequently identified as part of a ‘third generation’ of human rights, referred to as collective or solidarity rights”</w:t>
      </w:r>
      <w:r w:rsidR="009146CD" w:rsidRPr="009158C8">
        <w:t>.</w:t>
      </w:r>
      <w:r w:rsidR="009D7147" w:rsidRPr="009158C8">
        <w:rPr>
          <w:rStyle w:val="FootnoteReference"/>
        </w:rPr>
        <w:footnoteReference w:id="9"/>
      </w:r>
      <w:r w:rsidR="0023269B" w:rsidRPr="009158C8">
        <w:t xml:space="preserve"> </w:t>
      </w:r>
    </w:p>
    <w:p w14:paraId="4C9209EB" w14:textId="77777777" w:rsidR="000736EC" w:rsidRPr="009158C8" w:rsidRDefault="000736EC" w:rsidP="002A190B">
      <w:pPr>
        <w:pStyle w:val="BodyText"/>
        <w:jc w:val="both"/>
      </w:pPr>
    </w:p>
    <w:p w14:paraId="19936533" w14:textId="77777777" w:rsidR="00867547" w:rsidRPr="009158C8" w:rsidRDefault="00451DA8" w:rsidP="002A190B">
      <w:pPr>
        <w:pStyle w:val="BodyText"/>
        <w:jc w:val="both"/>
      </w:pPr>
      <w:r w:rsidRPr="009158C8">
        <w:t xml:space="preserve">The raging controversies of the RtD debates in the 1980s that </w:t>
      </w:r>
      <w:proofErr w:type="spellStart"/>
      <w:r w:rsidRPr="009158C8">
        <w:t>centred</w:t>
      </w:r>
      <w:proofErr w:type="spellEnd"/>
      <w:r w:rsidRPr="009158C8">
        <w:t xml:space="preserve"> around </w:t>
      </w:r>
      <w:r w:rsidR="00867547" w:rsidRPr="009158C8">
        <w:t xml:space="preserve">its </w:t>
      </w:r>
      <w:r w:rsidRPr="009158C8">
        <w:t>i</w:t>
      </w:r>
      <w:r w:rsidR="006F403B" w:rsidRPr="009158C8">
        <w:t xml:space="preserve">ndividual/collective attributes, </w:t>
      </w:r>
      <w:r w:rsidR="00B858AE" w:rsidRPr="009158C8">
        <w:t xml:space="preserve">and </w:t>
      </w:r>
      <w:r w:rsidRPr="009158C8">
        <w:t xml:space="preserve">the uncertainties of the </w:t>
      </w:r>
      <w:r w:rsidR="006F403B" w:rsidRPr="009158C8">
        <w:t xml:space="preserve">scope and </w:t>
      </w:r>
      <w:r w:rsidRPr="009158C8">
        <w:t xml:space="preserve">identities of the duty-bearers led </w:t>
      </w:r>
      <w:r w:rsidR="000736EC" w:rsidRPr="009158C8">
        <w:t xml:space="preserve">Donnelly </w:t>
      </w:r>
      <w:r w:rsidR="006F403B" w:rsidRPr="009158C8">
        <w:t xml:space="preserve">to characterize RtD as a delusion “not merely…of well-meaning optimists, but a dangerous delusion that feeds of, distorts, and is likely to detract from the urgent need to bring together the struggle </w:t>
      </w:r>
      <w:r w:rsidR="00DF4118" w:rsidRPr="009158C8">
        <w:t>for human rights and development”.</w:t>
      </w:r>
      <w:r w:rsidR="009D7147" w:rsidRPr="009158C8">
        <w:rPr>
          <w:rStyle w:val="FootnoteReference"/>
        </w:rPr>
        <w:footnoteReference w:id="10"/>
      </w:r>
      <w:r w:rsidR="00DF4118" w:rsidRPr="009158C8">
        <w:t xml:space="preserve"> Despite the RtD controversies, </w:t>
      </w:r>
      <w:r w:rsidR="000736EC" w:rsidRPr="009158C8">
        <w:t xml:space="preserve">Marks </w:t>
      </w:r>
      <w:r w:rsidR="00381424" w:rsidRPr="009158C8">
        <w:t>defined its individual component as the “right to benefit from development policy based on the satisfaction of material and nonmaterial human needs and to participate in the development process</w:t>
      </w:r>
      <w:r w:rsidR="009D7147" w:rsidRPr="009158C8">
        <w:t xml:space="preserve"> [</w:t>
      </w:r>
      <w:r w:rsidR="00000040" w:rsidRPr="009158C8">
        <w:t>…</w:t>
      </w:r>
      <w:r w:rsidR="009D7147" w:rsidRPr="009158C8">
        <w:t>]</w:t>
      </w:r>
      <w:r w:rsidR="00381424" w:rsidRPr="009158C8">
        <w:t>”.</w:t>
      </w:r>
      <w:r w:rsidR="009D7147" w:rsidRPr="009158C8">
        <w:rPr>
          <w:rStyle w:val="FootnoteReference"/>
        </w:rPr>
        <w:footnoteReference w:id="11"/>
      </w:r>
      <w:r w:rsidR="00381424" w:rsidRPr="009158C8">
        <w:t xml:space="preserve"> </w:t>
      </w:r>
    </w:p>
    <w:p w14:paraId="469E0D6C" w14:textId="77777777" w:rsidR="000736EC" w:rsidRPr="009158C8" w:rsidRDefault="000736EC" w:rsidP="002A190B">
      <w:pPr>
        <w:pStyle w:val="BodyText"/>
        <w:jc w:val="both"/>
      </w:pPr>
    </w:p>
    <w:p w14:paraId="3875D568" w14:textId="77777777" w:rsidR="00194635" w:rsidRPr="009158C8" w:rsidRDefault="005C31C5" w:rsidP="002A190B">
      <w:pPr>
        <w:pStyle w:val="BodyText"/>
        <w:jc w:val="both"/>
      </w:pPr>
      <w:r w:rsidRPr="009158C8">
        <w:t xml:space="preserve">The </w:t>
      </w:r>
      <w:r w:rsidR="000736EC" w:rsidRPr="009158C8">
        <w:t>DRTD</w:t>
      </w:r>
      <w:r w:rsidRPr="009158C8">
        <w:t xml:space="preserve"> recognized </w:t>
      </w:r>
      <w:r w:rsidR="00831071" w:rsidRPr="009158C8">
        <w:t>RtD</w:t>
      </w:r>
      <w:r w:rsidRPr="009158C8">
        <w:t xml:space="preserve"> as an “inalienable human right” that </w:t>
      </w:r>
      <w:r w:rsidR="00467682" w:rsidRPr="009158C8">
        <w:t xml:space="preserve">serves as the </w:t>
      </w:r>
      <w:r w:rsidRPr="009158C8">
        <w:t>anchor</w:t>
      </w:r>
      <w:r w:rsidR="00467682" w:rsidRPr="009158C8">
        <w:t xml:space="preserve"> and the pillars of the parameters for </w:t>
      </w:r>
      <w:r w:rsidRPr="009158C8">
        <w:t xml:space="preserve">the enjoyment of </w:t>
      </w:r>
      <w:r w:rsidR="00831071" w:rsidRPr="009158C8">
        <w:t xml:space="preserve">economic, social, cultural and political development for the full realization of all human rights and fundamental freedoms. If development is a process that improves the economic and social circumstances of every human being, then the proclamation of the </w:t>
      </w:r>
      <w:r w:rsidR="000736EC" w:rsidRPr="009158C8">
        <w:t>DRTD</w:t>
      </w:r>
      <w:r w:rsidR="00831071" w:rsidRPr="009158C8">
        <w:t xml:space="preserve"> is in tandem with the </w:t>
      </w:r>
      <w:r w:rsidR="004C6BA7" w:rsidRPr="009158C8">
        <w:t xml:space="preserve">socially and economically holistic definition of health offered by the </w:t>
      </w:r>
      <w:r w:rsidR="006C1FC6" w:rsidRPr="009158C8">
        <w:t>C</w:t>
      </w:r>
      <w:r w:rsidR="004C6BA7" w:rsidRPr="009158C8">
        <w:t xml:space="preserve">onstitution </w:t>
      </w:r>
      <w:r w:rsidR="00182886" w:rsidRPr="009158C8">
        <w:t>of the World Health O</w:t>
      </w:r>
      <w:r w:rsidR="006C1FC6" w:rsidRPr="009158C8">
        <w:t xml:space="preserve">rganization (WHO) </w:t>
      </w:r>
      <w:r w:rsidR="004C6BA7" w:rsidRPr="009158C8">
        <w:t>as “a state of complete physical, mental and social well-being and not merely the absence of disease or infirmity”</w:t>
      </w:r>
      <w:r w:rsidR="009568DF" w:rsidRPr="009158C8">
        <w:t>.</w:t>
      </w:r>
      <w:r w:rsidR="009568DF" w:rsidRPr="009158C8">
        <w:rPr>
          <w:rStyle w:val="FootnoteReference"/>
        </w:rPr>
        <w:footnoteReference w:id="12"/>
      </w:r>
      <w:r w:rsidR="00831071" w:rsidRPr="009158C8">
        <w:t xml:space="preserve"> </w:t>
      </w:r>
    </w:p>
    <w:p w14:paraId="1B88C336" w14:textId="77777777" w:rsidR="00182886" w:rsidRPr="009158C8" w:rsidRDefault="00182886" w:rsidP="002A190B">
      <w:pPr>
        <w:pStyle w:val="BodyText"/>
        <w:ind w:firstLine="720"/>
        <w:jc w:val="center"/>
        <w:rPr>
          <w:b/>
          <w:sz w:val="28"/>
          <w:szCs w:val="28"/>
        </w:rPr>
      </w:pPr>
    </w:p>
    <w:p w14:paraId="68B5AC95" w14:textId="77777777" w:rsidR="002A190B" w:rsidRPr="009158C8" w:rsidRDefault="00194635" w:rsidP="002A190B">
      <w:pPr>
        <w:pStyle w:val="BodyText"/>
        <w:jc w:val="both"/>
        <w:rPr>
          <w:b/>
          <w:sz w:val="28"/>
          <w:szCs w:val="28"/>
        </w:rPr>
      </w:pPr>
      <w:r w:rsidRPr="009158C8">
        <w:rPr>
          <w:b/>
          <w:szCs w:val="24"/>
        </w:rPr>
        <w:t>Operationalizing the RtD</w:t>
      </w:r>
      <w:r w:rsidR="008F4E2F" w:rsidRPr="009158C8">
        <w:rPr>
          <w:b/>
          <w:szCs w:val="24"/>
        </w:rPr>
        <w:t xml:space="preserve"> and </w:t>
      </w:r>
      <w:r w:rsidR="00B858AE" w:rsidRPr="009158C8">
        <w:rPr>
          <w:b/>
          <w:szCs w:val="24"/>
        </w:rPr>
        <w:t xml:space="preserve">the </w:t>
      </w:r>
      <w:r w:rsidR="008F4E2F" w:rsidRPr="009158C8">
        <w:rPr>
          <w:b/>
          <w:szCs w:val="24"/>
        </w:rPr>
        <w:t>Right to Health</w:t>
      </w:r>
      <w:r w:rsidRPr="009158C8">
        <w:rPr>
          <w:b/>
          <w:szCs w:val="24"/>
        </w:rPr>
        <w:t xml:space="preserve">: </w:t>
      </w:r>
      <w:r w:rsidR="00A5582A" w:rsidRPr="009158C8">
        <w:rPr>
          <w:b/>
          <w:szCs w:val="24"/>
        </w:rPr>
        <w:t xml:space="preserve">Some </w:t>
      </w:r>
      <w:r w:rsidRPr="009158C8">
        <w:rPr>
          <w:b/>
          <w:szCs w:val="24"/>
        </w:rPr>
        <w:t xml:space="preserve">Extant Provisions </w:t>
      </w:r>
      <w:r w:rsidR="008F4E2F" w:rsidRPr="009158C8">
        <w:rPr>
          <w:b/>
          <w:szCs w:val="24"/>
        </w:rPr>
        <w:t>of International Treaties and Declarations</w:t>
      </w:r>
    </w:p>
    <w:p w14:paraId="1CAAB24A" w14:textId="77777777" w:rsidR="002A190B" w:rsidRPr="009158C8" w:rsidRDefault="002A190B" w:rsidP="002A190B">
      <w:pPr>
        <w:pStyle w:val="BodyText"/>
        <w:jc w:val="both"/>
        <w:rPr>
          <w:b/>
          <w:sz w:val="16"/>
          <w:szCs w:val="16"/>
        </w:rPr>
      </w:pPr>
    </w:p>
    <w:p w14:paraId="5B867269" w14:textId="77777777" w:rsidR="00FD253B" w:rsidRPr="009158C8" w:rsidRDefault="005C2938" w:rsidP="002A190B">
      <w:pPr>
        <w:pStyle w:val="BodyText"/>
        <w:jc w:val="both"/>
      </w:pPr>
      <w:r w:rsidRPr="009158C8">
        <w:t>The adoption of the WHO Constitution by the International Health Conference held in New York from 19 June to 22 July 1946 (entered into force on 7 April 1948), and the Universal Declaration of Human Rights (UDHR)</w:t>
      </w:r>
      <w:r w:rsidR="009568DF" w:rsidRPr="009158C8">
        <w:rPr>
          <w:rStyle w:val="FootnoteReference"/>
        </w:rPr>
        <w:footnoteReference w:id="13"/>
      </w:r>
      <w:r w:rsidRPr="009158C8">
        <w:t xml:space="preserve"> by the U</w:t>
      </w:r>
      <w:r w:rsidR="00307787" w:rsidRPr="009158C8">
        <w:t>N G</w:t>
      </w:r>
      <w:r w:rsidRPr="009158C8">
        <w:t xml:space="preserve">eneral Assembly on 10 December 1948 </w:t>
      </w:r>
      <w:r w:rsidR="00307787" w:rsidRPr="009158C8">
        <w:t>were important milestones in the evolution of human rights approaches to health and wellbeing. Since 1948, some examples of international human rights treaties and declarations that recognize the right to health</w:t>
      </w:r>
      <w:r w:rsidR="00FD253B" w:rsidRPr="009158C8">
        <w:t xml:space="preserve"> are</w:t>
      </w:r>
      <w:r w:rsidR="00307787" w:rsidRPr="009158C8">
        <w:t xml:space="preserve"> set out below.</w:t>
      </w:r>
    </w:p>
    <w:p w14:paraId="4FE00275" w14:textId="77777777" w:rsidR="007E4FDA" w:rsidRPr="009158C8" w:rsidRDefault="007E4FDA" w:rsidP="002A190B">
      <w:pPr>
        <w:pStyle w:val="BodyText"/>
        <w:jc w:val="both"/>
      </w:pPr>
    </w:p>
    <w:p w14:paraId="5FCB13F3" w14:textId="77777777" w:rsidR="00FD253B" w:rsidRPr="009158C8" w:rsidRDefault="00FD253B" w:rsidP="002A190B">
      <w:pPr>
        <w:pStyle w:val="BodyText"/>
        <w:numPr>
          <w:ilvl w:val="0"/>
          <w:numId w:val="1"/>
        </w:numPr>
        <w:jc w:val="both"/>
      </w:pPr>
      <w:r w:rsidRPr="009158C8">
        <w:t>The enjoyment of the highest attainable standard of health is one of the fundamental rights of every human being without distinction of race, religion, political belief, economic or social condition</w:t>
      </w:r>
      <w:r w:rsidR="009568DF" w:rsidRPr="009158C8">
        <w:t xml:space="preserve"> – </w:t>
      </w:r>
      <w:r w:rsidR="009568DF" w:rsidRPr="009158C8">
        <w:rPr>
          <w:i/>
          <w:iCs/>
        </w:rPr>
        <w:t>Preamble of the WHO Constitution.</w:t>
      </w:r>
      <w:r w:rsidR="009568DF" w:rsidRPr="009158C8">
        <w:rPr>
          <w:rStyle w:val="FootnoteReference"/>
        </w:rPr>
        <w:footnoteReference w:id="14"/>
      </w:r>
    </w:p>
    <w:p w14:paraId="0CC93C21" w14:textId="77777777" w:rsidR="00307787" w:rsidRPr="009158C8" w:rsidRDefault="00307787" w:rsidP="002A190B">
      <w:pPr>
        <w:pStyle w:val="BodyText"/>
        <w:jc w:val="both"/>
      </w:pPr>
    </w:p>
    <w:p w14:paraId="1F147237" w14:textId="77777777" w:rsidR="00FF46E1" w:rsidRPr="009158C8" w:rsidRDefault="00FD253B" w:rsidP="002A190B">
      <w:pPr>
        <w:pStyle w:val="BodyText"/>
        <w:numPr>
          <w:ilvl w:val="0"/>
          <w:numId w:val="1"/>
        </w:numPr>
        <w:ind w:left="714" w:hanging="357"/>
        <w:jc w:val="both"/>
        <w:rPr>
          <w:bCs/>
        </w:rPr>
      </w:pPr>
      <w:r w:rsidRPr="009158C8">
        <w:t xml:space="preserve">Everyone has the right to a standard of living adequate for the health and well-being of himself and of his family, including food, clothing, housing and medical care and necessary </w:t>
      </w:r>
      <w:r w:rsidRPr="009158C8">
        <w:lastRenderedPageBreak/>
        <w:t xml:space="preserve">social services, and the right to security in the event of </w:t>
      </w:r>
      <w:r w:rsidR="009568DF" w:rsidRPr="009158C8">
        <w:t>[…] s</w:t>
      </w:r>
      <w:r w:rsidRPr="009158C8">
        <w:t xml:space="preserve">ickness, disability, </w:t>
      </w:r>
      <w:r w:rsidR="009568DF" w:rsidRPr="009158C8">
        <w:t>[</w:t>
      </w:r>
      <w:r w:rsidRPr="009158C8">
        <w:t>…</w:t>
      </w:r>
      <w:r w:rsidR="009568DF" w:rsidRPr="009158C8">
        <w:t xml:space="preserve">] </w:t>
      </w:r>
      <w:r w:rsidRPr="009158C8">
        <w:t>old age or other lack of livelihood</w:t>
      </w:r>
      <w:r w:rsidR="009568DF" w:rsidRPr="009158C8">
        <w:t xml:space="preserve"> [</w:t>
      </w:r>
      <w:r w:rsidRPr="009158C8">
        <w:t>…</w:t>
      </w:r>
      <w:proofErr w:type="gramStart"/>
      <w:r w:rsidR="009568DF" w:rsidRPr="009158C8">
        <w:t>].-</w:t>
      </w:r>
      <w:proofErr w:type="gramEnd"/>
      <w:r w:rsidR="009568DF" w:rsidRPr="009158C8">
        <w:t xml:space="preserve"> </w:t>
      </w:r>
      <w:r w:rsidRPr="009158C8">
        <w:rPr>
          <w:bCs/>
          <w:i/>
          <w:iCs/>
        </w:rPr>
        <w:t>Article 25</w:t>
      </w:r>
      <w:r w:rsidR="00FF46E1" w:rsidRPr="009158C8">
        <w:rPr>
          <w:bCs/>
          <w:i/>
          <w:iCs/>
        </w:rPr>
        <w:t>,</w:t>
      </w:r>
      <w:r w:rsidRPr="009158C8">
        <w:rPr>
          <w:bCs/>
          <w:i/>
          <w:iCs/>
        </w:rPr>
        <w:t xml:space="preserve"> UDHR</w:t>
      </w:r>
      <w:r w:rsidR="009568DF" w:rsidRPr="009158C8">
        <w:rPr>
          <w:bCs/>
          <w:i/>
          <w:iCs/>
        </w:rPr>
        <w:t>.</w:t>
      </w:r>
      <w:r w:rsidR="009568DF" w:rsidRPr="009158C8">
        <w:rPr>
          <w:rStyle w:val="FootnoteReference"/>
          <w:bCs/>
        </w:rPr>
        <w:footnoteReference w:id="15"/>
      </w:r>
    </w:p>
    <w:p w14:paraId="6E6E729B" w14:textId="77777777" w:rsidR="00000040" w:rsidRPr="009158C8" w:rsidRDefault="00000040" w:rsidP="002A190B">
      <w:pPr>
        <w:pStyle w:val="ListParagraph"/>
      </w:pPr>
    </w:p>
    <w:p w14:paraId="1E2FA137" w14:textId="77777777" w:rsidR="00000040" w:rsidRPr="009158C8" w:rsidRDefault="00000040" w:rsidP="002A190B">
      <w:pPr>
        <w:pStyle w:val="BodyText"/>
        <w:numPr>
          <w:ilvl w:val="0"/>
          <w:numId w:val="1"/>
        </w:numPr>
        <w:ind w:left="714" w:hanging="357"/>
        <w:jc w:val="both"/>
        <w:rPr>
          <w:lang w:val="en-MY"/>
        </w:rPr>
      </w:pPr>
      <w:r w:rsidRPr="009158C8">
        <w:rPr>
          <w:lang w:val="en-MY"/>
        </w:rPr>
        <w:t>States should undertake, at the national level, all necessary measures for the realization of the right to development and shall ensure, inter alia, equality of opportunity for all in their access to basic resources, education, health services, food, housing, employment and the fair distribution of income.  Effective measures should be undertaken to ensure that women have an active role in the development process.  Appropriate economic and social reforms should be carried out with a view to eradicating all social injustices</w:t>
      </w:r>
      <w:r w:rsidR="009568DF" w:rsidRPr="009158C8">
        <w:rPr>
          <w:lang w:val="en-MY"/>
        </w:rPr>
        <w:t xml:space="preserve"> - </w:t>
      </w:r>
      <w:r w:rsidRPr="009158C8">
        <w:rPr>
          <w:i/>
          <w:iCs/>
          <w:lang w:val="en-MY"/>
        </w:rPr>
        <w:t xml:space="preserve">Article 8, </w:t>
      </w:r>
      <w:r w:rsidR="009568DF" w:rsidRPr="009158C8">
        <w:rPr>
          <w:i/>
          <w:iCs/>
          <w:lang w:val="en-MY"/>
        </w:rPr>
        <w:t>DRTD.</w:t>
      </w:r>
      <w:r w:rsidR="009568DF" w:rsidRPr="009158C8">
        <w:rPr>
          <w:rStyle w:val="FootnoteReference"/>
          <w:lang w:val="en-MY"/>
        </w:rPr>
        <w:footnoteReference w:id="16"/>
      </w:r>
    </w:p>
    <w:p w14:paraId="24488D07" w14:textId="77777777" w:rsidR="00000040" w:rsidRPr="009158C8" w:rsidRDefault="00000040" w:rsidP="002A190B">
      <w:pPr>
        <w:pStyle w:val="BodyText"/>
        <w:ind w:left="714"/>
        <w:jc w:val="both"/>
      </w:pPr>
    </w:p>
    <w:p w14:paraId="0E571B6A" w14:textId="77777777" w:rsidR="00FF46E1" w:rsidRPr="009158C8" w:rsidRDefault="00E82D62" w:rsidP="002A190B">
      <w:pPr>
        <w:pStyle w:val="BodyText"/>
        <w:numPr>
          <w:ilvl w:val="0"/>
          <w:numId w:val="1"/>
        </w:numPr>
        <w:ind w:left="737" w:hanging="357"/>
        <w:jc w:val="both"/>
      </w:pPr>
      <w:r w:rsidRPr="009158C8">
        <w:t>(</w:t>
      </w:r>
      <w:r w:rsidR="00FF46E1" w:rsidRPr="009158C8">
        <w:t>1</w:t>
      </w:r>
      <w:r w:rsidRPr="009158C8">
        <w:t>)</w:t>
      </w:r>
      <w:r w:rsidR="00FF46E1" w:rsidRPr="009158C8">
        <w:t xml:space="preserve"> The States Parties to the present Covenant recognize the right of everyone to the enjoyment of the highest attainable standard</w:t>
      </w:r>
      <w:r w:rsidRPr="009158C8">
        <w:t xml:space="preserve"> of physical and mental health (2)</w:t>
      </w:r>
      <w:r w:rsidR="00FF46E1" w:rsidRPr="009158C8">
        <w:t xml:space="preserve"> The steps to be taken by the States Parties to the present Covenant to achieve the full realization of this right shall include those necessary for: (a) The provision for the reduction of the stillbirth-rate and of infant mortality and for the healthy development of the child; (b) The improvement of all aspects of environmental and industrial hygiene; (c) The prevention, treatment and control of epidemic, endemic, occupational and other diseases; (d) The creation of conditions which would assure to all medical service and medical attention in the event of sickness</w:t>
      </w:r>
      <w:r w:rsidR="009568DF" w:rsidRPr="009158C8">
        <w:t xml:space="preserve"> -</w:t>
      </w:r>
      <w:r w:rsidR="00FF46E1" w:rsidRPr="009158C8">
        <w:t xml:space="preserve"> </w:t>
      </w:r>
      <w:r w:rsidR="00FF46E1" w:rsidRPr="009158C8">
        <w:rPr>
          <w:i/>
          <w:iCs/>
        </w:rPr>
        <w:t>Article 12, International Covenant on Economic, Social and Cultural Rights</w:t>
      </w:r>
      <w:r w:rsidR="009568DF" w:rsidRPr="009158C8">
        <w:rPr>
          <w:i/>
          <w:iCs/>
        </w:rPr>
        <w:t xml:space="preserve"> (ICESCR)</w:t>
      </w:r>
      <w:r w:rsidR="009568DF" w:rsidRPr="009158C8">
        <w:t>.</w:t>
      </w:r>
      <w:r w:rsidR="009568DF" w:rsidRPr="009158C8">
        <w:rPr>
          <w:rStyle w:val="FootnoteReference"/>
        </w:rPr>
        <w:footnoteReference w:id="17"/>
      </w:r>
    </w:p>
    <w:p w14:paraId="3EC36B21" w14:textId="77777777" w:rsidR="00E82D62" w:rsidRPr="009158C8" w:rsidRDefault="00E82D62" w:rsidP="002A190B">
      <w:pPr>
        <w:pStyle w:val="ListParagraph"/>
      </w:pPr>
    </w:p>
    <w:p w14:paraId="69F19E9D" w14:textId="77777777" w:rsidR="00BE3D0C" w:rsidRPr="009158C8" w:rsidRDefault="00FF46E1" w:rsidP="002A190B">
      <w:pPr>
        <w:pStyle w:val="BodyText"/>
        <w:numPr>
          <w:ilvl w:val="0"/>
          <w:numId w:val="1"/>
        </w:numPr>
        <w:ind w:left="714" w:hanging="357"/>
        <w:jc w:val="both"/>
      </w:pPr>
      <w:r w:rsidRPr="009158C8">
        <w:t>States Parties recognize the right of the child to the enjoyment of the highest attainable standard of health and to facilities for the treatment of illness and rehabilitation of health. States Parties shall strive to ensure that no child is deprived of his or her right of access to such health care services</w:t>
      </w:r>
      <w:r w:rsidR="003C0A00" w:rsidRPr="009158C8">
        <w:t xml:space="preserve"> </w:t>
      </w:r>
      <w:r w:rsidR="000606D7" w:rsidRPr="009158C8">
        <w:t xml:space="preserve">- </w:t>
      </w:r>
      <w:r w:rsidR="003C0A00" w:rsidRPr="009158C8">
        <w:rPr>
          <w:i/>
          <w:iCs/>
        </w:rPr>
        <w:t>Article 24, Convention on the Rights of the Child</w:t>
      </w:r>
      <w:r w:rsidR="000606D7" w:rsidRPr="009158C8">
        <w:rPr>
          <w:i/>
          <w:iCs/>
        </w:rPr>
        <w:t>.</w:t>
      </w:r>
      <w:r w:rsidR="000606D7" w:rsidRPr="009158C8">
        <w:rPr>
          <w:rStyle w:val="FootnoteReference"/>
        </w:rPr>
        <w:footnoteReference w:id="18"/>
      </w:r>
    </w:p>
    <w:p w14:paraId="755ECDC4" w14:textId="77777777" w:rsidR="00BE3D0C" w:rsidRPr="009158C8" w:rsidRDefault="00BE3D0C" w:rsidP="002A190B">
      <w:pPr>
        <w:pStyle w:val="BodyText"/>
        <w:jc w:val="both"/>
      </w:pPr>
    </w:p>
    <w:p w14:paraId="5108C526" w14:textId="77777777" w:rsidR="00BE3D0C" w:rsidRPr="009158C8" w:rsidRDefault="00BE3D0C" w:rsidP="002A190B">
      <w:pPr>
        <w:pStyle w:val="BodyText"/>
        <w:numPr>
          <w:ilvl w:val="0"/>
          <w:numId w:val="1"/>
        </w:numPr>
        <w:jc w:val="both"/>
        <w:rPr>
          <w:lang w:val="en-MY"/>
        </w:rPr>
      </w:pPr>
      <w:r w:rsidRPr="009158C8">
        <w:rPr>
          <w:lang w:val="en-MY"/>
        </w:rPr>
        <w:t>States Parties undertake to prohibit and eliminate racial discrimination in the enjoyment of the “right to public health, medical care, social security and social services”</w:t>
      </w:r>
      <w:r w:rsidR="000606D7" w:rsidRPr="009158C8">
        <w:rPr>
          <w:lang w:val="en-MY"/>
        </w:rPr>
        <w:t xml:space="preserve"> -</w:t>
      </w:r>
      <w:r w:rsidRPr="009158C8">
        <w:rPr>
          <w:lang w:val="en-MY"/>
        </w:rPr>
        <w:t xml:space="preserve"> </w:t>
      </w:r>
      <w:r w:rsidRPr="009158C8">
        <w:rPr>
          <w:i/>
          <w:iCs/>
          <w:lang w:val="en-MY"/>
        </w:rPr>
        <w:t>Article 5(e)(iv), Convention on the Elimination of all Forms of Racial Discrimination</w:t>
      </w:r>
      <w:r w:rsidR="000606D7" w:rsidRPr="009158C8">
        <w:rPr>
          <w:i/>
          <w:iCs/>
          <w:lang w:val="en-MY"/>
        </w:rPr>
        <w:t>.</w:t>
      </w:r>
      <w:r w:rsidR="000606D7" w:rsidRPr="009158C8">
        <w:rPr>
          <w:rStyle w:val="FootnoteReference"/>
          <w:lang w:val="en-MY"/>
        </w:rPr>
        <w:footnoteReference w:id="19"/>
      </w:r>
    </w:p>
    <w:p w14:paraId="588020D7" w14:textId="77777777" w:rsidR="00030760" w:rsidRPr="009158C8" w:rsidRDefault="00030760" w:rsidP="002A190B">
      <w:pPr>
        <w:pStyle w:val="ListParagraph"/>
        <w:jc w:val="both"/>
        <w:rPr>
          <w:lang w:val="en-MY"/>
        </w:rPr>
      </w:pPr>
    </w:p>
    <w:p w14:paraId="4678B05F" w14:textId="77777777" w:rsidR="00030760" w:rsidRPr="009158C8" w:rsidRDefault="00030760" w:rsidP="002A190B">
      <w:pPr>
        <w:pStyle w:val="BodyText"/>
        <w:numPr>
          <w:ilvl w:val="0"/>
          <w:numId w:val="1"/>
        </w:numPr>
        <w:jc w:val="both"/>
        <w:rPr>
          <w:lang w:val="en-MY"/>
        </w:rPr>
      </w:pPr>
      <w:r w:rsidRPr="009158C8">
        <w:t xml:space="preserve">States Parties shall take all appropriate measures to eliminate discrimination against women in the enjoyment of the “right to protection of health”, and “in the field of healthcare </w:t>
      </w:r>
      <w:proofErr w:type="gramStart"/>
      <w:r w:rsidRPr="009158C8">
        <w:t>in order to</w:t>
      </w:r>
      <w:proofErr w:type="gramEnd"/>
      <w:r w:rsidRPr="009158C8">
        <w:t xml:space="preserve"> ensure on a basis of equality of men and women, access to healthcare services, including those related to family planning” </w:t>
      </w:r>
      <w:r w:rsidR="000606D7" w:rsidRPr="009158C8">
        <w:t>-</w:t>
      </w:r>
      <w:r w:rsidR="00CC64A3" w:rsidRPr="009158C8">
        <w:t xml:space="preserve"> </w:t>
      </w:r>
      <w:r w:rsidRPr="009158C8">
        <w:rPr>
          <w:i/>
          <w:iCs/>
        </w:rPr>
        <w:t>Articles 11(1)(f) and 12(1), Convention on the Elimination of All Forms of Discrimination against Women</w:t>
      </w:r>
      <w:r w:rsidR="000606D7" w:rsidRPr="009158C8">
        <w:rPr>
          <w:i/>
          <w:iCs/>
        </w:rPr>
        <w:t>.</w:t>
      </w:r>
      <w:r w:rsidR="000606D7" w:rsidRPr="009158C8">
        <w:rPr>
          <w:rStyle w:val="FootnoteReference"/>
        </w:rPr>
        <w:footnoteReference w:id="20"/>
      </w:r>
    </w:p>
    <w:p w14:paraId="1F13054E" w14:textId="77777777" w:rsidR="004F14B5" w:rsidRPr="009158C8" w:rsidRDefault="004F14B5" w:rsidP="002A190B">
      <w:pPr>
        <w:pStyle w:val="ListParagraph"/>
        <w:rPr>
          <w:lang w:val="en-MY"/>
        </w:rPr>
      </w:pPr>
    </w:p>
    <w:p w14:paraId="37BF3E2E" w14:textId="77777777" w:rsidR="007E4FDA" w:rsidRPr="009158C8" w:rsidRDefault="004F14B5" w:rsidP="007E4FDA">
      <w:pPr>
        <w:pStyle w:val="BodyText"/>
        <w:numPr>
          <w:ilvl w:val="0"/>
          <w:numId w:val="1"/>
        </w:numPr>
        <w:jc w:val="both"/>
        <w:rPr>
          <w:lang w:val="en-MY"/>
        </w:rPr>
      </w:pPr>
      <w:r w:rsidRPr="009158C8">
        <w:lastRenderedPageBreak/>
        <w:t xml:space="preserve">Every person has the right to the preservation of his health through sanitary and social measures relating to food, clothing, housing and medical care, to the extent permitted by public and community resources </w:t>
      </w:r>
      <w:r w:rsidR="000606D7" w:rsidRPr="009158C8">
        <w:t xml:space="preserve">- </w:t>
      </w:r>
      <w:r w:rsidRPr="009158C8">
        <w:rPr>
          <w:i/>
          <w:iCs/>
        </w:rPr>
        <w:t xml:space="preserve">Article XI, The American </w:t>
      </w:r>
      <w:r w:rsidR="00606B7B" w:rsidRPr="009158C8">
        <w:rPr>
          <w:i/>
          <w:iCs/>
        </w:rPr>
        <w:t>D</w:t>
      </w:r>
      <w:r w:rsidRPr="009158C8">
        <w:rPr>
          <w:i/>
          <w:iCs/>
        </w:rPr>
        <w:t>eclaration on the Rights and Duties of Man</w:t>
      </w:r>
      <w:r w:rsidR="000606D7" w:rsidRPr="009158C8">
        <w:rPr>
          <w:i/>
          <w:iCs/>
        </w:rPr>
        <w:t>.</w:t>
      </w:r>
      <w:r w:rsidR="000606D7" w:rsidRPr="009158C8">
        <w:rPr>
          <w:rStyle w:val="FootnoteReference"/>
        </w:rPr>
        <w:footnoteReference w:id="21"/>
      </w:r>
    </w:p>
    <w:p w14:paraId="3EC13112" w14:textId="77777777" w:rsidR="007E4FDA" w:rsidRPr="009158C8" w:rsidRDefault="007E4FDA" w:rsidP="007E4FDA">
      <w:pPr>
        <w:pStyle w:val="ListParagraph"/>
        <w:rPr>
          <w:szCs w:val="24"/>
          <w:lang w:val="en-MY" w:eastAsia="en-MY"/>
        </w:rPr>
      </w:pPr>
    </w:p>
    <w:p w14:paraId="14844886" w14:textId="77777777" w:rsidR="00E82D62" w:rsidRPr="009158C8" w:rsidRDefault="00E82D62" w:rsidP="007E4FDA">
      <w:pPr>
        <w:pStyle w:val="BodyText"/>
        <w:numPr>
          <w:ilvl w:val="0"/>
          <w:numId w:val="1"/>
        </w:numPr>
        <w:jc w:val="both"/>
        <w:rPr>
          <w:lang w:val="en-MY"/>
        </w:rPr>
      </w:pPr>
      <w:r w:rsidRPr="009158C8">
        <w:rPr>
          <w:szCs w:val="24"/>
          <w:lang w:val="en-MY" w:eastAsia="en-MY"/>
        </w:rPr>
        <w:t>(1) Every individual shall have the right to enjoy the best attainable state of physical and mental health (2) State</w:t>
      </w:r>
      <w:r w:rsidR="00606B7B" w:rsidRPr="009158C8">
        <w:rPr>
          <w:szCs w:val="24"/>
          <w:lang w:val="en-MY" w:eastAsia="en-MY"/>
        </w:rPr>
        <w:t>s</w:t>
      </w:r>
      <w:r w:rsidRPr="009158C8">
        <w:rPr>
          <w:szCs w:val="24"/>
          <w:lang w:val="en-MY" w:eastAsia="en-MY"/>
        </w:rPr>
        <w:t xml:space="preserve"> Parties to the present Charter shall take the necessary measures to protect the health of their people and to ensure that they receive medical attention when they are sick </w:t>
      </w:r>
      <w:r w:rsidR="000606D7" w:rsidRPr="009158C8">
        <w:rPr>
          <w:szCs w:val="24"/>
          <w:lang w:val="en-MY" w:eastAsia="en-MY"/>
        </w:rPr>
        <w:t xml:space="preserve">- </w:t>
      </w:r>
      <w:r w:rsidRPr="009158C8">
        <w:rPr>
          <w:i/>
          <w:iCs/>
          <w:szCs w:val="24"/>
          <w:lang w:val="en-MY" w:eastAsia="en-MY"/>
        </w:rPr>
        <w:t>Article 16, African Charter o</w:t>
      </w:r>
      <w:r w:rsidR="00606B7B" w:rsidRPr="009158C8">
        <w:rPr>
          <w:i/>
          <w:iCs/>
          <w:szCs w:val="24"/>
          <w:lang w:val="en-MY" w:eastAsia="en-MY"/>
        </w:rPr>
        <w:t>n</w:t>
      </w:r>
      <w:r w:rsidRPr="009158C8">
        <w:rPr>
          <w:i/>
          <w:iCs/>
          <w:szCs w:val="24"/>
          <w:lang w:val="en-MY" w:eastAsia="en-MY"/>
        </w:rPr>
        <w:t xml:space="preserve"> Human and Peoples’ Rights</w:t>
      </w:r>
      <w:r w:rsidR="000606D7" w:rsidRPr="009158C8">
        <w:rPr>
          <w:i/>
          <w:iCs/>
          <w:szCs w:val="24"/>
          <w:lang w:val="en-MY" w:eastAsia="en-MY"/>
        </w:rPr>
        <w:t>.</w:t>
      </w:r>
      <w:r w:rsidR="000606D7" w:rsidRPr="009158C8">
        <w:rPr>
          <w:rStyle w:val="FootnoteReference"/>
          <w:szCs w:val="24"/>
          <w:lang w:val="en-MY" w:eastAsia="en-MY"/>
        </w:rPr>
        <w:footnoteReference w:id="22"/>
      </w:r>
    </w:p>
    <w:p w14:paraId="31DEED02" w14:textId="77777777" w:rsidR="004F14B5" w:rsidRPr="009158C8" w:rsidRDefault="004F14B5" w:rsidP="002A190B">
      <w:pPr>
        <w:numPr>
          <w:ilvl w:val="0"/>
          <w:numId w:val="1"/>
        </w:numPr>
        <w:spacing w:before="100" w:beforeAutospacing="1" w:after="100" w:afterAutospacing="1"/>
        <w:jc w:val="both"/>
        <w:rPr>
          <w:sz w:val="24"/>
          <w:szCs w:val="24"/>
          <w:lang w:val="en-MY" w:eastAsia="en-MY"/>
        </w:rPr>
      </w:pPr>
      <w:r w:rsidRPr="009158C8">
        <w:rPr>
          <w:sz w:val="24"/>
          <w:szCs w:val="24"/>
          <w:lang w:val="en-MY" w:eastAsia="en-MY"/>
        </w:rPr>
        <w:t xml:space="preserve">(1) Everyone shall have the right to health, understood to mean the enjoyment of the highest level of physical, mental and social well-being (2) In order to ensure the exercise of the right to health, the States Parties agree to recognize health as a public good and, particularly, to adopt the following measures to ensure that right: (a) primary health care, that is, essential health care made available to all individuals and families in the community (b) extension of the benefits of health services to all individuals subject to the State's jurisdiction (c) universal immunization against the principal infectious diseases (d) prevention and treatment of endemic, occupational and other disease (e) education of the population on the prevention and treatment of health problems, and (f) satisfaction of the health needs of the highest risk groups and of those whose poverty makes them the most vulnerable </w:t>
      </w:r>
      <w:r w:rsidR="000606D7" w:rsidRPr="009158C8">
        <w:rPr>
          <w:sz w:val="24"/>
          <w:szCs w:val="24"/>
          <w:lang w:val="en-MY" w:eastAsia="en-MY"/>
        </w:rPr>
        <w:t xml:space="preserve">- </w:t>
      </w:r>
      <w:r w:rsidRPr="009158C8">
        <w:rPr>
          <w:i/>
          <w:iCs/>
          <w:sz w:val="24"/>
          <w:szCs w:val="24"/>
          <w:lang w:val="en-MY" w:eastAsia="en-MY"/>
        </w:rPr>
        <w:t xml:space="preserve">Article 10, </w:t>
      </w:r>
      <w:r w:rsidRPr="009158C8">
        <w:rPr>
          <w:i/>
          <w:iCs/>
          <w:sz w:val="24"/>
          <w:szCs w:val="24"/>
          <w:lang w:eastAsia="en-MY"/>
        </w:rPr>
        <w:t>Additional Protocol to the American Convention on Human Rights in the Area of Economic, Social and Cultural Rights ("Protocol of San Salvador")</w:t>
      </w:r>
      <w:r w:rsidR="000606D7" w:rsidRPr="009158C8">
        <w:rPr>
          <w:i/>
          <w:iCs/>
          <w:sz w:val="24"/>
          <w:szCs w:val="24"/>
          <w:lang w:eastAsia="en-MY"/>
        </w:rPr>
        <w:t>.</w:t>
      </w:r>
      <w:r w:rsidR="000606D7" w:rsidRPr="009158C8">
        <w:rPr>
          <w:rStyle w:val="FootnoteReference"/>
          <w:sz w:val="24"/>
          <w:szCs w:val="24"/>
          <w:lang w:eastAsia="en-MY"/>
        </w:rPr>
        <w:footnoteReference w:id="23"/>
      </w:r>
    </w:p>
    <w:p w14:paraId="503745A2" w14:textId="77777777" w:rsidR="00236FBB" w:rsidRPr="009158C8" w:rsidRDefault="00236FBB" w:rsidP="003F68C1">
      <w:pPr>
        <w:numPr>
          <w:ilvl w:val="0"/>
          <w:numId w:val="1"/>
        </w:numPr>
        <w:spacing w:before="100" w:beforeAutospacing="1" w:after="100" w:afterAutospacing="1"/>
        <w:jc w:val="both"/>
        <w:rPr>
          <w:sz w:val="24"/>
          <w:szCs w:val="24"/>
          <w:lang w:val="en-MY" w:eastAsia="en-MY"/>
        </w:rPr>
      </w:pPr>
      <w:r w:rsidRPr="009158C8">
        <w:rPr>
          <w:sz w:val="24"/>
          <w:szCs w:val="24"/>
          <w:lang w:eastAsia="en-MY"/>
        </w:rPr>
        <w:t xml:space="preserve">Everyone has the right to benefit from any measures enabling him to enjoy the highest possible standard of health attainable. </w:t>
      </w:r>
      <w:r w:rsidRPr="009158C8">
        <w:rPr>
          <w:sz w:val="24"/>
          <w:szCs w:val="24"/>
          <w:lang w:val="en-MY"/>
        </w:rPr>
        <w:t>The Contracting Parties undertake, either directly or in cooperation with public or private organisations, to take appropriate measures designed among others to: (1)</w:t>
      </w:r>
      <w:r w:rsidRPr="009158C8">
        <w:rPr>
          <w:sz w:val="24"/>
          <w:szCs w:val="24"/>
          <w:lang w:val="en-MY" w:eastAsia="en-MY"/>
        </w:rPr>
        <w:t xml:space="preserve"> remove as far as possible the causes of ill health (2) provide advisory and educational facilities for the promotion of health and the encouragement of individual responsibility in matters of health (3) prevent as far as possible epidemic, endemic and other diseases</w:t>
      </w:r>
      <w:r w:rsidR="00572E2C" w:rsidRPr="009158C8">
        <w:rPr>
          <w:sz w:val="24"/>
          <w:szCs w:val="24"/>
          <w:lang w:val="en-MY" w:eastAsia="en-MY"/>
        </w:rPr>
        <w:t xml:space="preserve"> -</w:t>
      </w:r>
      <w:r w:rsidRPr="009158C8">
        <w:rPr>
          <w:sz w:val="24"/>
          <w:szCs w:val="24"/>
          <w:lang w:val="en-MY" w:eastAsia="en-MY"/>
        </w:rPr>
        <w:t xml:space="preserve"> </w:t>
      </w:r>
      <w:r w:rsidRPr="009158C8">
        <w:rPr>
          <w:i/>
          <w:iCs/>
          <w:sz w:val="24"/>
          <w:szCs w:val="24"/>
          <w:lang w:val="en-MY" w:eastAsia="en-MY"/>
        </w:rPr>
        <w:t>Art</w:t>
      </w:r>
      <w:r w:rsidR="00572E2C" w:rsidRPr="009158C8">
        <w:rPr>
          <w:i/>
          <w:iCs/>
          <w:sz w:val="24"/>
          <w:szCs w:val="24"/>
          <w:lang w:val="en-MY" w:eastAsia="en-MY"/>
        </w:rPr>
        <w:t>icle 11 European Social Charter</w:t>
      </w:r>
      <w:r w:rsidRPr="009158C8">
        <w:rPr>
          <w:i/>
          <w:iCs/>
          <w:sz w:val="24"/>
          <w:szCs w:val="24"/>
          <w:lang w:val="en-MY" w:eastAsia="en-MY"/>
        </w:rPr>
        <w:t>.</w:t>
      </w:r>
      <w:r w:rsidR="00572E2C" w:rsidRPr="009158C8">
        <w:rPr>
          <w:rStyle w:val="FootnoteReference"/>
          <w:sz w:val="24"/>
          <w:szCs w:val="24"/>
          <w:lang w:val="en-MY" w:eastAsia="en-MY"/>
        </w:rPr>
        <w:footnoteReference w:id="24"/>
      </w:r>
      <w:r w:rsidRPr="009158C8">
        <w:rPr>
          <w:sz w:val="24"/>
          <w:szCs w:val="24"/>
          <w:lang w:val="en-MY" w:eastAsia="en-MY"/>
        </w:rPr>
        <w:t xml:space="preserve"> </w:t>
      </w:r>
    </w:p>
    <w:p w14:paraId="737744DF" w14:textId="77777777" w:rsidR="003C0A00" w:rsidRPr="009158C8" w:rsidRDefault="003C0A00" w:rsidP="002A190B">
      <w:pPr>
        <w:pStyle w:val="BodyText"/>
        <w:jc w:val="both"/>
        <w:rPr>
          <w:lang w:val="en-MY"/>
        </w:rPr>
      </w:pPr>
    </w:p>
    <w:p w14:paraId="419A03DE" w14:textId="77777777" w:rsidR="008F4E2F" w:rsidRPr="009158C8" w:rsidRDefault="004E1253" w:rsidP="002A190B">
      <w:pPr>
        <w:pStyle w:val="BodyText"/>
        <w:jc w:val="both"/>
        <w:rPr>
          <w:lang w:val="en-MY"/>
        </w:rPr>
      </w:pPr>
      <w:r w:rsidRPr="009158C8">
        <w:t>Notwithstanding the</w:t>
      </w:r>
      <w:r w:rsidR="009C54DC" w:rsidRPr="009158C8">
        <w:t>se</w:t>
      </w:r>
      <w:r w:rsidRPr="009158C8">
        <w:t xml:space="preserve"> normative and declaratory pr</w:t>
      </w:r>
      <w:r w:rsidR="009C54DC" w:rsidRPr="009158C8">
        <w:t>ovisions on the right to health,</w:t>
      </w:r>
      <w:r w:rsidRPr="009158C8">
        <w:t xml:space="preserve"> there remains a</w:t>
      </w:r>
      <w:r w:rsidR="00182886" w:rsidRPr="009158C8">
        <w:t xml:space="preserve"> systemic </w:t>
      </w:r>
      <w:r w:rsidRPr="009158C8">
        <w:t xml:space="preserve">dichotomy between </w:t>
      </w:r>
      <w:r w:rsidR="00925F03" w:rsidRPr="009158C8">
        <w:t>civil and political rights</w:t>
      </w:r>
      <w:r w:rsidRPr="009158C8">
        <w:t xml:space="preserve">, and </w:t>
      </w:r>
      <w:r w:rsidR="00925F03" w:rsidRPr="009158C8">
        <w:t>economic, social and cultural rights</w:t>
      </w:r>
      <w:r w:rsidR="009C54DC" w:rsidRPr="009158C8">
        <w:t xml:space="preserve"> in human rights scholarship</w:t>
      </w:r>
      <w:r w:rsidR="00925F03" w:rsidRPr="009158C8">
        <w:t xml:space="preserve">. </w:t>
      </w:r>
      <w:r w:rsidR="009C54DC" w:rsidRPr="009158C8">
        <w:t>Because of this dichotomy, civil and political rights are</w:t>
      </w:r>
      <w:r w:rsidR="00877559" w:rsidRPr="009158C8">
        <w:t xml:space="preserve"> often classified as </w:t>
      </w:r>
      <w:r w:rsidR="009C54DC" w:rsidRPr="009158C8">
        <w:t xml:space="preserve">“first generation rights” while </w:t>
      </w:r>
      <w:r w:rsidR="00B13629" w:rsidRPr="009158C8">
        <w:t xml:space="preserve">economic, social and cultural rights </w:t>
      </w:r>
      <w:r w:rsidR="009C54DC" w:rsidRPr="009158C8">
        <w:t xml:space="preserve">are treated as </w:t>
      </w:r>
      <w:r w:rsidR="006B0E92" w:rsidRPr="009158C8">
        <w:t>“second generation rights”.</w:t>
      </w:r>
      <w:r w:rsidR="002B6BB6" w:rsidRPr="009158C8">
        <w:t xml:space="preserve"> Despite the </w:t>
      </w:r>
      <w:r w:rsidR="00467682" w:rsidRPr="009158C8">
        <w:t xml:space="preserve">persuasive </w:t>
      </w:r>
      <w:r w:rsidR="002B6BB6" w:rsidRPr="009158C8">
        <w:t xml:space="preserve">argument that all human rights are interdependent, interrelated, </w:t>
      </w:r>
      <w:r w:rsidR="00467682" w:rsidRPr="009158C8">
        <w:t xml:space="preserve">indivisible </w:t>
      </w:r>
      <w:r w:rsidR="002B6BB6" w:rsidRPr="009158C8">
        <w:t xml:space="preserve">and of equal importance, Western states and NGOs have </w:t>
      </w:r>
      <w:r w:rsidR="002B6BB6" w:rsidRPr="009158C8">
        <w:lastRenderedPageBreak/>
        <w:t>historically treated economic, social and cultural rights as if they were less important than civil and political rights</w:t>
      </w:r>
      <w:r w:rsidR="00FB6959" w:rsidRPr="009158C8">
        <w:t>.</w:t>
      </w:r>
      <w:r w:rsidR="00FB6959" w:rsidRPr="009158C8">
        <w:rPr>
          <w:rStyle w:val="FootnoteReference"/>
        </w:rPr>
        <w:footnoteReference w:id="25"/>
      </w:r>
      <w:r w:rsidR="002B6BB6" w:rsidRPr="009158C8">
        <w:t xml:space="preserve"> </w:t>
      </w:r>
      <w:r w:rsidR="00182886" w:rsidRPr="009158C8">
        <w:t xml:space="preserve">One </w:t>
      </w:r>
      <w:r w:rsidR="009A4D0B" w:rsidRPr="009158C8">
        <w:t xml:space="preserve">implication of this </w:t>
      </w:r>
      <w:r w:rsidR="00182886" w:rsidRPr="009158C8">
        <w:t xml:space="preserve">dichotomy </w:t>
      </w:r>
      <w:r w:rsidR="009A4D0B" w:rsidRPr="009158C8">
        <w:t xml:space="preserve">is that civil and political rights </w:t>
      </w:r>
      <w:r w:rsidR="00877559" w:rsidRPr="009158C8">
        <w:t xml:space="preserve">– the </w:t>
      </w:r>
      <w:r w:rsidR="009749C6" w:rsidRPr="009158C8">
        <w:t>“</w:t>
      </w:r>
      <w:r w:rsidR="009A4D0B" w:rsidRPr="009158C8">
        <w:t>first generation</w:t>
      </w:r>
      <w:r w:rsidR="009749C6" w:rsidRPr="009158C8">
        <w:t>”</w:t>
      </w:r>
      <w:r w:rsidR="009A4D0B" w:rsidRPr="009158C8">
        <w:t xml:space="preserve"> rights</w:t>
      </w:r>
      <w:r w:rsidR="00877559" w:rsidRPr="009158C8">
        <w:t xml:space="preserve"> - </w:t>
      </w:r>
      <w:r w:rsidR="006B0E92" w:rsidRPr="009158C8">
        <w:t xml:space="preserve">are </w:t>
      </w:r>
      <w:r w:rsidR="00796D55" w:rsidRPr="009158C8">
        <w:t>“</w:t>
      </w:r>
      <w:r w:rsidR="00877559" w:rsidRPr="009158C8">
        <w:t>justiciable</w:t>
      </w:r>
      <w:r w:rsidR="00796D55" w:rsidRPr="009158C8">
        <w:t xml:space="preserve">” because their </w:t>
      </w:r>
      <w:r w:rsidR="006B0E92" w:rsidRPr="009158C8">
        <w:t xml:space="preserve">violation by </w:t>
      </w:r>
      <w:r w:rsidR="00796D55" w:rsidRPr="009158C8">
        <w:t>the</w:t>
      </w:r>
      <w:r w:rsidR="00AA676A" w:rsidRPr="009158C8">
        <w:t xml:space="preserve"> S</w:t>
      </w:r>
      <w:r w:rsidR="006B0E92" w:rsidRPr="009158C8">
        <w:t xml:space="preserve">tate </w:t>
      </w:r>
      <w:r w:rsidR="00AA676A" w:rsidRPr="009158C8">
        <w:t>or agencies of the S</w:t>
      </w:r>
      <w:r w:rsidR="00796D55" w:rsidRPr="009158C8">
        <w:t xml:space="preserve">tate </w:t>
      </w:r>
      <w:r w:rsidR="00877559" w:rsidRPr="009158C8">
        <w:t xml:space="preserve">as duty bearers </w:t>
      </w:r>
      <w:r w:rsidR="00796D55" w:rsidRPr="009158C8">
        <w:t>is</w:t>
      </w:r>
      <w:r w:rsidR="006B0E92" w:rsidRPr="009158C8">
        <w:t xml:space="preserve"> </w:t>
      </w:r>
      <w:r w:rsidR="00877559" w:rsidRPr="009158C8">
        <w:t xml:space="preserve">redressed through a court, tribunal </w:t>
      </w:r>
      <w:r w:rsidR="006B0E92" w:rsidRPr="009158C8">
        <w:t xml:space="preserve">or </w:t>
      </w:r>
      <w:r w:rsidR="00877559" w:rsidRPr="009158C8">
        <w:t>other quasi-judicial and administrative procedures and institutions such as N</w:t>
      </w:r>
      <w:r w:rsidR="008F4E2F" w:rsidRPr="009158C8">
        <w:t>ational Human Rights C</w:t>
      </w:r>
      <w:r w:rsidR="00877559" w:rsidRPr="009158C8">
        <w:t xml:space="preserve">ommissions. </w:t>
      </w:r>
      <w:r w:rsidR="006D5321" w:rsidRPr="009158C8">
        <w:t>D</w:t>
      </w:r>
      <w:r w:rsidR="009749C6" w:rsidRPr="009158C8">
        <w:t xml:space="preserve">espite the </w:t>
      </w:r>
      <w:r w:rsidR="006D5321" w:rsidRPr="009158C8">
        <w:t>dichotomy between the “fi</w:t>
      </w:r>
      <w:r w:rsidR="001D2FC2">
        <w:t>r</w:t>
      </w:r>
      <w:r w:rsidR="006D5321" w:rsidRPr="009158C8">
        <w:t>st generation” and “second generation rights”, i</w:t>
      </w:r>
      <w:r w:rsidR="009A4D0B" w:rsidRPr="009158C8">
        <w:t xml:space="preserve">nterdependence of </w:t>
      </w:r>
      <w:r w:rsidR="006D5321" w:rsidRPr="009158C8">
        <w:t xml:space="preserve">all </w:t>
      </w:r>
      <w:r w:rsidR="009A4D0B" w:rsidRPr="009158C8">
        <w:t xml:space="preserve">rights </w:t>
      </w:r>
      <w:r w:rsidR="009749C6" w:rsidRPr="009158C8">
        <w:t xml:space="preserve">based on </w:t>
      </w:r>
      <w:r w:rsidR="009A4D0B" w:rsidRPr="009158C8">
        <w:t xml:space="preserve">human dignity </w:t>
      </w:r>
      <w:r w:rsidR="00796D55" w:rsidRPr="009158C8">
        <w:t>remain</w:t>
      </w:r>
      <w:r w:rsidR="009A4D0B" w:rsidRPr="009158C8">
        <w:t xml:space="preserve"> the starting point</w:t>
      </w:r>
      <w:r w:rsidR="006D5321" w:rsidRPr="009158C8">
        <w:t xml:space="preserve"> for</w:t>
      </w:r>
      <w:r w:rsidR="00E36C52" w:rsidRPr="009158C8">
        <w:t xml:space="preserve"> </w:t>
      </w:r>
      <w:r w:rsidR="006D5321" w:rsidRPr="009158C8">
        <w:t xml:space="preserve">holistic human rights </w:t>
      </w:r>
      <w:r w:rsidR="00796D55" w:rsidRPr="009158C8">
        <w:t>approaches to</w:t>
      </w:r>
      <w:r w:rsidR="006D5321" w:rsidRPr="009158C8">
        <w:t xml:space="preserve"> health</w:t>
      </w:r>
      <w:r w:rsidR="00182886" w:rsidRPr="009158C8">
        <w:t xml:space="preserve"> and wellbeing</w:t>
      </w:r>
      <w:r w:rsidR="00FB6959" w:rsidRPr="009158C8">
        <w:t>.</w:t>
      </w:r>
      <w:r w:rsidR="00FB6959" w:rsidRPr="009158C8">
        <w:rPr>
          <w:rStyle w:val="FootnoteReference"/>
        </w:rPr>
        <w:footnoteReference w:id="26"/>
      </w:r>
      <w:r w:rsidR="00861B70" w:rsidRPr="009158C8">
        <w:t xml:space="preserve"> </w:t>
      </w:r>
      <w:r w:rsidR="00DE3F66" w:rsidRPr="009158C8">
        <w:t>Likewise, such interdependence and indivisibility are the foundational premises of the RtD</w:t>
      </w:r>
      <w:r w:rsidR="00FD061C" w:rsidRPr="009158C8">
        <w:t xml:space="preserve"> which places the human person as the “</w:t>
      </w:r>
      <w:r w:rsidR="00FD061C" w:rsidRPr="009158C8">
        <w:rPr>
          <w:lang w:val="en-MY"/>
        </w:rPr>
        <w:t xml:space="preserve">central subject of development” </w:t>
      </w:r>
      <w:r w:rsidR="00467682" w:rsidRPr="009158C8">
        <w:rPr>
          <w:lang w:val="en-MY"/>
        </w:rPr>
        <w:t xml:space="preserve">and </w:t>
      </w:r>
      <w:r w:rsidR="00FD061C" w:rsidRPr="009158C8">
        <w:rPr>
          <w:lang w:val="en-MY"/>
        </w:rPr>
        <w:t>simultaneously as the active participant and beneficiary of the RtD</w:t>
      </w:r>
      <w:r w:rsidR="00FB6959" w:rsidRPr="009158C8">
        <w:rPr>
          <w:lang w:val="en-MY"/>
        </w:rPr>
        <w:t>.</w:t>
      </w:r>
      <w:r w:rsidR="00FB6959" w:rsidRPr="009158C8">
        <w:rPr>
          <w:rStyle w:val="FootnoteReference"/>
          <w:lang w:val="en-MY"/>
        </w:rPr>
        <w:footnoteReference w:id="27"/>
      </w:r>
      <w:r w:rsidR="00FD061C" w:rsidRPr="009158C8">
        <w:rPr>
          <w:lang w:val="en-MY"/>
        </w:rPr>
        <w:t xml:space="preserve"> </w:t>
      </w:r>
      <w:r w:rsidR="005D21C6" w:rsidRPr="009158C8">
        <w:rPr>
          <w:color w:val="000000"/>
          <w:szCs w:val="24"/>
          <w:lang w:val="en-MY" w:eastAsia="en-MY"/>
        </w:rPr>
        <w:t xml:space="preserve">Article 9(1) of the </w:t>
      </w:r>
      <w:r w:rsidR="00FB6959" w:rsidRPr="009158C8">
        <w:rPr>
          <w:color w:val="000000"/>
          <w:szCs w:val="24"/>
          <w:lang w:val="en-MY" w:eastAsia="en-MY"/>
        </w:rPr>
        <w:t>DRTD</w:t>
      </w:r>
      <w:r w:rsidR="005D21C6" w:rsidRPr="009158C8">
        <w:rPr>
          <w:color w:val="000000"/>
          <w:szCs w:val="24"/>
          <w:lang w:val="en-MY" w:eastAsia="en-MY"/>
        </w:rPr>
        <w:t xml:space="preserve"> provides that “al</w:t>
      </w:r>
      <w:r w:rsidR="005D21C6" w:rsidRPr="009158C8">
        <w:rPr>
          <w:szCs w:val="24"/>
          <w:lang w:val="en-MY"/>
        </w:rPr>
        <w:t>l</w:t>
      </w:r>
      <w:r w:rsidR="005D21C6" w:rsidRPr="009158C8">
        <w:rPr>
          <w:lang w:val="en-MY"/>
        </w:rPr>
        <w:t xml:space="preserve"> the aspects of the right to development set forth in the present Declaration are indivisible and interdependent and each of them should be considered in the context of the whole”.</w:t>
      </w:r>
      <w:r w:rsidR="00FB6959" w:rsidRPr="009158C8">
        <w:rPr>
          <w:rStyle w:val="FootnoteReference"/>
          <w:lang w:val="en-MY"/>
        </w:rPr>
        <w:footnoteReference w:id="28"/>
      </w:r>
    </w:p>
    <w:p w14:paraId="438C6FB5" w14:textId="77777777" w:rsidR="008F4E2F" w:rsidRPr="009158C8" w:rsidRDefault="008F4E2F" w:rsidP="002A190B">
      <w:pPr>
        <w:pStyle w:val="FootnoteText"/>
        <w:jc w:val="both"/>
        <w:rPr>
          <w:b/>
          <w:sz w:val="28"/>
          <w:szCs w:val="28"/>
        </w:rPr>
      </w:pPr>
      <w:r w:rsidRPr="009158C8">
        <w:rPr>
          <w:b/>
          <w:sz w:val="24"/>
          <w:szCs w:val="24"/>
        </w:rPr>
        <w:t>Right to Health in National Constitutions</w:t>
      </w:r>
    </w:p>
    <w:p w14:paraId="7DA64971" w14:textId="77777777" w:rsidR="002A190B" w:rsidRPr="009158C8" w:rsidRDefault="002A190B" w:rsidP="002A190B">
      <w:pPr>
        <w:pStyle w:val="FootnoteText"/>
        <w:jc w:val="both"/>
        <w:rPr>
          <w:sz w:val="24"/>
          <w:szCs w:val="24"/>
        </w:rPr>
      </w:pPr>
    </w:p>
    <w:p w14:paraId="6F5C7A52" w14:textId="77777777" w:rsidR="00662C6C" w:rsidRPr="009158C8" w:rsidRDefault="00197074" w:rsidP="002A190B">
      <w:pPr>
        <w:pStyle w:val="FootnoteText"/>
        <w:jc w:val="both"/>
        <w:rPr>
          <w:sz w:val="24"/>
          <w:szCs w:val="24"/>
          <w:lang w:val="en-MY"/>
        </w:rPr>
      </w:pPr>
      <w:r w:rsidRPr="009158C8">
        <w:rPr>
          <w:sz w:val="24"/>
          <w:szCs w:val="24"/>
        </w:rPr>
        <w:t>The controversies surrounding what constitutes “health” tend to obscure human rights approaches to health. There is no consensus among legal scholars</w:t>
      </w:r>
      <w:r w:rsidR="00AC66F7" w:rsidRPr="009158C8">
        <w:rPr>
          <w:sz w:val="24"/>
          <w:szCs w:val="24"/>
        </w:rPr>
        <w:t>, practitioners, and the policy community</w:t>
      </w:r>
      <w:r w:rsidRPr="009158C8">
        <w:rPr>
          <w:sz w:val="24"/>
          <w:szCs w:val="24"/>
        </w:rPr>
        <w:t xml:space="preserve"> on the meaning of </w:t>
      </w:r>
      <w:r w:rsidR="000B1479" w:rsidRPr="009158C8">
        <w:rPr>
          <w:sz w:val="24"/>
          <w:szCs w:val="24"/>
        </w:rPr>
        <w:t>the terms:</w:t>
      </w:r>
      <w:r w:rsidRPr="009158C8">
        <w:rPr>
          <w:sz w:val="24"/>
          <w:szCs w:val="24"/>
        </w:rPr>
        <w:t xml:space="preserve"> health, health care, </w:t>
      </w:r>
      <w:r w:rsidR="00AC66F7" w:rsidRPr="009158C8">
        <w:rPr>
          <w:sz w:val="24"/>
          <w:szCs w:val="24"/>
        </w:rPr>
        <w:t xml:space="preserve">health services, </w:t>
      </w:r>
      <w:proofErr w:type="spellStart"/>
      <w:r w:rsidRPr="009158C8">
        <w:rPr>
          <w:sz w:val="24"/>
          <w:szCs w:val="24"/>
        </w:rPr>
        <w:t>medicare</w:t>
      </w:r>
      <w:proofErr w:type="spellEnd"/>
      <w:r w:rsidRPr="009158C8">
        <w:rPr>
          <w:sz w:val="24"/>
          <w:szCs w:val="24"/>
        </w:rPr>
        <w:t>, medical services, public health, and how human rights norms can advance them</w:t>
      </w:r>
      <w:r w:rsidR="00FB6959" w:rsidRPr="009158C8">
        <w:rPr>
          <w:sz w:val="24"/>
          <w:szCs w:val="24"/>
        </w:rPr>
        <w:t>.</w:t>
      </w:r>
      <w:r w:rsidR="00FB6959" w:rsidRPr="009158C8">
        <w:rPr>
          <w:rStyle w:val="FootnoteReference"/>
          <w:sz w:val="24"/>
          <w:szCs w:val="24"/>
        </w:rPr>
        <w:footnoteReference w:id="29"/>
      </w:r>
      <w:r w:rsidR="005434B9" w:rsidRPr="009158C8">
        <w:rPr>
          <w:sz w:val="24"/>
          <w:szCs w:val="24"/>
        </w:rPr>
        <w:t xml:space="preserve"> </w:t>
      </w:r>
      <w:r w:rsidR="000B1479" w:rsidRPr="009158C8">
        <w:rPr>
          <w:sz w:val="24"/>
          <w:szCs w:val="24"/>
        </w:rPr>
        <w:t xml:space="preserve">Some </w:t>
      </w:r>
      <w:r w:rsidR="005434B9" w:rsidRPr="009158C8">
        <w:rPr>
          <w:sz w:val="24"/>
          <w:szCs w:val="24"/>
        </w:rPr>
        <w:t xml:space="preserve">scholars </w:t>
      </w:r>
      <w:r w:rsidR="00AC66F7" w:rsidRPr="009158C8">
        <w:rPr>
          <w:sz w:val="24"/>
          <w:szCs w:val="24"/>
        </w:rPr>
        <w:t xml:space="preserve">argue </w:t>
      </w:r>
      <w:r w:rsidR="000B1479" w:rsidRPr="009158C8">
        <w:rPr>
          <w:sz w:val="24"/>
          <w:szCs w:val="24"/>
        </w:rPr>
        <w:t>th</w:t>
      </w:r>
      <w:r w:rsidR="005873AC" w:rsidRPr="009158C8">
        <w:rPr>
          <w:sz w:val="24"/>
          <w:szCs w:val="24"/>
        </w:rPr>
        <w:t>at “</w:t>
      </w:r>
      <w:r w:rsidR="00AC66F7" w:rsidRPr="009158C8">
        <w:rPr>
          <w:sz w:val="24"/>
          <w:szCs w:val="24"/>
        </w:rPr>
        <w:t>right to health</w:t>
      </w:r>
      <w:r w:rsidR="005873AC" w:rsidRPr="009158C8">
        <w:rPr>
          <w:sz w:val="24"/>
          <w:szCs w:val="24"/>
        </w:rPr>
        <w:t>”</w:t>
      </w:r>
      <w:r w:rsidR="00AC66F7" w:rsidRPr="009158C8">
        <w:rPr>
          <w:sz w:val="24"/>
          <w:szCs w:val="24"/>
        </w:rPr>
        <w:t xml:space="preserve"> is a </w:t>
      </w:r>
      <w:r w:rsidR="00182886" w:rsidRPr="009158C8">
        <w:rPr>
          <w:sz w:val="24"/>
          <w:szCs w:val="24"/>
        </w:rPr>
        <w:t xml:space="preserve">utopian </w:t>
      </w:r>
      <w:r w:rsidR="000B1479" w:rsidRPr="009158C8">
        <w:rPr>
          <w:sz w:val="24"/>
          <w:szCs w:val="24"/>
        </w:rPr>
        <w:t>absurdity bec</w:t>
      </w:r>
      <w:r w:rsidR="005873AC" w:rsidRPr="009158C8">
        <w:rPr>
          <w:sz w:val="24"/>
          <w:szCs w:val="24"/>
        </w:rPr>
        <w:t>ause it implies a guarantee of “</w:t>
      </w:r>
      <w:r w:rsidR="000B1479" w:rsidRPr="009158C8">
        <w:rPr>
          <w:sz w:val="24"/>
          <w:szCs w:val="24"/>
        </w:rPr>
        <w:t>perfect health</w:t>
      </w:r>
      <w:r w:rsidR="005873AC" w:rsidRPr="009158C8">
        <w:rPr>
          <w:sz w:val="24"/>
          <w:szCs w:val="24"/>
        </w:rPr>
        <w:t>”</w:t>
      </w:r>
      <w:r w:rsidR="000B1479" w:rsidRPr="009158C8">
        <w:rPr>
          <w:sz w:val="24"/>
          <w:szCs w:val="24"/>
        </w:rPr>
        <w:t>;</w:t>
      </w:r>
      <w:r w:rsidR="005434B9" w:rsidRPr="009158C8">
        <w:rPr>
          <w:sz w:val="24"/>
          <w:szCs w:val="24"/>
        </w:rPr>
        <w:t xml:space="preserve"> they rather prefer </w:t>
      </w:r>
      <w:r w:rsidR="005873AC" w:rsidRPr="009158C8">
        <w:rPr>
          <w:sz w:val="24"/>
          <w:szCs w:val="24"/>
        </w:rPr>
        <w:t>“</w:t>
      </w:r>
      <w:r w:rsidR="000B1479" w:rsidRPr="009158C8">
        <w:rPr>
          <w:sz w:val="24"/>
          <w:szCs w:val="24"/>
        </w:rPr>
        <w:t>right to hea</w:t>
      </w:r>
      <w:r w:rsidR="0067641D" w:rsidRPr="009158C8">
        <w:rPr>
          <w:sz w:val="24"/>
          <w:szCs w:val="24"/>
        </w:rPr>
        <w:t>l</w:t>
      </w:r>
      <w:r w:rsidR="005873AC" w:rsidRPr="009158C8">
        <w:rPr>
          <w:sz w:val="24"/>
          <w:szCs w:val="24"/>
        </w:rPr>
        <w:t>th care”</w:t>
      </w:r>
      <w:r w:rsidR="000B1479" w:rsidRPr="009158C8">
        <w:rPr>
          <w:sz w:val="24"/>
          <w:szCs w:val="24"/>
        </w:rPr>
        <w:t xml:space="preserve"> </w:t>
      </w:r>
      <w:r w:rsidR="005434B9" w:rsidRPr="009158C8">
        <w:rPr>
          <w:sz w:val="24"/>
          <w:szCs w:val="24"/>
        </w:rPr>
        <w:t xml:space="preserve">which </w:t>
      </w:r>
      <w:r w:rsidR="000B1479" w:rsidRPr="009158C8">
        <w:rPr>
          <w:sz w:val="24"/>
          <w:szCs w:val="24"/>
        </w:rPr>
        <w:t xml:space="preserve">encompasses </w:t>
      </w:r>
      <w:r w:rsidR="00AC66F7" w:rsidRPr="009158C8">
        <w:rPr>
          <w:sz w:val="24"/>
          <w:szCs w:val="24"/>
        </w:rPr>
        <w:t xml:space="preserve">eco-social and developmental factors: </w:t>
      </w:r>
      <w:r w:rsidR="000B1479" w:rsidRPr="009158C8">
        <w:rPr>
          <w:sz w:val="24"/>
          <w:szCs w:val="24"/>
        </w:rPr>
        <w:t>protective environmental services, prevention, health promotion and therapeutic services as well as related actions in sanitation, environmental engineering, housing and social welfare</w:t>
      </w:r>
      <w:r w:rsidR="006D334D" w:rsidRPr="009158C8">
        <w:rPr>
          <w:sz w:val="24"/>
          <w:szCs w:val="24"/>
        </w:rPr>
        <w:t>.</w:t>
      </w:r>
      <w:r w:rsidR="006D334D" w:rsidRPr="009158C8">
        <w:rPr>
          <w:rStyle w:val="FootnoteReference"/>
          <w:sz w:val="24"/>
          <w:szCs w:val="24"/>
        </w:rPr>
        <w:footnoteReference w:id="30"/>
      </w:r>
      <w:r w:rsidR="000B1479" w:rsidRPr="009158C8">
        <w:rPr>
          <w:sz w:val="24"/>
          <w:szCs w:val="24"/>
        </w:rPr>
        <w:t xml:space="preserve"> </w:t>
      </w:r>
      <w:r w:rsidR="009225AD" w:rsidRPr="009158C8">
        <w:rPr>
          <w:sz w:val="24"/>
          <w:szCs w:val="24"/>
        </w:rPr>
        <w:t xml:space="preserve">This has been critiqued as too extensive and contrary to </w:t>
      </w:r>
      <w:r w:rsidR="005434B9" w:rsidRPr="009158C8">
        <w:rPr>
          <w:sz w:val="24"/>
          <w:szCs w:val="24"/>
        </w:rPr>
        <w:t xml:space="preserve">the </w:t>
      </w:r>
      <w:r w:rsidR="009225AD" w:rsidRPr="009158C8">
        <w:rPr>
          <w:sz w:val="24"/>
          <w:szCs w:val="24"/>
        </w:rPr>
        <w:t>comm</w:t>
      </w:r>
      <w:r w:rsidR="005873AC" w:rsidRPr="009158C8">
        <w:rPr>
          <w:sz w:val="24"/>
          <w:szCs w:val="24"/>
        </w:rPr>
        <w:t>on understanding of the phrase “right to health care”</w:t>
      </w:r>
      <w:r w:rsidR="00922726" w:rsidRPr="009158C8">
        <w:rPr>
          <w:sz w:val="24"/>
          <w:szCs w:val="24"/>
        </w:rPr>
        <w:t>.</w:t>
      </w:r>
      <w:r w:rsidR="00922726" w:rsidRPr="009158C8">
        <w:rPr>
          <w:rStyle w:val="FootnoteReference"/>
          <w:sz w:val="24"/>
          <w:szCs w:val="24"/>
        </w:rPr>
        <w:footnoteReference w:id="31"/>
      </w:r>
      <w:r w:rsidR="009225AD" w:rsidRPr="009158C8">
        <w:rPr>
          <w:sz w:val="24"/>
          <w:szCs w:val="24"/>
        </w:rPr>
        <w:t xml:space="preserve"> Some </w:t>
      </w:r>
      <w:r w:rsidR="00AC66F7" w:rsidRPr="009158C8">
        <w:rPr>
          <w:sz w:val="24"/>
          <w:szCs w:val="24"/>
        </w:rPr>
        <w:t xml:space="preserve">scholars argue </w:t>
      </w:r>
      <w:r w:rsidR="009225AD" w:rsidRPr="009158C8">
        <w:rPr>
          <w:sz w:val="24"/>
          <w:szCs w:val="24"/>
        </w:rPr>
        <w:t>f</w:t>
      </w:r>
      <w:r w:rsidR="005873AC" w:rsidRPr="009158C8">
        <w:rPr>
          <w:sz w:val="24"/>
          <w:szCs w:val="24"/>
        </w:rPr>
        <w:t>or the phrase “right to health protection”</w:t>
      </w:r>
      <w:r w:rsidR="009225AD" w:rsidRPr="009158C8">
        <w:rPr>
          <w:sz w:val="24"/>
          <w:szCs w:val="24"/>
        </w:rPr>
        <w:t xml:space="preserve"> comprised of two components: a right to health </w:t>
      </w:r>
      <w:r w:rsidR="00E56F8C" w:rsidRPr="009158C8">
        <w:rPr>
          <w:sz w:val="24"/>
          <w:szCs w:val="24"/>
        </w:rPr>
        <w:t>care</w:t>
      </w:r>
      <w:r w:rsidR="009225AD" w:rsidRPr="009158C8">
        <w:rPr>
          <w:sz w:val="24"/>
          <w:szCs w:val="24"/>
        </w:rPr>
        <w:t xml:space="preserve"> and a right to health conditions</w:t>
      </w:r>
      <w:r w:rsidR="0007788F" w:rsidRPr="009158C8">
        <w:rPr>
          <w:sz w:val="24"/>
          <w:szCs w:val="24"/>
        </w:rPr>
        <w:t>.</w:t>
      </w:r>
      <w:r w:rsidR="0007788F" w:rsidRPr="009158C8">
        <w:rPr>
          <w:rStyle w:val="FootnoteReference"/>
          <w:sz w:val="24"/>
          <w:szCs w:val="24"/>
        </w:rPr>
        <w:footnoteReference w:id="32"/>
      </w:r>
      <w:r w:rsidR="009225AD" w:rsidRPr="009158C8">
        <w:rPr>
          <w:sz w:val="24"/>
          <w:szCs w:val="24"/>
        </w:rPr>
        <w:t xml:space="preserve"> Navigating these </w:t>
      </w:r>
      <w:r w:rsidR="00E56F8C" w:rsidRPr="009158C8">
        <w:rPr>
          <w:sz w:val="24"/>
          <w:szCs w:val="24"/>
        </w:rPr>
        <w:t xml:space="preserve">controversies and using a set of </w:t>
      </w:r>
      <w:r w:rsidR="005B5EBA" w:rsidRPr="009158C8">
        <w:rPr>
          <w:sz w:val="24"/>
          <w:szCs w:val="24"/>
        </w:rPr>
        <w:t xml:space="preserve">defined </w:t>
      </w:r>
      <w:r w:rsidR="00E56F8C" w:rsidRPr="009158C8">
        <w:rPr>
          <w:sz w:val="24"/>
          <w:szCs w:val="24"/>
        </w:rPr>
        <w:t>criteria</w:t>
      </w:r>
      <w:r w:rsidR="005873AC" w:rsidRPr="009158C8">
        <w:rPr>
          <w:sz w:val="24"/>
          <w:szCs w:val="24"/>
        </w:rPr>
        <w:t xml:space="preserve"> Kinney and Clark</w:t>
      </w:r>
      <w:r w:rsidR="00E56F8C" w:rsidRPr="009158C8">
        <w:rPr>
          <w:sz w:val="24"/>
          <w:szCs w:val="24"/>
        </w:rPr>
        <w:t xml:space="preserve"> found that “</w:t>
      </w:r>
      <w:r w:rsidR="00E56F8C" w:rsidRPr="009158C8">
        <w:rPr>
          <w:sz w:val="24"/>
          <w:szCs w:val="24"/>
          <w:lang w:val="en-MY"/>
        </w:rPr>
        <w:t xml:space="preserve">67.5% of the constitutions of the </w:t>
      </w:r>
      <w:r w:rsidR="00E56F8C" w:rsidRPr="009158C8">
        <w:rPr>
          <w:sz w:val="24"/>
          <w:szCs w:val="24"/>
          <w:lang w:val="en-MY"/>
        </w:rPr>
        <w:lastRenderedPageBreak/>
        <w:t xml:space="preserve">world have a provision addressing health or healthcare. In almost </w:t>
      </w:r>
      <w:proofErr w:type="gramStart"/>
      <w:r w:rsidR="00E56F8C" w:rsidRPr="009158C8">
        <w:rPr>
          <w:sz w:val="24"/>
          <w:szCs w:val="24"/>
          <w:lang w:val="en-MY"/>
        </w:rPr>
        <w:t>all of</w:t>
      </w:r>
      <w:proofErr w:type="gramEnd"/>
      <w:r w:rsidR="00E56F8C" w:rsidRPr="009158C8">
        <w:rPr>
          <w:sz w:val="24"/>
          <w:szCs w:val="24"/>
          <w:lang w:val="en-MY"/>
        </w:rPr>
        <w:t xml:space="preserve"> these constitution</w:t>
      </w:r>
      <w:r w:rsidR="00E5036E" w:rsidRPr="009158C8">
        <w:rPr>
          <w:sz w:val="24"/>
          <w:szCs w:val="24"/>
          <w:lang w:val="en-MY"/>
        </w:rPr>
        <w:t>s, the pro</w:t>
      </w:r>
      <w:r w:rsidR="00E56F8C" w:rsidRPr="009158C8">
        <w:rPr>
          <w:sz w:val="24"/>
          <w:szCs w:val="24"/>
          <w:lang w:val="en-MY"/>
        </w:rPr>
        <w:t>visions regarding health and healthcare are universal, rather than limited to particular groups”</w:t>
      </w:r>
      <w:r w:rsidR="0007788F" w:rsidRPr="009158C8">
        <w:rPr>
          <w:sz w:val="24"/>
          <w:szCs w:val="24"/>
          <w:lang w:val="en-MY"/>
        </w:rPr>
        <w:t>.</w:t>
      </w:r>
      <w:r w:rsidR="0007788F" w:rsidRPr="009158C8">
        <w:rPr>
          <w:rStyle w:val="FootnoteReference"/>
          <w:sz w:val="24"/>
          <w:szCs w:val="24"/>
          <w:lang w:val="en-MY"/>
        </w:rPr>
        <w:footnoteReference w:id="33"/>
      </w:r>
      <w:r w:rsidR="005434B9" w:rsidRPr="009158C8">
        <w:rPr>
          <w:sz w:val="24"/>
          <w:szCs w:val="24"/>
          <w:lang w:val="en-MY"/>
        </w:rPr>
        <w:t xml:space="preserve"> </w:t>
      </w:r>
    </w:p>
    <w:p w14:paraId="49CD88CF" w14:textId="77777777" w:rsidR="005873AC" w:rsidRPr="009158C8" w:rsidRDefault="005873AC" w:rsidP="002A190B">
      <w:pPr>
        <w:pStyle w:val="FootnoteText"/>
        <w:jc w:val="both"/>
        <w:rPr>
          <w:sz w:val="24"/>
          <w:szCs w:val="24"/>
          <w:lang w:val="en-MY"/>
        </w:rPr>
      </w:pPr>
    </w:p>
    <w:p w14:paraId="6D065220" w14:textId="77777777" w:rsidR="003064FC" w:rsidRPr="009158C8" w:rsidRDefault="00E5036E" w:rsidP="002A190B">
      <w:pPr>
        <w:pStyle w:val="FootnoteText"/>
        <w:jc w:val="both"/>
        <w:rPr>
          <w:sz w:val="24"/>
          <w:szCs w:val="24"/>
          <w:lang w:val="en-MY"/>
        </w:rPr>
      </w:pPr>
      <w:r w:rsidRPr="009158C8">
        <w:rPr>
          <w:sz w:val="24"/>
          <w:szCs w:val="24"/>
          <w:lang w:val="en-MY"/>
        </w:rPr>
        <w:t>One of the widely-</w:t>
      </w:r>
      <w:r w:rsidR="00662C6C" w:rsidRPr="009158C8">
        <w:rPr>
          <w:sz w:val="24"/>
          <w:szCs w:val="24"/>
          <w:lang w:val="en-MY"/>
        </w:rPr>
        <w:t xml:space="preserve">cited examples of a codified constitutionally-protected right to health is Section 27 of the Constitution of </w:t>
      </w:r>
      <w:r w:rsidR="001636E9" w:rsidRPr="009158C8">
        <w:rPr>
          <w:sz w:val="24"/>
          <w:szCs w:val="24"/>
          <w:lang w:val="en-MY"/>
        </w:rPr>
        <w:t xml:space="preserve">the </w:t>
      </w:r>
      <w:r w:rsidR="00662C6C" w:rsidRPr="009158C8">
        <w:rPr>
          <w:sz w:val="24"/>
          <w:szCs w:val="24"/>
          <w:lang w:val="en-MY"/>
        </w:rPr>
        <w:t>Republic of South Africa 1996</w:t>
      </w:r>
      <w:r w:rsidR="00115A8B" w:rsidRPr="009158C8">
        <w:rPr>
          <w:sz w:val="24"/>
          <w:szCs w:val="24"/>
          <w:lang w:val="en-MY"/>
        </w:rPr>
        <w:t>.</w:t>
      </w:r>
      <w:r w:rsidR="00115A8B" w:rsidRPr="009158C8">
        <w:rPr>
          <w:rStyle w:val="FootnoteReference"/>
          <w:sz w:val="24"/>
          <w:szCs w:val="24"/>
          <w:lang w:val="en-MY"/>
        </w:rPr>
        <w:footnoteReference w:id="34"/>
      </w:r>
      <w:r w:rsidR="00662C6C" w:rsidRPr="009158C8">
        <w:rPr>
          <w:sz w:val="24"/>
          <w:szCs w:val="24"/>
          <w:lang w:val="en-MY"/>
        </w:rPr>
        <w:t xml:space="preserve"> It provides as follows:</w:t>
      </w:r>
    </w:p>
    <w:p w14:paraId="2689892B" w14:textId="77777777" w:rsidR="005873AC" w:rsidRPr="009158C8" w:rsidRDefault="005873AC" w:rsidP="002A190B">
      <w:pPr>
        <w:pStyle w:val="FootnoteText"/>
        <w:ind w:firstLine="720"/>
        <w:jc w:val="both"/>
        <w:rPr>
          <w:sz w:val="24"/>
          <w:szCs w:val="24"/>
        </w:rPr>
      </w:pPr>
    </w:p>
    <w:p w14:paraId="055FEDB3" w14:textId="77777777" w:rsidR="00400596" w:rsidRPr="009158C8" w:rsidRDefault="00400596" w:rsidP="002A190B">
      <w:pPr>
        <w:pStyle w:val="FootnoteText"/>
        <w:ind w:firstLine="720"/>
        <w:jc w:val="both"/>
        <w:rPr>
          <w:sz w:val="24"/>
          <w:szCs w:val="24"/>
        </w:rPr>
      </w:pPr>
      <w:r w:rsidRPr="009158C8">
        <w:rPr>
          <w:sz w:val="24"/>
          <w:szCs w:val="24"/>
        </w:rPr>
        <w:t>1</w:t>
      </w:r>
      <w:r w:rsidR="005873AC" w:rsidRPr="009158C8">
        <w:rPr>
          <w:sz w:val="24"/>
          <w:szCs w:val="24"/>
        </w:rPr>
        <w:t>.</w:t>
      </w:r>
      <w:r w:rsidRPr="009158C8">
        <w:rPr>
          <w:sz w:val="24"/>
          <w:szCs w:val="24"/>
        </w:rPr>
        <w:t xml:space="preserve"> Everyone has the right to have access to ­</w:t>
      </w:r>
    </w:p>
    <w:p w14:paraId="4C2E8C8C" w14:textId="77777777" w:rsidR="00400596" w:rsidRPr="009158C8" w:rsidRDefault="00400596" w:rsidP="002A190B">
      <w:pPr>
        <w:pStyle w:val="FootnoteText"/>
        <w:ind w:left="720" w:firstLine="720"/>
        <w:jc w:val="both"/>
        <w:rPr>
          <w:sz w:val="24"/>
          <w:szCs w:val="24"/>
        </w:rPr>
      </w:pPr>
      <w:r w:rsidRPr="009158C8">
        <w:rPr>
          <w:sz w:val="24"/>
          <w:szCs w:val="24"/>
        </w:rPr>
        <w:t>(a) health care services, including reproductive health care;</w:t>
      </w:r>
    </w:p>
    <w:p w14:paraId="30D2AA41" w14:textId="77777777" w:rsidR="001516ED" w:rsidRPr="009158C8" w:rsidRDefault="00400596" w:rsidP="002A190B">
      <w:pPr>
        <w:pStyle w:val="FootnoteText"/>
        <w:ind w:left="720" w:firstLine="720"/>
        <w:jc w:val="both"/>
        <w:rPr>
          <w:sz w:val="24"/>
          <w:szCs w:val="24"/>
        </w:rPr>
      </w:pPr>
      <w:r w:rsidRPr="009158C8">
        <w:rPr>
          <w:sz w:val="24"/>
          <w:szCs w:val="24"/>
        </w:rPr>
        <w:t>(b)  sufficient food and water; and</w:t>
      </w:r>
    </w:p>
    <w:p w14:paraId="1CDA5FD3" w14:textId="77777777" w:rsidR="00400596" w:rsidRPr="009158C8" w:rsidRDefault="00400596" w:rsidP="002A190B">
      <w:pPr>
        <w:pStyle w:val="FootnoteText"/>
        <w:ind w:left="1440"/>
        <w:jc w:val="both"/>
        <w:rPr>
          <w:sz w:val="24"/>
          <w:szCs w:val="24"/>
        </w:rPr>
      </w:pPr>
      <w:r w:rsidRPr="009158C8">
        <w:rPr>
          <w:sz w:val="24"/>
          <w:szCs w:val="24"/>
        </w:rPr>
        <w:t>(c) social security, including, if they are unable to supp</w:t>
      </w:r>
      <w:r w:rsidR="00E5036E" w:rsidRPr="009158C8">
        <w:rPr>
          <w:sz w:val="24"/>
          <w:szCs w:val="24"/>
        </w:rPr>
        <w:t>ort themselves and their depende</w:t>
      </w:r>
      <w:r w:rsidRPr="009158C8">
        <w:rPr>
          <w:sz w:val="24"/>
          <w:szCs w:val="24"/>
        </w:rPr>
        <w:t>nts, appropriate social assistance.</w:t>
      </w:r>
    </w:p>
    <w:p w14:paraId="009ADDD3" w14:textId="77777777" w:rsidR="005873AC" w:rsidRPr="009158C8" w:rsidRDefault="005873AC" w:rsidP="002A190B">
      <w:pPr>
        <w:pStyle w:val="FootnoteText"/>
        <w:ind w:left="720"/>
        <w:jc w:val="both"/>
        <w:rPr>
          <w:sz w:val="24"/>
          <w:szCs w:val="24"/>
        </w:rPr>
      </w:pPr>
    </w:p>
    <w:p w14:paraId="503C95A8" w14:textId="77777777" w:rsidR="00400596" w:rsidRPr="009158C8" w:rsidRDefault="001516ED" w:rsidP="002A190B">
      <w:pPr>
        <w:pStyle w:val="FootnoteText"/>
        <w:ind w:left="720"/>
        <w:jc w:val="both"/>
        <w:rPr>
          <w:sz w:val="24"/>
          <w:szCs w:val="24"/>
        </w:rPr>
      </w:pPr>
      <w:r w:rsidRPr="009158C8">
        <w:rPr>
          <w:sz w:val="24"/>
          <w:szCs w:val="24"/>
        </w:rPr>
        <w:t>2</w:t>
      </w:r>
      <w:r w:rsidR="005873AC" w:rsidRPr="009158C8">
        <w:rPr>
          <w:sz w:val="24"/>
          <w:szCs w:val="24"/>
        </w:rPr>
        <w:t>.</w:t>
      </w:r>
      <w:r w:rsidRPr="009158C8">
        <w:rPr>
          <w:sz w:val="24"/>
          <w:szCs w:val="24"/>
        </w:rPr>
        <w:t xml:space="preserve"> </w:t>
      </w:r>
      <w:r w:rsidR="00400596" w:rsidRPr="009158C8">
        <w:rPr>
          <w:sz w:val="24"/>
          <w:szCs w:val="24"/>
        </w:rPr>
        <w:t>The state must take reasonable legislative and other measures, within its available resources, t</w:t>
      </w:r>
      <w:r w:rsidR="00467682" w:rsidRPr="009158C8">
        <w:rPr>
          <w:sz w:val="24"/>
          <w:szCs w:val="24"/>
        </w:rPr>
        <w:t>o achieve the progressive realiz</w:t>
      </w:r>
      <w:r w:rsidR="00400596" w:rsidRPr="009158C8">
        <w:rPr>
          <w:sz w:val="24"/>
          <w:szCs w:val="24"/>
        </w:rPr>
        <w:t>ation of each of these rights.</w:t>
      </w:r>
    </w:p>
    <w:p w14:paraId="3F463C1A" w14:textId="77777777" w:rsidR="005873AC" w:rsidRPr="009158C8" w:rsidRDefault="005873AC" w:rsidP="002A190B">
      <w:pPr>
        <w:pStyle w:val="FootnoteText"/>
        <w:ind w:firstLine="720"/>
        <w:jc w:val="both"/>
        <w:rPr>
          <w:sz w:val="24"/>
          <w:szCs w:val="24"/>
        </w:rPr>
      </w:pPr>
    </w:p>
    <w:p w14:paraId="047C903C" w14:textId="77777777" w:rsidR="00662C6C" w:rsidRPr="009158C8" w:rsidRDefault="005873AC" w:rsidP="002A190B">
      <w:pPr>
        <w:pStyle w:val="FootnoteText"/>
        <w:ind w:firstLine="720"/>
        <w:jc w:val="both"/>
        <w:rPr>
          <w:sz w:val="24"/>
          <w:szCs w:val="24"/>
        </w:rPr>
      </w:pPr>
      <w:r w:rsidRPr="009158C8">
        <w:rPr>
          <w:sz w:val="24"/>
          <w:szCs w:val="24"/>
        </w:rPr>
        <w:t xml:space="preserve">3. </w:t>
      </w:r>
      <w:r w:rsidR="001516ED" w:rsidRPr="009158C8">
        <w:rPr>
          <w:sz w:val="24"/>
          <w:szCs w:val="24"/>
        </w:rPr>
        <w:t xml:space="preserve"> </w:t>
      </w:r>
      <w:r w:rsidR="00400596" w:rsidRPr="009158C8">
        <w:rPr>
          <w:sz w:val="24"/>
          <w:szCs w:val="24"/>
        </w:rPr>
        <w:t>No one may be refused emergency medical treatment.</w:t>
      </w:r>
    </w:p>
    <w:p w14:paraId="39B5F8A8" w14:textId="77777777" w:rsidR="003064FC" w:rsidRPr="009158C8" w:rsidRDefault="003064FC" w:rsidP="002A190B">
      <w:pPr>
        <w:pStyle w:val="FootnoteText"/>
        <w:jc w:val="both"/>
        <w:rPr>
          <w:sz w:val="24"/>
          <w:szCs w:val="24"/>
        </w:rPr>
      </w:pPr>
    </w:p>
    <w:p w14:paraId="15111AFA" w14:textId="77777777" w:rsidR="001516ED" w:rsidRPr="009158C8" w:rsidRDefault="001516ED" w:rsidP="002A190B">
      <w:pPr>
        <w:pStyle w:val="FootnoteText"/>
        <w:jc w:val="both"/>
        <w:rPr>
          <w:sz w:val="24"/>
          <w:szCs w:val="24"/>
        </w:rPr>
      </w:pPr>
      <w:r w:rsidRPr="009158C8">
        <w:rPr>
          <w:sz w:val="24"/>
          <w:szCs w:val="24"/>
        </w:rPr>
        <w:t xml:space="preserve">Apart from South Africa, </w:t>
      </w:r>
      <w:proofErr w:type="spellStart"/>
      <w:r w:rsidR="005873AC" w:rsidRPr="009158C8">
        <w:rPr>
          <w:sz w:val="24"/>
          <w:szCs w:val="24"/>
        </w:rPr>
        <w:t>Ngwena</w:t>
      </w:r>
      <w:proofErr w:type="spellEnd"/>
      <w:r w:rsidR="005873AC" w:rsidRPr="009158C8">
        <w:rPr>
          <w:sz w:val="24"/>
          <w:szCs w:val="24"/>
        </w:rPr>
        <w:t xml:space="preserve"> and Cook </w:t>
      </w:r>
      <w:r w:rsidRPr="009158C8">
        <w:rPr>
          <w:sz w:val="24"/>
          <w:szCs w:val="24"/>
        </w:rPr>
        <w:t>observed that there is a variety of 109 jurisdictions,</w:t>
      </w:r>
      <w:r w:rsidR="00B3100C" w:rsidRPr="009158C8">
        <w:rPr>
          <w:rStyle w:val="FootnoteReference"/>
          <w:sz w:val="24"/>
          <w:szCs w:val="24"/>
        </w:rPr>
        <w:footnoteReference w:id="35"/>
      </w:r>
      <w:r w:rsidRPr="009158C8">
        <w:rPr>
          <w:sz w:val="24"/>
          <w:szCs w:val="24"/>
        </w:rPr>
        <w:t xml:space="preserve"> “such as Brazil, Chile and Venezuela, to have embraced the idea of providing for a right concerning health in a substantive and justiciable form”</w:t>
      </w:r>
      <w:r w:rsidR="00B3100C" w:rsidRPr="009158C8">
        <w:rPr>
          <w:rStyle w:val="FootnoteReference"/>
          <w:sz w:val="24"/>
          <w:szCs w:val="24"/>
        </w:rPr>
        <w:footnoteReference w:id="36"/>
      </w:r>
      <w:r w:rsidR="00B3100C" w:rsidRPr="009158C8">
        <w:rPr>
          <w:sz w:val="24"/>
          <w:szCs w:val="24"/>
        </w:rPr>
        <w:t>.</w:t>
      </w:r>
      <w:r w:rsidRPr="009158C8">
        <w:rPr>
          <w:sz w:val="24"/>
          <w:szCs w:val="24"/>
        </w:rPr>
        <w:t xml:space="preserve"> </w:t>
      </w:r>
    </w:p>
    <w:p w14:paraId="4C44A968" w14:textId="77777777" w:rsidR="003064FC" w:rsidRPr="009158C8" w:rsidRDefault="003064FC" w:rsidP="002A190B">
      <w:pPr>
        <w:pStyle w:val="FootnoteText"/>
        <w:ind w:firstLine="720"/>
        <w:jc w:val="both"/>
        <w:rPr>
          <w:sz w:val="24"/>
          <w:szCs w:val="24"/>
        </w:rPr>
      </w:pPr>
    </w:p>
    <w:p w14:paraId="0123EAA7" w14:textId="77777777" w:rsidR="00B9651F" w:rsidRPr="009158C8" w:rsidRDefault="00753280" w:rsidP="002A190B">
      <w:pPr>
        <w:pStyle w:val="FootnoteText"/>
        <w:rPr>
          <w:b/>
          <w:sz w:val="28"/>
          <w:szCs w:val="28"/>
        </w:rPr>
      </w:pPr>
      <w:r w:rsidRPr="009158C8">
        <w:rPr>
          <w:b/>
          <w:sz w:val="24"/>
          <w:szCs w:val="24"/>
        </w:rPr>
        <w:t>Right to Health</w:t>
      </w:r>
      <w:r w:rsidR="00E5036E" w:rsidRPr="009158C8">
        <w:rPr>
          <w:b/>
          <w:sz w:val="24"/>
          <w:szCs w:val="24"/>
        </w:rPr>
        <w:t xml:space="preserve"> and RtD</w:t>
      </w:r>
      <w:r w:rsidRPr="009158C8">
        <w:rPr>
          <w:b/>
          <w:sz w:val="24"/>
          <w:szCs w:val="24"/>
        </w:rPr>
        <w:t xml:space="preserve">: </w:t>
      </w:r>
      <w:r w:rsidR="00B9651F" w:rsidRPr="009158C8">
        <w:rPr>
          <w:b/>
          <w:sz w:val="24"/>
          <w:szCs w:val="24"/>
        </w:rPr>
        <w:t>Circumventing the Myth of Justiciability</w:t>
      </w:r>
    </w:p>
    <w:p w14:paraId="59EDC369" w14:textId="77777777" w:rsidR="00345073" w:rsidRPr="009158C8" w:rsidRDefault="00345073" w:rsidP="002A190B">
      <w:pPr>
        <w:pStyle w:val="FootnoteText"/>
        <w:jc w:val="both"/>
        <w:rPr>
          <w:sz w:val="24"/>
          <w:szCs w:val="24"/>
        </w:rPr>
      </w:pPr>
    </w:p>
    <w:p w14:paraId="116E7C93" w14:textId="77777777" w:rsidR="007E1FE8" w:rsidRPr="009158C8" w:rsidRDefault="00B9651F" w:rsidP="002A190B">
      <w:pPr>
        <w:pStyle w:val="FootnoteText"/>
        <w:jc w:val="both"/>
        <w:rPr>
          <w:sz w:val="24"/>
          <w:szCs w:val="24"/>
        </w:rPr>
      </w:pPr>
      <w:r w:rsidRPr="009158C8">
        <w:rPr>
          <w:sz w:val="24"/>
          <w:szCs w:val="24"/>
        </w:rPr>
        <w:t xml:space="preserve">The </w:t>
      </w:r>
      <w:r w:rsidR="00E5036E" w:rsidRPr="009158C8">
        <w:rPr>
          <w:sz w:val="24"/>
          <w:szCs w:val="24"/>
        </w:rPr>
        <w:t xml:space="preserve">entrenched </w:t>
      </w:r>
      <w:r w:rsidR="00764BC9" w:rsidRPr="009158C8">
        <w:rPr>
          <w:sz w:val="24"/>
          <w:szCs w:val="24"/>
        </w:rPr>
        <w:t>dichotomy</w:t>
      </w:r>
      <w:r w:rsidR="00753280" w:rsidRPr="009158C8">
        <w:rPr>
          <w:sz w:val="24"/>
          <w:szCs w:val="24"/>
        </w:rPr>
        <w:t xml:space="preserve"> between </w:t>
      </w:r>
      <w:r w:rsidR="00212DA9" w:rsidRPr="009158C8">
        <w:rPr>
          <w:sz w:val="24"/>
          <w:szCs w:val="24"/>
        </w:rPr>
        <w:t xml:space="preserve">the </w:t>
      </w:r>
      <w:r w:rsidR="00212DA9" w:rsidRPr="009158C8">
        <w:rPr>
          <w:i/>
          <w:sz w:val="24"/>
          <w:szCs w:val="24"/>
        </w:rPr>
        <w:t>largely justiciable</w:t>
      </w:r>
      <w:r w:rsidR="00212DA9" w:rsidRPr="009158C8">
        <w:rPr>
          <w:sz w:val="24"/>
          <w:szCs w:val="24"/>
        </w:rPr>
        <w:t xml:space="preserve"> civil and political rights, </w:t>
      </w:r>
      <w:r w:rsidR="00753280" w:rsidRPr="009158C8">
        <w:rPr>
          <w:sz w:val="24"/>
          <w:szCs w:val="24"/>
        </w:rPr>
        <w:t xml:space="preserve">and </w:t>
      </w:r>
      <w:r w:rsidR="00E5036E" w:rsidRPr="009158C8">
        <w:rPr>
          <w:sz w:val="24"/>
          <w:szCs w:val="24"/>
        </w:rPr>
        <w:t xml:space="preserve">the </w:t>
      </w:r>
      <w:r w:rsidR="00212DA9" w:rsidRPr="009158C8">
        <w:rPr>
          <w:i/>
          <w:sz w:val="24"/>
          <w:szCs w:val="24"/>
        </w:rPr>
        <w:t>largely non-justiciable</w:t>
      </w:r>
      <w:r w:rsidR="00212DA9" w:rsidRPr="009158C8">
        <w:rPr>
          <w:sz w:val="24"/>
          <w:szCs w:val="24"/>
        </w:rPr>
        <w:t xml:space="preserve"> </w:t>
      </w:r>
      <w:r w:rsidR="00753280" w:rsidRPr="009158C8">
        <w:rPr>
          <w:sz w:val="24"/>
          <w:szCs w:val="24"/>
        </w:rPr>
        <w:t>economic, social and cultural rights</w:t>
      </w:r>
      <w:r w:rsidR="00212DA9" w:rsidRPr="009158C8">
        <w:rPr>
          <w:sz w:val="24"/>
          <w:szCs w:val="24"/>
        </w:rPr>
        <w:t xml:space="preserve"> impedes the realization of </w:t>
      </w:r>
      <w:r w:rsidR="001636E9" w:rsidRPr="009158C8">
        <w:rPr>
          <w:sz w:val="24"/>
          <w:szCs w:val="24"/>
        </w:rPr>
        <w:t xml:space="preserve">the </w:t>
      </w:r>
      <w:r w:rsidR="00212DA9" w:rsidRPr="009158C8">
        <w:rPr>
          <w:sz w:val="24"/>
          <w:szCs w:val="24"/>
        </w:rPr>
        <w:t>right to health</w:t>
      </w:r>
      <w:r w:rsidR="00E5036E" w:rsidRPr="009158C8">
        <w:rPr>
          <w:sz w:val="24"/>
          <w:szCs w:val="24"/>
        </w:rPr>
        <w:t xml:space="preserve"> including </w:t>
      </w:r>
      <w:r w:rsidR="002014F3" w:rsidRPr="009158C8">
        <w:rPr>
          <w:sz w:val="24"/>
          <w:szCs w:val="24"/>
        </w:rPr>
        <w:t>the health-</w:t>
      </w:r>
      <w:r w:rsidR="00E5036E" w:rsidRPr="009158C8">
        <w:rPr>
          <w:sz w:val="24"/>
          <w:szCs w:val="24"/>
        </w:rPr>
        <w:t>related aspects of</w:t>
      </w:r>
      <w:r w:rsidR="005873AC" w:rsidRPr="009158C8">
        <w:rPr>
          <w:sz w:val="24"/>
          <w:szCs w:val="24"/>
        </w:rPr>
        <w:t xml:space="preserve"> the</w:t>
      </w:r>
      <w:r w:rsidR="00E5036E" w:rsidRPr="009158C8">
        <w:rPr>
          <w:sz w:val="24"/>
          <w:szCs w:val="24"/>
        </w:rPr>
        <w:t xml:space="preserve"> RtD.</w:t>
      </w:r>
      <w:r w:rsidR="00212DA9" w:rsidRPr="009158C8">
        <w:rPr>
          <w:sz w:val="24"/>
          <w:szCs w:val="24"/>
        </w:rPr>
        <w:t xml:space="preserve"> In worst case scenarios in the judicial </w:t>
      </w:r>
      <w:r w:rsidR="00212DA9" w:rsidRPr="009158C8">
        <w:rPr>
          <w:i/>
          <w:sz w:val="24"/>
          <w:szCs w:val="24"/>
        </w:rPr>
        <w:t>fora</w:t>
      </w:r>
      <w:r w:rsidR="00A439E2" w:rsidRPr="009158C8">
        <w:rPr>
          <w:iCs/>
          <w:sz w:val="24"/>
          <w:szCs w:val="24"/>
        </w:rPr>
        <w:t>,</w:t>
      </w:r>
      <w:r w:rsidR="00212DA9" w:rsidRPr="009158C8">
        <w:rPr>
          <w:sz w:val="24"/>
          <w:szCs w:val="24"/>
        </w:rPr>
        <w:t xml:space="preserve"> socio-economic rights are treated as “juridical orphans who had no ties of consanguinity with the pantheon of liberty-oriented rights</w:t>
      </w:r>
      <w:r w:rsidR="00A439E2" w:rsidRPr="009158C8">
        <w:rPr>
          <w:sz w:val="24"/>
          <w:szCs w:val="24"/>
        </w:rPr>
        <w:t>”.</w:t>
      </w:r>
      <w:r w:rsidR="00A439E2" w:rsidRPr="009158C8">
        <w:rPr>
          <w:rStyle w:val="FootnoteReference"/>
          <w:iCs/>
          <w:sz w:val="24"/>
          <w:szCs w:val="24"/>
        </w:rPr>
        <w:footnoteReference w:id="37"/>
      </w:r>
      <w:r w:rsidR="00212DA9" w:rsidRPr="009158C8">
        <w:rPr>
          <w:sz w:val="24"/>
          <w:szCs w:val="24"/>
        </w:rPr>
        <w:t xml:space="preserve"> Even in South Africa with one of the</w:t>
      </w:r>
      <w:r w:rsidR="00644D0E" w:rsidRPr="009158C8">
        <w:rPr>
          <w:sz w:val="24"/>
          <w:szCs w:val="24"/>
        </w:rPr>
        <w:t xml:space="preserve"> most progressive provisions of </w:t>
      </w:r>
      <w:r w:rsidR="001636E9" w:rsidRPr="009158C8">
        <w:rPr>
          <w:sz w:val="24"/>
          <w:szCs w:val="24"/>
        </w:rPr>
        <w:t xml:space="preserve">a </w:t>
      </w:r>
      <w:r w:rsidR="00644D0E" w:rsidRPr="009158C8">
        <w:rPr>
          <w:sz w:val="24"/>
          <w:szCs w:val="24"/>
        </w:rPr>
        <w:t>constitutionally-guaranteed right to health, justiciability remains significantly impeded by lack of resources, and a legacy of gross inequalit</w:t>
      </w:r>
      <w:r w:rsidR="002014F3" w:rsidRPr="009158C8">
        <w:rPr>
          <w:sz w:val="24"/>
          <w:szCs w:val="24"/>
        </w:rPr>
        <w:t>ies between groups and races</w:t>
      </w:r>
      <w:r w:rsidR="00A439E2" w:rsidRPr="009158C8">
        <w:rPr>
          <w:sz w:val="24"/>
          <w:szCs w:val="24"/>
        </w:rPr>
        <w:t>,</w:t>
      </w:r>
      <w:r w:rsidR="00A439E2" w:rsidRPr="009158C8">
        <w:rPr>
          <w:rStyle w:val="FootnoteReference"/>
          <w:sz w:val="24"/>
          <w:szCs w:val="24"/>
        </w:rPr>
        <w:footnoteReference w:id="38"/>
      </w:r>
      <w:r w:rsidR="00DF2D79" w:rsidRPr="009158C8">
        <w:rPr>
          <w:sz w:val="24"/>
          <w:szCs w:val="24"/>
        </w:rPr>
        <w:t xml:space="preserve"> </w:t>
      </w:r>
      <w:r w:rsidR="00764C56" w:rsidRPr="009158C8">
        <w:rPr>
          <w:sz w:val="24"/>
          <w:szCs w:val="24"/>
        </w:rPr>
        <w:t xml:space="preserve">characterized by </w:t>
      </w:r>
      <w:r w:rsidR="00644D0E" w:rsidRPr="009158C8">
        <w:rPr>
          <w:sz w:val="24"/>
          <w:szCs w:val="24"/>
        </w:rPr>
        <w:t>a “bureaucratic entanglement of racially and ethnically fragmented services; wasteful, inefficient and neglectful of the health of more than two-thirds of the population”</w:t>
      </w:r>
      <w:r w:rsidR="00A439E2" w:rsidRPr="009158C8">
        <w:rPr>
          <w:sz w:val="24"/>
          <w:szCs w:val="24"/>
        </w:rPr>
        <w:t>.</w:t>
      </w:r>
      <w:r w:rsidR="00A439E2" w:rsidRPr="009158C8">
        <w:rPr>
          <w:rStyle w:val="FootnoteReference"/>
          <w:sz w:val="24"/>
          <w:szCs w:val="24"/>
        </w:rPr>
        <w:footnoteReference w:id="39"/>
      </w:r>
      <w:r w:rsidR="00644D0E" w:rsidRPr="009158C8">
        <w:rPr>
          <w:sz w:val="24"/>
          <w:szCs w:val="24"/>
        </w:rPr>
        <w:t xml:space="preserve"> </w:t>
      </w:r>
      <w:r w:rsidR="008924E5" w:rsidRPr="009158C8">
        <w:rPr>
          <w:sz w:val="24"/>
          <w:szCs w:val="24"/>
        </w:rPr>
        <w:t xml:space="preserve">In recent years, a good number of scholars have explored pragmatic ways </w:t>
      </w:r>
      <w:r w:rsidR="00C23F13" w:rsidRPr="009158C8">
        <w:rPr>
          <w:sz w:val="24"/>
          <w:szCs w:val="24"/>
        </w:rPr>
        <w:t xml:space="preserve">to circumvent the </w:t>
      </w:r>
      <w:r w:rsidR="00C23F13" w:rsidRPr="009158C8">
        <w:rPr>
          <w:sz w:val="24"/>
          <w:szCs w:val="24"/>
        </w:rPr>
        <w:lastRenderedPageBreak/>
        <w:t>impediments to justiciability of economic, social and cultural rights</w:t>
      </w:r>
      <w:r w:rsidR="008924E5" w:rsidRPr="009158C8">
        <w:rPr>
          <w:sz w:val="24"/>
          <w:szCs w:val="24"/>
        </w:rPr>
        <w:t>, especially in Africa</w:t>
      </w:r>
      <w:r w:rsidR="00A439E2" w:rsidRPr="009158C8">
        <w:rPr>
          <w:sz w:val="24"/>
          <w:szCs w:val="24"/>
        </w:rPr>
        <w:t>.</w:t>
      </w:r>
      <w:r w:rsidR="00A439E2" w:rsidRPr="009158C8">
        <w:rPr>
          <w:rStyle w:val="FootnoteReference"/>
          <w:sz w:val="24"/>
          <w:szCs w:val="24"/>
        </w:rPr>
        <w:footnoteReference w:id="40"/>
      </w:r>
      <w:r w:rsidR="008924E5" w:rsidRPr="009158C8">
        <w:rPr>
          <w:sz w:val="24"/>
          <w:szCs w:val="24"/>
        </w:rPr>
        <w:t xml:space="preserve"> </w:t>
      </w:r>
      <w:r w:rsidR="009B3C2B" w:rsidRPr="009158C8">
        <w:rPr>
          <w:sz w:val="24"/>
          <w:szCs w:val="24"/>
        </w:rPr>
        <w:t>There are t</w:t>
      </w:r>
      <w:r w:rsidR="00C74B35" w:rsidRPr="009158C8">
        <w:rPr>
          <w:sz w:val="24"/>
          <w:szCs w:val="24"/>
        </w:rPr>
        <w:t xml:space="preserve">hree </w:t>
      </w:r>
      <w:r w:rsidR="009B3C2B" w:rsidRPr="009158C8">
        <w:rPr>
          <w:sz w:val="24"/>
          <w:szCs w:val="24"/>
        </w:rPr>
        <w:t>identifiable pathways in the struggle for realization of e</w:t>
      </w:r>
      <w:r w:rsidR="00145D9B" w:rsidRPr="009158C8">
        <w:rPr>
          <w:sz w:val="24"/>
          <w:szCs w:val="24"/>
        </w:rPr>
        <w:t>conomic, social and cultural</w:t>
      </w:r>
      <w:r w:rsidR="009B3C2B" w:rsidRPr="009158C8">
        <w:rPr>
          <w:sz w:val="24"/>
          <w:szCs w:val="24"/>
        </w:rPr>
        <w:t xml:space="preserve"> rights</w:t>
      </w:r>
      <w:r w:rsidR="00285506" w:rsidRPr="009158C8">
        <w:rPr>
          <w:sz w:val="24"/>
          <w:szCs w:val="24"/>
        </w:rPr>
        <w:t xml:space="preserve"> in human rights discourse and activism</w:t>
      </w:r>
      <w:r w:rsidR="00FE2772" w:rsidRPr="009158C8">
        <w:rPr>
          <w:sz w:val="24"/>
          <w:szCs w:val="24"/>
        </w:rPr>
        <w:t>.</w:t>
      </w:r>
      <w:r w:rsidR="00FE2772" w:rsidRPr="009158C8">
        <w:rPr>
          <w:rStyle w:val="FootnoteReference"/>
          <w:sz w:val="24"/>
          <w:szCs w:val="24"/>
        </w:rPr>
        <w:footnoteReference w:id="41"/>
      </w:r>
      <w:r w:rsidR="009B3C2B" w:rsidRPr="009158C8">
        <w:rPr>
          <w:sz w:val="24"/>
          <w:szCs w:val="24"/>
        </w:rPr>
        <w:t xml:space="preserve"> </w:t>
      </w:r>
      <w:r w:rsidR="00145D9B" w:rsidRPr="009158C8">
        <w:rPr>
          <w:sz w:val="24"/>
          <w:szCs w:val="24"/>
        </w:rPr>
        <w:t xml:space="preserve"> </w:t>
      </w:r>
      <w:r w:rsidR="00764BC9" w:rsidRPr="009158C8">
        <w:rPr>
          <w:sz w:val="24"/>
          <w:szCs w:val="24"/>
        </w:rPr>
        <w:t>The first</w:t>
      </w:r>
      <w:r w:rsidR="00042B26" w:rsidRPr="009158C8">
        <w:rPr>
          <w:sz w:val="24"/>
          <w:szCs w:val="24"/>
        </w:rPr>
        <w:t xml:space="preserve"> </w:t>
      </w:r>
      <w:r w:rsidR="00285506" w:rsidRPr="009158C8">
        <w:rPr>
          <w:sz w:val="24"/>
          <w:szCs w:val="24"/>
        </w:rPr>
        <w:t>tacitly characterizes economic, social and cultural rights (including aspects of the right to health</w:t>
      </w:r>
      <w:r w:rsidR="00764C56" w:rsidRPr="009158C8">
        <w:rPr>
          <w:sz w:val="24"/>
          <w:szCs w:val="24"/>
        </w:rPr>
        <w:t xml:space="preserve"> and RtD</w:t>
      </w:r>
      <w:r w:rsidR="00285506" w:rsidRPr="009158C8">
        <w:rPr>
          <w:sz w:val="24"/>
          <w:szCs w:val="24"/>
        </w:rPr>
        <w:t xml:space="preserve">) as </w:t>
      </w:r>
      <w:r w:rsidR="00207E1F" w:rsidRPr="009158C8">
        <w:rPr>
          <w:i/>
          <w:sz w:val="24"/>
          <w:szCs w:val="24"/>
        </w:rPr>
        <w:t>non-justicia</w:t>
      </w:r>
      <w:r w:rsidR="00764BC9" w:rsidRPr="009158C8">
        <w:rPr>
          <w:i/>
          <w:sz w:val="24"/>
          <w:szCs w:val="24"/>
        </w:rPr>
        <w:t>ble</w:t>
      </w:r>
      <w:r w:rsidR="00285506" w:rsidRPr="009158C8">
        <w:rPr>
          <w:sz w:val="24"/>
          <w:szCs w:val="24"/>
        </w:rPr>
        <w:t xml:space="preserve">. </w:t>
      </w:r>
      <w:r w:rsidR="005D05C4" w:rsidRPr="009158C8">
        <w:rPr>
          <w:sz w:val="24"/>
          <w:szCs w:val="24"/>
        </w:rPr>
        <w:t xml:space="preserve">The second </w:t>
      </w:r>
      <w:r w:rsidR="00285506" w:rsidRPr="009158C8">
        <w:rPr>
          <w:sz w:val="24"/>
          <w:szCs w:val="24"/>
        </w:rPr>
        <w:t xml:space="preserve">pathway, in principle, </w:t>
      </w:r>
      <w:r w:rsidR="005D05C4" w:rsidRPr="009158C8">
        <w:rPr>
          <w:sz w:val="24"/>
          <w:szCs w:val="24"/>
        </w:rPr>
        <w:t>do</w:t>
      </w:r>
      <w:r w:rsidR="00DF4C14" w:rsidRPr="009158C8">
        <w:rPr>
          <w:sz w:val="24"/>
          <w:szCs w:val="24"/>
        </w:rPr>
        <w:t>es</w:t>
      </w:r>
      <w:r w:rsidR="005D05C4" w:rsidRPr="009158C8">
        <w:rPr>
          <w:sz w:val="24"/>
          <w:szCs w:val="24"/>
        </w:rPr>
        <w:t xml:space="preserve"> not </w:t>
      </w:r>
      <w:r w:rsidR="00511DD3" w:rsidRPr="009158C8">
        <w:rPr>
          <w:sz w:val="24"/>
          <w:szCs w:val="24"/>
        </w:rPr>
        <w:t xml:space="preserve">simply </w:t>
      </w:r>
      <w:r w:rsidR="005D05C4" w:rsidRPr="009158C8">
        <w:rPr>
          <w:sz w:val="24"/>
          <w:szCs w:val="24"/>
        </w:rPr>
        <w:t xml:space="preserve">over-glorify the </w:t>
      </w:r>
      <w:r w:rsidR="00207E1F" w:rsidRPr="009158C8">
        <w:rPr>
          <w:i/>
          <w:sz w:val="24"/>
          <w:szCs w:val="24"/>
        </w:rPr>
        <w:t>justici</w:t>
      </w:r>
      <w:r w:rsidR="005D05C4" w:rsidRPr="009158C8">
        <w:rPr>
          <w:i/>
          <w:sz w:val="24"/>
          <w:szCs w:val="24"/>
        </w:rPr>
        <w:t>ability</w:t>
      </w:r>
      <w:r w:rsidR="005D05C4" w:rsidRPr="009158C8">
        <w:rPr>
          <w:sz w:val="24"/>
          <w:szCs w:val="24"/>
        </w:rPr>
        <w:t xml:space="preserve"> of </w:t>
      </w:r>
      <w:r w:rsidR="003E3F0F" w:rsidRPr="009158C8">
        <w:rPr>
          <w:sz w:val="24"/>
          <w:szCs w:val="24"/>
        </w:rPr>
        <w:t xml:space="preserve">civil and political rights over </w:t>
      </w:r>
      <w:r w:rsidR="00761A71" w:rsidRPr="009158C8">
        <w:rPr>
          <w:sz w:val="24"/>
          <w:szCs w:val="24"/>
        </w:rPr>
        <w:t xml:space="preserve">and above </w:t>
      </w:r>
      <w:r w:rsidR="00285506" w:rsidRPr="009158C8">
        <w:rPr>
          <w:sz w:val="24"/>
          <w:szCs w:val="24"/>
        </w:rPr>
        <w:t xml:space="preserve">economic, social and cultural </w:t>
      </w:r>
      <w:r w:rsidR="005D05C4" w:rsidRPr="009158C8">
        <w:rPr>
          <w:sz w:val="24"/>
          <w:szCs w:val="24"/>
        </w:rPr>
        <w:t>rights. In essence, while this dichotomy exists, a pragmatic interpretation of civil and political rights, especially the right to life, creates the necessary linkages between life and its essential necessities – h</w:t>
      </w:r>
      <w:r w:rsidR="00D457C3" w:rsidRPr="009158C8">
        <w:rPr>
          <w:sz w:val="24"/>
          <w:szCs w:val="24"/>
        </w:rPr>
        <w:t xml:space="preserve">ealth, food and water, housing and </w:t>
      </w:r>
      <w:r w:rsidR="00653DC8" w:rsidRPr="009158C8">
        <w:rPr>
          <w:sz w:val="24"/>
          <w:szCs w:val="24"/>
        </w:rPr>
        <w:t xml:space="preserve">shelter, </w:t>
      </w:r>
      <w:r w:rsidR="00D457C3" w:rsidRPr="009158C8">
        <w:rPr>
          <w:sz w:val="24"/>
          <w:szCs w:val="24"/>
        </w:rPr>
        <w:t xml:space="preserve">education, </w:t>
      </w:r>
      <w:r w:rsidR="00653DC8" w:rsidRPr="009158C8">
        <w:rPr>
          <w:sz w:val="24"/>
          <w:szCs w:val="24"/>
        </w:rPr>
        <w:t xml:space="preserve">and the </w:t>
      </w:r>
      <w:r w:rsidR="005D05C4" w:rsidRPr="009158C8">
        <w:rPr>
          <w:sz w:val="24"/>
          <w:szCs w:val="24"/>
        </w:rPr>
        <w:t>environment.</w:t>
      </w:r>
      <w:r w:rsidR="003E3F0F" w:rsidRPr="009158C8">
        <w:rPr>
          <w:sz w:val="24"/>
          <w:szCs w:val="24"/>
        </w:rPr>
        <w:t xml:space="preserve"> In this endeavor, a holistic, indivisible and inter-dependent human rights paradigm emerges since life is almost meaningless without food, good health, housing</w:t>
      </w:r>
      <w:r w:rsidR="00764C56" w:rsidRPr="009158C8">
        <w:rPr>
          <w:sz w:val="24"/>
          <w:szCs w:val="24"/>
        </w:rPr>
        <w:t xml:space="preserve"> and </w:t>
      </w:r>
      <w:r w:rsidR="006F1C64" w:rsidRPr="009158C8">
        <w:rPr>
          <w:sz w:val="24"/>
          <w:szCs w:val="24"/>
        </w:rPr>
        <w:t>other indices of development</w:t>
      </w:r>
      <w:r w:rsidR="003E3F0F" w:rsidRPr="009158C8">
        <w:rPr>
          <w:sz w:val="24"/>
          <w:szCs w:val="24"/>
        </w:rPr>
        <w:t>.</w:t>
      </w:r>
      <w:r w:rsidR="00285506" w:rsidRPr="009158C8">
        <w:rPr>
          <w:sz w:val="24"/>
          <w:szCs w:val="24"/>
        </w:rPr>
        <w:t xml:space="preserve"> Although this trend has gained traction recently across Africa because of a robust civil society activism </w:t>
      </w:r>
      <w:r w:rsidR="00D97F6E" w:rsidRPr="009158C8">
        <w:rPr>
          <w:sz w:val="24"/>
          <w:szCs w:val="24"/>
        </w:rPr>
        <w:t>and the emergent jurisprudence of the African Charter on Human and Peoples’ Rights</w:t>
      </w:r>
      <w:r w:rsidR="00FE41CA" w:rsidRPr="009158C8">
        <w:rPr>
          <w:sz w:val="24"/>
          <w:szCs w:val="24"/>
        </w:rPr>
        <w:t>,</w:t>
      </w:r>
      <w:r w:rsidR="00FE41CA" w:rsidRPr="009158C8">
        <w:rPr>
          <w:rStyle w:val="FootnoteReference"/>
          <w:sz w:val="24"/>
          <w:szCs w:val="24"/>
        </w:rPr>
        <w:footnoteReference w:id="42"/>
      </w:r>
      <w:r w:rsidR="00207E1F" w:rsidRPr="009158C8">
        <w:rPr>
          <w:sz w:val="24"/>
          <w:szCs w:val="24"/>
        </w:rPr>
        <w:t xml:space="preserve"> </w:t>
      </w:r>
      <w:r w:rsidR="00D97F6E" w:rsidRPr="009158C8">
        <w:rPr>
          <w:sz w:val="24"/>
          <w:szCs w:val="24"/>
        </w:rPr>
        <w:t xml:space="preserve">the </w:t>
      </w:r>
      <w:r w:rsidR="00285506" w:rsidRPr="009158C8">
        <w:rPr>
          <w:sz w:val="24"/>
          <w:szCs w:val="24"/>
        </w:rPr>
        <w:t>Indian Supreme Court</w:t>
      </w:r>
      <w:r w:rsidR="00D97F6E" w:rsidRPr="009158C8">
        <w:rPr>
          <w:sz w:val="24"/>
          <w:szCs w:val="24"/>
        </w:rPr>
        <w:t xml:space="preserve"> </w:t>
      </w:r>
      <w:r w:rsidR="00285506" w:rsidRPr="009158C8">
        <w:rPr>
          <w:sz w:val="24"/>
          <w:szCs w:val="24"/>
        </w:rPr>
        <w:t>championed this mode of judicial acti</w:t>
      </w:r>
      <w:r w:rsidR="00D97F6E" w:rsidRPr="009158C8">
        <w:rPr>
          <w:sz w:val="24"/>
          <w:szCs w:val="24"/>
        </w:rPr>
        <w:t>vism in interpreting non-justici</w:t>
      </w:r>
      <w:r w:rsidR="00285506" w:rsidRPr="009158C8">
        <w:rPr>
          <w:sz w:val="24"/>
          <w:szCs w:val="24"/>
        </w:rPr>
        <w:t xml:space="preserve">able rights in the Indian Constitution. </w:t>
      </w:r>
      <w:r w:rsidR="00653DC8" w:rsidRPr="009158C8">
        <w:rPr>
          <w:sz w:val="24"/>
          <w:szCs w:val="24"/>
        </w:rPr>
        <w:t xml:space="preserve">The third </w:t>
      </w:r>
      <w:r w:rsidR="00D97F6E" w:rsidRPr="009158C8">
        <w:rPr>
          <w:sz w:val="24"/>
          <w:szCs w:val="24"/>
        </w:rPr>
        <w:t xml:space="preserve">pathway is anchored on an </w:t>
      </w:r>
      <w:r w:rsidR="003E3F0F" w:rsidRPr="009158C8">
        <w:rPr>
          <w:sz w:val="24"/>
          <w:szCs w:val="24"/>
        </w:rPr>
        <w:t xml:space="preserve">express </w:t>
      </w:r>
      <w:r w:rsidR="00653DC8" w:rsidRPr="009158C8">
        <w:rPr>
          <w:sz w:val="24"/>
          <w:szCs w:val="24"/>
        </w:rPr>
        <w:t xml:space="preserve">codification of </w:t>
      </w:r>
      <w:r w:rsidR="00D97F6E" w:rsidRPr="009158C8">
        <w:rPr>
          <w:sz w:val="24"/>
          <w:szCs w:val="24"/>
        </w:rPr>
        <w:t xml:space="preserve">economic, social and cultural rights </w:t>
      </w:r>
      <w:r w:rsidR="00511DD3" w:rsidRPr="009158C8">
        <w:rPr>
          <w:sz w:val="24"/>
          <w:szCs w:val="24"/>
        </w:rPr>
        <w:t>(including the right to health</w:t>
      </w:r>
      <w:r w:rsidR="006F1C64" w:rsidRPr="009158C8">
        <w:rPr>
          <w:sz w:val="24"/>
          <w:szCs w:val="24"/>
        </w:rPr>
        <w:t xml:space="preserve"> including aspects of RtD</w:t>
      </w:r>
      <w:r w:rsidR="00511DD3" w:rsidRPr="009158C8">
        <w:rPr>
          <w:sz w:val="24"/>
          <w:szCs w:val="24"/>
        </w:rPr>
        <w:t xml:space="preserve">) </w:t>
      </w:r>
      <w:r w:rsidR="00D97F6E" w:rsidRPr="009158C8">
        <w:rPr>
          <w:sz w:val="24"/>
          <w:szCs w:val="24"/>
        </w:rPr>
        <w:t xml:space="preserve">as </w:t>
      </w:r>
      <w:r w:rsidR="00DF4C14" w:rsidRPr="009158C8">
        <w:rPr>
          <w:sz w:val="24"/>
          <w:szCs w:val="24"/>
        </w:rPr>
        <w:t xml:space="preserve">legally </w:t>
      </w:r>
      <w:r w:rsidR="00D97F6E" w:rsidRPr="009158C8">
        <w:rPr>
          <w:i/>
          <w:sz w:val="24"/>
          <w:szCs w:val="24"/>
        </w:rPr>
        <w:t>justici</w:t>
      </w:r>
      <w:r w:rsidR="00DF4C14" w:rsidRPr="009158C8">
        <w:rPr>
          <w:i/>
          <w:sz w:val="24"/>
          <w:szCs w:val="24"/>
        </w:rPr>
        <w:t>able</w:t>
      </w:r>
      <w:r w:rsidR="00DF4C14" w:rsidRPr="009158C8">
        <w:rPr>
          <w:sz w:val="24"/>
          <w:szCs w:val="24"/>
        </w:rPr>
        <w:t xml:space="preserve"> ri</w:t>
      </w:r>
      <w:r w:rsidR="00924DF6" w:rsidRPr="009158C8">
        <w:rPr>
          <w:sz w:val="24"/>
          <w:szCs w:val="24"/>
        </w:rPr>
        <w:t>ght</w:t>
      </w:r>
      <w:r w:rsidR="00D97F6E" w:rsidRPr="009158C8">
        <w:rPr>
          <w:sz w:val="24"/>
          <w:szCs w:val="24"/>
        </w:rPr>
        <w:t xml:space="preserve">s. The South African Constitution, for example, provides </w:t>
      </w:r>
      <w:r w:rsidR="007B55A6" w:rsidRPr="009158C8">
        <w:rPr>
          <w:sz w:val="24"/>
          <w:szCs w:val="24"/>
        </w:rPr>
        <w:t xml:space="preserve">for </w:t>
      </w:r>
      <w:r w:rsidR="00226035" w:rsidRPr="009158C8">
        <w:rPr>
          <w:sz w:val="24"/>
          <w:szCs w:val="24"/>
        </w:rPr>
        <w:t>health, housing, an</w:t>
      </w:r>
      <w:r w:rsidR="00D97F6E" w:rsidRPr="009158C8">
        <w:rPr>
          <w:sz w:val="24"/>
          <w:szCs w:val="24"/>
        </w:rPr>
        <w:t xml:space="preserve">d environment as </w:t>
      </w:r>
      <w:proofErr w:type="gramStart"/>
      <w:r w:rsidR="00D97F6E" w:rsidRPr="009158C8">
        <w:rPr>
          <w:sz w:val="24"/>
          <w:szCs w:val="24"/>
        </w:rPr>
        <w:t>legally-justici</w:t>
      </w:r>
      <w:r w:rsidR="00226035" w:rsidRPr="009158C8">
        <w:rPr>
          <w:sz w:val="24"/>
          <w:szCs w:val="24"/>
        </w:rPr>
        <w:t>able</w:t>
      </w:r>
      <w:proofErr w:type="gramEnd"/>
      <w:r w:rsidR="00226035" w:rsidRPr="009158C8">
        <w:rPr>
          <w:sz w:val="24"/>
          <w:szCs w:val="24"/>
        </w:rPr>
        <w:t xml:space="preserve"> rights</w:t>
      </w:r>
      <w:r w:rsidR="00F20DDC" w:rsidRPr="009158C8">
        <w:rPr>
          <w:sz w:val="24"/>
          <w:szCs w:val="24"/>
        </w:rPr>
        <w:t>.</w:t>
      </w:r>
      <w:r w:rsidR="00F20DDC" w:rsidRPr="009158C8">
        <w:rPr>
          <w:rStyle w:val="FootnoteReference"/>
          <w:sz w:val="24"/>
          <w:szCs w:val="24"/>
        </w:rPr>
        <w:footnoteReference w:id="43"/>
      </w:r>
      <w:r w:rsidR="00D97F6E" w:rsidRPr="009158C8">
        <w:rPr>
          <w:sz w:val="24"/>
          <w:szCs w:val="24"/>
        </w:rPr>
        <w:t xml:space="preserve"> </w:t>
      </w:r>
      <w:r w:rsidR="00207E1F" w:rsidRPr="009158C8">
        <w:rPr>
          <w:sz w:val="24"/>
          <w:szCs w:val="24"/>
        </w:rPr>
        <w:t>Circumventing the impediments to justiciability of the right to health in most countries would generally oscillate between these three dominant modes depending on the constitutional or other legislative provisions of the particular country.</w:t>
      </w:r>
      <w:r w:rsidR="007E1FE8" w:rsidRPr="009158C8">
        <w:rPr>
          <w:sz w:val="24"/>
          <w:szCs w:val="24"/>
        </w:rPr>
        <w:t xml:space="preserve"> In the South African case of </w:t>
      </w:r>
      <w:r w:rsidR="007E1FE8" w:rsidRPr="009158C8">
        <w:rPr>
          <w:i/>
          <w:sz w:val="24"/>
          <w:szCs w:val="24"/>
        </w:rPr>
        <w:t>S</w:t>
      </w:r>
      <w:r w:rsidR="007E1FE8" w:rsidRPr="009158C8">
        <w:rPr>
          <w:sz w:val="24"/>
          <w:szCs w:val="24"/>
        </w:rPr>
        <w:t xml:space="preserve"> v </w:t>
      </w:r>
      <w:proofErr w:type="spellStart"/>
      <w:r w:rsidR="007E1FE8" w:rsidRPr="009158C8">
        <w:rPr>
          <w:i/>
          <w:sz w:val="24"/>
          <w:szCs w:val="24"/>
        </w:rPr>
        <w:t>Makwanyane</w:t>
      </w:r>
      <w:proofErr w:type="spellEnd"/>
      <w:r w:rsidR="007E1FE8" w:rsidRPr="009158C8">
        <w:rPr>
          <w:sz w:val="24"/>
          <w:szCs w:val="24"/>
        </w:rPr>
        <w:t>, Chief Justice Chaskalson (then of the Constitutional Court) stated that;</w:t>
      </w:r>
    </w:p>
    <w:p w14:paraId="56ADC1C8" w14:textId="77777777" w:rsidR="007E1FE8" w:rsidRPr="009158C8" w:rsidRDefault="007E1FE8" w:rsidP="002A190B">
      <w:pPr>
        <w:pStyle w:val="FootnoteText"/>
        <w:ind w:firstLine="720"/>
        <w:rPr>
          <w:sz w:val="24"/>
          <w:szCs w:val="24"/>
        </w:rPr>
      </w:pPr>
    </w:p>
    <w:p w14:paraId="62F00034" w14:textId="77777777" w:rsidR="00207E1F" w:rsidRPr="009158C8" w:rsidRDefault="007E1FE8" w:rsidP="002A190B">
      <w:pPr>
        <w:pStyle w:val="FootnoteText"/>
        <w:ind w:left="964" w:right="964"/>
        <w:jc w:val="both"/>
        <w:rPr>
          <w:sz w:val="24"/>
          <w:szCs w:val="24"/>
        </w:rPr>
      </w:pPr>
      <w:r w:rsidRPr="009158C8">
        <w:rPr>
          <w:sz w:val="24"/>
          <w:szCs w:val="24"/>
        </w:rPr>
        <w:t xml:space="preserve">Public international law would include non-binding as well as binding law. They may both be used under the section as tools of interpretation. International agreements and customary international law accordingly provide a framework within which [the Bill of Rights] can be evaluated and understood, and for that purpose, decisions of tribunals dealing with comparable instruments, such as the United Nations Committee on Human Rights, and the European Court of Human Rights, the European Commission on Human Rights, the Inter-American Court of Human Rights, and, in appropriate cases, reports of </w:t>
      </w:r>
      <w:proofErr w:type="spellStart"/>
      <w:r w:rsidRPr="009158C8">
        <w:rPr>
          <w:sz w:val="24"/>
          <w:szCs w:val="24"/>
        </w:rPr>
        <w:t>specialised</w:t>
      </w:r>
      <w:proofErr w:type="spellEnd"/>
      <w:r w:rsidRPr="009158C8">
        <w:rPr>
          <w:sz w:val="24"/>
          <w:szCs w:val="24"/>
        </w:rPr>
        <w:t xml:space="preserve"> agencies such as the International </w:t>
      </w:r>
      <w:proofErr w:type="spellStart"/>
      <w:r w:rsidRPr="009158C8">
        <w:rPr>
          <w:sz w:val="24"/>
          <w:szCs w:val="24"/>
        </w:rPr>
        <w:t>Labour</w:t>
      </w:r>
      <w:proofErr w:type="spellEnd"/>
      <w:r w:rsidRPr="009158C8">
        <w:rPr>
          <w:sz w:val="24"/>
          <w:szCs w:val="24"/>
        </w:rPr>
        <w:t xml:space="preserve"> </w:t>
      </w:r>
      <w:proofErr w:type="spellStart"/>
      <w:r w:rsidRPr="009158C8">
        <w:rPr>
          <w:sz w:val="24"/>
          <w:szCs w:val="24"/>
        </w:rPr>
        <w:t>Organisation</w:t>
      </w:r>
      <w:proofErr w:type="spellEnd"/>
      <w:r w:rsidRPr="009158C8">
        <w:rPr>
          <w:sz w:val="24"/>
          <w:szCs w:val="24"/>
        </w:rPr>
        <w:t>, may provide guidance as to the correct interpretation of the provisions of [the Bill of Rights]</w:t>
      </w:r>
      <w:r w:rsidR="00F86CB1" w:rsidRPr="009158C8">
        <w:rPr>
          <w:sz w:val="24"/>
          <w:szCs w:val="24"/>
        </w:rPr>
        <w:t>.</w:t>
      </w:r>
      <w:r w:rsidRPr="009158C8">
        <w:rPr>
          <w:sz w:val="24"/>
          <w:szCs w:val="24"/>
          <w:vertAlign w:val="superscript"/>
        </w:rPr>
        <w:footnoteReference w:id="44"/>
      </w:r>
    </w:p>
    <w:p w14:paraId="2C44AFF8" w14:textId="77777777" w:rsidR="002872BB" w:rsidRPr="009158C8" w:rsidRDefault="002872BB" w:rsidP="002A190B">
      <w:pPr>
        <w:pStyle w:val="FootnoteText"/>
        <w:ind w:left="964" w:right="964"/>
        <w:jc w:val="both"/>
        <w:rPr>
          <w:sz w:val="24"/>
          <w:szCs w:val="24"/>
        </w:rPr>
      </w:pPr>
    </w:p>
    <w:p w14:paraId="621F9834" w14:textId="77777777" w:rsidR="00207E1F" w:rsidRPr="009158C8" w:rsidRDefault="00F05648" w:rsidP="002A190B">
      <w:pPr>
        <w:pStyle w:val="FootnoteText"/>
        <w:jc w:val="both"/>
        <w:rPr>
          <w:sz w:val="24"/>
          <w:szCs w:val="24"/>
        </w:rPr>
      </w:pPr>
      <w:r w:rsidRPr="009158C8">
        <w:rPr>
          <w:sz w:val="24"/>
          <w:szCs w:val="24"/>
        </w:rPr>
        <w:t>Circumventing the justiciability im</w:t>
      </w:r>
      <w:r w:rsidR="00EE04EE" w:rsidRPr="009158C8">
        <w:rPr>
          <w:sz w:val="24"/>
          <w:szCs w:val="24"/>
        </w:rPr>
        <w:t xml:space="preserve">pediments to right to health </w:t>
      </w:r>
      <w:r w:rsidR="006F1C64" w:rsidRPr="009158C8">
        <w:rPr>
          <w:sz w:val="24"/>
          <w:szCs w:val="24"/>
        </w:rPr>
        <w:t xml:space="preserve">and health-related aspects of RtD </w:t>
      </w:r>
      <w:r w:rsidR="00EE04EE" w:rsidRPr="009158C8">
        <w:rPr>
          <w:sz w:val="24"/>
          <w:szCs w:val="24"/>
        </w:rPr>
        <w:t xml:space="preserve">in </w:t>
      </w:r>
      <w:r w:rsidRPr="009158C8">
        <w:rPr>
          <w:sz w:val="24"/>
          <w:szCs w:val="24"/>
        </w:rPr>
        <w:t xml:space="preserve">international human rights treaties is much more complicated. </w:t>
      </w:r>
      <w:proofErr w:type="gramStart"/>
      <w:r w:rsidRPr="009158C8">
        <w:rPr>
          <w:sz w:val="24"/>
          <w:szCs w:val="24"/>
        </w:rPr>
        <w:t>With the exception</w:t>
      </w:r>
      <w:r w:rsidR="006F1C64" w:rsidRPr="009158C8">
        <w:rPr>
          <w:sz w:val="24"/>
          <w:szCs w:val="24"/>
        </w:rPr>
        <w:t xml:space="preserve"> </w:t>
      </w:r>
      <w:r w:rsidRPr="009158C8">
        <w:rPr>
          <w:sz w:val="24"/>
          <w:szCs w:val="24"/>
        </w:rPr>
        <w:t>of</w:t>
      </w:r>
      <w:proofErr w:type="gramEnd"/>
      <w:r w:rsidRPr="009158C8">
        <w:rPr>
          <w:sz w:val="24"/>
          <w:szCs w:val="24"/>
        </w:rPr>
        <w:t xml:space="preserve"> the few </w:t>
      </w:r>
      <w:r w:rsidRPr="009158C8">
        <w:rPr>
          <w:sz w:val="24"/>
          <w:szCs w:val="24"/>
        </w:rPr>
        <w:lastRenderedPageBreak/>
        <w:t xml:space="preserve">regional human rights systems with judicial or quasi-judicial institutions for the </w:t>
      </w:r>
      <w:r w:rsidR="00EE04EE" w:rsidRPr="009158C8">
        <w:rPr>
          <w:sz w:val="24"/>
          <w:szCs w:val="24"/>
        </w:rPr>
        <w:t xml:space="preserve">enforcement or </w:t>
      </w:r>
      <w:r w:rsidRPr="009158C8">
        <w:rPr>
          <w:sz w:val="24"/>
          <w:szCs w:val="24"/>
        </w:rPr>
        <w:t xml:space="preserve">realization of </w:t>
      </w:r>
      <w:r w:rsidR="00FC55E5" w:rsidRPr="009158C8">
        <w:rPr>
          <w:sz w:val="24"/>
          <w:szCs w:val="24"/>
        </w:rPr>
        <w:t xml:space="preserve">the </w:t>
      </w:r>
      <w:r w:rsidRPr="009158C8">
        <w:rPr>
          <w:sz w:val="24"/>
          <w:szCs w:val="24"/>
        </w:rPr>
        <w:t xml:space="preserve">right to health enshrined in regional treaties and charters, most efforts are concentrated on the “progressive realization” of economic, social and cultural rights. </w:t>
      </w:r>
      <w:r w:rsidR="00307D6A" w:rsidRPr="009158C8">
        <w:rPr>
          <w:sz w:val="24"/>
          <w:szCs w:val="24"/>
        </w:rPr>
        <w:t xml:space="preserve">Since the adoption of the </w:t>
      </w:r>
      <w:r w:rsidR="00805DE1" w:rsidRPr="009158C8">
        <w:rPr>
          <w:sz w:val="24"/>
          <w:szCs w:val="24"/>
        </w:rPr>
        <w:t>ICESCR</w:t>
      </w:r>
      <w:r w:rsidR="00307D6A" w:rsidRPr="009158C8">
        <w:rPr>
          <w:sz w:val="24"/>
          <w:szCs w:val="24"/>
        </w:rPr>
        <w:t xml:space="preserve"> in 1966, the meaning, scope and operational dynamics of the right to health enshrined in Articles 2(1) and 12 </w:t>
      </w:r>
      <w:r w:rsidR="00805DE1" w:rsidRPr="009158C8">
        <w:rPr>
          <w:sz w:val="24"/>
          <w:szCs w:val="24"/>
        </w:rPr>
        <w:t>thereof</w:t>
      </w:r>
      <w:r w:rsidR="00307D6A" w:rsidRPr="009158C8">
        <w:rPr>
          <w:sz w:val="24"/>
          <w:szCs w:val="24"/>
        </w:rPr>
        <w:t xml:space="preserve"> have raised complicated questions. </w:t>
      </w:r>
      <w:r w:rsidR="007248B2" w:rsidRPr="009158C8">
        <w:rPr>
          <w:sz w:val="24"/>
          <w:szCs w:val="24"/>
        </w:rPr>
        <w:t>Given the economic disparities between countries, does the financial, technical or economic handicap of the developing and least developed countries impede the progressive realization of the right to health? If so, do the rich and industrialized countries owe any duty or obligation under international (human rights) law to commit financial and economic resources towards the promotion of health in developing countries? Does Article 2 of the ICESCR</w:t>
      </w:r>
      <w:r w:rsidR="005873AC" w:rsidRPr="009158C8">
        <w:rPr>
          <w:sz w:val="24"/>
          <w:szCs w:val="24"/>
        </w:rPr>
        <w:t xml:space="preserve"> imply</w:t>
      </w:r>
      <w:r w:rsidR="007248B2" w:rsidRPr="009158C8">
        <w:rPr>
          <w:sz w:val="24"/>
          <w:szCs w:val="24"/>
        </w:rPr>
        <w:t xml:space="preserve"> that countries do have any obligation(s) to promote health abroad? </w:t>
      </w:r>
      <w:r w:rsidR="00385507" w:rsidRPr="009158C8">
        <w:rPr>
          <w:sz w:val="24"/>
          <w:szCs w:val="24"/>
        </w:rPr>
        <w:t xml:space="preserve">Given the realities of </w:t>
      </w:r>
      <w:r w:rsidR="00805DE1" w:rsidRPr="009158C8">
        <w:rPr>
          <w:sz w:val="24"/>
          <w:szCs w:val="24"/>
        </w:rPr>
        <w:t>S</w:t>
      </w:r>
      <w:r w:rsidR="00D00426" w:rsidRPr="009158C8">
        <w:rPr>
          <w:sz w:val="24"/>
          <w:szCs w:val="24"/>
        </w:rPr>
        <w:t xml:space="preserve">tate sovereignty </w:t>
      </w:r>
      <w:r w:rsidR="00385507" w:rsidRPr="009158C8">
        <w:rPr>
          <w:sz w:val="24"/>
          <w:szCs w:val="24"/>
        </w:rPr>
        <w:t xml:space="preserve">in the contemporary </w:t>
      </w:r>
      <w:r w:rsidR="00D00426" w:rsidRPr="009158C8">
        <w:rPr>
          <w:sz w:val="24"/>
          <w:szCs w:val="24"/>
        </w:rPr>
        <w:t>international system,</w:t>
      </w:r>
      <w:r w:rsidR="005873AC" w:rsidRPr="009158C8">
        <w:rPr>
          <w:sz w:val="24"/>
          <w:szCs w:val="24"/>
        </w:rPr>
        <w:t xml:space="preserve"> many would argue that</w:t>
      </w:r>
      <w:r w:rsidR="00D00426" w:rsidRPr="009158C8">
        <w:rPr>
          <w:sz w:val="24"/>
          <w:szCs w:val="24"/>
        </w:rPr>
        <w:t xml:space="preserve"> these obligation(s) (if any) are moral rather than legal.</w:t>
      </w:r>
      <w:r w:rsidR="0068715E" w:rsidRPr="009158C8">
        <w:rPr>
          <w:sz w:val="24"/>
          <w:szCs w:val="24"/>
        </w:rPr>
        <w:t xml:space="preserve"> On the other hand, the Maastricht Principles on Extraterritorial Obligations of States in the Area of Economic, Social and Cultural Rights, 2011, adopted under the aegis of the International Commission of Jurists interprets the ICESCR as imposing clear extraterritorial obligations to respect, protect as well as fulfill economic, social and cultural rights on States.</w:t>
      </w:r>
      <w:r w:rsidR="00805DE1" w:rsidRPr="009158C8">
        <w:rPr>
          <w:rStyle w:val="FootnoteReference"/>
          <w:sz w:val="24"/>
          <w:szCs w:val="24"/>
        </w:rPr>
        <w:footnoteReference w:id="45"/>
      </w:r>
      <w:r w:rsidR="0068715E" w:rsidRPr="009158C8">
        <w:rPr>
          <w:sz w:val="24"/>
          <w:szCs w:val="24"/>
        </w:rPr>
        <w:t xml:space="preserve"> </w:t>
      </w:r>
      <w:r w:rsidR="00D00426" w:rsidRPr="009158C8">
        <w:rPr>
          <w:sz w:val="24"/>
          <w:szCs w:val="24"/>
        </w:rPr>
        <w:t xml:space="preserve">Article 2(1) of ICESCR has </w:t>
      </w:r>
      <w:r w:rsidR="0068715E" w:rsidRPr="009158C8">
        <w:rPr>
          <w:sz w:val="24"/>
          <w:szCs w:val="24"/>
        </w:rPr>
        <w:t xml:space="preserve">also </w:t>
      </w:r>
      <w:r w:rsidR="00D00426" w:rsidRPr="009158C8">
        <w:rPr>
          <w:sz w:val="24"/>
          <w:szCs w:val="24"/>
        </w:rPr>
        <w:t>been criticized as vague and imprecise</w:t>
      </w:r>
      <w:r w:rsidR="00085CF7" w:rsidRPr="009158C8">
        <w:rPr>
          <w:sz w:val="24"/>
          <w:szCs w:val="24"/>
        </w:rPr>
        <w:t xml:space="preserve">, especially the obligation </w:t>
      </w:r>
      <w:r w:rsidR="00511DD3" w:rsidRPr="009158C8">
        <w:rPr>
          <w:sz w:val="24"/>
          <w:szCs w:val="24"/>
        </w:rPr>
        <w:t xml:space="preserve">on </w:t>
      </w:r>
      <w:r w:rsidR="0068715E" w:rsidRPr="009158C8">
        <w:rPr>
          <w:sz w:val="24"/>
          <w:szCs w:val="24"/>
        </w:rPr>
        <w:t>a S</w:t>
      </w:r>
      <w:r w:rsidR="00085CF7" w:rsidRPr="009158C8">
        <w:rPr>
          <w:sz w:val="24"/>
          <w:szCs w:val="24"/>
        </w:rPr>
        <w:t xml:space="preserve">tate party </w:t>
      </w:r>
      <w:r w:rsidR="00511DD3" w:rsidRPr="009158C8">
        <w:rPr>
          <w:sz w:val="24"/>
          <w:szCs w:val="24"/>
        </w:rPr>
        <w:t xml:space="preserve">to </w:t>
      </w:r>
      <w:r w:rsidR="00085CF7" w:rsidRPr="009158C8">
        <w:rPr>
          <w:sz w:val="24"/>
          <w:szCs w:val="24"/>
        </w:rPr>
        <w:t>“take steps…to the maximum of its available resources, with a view to achieving progressively the full realization of the rights recognized in the present covenant</w:t>
      </w:r>
      <w:r w:rsidR="00D00426" w:rsidRPr="009158C8">
        <w:rPr>
          <w:sz w:val="24"/>
          <w:szCs w:val="24"/>
        </w:rPr>
        <w:t>.</w:t>
      </w:r>
      <w:r w:rsidR="00085CF7" w:rsidRPr="009158C8">
        <w:rPr>
          <w:sz w:val="24"/>
          <w:szCs w:val="24"/>
        </w:rPr>
        <w:t>”</w:t>
      </w:r>
      <w:r w:rsidR="00D00426" w:rsidRPr="009158C8">
        <w:rPr>
          <w:sz w:val="24"/>
          <w:szCs w:val="24"/>
        </w:rPr>
        <w:t xml:space="preserve"> According to </w:t>
      </w:r>
      <w:r w:rsidR="005873AC" w:rsidRPr="009158C8">
        <w:rPr>
          <w:sz w:val="24"/>
          <w:szCs w:val="24"/>
        </w:rPr>
        <w:t>Robertson</w:t>
      </w:r>
      <w:r w:rsidR="00165F55" w:rsidRPr="009158C8">
        <w:rPr>
          <w:sz w:val="24"/>
          <w:szCs w:val="24"/>
        </w:rPr>
        <w:t>,</w:t>
      </w:r>
      <w:r w:rsidR="005873AC" w:rsidRPr="009158C8">
        <w:rPr>
          <w:sz w:val="24"/>
          <w:szCs w:val="24"/>
        </w:rPr>
        <w:t xml:space="preserve"> </w:t>
      </w:r>
      <w:r w:rsidR="00085CF7" w:rsidRPr="009158C8">
        <w:rPr>
          <w:sz w:val="24"/>
          <w:szCs w:val="24"/>
        </w:rPr>
        <w:t>“maximum of its available resources”</w:t>
      </w:r>
      <w:r w:rsidR="00385507" w:rsidRPr="009158C8">
        <w:rPr>
          <w:sz w:val="24"/>
          <w:szCs w:val="24"/>
        </w:rPr>
        <w:t>,</w:t>
      </w:r>
      <w:r w:rsidR="00085CF7" w:rsidRPr="009158C8">
        <w:rPr>
          <w:sz w:val="24"/>
          <w:szCs w:val="24"/>
        </w:rPr>
        <w:t xml:space="preserve"> is “a difficult phrase of two warring adjectives describing an undefined noun. </w:t>
      </w:r>
      <w:r w:rsidR="00385507" w:rsidRPr="009158C8">
        <w:rPr>
          <w:sz w:val="24"/>
          <w:szCs w:val="24"/>
        </w:rPr>
        <w:t>‘Maximum’ stands for idealism and ‘available’ is th</w:t>
      </w:r>
      <w:r w:rsidR="00165F55" w:rsidRPr="009158C8">
        <w:rPr>
          <w:sz w:val="24"/>
          <w:szCs w:val="24"/>
        </w:rPr>
        <w:t>e wiggle room for the state</w:t>
      </w:r>
      <w:r w:rsidR="00385507" w:rsidRPr="009158C8">
        <w:rPr>
          <w:sz w:val="24"/>
          <w:szCs w:val="24"/>
        </w:rPr>
        <w:t>”</w:t>
      </w:r>
      <w:r w:rsidR="00165F55" w:rsidRPr="009158C8">
        <w:rPr>
          <w:sz w:val="24"/>
          <w:szCs w:val="24"/>
        </w:rPr>
        <w:t>.</w:t>
      </w:r>
      <w:r w:rsidR="00165F55" w:rsidRPr="009158C8">
        <w:rPr>
          <w:rStyle w:val="FootnoteReference"/>
          <w:sz w:val="24"/>
          <w:szCs w:val="24"/>
        </w:rPr>
        <w:footnoteReference w:id="46"/>
      </w:r>
      <w:r w:rsidR="005D21C6" w:rsidRPr="009158C8">
        <w:rPr>
          <w:sz w:val="24"/>
          <w:szCs w:val="24"/>
        </w:rPr>
        <w:t xml:space="preserve"> </w:t>
      </w:r>
      <w:r w:rsidR="00E62563" w:rsidRPr="009158C8">
        <w:rPr>
          <w:sz w:val="24"/>
          <w:szCs w:val="24"/>
        </w:rPr>
        <w:t xml:space="preserve">In the spirit of mutual interdependence of </w:t>
      </w:r>
      <w:r w:rsidR="005873AC" w:rsidRPr="009158C8">
        <w:rPr>
          <w:sz w:val="24"/>
          <w:szCs w:val="24"/>
        </w:rPr>
        <w:t>S</w:t>
      </w:r>
      <w:r w:rsidR="00E62563" w:rsidRPr="009158C8">
        <w:rPr>
          <w:sz w:val="24"/>
          <w:szCs w:val="24"/>
        </w:rPr>
        <w:t>tates, t</w:t>
      </w:r>
      <w:r w:rsidR="005D21C6" w:rsidRPr="009158C8">
        <w:rPr>
          <w:sz w:val="24"/>
          <w:szCs w:val="24"/>
        </w:rPr>
        <w:t xml:space="preserve">he duty towards international cooperation is unambiguous in </w:t>
      </w:r>
      <w:r w:rsidR="00E62563" w:rsidRPr="009158C8">
        <w:rPr>
          <w:sz w:val="24"/>
          <w:szCs w:val="24"/>
        </w:rPr>
        <w:t>Article 3(3) and 4(1) of the D</w:t>
      </w:r>
      <w:r w:rsidR="005873AC" w:rsidRPr="009158C8">
        <w:rPr>
          <w:sz w:val="24"/>
          <w:szCs w:val="24"/>
        </w:rPr>
        <w:t>RTD</w:t>
      </w:r>
      <w:r w:rsidR="00E62563" w:rsidRPr="009158C8">
        <w:rPr>
          <w:sz w:val="24"/>
          <w:szCs w:val="24"/>
        </w:rPr>
        <w:t xml:space="preserve">. This is reaffirmed by the 2030 Agenda with </w:t>
      </w:r>
      <w:r w:rsidR="005873AC" w:rsidRPr="009158C8">
        <w:rPr>
          <w:sz w:val="24"/>
          <w:szCs w:val="24"/>
        </w:rPr>
        <w:t>SDG</w:t>
      </w:r>
      <w:r w:rsidR="00E62563" w:rsidRPr="009158C8">
        <w:rPr>
          <w:sz w:val="24"/>
          <w:szCs w:val="24"/>
        </w:rPr>
        <w:t xml:space="preserve"> 17 focusing on strengthening the means of implement</w:t>
      </w:r>
      <w:r w:rsidR="00087713" w:rsidRPr="009158C8">
        <w:rPr>
          <w:sz w:val="24"/>
          <w:szCs w:val="24"/>
        </w:rPr>
        <w:t>ation</w:t>
      </w:r>
      <w:r w:rsidR="00E62563" w:rsidRPr="009158C8">
        <w:rPr>
          <w:sz w:val="24"/>
          <w:szCs w:val="24"/>
        </w:rPr>
        <w:t xml:space="preserve"> and revitalizing </w:t>
      </w:r>
      <w:r w:rsidR="00087713" w:rsidRPr="009158C8">
        <w:rPr>
          <w:sz w:val="24"/>
          <w:szCs w:val="24"/>
        </w:rPr>
        <w:t xml:space="preserve">the </w:t>
      </w:r>
      <w:r w:rsidR="00E62563" w:rsidRPr="009158C8">
        <w:rPr>
          <w:sz w:val="24"/>
          <w:szCs w:val="24"/>
        </w:rPr>
        <w:t>global partnership for sustainable development.</w:t>
      </w:r>
    </w:p>
    <w:p w14:paraId="711EFE4B" w14:textId="77777777" w:rsidR="005873AC" w:rsidRPr="009158C8" w:rsidRDefault="005873AC" w:rsidP="002A190B">
      <w:pPr>
        <w:pStyle w:val="FootnoteText"/>
        <w:jc w:val="both"/>
        <w:rPr>
          <w:sz w:val="24"/>
          <w:szCs w:val="24"/>
        </w:rPr>
      </w:pPr>
    </w:p>
    <w:p w14:paraId="4D0E89AB" w14:textId="77777777" w:rsidR="006B5EF2" w:rsidRPr="009158C8" w:rsidRDefault="00B90337" w:rsidP="002A190B">
      <w:pPr>
        <w:pStyle w:val="FootnoteText"/>
        <w:jc w:val="both"/>
        <w:rPr>
          <w:sz w:val="24"/>
          <w:szCs w:val="24"/>
          <w:lang w:val="en-MY"/>
        </w:rPr>
      </w:pPr>
      <w:r w:rsidRPr="009158C8">
        <w:rPr>
          <w:sz w:val="24"/>
          <w:szCs w:val="24"/>
        </w:rPr>
        <w:t xml:space="preserve">Beyond the narrow </w:t>
      </w:r>
      <w:r w:rsidR="003B1210" w:rsidRPr="009158C8">
        <w:rPr>
          <w:sz w:val="24"/>
          <w:szCs w:val="24"/>
        </w:rPr>
        <w:t xml:space="preserve">confines </w:t>
      </w:r>
      <w:r w:rsidRPr="009158C8">
        <w:rPr>
          <w:sz w:val="24"/>
          <w:szCs w:val="24"/>
        </w:rPr>
        <w:t xml:space="preserve">of justiciability, </w:t>
      </w:r>
      <w:r w:rsidR="003B1210" w:rsidRPr="009158C8">
        <w:rPr>
          <w:sz w:val="24"/>
          <w:szCs w:val="24"/>
        </w:rPr>
        <w:t xml:space="preserve">efforts at </w:t>
      </w:r>
      <w:r w:rsidRPr="009158C8">
        <w:rPr>
          <w:sz w:val="24"/>
          <w:szCs w:val="24"/>
        </w:rPr>
        <w:t xml:space="preserve">the progressive realization of the right to </w:t>
      </w:r>
      <w:r w:rsidR="003B1210" w:rsidRPr="009158C8">
        <w:rPr>
          <w:sz w:val="24"/>
          <w:szCs w:val="24"/>
        </w:rPr>
        <w:t xml:space="preserve">health in Article 12 of </w:t>
      </w:r>
      <w:r w:rsidR="00B3716F" w:rsidRPr="009158C8">
        <w:rPr>
          <w:sz w:val="24"/>
          <w:szCs w:val="24"/>
        </w:rPr>
        <w:t xml:space="preserve">the </w:t>
      </w:r>
      <w:r w:rsidR="003B1210" w:rsidRPr="009158C8">
        <w:rPr>
          <w:sz w:val="24"/>
          <w:szCs w:val="24"/>
        </w:rPr>
        <w:t xml:space="preserve">ICESCR have focused on </w:t>
      </w:r>
      <w:r w:rsidR="00B40FB4" w:rsidRPr="009158C8">
        <w:rPr>
          <w:sz w:val="24"/>
          <w:szCs w:val="24"/>
        </w:rPr>
        <w:t xml:space="preserve">developing </w:t>
      </w:r>
      <w:r w:rsidR="003B1210" w:rsidRPr="009158C8">
        <w:rPr>
          <w:sz w:val="24"/>
          <w:szCs w:val="24"/>
        </w:rPr>
        <w:t>other core paradigms, especially the articulation of core state obligations.</w:t>
      </w:r>
      <w:r w:rsidR="00B40FB4" w:rsidRPr="009158C8">
        <w:rPr>
          <w:sz w:val="24"/>
          <w:szCs w:val="24"/>
        </w:rPr>
        <w:t xml:space="preserve"> Examples of these include</w:t>
      </w:r>
      <w:r w:rsidR="00B40FB4" w:rsidRPr="009158C8">
        <w:rPr>
          <w:iCs/>
          <w:sz w:val="24"/>
          <w:szCs w:val="24"/>
        </w:rPr>
        <w:t xml:space="preserve"> </w:t>
      </w:r>
      <w:r w:rsidR="0068715E" w:rsidRPr="009158C8">
        <w:rPr>
          <w:iCs/>
          <w:sz w:val="24"/>
          <w:szCs w:val="24"/>
        </w:rPr>
        <w:t>“</w:t>
      </w:r>
      <w:r w:rsidR="006C6778" w:rsidRPr="009158C8">
        <w:rPr>
          <w:iCs/>
          <w:sz w:val="24"/>
          <w:szCs w:val="24"/>
        </w:rPr>
        <w:t>The Limburg Principles</w:t>
      </w:r>
      <w:r w:rsidR="0068715E" w:rsidRPr="009158C8">
        <w:rPr>
          <w:iCs/>
          <w:sz w:val="24"/>
          <w:szCs w:val="24"/>
        </w:rPr>
        <w:t xml:space="preserve"> on the Implementation of the International Covenant on Economic, Social and Cultural Rights,</w:t>
      </w:r>
      <w:r w:rsidR="006C6778" w:rsidRPr="009158C8">
        <w:rPr>
          <w:sz w:val="24"/>
          <w:szCs w:val="24"/>
        </w:rPr>
        <w:t xml:space="preserve"> 1986</w:t>
      </w:r>
      <w:r w:rsidR="0068715E" w:rsidRPr="009158C8">
        <w:rPr>
          <w:sz w:val="24"/>
          <w:szCs w:val="24"/>
        </w:rPr>
        <w:t>”</w:t>
      </w:r>
      <w:r w:rsidR="00165F55" w:rsidRPr="009158C8">
        <w:rPr>
          <w:sz w:val="24"/>
          <w:szCs w:val="24"/>
        </w:rPr>
        <w:t>,</w:t>
      </w:r>
      <w:r w:rsidR="00165F55" w:rsidRPr="009158C8">
        <w:rPr>
          <w:rStyle w:val="FootnoteReference"/>
          <w:sz w:val="24"/>
          <w:szCs w:val="24"/>
        </w:rPr>
        <w:footnoteReference w:id="47"/>
      </w:r>
      <w:r w:rsidR="006C6778" w:rsidRPr="009158C8">
        <w:rPr>
          <w:sz w:val="24"/>
          <w:szCs w:val="24"/>
        </w:rPr>
        <w:t xml:space="preserve"> </w:t>
      </w:r>
      <w:r w:rsidR="0068715E" w:rsidRPr="009158C8">
        <w:rPr>
          <w:sz w:val="24"/>
          <w:szCs w:val="24"/>
        </w:rPr>
        <w:t>“T</w:t>
      </w:r>
      <w:r w:rsidR="00B40FB4" w:rsidRPr="009158C8">
        <w:rPr>
          <w:sz w:val="24"/>
          <w:szCs w:val="24"/>
        </w:rPr>
        <w:t>he Maastricht Guidelines</w:t>
      </w:r>
      <w:r w:rsidR="006C6778" w:rsidRPr="009158C8">
        <w:rPr>
          <w:sz w:val="24"/>
          <w:szCs w:val="24"/>
        </w:rPr>
        <w:t xml:space="preserve"> </w:t>
      </w:r>
      <w:r w:rsidR="0068715E" w:rsidRPr="009158C8">
        <w:rPr>
          <w:sz w:val="24"/>
          <w:szCs w:val="24"/>
        </w:rPr>
        <w:t xml:space="preserve">on Violations of Economic, Social and Cultural Rights, </w:t>
      </w:r>
      <w:r w:rsidR="006C6778" w:rsidRPr="009158C8">
        <w:rPr>
          <w:sz w:val="24"/>
          <w:szCs w:val="24"/>
        </w:rPr>
        <w:t>1997</w:t>
      </w:r>
      <w:r w:rsidR="0068715E" w:rsidRPr="009158C8">
        <w:rPr>
          <w:sz w:val="24"/>
          <w:szCs w:val="24"/>
        </w:rPr>
        <w:t>”,</w:t>
      </w:r>
      <w:r w:rsidR="00165F55" w:rsidRPr="009158C8">
        <w:rPr>
          <w:rStyle w:val="FootnoteReference"/>
          <w:sz w:val="24"/>
          <w:szCs w:val="24"/>
        </w:rPr>
        <w:footnoteReference w:id="48"/>
      </w:r>
      <w:r w:rsidR="0068715E" w:rsidRPr="009158C8">
        <w:rPr>
          <w:sz w:val="24"/>
          <w:szCs w:val="24"/>
        </w:rPr>
        <w:t xml:space="preserve"> and “The Maastricht Principles on Extraterritorial Obligations of States in the Area of Economic, Social and Cultural Rights, 2011”,</w:t>
      </w:r>
      <w:r w:rsidR="008A33BA" w:rsidRPr="009158C8">
        <w:rPr>
          <w:rStyle w:val="FootnoteReference"/>
          <w:sz w:val="24"/>
          <w:szCs w:val="24"/>
        </w:rPr>
        <w:footnoteReference w:id="49"/>
      </w:r>
      <w:r w:rsidR="006C6778" w:rsidRPr="009158C8">
        <w:rPr>
          <w:sz w:val="24"/>
          <w:szCs w:val="24"/>
        </w:rPr>
        <w:t xml:space="preserve"> </w:t>
      </w:r>
      <w:r w:rsidR="00B40FB4" w:rsidRPr="009158C8">
        <w:rPr>
          <w:sz w:val="24"/>
          <w:szCs w:val="24"/>
        </w:rPr>
        <w:t xml:space="preserve">and the successive General Comments developed </w:t>
      </w:r>
      <w:r w:rsidR="00B40FB4" w:rsidRPr="009158C8">
        <w:rPr>
          <w:sz w:val="24"/>
          <w:szCs w:val="24"/>
        </w:rPr>
        <w:lastRenderedPageBreak/>
        <w:t>by the UN Committee on Economic, Social and Cultural Rights</w:t>
      </w:r>
      <w:r w:rsidR="006C6778" w:rsidRPr="009158C8">
        <w:rPr>
          <w:sz w:val="24"/>
          <w:szCs w:val="24"/>
        </w:rPr>
        <w:t>, especially G</w:t>
      </w:r>
      <w:r w:rsidR="00B40FB4" w:rsidRPr="009158C8">
        <w:rPr>
          <w:sz w:val="24"/>
          <w:szCs w:val="24"/>
        </w:rPr>
        <w:t xml:space="preserve">eneral Comment </w:t>
      </w:r>
      <w:r w:rsidR="006C6778" w:rsidRPr="009158C8">
        <w:rPr>
          <w:sz w:val="24"/>
          <w:szCs w:val="24"/>
        </w:rPr>
        <w:t xml:space="preserve">No </w:t>
      </w:r>
      <w:r w:rsidR="00C513A4" w:rsidRPr="009158C8">
        <w:rPr>
          <w:sz w:val="24"/>
          <w:szCs w:val="24"/>
        </w:rPr>
        <w:t>3 “The Nature of States Parties’ Obligations</w:t>
      </w:r>
      <w:r w:rsidR="007F7CA9" w:rsidRPr="009158C8">
        <w:rPr>
          <w:sz w:val="24"/>
          <w:szCs w:val="24"/>
        </w:rPr>
        <w:t>”</w:t>
      </w:r>
      <w:r w:rsidR="00C513A4" w:rsidRPr="009158C8">
        <w:rPr>
          <w:sz w:val="24"/>
          <w:szCs w:val="24"/>
        </w:rPr>
        <w:t xml:space="preserve"> (1990),</w:t>
      </w:r>
      <w:r w:rsidR="007347EC" w:rsidRPr="009158C8">
        <w:rPr>
          <w:rStyle w:val="FootnoteReference"/>
          <w:sz w:val="24"/>
          <w:szCs w:val="24"/>
        </w:rPr>
        <w:footnoteReference w:id="50"/>
      </w:r>
      <w:r w:rsidR="00C513A4" w:rsidRPr="009158C8">
        <w:rPr>
          <w:sz w:val="24"/>
          <w:szCs w:val="24"/>
        </w:rPr>
        <w:t xml:space="preserve"> and General Comment No </w:t>
      </w:r>
      <w:r w:rsidR="006C6778" w:rsidRPr="009158C8">
        <w:rPr>
          <w:sz w:val="24"/>
          <w:szCs w:val="24"/>
        </w:rPr>
        <w:t xml:space="preserve">14, “The Right to the Highest Attainable Standard of Health” </w:t>
      </w:r>
      <w:r w:rsidR="007F7CA9" w:rsidRPr="009158C8">
        <w:rPr>
          <w:sz w:val="24"/>
          <w:szCs w:val="24"/>
        </w:rPr>
        <w:t>(</w:t>
      </w:r>
      <w:r w:rsidR="006C6778" w:rsidRPr="009158C8">
        <w:rPr>
          <w:sz w:val="24"/>
          <w:szCs w:val="24"/>
        </w:rPr>
        <w:t>2000</w:t>
      </w:r>
      <w:r w:rsidR="007F7CA9" w:rsidRPr="009158C8">
        <w:rPr>
          <w:sz w:val="24"/>
          <w:szCs w:val="24"/>
        </w:rPr>
        <w:t>)</w:t>
      </w:r>
      <w:r w:rsidR="006C6778" w:rsidRPr="009158C8">
        <w:rPr>
          <w:sz w:val="24"/>
          <w:szCs w:val="24"/>
        </w:rPr>
        <w:t>.</w:t>
      </w:r>
      <w:r w:rsidR="007347EC" w:rsidRPr="009158C8">
        <w:rPr>
          <w:rStyle w:val="FootnoteReference"/>
          <w:sz w:val="24"/>
          <w:szCs w:val="24"/>
        </w:rPr>
        <w:footnoteReference w:id="51"/>
      </w:r>
      <w:r w:rsidR="003B1210" w:rsidRPr="009158C8">
        <w:rPr>
          <w:sz w:val="24"/>
          <w:szCs w:val="24"/>
        </w:rPr>
        <w:t xml:space="preserve">  </w:t>
      </w:r>
      <w:r w:rsidR="006249E7" w:rsidRPr="009158C8">
        <w:rPr>
          <w:sz w:val="24"/>
          <w:szCs w:val="24"/>
          <w:lang w:val="en-GB"/>
        </w:rPr>
        <w:t>General Comment No</w:t>
      </w:r>
      <w:r w:rsidR="007F7CA9" w:rsidRPr="009158C8">
        <w:rPr>
          <w:sz w:val="24"/>
          <w:szCs w:val="24"/>
          <w:lang w:val="en-GB"/>
        </w:rPr>
        <w:t xml:space="preserve"> </w:t>
      </w:r>
      <w:r w:rsidR="006249E7" w:rsidRPr="009158C8">
        <w:rPr>
          <w:sz w:val="24"/>
          <w:szCs w:val="24"/>
          <w:lang w:val="en-GB"/>
        </w:rPr>
        <w:t xml:space="preserve">14 </w:t>
      </w:r>
      <w:r w:rsidR="002A234E" w:rsidRPr="009158C8">
        <w:rPr>
          <w:sz w:val="24"/>
          <w:szCs w:val="24"/>
          <w:lang w:val="en-GB"/>
        </w:rPr>
        <w:t xml:space="preserve">(2000) </w:t>
      </w:r>
      <w:r w:rsidR="006249E7" w:rsidRPr="009158C8">
        <w:rPr>
          <w:sz w:val="24"/>
          <w:szCs w:val="24"/>
          <w:lang w:val="en-GB"/>
        </w:rPr>
        <w:t xml:space="preserve">calls for co-ordinated efforts towards the realization of the right to health to enhance interaction among all relevant actors including various components of civil society. Relevant international organisations – WHO, </w:t>
      </w:r>
      <w:r w:rsidR="00682CBB" w:rsidRPr="009158C8">
        <w:rPr>
          <w:sz w:val="24"/>
          <w:szCs w:val="24"/>
          <w:lang w:val="en-GB"/>
        </w:rPr>
        <w:t>International Labour Organization (</w:t>
      </w:r>
      <w:r w:rsidR="006249E7" w:rsidRPr="009158C8">
        <w:rPr>
          <w:sz w:val="24"/>
          <w:szCs w:val="24"/>
          <w:lang w:val="en-GB"/>
        </w:rPr>
        <w:t>ILO</w:t>
      </w:r>
      <w:r w:rsidR="00682CBB" w:rsidRPr="009158C8">
        <w:rPr>
          <w:sz w:val="24"/>
          <w:szCs w:val="24"/>
          <w:lang w:val="en-GB"/>
        </w:rPr>
        <w:t>)</w:t>
      </w:r>
      <w:r w:rsidR="006249E7" w:rsidRPr="009158C8">
        <w:rPr>
          <w:sz w:val="24"/>
          <w:szCs w:val="24"/>
          <w:lang w:val="en-GB"/>
        </w:rPr>
        <w:t xml:space="preserve">, UNDP, </w:t>
      </w:r>
      <w:r w:rsidR="00682CBB" w:rsidRPr="009158C8">
        <w:rPr>
          <w:sz w:val="24"/>
          <w:szCs w:val="24"/>
          <w:lang w:val="en-GB"/>
        </w:rPr>
        <w:t xml:space="preserve">United Nations </w:t>
      </w:r>
      <w:proofErr w:type="spellStart"/>
      <w:r w:rsidR="00682CBB" w:rsidRPr="009158C8">
        <w:rPr>
          <w:sz w:val="24"/>
          <w:szCs w:val="24"/>
          <w:lang w:val="en-GB"/>
        </w:rPr>
        <w:t>Childrens’s</w:t>
      </w:r>
      <w:proofErr w:type="spellEnd"/>
      <w:r w:rsidR="00682CBB" w:rsidRPr="009158C8">
        <w:rPr>
          <w:sz w:val="24"/>
          <w:szCs w:val="24"/>
          <w:lang w:val="en-GB"/>
        </w:rPr>
        <w:t xml:space="preserve"> Fund (</w:t>
      </w:r>
      <w:r w:rsidR="006249E7" w:rsidRPr="009158C8">
        <w:rPr>
          <w:sz w:val="24"/>
          <w:szCs w:val="24"/>
          <w:lang w:val="en-GB"/>
        </w:rPr>
        <w:t>UNICEF</w:t>
      </w:r>
      <w:r w:rsidR="00682CBB" w:rsidRPr="009158C8">
        <w:rPr>
          <w:sz w:val="24"/>
          <w:szCs w:val="24"/>
          <w:lang w:val="en-GB"/>
        </w:rPr>
        <w:t>)</w:t>
      </w:r>
      <w:r w:rsidR="006249E7" w:rsidRPr="009158C8">
        <w:rPr>
          <w:sz w:val="24"/>
          <w:szCs w:val="24"/>
          <w:lang w:val="en-GB"/>
        </w:rPr>
        <w:t xml:space="preserve">, </w:t>
      </w:r>
      <w:r w:rsidR="00682CBB" w:rsidRPr="009158C8">
        <w:rPr>
          <w:sz w:val="24"/>
          <w:szCs w:val="24"/>
          <w:lang w:val="en-GB"/>
        </w:rPr>
        <w:t>United Nations Population Fund (</w:t>
      </w:r>
      <w:r w:rsidR="006249E7" w:rsidRPr="009158C8">
        <w:rPr>
          <w:sz w:val="24"/>
          <w:szCs w:val="24"/>
          <w:lang w:val="en-GB"/>
        </w:rPr>
        <w:t>UNFPA</w:t>
      </w:r>
      <w:r w:rsidR="00682CBB" w:rsidRPr="009158C8">
        <w:rPr>
          <w:sz w:val="24"/>
          <w:szCs w:val="24"/>
          <w:lang w:val="en-GB"/>
        </w:rPr>
        <w:t>)</w:t>
      </w:r>
      <w:r w:rsidR="006249E7" w:rsidRPr="009158C8">
        <w:rPr>
          <w:sz w:val="24"/>
          <w:szCs w:val="24"/>
          <w:lang w:val="en-GB"/>
        </w:rPr>
        <w:t xml:space="preserve">, the World Bank, regional development banks, </w:t>
      </w:r>
      <w:r w:rsidR="00682CBB" w:rsidRPr="009158C8">
        <w:rPr>
          <w:sz w:val="24"/>
          <w:szCs w:val="24"/>
          <w:lang w:val="en-GB"/>
        </w:rPr>
        <w:t>International Monetary Fund (</w:t>
      </w:r>
      <w:r w:rsidR="006249E7" w:rsidRPr="009158C8">
        <w:rPr>
          <w:sz w:val="24"/>
          <w:szCs w:val="24"/>
          <w:lang w:val="en-GB"/>
        </w:rPr>
        <w:t>IMF</w:t>
      </w:r>
      <w:r w:rsidR="00682CBB" w:rsidRPr="009158C8">
        <w:rPr>
          <w:sz w:val="24"/>
          <w:szCs w:val="24"/>
          <w:lang w:val="en-GB"/>
        </w:rPr>
        <w:t>)</w:t>
      </w:r>
      <w:r w:rsidR="006249E7" w:rsidRPr="009158C8">
        <w:rPr>
          <w:sz w:val="24"/>
          <w:szCs w:val="24"/>
          <w:lang w:val="en-GB"/>
        </w:rPr>
        <w:t xml:space="preserve">, </w:t>
      </w:r>
      <w:r w:rsidR="00682CBB" w:rsidRPr="009158C8">
        <w:rPr>
          <w:sz w:val="24"/>
          <w:szCs w:val="24"/>
          <w:lang w:val="en-GB"/>
        </w:rPr>
        <w:t>World Trade Organization (</w:t>
      </w:r>
      <w:r w:rsidR="006249E7" w:rsidRPr="009158C8">
        <w:rPr>
          <w:sz w:val="24"/>
          <w:szCs w:val="24"/>
          <w:lang w:val="en-GB"/>
        </w:rPr>
        <w:t>WTO</w:t>
      </w:r>
      <w:r w:rsidR="00682CBB" w:rsidRPr="009158C8">
        <w:rPr>
          <w:sz w:val="24"/>
          <w:szCs w:val="24"/>
          <w:lang w:val="en-GB"/>
        </w:rPr>
        <w:t>)</w:t>
      </w:r>
      <w:r w:rsidR="006249E7" w:rsidRPr="009158C8">
        <w:rPr>
          <w:sz w:val="24"/>
          <w:szCs w:val="24"/>
          <w:lang w:val="en-GB"/>
        </w:rPr>
        <w:t>, and other bodies within the United Nations system – should co-operate effectively with States parties, building on their respective expertise, in relation to the implementation of the right to health at</w:t>
      </w:r>
      <w:r w:rsidR="00341C45" w:rsidRPr="009158C8">
        <w:rPr>
          <w:sz w:val="24"/>
          <w:szCs w:val="24"/>
          <w:lang w:val="en-GB"/>
        </w:rPr>
        <w:t xml:space="preserve"> </w:t>
      </w:r>
      <w:r w:rsidR="00B3716F" w:rsidRPr="009158C8">
        <w:rPr>
          <w:sz w:val="24"/>
          <w:szCs w:val="24"/>
          <w:lang w:val="en-GB"/>
        </w:rPr>
        <w:t xml:space="preserve">the </w:t>
      </w:r>
      <w:r w:rsidR="00341C45" w:rsidRPr="009158C8">
        <w:rPr>
          <w:sz w:val="24"/>
          <w:szCs w:val="24"/>
          <w:lang w:val="en-GB"/>
        </w:rPr>
        <w:t>national level. T</w:t>
      </w:r>
      <w:r w:rsidR="006249E7" w:rsidRPr="009158C8">
        <w:rPr>
          <w:sz w:val="24"/>
          <w:szCs w:val="24"/>
          <w:lang w:val="en-GB"/>
        </w:rPr>
        <w:t>he international financial institutions, notably the World Bank and IMF, should pay greater attention to the protection of the right to health in their lending policies, credit agreements, and structural adjustment programmes</w:t>
      </w:r>
      <w:r w:rsidR="002A234E" w:rsidRPr="009158C8">
        <w:rPr>
          <w:sz w:val="24"/>
          <w:szCs w:val="24"/>
          <w:lang w:val="en-GB"/>
        </w:rPr>
        <w:t>. General Comment No</w:t>
      </w:r>
      <w:r w:rsidR="00C4486A" w:rsidRPr="009158C8">
        <w:rPr>
          <w:sz w:val="24"/>
          <w:szCs w:val="24"/>
          <w:lang w:val="en-GB"/>
        </w:rPr>
        <w:t>.</w:t>
      </w:r>
      <w:r w:rsidR="002A234E" w:rsidRPr="009158C8">
        <w:rPr>
          <w:sz w:val="24"/>
          <w:szCs w:val="24"/>
          <w:lang w:val="en-GB"/>
        </w:rPr>
        <w:t xml:space="preserve"> 14 developed the </w:t>
      </w:r>
      <w:r w:rsidR="00C513A4" w:rsidRPr="009158C8">
        <w:rPr>
          <w:sz w:val="24"/>
          <w:szCs w:val="24"/>
          <w:lang w:val="en-GB"/>
        </w:rPr>
        <w:t xml:space="preserve">major planks of </w:t>
      </w:r>
      <w:r w:rsidR="002A234E" w:rsidRPr="009158C8">
        <w:rPr>
          <w:sz w:val="24"/>
          <w:szCs w:val="24"/>
          <w:lang w:val="en-GB"/>
        </w:rPr>
        <w:t xml:space="preserve">obligations </w:t>
      </w:r>
      <w:r w:rsidR="00C513A4" w:rsidRPr="009158C8">
        <w:rPr>
          <w:sz w:val="24"/>
          <w:szCs w:val="24"/>
          <w:lang w:val="en-GB"/>
        </w:rPr>
        <w:t>o</w:t>
      </w:r>
      <w:r w:rsidR="002A234E" w:rsidRPr="009158C8">
        <w:rPr>
          <w:sz w:val="24"/>
          <w:szCs w:val="24"/>
          <w:lang w:val="en-GB"/>
        </w:rPr>
        <w:t>f state parties under Article 12 of ICESCR</w:t>
      </w:r>
      <w:r w:rsidR="00C513A4" w:rsidRPr="009158C8">
        <w:rPr>
          <w:sz w:val="24"/>
          <w:szCs w:val="24"/>
          <w:lang w:val="en-GB"/>
        </w:rPr>
        <w:t xml:space="preserve"> including the obligations to “respect”, “protect”, and “fulfil” the rights conferred therein. </w:t>
      </w:r>
      <w:r w:rsidR="007F7CA9" w:rsidRPr="009158C8">
        <w:rPr>
          <w:sz w:val="24"/>
          <w:szCs w:val="24"/>
          <w:lang w:val="en-GB"/>
        </w:rPr>
        <w:t xml:space="preserve">Both General Comments 3 and 14 confirm </w:t>
      </w:r>
      <w:r w:rsidR="007F7CA9" w:rsidRPr="009158C8">
        <w:rPr>
          <w:sz w:val="24"/>
          <w:szCs w:val="24"/>
          <w:lang w:val="en-MY"/>
        </w:rPr>
        <w:t>that “States parties have a core obligation to ensure the satisfaction of, at the very least, minimum essential levels of each of the rights enunciated in the Covenant, including essential primary health care”</w:t>
      </w:r>
      <w:r w:rsidR="004842F1" w:rsidRPr="009158C8">
        <w:rPr>
          <w:sz w:val="24"/>
          <w:szCs w:val="24"/>
          <w:lang w:val="en-MY"/>
        </w:rPr>
        <w:t>.</w:t>
      </w:r>
      <w:r w:rsidR="004842F1" w:rsidRPr="009158C8">
        <w:rPr>
          <w:rStyle w:val="FootnoteReference"/>
          <w:sz w:val="24"/>
          <w:szCs w:val="24"/>
          <w:lang w:val="en-MY"/>
        </w:rPr>
        <w:footnoteReference w:id="52"/>
      </w:r>
      <w:r w:rsidR="007F7CA9" w:rsidRPr="009158C8">
        <w:rPr>
          <w:sz w:val="24"/>
          <w:szCs w:val="24"/>
          <w:lang w:val="en-MY"/>
        </w:rPr>
        <w:t xml:space="preserve"> </w:t>
      </w:r>
      <w:r w:rsidR="006B5EF2" w:rsidRPr="009158C8">
        <w:rPr>
          <w:sz w:val="24"/>
          <w:szCs w:val="24"/>
          <w:lang w:val="en-MY"/>
        </w:rPr>
        <w:t>In this respect, General Comment No 14 treats the following core obligations as non-</w:t>
      </w:r>
      <w:proofErr w:type="spellStart"/>
      <w:r w:rsidR="006B5EF2" w:rsidRPr="009158C8">
        <w:rPr>
          <w:sz w:val="24"/>
          <w:szCs w:val="24"/>
          <w:lang w:val="en-MY"/>
        </w:rPr>
        <w:t>derogable</w:t>
      </w:r>
      <w:proofErr w:type="spellEnd"/>
      <w:r w:rsidR="006B5EF2" w:rsidRPr="009158C8">
        <w:rPr>
          <w:sz w:val="24"/>
          <w:szCs w:val="24"/>
          <w:lang w:val="en-MY"/>
        </w:rPr>
        <w:t>:</w:t>
      </w:r>
    </w:p>
    <w:p w14:paraId="41C439DD" w14:textId="77777777" w:rsidR="004842F1" w:rsidRPr="009158C8" w:rsidRDefault="004842F1" w:rsidP="002A190B">
      <w:pPr>
        <w:pStyle w:val="FootnoteText"/>
        <w:ind w:left="720"/>
        <w:jc w:val="both"/>
        <w:rPr>
          <w:sz w:val="24"/>
          <w:szCs w:val="24"/>
          <w:lang w:val="en-MY"/>
        </w:rPr>
      </w:pPr>
    </w:p>
    <w:p w14:paraId="1FECBDD6" w14:textId="77777777" w:rsidR="00552C97" w:rsidRPr="009158C8" w:rsidRDefault="00552C97" w:rsidP="002A190B">
      <w:pPr>
        <w:pStyle w:val="FootnoteText"/>
        <w:ind w:left="720"/>
        <w:jc w:val="both"/>
        <w:rPr>
          <w:sz w:val="24"/>
          <w:szCs w:val="24"/>
          <w:lang w:val="en-MY"/>
        </w:rPr>
      </w:pPr>
      <w:r w:rsidRPr="009158C8">
        <w:rPr>
          <w:sz w:val="24"/>
          <w:szCs w:val="24"/>
          <w:lang w:val="en-MY"/>
        </w:rPr>
        <w:t xml:space="preserve">(a) To ensure the right of access to health facilities, goods and services on a non-discriminatory basis, especially for vulnerable or marginalized groups; </w:t>
      </w:r>
    </w:p>
    <w:p w14:paraId="583B7975" w14:textId="77777777" w:rsidR="00552C97" w:rsidRPr="009158C8" w:rsidRDefault="00552C97" w:rsidP="002A190B">
      <w:pPr>
        <w:pStyle w:val="FootnoteText"/>
        <w:ind w:left="720"/>
        <w:jc w:val="both"/>
        <w:rPr>
          <w:sz w:val="24"/>
          <w:szCs w:val="24"/>
          <w:lang w:val="en-MY"/>
        </w:rPr>
      </w:pPr>
      <w:r w:rsidRPr="009158C8">
        <w:rPr>
          <w:sz w:val="24"/>
          <w:szCs w:val="24"/>
          <w:lang w:val="en-MY"/>
        </w:rPr>
        <w:t xml:space="preserve">(b) To ensure access to the minimum essential food which is nutritionally adequate and safe, to ensure freedom from hunger to everyone; </w:t>
      </w:r>
    </w:p>
    <w:p w14:paraId="7CAF589D" w14:textId="77777777" w:rsidR="00552C97" w:rsidRPr="009158C8" w:rsidRDefault="00552C97" w:rsidP="002A190B">
      <w:pPr>
        <w:pStyle w:val="FootnoteText"/>
        <w:ind w:left="720"/>
        <w:jc w:val="both"/>
        <w:rPr>
          <w:sz w:val="24"/>
          <w:szCs w:val="24"/>
          <w:lang w:val="en-MY"/>
        </w:rPr>
      </w:pPr>
      <w:r w:rsidRPr="009158C8">
        <w:rPr>
          <w:sz w:val="24"/>
          <w:szCs w:val="24"/>
          <w:lang w:val="en-MY"/>
        </w:rPr>
        <w:t xml:space="preserve">(c) To ensure access to basic shelter, housing and sanitation, and an adequate supply of safe and potable water; </w:t>
      </w:r>
    </w:p>
    <w:p w14:paraId="6DE77A71" w14:textId="77777777" w:rsidR="00552C97" w:rsidRPr="009158C8" w:rsidRDefault="00552C97" w:rsidP="002A190B">
      <w:pPr>
        <w:pStyle w:val="FootnoteText"/>
        <w:ind w:left="720"/>
        <w:jc w:val="both"/>
        <w:rPr>
          <w:sz w:val="24"/>
          <w:szCs w:val="24"/>
          <w:lang w:val="en-MY"/>
        </w:rPr>
      </w:pPr>
      <w:r w:rsidRPr="009158C8">
        <w:rPr>
          <w:sz w:val="24"/>
          <w:szCs w:val="24"/>
          <w:lang w:val="en-MY"/>
        </w:rPr>
        <w:t xml:space="preserve">(d) To provide essential drugs, as from time to time defined under the WHO Action Programme on Essential Drugs; </w:t>
      </w:r>
    </w:p>
    <w:p w14:paraId="6451212F" w14:textId="77777777" w:rsidR="00552C97" w:rsidRPr="009158C8" w:rsidRDefault="00552C97" w:rsidP="002A190B">
      <w:pPr>
        <w:pStyle w:val="FootnoteText"/>
        <w:ind w:firstLine="720"/>
        <w:jc w:val="both"/>
        <w:rPr>
          <w:sz w:val="24"/>
          <w:szCs w:val="24"/>
          <w:lang w:val="en-MY"/>
        </w:rPr>
      </w:pPr>
      <w:r w:rsidRPr="009158C8">
        <w:rPr>
          <w:sz w:val="24"/>
          <w:szCs w:val="24"/>
          <w:lang w:val="en-MY"/>
        </w:rPr>
        <w:t xml:space="preserve">(e) To ensure equitable distribution of all health facilities, goods and services; </w:t>
      </w:r>
    </w:p>
    <w:p w14:paraId="1772E3B7" w14:textId="77777777" w:rsidR="00C4486A" w:rsidRPr="009158C8" w:rsidRDefault="00552C97" w:rsidP="002A190B">
      <w:pPr>
        <w:pStyle w:val="FootnoteText"/>
        <w:ind w:left="720"/>
        <w:jc w:val="both"/>
        <w:rPr>
          <w:sz w:val="24"/>
          <w:szCs w:val="24"/>
          <w:lang w:val="en-MY"/>
        </w:rPr>
      </w:pPr>
      <w:r w:rsidRPr="009158C8">
        <w:rPr>
          <w:sz w:val="24"/>
          <w:szCs w:val="24"/>
          <w:lang w:val="en-MY"/>
        </w:rPr>
        <w:t>(f) To adopt and implement a national public health strategy and plan of action, on the basis of epidemiological evidence, addressing the health concerns of the whole population; the strategy and plan of action shall be devised, and periodically reviewed, on the basis of a participatory and transparent process; they shall include methods, such as right to health indicators and benchmarks, by which progress can be closely monitored; the process by which the strategy and plan of action are devised, as well as their content, shall give particular attention to all vulnerable or marginalized groups</w:t>
      </w:r>
      <w:r w:rsidR="004842F1" w:rsidRPr="009158C8">
        <w:rPr>
          <w:sz w:val="24"/>
          <w:szCs w:val="24"/>
          <w:lang w:val="en-MY"/>
        </w:rPr>
        <w:t>.</w:t>
      </w:r>
      <w:r w:rsidR="004842F1" w:rsidRPr="009158C8">
        <w:rPr>
          <w:rStyle w:val="FootnoteReference"/>
          <w:sz w:val="24"/>
          <w:szCs w:val="24"/>
          <w:lang w:val="en-MY"/>
        </w:rPr>
        <w:footnoteReference w:id="53"/>
      </w:r>
      <w:r w:rsidRPr="009158C8">
        <w:rPr>
          <w:sz w:val="24"/>
          <w:szCs w:val="24"/>
          <w:lang w:val="en-MY"/>
        </w:rPr>
        <w:t xml:space="preserve"> </w:t>
      </w:r>
    </w:p>
    <w:p w14:paraId="2D969C94" w14:textId="77777777" w:rsidR="004842F1" w:rsidRPr="009158C8" w:rsidRDefault="004842F1" w:rsidP="002A190B">
      <w:pPr>
        <w:pStyle w:val="FootnoteText"/>
        <w:jc w:val="both"/>
        <w:rPr>
          <w:sz w:val="24"/>
          <w:szCs w:val="24"/>
          <w:lang w:val="en-MY"/>
        </w:rPr>
      </w:pPr>
    </w:p>
    <w:p w14:paraId="06019CFB" w14:textId="77777777" w:rsidR="00552C97" w:rsidRPr="009158C8" w:rsidRDefault="0019673F" w:rsidP="002A190B">
      <w:pPr>
        <w:pStyle w:val="FootnoteText"/>
        <w:jc w:val="both"/>
        <w:rPr>
          <w:sz w:val="24"/>
          <w:szCs w:val="24"/>
          <w:lang w:val="en-MY"/>
        </w:rPr>
      </w:pPr>
      <w:r w:rsidRPr="009158C8">
        <w:rPr>
          <w:sz w:val="24"/>
          <w:szCs w:val="24"/>
          <w:lang w:val="en-MY"/>
        </w:rPr>
        <w:t xml:space="preserve">In general, most of these indicators and benchmarks that have been developed </w:t>
      </w:r>
      <w:r w:rsidR="001B61E5" w:rsidRPr="009158C8">
        <w:rPr>
          <w:sz w:val="24"/>
          <w:szCs w:val="24"/>
          <w:lang w:val="en-MY"/>
        </w:rPr>
        <w:t xml:space="preserve">by </w:t>
      </w:r>
      <w:r w:rsidRPr="009158C8">
        <w:rPr>
          <w:sz w:val="24"/>
          <w:szCs w:val="24"/>
          <w:lang w:val="en-MY"/>
        </w:rPr>
        <w:t>the WHO and other relevant U</w:t>
      </w:r>
      <w:r w:rsidR="006D01CB" w:rsidRPr="009158C8">
        <w:rPr>
          <w:sz w:val="24"/>
          <w:szCs w:val="24"/>
          <w:lang w:val="en-MY"/>
        </w:rPr>
        <w:t>N</w:t>
      </w:r>
      <w:r w:rsidRPr="009158C8">
        <w:rPr>
          <w:sz w:val="24"/>
          <w:szCs w:val="24"/>
          <w:lang w:val="en-MY"/>
        </w:rPr>
        <w:t xml:space="preserve"> agencies have formed an integral part of state reporting under relevant international treaty bodies that provide for </w:t>
      </w:r>
      <w:r w:rsidR="001B61E5" w:rsidRPr="009158C8">
        <w:rPr>
          <w:sz w:val="24"/>
          <w:szCs w:val="24"/>
          <w:lang w:val="en-MY"/>
        </w:rPr>
        <w:t xml:space="preserve">the </w:t>
      </w:r>
      <w:r w:rsidRPr="009158C8">
        <w:rPr>
          <w:sz w:val="24"/>
          <w:szCs w:val="24"/>
          <w:lang w:val="en-MY"/>
        </w:rPr>
        <w:t>right to health.</w:t>
      </w:r>
    </w:p>
    <w:p w14:paraId="06EFFA0A" w14:textId="77777777" w:rsidR="0019673F" w:rsidRPr="009158C8" w:rsidRDefault="0019673F" w:rsidP="002A190B">
      <w:pPr>
        <w:pStyle w:val="FootnoteText"/>
        <w:ind w:firstLine="720"/>
        <w:jc w:val="both"/>
        <w:rPr>
          <w:sz w:val="24"/>
          <w:szCs w:val="24"/>
          <w:lang w:val="en-MY"/>
        </w:rPr>
      </w:pPr>
    </w:p>
    <w:p w14:paraId="3F581598" w14:textId="77777777" w:rsidR="00C4486A" w:rsidRPr="009158C8" w:rsidRDefault="00E8600B" w:rsidP="002A190B">
      <w:pPr>
        <w:pStyle w:val="FootnoteText"/>
        <w:rPr>
          <w:b/>
          <w:sz w:val="24"/>
          <w:szCs w:val="24"/>
          <w:lang w:val="en-MY"/>
        </w:rPr>
      </w:pPr>
      <w:r w:rsidRPr="009158C8">
        <w:rPr>
          <w:b/>
          <w:sz w:val="24"/>
          <w:szCs w:val="24"/>
          <w:lang w:val="en-MY"/>
        </w:rPr>
        <w:t xml:space="preserve">Unpacking </w:t>
      </w:r>
      <w:r w:rsidR="0019673F" w:rsidRPr="009158C8">
        <w:rPr>
          <w:b/>
          <w:sz w:val="24"/>
          <w:szCs w:val="24"/>
          <w:lang w:val="en-MY"/>
        </w:rPr>
        <w:t xml:space="preserve">Health </w:t>
      </w:r>
      <w:r w:rsidR="006D01CB" w:rsidRPr="009158C8">
        <w:rPr>
          <w:b/>
          <w:sz w:val="24"/>
          <w:szCs w:val="24"/>
          <w:lang w:val="en-MY"/>
        </w:rPr>
        <w:t xml:space="preserve">and Wellbeing </w:t>
      </w:r>
      <w:r w:rsidR="0019673F" w:rsidRPr="009158C8">
        <w:rPr>
          <w:b/>
          <w:sz w:val="24"/>
          <w:szCs w:val="24"/>
          <w:lang w:val="en-MY"/>
        </w:rPr>
        <w:t>in the SDGs</w:t>
      </w:r>
      <w:r w:rsidR="00BD43E2" w:rsidRPr="009158C8">
        <w:rPr>
          <w:b/>
          <w:sz w:val="24"/>
          <w:szCs w:val="24"/>
          <w:lang w:val="en-MY"/>
        </w:rPr>
        <w:t xml:space="preserve">: </w:t>
      </w:r>
      <w:r w:rsidR="00101010" w:rsidRPr="009158C8">
        <w:rPr>
          <w:b/>
          <w:sz w:val="24"/>
          <w:szCs w:val="24"/>
          <w:lang w:val="en-MY"/>
        </w:rPr>
        <w:t>Right to Health</w:t>
      </w:r>
      <w:r w:rsidR="00BD43E2" w:rsidRPr="009158C8">
        <w:rPr>
          <w:b/>
          <w:sz w:val="24"/>
          <w:szCs w:val="24"/>
          <w:lang w:val="en-MY"/>
        </w:rPr>
        <w:t xml:space="preserve"> and RtD</w:t>
      </w:r>
    </w:p>
    <w:p w14:paraId="31413865" w14:textId="77777777" w:rsidR="002A190B" w:rsidRPr="009158C8" w:rsidRDefault="002A190B" w:rsidP="002A190B">
      <w:pPr>
        <w:pStyle w:val="FootnoteText"/>
        <w:rPr>
          <w:b/>
          <w:sz w:val="24"/>
          <w:szCs w:val="24"/>
          <w:lang w:val="en-MY"/>
        </w:rPr>
      </w:pPr>
    </w:p>
    <w:p w14:paraId="2E1D3BCE" w14:textId="77777777" w:rsidR="00B73DC7" w:rsidRPr="009158C8" w:rsidRDefault="00B73DC7" w:rsidP="002A190B">
      <w:pPr>
        <w:pStyle w:val="FootnoteText"/>
        <w:jc w:val="both"/>
        <w:rPr>
          <w:sz w:val="24"/>
          <w:szCs w:val="24"/>
          <w:lang w:val="en-MY"/>
        </w:rPr>
      </w:pPr>
      <w:r w:rsidRPr="009158C8">
        <w:rPr>
          <w:sz w:val="24"/>
          <w:szCs w:val="24"/>
          <w:lang w:val="en-MY"/>
        </w:rPr>
        <w:t>In September 2015, world leaders adopted an ambitious set of 17 Sustainable Development Goals (SDGs) and 169 targets after a long and tortuous consultative process led by the United Nations. The SDGs</w:t>
      </w:r>
      <w:r w:rsidR="00DF3774" w:rsidRPr="009158C8">
        <w:rPr>
          <w:sz w:val="24"/>
          <w:szCs w:val="24"/>
          <w:lang w:val="en-MY"/>
        </w:rPr>
        <w:t>,</w:t>
      </w:r>
      <w:r w:rsidRPr="009158C8">
        <w:rPr>
          <w:sz w:val="24"/>
          <w:szCs w:val="24"/>
          <w:lang w:val="en-MY"/>
        </w:rPr>
        <w:t xml:space="preserve"> </w:t>
      </w:r>
      <w:r w:rsidR="002A234D" w:rsidRPr="009158C8">
        <w:rPr>
          <w:sz w:val="24"/>
          <w:szCs w:val="24"/>
          <w:lang w:val="en-MY"/>
        </w:rPr>
        <w:t xml:space="preserve">which </w:t>
      </w:r>
      <w:r w:rsidRPr="009158C8">
        <w:rPr>
          <w:sz w:val="24"/>
          <w:szCs w:val="24"/>
          <w:lang w:val="en-MY"/>
        </w:rPr>
        <w:t>replaced the Millennium Development Goals</w:t>
      </w:r>
      <w:r w:rsidR="00DF3774" w:rsidRPr="009158C8">
        <w:rPr>
          <w:sz w:val="24"/>
          <w:szCs w:val="24"/>
          <w:lang w:val="en-MY"/>
        </w:rPr>
        <w:t>,</w:t>
      </w:r>
      <w:r w:rsidRPr="009158C8">
        <w:rPr>
          <w:sz w:val="24"/>
          <w:szCs w:val="24"/>
          <w:lang w:val="en-MY"/>
        </w:rPr>
        <w:t xml:space="preserve"> </w:t>
      </w:r>
      <w:r w:rsidR="002A234D" w:rsidRPr="009158C8">
        <w:rPr>
          <w:sz w:val="24"/>
          <w:szCs w:val="24"/>
          <w:lang w:val="en-MY"/>
        </w:rPr>
        <w:t xml:space="preserve">would </w:t>
      </w:r>
      <w:r w:rsidRPr="009158C8">
        <w:rPr>
          <w:sz w:val="24"/>
          <w:szCs w:val="24"/>
          <w:lang w:val="en-MY"/>
        </w:rPr>
        <w:t>guide the global development agenda until 2030. Influenced by the Report of the High-Level Panel established by the UN Secretary-General, the SDGs are driven by five big transformative concepts: leave no one behind; put sustainable development at the core; transform economies for jobs and inclusive growth; build peace and effective, open and accountable institutions for all; and forge a new global partnership.</w:t>
      </w:r>
    </w:p>
    <w:p w14:paraId="328C21C2" w14:textId="77777777" w:rsidR="00EE0E79" w:rsidRPr="009158C8" w:rsidRDefault="00EE0E79" w:rsidP="002A190B">
      <w:pPr>
        <w:pStyle w:val="FootnoteText"/>
        <w:jc w:val="both"/>
        <w:rPr>
          <w:sz w:val="24"/>
          <w:szCs w:val="24"/>
          <w:lang w:val="en-MY"/>
        </w:rPr>
      </w:pPr>
    </w:p>
    <w:p w14:paraId="44F7D3BC" w14:textId="77777777" w:rsidR="00341C45" w:rsidRPr="009158C8" w:rsidRDefault="00BD6BF3" w:rsidP="002A190B">
      <w:pPr>
        <w:pStyle w:val="FootnoteText"/>
        <w:jc w:val="both"/>
        <w:rPr>
          <w:sz w:val="24"/>
          <w:szCs w:val="24"/>
          <w:lang w:val="en-MY"/>
        </w:rPr>
      </w:pPr>
      <w:r w:rsidRPr="009158C8">
        <w:rPr>
          <w:sz w:val="24"/>
          <w:szCs w:val="24"/>
          <w:lang w:val="en-MY"/>
        </w:rPr>
        <w:t xml:space="preserve">Health </w:t>
      </w:r>
      <w:r w:rsidR="00DF3774" w:rsidRPr="009158C8">
        <w:rPr>
          <w:sz w:val="24"/>
          <w:szCs w:val="24"/>
          <w:lang w:val="en-MY"/>
        </w:rPr>
        <w:t xml:space="preserve">is primarily anchored in SDG </w:t>
      </w:r>
      <w:r w:rsidR="00B73DC7" w:rsidRPr="009158C8">
        <w:rPr>
          <w:sz w:val="24"/>
          <w:szCs w:val="24"/>
          <w:lang w:val="en-MY"/>
        </w:rPr>
        <w:t>3: “Ensure healthy lives and promote well-being for all at all ages”.</w:t>
      </w:r>
      <w:r w:rsidR="004842F1" w:rsidRPr="009158C8">
        <w:rPr>
          <w:rStyle w:val="FootnoteReference"/>
          <w:sz w:val="24"/>
          <w:szCs w:val="24"/>
          <w:lang w:val="en-MY"/>
        </w:rPr>
        <w:footnoteReference w:id="54"/>
      </w:r>
      <w:r w:rsidR="00B73DC7" w:rsidRPr="009158C8">
        <w:rPr>
          <w:sz w:val="24"/>
          <w:szCs w:val="24"/>
          <w:lang w:val="en-MY"/>
        </w:rPr>
        <w:t xml:space="preserve"> This goal has 13 ambitious and specific targets</w:t>
      </w:r>
      <w:r w:rsidRPr="009158C8">
        <w:rPr>
          <w:sz w:val="24"/>
          <w:szCs w:val="24"/>
          <w:lang w:val="en-MY"/>
        </w:rPr>
        <w:t xml:space="preserve"> that includes: </w:t>
      </w:r>
      <w:r w:rsidR="00B73DC7" w:rsidRPr="009158C8">
        <w:rPr>
          <w:sz w:val="24"/>
          <w:szCs w:val="24"/>
          <w:lang w:val="en-MY"/>
        </w:rPr>
        <w:t xml:space="preserve">reducing maternal mortality and preventable deaths of </w:t>
      </w:r>
      <w:proofErr w:type="spellStart"/>
      <w:r w:rsidR="00B73DC7" w:rsidRPr="009158C8">
        <w:rPr>
          <w:sz w:val="24"/>
          <w:szCs w:val="24"/>
          <w:lang w:val="en-MY"/>
        </w:rPr>
        <w:t>newborns</w:t>
      </w:r>
      <w:proofErr w:type="spellEnd"/>
      <w:r w:rsidR="00B73DC7" w:rsidRPr="009158C8">
        <w:rPr>
          <w:sz w:val="24"/>
          <w:szCs w:val="24"/>
          <w:lang w:val="en-MY"/>
        </w:rPr>
        <w:t>; ending epidemics of AIDS, tuberculosis, malaria, and neglected tropical diseases; strengthening the prevention and treatment of substance abuse; ensuring access to sexual and reproductive health services; and achieving universal health coverage</w:t>
      </w:r>
      <w:r w:rsidRPr="009158C8">
        <w:rPr>
          <w:sz w:val="24"/>
          <w:szCs w:val="24"/>
          <w:lang w:val="en-MY"/>
        </w:rPr>
        <w:t>. Other targets include strengthening the implementation of WHO Framework Convention on Tobacco Control</w:t>
      </w:r>
      <w:r w:rsidR="00DF3774" w:rsidRPr="009158C8">
        <w:rPr>
          <w:rStyle w:val="FootnoteReference"/>
          <w:sz w:val="24"/>
          <w:szCs w:val="24"/>
          <w:lang w:val="en-MY"/>
        </w:rPr>
        <w:footnoteReference w:id="55"/>
      </w:r>
      <w:r w:rsidR="004842F1" w:rsidRPr="009158C8">
        <w:rPr>
          <w:sz w:val="24"/>
          <w:szCs w:val="24"/>
          <w:lang w:val="en-MY"/>
        </w:rPr>
        <w:t>;</w:t>
      </w:r>
      <w:r w:rsidRPr="009158C8">
        <w:rPr>
          <w:sz w:val="24"/>
          <w:szCs w:val="24"/>
          <w:lang w:val="en-MY"/>
        </w:rPr>
        <w:t xml:space="preserve"> reducing premature deaths from non-communicable diseases; support</w:t>
      </w:r>
      <w:r w:rsidR="002A234D" w:rsidRPr="009158C8">
        <w:rPr>
          <w:sz w:val="24"/>
          <w:szCs w:val="24"/>
          <w:lang w:val="en-MY"/>
        </w:rPr>
        <w:t xml:space="preserve">ing the </w:t>
      </w:r>
      <w:r w:rsidRPr="009158C8">
        <w:rPr>
          <w:sz w:val="24"/>
          <w:szCs w:val="24"/>
          <w:lang w:val="en-MY"/>
        </w:rPr>
        <w:t xml:space="preserve">research and development of vaccines and medicines for communicable and non-communicable diseases; </w:t>
      </w:r>
      <w:r w:rsidR="002A234D" w:rsidRPr="009158C8">
        <w:rPr>
          <w:sz w:val="24"/>
          <w:szCs w:val="24"/>
          <w:lang w:val="en-MY"/>
        </w:rPr>
        <w:t xml:space="preserve">providing </w:t>
      </w:r>
      <w:r w:rsidRPr="009158C8">
        <w:rPr>
          <w:sz w:val="24"/>
          <w:szCs w:val="24"/>
          <w:lang w:val="en-MY"/>
        </w:rPr>
        <w:t>access to affordable essential medicines and vaccines</w:t>
      </w:r>
      <w:r w:rsidR="002A234D" w:rsidRPr="009158C8">
        <w:rPr>
          <w:sz w:val="24"/>
          <w:szCs w:val="24"/>
          <w:lang w:val="en-MY"/>
        </w:rPr>
        <w:t xml:space="preserve"> in accordance with the Doha Declaration on TRIPS and Public Health</w:t>
      </w:r>
      <w:r w:rsidRPr="009158C8">
        <w:rPr>
          <w:sz w:val="24"/>
          <w:szCs w:val="24"/>
          <w:lang w:val="en-MY"/>
        </w:rPr>
        <w:t>;</w:t>
      </w:r>
      <w:r w:rsidR="00DF3774" w:rsidRPr="009158C8">
        <w:rPr>
          <w:rStyle w:val="FootnoteReference"/>
          <w:sz w:val="24"/>
          <w:szCs w:val="24"/>
          <w:lang w:val="en-MY"/>
        </w:rPr>
        <w:footnoteReference w:id="56"/>
      </w:r>
      <w:r w:rsidRPr="009158C8">
        <w:rPr>
          <w:sz w:val="24"/>
          <w:szCs w:val="24"/>
          <w:lang w:val="en-MY"/>
        </w:rPr>
        <w:t xml:space="preserve"> increasing health financing, and strengthening the capacity </w:t>
      </w:r>
      <w:r w:rsidR="004B7560" w:rsidRPr="009158C8">
        <w:rPr>
          <w:sz w:val="24"/>
          <w:szCs w:val="24"/>
          <w:lang w:val="en-MY"/>
        </w:rPr>
        <w:t>of</w:t>
      </w:r>
      <w:r w:rsidRPr="009158C8">
        <w:rPr>
          <w:sz w:val="24"/>
          <w:szCs w:val="24"/>
          <w:lang w:val="en-MY"/>
        </w:rPr>
        <w:t xml:space="preserve"> all countries for management of national and global health risks.</w:t>
      </w:r>
      <w:r w:rsidR="00FC277A" w:rsidRPr="009158C8">
        <w:rPr>
          <w:sz w:val="24"/>
          <w:szCs w:val="24"/>
          <w:lang w:val="en-MY"/>
        </w:rPr>
        <w:t xml:space="preserve"> </w:t>
      </w:r>
    </w:p>
    <w:p w14:paraId="7282BF57" w14:textId="77777777" w:rsidR="00DF3774" w:rsidRPr="009158C8" w:rsidRDefault="00DF3774" w:rsidP="002A190B">
      <w:pPr>
        <w:pStyle w:val="FootnoteText"/>
        <w:jc w:val="both"/>
        <w:rPr>
          <w:sz w:val="24"/>
          <w:szCs w:val="24"/>
          <w:lang w:val="en-MY"/>
        </w:rPr>
      </w:pPr>
    </w:p>
    <w:p w14:paraId="1CF369F7" w14:textId="5E365C57" w:rsidR="0001795E" w:rsidRPr="009158C8" w:rsidRDefault="00FC277A" w:rsidP="002A190B">
      <w:pPr>
        <w:pStyle w:val="FootnoteText"/>
        <w:jc w:val="both"/>
        <w:rPr>
          <w:sz w:val="24"/>
          <w:szCs w:val="24"/>
        </w:rPr>
      </w:pPr>
      <w:r w:rsidRPr="00D84B14">
        <w:rPr>
          <w:sz w:val="24"/>
          <w:szCs w:val="24"/>
          <w:lang w:val="en-MY"/>
        </w:rPr>
        <w:t xml:space="preserve">To achieve these </w:t>
      </w:r>
      <w:r w:rsidRPr="00D84B14">
        <w:rPr>
          <w:sz w:val="24"/>
          <w:szCs w:val="24"/>
        </w:rPr>
        <w:t>health-related targets, States have a duty, individually and collectively, nationally and internationally</w:t>
      </w:r>
      <w:r w:rsidR="0001795E" w:rsidRPr="00D84B14">
        <w:rPr>
          <w:sz w:val="22"/>
          <w:szCs w:val="22"/>
        </w:rPr>
        <w:t xml:space="preserve">. </w:t>
      </w:r>
      <w:r w:rsidR="00341C45" w:rsidRPr="00D84B14">
        <w:rPr>
          <w:sz w:val="22"/>
          <w:szCs w:val="22"/>
        </w:rPr>
        <w:t xml:space="preserve">Adopting </w:t>
      </w:r>
      <w:r w:rsidR="0001795E" w:rsidRPr="00D84B14">
        <w:rPr>
          <w:sz w:val="22"/>
          <w:szCs w:val="22"/>
        </w:rPr>
        <w:t xml:space="preserve">the approach in Articles </w:t>
      </w:r>
      <w:r w:rsidRPr="00D84B14">
        <w:rPr>
          <w:sz w:val="24"/>
          <w:szCs w:val="24"/>
        </w:rPr>
        <w:t xml:space="preserve">3 and 4 of the </w:t>
      </w:r>
      <w:r w:rsidR="00DF3774" w:rsidRPr="00D84B14">
        <w:rPr>
          <w:sz w:val="24"/>
          <w:szCs w:val="24"/>
        </w:rPr>
        <w:t>DRTD</w:t>
      </w:r>
      <w:r w:rsidRPr="00D84B14">
        <w:rPr>
          <w:sz w:val="24"/>
          <w:szCs w:val="24"/>
        </w:rPr>
        <w:t xml:space="preserve"> </w:t>
      </w:r>
      <w:r w:rsidR="0001795E" w:rsidRPr="00D84B14">
        <w:rPr>
          <w:sz w:val="24"/>
          <w:szCs w:val="24"/>
        </w:rPr>
        <w:t>will</w:t>
      </w:r>
      <w:r w:rsidR="0001795E" w:rsidRPr="009158C8">
        <w:rPr>
          <w:sz w:val="24"/>
          <w:szCs w:val="24"/>
        </w:rPr>
        <w:t xml:space="preserve"> significantly boost the </w:t>
      </w:r>
      <w:r w:rsidR="00496C27" w:rsidRPr="009158C8">
        <w:rPr>
          <w:sz w:val="24"/>
          <w:szCs w:val="24"/>
        </w:rPr>
        <w:t xml:space="preserve">needed </w:t>
      </w:r>
      <w:r w:rsidR="0001795E" w:rsidRPr="00D84B14">
        <w:rPr>
          <w:sz w:val="24"/>
          <w:szCs w:val="24"/>
        </w:rPr>
        <w:t xml:space="preserve">mutual interdependence and cooperation </w:t>
      </w:r>
      <w:r w:rsidR="00496C27" w:rsidRPr="00D84B14">
        <w:rPr>
          <w:sz w:val="24"/>
          <w:szCs w:val="24"/>
        </w:rPr>
        <w:t xml:space="preserve">of all States </w:t>
      </w:r>
      <w:r w:rsidR="00057F7E" w:rsidRPr="00D84B14">
        <w:rPr>
          <w:sz w:val="24"/>
          <w:szCs w:val="24"/>
        </w:rPr>
        <w:t>to</w:t>
      </w:r>
      <w:r w:rsidR="0001795E" w:rsidRPr="00D84B14">
        <w:rPr>
          <w:sz w:val="24"/>
          <w:szCs w:val="24"/>
        </w:rPr>
        <w:t xml:space="preserve"> achieve </w:t>
      </w:r>
      <w:r w:rsidR="00057F7E" w:rsidRPr="00D84B14">
        <w:rPr>
          <w:sz w:val="24"/>
          <w:szCs w:val="24"/>
        </w:rPr>
        <w:t xml:space="preserve">the </w:t>
      </w:r>
      <w:r w:rsidR="00DF3774" w:rsidRPr="00D84B14">
        <w:rPr>
          <w:sz w:val="24"/>
          <w:szCs w:val="24"/>
        </w:rPr>
        <w:t xml:space="preserve">targets of SDG </w:t>
      </w:r>
      <w:r w:rsidR="0001795E" w:rsidRPr="00D84B14">
        <w:rPr>
          <w:sz w:val="24"/>
          <w:szCs w:val="24"/>
        </w:rPr>
        <w:t xml:space="preserve">3. </w:t>
      </w:r>
      <w:r w:rsidR="00496C27" w:rsidRPr="00D84B14">
        <w:rPr>
          <w:sz w:val="24"/>
          <w:szCs w:val="24"/>
        </w:rPr>
        <w:t>R</w:t>
      </w:r>
      <w:r w:rsidR="00496C27" w:rsidRPr="009158C8">
        <w:rPr>
          <w:sz w:val="24"/>
          <w:szCs w:val="24"/>
        </w:rPr>
        <w:t xml:space="preserve">elated to the duty of States to cooperate internationally to implement the SDGs is the need to create policy space for developing and least-developed countries to pursue their development priorities </w:t>
      </w:r>
      <w:r w:rsidR="0037303F" w:rsidRPr="009158C8">
        <w:rPr>
          <w:sz w:val="24"/>
          <w:szCs w:val="24"/>
        </w:rPr>
        <w:t xml:space="preserve">within an </w:t>
      </w:r>
      <w:r w:rsidR="00496C27" w:rsidRPr="009158C8">
        <w:rPr>
          <w:sz w:val="24"/>
          <w:szCs w:val="24"/>
        </w:rPr>
        <w:t xml:space="preserve">international </w:t>
      </w:r>
      <w:r w:rsidR="0037303F" w:rsidRPr="009158C8">
        <w:rPr>
          <w:sz w:val="24"/>
          <w:szCs w:val="24"/>
        </w:rPr>
        <w:t xml:space="preserve">system that </w:t>
      </w:r>
      <w:r w:rsidR="00496C27" w:rsidRPr="009158C8">
        <w:rPr>
          <w:sz w:val="24"/>
          <w:szCs w:val="24"/>
        </w:rPr>
        <w:t>promote</w:t>
      </w:r>
      <w:r w:rsidR="0037303F" w:rsidRPr="009158C8">
        <w:rPr>
          <w:sz w:val="24"/>
          <w:szCs w:val="24"/>
        </w:rPr>
        <w:t>s</w:t>
      </w:r>
      <w:r w:rsidR="00496C27" w:rsidRPr="009158C8">
        <w:rPr>
          <w:sz w:val="24"/>
          <w:szCs w:val="24"/>
        </w:rPr>
        <w:t xml:space="preserve"> the r</w:t>
      </w:r>
      <w:r w:rsidR="0037303F" w:rsidRPr="009158C8">
        <w:rPr>
          <w:sz w:val="24"/>
          <w:szCs w:val="24"/>
        </w:rPr>
        <w:t>ight to development of everyone. O</w:t>
      </w:r>
      <w:r w:rsidR="00496C27" w:rsidRPr="009158C8">
        <w:rPr>
          <w:sz w:val="24"/>
          <w:szCs w:val="24"/>
        </w:rPr>
        <w:t xml:space="preserve">perationalizing </w:t>
      </w:r>
      <w:r w:rsidR="00DF3774" w:rsidRPr="009158C8">
        <w:rPr>
          <w:sz w:val="24"/>
          <w:szCs w:val="24"/>
        </w:rPr>
        <w:t xml:space="preserve">the </w:t>
      </w:r>
      <w:r w:rsidR="00496C27" w:rsidRPr="009158C8">
        <w:rPr>
          <w:sz w:val="24"/>
          <w:szCs w:val="24"/>
        </w:rPr>
        <w:t xml:space="preserve">RtD means that States are required to take </w:t>
      </w:r>
      <w:r w:rsidR="0037303F" w:rsidRPr="009158C8">
        <w:rPr>
          <w:sz w:val="24"/>
          <w:szCs w:val="24"/>
        </w:rPr>
        <w:t xml:space="preserve">relevant </w:t>
      </w:r>
      <w:r w:rsidR="00496C27" w:rsidRPr="009158C8">
        <w:rPr>
          <w:sz w:val="24"/>
          <w:szCs w:val="24"/>
        </w:rPr>
        <w:t xml:space="preserve">actions </w:t>
      </w:r>
      <w:r w:rsidR="0037303F" w:rsidRPr="009158C8">
        <w:rPr>
          <w:sz w:val="24"/>
          <w:szCs w:val="24"/>
        </w:rPr>
        <w:t>towards achieving the SDGs and the targ</w:t>
      </w:r>
      <w:r w:rsidR="00341C45" w:rsidRPr="009158C8">
        <w:rPr>
          <w:sz w:val="24"/>
          <w:szCs w:val="24"/>
        </w:rPr>
        <w:t xml:space="preserve">ets while </w:t>
      </w:r>
      <w:r w:rsidR="005606C0" w:rsidRPr="009158C8">
        <w:rPr>
          <w:sz w:val="24"/>
          <w:szCs w:val="24"/>
        </w:rPr>
        <w:t xml:space="preserve">living up to </w:t>
      </w:r>
      <w:r w:rsidR="0037303F" w:rsidRPr="009158C8">
        <w:rPr>
          <w:sz w:val="24"/>
          <w:szCs w:val="24"/>
        </w:rPr>
        <w:t xml:space="preserve">their normative obligations </w:t>
      </w:r>
      <w:r w:rsidR="00341C45" w:rsidRPr="009158C8">
        <w:rPr>
          <w:sz w:val="24"/>
          <w:szCs w:val="24"/>
        </w:rPr>
        <w:t>as members of i</w:t>
      </w:r>
      <w:r w:rsidR="0037303F" w:rsidRPr="009158C8">
        <w:rPr>
          <w:sz w:val="24"/>
          <w:szCs w:val="24"/>
        </w:rPr>
        <w:t xml:space="preserve">nter-governmental institutions like </w:t>
      </w:r>
      <w:r w:rsidR="005606C0" w:rsidRPr="009158C8">
        <w:rPr>
          <w:sz w:val="24"/>
          <w:szCs w:val="24"/>
        </w:rPr>
        <w:t xml:space="preserve">the </w:t>
      </w:r>
      <w:r w:rsidR="0037303F" w:rsidRPr="009158C8">
        <w:rPr>
          <w:sz w:val="24"/>
          <w:szCs w:val="24"/>
        </w:rPr>
        <w:t xml:space="preserve">WHO or the WTO. </w:t>
      </w:r>
      <w:r w:rsidR="00C74001" w:rsidRPr="009158C8">
        <w:rPr>
          <w:sz w:val="24"/>
          <w:szCs w:val="24"/>
        </w:rPr>
        <w:t xml:space="preserve">This is why, for instance, </w:t>
      </w:r>
      <w:r w:rsidR="00DF3774" w:rsidRPr="009158C8">
        <w:rPr>
          <w:sz w:val="24"/>
          <w:szCs w:val="24"/>
        </w:rPr>
        <w:t xml:space="preserve">the </w:t>
      </w:r>
      <w:r w:rsidR="00D84B14">
        <w:rPr>
          <w:sz w:val="24"/>
          <w:szCs w:val="24"/>
        </w:rPr>
        <w:t xml:space="preserve">“means of implementation” </w:t>
      </w:r>
      <w:r w:rsidR="00DF3774" w:rsidRPr="009158C8">
        <w:rPr>
          <w:sz w:val="24"/>
          <w:szCs w:val="24"/>
        </w:rPr>
        <w:t xml:space="preserve">targets of SDG </w:t>
      </w:r>
      <w:r w:rsidR="00C74001" w:rsidRPr="009158C8">
        <w:rPr>
          <w:sz w:val="24"/>
          <w:szCs w:val="24"/>
        </w:rPr>
        <w:t xml:space="preserve">3 include strengthening the </w:t>
      </w:r>
      <w:r w:rsidR="00C74001" w:rsidRPr="009158C8">
        <w:rPr>
          <w:sz w:val="24"/>
          <w:szCs w:val="24"/>
          <w:lang w:val="en-MY"/>
        </w:rPr>
        <w:t xml:space="preserve">implementation of WHO Framework Convention on Tobacco </w:t>
      </w:r>
      <w:proofErr w:type="gramStart"/>
      <w:r w:rsidR="00C74001" w:rsidRPr="009158C8">
        <w:rPr>
          <w:sz w:val="24"/>
          <w:szCs w:val="24"/>
          <w:lang w:val="en-MY"/>
        </w:rPr>
        <w:t>Control, and</w:t>
      </w:r>
      <w:proofErr w:type="gramEnd"/>
      <w:r w:rsidR="00C74001" w:rsidRPr="009158C8">
        <w:rPr>
          <w:sz w:val="24"/>
          <w:szCs w:val="24"/>
          <w:lang w:val="en-MY"/>
        </w:rPr>
        <w:t xml:space="preserve"> providing access to affordable essential medicines and vaccines in accordance with the Doha Declaration on the TRIPS and Public Health, two normative frameworks within the mandates of the WHO and </w:t>
      </w:r>
      <w:r w:rsidR="00E0455D" w:rsidRPr="009158C8">
        <w:rPr>
          <w:sz w:val="24"/>
          <w:szCs w:val="24"/>
          <w:lang w:val="en-MY"/>
        </w:rPr>
        <w:t xml:space="preserve">the </w:t>
      </w:r>
      <w:r w:rsidR="00C74001" w:rsidRPr="009158C8">
        <w:rPr>
          <w:sz w:val="24"/>
          <w:szCs w:val="24"/>
          <w:lang w:val="en-MY"/>
        </w:rPr>
        <w:t xml:space="preserve">WTO. </w:t>
      </w:r>
      <w:r w:rsidR="00E10B0E" w:rsidRPr="009158C8">
        <w:rPr>
          <w:sz w:val="24"/>
          <w:szCs w:val="24"/>
          <w:lang w:val="en-MY"/>
        </w:rPr>
        <w:t xml:space="preserve">The 2001 Doha Declaration on the TRIPS </w:t>
      </w:r>
      <w:r w:rsidR="00341C45" w:rsidRPr="009158C8">
        <w:rPr>
          <w:sz w:val="24"/>
          <w:szCs w:val="24"/>
          <w:lang w:val="en-MY"/>
        </w:rPr>
        <w:t xml:space="preserve">Agreement </w:t>
      </w:r>
      <w:r w:rsidR="00E10B0E" w:rsidRPr="009158C8">
        <w:rPr>
          <w:sz w:val="24"/>
          <w:szCs w:val="24"/>
          <w:lang w:val="en-MY"/>
        </w:rPr>
        <w:t xml:space="preserve">and Public Health was a major victory for developing countries at the World Trade Organization. The Declaration was unanimously adopted by </w:t>
      </w:r>
      <w:r w:rsidR="00341C45" w:rsidRPr="009158C8">
        <w:rPr>
          <w:sz w:val="24"/>
          <w:szCs w:val="24"/>
          <w:lang w:val="en-MY"/>
        </w:rPr>
        <w:t xml:space="preserve">the </w:t>
      </w:r>
      <w:r w:rsidR="00E10B0E" w:rsidRPr="009158C8">
        <w:rPr>
          <w:sz w:val="24"/>
          <w:szCs w:val="24"/>
          <w:lang w:val="en-MY"/>
        </w:rPr>
        <w:t xml:space="preserve">WTO member states (Ministerial Conference) after years of sustained agitation by developing countries supported by </w:t>
      </w:r>
      <w:r w:rsidR="00E10B0E" w:rsidRPr="009158C8">
        <w:rPr>
          <w:sz w:val="24"/>
          <w:szCs w:val="24"/>
          <w:lang w:val="en-MY"/>
        </w:rPr>
        <w:lastRenderedPageBreak/>
        <w:t>leading civil society org</w:t>
      </w:r>
      <w:r w:rsidR="00341C45" w:rsidRPr="009158C8">
        <w:rPr>
          <w:sz w:val="24"/>
          <w:szCs w:val="24"/>
          <w:lang w:val="en-MY"/>
        </w:rPr>
        <w:t xml:space="preserve">anizations that patents were </w:t>
      </w:r>
      <w:r w:rsidR="00E10B0E" w:rsidRPr="009158C8">
        <w:rPr>
          <w:sz w:val="24"/>
          <w:szCs w:val="24"/>
          <w:lang w:val="en-MY"/>
        </w:rPr>
        <w:t xml:space="preserve">impeding access to essential medicines (right to health/life) in </w:t>
      </w:r>
      <w:r w:rsidR="00013187" w:rsidRPr="009158C8">
        <w:rPr>
          <w:sz w:val="24"/>
          <w:szCs w:val="24"/>
          <w:lang w:val="en-MY"/>
        </w:rPr>
        <w:t xml:space="preserve">most </w:t>
      </w:r>
      <w:r w:rsidR="00E10B0E" w:rsidRPr="009158C8">
        <w:rPr>
          <w:sz w:val="24"/>
          <w:szCs w:val="24"/>
          <w:lang w:val="en-MY"/>
        </w:rPr>
        <w:t xml:space="preserve">developing countries. </w:t>
      </w:r>
      <w:r w:rsidR="00013187" w:rsidRPr="009158C8">
        <w:rPr>
          <w:sz w:val="24"/>
          <w:szCs w:val="24"/>
          <w:lang w:val="en-MY"/>
        </w:rPr>
        <w:t xml:space="preserve">The Declaration, among others, affirmed that TRIPS should be interpreted and implemented in a manner supportive of WTO Members’ right </w:t>
      </w:r>
      <w:r w:rsidR="005606C0" w:rsidRPr="009158C8">
        <w:rPr>
          <w:sz w:val="24"/>
          <w:szCs w:val="24"/>
          <w:lang w:val="en-MY"/>
        </w:rPr>
        <w:t xml:space="preserve">and duty </w:t>
      </w:r>
      <w:r w:rsidR="00013187" w:rsidRPr="009158C8">
        <w:rPr>
          <w:sz w:val="24"/>
          <w:szCs w:val="24"/>
          <w:lang w:val="en-MY"/>
        </w:rPr>
        <w:t>to protect p</w:t>
      </w:r>
      <w:r w:rsidR="00341C45" w:rsidRPr="009158C8">
        <w:rPr>
          <w:sz w:val="24"/>
          <w:szCs w:val="24"/>
          <w:lang w:val="en-MY"/>
        </w:rPr>
        <w:t xml:space="preserve">ublic health, </w:t>
      </w:r>
      <w:proofErr w:type="gramStart"/>
      <w:r w:rsidR="00341C45" w:rsidRPr="009158C8">
        <w:rPr>
          <w:sz w:val="24"/>
          <w:szCs w:val="24"/>
          <w:lang w:val="en-MY"/>
        </w:rPr>
        <w:t>and in particular,</w:t>
      </w:r>
      <w:r w:rsidR="00013187" w:rsidRPr="009158C8">
        <w:rPr>
          <w:sz w:val="24"/>
          <w:szCs w:val="24"/>
          <w:lang w:val="en-MY"/>
        </w:rPr>
        <w:t xml:space="preserve"> to</w:t>
      </w:r>
      <w:proofErr w:type="gramEnd"/>
      <w:r w:rsidR="00013187" w:rsidRPr="009158C8">
        <w:rPr>
          <w:sz w:val="24"/>
          <w:szCs w:val="24"/>
          <w:lang w:val="en-MY"/>
        </w:rPr>
        <w:t xml:space="preserve"> promote access to medicines for all.</w:t>
      </w:r>
      <w:r w:rsidR="00E0455D" w:rsidRPr="009158C8">
        <w:rPr>
          <w:rStyle w:val="FootnoteReference"/>
          <w:sz w:val="24"/>
          <w:szCs w:val="24"/>
          <w:lang w:val="en-MY"/>
        </w:rPr>
        <w:footnoteReference w:id="57"/>
      </w:r>
      <w:r w:rsidR="00013187" w:rsidRPr="009158C8">
        <w:rPr>
          <w:sz w:val="24"/>
          <w:szCs w:val="24"/>
          <w:lang w:val="en-MY"/>
        </w:rPr>
        <w:t xml:space="preserve"> </w:t>
      </w:r>
      <w:r w:rsidR="003C4473" w:rsidRPr="009158C8">
        <w:rPr>
          <w:sz w:val="24"/>
          <w:szCs w:val="24"/>
          <w:lang w:val="en-MY"/>
        </w:rPr>
        <w:t>C</w:t>
      </w:r>
      <w:r w:rsidR="00013187" w:rsidRPr="009158C8">
        <w:rPr>
          <w:sz w:val="24"/>
          <w:szCs w:val="24"/>
          <w:lang w:val="en-MY"/>
        </w:rPr>
        <w:t>omplex</w:t>
      </w:r>
      <w:r w:rsidR="00FB1532" w:rsidRPr="009158C8">
        <w:rPr>
          <w:sz w:val="24"/>
          <w:szCs w:val="24"/>
          <w:lang w:val="en-MY"/>
        </w:rPr>
        <w:t xml:space="preserve"> interlinked trade-health-development-human rights i</w:t>
      </w:r>
      <w:r w:rsidR="00013187" w:rsidRPr="009158C8">
        <w:rPr>
          <w:sz w:val="24"/>
          <w:szCs w:val="24"/>
          <w:lang w:val="en-MY"/>
        </w:rPr>
        <w:t xml:space="preserve">ssues like TRIPS and public health and many others within the WTO </w:t>
      </w:r>
      <w:r w:rsidR="003C4473" w:rsidRPr="009158C8">
        <w:rPr>
          <w:sz w:val="24"/>
          <w:szCs w:val="24"/>
          <w:lang w:val="en-MY"/>
        </w:rPr>
        <w:t xml:space="preserve">catalysed the launch of </w:t>
      </w:r>
      <w:r w:rsidR="003C4473" w:rsidRPr="009158C8">
        <w:rPr>
          <w:sz w:val="24"/>
          <w:szCs w:val="24"/>
        </w:rPr>
        <w:t>The Doha Round of trade negotiations among th</w:t>
      </w:r>
      <w:r w:rsidR="00FB1532" w:rsidRPr="009158C8">
        <w:rPr>
          <w:sz w:val="24"/>
          <w:szCs w:val="24"/>
        </w:rPr>
        <w:t>e WTO member-states</w:t>
      </w:r>
      <w:r w:rsidR="003C4473" w:rsidRPr="009158C8">
        <w:rPr>
          <w:sz w:val="24"/>
          <w:szCs w:val="24"/>
        </w:rPr>
        <w:t xml:space="preserve"> in 2001. Known semi-officially as The Doha Development Agenda</w:t>
      </w:r>
      <w:r w:rsidR="00A972F3" w:rsidRPr="009158C8">
        <w:rPr>
          <w:sz w:val="24"/>
          <w:szCs w:val="24"/>
        </w:rPr>
        <w:t xml:space="preserve"> (DDA)</w:t>
      </w:r>
      <w:r w:rsidR="003C4473" w:rsidRPr="009158C8">
        <w:rPr>
          <w:sz w:val="24"/>
          <w:szCs w:val="24"/>
        </w:rPr>
        <w:t>,</w:t>
      </w:r>
      <w:r w:rsidR="00DF3774" w:rsidRPr="009158C8">
        <w:rPr>
          <w:rStyle w:val="FootnoteReference"/>
          <w:sz w:val="24"/>
          <w:szCs w:val="24"/>
        </w:rPr>
        <w:footnoteReference w:id="58"/>
      </w:r>
      <w:r w:rsidR="003C4473" w:rsidRPr="009158C8">
        <w:rPr>
          <w:sz w:val="24"/>
          <w:szCs w:val="24"/>
        </w:rPr>
        <w:t xml:space="preserve"> it aims to achieve major reform of the international trading system with a fundamental objective to improve the trading prospects of developing countries. </w:t>
      </w:r>
      <w:r w:rsidR="000E15EE" w:rsidRPr="009158C8">
        <w:rPr>
          <w:sz w:val="24"/>
          <w:szCs w:val="24"/>
        </w:rPr>
        <w:t xml:space="preserve">What is urgently needed </w:t>
      </w:r>
      <w:r w:rsidR="00A972F3" w:rsidRPr="009158C8">
        <w:rPr>
          <w:sz w:val="24"/>
          <w:szCs w:val="24"/>
        </w:rPr>
        <w:t xml:space="preserve">for the DDA to make progress </w:t>
      </w:r>
      <w:r w:rsidR="000E15EE" w:rsidRPr="009158C8">
        <w:rPr>
          <w:sz w:val="24"/>
          <w:szCs w:val="24"/>
        </w:rPr>
        <w:t>is recognition of the stark disparities</w:t>
      </w:r>
      <w:r w:rsidR="00341C45" w:rsidRPr="009158C8">
        <w:rPr>
          <w:sz w:val="24"/>
          <w:szCs w:val="24"/>
        </w:rPr>
        <w:t xml:space="preserve"> and inequalities </w:t>
      </w:r>
      <w:r w:rsidR="000E15EE" w:rsidRPr="009158C8">
        <w:rPr>
          <w:sz w:val="24"/>
          <w:szCs w:val="24"/>
        </w:rPr>
        <w:t>between countries</w:t>
      </w:r>
      <w:r w:rsidR="005606C0" w:rsidRPr="009158C8">
        <w:rPr>
          <w:sz w:val="24"/>
          <w:szCs w:val="24"/>
        </w:rPr>
        <w:t xml:space="preserve"> (now explicitly recognized with a commitment to </w:t>
      </w:r>
      <w:r w:rsidR="00DF3774" w:rsidRPr="009158C8">
        <w:rPr>
          <w:sz w:val="24"/>
          <w:szCs w:val="24"/>
        </w:rPr>
        <w:t>reducing inequalities in SDG 10,</w:t>
      </w:r>
      <w:r w:rsidR="000E15EE" w:rsidRPr="009158C8">
        <w:rPr>
          <w:sz w:val="24"/>
          <w:szCs w:val="24"/>
        </w:rPr>
        <w:t xml:space="preserve"> </w:t>
      </w:r>
      <w:r w:rsidR="00A972F3" w:rsidRPr="009158C8">
        <w:rPr>
          <w:sz w:val="24"/>
          <w:szCs w:val="24"/>
        </w:rPr>
        <w:t xml:space="preserve">followed by </w:t>
      </w:r>
      <w:r w:rsidR="000E15EE" w:rsidRPr="009158C8">
        <w:rPr>
          <w:sz w:val="24"/>
          <w:szCs w:val="24"/>
        </w:rPr>
        <w:t xml:space="preserve">policy space and incentives </w:t>
      </w:r>
      <w:r w:rsidR="00A972F3" w:rsidRPr="009158C8">
        <w:rPr>
          <w:sz w:val="24"/>
          <w:szCs w:val="24"/>
        </w:rPr>
        <w:t xml:space="preserve">to enable countries at different stages of development </w:t>
      </w:r>
      <w:r w:rsidR="005606C0" w:rsidRPr="009158C8">
        <w:rPr>
          <w:sz w:val="24"/>
          <w:szCs w:val="24"/>
        </w:rPr>
        <w:t xml:space="preserve">to </w:t>
      </w:r>
      <w:r w:rsidR="00A972F3" w:rsidRPr="009158C8">
        <w:rPr>
          <w:sz w:val="24"/>
          <w:szCs w:val="24"/>
        </w:rPr>
        <w:t>strengthen their institutional capacities</w:t>
      </w:r>
      <w:r w:rsidR="00A00D25" w:rsidRPr="009158C8">
        <w:rPr>
          <w:sz w:val="24"/>
          <w:szCs w:val="24"/>
        </w:rPr>
        <w:t xml:space="preserve"> in line with the “special and differential treatment” provisions codified in many trade agreements enforced by the WTO</w:t>
      </w:r>
      <w:r w:rsidR="00A972F3" w:rsidRPr="009158C8">
        <w:rPr>
          <w:sz w:val="24"/>
          <w:szCs w:val="24"/>
        </w:rPr>
        <w:t>.</w:t>
      </w:r>
      <w:r w:rsidR="00565487" w:rsidRPr="009158C8">
        <w:rPr>
          <w:rStyle w:val="FootnoteReference"/>
          <w:sz w:val="24"/>
          <w:szCs w:val="24"/>
        </w:rPr>
        <w:footnoteReference w:id="59"/>
      </w:r>
      <w:r w:rsidR="00A972F3" w:rsidRPr="009158C8">
        <w:rPr>
          <w:sz w:val="24"/>
          <w:szCs w:val="24"/>
        </w:rPr>
        <w:t xml:space="preserve"> </w:t>
      </w:r>
    </w:p>
    <w:p w14:paraId="4134D7DC" w14:textId="77777777" w:rsidR="00DF3774" w:rsidRPr="009158C8" w:rsidRDefault="00DF3774" w:rsidP="002A190B">
      <w:pPr>
        <w:pStyle w:val="FootnoteText"/>
        <w:jc w:val="both"/>
        <w:rPr>
          <w:sz w:val="24"/>
          <w:szCs w:val="24"/>
          <w:lang w:val="en-MY"/>
        </w:rPr>
      </w:pPr>
    </w:p>
    <w:p w14:paraId="2349F66E" w14:textId="77777777" w:rsidR="005B528E" w:rsidRPr="009158C8" w:rsidRDefault="00BD43E2" w:rsidP="002A190B">
      <w:pPr>
        <w:pStyle w:val="FootnoteText"/>
        <w:jc w:val="both"/>
        <w:rPr>
          <w:sz w:val="24"/>
          <w:szCs w:val="24"/>
        </w:rPr>
      </w:pPr>
      <w:r w:rsidRPr="009158C8">
        <w:rPr>
          <w:sz w:val="24"/>
          <w:szCs w:val="24"/>
          <w:lang w:val="en-MY"/>
        </w:rPr>
        <w:t xml:space="preserve">The five transformative shifts that underpin the </w:t>
      </w:r>
      <w:r w:rsidR="0001795E" w:rsidRPr="009158C8">
        <w:rPr>
          <w:sz w:val="24"/>
          <w:szCs w:val="24"/>
          <w:lang w:val="en-MY"/>
        </w:rPr>
        <w:t xml:space="preserve">17 </w:t>
      </w:r>
      <w:r w:rsidRPr="009158C8">
        <w:rPr>
          <w:sz w:val="24"/>
          <w:szCs w:val="24"/>
          <w:lang w:val="en-MY"/>
        </w:rPr>
        <w:t xml:space="preserve">SDGs, and </w:t>
      </w:r>
      <w:r w:rsidR="00A00D25" w:rsidRPr="009158C8">
        <w:rPr>
          <w:sz w:val="24"/>
          <w:szCs w:val="24"/>
          <w:lang w:val="en-MY"/>
        </w:rPr>
        <w:t>some</w:t>
      </w:r>
      <w:r w:rsidRPr="009158C8">
        <w:rPr>
          <w:sz w:val="24"/>
          <w:szCs w:val="24"/>
          <w:lang w:val="en-MY"/>
        </w:rPr>
        <w:t xml:space="preserve"> of the targets </w:t>
      </w:r>
      <w:r w:rsidR="00DF3774" w:rsidRPr="009158C8">
        <w:rPr>
          <w:sz w:val="24"/>
          <w:szCs w:val="24"/>
          <w:lang w:val="en-MY"/>
        </w:rPr>
        <w:t xml:space="preserve">of SDG </w:t>
      </w:r>
      <w:r w:rsidR="0001795E" w:rsidRPr="009158C8">
        <w:rPr>
          <w:sz w:val="24"/>
          <w:szCs w:val="24"/>
          <w:lang w:val="en-MY"/>
        </w:rPr>
        <w:t xml:space="preserve">3 </w:t>
      </w:r>
      <w:r w:rsidR="00A00D25" w:rsidRPr="009158C8">
        <w:rPr>
          <w:sz w:val="24"/>
          <w:szCs w:val="24"/>
          <w:lang w:val="en-MY"/>
        </w:rPr>
        <w:t xml:space="preserve">and </w:t>
      </w:r>
      <w:proofErr w:type="gramStart"/>
      <w:r w:rsidR="00A00D25" w:rsidRPr="009158C8">
        <w:rPr>
          <w:sz w:val="24"/>
          <w:szCs w:val="24"/>
          <w:lang w:val="en-MY"/>
        </w:rPr>
        <w:t>a number of</w:t>
      </w:r>
      <w:proofErr w:type="gramEnd"/>
      <w:r w:rsidR="00A00D25" w:rsidRPr="009158C8">
        <w:rPr>
          <w:sz w:val="24"/>
          <w:szCs w:val="24"/>
          <w:lang w:val="en-MY"/>
        </w:rPr>
        <w:t xml:space="preserve"> the other 16 Goals </w:t>
      </w:r>
      <w:r w:rsidR="0001795E" w:rsidRPr="009158C8">
        <w:rPr>
          <w:sz w:val="24"/>
          <w:szCs w:val="24"/>
          <w:lang w:val="en-MY"/>
        </w:rPr>
        <w:t xml:space="preserve">are in tandem with </w:t>
      </w:r>
      <w:r w:rsidR="00DF3774" w:rsidRPr="009158C8">
        <w:rPr>
          <w:sz w:val="24"/>
          <w:szCs w:val="24"/>
          <w:lang w:val="en-MY"/>
        </w:rPr>
        <w:t>S</w:t>
      </w:r>
      <w:r w:rsidRPr="009158C8">
        <w:rPr>
          <w:sz w:val="24"/>
          <w:szCs w:val="24"/>
          <w:lang w:val="en-MY"/>
        </w:rPr>
        <w:t xml:space="preserve">tate obligations on the RtD. </w:t>
      </w:r>
      <w:r w:rsidR="005B528E" w:rsidRPr="009158C8">
        <w:rPr>
          <w:sz w:val="24"/>
          <w:szCs w:val="24"/>
        </w:rPr>
        <w:t>Article 8(1) of the D</w:t>
      </w:r>
      <w:r w:rsidR="00DF3774" w:rsidRPr="009158C8">
        <w:rPr>
          <w:sz w:val="24"/>
          <w:szCs w:val="24"/>
        </w:rPr>
        <w:t>RTD</w:t>
      </w:r>
      <w:r w:rsidR="005B528E" w:rsidRPr="009158C8">
        <w:rPr>
          <w:sz w:val="24"/>
          <w:szCs w:val="24"/>
        </w:rPr>
        <w:t xml:space="preserve"> states that:</w:t>
      </w:r>
    </w:p>
    <w:p w14:paraId="677F95D4" w14:textId="77777777" w:rsidR="00DF3774" w:rsidRPr="009158C8" w:rsidRDefault="00DF3774" w:rsidP="002A190B">
      <w:pPr>
        <w:pStyle w:val="FootnoteText"/>
        <w:jc w:val="both"/>
        <w:rPr>
          <w:sz w:val="24"/>
          <w:szCs w:val="24"/>
        </w:rPr>
      </w:pPr>
    </w:p>
    <w:p w14:paraId="24A3C4E0" w14:textId="77777777" w:rsidR="005B528E" w:rsidRPr="009158C8" w:rsidRDefault="005B528E" w:rsidP="002A190B">
      <w:pPr>
        <w:pStyle w:val="FootnoteText"/>
        <w:ind w:left="851" w:right="851"/>
        <w:jc w:val="both"/>
        <w:rPr>
          <w:sz w:val="24"/>
          <w:szCs w:val="24"/>
        </w:rPr>
      </w:pPr>
      <w:r w:rsidRPr="009158C8">
        <w:rPr>
          <w:sz w:val="22"/>
          <w:szCs w:val="22"/>
        </w:rPr>
        <w:t>States should undertake, at the national level, all necessary measures for the realization of the right to development and shall ensure, inter alia, equality of opportunity for all in their access to basic resources, education, health services, food, housing, employment and the fair distribution of income.  Effective measures should be undertaken to ensure that women have an active role in the development process.  Appropriate economic and social reforms should be carried out with a view to eradicating all social injustices</w:t>
      </w:r>
      <w:r w:rsidRPr="009158C8">
        <w:rPr>
          <w:sz w:val="24"/>
          <w:szCs w:val="24"/>
        </w:rPr>
        <w:t>.</w:t>
      </w:r>
      <w:r w:rsidR="00D411B2" w:rsidRPr="009158C8">
        <w:rPr>
          <w:rStyle w:val="FootnoteReference"/>
          <w:sz w:val="24"/>
          <w:szCs w:val="24"/>
        </w:rPr>
        <w:footnoteReference w:id="60"/>
      </w:r>
    </w:p>
    <w:p w14:paraId="39C49D91" w14:textId="77777777" w:rsidR="00552C97" w:rsidRPr="009158C8" w:rsidRDefault="00BD43E2" w:rsidP="002A190B">
      <w:pPr>
        <w:pStyle w:val="FootnoteText"/>
        <w:jc w:val="both"/>
        <w:rPr>
          <w:sz w:val="24"/>
          <w:szCs w:val="24"/>
          <w:lang w:val="en-MY"/>
        </w:rPr>
      </w:pPr>
      <w:r w:rsidRPr="009158C8">
        <w:rPr>
          <w:sz w:val="24"/>
          <w:szCs w:val="24"/>
          <w:lang w:val="en-MY"/>
        </w:rPr>
        <w:t xml:space="preserve"> </w:t>
      </w:r>
    </w:p>
    <w:p w14:paraId="46DD957F" w14:textId="3E750DDB" w:rsidR="005B528E" w:rsidRPr="009158C8" w:rsidRDefault="005B528E" w:rsidP="002A190B">
      <w:pPr>
        <w:pStyle w:val="FootnoteText"/>
        <w:jc w:val="both"/>
        <w:rPr>
          <w:sz w:val="24"/>
          <w:szCs w:val="24"/>
        </w:rPr>
      </w:pPr>
      <w:r w:rsidRPr="009158C8">
        <w:rPr>
          <w:sz w:val="24"/>
          <w:szCs w:val="24"/>
        </w:rPr>
        <w:t xml:space="preserve">Successful implementation of the SDGs in 2030 would largely depend on </w:t>
      </w:r>
      <w:r w:rsidR="003848CA" w:rsidRPr="009158C8">
        <w:rPr>
          <w:sz w:val="24"/>
          <w:szCs w:val="24"/>
        </w:rPr>
        <w:t>whether stat</w:t>
      </w:r>
      <w:r w:rsidRPr="009158C8">
        <w:rPr>
          <w:sz w:val="24"/>
          <w:szCs w:val="24"/>
        </w:rPr>
        <w:t>e</w:t>
      </w:r>
      <w:r w:rsidR="00D84B14">
        <w:rPr>
          <w:sz w:val="24"/>
          <w:szCs w:val="24"/>
        </w:rPr>
        <w:t>s adopt and pragmatically operationalize the RtD</w:t>
      </w:r>
      <w:r w:rsidR="00FC277A" w:rsidRPr="009158C8">
        <w:rPr>
          <w:sz w:val="24"/>
          <w:szCs w:val="24"/>
        </w:rPr>
        <w:t xml:space="preserve"> by en</w:t>
      </w:r>
      <w:r w:rsidRPr="009158C8">
        <w:rPr>
          <w:sz w:val="24"/>
          <w:szCs w:val="24"/>
        </w:rPr>
        <w:t>courag</w:t>
      </w:r>
      <w:r w:rsidR="00FC277A" w:rsidRPr="009158C8">
        <w:rPr>
          <w:sz w:val="24"/>
          <w:szCs w:val="24"/>
        </w:rPr>
        <w:t xml:space="preserve">ing </w:t>
      </w:r>
      <w:r w:rsidRPr="009158C8">
        <w:rPr>
          <w:sz w:val="24"/>
          <w:szCs w:val="24"/>
        </w:rPr>
        <w:t>popular participation in</w:t>
      </w:r>
      <w:r w:rsidR="00A00D25" w:rsidRPr="009158C8">
        <w:rPr>
          <w:sz w:val="24"/>
          <w:szCs w:val="24"/>
        </w:rPr>
        <w:t xml:space="preserve"> their development agendas, and in </w:t>
      </w:r>
      <w:r w:rsidRPr="009158C8">
        <w:rPr>
          <w:sz w:val="24"/>
          <w:szCs w:val="24"/>
        </w:rPr>
        <w:t xml:space="preserve">full realization of all </w:t>
      </w:r>
      <w:r w:rsidR="00A00D25" w:rsidRPr="009158C8">
        <w:rPr>
          <w:sz w:val="24"/>
          <w:szCs w:val="24"/>
        </w:rPr>
        <w:t xml:space="preserve">(indivisible and interdependent) </w:t>
      </w:r>
      <w:r w:rsidRPr="009158C8">
        <w:rPr>
          <w:sz w:val="24"/>
          <w:szCs w:val="24"/>
        </w:rPr>
        <w:t xml:space="preserve">human rights. </w:t>
      </w:r>
      <w:r w:rsidR="003848CA" w:rsidRPr="009158C8">
        <w:rPr>
          <w:sz w:val="24"/>
          <w:szCs w:val="24"/>
        </w:rPr>
        <w:t xml:space="preserve">Operationalizing </w:t>
      </w:r>
      <w:r w:rsidR="00DF3774" w:rsidRPr="009158C8">
        <w:rPr>
          <w:sz w:val="24"/>
          <w:szCs w:val="24"/>
        </w:rPr>
        <w:t xml:space="preserve">the </w:t>
      </w:r>
      <w:r w:rsidR="003848CA" w:rsidRPr="009158C8">
        <w:rPr>
          <w:sz w:val="24"/>
          <w:szCs w:val="24"/>
        </w:rPr>
        <w:t xml:space="preserve">RtD on health and well-being </w:t>
      </w:r>
      <w:r w:rsidR="003848CA" w:rsidRPr="00D84B14">
        <w:rPr>
          <w:sz w:val="24"/>
          <w:szCs w:val="24"/>
        </w:rPr>
        <w:t>requires an RtD impact assessment of the 13 health targets of SDG</w:t>
      </w:r>
      <w:r w:rsidR="00DF3774" w:rsidRPr="00D84B14">
        <w:rPr>
          <w:sz w:val="24"/>
          <w:szCs w:val="24"/>
        </w:rPr>
        <w:t xml:space="preserve"> </w:t>
      </w:r>
      <w:r w:rsidR="003848CA" w:rsidRPr="00D84B14">
        <w:rPr>
          <w:sz w:val="24"/>
          <w:szCs w:val="24"/>
        </w:rPr>
        <w:t xml:space="preserve">3 </w:t>
      </w:r>
      <w:r w:rsidR="00A00D25" w:rsidRPr="00D84B14">
        <w:rPr>
          <w:sz w:val="24"/>
          <w:szCs w:val="24"/>
        </w:rPr>
        <w:t>as well as other</w:t>
      </w:r>
      <w:r w:rsidR="00A00D25" w:rsidRPr="009158C8">
        <w:rPr>
          <w:sz w:val="24"/>
          <w:szCs w:val="24"/>
        </w:rPr>
        <w:t xml:space="preserve"> SDGs </w:t>
      </w:r>
      <w:r w:rsidR="003848CA" w:rsidRPr="009158C8">
        <w:rPr>
          <w:sz w:val="24"/>
          <w:szCs w:val="24"/>
        </w:rPr>
        <w:t>focusing on the opportunities and impediments of both the</w:t>
      </w:r>
      <w:r w:rsidR="000D2B15" w:rsidRPr="009158C8">
        <w:rPr>
          <w:sz w:val="24"/>
          <w:szCs w:val="24"/>
        </w:rPr>
        <w:t>ir</w:t>
      </w:r>
      <w:r w:rsidR="003848CA" w:rsidRPr="009158C8">
        <w:rPr>
          <w:sz w:val="24"/>
          <w:szCs w:val="24"/>
        </w:rPr>
        <w:t xml:space="preserve"> national and international implementation. Unless the </w:t>
      </w:r>
      <w:r w:rsidR="003848CA" w:rsidRPr="00D84B14">
        <w:rPr>
          <w:sz w:val="24"/>
          <w:szCs w:val="24"/>
        </w:rPr>
        <w:t>permissive environments necessary for implementing the health-related goals are created at both national and international levels</w:t>
      </w:r>
      <w:r w:rsidR="00A1355D" w:rsidRPr="00D84B14">
        <w:rPr>
          <w:sz w:val="24"/>
          <w:szCs w:val="24"/>
        </w:rPr>
        <w:t xml:space="preserve"> following a holistic </w:t>
      </w:r>
      <w:r w:rsidR="00D84B14" w:rsidRPr="00D84B14">
        <w:rPr>
          <w:sz w:val="24"/>
          <w:szCs w:val="24"/>
        </w:rPr>
        <w:t xml:space="preserve">operationalization of the </w:t>
      </w:r>
      <w:r w:rsidR="00A1355D" w:rsidRPr="00D84B14">
        <w:rPr>
          <w:sz w:val="24"/>
          <w:szCs w:val="24"/>
        </w:rPr>
        <w:t>RtD,</w:t>
      </w:r>
      <w:r w:rsidR="003848CA" w:rsidRPr="009158C8">
        <w:rPr>
          <w:sz w:val="24"/>
          <w:szCs w:val="24"/>
        </w:rPr>
        <w:t xml:space="preserve"> it would </w:t>
      </w:r>
      <w:r w:rsidR="00A00D25" w:rsidRPr="009158C8">
        <w:rPr>
          <w:sz w:val="24"/>
          <w:szCs w:val="24"/>
        </w:rPr>
        <w:t xml:space="preserve">be difficult </w:t>
      </w:r>
      <w:r w:rsidR="003848CA" w:rsidRPr="009158C8">
        <w:rPr>
          <w:sz w:val="24"/>
          <w:szCs w:val="24"/>
        </w:rPr>
        <w:t xml:space="preserve">to achieve </w:t>
      </w:r>
      <w:r w:rsidR="00A1355D" w:rsidRPr="009158C8">
        <w:rPr>
          <w:sz w:val="24"/>
          <w:szCs w:val="24"/>
        </w:rPr>
        <w:t xml:space="preserve">much </w:t>
      </w:r>
      <w:r w:rsidR="003848CA" w:rsidRPr="009158C8">
        <w:rPr>
          <w:sz w:val="24"/>
          <w:szCs w:val="24"/>
        </w:rPr>
        <w:t>success</w:t>
      </w:r>
      <w:r w:rsidR="00A1355D" w:rsidRPr="009158C8">
        <w:rPr>
          <w:sz w:val="24"/>
          <w:szCs w:val="24"/>
        </w:rPr>
        <w:t xml:space="preserve"> in implementing </w:t>
      </w:r>
      <w:r w:rsidR="00DF1C0E" w:rsidRPr="009158C8">
        <w:rPr>
          <w:sz w:val="24"/>
          <w:szCs w:val="24"/>
        </w:rPr>
        <w:t xml:space="preserve">the health-related </w:t>
      </w:r>
      <w:r w:rsidR="00A1355D" w:rsidRPr="009158C8">
        <w:rPr>
          <w:sz w:val="24"/>
          <w:szCs w:val="24"/>
        </w:rPr>
        <w:t>SDGs</w:t>
      </w:r>
      <w:r w:rsidR="003848CA" w:rsidRPr="009158C8">
        <w:rPr>
          <w:sz w:val="24"/>
          <w:szCs w:val="24"/>
        </w:rPr>
        <w:t xml:space="preserve">. </w:t>
      </w:r>
      <w:r w:rsidR="00D411B2" w:rsidRPr="009158C8">
        <w:rPr>
          <w:sz w:val="24"/>
          <w:szCs w:val="24"/>
        </w:rPr>
        <w:t xml:space="preserve">The 2030 </w:t>
      </w:r>
      <w:r w:rsidR="00C71383" w:rsidRPr="009158C8">
        <w:rPr>
          <w:sz w:val="24"/>
          <w:szCs w:val="24"/>
        </w:rPr>
        <w:t xml:space="preserve">Agenda </w:t>
      </w:r>
      <w:r w:rsidR="0001795E" w:rsidRPr="009158C8">
        <w:rPr>
          <w:sz w:val="24"/>
          <w:szCs w:val="24"/>
        </w:rPr>
        <w:t xml:space="preserve">therefore </w:t>
      </w:r>
      <w:r w:rsidR="00C71383" w:rsidRPr="009158C8">
        <w:rPr>
          <w:sz w:val="24"/>
          <w:szCs w:val="24"/>
        </w:rPr>
        <w:t xml:space="preserve">needs to build the required synergies with existing human rights obligations, norms, and soft-law mechanisms notably the ICESCR, </w:t>
      </w:r>
      <w:r w:rsidR="00A1355D" w:rsidRPr="009158C8">
        <w:rPr>
          <w:sz w:val="24"/>
          <w:szCs w:val="24"/>
        </w:rPr>
        <w:t xml:space="preserve">the </w:t>
      </w:r>
      <w:r w:rsidR="00DF3774" w:rsidRPr="009158C8">
        <w:rPr>
          <w:sz w:val="24"/>
          <w:szCs w:val="24"/>
        </w:rPr>
        <w:t>DRTD</w:t>
      </w:r>
      <w:r w:rsidR="00A1355D" w:rsidRPr="009158C8">
        <w:rPr>
          <w:sz w:val="24"/>
          <w:szCs w:val="24"/>
        </w:rPr>
        <w:t xml:space="preserve">, </w:t>
      </w:r>
      <w:r w:rsidR="00C71383" w:rsidRPr="009158C8">
        <w:rPr>
          <w:sz w:val="24"/>
          <w:szCs w:val="24"/>
        </w:rPr>
        <w:t>relevant General Comments of UN Special Rapporteurs, and Comments by the relevant committees of UN Human Rights treaty bodies.</w:t>
      </w:r>
    </w:p>
    <w:p w14:paraId="3DBD1077" w14:textId="77777777" w:rsidR="00DF3774" w:rsidRPr="009158C8" w:rsidRDefault="00DF3774" w:rsidP="002A190B">
      <w:pPr>
        <w:pStyle w:val="FootnoteText"/>
        <w:jc w:val="both"/>
        <w:rPr>
          <w:sz w:val="24"/>
          <w:szCs w:val="24"/>
        </w:rPr>
      </w:pPr>
    </w:p>
    <w:p w14:paraId="192D6B37" w14:textId="77777777" w:rsidR="00101010" w:rsidRPr="009158C8" w:rsidRDefault="002A234D" w:rsidP="002A190B">
      <w:pPr>
        <w:pStyle w:val="FootnoteText"/>
        <w:jc w:val="both"/>
        <w:rPr>
          <w:sz w:val="24"/>
          <w:szCs w:val="24"/>
        </w:rPr>
      </w:pPr>
      <w:r w:rsidRPr="009158C8">
        <w:rPr>
          <w:sz w:val="24"/>
          <w:szCs w:val="24"/>
        </w:rPr>
        <w:lastRenderedPageBreak/>
        <w:t>Paradoxically, t</w:t>
      </w:r>
      <w:r w:rsidR="0099761B" w:rsidRPr="009158C8">
        <w:rPr>
          <w:sz w:val="24"/>
          <w:szCs w:val="24"/>
        </w:rPr>
        <w:t>he SDGs have been critiqued as being “unremi</w:t>
      </w:r>
      <w:r w:rsidR="00DD3F41" w:rsidRPr="009158C8">
        <w:rPr>
          <w:sz w:val="24"/>
          <w:szCs w:val="24"/>
        </w:rPr>
        <w:t>t</w:t>
      </w:r>
      <w:r w:rsidR="0099761B" w:rsidRPr="009158C8">
        <w:rPr>
          <w:sz w:val="24"/>
          <w:szCs w:val="24"/>
        </w:rPr>
        <w:t>t</w:t>
      </w:r>
      <w:r w:rsidR="00DD3F41" w:rsidRPr="009158C8">
        <w:rPr>
          <w:sz w:val="24"/>
          <w:szCs w:val="24"/>
        </w:rPr>
        <w:t>ingly</w:t>
      </w:r>
      <w:r w:rsidR="0099761B" w:rsidRPr="009158C8">
        <w:rPr>
          <w:sz w:val="24"/>
          <w:szCs w:val="24"/>
        </w:rPr>
        <w:t xml:space="preserve"> utopian”</w:t>
      </w:r>
      <w:r w:rsidR="00D411B2" w:rsidRPr="009158C8">
        <w:rPr>
          <w:rStyle w:val="FootnoteReference"/>
          <w:sz w:val="24"/>
          <w:szCs w:val="24"/>
        </w:rPr>
        <w:footnoteReference w:id="61"/>
      </w:r>
      <w:r w:rsidR="00D411B2" w:rsidRPr="009158C8">
        <w:rPr>
          <w:sz w:val="24"/>
          <w:szCs w:val="24"/>
        </w:rPr>
        <w:t>,</w:t>
      </w:r>
      <w:r w:rsidR="0099761B" w:rsidRPr="009158C8">
        <w:rPr>
          <w:sz w:val="24"/>
          <w:szCs w:val="24"/>
        </w:rPr>
        <w:t xml:space="preserve"> </w:t>
      </w:r>
      <w:r w:rsidR="00DD3F41" w:rsidRPr="009158C8">
        <w:rPr>
          <w:sz w:val="24"/>
          <w:szCs w:val="24"/>
        </w:rPr>
        <w:t>and praised as the “blueprint for a better future”</w:t>
      </w:r>
      <w:r w:rsidR="00445E2A" w:rsidRPr="009158C8">
        <w:rPr>
          <w:rStyle w:val="FootnoteReference"/>
          <w:sz w:val="24"/>
          <w:szCs w:val="24"/>
        </w:rPr>
        <w:footnoteReference w:id="62"/>
      </w:r>
      <w:r w:rsidR="00DD3F41" w:rsidRPr="009158C8">
        <w:rPr>
          <w:sz w:val="24"/>
          <w:szCs w:val="24"/>
        </w:rPr>
        <w:t xml:space="preserve">. </w:t>
      </w:r>
      <w:r w:rsidR="00021D76" w:rsidRPr="009158C8">
        <w:rPr>
          <w:sz w:val="24"/>
          <w:szCs w:val="24"/>
        </w:rPr>
        <w:t>Very f</w:t>
      </w:r>
      <w:r w:rsidR="00DD3F41" w:rsidRPr="009158C8">
        <w:rPr>
          <w:sz w:val="24"/>
          <w:szCs w:val="24"/>
        </w:rPr>
        <w:t xml:space="preserve">ew commentators and scholars have scrutinized SDG 3 </w:t>
      </w:r>
      <w:r w:rsidR="00021D76" w:rsidRPr="009158C8">
        <w:rPr>
          <w:sz w:val="24"/>
          <w:szCs w:val="24"/>
        </w:rPr>
        <w:t xml:space="preserve">or </w:t>
      </w:r>
      <w:r w:rsidR="00EF2BCF" w:rsidRPr="009158C8">
        <w:rPr>
          <w:sz w:val="24"/>
          <w:szCs w:val="24"/>
        </w:rPr>
        <w:t xml:space="preserve">all </w:t>
      </w:r>
      <w:r w:rsidR="00021D76" w:rsidRPr="009158C8">
        <w:rPr>
          <w:sz w:val="24"/>
          <w:szCs w:val="24"/>
        </w:rPr>
        <w:t xml:space="preserve">the SDGs </w:t>
      </w:r>
      <w:r w:rsidR="00DD3F41" w:rsidRPr="009158C8">
        <w:rPr>
          <w:sz w:val="24"/>
          <w:szCs w:val="24"/>
        </w:rPr>
        <w:t xml:space="preserve">in search of </w:t>
      </w:r>
      <w:r w:rsidR="00DF1C0E" w:rsidRPr="009158C8">
        <w:rPr>
          <w:sz w:val="24"/>
          <w:szCs w:val="24"/>
        </w:rPr>
        <w:t xml:space="preserve">pragmatic </w:t>
      </w:r>
      <w:r w:rsidR="00DD3F41" w:rsidRPr="009158C8">
        <w:rPr>
          <w:sz w:val="24"/>
          <w:szCs w:val="24"/>
        </w:rPr>
        <w:t xml:space="preserve">right to health </w:t>
      </w:r>
      <w:r w:rsidR="00A1355D" w:rsidRPr="009158C8">
        <w:rPr>
          <w:sz w:val="24"/>
          <w:szCs w:val="24"/>
        </w:rPr>
        <w:t>and</w:t>
      </w:r>
      <w:r w:rsidR="00BB14ED" w:rsidRPr="009158C8">
        <w:rPr>
          <w:sz w:val="24"/>
          <w:szCs w:val="24"/>
        </w:rPr>
        <w:t xml:space="preserve"> the</w:t>
      </w:r>
      <w:r w:rsidR="00A1355D" w:rsidRPr="009158C8">
        <w:rPr>
          <w:sz w:val="24"/>
          <w:szCs w:val="24"/>
        </w:rPr>
        <w:t xml:space="preserve"> RtD </w:t>
      </w:r>
      <w:r w:rsidR="00DD3F41" w:rsidRPr="009158C8">
        <w:rPr>
          <w:sz w:val="24"/>
          <w:szCs w:val="24"/>
        </w:rPr>
        <w:t xml:space="preserve">language. </w:t>
      </w:r>
      <w:r w:rsidR="00CC3A08" w:rsidRPr="009158C8">
        <w:rPr>
          <w:sz w:val="24"/>
          <w:szCs w:val="24"/>
        </w:rPr>
        <w:t xml:space="preserve">In a recent study, </w:t>
      </w:r>
      <w:r w:rsidR="00FF1D86" w:rsidRPr="009158C8">
        <w:rPr>
          <w:sz w:val="24"/>
          <w:szCs w:val="24"/>
        </w:rPr>
        <w:t xml:space="preserve">Forman, </w:t>
      </w:r>
      <w:proofErr w:type="spellStart"/>
      <w:r w:rsidR="00FF1D86" w:rsidRPr="009158C8">
        <w:rPr>
          <w:sz w:val="24"/>
          <w:szCs w:val="24"/>
        </w:rPr>
        <w:t>Ooms</w:t>
      </w:r>
      <w:proofErr w:type="spellEnd"/>
      <w:r w:rsidR="00FF1D86" w:rsidRPr="009158C8">
        <w:rPr>
          <w:sz w:val="24"/>
          <w:szCs w:val="24"/>
        </w:rPr>
        <w:t xml:space="preserve"> and </w:t>
      </w:r>
      <w:proofErr w:type="spellStart"/>
      <w:r w:rsidR="00FF1D86" w:rsidRPr="009158C8">
        <w:rPr>
          <w:sz w:val="24"/>
          <w:szCs w:val="24"/>
        </w:rPr>
        <w:t>Brolan</w:t>
      </w:r>
      <w:proofErr w:type="spellEnd"/>
      <w:r w:rsidR="00021D76" w:rsidRPr="009158C8">
        <w:rPr>
          <w:sz w:val="24"/>
          <w:szCs w:val="24"/>
        </w:rPr>
        <w:t xml:space="preserve"> observed that since universal health coverage (UHC) is central to the right to health, </w:t>
      </w:r>
      <w:r w:rsidR="00CC3A08" w:rsidRPr="009158C8">
        <w:rPr>
          <w:sz w:val="24"/>
          <w:szCs w:val="24"/>
        </w:rPr>
        <w:t xml:space="preserve">and </w:t>
      </w:r>
      <w:r w:rsidR="00021D76" w:rsidRPr="009158C8">
        <w:rPr>
          <w:sz w:val="24"/>
          <w:szCs w:val="24"/>
        </w:rPr>
        <w:t xml:space="preserve">a major step towards equity and health financing, </w:t>
      </w:r>
      <w:r w:rsidR="00A1355D" w:rsidRPr="009158C8">
        <w:rPr>
          <w:sz w:val="24"/>
          <w:szCs w:val="24"/>
        </w:rPr>
        <w:t xml:space="preserve">the </w:t>
      </w:r>
      <w:r w:rsidR="00CC3A08" w:rsidRPr="009158C8">
        <w:rPr>
          <w:sz w:val="24"/>
          <w:szCs w:val="24"/>
        </w:rPr>
        <w:t xml:space="preserve">reference </w:t>
      </w:r>
      <w:r w:rsidR="00A1355D" w:rsidRPr="009158C8">
        <w:rPr>
          <w:sz w:val="24"/>
          <w:szCs w:val="24"/>
        </w:rPr>
        <w:t xml:space="preserve">to UHC </w:t>
      </w:r>
      <w:r w:rsidR="00BB14ED" w:rsidRPr="009158C8">
        <w:rPr>
          <w:sz w:val="24"/>
          <w:szCs w:val="24"/>
        </w:rPr>
        <w:t>in the SDG 3,</w:t>
      </w:r>
      <w:r w:rsidR="00CC3A08" w:rsidRPr="009158C8">
        <w:rPr>
          <w:sz w:val="24"/>
          <w:szCs w:val="24"/>
        </w:rPr>
        <w:t xml:space="preserve"> </w:t>
      </w:r>
      <w:r w:rsidR="00BB14ED" w:rsidRPr="009158C8">
        <w:rPr>
          <w:sz w:val="24"/>
          <w:szCs w:val="24"/>
        </w:rPr>
        <w:t>Target 8,</w:t>
      </w:r>
      <w:r w:rsidR="00CC3A08" w:rsidRPr="009158C8">
        <w:rPr>
          <w:sz w:val="24"/>
          <w:szCs w:val="24"/>
        </w:rPr>
        <w:t xml:space="preserve"> </w:t>
      </w:r>
      <w:r w:rsidR="00DB5358" w:rsidRPr="009158C8">
        <w:rPr>
          <w:sz w:val="24"/>
          <w:szCs w:val="24"/>
        </w:rPr>
        <w:t xml:space="preserve">is of </w:t>
      </w:r>
      <w:r w:rsidR="00CC3A08" w:rsidRPr="009158C8">
        <w:rPr>
          <w:sz w:val="24"/>
          <w:szCs w:val="24"/>
        </w:rPr>
        <w:t xml:space="preserve">utmost significance for </w:t>
      </w:r>
      <w:r w:rsidR="00FB0FC5" w:rsidRPr="009158C8">
        <w:rPr>
          <w:sz w:val="24"/>
          <w:szCs w:val="24"/>
        </w:rPr>
        <w:t xml:space="preserve">the </w:t>
      </w:r>
      <w:r w:rsidR="00CC3A08" w:rsidRPr="009158C8">
        <w:rPr>
          <w:sz w:val="24"/>
          <w:szCs w:val="24"/>
        </w:rPr>
        <w:t>right to health in the SDGs. This approach has been critiqued as too narrow.</w:t>
      </w:r>
      <w:r w:rsidR="00FF1D86" w:rsidRPr="009158C8">
        <w:rPr>
          <w:rStyle w:val="FootnoteReference"/>
          <w:sz w:val="24"/>
          <w:szCs w:val="24"/>
        </w:rPr>
        <w:footnoteReference w:id="63"/>
      </w:r>
      <w:r w:rsidR="00CC3A08" w:rsidRPr="009158C8">
        <w:rPr>
          <w:sz w:val="24"/>
          <w:szCs w:val="24"/>
        </w:rPr>
        <w:t xml:space="preserve"> Without diminishing the importance of UHC, </w:t>
      </w:r>
      <w:r w:rsidR="00BB14ED" w:rsidRPr="009158C8">
        <w:rPr>
          <w:sz w:val="24"/>
          <w:szCs w:val="24"/>
        </w:rPr>
        <w:t xml:space="preserve">Hawkes and Buse </w:t>
      </w:r>
      <w:r w:rsidR="00DB5358" w:rsidRPr="009158C8">
        <w:rPr>
          <w:sz w:val="24"/>
          <w:szCs w:val="24"/>
        </w:rPr>
        <w:t xml:space="preserve">observed that “the significance of the SDGs lies in their ability to move beyond a biomedical approach to health and healthcare, and instead to seize the opportunity for the realization of the right to health in its fullest, widest, most fundamental sense: the right to </w:t>
      </w:r>
      <w:r w:rsidR="00FB0FC5" w:rsidRPr="009158C8">
        <w:rPr>
          <w:sz w:val="24"/>
          <w:szCs w:val="24"/>
        </w:rPr>
        <w:t xml:space="preserve">a </w:t>
      </w:r>
      <w:r w:rsidR="00DB5358" w:rsidRPr="009158C8">
        <w:rPr>
          <w:sz w:val="24"/>
          <w:szCs w:val="24"/>
        </w:rPr>
        <w:t>health-promoting and health protecting environment for each and every one of us”</w:t>
      </w:r>
      <w:r w:rsidR="002301C1" w:rsidRPr="009158C8">
        <w:rPr>
          <w:sz w:val="24"/>
          <w:szCs w:val="24"/>
        </w:rPr>
        <w:t>.</w:t>
      </w:r>
      <w:r w:rsidR="002301C1" w:rsidRPr="009158C8">
        <w:rPr>
          <w:rStyle w:val="FootnoteReference"/>
          <w:sz w:val="24"/>
          <w:szCs w:val="24"/>
        </w:rPr>
        <w:footnoteReference w:id="64"/>
      </w:r>
      <w:r w:rsidR="00FC7861" w:rsidRPr="009158C8">
        <w:rPr>
          <w:sz w:val="24"/>
          <w:szCs w:val="24"/>
        </w:rPr>
        <w:t xml:space="preserve"> </w:t>
      </w:r>
      <w:r w:rsidR="00BB14ED" w:rsidRPr="009158C8">
        <w:rPr>
          <w:sz w:val="24"/>
          <w:szCs w:val="24"/>
        </w:rPr>
        <w:t xml:space="preserve">The authors </w:t>
      </w:r>
      <w:r w:rsidR="00FC7861" w:rsidRPr="009158C8">
        <w:rPr>
          <w:sz w:val="24"/>
          <w:szCs w:val="24"/>
        </w:rPr>
        <w:t>are right to argue that “realizing the right to health with the SDG framework will mean utilizing the full range of commitments, conventions and covenants already in existence that promote, protect and ultimately realize rights in relatio</w:t>
      </w:r>
      <w:r w:rsidR="002301C1" w:rsidRPr="009158C8">
        <w:rPr>
          <w:sz w:val="24"/>
          <w:szCs w:val="24"/>
        </w:rPr>
        <w:t>n to the determinants of health</w:t>
      </w:r>
      <w:r w:rsidR="00FC7861" w:rsidRPr="009158C8">
        <w:rPr>
          <w:sz w:val="24"/>
          <w:szCs w:val="24"/>
        </w:rPr>
        <w:t>”</w:t>
      </w:r>
      <w:r w:rsidR="002301C1" w:rsidRPr="009158C8">
        <w:rPr>
          <w:rStyle w:val="FootnoteReference"/>
          <w:sz w:val="24"/>
          <w:szCs w:val="24"/>
        </w:rPr>
        <w:footnoteReference w:id="65"/>
      </w:r>
      <w:r w:rsidR="002301C1" w:rsidRPr="009158C8">
        <w:rPr>
          <w:sz w:val="24"/>
          <w:szCs w:val="24"/>
        </w:rPr>
        <w:t>.</w:t>
      </w:r>
      <w:r w:rsidR="00FC7861" w:rsidRPr="009158C8">
        <w:rPr>
          <w:sz w:val="24"/>
          <w:szCs w:val="24"/>
        </w:rPr>
        <w:t xml:space="preserve"> </w:t>
      </w:r>
      <w:r w:rsidR="0048045D" w:rsidRPr="009158C8">
        <w:rPr>
          <w:sz w:val="24"/>
          <w:szCs w:val="24"/>
        </w:rPr>
        <w:t>There</w:t>
      </w:r>
      <w:r w:rsidR="009A3E3B" w:rsidRPr="009158C8">
        <w:rPr>
          <w:sz w:val="24"/>
          <w:szCs w:val="24"/>
        </w:rPr>
        <w:t xml:space="preserve"> is a litany of such covenants, </w:t>
      </w:r>
      <w:r w:rsidR="0048045D" w:rsidRPr="009158C8">
        <w:rPr>
          <w:sz w:val="24"/>
          <w:szCs w:val="24"/>
        </w:rPr>
        <w:t>conventions</w:t>
      </w:r>
      <w:r w:rsidR="009A3E3B" w:rsidRPr="009158C8">
        <w:rPr>
          <w:sz w:val="24"/>
          <w:szCs w:val="24"/>
        </w:rPr>
        <w:t xml:space="preserve"> and declarations including the RtD</w:t>
      </w:r>
      <w:r w:rsidR="0048045D" w:rsidRPr="009158C8">
        <w:rPr>
          <w:sz w:val="24"/>
          <w:szCs w:val="24"/>
        </w:rPr>
        <w:t xml:space="preserve">. </w:t>
      </w:r>
      <w:r w:rsidR="006A3DE6" w:rsidRPr="009158C8">
        <w:rPr>
          <w:sz w:val="24"/>
          <w:szCs w:val="24"/>
        </w:rPr>
        <w:t xml:space="preserve">Using the </w:t>
      </w:r>
      <w:r w:rsidR="00BB14ED" w:rsidRPr="009158C8">
        <w:rPr>
          <w:sz w:val="24"/>
          <w:szCs w:val="24"/>
        </w:rPr>
        <w:t>ICESCR</w:t>
      </w:r>
      <w:r w:rsidR="006A3DE6" w:rsidRPr="009158C8">
        <w:rPr>
          <w:sz w:val="24"/>
          <w:szCs w:val="24"/>
        </w:rPr>
        <w:t xml:space="preserve"> as an example</w:t>
      </w:r>
      <w:r w:rsidR="00BB14ED" w:rsidRPr="009158C8">
        <w:rPr>
          <w:sz w:val="24"/>
          <w:szCs w:val="24"/>
        </w:rPr>
        <w:t>, Hawkes and Buse</w:t>
      </w:r>
      <w:r w:rsidR="006A3DE6" w:rsidRPr="009158C8">
        <w:rPr>
          <w:sz w:val="24"/>
          <w:szCs w:val="24"/>
        </w:rPr>
        <w:t xml:space="preserve"> point to the codification of the right</w:t>
      </w:r>
      <w:r w:rsidR="00292E4A" w:rsidRPr="009158C8">
        <w:rPr>
          <w:sz w:val="24"/>
          <w:szCs w:val="24"/>
        </w:rPr>
        <w:t>s</w:t>
      </w:r>
      <w:r w:rsidR="006A3DE6" w:rsidRPr="009158C8">
        <w:rPr>
          <w:sz w:val="24"/>
          <w:szCs w:val="24"/>
        </w:rPr>
        <w:t xml:space="preserve"> to fair wages within a safe and healthy working environment, education, safe portable water, adequate sanitation, adequate and safe nutrition, </w:t>
      </w:r>
      <w:r w:rsidR="00FB0FC5" w:rsidRPr="009158C8">
        <w:rPr>
          <w:sz w:val="24"/>
          <w:szCs w:val="24"/>
        </w:rPr>
        <w:t xml:space="preserve">and </w:t>
      </w:r>
      <w:r w:rsidR="006A3DE6" w:rsidRPr="009158C8">
        <w:rPr>
          <w:sz w:val="24"/>
          <w:szCs w:val="24"/>
        </w:rPr>
        <w:t>non-discriminati</w:t>
      </w:r>
      <w:r w:rsidR="00DF1C0E" w:rsidRPr="009158C8">
        <w:rPr>
          <w:sz w:val="24"/>
          <w:szCs w:val="24"/>
        </w:rPr>
        <w:t>on as indispensable to health.</w:t>
      </w:r>
      <w:r w:rsidR="002301C1" w:rsidRPr="009158C8">
        <w:rPr>
          <w:rStyle w:val="FootnoteReference"/>
          <w:sz w:val="24"/>
          <w:szCs w:val="24"/>
        </w:rPr>
        <w:footnoteReference w:id="66"/>
      </w:r>
      <w:r w:rsidR="00DF1C0E" w:rsidRPr="009158C8">
        <w:rPr>
          <w:sz w:val="24"/>
          <w:szCs w:val="24"/>
        </w:rPr>
        <w:t xml:space="preserve"> </w:t>
      </w:r>
      <w:r w:rsidR="00101010" w:rsidRPr="009158C8">
        <w:rPr>
          <w:sz w:val="24"/>
          <w:szCs w:val="24"/>
        </w:rPr>
        <w:t xml:space="preserve">The fact that the SDGs are presented as </w:t>
      </w:r>
      <w:r w:rsidR="0048045D" w:rsidRPr="009158C8">
        <w:rPr>
          <w:sz w:val="24"/>
          <w:szCs w:val="24"/>
        </w:rPr>
        <w:t xml:space="preserve">an </w:t>
      </w:r>
      <w:r w:rsidR="00101010" w:rsidRPr="009158C8">
        <w:rPr>
          <w:sz w:val="24"/>
          <w:szCs w:val="24"/>
        </w:rPr>
        <w:t xml:space="preserve">“interlinked and integrated” package is in tandem with the concept </w:t>
      </w:r>
      <w:r w:rsidR="0005018E" w:rsidRPr="009158C8">
        <w:rPr>
          <w:sz w:val="24"/>
          <w:szCs w:val="24"/>
        </w:rPr>
        <w:t xml:space="preserve">that “all human rights are universal, </w:t>
      </w:r>
      <w:r w:rsidR="0048045D" w:rsidRPr="009158C8">
        <w:rPr>
          <w:sz w:val="24"/>
          <w:szCs w:val="24"/>
        </w:rPr>
        <w:t>indivisible and interdependent and interrelated</w:t>
      </w:r>
      <w:r w:rsidR="0005018E" w:rsidRPr="009158C8">
        <w:rPr>
          <w:sz w:val="24"/>
          <w:szCs w:val="24"/>
        </w:rPr>
        <w:t>”</w:t>
      </w:r>
      <w:r w:rsidR="002301C1" w:rsidRPr="009158C8">
        <w:rPr>
          <w:rStyle w:val="FootnoteReference"/>
          <w:sz w:val="24"/>
          <w:szCs w:val="24"/>
        </w:rPr>
        <w:footnoteReference w:id="67"/>
      </w:r>
      <w:r w:rsidR="002301C1" w:rsidRPr="009158C8">
        <w:rPr>
          <w:sz w:val="24"/>
          <w:szCs w:val="24"/>
        </w:rPr>
        <w:t>.</w:t>
      </w:r>
      <w:r w:rsidR="0005018E" w:rsidRPr="009158C8">
        <w:rPr>
          <w:sz w:val="24"/>
          <w:szCs w:val="24"/>
        </w:rPr>
        <w:t xml:space="preserve"> </w:t>
      </w:r>
      <w:r w:rsidR="009A3E3B" w:rsidRPr="009158C8">
        <w:rPr>
          <w:sz w:val="24"/>
          <w:szCs w:val="24"/>
        </w:rPr>
        <w:t xml:space="preserve">The RtD also follows this approach of indivisibility and interdependence. </w:t>
      </w:r>
      <w:r w:rsidR="00C56CD3" w:rsidRPr="009158C8">
        <w:rPr>
          <w:sz w:val="24"/>
          <w:szCs w:val="24"/>
        </w:rPr>
        <w:t xml:space="preserve">Ultimately, the SDGs are 17 integrated and interdependent goals. </w:t>
      </w:r>
      <w:r w:rsidR="00BB14ED" w:rsidRPr="009158C8">
        <w:rPr>
          <w:sz w:val="24"/>
          <w:szCs w:val="24"/>
        </w:rPr>
        <w:t xml:space="preserve">SDG </w:t>
      </w:r>
      <w:r w:rsidR="00C56CD3" w:rsidRPr="009158C8">
        <w:rPr>
          <w:sz w:val="24"/>
          <w:szCs w:val="24"/>
        </w:rPr>
        <w:t xml:space="preserve">3 (health) is meaningless without </w:t>
      </w:r>
      <w:r w:rsidR="00BB14ED" w:rsidRPr="009158C8">
        <w:rPr>
          <w:sz w:val="24"/>
          <w:szCs w:val="24"/>
        </w:rPr>
        <w:t>SDG 2</w:t>
      </w:r>
      <w:r w:rsidR="00C56CD3" w:rsidRPr="009158C8">
        <w:rPr>
          <w:sz w:val="24"/>
          <w:szCs w:val="24"/>
        </w:rPr>
        <w:t xml:space="preserve"> (ending hunger and achieving food security). Neither will </w:t>
      </w:r>
      <w:r w:rsidR="00BB14ED" w:rsidRPr="009158C8">
        <w:rPr>
          <w:sz w:val="24"/>
          <w:szCs w:val="24"/>
        </w:rPr>
        <w:t xml:space="preserve">SDG </w:t>
      </w:r>
      <w:r w:rsidR="00C56CD3" w:rsidRPr="009158C8">
        <w:rPr>
          <w:sz w:val="24"/>
          <w:szCs w:val="24"/>
        </w:rPr>
        <w:t>4 (ensuring inclusive and equitable quality education) make much sense if children are too sick or hungry to attend school</w:t>
      </w:r>
      <w:r w:rsidR="002301C1" w:rsidRPr="009158C8">
        <w:rPr>
          <w:sz w:val="24"/>
          <w:szCs w:val="24"/>
        </w:rPr>
        <w:t>.</w:t>
      </w:r>
      <w:r w:rsidR="002301C1" w:rsidRPr="009158C8">
        <w:rPr>
          <w:rStyle w:val="FootnoteReference"/>
          <w:sz w:val="24"/>
          <w:szCs w:val="24"/>
        </w:rPr>
        <w:footnoteReference w:id="68"/>
      </w:r>
    </w:p>
    <w:p w14:paraId="7E76E97B" w14:textId="77777777" w:rsidR="00BB14ED" w:rsidRPr="009158C8" w:rsidRDefault="00BB14ED" w:rsidP="002A190B">
      <w:pPr>
        <w:pStyle w:val="FootnoteText"/>
        <w:jc w:val="both"/>
        <w:rPr>
          <w:sz w:val="24"/>
          <w:szCs w:val="24"/>
        </w:rPr>
      </w:pPr>
    </w:p>
    <w:p w14:paraId="32E7FEFB" w14:textId="77777777" w:rsidR="001D4A67" w:rsidRPr="009158C8" w:rsidRDefault="00292E4A" w:rsidP="002A190B">
      <w:pPr>
        <w:pStyle w:val="FootnoteText"/>
        <w:jc w:val="both"/>
        <w:rPr>
          <w:sz w:val="24"/>
          <w:szCs w:val="24"/>
        </w:rPr>
      </w:pPr>
      <w:r w:rsidRPr="009158C8">
        <w:rPr>
          <w:sz w:val="24"/>
          <w:szCs w:val="24"/>
        </w:rPr>
        <w:t>The legacy of the SDGs for the right to health “lies in the possibility that th</w:t>
      </w:r>
      <w:r w:rsidR="0037303F" w:rsidRPr="009158C8">
        <w:rPr>
          <w:sz w:val="24"/>
          <w:szCs w:val="24"/>
        </w:rPr>
        <w:t xml:space="preserve">e ambition of the global goals </w:t>
      </w:r>
      <w:r w:rsidRPr="009158C8">
        <w:rPr>
          <w:sz w:val="24"/>
          <w:szCs w:val="24"/>
        </w:rPr>
        <w:t xml:space="preserve">reaches far beyond rolling out </w:t>
      </w:r>
      <w:r w:rsidR="00811AA1" w:rsidRPr="009158C8">
        <w:rPr>
          <w:sz w:val="24"/>
          <w:szCs w:val="24"/>
        </w:rPr>
        <w:t>of UHC to one that gives impetus to action on the range of social determinants of health”</w:t>
      </w:r>
      <w:r w:rsidR="00DA3759" w:rsidRPr="009158C8">
        <w:rPr>
          <w:sz w:val="24"/>
          <w:szCs w:val="24"/>
        </w:rPr>
        <w:t>.</w:t>
      </w:r>
      <w:r w:rsidR="00DA3759" w:rsidRPr="009158C8">
        <w:rPr>
          <w:rStyle w:val="FootnoteReference"/>
          <w:sz w:val="24"/>
          <w:szCs w:val="24"/>
        </w:rPr>
        <w:footnoteReference w:id="69"/>
      </w:r>
      <w:r w:rsidR="00811AA1" w:rsidRPr="009158C8">
        <w:rPr>
          <w:sz w:val="24"/>
          <w:szCs w:val="24"/>
        </w:rPr>
        <w:t xml:space="preserve"> </w:t>
      </w:r>
      <w:r w:rsidR="0048045D" w:rsidRPr="009158C8">
        <w:rPr>
          <w:sz w:val="24"/>
          <w:szCs w:val="24"/>
        </w:rPr>
        <w:t>T</w:t>
      </w:r>
      <w:r w:rsidR="00811AA1" w:rsidRPr="009158C8">
        <w:rPr>
          <w:sz w:val="24"/>
          <w:szCs w:val="24"/>
        </w:rPr>
        <w:t>his proposal</w:t>
      </w:r>
      <w:r w:rsidR="0048045D" w:rsidRPr="009158C8">
        <w:rPr>
          <w:sz w:val="24"/>
          <w:szCs w:val="24"/>
        </w:rPr>
        <w:t>,</w:t>
      </w:r>
      <w:r w:rsidR="00811AA1" w:rsidRPr="009158C8">
        <w:rPr>
          <w:sz w:val="24"/>
          <w:szCs w:val="24"/>
        </w:rPr>
        <w:t xml:space="preserve"> </w:t>
      </w:r>
      <w:r w:rsidR="0048045D" w:rsidRPr="009158C8">
        <w:rPr>
          <w:sz w:val="24"/>
          <w:szCs w:val="24"/>
        </w:rPr>
        <w:t xml:space="preserve">albeit unassailable, </w:t>
      </w:r>
      <w:r w:rsidR="00811AA1" w:rsidRPr="009158C8">
        <w:rPr>
          <w:sz w:val="24"/>
          <w:szCs w:val="24"/>
        </w:rPr>
        <w:t xml:space="preserve">is </w:t>
      </w:r>
      <w:r w:rsidR="00A94B50" w:rsidRPr="009158C8">
        <w:rPr>
          <w:sz w:val="24"/>
          <w:szCs w:val="24"/>
        </w:rPr>
        <w:t xml:space="preserve">not </w:t>
      </w:r>
      <w:r w:rsidR="007E4126" w:rsidRPr="009158C8">
        <w:rPr>
          <w:sz w:val="24"/>
          <w:szCs w:val="24"/>
        </w:rPr>
        <w:t xml:space="preserve">radically </w:t>
      </w:r>
      <w:r w:rsidR="00811AA1" w:rsidRPr="009158C8">
        <w:rPr>
          <w:sz w:val="24"/>
          <w:szCs w:val="24"/>
        </w:rPr>
        <w:t xml:space="preserve">new. Going </w:t>
      </w:r>
      <w:r w:rsidR="00811AA1" w:rsidRPr="009158C8">
        <w:rPr>
          <w:sz w:val="24"/>
          <w:szCs w:val="24"/>
        </w:rPr>
        <w:lastRenderedPageBreak/>
        <w:t>back to the socially ambitious definition of health in the WHO Constitution 1946, the WHO-UNICEF Declara</w:t>
      </w:r>
      <w:r w:rsidR="007E4126" w:rsidRPr="009158C8">
        <w:rPr>
          <w:sz w:val="24"/>
          <w:szCs w:val="24"/>
        </w:rPr>
        <w:t>tion of Alma-Ata on P</w:t>
      </w:r>
      <w:r w:rsidR="00811AA1" w:rsidRPr="009158C8">
        <w:rPr>
          <w:sz w:val="24"/>
          <w:szCs w:val="24"/>
        </w:rPr>
        <w:t>rimary Health Care 1978,</w:t>
      </w:r>
      <w:r w:rsidR="00350F4D" w:rsidRPr="009158C8">
        <w:rPr>
          <w:rStyle w:val="FootnoteReference"/>
          <w:sz w:val="24"/>
          <w:szCs w:val="24"/>
        </w:rPr>
        <w:footnoteReference w:id="70"/>
      </w:r>
      <w:r w:rsidR="00811AA1" w:rsidRPr="009158C8">
        <w:rPr>
          <w:sz w:val="24"/>
          <w:szCs w:val="24"/>
        </w:rPr>
        <w:t xml:space="preserve"> </w:t>
      </w:r>
      <w:r w:rsidR="007E4126" w:rsidRPr="009158C8">
        <w:rPr>
          <w:sz w:val="24"/>
          <w:szCs w:val="24"/>
        </w:rPr>
        <w:t>Ottawa Charter for Health Promotion (1986),</w:t>
      </w:r>
      <w:r w:rsidR="00DA096D" w:rsidRPr="009158C8">
        <w:rPr>
          <w:rStyle w:val="FootnoteReference"/>
          <w:sz w:val="24"/>
          <w:szCs w:val="24"/>
        </w:rPr>
        <w:footnoteReference w:id="71"/>
      </w:r>
      <w:r w:rsidR="007E4126" w:rsidRPr="009158C8">
        <w:rPr>
          <w:sz w:val="24"/>
          <w:szCs w:val="24"/>
        </w:rPr>
        <w:t xml:space="preserve"> </w:t>
      </w:r>
      <w:r w:rsidR="00811AA1" w:rsidRPr="009158C8">
        <w:rPr>
          <w:sz w:val="24"/>
          <w:szCs w:val="24"/>
        </w:rPr>
        <w:t>Reports of two important commissions by WHO: Commission on Social Determinants of Health (</w:t>
      </w:r>
      <w:r w:rsidR="007E4126" w:rsidRPr="009158C8">
        <w:rPr>
          <w:sz w:val="24"/>
          <w:szCs w:val="24"/>
        </w:rPr>
        <w:t>2008),</w:t>
      </w:r>
      <w:r w:rsidR="00DA096D" w:rsidRPr="009158C8">
        <w:rPr>
          <w:rStyle w:val="FootnoteReference"/>
          <w:sz w:val="24"/>
          <w:szCs w:val="24"/>
        </w:rPr>
        <w:footnoteReference w:id="72"/>
      </w:r>
      <w:r w:rsidR="007E4126" w:rsidRPr="009158C8">
        <w:rPr>
          <w:sz w:val="24"/>
          <w:szCs w:val="24"/>
        </w:rPr>
        <w:t xml:space="preserve"> and Commission on Macroeconomics and Health (2001)</w:t>
      </w:r>
      <w:r w:rsidR="00A94B50" w:rsidRPr="009158C8">
        <w:rPr>
          <w:sz w:val="24"/>
          <w:szCs w:val="24"/>
        </w:rPr>
        <w:t>,</w:t>
      </w:r>
      <w:r w:rsidR="00DA096D" w:rsidRPr="009158C8">
        <w:rPr>
          <w:rStyle w:val="FootnoteReference"/>
          <w:sz w:val="24"/>
          <w:szCs w:val="24"/>
        </w:rPr>
        <w:footnoteReference w:id="73"/>
      </w:r>
      <w:r w:rsidR="00A94B50" w:rsidRPr="009158C8">
        <w:rPr>
          <w:sz w:val="24"/>
          <w:szCs w:val="24"/>
        </w:rPr>
        <w:t xml:space="preserve"> health (and by extension </w:t>
      </w:r>
      <w:r w:rsidR="00EF2BCF" w:rsidRPr="009158C8">
        <w:rPr>
          <w:sz w:val="24"/>
          <w:szCs w:val="24"/>
        </w:rPr>
        <w:t xml:space="preserve">the </w:t>
      </w:r>
      <w:r w:rsidR="00A94B50" w:rsidRPr="009158C8">
        <w:rPr>
          <w:sz w:val="24"/>
          <w:szCs w:val="24"/>
        </w:rPr>
        <w:t xml:space="preserve">right to health) has never been confined to the biomedical sphere. In the context of the 2030 Agenda, </w:t>
      </w:r>
      <w:r w:rsidR="00B37A52" w:rsidRPr="009158C8">
        <w:rPr>
          <w:sz w:val="24"/>
          <w:szCs w:val="24"/>
        </w:rPr>
        <w:t xml:space="preserve">it </w:t>
      </w:r>
      <w:r w:rsidR="00DF2D79" w:rsidRPr="009158C8">
        <w:rPr>
          <w:sz w:val="24"/>
          <w:szCs w:val="24"/>
        </w:rPr>
        <w:t xml:space="preserve">is </w:t>
      </w:r>
      <w:r w:rsidR="00A94B50" w:rsidRPr="009158C8">
        <w:rPr>
          <w:sz w:val="24"/>
          <w:szCs w:val="24"/>
        </w:rPr>
        <w:t xml:space="preserve">important to place health and wellbeing at the </w:t>
      </w:r>
      <w:proofErr w:type="spellStart"/>
      <w:r w:rsidR="00A94B50" w:rsidRPr="009158C8">
        <w:rPr>
          <w:sz w:val="24"/>
          <w:szCs w:val="24"/>
        </w:rPr>
        <w:t>centre</w:t>
      </w:r>
      <w:proofErr w:type="spellEnd"/>
      <w:r w:rsidR="00A94B50" w:rsidRPr="009158C8">
        <w:rPr>
          <w:sz w:val="24"/>
          <w:szCs w:val="24"/>
        </w:rPr>
        <w:t xml:space="preserve"> of </w:t>
      </w:r>
      <w:r w:rsidR="00DF1C0E" w:rsidRPr="009158C8">
        <w:rPr>
          <w:sz w:val="24"/>
          <w:szCs w:val="24"/>
        </w:rPr>
        <w:t xml:space="preserve">sustainable human </w:t>
      </w:r>
      <w:r w:rsidR="00A94B50" w:rsidRPr="009158C8">
        <w:rPr>
          <w:sz w:val="24"/>
          <w:szCs w:val="24"/>
        </w:rPr>
        <w:t>developmen</w:t>
      </w:r>
      <w:r w:rsidR="00A94B50" w:rsidRPr="00D84B14">
        <w:rPr>
          <w:sz w:val="24"/>
          <w:szCs w:val="24"/>
        </w:rPr>
        <w:t xml:space="preserve">t. </w:t>
      </w:r>
      <w:r w:rsidR="001D4A67" w:rsidRPr="00D84B14">
        <w:rPr>
          <w:sz w:val="24"/>
          <w:szCs w:val="24"/>
        </w:rPr>
        <w:t>This expansive and holistic approach promotes a right to health framework which inclu</w:t>
      </w:r>
      <w:r w:rsidR="001D4A67" w:rsidRPr="009158C8">
        <w:rPr>
          <w:sz w:val="24"/>
          <w:szCs w:val="24"/>
        </w:rPr>
        <w:t>des two things: healthcare and the underlying social and economic determinants of he</w:t>
      </w:r>
      <w:r w:rsidR="001D4A67" w:rsidRPr="00D84B14">
        <w:rPr>
          <w:sz w:val="24"/>
          <w:szCs w:val="24"/>
        </w:rPr>
        <w:t xml:space="preserve">alth. This approach is in full synergy with the holistic nature of </w:t>
      </w:r>
      <w:r w:rsidR="00A436EF" w:rsidRPr="00D84B14">
        <w:rPr>
          <w:sz w:val="24"/>
          <w:szCs w:val="24"/>
        </w:rPr>
        <w:t xml:space="preserve">the </w:t>
      </w:r>
      <w:r w:rsidR="001D4A67" w:rsidRPr="00D84B14">
        <w:rPr>
          <w:sz w:val="24"/>
          <w:szCs w:val="24"/>
        </w:rPr>
        <w:t>RtD</w:t>
      </w:r>
      <w:r w:rsidR="0076558F" w:rsidRPr="00D84B14">
        <w:rPr>
          <w:sz w:val="24"/>
          <w:szCs w:val="24"/>
        </w:rPr>
        <w:t>,</w:t>
      </w:r>
      <w:r w:rsidR="0076558F" w:rsidRPr="00D84B14">
        <w:rPr>
          <w:rStyle w:val="FootnoteReference"/>
          <w:sz w:val="24"/>
          <w:szCs w:val="24"/>
        </w:rPr>
        <w:footnoteReference w:id="74"/>
      </w:r>
      <w:r w:rsidR="001D4A67" w:rsidRPr="00D84B14">
        <w:rPr>
          <w:sz w:val="24"/>
          <w:szCs w:val="24"/>
        </w:rPr>
        <w:t xml:space="preserve"> </w:t>
      </w:r>
      <w:r w:rsidR="0076558F" w:rsidRPr="00D84B14">
        <w:rPr>
          <w:sz w:val="24"/>
          <w:szCs w:val="24"/>
        </w:rPr>
        <w:t>as well as the “i</w:t>
      </w:r>
      <w:r w:rsidR="0076558F" w:rsidRPr="009158C8">
        <w:rPr>
          <w:sz w:val="24"/>
          <w:szCs w:val="24"/>
        </w:rPr>
        <w:t>nterlinked and integrated”</w:t>
      </w:r>
      <w:r w:rsidR="001D4A67" w:rsidRPr="009158C8">
        <w:rPr>
          <w:sz w:val="24"/>
          <w:szCs w:val="24"/>
        </w:rPr>
        <w:t xml:space="preserve"> nature of all the SDGs</w:t>
      </w:r>
      <w:r w:rsidR="00E1386D" w:rsidRPr="009158C8">
        <w:rPr>
          <w:sz w:val="24"/>
          <w:szCs w:val="24"/>
        </w:rPr>
        <w:t xml:space="preserve"> in </w:t>
      </w:r>
      <w:r w:rsidR="001D4A67" w:rsidRPr="009158C8">
        <w:rPr>
          <w:sz w:val="24"/>
          <w:szCs w:val="24"/>
        </w:rPr>
        <w:t xml:space="preserve">the 2030 Agenda. In other words, operationalizing </w:t>
      </w:r>
      <w:r w:rsidR="00B96B09" w:rsidRPr="009158C8">
        <w:rPr>
          <w:sz w:val="24"/>
          <w:szCs w:val="24"/>
        </w:rPr>
        <w:t xml:space="preserve">the </w:t>
      </w:r>
      <w:r w:rsidR="001D4A67" w:rsidRPr="009158C8">
        <w:rPr>
          <w:sz w:val="24"/>
          <w:szCs w:val="24"/>
        </w:rPr>
        <w:t>RtD in the implementation of SDG</w:t>
      </w:r>
      <w:r w:rsidR="0076558F" w:rsidRPr="009158C8">
        <w:rPr>
          <w:sz w:val="24"/>
          <w:szCs w:val="24"/>
        </w:rPr>
        <w:t xml:space="preserve"> </w:t>
      </w:r>
      <w:r w:rsidR="001D4A67" w:rsidRPr="009158C8">
        <w:rPr>
          <w:sz w:val="24"/>
          <w:szCs w:val="24"/>
        </w:rPr>
        <w:t xml:space="preserve">3 means not only focusing on health care, but also on the underlying determinants of health. </w:t>
      </w:r>
    </w:p>
    <w:p w14:paraId="092DC139" w14:textId="77777777" w:rsidR="00A436EF" w:rsidRPr="009158C8" w:rsidRDefault="00A436EF" w:rsidP="002A190B">
      <w:pPr>
        <w:pStyle w:val="FootnoteText"/>
        <w:jc w:val="both"/>
        <w:rPr>
          <w:sz w:val="24"/>
          <w:szCs w:val="24"/>
        </w:rPr>
      </w:pPr>
    </w:p>
    <w:p w14:paraId="3B5A599C" w14:textId="77777777" w:rsidR="00FB1C9D" w:rsidRPr="009158C8" w:rsidRDefault="00A94B50" w:rsidP="002A190B">
      <w:pPr>
        <w:pStyle w:val="FootnoteText"/>
        <w:jc w:val="both"/>
        <w:rPr>
          <w:sz w:val="24"/>
          <w:szCs w:val="24"/>
        </w:rPr>
      </w:pPr>
      <w:r w:rsidRPr="009158C8">
        <w:rPr>
          <w:sz w:val="24"/>
          <w:szCs w:val="24"/>
        </w:rPr>
        <w:t xml:space="preserve">A pragmatic realization of the right to </w:t>
      </w:r>
      <w:r w:rsidR="00E500D5" w:rsidRPr="009158C8">
        <w:rPr>
          <w:sz w:val="24"/>
          <w:szCs w:val="24"/>
        </w:rPr>
        <w:t xml:space="preserve">the highest attainable standard of </w:t>
      </w:r>
      <w:r w:rsidRPr="009158C8">
        <w:rPr>
          <w:sz w:val="24"/>
          <w:szCs w:val="24"/>
        </w:rPr>
        <w:t>health</w:t>
      </w:r>
      <w:r w:rsidR="00E500D5" w:rsidRPr="009158C8">
        <w:rPr>
          <w:sz w:val="24"/>
          <w:szCs w:val="24"/>
        </w:rPr>
        <w:t xml:space="preserve"> in th</w:t>
      </w:r>
      <w:r w:rsidR="00E1386D" w:rsidRPr="009158C8">
        <w:rPr>
          <w:sz w:val="24"/>
          <w:szCs w:val="24"/>
        </w:rPr>
        <w:t>e 2030 Agenda</w:t>
      </w:r>
      <w:r w:rsidR="00E500D5" w:rsidRPr="009158C8">
        <w:rPr>
          <w:sz w:val="24"/>
          <w:szCs w:val="24"/>
        </w:rPr>
        <w:t xml:space="preserve"> requires </w:t>
      </w:r>
      <w:r w:rsidR="00B37A52" w:rsidRPr="009158C8">
        <w:rPr>
          <w:sz w:val="24"/>
          <w:szCs w:val="24"/>
        </w:rPr>
        <w:t xml:space="preserve">two things: (i) </w:t>
      </w:r>
      <w:r w:rsidR="00E500D5" w:rsidRPr="009158C8">
        <w:rPr>
          <w:sz w:val="24"/>
          <w:szCs w:val="24"/>
        </w:rPr>
        <w:t>effective accountability mechanisms for the review of the social determina</w:t>
      </w:r>
      <w:r w:rsidR="00B37A52" w:rsidRPr="009158C8">
        <w:rPr>
          <w:sz w:val="24"/>
          <w:szCs w:val="24"/>
        </w:rPr>
        <w:t>nts</w:t>
      </w:r>
      <w:r w:rsidR="00E500D5" w:rsidRPr="009158C8">
        <w:rPr>
          <w:sz w:val="24"/>
          <w:szCs w:val="24"/>
        </w:rPr>
        <w:t xml:space="preserve"> of health</w:t>
      </w:r>
      <w:r w:rsidR="00B37A52" w:rsidRPr="009158C8">
        <w:rPr>
          <w:sz w:val="24"/>
          <w:szCs w:val="24"/>
        </w:rPr>
        <w:t xml:space="preserve"> taking into consideration the benchmarks that are already working in some existing human rights treaty obligations</w:t>
      </w:r>
      <w:r w:rsidR="0076558F" w:rsidRPr="009158C8">
        <w:rPr>
          <w:sz w:val="24"/>
          <w:szCs w:val="24"/>
        </w:rPr>
        <w:t>,</w:t>
      </w:r>
      <w:r w:rsidR="0076558F" w:rsidRPr="009158C8">
        <w:rPr>
          <w:rStyle w:val="FootnoteReference"/>
          <w:sz w:val="24"/>
          <w:szCs w:val="24"/>
        </w:rPr>
        <w:footnoteReference w:id="75"/>
      </w:r>
      <w:r w:rsidR="00534F8B" w:rsidRPr="009158C8">
        <w:rPr>
          <w:sz w:val="24"/>
          <w:szCs w:val="24"/>
        </w:rPr>
        <w:t xml:space="preserve"> </w:t>
      </w:r>
      <w:r w:rsidR="00B37A52" w:rsidRPr="009158C8">
        <w:rPr>
          <w:sz w:val="24"/>
          <w:szCs w:val="24"/>
        </w:rPr>
        <w:t>and (ii) sustained use of workable human rights impact assessment practices in the development sector</w:t>
      </w:r>
      <w:r w:rsidR="0076558F" w:rsidRPr="009158C8">
        <w:rPr>
          <w:rStyle w:val="FootnoteReference"/>
          <w:sz w:val="24"/>
          <w:szCs w:val="24"/>
        </w:rPr>
        <w:footnoteReference w:id="76"/>
      </w:r>
      <w:r w:rsidR="0076558F" w:rsidRPr="009158C8">
        <w:rPr>
          <w:sz w:val="24"/>
          <w:szCs w:val="24"/>
        </w:rPr>
        <w:t>.</w:t>
      </w:r>
      <w:r w:rsidR="00534F8B" w:rsidRPr="009158C8">
        <w:rPr>
          <w:sz w:val="24"/>
          <w:szCs w:val="24"/>
        </w:rPr>
        <w:t xml:space="preserve"> </w:t>
      </w:r>
      <w:r w:rsidR="00B37A52" w:rsidRPr="009158C8">
        <w:rPr>
          <w:sz w:val="24"/>
          <w:szCs w:val="24"/>
        </w:rPr>
        <w:t xml:space="preserve">If meticulously developed and applied, </w:t>
      </w:r>
      <w:r w:rsidR="00534F8B" w:rsidRPr="009158C8">
        <w:rPr>
          <w:sz w:val="24"/>
          <w:szCs w:val="24"/>
        </w:rPr>
        <w:t xml:space="preserve">policies </w:t>
      </w:r>
      <w:r w:rsidR="006A2893" w:rsidRPr="009158C8">
        <w:rPr>
          <w:sz w:val="24"/>
          <w:szCs w:val="24"/>
        </w:rPr>
        <w:t xml:space="preserve">developed </w:t>
      </w:r>
      <w:r w:rsidR="00534F8B" w:rsidRPr="009158C8">
        <w:rPr>
          <w:sz w:val="24"/>
          <w:szCs w:val="24"/>
        </w:rPr>
        <w:t xml:space="preserve">under </w:t>
      </w:r>
      <w:r w:rsidR="00B37A52" w:rsidRPr="009158C8">
        <w:rPr>
          <w:sz w:val="24"/>
          <w:szCs w:val="24"/>
        </w:rPr>
        <w:t xml:space="preserve">these two pragmatic pathways will </w:t>
      </w:r>
      <w:r w:rsidR="008262AD" w:rsidRPr="009158C8">
        <w:rPr>
          <w:sz w:val="24"/>
          <w:szCs w:val="24"/>
        </w:rPr>
        <w:t xml:space="preserve">connect with existing international human rights </w:t>
      </w:r>
      <w:r w:rsidR="006A2893" w:rsidRPr="009158C8">
        <w:rPr>
          <w:sz w:val="24"/>
          <w:szCs w:val="24"/>
        </w:rPr>
        <w:t xml:space="preserve">instruments and have measurable impacts on most of the </w:t>
      </w:r>
      <w:r w:rsidR="00B96B09" w:rsidRPr="009158C8">
        <w:rPr>
          <w:sz w:val="24"/>
          <w:szCs w:val="24"/>
        </w:rPr>
        <w:t xml:space="preserve">SDG </w:t>
      </w:r>
      <w:r w:rsidR="00B37A52" w:rsidRPr="009158C8">
        <w:rPr>
          <w:sz w:val="24"/>
          <w:szCs w:val="24"/>
        </w:rPr>
        <w:t xml:space="preserve">3 targets: maternal and child mortality, </w:t>
      </w:r>
      <w:r w:rsidR="00534F8B" w:rsidRPr="009158C8">
        <w:rPr>
          <w:sz w:val="24"/>
          <w:szCs w:val="24"/>
        </w:rPr>
        <w:t>epidemics of AIDS, tuberculosis and malaria, substance abuse, UCH, road traffic accidents, tobacco control, prevention and control of non-communicable diseases, training and retention of health workforce in developing countries, risk reduction and management of national and global health risks.</w:t>
      </w:r>
      <w:r w:rsidR="006A2893" w:rsidRPr="009158C8">
        <w:rPr>
          <w:sz w:val="24"/>
          <w:szCs w:val="24"/>
        </w:rPr>
        <w:t xml:space="preserve"> </w:t>
      </w:r>
    </w:p>
    <w:p w14:paraId="142C8E77" w14:textId="77777777" w:rsidR="00B96B09" w:rsidRPr="009158C8" w:rsidRDefault="00B96B09" w:rsidP="002A190B">
      <w:pPr>
        <w:pStyle w:val="FootnoteText"/>
        <w:jc w:val="both"/>
        <w:rPr>
          <w:sz w:val="24"/>
          <w:szCs w:val="24"/>
        </w:rPr>
      </w:pPr>
    </w:p>
    <w:p w14:paraId="0C622813" w14:textId="77777777" w:rsidR="005A28C8" w:rsidRPr="002872BB" w:rsidRDefault="006A2893" w:rsidP="002A190B">
      <w:pPr>
        <w:pStyle w:val="FootnoteText"/>
        <w:jc w:val="both"/>
        <w:rPr>
          <w:sz w:val="24"/>
          <w:szCs w:val="24"/>
        </w:rPr>
      </w:pPr>
      <w:r w:rsidRPr="009158C8">
        <w:rPr>
          <w:sz w:val="24"/>
          <w:szCs w:val="24"/>
        </w:rPr>
        <w:t xml:space="preserve">It is noteworthy that some of the targets like tobacco control, and prevention and control of non-communicable diseases would require states to </w:t>
      </w:r>
      <w:r w:rsidR="00125A76" w:rsidRPr="009158C8">
        <w:rPr>
          <w:sz w:val="24"/>
          <w:szCs w:val="24"/>
        </w:rPr>
        <w:t xml:space="preserve">regulate the operations and activities of the private sector (non-state actors). As a perennial problem in international human rights law, the challenges of implementing the SDGs </w:t>
      </w:r>
      <w:r w:rsidR="00D96928" w:rsidRPr="009158C8">
        <w:rPr>
          <w:sz w:val="24"/>
          <w:szCs w:val="24"/>
        </w:rPr>
        <w:t>will</w:t>
      </w:r>
      <w:r w:rsidR="00125A76" w:rsidRPr="009158C8">
        <w:rPr>
          <w:sz w:val="24"/>
          <w:szCs w:val="24"/>
        </w:rPr>
        <w:t xml:space="preserve"> open a new vista to develop effective and innovative accountability mechanisms targeting non-state actors in national, regional, and international governance </w:t>
      </w:r>
      <w:r w:rsidR="00125A76" w:rsidRPr="009158C8">
        <w:rPr>
          <w:sz w:val="24"/>
          <w:szCs w:val="24"/>
        </w:rPr>
        <w:lastRenderedPageBreak/>
        <w:t>framework</w:t>
      </w:r>
      <w:r w:rsidR="00D96928" w:rsidRPr="009158C8">
        <w:rPr>
          <w:sz w:val="24"/>
          <w:szCs w:val="24"/>
        </w:rPr>
        <w:t>s</w:t>
      </w:r>
      <w:r w:rsidR="00125A76" w:rsidRPr="009158C8">
        <w:rPr>
          <w:sz w:val="24"/>
          <w:szCs w:val="24"/>
        </w:rPr>
        <w:t xml:space="preserve"> </w:t>
      </w:r>
      <w:r w:rsidR="002E2F18" w:rsidRPr="009158C8">
        <w:rPr>
          <w:sz w:val="24"/>
          <w:szCs w:val="24"/>
        </w:rPr>
        <w:t>for health and wellbeing in the 2030 Agenda</w:t>
      </w:r>
      <w:r w:rsidR="0076558F" w:rsidRPr="009158C8">
        <w:rPr>
          <w:sz w:val="24"/>
          <w:szCs w:val="24"/>
        </w:rPr>
        <w:t>.</w:t>
      </w:r>
      <w:r w:rsidR="0076558F" w:rsidRPr="009158C8">
        <w:rPr>
          <w:rStyle w:val="FootnoteReference"/>
          <w:sz w:val="24"/>
          <w:szCs w:val="24"/>
        </w:rPr>
        <w:footnoteReference w:id="77"/>
      </w:r>
      <w:r w:rsidR="002E2F18" w:rsidRPr="009158C8">
        <w:rPr>
          <w:sz w:val="24"/>
          <w:szCs w:val="24"/>
        </w:rPr>
        <w:t xml:space="preserve"> </w:t>
      </w:r>
      <w:r w:rsidR="002872BB" w:rsidRPr="009158C8">
        <w:rPr>
          <w:sz w:val="24"/>
          <w:szCs w:val="24"/>
        </w:rPr>
        <w:t>This innovative thinking is required where, for instance, p</w:t>
      </w:r>
      <w:r w:rsidR="00F12373" w:rsidRPr="009158C8">
        <w:rPr>
          <w:sz w:val="24"/>
          <w:szCs w:val="24"/>
        </w:rPr>
        <w:t xml:space="preserve">harmaceutical patents held by multinational corporations keep the prices of </w:t>
      </w:r>
      <w:r w:rsidR="002872BB" w:rsidRPr="009158C8">
        <w:rPr>
          <w:sz w:val="24"/>
          <w:szCs w:val="24"/>
        </w:rPr>
        <w:t xml:space="preserve">essential </w:t>
      </w:r>
      <w:r w:rsidR="00F12373" w:rsidRPr="009158C8">
        <w:rPr>
          <w:sz w:val="24"/>
          <w:szCs w:val="24"/>
        </w:rPr>
        <w:t>medicines artificially high for poor and vulnerable</w:t>
      </w:r>
      <w:r w:rsidR="00D96928" w:rsidRPr="009158C8">
        <w:rPr>
          <w:sz w:val="24"/>
          <w:szCs w:val="24"/>
        </w:rPr>
        <w:t xml:space="preserve">, </w:t>
      </w:r>
      <w:r w:rsidR="00F12373" w:rsidRPr="009158C8">
        <w:rPr>
          <w:sz w:val="24"/>
          <w:szCs w:val="24"/>
        </w:rPr>
        <w:t xml:space="preserve">groups </w:t>
      </w:r>
      <w:r w:rsidR="00D96928" w:rsidRPr="009158C8">
        <w:rPr>
          <w:sz w:val="24"/>
          <w:szCs w:val="24"/>
        </w:rPr>
        <w:t xml:space="preserve">and peoples </w:t>
      </w:r>
      <w:r w:rsidR="00F12373" w:rsidRPr="009158C8">
        <w:rPr>
          <w:sz w:val="24"/>
          <w:szCs w:val="24"/>
        </w:rPr>
        <w:t>who are in most need of the drugs</w:t>
      </w:r>
      <w:r w:rsidR="00060384" w:rsidRPr="009158C8">
        <w:rPr>
          <w:sz w:val="24"/>
          <w:szCs w:val="24"/>
        </w:rPr>
        <w:t>.</w:t>
      </w:r>
      <w:r w:rsidR="00FB1C9D" w:rsidRPr="009158C8">
        <w:rPr>
          <w:sz w:val="24"/>
          <w:szCs w:val="24"/>
        </w:rPr>
        <w:t xml:space="preserve"> </w:t>
      </w:r>
      <w:r w:rsidR="00C254FF" w:rsidRPr="009158C8">
        <w:rPr>
          <w:sz w:val="24"/>
          <w:szCs w:val="24"/>
        </w:rPr>
        <w:t xml:space="preserve">In their struggles to roll out generic anti-retroviral drugs, the </w:t>
      </w:r>
      <w:r w:rsidR="002872BB" w:rsidRPr="009158C8">
        <w:rPr>
          <w:sz w:val="24"/>
          <w:szCs w:val="24"/>
        </w:rPr>
        <w:t>experience</w:t>
      </w:r>
      <w:r w:rsidR="00FB1C9D" w:rsidRPr="009158C8">
        <w:rPr>
          <w:sz w:val="24"/>
          <w:szCs w:val="24"/>
        </w:rPr>
        <w:t>s</w:t>
      </w:r>
      <w:r w:rsidR="002872BB" w:rsidRPr="009158C8">
        <w:rPr>
          <w:sz w:val="24"/>
          <w:szCs w:val="24"/>
        </w:rPr>
        <w:t xml:space="preserve"> of </w:t>
      </w:r>
      <w:r w:rsidR="00D96928" w:rsidRPr="009158C8">
        <w:rPr>
          <w:sz w:val="24"/>
          <w:szCs w:val="24"/>
        </w:rPr>
        <w:t xml:space="preserve">some developing countries including </w:t>
      </w:r>
      <w:r w:rsidR="002872BB" w:rsidRPr="009158C8">
        <w:rPr>
          <w:sz w:val="24"/>
          <w:szCs w:val="24"/>
        </w:rPr>
        <w:t>Brazil, South Africa,</w:t>
      </w:r>
      <w:r w:rsidR="00DF1C0E" w:rsidRPr="009158C8">
        <w:rPr>
          <w:sz w:val="24"/>
          <w:szCs w:val="24"/>
        </w:rPr>
        <w:t xml:space="preserve"> </w:t>
      </w:r>
      <w:r w:rsidR="002872BB" w:rsidRPr="009158C8">
        <w:rPr>
          <w:sz w:val="24"/>
          <w:szCs w:val="24"/>
        </w:rPr>
        <w:t>Kenya</w:t>
      </w:r>
      <w:r w:rsidR="0076558F" w:rsidRPr="009158C8">
        <w:rPr>
          <w:sz w:val="24"/>
          <w:szCs w:val="24"/>
        </w:rPr>
        <w:t>,</w:t>
      </w:r>
      <w:r w:rsidR="0076558F" w:rsidRPr="009158C8">
        <w:rPr>
          <w:rStyle w:val="FootnoteReference"/>
          <w:sz w:val="24"/>
          <w:szCs w:val="24"/>
        </w:rPr>
        <w:footnoteReference w:id="78"/>
      </w:r>
      <w:r w:rsidR="00DF1C0E" w:rsidRPr="009158C8">
        <w:rPr>
          <w:sz w:val="24"/>
          <w:szCs w:val="24"/>
        </w:rPr>
        <w:t xml:space="preserve"> </w:t>
      </w:r>
      <w:r w:rsidR="002872BB" w:rsidRPr="009158C8">
        <w:rPr>
          <w:sz w:val="24"/>
          <w:szCs w:val="24"/>
        </w:rPr>
        <w:t xml:space="preserve">and </w:t>
      </w:r>
      <w:r w:rsidR="00D96928" w:rsidRPr="009158C8">
        <w:rPr>
          <w:sz w:val="24"/>
          <w:szCs w:val="24"/>
        </w:rPr>
        <w:t xml:space="preserve">others </w:t>
      </w:r>
      <w:r w:rsidR="00FB1C9D" w:rsidRPr="009158C8">
        <w:rPr>
          <w:sz w:val="24"/>
          <w:szCs w:val="24"/>
        </w:rPr>
        <w:t>in the post-</w:t>
      </w:r>
      <w:r w:rsidR="002872BB" w:rsidRPr="009158C8">
        <w:rPr>
          <w:sz w:val="24"/>
          <w:szCs w:val="24"/>
        </w:rPr>
        <w:t xml:space="preserve">TRIPS era have shown that </w:t>
      </w:r>
      <w:r w:rsidR="005A28C8" w:rsidRPr="009158C8">
        <w:rPr>
          <w:sz w:val="24"/>
          <w:szCs w:val="24"/>
        </w:rPr>
        <w:t xml:space="preserve">invoking </w:t>
      </w:r>
      <w:r w:rsidR="00FB1C9D" w:rsidRPr="009158C8">
        <w:rPr>
          <w:sz w:val="24"/>
          <w:szCs w:val="24"/>
        </w:rPr>
        <w:t xml:space="preserve">the </w:t>
      </w:r>
      <w:r w:rsidR="005A28C8" w:rsidRPr="009158C8">
        <w:rPr>
          <w:sz w:val="24"/>
          <w:szCs w:val="24"/>
        </w:rPr>
        <w:t>human right</w:t>
      </w:r>
      <w:r w:rsidR="00FB1C9D" w:rsidRPr="009158C8">
        <w:rPr>
          <w:sz w:val="24"/>
          <w:szCs w:val="24"/>
        </w:rPr>
        <w:t>s</w:t>
      </w:r>
      <w:r w:rsidR="005A28C8" w:rsidRPr="009158C8">
        <w:rPr>
          <w:sz w:val="24"/>
          <w:szCs w:val="24"/>
        </w:rPr>
        <w:t xml:space="preserve"> </w:t>
      </w:r>
      <w:r w:rsidR="00FB1C9D" w:rsidRPr="009158C8">
        <w:rPr>
          <w:sz w:val="24"/>
          <w:szCs w:val="24"/>
        </w:rPr>
        <w:t>(right to health</w:t>
      </w:r>
      <w:r w:rsidR="00E1386D" w:rsidRPr="009158C8">
        <w:rPr>
          <w:sz w:val="24"/>
          <w:szCs w:val="24"/>
        </w:rPr>
        <w:t xml:space="preserve"> and </w:t>
      </w:r>
      <w:r w:rsidR="00B96B09" w:rsidRPr="009158C8">
        <w:rPr>
          <w:sz w:val="24"/>
          <w:szCs w:val="24"/>
        </w:rPr>
        <w:t xml:space="preserve">the </w:t>
      </w:r>
      <w:r w:rsidR="00E1386D" w:rsidRPr="009158C8">
        <w:rPr>
          <w:sz w:val="24"/>
          <w:szCs w:val="24"/>
        </w:rPr>
        <w:t>RtD</w:t>
      </w:r>
      <w:r w:rsidR="00FB1C9D" w:rsidRPr="009158C8">
        <w:rPr>
          <w:sz w:val="24"/>
          <w:szCs w:val="24"/>
        </w:rPr>
        <w:t xml:space="preserve">) </w:t>
      </w:r>
      <w:r w:rsidR="005A28C8" w:rsidRPr="009158C8">
        <w:rPr>
          <w:sz w:val="24"/>
          <w:szCs w:val="24"/>
        </w:rPr>
        <w:t>argument</w:t>
      </w:r>
      <w:r w:rsidR="00FB1C9D" w:rsidRPr="009158C8">
        <w:rPr>
          <w:sz w:val="24"/>
          <w:szCs w:val="24"/>
        </w:rPr>
        <w:t xml:space="preserve"> can be a long, tortuous and complicated journey because of </w:t>
      </w:r>
      <w:r w:rsidR="00D96928" w:rsidRPr="009158C8">
        <w:rPr>
          <w:sz w:val="24"/>
          <w:szCs w:val="24"/>
        </w:rPr>
        <w:t xml:space="preserve">the </w:t>
      </w:r>
      <w:r w:rsidR="00FB1C9D" w:rsidRPr="009158C8">
        <w:rPr>
          <w:sz w:val="24"/>
          <w:szCs w:val="24"/>
        </w:rPr>
        <w:t>corporate lobby.</w:t>
      </w:r>
      <w:r w:rsidR="00936DAE" w:rsidRPr="002872BB">
        <w:rPr>
          <w:sz w:val="24"/>
          <w:szCs w:val="24"/>
        </w:rPr>
        <w:t xml:space="preserve"> </w:t>
      </w:r>
    </w:p>
    <w:p w14:paraId="2CA82743" w14:textId="77777777" w:rsidR="002B6BB6" w:rsidRDefault="002B6BB6" w:rsidP="002A190B">
      <w:pPr>
        <w:pStyle w:val="BodyText2"/>
        <w:jc w:val="both"/>
        <w:rPr>
          <w:b w:val="0"/>
        </w:rPr>
      </w:pPr>
    </w:p>
    <w:p w14:paraId="49F6FE52" w14:textId="77777777" w:rsidR="00FB1C9D" w:rsidRPr="00FB1C9D" w:rsidRDefault="00FB1C9D" w:rsidP="002B6BB6">
      <w:pPr>
        <w:pStyle w:val="BodyText2"/>
        <w:spacing w:line="360" w:lineRule="auto"/>
        <w:jc w:val="both"/>
        <w:rPr>
          <w:b w:val="0"/>
        </w:rPr>
      </w:pPr>
    </w:p>
    <w:sectPr w:rsidR="00FB1C9D" w:rsidRPr="00FB1C9D" w:rsidSect="003F68C1">
      <w:headerReference w:type="even" r:id="rId8"/>
      <w:headerReference w:type="default" r:id="rId9"/>
      <w:headerReference w:type="first" r:id="rId10"/>
      <w:endnotePr>
        <w:numFmt w:val="decimal"/>
      </w:endnotePr>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EB04A" w14:textId="77777777" w:rsidR="00953F66" w:rsidRDefault="00953F66">
      <w:r>
        <w:separator/>
      </w:r>
    </w:p>
  </w:endnote>
  <w:endnote w:type="continuationSeparator" w:id="0">
    <w:p w14:paraId="60106207" w14:textId="77777777" w:rsidR="00953F66" w:rsidRDefault="0095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57EDA" w14:textId="77777777" w:rsidR="00953F66" w:rsidRDefault="00953F66">
      <w:r>
        <w:separator/>
      </w:r>
    </w:p>
  </w:footnote>
  <w:footnote w:type="continuationSeparator" w:id="0">
    <w:p w14:paraId="37AF3204" w14:textId="77777777" w:rsidR="00953F66" w:rsidRDefault="00953F66">
      <w:r>
        <w:continuationSeparator/>
      </w:r>
    </w:p>
  </w:footnote>
  <w:footnote w:id="1">
    <w:p w14:paraId="45183F15" w14:textId="77777777" w:rsidR="00922726" w:rsidRPr="00F42C4D" w:rsidRDefault="00922726" w:rsidP="00F42C4D">
      <w:pPr>
        <w:pStyle w:val="FootnoteText"/>
        <w:jc w:val="both"/>
        <w:rPr>
          <w:sz w:val="22"/>
          <w:szCs w:val="22"/>
        </w:rPr>
      </w:pPr>
      <w:r w:rsidRPr="00F42C4D">
        <w:rPr>
          <w:sz w:val="22"/>
          <w:szCs w:val="22"/>
        </w:rPr>
        <w:t>* Director Ad-Interim &amp; Head of Governance for Global Health, United Nations University-International Institute for Global Health (UNU-IIGH), Kuala Lumpur.</w:t>
      </w:r>
    </w:p>
    <w:p w14:paraId="4E38F44D"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w:t>
      </w:r>
      <w:r w:rsidRPr="00F42C4D">
        <w:rPr>
          <w:sz w:val="22"/>
          <w:szCs w:val="22"/>
          <w:lang w:val="fr-CH"/>
        </w:rPr>
        <w:t>A/RES/70/1, Article 1(1).</w:t>
      </w:r>
    </w:p>
  </w:footnote>
  <w:footnote w:id="2">
    <w:p w14:paraId="7A01087C"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w:t>
      </w:r>
      <w:r w:rsidRPr="00F42C4D">
        <w:rPr>
          <w:i/>
          <w:iCs/>
          <w:sz w:val="22"/>
          <w:szCs w:val="22"/>
        </w:rPr>
        <w:t>Constitution of the World Health Organization</w:t>
      </w:r>
      <w:r w:rsidRPr="00F42C4D">
        <w:rPr>
          <w:sz w:val="22"/>
          <w:szCs w:val="22"/>
        </w:rPr>
        <w:t>, signed on 22 July 1946, and entered into force on 7 April 1948, Preamble.</w:t>
      </w:r>
    </w:p>
  </w:footnote>
  <w:footnote w:id="3">
    <w:p w14:paraId="14AF6713"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A/RES/41/128.</w:t>
      </w:r>
    </w:p>
  </w:footnote>
  <w:footnote w:id="4">
    <w:p w14:paraId="2811F847"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Mohammed Bedjaoui, </w:t>
      </w:r>
      <w:r w:rsidRPr="00F42C4D">
        <w:rPr>
          <w:i/>
          <w:sz w:val="22"/>
          <w:szCs w:val="22"/>
        </w:rPr>
        <w:t>Towards a New International Economic Order</w:t>
      </w:r>
      <w:r w:rsidRPr="00F42C4D">
        <w:rPr>
          <w:sz w:val="22"/>
          <w:szCs w:val="22"/>
        </w:rPr>
        <w:t xml:space="preserve"> (Paris: UNESCO, 1979); Oswaldo de Rivero, </w:t>
      </w:r>
      <w:r w:rsidRPr="00F42C4D">
        <w:rPr>
          <w:i/>
          <w:sz w:val="22"/>
          <w:szCs w:val="22"/>
        </w:rPr>
        <w:t>New Economic Order and International Development Law</w:t>
      </w:r>
      <w:r w:rsidRPr="00F42C4D">
        <w:rPr>
          <w:sz w:val="22"/>
          <w:szCs w:val="22"/>
        </w:rPr>
        <w:t xml:space="preserve"> (Oxford: Pergamon Press, 1980); Karin Mickelson, “Rhetoric and Rage: Third World Voices in International Legal Discourse”, </w:t>
      </w:r>
      <w:r w:rsidRPr="00F42C4D">
        <w:rPr>
          <w:i/>
          <w:sz w:val="22"/>
          <w:szCs w:val="22"/>
        </w:rPr>
        <w:t>Wisconsin International Law Journal</w:t>
      </w:r>
      <w:r w:rsidRPr="00F42C4D">
        <w:rPr>
          <w:sz w:val="22"/>
          <w:szCs w:val="22"/>
        </w:rPr>
        <w:t xml:space="preserve">, vol.16, no.2 (1998), pp. 353–419; Bhupinder Chimni, “Third World Approaches to International Law: A Manifesto”, </w:t>
      </w:r>
      <w:r w:rsidRPr="00F42C4D">
        <w:rPr>
          <w:i/>
          <w:sz w:val="22"/>
          <w:szCs w:val="22"/>
        </w:rPr>
        <w:t>International Community Law Review</w:t>
      </w:r>
      <w:r w:rsidRPr="00F42C4D">
        <w:rPr>
          <w:sz w:val="22"/>
          <w:szCs w:val="22"/>
        </w:rPr>
        <w:t xml:space="preserve">, vol.8 (2006), pp. 3–27; Anthony </w:t>
      </w:r>
      <w:proofErr w:type="spellStart"/>
      <w:r w:rsidRPr="00F42C4D">
        <w:rPr>
          <w:sz w:val="22"/>
          <w:szCs w:val="22"/>
          <w:lang w:val="en-MY"/>
        </w:rPr>
        <w:t>Anghie</w:t>
      </w:r>
      <w:proofErr w:type="spellEnd"/>
      <w:r w:rsidRPr="00F42C4D">
        <w:rPr>
          <w:sz w:val="22"/>
          <w:szCs w:val="22"/>
          <w:lang w:val="en-MY"/>
        </w:rPr>
        <w:t xml:space="preserve">, Bhupinder Chimni, Karin Mickelson, and </w:t>
      </w:r>
      <w:proofErr w:type="spellStart"/>
      <w:r w:rsidRPr="00F42C4D">
        <w:rPr>
          <w:sz w:val="22"/>
          <w:szCs w:val="22"/>
          <w:lang w:val="en-MY"/>
        </w:rPr>
        <w:t>Obiora</w:t>
      </w:r>
      <w:proofErr w:type="spellEnd"/>
      <w:r w:rsidRPr="00F42C4D">
        <w:rPr>
          <w:sz w:val="22"/>
          <w:szCs w:val="22"/>
          <w:lang w:val="en-MY"/>
        </w:rPr>
        <w:t xml:space="preserve"> Okafor (eds), </w:t>
      </w:r>
      <w:r w:rsidRPr="00F42C4D">
        <w:rPr>
          <w:i/>
          <w:sz w:val="22"/>
          <w:szCs w:val="22"/>
          <w:lang w:val="en-MY"/>
        </w:rPr>
        <w:t>The Third World and International Order: Law, Politics and Globalization,</w:t>
      </w:r>
      <w:r w:rsidRPr="00F42C4D">
        <w:rPr>
          <w:sz w:val="22"/>
          <w:szCs w:val="22"/>
          <w:lang w:val="en-MY"/>
        </w:rPr>
        <w:t xml:space="preserve"> (Leiden/Boston: </w:t>
      </w:r>
      <w:proofErr w:type="spellStart"/>
      <w:r w:rsidRPr="00F42C4D">
        <w:rPr>
          <w:sz w:val="22"/>
          <w:szCs w:val="22"/>
          <w:lang w:val="en-MY"/>
        </w:rPr>
        <w:t>Martinus</w:t>
      </w:r>
      <w:proofErr w:type="spellEnd"/>
      <w:r w:rsidRPr="00F42C4D">
        <w:rPr>
          <w:sz w:val="22"/>
          <w:szCs w:val="22"/>
          <w:lang w:val="en-MY"/>
        </w:rPr>
        <w:t xml:space="preserve"> </w:t>
      </w:r>
      <w:proofErr w:type="spellStart"/>
      <w:r w:rsidRPr="00F42C4D">
        <w:rPr>
          <w:sz w:val="22"/>
          <w:szCs w:val="22"/>
          <w:lang w:val="en-MY"/>
        </w:rPr>
        <w:t>Nijhoff</w:t>
      </w:r>
      <w:proofErr w:type="spellEnd"/>
      <w:r w:rsidRPr="00F42C4D">
        <w:rPr>
          <w:sz w:val="22"/>
          <w:szCs w:val="22"/>
          <w:lang w:val="en-MY"/>
        </w:rPr>
        <w:t>, 2003).</w:t>
      </w:r>
    </w:p>
  </w:footnote>
  <w:footnote w:id="5">
    <w:p w14:paraId="546E945B"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A/RES/S-6/3201 </w:t>
      </w:r>
    </w:p>
  </w:footnote>
  <w:footnote w:id="6">
    <w:p w14:paraId="313E5BB9"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A/RES/29/3281 </w:t>
      </w:r>
    </w:p>
  </w:footnote>
  <w:footnote w:id="7">
    <w:p w14:paraId="40519AEE" w14:textId="77777777" w:rsidR="00922726" w:rsidRPr="00F42C4D" w:rsidRDefault="00922726" w:rsidP="00F42C4D">
      <w:pPr>
        <w:pStyle w:val="FootnoteText"/>
        <w:jc w:val="both"/>
        <w:rPr>
          <w:sz w:val="22"/>
          <w:szCs w:val="22"/>
          <w:lang w:val="en-GB"/>
        </w:rPr>
      </w:pPr>
      <w:r w:rsidRPr="00F42C4D">
        <w:rPr>
          <w:rStyle w:val="FootnoteReference"/>
          <w:sz w:val="22"/>
          <w:szCs w:val="22"/>
        </w:rPr>
        <w:footnoteRef/>
      </w:r>
      <w:r w:rsidRPr="00F42C4D">
        <w:rPr>
          <w:sz w:val="22"/>
          <w:szCs w:val="22"/>
        </w:rPr>
        <w:t xml:space="preserve"> Karin Mickelson, “Rhetoric and Rage”, citing </w:t>
      </w:r>
      <w:proofErr w:type="spellStart"/>
      <w:r w:rsidRPr="00F42C4D">
        <w:rPr>
          <w:sz w:val="22"/>
          <w:szCs w:val="22"/>
        </w:rPr>
        <w:t>Keba</w:t>
      </w:r>
      <w:proofErr w:type="spellEnd"/>
      <w:r w:rsidRPr="00F42C4D">
        <w:rPr>
          <w:sz w:val="22"/>
          <w:szCs w:val="22"/>
        </w:rPr>
        <w:t xml:space="preserve"> </w:t>
      </w:r>
      <w:r w:rsidRPr="00F42C4D">
        <w:rPr>
          <w:sz w:val="22"/>
          <w:szCs w:val="22"/>
          <w:lang w:val="fr-CH"/>
        </w:rPr>
        <w:t>M’Bay</w:t>
      </w:r>
      <w:r w:rsidRPr="00F42C4D">
        <w:rPr>
          <w:sz w:val="22"/>
          <w:szCs w:val="22"/>
          <w:lang w:val="en-GB"/>
        </w:rPr>
        <w:t xml:space="preserve">e, “Le Droit au Development Comme </w:t>
      </w:r>
      <w:proofErr w:type="gramStart"/>
      <w:r w:rsidRPr="00F42C4D">
        <w:rPr>
          <w:sz w:val="22"/>
          <w:szCs w:val="22"/>
          <w:lang w:val="en-GB"/>
        </w:rPr>
        <w:t>un Droit</w:t>
      </w:r>
      <w:proofErr w:type="gramEnd"/>
      <w:r w:rsidRPr="00F42C4D">
        <w:rPr>
          <w:sz w:val="22"/>
          <w:szCs w:val="22"/>
          <w:lang w:val="en-GB"/>
        </w:rPr>
        <w:t xml:space="preserve"> de </w:t>
      </w:r>
      <w:proofErr w:type="spellStart"/>
      <w:r w:rsidRPr="00F42C4D">
        <w:rPr>
          <w:sz w:val="22"/>
          <w:szCs w:val="22"/>
          <w:lang w:val="en-GB"/>
        </w:rPr>
        <w:t>L’Homme</w:t>
      </w:r>
      <w:proofErr w:type="spellEnd"/>
      <w:r w:rsidRPr="00F42C4D">
        <w:rPr>
          <w:sz w:val="22"/>
          <w:szCs w:val="22"/>
          <w:lang w:val="en-GB"/>
        </w:rPr>
        <w:t xml:space="preserve">”, </w:t>
      </w:r>
      <w:r w:rsidRPr="00F42C4D">
        <w:rPr>
          <w:i/>
          <w:sz w:val="22"/>
          <w:szCs w:val="22"/>
          <w:lang w:val="en-GB"/>
        </w:rPr>
        <w:t xml:space="preserve">Revue Des Droits de </w:t>
      </w:r>
      <w:proofErr w:type="spellStart"/>
      <w:r w:rsidRPr="00F42C4D">
        <w:rPr>
          <w:i/>
          <w:sz w:val="22"/>
          <w:szCs w:val="22"/>
          <w:lang w:val="en-GB"/>
        </w:rPr>
        <w:t>L’Homme</w:t>
      </w:r>
      <w:proofErr w:type="spellEnd"/>
      <w:r w:rsidRPr="00F42C4D">
        <w:rPr>
          <w:i/>
          <w:sz w:val="22"/>
          <w:szCs w:val="22"/>
          <w:lang w:val="en-GB"/>
        </w:rPr>
        <w:t>,</w:t>
      </w:r>
      <w:r w:rsidRPr="00F42C4D">
        <w:rPr>
          <w:sz w:val="22"/>
          <w:szCs w:val="22"/>
          <w:lang w:val="en-GB"/>
        </w:rPr>
        <w:t xml:space="preserve"> vol. 5 (1972), p. 505. </w:t>
      </w:r>
    </w:p>
  </w:footnote>
  <w:footnote w:id="8">
    <w:p w14:paraId="15B16452" w14:textId="77777777" w:rsidR="00922726" w:rsidRPr="00F42C4D" w:rsidRDefault="00922726" w:rsidP="00F42C4D">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Stephen Marks, “Emerging Human Rights: A New Generation for the 1980s”, </w:t>
      </w:r>
      <w:r w:rsidRPr="00F42C4D">
        <w:rPr>
          <w:b w:val="0"/>
          <w:i/>
          <w:sz w:val="22"/>
          <w:szCs w:val="22"/>
        </w:rPr>
        <w:t>Rutgers Law Review</w:t>
      </w:r>
      <w:r w:rsidRPr="00F42C4D">
        <w:rPr>
          <w:b w:val="0"/>
          <w:sz w:val="22"/>
          <w:szCs w:val="22"/>
        </w:rPr>
        <w:t xml:space="preserve">, vol.33 (1981), pp. 435–452; Philip Alston, “A Third Generation of Solidarity Rights: Progressive Developments of Obfuscation of International Human Rights Law”, </w:t>
      </w:r>
      <w:r w:rsidRPr="00F42C4D">
        <w:rPr>
          <w:b w:val="0"/>
          <w:i/>
          <w:iCs/>
          <w:sz w:val="22"/>
          <w:szCs w:val="22"/>
        </w:rPr>
        <w:t>Netherlands International Law Review</w:t>
      </w:r>
      <w:r w:rsidRPr="00F42C4D">
        <w:rPr>
          <w:b w:val="0"/>
          <w:sz w:val="22"/>
          <w:szCs w:val="22"/>
        </w:rPr>
        <w:t xml:space="preserve">, vol. 29, no. 3 (1982), pp. 307–322; Philip Alston, “Conjuring up New Human Rights: A Proposal for Quality Control”, </w:t>
      </w:r>
      <w:r w:rsidRPr="00F42C4D">
        <w:rPr>
          <w:b w:val="0"/>
          <w:i/>
          <w:iCs/>
          <w:sz w:val="22"/>
          <w:szCs w:val="22"/>
        </w:rPr>
        <w:t>The American Journal of International Law</w:t>
      </w:r>
      <w:r w:rsidRPr="00F42C4D">
        <w:rPr>
          <w:b w:val="0"/>
          <w:sz w:val="22"/>
          <w:szCs w:val="22"/>
        </w:rPr>
        <w:t>, vol. 78, no. 3 (1984), pp. 607–621; Jack Donnelley, “</w:t>
      </w:r>
      <w:r w:rsidRPr="00F42C4D">
        <w:rPr>
          <w:b w:val="0"/>
          <w:sz w:val="22"/>
          <w:szCs w:val="22"/>
          <w:lang w:val="en-MY"/>
        </w:rPr>
        <w:t xml:space="preserve">In Search of the Unicorn. The Jurisprudence and Politics of the Right to Development”, </w:t>
      </w:r>
      <w:r w:rsidRPr="00F42C4D">
        <w:rPr>
          <w:b w:val="0"/>
          <w:i/>
          <w:sz w:val="22"/>
          <w:szCs w:val="22"/>
          <w:lang w:val="en-MY"/>
        </w:rPr>
        <w:t>California Western International Law Journal,</w:t>
      </w:r>
      <w:r w:rsidRPr="00F42C4D">
        <w:rPr>
          <w:b w:val="0"/>
          <w:sz w:val="22"/>
          <w:szCs w:val="22"/>
          <w:lang w:val="en-MY"/>
        </w:rPr>
        <w:t xml:space="preserve"> vol. 15 (1985), pp. 473–509.</w:t>
      </w:r>
    </w:p>
  </w:footnote>
  <w:footnote w:id="9">
    <w:p w14:paraId="516258AF"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Karin Mickelson, “Rhetoric and Rage”, p. 376. </w:t>
      </w:r>
    </w:p>
  </w:footnote>
  <w:footnote w:id="10">
    <w:p w14:paraId="44F10292"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Jack Donnelly, “In Search of the Unicorn”, p.478.</w:t>
      </w:r>
    </w:p>
  </w:footnote>
  <w:footnote w:id="11">
    <w:p w14:paraId="6CFC8270"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Stephen Marks, “Emerging Human Rights”, p.445.</w:t>
      </w:r>
    </w:p>
  </w:footnote>
  <w:footnote w:id="12">
    <w:p w14:paraId="2E24F601"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w:t>
      </w:r>
      <w:r w:rsidRPr="00F42C4D">
        <w:rPr>
          <w:i/>
          <w:iCs/>
          <w:sz w:val="22"/>
          <w:szCs w:val="22"/>
        </w:rPr>
        <w:t>Constitution of the World Health Organization</w:t>
      </w:r>
      <w:r w:rsidRPr="00F42C4D">
        <w:rPr>
          <w:sz w:val="22"/>
          <w:szCs w:val="22"/>
        </w:rPr>
        <w:t>, Preamble.</w:t>
      </w:r>
    </w:p>
  </w:footnote>
  <w:footnote w:id="13">
    <w:p w14:paraId="5AFE4CD1"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A/RES/3/217 A</w:t>
      </w:r>
    </w:p>
  </w:footnote>
  <w:footnote w:id="14">
    <w:p w14:paraId="68D5E090"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w:t>
      </w:r>
      <w:r w:rsidRPr="00F42C4D">
        <w:rPr>
          <w:i/>
          <w:iCs/>
          <w:sz w:val="22"/>
          <w:szCs w:val="22"/>
        </w:rPr>
        <w:t>Constitution of the World Health Organization</w:t>
      </w:r>
      <w:r w:rsidRPr="00F42C4D">
        <w:rPr>
          <w:sz w:val="22"/>
          <w:szCs w:val="22"/>
        </w:rPr>
        <w:t>, Preamble.</w:t>
      </w:r>
    </w:p>
  </w:footnote>
  <w:footnote w:id="15">
    <w:p w14:paraId="7014F111"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A/RES/3/217 A, Article 25.</w:t>
      </w:r>
    </w:p>
  </w:footnote>
  <w:footnote w:id="16">
    <w:p w14:paraId="6E710392"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A/RES/41/128, Article 8.</w:t>
      </w:r>
    </w:p>
  </w:footnote>
  <w:footnote w:id="17">
    <w:p w14:paraId="00A2F58C"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United Nations, </w:t>
      </w:r>
      <w:r w:rsidRPr="00F42C4D">
        <w:rPr>
          <w:i/>
          <w:iCs/>
          <w:sz w:val="22"/>
          <w:szCs w:val="22"/>
        </w:rPr>
        <w:t>International Covenant on Economic, Social and Cultural Rights</w:t>
      </w:r>
      <w:r w:rsidRPr="00F42C4D">
        <w:rPr>
          <w:sz w:val="22"/>
          <w:szCs w:val="22"/>
        </w:rPr>
        <w:t>, 16 December 1966, United Nations Treaty Series, vol. 993. pp. 3–12, Article 12.</w:t>
      </w:r>
    </w:p>
  </w:footnote>
  <w:footnote w:id="18">
    <w:p w14:paraId="06B2B8EE"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United Nations, </w:t>
      </w:r>
      <w:r w:rsidRPr="00F42C4D">
        <w:rPr>
          <w:i/>
          <w:iCs/>
          <w:sz w:val="22"/>
          <w:szCs w:val="22"/>
        </w:rPr>
        <w:t>Convention on the Rights of the Child</w:t>
      </w:r>
      <w:r w:rsidRPr="00F42C4D">
        <w:rPr>
          <w:sz w:val="22"/>
          <w:szCs w:val="22"/>
        </w:rPr>
        <w:t>, 20 November 1989, United Nations Treaty Series, vol. 1577, pp. 44–61, Article 24.</w:t>
      </w:r>
    </w:p>
  </w:footnote>
  <w:footnote w:id="19">
    <w:p w14:paraId="116D375D"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United Nations, </w:t>
      </w:r>
      <w:r w:rsidRPr="00F42C4D">
        <w:rPr>
          <w:i/>
          <w:iCs/>
          <w:sz w:val="22"/>
          <w:szCs w:val="22"/>
        </w:rPr>
        <w:t>International Convention on the Elimination of All Forms of Racial Discrimination</w:t>
      </w:r>
      <w:r w:rsidRPr="00F42C4D">
        <w:rPr>
          <w:sz w:val="22"/>
          <w:szCs w:val="22"/>
        </w:rPr>
        <w:t xml:space="preserve">, 7 March 1966, United Nations Treaty Series, vol. 660, pp. 212–38, </w:t>
      </w:r>
      <w:proofErr w:type="spellStart"/>
      <w:r w:rsidRPr="00F42C4D">
        <w:rPr>
          <w:sz w:val="22"/>
          <w:szCs w:val="22"/>
        </w:rPr>
        <w:t>Arrticle</w:t>
      </w:r>
      <w:proofErr w:type="spellEnd"/>
      <w:r w:rsidRPr="00F42C4D">
        <w:rPr>
          <w:sz w:val="22"/>
          <w:szCs w:val="22"/>
        </w:rPr>
        <w:t xml:space="preserve"> 5e(iv).</w:t>
      </w:r>
    </w:p>
  </w:footnote>
  <w:footnote w:id="20">
    <w:p w14:paraId="25F1B2E8"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United Nations, </w:t>
      </w:r>
      <w:r w:rsidRPr="00F42C4D">
        <w:rPr>
          <w:i/>
          <w:iCs/>
          <w:sz w:val="22"/>
          <w:szCs w:val="22"/>
        </w:rPr>
        <w:t>Convention on the Elimination of All Forms of Discrimination Against Women</w:t>
      </w:r>
      <w:r w:rsidRPr="00F42C4D">
        <w:rPr>
          <w:sz w:val="22"/>
          <w:szCs w:val="22"/>
        </w:rPr>
        <w:t>, 18 December 1979, United Nations Treaty Series, vol. 1249, pp. 14–23, Articles 11(1)(f) and 12(1).</w:t>
      </w:r>
    </w:p>
  </w:footnote>
  <w:footnote w:id="21">
    <w:p w14:paraId="44692E62"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Inter-American Commission on Human Rights (IACHR), </w:t>
      </w:r>
      <w:r w:rsidRPr="00F42C4D">
        <w:rPr>
          <w:i/>
          <w:iCs/>
          <w:sz w:val="22"/>
          <w:szCs w:val="22"/>
        </w:rPr>
        <w:t>American Declaration of the Rights and Duties of Man</w:t>
      </w:r>
      <w:r w:rsidRPr="00F42C4D">
        <w:rPr>
          <w:sz w:val="22"/>
          <w:szCs w:val="22"/>
        </w:rPr>
        <w:t>, 2 May 1948, available at: http://www.refworld.org/docid/3ae6b3710.html, accessed on 27 July 2017, Article XI.</w:t>
      </w:r>
    </w:p>
  </w:footnote>
  <w:footnote w:id="22">
    <w:p w14:paraId="12253B5C"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Organization of African Unity, </w:t>
      </w:r>
      <w:r w:rsidRPr="00F42C4D">
        <w:rPr>
          <w:i/>
          <w:iCs/>
          <w:sz w:val="22"/>
          <w:szCs w:val="22"/>
        </w:rPr>
        <w:t>African Charter on Human and Peoples’ Rights</w:t>
      </w:r>
      <w:r w:rsidRPr="00F42C4D">
        <w:rPr>
          <w:sz w:val="22"/>
          <w:szCs w:val="22"/>
        </w:rPr>
        <w:t xml:space="preserve">, 27 June 1981, CAB/LEG/67/3 rev. 5, </w:t>
      </w:r>
      <w:r w:rsidRPr="00F42C4D">
        <w:rPr>
          <w:i/>
          <w:iCs/>
          <w:sz w:val="22"/>
          <w:szCs w:val="22"/>
        </w:rPr>
        <w:t>International Legal Materials</w:t>
      </w:r>
      <w:r w:rsidRPr="00F42C4D">
        <w:rPr>
          <w:sz w:val="22"/>
          <w:szCs w:val="22"/>
        </w:rPr>
        <w:t>, vol. 21, no. 1 (1982), pp. 58–68, Article 16.</w:t>
      </w:r>
    </w:p>
  </w:footnote>
  <w:footnote w:id="23">
    <w:p w14:paraId="3962FACF"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Organization of American States (OAS), </w:t>
      </w:r>
      <w:r w:rsidRPr="00F42C4D">
        <w:rPr>
          <w:i/>
          <w:iCs/>
          <w:sz w:val="22"/>
          <w:szCs w:val="22"/>
        </w:rPr>
        <w:t>Additional Protocol to the American Convention on Human Rights in the Area of Economic, Social and Cultural Rights ("Protocol of San Salvador")</w:t>
      </w:r>
      <w:r w:rsidRPr="00F42C4D">
        <w:rPr>
          <w:sz w:val="22"/>
          <w:szCs w:val="22"/>
        </w:rPr>
        <w:t>, 16 November 1999, A-52, available at: http://www.refworld.org/docid/3ae6b3b90.html, accessed on 27 July 2017.</w:t>
      </w:r>
    </w:p>
  </w:footnote>
  <w:footnote w:id="24">
    <w:p w14:paraId="253CAE7E"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Council of Europe, </w:t>
      </w:r>
      <w:r w:rsidRPr="00F42C4D">
        <w:rPr>
          <w:i/>
          <w:iCs/>
          <w:sz w:val="22"/>
          <w:szCs w:val="22"/>
        </w:rPr>
        <w:t>European Social Charter</w:t>
      </w:r>
      <w:r w:rsidRPr="00F42C4D">
        <w:rPr>
          <w:sz w:val="22"/>
          <w:szCs w:val="22"/>
        </w:rPr>
        <w:t>, 18 October 1961, ETS 35, available at http://www.refworld.org/docid/3ae6b3784.html, accessed on 27 July 2017.</w:t>
      </w:r>
    </w:p>
  </w:footnote>
  <w:footnote w:id="25">
    <w:p w14:paraId="23FEE2B4"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Brigit </w:t>
      </w:r>
      <w:proofErr w:type="spellStart"/>
      <w:r w:rsidRPr="00F42C4D">
        <w:rPr>
          <w:sz w:val="22"/>
          <w:szCs w:val="22"/>
        </w:rPr>
        <w:t>Toebes</w:t>
      </w:r>
      <w:proofErr w:type="spellEnd"/>
      <w:r w:rsidRPr="00F42C4D">
        <w:rPr>
          <w:sz w:val="22"/>
          <w:szCs w:val="22"/>
        </w:rPr>
        <w:t xml:space="preserve">, “Towards an Improved Understanding of the International Human Right to Health”, </w:t>
      </w:r>
      <w:r w:rsidRPr="00F42C4D">
        <w:rPr>
          <w:i/>
          <w:sz w:val="22"/>
          <w:szCs w:val="22"/>
        </w:rPr>
        <w:t>Human Rights Quarterly</w:t>
      </w:r>
      <w:r w:rsidRPr="00F42C4D">
        <w:rPr>
          <w:sz w:val="22"/>
          <w:szCs w:val="22"/>
        </w:rPr>
        <w:t xml:space="preserve">, vol.21, no.3 (1999), pp. 661–679; Virginia Leary, “The Right to Health in International Human Rights Law”, </w:t>
      </w:r>
      <w:r w:rsidRPr="00F42C4D">
        <w:rPr>
          <w:i/>
          <w:sz w:val="22"/>
          <w:szCs w:val="22"/>
        </w:rPr>
        <w:t>Health and Human Rights: An International Quarterly</w:t>
      </w:r>
      <w:r w:rsidRPr="00F42C4D">
        <w:rPr>
          <w:sz w:val="22"/>
          <w:szCs w:val="22"/>
        </w:rPr>
        <w:t xml:space="preserve">, vol.1, no.1(1994): pp. 24–56. </w:t>
      </w:r>
    </w:p>
  </w:footnote>
  <w:footnote w:id="26">
    <w:p w14:paraId="044BDF72" w14:textId="77777777" w:rsidR="00922726" w:rsidRPr="00F42C4D" w:rsidRDefault="00922726" w:rsidP="00F42C4D">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Virginia Leary, “The Right to Health in International Human Rights Law”; Virginia Leary, “Justiciability and Beyond: Complaint Procedures and the Right to Health”, </w:t>
      </w:r>
      <w:r w:rsidRPr="00F42C4D">
        <w:rPr>
          <w:b w:val="0"/>
          <w:i/>
          <w:sz w:val="22"/>
          <w:szCs w:val="22"/>
        </w:rPr>
        <w:t>Review of the International Commission of Jurists</w:t>
      </w:r>
      <w:r w:rsidRPr="00F42C4D">
        <w:rPr>
          <w:b w:val="0"/>
          <w:sz w:val="22"/>
          <w:szCs w:val="22"/>
        </w:rPr>
        <w:t>, vol.55 (1995), pp. 105–122.</w:t>
      </w:r>
    </w:p>
  </w:footnote>
  <w:footnote w:id="27">
    <w:p w14:paraId="6DC7D9E6"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A/RES/41/128, Article 2(1).</w:t>
      </w:r>
    </w:p>
  </w:footnote>
  <w:footnote w:id="28">
    <w:p w14:paraId="26FF4351"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Ibid, Article 9(1).</w:t>
      </w:r>
    </w:p>
  </w:footnote>
  <w:footnote w:id="29">
    <w:p w14:paraId="29C65085"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Brigit </w:t>
      </w:r>
      <w:proofErr w:type="spellStart"/>
      <w:r w:rsidRPr="00F42C4D">
        <w:rPr>
          <w:sz w:val="22"/>
          <w:szCs w:val="22"/>
        </w:rPr>
        <w:t>Toebes</w:t>
      </w:r>
      <w:proofErr w:type="spellEnd"/>
      <w:r w:rsidRPr="00F42C4D">
        <w:rPr>
          <w:sz w:val="22"/>
          <w:szCs w:val="22"/>
        </w:rPr>
        <w:t xml:space="preserve">, “Towards an Improved Understanding of the International Human Right to Health”; Charles </w:t>
      </w:r>
      <w:proofErr w:type="spellStart"/>
      <w:r w:rsidRPr="00F42C4D">
        <w:rPr>
          <w:sz w:val="22"/>
          <w:szCs w:val="22"/>
        </w:rPr>
        <w:t>Ngwena</w:t>
      </w:r>
      <w:proofErr w:type="spellEnd"/>
      <w:r w:rsidRPr="00F42C4D">
        <w:rPr>
          <w:sz w:val="22"/>
          <w:szCs w:val="22"/>
        </w:rPr>
        <w:t xml:space="preserve"> and Rebecca Cook, “Rights Concerning Health”, in Danie Brand and Christof </w:t>
      </w:r>
      <w:proofErr w:type="spellStart"/>
      <w:r w:rsidRPr="00F42C4D">
        <w:rPr>
          <w:sz w:val="22"/>
          <w:szCs w:val="22"/>
        </w:rPr>
        <w:t>Heyns</w:t>
      </w:r>
      <w:proofErr w:type="spellEnd"/>
      <w:r w:rsidRPr="00F42C4D">
        <w:rPr>
          <w:sz w:val="22"/>
          <w:szCs w:val="22"/>
        </w:rPr>
        <w:t xml:space="preserve"> (eds), </w:t>
      </w:r>
      <w:r w:rsidRPr="00F42C4D">
        <w:rPr>
          <w:i/>
          <w:sz w:val="22"/>
          <w:szCs w:val="22"/>
        </w:rPr>
        <w:t xml:space="preserve">Socio-Economic Rights in South Africa </w:t>
      </w:r>
      <w:r w:rsidRPr="00F42C4D">
        <w:rPr>
          <w:iCs/>
          <w:sz w:val="22"/>
          <w:szCs w:val="22"/>
        </w:rPr>
        <w:t>(</w:t>
      </w:r>
      <w:r w:rsidRPr="00F42C4D">
        <w:rPr>
          <w:sz w:val="22"/>
          <w:szCs w:val="22"/>
        </w:rPr>
        <w:t>Pretoria: Pretoria University Press, 2005), pp. 107–151.</w:t>
      </w:r>
    </w:p>
  </w:footnote>
  <w:footnote w:id="30">
    <w:p w14:paraId="380BCCD8"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Ruth Roemer, “The Right to Health Care”, in H.L. </w:t>
      </w:r>
      <w:proofErr w:type="spellStart"/>
      <w:r w:rsidRPr="00F42C4D">
        <w:rPr>
          <w:sz w:val="22"/>
          <w:szCs w:val="22"/>
        </w:rPr>
        <w:t>Fuenzalida-Puelma</w:t>
      </w:r>
      <w:proofErr w:type="spellEnd"/>
      <w:r w:rsidRPr="00F42C4D">
        <w:rPr>
          <w:sz w:val="22"/>
          <w:szCs w:val="22"/>
        </w:rPr>
        <w:t xml:space="preserve"> and S.S Connor</w:t>
      </w:r>
      <w:r w:rsidRPr="00F42C4D">
        <w:rPr>
          <w:i/>
          <w:sz w:val="22"/>
          <w:szCs w:val="22"/>
        </w:rPr>
        <w:t xml:space="preserve"> </w:t>
      </w:r>
      <w:r w:rsidRPr="00F42C4D">
        <w:rPr>
          <w:sz w:val="22"/>
          <w:szCs w:val="22"/>
        </w:rPr>
        <w:t xml:space="preserve">(eds), </w:t>
      </w:r>
      <w:r w:rsidRPr="00F42C4D">
        <w:rPr>
          <w:i/>
          <w:sz w:val="22"/>
          <w:szCs w:val="22"/>
        </w:rPr>
        <w:t>The Right to Health in the Americas</w:t>
      </w:r>
      <w:r w:rsidRPr="00F42C4D">
        <w:rPr>
          <w:sz w:val="22"/>
          <w:szCs w:val="22"/>
        </w:rPr>
        <w:t xml:space="preserve">: </w:t>
      </w:r>
      <w:r w:rsidRPr="00F42C4D">
        <w:rPr>
          <w:i/>
          <w:sz w:val="22"/>
          <w:szCs w:val="22"/>
        </w:rPr>
        <w:t>A Comparative Constitutional Study</w:t>
      </w:r>
      <w:r w:rsidRPr="00F42C4D">
        <w:rPr>
          <w:sz w:val="22"/>
          <w:szCs w:val="22"/>
        </w:rPr>
        <w:t xml:space="preserve"> (Washington, DC: Pan American Health Organization, 1989), pp. 17–23, at p. 17.</w:t>
      </w:r>
    </w:p>
  </w:footnote>
  <w:footnote w:id="31">
    <w:p w14:paraId="37BE3BBB"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Virginia Leary, “</w:t>
      </w:r>
      <w:r w:rsidR="0007788F" w:rsidRPr="00F42C4D">
        <w:rPr>
          <w:sz w:val="22"/>
          <w:szCs w:val="22"/>
        </w:rPr>
        <w:t>The Right to Health in International Human Rights Law”, p. 31.</w:t>
      </w:r>
    </w:p>
  </w:footnote>
  <w:footnote w:id="32">
    <w:p w14:paraId="180656CB" w14:textId="77777777" w:rsidR="0007788F" w:rsidRPr="00F42C4D" w:rsidRDefault="0007788F" w:rsidP="00F42C4D">
      <w:pPr>
        <w:pStyle w:val="FootnoteText"/>
        <w:jc w:val="both"/>
        <w:rPr>
          <w:sz w:val="22"/>
          <w:szCs w:val="22"/>
        </w:rPr>
      </w:pPr>
      <w:r w:rsidRPr="00F42C4D">
        <w:rPr>
          <w:rStyle w:val="FootnoteReference"/>
          <w:sz w:val="22"/>
          <w:szCs w:val="22"/>
        </w:rPr>
        <w:footnoteRef/>
      </w:r>
      <w:r w:rsidRPr="00F42C4D">
        <w:rPr>
          <w:sz w:val="22"/>
          <w:szCs w:val="22"/>
        </w:rPr>
        <w:t xml:space="preserve"> H.L. </w:t>
      </w:r>
      <w:proofErr w:type="spellStart"/>
      <w:r w:rsidRPr="006932F3">
        <w:rPr>
          <w:sz w:val="22"/>
          <w:szCs w:val="22"/>
          <w:lang w:val="en-GB"/>
        </w:rPr>
        <w:t>Fuenzalida-Puelma</w:t>
      </w:r>
      <w:proofErr w:type="spellEnd"/>
      <w:r w:rsidRPr="006932F3">
        <w:rPr>
          <w:sz w:val="22"/>
          <w:szCs w:val="22"/>
          <w:lang w:val="en-GB"/>
        </w:rPr>
        <w:t xml:space="preserve">, and S.S. Connor, </w:t>
      </w:r>
      <w:r w:rsidRPr="00F42C4D">
        <w:rPr>
          <w:i/>
          <w:sz w:val="22"/>
          <w:szCs w:val="22"/>
        </w:rPr>
        <w:t>The Right to Health in the Americas: A Comparative Constitutional Study</w:t>
      </w:r>
      <w:r w:rsidRPr="00F42C4D">
        <w:rPr>
          <w:sz w:val="22"/>
          <w:szCs w:val="22"/>
        </w:rPr>
        <w:t xml:space="preserve"> (Washington, DC: Pan American Health Organization, 1989), p. 600.</w:t>
      </w:r>
    </w:p>
  </w:footnote>
  <w:footnote w:id="33">
    <w:p w14:paraId="463C65C3" w14:textId="77777777" w:rsidR="0007788F" w:rsidRPr="00F42C4D" w:rsidRDefault="0007788F" w:rsidP="00F42C4D">
      <w:pPr>
        <w:pStyle w:val="FootnoteText"/>
        <w:jc w:val="both"/>
        <w:rPr>
          <w:sz w:val="22"/>
          <w:szCs w:val="22"/>
        </w:rPr>
      </w:pPr>
      <w:r w:rsidRPr="00F42C4D">
        <w:rPr>
          <w:rStyle w:val="FootnoteReference"/>
          <w:sz w:val="22"/>
          <w:szCs w:val="22"/>
        </w:rPr>
        <w:footnoteRef/>
      </w:r>
      <w:r w:rsidRPr="00F42C4D">
        <w:rPr>
          <w:sz w:val="22"/>
          <w:szCs w:val="22"/>
        </w:rPr>
        <w:t xml:space="preserve"> Eleanor Kinney and Brian Alexander Clark, “Provisions for Health and Health Care in the Constitutions of the Countries of the World”, </w:t>
      </w:r>
      <w:r w:rsidRPr="00F42C4D">
        <w:rPr>
          <w:i/>
          <w:sz w:val="22"/>
          <w:szCs w:val="22"/>
        </w:rPr>
        <w:t>Cornell International Law Journal</w:t>
      </w:r>
      <w:r w:rsidRPr="00F42C4D">
        <w:rPr>
          <w:sz w:val="22"/>
          <w:szCs w:val="22"/>
        </w:rPr>
        <w:t>, vol.37 (2004), pp. 284-355, at p. 291.</w:t>
      </w:r>
    </w:p>
  </w:footnote>
  <w:footnote w:id="34">
    <w:p w14:paraId="1618D6A3" w14:textId="77777777" w:rsidR="00115A8B" w:rsidRPr="00F42C4D" w:rsidRDefault="00115A8B" w:rsidP="00F42C4D">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See: Eleanor Kinney, “The International Human Right to Health: What Does This Mean for Our Nation and World”, </w:t>
      </w:r>
      <w:r w:rsidRPr="00F42C4D">
        <w:rPr>
          <w:b w:val="0"/>
          <w:i/>
          <w:sz w:val="22"/>
          <w:szCs w:val="22"/>
        </w:rPr>
        <w:t>Indiana Law Review</w:t>
      </w:r>
      <w:r w:rsidRPr="00F42C4D">
        <w:rPr>
          <w:b w:val="0"/>
          <w:sz w:val="22"/>
          <w:szCs w:val="22"/>
        </w:rPr>
        <w:t xml:space="preserve">, vol.34, no.4 (2001), pp. 1457-75; Danie Brand and Christof </w:t>
      </w:r>
      <w:proofErr w:type="spellStart"/>
      <w:r w:rsidRPr="00F42C4D">
        <w:rPr>
          <w:b w:val="0"/>
          <w:sz w:val="22"/>
          <w:szCs w:val="22"/>
        </w:rPr>
        <w:t>Heyns</w:t>
      </w:r>
      <w:proofErr w:type="spellEnd"/>
      <w:r w:rsidRPr="00F42C4D">
        <w:rPr>
          <w:b w:val="0"/>
          <w:sz w:val="22"/>
          <w:szCs w:val="22"/>
        </w:rPr>
        <w:t xml:space="preserve">, </w:t>
      </w:r>
      <w:r w:rsidRPr="00F42C4D">
        <w:rPr>
          <w:b w:val="0"/>
          <w:i/>
          <w:sz w:val="22"/>
          <w:szCs w:val="22"/>
        </w:rPr>
        <w:t>Socio-Economic Rights in South Africa</w:t>
      </w:r>
      <w:r w:rsidRPr="00F42C4D">
        <w:rPr>
          <w:b w:val="0"/>
          <w:sz w:val="22"/>
          <w:szCs w:val="22"/>
        </w:rPr>
        <w:t xml:space="preserve"> (Pretoria: Pretoria University Press, 2005); Charles </w:t>
      </w:r>
      <w:proofErr w:type="spellStart"/>
      <w:r w:rsidRPr="00F42C4D">
        <w:rPr>
          <w:b w:val="0"/>
          <w:sz w:val="22"/>
          <w:szCs w:val="22"/>
        </w:rPr>
        <w:t>Ngwena</w:t>
      </w:r>
      <w:proofErr w:type="spellEnd"/>
      <w:r w:rsidRPr="00F42C4D">
        <w:rPr>
          <w:b w:val="0"/>
          <w:sz w:val="22"/>
          <w:szCs w:val="22"/>
        </w:rPr>
        <w:t xml:space="preserve"> and Rebecca Cook, “Rights Concerning Health”.</w:t>
      </w:r>
    </w:p>
  </w:footnote>
  <w:footnote w:id="35">
    <w:p w14:paraId="51EEFB2A" w14:textId="77777777" w:rsidR="00B3100C" w:rsidRPr="00F42C4D" w:rsidRDefault="00B3100C" w:rsidP="00F42C4D">
      <w:pPr>
        <w:pStyle w:val="FootnoteText"/>
        <w:jc w:val="both"/>
        <w:rPr>
          <w:sz w:val="22"/>
          <w:szCs w:val="22"/>
        </w:rPr>
      </w:pPr>
      <w:r w:rsidRPr="00F42C4D">
        <w:rPr>
          <w:rStyle w:val="FootnoteReference"/>
          <w:sz w:val="22"/>
          <w:szCs w:val="22"/>
        </w:rPr>
        <w:footnoteRef/>
      </w:r>
      <w:r w:rsidRPr="00F42C4D">
        <w:rPr>
          <w:sz w:val="22"/>
          <w:szCs w:val="22"/>
        </w:rPr>
        <w:t xml:space="preserve"> Charles </w:t>
      </w:r>
      <w:proofErr w:type="spellStart"/>
      <w:r w:rsidRPr="00F42C4D">
        <w:rPr>
          <w:sz w:val="22"/>
          <w:szCs w:val="22"/>
        </w:rPr>
        <w:t>Ngwena</w:t>
      </w:r>
      <w:proofErr w:type="spellEnd"/>
      <w:r w:rsidRPr="00F42C4D">
        <w:rPr>
          <w:sz w:val="22"/>
          <w:szCs w:val="22"/>
        </w:rPr>
        <w:t xml:space="preserve"> and Rebecca Cook, “Rights Concerning Health”, p.126.</w:t>
      </w:r>
    </w:p>
  </w:footnote>
  <w:footnote w:id="36">
    <w:p w14:paraId="58264CD4" w14:textId="77777777" w:rsidR="00B3100C" w:rsidRPr="00F42C4D" w:rsidRDefault="00B3100C" w:rsidP="00F42C4D">
      <w:pPr>
        <w:pStyle w:val="FootnoteText"/>
        <w:jc w:val="both"/>
        <w:rPr>
          <w:sz w:val="22"/>
          <w:szCs w:val="22"/>
        </w:rPr>
      </w:pPr>
      <w:r w:rsidRPr="00F42C4D">
        <w:rPr>
          <w:rStyle w:val="FootnoteReference"/>
          <w:sz w:val="22"/>
          <w:szCs w:val="22"/>
        </w:rPr>
        <w:footnoteRef/>
      </w:r>
      <w:r w:rsidRPr="00F42C4D">
        <w:rPr>
          <w:sz w:val="22"/>
          <w:szCs w:val="22"/>
        </w:rPr>
        <w:t xml:space="preserve"> Eleanor Kinney, “The International Human Right to Health”.</w:t>
      </w:r>
    </w:p>
  </w:footnote>
  <w:footnote w:id="37">
    <w:p w14:paraId="505E414C" w14:textId="77777777" w:rsidR="00A439E2" w:rsidRPr="00F42C4D" w:rsidRDefault="00A439E2" w:rsidP="00F42C4D">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w:t>
      </w:r>
      <w:proofErr w:type="spellStart"/>
      <w:r w:rsidRPr="00F42C4D">
        <w:rPr>
          <w:b w:val="0"/>
          <w:sz w:val="22"/>
          <w:szCs w:val="22"/>
        </w:rPr>
        <w:t>Chima</w:t>
      </w:r>
      <w:proofErr w:type="spellEnd"/>
      <w:r w:rsidRPr="00F42C4D">
        <w:rPr>
          <w:b w:val="0"/>
          <w:sz w:val="22"/>
          <w:szCs w:val="22"/>
        </w:rPr>
        <w:t xml:space="preserve"> </w:t>
      </w:r>
      <w:proofErr w:type="spellStart"/>
      <w:r w:rsidRPr="00F42C4D">
        <w:rPr>
          <w:b w:val="0"/>
          <w:sz w:val="22"/>
          <w:szCs w:val="22"/>
          <w:lang w:val="en-MY"/>
        </w:rPr>
        <w:t>Nweze</w:t>
      </w:r>
      <w:proofErr w:type="spellEnd"/>
      <w:r w:rsidRPr="00F42C4D">
        <w:rPr>
          <w:b w:val="0"/>
          <w:sz w:val="22"/>
          <w:szCs w:val="22"/>
          <w:lang w:val="en-MY"/>
        </w:rPr>
        <w:t xml:space="preserve">, “Justifiability or Judicialization: Circumventing Armageddon Through the Enforcement of Socio-Economic Rights”, </w:t>
      </w:r>
      <w:r w:rsidRPr="00F42C4D">
        <w:rPr>
          <w:b w:val="0"/>
          <w:i/>
          <w:sz w:val="22"/>
          <w:szCs w:val="22"/>
        </w:rPr>
        <w:t>African Yearbook of International Law</w:t>
      </w:r>
      <w:r w:rsidRPr="00F42C4D">
        <w:rPr>
          <w:b w:val="0"/>
          <w:sz w:val="22"/>
          <w:szCs w:val="22"/>
        </w:rPr>
        <w:t>, vol. 15 (2007), pp. 107–127.</w:t>
      </w:r>
    </w:p>
  </w:footnote>
  <w:footnote w:id="38">
    <w:p w14:paraId="4AFBEA1C" w14:textId="77777777" w:rsidR="00A439E2" w:rsidRPr="00F42C4D" w:rsidRDefault="00A439E2" w:rsidP="00F42C4D">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See: </w:t>
      </w:r>
      <w:proofErr w:type="spellStart"/>
      <w:r w:rsidRPr="00F42C4D">
        <w:rPr>
          <w:b w:val="0"/>
          <w:sz w:val="22"/>
          <w:szCs w:val="22"/>
        </w:rPr>
        <w:t>Adila</w:t>
      </w:r>
      <w:proofErr w:type="spellEnd"/>
      <w:r w:rsidRPr="00F42C4D">
        <w:rPr>
          <w:b w:val="0"/>
          <w:sz w:val="22"/>
          <w:szCs w:val="22"/>
        </w:rPr>
        <w:t xml:space="preserve"> Hassim, Mark Heywood and Jonathan Berger (eds.), </w:t>
      </w:r>
      <w:r w:rsidRPr="00F42C4D">
        <w:rPr>
          <w:b w:val="0"/>
          <w:i/>
          <w:sz w:val="22"/>
          <w:szCs w:val="22"/>
        </w:rPr>
        <w:t>Health and Democracy: A Guide to Human Rights, Health Law and Policy in Post-Apartheid South Africa</w:t>
      </w:r>
      <w:r w:rsidRPr="00F42C4D">
        <w:rPr>
          <w:b w:val="0"/>
          <w:sz w:val="22"/>
          <w:szCs w:val="22"/>
        </w:rPr>
        <w:t xml:space="preserve"> (Cape Town: </w:t>
      </w:r>
      <w:proofErr w:type="spellStart"/>
      <w:r w:rsidRPr="00F42C4D">
        <w:rPr>
          <w:b w:val="0"/>
          <w:sz w:val="22"/>
          <w:szCs w:val="22"/>
        </w:rPr>
        <w:t>Siber</w:t>
      </w:r>
      <w:proofErr w:type="spellEnd"/>
      <w:r w:rsidRPr="00F42C4D">
        <w:rPr>
          <w:b w:val="0"/>
          <w:sz w:val="22"/>
          <w:szCs w:val="22"/>
        </w:rPr>
        <w:t xml:space="preserve"> Ink, 2007).</w:t>
      </w:r>
    </w:p>
  </w:footnote>
  <w:footnote w:id="39">
    <w:p w14:paraId="3D51046C" w14:textId="77777777" w:rsidR="00A439E2" w:rsidRPr="00F42C4D" w:rsidRDefault="00A439E2" w:rsidP="00F42C4D">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Medical Research Council, </w:t>
      </w:r>
      <w:r w:rsidRPr="00F42C4D">
        <w:rPr>
          <w:b w:val="0"/>
          <w:i/>
          <w:sz w:val="22"/>
          <w:szCs w:val="22"/>
        </w:rPr>
        <w:t>Changing Health in South Africa: Towards New Perspectives in Research</w:t>
      </w:r>
      <w:r w:rsidRPr="00F42C4D">
        <w:rPr>
          <w:b w:val="0"/>
          <w:sz w:val="22"/>
          <w:szCs w:val="22"/>
        </w:rPr>
        <w:t xml:space="preserve"> (Menlo Park: California: Henry J. Kaiser Family Foundation, 1991).</w:t>
      </w:r>
    </w:p>
  </w:footnote>
  <w:footnote w:id="40">
    <w:p w14:paraId="68236B50" w14:textId="77777777" w:rsidR="00A439E2" w:rsidRPr="00F42C4D" w:rsidRDefault="00A439E2" w:rsidP="00F42C4D">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w:t>
      </w:r>
      <w:r w:rsidR="00FE2772" w:rsidRPr="00F42C4D">
        <w:rPr>
          <w:b w:val="0"/>
          <w:sz w:val="22"/>
          <w:szCs w:val="22"/>
        </w:rPr>
        <w:t xml:space="preserve">Danie Brand and Christof </w:t>
      </w:r>
      <w:proofErr w:type="spellStart"/>
      <w:r w:rsidR="00FE2772" w:rsidRPr="00F42C4D">
        <w:rPr>
          <w:b w:val="0"/>
          <w:sz w:val="22"/>
          <w:szCs w:val="22"/>
        </w:rPr>
        <w:t>Heyns</w:t>
      </w:r>
      <w:proofErr w:type="spellEnd"/>
      <w:r w:rsidR="00FE2772" w:rsidRPr="00F42C4D">
        <w:rPr>
          <w:b w:val="0"/>
          <w:sz w:val="22"/>
          <w:szCs w:val="22"/>
        </w:rPr>
        <w:t xml:space="preserve">, </w:t>
      </w:r>
      <w:r w:rsidR="00FE2772" w:rsidRPr="00F42C4D">
        <w:rPr>
          <w:b w:val="0"/>
          <w:i/>
          <w:sz w:val="22"/>
          <w:szCs w:val="22"/>
        </w:rPr>
        <w:t>Socio-Economic Rights in South Africa</w:t>
      </w:r>
      <w:r w:rsidR="00FE2772" w:rsidRPr="00F42C4D">
        <w:rPr>
          <w:b w:val="0"/>
          <w:iCs/>
          <w:sz w:val="22"/>
          <w:szCs w:val="22"/>
        </w:rPr>
        <w:t xml:space="preserve">; </w:t>
      </w:r>
      <w:r w:rsidR="00FE2772" w:rsidRPr="00F42C4D">
        <w:rPr>
          <w:b w:val="0"/>
          <w:sz w:val="22"/>
          <w:szCs w:val="22"/>
        </w:rPr>
        <w:t xml:space="preserve">African Foundation for International Law, </w:t>
      </w:r>
      <w:r w:rsidR="00FE2772" w:rsidRPr="00F42C4D">
        <w:rPr>
          <w:b w:val="0"/>
          <w:i/>
          <w:sz w:val="22"/>
          <w:szCs w:val="22"/>
        </w:rPr>
        <w:t>African Yearbook of International Law</w:t>
      </w:r>
      <w:r w:rsidR="00FE2772" w:rsidRPr="00F42C4D">
        <w:rPr>
          <w:b w:val="0"/>
          <w:sz w:val="22"/>
          <w:szCs w:val="22"/>
        </w:rPr>
        <w:t xml:space="preserve">, </w:t>
      </w:r>
      <w:r w:rsidR="00FE2772" w:rsidRPr="00F42C4D">
        <w:rPr>
          <w:b w:val="0"/>
          <w:i/>
          <w:sz w:val="22"/>
          <w:szCs w:val="22"/>
        </w:rPr>
        <w:t xml:space="preserve">Realizing Economic and Social Rights in Africa: Innovations, Challenges, and Prospects, </w:t>
      </w:r>
      <w:r w:rsidR="00FE2772" w:rsidRPr="00F42C4D">
        <w:rPr>
          <w:b w:val="0"/>
          <w:iCs/>
          <w:sz w:val="22"/>
          <w:szCs w:val="22"/>
        </w:rPr>
        <w:t xml:space="preserve">Vol. </w:t>
      </w:r>
      <w:r w:rsidR="00FE2772" w:rsidRPr="00F42C4D">
        <w:rPr>
          <w:b w:val="0"/>
          <w:sz w:val="22"/>
          <w:szCs w:val="22"/>
        </w:rPr>
        <w:t xml:space="preserve">15 (Leiden/Boston: </w:t>
      </w:r>
      <w:proofErr w:type="spellStart"/>
      <w:r w:rsidR="00FE2772" w:rsidRPr="00F42C4D">
        <w:rPr>
          <w:b w:val="0"/>
          <w:sz w:val="22"/>
          <w:szCs w:val="22"/>
        </w:rPr>
        <w:t>Martinus</w:t>
      </w:r>
      <w:proofErr w:type="spellEnd"/>
      <w:r w:rsidR="00FE2772" w:rsidRPr="00F42C4D">
        <w:rPr>
          <w:b w:val="0"/>
          <w:sz w:val="22"/>
          <w:szCs w:val="22"/>
        </w:rPr>
        <w:t xml:space="preserve"> </w:t>
      </w:r>
      <w:proofErr w:type="spellStart"/>
      <w:r w:rsidR="00FE2772" w:rsidRPr="00F42C4D">
        <w:rPr>
          <w:b w:val="0"/>
          <w:sz w:val="22"/>
          <w:szCs w:val="22"/>
        </w:rPr>
        <w:t>Nijhoff</w:t>
      </w:r>
      <w:proofErr w:type="spellEnd"/>
      <w:r w:rsidR="00FE2772" w:rsidRPr="00F42C4D">
        <w:rPr>
          <w:b w:val="0"/>
          <w:sz w:val="22"/>
          <w:szCs w:val="22"/>
        </w:rPr>
        <w:t>, 2007).</w:t>
      </w:r>
    </w:p>
  </w:footnote>
  <w:footnote w:id="41">
    <w:p w14:paraId="31D8D23A" w14:textId="77777777" w:rsidR="00FE2772" w:rsidRPr="00F42C4D" w:rsidRDefault="00FE2772" w:rsidP="00F42C4D">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w:t>
      </w:r>
      <w:proofErr w:type="spellStart"/>
      <w:r w:rsidRPr="00F42C4D">
        <w:rPr>
          <w:b w:val="0"/>
          <w:sz w:val="22"/>
          <w:szCs w:val="22"/>
        </w:rPr>
        <w:t>Obijiofor</w:t>
      </w:r>
      <w:proofErr w:type="spellEnd"/>
      <w:r w:rsidRPr="00F42C4D">
        <w:rPr>
          <w:b w:val="0"/>
          <w:sz w:val="22"/>
          <w:szCs w:val="22"/>
        </w:rPr>
        <w:t xml:space="preserve"> </w:t>
      </w:r>
      <w:proofErr w:type="spellStart"/>
      <w:r w:rsidRPr="00F42C4D">
        <w:rPr>
          <w:b w:val="0"/>
          <w:sz w:val="22"/>
          <w:szCs w:val="22"/>
        </w:rPr>
        <w:t>Aginam</w:t>
      </w:r>
      <w:proofErr w:type="spellEnd"/>
      <w:r w:rsidRPr="00F42C4D">
        <w:rPr>
          <w:b w:val="0"/>
          <w:sz w:val="22"/>
          <w:szCs w:val="22"/>
        </w:rPr>
        <w:t xml:space="preserve">, “The Rights to ‘The Highest Attainable Standard of Health’: Trade Agreements and the Rights to Health in Africa’, </w:t>
      </w:r>
      <w:r w:rsidRPr="00F42C4D">
        <w:rPr>
          <w:b w:val="0"/>
          <w:i/>
          <w:sz w:val="22"/>
          <w:szCs w:val="22"/>
        </w:rPr>
        <w:t>African Yearbook of International Law</w:t>
      </w:r>
      <w:r w:rsidRPr="00F42C4D">
        <w:rPr>
          <w:b w:val="0"/>
          <w:sz w:val="22"/>
          <w:szCs w:val="22"/>
        </w:rPr>
        <w:t>, vol.15 (2007), pp. 233–235.</w:t>
      </w:r>
    </w:p>
  </w:footnote>
  <w:footnote w:id="42">
    <w:p w14:paraId="6605BFB4" w14:textId="77777777" w:rsidR="00FE41CA" w:rsidRPr="00F42C4D" w:rsidRDefault="00FE41CA" w:rsidP="00345073">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w:t>
      </w:r>
      <w:proofErr w:type="spellStart"/>
      <w:r w:rsidRPr="00F42C4D">
        <w:rPr>
          <w:b w:val="0"/>
          <w:sz w:val="22"/>
          <w:szCs w:val="22"/>
        </w:rPr>
        <w:t>Obiora</w:t>
      </w:r>
      <w:proofErr w:type="spellEnd"/>
      <w:r w:rsidRPr="00F42C4D">
        <w:rPr>
          <w:b w:val="0"/>
          <w:sz w:val="22"/>
          <w:szCs w:val="22"/>
        </w:rPr>
        <w:t xml:space="preserve"> Okafor, </w:t>
      </w:r>
      <w:r w:rsidRPr="00F42C4D">
        <w:rPr>
          <w:b w:val="0"/>
          <w:i/>
          <w:sz w:val="22"/>
          <w:szCs w:val="22"/>
        </w:rPr>
        <w:t>Legitimizing Human Rights NGOs: Lessons from Nigeria</w:t>
      </w:r>
      <w:r w:rsidRPr="00F42C4D">
        <w:rPr>
          <w:b w:val="0"/>
          <w:sz w:val="22"/>
          <w:szCs w:val="22"/>
        </w:rPr>
        <w:t xml:space="preserve"> (Trenton, New Jersey: Africa World Press, 2006); </w:t>
      </w:r>
      <w:proofErr w:type="spellStart"/>
      <w:r w:rsidRPr="00F42C4D">
        <w:rPr>
          <w:b w:val="0"/>
          <w:sz w:val="22"/>
          <w:szCs w:val="22"/>
        </w:rPr>
        <w:t>Obiora</w:t>
      </w:r>
      <w:proofErr w:type="spellEnd"/>
      <w:r w:rsidRPr="00F42C4D">
        <w:rPr>
          <w:b w:val="0"/>
          <w:sz w:val="22"/>
          <w:szCs w:val="22"/>
        </w:rPr>
        <w:t xml:space="preserve"> Okafor, </w:t>
      </w:r>
      <w:r w:rsidRPr="00F42C4D">
        <w:rPr>
          <w:b w:val="0"/>
          <w:i/>
          <w:sz w:val="22"/>
          <w:szCs w:val="22"/>
        </w:rPr>
        <w:t>The African Human Rights System, Activist Forces and International Institutions</w:t>
      </w:r>
      <w:r w:rsidRPr="00F42C4D">
        <w:rPr>
          <w:b w:val="0"/>
          <w:sz w:val="22"/>
          <w:szCs w:val="22"/>
        </w:rPr>
        <w:t xml:space="preserve"> (Cambridge University Press, 2007).</w:t>
      </w:r>
    </w:p>
  </w:footnote>
  <w:footnote w:id="43">
    <w:p w14:paraId="059844EB" w14:textId="77777777" w:rsidR="00F20DDC" w:rsidRPr="00F42C4D" w:rsidRDefault="00F20DDC" w:rsidP="00F42C4D">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w:t>
      </w:r>
      <w:r w:rsidRPr="00F42C4D">
        <w:rPr>
          <w:b w:val="0"/>
          <w:i/>
          <w:iCs/>
          <w:sz w:val="22"/>
          <w:szCs w:val="22"/>
        </w:rPr>
        <w:t>Constitution of the Republic of South Africa</w:t>
      </w:r>
      <w:r w:rsidRPr="00F42C4D">
        <w:rPr>
          <w:b w:val="0"/>
          <w:sz w:val="22"/>
          <w:szCs w:val="22"/>
        </w:rPr>
        <w:t xml:space="preserve">, Act No. 108 of 1996, Articles 24, 26, 27, 28. </w:t>
      </w:r>
    </w:p>
  </w:footnote>
  <w:footnote w:id="44">
    <w:p w14:paraId="3D98ADC2"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w:t>
      </w:r>
      <w:r w:rsidR="00F86CB1" w:rsidRPr="00F42C4D">
        <w:rPr>
          <w:i/>
          <w:sz w:val="22"/>
          <w:szCs w:val="22"/>
        </w:rPr>
        <w:t>S</w:t>
      </w:r>
      <w:r w:rsidR="00F86CB1" w:rsidRPr="00F42C4D">
        <w:rPr>
          <w:sz w:val="22"/>
          <w:szCs w:val="22"/>
        </w:rPr>
        <w:t xml:space="preserve"> v </w:t>
      </w:r>
      <w:proofErr w:type="spellStart"/>
      <w:r w:rsidR="00F86CB1" w:rsidRPr="00F42C4D">
        <w:rPr>
          <w:i/>
          <w:sz w:val="22"/>
          <w:szCs w:val="22"/>
        </w:rPr>
        <w:t>Makwanyane</w:t>
      </w:r>
      <w:proofErr w:type="spellEnd"/>
      <w:r w:rsidR="00F86CB1" w:rsidRPr="00F42C4D">
        <w:rPr>
          <w:sz w:val="22"/>
          <w:szCs w:val="22"/>
        </w:rPr>
        <w:t xml:space="preserve"> ,1995 (3) SA 391 (CC), p</w:t>
      </w:r>
      <w:r w:rsidRPr="00F42C4D">
        <w:rPr>
          <w:sz w:val="22"/>
          <w:szCs w:val="22"/>
        </w:rPr>
        <w:t xml:space="preserve">aragraph 35. See also the South African Constitutional Court decision in </w:t>
      </w:r>
      <w:r w:rsidRPr="00F42C4D">
        <w:rPr>
          <w:i/>
          <w:sz w:val="22"/>
          <w:szCs w:val="22"/>
        </w:rPr>
        <w:t xml:space="preserve">Minister of Health </w:t>
      </w:r>
      <w:r w:rsidRPr="00F42C4D">
        <w:rPr>
          <w:sz w:val="22"/>
          <w:szCs w:val="22"/>
        </w:rPr>
        <w:t xml:space="preserve">v. </w:t>
      </w:r>
      <w:r w:rsidRPr="00F42C4D">
        <w:rPr>
          <w:i/>
          <w:sz w:val="22"/>
          <w:szCs w:val="22"/>
        </w:rPr>
        <w:t>Treatment Action Campaign and Others</w:t>
      </w:r>
      <w:r w:rsidR="00F86CB1" w:rsidRPr="00F42C4D">
        <w:rPr>
          <w:i/>
          <w:sz w:val="22"/>
          <w:szCs w:val="22"/>
        </w:rPr>
        <w:t>,</w:t>
      </w:r>
      <w:r w:rsidRPr="00F42C4D">
        <w:rPr>
          <w:sz w:val="22"/>
          <w:szCs w:val="22"/>
        </w:rPr>
        <w:t xml:space="preserve"> 2002 (10) BCLR 1033 (CC).</w:t>
      </w:r>
    </w:p>
  </w:footnote>
  <w:footnote w:id="45">
    <w:p w14:paraId="254EC2C5" w14:textId="77777777" w:rsidR="00805DE1" w:rsidRPr="00F42C4D" w:rsidRDefault="00805DE1" w:rsidP="00F42C4D">
      <w:pPr>
        <w:pStyle w:val="FootnoteText"/>
        <w:jc w:val="both"/>
        <w:rPr>
          <w:sz w:val="22"/>
          <w:szCs w:val="22"/>
        </w:rPr>
      </w:pPr>
      <w:r w:rsidRPr="00F42C4D">
        <w:rPr>
          <w:rStyle w:val="FootnoteReference"/>
          <w:sz w:val="22"/>
          <w:szCs w:val="22"/>
        </w:rPr>
        <w:footnoteRef/>
      </w:r>
      <w:r w:rsidRPr="00F42C4D">
        <w:rPr>
          <w:sz w:val="22"/>
          <w:szCs w:val="22"/>
        </w:rPr>
        <w:t xml:space="preserve"> International Commission of Jurists, </w:t>
      </w:r>
      <w:r w:rsidRPr="00F42C4D">
        <w:rPr>
          <w:i/>
          <w:iCs/>
          <w:sz w:val="22"/>
          <w:szCs w:val="22"/>
        </w:rPr>
        <w:t xml:space="preserve">The Maastricht Principles on Extraterritorial Obligations of States in the Area of Economic, Social and Cultural Rights, 2011, </w:t>
      </w:r>
      <w:r w:rsidRPr="00F42C4D">
        <w:rPr>
          <w:sz w:val="22"/>
          <w:szCs w:val="22"/>
        </w:rPr>
        <w:t>28 September 2011, available at http://www.icj.org/wp-content/uploads/2012/12/HRQMaastricht-Maastricht-Principles-on-ETO.pdf, accessed on 27 July 2017.</w:t>
      </w:r>
    </w:p>
  </w:footnote>
  <w:footnote w:id="46">
    <w:p w14:paraId="5992CA7E" w14:textId="77777777" w:rsidR="00165F55" w:rsidRPr="00F42C4D" w:rsidRDefault="00165F55" w:rsidP="00F42C4D">
      <w:pPr>
        <w:pStyle w:val="FootnoteText"/>
        <w:jc w:val="both"/>
        <w:rPr>
          <w:sz w:val="22"/>
          <w:szCs w:val="22"/>
        </w:rPr>
      </w:pPr>
      <w:r w:rsidRPr="00F42C4D">
        <w:rPr>
          <w:rStyle w:val="FootnoteReference"/>
          <w:sz w:val="22"/>
          <w:szCs w:val="22"/>
        </w:rPr>
        <w:footnoteRef/>
      </w:r>
      <w:r w:rsidRPr="00F42C4D">
        <w:rPr>
          <w:sz w:val="22"/>
          <w:szCs w:val="22"/>
        </w:rPr>
        <w:t xml:space="preserve"> Robert </w:t>
      </w:r>
      <w:r w:rsidRPr="00F42C4D">
        <w:rPr>
          <w:sz w:val="22"/>
          <w:szCs w:val="22"/>
          <w:lang w:val="en-MY"/>
        </w:rPr>
        <w:t xml:space="preserve">Robertson, “Measuring State Compliance with the Obligation to Devote the Maximum Available Resources to Realizing Economic, Social and Cultural Rights”, </w:t>
      </w:r>
      <w:r w:rsidRPr="00F42C4D">
        <w:rPr>
          <w:i/>
          <w:sz w:val="22"/>
          <w:szCs w:val="22"/>
          <w:lang w:val="en-MY"/>
        </w:rPr>
        <w:t>Human Rights Quarterly</w:t>
      </w:r>
      <w:r w:rsidRPr="00F42C4D">
        <w:rPr>
          <w:sz w:val="22"/>
          <w:szCs w:val="22"/>
          <w:lang w:val="en-MY"/>
        </w:rPr>
        <w:t>, vol.16 (1994), pp. 693–714, at p. 693.</w:t>
      </w:r>
    </w:p>
  </w:footnote>
  <w:footnote w:id="47">
    <w:p w14:paraId="6F6F3630" w14:textId="77777777" w:rsidR="00165F55" w:rsidRPr="00F42C4D" w:rsidRDefault="00165F55" w:rsidP="00F42C4D">
      <w:pPr>
        <w:pStyle w:val="FootnoteText"/>
        <w:jc w:val="both"/>
        <w:rPr>
          <w:sz w:val="22"/>
          <w:szCs w:val="22"/>
        </w:rPr>
      </w:pPr>
      <w:r w:rsidRPr="00F42C4D">
        <w:rPr>
          <w:rStyle w:val="FootnoteReference"/>
          <w:sz w:val="22"/>
          <w:szCs w:val="22"/>
        </w:rPr>
        <w:footnoteRef/>
      </w:r>
      <w:r w:rsidRPr="00F42C4D">
        <w:rPr>
          <w:sz w:val="22"/>
          <w:szCs w:val="22"/>
        </w:rPr>
        <w:t xml:space="preserve"> UN Commission on Human Rights, </w:t>
      </w:r>
      <w:r w:rsidRPr="00F42C4D">
        <w:rPr>
          <w:i/>
          <w:iCs/>
          <w:sz w:val="22"/>
          <w:szCs w:val="22"/>
        </w:rPr>
        <w:t xml:space="preserve">The Limburg Principles on the Implementation of the International Covenant on Economic, Social and Cultural Rights, </w:t>
      </w:r>
      <w:r w:rsidRPr="00F42C4D">
        <w:rPr>
          <w:sz w:val="22"/>
          <w:szCs w:val="22"/>
        </w:rPr>
        <w:t>UN doc. E/CN.4/1987/17, Annex, 8 January 1987.</w:t>
      </w:r>
    </w:p>
  </w:footnote>
  <w:footnote w:id="48">
    <w:p w14:paraId="187EB74A" w14:textId="77777777" w:rsidR="00165F55" w:rsidRPr="00F42C4D" w:rsidRDefault="00165F55" w:rsidP="00F42C4D">
      <w:pPr>
        <w:pStyle w:val="FootnoteText"/>
        <w:jc w:val="both"/>
        <w:rPr>
          <w:sz w:val="22"/>
          <w:szCs w:val="22"/>
        </w:rPr>
      </w:pPr>
      <w:r w:rsidRPr="00F42C4D">
        <w:rPr>
          <w:rStyle w:val="FootnoteReference"/>
          <w:sz w:val="22"/>
          <w:szCs w:val="22"/>
        </w:rPr>
        <w:footnoteRef/>
      </w:r>
      <w:r w:rsidRPr="00F42C4D">
        <w:rPr>
          <w:sz w:val="22"/>
          <w:szCs w:val="22"/>
        </w:rPr>
        <w:t xml:space="preserve"> International Commission of Jurists (ICJ), </w:t>
      </w:r>
      <w:r w:rsidRPr="00F42C4D">
        <w:rPr>
          <w:i/>
          <w:iCs/>
          <w:sz w:val="22"/>
          <w:szCs w:val="22"/>
        </w:rPr>
        <w:t>Maastricht Guidelines on Violations of Economic, Social and Cultural Rights</w:t>
      </w:r>
      <w:r w:rsidRPr="00F42C4D">
        <w:rPr>
          <w:sz w:val="22"/>
          <w:szCs w:val="22"/>
        </w:rPr>
        <w:t>, 26 January 1997, available at: http://www.refworld.org/docid/48abd5730.html, accessed on 27 July 2017.</w:t>
      </w:r>
    </w:p>
  </w:footnote>
  <w:footnote w:id="49">
    <w:p w14:paraId="504A626E" w14:textId="77777777" w:rsidR="008A33BA" w:rsidRPr="00F42C4D" w:rsidRDefault="008A33BA" w:rsidP="00F42C4D">
      <w:pPr>
        <w:pStyle w:val="FootnoteText"/>
        <w:jc w:val="both"/>
        <w:rPr>
          <w:sz w:val="22"/>
          <w:szCs w:val="22"/>
        </w:rPr>
      </w:pPr>
      <w:r w:rsidRPr="00F42C4D">
        <w:rPr>
          <w:rStyle w:val="FootnoteReference"/>
          <w:sz w:val="22"/>
          <w:szCs w:val="22"/>
        </w:rPr>
        <w:footnoteRef/>
      </w:r>
      <w:r w:rsidRPr="00F42C4D">
        <w:rPr>
          <w:sz w:val="22"/>
          <w:szCs w:val="22"/>
        </w:rPr>
        <w:t xml:space="preserve"> International Commission of Jurists, </w:t>
      </w:r>
      <w:r w:rsidRPr="00F42C4D">
        <w:rPr>
          <w:i/>
          <w:iCs/>
          <w:sz w:val="22"/>
          <w:szCs w:val="22"/>
        </w:rPr>
        <w:t>The Maastricht Principles on Extraterritorial Obligations of States in the Area of Economic, Social and Cultural Rights, 2011.</w:t>
      </w:r>
    </w:p>
  </w:footnote>
  <w:footnote w:id="50">
    <w:p w14:paraId="50AEF9EA" w14:textId="77777777" w:rsidR="007347EC" w:rsidRPr="00F42C4D" w:rsidRDefault="007347EC" w:rsidP="00F42C4D">
      <w:pPr>
        <w:pStyle w:val="FootnoteText"/>
        <w:jc w:val="both"/>
        <w:rPr>
          <w:sz w:val="22"/>
          <w:szCs w:val="22"/>
        </w:rPr>
      </w:pPr>
      <w:r w:rsidRPr="00F42C4D">
        <w:rPr>
          <w:rStyle w:val="FootnoteReference"/>
          <w:sz w:val="22"/>
          <w:szCs w:val="22"/>
        </w:rPr>
        <w:footnoteRef/>
      </w:r>
      <w:r w:rsidRPr="00F42C4D">
        <w:rPr>
          <w:sz w:val="22"/>
          <w:szCs w:val="22"/>
        </w:rPr>
        <w:t xml:space="preserve"> UN Committee on Economic, Social and Cultural Rights, </w:t>
      </w:r>
      <w:r w:rsidRPr="00F42C4D">
        <w:rPr>
          <w:i/>
          <w:iCs/>
          <w:sz w:val="22"/>
          <w:szCs w:val="22"/>
        </w:rPr>
        <w:t>The Nature of State Parties’ Obligations,</w:t>
      </w:r>
      <w:r w:rsidRPr="00F42C4D">
        <w:rPr>
          <w:sz w:val="22"/>
          <w:szCs w:val="22"/>
        </w:rPr>
        <w:t xml:space="preserve"> General Comment No. 3, E/1991/23. 14 December 1990.</w:t>
      </w:r>
    </w:p>
  </w:footnote>
  <w:footnote w:id="51">
    <w:p w14:paraId="63B66BAF" w14:textId="77777777" w:rsidR="007347EC" w:rsidRPr="00F42C4D" w:rsidRDefault="007347EC" w:rsidP="00F42C4D">
      <w:pPr>
        <w:pStyle w:val="FootnoteText"/>
        <w:jc w:val="both"/>
        <w:rPr>
          <w:sz w:val="22"/>
          <w:szCs w:val="22"/>
        </w:rPr>
      </w:pPr>
      <w:r w:rsidRPr="00F42C4D">
        <w:rPr>
          <w:rStyle w:val="FootnoteReference"/>
          <w:sz w:val="22"/>
          <w:szCs w:val="22"/>
        </w:rPr>
        <w:footnoteRef/>
      </w:r>
      <w:r w:rsidRPr="00F42C4D">
        <w:rPr>
          <w:sz w:val="22"/>
          <w:szCs w:val="22"/>
        </w:rPr>
        <w:t xml:space="preserve"> UN Committee on Economic, Social and Cultural Rights, </w:t>
      </w:r>
      <w:r w:rsidRPr="00F42C4D">
        <w:rPr>
          <w:i/>
          <w:iCs/>
          <w:sz w:val="22"/>
          <w:szCs w:val="22"/>
        </w:rPr>
        <w:t>Right to the Highest Attainable Standard of Health,</w:t>
      </w:r>
      <w:r w:rsidRPr="00F42C4D">
        <w:rPr>
          <w:sz w:val="22"/>
          <w:szCs w:val="22"/>
        </w:rPr>
        <w:t xml:space="preserve"> General Comment 14, E/C.12/2000/4. 11 August 2000.</w:t>
      </w:r>
    </w:p>
  </w:footnote>
  <w:footnote w:id="52">
    <w:p w14:paraId="684E0511" w14:textId="77777777" w:rsidR="004842F1" w:rsidRPr="00D84B14" w:rsidRDefault="004842F1" w:rsidP="00F42C4D">
      <w:pPr>
        <w:pStyle w:val="FootnoteText"/>
        <w:jc w:val="both"/>
        <w:rPr>
          <w:sz w:val="22"/>
          <w:szCs w:val="22"/>
        </w:rPr>
      </w:pPr>
      <w:r w:rsidRPr="00F42C4D">
        <w:rPr>
          <w:rStyle w:val="FootnoteReference"/>
          <w:sz w:val="22"/>
          <w:szCs w:val="22"/>
        </w:rPr>
        <w:footnoteRef/>
      </w:r>
      <w:r w:rsidRPr="00D84B14">
        <w:rPr>
          <w:sz w:val="22"/>
          <w:szCs w:val="22"/>
        </w:rPr>
        <w:t xml:space="preserve"> E/C.12/2000/4, paragraph 43.</w:t>
      </w:r>
    </w:p>
  </w:footnote>
  <w:footnote w:id="53">
    <w:p w14:paraId="14255DFB" w14:textId="77777777" w:rsidR="004842F1" w:rsidRPr="00D84B14" w:rsidRDefault="004842F1" w:rsidP="00F42C4D">
      <w:pPr>
        <w:pStyle w:val="FootnoteText"/>
        <w:jc w:val="both"/>
        <w:rPr>
          <w:sz w:val="22"/>
          <w:szCs w:val="22"/>
        </w:rPr>
      </w:pPr>
      <w:r w:rsidRPr="00F42C4D">
        <w:rPr>
          <w:rStyle w:val="FootnoteReference"/>
          <w:sz w:val="22"/>
          <w:szCs w:val="22"/>
        </w:rPr>
        <w:footnoteRef/>
      </w:r>
      <w:r w:rsidRPr="00D84B14">
        <w:rPr>
          <w:sz w:val="22"/>
          <w:szCs w:val="22"/>
        </w:rPr>
        <w:t xml:space="preserve"> Ibidem.</w:t>
      </w:r>
    </w:p>
  </w:footnote>
  <w:footnote w:id="54">
    <w:p w14:paraId="789322DF" w14:textId="77777777" w:rsidR="004842F1" w:rsidRPr="00F42C4D" w:rsidRDefault="004842F1" w:rsidP="00F42C4D">
      <w:pPr>
        <w:pStyle w:val="FootnoteText"/>
        <w:jc w:val="both"/>
        <w:rPr>
          <w:sz w:val="22"/>
          <w:szCs w:val="22"/>
        </w:rPr>
      </w:pPr>
      <w:r w:rsidRPr="00F42C4D">
        <w:rPr>
          <w:rStyle w:val="FootnoteReference"/>
          <w:sz w:val="22"/>
          <w:szCs w:val="22"/>
        </w:rPr>
        <w:footnoteRef/>
      </w:r>
      <w:r w:rsidRPr="00F42C4D">
        <w:rPr>
          <w:sz w:val="22"/>
          <w:szCs w:val="22"/>
        </w:rPr>
        <w:t xml:space="preserve"> A/RES/70/1, SDG 3.</w:t>
      </w:r>
    </w:p>
  </w:footnote>
  <w:footnote w:id="55">
    <w:p w14:paraId="3FADCA29"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w:t>
      </w:r>
      <w:r w:rsidR="004842F1" w:rsidRPr="00F42C4D">
        <w:rPr>
          <w:sz w:val="22"/>
          <w:szCs w:val="22"/>
        </w:rPr>
        <w:t xml:space="preserve">World Health Organization, </w:t>
      </w:r>
      <w:r w:rsidR="004842F1" w:rsidRPr="00F42C4D">
        <w:rPr>
          <w:i/>
          <w:iCs/>
          <w:sz w:val="22"/>
          <w:szCs w:val="22"/>
        </w:rPr>
        <w:t xml:space="preserve">WHO Framework Convention on Tobacco Control, </w:t>
      </w:r>
      <w:r w:rsidR="004842F1" w:rsidRPr="00F42C4D">
        <w:rPr>
          <w:sz w:val="22"/>
          <w:szCs w:val="22"/>
        </w:rPr>
        <w:t>21 May 2003, United Nations Treaty Series, vol. 2302, p. 166.</w:t>
      </w:r>
    </w:p>
  </w:footnote>
  <w:footnote w:id="56">
    <w:p w14:paraId="09315832" w14:textId="77777777" w:rsidR="00922726" w:rsidRPr="00F42C4D" w:rsidRDefault="00922726" w:rsidP="00F42C4D">
      <w:pPr>
        <w:pStyle w:val="FootnoteText"/>
        <w:jc w:val="both"/>
        <w:rPr>
          <w:sz w:val="22"/>
          <w:szCs w:val="22"/>
        </w:rPr>
      </w:pPr>
      <w:r w:rsidRPr="00F42C4D">
        <w:rPr>
          <w:rStyle w:val="FootnoteReference"/>
          <w:sz w:val="22"/>
          <w:szCs w:val="22"/>
        </w:rPr>
        <w:footnoteRef/>
      </w:r>
      <w:r w:rsidR="00653223" w:rsidRPr="00F42C4D">
        <w:rPr>
          <w:sz w:val="22"/>
          <w:szCs w:val="22"/>
        </w:rPr>
        <w:t xml:space="preserve"> World Trade Organization, </w:t>
      </w:r>
      <w:r w:rsidR="00653223" w:rsidRPr="00F42C4D">
        <w:rPr>
          <w:i/>
          <w:iCs/>
          <w:sz w:val="22"/>
          <w:szCs w:val="22"/>
        </w:rPr>
        <w:t>Doha Declaration on the TRIPS Agreement and Public Health,</w:t>
      </w:r>
      <w:r w:rsidR="00653223" w:rsidRPr="00F42C4D">
        <w:rPr>
          <w:sz w:val="22"/>
          <w:szCs w:val="22"/>
        </w:rPr>
        <w:t xml:space="preserve"> WT/</w:t>
      </w:r>
      <w:proofErr w:type="gramStart"/>
      <w:r w:rsidR="00653223" w:rsidRPr="00F42C4D">
        <w:rPr>
          <w:sz w:val="22"/>
          <w:szCs w:val="22"/>
        </w:rPr>
        <w:t>MIN(</w:t>
      </w:r>
      <w:proofErr w:type="gramEnd"/>
      <w:r w:rsidR="00653223" w:rsidRPr="00F42C4D">
        <w:rPr>
          <w:sz w:val="22"/>
          <w:szCs w:val="22"/>
        </w:rPr>
        <w:t>01)/DEC/2, 20 November 2001.</w:t>
      </w:r>
      <w:r w:rsidRPr="00F42C4D">
        <w:rPr>
          <w:sz w:val="22"/>
          <w:szCs w:val="22"/>
        </w:rPr>
        <w:t xml:space="preserve"> Note: TRIPS is the acronym for the Agreement on the Trade-Related Aspects of Intellectual Property Rights enforced by the WTO</w:t>
      </w:r>
      <w:r w:rsidR="00653223" w:rsidRPr="00F42C4D">
        <w:rPr>
          <w:sz w:val="22"/>
          <w:szCs w:val="22"/>
        </w:rPr>
        <w:t>.</w:t>
      </w:r>
    </w:p>
  </w:footnote>
  <w:footnote w:id="57">
    <w:p w14:paraId="45112CB6" w14:textId="77777777" w:rsidR="00E0455D" w:rsidRPr="00F42C4D" w:rsidRDefault="00E0455D" w:rsidP="00F42C4D">
      <w:pPr>
        <w:pStyle w:val="FootnoteText"/>
        <w:jc w:val="both"/>
        <w:rPr>
          <w:sz w:val="22"/>
          <w:szCs w:val="22"/>
        </w:rPr>
      </w:pPr>
      <w:r w:rsidRPr="00F42C4D">
        <w:rPr>
          <w:rStyle w:val="FootnoteReference"/>
          <w:sz w:val="22"/>
          <w:szCs w:val="22"/>
        </w:rPr>
        <w:footnoteRef/>
      </w:r>
      <w:r w:rsidRPr="00F42C4D">
        <w:rPr>
          <w:sz w:val="22"/>
          <w:szCs w:val="22"/>
        </w:rPr>
        <w:t xml:space="preserve"> Ibidem</w:t>
      </w:r>
    </w:p>
  </w:footnote>
  <w:footnote w:id="58">
    <w:p w14:paraId="3EED24F3" w14:textId="77777777" w:rsidR="00922726" w:rsidRPr="00F42C4D" w:rsidRDefault="00922726" w:rsidP="00F42C4D">
      <w:pPr>
        <w:pStyle w:val="FootnoteText"/>
        <w:jc w:val="both"/>
        <w:rPr>
          <w:sz w:val="22"/>
          <w:szCs w:val="22"/>
        </w:rPr>
      </w:pPr>
      <w:r w:rsidRPr="00F42C4D">
        <w:rPr>
          <w:rStyle w:val="FootnoteReference"/>
          <w:sz w:val="22"/>
          <w:szCs w:val="22"/>
        </w:rPr>
        <w:footnoteRef/>
      </w:r>
      <w:r w:rsidRPr="00F42C4D">
        <w:rPr>
          <w:sz w:val="22"/>
          <w:szCs w:val="22"/>
        </w:rPr>
        <w:t xml:space="preserve"> </w:t>
      </w:r>
      <w:r w:rsidR="00E0455D" w:rsidRPr="00F42C4D">
        <w:rPr>
          <w:sz w:val="22"/>
          <w:szCs w:val="22"/>
        </w:rPr>
        <w:t xml:space="preserve">World Trade Organization, </w:t>
      </w:r>
      <w:r w:rsidR="00E0455D" w:rsidRPr="00F42C4D">
        <w:rPr>
          <w:i/>
          <w:iCs/>
          <w:sz w:val="22"/>
          <w:szCs w:val="22"/>
        </w:rPr>
        <w:t>Doha Ministerial Declaration,</w:t>
      </w:r>
      <w:r w:rsidR="00E0455D" w:rsidRPr="00F42C4D">
        <w:rPr>
          <w:sz w:val="22"/>
          <w:szCs w:val="22"/>
        </w:rPr>
        <w:t xml:space="preserve"> WT/</w:t>
      </w:r>
      <w:proofErr w:type="gramStart"/>
      <w:r w:rsidR="00E0455D" w:rsidRPr="00F42C4D">
        <w:rPr>
          <w:sz w:val="22"/>
          <w:szCs w:val="22"/>
        </w:rPr>
        <w:t>MIN(</w:t>
      </w:r>
      <w:proofErr w:type="gramEnd"/>
      <w:r w:rsidR="00E0455D" w:rsidRPr="00F42C4D">
        <w:rPr>
          <w:sz w:val="22"/>
          <w:szCs w:val="22"/>
        </w:rPr>
        <w:t>01)/DEC/l, 20 November 2001.</w:t>
      </w:r>
    </w:p>
  </w:footnote>
  <w:footnote w:id="59">
    <w:p w14:paraId="2AAF4829" w14:textId="77777777" w:rsidR="00565487" w:rsidRPr="00F42C4D" w:rsidRDefault="00565487" w:rsidP="00F42C4D">
      <w:pPr>
        <w:pStyle w:val="FootnoteText"/>
        <w:jc w:val="both"/>
        <w:rPr>
          <w:sz w:val="22"/>
          <w:szCs w:val="22"/>
        </w:rPr>
      </w:pPr>
      <w:r w:rsidRPr="00F42C4D">
        <w:rPr>
          <w:rStyle w:val="FootnoteReference"/>
          <w:sz w:val="22"/>
          <w:szCs w:val="22"/>
        </w:rPr>
        <w:footnoteRef/>
      </w:r>
      <w:r w:rsidRPr="00F42C4D">
        <w:rPr>
          <w:sz w:val="22"/>
          <w:szCs w:val="22"/>
        </w:rPr>
        <w:t xml:space="preserve"> For an overview of the Special and Differential Treatment provisions in WTO agreements, see: World Trade Organization, </w:t>
      </w:r>
      <w:r w:rsidRPr="00F42C4D">
        <w:rPr>
          <w:i/>
          <w:iCs/>
          <w:sz w:val="22"/>
          <w:szCs w:val="22"/>
        </w:rPr>
        <w:t xml:space="preserve">Special and Differential Treatment Provisions, </w:t>
      </w:r>
      <w:r w:rsidRPr="00F42C4D">
        <w:rPr>
          <w:sz w:val="22"/>
          <w:szCs w:val="22"/>
        </w:rPr>
        <w:t>available at https://www.wto.org/english/tratop_e/devel_e/dev_special_differential_provisions_e.htm, accessed on 27 July 2017.</w:t>
      </w:r>
    </w:p>
  </w:footnote>
  <w:footnote w:id="60">
    <w:p w14:paraId="2170041E" w14:textId="77777777" w:rsidR="00D411B2" w:rsidRPr="00F42C4D" w:rsidRDefault="00D411B2" w:rsidP="00F42C4D">
      <w:pPr>
        <w:pStyle w:val="FootnoteText"/>
        <w:jc w:val="both"/>
        <w:rPr>
          <w:sz w:val="22"/>
          <w:szCs w:val="22"/>
        </w:rPr>
      </w:pPr>
      <w:r w:rsidRPr="00F42C4D">
        <w:rPr>
          <w:rStyle w:val="FootnoteReference"/>
          <w:sz w:val="22"/>
          <w:szCs w:val="22"/>
        </w:rPr>
        <w:footnoteRef/>
      </w:r>
      <w:r w:rsidRPr="00F42C4D">
        <w:rPr>
          <w:sz w:val="22"/>
          <w:szCs w:val="22"/>
        </w:rPr>
        <w:t xml:space="preserve"> A/RES/41/128, Article 8(1).</w:t>
      </w:r>
    </w:p>
  </w:footnote>
  <w:footnote w:id="61">
    <w:p w14:paraId="615AC7B7" w14:textId="77777777" w:rsidR="00D411B2" w:rsidRPr="00F42C4D" w:rsidRDefault="00D411B2" w:rsidP="00345073">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Richard Horton, “Offline: 13/11—The flames of war”, </w:t>
      </w:r>
      <w:r w:rsidRPr="00F42C4D">
        <w:rPr>
          <w:b w:val="0"/>
          <w:i/>
          <w:iCs/>
          <w:sz w:val="22"/>
          <w:szCs w:val="22"/>
        </w:rPr>
        <w:t>Lance,</w:t>
      </w:r>
      <w:r w:rsidRPr="00F42C4D">
        <w:rPr>
          <w:b w:val="0"/>
          <w:sz w:val="22"/>
          <w:szCs w:val="22"/>
        </w:rPr>
        <w:t xml:space="preserve"> vol. 10008 (2015), p. 2041, available at http://www.thelancet.com/pb/assets/raw/Lancet/pdfs/S0140673615009939.pdf, accessed on 27 July 2017. </w:t>
      </w:r>
    </w:p>
  </w:footnote>
  <w:footnote w:id="62">
    <w:p w14:paraId="72ACA8FE" w14:textId="77777777" w:rsidR="00445E2A" w:rsidRPr="00F42C4D" w:rsidRDefault="00445E2A" w:rsidP="00F42C4D">
      <w:pPr>
        <w:pStyle w:val="FootnoteText"/>
        <w:jc w:val="both"/>
        <w:rPr>
          <w:sz w:val="22"/>
          <w:szCs w:val="22"/>
        </w:rPr>
      </w:pPr>
      <w:r w:rsidRPr="00F42C4D">
        <w:rPr>
          <w:rStyle w:val="FootnoteReference"/>
          <w:sz w:val="22"/>
          <w:szCs w:val="22"/>
        </w:rPr>
        <w:footnoteRef/>
      </w:r>
      <w:r w:rsidRPr="00F42C4D">
        <w:rPr>
          <w:sz w:val="22"/>
          <w:szCs w:val="22"/>
        </w:rPr>
        <w:t xml:space="preserve"> Ban Ki-Moon, </w:t>
      </w:r>
      <w:r w:rsidRPr="00F42C4D">
        <w:rPr>
          <w:i/>
          <w:iCs/>
          <w:sz w:val="22"/>
          <w:szCs w:val="22"/>
          <w:lang w:val="en-MY"/>
        </w:rPr>
        <w:t>UN adopts new Global Goals, charting sustainable development for people and planet by 2030</w:t>
      </w:r>
      <w:r w:rsidRPr="00F42C4D">
        <w:rPr>
          <w:sz w:val="22"/>
          <w:szCs w:val="22"/>
          <w:lang w:val="en-MY"/>
        </w:rPr>
        <w:t xml:space="preserve">, 25 September 2015, available at </w:t>
      </w:r>
      <w:r w:rsidRPr="00F42C4D">
        <w:rPr>
          <w:sz w:val="22"/>
          <w:szCs w:val="22"/>
        </w:rPr>
        <w:t>http://www.un.org/apps/news/story.asp?NewsID=51968#.V_Yi3cl8qg4, accessed on 27 July 2017.</w:t>
      </w:r>
    </w:p>
  </w:footnote>
  <w:footnote w:id="63">
    <w:p w14:paraId="64DC1F98" w14:textId="77777777" w:rsidR="00FF1D86" w:rsidRPr="00F42C4D" w:rsidRDefault="00FF1D86" w:rsidP="00F42C4D">
      <w:pPr>
        <w:pStyle w:val="FootnoteText"/>
        <w:jc w:val="both"/>
        <w:rPr>
          <w:sz w:val="22"/>
          <w:szCs w:val="22"/>
        </w:rPr>
      </w:pPr>
      <w:r w:rsidRPr="00F42C4D">
        <w:rPr>
          <w:rStyle w:val="FootnoteReference"/>
          <w:sz w:val="22"/>
          <w:szCs w:val="22"/>
        </w:rPr>
        <w:footnoteRef/>
      </w:r>
      <w:r w:rsidRPr="00F42C4D">
        <w:rPr>
          <w:sz w:val="22"/>
          <w:szCs w:val="22"/>
        </w:rPr>
        <w:t xml:space="preserve"> Lisa Forman, </w:t>
      </w:r>
      <w:proofErr w:type="spellStart"/>
      <w:r w:rsidRPr="00F42C4D">
        <w:rPr>
          <w:sz w:val="22"/>
          <w:szCs w:val="22"/>
        </w:rPr>
        <w:t>Gorik</w:t>
      </w:r>
      <w:proofErr w:type="spellEnd"/>
      <w:r w:rsidRPr="00F42C4D">
        <w:rPr>
          <w:sz w:val="22"/>
          <w:szCs w:val="22"/>
        </w:rPr>
        <w:t xml:space="preserve"> </w:t>
      </w:r>
      <w:proofErr w:type="spellStart"/>
      <w:r w:rsidRPr="00F42C4D">
        <w:rPr>
          <w:sz w:val="22"/>
          <w:szCs w:val="22"/>
        </w:rPr>
        <w:t>Ooms</w:t>
      </w:r>
      <w:proofErr w:type="spellEnd"/>
      <w:r w:rsidRPr="00F42C4D">
        <w:rPr>
          <w:sz w:val="22"/>
          <w:szCs w:val="22"/>
        </w:rPr>
        <w:t xml:space="preserve">, and Claire E. </w:t>
      </w:r>
      <w:proofErr w:type="spellStart"/>
      <w:r w:rsidRPr="00F42C4D">
        <w:rPr>
          <w:sz w:val="22"/>
          <w:szCs w:val="22"/>
        </w:rPr>
        <w:t>Brolan</w:t>
      </w:r>
      <w:proofErr w:type="spellEnd"/>
      <w:r w:rsidRPr="00F42C4D">
        <w:rPr>
          <w:sz w:val="22"/>
          <w:szCs w:val="22"/>
        </w:rPr>
        <w:t>, “Rights Language in the Sustainable Development Agenda: Has Right to Health Discourse and Norms Shaped Health Goals?”,</w:t>
      </w:r>
      <w:r w:rsidRPr="00F42C4D">
        <w:rPr>
          <w:i/>
          <w:sz w:val="22"/>
          <w:szCs w:val="22"/>
        </w:rPr>
        <w:t xml:space="preserve"> International Journal of Health Policy and Management, </w:t>
      </w:r>
      <w:r w:rsidRPr="00F42C4D">
        <w:rPr>
          <w:iCs/>
          <w:sz w:val="22"/>
          <w:szCs w:val="22"/>
        </w:rPr>
        <w:t>vil.</w:t>
      </w:r>
      <w:r w:rsidRPr="00F42C4D">
        <w:rPr>
          <w:sz w:val="22"/>
          <w:szCs w:val="22"/>
        </w:rPr>
        <w:t>4, no.12 (2015), pp. 799–804.</w:t>
      </w:r>
    </w:p>
  </w:footnote>
  <w:footnote w:id="64">
    <w:p w14:paraId="6BB4E5DB" w14:textId="77777777" w:rsidR="002301C1" w:rsidRPr="00F42C4D" w:rsidRDefault="002301C1" w:rsidP="00F42C4D">
      <w:pPr>
        <w:pStyle w:val="FootnoteText"/>
        <w:jc w:val="both"/>
        <w:rPr>
          <w:sz w:val="22"/>
          <w:szCs w:val="22"/>
        </w:rPr>
      </w:pPr>
      <w:r w:rsidRPr="00F42C4D">
        <w:rPr>
          <w:rStyle w:val="FootnoteReference"/>
          <w:sz w:val="22"/>
          <w:szCs w:val="22"/>
        </w:rPr>
        <w:footnoteRef/>
      </w:r>
      <w:r w:rsidRPr="00F42C4D">
        <w:rPr>
          <w:sz w:val="22"/>
          <w:szCs w:val="22"/>
        </w:rPr>
        <w:t xml:space="preserve"> Sarah Hawkes and Kent Buse, “Searching for the Right to Health in the Sustainable Development Agenda”, </w:t>
      </w:r>
      <w:r w:rsidRPr="00F42C4D">
        <w:rPr>
          <w:i/>
          <w:sz w:val="22"/>
          <w:szCs w:val="22"/>
        </w:rPr>
        <w:t>International Journal of Health Policy and Management</w:t>
      </w:r>
      <w:r w:rsidRPr="00F42C4D">
        <w:rPr>
          <w:sz w:val="22"/>
          <w:szCs w:val="22"/>
        </w:rPr>
        <w:t>, vol.5, no.5 (2016), pp.337–339, at p.338.</w:t>
      </w:r>
    </w:p>
  </w:footnote>
  <w:footnote w:id="65">
    <w:p w14:paraId="15E2E205" w14:textId="77777777" w:rsidR="002301C1" w:rsidRPr="00F42C4D" w:rsidRDefault="002301C1" w:rsidP="00F42C4D">
      <w:pPr>
        <w:pStyle w:val="FootnoteText"/>
        <w:jc w:val="both"/>
        <w:rPr>
          <w:sz w:val="22"/>
          <w:szCs w:val="22"/>
        </w:rPr>
      </w:pPr>
      <w:r w:rsidRPr="00F42C4D">
        <w:rPr>
          <w:rStyle w:val="FootnoteReference"/>
          <w:sz w:val="22"/>
          <w:szCs w:val="22"/>
        </w:rPr>
        <w:footnoteRef/>
      </w:r>
      <w:r w:rsidRPr="00F42C4D">
        <w:rPr>
          <w:sz w:val="22"/>
          <w:szCs w:val="22"/>
        </w:rPr>
        <w:t xml:space="preserve"> Ibidem.</w:t>
      </w:r>
    </w:p>
  </w:footnote>
  <w:footnote w:id="66">
    <w:p w14:paraId="3C059D2D" w14:textId="77777777" w:rsidR="002301C1" w:rsidRPr="00F42C4D" w:rsidRDefault="002301C1" w:rsidP="00F42C4D">
      <w:pPr>
        <w:pStyle w:val="FootnoteText"/>
        <w:jc w:val="both"/>
        <w:rPr>
          <w:sz w:val="22"/>
          <w:szCs w:val="22"/>
        </w:rPr>
      </w:pPr>
      <w:r w:rsidRPr="00F42C4D">
        <w:rPr>
          <w:rStyle w:val="FootnoteReference"/>
          <w:sz w:val="22"/>
          <w:szCs w:val="22"/>
        </w:rPr>
        <w:footnoteRef/>
      </w:r>
      <w:r w:rsidRPr="00F42C4D">
        <w:rPr>
          <w:sz w:val="22"/>
          <w:szCs w:val="22"/>
        </w:rPr>
        <w:t xml:space="preserve"> Ibidem.</w:t>
      </w:r>
    </w:p>
  </w:footnote>
  <w:footnote w:id="67">
    <w:p w14:paraId="3E6BAC80" w14:textId="77777777" w:rsidR="002301C1" w:rsidRPr="00F42C4D" w:rsidRDefault="002301C1" w:rsidP="00F42C4D">
      <w:pPr>
        <w:pStyle w:val="FootnoteText"/>
        <w:jc w:val="both"/>
        <w:rPr>
          <w:sz w:val="22"/>
          <w:szCs w:val="22"/>
        </w:rPr>
      </w:pPr>
      <w:r w:rsidRPr="00F42C4D">
        <w:rPr>
          <w:rStyle w:val="FootnoteReference"/>
          <w:sz w:val="22"/>
          <w:szCs w:val="22"/>
        </w:rPr>
        <w:footnoteRef/>
      </w:r>
      <w:r w:rsidRPr="00F42C4D">
        <w:rPr>
          <w:sz w:val="22"/>
          <w:szCs w:val="22"/>
        </w:rPr>
        <w:t xml:space="preserve"> United Nations, </w:t>
      </w:r>
      <w:r w:rsidRPr="00F42C4D">
        <w:rPr>
          <w:i/>
          <w:iCs/>
          <w:sz w:val="22"/>
          <w:szCs w:val="22"/>
        </w:rPr>
        <w:t xml:space="preserve">Vienna Declaration and </w:t>
      </w:r>
      <w:proofErr w:type="spellStart"/>
      <w:r w:rsidRPr="00F42C4D">
        <w:rPr>
          <w:i/>
          <w:iCs/>
          <w:sz w:val="22"/>
          <w:szCs w:val="22"/>
        </w:rPr>
        <w:t>Programme</w:t>
      </w:r>
      <w:proofErr w:type="spellEnd"/>
      <w:r w:rsidRPr="00F42C4D">
        <w:rPr>
          <w:i/>
          <w:iCs/>
          <w:sz w:val="22"/>
          <w:szCs w:val="22"/>
        </w:rPr>
        <w:t xml:space="preserve"> of Action, </w:t>
      </w:r>
      <w:r w:rsidRPr="00F42C4D">
        <w:rPr>
          <w:sz w:val="22"/>
          <w:szCs w:val="22"/>
        </w:rPr>
        <w:t>25 June 1993, A/CONF.157/2, paragraph 5; Virginia Leary, “The Right to Health in International Law”.</w:t>
      </w:r>
    </w:p>
  </w:footnote>
  <w:footnote w:id="68">
    <w:p w14:paraId="43C58C95" w14:textId="77777777" w:rsidR="002301C1" w:rsidRPr="00F42C4D" w:rsidRDefault="002301C1" w:rsidP="00F42C4D">
      <w:pPr>
        <w:pStyle w:val="FootnoteText"/>
        <w:jc w:val="both"/>
        <w:rPr>
          <w:sz w:val="22"/>
          <w:szCs w:val="22"/>
        </w:rPr>
      </w:pPr>
      <w:r w:rsidRPr="00F42C4D">
        <w:rPr>
          <w:rStyle w:val="FootnoteReference"/>
          <w:sz w:val="22"/>
          <w:szCs w:val="22"/>
        </w:rPr>
        <w:footnoteRef/>
      </w:r>
      <w:r w:rsidRPr="00F42C4D">
        <w:rPr>
          <w:sz w:val="22"/>
          <w:szCs w:val="22"/>
        </w:rPr>
        <w:t xml:space="preserve"> </w:t>
      </w:r>
      <w:proofErr w:type="spellStart"/>
      <w:r w:rsidRPr="00F42C4D">
        <w:rPr>
          <w:sz w:val="22"/>
          <w:szCs w:val="22"/>
        </w:rPr>
        <w:t>Obijiofor</w:t>
      </w:r>
      <w:proofErr w:type="spellEnd"/>
      <w:r w:rsidRPr="00F42C4D">
        <w:rPr>
          <w:sz w:val="22"/>
          <w:szCs w:val="22"/>
        </w:rPr>
        <w:t xml:space="preserve"> </w:t>
      </w:r>
      <w:proofErr w:type="spellStart"/>
      <w:r w:rsidRPr="00F42C4D">
        <w:rPr>
          <w:sz w:val="22"/>
          <w:szCs w:val="22"/>
        </w:rPr>
        <w:t>Aginam</w:t>
      </w:r>
      <w:proofErr w:type="spellEnd"/>
      <w:r w:rsidRPr="00F42C4D">
        <w:rPr>
          <w:sz w:val="22"/>
          <w:szCs w:val="22"/>
        </w:rPr>
        <w:t xml:space="preserve">, </w:t>
      </w:r>
      <w:r w:rsidRPr="00F42C4D">
        <w:rPr>
          <w:i/>
          <w:iCs/>
          <w:sz w:val="22"/>
          <w:szCs w:val="22"/>
        </w:rPr>
        <w:t>Getting Past the Pathological: Governing Global Health</w:t>
      </w:r>
      <w:r w:rsidRPr="00F42C4D">
        <w:rPr>
          <w:sz w:val="22"/>
          <w:szCs w:val="22"/>
        </w:rPr>
        <w:t>, 2015, available at https://unu.edu/publications/articles/getting-past-pathological.html, accessed on 27 July 2017.</w:t>
      </w:r>
    </w:p>
  </w:footnote>
  <w:footnote w:id="69">
    <w:p w14:paraId="0CAF010E" w14:textId="77777777" w:rsidR="00DA3759" w:rsidRPr="00F42C4D" w:rsidRDefault="00DA3759" w:rsidP="00F42C4D">
      <w:pPr>
        <w:pStyle w:val="FootnoteText"/>
        <w:jc w:val="both"/>
        <w:rPr>
          <w:sz w:val="22"/>
          <w:szCs w:val="22"/>
        </w:rPr>
      </w:pPr>
      <w:r w:rsidRPr="00F42C4D">
        <w:rPr>
          <w:rStyle w:val="FootnoteReference"/>
          <w:sz w:val="22"/>
          <w:szCs w:val="22"/>
        </w:rPr>
        <w:footnoteRef/>
      </w:r>
      <w:r w:rsidRPr="00F42C4D">
        <w:rPr>
          <w:sz w:val="22"/>
          <w:szCs w:val="22"/>
        </w:rPr>
        <w:t xml:space="preserve"> Sarah Hawkes and Kent Buse, “Searching for the Right to Health in the Sustainable Development Agenda”, p. 338.</w:t>
      </w:r>
    </w:p>
  </w:footnote>
  <w:footnote w:id="70">
    <w:p w14:paraId="30C83028" w14:textId="77777777" w:rsidR="00350F4D" w:rsidRPr="00F42C4D" w:rsidRDefault="00350F4D" w:rsidP="00F42C4D">
      <w:pPr>
        <w:pStyle w:val="FootnoteText"/>
        <w:jc w:val="both"/>
        <w:rPr>
          <w:sz w:val="22"/>
          <w:szCs w:val="22"/>
        </w:rPr>
      </w:pPr>
      <w:r w:rsidRPr="00F42C4D">
        <w:rPr>
          <w:rStyle w:val="FootnoteReference"/>
          <w:sz w:val="22"/>
          <w:szCs w:val="22"/>
        </w:rPr>
        <w:footnoteRef/>
      </w:r>
      <w:r w:rsidRPr="00F42C4D">
        <w:rPr>
          <w:sz w:val="22"/>
          <w:szCs w:val="22"/>
        </w:rPr>
        <w:t xml:space="preserve"> International Conference on Primary Health Care, </w:t>
      </w:r>
      <w:r w:rsidRPr="00F42C4D">
        <w:rPr>
          <w:i/>
          <w:iCs/>
          <w:sz w:val="22"/>
          <w:szCs w:val="22"/>
        </w:rPr>
        <w:t>Declaration of Alma-Ata</w:t>
      </w:r>
      <w:r w:rsidRPr="00F42C4D">
        <w:rPr>
          <w:sz w:val="22"/>
          <w:szCs w:val="22"/>
        </w:rPr>
        <w:t xml:space="preserve">, </w:t>
      </w:r>
      <w:r w:rsidR="00DA096D" w:rsidRPr="00F42C4D">
        <w:rPr>
          <w:sz w:val="22"/>
          <w:szCs w:val="22"/>
        </w:rPr>
        <w:t>6–12 September 1978.</w:t>
      </w:r>
      <w:r w:rsidRPr="00F42C4D">
        <w:rPr>
          <w:sz w:val="22"/>
          <w:szCs w:val="22"/>
        </w:rPr>
        <w:t xml:space="preserve"> </w:t>
      </w:r>
    </w:p>
  </w:footnote>
  <w:footnote w:id="71">
    <w:p w14:paraId="0AEC3F9B" w14:textId="77777777" w:rsidR="00DA096D" w:rsidRPr="00F42C4D" w:rsidRDefault="00DA096D" w:rsidP="00F42C4D">
      <w:pPr>
        <w:pStyle w:val="FootnoteText"/>
        <w:jc w:val="both"/>
        <w:rPr>
          <w:sz w:val="22"/>
          <w:szCs w:val="22"/>
        </w:rPr>
      </w:pPr>
      <w:r w:rsidRPr="00F42C4D">
        <w:rPr>
          <w:rStyle w:val="FootnoteReference"/>
          <w:sz w:val="22"/>
          <w:szCs w:val="22"/>
        </w:rPr>
        <w:footnoteRef/>
      </w:r>
      <w:r w:rsidRPr="00F42C4D">
        <w:rPr>
          <w:sz w:val="22"/>
          <w:szCs w:val="22"/>
        </w:rPr>
        <w:t xml:space="preserve"> International Conference on Health Promotion, </w:t>
      </w:r>
      <w:r w:rsidRPr="00F42C4D">
        <w:rPr>
          <w:i/>
          <w:iCs/>
          <w:sz w:val="22"/>
          <w:szCs w:val="22"/>
        </w:rPr>
        <w:t>Ottawa Charter for Health Promotion</w:t>
      </w:r>
      <w:r w:rsidRPr="00F42C4D">
        <w:rPr>
          <w:sz w:val="22"/>
          <w:szCs w:val="22"/>
        </w:rPr>
        <w:t>, Ottawa, November 1986.</w:t>
      </w:r>
    </w:p>
  </w:footnote>
  <w:footnote w:id="72">
    <w:p w14:paraId="2450E551" w14:textId="77777777" w:rsidR="00DA096D" w:rsidRPr="00F42C4D" w:rsidRDefault="00DA096D" w:rsidP="00F42C4D">
      <w:pPr>
        <w:pStyle w:val="FootnoteText"/>
        <w:jc w:val="both"/>
        <w:rPr>
          <w:sz w:val="22"/>
          <w:szCs w:val="22"/>
        </w:rPr>
      </w:pPr>
      <w:r w:rsidRPr="00F42C4D">
        <w:rPr>
          <w:rStyle w:val="FootnoteReference"/>
          <w:sz w:val="22"/>
          <w:szCs w:val="22"/>
        </w:rPr>
        <w:footnoteRef/>
      </w:r>
      <w:r w:rsidRPr="00F42C4D">
        <w:rPr>
          <w:sz w:val="22"/>
          <w:szCs w:val="22"/>
        </w:rPr>
        <w:t xml:space="preserve"> Commission on Social Determinants of Health, </w:t>
      </w:r>
      <w:r w:rsidRPr="00F42C4D">
        <w:rPr>
          <w:i/>
          <w:iCs/>
          <w:sz w:val="22"/>
          <w:szCs w:val="22"/>
        </w:rPr>
        <w:t>Closing the Gap in a Generation: Health Equity through Action on the Social Determinants of Health</w:t>
      </w:r>
      <w:r w:rsidRPr="00F42C4D">
        <w:rPr>
          <w:sz w:val="22"/>
          <w:szCs w:val="22"/>
        </w:rPr>
        <w:t xml:space="preserve"> (Geneva: World Health Organization, 2008).</w:t>
      </w:r>
    </w:p>
  </w:footnote>
  <w:footnote w:id="73">
    <w:p w14:paraId="4E7A1D41" w14:textId="77777777" w:rsidR="00DA096D" w:rsidRPr="00F42C4D" w:rsidRDefault="00DA096D" w:rsidP="00F42C4D">
      <w:pPr>
        <w:pStyle w:val="FootnoteText"/>
        <w:jc w:val="both"/>
        <w:rPr>
          <w:sz w:val="22"/>
          <w:szCs w:val="22"/>
        </w:rPr>
      </w:pPr>
      <w:r w:rsidRPr="00F42C4D">
        <w:rPr>
          <w:rStyle w:val="FootnoteReference"/>
          <w:sz w:val="22"/>
          <w:szCs w:val="22"/>
        </w:rPr>
        <w:footnoteRef/>
      </w:r>
      <w:r w:rsidRPr="00F42C4D">
        <w:rPr>
          <w:sz w:val="22"/>
          <w:szCs w:val="22"/>
        </w:rPr>
        <w:t xml:space="preserve"> </w:t>
      </w:r>
      <w:r w:rsidR="0058648F" w:rsidRPr="00F42C4D">
        <w:rPr>
          <w:sz w:val="22"/>
          <w:szCs w:val="22"/>
        </w:rPr>
        <w:t xml:space="preserve">Commission on Macroeconomics and Health, </w:t>
      </w:r>
      <w:r w:rsidR="0058648F" w:rsidRPr="00F42C4D">
        <w:rPr>
          <w:i/>
          <w:iCs/>
          <w:sz w:val="22"/>
          <w:szCs w:val="22"/>
        </w:rPr>
        <w:t xml:space="preserve">Macroeconomics and Health: Investing in Health for Economic Development </w:t>
      </w:r>
      <w:r w:rsidR="0058648F" w:rsidRPr="00F42C4D">
        <w:rPr>
          <w:sz w:val="22"/>
          <w:szCs w:val="22"/>
        </w:rPr>
        <w:t>(Geneva: World Health Organization, 2001).</w:t>
      </w:r>
      <w:r w:rsidR="0058648F" w:rsidRPr="00F42C4D">
        <w:rPr>
          <w:i/>
          <w:iCs/>
          <w:sz w:val="22"/>
          <w:szCs w:val="22"/>
        </w:rPr>
        <w:t xml:space="preserve"> </w:t>
      </w:r>
    </w:p>
  </w:footnote>
  <w:footnote w:id="74">
    <w:p w14:paraId="3DC135BB" w14:textId="77777777" w:rsidR="0076558F" w:rsidRPr="00F42C4D" w:rsidRDefault="0076558F" w:rsidP="00F42C4D">
      <w:pPr>
        <w:pStyle w:val="FootnoteText"/>
        <w:jc w:val="both"/>
        <w:rPr>
          <w:sz w:val="22"/>
          <w:szCs w:val="22"/>
        </w:rPr>
      </w:pPr>
      <w:r w:rsidRPr="00F42C4D">
        <w:rPr>
          <w:rStyle w:val="FootnoteReference"/>
          <w:sz w:val="22"/>
          <w:szCs w:val="22"/>
        </w:rPr>
        <w:footnoteRef/>
      </w:r>
      <w:r w:rsidRPr="00F42C4D">
        <w:rPr>
          <w:sz w:val="22"/>
          <w:szCs w:val="22"/>
        </w:rPr>
        <w:t xml:space="preserve"> A/RES/41/128, Articles 1(1) and 6(2).</w:t>
      </w:r>
    </w:p>
  </w:footnote>
  <w:footnote w:id="75">
    <w:p w14:paraId="38372F16" w14:textId="77777777" w:rsidR="0076558F" w:rsidRPr="00F42C4D" w:rsidRDefault="0076558F" w:rsidP="00F42C4D">
      <w:pPr>
        <w:pStyle w:val="FootnoteText"/>
        <w:jc w:val="both"/>
        <w:rPr>
          <w:sz w:val="22"/>
          <w:szCs w:val="22"/>
        </w:rPr>
      </w:pPr>
      <w:r w:rsidRPr="00F42C4D">
        <w:rPr>
          <w:rStyle w:val="FootnoteReference"/>
          <w:sz w:val="22"/>
          <w:szCs w:val="22"/>
        </w:rPr>
        <w:footnoteRef/>
      </w:r>
      <w:r w:rsidRPr="00F42C4D">
        <w:rPr>
          <w:sz w:val="22"/>
          <w:szCs w:val="22"/>
        </w:rPr>
        <w:t xml:space="preserve"> Paul Hunt, “SDGs and the importance of Formal Independent Review: An Opportunity for Health to Lead the Way”, </w:t>
      </w:r>
      <w:r w:rsidRPr="00F42C4D">
        <w:rPr>
          <w:i/>
          <w:sz w:val="22"/>
          <w:szCs w:val="22"/>
        </w:rPr>
        <w:t>Health and Human Rights Journal</w:t>
      </w:r>
      <w:r w:rsidRPr="00F42C4D">
        <w:rPr>
          <w:sz w:val="22"/>
          <w:szCs w:val="22"/>
        </w:rPr>
        <w:t>, 2 September 2015, available at https://www.hhrjournal.org/2015/09/sdg-series-sdgs-and-the-importance-of-formal-independent-review-an-opportunity-for-health-to-lead-the-way/, accessed on 27 July 2017.</w:t>
      </w:r>
    </w:p>
  </w:footnote>
  <w:footnote w:id="76">
    <w:p w14:paraId="381624E7" w14:textId="77777777" w:rsidR="0076558F" w:rsidRPr="00F42C4D" w:rsidRDefault="0076558F" w:rsidP="00F42C4D">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Lawrence </w:t>
      </w:r>
      <w:proofErr w:type="spellStart"/>
      <w:r w:rsidRPr="00F42C4D">
        <w:rPr>
          <w:b w:val="0"/>
          <w:sz w:val="22"/>
          <w:szCs w:val="22"/>
        </w:rPr>
        <w:t>Gostin</w:t>
      </w:r>
      <w:proofErr w:type="spellEnd"/>
      <w:r w:rsidRPr="00F42C4D">
        <w:rPr>
          <w:b w:val="0"/>
          <w:sz w:val="22"/>
          <w:szCs w:val="22"/>
        </w:rPr>
        <w:t xml:space="preserve"> and Jonathan Mann, “Towards the Development of a Human Rights Impact Assessment for the Formulation and Evaluation of Public Health Policies”, </w:t>
      </w:r>
      <w:r w:rsidRPr="00F42C4D">
        <w:rPr>
          <w:b w:val="0"/>
          <w:i/>
          <w:sz w:val="22"/>
          <w:szCs w:val="22"/>
        </w:rPr>
        <w:t>Health and Human Rights</w:t>
      </w:r>
      <w:r w:rsidRPr="00F42C4D">
        <w:rPr>
          <w:b w:val="0"/>
          <w:sz w:val="22"/>
          <w:szCs w:val="22"/>
        </w:rPr>
        <w:t xml:space="preserve">, vol.1, no.1 (1994), pp. 58–80; Paul Hunt and Gillian </w:t>
      </w:r>
      <w:proofErr w:type="spellStart"/>
      <w:r w:rsidRPr="00F42C4D">
        <w:rPr>
          <w:b w:val="0"/>
          <w:sz w:val="22"/>
          <w:szCs w:val="22"/>
        </w:rPr>
        <w:t>MacNaughton</w:t>
      </w:r>
      <w:proofErr w:type="spellEnd"/>
      <w:r w:rsidRPr="00F42C4D">
        <w:rPr>
          <w:b w:val="0"/>
          <w:sz w:val="22"/>
          <w:szCs w:val="22"/>
        </w:rPr>
        <w:t xml:space="preserve">, </w:t>
      </w:r>
      <w:r w:rsidRPr="00F42C4D">
        <w:rPr>
          <w:b w:val="0"/>
          <w:i/>
          <w:iCs/>
          <w:sz w:val="22"/>
          <w:szCs w:val="22"/>
        </w:rPr>
        <w:t>Impact Assessments, Poverty and Human Rights: A Case Study Using the Right to the Highest Attainable Standard of Health</w:t>
      </w:r>
      <w:r w:rsidRPr="00F42C4D">
        <w:rPr>
          <w:b w:val="0"/>
          <w:sz w:val="22"/>
          <w:szCs w:val="22"/>
        </w:rPr>
        <w:t xml:space="preserve"> (Paris: UNESCO, 2006).</w:t>
      </w:r>
    </w:p>
  </w:footnote>
  <w:footnote w:id="77">
    <w:p w14:paraId="44927774" w14:textId="77777777" w:rsidR="0076558F" w:rsidRPr="00F42C4D" w:rsidRDefault="0076558F" w:rsidP="00345073">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Andrew </w:t>
      </w:r>
      <w:proofErr w:type="spellStart"/>
      <w:r w:rsidRPr="00F42C4D">
        <w:rPr>
          <w:b w:val="0"/>
          <w:sz w:val="22"/>
          <w:szCs w:val="22"/>
        </w:rPr>
        <w:t>Clapham</w:t>
      </w:r>
      <w:proofErr w:type="spellEnd"/>
      <w:r w:rsidRPr="00F42C4D">
        <w:rPr>
          <w:b w:val="0"/>
          <w:sz w:val="22"/>
          <w:szCs w:val="22"/>
        </w:rPr>
        <w:t xml:space="preserve">, </w:t>
      </w:r>
      <w:r w:rsidRPr="00F42C4D">
        <w:rPr>
          <w:b w:val="0"/>
          <w:i/>
          <w:sz w:val="22"/>
          <w:szCs w:val="22"/>
          <w:lang w:val="en-MY"/>
        </w:rPr>
        <w:t>Human Rights Obligations of Non-State Actors</w:t>
      </w:r>
      <w:r w:rsidRPr="00F42C4D">
        <w:rPr>
          <w:b w:val="0"/>
          <w:sz w:val="22"/>
          <w:szCs w:val="22"/>
          <w:lang w:val="en-MY"/>
        </w:rPr>
        <w:t xml:space="preserve">, (Oxford: Oxford University Press, 2006); Andrew </w:t>
      </w:r>
      <w:proofErr w:type="spellStart"/>
      <w:r w:rsidRPr="00F42C4D">
        <w:rPr>
          <w:b w:val="0"/>
          <w:sz w:val="22"/>
          <w:szCs w:val="22"/>
        </w:rPr>
        <w:t>Clapham</w:t>
      </w:r>
      <w:proofErr w:type="spellEnd"/>
      <w:r w:rsidRPr="00F42C4D">
        <w:rPr>
          <w:b w:val="0"/>
          <w:sz w:val="22"/>
          <w:szCs w:val="22"/>
        </w:rPr>
        <w:t xml:space="preserve"> (ed), </w:t>
      </w:r>
      <w:r w:rsidRPr="00F42C4D">
        <w:rPr>
          <w:b w:val="0"/>
          <w:i/>
          <w:sz w:val="22"/>
          <w:szCs w:val="22"/>
        </w:rPr>
        <w:t>Human Rights and Non-State Actors,</w:t>
      </w:r>
      <w:r w:rsidRPr="00F42C4D">
        <w:rPr>
          <w:b w:val="0"/>
          <w:sz w:val="22"/>
          <w:szCs w:val="22"/>
        </w:rPr>
        <w:t xml:space="preserve"> (Cheltenham, UK: Edward Elgar, 2013).</w:t>
      </w:r>
    </w:p>
  </w:footnote>
  <w:footnote w:id="78">
    <w:p w14:paraId="41FD6632" w14:textId="77777777" w:rsidR="0076558F" w:rsidRPr="00F42C4D" w:rsidRDefault="0076558F" w:rsidP="00F42C4D">
      <w:pPr>
        <w:pStyle w:val="BodyText2"/>
        <w:jc w:val="both"/>
        <w:rPr>
          <w:b w:val="0"/>
          <w:sz w:val="22"/>
          <w:szCs w:val="22"/>
        </w:rPr>
      </w:pPr>
      <w:r w:rsidRPr="00F42C4D">
        <w:rPr>
          <w:rStyle w:val="FootnoteReference"/>
          <w:b w:val="0"/>
          <w:sz w:val="22"/>
          <w:szCs w:val="22"/>
        </w:rPr>
        <w:footnoteRef/>
      </w:r>
      <w:r w:rsidRPr="00F42C4D">
        <w:rPr>
          <w:b w:val="0"/>
          <w:sz w:val="22"/>
          <w:szCs w:val="22"/>
        </w:rPr>
        <w:t xml:space="preserve"> Ellen </w:t>
      </w:r>
      <w:proofErr w:type="spellStart"/>
      <w:r w:rsidRPr="00F42C4D">
        <w:rPr>
          <w:b w:val="0"/>
          <w:sz w:val="22"/>
          <w:szCs w:val="22"/>
        </w:rPr>
        <w:t>t’Heon</w:t>
      </w:r>
      <w:proofErr w:type="spellEnd"/>
      <w:r w:rsidRPr="00F42C4D">
        <w:rPr>
          <w:b w:val="0"/>
          <w:sz w:val="22"/>
          <w:szCs w:val="22"/>
        </w:rPr>
        <w:t xml:space="preserve">, “TRIPS, Pharmaceutical Patents and Access to Essential Medicines: A Long Way from Seattle to Doha”, </w:t>
      </w:r>
      <w:r w:rsidRPr="00F42C4D">
        <w:rPr>
          <w:b w:val="0"/>
          <w:i/>
          <w:sz w:val="22"/>
          <w:szCs w:val="22"/>
        </w:rPr>
        <w:t>Chicago Journal of International Law</w:t>
      </w:r>
      <w:r w:rsidRPr="00F42C4D">
        <w:rPr>
          <w:b w:val="0"/>
          <w:sz w:val="22"/>
          <w:szCs w:val="22"/>
        </w:rPr>
        <w:t xml:space="preserve">, vol.3, no.1 (2003), pp. 27–46; Naomi A. Bass, “Implications of the TRIPS Agreement for Developing Countries: Pharmaceutical Patent Laws in Brazil and South Africa in the 21st Century”, </w:t>
      </w:r>
      <w:r w:rsidRPr="00F42C4D">
        <w:rPr>
          <w:b w:val="0"/>
          <w:i/>
          <w:sz w:val="22"/>
          <w:szCs w:val="22"/>
        </w:rPr>
        <w:t>George Washington International Law Review</w:t>
      </w:r>
      <w:r w:rsidRPr="00F42C4D">
        <w:rPr>
          <w:b w:val="0"/>
          <w:sz w:val="22"/>
          <w:szCs w:val="22"/>
        </w:rPr>
        <w:t xml:space="preserve">, vol.34, no.1 (2002), pp.191–222; John Harrington, “Access to Essential Medicines in Kenya: Intellectual Property, Anti-Counterfeiting, and the Right to Health”, in Michael Freeman FBA, Sarah Hawkes, and Belinda Bennett (eds), </w:t>
      </w:r>
      <w:r w:rsidRPr="00F42C4D">
        <w:rPr>
          <w:b w:val="0"/>
          <w:i/>
          <w:sz w:val="22"/>
          <w:szCs w:val="22"/>
        </w:rPr>
        <w:t>Law and Global Health: Current Legal Issues Volume 16</w:t>
      </w:r>
      <w:r w:rsidRPr="00F42C4D">
        <w:rPr>
          <w:b w:val="0"/>
          <w:sz w:val="22"/>
          <w:szCs w:val="22"/>
        </w:rPr>
        <w:t xml:space="preserve"> (Oxford: Oxford University Press, 2014).</w:t>
      </w:r>
    </w:p>
    <w:p w14:paraId="314669D3" w14:textId="77777777" w:rsidR="0076558F" w:rsidRPr="00F42C4D" w:rsidRDefault="0076558F" w:rsidP="00F42C4D">
      <w:pPr>
        <w:pStyle w:val="BodyText2"/>
        <w:jc w:val="both"/>
        <w:rPr>
          <w:b w:val="0"/>
          <w:sz w:val="22"/>
          <w:szCs w:val="22"/>
        </w:rPr>
      </w:pPr>
    </w:p>
    <w:p w14:paraId="75569F70" w14:textId="77777777" w:rsidR="0076558F" w:rsidRPr="00F42C4D" w:rsidRDefault="0076558F" w:rsidP="00F42C4D">
      <w:pPr>
        <w:pStyle w:val="BodyText2"/>
        <w:jc w:val="both"/>
        <w:rPr>
          <w:b w:val="0"/>
          <w:sz w:val="22"/>
          <w:szCs w:val="22"/>
        </w:rPr>
      </w:pPr>
    </w:p>
    <w:p w14:paraId="172F7916" w14:textId="77777777" w:rsidR="0076558F" w:rsidRPr="00F42C4D" w:rsidRDefault="0076558F" w:rsidP="00F42C4D">
      <w:pPr>
        <w:pStyle w:val="FootnoteText"/>
        <w:jc w:val="both"/>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95274" w14:textId="77777777" w:rsidR="00922726" w:rsidRDefault="009227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FCFEDC" w14:textId="77777777" w:rsidR="00922726" w:rsidRDefault="009227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C4257" w14:textId="410E1704" w:rsidR="00922726" w:rsidRDefault="009227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68C1">
      <w:rPr>
        <w:rStyle w:val="PageNumber"/>
        <w:noProof/>
      </w:rPr>
      <w:t>2</w:t>
    </w:r>
    <w:r>
      <w:rPr>
        <w:rStyle w:val="PageNumber"/>
      </w:rPr>
      <w:fldChar w:fldCharType="end"/>
    </w:r>
  </w:p>
  <w:p w14:paraId="6559AE3D" w14:textId="77777777" w:rsidR="00922726" w:rsidRDefault="0092272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9464C" w14:textId="77777777" w:rsidR="003F68C1" w:rsidRPr="007E523B" w:rsidRDefault="003F68C1" w:rsidP="003F68C1">
    <w:pPr>
      <w:pStyle w:val="Header"/>
      <w:jc w:val="center"/>
    </w:pPr>
  </w:p>
  <w:p w14:paraId="4391C722" w14:textId="77777777" w:rsidR="003F68C1" w:rsidRDefault="003F6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0A3B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DD7168"/>
    <w:multiLevelType w:val="hybridMultilevel"/>
    <w:tmpl w:val="5FD27888"/>
    <w:lvl w:ilvl="0" w:tplc="44090001">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8DB4D7E"/>
    <w:multiLevelType w:val="hybridMultilevel"/>
    <w:tmpl w:val="3390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C3F69"/>
    <w:multiLevelType w:val="hybridMultilevel"/>
    <w:tmpl w:val="CF46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A1B05"/>
    <w:multiLevelType w:val="multilevel"/>
    <w:tmpl w:val="95D8F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8FC"/>
    <w:rsid w:val="00000040"/>
    <w:rsid w:val="0000695A"/>
    <w:rsid w:val="00013187"/>
    <w:rsid w:val="00013F93"/>
    <w:rsid w:val="000162C4"/>
    <w:rsid w:val="0001795E"/>
    <w:rsid w:val="00021978"/>
    <w:rsid w:val="00021D76"/>
    <w:rsid w:val="000258F4"/>
    <w:rsid w:val="000266BD"/>
    <w:rsid w:val="00027234"/>
    <w:rsid w:val="00027A27"/>
    <w:rsid w:val="00030760"/>
    <w:rsid w:val="0003442F"/>
    <w:rsid w:val="00042B26"/>
    <w:rsid w:val="0005018E"/>
    <w:rsid w:val="00050639"/>
    <w:rsid w:val="00057F7E"/>
    <w:rsid w:val="00060384"/>
    <w:rsid w:val="000606D7"/>
    <w:rsid w:val="00062B9B"/>
    <w:rsid w:val="000672A9"/>
    <w:rsid w:val="0007062E"/>
    <w:rsid w:val="0007146C"/>
    <w:rsid w:val="000736EC"/>
    <w:rsid w:val="0007516F"/>
    <w:rsid w:val="0007788F"/>
    <w:rsid w:val="000826F9"/>
    <w:rsid w:val="00083C33"/>
    <w:rsid w:val="000843BF"/>
    <w:rsid w:val="00085CF7"/>
    <w:rsid w:val="00087713"/>
    <w:rsid w:val="000A1ADC"/>
    <w:rsid w:val="000A2E29"/>
    <w:rsid w:val="000A313C"/>
    <w:rsid w:val="000A4228"/>
    <w:rsid w:val="000B1479"/>
    <w:rsid w:val="000C40F0"/>
    <w:rsid w:val="000D0E66"/>
    <w:rsid w:val="000D2B15"/>
    <w:rsid w:val="000E15EE"/>
    <w:rsid w:val="000E2A13"/>
    <w:rsid w:val="000F5739"/>
    <w:rsid w:val="00100CAD"/>
    <w:rsid w:val="00101010"/>
    <w:rsid w:val="00104198"/>
    <w:rsid w:val="00105D08"/>
    <w:rsid w:val="001118A8"/>
    <w:rsid w:val="00112CCF"/>
    <w:rsid w:val="00115A8B"/>
    <w:rsid w:val="00120DF0"/>
    <w:rsid w:val="00125A76"/>
    <w:rsid w:val="00131373"/>
    <w:rsid w:val="00142B34"/>
    <w:rsid w:val="00145D9B"/>
    <w:rsid w:val="001516ED"/>
    <w:rsid w:val="00154D47"/>
    <w:rsid w:val="0015617C"/>
    <w:rsid w:val="0015676D"/>
    <w:rsid w:val="001575BD"/>
    <w:rsid w:val="001636E9"/>
    <w:rsid w:val="00165F55"/>
    <w:rsid w:val="00170BBE"/>
    <w:rsid w:val="0017590E"/>
    <w:rsid w:val="00181ACA"/>
    <w:rsid w:val="00182886"/>
    <w:rsid w:val="00183371"/>
    <w:rsid w:val="00184020"/>
    <w:rsid w:val="00194635"/>
    <w:rsid w:val="0019673F"/>
    <w:rsid w:val="00197074"/>
    <w:rsid w:val="001B61E5"/>
    <w:rsid w:val="001B64B6"/>
    <w:rsid w:val="001D2FC2"/>
    <w:rsid w:val="001D4A67"/>
    <w:rsid w:val="001D61F2"/>
    <w:rsid w:val="002014F3"/>
    <w:rsid w:val="00207E1F"/>
    <w:rsid w:val="00212DA9"/>
    <w:rsid w:val="00220A1C"/>
    <w:rsid w:val="002227D1"/>
    <w:rsid w:val="00226035"/>
    <w:rsid w:val="002301C1"/>
    <w:rsid w:val="0023269B"/>
    <w:rsid w:val="00236FBB"/>
    <w:rsid w:val="00245529"/>
    <w:rsid w:val="0024790E"/>
    <w:rsid w:val="00251FC9"/>
    <w:rsid w:val="002651D6"/>
    <w:rsid w:val="00270D3A"/>
    <w:rsid w:val="00285506"/>
    <w:rsid w:val="00286F44"/>
    <w:rsid w:val="002872BB"/>
    <w:rsid w:val="00292E4A"/>
    <w:rsid w:val="002A190B"/>
    <w:rsid w:val="002A234D"/>
    <w:rsid w:val="002A234E"/>
    <w:rsid w:val="002A3728"/>
    <w:rsid w:val="002A568D"/>
    <w:rsid w:val="002A7B80"/>
    <w:rsid w:val="002B6BB6"/>
    <w:rsid w:val="002B6F23"/>
    <w:rsid w:val="002C22EF"/>
    <w:rsid w:val="002C5734"/>
    <w:rsid w:val="002D0853"/>
    <w:rsid w:val="002E2F18"/>
    <w:rsid w:val="002E6AE9"/>
    <w:rsid w:val="002F6158"/>
    <w:rsid w:val="003030C7"/>
    <w:rsid w:val="003064FC"/>
    <w:rsid w:val="00307787"/>
    <w:rsid w:val="00307D6A"/>
    <w:rsid w:val="00311EAC"/>
    <w:rsid w:val="00323CDE"/>
    <w:rsid w:val="003315A2"/>
    <w:rsid w:val="00336693"/>
    <w:rsid w:val="003416CE"/>
    <w:rsid w:val="00341C45"/>
    <w:rsid w:val="00345011"/>
    <w:rsid w:val="00345073"/>
    <w:rsid w:val="00350F4D"/>
    <w:rsid w:val="003523C0"/>
    <w:rsid w:val="003668EE"/>
    <w:rsid w:val="0037303F"/>
    <w:rsid w:val="00375DAC"/>
    <w:rsid w:val="00381424"/>
    <w:rsid w:val="00382EF4"/>
    <w:rsid w:val="003848CA"/>
    <w:rsid w:val="00385507"/>
    <w:rsid w:val="003A636D"/>
    <w:rsid w:val="003B1210"/>
    <w:rsid w:val="003B5633"/>
    <w:rsid w:val="003B7153"/>
    <w:rsid w:val="003C0A00"/>
    <w:rsid w:val="003C4473"/>
    <w:rsid w:val="003C5738"/>
    <w:rsid w:val="003C72FD"/>
    <w:rsid w:val="003D659E"/>
    <w:rsid w:val="003E07E0"/>
    <w:rsid w:val="003E3F0F"/>
    <w:rsid w:val="003E76CF"/>
    <w:rsid w:val="003F0849"/>
    <w:rsid w:val="003F68C1"/>
    <w:rsid w:val="003F7936"/>
    <w:rsid w:val="00400596"/>
    <w:rsid w:val="00411E5F"/>
    <w:rsid w:val="00412555"/>
    <w:rsid w:val="00412E65"/>
    <w:rsid w:val="004171E8"/>
    <w:rsid w:val="00417E07"/>
    <w:rsid w:val="00432920"/>
    <w:rsid w:val="00445E2A"/>
    <w:rsid w:val="004515AF"/>
    <w:rsid w:val="00451DA8"/>
    <w:rsid w:val="0046271D"/>
    <w:rsid w:val="00464BF4"/>
    <w:rsid w:val="00467682"/>
    <w:rsid w:val="0048045D"/>
    <w:rsid w:val="004842F1"/>
    <w:rsid w:val="004845B3"/>
    <w:rsid w:val="00496C27"/>
    <w:rsid w:val="004A2EDA"/>
    <w:rsid w:val="004A429E"/>
    <w:rsid w:val="004B4503"/>
    <w:rsid w:val="004B5822"/>
    <w:rsid w:val="004B7560"/>
    <w:rsid w:val="004C2FF5"/>
    <w:rsid w:val="004C6420"/>
    <w:rsid w:val="004C6BA7"/>
    <w:rsid w:val="004D377F"/>
    <w:rsid w:val="004E1253"/>
    <w:rsid w:val="004F14B5"/>
    <w:rsid w:val="004F5530"/>
    <w:rsid w:val="00511DD3"/>
    <w:rsid w:val="00524BB1"/>
    <w:rsid w:val="00534F8B"/>
    <w:rsid w:val="0053723E"/>
    <w:rsid w:val="005434B9"/>
    <w:rsid w:val="00546E93"/>
    <w:rsid w:val="00552051"/>
    <w:rsid w:val="00552C97"/>
    <w:rsid w:val="005606C0"/>
    <w:rsid w:val="00565487"/>
    <w:rsid w:val="00572E2C"/>
    <w:rsid w:val="005732B7"/>
    <w:rsid w:val="0058070B"/>
    <w:rsid w:val="00584D30"/>
    <w:rsid w:val="00585DA7"/>
    <w:rsid w:val="0058648F"/>
    <w:rsid w:val="005873AC"/>
    <w:rsid w:val="005904B0"/>
    <w:rsid w:val="005A119B"/>
    <w:rsid w:val="005A28C8"/>
    <w:rsid w:val="005A32F9"/>
    <w:rsid w:val="005A47DC"/>
    <w:rsid w:val="005A50BC"/>
    <w:rsid w:val="005A76E7"/>
    <w:rsid w:val="005B528E"/>
    <w:rsid w:val="005B5EBA"/>
    <w:rsid w:val="005C2938"/>
    <w:rsid w:val="005C31C5"/>
    <w:rsid w:val="005C4C4A"/>
    <w:rsid w:val="005D05C4"/>
    <w:rsid w:val="005D21C6"/>
    <w:rsid w:val="005D2AC2"/>
    <w:rsid w:val="005E56BB"/>
    <w:rsid w:val="005F51B9"/>
    <w:rsid w:val="005F6821"/>
    <w:rsid w:val="00606B7B"/>
    <w:rsid w:val="0061096C"/>
    <w:rsid w:val="006249E7"/>
    <w:rsid w:val="00632B85"/>
    <w:rsid w:val="006337D6"/>
    <w:rsid w:val="00644D0E"/>
    <w:rsid w:val="00646DDD"/>
    <w:rsid w:val="00653223"/>
    <w:rsid w:val="00653DC8"/>
    <w:rsid w:val="00655CC5"/>
    <w:rsid w:val="00661A01"/>
    <w:rsid w:val="00662C6C"/>
    <w:rsid w:val="00665134"/>
    <w:rsid w:val="006655C0"/>
    <w:rsid w:val="0067641D"/>
    <w:rsid w:val="00682CBB"/>
    <w:rsid w:val="0068715E"/>
    <w:rsid w:val="00692B08"/>
    <w:rsid w:val="006932F3"/>
    <w:rsid w:val="006A2893"/>
    <w:rsid w:val="006A2A33"/>
    <w:rsid w:val="006A3DE6"/>
    <w:rsid w:val="006B0E92"/>
    <w:rsid w:val="006B5EF2"/>
    <w:rsid w:val="006C1FC6"/>
    <w:rsid w:val="006C6778"/>
    <w:rsid w:val="006C728E"/>
    <w:rsid w:val="006D01CB"/>
    <w:rsid w:val="006D334D"/>
    <w:rsid w:val="006D5321"/>
    <w:rsid w:val="006E0741"/>
    <w:rsid w:val="006E6A53"/>
    <w:rsid w:val="006E7C4D"/>
    <w:rsid w:val="006F1C64"/>
    <w:rsid w:val="006F403B"/>
    <w:rsid w:val="006F449D"/>
    <w:rsid w:val="00712E9F"/>
    <w:rsid w:val="007164CF"/>
    <w:rsid w:val="007248B2"/>
    <w:rsid w:val="00727324"/>
    <w:rsid w:val="007347EC"/>
    <w:rsid w:val="0074337B"/>
    <w:rsid w:val="007473D1"/>
    <w:rsid w:val="00753280"/>
    <w:rsid w:val="00761A71"/>
    <w:rsid w:val="00764BC9"/>
    <w:rsid w:val="00764C56"/>
    <w:rsid w:val="0076558F"/>
    <w:rsid w:val="00776EF2"/>
    <w:rsid w:val="00790EB2"/>
    <w:rsid w:val="007923AA"/>
    <w:rsid w:val="007958F5"/>
    <w:rsid w:val="00796D55"/>
    <w:rsid w:val="007A51DA"/>
    <w:rsid w:val="007B55A6"/>
    <w:rsid w:val="007B6E7C"/>
    <w:rsid w:val="007C2441"/>
    <w:rsid w:val="007E045A"/>
    <w:rsid w:val="007E1FE8"/>
    <w:rsid w:val="007E2178"/>
    <w:rsid w:val="007E4126"/>
    <w:rsid w:val="007E4FDA"/>
    <w:rsid w:val="007F7CA9"/>
    <w:rsid w:val="008024C2"/>
    <w:rsid w:val="00805DE1"/>
    <w:rsid w:val="00811AA1"/>
    <w:rsid w:val="00812A80"/>
    <w:rsid w:val="008262AD"/>
    <w:rsid w:val="00831071"/>
    <w:rsid w:val="0083179E"/>
    <w:rsid w:val="008319EB"/>
    <w:rsid w:val="00832DA4"/>
    <w:rsid w:val="008360AF"/>
    <w:rsid w:val="00861B70"/>
    <w:rsid w:val="00867547"/>
    <w:rsid w:val="00874356"/>
    <w:rsid w:val="008774DF"/>
    <w:rsid w:val="00877559"/>
    <w:rsid w:val="008814EE"/>
    <w:rsid w:val="008924E5"/>
    <w:rsid w:val="008A33BA"/>
    <w:rsid w:val="008B23B7"/>
    <w:rsid w:val="008C1C06"/>
    <w:rsid w:val="008D6167"/>
    <w:rsid w:val="008E4C02"/>
    <w:rsid w:val="008E713A"/>
    <w:rsid w:val="008E74CA"/>
    <w:rsid w:val="008F4E2F"/>
    <w:rsid w:val="00900E9D"/>
    <w:rsid w:val="009146CD"/>
    <w:rsid w:val="009158C8"/>
    <w:rsid w:val="009225AD"/>
    <w:rsid w:val="00922726"/>
    <w:rsid w:val="00924DF6"/>
    <w:rsid w:val="00925F03"/>
    <w:rsid w:val="00936DAE"/>
    <w:rsid w:val="00953F66"/>
    <w:rsid w:val="009568DF"/>
    <w:rsid w:val="00963074"/>
    <w:rsid w:val="00965014"/>
    <w:rsid w:val="00965E97"/>
    <w:rsid w:val="00967AFC"/>
    <w:rsid w:val="009749C6"/>
    <w:rsid w:val="0099761B"/>
    <w:rsid w:val="009A1312"/>
    <w:rsid w:val="009A3E3B"/>
    <w:rsid w:val="009A43BF"/>
    <w:rsid w:val="009A4D0B"/>
    <w:rsid w:val="009B153C"/>
    <w:rsid w:val="009B1B5C"/>
    <w:rsid w:val="009B3C2B"/>
    <w:rsid w:val="009B4DE3"/>
    <w:rsid w:val="009C37FE"/>
    <w:rsid w:val="009C54DC"/>
    <w:rsid w:val="009C6815"/>
    <w:rsid w:val="009D186D"/>
    <w:rsid w:val="009D1DDA"/>
    <w:rsid w:val="009D3BC0"/>
    <w:rsid w:val="009D6244"/>
    <w:rsid w:val="009D7147"/>
    <w:rsid w:val="009E438B"/>
    <w:rsid w:val="009F2D59"/>
    <w:rsid w:val="009F3E8D"/>
    <w:rsid w:val="00A00D25"/>
    <w:rsid w:val="00A1355D"/>
    <w:rsid w:val="00A13DDB"/>
    <w:rsid w:val="00A20DC4"/>
    <w:rsid w:val="00A218FC"/>
    <w:rsid w:val="00A21CEA"/>
    <w:rsid w:val="00A26112"/>
    <w:rsid w:val="00A27D78"/>
    <w:rsid w:val="00A36E42"/>
    <w:rsid w:val="00A436EF"/>
    <w:rsid w:val="00A439E2"/>
    <w:rsid w:val="00A52B27"/>
    <w:rsid w:val="00A5582A"/>
    <w:rsid w:val="00A9115B"/>
    <w:rsid w:val="00A91C66"/>
    <w:rsid w:val="00A94279"/>
    <w:rsid w:val="00A94B50"/>
    <w:rsid w:val="00A95896"/>
    <w:rsid w:val="00A972F3"/>
    <w:rsid w:val="00AA5038"/>
    <w:rsid w:val="00AA676A"/>
    <w:rsid w:val="00AA7247"/>
    <w:rsid w:val="00AB399B"/>
    <w:rsid w:val="00AB67FF"/>
    <w:rsid w:val="00AB70EF"/>
    <w:rsid w:val="00AC66F7"/>
    <w:rsid w:val="00AD641C"/>
    <w:rsid w:val="00AE48CA"/>
    <w:rsid w:val="00AF3B48"/>
    <w:rsid w:val="00AF6339"/>
    <w:rsid w:val="00AF7E0F"/>
    <w:rsid w:val="00AF7EA7"/>
    <w:rsid w:val="00B12B2F"/>
    <w:rsid w:val="00B13629"/>
    <w:rsid w:val="00B17AFD"/>
    <w:rsid w:val="00B3100C"/>
    <w:rsid w:val="00B3716F"/>
    <w:rsid w:val="00B37A52"/>
    <w:rsid w:val="00B40FB4"/>
    <w:rsid w:val="00B5338F"/>
    <w:rsid w:val="00B55BC7"/>
    <w:rsid w:val="00B66169"/>
    <w:rsid w:val="00B6760D"/>
    <w:rsid w:val="00B70599"/>
    <w:rsid w:val="00B72909"/>
    <w:rsid w:val="00B73DC7"/>
    <w:rsid w:val="00B81A25"/>
    <w:rsid w:val="00B81CE9"/>
    <w:rsid w:val="00B858AE"/>
    <w:rsid w:val="00B90337"/>
    <w:rsid w:val="00B93C4F"/>
    <w:rsid w:val="00B94F63"/>
    <w:rsid w:val="00B9651F"/>
    <w:rsid w:val="00B96B09"/>
    <w:rsid w:val="00BB14ED"/>
    <w:rsid w:val="00BC7B28"/>
    <w:rsid w:val="00BD246C"/>
    <w:rsid w:val="00BD404A"/>
    <w:rsid w:val="00BD43E2"/>
    <w:rsid w:val="00BD6BF3"/>
    <w:rsid w:val="00BE3D0C"/>
    <w:rsid w:val="00BE4976"/>
    <w:rsid w:val="00C01A2C"/>
    <w:rsid w:val="00C12A55"/>
    <w:rsid w:val="00C23F13"/>
    <w:rsid w:val="00C254FF"/>
    <w:rsid w:val="00C43754"/>
    <w:rsid w:val="00C442AA"/>
    <w:rsid w:val="00C4486A"/>
    <w:rsid w:val="00C513A4"/>
    <w:rsid w:val="00C5427C"/>
    <w:rsid w:val="00C56CD3"/>
    <w:rsid w:val="00C65A57"/>
    <w:rsid w:val="00C71383"/>
    <w:rsid w:val="00C726FF"/>
    <w:rsid w:val="00C74001"/>
    <w:rsid w:val="00C74B35"/>
    <w:rsid w:val="00C92726"/>
    <w:rsid w:val="00CC170A"/>
    <w:rsid w:val="00CC3A08"/>
    <w:rsid w:val="00CC64A3"/>
    <w:rsid w:val="00CD20CA"/>
    <w:rsid w:val="00CD7590"/>
    <w:rsid w:val="00CF3EFE"/>
    <w:rsid w:val="00D00426"/>
    <w:rsid w:val="00D17A6E"/>
    <w:rsid w:val="00D216B5"/>
    <w:rsid w:val="00D2730C"/>
    <w:rsid w:val="00D27DBD"/>
    <w:rsid w:val="00D35E3E"/>
    <w:rsid w:val="00D411B2"/>
    <w:rsid w:val="00D457C3"/>
    <w:rsid w:val="00D52AE4"/>
    <w:rsid w:val="00D568CE"/>
    <w:rsid w:val="00D63ABF"/>
    <w:rsid w:val="00D84B14"/>
    <w:rsid w:val="00D96928"/>
    <w:rsid w:val="00D97F6E"/>
    <w:rsid w:val="00DA096D"/>
    <w:rsid w:val="00DA3759"/>
    <w:rsid w:val="00DA4B4E"/>
    <w:rsid w:val="00DB5358"/>
    <w:rsid w:val="00DC33BD"/>
    <w:rsid w:val="00DC3B64"/>
    <w:rsid w:val="00DC7941"/>
    <w:rsid w:val="00DD0E8F"/>
    <w:rsid w:val="00DD3F41"/>
    <w:rsid w:val="00DE14B1"/>
    <w:rsid w:val="00DE3F66"/>
    <w:rsid w:val="00DF1C0E"/>
    <w:rsid w:val="00DF2D79"/>
    <w:rsid w:val="00DF3774"/>
    <w:rsid w:val="00DF4118"/>
    <w:rsid w:val="00DF4C14"/>
    <w:rsid w:val="00E0455D"/>
    <w:rsid w:val="00E0584A"/>
    <w:rsid w:val="00E10B0E"/>
    <w:rsid w:val="00E1386D"/>
    <w:rsid w:val="00E13A86"/>
    <w:rsid w:val="00E1665B"/>
    <w:rsid w:val="00E201AA"/>
    <w:rsid w:val="00E22C61"/>
    <w:rsid w:val="00E36C52"/>
    <w:rsid w:val="00E36D2C"/>
    <w:rsid w:val="00E46283"/>
    <w:rsid w:val="00E500D5"/>
    <w:rsid w:val="00E5036E"/>
    <w:rsid w:val="00E56BAD"/>
    <w:rsid w:val="00E56F8C"/>
    <w:rsid w:val="00E60269"/>
    <w:rsid w:val="00E62563"/>
    <w:rsid w:val="00E66680"/>
    <w:rsid w:val="00E82D62"/>
    <w:rsid w:val="00E8600B"/>
    <w:rsid w:val="00E97476"/>
    <w:rsid w:val="00EA248C"/>
    <w:rsid w:val="00EA3B0A"/>
    <w:rsid w:val="00EB211E"/>
    <w:rsid w:val="00EB4763"/>
    <w:rsid w:val="00EC32DA"/>
    <w:rsid w:val="00ED0E57"/>
    <w:rsid w:val="00EE04EE"/>
    <w:rsid w:val="00EE0E79"/>
    <w:rsid w:val="00EE2BB2"/>
    <w:rsid w:val="00EE2EA4"/>
    <w:rsid w:val="00EF2BCF"/>
    <w:rsid w:val="00F01C93"/>
    <w:rsid w:val="00F05648"/>
    <w:rsid w:val="00F12373"/>
    <w:rsid w:val="00F20DDC"/>
    <w:rsid w:val="00F244D4"/>
    <w:rsid w:val="00F331FB"/>
    <w:rsid w:val="00F3339E"/>
    <w:rsid w:val="00F42C4D"/>
    <w:rsid w:val="00F55F6F"/>
    <w:rsid w:val="00F62D6D"/>
    <w:rsid w:val="00F65C78"/>
    <w:rsid w:val="00F865CB"/>
    <w:rsid w:val="00F866CD"/>
    <w:rsid w:val="00F86CB1"/>
    <w:rsid w:val="00F87854"/>
    <w:rsid w:val="00F9764D"/>
    <w:rsid w:val="00FA4196"/>
    <w:rsid w:val="00FB0FC5"/>
    <w:rsid w:val="00FB1532"/>
    <w:rsid w:val="00FB1C9D"/>
    <w:rsid w:val="00FB6959"/>
    <w:rsid w:val="00FC062B"/>
    <w:rsid w:val="00FC277A"/>
    <w:rsid w:val="00FC311C"/>
    <w:rsid w:val="00FC55E5"/>
    <w:rsid w:val="00FC7861"/>
    <w:rsid w:val="00FD061C"/>
    <w:rsid w:val="00FD253B"/>
    <w:rsid w:val="00FE2772"/>
    <w:rsid w:val="00FE41CA"/>
    <w:rsid w:val="00FF1D86"/>
    <w:rsid w:val="00FF2DDB"/>
    <w:rsid w:val="00FF46E1"/>
    <w:rsid w:val="00FF52AF"/>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AE7F94"/>
  <w15:chartTrackingRefBased/>
  <w15:docId w15:val="{98918C3F-272E-41A8-9362-688CE422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4">
    <w:name w:val="heading 4"/>
    <w:basedOn w:val="Normal"/>
    <w:next w:val="Normal"/>
    <w:link w:val="Heading4Char"/>
    <w:uiPriority w:val="9"/>
    <w:semiHidden/>
    <w:unhideWhenUsed/>
    <w:qFormat/>
    <w:rsid w:val="00E1665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link w:val="BodyText2Char"/>
    <w:pPr>
      <w:jc w:val="center"/>
    </w:pPr>
    <w:rPr>
      <w:b/>
      <w:sz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sid w:val="00F331FB"/>
    <w:pPr>
      <w:spacing w:after="120"/>
    </w:pPr>
    <w:rPr>
      <w:sz w:val="16"/>
      <w:szCs w:val="16"/>
    </w:rPr>
  </w:style>
  <w:style w:type="paragraph" w:styleId="ListParagraph">
    <w:name w:val="List Paragraph"/>
    <w:basedOn w:val="Normal"/>
    <w:uiPriority w:val="34"/>
    <w:qFormat/>
    <w:rsid w:val="00FD253B"/>
    <w:pPr>
      <w:ind w:left="720"/>
    </w:pPr>
  </w:style>
  <w:style w:type="paragraph" w:styleId="NormalWeb">
    <w:name w:val="Normal (Web)"/>
    <w:basedOn w:val="Normal"/>
    <w:uiPriority w:val="99"/>
    <w:semiHidden/>
    <w:unhideWhenUsed/>
    <w:rsid w:val="00FF46E1"/>
    <w:pPr>
      <w:spacing w:before="100" w:beforeAutospacing="1" w:after="100" w:afterAutospacing="1"/>
    </w:pPr>
    <w:rPr>
      <w:sz w:val="24"/>
      <w:szCs w:val="24"/>
      <w:lang w:val="en-MY" w:eastAsia="en-MY"/>
    </w:rPr>
  </w:style>
  <w:style w:type="paragraph" w:styleId="ListBullet">
    <w:name w:val="List Bullet"/>
    <w:basedOn w:val="Normal"/>
    <w:uiPriority w:val="99"/>
    <w:semiHidden/>
    <w:unhideWhenUsed/>
    <w:rsid w:val="006249E7"/>
    <w:pPr>
      <w:numPr>
        <w:numId w:val="3"/>
      </w:numPr>
      <w:contextualSpacing/>
    </w:pPr>
  </w:style>
  <w:style w:type="character" w:styleId="Hyperlink">
    <w:name w:val="Hyperlink"/>
    <w:uiPriority w:val="99"/>
    <w:unhideWhenUsed/>
    <w:rsid w:val="0048045D"/>
    <w:rPr>
      <w:color w:val="0000FF"/>
      <w:u w:val="single"/>
    </w:rPr>
  </w:style>
  <w:style w:type="character" w:customStyle="1" w:styleId="Heading4Char">
    <w:name w:val="Heading 4 Char"/>
    <w:link w:val="Heading4"/>
    <w:uiPriority w:val="9"/>
    <w:semiHidden/>
    <w:rsid w:val="00E1665B"/>
    <w:rPr>
      <w:rFonts w:ascii="Calibri" w:eastAsia="Times New Roman" w:hAnsi="Calibri" w:cs="Times New Roman"/>
      <w:b/>
      <w:bCs/>
      <w:sz w:val="28"/>
      <w:szCs w:val="28"/>
      <w:lang w:val="en-US" w:eastAsia="en-US"/>
    </w:rPr>
  </w:style>
  <w:style w:type="character" w:styleId="CommentReference">
    <w:name w:val="annotation reference"/>
    <w:uiPriority w:val="99"/>
    <w:semiHidden/>
    <w:unhideWhenUsed/>
    <w:rsid w:val="002F6158"/>
    <w:rPr>
      <w:sz w:val="16"/>
      <w:szCs w:val="16"/>
    </w:rPr>
  </w:style>
  <w:style w:type="paragraph" w:styleId="CommentText">
    <w:name w:val="annotation text"/>
    <w:basedOn w:val="Normal"/>
    <w:link w:val="CommentTextChar"/>
    <w:uiPriority w:val="99"/>
    <w:unhideWhenUsed/>
    <w:rsid w:val="002F6158"/>
  </w:style>
  <w:style w:type="character" w:customStyle="1" w:styleId="CommentTextChar">
    <w:name w:val="Comment Text Char"/>
    <w:basedOn w:val="DefaultParagraphFont"/>
    <w:link w:val="CommentText"/>
    <w:uiPriority w:val="99"/>
    <w:rsid w:val="002F6158"/>
  </w:style>
  <w:style w:type="paragraph" w:styleId="CommentSubject">
    <w:name w:val="annotation subject"/>
    <w:basedOn w:val="CommentText"/>
    <w:next w:val="CommentText"/>
    <w:link w:val="CommentSubjectChar"/>
    <w:uiPriority w:val="99"/>
    <w:semiHidden/>
    <w:unhideWhenUsed/>
    <w:rsid w:val="002F6158"/>
    <w:rPr>
      <w:b/>
      <w:bCs/>
    </w:rPr>
  </w:style>
  <w:style w:type="character" w:customStyle="1" w:styleId="CommentSubjectChar">
    <w:name w:val="Comment Subject Char"/>
    <w:link w:val="CommentSubject"/>
    <w:uiPriority w:val="99"/>
    <w:semiHidden/>
    <w:rsid w:val="002F6158"/>
    <w:rPr>
      <w:b/>
      <w:bCs/>
    </w:rPr>
  </w:style>
  <w:style w:type="paragraph" w:styleId="BalloonText">
    <w:name w:val="Balloon Text"/>
    <w:basedOn w:val="Normal"/>
    <w:link w:val="BalloonTextChar"/>
    <w:uiPriority w:val="99"/>
    <w:semiHidden/>
    <w:unhideWhenUsed/>
    <w:rsid w:val="002F6158"/>
    <w:rPr>
      <w:rFonts w:ascii="Segoe UI" w:hAnsi="Segoe UI" w:cs="Segoe UI"/>
      <w:sz w:val="18"/>
      <w:szCs w:val="18"/>
    </w:rPr>
  </w:style>
  <w:style w:type="character" w:customStyle="1" w:styleId="BalloonTextChar">
    <w:name w:val="Balloon Text Char"/>
    <w:link w:val="BalloonText"/>
    <w:uiPriority w:val="99"/>
    <w:semiHidden/>
    <w:rsid w:val="002F6158"/>
    <w:rPr>
      <w:rFonts w:ascii="Segoe UI" w:hAnsi="Segoe UI" w:cs="Segoe UI"/>
      <w:sz w:val="18"/>
      <w:szCs w:val="18"/>
    </w:rPr>
  </w:style>
  <w:style w:type="paragraph" w:styleId="HTMLPreformatted">
    <w:name w:val="HTML Preformatted"/>
    <w:basedOn w:val="Normal"/>
    <w:link w:val="HTMLPreformattedChar"/>
    <w:uiPriority w:val="99"/>
    <w:semiHidden/>
    <w:unhideWhenUsed/>
    <w:rsid w:val="0058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link w:val="HTMLPreformatted"/>
    <w:uiPriority w:val="99"/>
    <w:semiHidden/>
    <w:rsid w:val="0058070B"/>
    <w:rPr>
      <w:rFonts w:ascii="Courier New" w:hAnsi="Courier New" w:cs="Courier New"/>
    </w:rPr>
  </w:style>
  <w:style w:type="paragraph" w:styleId="Revision">
    <w:name w:val="Revision"/>
    <w:hidden/>
    <w:uiPriority w:val="99"/>
    <w:semiHidden/>
    <w:rsid w:val="003E76CF"/>
    <w:rPr>
      <w:lang w:val="en-US" w:eastAsia="en-US"/>
    </w:rPr>
  </w:style>
  <w:style w:type="character" w:customStyle="1" w:styleId="Mention1">
    <w:name w:val="Mention1"/>
    <w:uiPriority w:val="99"/>
    <w:semiHidden/>
    <w:unhideWhenUsed/>
    <w:rsid w:val="003C4473"/>
    <w:rPr>
      <w:color w:val="2B579A"/>
      <w:shd w:val="clear" w:color="auto" w:fill="E6E6E6"/>
    </w:rPr>
  </w:style>
  <w:style w:type="character" w:customStyle="1" w:styleId="BodyText2Char">
    <w:name w:val="Body Text 2 Char"/>
    <w:link w:val="BodyText2"/>
    <w:rsid w:val="009D7147"/>
    <w:rPr>
      <w:b/>
      <w:sz w:val="24"/>
      <w:lang w:bidi="ar-SA"/>
    </w:rPr>
  </w:style>
  <w:style w:type="paragraph" w:styleId="Footer">
    <w:name w:val="footer"/>
    <w:basedOn w:val="Normal"/>
    <w:link w:val="FooterChar"/>
    <w:uiPriority w:val="99"/>
    <w:unhideWhenUsed/>
    <w:rsid w:val="003F68C1"/>
    <w:pPr>
      <w:tabs>
        <w:tab w:val="center" w:pos="4513"/>
        <w:tab w:val="right" w:pos="9026"/>
      </w:tabs>
    </w:pPr>
  </w:style>
  <w:style w:type="character" w:customStyle="1" w:styleId="FooterChar">
    <w:name w:val="Footer Char"/>
    <w:basedOn w:val="DefaultParagraphFont"/>
    <w:link w:val="Footer"/>
    <w:uiPriority w:val="99"/>
    <w:rsid w:val="003F68C1"/>
    <w:rPr>
      <w:lang w:val="en-US" w:eastAsia="en-US"/>
    </w:rPr>
  </w:style>
  <w:style w:type="character" w:customStyle="1" w:styleId="HeaderChar">
    <w:name w:val="Header Char"/>
    <w:basedOn w:val="DefaultParagraphFont"/>
    <w:link w:val="Header"/>
    <w:uiPriority w:val="99"/>
    <w:rsid w:val="003F68C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05137">
      <w:bodyDiv w:val="1"/>
      <w:marLeft w:val="0"/>
      <w:marRight w:val="0"/>
      <w:marTop w:val="0"/>
      <w:marBottom w:val="0"/>
      <w:divBdr>
        <w:top w:val="none" w:sz="0" w:space="0" w:color="auto"/>
        <w:left w:val="none" w:sz="0" w:space="0" w:color="auto"/>
        <w:bottom w:val="none" w:sz="0" w:space="0" w:color="auto"/>
        <w:right w:val="none" w:sz="0" w:space="0" w:color="auto"/>
      </w:divBdr>
    </w:div>
    <w:div w:id="151216519">
      <w:bodyDiv w:val="1"/>
      <w:marLeft w:val="0"/>
      <w:marRight w:val="0"/>
      <w:marTop w:val="0"/>
      <w:marBottom w:val="0"/>
      <w:divBdr>
        <w:top w:val="none" w:sz="0" w:space="0" w:color="auto"/>
        <w:left w:val="none" w:sz="0" w:space="0" w:color="auto"/>
        <w:bottom w:val="none" w:sz="0" w:space="0" w:color="auto"/>
        <w:right w:val="none" w:sz="0" w:space="0" w:color="auto"/>
      </w:divBdr>
      <w:divsChild>
        <w:div w:id="1227453752">
          <w:marLeft w:val="0"/>
          <w:marRight w:val="0"/>
          <w:marTop w:val="0"/>
          <w:marBottom w:val="0"/>
          <w:divBdr>
            <w:top w:val="none" w:sz="0" w:space="0" w:color="auto"/>
            <w:left w:val="none" w:sz="0" w:space="0" w:color="auto"/>
            <w:bottom w:val="none" w:sz="0" w:space="0" w:color="auto"/>
            <w:right w:val="none" w:sz="0" w:space="0" w:color="auto"/>
          </w:divBdr>
          <w:divsChild>
            <w:div w:id="237374047">
              <w:marLeft w:val="0"/>
              <w:marRight w:val="0"/>
              <w:marTop w:val="0"/>
              <w:marBottom w:val="0"/>
              <w:divBdr>
                <w:top w:val="none" w:sz="0" w:space="0" w:color="auto"/>
                <w:left w:val="none" w:sz="0" w:space="0" w:color="auto"/>
                <w:bottom w:val="none" w:sz="0" w:space="0" w:color="auto"/>
                <w:right w:val="none" w:sz="0" w:space="0" w:color="auto"/>
              </w:divBdr>
            </w:div>
            <w:div w:id="250895731">
              <w:marLeft w:val="0"/>
              <w:marRight w:val="0"/>
              <w:marTop w:val="0"/>
              <w:marBottom w:val="0"/>
              <w:divBdr>
                <w:top w:val="none" w:sz="0" w:space="0" w:color="auto"/>
                <w:left w:val="none" w:sz="0" w:space="0" w:color="auto"/>
                <w:bottom w:val="none" w:sz="0" w:space="0" w:color="auto"/>
                <w:right w:val="none" w:sz="0" w:space="0" w:color="auto"/>
              </w:divBdr>
            </w:div>
            <w:div w:id="442572681">
              <w:marLeft w:val="0"/>
              <w:marRight w:val="0"/>
              <w:marTop w:val="0"/>
              <w:marBottom w:val="0"/>
              <w:divBdr>
                <w:top w:val="none" w:sz="0" w:space="0" w:color="auto"/>
                <w:left w:val="none" w:sz="0" w:space="0" w:color="auto"/>
                <w:bottom w:val="none" w:sz="0" w:space="0" w:color="auto"/>
                <w:right w:val="none" w:sz="0" w:space="0" w:color="auto"/>
              </w:divBdr>
            </w:div>
            <w:div w:id="465700366">
              <w:marLeft w:val="0"/>
              <w:marRight w:val="0"/>
              <w:marTop w:val="0"/>
              <w:marBottom w:val="0"/>
              <w:divBdr>
                <w:top w:val="none" w:sz="0" w:space="0" w:color="auto"/>
                <w:left w:val="none" w:sz="0" w:space="0" w:color="auto"/>
                <w:bottom w:val="none" w:sz="0" w:space="0" w:color="auto"/>
                <w:right w:val="none" w:sz="0" w:space="0" w:color="auto"/>
              </w:divBdr>
            </w:div>
            <w:div w:id="572617651">
              <w:marLeft w:val="0"/>
              <w:marRight w:val="0"/>
              <w:marTop w:val="0"/>
              <w:marBottom w:val="0"/>
              <w:divBdr>
                <w:top w:val="none" w:sz="0" w:space="0" w:color="auto"/>
                <w:left w:val="none" w:sz="0" w:space="0" w:color="auto"/>
                <w:bottom w:val="none" w:sz="0" w:space="0" w:color="auto"/>
                <w:right w:val="none" w:sz="0" w:space="0" w:color="auto"/>
              </w:divBdr>
            </w:div>
            <w:div w:id="722563710">
              <w:marLeft w:val="0"/>
              <w:marRight w:val="0"/>
              <w:marTop w:val="0"/>
              <w:marBottom w:val="0"/>
              <w:divBdr>
                <w:top w:val="none" w:sz="0" w:space="0" w:color="auto"/>
                <w:left w:val="none" w:sz="0" w:space="0" w:color="auto"/>
                <w:bottom w:val="none" w:sz="0" w:space="0" w:color="auto"/>
                <w:right w:val="none" w:sz="0" w:space="0" w:color="auto"/>
              </w:divBdr>
            </w:div>
            <w:div w:id="735276792">
              <w:marLeft w:val="0"/>
              <w:marRight w:val="0"/>
              <w:marTop w:val="0"/>
              <w:marBottom w:val="0"/>
              <w:divBdr>
                <w:top w:val="none" w:sz="0" w:space="0" w:color="auto"/>
                <w:left w:val="none" w:sz="0" w:space="0" w:color="auto"/>
                <w:bottom w:val="none" w:sz="0" w:space="0" w:color="auto"/>
                <w:right w:val="none" w:sz="0" w:space="0" w:color="auto"/>
              </w:divBdr>
            </w:div>
            <w:div w:id="789473446">
              <w:marLeft w:val="0"/>
              <w:marRight w:val="0"/>
              <w:marTop w:val="0"/>
              <w:marBottom w:val="0"/>
              <w:divBdr>
                <w:top w:val="none" w:sz="0" w:space="0" w:color="auto"/>
                <w:left w:val="none" w:sz="0" w:space="0" w:color="auto"/>
                <w:bottom w:val="none" w:sz="0" w:space="0" w:color="auto"/>
                <w:right w:val="none" w:sz="0" w:space="0" w:color="auto"/>
              </w:divBdr>
            </w:div>
            <w:div w:id="831217485">
              <w:marLeft w:val="0"/>
              <w:marRight w:val="0"/>
              <w:marTop w:val="0"/>
              <w:marBottom w:val="0"/>
              <w:divBdr>
                <w:top w:val="none" w:sz="0" w:space="0" w:color="auto"/>
                <w:left w:val="none" w:sz="0" w:space="0" w:color="auto"/>
                <w:bottom w:val="none" w:sz="0" w:space="0" w:color="auto"/>
                <w:right w:val="none" w:sz="0" w:space="0" w:color="auto"/>
              </w:divBdr>
            </w:div>
            <w:div w:id="965235208">
              <w:marLeft w:val="0"/>
              <w:marRight w:val="0"/>
              <w:marTop w:val="0"/>
              <w:marBottom w:val="0"/>
              <w:divBdr>
                <w:top w:val="none" w:sz="0" w:space="0" w:color="auto"/>
                <w:left w:val="none" w:sz="0" w:space="0" w:color="auto"/>
                <w:bottom w:val="none" w:sz="0" w:space="0" w:color="auto"/>
                <w:right w:val="none" w:sz="0" w:space="0" w:color="auto"/>
              </w:divBdr>
            </w:div>
            <w:div w:id="1017268143">
              <w:marLeft w:val="0"/>
              <w:marRight w:val="0"/>
              <w:marTop w:val="0"/>
              <w:marBottom w:val="0"/>
              <w:divBdr>
                <w:top w:val="none" w:sz="0" w:space="0" w:color="auto"/>
                <w:left w:val="none" w:sz="0" w:space="0" w:color="auto"/>
                <w:bottom w:val="none" w:sz="0" w:space="0" w:color="auto"/>
                <w:right w:val="none" w:sz="0" w:space="0" w:color="auto"/>
              </w:divBdr>
            </w:div>
            <w:div w:id="1078091529">
              <w:marLeft w:val="0"/>
              <w:marRight w:val="0"/>
              <w:marTop w:val="0"/>
              <w:marBottom w:val="0"/>
              <w:divBdr>
                <w:top w:val="none" w:sz="0" w:space="0" w:color="auto"/>
                <w:left w:val="none" w:sz="0" w:space="0" w:color="auto"/>
                <w:bottom w:val="none" w:sz="0" w:space="0" w:color="auto"/>
                <w:right w:val="none" w:sz="0" w:space="0" w:color="auto"/>
              </w:divBdr>
            </w:div>
            <w:div w:id="1110277406">
              <w:marLeft w:val="0"/>
              <w:marRight w:val="0"/>
              <w:marTop w:val="0"/>
              <w:marBottom w:val="0"/>
              <w:divBdr>
                <w:top w:val="none" w:sz="0" w:space="0" w:color="auto"/>
                <w:left w:val="none" w:sz="0" w:space="0" w:color="auto"/>
                <w:bottom w:val="none" w:sz="0" w:space="0" w:color="auto"/>
                <w:right w:val="none" w:sz="0" w:space="0" w:color="auto"/>
              </w:divBdr>
            </w:div>
            <w:div w:id="1113138073">
              <w:marLeft w:val="0"/>
              <w:marRight w:val="0"/>
              <w:marTop w:val="0"/>
              <w:marBottom w:val="0"/>
              <w:divBdr>
                <w:top w:val="none" w:sz="0" w:space="0" w:color="auto"/>
                <w:left w:val="none" w:sz="0" w:space="0" w:color="auto"/>
                <w:bottom w:val="none" w:sz="0" w:space="0" w:color="auto"/>
                <w:right w:val="none" w:sz="0" w:space="0" w:color="auto"/>
              </w:divBdr>
            </w:div>
            <w:div w:id="1142237991">
              <w:marLeft w:val="0"/>
              <w:marRight w:val="0"/>
              <w:marTop w:val="0"/>
              <w:marBottom w:val="0"/>
              <w:divBdr>
                <w:top w:val="none" w:sz="0" w:space="0" w:color="auto"/>
                <w:left w:val="none" w:sz="0" w:space="0" w:color="auto"/>
                <w:bottom w:val="none" w:sz="0" w:space="0" w:color="auto"/>
                <w:right w:val="none" w:sz="0" w:space="0" w:color="auto"/>
              </w:divBdr>
            </w:div>
            <w:div w:id="1546212576">
              <w:marLeft w:val="0"/>
              <w:marRight w:val="0"/>
              <w:marTop w:val="0"/>
              <w:marBottom w:val="0"/>
              <w:divBdr>
                <w:top w:val="none" w:sz="0" w:space="0" w:color="auto"/>
                <w:left w:val="none" w:sz="0" w:space="0" w:color="auto"/>
                <w:bottom w:val="none" w:sz="0" w:space="0" w:color="auto"/>
                <w:right w:val="none" w:sz="0" w:space="0" w:color="auto"/>
              </w:divBdr>
            </w:div>
            <w:div w:id="1547253861">
              <w:marLeft w:val="0"/>
              <w:marRight w:val="0"/>
              <w:marTop w:val="0"/>
              <w:marBottom w:val="0"/>
              <w:divBdr>
                <w:top w:val="none" w:sz="0" w:space="0" w:color="auto"/>
                <w:left w:val="none" w:sz="0" w:space="0" w:color="auto"/>
                <w:bottom w:val="none" w:sz="0" w:space="0" w:color="auto"/>
                <w:right w:val="none" w:sz="0" w:space="0" w:color="auto"/>
              </w:divBdr>
            </w:div>
            <w:div w:id="1637830389">
              <w:marLeft w:val="0"/>
              <w:marRight w:val="0"/>
              <w:marTop w:val="0"/>
              <w:marBottom w:val="0"/>
              <w:divBdr>
                <w:top w:val="none" w:sz="0" w:space="0" w:color="auto"/>
                <w:left w:val="none" w:sz="0" w:space="0" w:color="auto"/>
                <w:bottom w:val="none" w:sz="0" w:space="0" w:color="auto"/>
                <w:right w:val="none" w:sz="0" w:space="0" w:color="auto"/>
              </w:divBdr>
            </w:div>
            <w:div w:id="1641494663">
              <w:marLeft w:val="0"/>
              <w:marRight w:val="0"/>
              <w:marTop w:val="0"/>
              <w:marBottom w:val="0"/>
              <w:divBdr>
                <w:top w:val="none" w:sz="0" w:space="0" w:color="auto"/>
                <w:left w:val="none" w:sz="0" w:space="0" w:color="auto"/>
                <w:bottom w:val="none" w:sz="0" w:space="0" w:color="auto"/>
                <w:right w:val="none" w:sz="0" w:space="0" w:color="auto"/>
              </w:divBdr>
            </w:div>
            <w:div w:id="1680693419">
              <w:marLeft w:val="0"/>
              <w:marRight w:val="0"/>
              <w:marTop w:val="0"/>
              <w:marBottom w:val="0"/>
              <w:divBdr>
                <w:top w:val="none" w:sz="0" w:space="0" w:color="auto"/>
                <w:left w:val="none" w:sz="0" w:space="0" w:color="auto"/>
                <w:bottom w:val="none" w:sz="0" w:space="0" w:color="auto"/>
                <w:right w:val="none" w:sz="0" w:space="0" w:color="auto"/>
              </w:divBdr>
            </w:div>
            <w:div w:id="1848252420">
              <w:marLeft w:val="0"/>
              <w:marRight w:val="0"/>
              <w:marTop w:val="0"/>
              <w:marBottom w:val="0"/>
              <w:divBdr>
                <w:top w:val="none" w:sz="0" w:space="0" w:color="auto"/>
                <w:left w:val="none" w:sz="0" w:space="0" w:color="auto"/>
                <w:bottom w:val="none" w:sz="0" w:space="0" w:color="auto"/>
                <w:right w:val="none" w:sz="0" w:space="0" w:color="auto"/>
              </w:divBdr>
            </w:div>
            <w:div w:id="1995255343">
              <w:marLeft w:val="0"/>
              <w:marRight w:val="0"/>
              <w:marTop w:val="0"/>
              <w:marBottom w:val="0"/>
              <w:divBdr>
                <w:top w:val="none" w:sz="0" w:space="0" w:color="auto"/>
                <w:left w:val="none" w:sz="0" w:space="0" w:color="auto"/>
                <w:bottom w:val="none" w:sz="0" w:space="0" w:color="auto"/>
                <w:right w:val="none" w:sz="0" w:space="0" w:color="auto"/>
              </w:divBdr>
            </w:div>
            <w:div w:id="2035185722">
              <w:marLeft w:val="0"/>
              <w:marRight w:val="0"/>
              <w:marTop w:val="0"/>
              <w:marBottom w:val="0"/>
              <w:divBdr>
                <w:top w:val="none" w:sz="0" w:space="0" w:color="auto"/>
                <w:left w:val="none" w:sz="0" w:space="0" w:color="auto"/>
                <w:bottom w:val="none" w:sz="0" w:space="0" w:color="auto"/>
                <w:right w:val="none" w:sz="0" w:space="0" w:color="auto"/>
              </w:divBdr>
            </w:div>
            <w:div w:id="20923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666">
      <w:bodyDiv w:val="1"/>
      <w:marLeft w:val="0"/>
      <w:marRight w:val="0"/>
      <w:marTop w:val="0"/>
      <w:marBottom w:val="0"/>
      <w:divBdr>
        <w:top w:val="none" w:sz="0" w:space="0" w:color="auto"/>
        <w:left w:val="none" w:sz="0" w:space="0" w:color="auto"/>
        <w:bottom w:val="none" w:sz="0" w:space="0" w:color="auto"/>
        <w:right w:val="none" w:sz="0" w:space="0" w:color="auto"/>
      </w:divBdr>
    </w:div>
    <w:div w:id="285431458">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512036004">
      <w:bodyDiv w:val="1"/>
      <w:marLeft w:val="0"/>
      <w:marRight w:val="0"/>
      <w:marTop w:val="0"/>
      <w:marBottom w:val="0"/>
      <w:divBdr>
        <w:top w:val="none" w:sz="0" w:space="0" w:color="auto"/>
        <w:left w:val="none" w:sz="0" w:space="0" w:color="auto"/>
        <w:bottom w:val="none" w:sz="0" w:space="0" w:color="auto"/>
        <w:right w:val="none" w:sz="0" w:space="0" w:color="auto"/>
      </w:divBdr>
    </w:div>
    <w:div w:id="830486468">
      <w:bodyDiv w:val="1"/>
      <w:marLeft w:val="0"/>
      <w:marRight w:val="0"/>
      <w:marTop w:val="0"/>
      <w:marBottom w:val="0"/>
      <w:divBdr>
        <w:top w:val="none" w:sz="0" w:space="0" w:color="auto"/>
        <w:left w:val="none" w:sz="0" w:space="0" w:color="auto"/>
        <w:bottom w:val="none" w:sz="0" w:space="0" w:color="auto"/>
        <w:right w:val="none" w:sz="0" w:space="0" w:color="auto"/>
      </w:divBdr>
      <w:divsChild>
        <w:div w:id="152449082">
          <w:marLeft w:val="0"/>
          <w:marRight w:val="0"/>
          <w:marTop w:val="0"/>
          <w:marBottom w:val="0"/>
          <w:divBdr>
            <w:top w:val="none" w:sz="0" w:space="0" w:color="auto"/>
            <w:left w:val="none" w:sz="0" w:space="0" w:color="auto"/>
            <w:bottom w:val="none" w:sz="0" w:space="0" w:color="auto"/>
            <w:right w:val="none" w:sz="0" w:space="0" w:color="auto"/>
          </w:divBdr>
        </w:div>
        <w:div w:id="204487053">
          <w:marLeft w:val="0"/>
          <w:marRight w:val="0"/>
          <w:marTop w:val="0"/>
          <w:marBottom w:val="0"/>
          <w:divBdr>
            <w:top w:val="none" w:sz="0" w:space="0" w:color="auto"/>
            <w:left w:val="none" w:sz="0" w:space="0" w:color="auto"/>
            <w:bottom w:val="none" w:sz="0" w:space="0" w:color="auto"/>
            <w:right w:val="none" w:sz="0" w:space="0" w:color="auto"/>
          </w:divBdr>
        </w:div>
        <w:div w:id="291519101">
          <w:marLeft w:val="0"/>
          <w:marRight w:val="0"/>
          <w:marTop w:val="0"/>
          <w:marBottom w:val="0"/>
          <w:divBdr>
            <w:top w:val="none" w:sz="0" w:space="0" w:color="auto"/>
            <w:left w:val="none" w:sz="0" w:space="0" w:color="auto"/>
            <w:bottom w:val="none" w:sz="0" w:space="0" w:color="auto"/>
            <w:right w:val="none" w:sz="0" w:space="0" w:color="auto"/>
          </w:divBdr>
        </w:div>
        <w:div w:id="347102282">
          <w:marLeft w:val="0"/>
          <w:marRight w:val="0"/>
          <w:marTop w:val="0"/>
          <w:marBottom w:val="0"/>
          <w:divBdr>
            <w:top w:val="none" w:sz="0" w:space="0" w:color="auto"/>
            <w:left w:val="none" w:sz="0" w:space="0" w:color="auto"/>
            <w:bottom w:val="none" w:sz="0" w:space="0" w:color="auto"/>
            <w:right w:val="none" w:sz="0" w:space="0" w:color="auto"/>
          </w:divBdr>
        </w:div>
        <w:div w:id="367068554">
          <w:marLeft w:val="0"/>
          <w:marRight w:val="0"/>
          <w:marTop w:val="0"/>
          <w:marBottom w:val="0"/>
          <w:divBdr>
            <w:top w:val="none" w:sz="0" w:space="0" w:color="auto"/>
            <w:left w:val="none" w:sz="0" w:space="0" w:color="auto"/>
            <w:bottom w:val="none" w:sz="0" w:space="0" w:color="auto"/>
            <w:right w:val="none" w:sz="0" w:space="0" w:color="auto"/>
          </w:divBdr>
        </w:div>
        <w:div w:id="478151531">
          <w:marLeft w:val="0"/>
          <w:marRight w:val="0"/>
          <w:marTop w:val="0"/>
          <w:marBottom w:val="0"/>
          <w:divBdr>
            <w:top w:val="none" w:sz="0" w:space="0" w:color="auto"/>
            <w:left w:val="none" w:sz="0" w:space="0" w:color="auto"/>
            <w:bottom w:val="none" w:sz="0" w:space="0" w:color="auto"/>
            <w:right w:val="none" w:sz="0" w:space="0" w:color="auto"/>
          </w:divBdr>
        </w:div>
        <w:div w:id="521283026">
          <w:marLeft w:val="0"/>
          <w:marRight w:val="0"/>
          <w:marTop w:val="0"/>
          <w:marBottom w:val="0"/>
          <w:divBdr>
            <w:top w:val="none" w:sz="0" w:space="0" w:color="auto"/>
            <w:left w:val="none" w:sz="0" w:space="0" w:color="auto"/>
            <w:bottom w:val="none" w:sz="0" w:space="0" w:color="auto"/>
            <w:right w:val="none" w:sz="0" w:space="0" w:color="auto"/>
          </w:divBdr>
        </w:div>
        <w:div w:id="522087176">
          <w:marLeft w:val="0"/>
          <w:marRight w:val="0"/>
          <w:marTop w:val="0"/>
          <w:marBottom w:val="0"/>
          <w:divBdr>
            <w:top w:val="none" w:sz="0" w:space="0" w:color="auto"/>
            <w:left w:val="none" w:sz="0" w:space="0" w:color="auto"/>
            <w:bottom w:val="none" w:sz="0" w:space="0" w:color="auto"/>
            <w:right w:val="none" w:sz="0" w:space="0" w:color="auto"/>
          </w:divBdr>
        </w:div>
        <w:div w:id="754134411">
          <w:marLeft w:val="0"/>
          <w:marRight w:val="0"/>
          <w:marTop w:val="0"/>
          <w:marBottom w:val="0"/>
          <w:divBdr>
            <w:top w:val="none" w:sz="0" w:space="0" w:color="auto"/>
            <w:left w:val="none" w:sz="0" w:space="0" w:color="auto"/>
            <w:bottom w:val="none" w:sz="0" w:space="0" w:color="auto"/>
            <w:right w:val="none" w:sz="0" w:space="0" w:color="auto"/>
          </w:divBdr>
        </w:div>
        <w:div w:id="847478552">
          <w:marLeft w:val="0"/>
          <w:marRight w:val="0"/>
          <w:marTop w:val="0"/>
          <w:marBottom w:val="0"/>
          <w:divBdr>
            <w:top w:val="none" w:sz="0" w:space="0" w:color="auto"/>
            <w:left w:val="none" w:sz="0" w:space="0" w:color="auto"/>
            <w:bottom w:val="none" w:sz="0" w:space="0" w:color="auto"/>
            <w:right w:val="none" w:sz="0" w:space="0" w:color="auto"/>
          </w:divBdr>
        </w:div>
        <w:div w:id="858012489">
          <w:marLeft w:val="0"/>
          <w:marRight w:val="0"/>
          <w:marTop w:val="0"/>
          <w:marBottom w:val="0"/>
          <w:divBdr>
            <w:top w:val="none" w:sz="0" w:space="0" w:color="auto"/>
            <w:left w:val="none" w:sz="0" w:space="0" w:color="auto"/>
            <w:bottom w:val="none" w:sz="0" w:space="0" w:color="auto"/>
            <w:right w:val="none" w:sz="0" w:space="0" w:color="auto"/>
          </w:divBdr>
        </w:div>
        <w:div w:id="898977066">
          <w:marLeft w:val="0"/>
          <w:marRight w:val="0"/>
          <w:marTop w:val="0"/>
          <w:marBottom w:val="0"/>
          <w:divBdr>
            <w:top w:val="none" w:sz="0" w:space="0" w:color="auto"/>
            <w:left w:val="none" w:sz="0" w:space="0" w:color="auto"/>
            <w:bottom w:val="none" w:sz="0" w:space="0" w:color="auto"/>
            <w:right w:val="none" w:sz="0" w:space="0" w:color="auto"/>
          </w:divBdr>
        </w:div>
        <w:div w:id="913248402">
          <w:marLeft w:val="0"/>
          <w:marRight w:val="0"/>
          <w:marTop w:val="0"/>
          <w:marBottom w:val="0"/>
          <w:divBdr>
            <w:top w:val="none" w:sz="0" w:space="0" w:color="auto"/>
            <w:left w:val="none" w:sz="0" w:space="0" w:color="auto"/>
            <w:bottom w:val="none" w:sz="0" w:space="0" w:color="auto"/>
            <w:right w:val="none" w:sz="0" w:space="0" w:color="auto"/>
          </w:divBdr>
        </w:div>
        <w:div w:id="943028844">
          <w:marLeft w:val="0"/>
          <w:marRight w:val="0"/>
          <w:marTop w:val="0"/>
          <w:marBottom w:val="0"/>
          <w:divBdr>
            <w:top w:val="none" w:sz="0" w:space="0" w:color="auto"/>
            <w:left w:val="none" w:sz="0" w:space="0" w:color="auto"/>
            <w:bottom w:val="none" w:sz="0" w:space="0" w:color="auto"/>
            <w:right w:val="none" w:sz="0" w:space="0" w:color="auto"/>
          </w:divBdr>
        </w:div>
        <w:div w:id="1007440656">
          <w:marLeft w:val="0"/>
          <w:marRight w:val="0"/>
          <w:marTop w:val="0"/>
          <w:marBottom w:val="0"/>
          <w:divBdr>
            <w:top w:val="none" w:sz="0" w:space="0" w:color="auto"/>
            <w:left w:val="none" w:sz="0" w:space="0" w:color="auto"/>
            <w:bottom w:val="none" w:sz="0" w:space="0" w:color="auto"/>
            <w:right w:val="none" w:sz="0" w:space="0" w:color="auto"/>
          </w:divBdr>
        </w:div>
        <w:div w:id="1138105334">
          <w:marLeft w:val="0"/>
          <w:marRight w:val="0"/>
          <w:marTop w:val="0"/>
          <w:marBottom w:val="0"/>
          <w:divBdr>
            <w:top w:val="none" w:sz="0" w:space="0" w:color="auto"/>
            <w:left w:val="none" w:sz="0" w:space="0" w:color="auto"/>
            <w:bottom w:val="none" w:sz="0" w:space="0" w:color="auto"/>
            <w:right w:val="none" w:sz="0" w:space="0" w:color="auto"/>
          </w:divBdr>
        </w:div>
        <w:div w:id="1170634246">
          <w:marLeft w:val="0"/>
          <w:marRight w:val="0"/>
          <w:marTop w:val="0"/>
          <w:marBottom w:val="0"/>
          <w:divBdr>
            <w:top w:val="none" w:sz="0" w:space="0" w:color="auto"/>
            <w:left w:val="none" w:sz="0" w:space="0" w:color="auto"/>
            <w:bottom w:val="none" w:sz="0" w:space="0" w:color="auto"/>
            <w:right w:val="none" w:sz="0" w:space="0" w:color="auto"/>
          </w:divBdr>
        </w:div>
        <w:div w:id="1217202873">
          <w:marLeft w:val="0"/>
          <w:marRight w:val="0"/>
          <w:marTop w:val="0"/>
          <w:marBottom w:val="0"/>
          <w:divBdr>
            <w:top w:val="none" w:sz="0" w:space="0" w:color="auto"/>
            <w:left w:val="none" w:sz="0" w:space="0" w:color="auto"/>
            <w:bottom w:val="none" w:sz="0" w:space="0" w:color="auto"/>
            <w:right w:val="none" w:sz="0" w:space="0" w:color="auto"/>
          </w:divBdr>
        </w:div>
        <w:div w:id="1233663297">
          <w:marLeft w:val="0"/>
          <w:marRight w:val="0"/>
          <w:marTop w:val="0"/>
          <w:marBottom w:val="0"/>
          <w:divBdr>
            <w:top w:val="none" w:sz="0" w:space="0" w:color="auto"/>
            <w:left w:val="none" w:sz="0" w:space="0" w:color="auto"/>
            <w:bottom w:val="none" w:sz="0" w:space="0" w:color="auto"/>
            <w:right w:val="none" w:sz="0" w:space="0" w:color="auto"/>
          </w:divBdr>
        </w:div>
        <w:div w:id="1422606290">
          <w:marLeft w:val="0"/>
          <w:marRight w:val="0"/>
          <w:marTop w:val="0"/>
          <w:marBottom w:val="0"/>
          <w:divBdr>
            <w:top w:val="none" w:sz="0" w:space="0" w:color="auto"/>
            <w:left w:val="none" w:sz="0" w:space="0" w:color="auto"/>
            <w:bottom w:val="none" w:sz="0" w:space="0" w:color="auto"/>
            <w:right w:val="none" w:sz="0" w:space="0" w:color="auto"/>
          </w:divBdr>
        </w:div>
        <w:div w:id="1430545301">
          <w:marLeft w:val="0"/>
          <w:marRight w:val="0"/>
          <w:marTop w:val="0"/>
          <w:marBottom w:val="0"/>
          <w:divBdr>
            <w:top w:val="none" w:sz="0" w:space="0" w:color="auto"/>
            <w:left w:val="none" w:sz="0" w:space="0" w:color="auto"/>
            <w:bottom w:val="none" w:sz="0" w:space="0" w:color="auto"/>
            <w:right w:val="none" w:sz="0" w:space="0" w:color="auto"/>
          </w:divBdr>
        </w:div>
        <w:div w:id="1576865407">
          <w:marLeft w:val="0"/>
          <w:marRight w:val="0"/>
          <w:marTop w:val="0"/>
          <w:marBottom w:val="0"/>
          <w:divBdr>
            <w:top w:val="none" w:sz="0" w:space="0" w:color="auto"/>
            <w:left w:val="none" w:sz="0" w:space="0" w:color="auto"/>
            <w:bottom w:val="none" w:sz="0" w:space="0" w:color="auto"/>
            <w:right w:val="none" w:sz="0" w:space="0" w:color="auto"/>
          </w:divBdr>
        </w:div>
        <w:div w:id="1686790164">
          <w:marLeft w:val="0"/>
          <w:marRight w:val="0"/>
          <w:marTop w:val="0"/>
          <w:marBottom w:val="0"/>
          <w:divBdr>
            <w:top w:val="none" w:sz="0" w:space="0" w:color="auto"/>
            <w:left w:val="none" w:sz="0" w:space="0" w:color="auto"/>
            <w:bottom w:val="none" w:sz="0" w:space="0" w:color="auto"/>
            <w:right w:val="none" w:sz="0" w:space="0" w:color="auto"/>
          </w:divBdr>
        </w:div>
        <w:div w:id="1690913178">
          <w:marLeft w:val="0"/>
          <w:marRight w:val="0"/>
          <w:marTop w:val="0"/>
          <w:marBottom w:val="0"/>
          <w:divBdr>
            <w:top w:val="none" w:sz="0" w:space="0" w:color="auto"/>
            <w:left w:val="none" w:sz="0" w:space="0" w:color="auto"/>
            <w:bottom w:val="none" w:sz="0" w:space="0" w:color="auto"/>
            <w:right w:val="none" w:sz="0" w:space="0" w:color="auto"/>
          </w:divBdr>
        </w:div>
        <w:div w:id="1933659786">
          <w:marLeft w:val="0"/>
          <w:marRight w:val="0"/>
          <w:marTop w:val="0"/>
          <w:marBottom w:val="0"/>
          <w:divBdr>
            <w:top w:val="none" w:sz="0" w:space="0" w:color="auto"/>
            <w:left w:val="none" w:sz="0" w:space="0" w:color="auto"/>
            <w:bottom w:val="none" w:sz="0" w:space="0" w:color="auto"/>
            <w:right w:val="none" w:sz="0" w:space="0" w:color="auto"/>
          </w:divBdr>
        </w:div>
        <w:div w:id="1966428190">
          <w:marLeft w:val="0"/>
          <w:marRight w:val="0"/>
          <w:marTop w:val="0"/>
          <w:marBottom w:val="0"/>
          <w:divBdr>
            <w:top w:val="none" w:sz="0" w:space="0" w:color="auto"/>
            <w:left w:val="none" w:sz="0" w:space="0" w:color="auto"/>
            <w:bottom w:val="none" w:sz="0" w:space="0" w:color="auto"/>
            <w:right w:val="none" w:sz="0" w:space="0" w:color="auto"/>
          </w:divBdr>
        </w:div>
        <w:div w:id="2046832921">
          <w:marLeft w:val="0"/>
          <w:marRight w:val="0"/>
          <w:marTop w:val="0"/>
          <w:marBottom w:val="0"/>
          <w:divBdr>
            <w:top w:val="none" w:sz="0" w:space="0" w:color="auto"/>
            <w:left w:val="none" w:sz="0" w:space="0" w:color="auto"/>
            <w:bottom w:val="none" w:sz="0" w:space="0" w:color="auto"/>
            <w:right w:val="none" w:sz="0" w:space="0" w:color="auto"/>
          </w:divBdr>
        </w:div>
        <w:div w:id="2071419923">
          <w:marLeft w:val="0"/>
          <w:marRight w:val="0"/>
          <w:marTop w:val="0"/>
          <w:marBottom w:val="0"/>
          <w:divBdr>
            <w:top w:val="none" w:sz="0" w:space="0" w:color="auto"/>
            <w:left w:val="none" w:sz="0" w:space="0" w:color="auto"/>
            <w:bottom w:val="none" w:sz="0" w:space="0" w:color="auto"/>
            <w:right w:val="none" w:sz="0" w:space="0" w:color="auto"/>
          </w:divBdr>
        </w:div>
        <w:div w:id="2116828299">
          <w:marLeft w:val="0"/>
          <w:marRight w:val="0"/>
          <w:marTop w:val="0"/>
          <w:marBottom w:val="0"/>
          <w:divBdr>
            <w:top w:val="none" w:sz="0" w:space="0" w:color="auto"/>
            <w:left w:val="none" w:sz="0" w:space="0" w:color="auto"/>
            <w:bottom w:val="none" w:sz="0" w:space="0" w:color="auto"/>
            <w:right w:val="none" w:sz="0" w:space="0" w:color="auto"/>
          </w:divBdr>
        </w:div>
      </w:divsChild>
    </w:div>
    <w:div w:id="926156009">
      <w:bodyDiv w:val="1"/>
      <w:marLeft w:val="0"/>
      <w:marRight w:val="0"/>
      <w:marTop w:val="0"/>
      <w:marBottom w:val="0"/>
      <w:divBdr>
        <w:top w:val="none" w:sz="0" w:space="0" w:color="auto"/>
        <w:left w:val="none" w:sz="0" w:space="0" w:color="auto"/>
        <w:bottom w:val="none" w:sz="0" w:space="0" w:color="auto"/>
        <w:right w:val="none" w:sz="0" w:space="0" w:color="auto"/>
      </w:divBdr>
      <w:divsChild>
        <w:div w:id="761803838">
          <w:marLeft w:val="0"/>
          <w:marRight w:val="0"/>
          <w:marTop w:val="0"/>
          <w:marBottom w:val="0"/>
          <w:divBdr>
            <w:top w:val="none" w:sz="0" w:space="0" w:color="auto"/>
            <w:left w:val="none" w:sz="0" w:space="0" w:color="auto"/>
            <w:bottom w:val="none" w:sz="0" w:space="0" w:color="auto"/>
            <w:right w:val="none" w:sz="0" w:space="0" w:color="auto"/>
          </w:divBdr>
        </w:div>
        <w:div w:id="862209014">
          <w:marLeft w:val="0"/>
          <w:marRight w:val="0"/>
          <w:marTop w:val="0"/>
          <w:marBottom w:val="0"/>
          <w:divBdr>
            <w:top w:val="none" w:sz="0" w:space="0" w:color="auto"/>
            <w:left w:val="none" w:sz="0" w:space="0" w:color="auto"/>
            <w:bottom w:val="none" w:sz="0" w:space="0" w:color="auto"/>
            <w:right w:val="none" w:sz="0" w:space="0" w:color="auto"/>
          </w:divBdr>
        </w:div>
        <w:div w:id="1315913167">
          <w:marLeft w:val="0"/>
          <w:marRight w:val="0"/>
          <w:marTop w:val="0"/>
          <w:marBottom w:val="0"/>
          <w:divBdr>
            <w:top w:val="none" w:sz="0" w:space="0" w:color="auto"/>
            <w:left w:val="none" w:sz="0" w:space="0" w:color="auto"/>
            <w:bottom w:val="none" w:sz="0" w:space="0" w:color="auto"/>
            <w:right w:val="none" w:sz="0" w:space="0" w:color="auto"/>
          </w:divBdr>
        </w:div>
      </w:divsChild>
    </w:div>
    <w:div w:id="984285948">
      <w:bodyDiv w:val="1"/>
      <w:marLeft w:val="0"/>
      <w:marRight w:val="0"/>
      <w:marTop w:val="0"/>
      <w:marBottom w:val="0"/>
      <w:divBdr>
        <w:top w:val="none" w:sz="0" w:space="0" w:color="auto"/>
        <w:left w:val="none" w:sz="0" w:space="0" w:color="auto"/>
        <w:bottom w:val="none" w:sz="0" w:space="0" w:color="auto"/>
        <w:right w:val="none" w:sz="0" w:space="0" w:color="auto"/>
      </w:divBdr>
      <w:divsChild>
        <w:div w:id="171770988">
          <w:marLeft w:val="0"/>
          <w:marRight w:val="0"/>
          <w:marTop w:val="0"/>
          <w:marBottom w:val="0"/>
          <w:divBdr>
            <w:top w:val="none" w:sz="0" w:space="0" w:color="auto"/>
            <w:left w:val="none" w:sz="0" w:space="0" w:color="auto"/>
            <w:bottom w:val="none" w:sz="0" w:space="0" w:color="auto"/>
            <w:right w:val="none" w:sz="0" w:space="0" w:color="auto"/>
          </w:divBdr>
        </w:div>
        <w:div w:id="189612276">
          <w:marLeft w:val="0"/>
          <w:marRight w:val="0"/>
          <w:marTop w:val="0"/>
          <w:marBottom w:val="0"/>
          <w:divBdr>
            <w:top w:val="none" w:sz="0" w:space="0" w:color="auto"/>
            <w:left w:val="none" w:sz="0" w:space="0" w:color="auto"/>
            <w:bottom w:val="none" w:sz="0" w:space="0" w:color="auto"/>
            <w:right w:val="none" w:sz="0" w:space="0" w:color="auto"/>
          </w:divBdr>
        </w:div>
        <w:div w:id="193007900">
          <w:marLeft w:val="0"/>
          <w:marRight w:val="0"/>
          <w:marTop w:val="0"/>
          <w:marBottom w:val="0"/>
          <w:divBdr>
            <w:top w:val="none" w:sz="0" w:space="0" w:color="auto"/>
            <w:left w:val="none" w:sz="0" w:space="0" w:color="auto"/>
            <w:bottom w:val="none" w:sz="0" w:space="0" w:color="auto"/>
            <w:right w:val="none" w:sz="0" w:space="0" w:color="auto"/>
          </w:divBdr>
        </w:div>
        <w:div w:id="229770653">
          <w:marLeft w:val="0"/>
          <w:marRight w:val="0"/>
          <w:marTop w:val="0"/>
          <w:marBottom w:val="0"/>
          <w:divBdr>
            <w:top w:val="none" w:sz="0" w:space="0" w:color="auto"/>
            <w:left w:val="none" w:sz="0" w:space="0" w:color="auto"/>
            <w:bottom w:val="none" w:sz="0" w:space="0" w:color="auto"/>
            <w:right w:val="none" w:sz="0" w:space="0" w:color="auto"/>
          </w:divBdr>
        </w:div>
        <w:div w:id="276958213">
          <w:marLeft w:val="0"/>
          <w:marRight w:val="0"/>
          <w:marTop w:val="0"/>
          <w:marBottom w:val="0"/>
          <w:divBdr>
            <w:top w:val="none" w:sz="0" w:space="0" w:color="auto"/>
            <w:left w:val="none" w:sz="0" w:space="0" w:color="auto"/>
            <w:bottom w:val="none" w:sz="0" w:space="0" w:color="auto"/>
            <w:right w:val="none" w:sz="0" w:space="0" w:color="auto"/>
          </w:divBdr>
        </w:div>
        <w:div w:id="369844227">
          <w:marLeft w:val="0"/>
          <w:marRight w:val="0"/>
          <w:marTop w:val="0"/>
          <w:marBottom w:val="0"/>
          <w:divBdr>
            <w:top w:val="none" w:sz="0" w:space="0" w:color="auto"/>
            <w:left w:val="none" w:sz="0" w:space="0" w:color="auto"/>
            <w:bottom w:val="none" w:sz="0" w:space="0" w:color="auto"/>
            <w:right w:val="none" w:sz="0" w:space="0" w:color="auto"/>
          </w:divBdr>
        </w:div>
        <w:div w:id="386492161">
          <w:marLeft w:val="0"/>
          <w:marRight w:val="0"/>
          <w:marTop w:val="0"/>
          <w:marBottom w:val="0"/>
          <w:divBdr>
            <w:top w:val="none" w:sz="0" w:space="0" w:color="auto"/>
            <w:left w:val="none" w:sz="0" w:space="0" w:color="auto"/>
            <w:bottom w:val="none" w:sz="0" w:space="0" w:color="auto"/>
            <w:right w:val="none" w:sz="0" w:space="0" w:color="auto"/>
          </w:divBdr>
        </w:div>
        <w:div w:id="424306833">
          <w:marLeft w:val="0"/>
          <w:marRight w:val="0"/>
          <w:marTop w:val="0"/>
          <w:marBottom w:val="0"/>
          <w:divBdr>
            <w:top w:val="none" w:sz="0" w:space="0" w:color="auto"/>
            <w:left w:val="none" w:sz="0" w:space="0" w:color="auto"/>
            <w:bottom w:val="none" w:sz="0" w:space="0" w:color="auto"/>
            <w:right w:val="none" w:sz="0" w:space="0" w:color="auto"/>
          </w:divBdr>
        </w:div>
        <w:div w:id="517043825">
          <w:marLeft w:val="0"/>
          <w:marRight w:val="0"/>
          <w:marTop w:val="0"/>
          <w:marBottom w:val="0"/>
          <w:divBdr>
            <w:top w:val="none" w:sz="0" w:space="0" w:color="auto"/>
            <w:left w:val="none" w:sz="0" w:space="0" w:color="auto"/>
            <w:bottom w:val="none" w:sz="0" w:space="0" w:color="auto"/>
            <w:right w:val="none" w:sz="0" w:space="0" w:color="auto"/>
          </w:divBdr>
        </w:div>
        <w:div w:id="597912809">
          <w:marLeft w:val="0"/>
          <w:marRight w:val="0"/>
          <w:marTop w:val="0"/>
          <w:marBottom w:val="0"/>
          <w:divBdr>
            <w:top w:val="none" w:sz="0" w:space="0" w:color="auto"/>
            <w:left w:val="none" w:sz="0" w:space="0" w:color="auto"/>
            <w:bottom w:val="none" w:sz="0" w:space="0" w:color="auto"/>
            <w:right w:val="none" w:sz="0" w:space="0" w:color="auto"/>
          </w:divBdr>
        </w:div>
        <w:div w:id="718479640">
          <w:marLeft w:val="0"/>
          <w:marRight w:val="0"/>
          <w:marTop w:val="0"/>
          <w:marBottom w:val="0"/>
          <w:divBdr>
            <w:top w:val="none" w:sz="0" w:space="0" w:color="auto"/>
            <w:left w:val="none" w:sz="0" w:space="0" w:color="auto"/>
            <w:bottom w:val="none" w:sz="0" w:space="0" w:color="auto"/>
            <w:right w:val="none" w:sz="0" w:space="0" w:color="auto"/>
          </w:divBdr>
        </w:div>
        <w:div w:id="795492456">
          <w:marLeft w:val="0"/>
          <w:marRight w:val="0"/>
          <w:marTop w:val="0"/>
          <w:marBottom w:val="0"/>
          <w:divBdr>
            <w:top w:val="none" w:sz="0" w:space="0" w:color="auto"/>
            <w:left w:val="none" w:sz="0" w:space="0" w:color="auto"/>
            <w:bottom w:val="none" w:sz="0" w:space="0" w:color="auto"/>
            <w:right w:val="none" w:sz="0" w:space="0" w:color="auto"/>
          </w:divBdr>
        </w:div>
        <w:div w:id="841166072">
          <w:marLeft w:val="0"/>
          <w:marRight w:val="0"/>
          <w:marTop w:val="0"/>
          <w:marBottom w:val="0"/>
          <w:divBdr>
            <w:top w:val="none" w:sz="0" w:space="0" w:color="auto"/>
            <w:left w:val="none" w:sz="0" w:space="0" w:color="auto"/>
            <w:bottom w:val="none" w:sz="0" w:space="0" w:color="auto"/>
            <w:right w:val="none" w:sz="0" w:space="0" w:color="auto"/>
          </w:divBdr>
        </w:div>
        <w:div w:id="959725359">
          <w:marLeft w:val="0"/>
          <w:marRight w:val="0"/>
          <w:marTop w:val="0"/>
          <w:marBottom w:val="0"/>
          <w:divBdr>
            <w:top w:val="none" w:sz="0" w:space="0" w:color="auto"/>
            <w:left w:val="none" w:sz="0" w:space="0" w:color="auto"/>
            <w:bottom w:val="none" w:sz="0" w:space="0" w:color="auto"/>
            <w:right w:val="none" w:sz="0" w:space="0" w:color="auto"/>
          </w:divBdr>
        </w:div>
        <w:div w:id="988243375">
          <w:marLeft w:val="0"/>
          <w:marRight w:val="0"/>
          <w:marTop w:val="0"/>
          <w:marBottom w:val="0"/>
          <w:divBdr>
            <w:top w:val="none" w:sz="0" w:space="0" w:color="auto"/>
            <w:left w:val="none" w:sz="0" w:space="0" w:color="auto"/>
            <w:bottom w:val="none" w:sz="0" w:space="0" w:color="auto"/>
            <w:right w:val="none" w:sz="0" w:space="0" w:color="auto"/>
          </w:divBdr>
        </w:div>
        <w:div w:id="1070540529">
          <w:marLeft w:val="0"/>
          <w:marRight w:val="0"/>
          <w:marTop w:val="0"/>
          <w:marBottom w:val="0"/>
          <w:divBdr>
            <w:top w:val="none" w:sz="0" w:space="0" w:color="auto"/>
            <w:left w:val="none" w:sz="0" w:space="0" w:color="auto"/>
            <w:bottom w:val="none" w:sz="0" w:space="0" w:color="auto"/>
            <w:right w:val="none" w:sz="0" w:space="0" w:color="auto"/>
          </w:divBdr>
        </w:div>
        <w:div w:id="1076786989">
          <w:marLeft w:val="0"/>
          <w:marRight w:val="0"/>
          <w:marTop w:val="0"/>
          <w:marBottom w:val="0"/>
          <w:divBdr>
            <w:top w:val="none" w:sz="0" w:space="0" w:color="auto"/>
            <w:left w:val="none" w:sz="0" w:space="0" w:color="auto"/>
            <w:bottom w:val="none" w:sz="0" w:space="0" w:color="auto"/>
            <w:right w:val="none" w:sz="0" w:space="0" w:color="auto"/>
          </w:divBdr>
        </w:div>
        <w:div w:id="1101796457">
          <w:marLeft w:val="0"/>
          <w:marRight w:val="0"/>
          <w:marTop w:val="0"/>
          <w:marBottom w:val="0"/>
          <w:divBdr>
            <w:top w:val="none" w:sz="0" w:space="0" w:color="auto"/>
            <w:left w:val="none" w:sz="0" w:space="0" w:color="auto"/>
            <w:bottom w:val="none" w:sz="0" w:space="0" w:color="auto"/>
            <w:right w:val="none" w:sz="0" w:space="0" w:color="auto"/>
          </w:divBdr>
        </w:div>
        <w:div w:id="1115907761">
          <w:marLeft w:val="0"/>
          <w:marRight w:val="0"/>
          <w:marTop w:val="0"/>
          <w:marBottom w:val="0"/>
          <w:divBdr>
            <w:top w:val="none" w:sz="0" w:space="0" w:color="auto"/>
            <w:left w:val="none" w:sz="0" w:space="0" w:color="auto"/>
            <w:bottom w:val="none" w:sz="0" w:space="0" w:color="auto"/>
            <w:right w:val="none" w:sz="0" w:space="0" w:color="auto"/>
          </w:divBdr>
        </w:div>
        <w:div w:id="1171915983">
          <w:marLeft w:val="0"/>
          <w:marRight w:val="0"/>
          <w:marTop w:val="0"/>
          <w:marBottom w:val="0"/>
          <w:divBdr>
            <w:top w:val="none" w:sz="0" w:space="0" w:color="auto"/>
            <w:left w:val="none" w:sz="0" w:space="0" w:color="auto"/>
            <w:bottom w:val="none" w:sz="0" w:space="0" w:color="auto"/>
            <w:right w:val="none" w:sz="0" w:space="0" w:color="auto"/>
          </w:divBdr>
        </w:div>
        <w:div w:id="1193492450">
          <w:marLeft w:val="0"/>
          <w:marRight w:val="0"/>
          <w:marTop w:val="0"/>
          <w:marBottom w:val="0"/>
          <w:divBdr>
            <w:top w:val="none" w:sz="0" w:space="0" w:color="auto"/>
            <w:left w:val="none" w:sz="0" w:space="0" w:color="auto"/>
            <w:bottom w:val="none" w:sz="0" w:space="0" w:color="auto"/>
            <w:right w:val="none" w:sz="0" w:space="0" w:color="auto"/>
          </w:divBdr>
        </w:div>
        <w:div w:id="1236939236">
          <w:marLeft w:val="0"/>
          <w:marRight w:val="0"/>
          <w:marTop w:val="0"/>
          <w:marBottom w:val="0"/>
          <w:divBdr>
            <w:top w:val="none" w:sz="0" w:space="0" w:color="auto"/>
            <w:left w:val="none" w:sz="0" w:space="0" w:color="auto"/>
            <w:bottom w:val="none" w:sz="0" w:space="0" w:color="auto"/>
            <w:right w:val="none" w:sz="0" w:space="0" w:color="auto"/>
          </w:divBdr>
        </w:div>
        <w:div w:id="1302884504">
          <w:marLeft w:val="0"/>
          <w:marRight w:val="0"/>
          <w:marTop w:val="0"/>
          <w:marBottom w:val="0"/>
          <w:divBdr>
            <w:top w:val="none" w:sz="0" w:space="0" w:color="auto"/>
            <w:left w:val="none" w:sz="0" w:space="0" w:color="auto"/>
            <w:bottom w:val="none" w:sz="0" w:space="0" w:color="auto"/>
            <w:right w:val="none" w:sz="0" w:space="0" w:color="auto"/>
          </w:divBdr>
        </w:div>
        <w:div w:id="1348219331">
          <w:marLeft w:val="0"/>
          <w:marRight w:val="0"/>
          <w:marTop w:val="0"/>
          <w:marBottom w:val="0"/>
          <w:divBdr>
            <w:top w:val="none" w:sz="0" w:space="0" w:color="auto"/>
            <w:left w:val="none" w:sz="0" w:space="0" w:color="auto"/>
            <w:bottom w:val="none" w:sz="0" w:space="0" w:color="auto"/>
            <w:right w:val="none" w:sz="0" w:space="0" w:color="auto"/>
          </w:divBdr>
        </w:div>
        <w:div w:id="1375228857">
          <w:marLeft w:val="0"/>
          <w:marRight w:val="0"/>
          <w:marTop w:val="0"/>
          <w:marBottom w:val="0"/>
          <w:divBdr>
            <w:top w:val="none" w:sz="0" w:space="0" w:color="auto"/>
            <w:left w:val="none" w:sz="0" w:space="0" w:color="auto"/>
            <w:bottom w:val="none" w:sz="0" w:space="0" w:color="auto"/>
            <w:right w:val="none" w:sz="0" w:space="0" w:color="auto"/>
          </w:divBdr>
        </w:div>
        <w:div w:id="1457483486">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1536651617">
          <w:marLeft w:val="0"/>
          <w:marRight w:val="0"/>
          <w:marTop w:val="0"/>
          <w:marBottom w:val="0"/>
          <w:divBdr>
            <w:top w:val="none" w:sz="0" w:space="0" w:color="auto"/>
            <w:left w:val="none" w:sz="0" w:space="0" w:color="auto"/>
            <w:bottom w:val="none" w:sz="0" w:space="0" w:color="auto"/>
            <w:right w:val="none" w:sz="0" w:space="0" w:color="auto"/>
          </w:divBdr>
        </w:div>
        <w:div w:id="1583022288">
          <w:marLeft w:val="0"/>
          <w:marRight w:val="0"/>
          <w:marTop w:val="0"/>
          <w:marBottom w:val="0"/>
          <w:divBdr>
            <w:top w:val="none" w:sz="0" w:space="0" w:color="auto"/>
            <w:left w:val="none" w:sz="0" w:space="0" w:color="auto"/>
            <w:bottom w:val="none" w:sz="0" w:space="0" w:color="auto"/>
            <w:right w:val="none" w:sz="0" w:space="0" w:color="auto"/>
          </w:divBdr>
        </w:div>
        <w:div w:id="1748379810">
          <w:marLeft w:val="0"/>
          <w:marRight w:val="0"/>
          <w:marTop w:val="0"/>
          <w:marBottom w:val="0"/>
          <w:divBdr>
            <w:top w:val="none" w:sz="0" w:space="0" w:color="auto"/>
            <w:left w:val="none" w:sz="0" w:space="0" w:color="auto"/>
            <w:bottom w:val="none" w:sz="0" w:space="0" w:color="auto"/>
            <w:right w:val="none" w:sz="0" w:space="0" w:color="auto"/>
          </w:divBdr>
        </w:div>
        <w:div w:id="1763915393">
          <w:marLeft w:val="0"/>
          <w:marRight w:val="0"/>
          <w:marTop w:val="0"/>
          <w:marBottom w:val="0"/>
          <w:divBdr>
            <w:top w:val="none" w:sz="0" w:space="0" w:color="auto"/>
            <w:left w:val="none" w:sz="0" w:space="0" w:color="auto"/>
            <w:bottom w:val="none" w:sz="0" w:space="0" w:color="auto"/>
            <w:right w:val="none" w:sz="0" w:space="0" w:color="auto"/>
          </w:divBdr>
        </w:div>
        <w:div w:id="1796949565">
          <w:marLeft w:val="0"/>
          <w:marRight w:val="0"/>
          <w:marTop w:val="0"/>
          <w:marBottom w:val="0"/>
          <w:divBdr>
            <w:top w:val="none" w:sz="0" w:space="0" w:color="auto"/>
            <w:left w:val="none" w:sz="0" w:space="0" w:color="auto"/>
            <w:bottom w:val="none" w:sz="0" w:space="0" w:color="auto"/>
            <w:right w:val="none" w:sz="0" w:space="0" w:color="auto"/>
          </w:divBdr>
        </w:div>
        <w:div w:id="1811049805">
          <w:marLeft w:val="0"/>
          <w:marRight w:val="0"/>
          <w:marTop w:val="0"/>
          <w:marBottom w:val="0"/>
          <w:divBdr>
            <w:top w:val="none" w:sz="0" w:space="0" w:color="auto"/>
            <w:left w:val="none" w:sz="0" w:space="0" w:color="auto"/>
            <w:bottom w:val="none" w:sz="0" w:space="0" w:color="auto"/>
            <w:right w:val="none" w:sz="0" w:space="0" w:color="auto"/>
          </w:divBdr>
        </w:div>
        <w:div w:id="1813910574">
          <w:marLeft w:val="0"/>
          <w:marRight w:val="0"/>
          <w:marTop w:val="0"/>
          <w:marBottom w:val="0"/>
          <w:divBdr>
            <w:top w:val="none" w:sz="0" w:space="0" w:color="auto"/>
            <w:left w:val="none" w:sz="0" w:space="0" w:color="auto"/>
            <w:bottom w:val="none" w:sz="0" w:space="0" w:color="auto"/>
            <w:right w:val="none" w:sz="0" w:space="0" w:color="auto"/>
          </w:divBdr>
        </w:div>
        <w:div w:id="1817717408">
          <w:marLeft w:val="0"/>
          <w:marRight w:val="0"/>
          <w:marTop w:val="0"/>
          <w:marBottom w:val="0"/>
          <w:divBdr>
            <w:top w:val="none" w:sz="0" w:space="0" w:color="auto"/>
            <w:left w:val="none" w:sz="0" w:space="0" w:color="auto"/>
            <w:bottom w:val="none" w:sz="0" w:space="0" w:color="auto"/>
            <w:right w:val="none" w:sz="0" w:space="0" w:color="auto"/>
          </w:divBdr>
        </w:div>
        <w:div w:id="1827668658">
          <w:marLeft w:val="0"/>
          <w:marRight w:val="0"/>
          <w:marTop w:val="0"/>
          <w:marBottom w:val="0"/>
          <w:divBdr>
            <w:top w:val="none" w:sz="0" w:space="0" w:color="auto"/>
            <w:left w:val="none" w:sz="0" w:space="0" w:color="auto"/>
            <w:bottom w:val="none" w:sz="0" w:space="0" w:color="auto"/>
            <w:right w:val="none" w:sz="0" w:space="0" w:color="auto"/>
          </w:divBdr>
        </w:div>
        <w:div w:id="1851217149">
          <w:marLeft w:val="0"/>
          <w:marRight w:val="0"/>
          <w:marTop w:val="0"/>
          <w:marBottom w:val="0"/>
          <w:divBdr>
            <w:top w:val="none" w:sz="0" w:space="0" w:color="auto"/>
            <w:left w:val="none" w:sz="0" w:space="0" w:color="auto"/>
            <w:bottom w:val="none" w:sz="0" w:space="0" w:color="auto"/>
            <w:right w:val="none" w:sz="0" w:space="0" w:color="auto"/>
          </w:divBdr>
        </w:div>
        <w:div w:id="1889803691">
          <w:marLeft w:val="0"/>
          <w:marRight w:val="0"/>
          <w:marTop w:val="0"/>
          <w:marBottom w:val="0"/>
          <w:divBdr>
            <w:top w:val="none" w:sz="0" w:space="0" w:color="auto"/>
            <w:left w:val="none" w:sz="0" w:space="0" w:color="auto"/>
            <w:bottom w:val="none" w:sz="0" w:space="0" w:color="auto"/>
            <w:right w:val="none" w:sz="0" w:space="0" w:color="auto"/>
          </w:divBdr>
        </w:div>
        <w:div w:id="1898396868">
          <w:marLeft w:val="0"/>
          <w:marRight w:val="0"/>
          <w:marTop w:val="0"/>
          <w:marBottom w:val="0"/>
          <w:divBdr>
            <w:top w:val="none" w:sz="0" w:space="0" w:color="auto"/>
            <w:left w:val="none" w:sz="0" w:space="0" w:color="auto"/>
            <w:bottom w:val="none" w:sz="0" w:space="0" w:color="auto"/>
            <w:right w:val="none" w:sz="0" w:space="0" w:color="auto"/>
          </w:divBdr>
        </w:div>
        <w:div w:id="1911193580">
          <w:marLeft w:val="0"/>
          <w:marRight w:val="0"/>
          <w:marTop w:val="0"/>
          <w:marBottom w:val="0"/>
          <w:divBdr>
            <w:top w:val="none" w:sz="0" w:space="0" w:color="auto"/>
            <w:left w:val="none" w:sz="0" w:space="0" w:color="auto"/>
            <w:bottom w:val="none" w:sz="0" w:space="0" w:color="auto"/>
            <w:right w:val="none" w:sz="0" w:space="0" w:color="auto"/>
          </w:divBdr>
        </w:div>
        <w:div w:id="1943686636">
          <w:marLeft w:val="0"/>
          <w:marRight w:val="0"/>
          <w:marTop w:val="0"/>
          <w:marBottom w:val="0"/>
          <w:divBdr>
            <w:top w:val="none" w:sz="0" w:space="0" w:color="auto"/>
            <w:left w:val="none" w:sz="0" w:space="0" w:color="auto"/>
            <w:bottom w:val="none" w:sz="0" w:space="0" w:color="auto"/>
            <w:right w:val="none" w:sz="0" w:space="0" w:color="auto"/>
          </w:divBdr>
        </w:div>
        <w:div w:id="2092463071">
          <w:marLeft w:val="0"/>
          <w:marRight w:val="0"/>
          <w:marTop w:val="0"/>
          <w:marBottom w:val="0"/>
          <w:divBdr>
            <w:top w:val="none" w:sz="0" w:space="0" w:color="auto"/>
            <w:left w:val="none" w:sz="0" w:space="0" w:color="auto"/>
            <w:bottom w:val="none" w:sz="0" w:space="0" w:color="auto"/>
            <w:right w:val="none" w:sz="0" w:space="0" w:color="auto"/>
          </w:divBdr>
        </w:div>
        <w:div w:id="2104379069">
          <w:marLeft w:val="0"/>
          <w:marRight w:val="0"/>
          <w:marTop w:val="0"/>
          <w:marBottom w:val="0"/>
          <w:divBdr>
            <w:top w:val="none" w:sz="0" w:space="0" w:color="auto"/>
            <w:left w:val="none" w:sz="0" w:space="0" w:color="auto"/>
            <w:bottom w:val="none" w:sz="0" w:space="0" w:color="auto"/>
            <w:right w:val="none" w:sz="0" w:space="0" w:color="auto"/>
          </w:divBdr>
        </w:div>
      </w:divsChild>
    </w:div>
    <w:div w:id="1140808761">
      <w:bodyDiv w:val="1"/>
      <w:marLeft w:val="0"/>
      <w:marRight w:val="0"/>
      <w:marTop w:val="0"/>
      <w:marBottom w:val="0"/>
      <w:divBdr>
        <w:top w:val="none" w:sz="0" w:space="0" w:color="auto"/>
        <w:left w:val="none" w:sz="0" w:space="0" w:color="auto"/>
        <w:bottom w:val="none" w:sz="0" w:space="0" w:color="auto"/>
        <w:right w:val="none" w:sz="0" w:space="0" w:color="auto"/>
      </w:divBdr>
    </w:div>
    <w:div w:id="1177426292">
      <w:bodyDiv w:val="1"/>
      <w:marLeft w:val="0"/>
      <w:marRight w:val="0"/>
      <w:marTop w:val="0"/>
      <w:marBottom w:val="0"/>
      <w:divBdr>
        <w:top w:val="none" w:sz="0" w:space="0" w:color="auto"/>
        <w:left w:val="none" w:sz="0" w:space="0" w:color="auto"/>
        <w:bottom w:val="none" w:sz="0" w:space="0" w:color="auto"/>
        <w:right w:val="none" w:sz="0" w:space="0" w:color="auto"/>
      </w:divBdr>
    </w:div>
    <w:div w:id="1250432458">
      <w:bodyDiv w:val="1"/>
      <w:marLeft w:val="0"/>
      <w:marRight w:val="0"/>
      <w:marTop w:val="0"/>
      <w:marBottom w:val="0"/>
      <w:divBdr>
        <w:top w:val="none" w:sz="0" w:space="0" w:color="auto"/>
        <w:left w:val="none" w:sz="0" w:space="0" w:color="auto"/>
        <w:bottom w:val="none" w:sz="0" w:space="0" w:color="auto"/>
        <w:right w:val="none" w:sz="0" w:space="0" w:color="auto"/>
      </w:divBdr>
      <w:divsChild>
        <w:div w:id="44449348">
          <w:marLeft w:val="0"/>
          <w:marRight w:val="0"/>
          <w:marTop w:val="0"/>
          <w:marBottom w:val="0"/>
          <w:divBdr>
            <w:top w:val="none" w:sz="0" w:space="0" w:color="auto"/>
            <w:left w:val="none" w:sz="0" w:space="0" w:color="auto"/>
            <w:bottom w:val="none" w:sz="0" w:space="0" w:color="auto"/>
            <w:right w:val="none" w:sz="0" w:space="0" w:color="auto"/>
          </w:divBdr>
        </w:div>
        <w:div w:id="422339712">
          <w:marLeft w:val="0"/>
          <w:marRight w:val="0"/>
          <w:marTop w:val="0"/>
          <w:marBottom w:val="0"/>
          <w:divBdr>
            <w:top w:val="none" w:sz="0" w:space="0" w:color="auto"/>
            <w:left w:val="none" w:sz="0" w:space="0" w:color="auto"/>
            <w:bottom w:val="none" w:sz="0" w:space="0" w:color="auto"/>
            <w:right w:val="none" w:sz="0" w:space="0" w:color="auto"/>
          </w:divBdr>
        </w:div>
        <w:div w:id="474836095">
          <w:marLeft w:val="0"/>
          <w:marRight w:val="0"/>
          <w:marTop w:val="0"/>
          <w:marBottom w:val="0"/>
          <w:divBdr>
            <w:top w:val="none" w:sz="0" w:space="0" w:color="auto"/>
            <w:left w:val="none" w:sz="0" w:space="0" w:color="auto"/>
            <w:bottom w:val="none" w:sz="0" w:space="0" w:color="auto"/>
            <w:right w:val="none" w:sz="0" w:space="0" w:color="auto"/>
          </w:divBdr>
        </w:div>
        <w:div w:id="1722633858">
          <w:marLeft w:val="0"/>
          <w:marRight w:val="0"/>
          <w:marTop w:val="0"/>
          <w:marBottom w:val="0"/>
          <w:divBdr>
            <w:top w:val="none" w:sz="0" w:space="0" w:color="auto"/>
            <w:left w:val="none" w:sz="0" w:space="0" w:color="auto"/>
            <w:bottom w:val="none" w:sz="0" w:space="0" w:color="auto"/>
            <w:right w:val="none" w:sz="0" w:space="0" w:color="auto"/>
          </w:divBdr>
        </w:div>
      </w:divsChild>
    </w:div>
    <w:div w:id="1368263040">
      <w:bodyDiv w:val="1"/>
      <w:marLeft w:val="0"/>
      <w:marRight w:val="0"/>
      <w:marTop w:val="0"/>
      <w:marBottom w:val="0"/>
      <w:divBdr>
        <w:top w:val="none" w:sz="0" w:space="0" w:color="auto"/>
        <w:left w:val="none" w:sz="0" w:space="0" w:color="auto"/>
        <w:bottom w:val="none" w:sz="0" w:space="0" w:color="auto"/>
        <w:right w:val="none" w:sz="0" w:space="0" w:color="auto"/>
      </w:divBdr>
    </w:div>
    <w:div w:id="1618101233">
      <w:bodyDiv w:val="1"/>
      <w:marLeft w:val="0"/>
      <w:marRight w:val="0"/>
      <w:marTop w:val="0"/>
      <w:marBottom w:val="0"/>
      <w:divBdr>
        <w:top w:val="none" w:sz="0" w:space="0" w:color="auto"/>
        <w:left w:val="none" w:sz="0" w:space="0" w:color="auto"/>
        <w:bottom w:val="none" w:sz="0" w:space="0" w:color="auto"/>
        <w:right w:val="none" w:sz="0" w:space="0" w:color="auto"/>
      </w:divBdr>
    </w:div>
    <w:div w:id="1660618571">
      <w:bodyDiv w:val="1"/>
      <w:marLeft w:val="0"/>
      <w:marRight w:val="0"/>
      <w:marTop w:val="0"/>
      <w:marBottom w:val="0"/>
      <w:divBdr>
        <w:top w:val="none" w:sz="0" w:space="0" w:color="auto"/>
        <w:left w:val="none" w:sz="0" w:space="0" w:color="auto"/>
        <w:bottom w:val="none" w:sz="0" w:space="0" w:color="auto"/>
        <w:right w:val="none" w:sz="0" w:space="0" w:color="auto"/>
      </w:divBdr>
      <w:divsChild>
        <w:div w:id="41176933">
          <w:marLeft w:val="0"/>
          <w:marRight w:val="0"/>
          <w:marTop w:val="0"/>
          <w:marBottom w:val="0"/>
          <w:divBdr>
            <w:top w:val="none" w:sz="0" w:space="0" w:color="auto"/>
            <w:left w:val="none" w:sz="0" w:space="0" w:color="auto"/>
            <w:bottom w:val="none" w:sz="0" w:space="0" w:color="auto"/>
            <w:right w:val="none" w:sz="0" w:space="0" w:color="auto"/>
          </w:divBdr>
        </w:div>
        <w:div w:id="49154185">
          <w:marLeft w:val="0"/>
          <w:marRight w:val="0"/>
          <w:marTop w:val="0"/>
          <w:marBottom w:val="0"/>
          <w:divBdr>
            <w:top w:val="none" w:sz="0" w:space="0" w:color="auto"/>
            <w:left w:val="none" w:sz="0" w:space="0" w:color="auto"/>
            <w:bottom w:val="none" w:sz="0" w:space="0" w:color="auto"/>
            <w:right w:val="none" w:sz="0" w:space="0" w:color="auto"/>
          </w:divBdr>
        </w:div>
        <w:div w:id="54545478">
          <w:marLeft w:val="0"/>
          <w:marRight w:val="0"/>
          <w:marTop w:val="0"/>
          <w:marBottom w:val="0"/>
          <w:divBdr>
            <w:top w:val="none" w:sz="0" w:space="0" w:color="auto"/>
            <w:left w:val="none" w:sz="0" w:space="0" w:color="auto"/>
            <w:bottom w:val="none" w:sz="0" w:space="0" w:color="auto"/>
            <w:right w:val="none" w:sz="0" w:space="0" w:color="auto"/>
          </w:divBdr>
        </w:div>
        <w:div w:id="79064322">
          <w:marLeft w:val="0"/>
          <w:marRight w:val="0"/>
          <w:marTop w:val="0"/>
          <w:marBottom w:val="0"/>
          <w:divBdr>
            <w:top w:val="none" w:sz="0" w:space="0" w:color="auto"/>
            <w:left w:val="none" w:sz="0" w:space="0" w:color="auto"/>
            <w:bottom w:val="none" w:sz="0" w:space="0" w:color="auto"/>
            <w:right w:val="none" w:sz="0" w:space="0" w:color="auto"/>
          </w:divBdr>
        </w:div>
        <w:div w:id="131562935">
          <w:marLeft w:val="0"/>
          <w:marRight w:val="0"/>
          <w:marTop w:val="0"/>
          <w:marBottom w:val="0"/>
          <w:divBdr>
            <w:top w:val="none" w:sz="0" w:space="0" w:color="auto"/>
            <w:left w:val="none" w:sz="0" w:space="0" w:color="auto"/>
            <w:bottom w:val="none" w:sz="0" w:space="0" w:color="auto"/>
            <w:right w:val="none" w:sz="0" w:space="0" w:color="auto"/>
          </w:divBdr>
        </w:div>
        <w:div w:id="359863807">
          <w:marLeft w:val="0"/>
          <w:marRight w:val="0"/>
          <w:marTop w:val="0"/>
          <w:marBottom w:val="0"/>
          <w:divBdr>
            <w:top w:val="none" w:sz="0" w:space="0" w:color="auto"/>
            <w:left w:val="none" w:sz="0" w:space="0" w:color="auto"/>
            <w:bottom w:val="none" w:sz="0" w:space="0" w:color="auto"/>
            <w:right w:val="none" w:sz="0" w:space="0" w:color="auto"/>
          </w:divBdr>
        </w:div>
        <w:div w:id="513881472">
          <w:marLeft w:val="0"/>
          <w:marRight w:val="0"/>
          <w:marTop w:val="0"/>
          <w:marBottom w:val="0"/>
          <w:divBdr>
            <w:top w:val="none" w:sz="0" w:space="0" w:color="auto"/>
            <w:left w:val="none" w:sz="0" w:space="0" w:color="auto"/>
            <w:bottom w:val="none" w:sz="0" w:space="0" w:color="auto"/>
            <w:right w:val="none" w:sz="0" w:space="0" w:color="auto"/>
          </w:divBdr>
        </w:div>
        <w:div w:id="515462593">
          <w:marLeft w:val="0"/>
          <w:marRight w:val="0"/>
          <w:marTop w:val="0"/>
          <w:marBottom w:val="0"/>
          <w:divBdr>
            <w:top w:val="none" w:sz="0" w:space="0" w:color="auto"/>
            <w:left w:val="none" w:sz="0" w:space="0" w:color="auto"/>
            <w:bottom w:val="none" w:sz="0" w:space="0" w:color="auto"/>
            <w:right w:val="none" w:sz="0" w:space="0" w:color="auto"/>
          </w:divBdr>
        </w:div>
        <w:div w:id="939147508">
          <w:marLeft w:val="0"/>
          <w:marRight w:val="0"/>
          <w:marTop w:val="0"/>
          <w:marBottom w:val="0"/>
          <w:divBdr>
            <w:top w:val="none" w:sz="0" w:space="0" w:color="auto"/>
            <w:left w:val="none" w:sz="0" w:space="0" w:color="auto"/>
            <w:bottom w:val="none" w:sz="0" w:space="0" w:color="auto"/>
            <w:right w:val="none" w:sz="0" w:space="0" w:color="auto"/>
          </w:divBdr>
        </w:div>
        <w:div w:id="1002853569">
          <w:marLeft w:val="0"/>
          <w:marRight w:val="0"/>
          <w:marTop w:val="0"/>
          <w:marBottom w:val="0"/>
          <w:divBdr>
            <w:top w:val="none" w:sz="0" w:space="0" w:color="auto"/>
            <w:left w:val="none" w:sz="0" w:space="0" w:color="auto"/>
            <w:bottom w:val="none" w:sz="0" w:space="0" w:color="auto"/>
            <w:right w:val="none" w:sz="0" w:space="0" w:color="auto"/>
          </w:divBdr>
        </w:div>
        <w:div w:id="1078599485">
          <w:marLeft w:val="0"/>
          <w:marRight w:val="0"/>
          <w:marTop w:val="0"/>
          <w:marBottom w:val="0"/>
          <w:divBdr>
            <w:top w:val="none" w:sz="0" w:space="0" w:color="auto"/>
            <w:left w:val="none" w:sz="0" w:space="0" w:color="auto"/>
            <w:bottom w:val="none" w:sz="0" w:space="0" w:color="auto"/>
            <w:right w:val="none" w:sz="0" w:space="0" w:color="auto"/>
          </w:divBdr>
        </w:div>
        <w:div w:id="1304580644">
          <w:marLeft w:val="0"/>
          <w:marRight w:val="0"/>
          <w:marTop w:val="0"/>
          <w:marBottom w:val="0"/>
          <w:divBdr>
            <w:top w:val="none" w:sz="0" w:space="0" w:color="auto"/>
            <w:left w:val="none" w:sz="0" w:space="0" w:color="auto"/>
            <w:bottom w:val="none" w:sz="0" w:space="0" w:color="auto"/>
            <w:right w:val="none" w:sz="0" w:space="0" w:color="auto"/>
          </w:divBdr>
        </w:div>
        <w:div w:id="1491211068">
          <w:marLeft w:val="0"/>
          <w:marRight w:val="0"/>
          <w:marTop w:val="0"/>
          <w:marBottom w:val="0"/>
          <w:divBdr>
            <w:top w:val="none" w:sz="0" w:space="0" w:color="auto"/>
            <w:left w:val="none" w:sz="0" w:space="0" w:color="auto"/>
            <w:bottom w:val="none" w:sz="0" w:space="0" w:color="auto"/>
            <w:right w:val="none" w:sz="0" w:space="0" w:color="auto"/>
          </w:divBdr>
        </w:div>
        <w:div w:id="1535800238">
          <w:marLeft w:val="0"/>
          <w:marRight w:val="0"/>
          <w:marTop w:val="0"/>
          <w:marBottom w:val="0"/>
          <w:divBdr>
            <w:top w:val="none" w:sz="0" w:space="0" w:color="auto"/>
            <w:left w:val="none" w:sz="0" w:space="0" w:color="auto"/>
            <w:bottom w:val="none" w:sz="0" w:space="0" w:color="auto"/>
            <w:right w:val="none" w:sz="0" w:space="0" w:color="auto"/>
          </w:divBdr>
        </w:div>
        <w:div w:id="1629965784">
          <w:marLeft w:val="0"/>
          <w:marRight w:val="0"/>
          <w:marTop w:val="0"/>
          <w:marBottom w:val="0"/>
          <w:divBdr>
            <w:top w:val="none" w:sz="0" w:space="0" w:color="auto"/>
            <w:left w:val="none" w:sz="0" w:space="0" w:color="auto"/>
            <w:bottom w:val="none" w:sz="0" w:space="0" w:color="auto"/>
            <w:right w:val="none" w:sz="0" w:space="0" w:color="auto"/>
          </w:divBdr>
        </w:div>
        <w:div w:id="1661038352">
          <w:marLeft w:val="0"/>
          <w:marRight w:val="0"/>
          <w:marTop w:val="0"/>
          <w:marBottom w:val="0"/>
          <w:divBdr>
            <w:top w:val="none" w:sz="0" w:space="0" w:color="auto"/>
            <w:left w:val="none" w:sz="0" w:space="0" w:color="auto"/>
            <w:bottom w:val="none" w:sz="0" w:space="0" w:color="auto"/>
            <w:right w:val="none" w:sz="0" w:space="0" w:color="auto"/>
          </w:divBdr>
        </w:div>
        <w:div w:id="1722823193">
          <w:marLeft w:val="0"/>
          <w:marRight w:val="0"/>
          <w:marTop w:val="0"/>
          <w:marBottom w:val="0"/>
          <w:divBdr>
            <w:top w:val="none" w:sz="0" w:space="0" w:color="auto"/>
            <w:left w:val="none" w:sz="0" w:space="0" w:color="auto"/>
            <w:bottom w:val="none" w:sz="0" w:space="0" w:color="auto"/>
            <w:right w:val="none" w:sz="0" w:space="0" w:color="auto"/>
          </w:divBdr>
        </w:div>
        <w:div w:id="1829901999">
          <w:marLeft w:val="0"/>
          <w:marRight w:val="0"/>
          <w:marTop w:val="0"/>
          <w:marBottom w:val="0"/>
          <w:divBdr>
            <w:top w:val="none" w:sz="0" w:space="0" w:color="auto"/>
            <w:left w:val="none" w:sz="0" w:space="0" w:color="auto"/>
            <w:bottom w:val="none" w:sz="0" w:space="0" w:color="auto"/>
            <w:right w:val="none" w:sz="0" w:space="0" w:color="auto"/>
          </w:divBdr>
        </w:div>
        <w:div w:id="2090074871">
          <w:marLeft w:val="0"/>
          <w:marRight w:val="0"/>
          <w:marTop w:val="0"/>
          <w:marBottom w:val="0"/>
          <w:divBdr>
            <w:top w:val="none" w:sz="0" w:space="0" w:color="auto"/>
            <w:left w:val="none" w:sz="0" w:space="0" w:color="auto"/>
            <w:bottom w:val="none" w:sz="0" w:space="0" w:color="auto"/>
            <w:right w:val="none" w:sz="0" w:space="0" w:color="auto"/>
          </w:divBdr>
        </w:div>
        <w:div w:id="2123651714">
          <w:marLeft w:val="0"/>
          <w:marRight w:val="0"/>
          <w:marTop w:val="0"/>
          <w:marBottom w:val="0"/>
          <w:divBdr>
            <w:top w:val="none" w:sz="0" w:space="0" w:color="auto"/>
            <w:left w:val="none" w:sz="0" w:space="0" w:color="auto"/>
            <w:bottom w:val="none" w:sz="0" w:space="0" w:color="auto"/>
            <w:right w:val="none" w:sz="0" w:space="0" w:color="auto"/>
          </w:divBdr>
        </w:div>
        <w:div w:id="2142915339">
          <w:marLeft w:val="0"/>
          <w:marRight w:val="0"/>
          <w:marTop w:val="0"/>
          <w:marBottom w:val="0"/>
          <w:divBdr>
            <w:top w:val="none" w:sz="0" w:space="0" w:color="auto"/>
            <w:left w:val="none" w:sz="0" w:space="0" w:color="auto"/>
            <w:bottom w:val="none" w:sz="0" w:space="0" w:color="auto"/>
            <w:right w:val="none" w:sz="0" w:space="0" w:color="auto"/>
          </w:divBdr>
        </w:div>
      </w:divsChild>
    </w:div>
    <w:div w:id="1707021985">
      <w:bodyDiv w:val="1"/>
      <w:marLeft w:val="0"/>
      <w:marRight w:val="0"/>
      <w:marTop w:val="0"/>
      <w:marBottom w:val="0"/>
      <w:divBdr>
        <w:top w:val="none" w:sz="0" w:space="0" w:color="auto"/>
        <w:left w:val="none" w:sz="0" w:space="0" w:color="auto"/>
        <w:bottom w:val="none" w:sz="0" w:space="0" w:color="auto"/>
        <w:right w:val="none" w:sz="0" w:space="0" w:color="auto"/>
      </w:divBdr>
    </w:div>
    <w:div w:id="1734036795">
      <w:bodyDiv w:val="1"/>
      <w:marLeft w:val="0"/>
      <w:marRight w:val="0"/>
      <w:marTop w:val="0"/>
      <w:marBottom w:val="0"/>
      <w:divBdr>
        <w:top w:val="none" w:sz="0" w:space="0" w:color="auto"/>
        <w:left w:val="none" w:sz="0" w:space="0" w:color="auto"/>
        <w:bottom w:val="none" w:sz="0" w:space="0" w:color="auto"/>
        <w:right w:val="none" w:sz="0" w:space="0" w:color="auto"/>
      </w:divBdr>
    </w:div>
    <w:div w:id="1829245440">
      <w:bodyDiv w:val="1"/>
      <w:marLeft w:val="0"/>
      <w:marRight w:val="0"/>
      <w:marTop w:val="0"/>
      <w:marBottom w:val="0"/>
      <w:divBdr>
        <w:top w:val="none" w:sz="0" w:space="0" w:color="auto"/>
        <w:left w:val="none" w:sz="0" w:space="0" w:color="auto"/>
        <w:bottom w:val="none" w:sz="0" w:space="0" w:color="auto"/>
        <w:right w:val="none" w:sz="0" w:space="0" w:color="auto"/>
      </w:divBdr>
      <w:divsChild>
        <w:div w:id="63844398">
          <w:marLeft w:val="0"/>
          <w:marRight w:val="0"/>
          <w:marTop w:val="0"/>
          <w:marBottom w:val="0"/>
          <w:divBdr>
            <w:top w:val="none" w:sz="0" w:space="0" w:color="auto"/>
            <w:left w:val="none" w:sz="0" w:space="0" w:color="auto"/>
            <w:bottom w:val="none" w:sz="0" w:space="0" w:color="auto"/>
            <w:right w:val="none" w:sz="0" w:space="0" w:color="auto"/>
          </w:divBdr>
        </w:div>
        <w:div w:id="281112244">
          <w:marLeft w:val="0"/>
          <w:marRight w:val="0"/>
          <w:marTop w:val="0"/>
          <w:marBottom w:val="0"/>
          <w:divBdr>
            <w:top w:val="none" w:sz="0" w:space="0" w:color="auto"/>
            <w:left w:val="none" w:sz="0" w:space="0" w:color="auto"/>
            <w:bottom w:val="none" w:sz="0" w:space="0" w:color="auto"/>
            <w:right w:val="none" w:sz="0" w:space="0" w:color="auto"/>
          </w:divBdr>
        </w:div>
        <w:div w:id="330181698">
          <w:marLeft w:val="0"/>
          <w:marRight w:val="0"/>
          <w:marTop w:val="0"/>
          <w:marBottom w:val="0"/>
          <w:divBdr>
            <w:top w:val="none" w:sz="0" w:space="0" w:color="auto"/>
            <w:left w:val="none" w:sz="0" w:space="0" w:color="auto"/>
            <w:bottom w:val="none" w:sz="0" w:space="0" w:color="auto"/>
            <w:right w:val="none" w:sz="0" w:space="0" w:color="auto"/>
          </w:divBdr>
        </w:div>
        <w:div w:id="342127607">
          <w:marLeft w:val="0"/>
          <w:marRight w:val="0"/>
          <w:marTop w:val="0"/>
          <w:marBottom w:val="0"/>
          <w:divBdr>
            <w:top w:val="none" w:sz="0" w:space="0" w:color="auto"/>
            <w:left w:val="none" w:sz="0" w:space="0" w:color="auto"/>
            <w:bottom w:val="none" w:sz="0" w:space="0" w:color="auto"/>
            <w:right w:val="none" w:sz="0" w:space="0" w:color="auto"/>
          </w:divBdr>
        </w:div>
        <w:div w:id="359474223">
          <w:marLeft w:val="0"/>
          <w:marRight w:val="0"/>
          <w:marTop w:val="0"/>
          <w:marBottom w:val="0"/>
          <w:divBdr>
            <w:top w:val="none" w:sz="0" w:space="0" w:color="auto"/>
            <w:left w:val="none" w:sz="0" w:space="0" w:color="auto"/>
            <w:bottom w:val="none" w:sz="0" w:space="0" w:color="auto"/>
            <w:right w:val="none" w:sz="0" w:space="0" w:color="auto"/>
          </w:divBdr>
        </w:div>
        <w:div w:id="516652998">
          <w:marLeft w:val="0"/>
          <w:marRight w:val="0"/>
          <w:marTop w:val="0"/>
          <w:marBottom w:val="0"/>
          <w:divBdr>
            <w:top w:val="none" w:sz="0" w:space="0" w:color="auto"/>
            <w:left w:val="none" w:sz="0" w:space="0" w:color="auto"/>
            <w:bottom w:val="none" w:sz="0" w:space="0" w:color="auto"/>
            <w:right w:val="none" w:sz="0" w:space="0" w:color="auto"/>
          </w:divBdr>
        </w:div>
        <w:div w:id="633365815">
          <w:marLeft w:val="0"/>
          <w:marRight w:val="0"/>
          <w:marTop w:val="0"/>
          <w:marBottom w:val="0"/>
          <w:divBdr>
            <w:top w:val="none" w:sz="0" w:space="0" w:color="auto"/>
            <w:left w:val="none" w:sz="0" w:space="0" w:color="auto"/>
            <w:bottom w:val="none" w:sz="0" w:space="0" w:color="auto"/>
            <w:right w:val="none" w:sz="0" w:space="0" w:color="auto"/>
          </w:divBdr>
        </w:div>
        <w:div w:id="1208952672">
          <w:marLeft w:val="0"/>
          <w:marRight w:val="0"/>
          <w:marTop w:val="0"/>
          <w:marBottom w:val="0"/>
          <w:divBdr>
            <w:top w:val="none" w:sz="0" w:space="0" w:color="auto"/>
            <w:left w:val="none" w:sz="0" w:space="0" w:color="auto"/>
            <w:bottom w:val="none" w:sz="0" w:space="0" w:color="auto"/>
            <w:right w:val="none" w:sz="0" w:space="0" w:color="auto"/>
          </w:divBdr>
        </w:div>
        <w:div w:id="1569268930">
          <w:marLeft w:val="0"/>
          <w:marRight w:val="0"/>
          <w:marTop w:val="0"/>
          <w:marBottom w:val="0"/>
          <w:divBdr>
            <w:top w:val="none" w:sz="0" w:space="0" w:color="auto"/>
            <w:left w:val="none" w:sz="0" w:space="0" w:color="auto"/>
            <w:bottom w:val="none" w:sz="0" w:space="0" w:color="auto"/>
            <w:right w:val="none" w:sz="0" w:space="0" w:color="auto"/>
          </w:divBdr>
        </w:div>
        <w:div w:id="1725717965">
          <w:marLeft w:val="0"/>
          <w:marRight w:val="0"/>
          <w:marTop w:val="0"/>
          <w:marBottom w:val="0"/>
          <w:divBdr>
            <w:top w:val="none" w:sz="0" w:space="0" w:color="auto"/>
            <w:left w:val="none" w:sz="0" w:space="0" w:color="auto"/>
            <w:bottom w:val="none" w:sz="0" w:space="0" w:color="auto"/>
            <w:right w:val="none" w:sz="0" w:space="0" w:color="auto"/>
          </w:divBdr>
        </w:div>
      </w:divsChild>
    </w:div>
    <w:div w:id="1911886811">
      <w:bodyDiv w:val="1"/>
      <w:marLeft w:val="0"/>
      <w:marRight w:val="0"/>
      <w:marTop w:val="0"/>
      <w:marBottom w:val="0"/>
      <w:divBdr>
        <w:top w:val="none" w:sz="0" w:space="0" w:color="auto"/>
        <w:left w:val="none" w:sz="0" w:space="0" w:color="auto"/>
        <w:bottom w:val="none" w:sz="0" w:space="0" w:color="auto"/>
        <w:right w:val="none" w:sz="0" w:space="0" w:color="auto"/>
      </w:divBdr>
    </w:div>
    <w:div w:id="2009408464">
      <w:bodyDiv w:val="1"/>
      <w:marLeft w:val="0"/>
      <w:marRight w:val="0"/>
      <w:marTop w:val="0"/>
      <w:marBottom w:val="0"/>
      <w:divBdr>
        <w:top w:val="none" w:sz="0" w:space="0" w:color="auto"/>
        <w:left w:val="none" w:sz="0" w:space="0" w:color="auto"/>
        <w:bottom w:val="none" w:sz="0" w:space="0" w:color="auto"/>
        <w:right w:val="none" w:sz="0" w:space="0" w:color="auto"/>
      </w:divBdr>
      <w:divsChild>
        <w:div w:id="451441181">
          <w:marLeft w:val="0"/>
          <w:marRight w:val="0"/>
          <w:marTop w:val="0"/>
          <w:marBottom w:val="0"/>
          <w:divBdr>
            <w:top w:val="none" w:sz="0" w:space="0" w:color="auto"/>
            <w:left w:val="none" w:sz="0" w:space="0" w:color="auto"/>
            <w:bottom w:val="none" w:sz="0" w:space="0" w:color="auto"/>
            <w:right w:val="none" w:sz="0" w:space="0" w:color="auto"/>
          </w:divBdr>
        </w:div>
        <w:div w:id="466775617">
          <w:marLeft w:val="0"/>
          <w:marRight w:val="0"/>
          <w:marTop w:val="0"/>
          <w:marBottom w:val="0"/>
          <w:divBdr>
            <w:top w:val="none" w:sz="0" w:space="0" w:color="auto"/>
            <w:left w:val="none" w:sz="0" w:space="0" w:color="auto"/>
            <w:bottom w:val="none" w:sz="0" w:space="0" w:color="auto"/>
            <w:right w:val="none" w:sz="0" w:space="0" w:color="auto"/>
          </w:divBdr>
        </w:div>
        <w:div w:id="1310285723">
          <w:marLeft w:val="0"/>
          <w:marRight w:val="0"/>
          <w:marTop w:val="0"/>
          <w:marBottom w:val="0"/>
          <w:divBdr>
            <w:top w:val="none" w:sz="0" w:space="0" w:color="auto"/>
            <w:left w:val="none" w:sz="0" w:space="0" w:color="auto"/>
            <w:bottom w:val="none" w:sz="0" w:space="0" w:color="auto"/>
            <w:right w:val="none" w:sz="0" w:space="0" w:color="auto"/>
          </w:divBdr>
        </w:div>
        <w:div w:id="1325233011">
          <w:marLeft w:val="0"/>
          <w:marRight w:val="0"/>
          <w:marTop w:val="0"/>
          <w:marBottom w:val="0"/>
          <w:divBdr>
            <w:top w:val="none" w:sz="0" w:space="0" w:color="auto"/>
            <w:left w:val="none" w:sz="0" w:space="0" w:color="auto"/>
            <w:bottom w:val="none" w:sz="0" w:space="0" w:color="auto"/>
            <w:right w:val="none" w:sz="0" w:space="0" w:color="auto"/>
          </w:divBdr>
        </w:div>
        <w:div w:id="180146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1F93AA-A918-4BF9-8037-35D084228AF2}">
  <ds:schemaRefs>
    <ds:schemaRef ds:uri="http://schemas.openxmlformats.org/officeDocument/2006/bibliography"/>
  </ds:schemaRefs>
</ds:datastoreItem>
</file>

<file path=customXml/itemProps2.xml><?xml version="1.0" encoding="utf-8"?>
<ds:datastoreItem xmlns:ds="http://schemas.openxmlformats.org/officeDocument/2006/customXml" ds:itemID="{D31E75AF-7594-4097-BB64-72B6DE01E1FF}"/>
</file>

<file path=customXml/itemProps3.xml><?xml version="1.0" encoding="utf-8"?>
<ds:datastoreItem xmlns:ds="http://schemas.openxmlformats.org/officeDocument/2006/customXml" ds:itemID="{F276FB1A-AAD4-4C07-9A91-AE090949215A}"/>
</file>

<file path=customXml/itemProps4.xml><?xml version="1.0" encoding="utf-8"?>
<ds:datastoreItem xmlns:ds="http://schemas.openxmlformats.org/officeDocument/2006/customXml" ds:itemID="{4F685338-173B-4086-8234-4C928BC1D722}"/>
</file>

<file path=docProps/app.xml><?xml version="1.0" encoding="utf-8"?>
<Properties xmlns="http://schemas.openxmlformats.org/officeDocument/2006/extended-properties" xmlns:vt="http://schemas.openxmlformats.org/officeDocument/2006/docPropsVTypes">
  <Template>Normal</Template>
  <TotalTime>2</TotalTime>
  <Pages>15</Pages>
  <Words>5440</Words>
  <Characters>31012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Nineteenth Century Colonial Fingerprints on Public Health Diplomacy: A Post-Colonial Inquiry</vt:lpstr>
    </vt:vector>
  </TitlesOfParts>
  <Company>Compaq</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Nineteenth Century Colonial Fingerprints on Public Health Diplomacy: A Post-Colonial Inquiry</dc:title>
  <dc:subject/>
  <dc:creator>Obijiofor Aginam</dc:creator>
  <cp:keywords/>
  <cp:lastModifiedBy>Mihir Kanade</cp:lastModifiedBy>
  <cp:revision>3</cp:revision>
  <cp:lastPrinted>2017-05-04T13:43:00Z</cp:lastPrinted>
  <dcterms:created xsi:type="dcterms:W3CDTF">2021-03-16T16:14:00Z</dcterms:created>
  <dcterms:modified xsi:type="dcterms:W3CDTF">2021-03-16T16:55:00Z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