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7E7FF" w14:textId="77777777" w:rsidR="00245988" w:rsidRPr="002D6519" w:rsidRDefault="00245988" w:rsidP="00245988">
      <w:pPr>
        <w:spacing w:after="0" w:line="240" w:lineRule="auto"/>
        <w:jc w:val="center"/>
        <w:rPr>
          <w:rFonts w:ascii="Times New Roman" w:hAnsi="Times New Roman" w:cs="Times New Roman"/>
          <w:b/>
          <w:sz w:val="24"/>
          <w:szCs w:val="24"/>
        </w:rPr>
      </w:pPr>
      <w:bookmarkStart w:id="0" w:name="_GoBack"/>
      <w:bookmarkEnd w:id="0"/>
      <w:r w:rsidRPr="002D6519">
        <w:rPr>
          <w:rFonts w:ascii="Times New Roman" w:hAnsi="Times New Roman" w:cs="Times New Roman"/>
          <w:b/>
          <w:sz w:val="24"/>
          <w:szCs w:val="24"/>
        </w:rPr>
        <w:t xml:space="preserve">Response to request from United Nations Human Rights </w:t>
      </w:r>
      <w:r w:rsidR="002D6519" w:rsidRPr="002D6519">
        <w:rPr>
          <w:rFonts w:ascii="Times New Roman" w:hAnsi="Times New Roman" w:cs="Times New Roman"/>
          <w:b/>
          <w:sz w:val="24"/>
          <w:szCs w:val="24"/>
        </w:rPr>
        <w:t xml:space="preserve">Office of the High Commissioner </w:t>
      </w:r>
    </w:p>
    <w:p w14:paraId="773C0AD5" w14:textId="77777777" w:rsidR="00245988" w:rsidRPr="002D6519" w:rsidRDefault="00245988" w:rsidP="00245988">
      <w:pPr>
        <w:spacing w:after="0" w:line="240" w:lineRule="auto"/>
        <w:jc w:val="center"/>
        <w:rPr>
          <w:rFonts w:ascii="Times New Roman" w:hAnsi="Times New Roman" w:cs="Times New Roman"/>
          <w:b/>
          <w:sz w:val="24"/>
          <w:szCs w:val="24"/>
        </w:rPr>
      </w:pPr>
      <w:r w:rsidRPr="002D6519">
        <w:rPr>
          <w:rFonts w:ascii="Times New Roman" w:hAnsi="Times New Roman" w:cs="Times New Roman"/>
          <w:b/>
          <w:sz w:val="24"/>
          <w:szCs w:val="24"/>
        </w:rPr>
        <w:t>Human Rights Council resolution 37/22</w:t>
      </w:r>
    </w:p>
    <w:p w14:paraId="55788E7B" w14:textId="77777777" w:rsidR="00245988" w:rsidRPr="00245988" w:rsidRDefault="00245988" w:rsidP="00245988">
      <w:pPr>
        <w:spacing w:after="0" w:line="240" w:lineRule="auto"/>
        <w:jc w:val="center"/>
        <w:rPr>
          <w:rFonts w:ascii="Times New Roman" w:hAnsi="Times New Roman" w:cs="Times New Roman"/>
          <w:sz w:val="24"/>
          <w:szCs w:val="24"/>
        </w:rPr>
      </w:pPr>
      <w:r w:rsidRPr="002D6519">
        <w:rPr>
          <w:rFonts w:ascii="Times New Roman" w:hAnsi="Times New Roman" w:cs="Times New Roman"/>
          <w:sz w:val="24"/>
          <w:szCs w:val="24"/>
        </w:rPr>
        <w:t>(Reference:  OHCHR/TESRPRD/DESIB/HRESIS, dated 13 June 2019)</w:t>
      </w:r>
    </w:p>
    <w:p w14:paraId="0CFEDD54" w14:textId="77777777" w:rsidR="00245988" w:rsidRPr="00245988" w:rsidRDefault="00245988" w:rsidP="00245988">
      <w:pPr>
        <w:spacing w:after="0" w:line="240" w:lineRule="auto"/>
        <w:rPr>
          <w:rFonts w:ascii="Times New Roman" w:hAnsi="Times New Roman" w:cs="Times New Roman"/>
          <w:sz w:val="24"/>
          <w:szCs w:val="24"/>
        </w:rPr>
      </w:pPr>
    </w:p>
    <w:p w14:paraId="287D8E6C" w14:textId="77777777" w:rsidR="00245988" w:rsidRPr="001B13FD" w:rsidRDefault="00245988" w:rsidP="00245988">
      <w:pPr>
        <w:spacing w:after="0" w:line="240" w:lineRule="auto"/>
        <w:rPr>
          <w:rFonts w:ascii="Times New Roman" w:hAnsi="Times New Roman" w:cs="Times New Roman"/>
          <w:b/>
          <w:i/>
          <w:sz w:val="24"/>
          <w:szCs w:val="24"/>
        </w:rPr>
      </w:pPr>
      <w:r w:rsidRPr="001B13FD">
        <w:rPr>
          <w:rFonts w:ascii="Times New Roman" w:hAnsi="Times New Roman" w:cs="Times New Roman"/>
          <w:b/>
          <w:i/>
          <w:sz w:val="24"/>
          <w:szCs w:val="24"/>
        </w:rPr>
        <w:t>1(a)</w:t>
      </w:r>
      <w:r w:rsidRPr="001B13FD">
        <w:rPr>
          <w:rFonts w:ascii="Times New Roman" w:hAnsi="Times New Roman" w:cs="Times New Roman"/>
          <w:b/>
          <w:i/>
          <w:sz w:val="24"/>
          <w:szCs w:val="24"/>
        </w:rPr>
        <w:tab/>
        <w:t>Does your country have laws, policies, plans, strategies or guidelines at any level of government relating to raising awareness about persons with disabilities, in particular initiatives to:</w:t>
      </w:r>
    </w:p>
    <w:p w14:paraId="73CD93D5" w14:textId="77777777" w:rsidR="00245988" w:rsidRPr="001B13FD" w:rsidRDefault="00245988" w:rsidP="00245988">
      <w:pPr>
        <w:pStyle w:val="ListParagraph"/>
        <w:numPr>
          <w:ilvl w:val="0"/>
          <w:numId w:val="1"/>
        </w:numPr>
        <w:spacing w:after="0" w:line="240" w:lineRule="auto"/>
        <w:rPr>
          <w:rFonts w:ascii="Times New Roman" w:hAnsi="Times New Roman" w:cs="Times New Roman"/>
          <w:b/>
          <w:i/>
          <w:sz w:val="24"/>
          <w:szCs w:val="24"/>
        </w:rPr>
      </w:pPr>
      <w:r w:rsidRPr="001B13FD">
        <w:rPr>
          <w:rFonts w:ascii="Times New Roman" w:hAnsi="Times New Roman" w:cs="Times New Roman"/>
          <w:b/>
          <w:i/>
          <w:sz w:val="24"/>
          <w:szCs w:val="24"/>
        </w:rPr>
        <w:t>Foster respect for the rights and dignity of persons with disabilities;</w:t>
      </w:r>
    </w:p>
    <w:p w14:paraId="30AD40F9" w14:textId="77777777" w:rsidR="00245988" w:rsidRPr="001B13FD" w:rsidRDefault="00245988" w:rsidP="00245988">
      <w:pPr>
        <w:pStyle w:val="ListParagraph"/>
        <w:numPr>
          <w:ilvl w:val="0"/>
          <w:numId w:val="1"/>
        </w:numPr>
        <w:spacing w:after="0" w:line="240" w:lineRule="auto"/>
        <w:rPr>
          <w:rFonts w:ascii="Times New Roman" w:hAnsi="Times New Roman" w:cs="Times New Roman"/>
          <w:b/>
          <w:i/>
          <w:sz w:val="24"/>
          <w:szCs w:val="24"/>
        </w:rPr>
      </w:pPr>
      <w:r w:rsidRPr="001B13FD">
        <w:rPr>
          <w:rFonts w:ascii="Times New Roman" w:hAnsi="Times New Roman" w:cs="Times New Roman"/>
          <w:b/>
          <w:i/>
          <w:sz w:val="24"/>
          <w:szCs w:val="24"/>
        </w:rPr>
        <w:t>Combat stereotypes, prejudices and harmful practices relating to persons with disabilities; or</w:t>
      </w:r>
    </w:p>
    <w:p w14:paraId="01A26E32" w14:textId="77777777" w:rsidR="00245988" w:rsidRPr="001B13FD" w:rsidRDefault="00245988" w:rsidP="00245988">
      <w:pPr>
        <w:pStyle w:val="ListParagraph"/>
        <w:numPr>
          <w:ilvl w:val="0"/>
          <w:numId w:val="1"/>
        </w:numPr>
        <w:spacing w:after="0" w:line="240" w:lineRule="auto"/>
        <w:rPr>
          <w:rFonts w:ascii="Times New Roman" w:hAnsi="Times New Roman" w:cs="Times New Roman"/>
          <w:b/>
          <w:i/>
          <w:sz w:val="24"/>
          <w:szCs w:val="24"/>
        </w:rPr>
      </w:pPr>
      <w:r w:rsidRPr="001B13FD">
        <w:rPr>
          <w:rFonts w:ascii="Times New Roman" w:hAnsi="Times New Roman" w:cs="Times New Roman"/>
          <w:b/>
          <w:i/>
          <w:sz w:val="24"/>
          <w:szCs w:val="24"/>
        </w:rPr>
        <w:t>Promote awareness of the contributions of persons with disabilities?</w:t>
      </w:r>
    </w:p>
    <w:p w14:paraId="4F6A308E" w14:textId="77777777" w:rsidR="001618DD" w:rsidRPr="0077191D" w:rsidRDefault="001618DD" w:rsidP="001618DD">
      <w:pPr>
        <w:spacing w:after="0" w:line="240" w:lineRule="auto"/>
        <w:rPr>
          <w:rFonts w:ascii="Times New Roman" w:hAnsi="Times New Roman" w:cs="Times New Roman"/>
          <w:b/>
          <w:i/>
          <w:sz w:val="24"/>
          <w:szCs w:val="24"/>
        </w:rPr>
      </w:pPr>
      <w:r w:rsidRPr="0077191D">
        <w:rPr>
          <w:rFonts w:ascii="Times New Roman" w:hAnsi="Times New Roman" w:cs="Times New Roman"/>
          <w:b/>
          <w:i/>
          <w:sz w:val="24"/>
          <w:szCs w:val="24"/>
        </w:rPr>
        <w:t>1(b).</w:t>
      </w:r>
      <w:r w:rsidRPr="0077191D">
        <w:rPr>
          <w:rFonts w:ascii="Times New Roman" w:hAnsi="Times New Roman" w:cs="Times New Roman"/>
          <w:b/>
          <w:i/>
          <w:sz w:val="24"/>
          <w:szCs w:val="24"/>
        </w:rPr>
        <w:tab/>
        <w:t>What are the challenges to implementing the above?</w:t>
      </w:r>
    </w:p>
    <w:p w14:paraId="37D5A0DD" w14:textId="77777777" w:rsidR="001618DD" w:rsidRDefault="001618DD" w:rsidP="00245988">
      <w:pPr>
        <w:spacing w:after="0" w:line="240" w:lineRule="auto"/>
        <w:rPr>
          <w:rFonts w:ascii="Times New Roman" w:hAnsi="Times New Roman" w:cs="Times New Roman"/>
          <w:sz w:val="24"/>
          <w:szCs w:val="24"/>
        </w:rPr>
      </w:pPr>
    </w:p>
    <w:p w14:paraId="19890518" w14:textId="77777777" w:rsidR="004E5974" w:rsidRDefault="00347E81" w:rsidP="00347E81">
      <w:p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 xml:space="preserve">Australia has a range of initiatives </w:t>
      </w:r>
      <w:r w:rsidR="006A6190">
        <w:rPr>
          <w:rFonts w:ascii="Times New Roman" w:hAnsi="Times New Roman" w:cs="Times New Roman"/>
          <w:sz w:val="24"/>
          <w:szCs w:val="24"/>
        </w:rPr>
        <w:t xml:space="preserve">in place </w:t>
      </w:r>
      <w:r w:rsidRPr="00347E81">
        <w:rPr>
          <w:rFonts w:ascii="Times New Roman" w:hAnsi="Times New Roman" w:cs="Times New Roman"/>
          <w:sz w:val="24"/>
          <w:szCs w:val="24"/>
        </w:rPr>
        <w:t xml:space="preserve">to raise awareness in society about the rights and dignity of persons with disabilities, their capabilities and contribution to society. These are grounded in a human rights based approach consistent with the </w:t>
      </w:r>
      <w:r w:rsidR="00DB6E81" w:rsidRPr="00DB6E81">
        <w:rPr>
          <w:rFonts w:ascii="Times New Roman" w:hAnsi="Times New Roman" w:cs="Times New Roman"/>
          <w:i/>
          <w:sz w:val="24"/>
          <w:szCs w:val="24"/>
        </w:rPr>
        <w:t>Disability</w:t>
      </w:r>
      <w:r w:rsidR="006A6190">
        <w:rPr>
          <w:rFonts w:ascii="Times New Roman" w:hAnsi="Times New Roman" w:cs="Times New Roman"/>
          <w:i/>
          <w:sz w:val="24"/>
          <w:szCs w:val="24"/>
        </w:rPr>
        <w:t> </w:t>
      </w:r>
      <w:r w:rsidR="00DB6E81" w:rsidRPr="00DB6E81">
        <w:rPr>
          <w:rFonts w:ascii="Times New Roman" w:hAnsi="Times New Roman" w:cs="Times New Roman"/>
          <w:i/>
          <w:sz w:val="24"/>
          <w:szCs w:val="24"/>
        </w:rPr>
        <w:t>Discrimination Act 1992</w:t>
      </w:r>
      <w:r w:rsidR="00DB6E81">
        <w:rPr>
          <w:rFonts w:ascii="Times New Roman" w:hAnsi="Times New Roman" w:cs="Times New Roman"/>
          <w:sz w:val="24"/>
          <w:szCs w:val="24"/>
        </w:rPr>
        <w:t xml:space="preserve"> </w:t>
      </w:r>
      <w:r w:rsidR="006A6190">
        <w:rPr>
          <w:rFonts w:ascii="Times New Roman" w:hAnsi="Times New Roman" w:cs="Times New Roman"/>
          <w:sz w:val="24"/>
          <w:szCs w:val="24"/>
        </w:rPr>
        <w:t xml:space="preserve">(Cth) </w:t>
      </w:r>
      <w:r w:rsidR="00DB6E81">
        <w:rPr>
          <w:rFonts w:ascii="Times New Roman" w:hAnsi="Times New Roman" w:cs="Times New Roman"/>
          <w:sz w:val="24"/>
          <w:szCs w:val="24"/>
        </w:rPr>
        <w:t xml:space="preserve">(DDA) </w:t>
      </w:r>
      <w:r w:rsidRPr="00347E81">
        <w:rPr>
          <w:rFonts w:ascii="Times New Roman" w:hAnsi="Times New Roman" w:cs="Times New Roman"/>
          <w:sz w:val="24"/>
          <w:szCs w:val="24"/>
        </w:rPr>
        <w:t>and the Convention</w:t>
      </w:r>
      <w:r w:rsidR="00DB6E81">
        <w:rPr>
          <w:rFonts w:ascii="Times New Roman" w:hAnsi="Times New Roman" w:cs="Times New Roman"/>
          <w:sz w:val="24"/>
          <w:szCs w:val="24"/>
        </w:rPr>
        <w:t xml:space="preserve"> on the Rights of Persons with Disabilities (Convention)</w:t>
      </w:r>
      <w:r w:rsidRPr="00347E81">
        <w:rPr>
          <w:rFonts w:ascii="Times New Roman" w:hAnsi="Times New Roman" w:cs="Times New Roman"/>
          <w:sz w:val="24"/>
          <w:szCs w:val="24"/>
        </w:rPr>
        <w:t>.</w:t>
      </w:r>
      <w:r w:rsidR="002D6519">
        <w:rPr>
          <w:rFonts w:ascii="Times New Roman" w:hAnsi="Times New Roman" w:cs="Times New Roman"/>
          <w:sz w:val="24"/>
          <w:szCs w:val="24"/>
        </w:rPr>
        <w:t xml:space="preserve"> </w:t>
      </w:r>
      <w:r w:rsidR="002D6519" w:rsidRPr="002D6519">
        <w:rPr>
          <w:rFonts w:ascii="Times New Roman" w:hAnsi="Times New Roman" w:cs="Times New Roman"/>
          <w:sz w:val="24"/>
          <w:szCs w:val="24"/>
        </w:rPr>
        <w:t>These initiatives include awareness campaigns, celebrations for the International Day of People with Disability, and the activities of the Australian Human Rights Commission and the Disability Discrimination Commissioner</w:t>
      </w:r>
      <w:r w:rsidR="002D6519">
        <w:rPr>
          <w:rFonts w:ascii="Times New Roman" w:hAnsi="Times New Roman" w:cs="Times New Roman"/>
          <w:sz w:val="24"/>
          <w:szCs w:val="24"/>
        </w:rPr>
        <w:t xml:space="preserve"> (discussed in further detail below</w:t>
      </w:r>
      <w:r w:rsidR="00006FF4">
        <w:rPr>
          <w:rFonts w:ascii="Times New Roman" w:hAnsi="Times New Roman" w:cs="Times New Roman"/>
          <w:sz w:val="24"/>
          <w:szCs w:val="24"/>
        </w:rPr>
        <w:t xml:space="preserve"> and in response to other questions</w:t>
      </w:r>
      <w:r w:rsidR="002D6519">
        <w:rPr>
          <w:rFonts w:ascii="Times New Roman" w:hAnsi="Times New Roman" w:cs="Times New Roman"/>
          <w:sz w:val="24"/>
          <w:szCs w:val="24"/>
        </w:rPr>
        <w:t>)</w:t>
      </w:r>
      <w:r w:rsidR="002D6519" w:rsidRPr="002D6519">
        <w:rPr>
          <w:rFonts w:ascii="Times New Roman" w:hAnsi="Times New Roman" w:cs="Times New Roman"/>
          <w:sz w:val="24"/>
          <w:szCs w:val="24"/>
        </w:rPr>
        <w:t>.</w:t>
      </w:r>
      <w:r w:rsidR="00CD2D1E">
        <w:rPr>
          <w:rFonts w:ascii="Times New Roman" w:hAnsi="Times New Roman" w:cs="Times New Roman"/>
          <w:sz w:val="24"/>
          <w:szCs w:val="24"/>
        </w:rPr>
        <w:t xml:space="preserve"> </w:t>
      </w:r>
    </w:p>
    <w:p w14:paraId="38953625" w14:textId="77777777" w:rsidR="00344D76" w:rsidRDefault="00344D76" w:rsidP="00347E81">
      <w:pPr>
        <w:spacing w:after="0" w:line="240" w:lineRule="auto"/>
        <w:rPr>
          <w:rFonts w:ascii="Times New Roman" w:hAnsi="Times New Roman" w:cs="Times New Roman"/>
          <w:sz w:val="24"/>
          <w:szCs w:val="24"/>
          <w:u w:val="single"/>
        </w:rPr>
      </w:pPr>
    </w:p>
    <w:p w14:paraId="4F4B0DC5" w14:textId="77777777" w:rsidR="006A6190" w:rsidRPr="00344D76" w:rsidRDefault="00344D76" w:rsidP="00347E8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National Disability Strategy</w:t>
      </w:r>
    </w:p>
    <w:p w14:paraId="0D5C20BA" w14:textId="77777777" w:rsidR="00344D76" w:rsidRDefault="00344D76" w:rsidP="00347E81">
      <w:pPr>
        <w:spacing w:after="0" w:line="240" w:lineRule="auto"/>
        <w:rPr>
          <w:rFonts w:ascii="Times New Roman" w:hAnsi="Times New Roman" w:cs="Times New Roman"/>
          <w:sz w:val="24"/>
          <w:szCs w:val="24"/>
        </w:rPr>
      </w:pPr>
    </w:p>
    <w:p w14:paraId="2260311A" w14:textId="77777777" w:rsidR="00B0355F" w:rsidRDefault="00CA2113" w:rsidP="00B03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0A053A">
        <w:rPr>
          <w:rFonts w:ascii="Times New Roman" w:hAnsi="Times New Roman" w:cs="Times New Roman"/>
          <w:sz w:val="24"/>
          <w:szCs w:val="24"/>
        </w:rPr>
        <w:t xml:space="preserve">National Disability Strategy 2010-2020 </w:t>
      </w:r>
      <w:r w:rsidR="002D6519">
        <w:rPr>
          <w:rFonts w:ascii="Times New Roman" w:hAnsi="Times New Roman" w:cs="Times New Roman"/>
          <w:sz w:val="24"/>
          <w:szCs w:val="24"/>
        </w:rPr>
        <w:t>(</w:t>
      </w:r>
      <w:r>
        <w:rPr>
          <w:rFonts w:ascii="Times New Roman" w:hAnsi="Times New Roman" w:cs="Times New Roman"/>
          <w:sz w:val="24"/>
          <w:szCs w:val="24"/>
        </w:rPr>
        <w:t xml:space="preserve">Strategy) provides a ten-year national policy framework to improve the lives of people with disability, promote participation and create a more inclusive society. The Strategy commits all levels of government to lead a shift in community attitudes to improve outcomes for people with disability. </w:t>
      </w:r>
      <w:r w:rsidRPr="000A053A">
        <w:rPr>
          <w:rFonts w:ascii="Times New Roman" w:hAnsi="Times New Roman" w:cs="Times New Roman"/>
          <w:sz w:val="24"/>
          <w:szCs w:val="24"/>
        </w:rPr>
        <w:t>The Strategy seeks to promote awareness and understanding of the rights of people with disability, improve responses to people with disability in the justice system, ensure their safety and enable them to participate fully in the economic, civil and social life of Australia.</w:t>
      </w:r>
    </w:p>
    <w:p w14:paraId="5F486864" w14:textId="77777777" w:rsidR="00B0355F" w:rsidRDefault="00B0355F" w:rsidP="00B0355F">
      <w:pPr>
        <w:spacing w:after="0" w:line="240" w:lineRule="auto"/>
        <w:rPr>
          <w:rFonts w:ascii="Times New Roman" w:hAnsi="Times New Roman" w:cs="Times New Roman"/>
          <w:sz w:val="24"/>
          <w:szCs w:val="24"/>
        </w:rPr>
      </w:pPr>
    </w:p>
    <w:p w14:paraId="77D9BC23" w14:textId="77777777" w:rsidR="00B0355F" w:rsidRPr="00B0355F" w:rsidRDefault="00B0355F" w:rsidP="00B0355F">
      <w:pPr>
        <w:spacing w:after="0" w:line="240" w:lineRule="auto"/>
        <w:rPr>
          <w:rFonts w:ascii="Times New Roman" w:hAnsi="Times New Roman" w:cs="Times New Roman"/>
          <w:sz w:val="24"/>
          <w:szCs w:val="24"/>
        </w:rPr>
      </w:pPr>
      <w:r w:rsidRPr="00B0355F">
        <w:rPr>
          <w:rFonts w:ascii="Times New Roman" w:hAnsi="Times New Roman" w:cs="Times New Roman"/>
          <w:sz w:val="24"/>
          <w:szCs w:val="24"/>
        </w:rPr>
        <w:t xml:space="preserve">The Strategy will expire at the end of 2020. The </w:t>
      </w:r>
      <w:r>
        <w:rPr>
          <w:rFonts w:ascii="Times New Roman" w:hAnsi="Times New Roman" w:cs="Times New Roman"/>
          <w:sz w:val="24"/>
          <w:szCs w:val="24"/>
        </w:rPr>
        <w:t xml:space="preserve">Australian Government </w:t>
      </w:r>
      <w:r w:rsidRPr="00B0355F">
        <w:rPr>
          <w:rFonts w:ascii="Times New Roman" w:hAnsi="Times New Roman" w:cs="Times New Roman"/>
          <w:sz w:val="24"/>
          <w:szCs w:val="24"/>
        </w:rPr>
        <w:t xml:space="preserve">has commenced development of a future disability policy framework. Future disability policy will </w:t>
      </w:r>
      <w:r w:rsidR="003815C8">
        <w:rPr>
          <w:rFonts w:ascii="Times New Roman" w:hAnsi="Times New Roman" w:cs="Times New Roman"/>
          <w:sz w:val="24"/>
          <w:szCs w:val="24"/>
        </w:rPr>
        <w:t xml:space="preserve">consider a number of previous reviews </w:t>
      </w:r>
      <w:r w:rsidRPr="00B0355F">
        <w:rPr>
          <w:rFonts w:ascii="Times New Roman" w:hAnsi="Times New Roman" w:cs="Times New Roman"/>
          <w:sz w:val="24"/>
          <w:szCs w:val="24"/>
        </w:rPr>
        <w:t xml:space="preserve">and input from public consultations with people with disability and stakeholders. </w:t>
      </w:r>
    </w:p>
    <w:p w14:paraId="7713758F" w14:textId="77777777" w:rsidR="00CA2113" w:rsidRDefault="00CA2113" w:rsidP="00347E81">
      <w:pPr>
        <w:spacing w:after="0" w:line="240" w:lineRule="auto"/>
        <w:rPr>
          <w:rFonts w:ascii="Times New Roman" w:hAnsi="Times New Roman" w:cs="Times New Roman"/>
          <w:sz w:val="24"/>
          <w:szCs w:val="24"/>
        </w:rPr>
      </w:pPr>
    </w:p>
    <w:p w14:paraId="4091F00D" w14:textId="77777777" w:rsidR="00AE5CF2" w:rsidRPr="00344D76" w:rsidRDefault="00AE5CF2" w:rsidP="00AE5CF2">
      <w:pPr>
        <w:spacing w:after="0" w:line="240" w:lineRule="auto"/>
        <w:rPr>
          <w:rFonts w:ascii="Times New Roman" w:hAnsi="Times New Roman" w:cs="Times New Roman"/>
          <w:sz w:val="24"/>
          <w:szCs w:val="24"/>
          <w:u w:val="single"/>
        </w:rPr>
      </w:pPr>
      <w:bookmarkStart w:id="1" w:name="_Toc12863436"/>
      <w:r w:rsidRPr="00344D76">
        <w:rPr>
          <w:rFonts w:ascii="Times New Roman" w:hAnsi="Times New Roman" w:cs="Times New Roman"/>
          <w:sz w:val="24"/>
          <w:szCs w:val="24"/>
          <w:u w:val="single"/>
        </w:rPr>
        <w:t>The Australian Human Rights Commission and the Disability Discrimination Commissioner</w:t>
      </w:r>
      <w:bookmarkEnd w:id="1"/>
    </w:p>
    <w:p w14:paraId="39B2FB5D" w14:textId="77777777" w:rsidR="00AE5CF2" w:rsidRDefault="00AE5CF2" w:rsidP="00AE5CF2">
      <w:pPr>
        <w:spacing w:after="0" w:line="240" w:lineRule="auto"/>
        <w:rPr>
          <w:rFonts w:ascii="Times New Roman" w:hAnsi="Times New Roman" w:cs="Times New Roman"/>
          <w:sz w:val="24"/>
          <w:szCs w:val="24"/>
        </w:rPr>
      </w:pPr>
    </w:p>
    <w:p w14:paraId="2261F40E" w14:textId="77777777" w:rsidR="00AE5CF2" w:rsidRDefault="00AE5CF2" w:rsidP="00AE5CF2">
      <w:pPr>
        <w:spacing w:after="0" w:line="240" w:lineRule="auto"/>
        <w:rPr>
          <w:rFonts w:ascii="Times New Roman" w:hAnsi="Times New Roman" w:cs="Times New Roman"/>
          <w:sz w:val="24"/>
          <w:szCs w:val="24"/>
        </w:rPr>
      </w:pPr>
      <w:r w:rsidRPr="00AE5CF2">
        <w:rPr>
          <w:rFonts w:ascii="Times New Roman" w:hAnsi="Times New Roman" w:cs="Times New Roman"/>
          <w:sz w:val="24"/>
          <w:szCs w:val="24"/>
        </w:rPr>
        <w:t>The Australi</w:t>
      </w:r>
      <w:r w:rsidR="002D6519">
        <w:rPr>
          <w:rFonts w:ascii="Times New Roman" w:hAnsi="Times New Roman" w:cs="Times New Roman"/>
          <w:sz w:val="24"/>
          <w:szCs w:val="24"/>
        </w:rPr>
        <w:t>an Human Rights Commission (</w:t>
      </w:r>
      <w:r w:rsidRPr="00AE5CF2">
        <w:rPr>
          <w:rFonts w:ascii="Times New Roman" w:hAnsi="Times New Roman" w:cs="Times New Roman"/>
          <w:sz w:val="24"/>
          <w:szCs w:val="24"/>
        </w:rPr>
        <w:t>AHRC) and the Disability Discrimination Commissioner play an important awareness</w:t>
      </w:r>
      <w:r w:rsidRPr="00AE5CF2">
        <w:rPr>
          <w:rFonts w:ascii="Times New Roman" w:hAnsi="Times New Roman" w:cs="Times New Roman"/>
          <w:sz w:val="24"/>
          <w:szCs w:val="24"/>
        </w:rPr>
        <w:noBreakHyphen/>
        <w:t>raising role. The AHRC undertakes educational programs to raise awareness of the human rights of persons with disabilities. The AHRC ensures that persons with disabilities are actively involved and represented in its awareness campaigns and strategies. Publications produced by the AHRC must be accessible to persons with disabilities.</w:t>
      </w:r>
    </w:p>
    <w:p w14:paraId="22DC8BB0" w14:textId="77777777" w:rsidR="00AE5CF2" w:rsidRPr="00AE5CF2" w:rsidRDefault="00AE5CF2" w:rsidP="00AE5CF2">
      <w:pPr>
        <w:spacing w:after="0" w:line="240" w:lineRule="auto"/>
        <w:rPr>
          <w:rFonts w:ascii="Times New Roman" w:hAnsi="Times New Roman" w:cs="Times New Roman"/>
          <w:sz w:val="24"/>
          <w:szCs w:val="24"/>
        </w:rPr>
      </w:pPr>
    </w:p>
    <w:p w14:paraId="01E7A72C" w14:textId="77777777" w:rsidR="00AE5CF2" w:rsidRPr="00344D76" w:rsidRDefault="00D507A8" w:rsidP="00A80D26">
      <w:pPr>
        <w:keepNext/>
        <w:keepLines/>
        <w:spacing w:after="0" w:line="240" w:lineRule="auto"/>
        <w:rPr>
          <w:rFonts w:ascii="Times New Roman" w:hAnsi="Times New Roman" w:cs="Times New Roman"/>
          <w:sz w:val="24"/>
          <w:szCs w:val="24"/>
          <w:u w:val="single"/>
        </w:rPr>
      </w:pPr>
      <w:bookmarkStart w:id="2" w:name="_Toc10196634"/>
      <w:bookmarkStart w:id="3" w:name="_Toc10197294"/>
      <w:bookmarkStart w:id="4" w:name="_Toc12863437"/>
      <w:bookmarkEnd w:id="2"/>
      <w:bookmarkEnd w:id="3"/>
      <w:r>
        <w:rPr>
          <w:rFonts w:ascii="Times New Roman" w:hAnsi="Times New Roman" w:cs="Times New Roman"/>
          <w:sz w:val="24"/>
          <w:szCs w:val="24"/>
          <w:u w:val="single"/>
        </w:rPr>
        <w:lastRenderedPageBreak/>
        <w:t>States and t</w:t>
      </w:r>
      <w:r w:rsidR="00AE5CF2" w:rsidRPr="00344D76">
        <w:rPr>
          <w:rFonts w:ascii="Times New Roman" w:hAnsi="Times New Roman" w:cs="Times New Roman"/>
          <w:sz w:val="24"/>
          <w:szCs w:val="24"/>
          <w:u w:val="single"/>
        </w:rPr>
        <w:t>erritories</w:t>
      </w:r>
      <w:bookmarkEnd w:id="4"/>
    </w:p>
    <w:p w14:paraId="2F04FA5C" w14:textId="77777777" w:rsidR="00AE5CF2" w:rsidRDefault="00AE5CF2" w:rsidP="00A80D26">
      <w:pPr>
        <w:keepNext/>
        <w:keepLines/>
        <w:spacing w:after="0" w:line="240" w:lineRule="auto"/>
        <w:rPr>
          <w:rFonts w:ascii="Times New Roman" w:hAnsi="Times New Roman" w:cs="Times New Roman"/>
          <w:sz w:val="24"/>
          <w:szCs w:val="24"/>
        </w:rPr>
      </w:pPr>
    </w:p>
    <w:p w14:paraId="6D0557D0" w14:textId="77777777" w:rsidR="00AE5CF2" w:rsidRDefault="00AE5CF2" w:rsidP="00A80D26">
      <w:pPr>
        <w:keepNext/>
        <w:keepLines/>
        <w:spacing w:after="0" w:line="240" w:lineRule="auto"/>
        <w:rPr>
          <w:rFonts w:ascii="Times New Roman" w:hAnsi="Times New Roman" w:cs="Times New Roman"/>
          <w:sz w:val="24"/>
          <w:szCs w:val="24"/>
        </w:rPr>
      </w:pPr>
      <w:r w:rsidRPr="00AE5CF2">
        <w:rPr>
          <w:rFonts w:ascii="Times New Roman" w:hAnsi="Times New Roman" w:cs="Times New Roman"/>
          <w:sz w:val="24"/>
          <w:szCs w:val="24"/>
        </w:rPr>
        <w:t>Australian states and territories also undertake awareness-raising measures to promote human rights and to raise awareness of people with disabilities. For</w:t>
      </w:r>
      <w:r w:rsidR="00006FF4">
        <w:rPr>
          <w:rFonts w:ascii="Times New Roman" w:hAnsi="Times New Roman" w:cs="Times New Roman"/>
          <w:sz w:val="24"/>
          <w:szCs w:val="24"/>
        </w:rPr>
        <w:t xml:space="preserve"> example, in NSW, the ‘Don’t </w:t>
      </w:r>
      <w:r w:rsidRPr="00AE5CF2">
        <w:rPr>
          <w:rFonts w:ascii="Times New Roman" w:hAnsi="Times New Roman" w:cs="Times New Roman"/>
          <w:sz w:val="24"/>
          <w:szCs w:val="24"/>
        </w:rPr>
        <w:t xml:space="preserve">Dis My Ability’ campaign has run for 14 years, promoting active inclusion of persons with disabilities, providing a narrative of the experience of persons with disabilities and celebrating their diversity. Established in 2007, the Victorian Disability Advisory Council is a statutory authority that provides independent advice on disability issues. The Council has a mandate to monitor plans and strategies and to raise awareness of the rights of people with disability and the role of government, communities and businesses in realising those rights. In Queensland, </w:t>
      </w:r>
      <w:r w:rsidR="00006FF4">
        <w:rPr>
          <w:rFonts w:ascii="Times New Roman" w:hAnsi="Times New Roman" w:cs="Times New Roman"/>
          <w:sz w:val="24"/>
          <w:szCs w:val="24"/>
        </w:rPr>
        <w:t>‘</w:t>
      </w:r>
      <w:r w:rsidRPr="00AE5CF2">
        <w:rPr>
          <w:rFonts w:ascii="Times New Roman" w:hAnsi="Times New Roman" w:cs="Times New Roman"/>
          <w:sz w:val="24"/>
          <w:szCs w:val="24"/>
        </w:rPr>
        <w:t>Disability Action Week</w:t>
      </w:r>
      <w:r w:rsidR="00006FF4">
        <w:rPr>
          <w:rFonts w:ascii="Times New Roman" w:hAnsi="Times New Roman" w:cs="Times New Roman"/>
          <w:sz w:val="24"/>
          <w:szCs w:val="24"/>
        </w:rPr>
        <w:t>’</w:t>
      </w:r>
      <w:r w:rsidRPr="00AE5CF2">
        <w:rPr>
          <w:rFonts w:ascii="Times New Roman" w:hAnsi="Times New Roman" w:cs="Times New Roman"/>
          <w:sz w:val="24"/>
          <w:szCs w:val="24"/>
        </w:rPr>
        <w:t xml:space="preserve"> is held annually in September. It aims to empower people with disability, raise awareness of disability issues, and improve access and inclusion throughout the wider community.</w:t>
      </w:r>
    </w:p>
    <w:p w14:paraId="0106C6D8" w14:textId="77777777" w:rsidR="00546BE8" w:rsidRPr="00AE5CF2" w:rsidRDefault="00546BE8" w:rsidP="00AE5CF2">
      <w:pPr>
        <w:spacing w:after="0" w:line="240" w:lineRule="auto"/>
        <w:rPr>
          <w:rFonts w:ascii="Times New Roman" w:hAnsi="Times New Roman" w:cs="Times New Roman"/>
          <w:sz w:val="24"/>
          <w:szCs w:val="24"/>
        </w:rPr>
      </w:pPr>
    </w:p>
    <w:p w14:paraId="7C06FEBE" w14:textId="77777777" w:rsidR="00AE5CF2" w:rsidRPr="00AE5CF2" w:rsidRDefault="00AE5CF2" w:rsidP="00AE5CF2">
      <w:pPr>
        <w:spacing w:after="0" w:line="240" w:lineRule="auto"/>
        <w:rPr>
          <w:rFonts w:ascii="Times New Roman" w:hAnsi="Times New Roman" w:cs="Times New Roman"/>
          <w:sz w:val="24"/>
          <w:szCs w:val="24"/>
        </w:rPr>
      </w:pPr>
      <w:r w:rsidRPr="00AE5CF2">
        <w:rPr>
          <w:rFonts w:ascii="Times New Roman" w:hAnsi="Times New Roman" w:cs="Times New Roman"/>
          <w:sz w:val="24"/>
          <w:szCs w:val="24"/>
        </w:rPr>
        <w:t xml:space="preserve">More generally, Australia raises awareness of people with disability in schools as well as with people working in core professions, such as the judiciary, medical and health professionals, public servants and teachers. </w:t>
      </w:r>
    </w:p>
    <w:p w14:paraId="3367BAA8" w14:textId="77777777" w:rsidR="00546BE8" w:rsidRDefault="00546BE8" w:rsidP="00347E81">
      <w:pPr>
        <w:spacing w:after="0" w:line="240" w:lineRule="auto"/>
        <w:rPr>
          <w:rFonts w:ascii="Times New Roman" w:hAnsi="Times New Roman" w:cs="Times New Roman"/>
          <w:sz w:val="24"/>
          <w:szCs w:val="24"/>
          <w:u w:val="single"/>
        </w:rPr>
      </w:pPr>
    </w:p>
    <w:p w14:paraId="2D70992C" w14:textId="77777777" w:rsidR="00CD2D1E" w:rsidRPr="00CD2D1E" w:rsidRDefault="00D507A8" w:rsidP="00347E8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Disability a</w:t>
      </w:r>
      <w:r w:rsidR="00CD2D1E" w:rsidRPr="00CD2D1E">
        <w:rPr>
          <w:rFonts w:ascii="Times New Roman" w:hAnsi="Times New Roman" w:cs="Times New Roman"/>
          <w:sz w:val="24"/>
          <w:szCs w:val="24"/>
          <w:u w:val="single"/>
        </w:rPr>
        <w:t>dvocacy</w:t>
      </w:r>
    </w:p>
    <w:p w14:paraId="53B0F42A" w14:textId="77777777" w:rsidR="00CD2D1E" w:rsidRDefault="00CD2D1E" w:rsidP="00347E81">
      <w:pPr>
        <w:spacing w:after="0" w:line="240" w:lineRule="auto"/>
        <w:rPr>
          <w:rFonts w:ascii="Times New Roman" w:hAnsi="Times New Roman" w:cs="Times New Roman"/>
          <w:sz w:val="24"/>
          <w:szCs w:val="24"/>
        </w:rPr>
      </w:pPr>
    </w:p>
    <w:p w14:paraId="4693DE87" w14:textId="77777777" w:rsidR="00347E81" w:rsidRDefault="00347E81" w:rsidP="00347E81">
      <w:p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 xml:space="preserve">The </w:t>
      </w:r>
      <w:r w:rsidR="00CA2113">
        <w:rPr>
          <w:rFonts w:ascii="Times New Roman" w:hAnsi="Times New Roman" w:cs="Times New Roman"/>
          <w:sz w:val="24"/>
          <w:szCs w:val="24"/>
        </w:rPr>
        <w:t>Australian Government</w:t>
      </w:r>
      <w:r w:rsidRPr="00347E81">
        <w:rPr>
          <w:rFonts w:ascii="Times New Roman" w:hAnsi="Times New Roman" w:cs="Times New Roman"/>
          <w:sz w:val="24"/>
          <w:szCs w:val="24"/>
        </w:rPr>
        <w:t xml:space="preserve"> is committed to independent disability advocacy, with funding provided through the National Disability Advocacy Program (NDAP), the National Disability Insurance Scheme (NDIS) Appeals program and the Disability Representative Organisations (DRO) program.</w:t>
      </w:r>
    </w:p>
    <w:p w14:paraId="31CCB0C5" w14:textId="77777777" w:rsidR="00347E81" w:rsidRPr="00347E81" w:rsidRDefault="00347E81" w:rsidP="00347E81">
      <w:pPr>
        <w:spacing w:after="0" w:line="240" w:lineRule="auto"/>
        <w:rPr>
          <w:rFonts w:ascii="Times New Roman" w:hAnsi="Times New Roman" w:cs="Times New Roman"/>
          <w:sz w:val="24"/>
          <w:szCs w:val="24"/>
        </w:rPr>
      </w:pPr>
    </w:p>
    <w:p w14:paraId="14A6333C" w14:textId="77777777" w:rsidR="00347E81" w:rsidRDefault="00347E81" w:rsidP="00347E81">
      <w:p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The NDAP provides individual people with disability access to effective disability advocacy that promotes, protects and ensures their full and equal enjoyment of all human rights enabling community participation. 59 organisations are funded across Australia to deliver advocacy on a wide range of issues affecting people with disability.</w:t>
      </w:r>
    </w:p>
    <w:p w14:paraId="47084B14" w14:textId="77777777" w:rsidR="00347E81" w:rsidRPr="00347E81" w:rsidRDefault="00347E81" w:rsidP="00347E81">
      <w:pPr>
        <w:spacing w:after="0" w:line="240" w:lineRule="auto"/>
        <w:rPr>
          <w:rFonts w:ascii="Times New Roman" w:hAnsi="Times New Roman" w:cs="Times New Roman"/>
          <w:sz w:val="24"/>
          <w:szCs w:val="24"/>
        </w:rPr>
      </w:pPr>
    </w:p>
    <w:p w14:paraId="243526A5" w14:textId="77777777" w:rsidR="00347E81" w:rsidRDefault="00347E81" w:rsidP="00347E81">
      <w:p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The NDIS Appeals program was established to ensure that people with disability, and other people affected by reviewable decisions of the National Disability Insurance Agency (NDIA) have access to support when seeking review of those decisions in the Administrative Appeals Tribunal. 50 organisations are funded across Australia to provide NDIS Appeals advocacy and legal assistance.</w:t>
      </w:r>
    </w:p>
    <w:p w14:paraId="26183C65" w14:textId="77777777" w:rsidR="00347E81" w:rsidRPr="00347E81" w:rsidRDefault="00347E81" w:rsidP="00347E81">
      <w:pPr>
        <w:spacing w:after="0" w:line="240" w:lineRule="auto"/>
        <w:rPr>
          <w:rFonts w:ascii="Times New Roman" w:hAnsi="Times New Roman" w:cs="Times New Roman"/>
          <w:sz w:val="24"/>
          <w:szCs w:val="24"/>
        </w:rPr>
      </w:pPr>
    </w:p>
    <w:p w14:paraId="0AD1A7DE" w14:textId="77777777" w:rsidR="00B54CD4" w:rsidRDefault="00347E81" w:rsidP="00347E81">
      <w:p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The DRO program funds eight national organisations to provide representation and systemic advocacy for Australians with disability to:</w:t>
      </w:r>
    </w:p>
    <w:p w14:paraId="28219377" w14:textId="77777777" w:rsidR="00347E81" w:rsidRPr="00347E81" w:rsidRDefault="00347E81" w:rsidP="00347E81">
      <w:pPr>
        <w:pStyle w:val="ListParagraph"/>
        <w:numPr>
          <w:ilvl w:val="0"/>
          <w:numId w:val="15"/>
        </w:num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promote an understanding of the lives of people with disability</w:t>
      </w:r>
    </w:p>
    <w:p w14:paraId="2B230F54" w14:textId="77777777" w:rsidR="00347E81" w:rsidRPr="00347E81" w:rsidRDefault="00347E81" w:rsidP="00347E81">
      <w:pPr>
        <w:pStyle w:val="ListParagraph"/>
        <w:numPr>
          <w:ilvl w:val="0"/>
          <w:numId w:val="15"/>
        </w:num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promote and protect the rights and dignity of people with disability</w:t>
      </w:r>
    </w:p>
    <w:p w14:paraId="7B0FCDD9" w14:textId="77777777" w:rsidR="00347E81" w:rsidRPr="00347E81" w:rsidRDefault="00347E81" w:rsidP="00347E81">
      <w:pPr>
        <w:pStyle w:val="ListParagraph"/>
        <w:numPr>
          <w:ilvl w:val="0"/>
          <w:numId w:val="15"/>
        </w:num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support service providers in delivering services to people with disability</w:t>
      </w:r>
      <w:r w:rsidR="008B5E37">
        <w:rPr>
          <w:rFonts w:ascii="Times New Roman" w:hAnsi="Times New Roman" w:cs="Times New Roman"/>
          <w:sz w:val="24"/>
          <w:szCs w:val="24"/>
        </w:rPr>
        <w:t>, and</w:t>
      </w:r>
    </w:p>
    <w:p w14:paraId="2858F0D9" w14:textId="77777777" w:rsidR="00347E81" w:rsidRDefault="00347E81" w:rsidP="00347E81">
      <w:pPr>
        <w:pStyle w:val="ListParagraph"/>
        <w:numPr>
          <w:ilvl w:val="0"/>
          <w:numId w:val="15"/>
        </w:numPr>
        <w:spacing w:after="0" w:line="240" w:lineRule="auto"/>
        <w:rPr>
          <w:rFonts w:ascii="Times New Roman" w:hAnsi="Times New Roman" w:cs="Times New Roman"/>
          <w:sz w:val="24"/>
          <w:szCs w:val="24"/>
        </w:rPr>
      </w:pPr>
      <w:r w:rsidRPr="00347E81">
        <w:rPr>
          <w:rFonts w:ascii="Times New Roman" w:hAnsi="Times New Roman" w:cs="Times New Roman"/>
          <w:sz w:val="24"/>
          <w:szCs w:val="24"/>
        </w:rPr>
        <w:t>foster support for the participation of people with disability in all aspects of community life.</w:t>
      </w:r>
    </w:p>
    <w:p w14:paraId="771C87C6" w14:textId="77777777" w:rsidR="00E22A49" w:rsidRDefault="00E22A49" w:rsidP="00E22A49">
      <w:pPr>
        <w:spacing w:after="0" w:line="240" w:lineRule="auto"/>
        <w:rPr>
          <w:rFonts w:ascii="Times New Roman" w:hAnsi="Times New Roman" w:cs="Times New Roman"/>
          <w:sz w:val="24"/>
          <w:szCs w:val="24"/>
        </w:rPr>
      </w:pPr>
    </w:p>
    <w:p w14:paraId="1C91BA0F" w14:textId="77777777" w:rsidR="00E22A49" w:rsidRPr="00E22A49" w:rsidRDefault="00E22A49" w:rsidP="00E22A49">
      <w:pPr>
        <w:spacing w:after="0" w:line="240" w:lineRule="auto"/>
        <w:rPr>
          <w:rFonts w:ascii="Times New Roman" w:hAnsi="Times New Roman" w:cs="Times New Roman"/>
          <w:sz w:val="24"/>
          <w:szCs w:val="24"/>
          <w:u w:val="single"/>
        </w:rPr>
      </w:pPr>
      <w:r w:rsidRPr="00E22A49">
        <w:rPr>
          <w:rFonts w:ascii="Times New Roman" w:hAnsi="Times New Roman" w:cs="Times New Roman"/>
          <w:sz w:val="24"/>
          <w:szCs w:val="24"/>
          <w:u w:val="single"/>
        </w:rPr>
        <w:t>Restrictive practices</w:t>
      </w:r>
    </w:p>
    <w:p w14:paraId="1D9B8022" w14:textId="77777777" w:rsidR="00E22A49" w:rsidRDefault="00E22A49" w:rsidP="00E22A49">
      <w:pPr>
        <w:spacing w:after="0" w:line="240" w:lineRule="auto"/>
        <w:rPr>
          <w:rFonts w:ascii="Times New Roman" w:hAnsi="Times New Roman" w:cs="Times New Roman"/>
          <w:sz w:val="24"/>
          <w:szCs w:val="24"/>
        </w:rPr>
      </w:pPr>
    </w:p>
    <w:p w14:paraId="718F520B" w14:textId="77777777" w:rsidR="006F6A88"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 xml:space="preserve">Australia is committed to working towards the elimination of restrictive practices, supporting an approach that restrictive practice is a last resort and the dignity and </w:t>
      </w:r>
      <w:r w:rsidR="008F7655" w:rsidRPr="007E5DBE">
        <w:rPr>
          <w:rFonts w:ascii="Times New Roman" w:hAnsi="Times New Roman" w:cs="Times New Roman"/>
          <w:sz w:val="24"/>
          <w:szCs w:val="24"/>
        </w:rPr>
        <w:t>hum</w:t>
      </w:r>
      <w:r w:rsidR="008F7655">
        <w:rPr>
          <w:rFonts w:ascii="Times New Roman" w:hAnsi="Times New Roman" w:cs="Times New Roman"/>
          <w:sz w:val="24"/>
          <w:szCs w:val="24"/>
        </w:rPr>
        <w:t>a</w:t>
      </w:r>
      <w:r w:rsidR="008F7655" w:rsidRPr="007E5DBE">
        <w:rPr>
          <w:rFonts w:ascii="Times New Roman" w:hAnsi="Times New Roman" w:cs="Times New Roman"/>
          <w:sz w:val="24"/>
          <w:szCs w:val="24"/>
        </w:rPr>
        <w:t>n</w:t>
      </w:r>
      <w:r w:rsidRPr="007E5DBE">
        <w:rPr>
          <w:rFonts w:ascii="Times New Roman" w:hAnsi="Times New Roman" w:cs="Times New Roman"/>
          <w:sz w:val="24"/>
          <w:szCs w:val="24"/>
        </w:rPr>
        <w:t xml:space="preserve"> rights of people accessing services should be respected and supported at all times. Some states and territories </w:t>
      </w:r>
      <w:r w:rsidRPr="007E5DBE">
        <w:rPr>
          <w:rFonts w:ascii="Times New Roman" w:hAnsi="Times New Roman" w:cs="Times New Roman"/>
          <w:sz w:val="24"/>
          <w:szCs w:val="24"/>
        </w:rPr>
        <w:lastRenderedPageBreak/>
        <w:t>have legislation in place to ensure the use of seclusion and restraint is a last resort, meets appropriate standards, is reported to a responsible body and then reviewed.</w:t>
      </w:r>
      <w:r w:rsidR="006F6A88">
        <w:rPr>
          <w:rStyle w:val="FootnoteReference"/>
          <w:rFonts w:ascii="Times New Roman" w:hAnsi="Times New Roman" w:cs="Times New Roman"/>
          <w:sz w:val="24"/>
          <w:szCs w:val="24"/>
        </w:rPr>
        <w:footnoteReference w:id="1"/>
      </w:r>
    </w:p>
    <w:p w14:paraId="224B6AF5" w14:textId="77777777" w:rsidR="007E5DBE" w:rsidRPr="007E5DBE"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Some jurisdictions also have bodies that provide an education role, through the development of best practice guidelines and recommending alternative support options that avoid the use of restrictive practices.</w:t>
      </w:r>
      <w:r w:rsidR="006F6A88">
        <w:rPr>
          <w:rStyle w:val="FootnoteReference"/>
          <w:rFonts w:ascii="Times New Roman" w:hAnsi="Times New Roman" w:cs="Times New Roman"/>
          <w:sz w:val="24"/>
          <w:szCs w:val="24"/>
        </w:rPr>
        <w:footnoteReference w:id="2"/>
      </w:r>
    </w:p>
    <w:p w14:paraId="4252EF54" w14:textId="77777777" w:rsidR="007E5DBE" w:rsidRDefault="007E5DBE" w:rsidP="007E5DBE">
      <w:pPr>
        <w:spacing w:after="0" w:line="240" w:lineRule="auto"/>
        <w:rPr>
          <w:rFonts w:ascii="Times New Roman" w:hAnsi="Times New Roman" w:cs="Times New Roman"/>
          <w:sz w:val="24"/>
          <w:szCs w:val="24"/>
        </w:rPr>
      </w:pPr>
    </w:p>
    <w:p w14:paraId="02B43772" w14:textId="77777777" w:rsidR="007E5DBE" w:rsidRPr="007E5DBE"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Under the auspice of Australian Health Ministers’ Advisory Council, twelve national forums on restrictive practices have been held to share results and support broader change efforts towards the elimination of restrictive practices. The last forum was held on 7-8 November 2018 in Tasmania. Data from the AIHW on the use of seclusion and restraint in Australian specialised public mental health hospital services shows a significant reduction in the use of seclusion, with the rate of seclusion events almost halving since 2009-10.</w:t>
      </w:r>
      <w:r w:rsidR="006F6A88">
        <w:rPr>
          <w:rStyle w:val="FootnoteReference"/>
          <w:rFonts w:ascii="Times New Roman" w:hAnsi="Times New Roman" w:cs="Times New Roman"/>
          <w:sz w:val="24"/>
          <w:szCs w:val="24"/>
        </w:rPr>
        <w:footnoteReference w:id="3"/>
      </w:r>
    </w:p>
    <w:p w14:paraId="56BFC04B" w14:textId="77777777" w:rsidR="007E5DBE" w:rsidRDefault="007E5DBE" w:rsidP="007E5DBE">
      <w:pPr>
        <w:spacing w:after="0" w:line="240" w:lineRule="auto"/>
        <w:rPr>
          <w:rFonts w:ascii="Times New Roman" w:hAnsi="Times New Roman" w:cs="Times New Roman"/>
          <w:sz w:val="24"/>
          <w:szCs w:val="24"/>
        </w:rPr>
      </w:pPr>
    </w:p>
    <w:p w14:paraId="1540D9B6" w14:textId="77777777" w:rsidR="007E5DBE"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 xml:space="preserve">The </w:t>
      </w:r>
      <w:r w:rsidRPr="00BB2139">
        <w:rPr>
          <w:rFonts w:ascii="Times New Roman" w:hAnsi="Times New Roman" w:cs="Times New Roman"/>
          <w:i/>
          <w:sz w:val="24"/>
          <w:szCs w:val="24"/>
        </w:rPr>
        <w:t>National Standards for Mental Health Services 2010</w:t>
      </w:r>
      <w:r w:rsidRPr="007E5DBE">
        <w:rPr>
          <w:rFonts w:ascii="Times New Roman" w:hAnsi="Times New Roman" w:cs="Times New Roman"/>
          <w:sz w:val="24"/>
          <w:szCs w:val="24"/>
        </w:rPr>
        <w:t xml:space="preserve"> includes a standard specifically related to client safety with the criteria that the mental health service reduces and, where possible, eliminates the use of restraint and seclusion within all settings. </w:t>
      </w:r>
    </w:p>
    <w:p w14:paraId="73ECEB23" w14:textId="77777777" w:rsidR="007E5DBE" w:rsidRPr="007E5DBE" w:rsidRDefault="007E5DBE" w:rsidP="007E5DBE">
      <w:pPr>
        <w:spacing w:after="0" w:line="240" w:lineRule="auto"/>
        <w:rPr>
          <w:rFonts w:ascii="Times New Roman" w:hAnsi="Times New Roman" w:cs="Times New Roman"/>
          <w:sz w:val="24"/>
          <w:szCs w:val="24"/>
        </w:rPr>
      </w:pPr>
    </w:p>
    <w:p w14:paraId="63059D9E" w14:textId="77777777" w:rsidR="007E5DBE"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 xml:space="preserve">Australia's National Mental Health Commission (Mental Health Commission) has commissioned a project by the Australian College of Mental Health Nurses (ACMHN) to help build the evidence base for reducing the use of seclusion and restraint. The project specifically seeks to better understand the factors that impact on and influence the decisions of frontline workers, such as mental health nurses. The Mental Health Commission is also currently working with the ACMHN to progress recommendations made in its report </w:t>
      </w:r>
      <w:r w:rsidRPr="00DD5D8A">
        <w:rPr>
          <w:rFonts w:ascii="Times New Roman" w:hAnsi="Times New Roman" w:cs="Times New Roman"/>
          <w:i/>
          <w:sz w:val="24"/>
          <w:szCs w:val="24"/>
        </w:rPr>
        <w:t>Supporting Mental Health Professionals Through Cultural and Clinical Change: Facilitating ongoing reduction in seclusion and restraint in mental health settings in Australia</w:t>
      </w:r>
      <w:r w:rsidRPr="007E5DBE">
        <w:rPr>
          <w:rFonts w:ascii="Times New Roman" w:hAnsi="Times New Roman" w:cs="Times New Roman"/>
          <w:sz w:val="24"/>
          <w:szCs w:val="24"/>
        </w:rPr>
        <w:t xml:space="preserve">. </w:t>
      </w:r>
    </w:p>
    <w:p w14:paraId="697C92A2" w14:textId="77777777" w:rsidR="007E5DBE" w:rsidRPr="007E5DBE" w:rsidRDefault="007E5DBE" w:rsidP="007E5DBE">
      <w:pPr>
        <w:spacing w:after="0" w:line="240" w:lineRule="auto"/>
        <w:rPr>
          <w:rFonts w:ascii="Times New Roman" w:hAnsi="Times New Roman" w:cs="Times New Roman"/>
          <w:sz w:val="24"/>
          <w:szCs w:val="24"/>
        </w:rPr>
      </w:pPr>
    </w:p>
    <w:p w14:paraId="6B1241B1" w14:textId="77777777" w:rsidR="007E5DBE" w:rsidRDefault="007E5DBE" w:rsidP="007E5DBE">
      <w:pPr>
        <w:spacing w:after="0" w:line="240" w:lineRule="auto"/>
        <w:rPr>
          <w:rFonts w:ascii="Times New Roman" w:hAnsi="Times New Roman" w:cs="Times New Roman"/>
          <w:sz w:val="24"/>
          <w:szCs w:val="24"/>
        </w:rPr>
      </w:pPr>
      <w:r w:rsidRPr="007E5DBE">
        <w:rPr>
          <w:rFonts w:ascii="Times New Roman" w:hAnsi="Times New Roman" w:cs="Times New Roman"/>
          <w:sz w:val="24"/>
          <w:szCs w:val="24"/>
        </w:rPr>
        <w:t xml:space="preserve">The use of seclusion and restraint is an area of ongoing review and reform for states and territories. For example, the NSW government recently accepted recommendations from a 2017 independent Review of seclusion, restraint and observation of consumers with a mental illness in NSW Health facilities and committed $20 million to improve the therapeutic environment inside acute mental health units in NSW. </w:t>
      </w:r>
    </w:p>
    <w:p w14:paraId="366F1245" w14:textId="77777777" w:rsidR="007E5DBE" w:rsidRPr="007E5DBE" w:rsidRDefault="007E5DBE" w:rsidP="007E5DBE">
      <w:pPr>
        <w:spacing w:after="0" w:line="240" w:lineRule="auto"/>
        <w:rPr>
          <w:rFonts w:ascii="Times New Roman" w:hAnsi="Times New Roman" w:cs="Times New Roman"/>
          <w:sz w:val="24"/>
          <w:szCs w:val="24"/>
        </w:rPr>
      </w:pPr>
    </w:p>
    <w:p w14:paraId="5E1CBB5A" w14:textId="77777777" w:rsidR="00B54CD4" w:rsidRPr="00B54CD4" w:rsidRDefault="00B54CD4" w:rsidP="00245988">
      <w:pPr>
        <w:spacing w:after="0" w:line="240" w:lineRule="auto"/>
        <w:rPr>
          <w:rFonts w:ascii="Times New Roman" w:hAnsi="Times New Roman" w:cs="Times New Roman"/>
          <w:sz w:val="24"/>
          <w:szCs w:val="24"/>
          <w:u w:val="single"/>
        </w:rPr>
      </w:pPr>
      <w:r w:rsidRPr="00B54CD4">
        <w:rPr>
          <w:rFonts w:ascii="Times New Roman" w:hAnsi="Times New Roman" w:cs="Times New Roman"/>
          <w:sz w:val="24"/>
          <w:szCs w:val="24"/>
          <w:u w:val="single"/>
        </w:rPr>
        <w:t>Challenges for implementation</w:t>
      </w:r>
    </w:p>
    <w:p w14:paraId="0F4C672E" w14:textId="77777777" w:rsidR="00B54CD4" w:rsidRDefault="00B54CD4" w:rsidP="00245988">
      <w:pPr>
        <w:spacing w:after="0" w:line="240" w:lineRule="auto"/>
        <w:rPr>
          <w:rFonts w:ascii="Times New Roman" w:hAnsi="Times New Roman" w:cs="Times New Roman"/>
          <w:sz w:val="24"/>
          <w:szCs w:val="24"/>
        </w:rPr>
      </w:pPr>
    </w:p>
    <w:p w14:paraId="011F1061" w14:textId="77777777" w:rsidR="00B54CD4" w:rsidRDefault="00B54CD4" w:rsidP="00B54CD4">
      <w:pPr>
        <w:spacing w:after="0" w:line="240" w:lineRule="auto"/>
        <w:rPr>
          <w:rFonts w:ascii="Times New Roman" w:hAnsi="Times New Roman" w:cs="Times New Roman"/>
          <w:sz w:val="24"/>
          <w:szCs w:val="24"/>
        </w:rPr>
      </w:pPr>
      <w:r w:rsidRPr="00B54CD4">
        <w:rPr>
          <w:rFonts w:ascii="Times New Roman" w:hAnsi="Times New Roman" w:cs="Times New Roman"/>
          <w:sz w:val="24"/>
          <w:szCs w:val="24"/>
        </w:rPr>
        <w:t>Although the DDA makes it unlawful to discriminate against people on the basis of disability in key areas of public life, it does not impose positive obligations to raise awareness of</w:t>
      </w:r>
      <w:r>
        <w:rPr>
          <w:rFonts w:ascii="Times New Roman" w:hAnsi="Times New Roman" w:cs="Times New Roman"/>
          <w:sz w:val="24"/>
          <w:szCs w:val="24"/>
        </w:rPr>
        <w:t xml:space="preserve"> persons with disabilities.</w:t>
      </w:r>
    </w:p>
    <w:p w14:paraId="1FC4035A" w14:textId="77777777" w:rsidR="00B54CD4" w:rsidRPr="00B54CD4" w:rsidRDefault="00B54CD4" w:rsidP="00B54CD4">
      <w:pPr>
        <w:spacing w:after="0" w:line="240" w:lineRule="auto"/>
        <w:rPr>
          <w:rFonts w:ascii="Times New Roman" w:hAnsi="Times New Roman" w:cs="Times New Roman"/>
          <w:sz w:val="24"/>
          <w:szCs w:val="24"/>
        </w:rPr>
      </w:pPr>
    </w:p>
    <w:p w14:paraId="3DC14A52" w14:textId="77777777" w:rsidR="00B54CD4" w:rsidRDefault="00B54CD4" w:rsidP="00B54CD4">
      <w:pPr>
        <w:spacing w:after="0" w:line="240" w:lineRule="auto"/>
        <w:rPr>
          <w:rFonts w:ascii="Times New Roman" w:hAnsi="Times New Roman" w:cs="Times New Roman"/>
          <w:sz w:val="24"/>
          <w:szCs w:val="24"/>
        </w:rPr>
      </w:pPr>
      <w:r w:rsidRPr="00B54CD4">
        <w:rPr>
          <w:rFonts w:ascii="Times New Roman" w:hAnsi="Times New Roman" w:cs="Times New Roman"/>
          <w:sz w:val="24"/>
          <w:szCs w:val="24"/>
        </w:rPr>
        <w:t xml:space="preserve">The distribution of the Australian population presents challenges to implementing specific awareness raising policies about persons with disabilities. Australia’s population is highly urbanised with the majority of Australians living in major cities. Designing, funding and operating awareness raising policies in such a way as to suit the circumstances of people </w:t>
      </w:r>
      <w:r w:rsidRPr="00B54CD4">
        <w:rPr>
          <w:rFonts w:ascii="Times New Roman" w:hAnsi="Times New Roman" w:cs="Times New Roman"/>
          <w:sz w:val="24"/>
          <w:szCs w:val="24"/>
        </w:rPr>
        <w:lastRenderedPageBreak/>
        <w:t>living with a disability in remote and rural areas can be more challenging than in urban areas of Australia.</w:t>
      </w:r>
    </w:p>
    <w:p w14:paraId="3B4CFABA" w14:textId="77777777" w:rsidR="00B54CD4" w:rsidRDefault="00B54CD4" w:rsidP="00B54CD4">
      <w:pPr>
        <w:spacing w:after="0" w:line="240" w:lineRule="auto"/>
        <w:rPr>
          <w:rFonts w:ascii="Times New Roman" w:hAnsi="Times New Roman" w:cs="Times New Roman"/>
          <w:sz w:val="24"/>
          <w:szCs w:val="24"/>
        </w:rPr>
      </w:pPr>
    </w:p>
    <w:p w14:paraId="133B85F1" w14:textId="77777777" w:rsidR="00B54CD4" w:rsidRDefault="00B54CD4" w:rsidP="00245988">
      <w:pPr>
        <w:spacing w:after="0" w:line="240" w:lineRule="auto"/>
        <w:rPr>
          <w:rFonts w:ascii="Times New Roman" w:hAnsi="Times New Roman" w:cs="Times New Roman"/>
          <w:sz w:val="24"/>
          <w:szCs w:val="24"/>
        </w:rPr>
      </w:pPr>
      <w:r w:rsidRPr="00B54CD4">
        <w:rPr>
          <w:rFonts w:ascii="Times New Roman" w:hAnsi="Times New Roman" w:cs="Times New Roman"/>
          <w:sz w:val="24"/>
          <w:szCs w:val="24"/>
        </w:rPr>
        <w:t>Australia’s federal structure also presents challenges to implementing policy more generally. Australia has a federal constitutional system comprised of the federal Commonwealth government, six State governments (New South Wales</w:t>
      </w:r>
      <w:r w:rsidR="009E0696">
        <w:rPr>
          <w:rFonts w:ascii="Times New Roman" w:hAnsi="Times New Roman" w:cs="Times New Roman"/>
          <w:sz w:val="24"/>
          <w:szCs w:val="24"/>
        </w:rPr>
        <w:t>, Victoria, Queensland, Western </w:t>
      </w:r>
      <w:r w:rsidRPr="00B54CD4">
        <w:rPr>
          <w:rFonts w:ascii="Times New Roman" w:hAnsi="Times New Roman" w:cs="Times New Roman"/>
          <w:sz w:val="24"/>
          <w:szCs w:val="24"/>
        </w:rPr>
        <w:t>Australia, South Australia and Tasmania) and two self</w:t>
      </w:r>
      <w:r w:rsidRPr="00B54CD4">
        <w:rPr>
          <w:rFonts w:ascii="Times New Roman" w:hAnsi="Times New Roman" w:cs="Times New Roman"/>
          <w:sz w:val="24"/>
          <w:szCs w:val="24"/>
        </w:rPr>
        <w:noBreakHyphen/>
        <w:t xml:space="preserve">governing Territory governments (the Australian Capital Territory and the Northern Territory). Each state and territory has enacted anti-discrimination legislation that enables individuals to lodge complaints about discrimination at the state and territory level depending upon the circumstances of the complaint with the relevant agency in that state or territory. Commonwealth laws and state/territory laws can overlap, however they can also apply in different ways which can result in certain challenges. </w:t>
      </w:r>
    </w:p>
    <w:p w14:paraId="6D8E3641" w14:textId="77777777" w:rsidR="00B54CD4" w:rsidRDefault="00B54CD4" w:rsidP="00245988">
      <w:pPr>
        <w:spacing w:after="0" w:line="240" w:lineRule="auto"/>
        <w:rPr>
          <w:rFonts w:ascii="Times New Roman" w:hAnsi="Times New Roman" w:cs="Times New Roman"/>
          <w:sz w:val="24"/>
          <w:szCs w:val="24"/>
        </w:rPr>
      </w:pPr>
    </w:p>
    <w:p w14:paraId="03C4554D" w14:textId="77777777" w:rsidR="00245988" w:rsidRPr="009922C7" w:rsidRDefault="00245988" w:rsidP="00245988">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2(a).</w:t>
      </w:r>
      <w:r w:rsidRPr="009922C7">
        <w:rPr>
          <w:rFonts w:ascii="Times New Roman" w:hAnsi="Times New Roman" w:cs="Times New Roman"/>
          <w:b/>
          <w:i/>
          <w:sz w:val="24"/>
          <w:szCs w:val="24"/>
        </w:rPr>
        <w:tab/>
      </w:r>
      <w:r w:rsidR="00383C0B" w:rsidRPr="009922C7">
        <w:rPr>
          <w:rFonts w:ascii="Times New Roman" w:hAnsi="Times New Roman" w:cs="Times New Roman"/>
          <w:b/>
          <w:i/>
          <w:sz w:val="24"/>
          <w:szCs w:val="24"/>
        </w:rPr>
        <w:t>What legislative and policy measures are taken to address hate crimes, hate speech and harmful practices against persons with disabilities?</w:t>
      </w:r>
    </w:p>
    <w:p w14:paraId="1E091DDA" w14:textId="77777777" w:rsidR="001618DD" w:rsidRPr="009922C7" w:rsidRDefault="001618DD" w:rsidP="001618DD">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2(b).</w:t>
      </w:r>
      <w:r w:rsidRPr="009922C7">
        <w:rPr>
          <w:rFonts w:ascii="Times New Roman" w:hAnsi="Times New Roman" w:cs="Times New Roman"/>
          <w:b/>
          <w:i/>
          <w:sz w:val="24"/>
          <w:szCs w:val="24"/>
        </w:rPr>
        <w:tab/>
        <w:t>In particular, are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p>
    <w:p w14:paraId="5ECAF47B" w14:textId="77777777" w:rsidR="001618DD" w:rsidRDefault="001618DD" w:rsidP="00245988">
      <w:pPr>
        <w:spacing w:after="0" w:line="240" w:lineRule="auto"/>
        <w:rPr>
          <w:rFonts w:ascii="Times New Roman" w:hAnsi="Times New Roman" w:cs="Times New Roman"/>
          <w:sz w:val="24"/>
          <w:szCs w:val="24"/>
        </w:rPr>
      </w:pPr>
    </w:p>
    <w:p w14:paraId="2B120D0B" w14:textId="77777777" w:rsidR="008E0AF7" w:rsidRPr="008E0AF7" w:rsidRDefault="008E0AF7" w:rsidP="00245988">
      <w:pPr>
        <w:spacing w:after="0" w:line="240" w:lineRule="auto"/>
        <w:rPr>
          <w:rFonts w:ascii="Times New Roman" w:hAnsi="Times New Roman" w:cs="Times New Roman"/>
          <w:sz w:val="24"/>
          <w:szCs w:val="24"/>
          <w:u w:val="single"/>
        </w:rPr>
      </w:pPr>
      <w:r w:rsidRPr="008E0AF7">
        <w:rPr>
          <w:rFonts w:ascii="Times New Roman" w:hAnsi="Times New Roman" w:cs="Times New Roman"/>
          <w:sz w:val="24"/>
          <w:szCs w:val="24"/>
          <w:u w:val="single"/>
        </w:rPr>
        <w:t>Legislative and policy measures</w:t>
      </w:r>
    </w:p>
    <w:p w14:paraId="6E8B2A39" w14:textId="77777777" w:rsidR="008E0AF7" w:rsidRDefault="008E0AF7" w:rsidP="00245988">
      <w:pPr>
        <w:spacing w:after="0" w:line="240" w:lineRule="auto"/>
        <w:rPr>
          <w:rFonts w:ascii="Times New Roman" w:hAnsi="Times New Roman" w:cs="Times New Roman"/>
          <w:sz w:val="24"/>
          <w:szCs w:val="24"/>
        </w:rPr>
      </w:pPr>
    </w:p>
    <w:p w14:paraId="6BDFB4A1" w14:textId="77777777" w:rsidR="00D67191" w:rsidRDefault="00D67191" w:rsidP="00D67191">
      <w:pPr>
        <w:pStyle w:val="FootnoteText"/>
        <w:rPr>
          <w:rFonts w:ascii="Times New Roman" w:hAnsi="Times New Roman" w:cs="Times New Roman"/>
          <w:sz w:val="24"/>
          <w:szCs w:val="24"/>
        </w:rPr>
      </w:pPr>
      <w:r>
        <w:rPr>
          <w:rFonts w:ascii="Times New Roman" w:hAnsi="Times New Roman" w:cs="Times New Roman"/>
          <w:sz w:val="24"/>
          <w:szCs w:val="24"/>
        </w:rPr>
        <w:t>Outcome 2 of the Strategy aims for people with disability to have their rights promoted, upheld and protected. The Strategy provides broad policy direction to all levels of government to increase awareness and acceptance of the rights of people with disability.</w:t>
      </w:r>
      <w:r>
        <w:rPr>
          <w:rStyle w:val="FootnoteReference"/>
          <w:rFonts w:ascii="Times New Roman" w:hAnsi="Times New Roman" w:cs="Times New Roman"/>
          <w:sz w:val="24"/>
          <w:szCs w:val="24"/>
        </w:rPr>
        <w:footnoteReference w:id="4"/>
      </w:r>
    </w:p>
    <w:p w14:paraId="0021824C" w14:textId="77777777" w:rsidR="00D67191" w:rsidRDefault="00D67191" w:rsidP="00D67191">
      <w:pPr>
        <w:pStyle w:val="FootnoteText"/>
        <w:rPr>
          <w:rFonts w:ascii="Times New Roman" w:hAnsi="Times New Roman" w:cs="Times New Roman"/>
          <w:sz w:val="24"/>
          <w:szCs w:val="24"/>
        </w:rPr>
      </w:pPr>
    </w:p>
    <w:p w14:paraId="20905030" w14:textId="77777777" w:rsidR="00826ECB" w:rsidRDefault="00826ECB" w:rsidP="00826ECB">
      <w:pPr>
        <w:spacing w:after="0" w:line="240" w:lineRule="auto"/>
        <w:rPr>
          <w:rFonts w:ascii="Times New Roman" w:hAnsi="Times New Roman" w:cs="Times New Roman"/>
          <w:sz w:val="24"/>
          <w:szCs w:val="24"/>
        </w:rPr>
      </w:pPr>
      <w:r w:rsidRPr="00826ECB">
        <w:rPr>
          <w:rFonts w:ascii="Times New Roman" w:hAnsi="Times New Roman" w:cs="Times New Roman"/>
          <w:sz w:val="24"/>
          <w:szCs w:val="24"/>
        </w:rPr>
        <w:t xml:space="preserve">Behaviours such as harassment, the threat of bodily harm, assault, grievous bodily harm, murder and other crimes against the person are criminalised in Australia, primarily within state and territory legislation. In many jurisdictions, offences may be aggravated where the victim of a crime is in a position of particular vulnerability because of physical or cognitive impairment. </w:t>
      </w:r>
    </w:p>
    <w:p w14:paraId="5B610C37" w14:textId="77777777" w:rsidR="00826ECB" w:rsidRPr="00826ECB" w:rsidRDefault="00826ECB" w:rsidP="00826ECB">
      <w:pPr>
        <w:spacing w:after="0" w:line="240" w:lineRule="auto"/>
        <w:rPr>
          <w:rFonts w:ascii="Times New Roman" w:hAnsi="Times New Roman" w:cs="Times New Roman"/>
          <w:sz w:val="24"/>
          <w:szCs w:val="24"/>
        </w:rPr>
      </w:pPr>
    </w:p>
    <w:p w14:paraId="351E8CD9" w14:textId="77777777" w:rsidR="00826ECB" w:rsidRDefault="00826ECB" w:rsidP="00826ECB">
      <w:pPr>
        <w:spacing w:after="0" w:line="240" w:lineRule="auto"/>
        <w:rPr>
          <w:rFonts w:ascii="Times New Roman" w:hAnsi="Times New Roman" w:cs="Times New Roman"/>
          <w:sz w:val="24"/>
          <w:szCs w:val="24"/>
        </w:rPr>
      </w:pPr>
      <w:r w:rsidRPr="00826ECB">
        <w:rPr>
          <w:rFonts w:ascii="Times New Roman" w:hAnsi="Times New Roman" w:cs="Times New Roman"/>
          <w:sz w:val="24"/>
          <w:szCs w:val="24"/>
        </w:rPr>
        <w:t>Hate speech laws in Australia differ between jurisdictions. For example, there is legislation prohibiting hate speech on the grounds of disability in Tasmania</w:t>
      </w:r>
      <w:r w:rsidR="00E40369">
        <w:rPr>
          <w:rStyle w:val="FootnoteReference"/>
          <w:rFonts w:ascii="Times New Roman" w:hAnsi="Times New Roman" w:cs="Times New Roman"/>
          <w:sz w:val="24"/>
          <w:szCs w:val="24"/>
        </w:rPr>
        <w:footnoteReference w:id="5"/>
      </w:r>
      <w:r w:rsidRPr="00826ECB">
        <w:rPr>
          <w:rFonts w:ascii="Times New Roman" w:hAnsi="Times New Roman" w:cs="Times New Roman"/>
          <w:sz w:val="24"/>
          <w:szCs w:val="24"/>
        </w:rPr>
        <w:t xml:space="preserve"> and the Australian Capital Territory.</w:t>
      </w:r>
      <w:r w:rsidR="00E40369">
        <w:rPr>
          <w:rStyle w:val="FootnoteReference"/>
          <w:rFonts w:ascii="Times New Roman" w:hAnsi="Times New Roman" w:cs="Times New Roman"/>
          <w:sz w:val="24"/>
          <w:szCs w:val="24"/>
        </w:rPr>
        <w:footnoteReference w:id="6"/>
      </w:r>
      <w:r w:rsidRPr="00826ECB">
        <w:rPr>
          <w:rFonts w:ascii="Times New Roman" w:hAnsi="Times New Roman" w:cs="Times New Roman"/>
          <w:sz w:val="24"/>
          <w:szCs w:val="24"/>
        </w:rPr>
        <w:t xml:space="preserve"> The DDA makes it unlawful to discriminate against a person on the grounds of that person’s disability. The DDA makes direct and indirect discrimination on the ground of disability unlawful in work, access to premises, the provision of accommodation, education, the administration of Commonwealth laws and programs, and the provision of goods, services and facilities, as well as in other areas of public activity. </w:t>
      </w:r>
    </w:p>
    <w:p w14:paraId="700E25C3" w14:textId="77777777" w:rsidR="00826ECB" w:rsidRPr="00826ECB" w:rsidRDefault="00826ECB" w:rsidP="00826ECB">
      <w:pPr>
        <w:spacing w:after="0" w:line="240" w:lineRule="auto"/>
        <w:rPr>
          <w:rFonts w:ascii="Times New Roman" w:hAnsi="Times New Roman" w:cs="Times New Roman"/>
          <w:sz w:val="24"/>
          <w:szCs w:val="24"/>
        </w:rPr>
      </w:pPr>
    </w:p>
    <w:p w14:paraId="69CBAE3C" w14:textId="77777777" w:rsidR="001618DD" w:rsidRDefault="00826ECB" w:rsidP="00826ECB">
      <w:pPr>
        <w:spacing w:after="0" w:line="240" w:lineRule="auto"/>
        <w:rPr>
          <w:rFonts w:ascii="Times New Roman" w:hAnsi="Times New Roman" w:cs="Times New Roman"/>
          <w:sz w:val="24"/>
          <w:szCs w:val="24"/>
        </w:rPr>
      </w:pPr>
      <w:r w:rsidRPr="00826ECB">
        <w:rPr>
          <w:rFonts w:ascii="Times New Roman" w:hAnsi="Times New Roman" w:cs="Times New Roman"/>
          <w:sz w:val="24"/>
          <w:szCs w:val="24"/>
        </w:rPr>
        <w:t xml:space="preserve">Additionally, the </w:t>
      </w:r>
      <w:r w:rsidRPr="00615E8C">
        <w:rPr>
          <w:rFonts w:ascii="Times New Roman" w:hAnsi="Times New Roman" w:cs="Times New Roman"/>
          <w:i/>
          <w:sz w:val="24"/>
          <w:szCs w:val="24"/>
        </w:rPr>
        <w:t>Fair Work Act 2009</w:t>
      </w:r>
      <w:r w:rsidRPr="00826ECB">
        <w:rPr>
          <w:rFonts w:ascii="Times New Roman" w:hAnsi="Times New Roman" w:cs="Times New Roman"/>
          <w:sz w:val="24"/>
          <w:szCs w:val="24"/>
        </w:rPr>
        <w:t xml:space="preserve"> provides protection from workplace discrimination because of a person’s physical or mental disability. </w:t>
      </w:r>
    </w:p>
    <w:p w14:paraId="45E83280" w14:textId="77777777" w:rsidR="00E40369" w:rsidRPr="00E40369" w:rsidRDefault="00E40369" w:rsidP="000A3978">
      <w:pPr>
        <w:keepNext/>
        <w:keepLines/>
        <w:spacing w:after="0" w:line="240" w:lineRule="auto"/>
        <w:rPr>
          <w:rFonts w:ascii="Times New Roman" w:hAnsi="Times New Roman" w:cs="Times New Roman"/>
          <w:sz w:val="24"/>
          <w:szCs w:val="24"/>
          <w:u w:val="single"/>
        </w:rPr>
      </w:pPr>
      <w:r w:rsidRPr="00E40369">
        <w:rPr>
          <w:rFonts w:ascii="Times New Roman" w:hAnsi="Times New Roman" w:cs="Times New Roman"/>
          <w:sz w:val="24"/>
          <w:szCs w:val="24"/>
          <w:u w:val="single"/>
        </w:rPr>
        <w:lastRenderedPageBreak/>
        <w:t>Legal remedies</w:t>
      </w:r>
    </w:p>
    <w:p w14:paraId="77E63841" w14:textId="77777777" w:rsidR="00E40369" w:rsidRDefault="00E40369" w:rsidP="000A3978">
      <w:pPr>
        <w:keepNext/>
        <w:keepLines/>
        <w:spacing w:after="0" w:line="240" w:lineRule="auto"/>
        <w:rPr>
          <w:rFonts w:ascii="Times New Roman" w:hAnsi="Times New Roman" w:cs="Times New Roman"/>
          <w:sz w:val="24"/>
          <w:szCs w:val="24"/>
        </w:rPr>
      </w:pPr>
    </w:p>
    <w:p w14:paraId="56091B0F" w14:textId="77777777" w:rsidR="002C47A0" w:rsidRDefault="002C47A0" w:rsidP="000A3978">
      <w:pPr>
        <w:keepNext/>
        <w:keepLines/>
        <w:spacing w:after="0" w:line="240" w:lineRule="auto"/>
        <w:rPr>
          <w:rFonts w:ascii="Times New Roman" w:hAnsi="Times New Roman" w:cs="Times New Roman"/>
          <w:sz w:val="24"/>
          <w:szCs w:val="24"/>
        </w:rPr>
      </w:pPr>
      <w:r w:rsidRPr="002C47A0">
        <w:rPr>
          <w:rFonts w:ascii="Times New Roman" w:hAnsi="Times New Roman" w:cs="Times New Roman"/>
          <w:sz w:val="24"/>
          <w:szCs w:val="24"/>
        </w:rPr>
        <w:t xml:space="preserve">The </w:t>
      </w:r>
      <w:r w:rsidR="00A95334">
        <w:rPr>
          <w:rFonts w:ascii="Times New Roman" w:hAnsi="Times New Roman" w:cs="Times New Roman"/>
          <w:sz w:val="24"/>
          <w:szCs w:val="24"/>
        </w:rPr>
        <w:t>AHRC</w:t>
      </w:r>
      <w:r w:rsidRPr="002C47A0">
        <w:rPr>
          <w:rFonts w:ascii="Times New Roman" w:hAnsi="Times New Roman" w:cs="Times New Roman"/>
          <w:sz w:val="24"/>
          <w:szCs w:val="24"/>
        </w:rPr>
        <w:t xml:space="preserve"> receives complaints, including representative</w:t>
      </w:r>
      <w:r w:rsidR="00A95334">
        <w:rPr>
          <w:rFonts w:ascii="Times New Roman" w:hAnsi="Times New Roman" w:cs="Times New Roman"/>
          <w:sz w:val="24"/>
          <w:szCs w:val="24"/>
        </w:rPr>
        <w:t xml:space="preserve"> complaints, under federal anti</w:t>
      </w:r>
      <w:r w:rsidR="00A95334">
        <w:rPr>
          <w:rFonts w:ascii="Times New Roman" w:hAnsi="Times New Roman" w:cs="Times New Roman"/>
          <w:sz w:val="24"/>
          <w:szCs w:val="24"/>
        </w:rPr>
        <w:noBreakHyphen/>
      </w:r>
      <w:r w:rsidRPr="002C47A0">
        <w:rPr>
          <w:rFonts w:ascii="Times New Roman" w:hAnsi="Times New Roman" w:cs="Times New Roman"/>
          <w:sz w:val="24"/>
          <w:szCs w:val="24"/>
        </w:rPr>
        <w:t xml:space="preserve">discrimination law in the areas of race, sex, disability and age. Complaints are investigated and may be conciliated. It is a criminal offence to victimise a complainant. </w:t>
      </w:r>
    </w:p>
    <w:p w14:paraId="365FFB9F" w14:textId="77777777" w:rsidR="00D55595" w:rsidRPr="002C47A0" w:rsidRDefault="00D55595" w:rsidP="002C47A0">
      <w:pPr>
        <w:spacing w:after="0" w:line="240" w:lineRule="auto"/>
        <w:rPr>
          <w:rFonts w:ascii="Times New Roman" w:hAnsi="Times New Roman" w:cs="Times New Roman"/>
          <w:sz w:val="24"/>
          <w:szCs w:val="24"/>
        </w:rPr>
      </w:pPr>
    </w:p>
    <w:p w14:paraId="1B44CF31" w14:textId="77777777" w:rsidR="002C47A0" w:rsidRPr="002C47A0" w:rsidRDefault="002C47A0" w:rsidP="002C47A0">
      <w:pPr>
        <w:spacing w:after="0" w:line="240" w:lineRule="auto"/>
        <w:rPr>
          <w:rFonts w:ascii="Times New Roman" w:hAnsi="Times New Roman" w:cs="Times New Roman"/>
          <w:sz w:val="24"/>
          <w:szCs w:val="24"/>
        </w:rPr>
      </w:pPr>
      <w:r w:rsidRPr="002C47A0">
        <w:rPr>
          <w:rFonts w:ascii="Times New Roman" w:hAnsi="Times New Roman" w:cs="Times New Roman"/>
          <w:sz w:val="24"/>
          <w:szCs w:val="24"/>
        </w:rPr>
        <w:t xml:space="preserve">The Federal Court or the Federal Circuit Court can make a range of appropriate orders. </w:t>
      </w:r>
    </w:p>
    <w:p w14:paraId="39CD48C4" w14:textId="77777777" w:rsidR="002C47A0" w:rsidRDefault="002C47A0" w:rsidP="002C47A0">
      <w:pPr>
        <w:spacing w:after="0" w:line="240" w:lineRule="auto"/>
        <w:rPr>
          <w:rFonts w:ascii="Times New Roman" w:hAnsi="Times New Roman" w:cs="Times New Roman"/>
          <w:sz w:val="24"/>
          <w:szCs w:val="24"/>
        </w:rPr>
      </w:pPr>
      <w:r w:rsidRPr="002C47A0">
        <w:rPr>
          <w:rFonts w:ascii="Times New Roman" w:hAnsi="Times New Roman" w:cs="Times New Roman"/>
          <w:sz w:val="24"/>
          <w:szCs w:val="24"/>
        </w:rPr>
        <w:t xml:space="preserve">Where a hate crime has been committed, a range of legal remedies are available. Penalties for breaches of criminal law include warnings, fines and imprisonment. Offenders may also be required to complete rehabilitative programs, such as drugs counselling. </w:t>
      </w:r>
    </w:p>
    <w:p w14:paraId="136D695D" w14:textId="77777777" w:rsidR="007D1795" w:rsidRPr="002C47A0" w:rsidRDefault="007D1795" w:rsidP="002C47A0">
      <w:pPr>
        <w:spacing w:after="0" w:line="240" w:lineRule="auto"/>
        <w:rPr>
          <w:rFonts w:ascii="Times New Roman" w:hAnsi="Times New Roman" w:cs="Times New Roman"/>
          <w:sz w:val="24"/>
          <w:szCs w:val="24"/>
        </w:rPr>
      </w:pPr>
    </w:p>
    <w:p w14:paraId="676FC650" w14:textId="77777777" w:rsidR="002C47A0" w:rsidRPr="00195710" w:rsidRDefault="002C47A0" w:rsidP="002C47A0">
      <w:pPr>
        <w:spacing w:after="0" w:line="240" w:lineRule="auto"/>
      </w:pPr>
      <w:r w:rsidRPr="002C47A0">
        <w:rPr>
          <w:rFonts w:ascii="Times New Roman" w:hAnsi="Times New Roman" w:cs="Times New Roman"/>
          <w:sz w:val="24"/>
          <w:szCs w:val="24"/>
        </w:rPr>
        <w:t>State and territory governments</w:t>
      </w:r>
      <w:r w:rsidR="00A95334">
        <w:rPr>
          <w:rFonts w:ascii="Times New Roman" w:hAnsi="Times New Roman" w:cs="Times New Roman"/>
          <w:sz w:val="24"/>
          <w:szCs w:val="24"/>
        </w:rPr>
        <w:t xml:space="preserve"> also</w:t>
      </w:r>
      <w:r w:rsidRPr="002C47A0">
        <w:rPr>
          <w:rFonts w:ascii="Times New Roman" w:hAnsi="Times New Roman" w:cs="Times New Roman"/>
          <w:sz w:val="24"/>
          <w:szCs w:val="24"/>
        </w:rPr>
        <w:t xml:space="preserve"> operate victims of crime compensation schemes which may provide some compensation to affected individuals, including persons with disability. </w:t>
      </w:r>
    </w:p>
    <w:p w14:paraId="4617C760" w14:textId="77777777" w:rsidR="002C47A0" w:rsidRDefault="002C47A0" w:rsidP="00826ECB">
      <w:pPr>
        <w:spacing w:after="0" w:line="240" w:lineRule="auto"/>
        <w:rPr>
          <w:rFonts w:ascii="Times New Roman" w:hAnsi="Times New Roman" w:cs="Times New Roman"/>
          <w:sz w:val="24"/>
          <w:szCs w:val="24"/>
        </w:rPr>
      </w:pPr>
    </w:p>
    <w:p w14:paraId="19487F53" w14:textId="77777777" w:rsidR="00383C0B" w:rsidRPr="009922C7" w:rsidRDefault="00383C0B" w:rsidP="00245988">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3(a).</w:t>
      </w:r>
      <w:r w:rsidRPr="009922C7">
        <w:rPr>
          <w:rFonts w:ascii="Times New Roman" w:hAnsi="Times New Roman" w:cs="Times New Roman"/>
          <w:b/>
          <w:i/>
          <w:sz w:val="24"/>
          <w:szCs w:val="24"/>
        </w:rPr>
        <w:tab/>
        <w:t>What steps have been taken to establish standards and/or good practices on the representation and portrayal of persons with disabilities in broadcast media, including codes, guidelines and other measures (legal, co-regulatory or self-regulatory)?</w:t>
      </w:r>
    </w:p>
    <w:p w14:paraId="0D4957A4" w14:textId="77777777" w:rsidR="00383C0B" w:rsidRPr="009922C7" w:rsidRDefault="00383C0B" w:rsidP="00245988">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3(b).</w:t>
      </w:r>
      <w:r w:rsidRPr="009922C7">
        <w:rPr>
          <w:rFonts w:ascii="Times New Roman" w:hAnsi="Times New Roman" w:cs="Times New Roman"/>
          <w:b/>
          <w:i/>
          <w:sz w:val="24"/>
          <w:szCs w:val="24"/>
        </w:rPr>
        <w:tab/>
        <w:t>In addition, what legal framework, measures or good practices exist to regulate social media in accordance with Article 8 and human rights standards on freedom of expression?</w:t>
      </w:r>
    </w:p>
    <w:p w14:paraId="51B3E2CD" w14:textId="77777777" w:rsidR="00383C0B" w:rsidRDefault="00383C0B" w:rsidP="00245988">
      <w:pPr>
        <w:spacing w:after="0" w:line="240" w:lineRule="auto"/>
        <w:rPr>
          <w:rFonts w:ascii="Times New Roman" w:hAnsi="Times New Roman" w:cs="Times New Roman"/>
          <w:sz w:val="24"/>
          <w:szCs w:val="24"/>
        </w:rPr>
      </w:pPr>
    </w:p>
    <w:p w14:paraId="7D10C376" w14:textId="77777777" w:rsidR="00BC5715" w:rsidRPr="00BC5715" w:rsidRDefault="00BC5715" w:rsidP="00BC5715">
      <w:pPr>
        <w:spacing w:after="0" w:line="240" w:lineRule="auto"/>
        <w:rPr>
          <w:rFonts w:ascii="Times New Roman" w:hAnsi="Times New Roman" w:cs="Times New Roman"/>
          <w:sz w:val="24"/>
          <w:szCs w:val="24"/>
          <w:u w:val="single"/>
        </w:rPr>
      </w:pPr>
      <w:r w:rsidRPr="00BC5715">
        <w:rPr>
          <w:rFonts w:ascii="Times New Roman" w:hAnsi="Times New Roman" w:cs="Times New Roman"/>
          <w:sz w:val="24"/>
          <w:szCs w:val="24"/>
          <w:u w:val="single"/>
        </w:rPr>
        <w:t>Broadcast media</w:t>
      </w:r>
    </w:p>
    <w:p w14:paraId="072782C7" w14:textId="77777777" w:rsidR="00BC5715" w:rsidRDefault="00BC5715" w:rsidP="00BC5715">
      <w:pPr>
        <w:spacing w:after="0" w:line="240" w:lineRule="auto"/>
        <w:rPr>
          <w:rFonts w:ascii="Times New Roman" w:hAnsi="Times New Roman" w:cs="Times New Roman"/>
          <w:sz w:val="24"/>
          <w:szCs w:val="24"/>
        </w:rPr>
      </w:pPr>
    </w:p>
    <w:p w14:paraId="11D0B7FB" w14:textId="77777777" w:rsidR="00BC5715" w:rsidRP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 xml:space="preserve">Most content broadcast in Australia is regulated by co-regulatory codes of practice developed by broadcasting industry sectors in accordance with the </w:t>
      </w:r>
      <w:r w:rsidRPr="00BA6B4A">
        <w:rPr>
          <w:rFonts w:ascii="Times New Roman" w:hAnsi="Times New Roman" w:cs="Times New Roman"/>
          <w:i/>
          <w:sz w:val="24"/>
          <w:szCs w:val="24"/>
        </w:rPr>
        <w:t>Broadcasting Services Act 1992</w:t>
      </w:r>
      <w:r w:rsidRPr="00BC5715">
        <w:rPr>
          <w:rFonts w:ascii="Times New Roman" w:hAnsi="Times New Roman" w:cs="Times New Roman"/>
          <w:sz w:val="24"/>
          <w:szCs w:val="24"/>
        </w:rPr>
        <w:t xml:space="preserve"> (BSA).</w:t>
      </w:r>
    </w:p>
    <w:p w14:paraId="0F2EC7B1" w14:textId="77777777" w:rsidR="00BC5715" w:rsidRDefault="00BC5715" w:rsidP="00BC5715">
      <w:pPr>
        <w:spacing w:after="0" w:line="240" w:lineRule="auto"/>
        <w:rPr>
          <w:rFonts w:ascii="Times New Roman" w:hAnsi="Times New Roman" w:cs="Times New Roman"/>
          <w:sz w:val="24"/>
          <w:szCs w:val="24"/>
        </w:rPr>
      </w:pPr>
    </w:p>
    <w:p w14:paraId="10AF8AED" w14:textId="77777777" w:rsidR="00BC5715" w:rsidRP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A number of these co-regulatory codes include requirements that relevant providers not broadcast material which is likely to provoke/incite or perpetuate intense dislike, hatred, serious contempt or severe ridicule against a person or group of people because of disability. For example, the Commercial Radio Code of Practice and the Commercial Television Industry Code of Practice include such requirements. </w:t>
      </w:r>
    </w:p>
    <w:p w14:paraId="39714D5C" w14:textId="77777777" w:rsidR="00BC5715" w:rsidRDefault="00BC5715" w:rsidP="00BC5715">
      <w:pPr>
        <w:spacing w:after="0" w:line="240" w:lineRule="auto"/>
        <w:rPr>
          <w:rFonts w:ascii="Times New Roman" w:hAnsi="Times New Roman" w:cs="Times New Roman"/>
          <w:sz w:val="24"/>
          <w:szCs w:val="24"/>
        </w:rPr>
      </w:pPr>
    </w:p>
    <w:p w14:paraId="4AB1A327" w14:textId="77777777" w:rsidR="00BC5715" w:rsidRP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These requirements are underpinned by the co-regulatory framework established by the BSA. In particular, the BSA stipulates that codes of practice developed for a section of the broadcasting industry may relate to a number of matters including:</w:t>
      </w:r>
    </w:p>
    <w:p w14:paraId="1BCCFC1E" w14:textId="77777777" w:rsidR="00BC5715" w:rsidRPr="00BC5715" w:rsidRDefault="00BC5715" w:rsidP="00BC5715">
      <w:pPr>
        <w:pStyle w:val="ListParagraph"/>
        <w:numPr>
          <w:ilvl w:val="0"/>
          <w:numId w:val="27"/>
        </w:num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 xml:space="preserve">preventing the broadcasting of programs that, in accordance with community standards, are not suitable to be broadcast </w:t>
      </w:r>
      <w:r>
        <w:rPr>
          <w:rFonts w:ascii="Times New Roman" w:hAnsi="Times New Roman" w:cs="Times New Roman"/>
          <w:sz w:val="24"/>
          <w:szCs w:val="24"/>
        </w:rPr>
        <w:t>by that section of the industry,</w:t>
      </w:r>
      <w:r w:rsidRPr="00BC5715">
        <w:rPr>
          <w:rFonts w:ascii="Times New Roman" w:hAnsi="Times New Roman" w:cs="Times New Roman"/>
          <w:sz w:val="24"/>
          <w:szCs w:val="24"/>
        </w:rPr>
        <w:t xml:space="preserve"> and</w:t>
      </w:r>
    </w:p>
    <w:p w14:paraId="21F0C26C" w14:textId="77777777" w:rsidR="00BC5715" w:rsidRPr="00BC5715" w:rsidRDefault="00BC5715" w:rsidP="00BC5715">
      <w:pPr>
        <w:pStyle w:val="ListParagraph"/>
        <w:numPr>
          <w:ilvl w:val="0"/>
          <w:numId w:val="27"/>
        </w:num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methods of classifying programs that reflect community standards.</w:t>
      </w:r>
    </w:p>
    <w:p w14:paraId="2C5F7391" w14:textId="77777777" w:rsidR="00BC5715" w:rsidRP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 </w:t>
      </w:r>
    </w:p>
    <w:p w14:paraId="64E13C58" w14:textId="77777777" w:rsid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The BSA further requires that, in developing codes of practice relating to the particular matters noted above, community attitudes in relation to a number of specified issues be taken into account.</w:t>
      </w:r>
      <w:r w:rsidR="00546BCE">
        <w:rPr>
          <w:rFonts w:ascii="Times New Roman" w:hAnsi="Times New Roman" w:cs="Times New Roman"/>
          <w:sz w:val="24"/>
          <w:szCs w:val="24"/>
        </w:rPr>
        <w:t xml:space="preserve"> One of the specified issues is</w:t>
      </w:r>
      <w:r w:rsidRPr="00BC5715">
        <w:rPr>
          <w:rFonts w:ascii="Times New Roman" w:hAnsi="Times New Roman" w:cs="Times New Roman"/>
          <w:sz w:val="24"/>
          <w:szCs w:val="24"/>
        </w:rPr>
        <w:t xml:space="preserve"> the portrayal in programs of matter that is likely to incite or perpetuate hatred against, or vilifies, any person or group on the basis of ethnicity, nationality, race, gender, sexual orientation, age, religion or physical or mental disability. </w:t>
      </w:r>
    </w:p>
    <w:p w14:paraId="2FD4DE6D" w14:textId="77777777" w:rsidR="00546BCE" w:rsidRPr="00BC5715" w:rsidRDefault="00546BCE" w:rsidP="00BC5715">
      <w:pPr>
        <w:spacing w:after="0" w:line="240" w:lineRule="auto"/>
        <w:rPr>
          <w:rFonts w:ascii="Times New Roman" w:hAnsi="Times New Roman" w:cs="Times New Roman"/>
          <w:sz w:val="24"/>
          <w:szCs w:val="24"/>
        </w:rPr>
      </w:pPr>
    </w:p>
    <w:p w14:paraId="1465C900" w14:textId="77777777" w:rsid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 xml:space="preserve">Broadcasting sectors also develop advisory or guidance notes that cover a range of matters in relation to promoting equality across an individual broadcasting sector. For example, the Commercial Television Industry Code of Practice provides that Free TV Australia, the peak industry body for commercial television broadcasting licensees, will maintain a series of </w:t>
      </w:r>
      <w:r w:rsidRPr="00BC5715">
        <w:rPr>
          <w:rFonts w:ascii="Times New Roman" w:hAnsi="Times New Roman" w:cs="Times New Roman"/>
          <w:sz w:val="24"/>
          <w:szCs w:val="24"/>
        </w:rPr>
        <w:lastRenderedPageBreak/>
        <w:t>advisory notes on a range of matters including the portrayal of people with a disability. The Free TV advisory note in relation to the portrayal of people with disabilities is intended to help and encourage reporters and program producers to produce programs which treat people with disabilities fairly and realistically as individuals, and as an integral part of the general community.</w:t>
      </w:r>
    </w:p>
    <w:p w14:paraId="1FDCD0D4" w14:textId="77777777" w:rsidR="00B27A81" w:rsidRPr="00BC5715" w:rsidRDefault="00B27A81" w:rsidP="00BC5715">
      <w:pPr>
        <w:spacing w:after="0" w:line="240" w:lineRule="auto"/>
        <w:rPr>
          <w:rFonts w:ascii="Times New Roman" w:hAnsi="Times New Roman" w:cs="Times New Roman"/>
          <w:sz w:val="24"/>
          <w:szCs w:val="24"/>
        </w:rPr>
      </w:pPr>
    </w:p>
    <w:p w14:paraId="754427F5" w14:textId="77777777" w:rsidR="00BC5715" w:rsidRPr="00BC5715" w:rsidRDefault="00BC5715" w:rsidP="00BC5715">
      <w:pPr>
        <w:spacing w:after="0" w:line="240" w:lineRule="auto"/>
        <w:rPr>
          <w:rFonts w:ascii="Times New Roman" w:hAnsi="Times New Roman" w:cs="Times New Roman"/>
          <w:sz w:val="24"/>
          <w:szCs w:val="24"/>
        </w:rPr>
      </w:pPr>
      <w:r w:rsidRPr="00BC5715">
        <w:rPr>
          <w:rFonts w:ascii="Times New Roman" w:hAnsi="Times New Roman" w:cs="Times New Roman"/>
          <w:sz w:val="24"/>
          <w:szCs w:val="24"/>
        </w:rPr>
        <w:t>The content of advertisements in Australia is regulated by self-regulatory arrangements, underpinned by platform neutral codes of practice developed by the Australian Association of National Advertisers (AANA), the advertising industry peak body in Australia. One of these self-regulatory codes, the AANA Code of Ethics, requires that advertising or marketing communication not portray people or depict material in a way which discriminates against or vilifies a person or section of the community on account of, among other things, disability.</w:t>
      </w:r>
    </w:p>
    <w:p w14:paraId="52BDE521" w14:textId="77777777" w:rsidR="00232B5C" w:rsidRPr="00B27A81" w:rsidRDefault="00232B5C" w:rsidP="00245988">
      <w:pPr>
        <w:spacing w:after="0" w:line="240" w:lineRule="auto"/>
        <w:rPr>
          <w:rFonts w:ascii="Times New Roman" w:hAnsi="Times New Roman" w:cs="Times New Roman"/>
          <w:sz w:val="24"/>
          <w:szCs w:val="24"/>
        </w:rPr>
      </w:pPr>
    </w:p>
    <w:p w14:paraId="5A0BF808" w14:textId="77777777" w:rsidR="00B27A81" w:rsidRPr="00D35092" w:rsidRDefault="00B27A81" w:rsidP="00B27A81">
      <w:pPr>
        <w:spacing w:after="0" w:line="240" w:lineRule="auto"/>
        <w:rPr>
          <w:rFonts w:ascii="Times New Roman" w:hAnsi="Times New Roman" w:cs="Times New Roman"/>
          <w:sz w:val="24"/>
          <w:szCs w:val="24"/>
          <w:u w:val="single"/>
        </w:rPr>
      </w:pPr>
      <w:r w:rsidRPr="00D35092">
        <w:rPr>
          <w:rFonts w:ascii="Times New Roman" w:hAnsi="Times New Roman" w:cs="Times New Roman"/>
          <w:sz w:val="24"/>
          <w:szCs w:val="24"/>
          <w:u w:val="single"/>
        </w:rPr>
        <w:t>Online safety</w:t>
      </w:r>
    </w:p>
    <w:p w14:paraId="18372AF8" w14:textId="77777777" w:rsidR="00D35092" w:rsidRDefault="00D35092" w:rsidP="00B27A81">
      <w:pPr>
        <w:spacing w:after="0" w:line="240" w:lineRule="auto"/>
        <w:rPr>
          <w:rFonts w:ascii="Times New Roman" w:hAnsi="Times New Roman" w:cs="Times New Roman"/>
          <w:sz w:val="24"/>
          <w:szCs w:val="24"/>
        </w:rPr>
      </w:pPr>
    </w:p>
    <w:p w14:paraId="17781A54"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The Australian Government is committed to putting proper regulatory controls and support systems in place to and allow all Australians, including Australians with disabilities, to confidently take advantage of the benefits of the digital environment. </w:t>
      </w:r>
    </w:p>
    <w:p w14:paraId="7596BEC3" w14:textId="77777777" w:rsidR="00BB12F6" w:rsidRDefault="00BB12F6" w:rsidP="00B27A81">
      <w:pPr>
        <w:spacing w:after="0" w:line="240" w:lineRule="auto"/>
        <w:rPr>
          <w:rFonts w:ascii="Times New Roman" w:hAnsi="Times New Roman" w:cs="Times New Roman"/>
          <w:sz w:val="24"/>
          <w:szCs w:val="24"/>
        </w:rPr>
      </w:pPr>
    </w:p>
    <w:p w14:paraId="33212C29" w14:textId="77777777" w:rsidR="00B27A81" w:rsidRPr="00BB12F6" w:rsidRDefault="00B27A81" w:rsidP="00B27A81">
      <w:pPr>
        <w:spacing w:after="0" w:line="240" w:lineRule="auto"/>
        <w:rPr>
          <w:rFonts w:ascii="Times New Roman" w:hAnsi="Times New Roman" w:cs="Times New Roman"/>
          <w:i/>
          <w:sz w:val="24"/>
          <w:szCs w:val="24"/>
        </w:rPr>
      </w:pPr>
      <w:r w:rsidRPr="00BB12F6">
        <w:rPr>
          <w:rFonts w:ascii="Times New Roman" w:hAnsi="Times New Roman" w:cs="Times New Roman"/>
          <w:i/>
          <w:sz w:val="24"/>
          <w:szCs w:val="24"/>
        </w:rPr>
        <w:t>Current legal framework</w:t>
      </w:r>
    </w:p>
    <w:p w14:paraId="1AA7FB56" w14:textId="77777777" w:rsidR="00BB12F6" w:rsidRDefault="00BB12F6" w:rsidP="00B27A81">
      <w:pPr>
        <w:spacing w:after="0" w:line="240" w:lineRule="auto"/>
        <w:rPr>
          <w:rFonts w:ascii="Times New Roman" w:hAnsi="Times New Roman" w:cs="Times New Roman"/>
          <w:sz w:val="24"/>
          <w:szCs w:val="24"/>
        </w:rPr>
      </w:pPr>
    </w:p>
    <w:p w14:paraId="3961CEEF"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In 2015, the Australian Government passed the </w:t>
      </w:r>
      <w:r w:rsidRPr="00546BCE">
        <w:rPr>
          <w:rFonts w:ascii="Times New Roman" w:hAnsi="Times New Roman" w:cs="Times New Roman"/>
          <w:i/>
          <w:sz w:val="24"/>
          <w:szCs w:val="24"/>
        </w:rPr>
        <w:t>Enhancing Online Safety Act</w:t>
      </w:r>
      <w:r w:rsidR="00546BCE" w:rsidRPr="00546BCE">
        <w:rPr>
          <w:rFonts w:ascii="Times New Roman" w:hAnsi="Times New Roman" w:cs="Times New Roman"/>
          <w:i/>
          <w:sz w:val="24"/>
          <w:szCs w:val="24"/>
        </w:rPr>
        <w:t xml:space="preserve"> 2015</w:t>
      </w:r>
      <w:r w:rsidRPr="00B27A81">
        <w:rPr>
          <w:rFonts w:ascii="Times New Roman" w:hAnsi="Times New Roman" w:cs="Times New Roman"/>
          <w:sz w:val="24"/>
          <w:szCs w:val="24"/>
        </w:rPr>
        <w:t>, which established the Office of the Children’s eSafety Commissioner (eSafety Commissioner). In recognition that vulnerable adults also face dangers online, the Government expanded the eSafety Commissioner’s remit in 2017 to all Australians.</w:t>
      </w:r>
      <w:r w:rsidR="00BB12F6">
        <w:rPr>
          <w:rFonts w:ascii="Times New Roman" w:hAnsi="Times New Roman" w:cs="Times New Roman"/>
          <w:sz w:val="24"/>
          <w:szCs w:val="24"/>
        </w:rPr>
        <w:t xml:space="preserve"> </w:t>
      </w:r>
      <w:r w:rsidRPr="00B27A81">
        <w:rPr>
          <w:rFonts w:ascii="Times New Roman" w:hAnsi="Times New Roman" w:cs="Times New Roman"/>
          <w:sz w:val="24"/>
          <w:szCs w:val="24"/>
        </w:rPr>
        <w:t>This legislation allows the eSafety</w:t>
      </w:r>
      <w:r w:rsidR="00BB12F6">
        <w:rPr>
          <w:rFonts w:ascii="Times New Roman" w:hAnsi="Times New Roman" w:cs="Times New Roman"/>
          <w:sz w:val="24"/>
          <w:szCs w:val="24"/>
        </w:rPr>
        <w:t> </w:t>
      </w:r>
      <w:r w:rsidRPr="00B27A81">
        <w:rPr>
          <w:rFonts w:ascii="Times New Roman" w:hAnsi="Times New Roman" w:cs="Times New Roman"/>
          <w:sz w:val="24"/>
          <w:szCs w:val="24"/>
        </w:rPr>
        <w:t>Commissioner to issue removal and blocking notices to various technology companies in order to address:</w:t>
      </w:r>
    </w:p>
    <w:p w14:paraId="784C859B" w14:textId="77777777" w:rsidR="00B27A81" w:rsidRPr="00D35092" w:rsidRDefault="00E77C2C" w:rsidP="00D3509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B27A81" w:rsidRPr="00D35092">
        <w:rPr>
          <w:rFonts w:ascii="Times New Roman" w:hAnsi="Times New Roman" w:cs="Times New Roman"/>
          <w:sz w:val="24"/>
          <w:szCs w:val="24"/>
        </w:rPr>
        <w:t xml:space="preserve">yberbullying material targeted at an Australian child </w:t>
      </w:r>
    </w:p>
    <w:p w14:paraId="2AAE82E5" w14:textId="77777777" w:rsidR="00B27A81" w:rsidRPr="00D35092" w:rsidRDefault="00E77C2C" w:rsidP="00D3509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B27A81" w:rsidRPr="00D35092">
        <w:rPr>
          <w:rFonts w:ascii="Times New Roman" w:hAnsi="Times New Roman" w:cs="Times New Roman"/>
          <w:sz w:val="24"/>
          <w:szCs w:val="24"/>
        </w:rPr>
        <w:t xml:space="preserve">llegal and offensive content, and </w:t>
      </w:r>
    </w:p>
    <w:p w14:paraId="03E06123" w14:textId="77777777" w:rsidR="00B27A81" w:rsidRPr="00D35092" w:rsidRDefault="00E77C2C" w:rsidP="00D35092">
      <w:pPr>
        <w:pStyle w:val="ListParagraph"/>
        <w:numPr>
          <w:ilvl w:val="0"/>
          <w:numId w:val="33"/>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27A81" w:rsidRPr="00D35092">
        <w:rPr>
          <w:rFonts w:ascii="Times New Roman" w:hAnsi="Times New Roman" w:cs="Times New Roman"/>
          <w:sz w:val="24"/>
          <w:szCs w:val="24"/>
        </w:rPr>
        <w:t>osting, or threatening to post, an intimate image without consent</w:t>
      </w:r>
      <w:r>
        <w:rPr>
          <w:rFonts w:ascii="Times New Roman" w:hAnsi="Times New Roman" w:cs="Times New Roman"/>
          <w:sz w:val="24"/>
          <w:szCs w:val="24"/>
        </w:rPr>
        <w:t>.</w:t>
      </w:r>
    </w:p>
    <w:p w14:paraId="51FB3C4D"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w:t>
      </w:r>
    </w:p>
    <w:p w14:paraId="2E4545D8"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The eSafety Commissioner works to promote online safety for children, women, older Australians and other vulnerable members of the community, including people with disabilities. As part of this role, the eSafety Commissioner provides advice to teachers about how to keep young people with disabilities safe online. </w:t>
      </w:r>
    </w:p>
    <w:p w14:paraId="32952A37"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w:t>
      </w:r>
    </w:p>
    <w:p w14:paraId="1F81430B"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Another of the key functions of the eSafety Commissioner is to conduct and evaluate research relating to online safety. The eSafety Commissioner has found that young people with disabilities are: </w:t>
      </w:r>
    </w:p>
    <w:p w14:paraId="3CF5C647" w14:textId="77777777" w:rsidR="00B27A81" w:rsidRPr="00E77C2C" w:rsidRDefault="005A1C80" w:rsidP="00E77C2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B27A81" w:rsidRPr="00E77C2C">
        <w:rPr>
          <w:rFonts w:ascii="Times New Roman" w:hAnsi="Times New Roman" w:cs="Times New Roman"/>
          <w:sz w:val="24"/>
          <w:szCs w:val="24"/>
        </w:rPr>
        <w:t>wice as likely to be involved in a bullying incident</w:t>
      </w:r>
    </w:p>
    <w:p w14:paraId="3BC45DFF" w14:textId="77777777" w:rsidR="00B27A81" w:rsidRPr="00E77C2C" w:rsidRDefault="005A1C80" w:rsidP="00E77C2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B27A81" w:rsidRPr="00E77C2C">
        <w:rPr>
          <w:rFonts w:ascii="Times New Roman" w:hAnsi="Times New Roman" w:cs="Times New Roman"/>
          <w:sz w:val="24"/>
          <w:szCs w:val="24"/>
        </w:rPr>
        <w:t xml:space="preserve">ore likely than children without disabilities to have talked to </w:t>
      </w:r>
      <w:r>
        <w:rPr>
          <w:rFonts w:ascii="Times New Roman" w:hAnsi="Times New Roman" w:cs="Times New Roman"/>
          <w:sz w:val="24"/>
          <w:szCs w:val="24"/>
        </w:rPr>
        <w:t>someone they do not know online, and</w:t>
      </w:r>
      <w:r w:rsidR="006045EE">
        <w:rPr>
          <w:rStyle w:val="FootnoteReference"/>
          <w:rFonts w:ascii="Times New Roman" w:hAnsi="Times New Roman" w:cs="Times New Roman"/>
          <w:sz w:val="24"/>
          <w:szCs w:val="24"/>
        </w:rPr>
        <w:footnoteReference w:id="7"/>
      </w:r>
      <w:r w:rsidR="00B27A81" w:rsidRPr="00E77C2C">
        <w:rPr>
          <w:rFonts w:ascii="Times New Roman" w:hAnsi="Times New Roman" w:cs="Times New Roman"/>
          <w:sz w:val="24"/>
          <w:szCs w:val="24"/>
        </w:rPr>
        <w:t xml:space="preserve"> </w:t>
      </w:r>
    </w:p>
    <w:p w14:paraId="7756CF0F" w14:textId="77777777" w:rsidR="00B27A81" w:rsidRPr="00E77C2C" w:rsidRDefault="005A1C80" w:rsidP="00E77C2C">
      <w:pPr>
        <w:pStyle w:val="ListParagraph"/>
        <w:numPr>
          <w:ilvl w:val="0"/>
          <w:numId w:val="34"/>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B27A81" w:rsidRPr="00E77C2C">
        <w:rPr>
          <w:rFonts w:ascii="Times New Roman" w:hAnsi="Times New Roman" w:cs="Times New Roman"/>
          <w:sz w:val="24"/>
          <w:szCs w:val="24"/>
        </w:rPr>
        <w:t xml:space="preserve">ore likely to be asked for nudes of themselves and receive unsolicited nude content </w:t>
      </w:r>
      <w:r>
        <w:rPr>
          <w:rFonts w:ascii="Times New Roman" w:hAnsi="Times New Roman" w:cs="Times New Roman"/>
          <w:sz w:val="24"/>
          <w:szCs w:val="24"/>
        </w:rPr>
        <w:t>than those without disabilities.</w:t>
      </w:r>
      <w:r w:rsidR="006045EE">
        <w:rPr>
          <w:rStyle w:val="FootnoteReference"/>
          <w:rFonts w:ascii="Times New Roman" w:hAnsi="Times New Roman" w:cs="Times New Roman"/>
          <w:sz w:val="24"/>
          <w:szCs w:val="24"/>
        </w:rPr>
        <w:footnoteReference w:id="8"/>
      </w:r>
      <w:r w:rsidR="00B27A81" w:rsidRPr="00E77C2C">
        <w:rPr>
          <w:rFonts w:ascii="Times New Roman" w:hAnsi="Times New Roman" w:cs="Times New Roman"/>
          <w:sz w:val="24"/>
          <w:szCs w:val="24"/>
        </w:rPr>
        <w:t xml:space="preserve"> </w:t>
      </w:r>
    </w:p>
    <w:p w14:paraId="585260F8" w14:textId="77777777" w:rsidR="005A1C80" w:rsidRDefault="005A1C80" w:rsidP="005A1C80">
      <w:pPr>
        <w:spacing w:after="0" w:line="240" w:lineRule="auto"/>
        <w:rPr>
          <w:rFonts w:ascii="Times New Roman" w:hAnsi="Times New Roman" w:cs="Times New Roman"/>
          <w:sz w:val="24"/>
          <w:szCs w:val="24"/>
        </w:rPr>
      </w:pPr>
    </w:p>
    <w:p w14:paraId="6B5EE0EF" w14:textId="77777777" w:rsidR="005A1C80" w:rsidRPr="005A1C80" w:rsidRDefault="005A1C80" w:rsidP="005A1C8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G</w:t>
      </w:r>
      <w:r w:rsidR="00B27A81" w:rsidRPr="005A1C80">
        <w:rPr>
          <w:rFonts w:ascii="Times New Roman" w:hAnsi="Times New Roman" w:cs="Times New Roman"/>
          <w:sz w:val="24"/>
          <w:szCs w:val="24"/>
        </w:rPr>
        <w:t>iven the heightened vulnerability of young people with disabilities, Australia’s online safety legal frameworks provide important protections to this group.</w:t>
      </w:r>
    </w:p>
    <w:p w14:paraId="31E81EAC" w14:textId="77777777" w:rsidR="005A1C80" w:rsidRDefault="005A1C80" w:rsidP="005A1C80">
      <w:pPr>
        <w:spacing w:after="0" w:line="240" w:lineRule="auto"/>
        <w:rPr>
          <w:rFonts w:ascii="Times New Roman" w:hAnsi="Times New Roman" w:cs="Times New Roman"/>
          <w:sz w:val="24"/>
          <w:szCs w:val="24"/>
        </w:rPr>
      </w:pPr>
    </w:p>
    <w:p w14:paraId="30ED6B0D" w14:textId="77777777" w:rsidR="00B27A81" w:rsidRPr="005A1C80" w:rsidRDefault="00B27A81" w:rsidP="005A1C80">
      <w:pPr>
        <w:spacing w:after="0" w:line="240" w:lineRule="auto"/>
        <w:rPr>
          <w:rFonts w:ascii="Times New Roman" w:hAnsi="Times New Roman" w:cs="Times New Roman"/>
          <w:i/>
          <w:sz w:val="24"/>
          <w:szCs w:val="24"/>
        </w:rPr>
      </w:pPr>
      <w:r w:rsidRPr="005A1C80">
        <w:rPr>
          <w:rFonts w:ascii="Times New Roman" w:hAnsi="Times New Roman" w:cs="Times New Roman"/>
          <w:i/>
          <w:sz w:val="24"/>
          <w:szCs w:val="24"/>
        </w:rPr>
        <w:t>Online Safety Charter</w:t>
      </w:r>
    </w:p>
    <w:p w14:paraId="1F309EE7" w14:textId="77777777" w:rsidR="005A1C80" w:rsidRDefault="005A1C80" w:rsidP="005A1C80">
      <w:pPr>
        <w:spacing w:after="0" w:line="240" w:lineRule="auto"/>
        <w:rPr>
          <w:rFonts w:ascii="Times New Roman" w:hAnsi="Times New Roman" w:cs="Times New Roman"/>
          <w:sz w:val="24"/>
          <w:szCs w:val="24"/>
        </w:rPr>
      </w:pPr>
    </w:p>
    <w:p w14:paraId="274CBAD8" w14:textId="77777777" w:rsidR="00B27A81" w:rsidRPr="005A1C80" w:rsidRDefault="00B27A81" w:rsidP="005A1C80">
      <w:pPr>
        <w:spacing w:after="0" w:line="240" w:lineRule="auto"/>
        <w:rPr>
          <w:rFonts w:ascii="Times New Roman" w:hAnsi="Times New Roman" w:cs="Times New Roman"/>
          <w:sz w:val="24"/>
          <w:szCs w:val="24"/>
        </w:rPr>
      </w:pPr>
      <w:r w:rsidRPr="005A1C80">
        <w:rPr>
          <w:rFonts w:ascii="Times New Roman" w:hAnsi="Times New Roman" w:cs="Times New Roman"/>
          <w:sz w:val="24"/>
          <w:szCs w:val="24"/>
        </w:rPr>
        <w:t xml:space="preserve">The Australian Government is currently developing an Online Safety Charter (the Charter) that will articulate a set of community-led minimum standards for industry to protect citizens, especially children and vulnerable members of the community, from harmful online experiences. Once finalised, the Charter will be an important foundation document to shape the direction of online safety policy and legislative arrangements in Australia. </w:t>
      </w:r>
    </w:p>
    <w:p w14:paraId="45A8A96A" w14:textId="77777777" w:rsidR="00E77C2C" w:rsidRDefault="00E77C2C" w:rsidP="00B27A81">
      <w:pPr>
        <w:spacing w:after="0" w:line="240" w:lineRule="auto"/>
        <w:rPr>
          <w:rFonts w:ascii="Times New Roman" w:hAnsi="Times New Roman" w:cs="Times New Roman"/>
          <w:sz w:val="24"/>
          <w:szCs w:val="24"/>
        </w:rPr>
      </w:pPr>
    </w:p>
    <w:p w14:paraId="72782324" w14:textId="77777777" w:rsidR="00B27A81" w:rsidRPr="00E77C2C" w:rsidRDefault="00B27A81" w:rsidP="00B27A81">
      <w:pPr>
        <w:spacing w:after="0" w:line="240" w:lineRule="auto"/>
        <w:rPr>
          <w:rFonts w:ascii="Times New Roman" w:hAnsi="Times New Roman" w:cs="Times New Roman"/>
          <w:i/>
          <w:sz w:val="24"/>
          <w:szCs w:val="24"/>
        </w:rPr>
      </w:pPr>
      <w:r w:rsidRPr="00E77C2C">
        <w:rPr>
          <w:rFonts w:ascii="Times New Roman" w:hAnsi="Times New Roman" w:cs="Times New Roman"/>
          <w:i/>
          <w:sz w:val="24"/>
          <w:szCs w:val="24"/>
        </w:rPr>
        <w:t>Non-regulatory measures</w:t>
      </w:r>
    </w:p>
    <w:p w14:paraId="05E921E7" w14:textId="77777777" w:rsidR="00E77C2C" w:rsidRDefault="00E77C2C" w:rsidP="00B27A81">
      <w:pPr>
        <w:spacing w:after="0" w:line="240" w:lineRule="auto"/>
        <w:rPr>
          <w:rFonts w:ascii="Times New Roman" w:hAnsi="Times New Roman" w:cs="Times New Roman"/>
          <w:sz w:val="24"/>
          <w:szCs w:val="24"/>
        </w:rPr>
      </w:pPr>
    </w:p>
    <w:p w14:paraId="5BC65E47"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Australia also has in place a series of non-regulatory measures to address issues surrounding people with disabilities and social media use. The Australian Government has provided $1.5</w:t>
      </w:r>
      <w:r w:rsidR="005A1C80">
        <w:rPr>
          <w:rFonts w:ascii="Times New Roman" w:hAnsi="Times New Roman" w:cs="Times New Roman"/>
          <w:sz w:val="24"/>
          <w:szCs w:val="24"/>
        </w:rPr>
        <w:t> </w:t>
      </w:r>
      <w:r w:rsidRPr="00B27A81">
        <w:rPr>
          <w:rFonts w:ascii="Times New Roman" w:hAnsi="Times New Roman" w:cs="Times New Roman"/>
          <w:sz w:val="24"/>
          <w:szCs w:val="24"/>
        </w:rPr>
        <w:t xml:space="preserve">million for targeted resources that will assist women with intellectual disabilities to identify and report technology-facilitated abuse. The Australian Government has also established a $3.8 million Online Safety Research Program, which will examine online safety issues with a particular focus on vulnerable groups and communities.  </w:t>
      </w:r>
    </w:p>
    <w:p w14:paraId="641BAEF2" w14:textId="77777777" w:rsidR="00B27A81" w:rsidRPr="00B27A81" w:rsidRDefault="00B27A81" w:rsidP="00B27A81">
      <w:pPr>
        <w:spacing w:after="0" w:line="240" w:lineRule="auto"/>
        <w:rPr>
          <w:rFonts w:ascii="Times New Roman" w:hAnsi="Times New Roman" w:cs="Times New Roman"/>
          <w:sz w:val="24"/>
          <w:szCs w:val="24"/>
        </w:rPr>
      </w:pPr>
    </w:p>
    <w:p w14:paraId="15135C00" w14:textId="77777777" w:rsidR="00B27A81" w:rsidRPr="00E77C2C" w:rsidRDefault="00B27A81" w:rsidP="00B27A81">
      <w:pPr>
        <w:spacing w:after="0" w:line="240" w:lineRule="auto"/>
        <w:rPr>
          <w:rFonts w:ascii="Times New Roman" w:hAnsi="Times New Roman" w:cs="Times New Roman"/>
          <w:sz w:val="24"/>
          <w:szCs w:val="24"/>
          <w:u w:val="single"/>
        </w:rPr>
      </w:pPr>
      <w:r w:rsidRPr="00E77C2C">
        <w:rPr>
          <w:rFonts w:ascii="Times New Roman" w:hAnsi="Times New Roman" w:cs="Times New Roman"/>
          <w:sz w:val="24"/>
          <w:szCs w:val="24"/>
          <w:u w:val="single"/>
        </w:rPr>
        <w:t>Digital platforms</w:t>
      </w:r>
    </w:p>
    <w:p w14:paraId="22BD1690" w14:textId="77777777" w:rsidR="00E77C2C" w:rsidRDefault="00E77C2C" w:rsidP="00B27A81">
      <w:pPr>
        <w:spacing w:after="0" w:line="240" w:lineRule="auto"/>
        <w:rPr>
          <w:rFonts w:ascii="Times New Roman" w:hAnsi="Times New Roman" w:cs="Times New Roman"/>
          <w:sz w:val="24"/>
          <w:szCs w:val="24"/>
        </w:rPr>
      </w:pPr>
    </w:p>
    <w:p w14:paraId="4B174C62" w14:textId="77777777" w:rsidR="00B27A81" w:rsidRPr="00E77C2C" w:rsidRDefault="00B27A81" w:rsidP="00B27A81">
      <w:pPr>
        <w:spacing w:after="0" w:line="240" w:lineRule="auto"/>
        <w:rPr>
          <w:rFonts w:ascii="Times New Roman" w:hAnsi="Times New Roman" w:cs="Times New Roman"/>
          <w:i/>
          <w:sz w:val="24"/>
          <w:szCs w:val="24"/>
        </w:rPr>
      </w:pPr>
      <w:r w:rsidRPr="00E77C2C">
        <w:rPr>
          <w:rFonts w:ascii="Times New Roman" w:hAnsi="Times New Roman" w:cs="Times New Roman"/>
          <w:i/>
          <w:sz w:val="24"/>
          <w:szCs w:val="24"/>
        </w:rPr>
        <w:t>Current legal framework</w:t>
      </w:r>
    </w:p>
    <w:p w14:paraId="57DA1CAC" w14:textId="77777777" w:rsidR="00E77C2C" w:rsidRDefault="00E77C2C" w:rsidP="00B27A81">
      <w:pPr>
        <w:spacing w:after="0" w:line="240" w:lineRule="auto"/>
        <w:rPr>
          <w:rFonts w:ascii="Times New Roman" w:hAnsi="Times New Roman" w:cs="Times New Roman"/>
          <w:sz w:val="24"/>
          <w:szCs w:val="24"/>
        </w:rPr>
      </w:pPr>
    </w:p>
    <w:p w14:paraId="658AE0DA"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The provision of online media services in Australia is governed by a broad statutory framework. This generally extends to services based overseas but available to consumers in Australia. The Australian Government’s expectation is that digital platforms, such as search engine providers, social media platforms and other aggregators of digital content, will comply with these laws and regulations, including by actively cooperating with Australian regulators.</w:t>
      </w:r>
    </w:p>
    <w:p w14:paraId="1BE0FA64" w14:textId="77777777" w:rsidR="00B27A81" w:rsidRPr="00B27A81" w:rsidRDefault="00B27A81" w:rsidP="00B27A81">
      <w:pPr>
        <w:spacing w:after="0" w:line="240" w:lineRule="auto"/>
        <w:rPr>
          <w:rFonts w:ascii="Times New Roman" w:hAnsi="Times New Roman" w:cs="Times New Roman"/>
          <w:sz w:val="24"/>
          <w:szCs w:val="24"/>
        </w:rPr>
      </w:pPr>
    </w:p>
    <w:p w14:paraId="20F29716"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Platforms are subject to laws governing electoral communications</w:t>
      </w:r>
      <w:r w:rsidR="00C91A50">
        <w:rPr>
          <w:rFonts w:ascii="Times New Roman" w:hAnsi="Times New Roman" w:cs="Times New Roman"/>
          <w:sz w:val="24"/>
          <w:szCs w:val="24"/>
        </w:rPr>
        <w:t xml:space="preserve"> and authorisation requirements,</w:t>
      </w:r>
      <w:r w:rsidRPr="00B27A81">
        <w:rPr>
          <w:rFonts w:ascii="Times New Roman" w:hAnsi="Times New Roman" w:cs="Times New Roman"/>
          <w:sz w:val="24"/>
          <w:szCs w:val="24"/>
        </w:rPr>
        <w:t xml:space="preserve"> laws prote</w:t>
      </w:r>
      <w:r w:rsidR="00C91A50">
        <w:rPr>
          <w:rFonts w:ascii="Times New Roman" w:hAnsi="Times New Roman" w:cs="Times New Roman"/>
          <w:sz w:val="24"/>
          <w:szCs w:val="24"/>
        </w:rPr>
        <w:t>cting against foreign influence,</w:t>
      </w:r>
      <w:r w:rsidRPr="00B27A81">
        <w:rPr>
          <w:rFonts w:ascii="Times New Roman" w:hAnsi="Times New Roman" w:cs="Times New Roman"/>
          <w:sz w:val="24"/>
          <w:szCs w:val="24"/>
        </w:rPr>
        <w:t xml:space="preserve"> the regulation of online safety (as</w:t>
      </w:r>
      <w:r w:rsidR="005A1C80">
        <w:rPr>
          <w:rFonts w:ascii="Times New Roman" w:hAnsi="Times New Roman" w:cs="Times New Roman"/>
          <w:sz w:val="24"/>
          <w:szCs w:val="24"/>
        </w:rPr>
        <w:t> </w:t>
      </w:r>
      <w:r w:rsidRPr="00B27A81">
        <w:rPr>
          <w:rFonts w:ascii="Times New Roman" w:hAnsi="Times New Roman" w:cs="Times New Roman"/>
          <w:sz w:val="24"/>
          <w:szCs w:val="24"/>
        </w:rPr>
        <w:t>outlined above) and copyright, defamation and privacy laws.</w:t>
      </w:r>
    </w:p>
    <w:p w14:paraId="159AE8C8" w14:textId="77777777" w:rsidR="00B27A81" w:rsidRPr="00B27A81" w:rsidRDefault="00B27A81" w:rsidP="00B27A81">
      <w:pPr>
        <w:spacing w:after="0" w:line="240" w:lineRule="auto"/>
        <w:rPr>
          <w:rFonts w:ascii="Times New Roman" w:hAnsi="Times New Roman" w:cs="Times New Roman"/>
          <w:sz w:val="24"/>
          <w:szCs w:val="24"/>
        </w:rPr>
      </w:pPr>
    </w:p>
    <w:p w14:paraId="72E10690" w14:textId="77777777" w:rsidR="00B27A81" w:rsidRPr="005A1C80" w:rsidRDefault="00B27A81" w:rsidP="00B27A81">
      <w:pPr>
        <w:spacing w:after="0" w:line="240" w:lineRule="auto"/>
        <w:rPr>
          <w:rFonts w:ascii="Times New Roman" w:hAnsi="Times New Roman" w:cs="Times New Roman"/>
          <w:i/>
          <w:sz w:val="24"/>
          <w:szCs w:val="24"/>
        </w:rPr>
      </w:pPr>
      <w:r w:rsidRPr="005A1C80">
        <w:rPr>
          <w:rFonts w:ascii="Times New Roman" w:hAnsi="Times New Roman" w:cs="Times New Roman"/>
          <w:i/>
          <w:sz w:val="24"/>
          <w:szCs w:val="24"/>
        </w:rPr>
        <w:t>Disparity between offline and online regulation</w:t>
      </w:r>
    </w:p>
    <w:p w14:paraId="3DC5AE36" w14:textId="77777777" w:rsidR="005A1C80" w:rsidRDefault="005A1C80" w:rsidP="00B27A81">
      <w:pPr>
        <w:spacing w:after="0" w:line="240" w:lineRule="auto"/>
        <w:rPr>
          <w:rFonts w:ascii="Times New Roman" w:hAnsi="Times New Roman" w:cs="Times New Roman"/>
          <w:sz w:val="24"/>
          <w:szCs w:val="24"/>
        </w:rPr>
      </w:pPr>
    </w:p>
    <w:p w14:paraId="63B916AC" w14:textId="77777777" w:rsidR="00B27A81" w:rsidRPr="00B27A81" w:rsidRDefault="005A1C80" w:rsidP="00B27A81">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27A81" w:rsidRPr="00B27A81">
        <w:rPr>
          <w:rFonts w:ascii="Times New Roman" w:hAnsi="Times New Roman" w:cs="Times New Roman"/>
          <w:sz w:val="24"/>
          <w:szCs w:val="24"/>
        </w:rPr>
        <w:t>igital platforms are not held as strongly to account as traditional media and content providers are across a range of issues, despite performing similar functions in the delivery and curation of content. There is near to no regulatory oversight of these platforms, in terms of advertising restrictions, classification law, content quotas and complaint and enforcement mechanisms.</w:t>
      </w:r>
    </w:p>
    <w:p w14:paraId="4EA7A225" w14:textId="77777777" w:rsidR="00B27A81" w:rsidRPr="00B27A81" w:rsidRDefault="00B27A81" w:rsidP="00B27A81">
      <w:pPr>
        <w:spacing w:after="0" w:line="240" w:lineRule="auto"/>
        <w:rPr>
          <w:rFonts w:ascii="Times New Roman" w:hAnsi="Times New Roman" w:cs="Times New Roman"/>
          <w:sz w:val="24"/>
          <w:szCs w:val="24"/>
        </w:rPr>
      </w:pPr>
    </w:p>
    <w:p w14:paraId="1004413B"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This could have consequences for the way in which Australians with a disability are portrayed on social media</w:t>
      </w:r>
      <w:r w:rsidR="005822BD">
        <w:rPr>
          <w:rFonts w:ascii="Times New Roman" w:hAnsi="Times New Roman" w:cs="Times New Roman"/>
          <w:sz w:val="24"/>
          <w:szCs w:val="24"/>
        </w:rPr>
        <w:t xml:space="preserve"> and by online news services,</w:t>
      </w:r>
      <w:r w:rsidR="005A1C80">
        <w:rPr>
          <w:rFonts w:ascii="Times New Roman" w:hAnsi="Times New Roman" w:cs="Times New Roman"/>
          <w:sz w:val="24"/>
          <w:szCs w:val="24"/>
        </w:rPr>
        <w:t xml:space="preserve"> or</w:t>
      </w:r>
      <w:r w:rsidRPr="00B27A81">
        <w:rPr>
          <w:rFonts w:ascii="Times New Roman" w:hAnsi="Times New Roman" w:cs="Times New Roman"/>
          <w:sz w:val="24"/>
          <w:szCs w:val="24"/>
        </w:rPr>
        <w:t xml:space="preserve"> their ability to engage online on equivalent terms to people without a disability</w:t>
      </w:r>
      <w:r w:rsidR="005822BD">
        <w:rPr>
          <w:rFonts w:ascii="Times New Roman" w:hAnsi="Times New Roman" w:cs="Times New Roman"/>
          <w:sz w:val="24"/>
          <w:szCs w:val="24"/>
        </w:rPr>
        <w:t>,</w:t>
      </w:r>
      <w:r w:rsidRPr="00B27A81">
        <w:rPr>
          <w:rFonts w:ascii="Times New Roman" w:hAnsi="Times New Roman" w:cs="Times New Roman"/>
          <w:sz w:val="24"/>
          <w:szCs w:val="24"/>
        </w:rPr>
        <w:t xml:space="preserve"> and in relation to the protections and safeguards they receive in relation to their personal information and data relating to them.</w:t>
      </w:r>
    </w:p>
    <w:p w14:paraId="0E473B78" w14:textId="77777777" w:rsidR="00B27A81" w:rsidRPr="00B27A81" w:rsidRDefault="00B27A81" w:rsidP="00B27A81">
      <w:pPr>
        <w:spacing w:after="0" w:line="240" w:lineRule="auto"/>
        <w:rPr>
          <w:rFonts w:ascii="Times New Roman" w:hAnsi="Times New Roman" w:cs="Times New Roman"/>
          <w:sz w:val="24"/>
          <w:szCs w:val="24"/>
        </w:rPr>
      </w:pPr>
    </w:p>
    <w:p w14:paraId="5DC12590" w14:textId="77777777" w:rsidR="00B27A81" w:rsidRPr="005A1C80" w:rsidRDefault="00B27A81" w:rsidP="000A3978">
      <w:pPr>
        <w:keepNext/>
        <w:keepLines/>
        <w:spacing w:after="0" w:line="240" w:lineRule="auto"/>
        <w:rPr>
          <w:rFonts w:ascii="Times New Roman" w:hAnsi="Times New Roman" w:cs="Times New Roman"/>
          <w:i/>
          <w:sz w:val="24"/>
          <w:szCs w:val="24"/>
        </w:rPr>
      </w:pPr>
      <w:r w:rsidRPr="005A1C80">
        <w:rPr>
          <w:rFonts w:ascii="Times New Roman" w:hAnsi="Times New Roman" w:cs="Times New Roman"/>
          <w:i/>
          <w:sz w:val="24"/>
          <w:szCs w:val="24"/>
        </w:rPr>
        <w:lastRenderedPageBreak/>
        <w:t xml:space="preserve">ACCC’s Digital Platforms Inquiry </w:t>
      </w:r>
    </w:p>
    <w:p w14:paraId="55CADD47" w14:textId="77777777" w:rsidR="005A1C80" w:rsidRDefault="005A1C80" w:rsidP="000A3978">
      <w:pPr>
        <w:keepNext/>
        <w:keepLines/>
        <w:spacing w:after="0" w:line="240" w:lineRule="auto"/>
        <w:rPr>
          <w:rFonts w:ascii="Times New Roman" w:hAnsi="Times New Roman" w:cs="Times New Roman"/>
          <w:sz w:val="24"/>
          <w:szCs w:val="24"/>
        </w:rPr>
      </w:pPr>
    </w:p>
    <w:p w14:paraId="6297D012" w14:textId="77777777" w:rsidR="00B27A81" w:rsidRPr="00B27A81" w:rsidRDefault="00B27A81" w:rsidP="000A3978">
      <w:pPr>
        <w:keepNext/>
        <w:keepLines/>
        <w:spacing w:after="0" w:line="240" w:lineRule="auto"/>
        <w:rPr>
          <w:rFonts w:ascii="Times New Roman" w:hAnsi="Times New Roman" w:cs="Times New Roman"/>
          <w:sz w:val="24"/>
          <w:szCs w:val="24"/>
        </w:rPr>
      </w:pPr>
      <w:r w:rsidRPr="00B27A81">
        <w:rPr>
          <w:rFonts w:ascii="Times New Roman" w:hAnsi="Times New Roman" w:cs="Times New Roman"/>
          <w:sz w:val="24"/>
          <w:szCs w:val="24"/>
        </w:rPr>
        <w:t>Over the last 18 months, the Australian Competition a</w:t>
      </w:r>
      <w:r w:rsidR="005822BD">
        <w:rPr>
          <w:rFonts w:ascii="Times New Roman" w:hAnsi="Times New Roman" w:cs="Times New Roman"/>
          <w:sz w:val="24"/>
          <w:szCs w:val="24"/>
        </w:rPr>
        <w:t>nd Consumer Commission’s (ACCC</w:t>
      </w:r>
      <w:r w:rsidRPr="00B27A81">
        <w:rPr>
          <w:rFonts w:ascii="Times New Roman" w:hAnsi="Times New Roman" w:cs="Times New Roman"/>
          <w:sz w:val="24"/>
          <w:szCs w:val="24"/>
        </w:rPr>
        <w:t xml:space="preserve">) Digital Platforms inquiry has investigated the effect that digital platforms have on competition in media and advertising services markets, and the implications of this for media content creators, advertisers and consumers. The role of digital platforms in promoting harmful content, such as discriminatory or offensive content against including against people with a disability, was outside of the scope of the ACCC’s inquiry. </w:t>
      </w:r>
    </w:p>
    <w:p w14:paraId="7516363A" w14:textId="77777777" w:rsidR="00B27A81" w:rsidRPr="00B27A81" w:rsidRDefault="00B27A81" w:rsidP="00B27A81">
      <w:pPr>
        <w:spacing w:after="0" w:line="240" w:lineRule="auto"/>
        <w:rPr>
          <w:rFonts w:ascii="Times New Roman" w:hAnsi="Times New Roman" w:cs="Times New Roman"/>
          <w:sz w:val="24"/>
          <w:szCs w:val="24"/>
        </w:rPr>
      </w:pPr>
    </w:p>
    <w:p w14:paraId="702B3A4A"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In releasing its preliminary report on 10 December 2018, the ACCC made a range preliminary recommendations, which included proposed measures that may indirectly benefit Australians with a disability as they engage with platforms. These include preliminary recommendations to:</w:t>
      </w:r>
    </w:p>
    <w:p w14:paraId="45682663" w14:textId="77777777" w:rsidR="00B27A81" w:rsidRPr="00B27A81" w:rsidRDefault="00B27A81" w:rsidP="00B27A81">
      <w:pPr>
        <w:pStyle w:val="ListParagraph"/>
        <w:numPr>
          <w:ilvl w:val="0"/>
          <w:numId w:val="32"/>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address the market power of large digital platforms such as Google and Facebook in areas such as online search, social media and news referral</w:t>
      </w:r>
    </w:p>
    <w:p w14:paraId="47958765" w14:textId="77777777" w:rsidR="00B27A81" w:rsidRPr="00B27A81" w:rsidRDefault="00B27A81" w:rsidP="00B27A81">
      <w:pPr>
        <w:pStyle w:val="ListParagraph"/>
        <w:numPr>
          <w:ilvl w:val="0"/>
          <w:numId w:val="32"/>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monitor digital platforms’ activities and the potential consequences of those activities for news media organisations and advertisers</w:t>
      </w:r>
    </w:p>
    <w:p w14:paraId="4E7808F4" w14:textId="77777777" w:rsidR="00B27A81" w:rsidRPr="00B27A81" w:rsidRDefault="00B27A81" w:rsidP="00B27A81">
      <w:pPr>
        <w:pStyle w:val="ListParagraph"/>
        <w:numPr>
          <w:ilvl w:val="0"/>
          <w:numId w:val="32"/>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address the regulatory imbalance between news media providers and digital platforms in order to create a more level playing field in terms of regulatory oversight of platforms</w:t>
      </w:r>
      <w:r>
        <w:rPr>
          <w:rFonts w:ascii="Times New Roman" w:hAnsi="Times New Roman" w:cs="Times New Roman"/>
          <w:sz w:val="24"/>
          <w:szCs w:val="24"/>
        </w:rPr>
        <w:t>,</w:t>
      </w:r>
      <w:r w:rsidRPr="00B27A81">
        <w:rPr>
          <w:rFonts w:ascii="Times New Roman" w:hAnsi="Times New Roman" w:cs="Times New Roman"/>
          <w:sz w:val="24"/>
          <w:szCs w:val="24"/>
        </w:rPr>
        <w:t xml:space="preserve"> and</w:t>
      </w:r>
    </w:p>
    <w:p w14:paraId="6DFC5B9E" w14:textId="77777777" w:rsidR="00B27A81" w:rsidRPr="00B27A81" w:rsidRDefault="00B27A81" w:rsidP="00B27A81">
      <w:pPr>
        <w:pStyle w:val="ListParagraph"/>
        <w:numPr>
          <w:ilvl w:val="0"/>
          <w:numId w:val="32"/>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improve privacy protections for users, including by improving their bargaining power when dealing with digital platforms.</w:t>
      </w:r>
      <w:r w:rsidRPr="00B27A81">
        <w:rPr>
          <w:rFonts w:ascii="Times New Roman" w:hAnsi="Times New Roman" w:cs="Times New Roman"/>
          <w:sz w:val="24"/>
          <w:szCs w:val="24"/>
        </w:rPr>
        <w:br/>
      </w:r>
    </w:p>
    <w:p w14:paraId="0553BA95" w14:textId="77777777" w:rsidR="00B27A81" w:rsidRPr="005A1C80" w:rsidRDefault="00B27A81" w:rsidP="00B27A81">
      <w:pPr>
        <w:spacing w:after="0" w:line="240" w:lineRule="auto"/>
        <w:rPr>
          <w:rFonts w:ascii="Times New Roman" w:hAnsi="Times New Roman" w:cs="Times New Roman"/>
          <w:i/>
          <w:sz w:val="24"/>
          <w:szCs w:val="24"/>
        </w:rPr>
      </w:pPr>
      <w:r w:rsidRPr="005A1C80">
        <w:rPr>
          <w:rFonts w:ascii="Times New Roman" w:hAnsi="Times New Roman" w:cs="Times New Roman"/>
          <w:i/>
          <w:sz w:val="24"/>
          <w:szCs w:val="24"/>
        </w:rPr>
        <w:t xml:space="preserve">Possible impact of the Digital Platforms Inquiry for persons with a disability </w:t>
      </w:r>
    </w:p>
    <w:p w14:paraId="7829951B" w14:textId="77777777" w:rsidR="005A1C80" w:rsidRDefault="005A1C80" w:rsidP="00B27A81">
      <w:pPr>
        <w:spacing w:after="0" w:line="240" w:lineRule="auto"/>
        <w:rPr>
          <w:rFonts w:ascii="Times New Roman" w:hAnsi="Times New Roman" w:cs="Times New Roman"/>
          <w:sz w:val="24"/>
          <w:szCs w:val="24"/>
        </w:rPr>
      </w:pPr>
    </w:p>
    <w:p w14:paraId="6E4A28BD" w14:textId="77777777" w:rsidR="00B27A81" w:rsidRPr="00B27A81" w:rsidRDefault="00B27A81" w:rsidP="00B27A81">
      <w:p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The ACCC’s final report was provided to the Treasurer, th</w:t>
      </w:r>
      <w:r w:rsidR="005A1C80">
        <w:rPr>
          <w:rFonts w:ascii="Times New Roman" w:hAnsi="Times New Roman" w:cs="Times New Roman"/>
          <w:sz w:val="24"/>
          <w:szCs w:val="24"/>
        </w:rPr>
        <w:t>e Hon Josh Frydenberg MP, on 30 </w:t>
      </w:r>
      <w:r w:rsidRPr="00B27A81">
        <w:rPr>
          <w:rFonts w:ascii="Times New Roman" w:hAnsi="Times New Roman" w:cs="Times New Roman"/>
          <w:sz w:val="24"/>
          <w:szCs w:val="24"/>
        </w:rPr>
        <w:t>June 2019 and is expected to be released within the coming weeks. While not directly addressing the concerns of Australian with disabilities, implementation of recommended measures targeting the types of competition and consumer issues investigated by the inquiry could have flow-on benefits for Australians with a disability. For example:</w:t>
      </w:r>
    </w:p>
    <w:p w14:paraId="2E09C549" w14:textId="77777777" w:rsidR="00B27A81" w:rsidRPr="00B27A81" w:rsidRDefault="00B27A81" w:rsidP="00B27A81">
      <w:pPr>
        <w:pStyle w:val="ListParagraph"/>
        <w:numPr>
          <w:ilvl w:val="0"/>
          <w:numId w:val="31"/>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functionally equivalent and fit-for purpose regulation of online content could assist with the online portrayal and treatment of persons with a disability</w:t>
      </w:r>
    </w:p>
    <w:p w14:paraId="47E24747" w14:textId="77777777" w:rsidR="00B27A81" w:rsidRPr="00B27A81" w:rsidRDefault="00B27A81" w:rsidP="00B27A81">
      <w:pPr>
        <w:pStyle w:val="ListParagraph"/>
        <w:numPr>
          <w:ilvl w:val="0"/>
          <w:numId w:val="31"/>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the provision of greater transparency around the handling of personal information of, and data related to, individuals could provide greater consumer protection and choice </w:t>
      </w:r>
      <w:r>
        <w:rPr>
          <w:rFonts w:ascii="Times New Roman" w:hAnsi="Times New Roman" w:cs="Times New Roman"/>
          <w:sz w:val="24"/>
          <w:szCs w:val="24"/>
        </w:rPr>
        <w:t>for persons with a disability,</w:t>
      </w:r>
      <w:r w:rsidRPr="00B27A81">
        <w:rPr>
          <w:rFonts w:ascii="Times New Roman" w:hAnsi="Times New Roman" w:cs="Times New Roman"/>
          <w:sz w:val="24"/>
          <w:szCs w:val="24"/>
        </w:rPr>
        <w:t xml:space="preserve"> and</w:t>
      </w:r>
    </w:p>
    <w:p w14:paraId="4ED54CC1" w14:textId="77777777" w:rsidR="00B27A81" w:rsidRPr="00B27A81" w:rsidRDefault="00B27A81" w:rsidP="00B27A81">
      <w:pPr>
        <w:pStyle w:val="ListParagraph"/>
        <w:numPr>
          <w:ilvl w:val="0"/>
          <w:numId w:val="31"/>
        </w:numPr>
        <w:spacing w:after="0" w:line="240" w:lineRule="auto"/>
        <w:rPr>
          <w:rFonts w:ascii="Times New Roman" w:hAnsi="Times New Roman" w:cs="Times New Roman"/>
          <w:sz w:val="24"/>
          <w:szCs w:val="24"/>
        </w:rPr>
      </w:pPr>
      <w:r w:rsidRPr="00B27A81">
        <w:rPr>
          <w:rFonts w:ascii="Times New Roman" w:hAnsi="Times New Roman" w:cs="Times New Roman"/>
          <w:sz w:val="24"/>
          <w:szCs w:val="24"/>
        </w:rPr>
        <w:t xml:space="preserve">measures to improve the reliability and credibility of online news, including reducing the risks of deliberately spreading misleading and harmful news stories (disinformation) or information intended to inflict harm on a person or social group (malinformation) could reduce overall risks of persons with a disability being targeted through such means. </w:t>
      </w:r>
    </w:p>
    <w:p w14:paraId="67EE5969" w14:textId="77777777" w:rsidR="00B27A81" w:rsidRPr="00B27A81" w:rsidRDefault="00B27A81" w:rsidP="00B27A81">
      <w:pPr>
        <w:spacing w:after="0" w:line="240" w:lineRule="auto"/>
        <w:rPr>
          <w:rFonts w:ascii="Times New Roman" w:hAnsi="Times New Roman" w:cs="Times New Roman"/>
          <w:sz w:val="24"/>
          <w:szCs w:val="24"/>
        </w:rPr>
      </w:pPr>
    </w:p>
    <w:p w14:paraId="3DE8EE0E" w14:textId="77777777" w:rsidR="00B27A81" w:rsidRPr="00B27A81" w:rsidRDefault="00B27A81" w:rsidP="00245988">
      <w:pPr>
        <w:spacing w:after="0" w:line="240" w:lineRule="auto"/>
        <w:rPr>
          <w:rFonts w:ascii="Calibri" w:eastAsia="Times New Roman" w:hAnsi="Calibri" w:cs="Calibri"/>
          <w:lang w:eastAsia="en-AU"/>
        </w:rPr>
      </w:pPr>
      <w:r w:rsidRPr="00B27A81">
        <w:rPr>
          <w:rFonts w:ascii="Times New Roman" w:hAnsi="Times New Roman" w:cs="Times New Roman"/>
          <w:sz w:val="24"/>
          <w:szCs w:val="24"/>
        </w:rPr>
        <w:t xml:space="preserve">Details of the ACCC’s Digital Platforms Inquiry, including its terms of reference, stakeholder submissions and its preliminary and final reports are available at: </w:t>
      </w:r>
      <w:hyperlink r:id="rId8" w:history="1">
        <w:r w:rsidRPr="00B27A81">
          <w:rPr>
            <w:rStyle w:val="Hyperlink"/>
            <w:rFonts w:ascii="Times New Roman" w:hAnsi="Times New Roman" w:cs="Times New Roman"/>
            <w:sz w:val="24"/>
            <w:szCs w:val="24"/>
          </w:rPr>
          <w:t>https://www.accc.gov.au/focus-areas/inquiries/digital-platforms-inquiry</w:t>
        </w:r>
      </w:hyperlink>
      <w:r w:rsidRPr="00B27A81">
        <w:rPr>
          <w:rFonts w:ascii="Times New Roman" w:hAnsi="Times New Roman" w:cs="Times New Roman"/>
          <w:sz w:val="24"/>
          <w:szCs w:val="24"/>
        </w:rPr>
        <w:t>.</w:t>
      </w:r>
      <w:r>
        <w:rPr>
          <w:rFonts w:ascii="Calibri" w:eastAsia="Times New Roman" w:hAnsi="Calibri" w:cs="Calibri"/>
          <w:lang w:eastAsia="en-AU"/>
        </w:rPr>
        <w:t xml:space="preserve"> </w:t>
      </w:r>
    </w:p>
    <w:p w14:paraId="2C0171EB" w14:textId="77777777" w:rsidR="00B27A81" w:rsidRPr="00B27A81" w:rsidRDefault="00B27A81" w:rsidP="00245988">
      <w:pPr>
        <w:spacing w:after="0" w:line="240" w:lineRule="auto"/>
        <w:rPr>
          <w:rFonts w:ascii="Times New Roman" w:hAnsi="Times New Roman" w:cs="Times New Roman"/>
          <w:sz w:val="24"/>
          <w:szCs w:val="24"/>
        </w:rPr>
      </w:pPr>
    </w:p>
    <w:p w14:paraId="4E7C0E40" w14:textId="77777777" w:rsidR="00383C0B" w:rsidRPr="009922C7" w:rsidRDefault="00383C0B" w:rsidP="00245988">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4(a).</w:t>
      </w:r>
      <w:r w:rsidRPr="009922C7">
        <w:rPr>
          <w:rFonts w:ascii="Times New Roman" w:hAnsi="Times New Roman" w:cs="Times New Roman"/>
          <w:b/>
          <w:i/>
          <w:sz w:val="24"/>
          <w:szCs w:val="24"/>
        </w:rPr>
        <w:tab/>
        <w:t>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w:t>
      </w:r>
    </w:p>
    <w:p w14:paraId="083B8AD7" w14:textId="77777777" w:rsidR="00383C0B" w:rsidRPr="009922C7" w:rsidRDefault="00383C0B" w:rsidP="00383C0B">
      <w:pPr>
        <w:pStyle w:val="ListParagraph"/>
        <w:numPr>
          <w:ilvl w:val="0"/>
          <w:numId w:val="2"/>
        </w:num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Training, including human rights education;</w:t>
      </w:r>
    </w:p>
    <w:p w14:paraId="6F4A088F" w14:textId="77777777" w:rsidR="00383C0B" w:rsidRPr="009922C7" w:rsidRDefault="00383C0B" w:rsidP="00383C0B">
      <w:pPr>
        <w:pStyle w:val="ListParagraph"/>
        <w:numPr>
          <w:ilvl w:val="0"/>
          <w:numId w:val="2"/>
        </w:num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lastRenderedPageBreak/>
        <w:t>Research, including studies on perception and attitudes;</w:t>
      </w:r>
    </w:p>
    <w:p w14:paraId="06374778" w14:textId="77777777" w:rsidR="00383C0B" w:rsidRDefault="00383C0B" w:rsidP="00383C0B">
      <w:pPr>
        <w:pStyle w:val="ListParagraph"/>
        <w:numPr>
          <w:ilvl w:val="0"/>
          <w:numId w:val="2"/>
        </w:numPr>
        <w:spacing w:after="0" w:line="240" w:lineRule="auto"/>
        <w:rPr>
          <w:rFonts w:ascii="Times New Roman" w:hAnsi="Times New Roman" w:cs="Times New Roman"/>
          <w:sz w:val="24"/>
          <w:szCs w:val="24"/>
        </w:rPr>
      </w:pPr>
      <w:r w:rsidRPr="009922C7">
        <w:rPr>
          <w:rFonts w:ascii="Times New Roman" w:hAnsi="Times New Roman" w:cs="Times New Roman"/>
          <w:b/>
          <w:i/>
          <w:sz w:val="24"/>
          <w:szCs w:val="24"/>
        </w:rPr>
        <w:t>Surveys and data collection.</w:t>
      </w:r>
    </w:p>
    <w:p w14:paraId="11BD8144" w14:textId="77777777" w:rsidR="00AC564F" w:rsidRPr="009922C7" w:rsidRDefault="00AC564F" w:rsidP="00AC564F">
      <w:pPr>
        <w:spacing w:after="0" w:line="240" w:lineRule="auto"/>
        <w:rPr>
          <w:rFonts w:ascii="Times New Roman" w:hAnsi="Times New Roman" w:cs="Times New Roman"/>
          <w:b/>
          <w:i/>
          <w:sz w:val="24"/>
          <w:szCs w:val="24"/>
        </w:rPr>
      </w:pPr>
      <w:r w:rsidRPr="009922C7">
        <w:rPr>
          <w:rFonts w:ascii="Times New Roman" w:hAnsi="Times New Roman" w:cs="Times New Roman"/>
          <w:b/>
          <w:i/>
          <w:sz w:val="24"/>
          <w:szCs w:val="24"/>
        </w:rPr>
        <w:t>4(b).</w:t>
      </w:r>
      <w:r w:rsidRPr="009922C7">
        <w:rPr>
          <w:rFonts w:ascii="Times New Roman" w:hAnsi="Times New Roman" w:cs="Times New Roman"/>
          <w:b/>
          <w:i/>
          <w:sz w:val="24"/>
          <w:szCs w:val="24"/>
        </w:rPr>
        <w:tab/>
        <w:t>Please indicate their objective, scope, target audience, impact (including available data), partners and participants, particularly the participation of, and role of persons with disabilities and their representative organisations, and any key factors of success.</w:t>
      </w:r>
    </w:p>
    <w:p w14:paraId="2E14C9CC" w14:textId="77777777" w:rsidR="00AC564F" w:rsidRDefault="00AC564F" w:rsidP="00383C0B">
      <w:pPr>
        <w:spacing w:after="0" w:line="240" w:lineRule="auto"/>
        <w:rPr>
          <w:rFonts w:ascii="Times New Roman" w:hAnsi="Times New Roman" w:cs="Times New Roman"/>
          <w:sz w:val="24"/>
          <w:szCs w:val="24"/>
        </w:rPr>
      </w:pPr>
    </w:p>
    <w:p w14:paraId="6E8E6482" w14:textId="77777777" w:rsidR="00105EFD" w:rsidRPr="00105EFD" w:rsidRDefault="001D64AE" w:rsidP="00383C0B">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w:t>
      </w:r>
      <w:r w:rsidR="005822BD">
        <w:rPr>
          <w:rFonts w:ascii="Times New Roman" w:hAnsi="Times New Roman" w:cs="Times New Roman"/>
          <w:sz w:val="24"/>
          <w:szCs w:val="24"/>
          <w:u w:val="single"/>
        </w:rPr>
        <w:t>HRC a</w:t>
      </w:r>
      <w:r>
        <w:rPr>
          <w:rFonts w:ascii="Times New Roman" w:hAnsi="Times New Roman" w:cs="Times New Roman"/>
          <w:sz w:val="24"/>
          <w:szCs w:val="24"/>
          <w:u w:val="single"/>
        </w:rPr>
        <w:t>wareness raising</w:t>
      </w:r>
    </w:p>
    <w:p w14:paraId="67B2C16A" w14:textId="77777777" w:rsidR="00105EFD" w:rsidRDefault="00105EFD" w:rsidP="00383C0B">
      <w:pPr>
        <w:spacing w:after="0" w:line="240" w:lineRule="auto"/>
        <w:rPr>
          <w:rFonts w:ascii="Times New Roman" w:hAnsi="Times New Roman" w:cs="Times New Roman"/>
          <w:sz w:val="24"/>
          <w:szCs w:val="24"/>
        </w:rPr>
      </w:pPr>
    </w:p>
    <w:p w14:paraId="4FB2F8D1" w14:textId="77777777" w:rsidR="00BB26F2" w:rsidRDefault="00BB26F2" w:rsidP="00BB26F2">
      <w:p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 xml:space="preserve">The </w:t>
      </w:r>
      <w:r w:rsidR="009741E5">
        <w:rPr>
          <w:rFonts w:ascii="Times New Roman" w:hAnsi="Times New Roman" w:cs="Times New Roman"/>
          <w:sz w:val="24"/>
          <w:szCs w:val="24"/>
        </w:rPr>
        <w:t>AHRC</w:t>
      </w:r>
      <w:r w:rsidRPr="00BB26F2">
        <w:rPr>
          <w:rFonts w:ascii="Times New Roman" w:hAnsi="Times New Roman" w:cs="Times New Roman"/>
          <w:sz w:val="24"/>
          <w:szCs w:val="24"/>
        </w:rPr>
        <w:t xml:space="preserve"> undertakes a range of programs, activities and campaigns to raise awareness and promote the human rights of people with disability. The objective of this work is to build ‘rights-mindedness’ across the community with better understanding and awareness of human rights of people with disability and how to protect them. </w:t>
      </w:r>
    </w:p>
    <w:p w14:paraId="200046B0" w14:textId="77777777" w:rsidR="00BB26F2" w:rsidRDefault="00BB26F2" w:rsidP="00BB26F2">
      <w:pPr>
        <w:spacing w:after="0" w:line="240" w:lineRule="auto"/>
        <w:rPr>
          <w:rFonts w:ascii="Times New Roman" w:hAnsi="Times New Roman" w:cs="Times New Roman"/>
          <w:sz w:val="24"/>
          <w:szCs w:val="24"/>
        </w:rPr>
      </w:pPr>
    </w:p>
    <w:p w14:paraId="45A4A2D5" w14:textId="77777777" w:rsidR="00BB26F2" w:rsidRPr="00BB26F2" w:rsidRDefault="00BB26F2" w:rsidP="00BB26F2">
      <w:pPr>
        <w:spacing w:after="0" w:line="240" w:lineRule="auto"/>
        <w:rPr>
          <w:rFonts w:ascii="Times New Roman" w:hAnsi="Times New Roman" w:cs="Times New Roman"/>
          <w:i/>
          <w:sz w:val="24"/>
          <w:szCs w:val="24"/>
        </w:rPr>
      </w:pPr>
      <w:r w:rsidRPr="00BB26F2">
        <w:rPr>
          <w:rFonts w:ascii="Times New Roman" w:hAnsi="Times New Roman" w:cs="Times New Roman"/>
          <w:i/>
          <w:sz w:val="24"/>
          <w:szCs w:val="24"/>
        </w:rPr>
        <w:t>Training and human rights education</w:t>
      </w:r>
    </w:p>
    <w:p w14:paraId="58079780" w14:textId="77777777" w:rsidR="00BB26F2" w:rsidRPr="00BB26F2" w:rsidRDefault="00BB26F2" w:rsidP="00BB26F2">
      <w:pPr>
        <w:spacing w:after="0" w:line="240" w:lineRule="auto"/>
        <w:rPr>
          <w:rFonts w:ascii="Times New Roman" w:hAnsi="Times New Roman" w:cs="Times New Roman"/>
          <w:sz w:val="24"/>
          <w:szCs w:val="24"/>
        </w:rPr>
      </w:pPr>
    </w:p>
    <w:p w14:paraId="364BE656" w14:textId="77777777" w:rsidR="00BB26F2" w:rsidRDefault="002765B7" w:rsidP="00BB26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Human rights education </w:t>
      </w:r>
      <w:r w:rsidR="00BB26F2" w:rsidRPr="00BB26F2">
        <w:rPr>
          <w:rFonts w:ascii="Times New Roman" w:hAnsi="Times New Roman" w:cs="Times New Roman"/>
          <w:sz w:val="24"/>
          <w:szCs w:val="24"/>
        </w:rPr>
        <w:t xml:space="preserve">is one of the AHRC’s core statutory functions under the </w:t>
      </w:r>
      <w:r w:rsidR="005B5953">
        <w:rPr>
          <w:rFonts w:ascii="Times New Roman" w:hAnsi="Times New Roman" w:cs="Times New Roman"/>
          <w:i/>
          <w:sz w:val="24"/>
          <w:szCs w:val="24"/>
        </w:rPr>
        <w:t>Australian </w:t>
      </w:r>
      <w:r w:rsidR="00BB26F2" w:rsidRPr="004E5088">
        <w:rPr>
          <w:rFonts w:ascii="Times New Roman" w:hAnsi="Times New Roman" w:cs="Times New Roman"/>
          <w:i/>
          <w:sz w:val="24"/>
          <w:szCs w:val="24"/>
        </w:rPr>
        <w:t>Human Rights Commission Act 1986</w:t>
      </w:r>
      <w:r w:rsidR="00BB26F2" w:rsidRPr="00BB26F2">
        <w:rPr>
          <w:rFonts w:ascii="Times New Roman" w:hAnsi="Times New Roman" w:cs="Times New Roman"/>
          <w:sz w:val="24"/>
          <w:szCs w:val="24"/>
        </w:rPr>
        <w:t xml:space="preserve"> (Cth). The AHRC’s education programs aim to increase understanding about human rights, lay the foundations for positive change in attitudes and behaviour and increase capacity to realise human rights. The AHRC develops and promotes school and higher education resources and delivers training programs. The training programs currently target the public service, to assist government personnel to apply human rights in their day-to-day work.</w:t>
      </w:r>
    </w:p>
    <w:p w14:paraId="18D04D1B" w14:textId="77777777" w:rsidR="00BB26F2" w:rsidRPr="00BB26F2" w:rsidRDefault="00BB26F2" w:rsidP="00BB26F2">
      <w:pPr>
        <w:spacing w:after="0" w:line="240" w:lineRule="auto"/>
        <w:rPr>
          <w:rFonts w:ascii="Times New Roman" w:hAnsi="Times New Roman" w:cs="Times New Roman"/>
          <w:sz w:val="24"/>
          <w:szCs w:val="24"/>
        </w:rPr>
      </w:pPr>
    </w:p>
    <w:p w14:paraId="0A2AD2D0" w14:textId="77777777" w:rsidR="00BB26F2" w:rsidRDefault="00BB26F2" w:rsidP="00BB26F2">
      <w:p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The AHRC has developed a disability rights training program, which is delivered to a range of private and public sector organisations. A successful example of this program is the training the AHRC developed in partnershi</w:t>
      </w:r>
      <w:r w:rsidR="005B5953">
        <w:rPr>
          <w:rFonts w:ascii="Times New Roman" w:hAnsi="Times New Roman" w:cs="Times New Roman"/>
          <w:sz w:val="24"/>
          <w:szCs w:val="24"/>
        </w:rPr>
        <w:t>p with the NSW</w:t>
      </w:r>
      <w:r w:rsidRPr="00BB26F2">
        <w:rPr>
          <w:rFonts w:ascii="Times New Roman" w:hAnsi="Times New Roman" w:cs="Times New Roman"/>
          <w:sz w:val="24"/>
          <w:szCs w:val="24"/>
        </w:rPr>
        <w:t xml:space="preserve"> Department of Family and Community Services on disability awareness for policy and project staff in the NSW public service. Feedback from participants at these sessions has been overwhelmingly positive. Evaluations showed a significant increase in the knowledge of participants in relation to the </w:t>
      </w:r>
      <w:r w:rsidR="005B5953">
        <w:rPr>
          <w:rFonts w:ascii="Times New Roman" w:hAnsi="Times New Roman" w:cs="Times New Roman"/>
          <w:sz w:val="24"/>
          <w:szCs w:val="24"/>
        </w:rPr>
        <w:t>Convention</w:t>
      </w:r>
      <w:r w:rsidRPr="00BB26F2">
        <w:rPr>
          <w:rFonts w:ascii="Times New Roman" w:hAnsi="Times New Roman" w:cs="Times New Roman"/>
          <w:sz w:val="24"/>
          <w:szCs w:val="24"/>
        </w:rPr>
        <w:t>, disabi</w:t>
      </w:r>
      <w:r w:rsidR="000458E5">
        <w:rPr>
          <w:rFonts w:ascii="Times New Roman" w:hAnsi="Times New Roman" w:cs="Times New Roman"/>
          <w:sz w:val="24"/>
          <w:szCs w:val="24"/>
        </w:rPr>
        <w:t>lity policy frameworks</w:t>
      </w:r>
      <w:r w:rsidRPr="00BB26F2">
        <w:rPr>
          <w:rFonts w:ascii="Times New Roman" w:hAnsi="Times New Roman" w:cs="Times New Roman"/>
          <w:sz w:val="24"/>
          <w:szCs w:val="24"/>
        </w:rPr>
        <w:t xml:space="preserve"> and the ability to incorporate principles of access and inclusion in their work.</w:t>
      </w:r>
    </w:p>
    <w:p w14:paraId="27E62C69" w14:textId="77777777" w:rsidR="00BB26F2" w:rsidRDefault="00BB26F2" w:rsidP="00BB26F2">
      <w:pPr>
        <w:spacing w:after="0" w:line="240" w:lineRule="auto"/>
        <w:rPr>
          <w:rFonts w:ascii="Times New Roman" w:hAnsi="Times New Roman" w:cs="Times New Roman"/>
          <w:sz w:val="24"/>
          <w:szCs w:val="24"/>
        </w:rPr>
      </w:pPr>
    </w:p>
    <w:p w14:paraId="4442907C" w14:textId="77777777" w:rsidR="00BB26F2" w:rsidRPr="00BB26F2" w:rsidRDefault="00BB26F2" w:rsidP="00BB26F2">
      <w:p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Key factors of success included:</w:t>
      </w:r>
    </w:p>
    <w:p w14:paraId="48ADC4CE" w14:textId="77777777" w:rsidR="00BB26F2" w:rsidRPr="00BB26F2" w:rsidRDefault="00BB26F2" w:rsidP="00BB26F2">
      <w:pPr>
        <w:pStyle w:val="ListParagraph"/>
        <w:numPr>
          <w:ilvl w:val="0"/>
          <w:numId w:val="24"/>
        </w:num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taking a human rights-based approach to developing the education and training package, with a focus on how to convert human rights principles into effective practice</w:t>
      </w:r>
    </w:p>
    <w:p w14:paraId="4D63F1EB" w14:textId="77777777" w:rsidR="00BB26F2" w:rsidRPr="00BB26F2" w:rsidRDefault="00BB26F2" w:rsidP="00BB26F2">
      <w:pPr>
        <w:pStyle w:val="ListParagraph"/>
        <w:numPr>
          <w:ilvl w:val="0"/>
          <w:numId w:val="24"/>
        </w:num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tailoring each training session to ensure the context is relevant to the parti</w:t>
      </w:r>
      <w:r w:rsidR="005B5953">
        <w:rPr>
          <w:rFonts w:ascii="Times New Roman" w:hAnsi="Times New Roman" w:cs="Times New Roman"/>
          <w:sz w:val="24"/>
          <w:szCs w:val="24"/>
        </w:rPr>
        <w:t>cular jurisdiction and audience, and</w:t>
      </w:r>
    </w:p>
    <w:p w14:paraId="0E44B178" w14:textId="77777777" w:rsidR="00BB26F2" w:rsidRPr="00BB26F2" w:rsidRDefault="00BB26F2" w:rsidP="00BB26F2">
      <w:pPr>
        <w:pStyle w:val="ListParagraph"/>
        <w:numPr>
          <w:ilvl w:val="0"/>
          <w:numId w:val="24"/>
        </w:num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drawing heavily on the lived experience of people with disability.</w:t>
      </w:r>
    </w:p>
    <w:p w14:paraId="7C590E0D" w14:textId="77777777" w:rsidR="00BB26F2" w:rsidRDefault="00BB26F2" w:rsidP="00BB26F2">
      <w:pPr>
        <w:spacing w:after="0" w:line="240" w:lineRule="auto"/>
        <w:rPr>
          <w:rFonts w:ascii="Times New Roman" w:hAnsi="Times New Roman" w:cs="Times New Roman"/>
          <w:sz w:val="24"/>
          <w:szCs w:val="24"/>
        </w:rPr>
      </w:pPr>
    </w:p>
    <w:p w14:paraId="7F7CF12B" w14:textId="77777777" w:rsidR="00BB26F2" w:rsidRPr="00BB26F2" w:rsidRDefault="00BB26F2" w:rsidP="00BB26F2">
      <w:pPr>
        <w:spacing w:after="0" w:line="240" w:lineRule="auto"/>
        <w:rPr>
          <w:rFonts w:ascii="Times New Roman" w:hAnsi="Times New Roman" w:cs="Times New Roman"/>
          <w:i/>
          <w:sz w:val="24"/>
          <w:szCs w:val="24"/>
        </w:rPr>
      </w:pPr>
      <w:r w:rsidRPr="00BB26F2">
        <w:rPr>
          <w:rFonts w:ascii="Times New Roman" w:hAnsi="Times New Roman" w:cs="Times New Roman"/>
          <w:i/>
          <w:sz w:val="24"/>
          <w:szCs w:val="24"/>
        </w:rPr>
        <w:t xml:space="preserve">Research, surveys and data collection </w:t>
      </w:r>
    </w:p>
    <w:p w14:paraId="773D06EA" w14:textId="77777777" w:rsidR="00BB26F2" w:rsidRPr="00BB26F2" w:rsidRDefault="00BB26F2" w:rsidP="00BB26F2">
      <w:pPr>
        <w:spacing w:after="0" w:line="240" w:lineRule="auto"/>
        <w:rPr>
          <w:rFonts w:ascii="Times New Roman" w:hAnsi="Times New Roman" w:cs="Times New Roman"/>
          <w:sz w:val="24"/>
          <w:szCs w:val="24"/>
        </w:rPr>
      </w:pPr>
    </w:p>
    <w:p w14:paraId="7B3F286E" w14:textId="77777777" w:rsidR="00BB26F2" w:rsidRDefault="00BB26F2" w:rsidP="00BB26F2">
      <w:p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The AHRC undertakes and supports research and analysis, informed by the voice and experience of people with disability, to guide its work in combatting the negative attitudes and stereotypes that people with disabili</w:t>
      </w:r>
      <w:r w:rsidR="00952249">
        <w:rPr>
          <w:rFonts w:ascii="Times New Roman" w:hAnsi="Times New Roman" w:cs="Times New Roman"/>
          <w:sz w:val="24"/>
          <w:szCs w:val="24"/>
        </w:rPr>
        <w:t xml:space="preserve">ty may experience. </w:t>
      </w:r>
      <w:r w:rsidRPr="00BB26F2">
        <w:rPr>
          <w:rFonts w:ascii="Times New Roman" w:hAnsi="Times New Roman" w:cs="Times New Roman"/>
          <w:sz w:val="24"/>
          <w:szCs w:val="24"/>
        </w:rPr>
        <w:t xml:space="preserve">Between October 2016 and March 2017, the </w:t>
      </w:r>
      <w:r w:rsidR="000458E5">
        <w:rPr>
          <w:rFonts w:ascii="Times New Roman" w:hAnsi="Times New Roman" w:cs="Times New Roman"/>
          <w:sz w:val="24"/>
          <w:szCs w:val="24"/>
        </w:rPr>
        <w:t xml:space="preserve">former </w:t>
      </w:r>
      <w:r w:rsidRPr="00BB26F2">
        <w:rPr>
          <w:rFonts w:ascii="Times New Roman" w:hAnsi="Times New Roman" w:cs="Times New Roman"/>
          <w:sz w:val="24"/>
          <w:szCs w:val="24"/>
        </w:rPr>
        <w:t xml:space="preserve">Disability Discrimination Commissioner conducted national consultations to seek input from the disability community on how to most effectively promote and realise their human rights. The Commissioner met with over 1,000 people across Australia and received 85 written submissions. Since March 2017, ongoing, regular community conversations in Australia have been held, including in regional and remote </w:t>
      </w:r>
      <w:r w:rsidRPr="00BB26F2">
        <w:rPr>
          <w:rFonts w:ascii="Times New Roman" w:hAnsi="Times New Roman" w:cs="Times New Roman"/>
          <w:sz w:val="24"/>
          <w:szCs w:val="24"/>
        </w:rPr>
        <w:lastRenderedPageBreak/>
        <w:t xml:space="preserve">locations. Provision has been made to ensure these conversations are in an accessible format for all participants. </w:t>
      </w:r>
    </w:p>
    <w:p w14:paraId="40FEF3AE" w14:textId="77777777" w:rsidR="00BB26F2" w:rsidRPr="00BB26F2" w:rsidRDefault="00BB26F2" w:rsidP="00BB26F2">
      <w:pPr>
        <w:spacing w:after="0" w:line="240" w:lineRule="auto"/>
        <w:rPr>
          <w:rFonts w:ascii="Times New Roman" w:hAnsi="Times New Roman" w:cs="Times New Roman"/>
          <w:sz w:val="24"/>
          <w:szCs w:val="24"/>
        </w:rPr>
      </w:pPr>
    </w:p>
    <w:p w14:paraId="0FD72D76" w14:textId="77777777" w:rsidR="00BB26F2" w:rsidRDefault="00BB26F2" w:rsidP="00BB26F2">
      <w:pPr>
        <w:spacing w:after="0" w:line="240" w:lineRule="auto"/>
        <w:rPr>
          <w:rFonts w:ascii="Times New Roman" w:hAnsi="Times New Roman" w:cs="Times New Roman"/>
          <w:sz w:val="24"/>
          <w:szCs w:val="24"/>
        </w:rPr>
      </w:pPr>
      <w:r w:rsidRPr="00BB26F2">
        <w:rPr>
          <w:rFonts w:ascii="Times New Roman" w:hAnsi="Times New Roman" w:cs="Times New Roman"/>
          <w:sz w:val="24"/>
          <w:szCs w:val="24"/>
        </w:rPr>
        <w:t xml:space="preserve">In June 2019, the </w:t>
      </w:r>
      <w:r w:rsidR="000458E5">
        <w:rPr>
          <w:rFonts w:ascii="Times New Roman" w:hAnsi="Times New Roman" w:cs="Times New Roman"/>
          <w:sz w:val="24"/>
          <w:szCs w:val="24"/>
        </w:rPr>
        <w:t xml:space="preserve">current </w:t>
      </w:r>
      <w:r w:rsidRPr="00BB26F2">
        <w:rPr>
          <w:rFonts w:ascii="Times New Roman" w:hAnsi="Times New Roman" w:cs="Times New Roman"/>
          <w:sz w:val="24"/>
          <w:szCs w:val="24"/>
        </w:rPr>
        <w:t>Disability Discrimination Commissioner delivered the opening address and chaired a panel of industry experts at the National Disability Strategy Workshop about community attitudes towards people with disability in Australia. The workshop presented the findings from a national population-level survey on community attitudes</w:t>
      </w:r>
      <w:r w:rsidR="007359D2">
        <w:rPr>
          <w:rStyle w:val="FootnoteReference"/>
          <w:rFonts w:ascii="Times New Roman" w:hAnsi="Times New Roman" w:cs="Times New Roman"/>
          <w:sz w:val="24"/>
          <w:szCs w:val="24"/>
        </w:rPr>
        <w:footnoteReference w:id="9"/>
      </w:r>
      <w:r w:rsidRPr="00BB26F2">
        <w:rPr>
          <w:rFonts w:ascii="Times New Roman" w:hAnsi="Times New Roman" w:cs="Times New Roman"/>
          <w:sz w:val="24"/>
          <w:szCs w:val="24"/>
        </w:rPr>
        <w:t xml:space="preserve"> and explored strategies and initiatives to reduce and remove attitudinal barriers.</w:t>
      </w:r>
      <w:r w:rsidR="007359D2">
        <w:rPr>
          <w:rStyle w:val="FootnoteReference"/>
          <w:rFonts w:ascii="Times New Roman" w:hAnsi="Times New Roman" w:cs="Times New Roman"/>
          <w:sz w:val="24"/>
          <w:szCs w:val="24"/>
        </w:rPr>
        <w:footnoteReference w:id="10"/>
      </w:r>
    </w:p>
    <w:p w14:paraId="4CF7B3C6" w14:textId="77777777" w:rsidR="002D01B3" w:rsidRDefault="002D01B3" w:rsidP="00383C0B">
      <w:pPr>
        <w:spacing w:after="0" w:line="240" w:lineRule="auto"/>
        <w:rPr>
          <w:rFonts w:ascii="Times New Roman" w:hAnsi="Times New Roman" w:cs="Times New Roman"/>
          <w:sz w:val="24"/>
          <w:szCs w:val="24"/>
        </w:rPr>
      </w:pPr>
    </w:p>
    <w:p w14:paraId="55B89DB4" w14:textId="77777777" w:rsidR="00D562BF" w:rsidRPr="00D7636C" w:rsidRDefault="00D562BF" w:rsidP="00D562BF">
      <w:pPr>
        <w:spacing w:after="0" w:line="240" w:lineRule="auto"/>
        <w:rPr>
          <w:rFonts w:ascii="Times New Roman" w:hAnsi="Times New Roman" w:cs="Times New Roman"/>
          <w:sz w:val="24"/>
          <w:szCs w:val="24"/>
          <w:u w:val="single"/>
        </w:rPr>
      </w:pPr>
      <w:r w:rsidRPr="00D7636C">
        <w:rPr>
          <w:rFonts w:ascii="Times New Roman" w:hAnsi="Times New Roman" w:cs="Times New Roman"/>
          <w:sz w:val="24"/>
          <w:szCs w:val="24"/>
          <w:u w:val="single"/>
        </w:rPr>
        <w:t>International Day of People with Disability</w:t>
      </w:r>
    </w:p>
    <w:p w14:paraId="2686D603" w14:textId="77777777" w:rsidR="00D562BF" w:rsidRDefault="00D562BF" w:rsidP="00D562BF">
      <w:pPr>
        <w:spacing w:after="0" w:line="240" w:lineRule="auto"/>
        <w:rPr>
          <w:rFonts w:ascii="Times New Roman" w:hAnsi="Times New Roman" w:cs="Times New Roman"/>
          <w:sz w:val="24"/>
          <w:szCs w:val="24"/>
        </w:rPr>
      </w:pPr>
    </w:p>
    <w:p w14:paraId="1DCCFFD8" w14:textId="77777777" w:rsidR="00D562BF" w:rsidRPr="006B7E4C" w:rsidRDefault="00D562BF" w:rsidP="00D562BF">
      <w:p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 xml:space="preserve">The Australian Government has </w:t>
      </w:r>
      <w:r w:rsidR="00A05FF1">
        <w:rPr>
          <w:rFonts w:ascii="Times New Roman" w:hAnsi="Times New Roman" w:cs="Times New Roman"/>
          <w:sz w:val="24"/>
          <w:szCs w:val="24"/>
        </w:rPr>
        <w:t xml:space="preserve">supported </w:t>
      </w:r>
      <w:r w:rsidRPr="006B7E4C">
        <w:rPr>
          <w:rFonts w:ascii="Times New Roman" w:hAnsi="Times New Roman" w:cs="Times New Roman"/>
          <w:sz w:val="24"/>
          <w:szCs w:val="24"/>
        </w:rPr>
        <w:t xml:space="preserve">the International Day of People with Disability </w:t>
      </w:r>
      <w:r>
        <w:rPr>
          <w:rFonts w:ascii="Times New Roman" w:hAnsi="Times New Roman" w:cs="Times New Roman"/>
          <w:sz w:val="24"/>
          <w:szCs w:val="24"/>
        </w:rPr>
        <w:t>(</w:t>
      </w:r>
      <w:r w:rsidRPr="006B7E4C">
        <w:rPr>
          <w:rFonts w:ascii="Times New Roman" w:hAnsi="Times New Roman" w:cs="Times New Roman"/>
          <w:sz w:val="24"/>
          <w:szCs w:val="24"/>
        </w:rPr>
        <w:t>IDPwD</w:t>
      </w:r>
      <w:r>
        <w:rPr>
          <w:rFonts w:ascii="Times New Roman" w:hAnsi="Times New Roman" w:cs="Times New Roman"/>
          <w:sz w:val="24"/>
          <w:szCs w:val="24"/>
        </w:rPr>
        <w:t xml:space="preserve">) </w:t>
      </w:r>
      <w:r w:rsidRPr="006B7E4C">
        <w:rPr>
          <w:rFonts w:ascii="Times New Roman" w:hAnsi="Times New Roman" w:cs="Times New Roman"/>
          <w:sz w:val="24"/>
          <w:szCs w:val="24"/>
        </w:rPr>
        <w:t>since 1996 and provides funds to promote and raise awareness of the Day and its associated events around Australia.</w:t>
      </w:r>
      <w:r w:rsidR="00A05FF1">
        <w:rPr>
          <w:rFonts w:ascii="Times New Roman" w:hAnsi="Times New Roman" w:cs="Times New Roman"/>
          <w:sz w:val="24"/>
          <w:szCs w:val="24"/>
        </w:rPr>
        <w:t xml:space="preserve"> </w:t>
      </w:r>
      <w:r w:rsidRPr="006B7E4C">
        <w:rPr>
          <w:rFonts w:ascii="Times New Roman" w:hAnsi="Times New Roman" w:cs="Times New Roman"/>
          <w:sz w:val="24"/>
          <w:szCs w:val="24"/>
        </w:rPr>
        <w:t>Celebrating IDPwD on 3 December each year provides an opportunity to ensure the achievements and needs of people with disabilities, their families and carers remain visible.</w:t>
      </w:r>
    </w:p>
    <w:p w14:paraId="5C7FB146" w14:textId="77777777" w:rsidR="00D562BF" w:rsidRPr="006B7E4C" w:rsidRDefault="00D562BF" w:rsidP="00D562BF">
      <w:pPr>
        <w:spacing w:after="0" w:line="240" w:lineRule="auto"/>
        <w:rPr>
          <w:rFonts w:ascii="Times New Roman" w:hAnsi="Times New Roman" w:cs="Times New Roman"/>
          <w:sz w:val="24"/>
          <w:szCs w:val="24"/>
        </w:rPr>
      </w:pPr>
    </w:p>
    <w:p w14:paraId="29C09FED" w14:textId="77777777" w:rsidR="00D562BF" w:rsidRPr="006B7E4C" w:rsidRDefault="00D562BF" w:rsidP="00D562BF">
      <w:p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In 2018</w:t>
      </w:r>
      <w:r w:rsidR="00A05FF1">
        <w:rPr>
          <w:rFonts w:ascii="Times New Roman" w:hAnsi="Times New Roman" w:cs="Times New Roman"/>
          <w:sz w:val="24"/>
          <w:szCs w:val="24"/>
        </w:rPr>
        <w:t>,</w:t>
      </w:r>
      <w:r w:rsidRPr="006B7E4C">
        <w:rPr>
          <w:rFonts w:ascii="Times New Roman" w:hAnsi="Times New Roman" w:cs="Times New Roman"/>
          <w:sz w:val="24"/>
          <w:szCs w:val="24"/>
        </w:rPr>
        <w:t xml:space="preserve"> the event</w:t>
      </w:r>
      <w:r w:rsidR="00A05FF1">
        <w:rPr>
          <w:rFonts w:ascii="Times New Roman" w:hAnsi="Times New Roman" w:cs="Times New Roman"/>
          <w:sz w:val="24"/>
          <w:szCs w:val="24"/>
        </w:rPr>
        <w:t>s</w:t>
      </w:r>
      <w:r w:rsidRPr="006B7E4C">
        <w:rPr>
          <w:rFonts w:ascii="Times New Roman" w:hAnsi="Times New Roman" w:cs="Times New Roman"/>
          <w:sz w:val="24"/>
          <w:szCs w:val="24"/>
        </w:rPr>
        <w:t xml:space="preserve"> supported by the Australian Government </w:t>
      </w:r>
      <w:r w:rsidR="00A05FF1">
        <w:rPr>
          <w:rFonts w:ascii="Times New Roman" w:hAnsi="Times New Roman" w:cs="Times New Roman"/>
          <w:sz w:val="24"/>
          <w:szCs w:val="24"/>
        </w:rPr>
        <w:t>included</w:t>
      </w:r>
      <w:r w:rsidRPr="006B7E4C">
        <w:rPr>
          <w:rFonts w:ascii="Times New Roman" w:hAnsi="Times New Roman" w:cs="Times New Roman"/>
          <w:sz w:val="24"/>
          <w:szCs w:val="24"/>
        </w:rPr>
        <w:t>:</w:t>
      </w:r>
    </w:p>
    <w:p w14:paraId="5DC4043D" w14:textId="77777777" w:rsidR="00D562BF" w:rsidRPr="00D7636C" w:rsidRDefault="00D562BF" w:rsidP="00D562BF">
      <w:pPr>
        <w:pStyle w:val="ListParagraph"/>
        <w:numPr>
          <w:ilvl w:val="0"/>
          <w:numId w:val="18"/>
        </w:numPr>
        <w:spacing w:after="0" w:line="240" w:lineRule="auto"/>
        <w:rPr>
          <w:rFonts w:ascii="Times New Roman" w:hAnsi="Times New Roman" w:cs="Times New Roman"/>
          <w:sz w:val="24"/>
          <w:szCs w:val="24"/>
        </w:rPr>
      </w:pPr>
      <w:r w:rsidRPr="00D7636C">
        <w:rPr>
          <w:rFonts w:ascii="Times New Roman" w:hAnsi="Times New Roman" w:cs="Times New Roman"/>
          <w:sz w:val="24"/>
          <w:szCs w:val="24"/>
        </w:rPr>
        <w:t>15 national events and award programs to promote IDPwD and raise awareness</w:t>
      </w:r>
    </w:p>
    <w:p w14:paraId="43E37A64" w14:textId="77777777" w:rsidR="00D562BF" w:rsidRPr="00D7636C" w:rsidRDefault="00D562BF" w:rsidP="00D562BF">
      <w:pPr>
        <w:pStyle w:val="ListParagraph"/>
        <w:numPr>
          <w:ilvl w:val="0"/>
          <w:numId w:val="18"/>
        </w:numPr>
        <w:spacing w:after="0" w:line="240" w:lineRule="auto"/>
        <w:rPr>
          <w:rFonts w:ascii="Times New Roman" w:hAnsi="Times New Roman" w:cs="Times New Roman"/>
          <w:sz w:val="24"/>
          <w:szCs w:val="24"/>
        </w:rPr>
      </w:pPr>
      <w:r w:rsidRPr="00D7636C">
        <w:rPr>
          <w:rFonts w:ascii="Times New Roman" w:hAnsi="Times New Roman" w:cs="Times New Roman"/>
          <w:sz w:val="24"/>
          <w:szCs w:val="24"/>
        </w:rPr>
        <w:t>651 online registrations for community events to celebra</w:t>
      </w:r>
      <w:r w:rsidR="00A05FF1">
        <w:rPr>
          <w:rFonts w:ascii="Times New Roman" w:hAnsi="Times New Roman" w:cs="Times New Roman"/>
          <w:sz w:val="24"/>
          <w:szCs w:val="24"/>
        </w:rPr>
        <w:t>te IDPwD throughout the country (</w:t>
      </w:r>
      <w:r w:rsidRPr="00D7636C">
        <w:rPr>
          <w:rFonts w:ascii="Times New Roman" w:hAnsi="Times New Roman" w:cs="Times New Roman"/>
          <w:sz w:val="24"/>
          <w:szCs w:val="24"/>
        </w:rPr>
        <w:t xml:space="preserve">an increase </w:t>
      </w:r>
      <w:r w:rsidR="00A05FF1">
        <w:rPr>
          <w:rFonts w:ascii="Times New Roman" w:hAnsi="Times New Roman" w:cs="Times New Roman"/>
          <w:sz w:val="24"/>
          <w:szCs w:val="24"/>
        </w:rPr>
        <w:t xml:space="preserve">from </w:t>
      </w:r>
      <w:r w:rsidRPr="00D7636C">
        <w:rPr>
          <w:rFonts w:ascii="Times New Roman" w:hAnsi="Times New Roman" w:cs="Times New Roman"/>
          <w:sz w:val="24"/>
          <w:szCs w:val="24"/>
        </w:rPr>
        <w:t xml:space="preserve">74 events </w:t>
      </w:r>
      <w:r w:rsidR="00A05FF1">
        <w:rPr>
          <w:rFonts w:ascii="Times New Roman" w:hAnsi="Times New Roman" w:cs="Times New Roman"/>
          <w:sz w:val="24"/>
          <w:szCs w:val="24"/>
        </w:rPr>
        <w:t xml:space="preserve">in </w:t>
      </w:r>
      <w:r w:rsidRPr="00D7636C">
        <w:rPr>
          <w:rFonts w:ascii="Times New Roman" w:hAnsi="Times New Roman" w:cs="Times New Roman"/>
          <w:sz w:val="24"/>
          <w:szCs w:val="24"/>
        </w:rPr>
        <w:t>2017</w:t>
      </w:r>
      <w:r w:rsidR="00A05FF1">
        <w:rPr>
          <w:rFonts w:ascii="Times New Roman" w:hAnsi="Times New Roman" w:cs="Times New Roman"/>
          <w:sz w:val="24"/>
          <w:szCs w:val="24"/>
        </w:rPr>
        <w:t>)</w:t>
      </w:r>
      <w:r>
        <w:rPr>
          <w:rFonts w:ascii="Times New Roman" w:hAnsi="Times New Roman" w:cs="Times New Roman"/>
          <w:sz w:val="24"/>
          <w:szCs w:val="24"/>
        </w:rPr>
        <w:t>, and</w:t>
      </w:r>
    </w:p>
    <w:p w14:paraId="08DB2D31" w14:textId="77777777" w:rsidR="00D562BF" w:rsidRPr="00D7636C" w:rsidRDefault="00D562BF" w:rsidP="00D562BF">
      <w:pPr>
        <w:pStyle w:val="ListParagraph"/>
        <w:numPr>
          <w:ilvl w:val="0"/>
          <w:numId w:val="18"/>
        </w:numPr>
        <w:spacing w:after="0" w:line="240" w:lineRule="auto"/>
        <w:rPr>
          <w:rFonts w:ascii="Times New Roman" w:hAnsi="Times New Roman" w:cs="Times New Roman"/>
          <w:sz w:val="24"/>
          <w:szCs w:val="24"/>
        </w:rPr>
      </w:pPr>
      <w:r w:rsidRPr="00D7636C">
        <w:rPr>
          <w:rFonts w:ascii="Times New Roman" w:hAnsi="Times New Roman" w:cs="Times New Roman"/>
          <w:sz w:val="24"/>
          <w:szCs w:val="24"/>
        </w:rPr>
        <w:t>the National Awards for Disability Leadership, a sector led Awards program to recognise the contributions of people with disability in the Australian community</w:t>
      </w:r>
      <w:r w:rsidR="00791299">
        <w:rPr>
          <w:rFonts w:ascii="Times New Roman" w:hAnsi="Times New Roman" w:cs="Times New Roman"/>
          <w:sz w:val="24"/>
          <w:szCs w:val="24"/>
        </w:rPr>
        <w:t>.</w:t>
      </w:r>
    </w:p>
    <w:p w14:paraId="5B6162A0" w14:textId="77777777" w:rsidR="00D562BF" w:rsidRDefault="00D562BF" w:rsidP="00D562BF">
      <w:pPr>
        <w:spacing w:after="0" w:line="240" w:lineRule="auto"/>
        <w:rPr>
          <w:rFonts w:ascii="Times New Roman" w:hAnsi="Times New Roman" w:cs="Times New Roman"/>
          <w:sz w:val="24"/>
          <w:szCs w:val="24"/>
        </w:rPr>
      </w:pPr>
    </w:p>
    <w:p w14:paraId="42118C4F" w14:textId="77777777" w:rsidR="00D562BF" w:rsidRPr="00D7636C" w:rsidRDefault="00D562BF" w:rsidP="00D562BF">
      <w:pPr>
        <w:spacing w:after="0" w:line="240" w:lineRule="auto"/>
        <w:rPr>
          <w:rFonts w:ascii="Times New Roman" w:hAnsi="Times New Roman" w:cs="Times New Roman"/>
          <w:sz w:val="24"/>
          <w:szCs w:val="24"/>
        </w:rPr>
      </w:pPr>
      <w:r w:rsidRPr="00D7636C">
        <w:rPr>
          <w:rFonts w:ascii="Times New Roman" w:hAnsi="Times New Roman" w:cs="Times New Roman"/>
          <w:sz w:val="24"/>
          <w:szCs w:val="24"/>
        </w:rPr>
        <w:t xml:space="preserve">The Australian Government </w:t>
      </w:r>
      <w:r w:rsidR="00A05FF1">
        <w:rPr>
          <w:rFonts w:ascii="Times New Roman" w:hAnsi="Times New Roman" w:cs="Times New Roman"/>
          <w:sz w:val="24"/>
          <w:szCs w:val="24"/>
        </w:rPr>
        <w:t xml:space="preserve">also </w:t>
      </w:r>
      <w:r w:rsidRPr="00D7636C">
        <w:rPr>
          <w:rFonts w:ascii="Times New Roman" w:hAnsi="Times New Roman" w:cs="Times New Roman"/>
          <w:sz w:val="24"/>
          <w:szCs w:val="24"/>
        </w:rPr>
        <w:t xml:space="preserve">supports a range of national programs and awards as part of celebrations for the </w:t>
      </w:r>
      <w:r w:rsidRPr="006B7E4C">
        <w:rPr>
          <w:rFonts w:ascii="Times New Roman" w:hAnsi="Times New Roman" w:cs="Times New Roman"/>
          <w:sz w:val="24"/>
          <w:szCs w:val="24"/>
        </w:rPr>
        <w:t>IDPwD</w:t>
      </w:r>
      <w:r w:rsidRPr="00D7636C">
        <w:rPr>
          <w:rFonts w:ascii="Times New Roman" w:hAnsi="Times New Roman" w:cs="Times New Roman"/>
          <w:sz w:val="24"/>
          <w:szCs w:val="24"/>
        </w:rPr>
        <w:t xml:space="preserve"> to raise awareness and acknowledge the achievements and contributions of persons with disabilities and to prom</w:t>
      </w:r>
      <w:r w:rsidR="00A05FF1">
        <w:rPr>
          <w:rFonts w:ascii="Times New Roman" w:hAnsi="Times New Roman" w:cs="Times New Roman"/>
          <w:sz w:val="24"/>
          <w:szCs w:val="24"/>
        </w:rPr>
        <w:t xml:space="preserve">ote accessibility and inclusion. This includes: </w:t>
      </w:r>
      <w:r w:rsidRPr="00D7636C">
        <w:rPr>
          <w:rFonts w:ascii="Times New Roman" w:hAnsi="Times New Roman" w:cs="Times New Roman"/>
          <w:sz w:val="24"/>
          <w:szCs w:val="24"/>
        </w:rPr>
        <w:t xml:space="preserve"> </w:t>
      </w:r>
    </w:p>
    <w:p w14:paraId="36409A07" w14:textId="77777777" w:rsidR="00D562BF" w:rsidRPr="00D7636C" w:rsidRDefault="00A05FF1" w:rsidP="00D562B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562BF" w:rsidRPr="00D7636C">
        <w:rPr>
          <w:rFonts w:ascii="Times New Roman" w:hAnsi="Times New Roman" w:cs="Times New Roman"/>
          <w:sz w:val="24"/>
          <w:szCs w:val="24"/>
        </w:rPr>
        <w:t>Australian Football League All Abilities National Inclusion Carnival</w:t>
      </w:r>
    </w:p>
    <w:p w14:paraId="6761C486" w14:textId="77777777" w:rsidR="00D562BF" w:rsidRPr="00D7636C" w:rsidRDefault="00A05FF1" w:rsidP="00D562B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562BF" w:rsidRPr="00D7636C">
        <w:rPr>
          <w:rFonts w:ascii="Times New Roman" w:hAnsi="Times New Roman" w:cs="Times New Roman"/>
          <w:sz w:val="24"/>
          <w:szCs w:val="24"/>
        </w:rPr>
        <w:t>Focus on Ability Short Film Festival</w:t>
      </w:r>
    </w:p>
    <w:p w14:paraId="2CBD3B8C" w14:textId="77777777" w:rsidR="00D562BF" w:rsidRPr="00D7636C" w:rsidRDefault="00A05FF1" w:rsidP="00D562B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D562BF" w:rsidRPr="00D7636C">
        <w:rPr>
          <w:rFonts w:ascii="Times New Roman" w:hAnsi="Times New Roman" w:cs="Times New Roman"/>
          <w:sz w:val="24"/>
          <w:szCs w:val="24"/>
        </w:rPr>
        <w:t>he FM Industry Awards for Excellence</w:t>
      </w:r>
      <w:r w:rsidR="00D562BF">
        <w:rPr>
          <w:rFonts w:ascii="Times New Roman" w:hAnsi="Times New Roman" w:cs="Times New Roman"/>
          <w:sz w:val="24"/>
          <w:szCs w:val="24"/>
        </w:rPr>
        <w:t>, and</w:t>
      </w:r>
    </w:p>
    <w:p w14:paraId="72A22ECA" w14:textId="77777777" w:rsidR="00D562BF" w:rsidRPr="00D7636C" w:rsidRDefault="00A05FF1" w:rsidP="00D562BF">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562BF" w:rsidRPr="00D7636C">
        <w:rPr>
          <w:rFonts w:ascii="Times New Roman" w:hAnsi="Times New Roman" w:cs="Times New Roman"/>
          <w:sz w:val="24"/>
          <w:szCs w:val="24"/>
        </w:rPr>
        <w:t>ABC Regional Storytellers Scholarship</w:t>
      </w:r>
      <w:r w:rsidR="00D562BF">
        <w:rPr>
          <w:rFonts w:ascii="Times New Roman" w:hAnsi="Times New Roman" w:cs="Times New Roman"/>
          <w:sz w:val="24"/>
          <w:szCs w:val="24"/>
        </w:rPr>
        <w:t>.</w:t>
      </w:r>
    </w:p>
    <w:p w14:paraId="52E9FFC8" w14:textId="77777777" w:rsidR="00D562BF" w:rsidRPr="006B7E4C" w:rsidRDefault="00D562BF" w:rsidP="00D562BF">
      <w:pPr>
        <w:spacing w:after="0" w:line="240" w:lineRule="auto"/>
        <w:rPr>
          <w:rFonts w:ascii="Times New Roman" w:hAnsi="Times New Roman" w:cs="Times New Roman"/>
          <w:sz w:val="24"/>
          <w:szCs w:val="24"/>
        </w:rPr>
      </w:pPr>
    </w:p>
    <w:p w14:paraId="760673FE" w14:textId="77777777" w:rsidR="00D562BF" w:rsidRDefault="00D562BF" w:rsidP="00D562BF">
      <w:p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The overarching aim of IDPwD is to promote an inclusive Australian society that enables people with disability to fulfil their potential as equal citizens. The objectives of the IDPwD program are to:</w:t>
      </w:r>
    </w:p>
    <w:p w14:paraId="709CDD64" w14:textId="77777777" w:rsidR="00D562BF" w:rsidRPr="006B7E4C" w:rsidRDefault="00D562BF" w:rsidP="00D562BF">
      <w:pPr>
        <w:pStyle w:val="ListParagraph"/>
        <w:numPr>
          <w:ilvl w:val="0"/>
          <w:numId w:val="17"/>
        </w:num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inspire and educate communities into taking action</w:t>
      </w:r>
      <w:r>
        <w:rPr>
          <w:rFonts w:ascii="Times New Roman" w:hAnsi="Times New Roman" w:cs="Times New Roman"/>
          <w:sz w:val="24"/>
          <w:szCs w:val="24"/>
        </w:rPr>
        <w:t xml:space="preserve"> to create an inclusive society</w:t>
      </w:r>
      <w:r w:rsidRPr="006B7E4C">
        <w:rPr>
          <w:rFonts w:ascii="Times New Roman" w:hAnsi="Times New Roman" w:cs="Times New Roman"/>
          <w:sz w:val="24"/>
          <w:szCs w:val="24"/>
        </w:rPr>
        <w:t xml:space="preserve"> </w:t>
      </w:r>
    </w:p>
    <w:p w14:paraId="4CE64AED" w14:textId="77777777" w:rsidR="00D562BF" w:rsidRPr="006B7E4C" w:rsidRDefault="00D562BF" w:rsidP="00D562BF">
      <w:pPr>
        <w:pStyle w:val="ListParagraph"/>
        <w:numPr>
          <w:ilvl w:val="0"/>
          <w:numId w:val="17"/>
        </w:num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promote inclusiveness by raising awareness of the achievements, contributions and abil</w:t>
      </w:r>
      <w:r w:rsidR="00A05FF1">
        <w:rPr>
          <w:rFonts w:ascii="Times New Roman" w:hAnsi="Times New Roman" w:cs="Times New Roman"/>
          <w:sz w:val="24"/>
          <w:szCs w:val="24"/>
        </w:rPr>
        <w:t>ities of people with disability,</w:t>
      </w:r>
      <w:r w:rsidRPr="006B7E4C">
        <w:rPr>
          <w:rFonts w:ascii="Times New Roman" w:hAnsi="Times New Roman" w:cs="Times New Roman"/>
          <w:sz w:val="24"/>
          <w:szCs w:val="24"/>
        </w:rPr>
        <w:t xml:space="preserve"> and </w:t>
      </w:r>
    </w:p>
    <w:p w14:paraId="39D53AD8" w14:textId="77777777" w:rsidR="00D562BF" w:rsidRPr="006B7E4C" w:rsidRDefault="00D562BF" w:rsidP="00D562BF">
      <w:pPr>
        <w:pStyle w:val="ListParagraph"/>
        <w:numPr>
          <w:ilvl w:val="0"/>
          <w:numId w:val="17"/>
        </w:numPr>
        <w:spacing w:after="0" w:line="240" w:lineRule="auto"/>
        <w:rPr>
          <w:rFonts w:ascii="Times New Roman" w:hAnsi="Times New Roman" w:cs="Times New Roman"/>
          <w:sz w:val="24"/>
          <w:szCs w:val="24"/>
        </w:rPr>
      </w:pPr>
      <w:r w:rsidRPr="006B7E4C">
        <w:rPr>
          <w:rFonts w:ascii="Times New Roman" w:hAnsi="Times New Roman" w:cs="Times New Roman"/>
          <w:sz w:val="24"/>
          <w:szCs w:val="24"/>
        </w:rPr>
        <w:t xml:space="preserve">encourage inclusive practices and attitudes in the workplace.  </w:t>
      </w:r>
    </w:p>
    <w:p w14:paraId="443F34A7" w14:textId="77777777" w:rsidR="00D562BF" w:rsidRDefault="00D562BF" w:rsidP="00D562BF">
      <w:pPr>
        <w:spacing w:after="0" w:line="240" w:lineRule="auto"/>
        <w:rPr>
          <w:rFonts w:ascii="Times New Roman" w:hAnsi="Times New Roman" w:cs="Times New Roman"/>
          <w:sz w:val="24"/>
          <w:szCs w:val="24"/>
        </w:rPr>
      </w:pPr>
    </w:p>
    <w:p w14:paraId="47D3CFBF" w14:textId="77777777" w:rsidR="00D562BF" w:rsidRPr="006B7E4C" w:rsidRDefault="00831C2C" w:rsidP="00D562B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These o</w:t>
      </w:r>
      <w:r w:rsidR="00D562BF" w:rsidRPr="00D7636C">
        <w:rPr>
          <w:rFonts w:ascii="Times New Roman" w:hAnsi="Times New Roman" w:cs="Times New Roman"/>
          <w:sz w:val="24"/>
          <w:szCs w:val="24"/>
        </w:rPr>
        <w:t>bjectives were met through increased event registrations, media coverage, sponsorship promotion and product downloads. This demonstrated that communities were inspired and educated into taking action and holding an e</w:t>
      </w:r>
      <w:r w:rsidR="00791299">
        <w:rPr>
          <w:rFonts w:ascii="Times New Roman" w:hAnsi="Times New Roman" w:cs="Times New Roman"/>
          <w:sz w:val="24"/>
          <w:szCs w:val="24"/>
        </w:rPr>
        <w:t>vent, which created inclusivity</w:t>
      </w:r>
      <w:r w:rsidR="00D562BF" w:rsidRPr="006B7E4C">
        <w:rPr>
          <w:rFonts w:ascii="Times New Roman" w:hAnsi="Times New Roman" w:cs="Times New Roman"/>
          <w:sz w:val="24"/>
          <w:szCs w:val="24"/>
        </w:rPr>
        <w:t xml:space="preserve">. </w:t>
      </w:r>
    </w:p>
    <w:p w14:paraId="23D5AD80" w14:textId="77777777" w:rsidR="00D562BF" w:rsidRDefault="00D562BF" w:rsidP="009922C7">
      <w:pPr>
        <w:spacing w:after="0" w:line="240" w:lineRule="auto"/>
        <w:rPr>
          <w:rFonts w:ascii="Times New Roman" w:hAnsi="Times New Roman" w:cs="Times New Roman"/>
          <w:sz w:val="24"/>
          <w:szCs w:val="24"/>
          <w:u w:val="single"/>
        </w:rPr>
      </w:pPr>
    </w:p>
    <w:p w14:paraId="576DDC8B" w14:textId="77777777" w:rsidR="00F03C66" w:rsidRDefault="00A702F9" w:rsidP="009922C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D</w:t>
      </w:r>
      <w:r w:rsidR="00A05FF1">
        <w:rPr>
          <w:rFonts w:ascii="Times New Roman" w:hAnsi="Times New Roman" w:cs="Times New Roman"/>
          <w:sz w:val="24"/>
          <w:szCs w:val="24"/>
          <w:u w:val="single"/>
        </w:rPr>
        <w:t xml:space="preserve">isability employment </w:t>
      </w:r>
      <w:r w:rsidR="00F03C66">
        <w:rPr>
          <w:rFonts w:ascii="Times New Roman" w:hAnsi="Times New Roman" w:cs="Times New Roman"/>
          <w:sz w:val="24"/>
          <w:szCs w:val="24"/>
          <w:u w:val="single"/>
        </w:rPr>
        <w:t>initiatives</w:t>
      </w:r>
      <w:r w:rsidR="00A05FF1">
        <w:rPr>
          <w:rFonts w:ascii="Times New Roman" w:hAnsi="Times New Roman" w:cs="Times New Roman"/>
          <w:sz w:val="24"/>
          <w:szCs w:val="24"/>
          <w:u w:val="single"/>
        </w:rPr>
        <w:t xml:space="preserve"> </w:t>
      </w:r>
    </w:p>
    <w:p w14:paraId="2CB2A08E" w14:textId="77777777" w:rsidR="00F03C66" w:rsidRDefault="00F03C66" w:rsidP="009922C7">
      <w:pPr>
        <w:spacing w:after="0" w:line="240" w:lineRule="auto"/>
        <w:rPr>
          <w:rFonts w:ascii="Times New Roman" w:hAnsi="Times New Roman" w:cs="Times New Roman"/>
          <w:sz w:val="24"/>
          <w:szCs w:val="24"/>
          <w:u w:val="single"/>
        </w:rPr>
      </w:pPr>
    </w:p>
    <w:p w14:paraId="5BC63C2E" w14:textId="77777777" w:rsidR="005E7C6F" w:rsidRPr="00C5242B" w:rsidRDefault="005E7C6F" w:rsidP="005E7C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Outcome area 3 of the </w:t>
      </w:r>
      <w:r w:rsidRPr="00A42BFA">
        <w:rPr>
          <w:rFonts w:ascii="Times New Roman" w:hAnsi="Times New Roman" w:cs="Times New Roman"/>
          <w:i/>
          <w:sz w:val="24"/>
          <w:szCs w:val="24"/>
        </w:rPr>
        <w:t>National Disability Strategy 2010-2020</w:t>
      </w:r>
      <w:r>
        <w:rPr>
          <w:rFonts w:ascii="Times New Roman" w:hAnsi="Times New Roman" w:cs="Times New Roman"/>
          <w:sz w:val="24"/>
          <w:szCs w:val="24"/>
        </w:rPr>
        <w:t xml:space="preserve"> (the Strategy) aims for people with disability, their families and carers to have economic security, enabling them to plan for the future and exercise choice and control over the lives. Raising awareness about initiatives that contribute to the economic security of people with disability is an important element of the Australian Government’s broader strategy for achieving this outcome.</w:t>
      </w:r>
    </w:p>
    <w:p w14:paraId="5EFF8D52" w14:textId="77777777" w:rsidR="00F03C66" w:rsidRDefault="00F03C66" w:rsidP="009922C7">
      <w:pPr>
        <w:spacing w:after="0" w:line="240" w:lineRule="auto"/>
        <w:rPr>
          <w:rFonts w:ascii="Times New Roman" w:hAnsi="Times New Roman" w:cs="Times New Roman"/>
          <w:sz w:val="24"/>
          <w:szCs w:val="24"/>
          <w:u w:val="single"/>
        </w:rPr>
      </w:pPr>
    </w:p>
    <w:p w14:paraId="0CDD701D" w14:textId="77777777" w:rsidR="009922C7" w:rsidRPr="00F03C66" w:rsidRDefault="009922C7" w:rsidP="009922C7">
      <w:pPr>
        <w:spacing w:after="0" w:line="240" w:lineRule="auto"/>
        <w:rPr>
          <w:rFonts w:ascii="Times New Roman" w:hAnsi="Times New Roman" w:cs="Times New Roman"/>
          <w:i/>
          <w:sz w:val="24"/>
          <w:szCs w:val="24"/>
        </w:rPr>
      </w:pPr>
      <w:r w:rsidRPr="00F03C66">
        <w:rPr>
          <w:rFonts w:ascii="Times New Roman" w:hAnsi="Times New Roman" w:cs="Times New Roman"/>
          <w:i/>
          <w:sz w:val="24"/>
          <w:szCs w:val="24"/>
        </w:rPr>
        <w:t>JobAccess</w:t>
      </w:r>
    </w:p>
    <w:p w14:paraId="2622BC8A" w14:textId="77777777" w:rsidR="00EA12D8" w:rsidRDefault="00EA12D8" w:rsidP="009922C7">
      <w:pPr>
        <w:spacing w:after="0" w:line="240" w:lineRule="auto"/>
        <w:rPr>
          <w:rFonts w:ascii="Times New Roman" w:hAnsi="Times New Roman" w:cs="Times New Roman"/>
          <w:sz w:val="24"/>
          <w:szCs w:val="24"/>
        </w:rPr>
      </w:pPr>
    </w:p>
    <w:p w14:paraId="1DA7AFDC" w14:textId="77777777" w:rsidR="009922C7" w:rsidRPr="001B13FD" w:rsidRDefault="009922C7" w:rsidP="009922C7">
      <w:pPr>
        <w:spacing w:after="0" w:line="240" w:lineRule="auto"/>
        <w:rPr>
          <w:rFonts w:ascii="Times New Roman" w:hAnsi="Times New Roman" w:cs="Times New Roman"/>
          <w:sz w:val="24"/>
          <w:szCs w:val="24"/>
          <w:lang w:eastAsia="en-AU"/>
        </w:rPr>
      </w:pPr>
      <w:r>
        <w:rPr>
          <w:rFonts w:ascii="Times New Roman" w:hAnsi="Times New Roman" w:cs="Times New Roman"/>
          <w:sz w:val="24"/>
          <w:szCs w:val="24"/>
        </w:rPr>
        <w:t xml:space="preserve">The </w:t>
      </w:r>
      <w:r w:rsidR="00A05FF1">
        <w:rPr>
          <w:rFonts w:ascii="Times New Roman" w:hAnsi="Times New Roman" w:cs="Times New Roman"/>
          <w:sz w:val="24"/>
          <w:szCs w:val="24"/>
        </w:rPr>
        <w:t>Australian Government</w:t>
      </w:r>
      <w:r>
        <w:rPr>
          <w:rFonts w:ascii="Times New Roman" w:hAnsi="Times New Roman" w:cs="Times New Roman"/>
          <w:sz w:val="24"/>
          <w:szCs w:val="24"/>
        </w:rPr>
        <w:t xml:space="preserve"> provides </w:t>
      </w:r>
      <w:r w:rsidRPr="0056078A">
        <w:rPr>
          <w:rFonts w:ascii="Times New Roman" w:hAnsi="Times New Roman" w:cs="Times New Roman"/>
          <w:sz w:val="24"/>
          <w:szCs w:val="24"/>
        </w:rPr>
        <w:t>JobAccess</w:t>
      </w:r>
      <w:r>
        <w:rPr>
          <w:rFonts w:ascii="Times New Roman" w:hAnsi="Times New Roman" w:cs="Times New Roman"/>
          <w:sz w:val="24"/>
          <w:szCs w:val="24"/>
        </w:rPr>
        <w:t xml:space="preserve">, a national hub for workplace and employment </w:t>
      </w:r>
      <w:r w:rsidRPr="001B13FD">
        <w:rPr>
          <w:rFonts w:ascii="Times New Roman" w:hAnsi="Times New Roman" w:cs="Times New Roman"/>
          <w:sz w:val="24"/>
          <w:szCs w:val="24"/>
        </w:rPr>
        <w:t>information for people with disability, employers and service providers.  Recognised by the United Nations Public Service Award for improving the delivery of services</w:t>
      </w:r>
      <w:r w:rsidRPr="001B13FD">
        <w:rPr>
          <w:rStyle w:val="FootnoteReference"/>
          <w:rFonts w:ascii="Times New Roman" w:hAnsi="Times New Roman" w:cs="Times New Roman"/>
          <w:sz w:val="24"/>
          <w:szCs w:val="24"/>
        </w:rPr>
        <w:footnoteReference w:id="11"/>
      </w:r>
      <w:r w:rsidRPr="001B13FD">
        <w:rPr>
          <w:rFonts w:ascii="Times New Roman" w:hAnsi="Times New Roman" w:cs="Times New Roman"/>
          <w:sz w:val="24"/>
          <w:szCs w:val="24"/>
        </w:rPr>
        <w:t xml:space="preserve"> and Essl Foundation’s Zero Project initiative for innovative policies</w:t>
      </w:r>
      <w:r w:rsidRPr="001B13FD">
        <w:rPr>
          <w:rStyle w:val="FootnoteReference"/>
          <w:rFonts w:ascii="Times New Roman" w:hAnsi="Times New Roman" w:cs="Times New Roman"/>
          <w:sz w:val="24"/>
          <w:szCs w:val="24"/>
        </w:rPr>
        <w:footnoteReference w:id="12"/>
      </w:r>
      <w:r w:rsidRPr="001B13FD">
        <w:rPr>
          <w:rFonts w:ascii="Times New Roman" w:hAnsi="Times New Roman" w:cs="Times New Roman"/>
          <w:sz w:val="24"/>
          <w:szCs w:val="24"/>
        </w:rPr>
        <w:t>, JobAccess brings together a wide range of free and expert services, all specifically designed to help identify and remove the barriers to disability employment.</w:t>
      </w:r>
      <w:r w:rsidRPr="001B13FD">
        <w:rPr>
          <w:rFonts w:ascii="Times New Roman" w:hAnsi="Times New Roman" w:cs="Times New Roman"/>
          <w:sz w:val="24"/>
          <w:szCs w:val="24"/>
          <w:lang w:eastAsia="en-AU"/>
        </w:rPr>
        <w:t xml:space="preserve"> </w:t>
      </w:r>
    </w:p>
    <w:p w14:paraId="45124777" w14:textId="77777777" w:rsidR="009922C7" w:rsidRPr="001B13FD" w:rsidRDefault="009922C7" w:rsidP="009922C7">
      <w:pPr>
        <w:spacing w:after="0" w:line="240" w:lineRule="auto"/>
        <w:rPr>
          <w:rFonts w:ascii="Times New Roman" w:hAnsi="Times New Roman" w:cs="Times New Roman"/>
          <w:sz w:val="24"/>
          <w:szCs w:val="24"/>
          <w:lang w:eastAsia="en-AU"/>
        </w:rPr>
      </w:pPr>
    </w:p>
    <w:p w14:paraId="694C7113" w14:textId="77777777" w:rsidR="009922C7" w:rsidRDefault="009922C7" w:rsidP="009922C7">
      <w:pPr>
        <w:spacing w:after="0" w:line="240" w:lineRule="auto"/>
        <w:rPr>
          <w:rFonts w:ascii="Times New Roman" w:hAnsi="Times New Roman" w:cs="Times New Roman"/>
          <w:sz w:val="24"/>
          <w:szCs w:val="24"/>
        </w:rPr>
      </w:pPr>
      <w:r w:rsidRPr="001B13FD">
        <w:rPr>
          <w:rFonts w:ascii="Times New Roman" w:hAnsi="Times New Roman" w:cs="Times New Roman"/>
          <w:sz w:val="24"/>
          <w:szCs w:val="24"/>
        </w:rPr>
        <w:t>JobAccess brings together information and resources that can ‘drive disability employment’.  This includes the following key services:</w:t>
      </w:r>
    </w:p>
    <w:p w14:paraId="349AE5BB" w14:textId="77777777" w:rsidR="009922C7" w:rsidRPr="001B13FD" w:rsidRDefault="009922C7" w:rsidP="009922C7">
      <w:pPr>
        <w:spacing w:after="0" w:line="240" w:lineRule="auto"/>
        <w:rPr>
          <w:rFonts w:ascii="Times New Roman" w:hAnsi="Times New Roman" w:cs="Times New Roman"/>
          <w:sz w:val="24"/>
          <w:szCs w:val="24"/>
        </w:rPr>
      </w:pPr>
    </w:p>
    <w:p w14:paraId="356C0C21" w14:textId="77777777" w:rsidR="009922C7" w:rsidRPr="00F03C66" w:rsidRDefault="009922C7" w:rsidP="009922C7">
      <w:pPr>
        <w:pStyle w:val="ListParagraph"/>
        <w:numPr>
          <w:ilvl w:val="0"/>
          <w:numId w:val="3"/>
        </w:numPr>
        <w:suppressAutoHyphens/>
        <w:spacing w:after="0" w:line="240" w:lineRule="auto"/>
        <w:contextualSpacing w:val="0"/>
        <w:rPr>
          <w:rFonts w:ascii="Times New Roman" w:hAnsi="Times New Roman" w:cs="Times New Roman"/>
          <w:sz w:val="24"/>
          <w:szCs w:val="24"/>
        </w:rPr>
      </w:pPr>
      <w:r w:rsidRPr="00F03C66">
        <w:rPr>
          <w:rFonts w:ascii="Times New Roman" w:hAnsi="Times New Roman" w:cs="Times New Roman"/>
          <w:sz w:val="24"/>
          <w:szCs w:val="24"/>
        </w:rPr>
        <w:t>Expert advice via telephone and website</w:t>
      </w:r>
      <w:r w:rsidR="00F03C66">
        <w:rPr>
          <w:rFonts w:ascii="Times New Roman" w:hAnsi="Times New Roman" w:cs="Times New Roman"/>
          <w:sz w:val="24"/>
          <w:szCs w:val="24"/>
        </w:rPr>
        <w:t>:</w:t>
      </w:r>
    </w:p>
    <w:p w14:paraId="0D1A15A0" w14:textId="77777777" w:rsidR="009922C7" w:rsidRPr="001B13FD" w:rsidRDefault="009922C7" w:rsidP="009922C7">
      <w:pPr>
        <w:spacing w:after="0" w:line="240" w:lineRule="auto"/>
        <w:ind w:left="360"/>
        <w:rPr>
          <w:rFonts w:ascii="Times New Roman" w:hAnsi="Times New Roman" w:cs="Times New Roman"/>
          <w:sz w:val="24"/>
          <w:szCs w:val="24"/>
        </w:rPr>
      </w:pPr>
      <w:r w:rsidRPr="001B13FD">
        <w:rPr>
          <w:rFonts w:ascii="Times New Roman" w:hAnsi="Times New Roman" w:cs="Times New Roman"/>
          <w:sz w:val="24"/>
          <w:szCs w:val="24"/>
        </w:rPr>
        <w:t>JobAccess offers a national call service delivered by a team of front-line professionals who provide free, confidential and expert advice on matters related to disability employment. The team includes a range of field experts, such as allied health professionals, specialists in workplace adjustments and occupational therapy, as well as those with experience in training and recruitment strategies for the sustainable employment of people with disability and mental health conditions. JobAccess also has a comprehensive website (</w:t>
      </w:r>
      <w:hyperlink r:id="rId9" w:history="1">
        <w:r w:rsidRPr="001B13FD">
          <w:rPr>
            <w:rStyle w:val="Hyperlink"/>
            <w:rFonts w:ascii="Times New Roman" w:hAnsi="Times New Roman" w:cs="Times New Roman"/>
            <w:color w:val="0563C1"/>
            <w:sz w:val="24"/>
            <w:szCs w:val="24"/>
          </w:rPr>
          <w:t>www.jobaccess.gov.au</w:t>
        </w:r>
      </w:hyperlink>
      <w:r w:rsidRPr="001B13FD">
        <w:rPr>
          <w:rFonts w:ascii="Times New Roman" w:hAnsi="Times New Roman" w:cs="Times New Roman"/>
          <w:sz w:val="24"/>
          <w:szCs w:val="24"/>
        </w:rPr>
        <w:t>) with information and advice tailored explicitly for people with disability, employers and disabi</w:t>
      </w:r>
      <w:r>
        <w:rPr>
          <w:rFonts w:ascii="Times New Roman" w:hAnsi="Times New Roman" w:cs="Times New Roman"/>
          <w:sz w:val="24"/>
          <w:szCs w:val="24"/>
        </w:rPr>
        <w:t>lity service providers. In 2018</w:t>
      </w:r>
      <w:r>
        <w:rPr>
          <w:rFonts w:ascii="Times New Roman" w:hAnsi="Times New Roman" w:cs="Times New Roman"/>
          <w:sz w:val="24"/>
          <w:szCs w:val="24"/>
        </w:rPr>
        <w:noBreakHyphen/>
      </w:r>
      <w:r w:rsidRPr="001B13FD">
        <w:rPr>
          <w:rFonts w:ascii="Times New Roman" w:hAnsi="Times New Roman" w:cs="Times New Roman"/>
          <w:sz w:val="24"/>
          <w:szCs w:val="24"/>
        </w:rPr>
        <w:t>19, over 31,000 people were supported with advice, information and education.</w:t>
      </w:r>
    </w:p>
    <w:p w14:paraId="3CBC411D" w14:textId="77777777" w:rsidR="009922C7" w:rsidRPr="001B13FD" w:rsidRDefault="009922C7" w:rsidP="009922C7">
      <w:pPr>
        <w:pStyle w:val="Standard"/>
        <w:spacing w:after="0" w:line="240" w:lineRule="auto"/>
        <w:jc w:val="both"/>
        <w:rPr>
          <w:rFonts w:ascii="Times New Roman" w:hAnsi="Times New Roman" w:cs="Times New Roman"/>
          <w:i/>
          <w:sz w:val="24"/>
          <w:szCs w:val="24"/>
        </w:rPr>
      </w:pPr>
    </w:p>
    <w:p w14:paraId="1D1AD2E6" w14:textId="77777777" w:rsidR="009922C7" w:rsidRPr="00F03C66" w:rsidRDefault="009922C7" w:rsidP="009922C7">
      <w:pPr>
        <w:pStyle w:val="ListParagraph"/>
        <w:numPr>
          <w:ilvl w:val="0"/>
          <w:numId w:val="3"/>
        </w:numPr>
        <w:suppressAutoHyphens/>
        <w:spacing w:after="0" w:line="240" w:lineRule="auto"/>
        <w:contextualSpacing w:val="0"/>
        <w:rPr>
          <w:rFonts w:ascii="Times New Roman" w:hAnsi="Times New Roman" w:cs="Times New Roman"/>
          <w:sz w:val="24"/>
          <w:szCs w:val="24"/>
        </w:rPr>
      </w:pPr>
      <w:r w:rsidRPr="00F03C66">
        <w:rPr>
          <w:rFonts w:ascii="Times New Roman" w:hAnsi="Times New Roman" w:cs="Times New Roman"/>
          <w:sz w:val="24"/>
          <w:szCs w:val="24"/>
        </w:rPr>
        <w:t>Workplace modifications and training</w:t>
      </w:r>
      <w:r w:rsidR="00F03C66">
        <w:rPr>
          <w:rFonts w:ascii="Times New Roman" w:hAnsi="Times New Roman" w:cs="Times New Roman"/>
          <w:sz w:val="24"/>
          <w:szCs w:val="24"/>
        </w:rPr>
        <w:t>:</w:t>
      </w:r>
    </w:p>
    <w:p w14:paraId="29198178" w14:textId="77777777" w:rsidR="009922C7" w:rsidRDefault="009922C7" w:rsidP="009922C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Under the Employment Assistance Fund (EAF) financial assistance is provided to eligible people with disability and mental health conditions and employers to buy work related modifications, equipment, Auslan services and workplace assistance and support services.  Assistances and services available through the EAF work to </w:t>
      </w:r>
      <w:r w:rsidRPr="001B13FD">
        <w:rPr>
          <w:rFonts w:ascii="Times New Roman" w:hAnsi="Times New Roman" w:cs="Times New Roman"/>
          <w:sz w:val="24"/>
          <w:szCs w:val="24"/>
        </w:rPr>
        <w:t xml:space="preserve">remove barriers to the employment of people with disability. This includes </w:t>
      </w:r>
      <w:r>
        <w:rPr>
          <w:rFonts w:ascii="Times New Roman" w:hAnsi="Times New Roman" w:cs="Times New Roman"/>
          <w:sz w:val="24"/>
          <w:szCs w:val="24"/>
        </w:rPr>
        <w:t>the</w:t>
      </w:r>
      <w:r w:rsidRPr="001B13FD">
        <w:rPr>
          <w:rFonts w:ascii="Times New Roman" w:hAnsi="Times New Roman" w:cs="Times New Roman"/>
          <w:sz w:val="24"/>
          <w:szCs w:val="24"/>
        </w:rPr>
        <w:t xml:space="preserve"> conduct </w:t>
      </w:r>
      <w:r>
        <w:rPr>
          <w:rFonts w:ascii="Times New Roman" w:hAnsi="Times New Roman" w:cs="Times New Roman"/>
          <w:sz w:val="24"/>
          <w:szCs w:val="24"/>
        </w:rPr>
        <w:t xml:space="preserve">of </w:t>
      </w:r>
      <w:r w:rsidRPr="001B13FD">
        <w:rPr>
          <w:rFonts w:ascii="Times New Roman" w:hAnsi="Times New Roman" w:cs="Times New Roman"/>
          <w:sz w:val="24"/>
          <w:szCs w:val="24"/>
        </w:rPr>
        <w:t xml:space="preserve">free workplace assessments, and </w:t>
      </w:r>
      <w:r>
        <w:rPr>
          <w:rFonts w:ascii="Times New Roman" w:hAnsi="Times New Roman" w:cs="Times New Roman"/>
          <w:sz w:val="24"/>
          <w:szCs w:val="24"/>
        </w:rPr>
        <w:t xml:space="preserve">provision of </w:t>
      </w:r>
      <w:r w:rsidRPr="001B13FD">
        <w:rPr>
          <w:rFonts w:ascii="Times New Roman" w:hAnsi="Times New Roman" w:cs="Times New Roman"/>
          <w:sz w:val="24"/>
          <w:szCs w:val="24"/>
        </w:rPr>
        <w:t>advi</w:t>
      </w:r>
      <w:r w:rsidR="001011B3">
        <w:rPr>
          <w:rFonts w:ascii="Times New Roman" w:hAnsi="Times New Roman" w:cs="Times New Roman"/>
          <w:sz w:val="24"/>
          <w:szCs w:val="24"/>
        </w:rPr>
        <w:t>c</w:t>
      </w:r>
      <w:r w:rsidRPr="001B13FD">
        <w:rPr>
          <w:rFonts w:ascii="Times New Roman" w:hAnsi="Times New Roman" w:cs="Times New Roman"/>
          <w:sz w:val="24"/>
          <w:szCs w:val="24"/>
        </w:rPr>
        <w:t xml:space="preserve">e on the required workplace adjustments, modifications and support which may be eligible for reimbursement through the </w:t>
      </w:r>
      <w:r w:rsidR="00612FBF">
        <w:rPr>
          <w:rFonts w:ascii="Times New Roman" w:hAnsi="Times New Roman" w:cs="Times New Roman"/>
          <w:sz w:val="24"/>
          <w:szCs w:val="24"/>
        </w:rPr>
        <w:t>EAF</w:t>
      </w:r>
      <w:r w:rsidRPr="001B13FD">
        <w:rPr>
          <w:rFonts w:ascii="Times New Roman" w:hAnsi="Times New Roman" w:cs="Times New Roman"/>
          <w:sz w:val="24"/>
          <w:szCs w:val="24"/>
        </w:rPr>
        <w:t>.</w:t>
      </w:r>
      <w:r>
        <w:rPr>
          <w:rFonts w:ascii="Times New Roman" w:hAnsi="Times New Roman" w:cs="Times New Roman"/>
          <w:sz w:val="24"/>
          <w:szCs w:val="24"/>
        </w:rPr>
        <w:t xml:space="preserve">  Training available to workplaces under the EAF includes d</w:t>
      </w:r>
      <w:r w:rsidRPr="001B13FD">
        <w:rPr>
          <w:rFonts w:ascii="Times New Roman" w:hAnsi="Times New Roman" w:cs="Times New Roman"/>
          <w:sz w:val="24"/>
          <w:szCs w:val="24"/>
        </w:rPr>
        <w:t>isability awareness</w:t>
      </w:r>
      <w:r>
        <w:rPr>
          <w:rFonts w:ascii="Times New Roman" w:hAnsi="Times New Roman" w:cs="Times New Roman"/>
          <w:sz w:val="24"/>
          <w:szCs w:val="24"/>
        </w:rPr>
        <w:t xml:space="preserve">, </w:t>
      </w:r>
      <w:r w:rsidRPr="001B13FD">
        <w:rPr>
          <w:rFonts w:ascii="Times New Roman" w:hAnsi="Times New Roman" w:cs="Times New Roman"/>
          <w:sz w:val="24"/>
          <w:szCs w:val="24"/>
        </w:rPr>
        <w:t>deafness awareness</w:t>
      </w:r>
      <w:r>
        <w:rPr>
          <w:rFonts w:ascii="Times New Roman" w:hAnsi="Times New Roman" w:cs="Times New Roman"/>
          <w:sz w:val="24"/>
          <w:szCs w:val="24"/>
        </w:rPr>
        <w:t xml:space="preserve"> and </w:t>
      </w:r>
      <w:r w:rsidRPr="001B13FD">
        <w:rPr>
          <w:rFonts w:ascii="Times New Roman" w:hAnsi="Times New Roman" w:cs="Times New Roman"/>
          <w:sz w:val="24"/>
          <w:szCs w:val="24"/>
        </w:rPr>
        <w:t>mental health first aid training</w:t>
      </w:r>
      <w:r>
        <w:rPr>
          <w:rFonts w:ascii="Times New Roman" w:hAnsi="Times New Roman" w:cs="Times New Roman"/>
          <w:sz w:val="24"/>
          <w:szCs w:val="24"/>
        </w:rPr>
        <w:t>.</w:t>
      </w:r>
    </w:p>
    <w:p w14:paraId="5288B01C" w14:textId="77777777" w:rsidR="009922C7" w:rsidRDefault="009922C7" w:rsidP="009922C7">
      <w:pPr>
        <w:spacing w:after="0" w:line="240" w:lineRule="auto"/>
        <w:ind w:left="360"/>
        <w:rPr>
          <w:rFonts w:ascii="Times New Roman" w:hAnsi="Times New Roman" w:cs="Times New Roman"/>
          <w:i/>
          <w:sz w:val="24"/>
          <w:szCs w:val="24"/>
        </w:rPr>
      </w:pPr>
    </w:p>
    <w:p w14:paraId="60D90201" w14:textId="77777777" w:rsidR="009922C7" w:rsidRPr="00F03C66" w:rsidRDefault="009922C7" w:rsidP="0056078A">
      <w:pPr>
        <w:pStyle w:val="ListParagraph"/>
        <w:keepNext/>
        <w:keepLines/>
        <w:numPr>
          <w:ilvl w:val="0"/>
          <w:numId w:val="3"/>
        </w:numPr>
        <w:spacing w:after="0" w:line="240" w:lineRule="auto"/>
        <w:ind w:left="357"/>
        <w:rPr>
          <w:rFonts w:ascii="Times New Roman" w:hAnsi="Times New Roman" w:cs="Times New Roman"/>
          <w:sz w:val="24"/>
          <w:szCs w:val="24"/>
        </w:rPr>
      </w:pPr>
      <w:r w:rsidRPr="00F03C66">
        <w:rPr>
          <w:rFonts w:ascii="Times New Roman" w:hAnsi="Times New Roman" w:cs="Times New Roman"/>
          <w:sz w:val="24"/>
          <w:szCs w:val="24"/>
        </w:rPr>
        <w:lastRenderedPageBreak/>
        <w:t>National Disability Recruitment Coordinator</w:t>
      </w:r>
      <w:r w:rsidR="00F03C66">
        <w:rPr>
          <w:rFonts w:ascii="Times New Roman" w:hAnsi="Times New Roman" w:cs="Times New Roman"/>
          <w:sz w:val="24"/>
          <w:szCs w:val="24"/>
        </w:rPr>
        <w:t>:</w:t>
      </w:r>
    </w:p>
    <w:p w14:paraId="002EC66B" w14:textId="77777777" w:rsidR="009922C7" w:rsidRDefault="009922C7" w:rsidP="0056078A">
      <w:pPr>
        <w:keepNext/>
        <w:keepLines/>
        <w:spacing w:after="0" w:line="240" w:lineRule="auto"/>
        <w:ind w:left="357"/>
        <w:rPr>
          <w:rFonts w:ascii="Times New Roman" w:hAnsi="Times New Roman" w:cs="Times New Roman"/>
          <w:sz w:val="24"/>
          <w:szCs w:val="24"/>
        </w:rPr>
      </w:pPr>
      <w:r w:rsidRPr="001B13FD">
        <w:rPr>
          <w:rFonts w:ascii="Times New Roman" w:hAnsi="Times New Roman" w:cs="Times New Roman"/>
          <w:sz w:val="24"/>
          <w:szCs w:val="24"/>
        </w:rPr>
        <w:t xml:space="preserve">The National Disability Recruitment Coordinator </w:t>
      </w:r>
      <w:r>
        <w:rPr>
          <w:rFonts w:ascii="Times New Roman" w:hAnsi="Times New Roman" w:cs="Times New Roman"/>
          <w:sz w:val="24"/>
          <w:szCs w:val="24"/>
        </w:rPr>
        <w:t xml:space="preserve">program </w:t>
      </w:r>
      <w:r w:rsidRPr="001B13FD">
        <w:rPr>
          <w:rFonts w:ascii="Times New Roman" w:hAnsi="Times New Roman" w:cs="Times New Roman"/>
          <w:sz w:val="24"/>
          <w:szCs w:val="24"/>
        </w:rPr>
        <w:t>work</w:t>
      </w:r>
      <w:r>
        <w:rPr>
          <w:rFonts w:ascii="Times New Roman" w:hAnsi="Times New Roman" w:cs="Times New Roman"/>
          <w:sz w:val="24"/>
          <w:szCs w:val="24"/>
        </w:rPr>
        <w:t>s with</w:t>
      </w:r>
      <w:r w:rsidR="001011B3">
        <w:rPr>
          <w:rFonts w:ascii="Times New Roman" w:hAnsi="Times New Roman" w:cs="Times New Roman"/>
          <w:sz w:val="24"/>
          <w:szCs w:val="24"/>
        </w:rPr>
        <w:t xml:space="preserve"> employers, including with</w:t>
      </w:r>
      <w:r w:rsidRPr="001B13FD">
        <w:rPr>
          <w:rFonts w:ascii="Times New Roman" w:hAnsi="Times New Roman" w:cs="Times New Roman"/>
          <w:sz w:val="24"/>
          <w:szCs w:val="24"/>
        </w:rPr>
        <w:t xml:space="preserve"> larger employers through 12-month partnerships</w:t>
      </w:r>
      <w:r w:rsidR="001011B3">
        <w:rPr>
          <w:rFonts w:ascii="Times New Roman" w:hAnsi="Times New Roman" w:cs="Times New Roman"/>
          <w:sz w:val="24"/>
          <w:szCs w:val="24"/>
        </w:rPr>
        <w:t>,</w:t>
      </w:r>
      <w:r w:rsidRPr="001B13FD">
        <w:rPr>
          <w:rFonts w:ascii="Times New Roman" w:hAnsi="Times New Roman" w:cs="Times New Roman"/>
          <w:sz w:val="24"/>
          <w:szCs w:val="24"/>
        </w:rPr>
        <w:t xml:space="preserve"> to provide free, practical and tailored support. It helps organisations increase disability confidence and competence by building their knowledge and skills to remove barriers in employment practices and become more inclusive. </w:t>
      </w:r>
      <w:r w:rsidR="001011B3">
        <w:rPr>
          <w:rFonts w:ascii="Times New Roman" w:hAnsi="Times New Roman" w:cs="Times New Roman"/>
          <w:sz w:val="24"/>
          <w:szCs w:val="24"/>
        </w:rPr>
        <w:t xml:space="preserve">This work also includes </w:t>
      </w:r>
      <w:r>
        <w:rPr>
          <w:rFonts w:ascii="Times New Roman" w:hAnsi="Times New Roman" w:cs="Times New Roman"/>
          <w:sz w:val="24"/>
          <w:szCs w:val="24"/>
        </w:rPr>
        <w:t xml:space="preserve">arranging and hosting information sessions </w:t>
      </w:r>
      <w:r w:rsidR="001011B3">
        <w:rPr>
          <w:rFonts w:ascii="Times New Roman" w:hAnsi="Times New Roman" w:cs="Times New Roman"/>
          <w:sz w:val="24"/>
          <w:szCs w:val="24"/>
        </w:rPr>
        <w:t>for</w:t>
      </w:r>
      <w:r>
        <w:rPr>
          <w:rFonts w:ascii="Times New Roman" w:hAnsi="Times New Roman" w:cs="Times New Roman"/>
          <w:sz w:val="24"/>
          <w:szCs w:val="24"/>
        </w:rPr>
        <w:t xml:space="preserve"> a range of audiences to promote the JobAccess services and the benefits of employing people with disability.</w:t>
      </w:r>
    </w:p>
    <w:p w14:paraId="1D7EB97C" w14:textId="77777777" w:rsidR="009922C7" w:rsidRPr="002D7359" w:rsidRDefault="009922C7" w:rsidP="009922C7">
      <w:pPr>
        <w:spacing w:after="0" w:line="240" w:lineRule="auto"/>
        <w:rPr>
          <w:rFonts w:ascii="Times New Roman" w:hAnsi="Times New Roman" w:cs="Times New Roman"/>
          <w:sz w:val="24"/>
          <w:szCs w:val="24"/>
        </w:rPr>
      </w:pPr>
    </w:p>
    <w:p w14:paraId="219E8FE2" w14:textId="77777777" w:rsidR="009922C7" w:rsidRPr="0056078A" w:rsidRDefault="009922C7" w:rsidP="009922C7">
      <w:pPr>
        <w:spacing w:after="0" w:line="240" w:lineRule="auto"/>
        <w:rPr>
          <w:rFonts w:ascii="Times New Roman" w:hAnsi="Times New Roman" w:cs="Times New Roman"/>
          <w:sz w:val="24"/>
          <w:szCs w:val="24"/>
          <w:u w:val="single"/>
        </w:rPr>
      </w:pPr>
      <w:r w:rsidRPr="0056078A">
        <w:rPr>
          <w:rFonts w:ascii="Times New Roman" w:hAnsi="Times New Roman" w:cs="Times New Roman"/>
          <w:sz w:val="24"/>
          <w:szCs w:val="24"/>
          <w:u w:val="single"/>
        </w:rPr>
        <w:t>Employ their Ability campaign</w:t>
      </w:r>
    </w:p>
    <w:p w14:paraId="5B029E0D" w14:textId="77777777" w:rsidR="00EA12D8" w:rsidRDefault="00EA12D8" w:rsidP="00885F5A">
      <w:pPr>
        <w:spacing w:after="0" w:line="240" w:lineRule="auto"/>
        <w:rPr>
          <w:rFonts w:ascii="Times New Roman" w:hAnsi="Times New Roman" w:cs="Times New Roman"/>
          <w:sz w:val="24"/>
          <w:szCs w:val="24"/>
        </w:rPr>
      </w:pPr>
    </w:p>
    <w:p w14:paraId="0E764778" w14:textId="77777777" w:rsidR="009922C7" w:rsidRDefault="00F03C66" w:rsidP="00885F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009922C7">
        <w:rPr>
          <w:rFonts w:ascii="Times New Roman" w:hAnsi="Times New Roman" w:cs="Times New Roman"/>
          <w:sz w:val="24"/>
          <w:szCs w:val="24"/>
        </w:rPr>
        <w:t>2018-</w:t>
      </w:r>
      <w:r w:rsidR="009922C7" w:rsidRPr="000751B8">
        <w:rPr>
          <w:rFonts w:ascii="Times New Roman" w:hAnsi="Times New Roman" w:cs="Times New Roman"/>
          <w:sz w:val="24"/>
          <w:szCs w:val="24"/>
        </w:rPr>
        <w:t xml:space="preserve">19, the </w:t>
      </w:r>
      <w:r w:rsidR="0056078A">
        <w:rPr>
          <w:rFonts w:ascii="Times New Roman" w:hAnsi="Times New Roman" w:cs="Times New Roman"/>
          <w:sz w:val="24"/>
          <w:szCs w:val="24"/>
        </w:rPr>
        <w:t xml:space="preserve">Australian Government delivered an </w:t>
      </w:r>
      <w:r w:rsidR="009922C7" w:rsidRPr="000751B8">
        <w:rPr>
          <w:rFonts w:ascii="Times New Roman" w:hAnsi="Times New Roman" w:cs="Times New Roman"/>
          <w:i/>
          <w:sz w:val="24"/>
          <w:szCs w:val="24"/>
        </w:rPr>
        <w:t>Employ their Ability</w:t>
      </w:r>
      <w:r w:rsidR="009922C7" w:rsidRPr="000751B8">
        <w:rPr>
          <w:rFonts w:ascii="Times New Roman" w:hAnsi="Times New Roman" w:cs="Times New Roman"/>
          <w:sz w:val="24"/>
          <w:szCs w:val="24"/>
        </w:rPr>
        <w:t xml:space="preserve"> campaign t</w:t>
      </w:r>
      <w:r w:rsidR="009922C7" w:rsidRPr="000751B8">
        <w:rPr>
          <w:rFonts w:ascii="Times New Roman" w:hAnsi="Times New Roman" w:cs="Times New Roman"/>
          <w:sz w:val="24"/>
          <w:szCs w:val="24"/>
          <w:shd w:val="clear" w:color="auto" w:fill="FFFFFF"/>
        </w:rPr>
        <w:t xml:space="preserve">o highlight the benefits of employing people with disability and ensure employers are aware of the support and programs available to help them. The campaign utilised social media channels, including LinkedIn, Facebook and YouTube, to educate employers on disability employment. Over the past 12 months, the campaign has drawn more than 1,150 followers on </w:t>
      </w:r>
      <w:r w:rsidR="009922C7" w:rsidRPr="00885F5A">
        <w:rPr>
          <w:rFonts w:ascii="Times New Roman" w:hAnsi="Times New Roman" w:cs="Times New Roman"/>
          <w:sz w:val="24"/>
          <w:szCs w:val="24"/>
          <w:shd w:val="clear" w:color="auto" w:fill="FFFFFF"/>
        </w:rPr>
        <w:t xml:space="preserve">LinkedIn and </w:t>
      </w:r>
      <w:r w:rsidR="009922C7" w:rsidRPr="00885F5A">
        <w:rPr>
          <w:rFonts w:ascii="Times New Roman" w:hAnsi="Times New Roman" w:cs="Times New Roman"/>
          <w:sz w:val="24"/>
          <w:szCs w:val="24"/>
        </w:rPr>
        <w:t>engaged a broader audience</w:t>
      </w:r>
      <w:r w:rsidR="009922C7" w:rsidRPr="00885F5A">
        <w:rPr>
          <w:rFonts w:ascii="Times New Roman" w:hAnsi="Times New Roman" w:cs="Times New Roman"/>
          <w:sz w:val="24"/>
          <w:szCs w:val="24"/>
          <w:shd w:val="clear" w:color="auto" w:fill="FFFFFF"/>
        </w:rPr>
        <w:t xml:space="preserve"> through positive media stories and case studies; enabling employers to start the conversation and move the dial on disability employment.</w:t>
      </w:r>
      <w:r w:rsidR="00885F5A" w:rsidRPr="00885F5A">
        <w:rPr>
          <w:rFonts w:ascii="Times New Roman" w:hAnsi="Times New Roman" w:cs="Times New Roman"/>
          <w:sz w:val="24"/>
          <w:szCs w:val="24"/>
          <w:shd w:val="clear" w:color="auto" w:fill="FFFFFF"/>
        </w:rPr>
        <w:t xml:space="preserve">  </w:t>
      </w:r>
      <w:r w:rsidR="00885F5A" w:rsidRPr="00885F5A">
        <w:rPr>
          <w:rFonts w:ascii="Times New Roman" w:hAnsi="Times New Roman" w:cs="Times New Roman"/>
          <w:sz w:val="24"/>
          <w:szCs w:val="24"/>
        </w:rPr>
        <w:t>The campaign target</w:t>
      </w:r>
      <w:r w:rsidR="00885F5A">
        <w:rPr>
          <w:rFonts w:ascii="Times New Roman" w:hAnsi="Times New Roman" w:cs="Times New Roman"/>
          <w:sz w:val="24"/>
          <w:szCs w:val="24"/>
        </w:rPr>
        <w:t>ed</w:t>
      </w:r>
      <w:r w:rsidR="00885F5A" w:rsidRPr="00885F5A">
        <w:rPr>
          <w:rFonts w:ascii="Times New Roman" w:hAnsi="Times New Roman" w:cs="Times New Roman"/>
          <w:sz w:val="24"/>
          <w:szCs w:val="24"/>
        </w:rPr>
        <w:t xml:space="preserve"> large and upper-medium sized businesses in service industries, as research show</w:t>
      </w:r>
      <w:r w:rsidR="00885F5A">
        <w:rPr>
          <w:rFonts w:ascii="Times New Roman" w:hAnsi="Times New Roman" w:cs="Times New Roman"/>
          <w:sz w:val="24"/>
          <w:szCs w:val="24"/>
        </w:rPr>
        <w:t>ed</w:t>
      </w:r>
      <w:r w:rsidR="00885F5A" w:rsidRPr="00885F5A">
        <w:rPr>
          <w:rFonts w:ascii="Times New Roman" w:hAnsi="Times New Roman" w:cs="Times New Roman"/>
          <w:sz w:val="24"/>
          <w:szCs w:val="24"/>
        </w:rPr>
        <w:t xml:space="preserve"> these organisations are more open and committed to employing people with disability.</w:t>
      </w:r>
    </w:p>
    <w:p w14:paraId="6AA08BE6" w14:textId="77777777" w:rsidR="00885F5A" w:rsidRDefault="00885F5A" w:rsidP="00885F5A">
      <w:pPr>
        <w:spacing w:after="0" w:line="240" w:lineRule="auto"/>
        <w:rPr>
          <w:rFonts w:ascii="Times New Roman" w:hAnsi="Times New Roman" w:cs="Times New Roman"/>
          <w:sz w:val="24"/>
          <w:szCs w:val="24"/>
        </w:rPr>
      </w:pPr>
    </w:p>
    <w:p w14:paraId="2C23F76F" w14:textId="77777777" w:rsidR="00885F5A" w:rsidRPr="00885F5A" w:rsidRDefault="00885F5A" w:rsidP="00885F5A">
      <w:pPr>
        <w:spacing w:after="0" w:line="240" w:lineRule="auto"/>
        <w:rPr>
          <w:rFonts w:ascii="Times New Roman" w:hAnsi="Times New Roman" w:cs="Times New Roman"/>
          <w:sz w:val="24"/>
          <w:szCs w:val="24"/>
        </w:rPr>
      </w:pPr>
      <w:r w:rsidRPr="00883134">
        <w:rPr>
          <w:rFonts w:ascii="Times New Roman" w:hAnsi="Times New Roman" w:cs="Times New Roman"/>
          <w:sz w:val="24"/>
          <w:szCs w:val="24"/>
        </w:rPr>
        <w:t xml:space="preserve">From September 2017 to January 2018, research </w:t>
      </w:r>
      <w:r w:rsidR="0056078A">
        <w:rPr>
          <w:rFonts w:ascii="Times New Roman" w:hAnsi="Times New Roman" w:cs="Times New Roman"/>
          <w:sz w:val="24"/>
          <w:szCs w:val="24"/>
        </w:rPr>
        <w:t xml:space="preserve">was commissioned by the Australian Government </w:t>
      </w:r>
      <w:r w:rsidRPr="00883134">
        <w:rPr>
          <w:rFonts w:ascii="Times New Roman" w:hAnsi="Times New Roman" w:cs="Times New Roman"/>
          <w:sz w:val="24"/>
          <w:szCs w:val="24"/>
        </w:rPr>
        <w:t xml:space="preserve">to inform the communication approach. Concept testing was also undertaken by </w:t>
      </w:r>
      <w:r w:rsidR="0090275E">
        <w:rPr>
          <w:rFonts w:ascii="Times New Roman" w:hAnsi="Times New Roman" w:cs="Times New Roman"/>
          <w:sz w:val="24"/>
          <w:szCs w:val="24"/>
        </w:rPr>
        <w:t>the researcher</w:t>
      </w:r>
      <w:r w:rsidRPr="00883134">
        <w:rPr>
          <w:rFonts w:ascii="Times New Roman" w:hAnsi="Times New Roman" w:cs="Times New Roman"/>
          <w:sz w:val="24"/>
          <w:szCs w:val="24"/>
        </w:rPr>
        <w:t xml:space="preserve"> during this period to explore target audience responses and attitudes to </w:t>
      </w:r>
      <w:r w:rsidR="0056078A">
        <w:rPr>
          <w:rFonts w:ascii="Times New Roman" w:hAnsi="Times New Roman" w:cs="Times New Roman"/>
          <w:sz w:val="24"/>
          <w:szCs w:val="24"/>
        </w:rPr>
        <w:t xml:space="preserve">alternative creative concepts. </w:t>
      </w:r>
      <w:r w:rsidRPr="00883134">
        <w:rPr>
          <w:rFonts w:ascii="Times New Roman" w:hAnsi="Times New Roman" w:cs="Times New Roman"/>
          <w:sz w:val="24"/>
          <w:szCs w:val="24"/>
        </w:rPr>
        <w:t xml:space="preserve">The campaign used real-life examples of disability employment from both the employee and employer’s perspective. The people who shared their stories have all volunteered to be involved in the campaign and </w:t>
      </w:r>
      <w:r w:rsidR="00883134" w:rsidRPr="00883134">
        <w:rPr>
          <w:rFonts w:ascii="Times New Roman" w:hAnsi="Times New Roman" w:cs="Times New Roman"/>
          <w:sz w:val="24"/>
          <w:szCs w:val="24"/>
        </w:rPr>
        <w:t>we</w:t>
      </w:r>
      <w:r w:rsidRPr="00883134">
        <w:rPr>
          <w:rFonts w:ascii="Times New Roman" w:hAnsi="Times New Roman" w:cs="Times New Roman"/>
          <w:sz w:val="24"/>
          <w:szCs w:val="24"/>
        </w:rPr>
        <w:t>re not being paid as influencers.</w:t>
      </w:r>
    </w:p>
    <w:p w14:paraId="7AD820FB" w14:textId="77777777" w:rsidR="009922C7" w:rsidRPr="000751B8" w:rsidRDefault="009922C7" w:rsidP="009922C7">
      <w:pPr>
        <w:spacing w:after="0" w:line="240" w:lineRule="auto"/>
        <w:rPr>
          <w:rFonts w:ascii="Times New Roman" w:hAnsi="Times New Roman" w:cs="Times New Roman"/>
          <w:sz w:val="24"/>
          <w:szCs w:val="24"/>
        </w:rPr>
      </w:pPr>
    </w:p>
    <w:p w14:paraId="50763E36" w14:textId="77777777" w:rsidR="0056078A" w:rsidRDefault="0056078A" w:rsidP="009922C7">
      <w:pPr>
        <w:spacing w:after="0" w:line="240" w:lineRule="auto"/>
        <w:rPr>
          <w:rFonts w:ascii="Times New Roman" w:hAnsi="Times New Roman" w:cs="Times New Roman"/>
          <w:sz w:val="24"/>
          <w:szCs w:val="24"/>
        </w:rPr>
      </w:pPr>
      <w:r>
        <w:rPr>
          <w:rFonts w:ascii="Times New Roman" w:hAnsi="Times New Roman" w:cs="Times New Roman"/>
          <w:sz w:val="24"/>
          <w:szCs w:val="24"/>
        </w:rPr>
        <w:t>O</w:t>
      </w:r>
      <w:r w:rsidRPr="000751B8">
        <w:rPr>
          <w:rFonts w:ascii="Times New Roman" w:hAnsi="Times New Roman" w:cs="Times New Roman"/>
          <w:sz w:val="24"/>
          <w:szCs w:val="24"/>
        </w:rPr>
        <w:t>n 26 February 2019</w:t>
      </w:r>
      <w:r>
        <w:rPr>
          <w:rFonts w:ascii="Times New Roman" w:hAnsi="Times New Roman" w:cs="Times New Roman"/>
          <w:sz w:val="24"/>
          <w:szCs w:val="24"/>
        </w:rPr>
        <w:t>, a</w:t>
      </w:r>
      <w:r w:rsidR="009922C7" w:rsidRPr="000751B8">
        <w:rPr>
          <w:rFonts w:ascii="Times New Roman" w:hAnsi="Times New Roman" w:cs="Times New Roman"/>
          <w:sz w:val="24"/>
          <w:szCs w:val="24"/>
        </w:rPr>
        <w:t xml:space="preserve">s part of the </w:t>
      </w:r>
      <w:r w:rsidR="009922C7" w:rsidRPr="000751B8">
        <w:rPr>
          <w:rFonts w:ascii="Times New Roman" w:hAnsi="Times New Roman" w:cs="Times New Roman"/>
          <w:i/>
          <w:sz w:val="24"/>
          <w:szCs w:val="24"/>
        </w:rPr>
        <w:t>Employ their Ability</w:t>
      </w:r>
      <w:r w:rsidR="009922C7" w:rsidRPr="000751B8">
        <w:rPr>
          <w:rFonts w:ascii="Times New Roman" w:hAnsi="Times New Roman" w:cs="Times New Roman"/>
          <w:sz w:val="24"/>
          <w:szCs w:val="24"/>
        </w:rPr>
        <w:t xml:space="preserve"> campaign, the </w:t>
      </w:r>
      <w:r>
        <w:rPr>
          <w:rFonts w:ascii="Times New Roman" w:hAnsi="Times New Roman" w:cs="Times New Roman"/>
          <w:sz w:val="24"/>
          <w:szCs w:val="24"/>
        </w:rPr>
        <w:t xml:space="preserve">Australian Government </w:t>
      </w:r>
      <w:r w:rsidR="009922C7" w:rsidRPr="000751B8">
        <w:rPr>
          <w:rFonts w:ascii="Times New Roman" w:hAnsi="Times New Roman" w:cs="Times New Roman"/>
          <w:sz w:val="24"/>
          <w:szCs w:val="24"/>
        </w:rPr>
        <w:t>launched a comprehensive Employer Toolkit</w:t>
      </w:r>
      <w:r w:rsidR="009922C7" w:rsidRPr="000751B8">
        <w:rPr>
          <w:rStyle w:val="FootnoteReference"/>
          <w:rFonts w:ascii="Times New Roman" w:hAnsi="Times New Roman" w:cs="Times New Roman"/>
          <w:sz w:val="24"/>
          <w:szCs w:val="24"/>
        </w:rPr>
        <w:footnoteReference w:id="13"/>
      </w:r>
      <w:r w:rsidR="009922C7" w:rsidRPr="000751B8">
        <w:rPr>
          <w:rFonts w:ascii="Times New Roman" w:hAnsi="Times New Roman" w:cs="Times New Roman"/>
          <w:sz w:val="24"/>
          <w:szCs w:val="24"/>
        </w:rPr>
        <w:t xml:space="preserve"> to help employers hire people with disability and build their organisation’s disability confidence and competence. </w:t>
      </w:r>
      <w:r w:rsidR="00883134">
        <w:rPr>
          <w:rFonts w:ascii="Times New Roman" w:hAnsi="Times New Roman" w:cs="Times New Roman"/>
          <w:sz w:val="24"/>
          <w:szCs w:val="24"/>
        </w:rPr>
        <w:t xml:space="preserve"> </w:t>
      </w:r>
      <w:r w:rsidR="009922C7" w:rsidRPr="000751B8">
        <w:rPr>
          <w:rFonts w:ascii="Times New Roman" w:hAnsi="Times New Roman" w:cs="Times New Roman"/>
          <w:sz w:val="24"/>
          <w:szCs w:val="24"/>
        </w:rPr>
        <w:t xml:space="preserve">Available through the JobAccess website, the Employer Toolkit is an online resource to guide employers through the entire process of employing people with disability, using simple, straightforward videos, downloadable resources and highlighting real-life case studies. It is designed to be user-friendly, so time-poor, corporate professionals can quickly access and absorb the practical information to assist them navigate disability employment. </w:t>
      </w:r>
      <w:r w:rsidR="00883134">
        <w:rPr>
          <w:rFonts w:ascii="Times New Roman" w:hAnsi="Times New Roman" w:cs="Times New Roman"/>
          <w:sz w:val="24"/>
          <w:szCs w:val="24"/>
        </w:rPr>
        <w:t xml:space="preserve"> </w:t>
      </w:r>
    </w:p>
    <w:p w14:paraId="633D6F5D" w14:textId="77777777" w:rsidR="0056078A" w:rsidRDefault="0056078A" w:rsidP="009922C7">
      <w:pPr>
        <w:spacing w:after="0" w:line="240" w:lineRule="auto"/>
        <w:rPr>
          <w:rFonts w:ascii="Times New Roman" w:hAnsi="Times New Roman" w:cs="Times New Roman"/>
          <w:sz w:val="24"/>
          <w:szCs w:val="24"/>
        </w:rPr>
      </w:pPr>
    </w:p>
    <w:p w14:paraId="46E62325" w14:textId="77777777" w:rsidR="009922C7" w:rsidRDefault="009922C7" w:rsidP="009922C7">
      <w:pPr>
        <w:spacing w:after="0" w:line="240" w:lineRule="auto"/>
        <w:rPr>
          <w:rFonts w:ascii="Times New Roman" w:hAnsi="Times New Roman" w:cs="Times New Roman"/>
          <w:sz w:val="24"/>
          <w:szCs w:val="24"/>
        </w:rPr>
      </w:pPr>
      <w:r w:rsidRPr="000751B8">
        <w:rPr>
          <w:rFonts w:ascii="Times New Roman" w:hAnsi="Times New Roman" w:cs="Times New Roman"/>
          <w:sz w:val="24"/>
          <w:szCs w:val="24"/>
        </w:rPr>
        <w:t>The Toolkit covers a range of topics relating to disability employment, including creating inclusive policies, finding and interviewing jobseekers with disability, and making adjustments in the workplace.</w:t>
      </w:r>
      <w:r w:rsidR="00883134">
        <w:rPr>
          <w:rFonts w:ascii="Times New Roman" w:hAnsi="Times New Roman" w:cs="Times New Roman"/>
          <w:sz w:val="24"/>
          <w:szCs w:val="24"/>
        </w:rPr>
        <w:t xml:space="preserve"> T</w:t>
      </w:r>
      <w:r w:rsidR="00883134">
        <w:rPr>
          <w:rFonts w:ascii="Times New Roman" w:hAnsi="Times New Roman" w:cs="Times New Roman"/>
          <w:sz w:val="24"/>
          <w:szCs w:val="24"/>
          <w:lang w:eastAsia="en-AU"/>
        </w:rPr>
        <w:t xml:space="preserve">he </w:t>
      </w:r>
      <w:r w:rsidR="00883134" w:rsidRPr="009922C7">
        <w:rPr>
          <w:rFonts w:ascii="Times New Roman" w:hAnsi="Times New Roman" w:cs="Times New Roman"/>
          <w:sz w:val="24"/>
          <w:szCs w:val="24"/>
        </w:rPr>
        <w:t>Employment Reform Working Group (ERWG) of the National Disability and Carers Advisory Council (NDCAC)</w:t>
      </w:r>
      <w:r w:rsidR="00883134">
        <w:rPr>
          <w:rFonts w:ascii="Times New Roman" w:hAnsi="Times New Roman" w:cs="Times New Roman"/>
          <w:sz w:val="24"/>
          <w:szCs w:val="24"/>
        </w:rPr>
        <w:t xml:space="preserve">, which includes representatives from the disability sector, </w:t>
      </w:r>
      <w:r w:rsidR="00696E5D">
        <w:rPr>
          <w:rFonts w:ascii="Times New Roman" w:hAnsi="Times New Roman" w:cs="Times New Roman"/>
          <w:sz w:val="24"/>
          <w:szCs w:val="24"/>
        </w:rPr>
        <w:t>and the Australian Network on Disability were consulted on the Employer Toolkit.</w:t>
      </w:r>
    </w:p>
    <w:p w14:paraId="05DF0C8D" w14:textId="77777777" w:rsidR="009922C7" w:rsidRPr="000751B8" w:rsidRDefault="009922C7" w:rsidP="009922C7">
      <w:pPr>
        <w:spacing w:after="0" w:line="240" w:lineRule="auto"/>
        <w:rPr>
          <w:rFonts w:ascii="Times New Roman" w:hAnsi="Times New Roman" w:cs="Times New Roman"/>
          <w:sz w:val="24"/>
          <w:szCs w:val="24"/>
        </w:rPr>
      </w:pPr>
    </w:p>
    <w:p w14:paraId="58F122FC" w14:textId="77777777" w:rsidR="009922C7" w:rsidRPr="009B24E9" w:rsidRDefault="009922C7" w:rsidP="00013125">
      <w:pPr>
        <w:keepNext/>
        <w:keepLines/>
        <w:spacing w:after="0" w:line="240" w:lineRule="auto"/>
        <w:rPr>
          <w:rFonts w:ascii="Times New Roman" w:hAnsi="Times New Roman" w:cs="Times New Roman"/>
          <w:i/>
          <w:sz w:val="24"/>
          <w:szCs w:val="24"/>
        </w:rPr>
      </w:pPr>
      <w:r w:rsidRPr="009B24E9">
        <w:rPr>
          <w:rFonts w:ascii="Times New Roman" w:hAnsi="Times New Roman" w:cs="Times New Roman"/>
          <w:i/>
          <w:sz w:val="24"/>
          <w:szCs w:val="24"/>
        </w:rPr>
        <w:lastRenderedPageBreak/>
        <w:t>AccessAbility Day</w:t>
      </w:r>
    </w:p>
    <w:p w14:paraId="35D80C5E" w14:textId="77777777" w:rsidR="00EA12D8" w:rsidRPr="000751B8" w:rsidRDefault="00EA12D8" w:rsidP="00013125">
      <w:pPr>
        <w:keepNext/>
        <w:keepLines/>
        <w:spacing w:after="0" w:line="240" w:lineRule="auto"/>
        <w:rPr>
          <w:rFonts w:ascii="Times New Roman" w:hAnsi="Times New Roman" w:cs="Times New Roman"/>
          <w:sz w:val="24"/>
          <w:szCs w:val="24"/>
          <w:u w:val="single"/>
        </w:rPr>
      </w:pPr>
    </w:p>
    <w:p w14:paraId="3C5F3E6D" w14:textId="77777777" w:rsidR="009922C7" w:rsidRDefault="009922C7" w:rsidP="00013125">
      <w:pPr>
        <w:keepNext/>
        <w:keepLines/>
        <w:spacing w:after="0" w:line="240" w:lineRule="auto"/>
        <w:rPr>
          <w:rFonts w:ascii="Times New Roman" w:hAnsi="Times New Roman" w:cs="Times New Roman"/>
          <w:sz w:val="24"/>
          <w:szCs w:val="24"/>
          <w:lang w:eastAsia="en-AU"/>
        </w:rPr>
      </w:pPr>
      <w:r w:rsidRPr="000751B8">
        <w:rPr>
          <w:rFonts w:ascii="Times New Roman" w:hAnsi="Times New Roman" w:cs="Times New Roman"/>
          <w:sz w:val="24"/>
          <w:szCs w:val="24"/>
        </w:rPr>
        <w:t>AccessAbility Day</w:t>
      </w:r>
      <w:r w:rsidRPr="000D678C">
        <w:rPr>
          <w:rStyle w:val="FootnoteReference"/>
          <w:rFonts w:ascii="Times New Roman" w:hAnsi="Times New Roman" w:cs="Times New Roman"/>
          <w:sz w:val="24"/>
          <w:szCs w:val="24"/>
        </w:rPr>
        <w:footnoteReference w:id="14"/>
      </w:r>
      <w:r w:rsidRPr="000751B8">
        <w:rPr>
          <w:rFonts w:ascii="Times New Roman" w:hAnsi="Times New Roman" w:cs="Times New Roman"/>
          <w:sz w:val="24"/>
          <w:szCs w:val="24"/>
        </w:rPr>
        <w:t xml:space="preserve"> </w:t>
      </w:r>
      <w:r>
        <w:rPr>
          <w:rFonts w:ascii="Times New Roman" w:hAnsi="Times New Roman" w:cs="Times New Roman"/>
          <w:sz w:val="24"/>
          <w:szCs w:val="24"/>
        </w:rPr>
        <w:t xml:space="preserve">is </w:t>
      </w:r>
      <w:r w:rsidRPr="000751B8">
        <w:rPr>
          <w:rFonts w:ascii="Times New Roman" w:hAnsi="Times New Roman" w:cs="Times New Roman"/>
          <w:sz w:val="24"/>
          <w:szCs w:val="24"/>
        </w:rPr>
        <w:t xml:space="preserve">an </w:t>
      </w:r>
      <w:r w:rsidRPr="000751B8">
        <w:rPr>
          <w:rFonts w:ascii="Times New Roman" w:hAnsi="Times New Roman" w:cs="Times New Roman"/>
          <w:sz w:val="24"/>
          <w:szCs w:val="24"/>
          <w:shd w:val="clear" w:color="auto" w:fill="FFFFFF"/>
        </w:rPr>
        <w:t>Australian Government initiative</w:t>
      </w:r>
      <w:r>
        <w:rPr>
          <w:rFonts w:ascii="Times New Roman" w:hAnsi="Times New Roman" w:cs="Times New Roman"/>
          <w:sz w:val="24"/>
          <w:szCs w:val="24"/>
          <w:shd w:val="clear" w:color="auto" w:fill="FFFFFF"/>
        </w:rPr>
        <w:t xml:space="preserve">, piloted across eight sites in 2017 and rolled out nationally in 2018, </w:t>
      </w:r>
      <w:r w:rsidRPr="000751B8">
        <w:rPr>
          <w:rFonts w:ascii="Times New Roman" w:hAnsi="Times New Roman" w:cs="Times New Roman"/>
          <w:sz w:val="24"/>
          <w:szCs w:val="24"/>
          <w:shd w:val="clear" w:color="auto" w:fill="FFFFFF"/>
        </w:rPr>
        <w:t>that allows employers to connect with jobseekers with disability (participants) to see their potential in the workplace. Employers can explore the concept of employing a jobseeker with disability, while also providing an opportunity for participants to gain an insight into a particular job or type of work.</w:t>
      </w:r>
      <w:r w:rsidRPr="000751B8">
        <w:rPr>
          <w:rFonts w:ascii="Times New Roman" w:hAnsi="Times New Roman" w:cs="Times New Roman"/>
          <w:sz w:val="24"/>
          <w:szCs w:val="24"/>
        </w:rPr>
        <w:t xml:space="preserve"> It is also a great opportunity for jobseekers with disability to experience a workplace or role that aligns with their career interests. In 2018, more than 1,000 Australian organisations participated in the day and more than 1,400 people with disability registered to experience a new workplace to gain insight into a job that aligned with their career interests</w:t>
      </w:r>
      <w:r w:rsidR="001011B3">
        <w:rPr>
          <w:rFonts w:ascii="Times New Roman" w:hAnsi="Times New Roman" w:cs="Times New Roman"/>
          <w:sz w:val="24"/>
          <w:szCs w:val="24"/>
          <w:lang w:eastAsia="en-AU"/>
        </w:rPr>
        <w:t>.</w:t>
      </w:r>
    </w:p>
    <w:p w14:paraId="2CEAB1FE" w14:textId="77777777" w:rsidR="006B0AE0" w:rsidRDefault="006B0AE0" w:rsidP="009922C7">
      <w:pPr>
        <w:spacing w:after="0" w:line="240" w:lineRule="auto"/>
        <w:rPr>
          <w:rFonts w:ascii="Times New Roman" w:hAnsi="Times New Roman" w:cs="Times New Roman"/>
          <w:sz w:val="24"/>
          <w:szCs w:val="24"/>
          <w:lang w:eastAsia="en-AU"/>
        </w:rPr>
      </w:pPr>
    </w:p>
    <w:p w14:paraId="42BB214F" w14:textId="77777777" w:rsidR="006B0AE0" w:rsidRDefault="006B0AE0" w:rsidP="009922C7">
      <w:pPr>
        <w:spacing w:after="0" w:line="240" w:lineRule="auto"/>
        <w:rPr>
          <w:rFonts w:ascii="Times New Roman" w:hAnsi="Times New Roman" w:cs="Times New Roman"/>
          <w:sz w:val="24"/>
          <w:szCs w:val="24"/>
          <w:lang w:eastAsia="en-AU"/>
        </w:rPr>
      </w:pPr>
      <w:r>
        <w:rPr>
          <w:rFonts w:ascii="Times New Roman" w:hAnsi="Times New Roman" w:cs="Times New Roman"/>
          <w:sz w:val="24"/>
          <w:szCs w:val="24"/>
          <w:lang w:eastAsia="en-AU"/>
        </w:rPr>
        <w:t xml:space="preserve">AccessAbility Day was developed in conjunction with the </w:t>
      </w:r>
      <w:r w:rsidR="00E66819">
        <w:rPr>
          <w:rFonts w:ascii="Times New Roman" w:hAnsi="Times New Roman" w:cs="Times New Roman"/>
          <w:sz w:val="24"/>
          <w:szCs w:val="24"/>
        </w:rPr>
        <w:t>ERWG</w:t>
      </w:r>
      <w:r>
        <w:rPr>
          <w:rFonts w:ascii="Times New Roman" w:hAnsi="Times New Roman" w:cs="Times New Roman"/>
          <w:sz w:val="24"/>
          <w:szCs w:val="24"/>
        </w:rPr>
        <w:t>, which includes representatives from the disability sector.</w:t>
      </w:r>
    </w:p>
    <w:p w14:paraId="1FF9AAD8" w14:textId="77777777" w:rsidR="001011B3" w:rsidRDefault="001011B3" w:rsidP="009922C7">
      <w:pPr>
        <w:spacing w:after="0" w:line="240" w:lineRule="auto"/>
        <w:rPr>
          <w:rFonts w:ascii="Times New Roman" w:hAnsi="Times New Roman" w:cs="Times New Roman"/>
          <w:sz w:val="24"/>
          <w:szCs w:val="24"/>
          <w:lang w:eastAsia="en-AU"/>
        </w:rPr>
      </w:pPr>
    </w:p>
    <w:p w14:paraId="481BDD76" w14:textId="77777777" w:rsidR="009922C7" w:rsidRPr="009B24E9" w:rsidRDefault="009922C7" w:rsidP="00383C0B">
      <w:pPr>
        <w:spacing w:after="0" w:line="240" w:lineRule="auto"/>
        <w:rPr>
          <w:rStyle w:val="Hyperlink"/>
          <w:rFonts w:ascii="Times New Roman" w:hAnsi="Times New Roman" w:cs="Times New Roman"/>
          <w:i/>
          <w:sz w:val="24"/>
          <w:szCs w:val="24"/>
          <w:u w:val="none"/>
        </w:rPr>
      </w:pPr>
      <w:r w:rsidRPr="009B24E9">
        <w:rPr>
          <w:rFonts w:ascii="Times New Roman" w:hAnsi="Times New Roman" w:cs="Times New Roman"/>
          <w:i/>
          <w:sz w:val="24"/>
          <w:szCs w:val="24"/>
        </w:rPr>
        <w:t>Small to Medium Size Enterprises (SME) Research Report: Making it Easier for Small Business to employ people with disability</w:t>
      </w:r>
    </w:p>
    <w:p w14:paraId="700BCC29" w14:textId="77777777" w:rsidR="00EA12D8" w:rsidRPr="009922C7" w:rsidRDefault="00EA12D8" w:rsidP="00383C0B">
      <w:pPr>
        <w:spacing w:after="0" w:line="240" w:lineRule="auto"/>
        <w:rPr>
          <w:rFonts w:ascii="Times New Roman" w:hAnsi="Times New Roman" w:cs="Times New Roman"/>
          <w:sz w:val="24"/>
          <w:szCs w:val="24"/>
          <w:u w:val="single"/>
        </w:rPr>
      </w:pPr>
    </w:p>
    <w:p w14:paraId="0FA42800" w14:textId="77777777" w:rsidR="009922C7" w:rsidRDefault="009922C7" w:rsidP="00383C0B">
      <w:pPr>
        <w:spacing w:after="0" w:line="240" w:lineRule="auto"/>
        <w:rPr>
          <w:rFonts w:ascii="Times New Roman" w:hAnsi="Times New Roman" w:cs="Times New Roman"/>
          <w:sz w:val="24"/>
          <w:szCs w:val="24"/>
        </w:rPr>
      </w:pPr>
      <w:r w:rsidRPr="009922C7">
        <w:rPr>
          <w:rFonts w:ascii="Times New Roman" w:hAnsi="Times New Roman" w:cs="Times New Roman"/>
          <w:sz w:val="24"/>
          <w:szCs w:val="24"/>
        </w:rPr>
        <w:t xml:space="preserve">The </w:t>
      </w:r>
      <w:r w:rsidR="0077140B">
        <w:rPr>
          <w:rFonts w:ascii="Times New Roman" w:hAnsi="Times New Roman" w:cs="Times New Roman"/>
          <w:sz w:val="24"/>
          <w:szCs w:val="24"/>
        </w:rPr>
        <w:t>ERWG</w:t>
      </w:r>
      <w:r w:rsidRPr="009922C7">
        <w:rPr>
          <w:rFonts w:ascii="Times New Roman" w:hAnsi="Times New Roman" w:cs="Times New Roman"/>
          <w:sz w:val="24"/>
          <w:szCs w:val="24"/>
        </w:rPr>
        <w:t xml:space="preserve"> commissioned this research report to identify and understand SME pain points, regulatory impediments and perceptions of impediments that may be barriers to employing and retaining people with disability. The research project was endorsed by NDCAC and paid for by the </w:t>
      </w:r>
      <w:r w:rsidR="005E5D41">
        <w:rPr>
          <w:rFonts w:ascii="Times New Roman" w:hAnsi="Times New Roman" w:cs="Times New Roman"/>
          <w:sz w:val="24"/>
          <w:szCs w:val="24"/>
        </w:rPr>
        <w:t>Australian Government</w:t>
      </w:r>
      <w:r w:rsidRPr="009922C7">
        <w:rPr>
          <w:rFonts w:ascii="Times New Roman" w:hAnsi="Times New Roman" w:cs="Times New Roman"/>
          <w:sz w:val="24"/>
          <w:szCs w:val="24"/>
        </w:rPr>
        <w:t>.</w:t>
      </w:r>
    </w:p>
    <w:p w14:paraId="279F3914" w14:textId="77777777" w:rsidR="009922C7" w:rsidRDefault="009922C7" w:rsidP="00383C0B">
      <w:pPr>
        <w:spacing w:after="0" w:line="240" w:lineRule="auto"/>
        <w:rPr>
          <w:rFonts w:ascii="Times New Roman" w:hAnsi="Times New Roman" w:cs="Times New Roman"/>
          <w:sz w:val="24"/>
          <w:szCs w:val="24"/>
        </w:rPr>
      </w:pPr>
    </w:p>
    <w:p w14:paraId="225D8D22" w14:textId="77777777" w:rsidR="00AC564F" w:rsidRPr="00AC564F" w:rsidRDefault="00AC564F" w:rsidP="00AC564F">
      <w:pPr>
        <w:spacing w:after="0" w:line="240" w:lineRule="auto"/>
        <w:rPr>
          <w:rFonts w:ascii="Times New Roman" w:hAnsi="Times New Roman" w:cs="Times New Roman"/>
          <w:sz w:val="24"/>
          <w:szCs w:val="24"/>
        </w:rPr>
      </w:pPr>
      <w:r w:rsidRPr="00AC564F">
        <w:rPr>
          <w:rFonts w:ascii="Times New Roman" w:hAnsi="Times New Roman" w:cs="Times New Roman"/>
          <w:sz w:val="24"/>
          <w:szCs w:val="24"/>
        </w:rPr>
        <w:t>The research report provides outcomes from a sample of 519 small business owners and managers across Australia; a credible sample size to validate the concerns and issues facing SMEs in relation to employing people with disabil</w:t>
      </w:r>
      <w:r w:rsidR="005E5D41">
        <w:rPr>
          <w:rFonts w:ascii="Times New Roman" w:hAnsi="Times New Roman" w:cs="Times New Roman"/>
          <w:sz w:val="24"/>
          <w:szCs w:val="24"/>
        </w:rPr>
        <w:t xml:space="preserve">ity. </w:t>
      </w:r>
      <w:r w:rsidRPr="00AC564F">
        <w:rPr>
          <w:rFonts w:ascii="Times New Roman" w:hAnsi="Times New Roman" w:cs="Times New Roman"/>
          <w:sz w:val="24"/>
          <w:szCs w:val="24"/>
        </w:rPr>
        <w:t>The Research findings confirmed some known barriers and also identified some new issues that haven’t previously been considered. Findings include:</w:t>
      </w:r>
    </w:p>
    <w:p w14:paraId="79FC1529" w14:textId="77777777" w:rsidR="004464FB" w:rsidRDefault="00AC564F" w:rsidP="004464FB">
      <w:pPr>
        <w:pStyle w:val="ListParagraph"/>
        <w:numPr>
          <w:ilvl w:val="0"/>
          <w:numId w:val="11"/>
        </w:numPr>
        <w:spacing w:before="120" w:after="0" w:line="240" w:lineRule="auto"/>
        <w:ind w:left="1077" w:hanging="357"/>
        <w:contextualSpacing w:val="0"/>
        <w:rPr>
          <w:rFonts w:ascii="Times New Roman" w:hAnsi="Times New Roman" w:cs="Times New Roman"/>
          <w:sz w:val="24"/>
          <w:szCs w:val="24"/>
        </w:rPr>
      </w:pPr>
      <w:r w:rsidRPr="008178E0">
        <w:rPr>
          <w:rFonts w:ascii="Times New Roman" w:hAnsi="Times New Roman" w:cs="Times New Roman"/>
          <w:sz w:val="24"/>
          <w:szCs w:val="24"/>
        </w:rPr>
        <w:t xml:space="preserve">half of those surveyed were open to employing a person with a disability in the future and </w:t>
      </w:r>
      <w:r>
        <w:rPr>
          <w:rFonts w:ascii="Times New Roman" w:hAnsi="Times New Roman" w:cs="Times New Roman"/>
          <w:sz w:val="24"/>
          <w:szCs w:val="24"/>
        </w:rPr>
        <w:t>one </w:t>
      </w:r>
      <w:r w:rsidRPr="008178E0">
        <w:rPr>
          <w:rFonts w:ascii="Times New Roman" w:hAnsi="Times New Roman" w:cs="Times New Roman"/>
          <w:sz w:val="24"/>
          <w:szCs w:val="24"/>
        </w:rPr>
        <w:t>in</w:t>
      </w:r>
      <w:r>
        <w:rPr>
          <w:rFonts w:ascii="Times New Roman" w:hAnsi="Times New Roman" w:cs="Times New Roman"/>
          <w:sz w:val="24"/>
          <w:szCs w:val="24"/>
        </w:rPr>
        <w:t> four</w:t>
      </w:r>
      <w:r w:rsidRPr="008178E0">
        <w:rPr>
          <w:rFonts w:ascii="Times New Roman" w:hAnsi="Times New Roman" w:cs="Times New Roman"/>
          <w:sz w:val="24"/>
          <w:szCs w:val="24"/>
        </w:rPr>
        <w:t xml:space="preserve"> were ‘very likely’ to employ a perso</w:t>
      </w:r>
      <w:r w:rsidR="005E5D41">
        <w:rPr>
          <w:rFonts w:ascii="Times New Roman" w:hAnsi="Times New Roman" w:cs="Times New Roman"/>
          <w:sz w:val="24"/>
          <w:szCs w:val="24"/>
        </w:rPr>
        <w:t>n with disability in the future</w:t>
      </w:r>
    </w:p>
    <w:p w14:paraId="56C4AE7E" w14:textId="77777777" w:rsidR="004464FB" w:rsidRDefault="00AC564F" w:rsidP="004464FB">
      <w:pPr>
        <w:pStyle w:val="ListParagraph"/>
        <w:numPr>
          <w:ilvl w:val="0"/>
          <w:numId w:val="11"/>
        </w:numPr>
        <w:spacing w:after="0" w:line="240" w:lineRule="auto"/>
        <w:rPr>
          <w:rFonts w:ascii="Times New Roman" w:hAnsi="Times New Roman" w:cs="Times New Roman"/>
          <w:sz w:val="24"/>
          <w:szCs w:val="24"/>
        </w:rPr>
      </w:pPr>
      <w:r w:rsidRPr="004464FB">
        <w:rPr>
          <w:rFonts w:ascii="Times New Roman" w:hAnsi="Times New Roman" w:cs="Times New Roman"/>
          <w:sz w:val="24"/>
          <w:szCs w:val="24"/>
        </w:rPr>
        <w:t>‘lack of applications’ was given as the main reason for not having employed a person with a disability noting the normal channels used by small business to fill vacancies was word of mouth, social media and on</w:t>
      </w:r>
      <w:r w:rsidR="005E5D41" w:rsidRPr="004464FB">
        <w:rPr>
          <w:rFonts w:ascii="Times New Roman" w:hAnsi="Times New Roman" w:cs="Times New Roman"/>
          <w:sz w:val="24"/>
          <w:szCs w:val="24"/>
        </w:rPr>
        <w:t>line platforms such as seek.com</w:t>
      </w:r>
    </w:p>
    <w:p w14:paraId="5267077E" w14:textId="77777777" w:rsidR="00AC564F" w:rsidRPr="004464FB" w:rsidRDefault="00AC564F" w:rsidP="004464FB">
      <w:pPr>
        <w:pStyle w:val="ListParagraph"/>
        <w:numPr>
          <w:ilvl w:val="0"/>
          <w:numId w:val="11"/>
        </w:numPr>
        <w:spacing w:after="0" w:line="240" w:lineRule="auto"/>
        <w:rPr>
          <w:rFonts w:ascii="Times New Roman" w:hAnsi="Times New Roman" w:cs="Times New Roman"/>
          <w:sz w:val="24"/>
          <w:szCs w:val="24"/>
        </w:rPr>
      </w:pPr>
      <w:r w:rsidRPr="004464FB">
        <w:rPr>
          <w:rFonts w:ascii="Times New Roman" w:hAnsi="Times New Roman" w:cs="Times New Roman"/>
          <w:sz w:val="24"/>
          <w:szCs w:val="24"/>
        </w:rPr>
        <w:t xml:space="preserve">barriers identified by businesses in converting their positive attitude to employing people with disability into action are: </w:t>
      </w:r>
    </w:p>
    <w:p w14:paraId="55973FF1" w14:textId="77777777" w:rsidR="00AC564F" w:rsidRPr="008178E0" w:rsidRDefault="00AC564F" w:rsidP="00AC564F">
      <w:pPr>
        <w:pStyle w:val="ListParagraph"/>
        <w:numPr>
          <w:ilvl w:val="0"/>
          <w:numId w:val="12"/>
        </w:numPr>
        <w:spacing w:before="120" w:after="0" w:line="240" w:lineRule="auto"/>
        <w:ind w:left="1491" w:hanging="357"/>
        <w:contextualSpacing w:val="0"/>
        <w:rPr>
          <w:rFonts w:ascii="Times New Roman" w:hAnsi="Times New Roman" w:cs="Times New Roman"/>
          <w:sz w:val="24"/>
          <w:szCs w:val="24"/>
        </w:rPr>
      </w:pPr>
      <w:r w:rsidRPr="008178E0">
        <w:rPr>
          <w:rFonts w:ascii="Times New Roman" w:hAnsi="Times New Roman" w:cs="Times New Roman"/>
          <w:sz w:val="24"/>
          <w:szCs w:val="24"/>
        </w:rPr>
        <w:t>a lack of easily accessible information and advice about how to go about recruiting a person with disability;</w:t>
      </w:r>
    </w:p>
    <w:p w14:paraId="267CF238" w14:textId="77777777" w:rsidR="00AC564F" w:rsidRPr="008178E0" w:rsidRDefault="00AC564F" w:rsidP="00AC564F">
      <w:pPr>
        <w:pStyle w:val="ListParagraph"/>
        <w:numPr>
          <w:ilvl w:val="0"/>
          <w:numId w:val="12"/>
        </w:numPr>
        <w:spacing w:after="0" w:line="240" w:lineRule="auto"/>
        <w:rPr>
          <w:rFonts w:ascii="Times New Roman" w:hAnsi="Times New Roman" w:cs="Times New Roman"/>
          <w:sz w:val="24"/>
          <w:szCs w:val="24"/>
        </w:rPr>
      </w:pPr>
      <w:r w:rsidRPr="008178E0">
        <w:rPr>
          <w:rFonts w:ascii="Times New Roman" w:hAnsi="Times New Roman" w:cs="Times New Roman"/>
          <w:sz w:val="24"/>
          <w:szCs w:val="24"/>
        </w:rPr>
        <w:t>limited understanding of different disability types, potential work restrictions and supports available;</w:t>
      </w:r>
    </w:p>
    <w:p w14:paraId="226516E0" w14:textId="77777777" w:rsidR="00AC564F" w:rsidRPr="008178E0" w:rsidRDefault="00AC564F" w:rsidP="00AC564F">
      <w:pPr>
        <w:pStyle w:val="ListParagraph"/>
        <w:numPr>
          <w:ilvl w:val="0"/>
          <w:numId w:val="12"/>
        </w:numPr>
        <w:spacing w:after="0" w:line="240" w:lineRule="auto"/>
        <w:rPr>
          <w:rFonts w:ascii="Times New Roman" w:hAnsi="Times New Roman" w:cs="Times New Roman"/>
          <w:sz w:val="24"/>
          <w:szCs w:val="24"/>
        </w:rPr>
      </w:pPr>
      <w:r w:rsidRPr="008178E0">
        <w:rPr>
          <w:rFonts w:ascii="Times New Roman" w:hAnsi="Times New Roman" w:cs="Times New Roman"/>
          <w:sz w:val="24"/>
          <w:szCs w:val="24"/>
        </w:rPr>
        <w:t>concerns over potential legal and ethical risks to the employer, particularly if the arrangement didn’t work out;</w:t>
      </w:r>
    </w:p>
    <w:p w14:paraId="1B2B629F" w14:textId="77777777" w:rsidR="00AC564F" w:rsidRDefault="00AC564F" w:rsidP="0068575E">
      <w:pPr>
        <w:pStyle w:val="ListParagraph"/>
        <w:numPr>
          <w:ilvl w:val="0"/>
          <w:numId w:val="12"/>
        </w:numPr>
        <w:spacing w:after="0" w:line="240" w:lineRule="auto"/>
        <w:rPr>
          <w:rFonts w:ascii="Times New Roman" w:hAnsi="Times New Roman" w:cs="Times New Roman"/>
          <w:sz w:val="24"/>
          <w:szCs w:val="24"/>
        </w:rPr>
      </w:pPr>
      <w:r w:rsidRPr="00AC564F">
        <w:rPr>
          <w:rFonts w:ascii="Times New Roman" w:hAnsi="Times New Roman" w:cs="Times New Roman"/>
          <w:sz w:val="24"/>
          <w:szCs w:val="24"/>
        </w:rPr>
        <w:t>concerns over the cost and time of workplace adjustments that might be needed (including time to apply for and administer any additional funding</w:t>
      </w:r>
      <w:r w:rsidR="0070222A">
        <w:rPr>
          <w:rFonts w:ascii="Times New Roman" w:hAnsi="Times New Roman" w:cs="Times New Roman"/>
          <w:sz w:val="24"/>
          <w:szCs w:val="24"/>
        </w:rPr>
        <w:t xml:space="preserve"> sources that may be available),</w:t>
      </w:r>
      <w:r w:rsidRPr="00AC564F">
        <w:rPr>
          <w:rFonts w:ascii="Times New Roman" w:hAnsi="Times New Roman" w:cs="Times New Roman"/>
          <w:sz w:val="24"/>
          <w:szCs w:val="24"/>
        </w:rPr>
        <w:t xml:space="preserve"> and</w:t>
      </w:r>
    </w:p>
    <w:p w14:paraId="6A734008" w14:textId="77777777" w:rsidR="009922C7" w:rsidRPr="00AC564F" w:rsidRDefault="00AC564F" w:rsidP="0068575E">
      <w:pPr>
        <w:pStyle w:val="ListParagraph"/>
        <w:numPr>
          <w:ilvl w:val="0"/>
          <w:numId w:val="12"/>
        </w:numPr>
        <w:spacing w:after="0" w:line="240" w:lineRule="auto"/>
        <w:rPr>
          <w:rFonts w:ascii="Times New Roman" w:hAnsi="Times New Roman" w:cs="Times New Roman"/>
          <w:sz w:val="24"/>
          <w:szCs w:val="24"/>
        </w:rPr>
      </w:pPr>
      <w:r w:rsidRPr="00AC564F">
        <w:rPr>
          <w:rFonts w:ascii="Times New Roman" w:hAnsi="Times New Roman" w:cs="Times New Roman"/>
          <w:sz w:val="24"/>
          <w:szCs w:val="24"/>
        </w:rPr>
        <w:t>the negative connotations of the word ‘disability’, noting terms like ‘diversity’ or ‘inclusion’ are much more appealing.</w:t>
      </w:r>
    </w:p>
    <w:p w14:paraId="626C5DAD" w14:textId="77777777" w:rsidR="00696E5D" w:rsidRDefault="00696E5D" w:rsidP="00383C0B">
      <w:pPr>
        <w:spacing w:after="0" w:line="240" w:lineRule="auto"/>
        <w:rPr>
          <w:rFonts w:ascii="Times New Roman" w:hAnsi="Times New Roman" w:cs="Times New Roman"/>
          <w:sz w:val="24"/>
          <w:szCs w:val="24"/>
        </w:rPr>
      </w:pPr>
    </w:p>
    <w:p w14:paraId="7252AFD4" w14:textId="77777777" w:rsidR="009922C7" w:rsidRDefault="00696E5D" w:rsidP="00383C0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Research was published </w:t>
      </w:r>
      <w:r w:rsidR="0077140B">
        <w:rPr>
          <w:rFonts w:ascii="Times New Roman" w:hAnsi="Times New Roman" w:cs="Times New Roman"/>
          <w:sz w:val="24"/>
          <w:szCs w:val="24"/>
        </w:rPr>
        <w:t xml:space="preserve">by the Australian Government </w:t>
      </w:r>
      <w:r w:rsidR="00EA12D8">
        <w:rPr>
          <w:rFonts w:ascii="Times New Roman" w:hAnsi="Times New Roman" w:cs="Times New Roman"/>
          <w:sz w:val="24"/>
          <w:szCs w:val="24"/>
        </w:rPr>
        <w:t>in December </w:t>
      </w:r>
      <w:r>
        <w:rPr>
          <w:rFonts w:ascii="Times New Roman" w:hAnsi="Times New Roman" w:cs="Times New Roman"/>
          <w:sz w:val="24"/>
          <w:szCs w:val="24"/>
        </w:rPr>
        <w:t>2018</w:t>
      </w:r>
      <w:r w:rsidR="006B7E4C">
        <w:rPr>
          <w:rFonts w:ascii="Times New Roman" w:hAnsi="Times New Roman" w:cs="Times New Roman"/>
          <w:sz w:val="24"/>
          <w:szCs w:val="24"/>
        </w:rPr>
        <w:t xml:space="preserve">. </w:t>
      </w:r>
      <w:r w:rsidR="00737AFA">
        <w:rPr>
          <w:rStyle w:val="FootnoteReference"/>
          <w:rFonts w:ascii="Times New Roman" w:hAnsi="Times New Roman" w:cs="Times New Roman"/>
          <w:sz w:val="24"/>
          <w:szCs w:val="24"/>
        </w:rPr>
        <w:footnoteReference w:id="15"/>
      </w:r>
    </w:p>
    <w:p w14:paraId="69304D20" w14:textId="77777777" w:rsidR="00696E5D" w:rsidRDefault="00696E5D" w:rsidP="00383C0B">
      <w:pPr>
        <w:spacing w:after="0" w:line="240" w:lineRule="auto"/>
        <w:rPr>
          <w:rFonts w:ascii="Times New Roman" w:hAnsi="Times New Roman" w:cs="Times New Roman"/>
          <w:sz w:val="24"/>
          <w:szCs w:val="24"/>
        </w:rPr>
      </w:pPr>
    </w:p>
    <w:p w14:paraId="7D0BC13A" w14:textId="77777777" w:rsidR="00C76AA3" w:rsidRPr="00DE6A49" w:rsidRDefault="00DE6A49" w:rsidP="00383C0B">
      <w:pPr>
        <w:spacing w:after="0" w:line="240" w:lineRule="auto"/>
        <w:rPr>
          <w:rFonts w:ascii="Times New Roman" w:hAnsi="Times New Roman" w:cs="Times New Roman"/>
          <w:sz w:val="24"/>
          <w:szCs w:val="24"/>
          <w:u w:val="single"/>
        </w:rPr>
      </w:pPr>
      <w:r w:rsidRPr="00DE6A49">
        <w:rPr>
          <w:rFonts w:ascii="Times New Roman" w:hAnsi="Times New Roman" w:cs="Times New Roman"/>
          <w:sz w:val="24"/>
          <w:szCs w:val="24"/>
          <w:u w:val="single"/>
        </w:rPr>
        <w:t>Surveys and data collection</w:t>
      </w:r>
    </w:p>
    <w:p w14:paraId="4700D0E5" w14:textId="77777777" w:rsidR="00C76AA3" w:rsidRDefault="00C76AA3" w:rsidP="00383C0B">
      <w:pPr>
        <w:spacing w:after="0" w:line="240" w:lineRule="auto"/>
        <w:rPr>
          <w:rFonts w:ascii="Times New Roman" w:hAnsi="Times New Roman" w:cs="Times New Roman"/>
          <w:sz w:val="24"/>
          <w:szCs w:val="24"/>
        </w:rPr>
      </w:pPr>
    </w:p>
    <w:p w14:paraId="055AC0BB" w14:textId="77777777" w:rsidR="00C76AA3" w:rsidRDefault="00C76AA3" w:rsidP="00C76AA3">
      <w:pPr>
        <w:spacing w:after="0" w:line="240" w:lineRule="auto"/>
        <w:rPr>
          <w:rFonts w:ascii="Times New Roman" w:hAnsi="Times New Roman" w:cs="Times New Roman"/>
          <w:sz w:val="24"/>
          <w:szCs w:val="24"/>
        </w:rPr>
      </w:pPr>
      <w:r w:rsidRPr="00C76AA3">
        <w:rPr>
          <w:rFonts w:ascii="Times New Roman" w:hAnsi="Times New Roman" w:cs="Times New Roman"/>
          <w:sz w:val="24"/>
          <w:szCs w:val="24"/>
        </w:rPr>
        <w:t xml:space="preserve">The main data collection to inform on the status of people with disabilities in Australia is the Survey of Disability, Ageing and Carers (SDAC) which is currently conducted every three years by the Australian Bureau of Statistics (ABS). </w:t>
      </w:r>
    </w:p>
    <w:p w14:paraId="05A069C1" w14:textId="77777777" w:rsidR="00DE6A49" w:rsidRPr="00C76AA3" w:rsidRDefault="00DE6A49" w:rsidP="00C76AA3">
      <w:pPr>
        <w:spacing w:after="0" w:line="240" w:lineRule="auto"/>
        <w:rPr>
          <w:rFonts w:ascii="Times New Roman" w:hAnsi="Times New Roman" w:cs="Times New Roman"/>
          <w:sz w:val="24"/>
          <w:szCs w:val="24"/>
        </w:rPr>
      </w:pPr>
    </w:p>
    <w:p w14:paraId="7605BDD8" w14:textId="77777777" w:rsidR="00C76AA3" w:rsidRDefault="00C76AA3" w:rsidP="00C76AA3">
      <w:pPr>
        <w:spacing w:after="0" w:line="240" w:lineRule="auto"/>
        <w:rPr>
          <w:rFonts w:ascii="Times New Roman" w:hAnsi="Times New Roman" w:cs="Times New Roman"/>
          <w:sz w:val="24"/>
          <w:szCs w:val="24"/>
        </w:rPr>
      </w:pPr>
      <w:r w:rsidRPr="00C76AA3">
        <w:rPr>
          <w:rFonts w:ascii="Times New Roman" w:hAnsi="Times New Roman" w:cs="Times New Roman"/>
          <w:sz w:val="24"/>
          <w:szCs w:val="24"/>
        </w:rPr>
        <w:t xml:space="preserve">The SDAC is the authoritative source of estimates on the number and characteristics of people with disability and carers in Australia. It is a primary data source for reporting under the Australian Government’s National Disability Agreement (NDA) and the </w:t>
      </w:r>
      <w:r w:rsidR="00A6225A">
        <w:rPr>
          <w:rFonts w:ascii="Times New Roman" w:hAnsi="Times New Roman" w:cs="Times New Roman"/>
          <w:sz w:val="24"/>
          <w:szCs w:val="24"/>
        </w:rPr>
        <w:t>Strategy</w:t>
      </w:r>
      <w:r w:rsidRPr="00C76AA3">
        <w:rPr>
          <w:rFonts w:ascii="Times New Roman" w:hAnsi="Times New Roman" w:cs="Times New Roman"/>
          <w:sz w:val="24"/>
          <w:szCs w:val="24"/>
        </w:rPr>
        <w:t>. The SDAC measures the prevalence of disability in Australia and provides a demographic and socio-economic profile of people with disability, older people and carers compared with the general population. The data gathered by the SDAC has been used to create a number of publications to inform on the status of disability, ageing and carers in Australia.</w:t>
      </w:r>
    </w:p>
    <w:p w14:paraId="5550F22A" w14:textId="77777777" w:rsidR="00C76AA3" w:rsidRPr="00C76AA3" w:rsidRDefault="00C76AA3" w:rsidP="00C76AA3">
      <w:pPr>
        <w:spacing w:after="0" w:line="240" w:lineRule="auto"/>
        <w:rPr>
          <w:rFonts w:ascii="Times New Roman" w:hAnsi="Times New Roman" w:cs="Times New Roman"/>
          <w:sz w:val="24"/>
          <w:szCs w:val="24"/>
        </w:rPr>
      </w:pPr>
    </w:p>
    <w:p w14:paraId="1D672846" w14:textId="77777777" w:rsidR="00C76AA3" w:rsidRDefault="00C76AA3" w:rsidP="00383C0B">
      <w:pPr>
        <w:spacing w:after="0" w:line="240" w:lineRule="auto"/>
        <w:rPr>
          <w:rFonts w:ascii="Times New Roman" w:hAnsi="Times New Roman" w:cs="Times New Roman"/>
          <w:sz w:val="24"/>
          <w:szCs w:val="24"/>
        </w:rPr>
      </w:pPr>
      <w:r w:rsidRPr="00C76AA3">
        <w:rPr>
          <w:rFonts w:ascii="Times New Roman" w:hAnsi="Times New Roman" w:cs="Times New Roman"/>
          <w:sz w:val="24"/>
          <w:szCs w:val="24"/>
        </w:rPr>
        <w:t xml:space="preserve">Another source of data on people with disability in Australia is the Census, which is conducted by the ABS every five years. The scope of disability data available in the Census is less than that of the SDAC, however, the Census provides useful information about people who need help with core activities and informal carers across small geographic areas and for small population groups such as Indigenous people and people born overseas, as well as other population groups not covered by the SDAC (for example, people living in very remote areas). </w:t>
      </w:r>
    </w:p>
    <w:p w14:paraId="1980D84E" w14:textId="77777777" w:rsidR="00472247" w:rsidRDefault="00472247" w:rsidP="00383C0B">
      <w:pPr>
        <w:spacing w:after="0" w:line="240" w:lineRule="auto"/>
        <w:rPr>
          <w:rFonts w:ascii="Times New Roman" w:hAnsi="Times New Roman" w:cs="Times New Roman"/>
          <w:sz w:val="24"/>
          <w:szCs w:val="24"/>
        </w:rPr>
      </w:pPr>
    </w:p>
    <w:p w14:paraId="7EF6D7C3" w14:textId="77777777" w:rsidR="00472247" w:rsidRPr="00752868" w:rsidRDefault="00752868" w:rsidP="00472247">
      <w:r>
        <w:rPr>
          <w:rFonts w:ascii="Times New Roman" w:hAnsi="Times New Roman" w:cs="Times New Roman"/>
          <w:sz w:val="24"/>
          <w:szCs w:val="24"/>
        </w:rPr>
        <w:t xml:space="preserve">There are also initiatives </w:t>
      </w:r>
      <w:r w:rsidR="00C62600">
        <w:rPr>
          <w:rFonts w:ascii="Times New Roman" w:hAnsi="Times New Roman" w:cs="Times New Roman"/>
          <w:sz w:val="24"/>
          <w:szCs w:val="24"/>
        </w:rPr>
        <w:t xml:space="preserve">at the state and territory level, </w:t>
      </w:r>
      <w:r>
        <w:rPr>
          <w:rFonts w:ascii="Times New Roman" w:hAnsi="Times New Roman" w:cs="Times New Roman"/>
          <w:sz w:val="24"/>
          <w:szCs w:val="24"/>
        </w:rPr>
        <w:t>such as the</w:t>
      </w:r>
      <w:r w:rsidR="00472247">
        <w:rPr>
          <w:rFonts w:ascii="Times New Roman" w:hAnsi="Times New Roman" w:cs="Times New Roman"/>
          <w:sz w:val="24"/>
          <w:szCs w:val="24"/>
        </w:rPr>
        <w:t xml:space="preserve"> </w:t>
      </w:r>
      <w:r w:rsidR="00472247" w:rsidRPr="00472247">
        <w:rPr>
          <w:rFonts w:ascii="Times New Roman" w:hAnsi="Times New Roman" w:cs="Times New Roman"/>
          <w:i/>
          <w:sz w:val="24"/>
          <w:szCs w:val="24"/>
        </w:rPr>
        <w:t>Survey of Community Attitudes toward People with Disability, Department of Health and Human Services</w:t>
      </w:r>
      <w:r w:rsidR="00472247">
        <w:rPr>
          <w:rFonts w:ascii="Times New Roman" w:hAnsi="Times New Roman" w:cs="Times New Roman"/>
          <w:sz w:val="24"/>
          <w:szCs w:val="24"/>
        </w:rPr>
        <w:t xml:space="preserve"> released</w:t>
      </w:r>
      <w:r>
        <w:rPr>
          <w:rFonts w:ascii="Times New Roman" w:hAnsi="Times New Roman" w:cs="Times New Roman"/>
          <w:sz w:val="24"/>
          <w:szCs w:val="24"/>
        </w:rPr>
        <w:t xml:space="preserve"> on 13 August 2018</w:t>
      </w:r>
      <w:r w:rsidR="00472247" w:rsidRPr="00472247">
        <w:rPr>
          <w:rFonts w:ascii="Times New Roman" w:hAnsi="Times New Roman" w:cs="Times New Roman"/>
          <w:sz w:val="24"/>
          <w:szCs w:val="24"/>
        </w:rPr>
        <w:t>.</w:t>
      </w:r>
      <w:r>
        <w:rPr>
          <w:rFonts w:ascii="Times New Roman" w:hAnsi="Times New Roman" w:cs="Times New Roman"/>
          <w:sz w:val="24"/>
          <w:szCs w:val="24"/>
        </w:rPr>
        <w:t xml:space="preserve"> </w:t>
      </w:r>
      <w:r w:rsidRPr="00752868">
        <w:rPr>
          <w:rFonts w:ascii="Times New Roman" w:hAnsi="Times New Roman" w:cs="Times New Roman"/>
          <w:sz w:val="24"/>
          <w:szCs w:val="24"/>
        </w:rPr>
        <w:t xml:space="preserve">The survey was administered to 1,000 Victorians from the general adult population. </w:t>
      </w:r>
      <w:r>
        <w:rPr>
          <w:rFonts w:ascii="Times New Roman" w:hAnsi="Times New Roman" w:cs="Times New Roman"/>
          <w:sz w:val="24"/>
          <w:szCs w:val="24"/>
        </w:rPr>
        <w:t xml:space="preserve">It </w:t>
      </w:r>
      <w:r w:rsidR="00472247" w:rsidRPr="00472247">
        <w:rPr>
          <w:rFonts w:ascii="Times New Roman" w:hAnsi="Times New Roman" w:cs="Times New Roman"/>
          <w:sz w:val="24"/>
          <w:szCs w:val="24"/>
        </w:rPr>
        <w:t xml:space="preserve">will inform the Victorian government's work in relation to 'Changing Attitudes', a key priority of the </w:t>
      </w:r>
      <w:r w:rsidR="00472247" w:rsidRPr="00472247">
        <w:rPr>
          <w:rFonts w:ascii="Times New Roman" w:hAnsi="Times New Roman" w:cs="Times New Roman"/>
          <w:i/>
          <w:sz w:val="24"/>
          <w:szCs w:val="24"/>
        </w:rPr>
        <w:t>Absolutely Everyone: Victorian State Disability Plan (2017-2020).</w:t>
      </w:r>
      <w:r w:rsidR="00472247" w:rsidRPr="00472247">
        <w:rPr>
          <w:rFonts w:ascii="Times New Roman" w:hAnsi="Times New Roman" w:cs="Times New Roman"/>
          <w:sz w:val="24"/>
          <w:szCs w:val="24"/>
        </w:rPr>
        <w:t xml:space="preserve"> </w:t>
      </w:r>
    </w:p>
    <w:p w14:paraId="5EC05337" w14:textId="77777777" w:rsidR="00472247" w:rsidRDefault="00383C0B" w:rsidP="00472247">
      <w:pPr>
        <w:rPr>
          <w:rFonts w:ascii="Times New Roman" w:hAnsi="Times New Roman" w:cs="Times New Roman"/>
          <w:b/>
          <w:i/>
          <w:sz w:val="24"/>
          <w:szCs w:val="24"/>
        </w:rPr>
      </w:pPr>
      <w:r w:rsidRPr="009922C7">
        <w:rPr>
          <w:rFonts w:ascii="Times New Roman" w:hAnsi="Times New Roman" w:cs="Times New Roman"/>
          <w:b/>
          <w:i/>
          <w:sz w:val="24"/>
          <w:szCs w:val="24"/>
        </w:rPr>
        <w:t>5.</w:t>
      </w:r>
      <w:r w:rsidRPr="009922C7">
        <w:rPr>
          <w:rFonts w:ascii="Times New Roman" w:hAnsi="Times New Roman" w:cs="Times New Roman"/>
          <w:b/>
          <w:i/>
          <w:sz w:val="24"/>
          <w:szCs w:val="24"/>
        </w:rPr>
        <w:tab/>
        <w:t>Please provide information on the role of persons with disabilities and their representative organisations, including children with disabilities, in the design, implementation, monitoring and evaluation of all measures relating to awareness raising.  Please provide detail on concrete mechanisms and activities undertaken for consultation and active involvement (e.g. regular meetings, online consultations, etc.).</w:t>
      </w:r>
    </w:p>
    <w:p w14:paraId="13455D18" w14:textId="307E66A1" w:rsidR="00D17A64" w:rsidRDefault="00070E11" w:rsidP="00F20F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Australian Government engages with the disability sector regularly on policies </w:t>
      </w:r>
      <w:r w:rsidR="00212531">
        <w:rPr>
          <w:rFonts w:ascii="Times New Roman" w:hAnsi="Times New Roman" w:cs="Times New Roman"/>
          <w:sz w:val="24"/>
          <w:szCs w:val="24"/>
        </w:rPr>
        <w:t xml:space="preserve">that impact upon </w:t>
      </w:r>
      <w:r>
        <w:rPr>
          <w:rFonts w:ascii="Times New Roman" w:hAnsi="Times New Roman" w:cs="Times New Roman"/>
          <w:sz w:val="24"/>
          <w:szCs w:val="24"/>
        </w:rPr>
        <w:t xml:space="preserve">persons with disabilities. </w:t>
      </w:r>
    </w:p>
    <w:p w14:paraId="16610596" w14:textId="77777777" w:rsidR="00CB465A" w:rsidRDefault="00CB465A" w:rsidP="00F20F52">
      <w:pPr>
        <w:spacing w:after="0" w:line="240" w:lineRule="auto"/>
        <w:rPr>
          <w:rFonts w:ascii="Times New Roman" w:hAnsi="Times New Roman" w:cs="Times New Roman"/>
          <w:sz w:val="24"/>
          <w:szCs w:val="24"/>
        </w:rPr>
      </w:pPr>
    </w:p>
    <w:p w14:paraId="4663DB73" w14:textId="67DFA4A1" w:rsidR="000B3424" w:rsidRDefault="000B3424" w:rsidP="00F20F52">
      <w:pPr>
        <w:spacing w:after="0" w:line="240" w:lineRule="auto"/>
        <w:rPr>
          <w:rFonts w:ascii="Times New Roman" w:hAnsi="Times New Roman" w:cs="Times New Roman"/>
          <w:sz w:val="24"/>
          <w:szCs w:val="24"/>
        </w:rPr>
      </w:pPr>
      <w:r w:rsidRPr="00AF6D96">
        <w:rPr>
          <w:rFonts w:ascii="Times New Roman" w:hAnsi="Times New Roman" w:cs="Times New Roman"/>
          <w:sz w:val="24"/>
          <w:szCs w:val="24"/>
        </w:rPr>
        <w:t xml:space="preserve">The Australian Government provides funding to </w:t>
      </w:r>
      <w:r w:rsidR="00340AC4">
        <w:rPr>
          <w:rFonts w:ascii="Times New Roman" w:hAnsi="Times New Roman" w:cs="Times New Roman"/>
          <w:sz w:val="24"/>
          <w:szCs w:val="24"/>
        </w:rPr>
        <w:t xml:space="preserve">DROs </w:t>
      </w:r>
      <w:r w:rsidRPr="00AF6D96">
        <w:rPr>
          <w:rFonts w:ascii="Times New Roman" w:hAnsi="Times New Roman" w:cs="Times New Roman"/>
          <w:sz w:val="24"/>
          <w:szCs w:val="24"/>
        </w:rPr>
        <w:t>to provide domestic representation of Australians with disabilities, including media campaigns to raise awareness and understanding</w:t>
      </w:r>
      <w:r>
        <w:rPr>
          <w:rFonts w:ascii="Times New Roman" w:hAnsi="Times New Roman" w:cs="Times New Roman"/>
          <w:sz w:val="24"/>
          <w:szCs w:val="24"/>
        </w:rPr>
        <w:t xml:space="preserve"> (discussed </w:t>
      </w:r>
      <w:r w:rsidR="00340AC4">
        <w:rPr>
          <w:rFonts w:ascii="Times New Roman" w:hAnsi="Times New Roman" w:cs="Times New Roman"/>
          <w:sz w:val="24"/>
          <w:szCs w:val="24"/>
        </w:rPr>
        <w:t>further under other questions</w:t>
      </w:r>
      <w:r>
        <w:rPr>
          <w:rFonts w:ascii="Times New Roman" w:hAnsi="Times New Roman" w:cs="Times New Roman"/>
          <w:sz w:val="24"/>
          <w:szCs w:val="24"/>
        </w:rPr>
        <w:t>)</w:t>
      </w:r>
      <w:r w:rsidRPr="00AF6D96">
        <w:rPr>
          <w:rFonts w:ascii="Times New Roman" w:hAnsi="Times New Roman" w:cs="Times New Roman"/>
          <w:sz w:val="24"/>
          <w:szCs w:val="24"/>
        </w:rPr>
        <w:t xml:space="preserve">. </w:t>
      </w:r>
    </w:p>
    <w:p w14:paraId="7FE6B1E0" w14:textId="77777777" w:rsidR="00212531" w:rsidRPr="00AF6D96" w:rsidRDefault="00212531" w:rsidP="00F20F52">
      <w:pPr>
        <w:spacing w:after="0" w:line="240" w:lineRule="auto"/>
        <w:rPr>
          <w:rFonts w:ascii="Times New Roman" w:hAnsi="Times New Roman" w:cs="Times New Roman"/>
          <w:sz w:val="24"/>
          <w:szCs w:val="24"/>
        </w:rPr>
      </w:pPr>
    </w:p>
    <w:p w14:paraId="5042DC2E" w14:textId="77777777" w:rsidR="000B3424" w:rsidRPr="009D6CBE" w:rsidRDefault="000B3424" w:rsidP="000B3424">
      <w:pPr>
        <w:rPr>
          <w:rFonts w:ascii="Times New Roman" w:hAnsi="Times New Roman" w:cs="Times New Roman"/>
          <w:sz w:val="24"/>
          <w:szCs w:val="24"/>
        </w:rPr>
      </w:pPr>
      <w:r w:rsidRPr="009D6CBE">
        <w:rPr>
          <w:rFonts w:ascii="Times New Roman" w:hAnsi="Times New Roman" w:cs="Times New Roman"/>
          <w:sz w:val="24"/>
          <w:szCs w:val="24"/>
        </w:rPr>
        <w:t xml:space="preserve">The AHRC actively consults and draws on the expertise of people with disability and their representative organisations for its education and awareness raising projects and campaigns.  </w:t>
      </w:r>
      <w:r w:rsidR="003D6764">
        <w:rPr>
          <w:rFonts w:ascii="Times New Roman" w:hAnsi="Times New Roman" w:cs="Times New Roman"/>
          <w:sz w:val="24"/>
          <w:szCs w:val="24"/>
        </w:rPr>
        <w:lastRenderedPageBreak/>
        <w:t>For</w:t>
      </w:r>
      <w:r w:rsidRPr="009D6CBE">
        <w:rPr>
          <w:rFonts w:ascii="Times New Roman" w:hAnsi="Times New Roman" w:cs="Times New Roman"/>
          <w:sz w:val="24"/>
          <w:szCs w:val="24"/>
        </w:rPr>
        <w:t xml:space="preserve"> example, an employee with disability led the design of the AHRC’s disability rights training package. The training is also delivered by at least one person with disability, subject to organisational capacity.</w:t>
      </w:r>
    </w:p>
    <w:p w14:paraId="3005A9A7" w14:textId="77777777" w:rsidR="005E2BC3" w:rsidRPr="005E2BC3" w:rsidRDefault="005E2BC3" w:rsidP="005E2BC3">
      <w:pPr>
        <w:spacing w:after="0" w:line="240" w:lineRule="auto"/>
        <w:rPr>
          <w:rFonts w:ascii="Times New Roman" w:hAnsi="Times New Roman" w:cs="Times New Roman"/>
          <w:sz w:val="24"/>
          <w:szCs w:val="24"/>
        </w:rPr>
      </w:pPr>
      <w:r w:rsidRPr="005E2BC3">
        <w:rPr>
          <w:rFonts w:ascii="Times New Roman" w:hAnsi="Times New Roman" w:cs="Times New Roman"/>
          <w:sz w:val="24"/>
          <w:szCs w:val="24"/>
        </w:rPr>
        <w:t xml:space="preserve">As part of the development of a 2019 strategy for the </w:t>
      </w:r>
      <w:r w:rsidR="0039327E">
        <w:rPr>
          <w:rFonts w:ascii="Times New Roman" w:hAnsi="Times New Roman" w:cs="Times New Roman"/>
          <w:sz w:val="24"/>
          <w:szCs w:val="24"/>
        </w:rPr>
        <w:t>IDPwD</w:t>
      </w:r>
      <w:r w:rsidRPr="005E2BC3">
        <w:rPr>
          <w:rFonts w:ascii="Times New Roman" w:hAnsi="Times New Roman" w:cs="Times New Roman"/>
          <w:sz w:val="24"/>
          <w:szCs w:val="24"/>
        </w:rPr>
        <w:t xml:space="preserve"> program (</w:t>
      </w:r>
      <w:r w:rsidR="002C2D6B">
        <w:rPr>
          <w:rFonts w:ascii="Times New Roman" w:hAnsi="Times New Roman" w:cs="Times New Roman"/>
          <w:sz w:val="24"/>
          <w:szCs w:val="24"/>
        </w:rPr>
        <w:t>discussed above</w:t>
      </w:r>
      <w:r w:rsidR="0039327E">
        <w:rPr>
          <w:rFonts w:ascii="Times New Roman" w:hAnsi="Times New Roman" w:cs="Times New Roman"/>
          <w:sz w:val="24"/>
          <w:szCs w:val="24"/>
        </w:rPr>
        <w:t>), the d</w:t>
      </w:r>
      <w:r w:rsidRPr="005E2BC3">
        <w:rPr>
          <w:rFonts w:ascii="Times New Roman" w:hAnsi="Times New Roman" w:cs="Times New Roman"/>
          <w:sz w:val="24"/>
          <w:szCs w:val="24"/>
        </w:rPr>
        <w:t>epartment undertook a range of consultations with persons with disabilities and their representative organisations:</w:t>
      </w:r>
    </w:p>
    <w:p w14:paraId="644A3672" w14:textId="77777777" w:rsidR="005E2BC3" w:rsidRPr="000B3424" w:rsidRDefault="000B3424" w:rsidP="000B3424">
      <w:pPr>
        <w:pStyle w:val="ListParagraph"/>
        <w:numPr>
          <w:ilvl w:val="0"/>
          <w:numId w:val="35"/>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5E2BC3" w:rsidRPr="000B3424">
        <w:rPr>
          <w:rFonts w:ascii="Times New Roman" w:hAnsi="Times New Roman" w:cs="Times New Roman"/>
          <w:sz w:val="24"/>
          <w:szCs w:val="24"/>
        </w:rPr>
        <w:t>onsultation with the members of the Council at one of their full meetings</w:t>
      </w:r>
    </w:p>
    <w:p w14:paraId="0E1797E5" w14:textId="77777777" w:rsidR="005E2BC3" w:rsidRPr="005E2BC3" w:rsidRDefault="00E050D0" w:rsidP="005E2BC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5E2BC3" w:rsidRPr="005E2BC3">
        <w:rPr>
          <w:rFonts w:ascii="Times New Roman" w:hAnsi="Times New Roman" w:cs="Times New Roman"/>
          <w:sz w:val="24"/>
          <w:szCs w:val="24"/>
        </w:rPr>
        <w:t xml:space="preserve">orkshop with </w:t>
      </w:r>
      <w:r w:rsidR="003D6764">
        <w:rPr>
          <w:rFonts w:ascii="Times New Roman" w:hAnsi="Times New Roman" w:cs="Times New Roman"/>
          <w:sz w:val="24"/>
          <w:szCs w:val="24"/>
        </w:rPr>
        <w:t xml:space="preserve">DROs </w:t>
      </w:r>
      <w:r w:rsidR="005E2BC3" w:rsidRPr="005E2BC3">
        <w:rPr>
          <w:rFonts w:ascii="Times New Roman" w:hAnsi="Times New Roman" w:cs="Times New Roman"/>
          <w:sz w:val="24"/>
          <w:szCs w:val="24"/>
        </w:rPr>
        <w:t>focussed on the options to run national disability awards</w:t>
      </w:r>
    </w:p>
    <w:p w14:paraId="3A2AF5EC" w14:textId="77777777" w:rsidR="005E2BC3" w:rsidRPr="005E2BC3" w:rsidRDefault="00E050D0" w:rsidP="005E2BC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5E2BC3" w:rsidRPr="005E2BC3">
        <w:rPr>
          <w:rFonts w:ascii="Times New Roman" w:hAnsi="Times New Roman" w:cs="Times New Roman"/>
          <w:sz w:val="24"/>
          <w:szCs w:val="24"/>
        </w:rPr>
        <w:t>eedback seeking from organisations that registered to run IDPwD community events (and agreed to be contacted) through the IDPwD website</w:t>
      </w:r>
    </w:p>
    <w:p w14:paraId="1D292E63" w14:textId="77777777" w:rsidR="005E2BC3" w:rsidRPr="005E2BC3" w:rsidRDefault="00E050D0" w:rsidP="005E2BC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5E2BC3" w:rsidRPr="005E2BC3">
        <w:rPr>
          <w:rFonts w:ascii="Times New Roman" w:hAnsi="Times New Roman" w:cs="Times New Roman"/>
          <w:sz w:val="24"/>
          <w:szCs w:val="24"/>
        </w:rPr>
        <w:t xml:space="preserve">mails and phone calls by </w:t>
      </w:r>
      <w:r w:rsidR="003D6764">
        <w:rPr>
          <w:rFonts w:ascii="Times New Roman" w:hAnsi="Times New Roman" w:cs="Times New Roman"/>
          <w:sz w:val="24"/>
          <w:szCs w:val="24"/>
        </w:rPr>
        <w:t xml:space="preserve">Australian Government </w:t>
      </w:r>
      <w:r w:rsidR="005E2BC3" w:rsidRPr="005E2BC3">
        <w:rPr>
          <w:rFonts w:ascii="Times New Roman" w:hAnsi="Times New Roman" w:cs="Times New Roman"/>
          <w:sz w:val="24"/>
          <w:szCs w:val="24"/>
        </w:rPr>
        <w:t>officers to former national disability awards judges on options to run national disability awards</w:t>
      </w:r>
      <w:r>
        <w:rPr>
          <w:rFonts w:ascii="Times New Roman" w:hAnsi="Times New Roman" w:cs="Times New Roman"/>
          <w:sz w:val="24"/>
          <w:szCs w:val="24"/>
        </w:rPr>
        <w:t>, and</w:t>
      </w:r>
    </w:p>
    <w:p w14:paraId="4FE542A9" w14:textId="77777777" w:rsidR="005E2BC3" w:rsidRPr="005E2BC3" w:rsidRDefault="00E050D0" w:rsidP="005E2BC3">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5E2BC3" w:rsidRPr="005E2BC3">
        <w:rPr>
          <w:rFonts w:ascii="Times New Roman" w:hAnsi="Times New Roman" w:cs="Times New Roman"/>
          <w:sz w:val="24"/>
          <w:szCs w:val="24"/>
        </w:rPr>
        <w:t>eedback seeking from organisations involved in organising 2018 Disability</w:t>
      </w:r>
      <w:r w:rsidR="00CE260E">
        <w:rPr>
          <w:rFonts w:ascii="Times New Roman" w:hAnsi="Times New Roman" w:cs="Times New Roman"/>
          <w:sz w:val="24"/>
          <w:szCs w:val="24"/>
        </w:rPr>
        <w:t> </w:t>
      </w:r>
      <w:r w:rsidR="005E2BC3" w:rsidRPr="005E2BC3">
        <w:rPr>
          <w:rFonts w:ascii="Times New Roman" w:hAnsi="Times New Roman" w:cs="Times New Roman"/>
          <w:sz w:val="24"/>
          <w:szCs w:val="24"/>
        </w:rPr>
        <w:t>Leadership Awards, sponsored</w:t>
      </w:r>
      <w:r w:rsidR="003D6764">
        <w:rPr>
          <w:rFonts w:ascii="Times New Roman" w:hAnsi="Times New Roman" w:cs="Times New Roman"/>
          <w:sz w:val="24"/>
          <w:szCs w:val="24"/>
        </w:rPr>
        <w:t xml:space="preserve"> by the Australian Government</w:t>
      </w:r>
      <w:r w:rsidR="005E2BC3" w:rsidRPr="005E2BC3">
        <w:rPr>
          <w:rFonts w:ascii="Times New Roman" w:hAnsi="Times New Roman" w:cs="Times New Roman"/>
          <w:sz w:val="24"/>
          <w:szCs w:val="24"/>
        </w:rPr>
        <w:t xml:space="preserve">. </w:t>
      </w:r>
    </w:p>
    <w:p w14:paraId="293B3E2A" w14:textId="77777777" w:rsidR="00245988" w:rsidRDefault="00245988" w:rsidP="00696E5D">
      <w:pPr>
        <w:spacing w:after="0" w:line="240" w:lineRule="auto"/>
        <w:rPr>
          <w:rFonts w:ascii="Times New Roman" w:hAnsi="Times New Roman" w:cs="Times New Roman"/>
          <w:b/>
          <w:sz w:val="24"/>
          <w:szCs w:val="24"/>
        </w:rPr>
      </w:pPr>
    </w:p>
    <w:p w14:paraId="60CC92E5" w14:textId="77777777" w:rsidR="000B3424" w:rsidRPr="00AF6D96" w:rsidRDefault="000B3424">
      <w:pPr>
        <w:rPr>
          <w:rFonts w:ascii="Times New Roman" w:hAnsi="Times New Roman" w:cs="Times New Roman"/>
          <w:sz w:val="24"/>
          <w:szCs w:val="24"/>
        </w:rPr>
      </w:pPr>
    </w:p>
    <w:sectPr w:rsidR="000B3424" w:rsidRPr="00AF6D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3A07A" w14:textId="77777777" w:rsidR="00816465" w:rsidRDefault="00816465" w:rsidP="00B04ED8">
      <w:pPr>
        <w:spacing w:after="0" w:line="240" w:lineRule="auto"/>
      </w:pPr>
      <w:r>
        <w:separator/>
      </w:r>
    </w:p>
  </w:endnote>
  <w:endnote w:type="continuationSeparator" w:id="0">
    <w:p w14:paraId="32E633E0" w14:textId="77777777" w:rsidR="00816465" w:rsidRDefault="00816465"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836265"/>
      <w:docPartObj>
        <w:docPartGallery w:val="Page Numbers (Bottom of Page)"/>
        <w:docPartUnique/>
      </w:docPartObj>
    </w:sdtPr>
    <w:sdtEndPr>
      <w:rPr>
        <w:noProof/>
      </w:rPr>
    </w:sdtEndPr>
    <w:sdtContent>
      <w:p w14:paraId="6F07CBF9" w14:textId="73F07795" w:rsidR="002F237D" w:rsidRDefault="002F237D">
        <w:pPr>
          <w:pStyle w:val="Footer"/>
          <w:jc w:val="right"/>
        </w:pPr>
        <w:r>
          <w:fldChar w:fldCharType="begin"/>
        </w:r>
        <w:r>
          <w:instrText xml:space="preserve"> PAGE   \* MERGEFORMAT </w:instrText>
        </w:r>
        <w:r>
          <w:fldChar w:fldCharType="separate"/>
        </w:r>
        <w:r w:rsidR="000C676B">
          <w:rPr>
            <w:noProof/>
          </w:rPr>
          <w:t>1</w:t>
        </w:r>
        <w:r>
          <w:rPr>
            <w:noProof/>
          </w:rPr>
          <w:fldChar w:fldCharType="end"/>
        </w:r>
      </w:p>
    </w:sdtContent>
  </w:sdt>
  <w:p w14:paraId="1928F0B7"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70C22" w14:textId="77777777" w:rsidR="00816465" w:rsidRDefault="00816465" w:rsidP="00B04ED8">
      <w:pPr>
        <w:spacing w:after="0" w:line="240" w:lineRule="auto"/>
      </w:pPr>
      <w:r>
        <w:separator/>
      </w:r>
    </w:p>
  </w:footnote>
  <w:footnote w:type="continuationSeparator" w:id="0">
    <w:p w14:paraId="38A3074A" w14:textId="77777777" w:rsidR="00816465" w:rsidRDefault="00816465" w:rsidP="00B04ED8">
      <w:pPr>
        <w:spacing w:after="0" w:line="240" w:lineRule="auto"/>
      </w:pPr>
      <w:r>
        <w:continuationSeparator/>
      </w:r>
    </w:p>
  </w:footnote>
  <w:footnote w:id="1">
    <w:p w14:paraId="46F101F1" w14:textId="77777777" w:rsidR="006F6A88" w:rsidRDefault="006F6A88" w:rsidP="006F6A88">
      <w:pPr>
        <w:pStyle w:val="FootnoteText"/>
        <w:rPr>
          <w:rFonts w:eastAsiaTheme="minorHAnsi"/>
          <w:i/>
          <w:iCs/>
          <w:lang w:eastAsia="en-US"/>
        </w:rPr>
      </w:pPr>
      <w:r>
        <w:rPr>
          <w:rStyle w:val="FootnoteReference"/>
        </w:rPr>
        <w:footnoteRef/>
      </w:r>
      <w:r>
        <w:t xml:space="preserve"> </w:t>
      </w:r>
      <w:r>
        <w:rPr>
          <w:i/>
          <w:iCs/>
          <w:sz w:val="16"/>
          <w:szCs w:val="16"/>
        </w:rPr>
        <w:t>Mental Health Act 2013</w:t>
      </w:r>
      <w:r>
        <w:rPr>
          <w:sz w:val="16"/>
          <w:szCs w:val="16"/>
        </w:rPr>
        <w:t xml:space="preserve"> (Tas); </w:t>
      </w:r>
      <w:r>
        <w:rPr>
          <w:i/>
          <w:iCs/>
          <w:sz w:val="16"/>
          <w:szCs w:val="16"/>
        </w:rPr>
        <w:t>Guardianship and Administration Act 2000</w:t>
      </w:r>
      <w:r>
        <w:rPr>
          <w:sz w:val="16"/>
          <w:szCs w:val="16"/>
        </w:rPr>
        <w:t xml:space="preserve"> and the </w:t>
      </w:r>
      <w:r>
        <w:rPr>
          <w:i/>
          <w:iCs/>
          <w:sz w:val="16"/>
          <w:szCs w:val="16"/>
        </w:rPr>
        <w:t xml:space="preserve">Mental Health Act 2016 </w:t>
      </w:r>
      <w:r>
        <w:rPr>
          <w:sz w:val="16"/>
          <w:szCs w:val="16"/>
        </w:rPr>
        <w:t xml:space="preserve">(QLD); </w:t>
      </w:r>
      <w:r>
        <w:rPr>
          <w:i/>
          <w:iCs/>
          <w:sz w:val="16"/>
          <w:szCs w:val="16"/>
        </w:rPr>
        <w:t xml:space="preserve">Disability Services Act 2017 </w:t>
      </w:r>
      <w:r>
        <w:rPr>
          <w:sz w:val="16"/>
          <w:szCs w:val="16"/>
        </w:rPr>
        <w:t xml:space="preserve">(NT); </w:t>
      </w:r>
      <w:r>
        <w:rPr>
          <w:i/>
          <w:iCs/>
          <w:sz w:val="16"/>
          <w:szCs w:val="16"/>
        </w:rPr>
        <w:t>Mental Health Act 2014</w:t>
      </w:r>
      <w:r>
        <w:rPr>
          <w:sz w:val="16"/>
          <w:szCs w:val="16"/>
        </w:rPr>
        <w:t xml:space="preserve"> (WA);</w:t>
      </w:r>
      <w:r>
        <w:rPr>
          <w:i/>
          <w:iCs/>
          <w:sz w:val="22"/>
          <w:szCs w:val="22"/>
        </w:rPr>
        <w:t xml:space="preserve"> </w:t>
      </w:r>
      <w:r>
        <w:rPr>
          <w:sz w:val="16"/>
          <w:szCs w:val="16"/>
        </w:rPr>
        <w:t>and the</w:t>
      </w:r>
      <w:r>
        <w:rPr>
          <w:sz w:val="22"/>
          <w:szCs w:val="22"/>
        </w:rPr>
        <w:t xml:space="preserve"> </w:t>
      </w:r>
      <w:r>
        <w:rPr>
          <w:i/>
          <w:iCs/>
          <w:sz w:val="16"/>
          <w:szCs w:val="16"/>
        </w:rPr>
        <w:t xml:space="preserve">Prisons Act 1981 </w:t>
      </w:r>
      <w:r>
        <w:rPr>
          <w:sz w:val="16"/>
          <w:szCs w:val="16"/>
        </w:rPr>
        <w:t>(WA). NSW regulates this practice through mandatory policy directives. ACT has legislation expected to commence on 1 July 2018.</w:t>
      </w:r>
    </w:p>
    <w:p w14:paraId="26E443C2" w14:textId="77777777" w:rsidR="006F6A88" w:rsidRDefault="006F6A88">
      <w:pPr>
        <w:pStyle w:val="FootnoteText"/>
      </w:pPr>
    </w:p>
  </w:footnote>
  <w:footnote w:id="2">
    <w:p w14:paraId="1E082EB6" w14:textId="77777777" w:rsidR="006F6A88" w:rsidRDefault="006F6A88">
      <w:pPr>
        <w:pStyle w:val="FootnoteText"/>
      </w:pPr>
      <w:r>
        <w:rPr>
          <w:rStyle w:val="FootnoteReference"/>
        </w:rPr>
        <w:footnoteRef/>
      </w:r>
      <w:r>
        <w:t xml:space="preserve"> </w:t>
      </w:r>
      <w:r>
        <w:rPr>
          <w:sz w:val="16"/>
          <w:szCs w:val="16"/>
        </w:rPr>
        <w:t>Senior Practitioner under the</w:t>
      </w:r>
      <w:r>
        <w:rPr>
          <w:i/>
          <w:iCs/>
          <w:sz w:val="16"/>
          <w:szCs w:val="16"/>
        </w:rPr>
        <w:t xml:space="preserve"> Disability Services Act 2011</w:t>
      </w:r>
      <w:r>
        <w:rPr>
          <w:sz w:val="16"/>
          <w:szCs w:val="16"/>
        </w:rPr>
        <w:t xml:space="preserve"> (Tas);</w:t>
      </w:r>
      <w:r>
        <w:t xml:space="preserve"> </w:t>
      </w:r>
      <w:r>
        <w:rPr>
          <w:sz w:val="16"/>
          <w:szCs w:val="16"/>
        </w:rPr>
        <w:t xml:space="preserve">Office of the Public Guardian (QLD); Office of the Senior Practitioner (ACT); Chief Psychiatrist (WA); </w:t>
      </w:r>
      <w:r>
        <w:rPr>
          <w:i/>
          <w:iCs/>
          <w:sz w:val="16"/>
          <w:szCs w:val="16"/>
        </w:rPr>
        <w:t>Inspector of Custodial Services Act 2003</w:t>
      </w:r>
      <w:r>
        <w:rPr>
          <w:sz w:val="22"/>
          <w:szCs w:val="22"/>
        </w:rPr>
        <w:t xml:space="preserve"> </w:t>
      </w:r>
      <w:r>
        <w:rPr>
          <w:sz w:val="16"/>
          <w:szCs w:val="16"/>
        </w:rPr>
        <w:t>(WA).Chief Psychiatrist (NSW); and Senior Practitioner</w:t>
      </w:r>
      <w:r>
        <w:rPr>
          <w:sz w:val="16"/>
          <w:szCs w:val="16"/>
        </w:rPr>
        <w:noBreakHyphen/>
        <w:t>Disability (VIC).</w:t>
      </w:r>
    </w:p>
  </w:footnote>
  <w:footnote w:id="3">
    <w:p w14:paraId="3AF4CFAA" w14:textId="77777777" w:rsidR="006F6A88" w:rsidRDefault="006F6A88">
      <w:pPr>
        <w:pStyle w:val="FootnoteText"/>
      </w:pPr>
      <w:r>
        <w:rPr>
          <w:rStyle w:val="FootnoteReference"/>
        </w:rPr>
        <w:footnoteRef/>
      </w:r>
      <w:r>
        <w:t xml:space="preserve"> </w:t>
      </w:r>
      <w:hyperlink r:id="rId1" w:history="1">
        <w:r>
          <w:rPr>
            <w:rStyle w:val="Hyperlink"/>
            <w:sz w:val="16"/>
            <w:szCs w:val="16"/>
          </w:rPr>
          <w:t>https://www.aihw.gov.au/reports/mental-health-services/mental-health-services-in-australia/report-contents/restrictive-practices/seclusion</w:t>
        </w:r>
      </w:hyperlink>
    </w:p>
  </w:footnote>
  <w:footnote w:id="4">
    <w:p w14:paraId="5CCF748A" w14:textId="77777777" w:rsidR="00D67191" w:rsidRPr="00061E6D" w:rsidRDefault="00D67191" w:rsidP="00D67191">
      <w:pPr>
        <w:pStyle w:val="FootnoteText"/>
        <w:rPr>
          <w:sz w:val="16"/>
          <w:szCs w:val="16"/>
        </w:rPr>
      </w:pPr>
      <w:r>
        <w:rPr>
          <w:rStyle w:val="FootnoteReference"/>
        </w:rPr>
        <w:footnoteRef/>
      </w:r>
      <w:r>
        <w:t xml:space="preserve"> </w:t>
      </w:r>
      <w:r w:rsidRPr="00061E6D">
        <w:rPr>
          <w:sz w:val="16"/>
          <w:szCs w:val="16"/>
        </w:rPr>
        <w:t>National Disability Strategy 2010-2020, page 37</w:t>
      </w:r>
    </w:p>
  </w:footnote>
  <w:footnote w:id="5">
    <w:p w14:paraId="1DB6AC6C" w14:textId="77777777" w:rsidR="00E40369" w:rsidRDefault="00E40369">
      <w:pPr>
        <w:pStyle w:val="FootnoteText"/>
      </w:pPr>
      <w:r>
        <w:rPr>
          <w:rStyle w:val="FootnoteReference"/>
        </w:rPr>
        <w:footnoteRef/>
      </w:r>
      <w:r>
        <w:t xml:space="preserve"> </w:t>
      </w:r>
      <w:r w:rsidRPr="00A57E1F">
        <w:rPr>
          <w:sz w:val="16"/>
          <w:szCs w:val="16"/>
        </w:rPr>
        <w:t xml:space="preserve">Section 19(b) of the </w:t>
      </w:r>
      <w:r w:rsidRPr="000F2C93">
        <w:rPr>
          <w:i/>
          <w:sz w:val="16"/>
          <w:szCs w:val="16"/>
        </w:rPr>
        <w:t>Anti-Discrimination Act 1998</w:t>
      </w:r>
      <w:r w:rsidRPr="00A57E1F">
        <w:rPr>
          <w:sz w:val="16"/>
          <w:szCs w:val="16"/>
        </w:rPr>
        <w:t xml:space="preserve"> (Tas) provides that a person, by a public act, must not incite hatred towards, serious contempt for, or severe ridicule of, a person or a group of persons on the ground of</w:t>
      </w:r>
      <w:bookmarkStart w:id="5" w:name="GS19@Hpa@EN"/>
      <w:bookmarkStart w:id="6" w:name="GS19@Hpb@EN"/>
      <w:bookmarkEnd w:id="5"/>
      <w:bookmarkEnd w:id="6"/>
      <w:r w:rsidRPr="00A57E1F">
        <w:rPr>
          <w:sz w:val="16"/>
          <w:szCs w:val="16"/>
        </w:rPr>
        <w:t xml:space="preserve"> any disability of the person or any member of the group.</w:t>
      </w:r>
    </w:p>
  </w:footnote>
  <w:footnote w:id="6">
    <w:p w14:paraId="0401805B" w14:textId="77777777" w:rsidR="00E40369" w:rsidRDefault="00E40369">
      <w:pPr>
        <w:pStyle w:val="FootnoteText"/>
      </w:pPr>
      <w:r>
        <w:rPr>
          <w:rStyle w:val="FootnoteReference"/>
        </w:rPr>
        <w:footnoteRef/>
      </w:r>
      <w:r>
        <w:t xml:space="preserve"> </w:t>
      </w:r>
      <w:r w:rsidRPr="00A57E1F">
        <w:rPr>
          <w:sz w:val="16"/>
          <w:szCs w:val="16"/>
        </w:rPr>
        <w:t xml:space="preserve">Section 67A(1)(a) of the </w:t>
      </w:r>
      <w:r w:rsidRPr="00A57E1F">
        <w:rPr>
          <w:i/>
          <w:sz w:val="16"/>
          <w:szCs w:val="16"/>
        </w:rPr>
        <w:t>Discrimination Act 1991</w:t>
      </w:r>
      <w:r w:rsidRPr="00A57E1F">
        <w:rPr>
          <w:sz w:val="16"/>
          <w:szCs w:val="16"/>
        </w:rPr>
        <w:t xml:space="preserve"> (ACT) provides that it is unlawful for a person to incite hatred toward, revulsion of, serious contempt for, or severe ridicule of a person or group of people on the ground of disability, other than in private.</w:t>
      </w:r>
    </w:p>
  </w:footnote>
  <w:footnote w:id="7">
    <w:p w14:paraId="48A5E3B9" w14:textId="77777777" w:rsidR="006045EE" w:rsidRDefault="006045EE">
      <w:pPr>
        <w:pStyle w:val="FootnoteText"/>
      </w:pPr>
      <w:r>
        <w:rPr>
          <w:rStyle w:val="FootnoteReference"/>
        </w:rPr>
        <w:footnoteRef/>
      </w:r>
      <w:r>
        <w:t xml:space="preserve"> </w:t>
      </w:r>
      <w:r w:rsidRPr="00037D84">
        <w:rPr>
          <w:sz w:val="18"/>
        </w:rPr>
        <w:t>Information retrieved from</w:t>
      </w:r>
      <w:r>
        <w:t xml:space="preserve"> </w:t>
      </w:r>
      <w:hyperlink r:id="rId2" w:history="1">
        <w:r w:rsidRPr="00037D84">
          <w:rPr>
            <w:rFonts w:eastAsia="Times New Roman" w:cs="Calibri"/>
            <w:color w:val="0000FF"/>
            <w:sz w:val="18"/>
            <w:u w:val="single"/>
            <w:lang w:eastAsia="en-AU"/>
          </w:rPr>
          <w:t>www.esafety.gov.au/-/media/cesc/esafety-teachers/outreach/pl/oesc-teachers-pl-inclusion-and-digital-wellbeing-summary-sheet.pdf</w:t>
        </w:r>
      </w:hyperlink>
    </w:p>
  </w:footnote>
  <w:footnote w:id="8">
    <w:p w14:paraId="1F1E00AF" w14:textId="77777777" w:rsidR="006045EE" w:rsidRDefault="006045EE">
      <w:pPr>
        <w:pStyle w:val="FootnoteText"/>
      </w:pPr>
      <w:r>
        <w:rPr>
          <w:rStyle w:val="FootnoteReference"/>
        </w:rPr>
        <w:footnoteRef/>
      </w:r>
      <w:r>
        <w:t xml:space="preserve"> </w:t>
      </w:r>
      <w:r w:rsidRPr="00037D84">
        <w:rPr>
          <w:sz w:val="18"/>
        </w:rPr>
        <w:t xml:space="preserve">Information retrieved from </w:t>
      </w:r>
      <w:hyperlink r:id="rId3" w:history="1">
        <w:r w:rsidRPr="00037D84">
          <w:rPr>
            <w:rFonts w:eastAsia="Times New Roman" w:cs="Calibri"/>
            <w:color w:val="0000FF"/>
            <w:sz w:val="18"/>
            <w:u w:val="single"/>
            <w:lang w:eastAsia="en-AU"/>
          </w:rPr>
          <w:t>www.esafety.gov.au/-/media/cesc/documents/corporate-office/young_people_and_sexting_attitudes_and_behaviours_pdf.pdf</w:t>
        </w:r>
      </w:hyperlink>
    </w:p>
  </w:footnote>
  <w:footnote w:id="9">
    <w:p w14:paraId="5D0CF032" w14:textId="77777777" w:rsidR="007359D2" w:rsidRPr="007359D2" w:rsidRDefault="007359D2">
      <w:pPr>
        <w:pStyle w:val="FootnoteText"/>
        <w:rPr>
          <w:sz w:val="18"/>
        </w:rPr>
      </w:pPr>
      <w:r>
        <w:rPr>
          <w:rStyle w:val="FootnoteReference"/>
        </w:rPr>
        <w:footnoteRef/>
      </w:r>
      <w:r>
        <w:t xml:space="preserve"> </w:t>
      </w:r>
      <w:r w:rsidRPr="007359D2">
        <w:rPr>
          <w:sz w:val="18"/>
        </w:rPr>
        <w:fldChar w:fldCharType="begin"/>
      </w:r>
      <w:r w:rsidRPr="007359D2">
        <w:rPr>
          <w:sz w:val="18"/>
        </w:rPr>
        <w:instrText xml:space="preserve"> ADDIN ZOTERO_ITEM CSL_CITATION {"citationID":"qtVcJ4D8","properties":{"formattedCitation":"Anne Kavanagh et al, \\uc0\\u8216{}Community Attitudes towards Australians with Disability: Results from a National Survey, June 2019\\uc0\\u8217{} (30 June 2019) &lt;https://melbourne.figshare.com/articles/Community_Attitudes_towards_Australians_with_Disability_Results_from_a_National_Survey_June_2019/8341343&gt;.","plainCitation":"Anne Kavanagh et al, ‘Community Attitudes towards Australians with Disability: Results from a National Survey, June 2019’ (30 June 2019) &lt;https://melbourne.figshare.com/articles/Community_Attitudes_towards_Australians_with_Disability_Results_from_a_National_Survey_June_2019/8341343&gt;.","noteIndex":1},"citationItems":[{"id":4564,"uris":["http://zotero.org/groups/1703699/items/4QCBCRII"],"uri":["http://zotero.org/groups/1703699/items/4QCBCRII"],"itemData":{"id":4564,"type":"report","title":"Community Attitudes towards Australians with Disability: Results from a National Survey, June 2019","URL":"https://melbourne.figshare.com/articles/Community_Attitudes_towards_Australians_with_Disability_Results_from_a_National_Survey_June_2019/8341343","author":[{"family":"Kavanagh","given":"Anne"},{"family":"Krnjacki","given":"Lauren"},{"family":"Bollier","given":"Anne-Marie"},{"family":"Katsis","given":"Georgia"},{"family":"Kasidis","given":"Vasiliky"},{"family":"Ozge","given":"Jasmine"}],"issued":{"date-parts":[["2019",6,30]]}}}],"schema":"https://github.com/citation-style-language/schema/raw/master/csl-citation.json"} </w:instrText>
      </w:r>
      <w:r w:rsidRPr="007359D2">
        <w:rPr>
          <w:sz w:val="18"/>
        </w:rPr>
        <w:fldChar w:fldCharType="separate"/>
      </w:r>
      <w:r w:rsidRPr="007359D2">
        <w:rPr>
          <w:rFonts w:cs="Open Sans"/>
          <w:sz w:val="18"/>
        </w:rPr>
        <w:t>Anne Kavanagh et al, ‘Community Attitudes towards Australians with Disability: Results from a National Survey, June 2019’ (30 June 2019) &lt;https://melbourne.figshare.com/articles/Community_Attitudes_towards_Australians_with_Disability_Results_from_a_National_Survey_June_2019/8341343&gt;.</w:t>
      </w:r>
      <w:r w:rsidRPr="007359D2">
        <w:rPr>
          <w:sz w:val="18"/>
        </w:rPr>
        <w:fldChar w:fldCharType="end"/>
      </w:r>
    </w:p>
  </w:footnote>
  <w:footnote w:id="10">
    <w:p w14:paraId="546797F6" w14:textId="77777777" w:rsidR="007359D2" w:rsidRPr="007359D2" w:rsidRDefault="007359D2" w:rsidP="007359D2">
      <w:pPr>
        <w:spacing w:after="0"/>
        <w:rPr>
          <w:rFonts w:ascii="Calibri" w:hAnsi="Calibri"/>
          <w:sz w:val="18"/>
          <w:szCs w:val="18"/>
        </w:rPr>
      </w:pPr>
      <w:r>
        <w:rPr>
          <w:rStyle w:val="FootnoteReference"/>
        </w:rPr>
        <w:footnoteRef/>
      </w:r>
      <w:r>
        <w:t xml:space="preserve"> </w:t>
      </w:r>
      <w:hyperlink r:id="rId4" w:history="1">
        <w:r w:rsidRPr="007359D2">
          <w:rPr>
            <w:rStyle w:val="Hyperlink"/>
            <w:sz w:val="18"/>
            <w:szCs w:val="18"/>
          </w:rPr>
          <w:t>https://www.humanrights.gov.au/about/news/speeches/critical-task-changing-community-attitudes-towards-disability</w:t>
        </w:r>
      </w:hyperlink>
    </w:p>
    <w:p w14:paraId="253DA47E" w14:textId="77777777" w:rsidR="007359D2" w:rsidRDefault="007359D2">
      <w:pPr>
        <w:pStyle w:val="FootnoteText"/>
      </w:pPr>
    </w:p>
  </w:footnote>
  <w:footnote w:id="11">
    <w:p w14:paraId="48DC2D5F" w14:textId="77777777" w:rsidR="009922C7" w:rsidRDefault="009922C7" w:rsidP="009922C7">
      <w:pPr>
        <w:pStyle w:val="FootnoteText"/>
        <w:rPr>
          <w:rFonts w:asciiTheme="majorHAnsi" w:hAnsiTheme="majorHAnsi" w:cstheme="majorHAnsi"/>
          <w:color w:val="C0504D" w:themeColor="accent2"/>
          <w:szCs w:val="20"/>
        </w:rPr>
      </w:pPr>
      <w:r>
        <w:rPr>
          <w:rStyle w:val="FootnoteReference"/>
          <w:rFonts w:asciiTheme="majorHAnsi" w:hAnsiTheme="majorHAnsi" w:cstheme="majorHAnsi"/>
          <w:color w:val="C0504D" w:themeColor="accent2"/>
          <w:szCs w:val="20"/>
        </w:rPr>
        <w:footnoteRef/>
      </w:r>
      <w:r>
        <w:rPr>
          <w:rFonts w:asciiTheme="majorHAnsi" w:hAnsiTheme="majorHAnsi" w:cstheme="majorHAnsi"/>
          <w:color w:val="C0504D" w:themeColor="accent2"/>
          <w:szCs w:val="20"/>
        </w:rPr>
        <w:t xml:space="preserve">  </w:t>
      </w:r>
      <w:hyperlink r:id="rId5" w:history="1">
        <w:r>
          <w:rPr>
            <w:rStyle w:val="Hyperlink"/>
            <w:rFonts w:asciiTheme="majorHAnsi" w:hAnsiTheme="majorHAnsi" w:cstheme="majorHAnsi"/>
            <w:color w:val="C0504D" w:themeColor="accent2"/>
            <w:szCs w:val="20"/>
          </w:rPr>
          <w:t>United Nations Public Service Awards 2008</w:t>
        </w:r>
      </w:hyperlink>
    </w:p>
  </w:footnote>
  <w:footnote w:id="12">
    <w:p w14:paraId="41C566CF" w14:textId="77777777" w:rsidR="009922C7" w:rsidRDefault="009922C7" w:rsidP="009922C7">
      <w:pPr>
        <w:pStyle w:val="Standard"/>
        <w:spacing w:after="0" w:line="240" w:lineRule="auto"/>
        <w:rPr>
          <w:rFonts w:asciiTheme="majorHAnsi" w:hAnsiTheme="majorHAnsi" w:cstheme="majorHAnsi"/>
          <w:color w:val="C0504D" w:themeColor="accent2"/>
          <w:sz w:val="20"/>
          <w:szCs w:val="20"/>
          <w:vertAlign w:val="superscript"/>
        </w:rPr>
      </w:pPr>
      <w:r>
        <w:rPr>
          <w:rStyle w:val="FootnoteReference"/>
          <w:rFonts w:asciiTheme="majorHAnsi" w:hAnsiTheme="majorHAnsi" w:cstheme="majorHAnsi"/>
          <w:color w:val="C0504D" w:themeColor="accent2"/>
          <w:sz w:val="20"/>
          <w:szCs w:val="20"/>
        </w:rPr>
        <w:footnoteRef/>
      </w:r>
      <w:r>
        <w:rPr>
          <w:rFonts w:asciiTheme="majorHAnsi" w:hAnsiTheme="majorHAnsi" w:cstheme="majorHAnsi"/>
          <w:color w:val="C0504D" w:themeColor="accent2"/>
          <w:sz w:val="20"/>
          <w:szCs w:val="20"/>
        </w:rPr>
        <w:t xml:space="preserve">  </w:t>
      </w:r>
      <w:hyperlink r:id="rId6" w:history="1">
        <w:r>
          <w:rPr>
            <w:rStyle w:val="Hyperlink"/>
            <w:rFonts w:asciiTheme="majorHAnsi" w:hAnsiTheme="majorHAnsi" w:cstheme="majorHAnsi"/>
            <w:color w:val="C0504D" w:themeColor="accent2"/>
            <w:sz w:val="20"/>
            <w:szCs w:val="20"/>
          </w:rPr>
          <w:t>Innovative Policy 2017 on Employment and Vocational Education &amp; Training, Project Zero</w:t>
        </w:r>
      </w:hyperlink>
      <w:r>
        <w:rPr>
          <w:rFonts w:asciiTheme="majorHAnsi" w:hAnsiTheme="majorHAnsi" w:cstheme="majorHAnsi"/>
          <w:color w:val="C0504D" w:themeColor="accent2"/>
          <w:sz w:val="20"/>
          <w:szCs w:val="20"/>
        </w:rPr>
        <w:t xml:space="preserve"> </w:t>
      </w:r>
    </w:p>
  </w:footnote>
  <w:footnote w:id="13">
    <w:p w14:paraId="4D05F01C" w14:textId="77777777" w:rsidR="009922C7" w:rsidRDefault="009922C7" w:rsidP="009922C7">
      <w:pPr>
        <w:pStyle w:val="FootnoteText"/>
        <w:rPr>
          <w:rFonts w:asciiTheme="majorHAnsi" w:hAnsiTheme="majorHAnsi" w:cstheme="majorHAnsi"/>
          <w:color w:val="C0504D" w:themeColor="accent2"/>
          <w:szCs w:val="20"/>
        </w:rPr>
      </w:pPr>
      <w:r>
        <w:rPr>
          <w:rStyle w:val="FootnoteReference"/>
          <w:rFonts w:asciiTheme="majorHAnsi" w:hAnsiTheme="majorHAnsi" w:cstheme="majorHAnsi"/>
          <w:color w:val="C0504D" w:themeColor="accent2"/>
          <w:szCs w:val="20"/>
        </w:rPr>
        <w:footnoteRef/>
      </w:r>
      <w:r>
        <w:rPr>
          <w:rFonts w:asciiTheme="majorHAnsi" w:hAnsiTheme="majorHAnsi" w:cstheme="majorHAnsi"/>
          <w:color w:val="C0504D" w:themeColor="accent2"/>
          <w:szCs w:val="20"/>
        </w:rPr>
        <w:t xml:space="preserve"> </w:t>
      </w:r>
      <w:hyperlink r:id="rId7" w:history="1">
        <w:r>
          <w:rPr>
            <w:rStyle w:val="Hyperlink"/>
            <w:rFonts w:asciiTheme="majorHAnsi" w:hAnsiTheme="majorHAnsi" w:cstheme="majorHAnsi"/>
            <w:color w:val="C0504D" w:themeColor="accent2"/>
            <w:szCs w:val="20"/>
          </w:rPr>
          <w:t>Employers set to benefit from new disability employment toolkit</w:t>
        </w:r>
      </w:hyperlink>
      <w:r>
        <w:rPr>
          <w:rFonts w:asciiTheme="majorHAnsi" w:hAnsiTheme="majorHAnsi" w:cstheme="majorHAnsi"/>
          <w:color w:val="C0504D" w:themeColor="accent2"/>
          <w:szCs w:val="20"/>
        </w:rPr>
        <w:t>, JobAccess</w:t>
      </w:r>
    </w:p>
  </w:footnote>
  <w:footnote w:id="14">
    <w:p w14:paraId="77D94500" w14:textId="77777777" w:rsidR="009922C7" w:rsidRDefault="009922C7" w:rsidP="009922C7">
      <w:pPr>
        <w:pStyle w:val="FootnoteText"/>
      </w:pPr>
      <w:r>
        <w:rPr>
          <w:rStyle w:val="FootnoteReference"/>
          <w:rFonts w:asciiTheme="majorHAnsi" w:hAnsiTheme="majorHAnsi" w:cstheme="majorHAnsi"/>
          <w:color w:val="C0504D" w:themeColor="accent2"/>
          <w:szCs w:val="20"/>
        </w:rPr>
        <w:footnoteRef/>
      </w:r>
      <w:r>
        <w:rPr>
          <w:rFonts w:asciiTheme="majorHAnsi" w:hAnsiTheme="majorHAnsi" w:cstheme="majorHAnsi"/>
          <w:color w:val="C0504D" w:themeColor="accent2"/>
          <w:szCs w:val="20"/>
        </w:rPr>
        <w:t xml:space="preserve"> </w:t>
      </w:r>
      <w:hyperlink r:id="rId8" w:history="1">
        <w:r w:rsidRPr="000D678C">
          <w:rPr>
            <w:rStyle w:val="Hyperlink"/>
            <w:rFonts w:asciiTheme="majorHAnsi" w:hAnsiTheme="majorHAnsi" w:cstheme="majorHAnsi"/>
            <w:color w:val="C0504D" w:themeColor="accent2"/>
            <w:sz w:val="18"/>
          </w:rPr>
          <w:t>AccessAbility Day 201</w:t>
        </w:r>
      </w:hyperlink>
      <w:r w:rsidRPr="000D678C">
        <w:rPr>
          <w:rStyle w:val="Hyperlink"/>
          <w:rFonts w:asciiTheme="majorHAnsi" w:hAnsiTheme="majorHAnsi" w:cstheme="majorHAnsi"/>
          <w:color w:val="C0504D" w:themeColor="accent2"/>
          <w:sz w:val="18"/>
        </w:rPr>
        <w:t>8</w:t>
      </w:r>
      <w:r w:rsidRPr="000D678C">
        <w:rPr>
          <w:rFonts w:asciiTheme="majorHAnsi" w:hAnsiTheme="majorHAnsi" w:cstheme="majorHAnsi"/>
          <w:color w:val="C0504D" w:themeColor="accent2"/>
          <w:sz w:val="18"/>
        </w:rPr>
        <w:t>, JobAccess</w:t>
      </w:r>
    </w:p>
  </w:footnote>
  <w:footnote w:id="15">
    <w:p w14:paraId="6539013E" w14:textId="77777777" w:rsidR="00737AFA" w:rsidRPr="00F20F52" w:rsidRDefault="00737AFA">
      <w:pPr>
        <w:pStyle w:val="FootnoteText"/>
        <w:rPr>
          <w:rFonts w:ascii="Times New Roman" w:hAnsi="Times New Roman" w:cs="Times New Roman"/>
        </w:rPr>
      </w:pPr>
      <w:r w:rsidRPr="00F20F52">
        <w:rPr>
          <w:rStyle w:val="FootnoteReference"/>
          <w:rFonts w:ascii="Times New Roman" w:hAnsi="Times New Roman" w:cs="Times New Roman"/>
        </w:rPr>
        <w:footnoteRef/>
      </w:r>
      <w:r w:rsidRPr="00F20F52">
        <w:rPr>
          <w:rFonts w:ascii="Times New Roman" w:hAnsi="Times New Roman" w:cs="Times New Roman"/>
        </w:rPr>
        <w:t xml:space="preserve"> https://www.dss.gov.au/disability-and-carers-research-and-data/making-it-easier-for-small-business-to-employ-people-with-disability-research-report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260D3E0"/>
    <w:lvl w:ilvl="0">
      <w:start w:val="1"/>
      <w:numFmt w:val="decimal"/>
      <w:pStyle w:val="ListNumber"/>
      <w:lvlText w:val="%1."/>
      <w:lvlJc w:val="left"/>
      <w:pPr>
        <w:tabs>
          <w:tab w:val="num" w:pos="709"/>
        </w:tabs>
        <w:ind w:left="709" w:hanging="709"/>
      </w:pPr>
      <w:rPr>
        <w:b w:val="0"/>
        <w:color w:val="auto"/>
      </w:rPr>
    </w:lvl>
  </w:abstractNum>
  <w:abstractNum w:abstractNumId="1" w15:restartNumberingAfterBreak="0">
    <w:nsid w:val="03797042"/>
    <w:multiLevelType w:val="hybridMultilevel"/>
    <w:tmpl w:val="DDEA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A7314C"/>
    <w:multiLevelType w:val="hybridMultilevel"/>
    <w:tmpl w:val="B9D0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D2457"/>
    <w:multiLevelType w:val="hybridMultilevel"/>
    <w:tmpl w:val="CC86D0C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57470B2"/>
    <w:multiLevelType w:val="hybridMultilevel"/>
    <w:tmpl w:val="576A0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7D274E"/>
    <w:multiLevelType w:val="hybridMultilevel"/>
    <w:tmpl w:val="33B40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2172E0"/>
    <w:multiLevelType w:val="multilevel"/>
    <w:tmpl w:val="784A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51F75"/>
    <w:multiLevelType w:val="hybridMultilevel"/>
    <w:tmpl w:val="15C211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F0C4FC7"/>
    <w:multiLevelType w:val="hybridMultilevel"/>
    <w:tmpl w:val="B2645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B454A2"/>
    <w:multiLevelType w:val="hybridMultilevel"/>
    <w:tmpl w:val="462C7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62D75"/>
    <w:multiLevelType w:val="hybridMultilevel"/>
    <w:tmpl w:val="41000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6A6572C"/>
    <w:multiLevelType w:val="hybridMultilevel"/>
    <w:tmpl w:val="ED56A0C0"/>
    <w:lvl w:ilvl="0" w:tplc="F02693E6">
      <w:start w:val="1"/>
      <w:numFmt w:val="bullet"/>
      <w:lvlText w:val=""/>
      <w:lvlJc w:val="left"/>
      <w:pPr>
        <w:ind w:left="1080" w:hanging="360"/>
      </w:pPr>
      <w:rPr>
        <w:rFonts w:ascii="Symbol" w:hAnsi="Symbol" w:hint="default"/>
      </w:rPr>
    </w:lvl>
    <w:lvl w:ilvl="1" w:tplc="82EC363E" w:tentative="1">
      <w:start w:val="1"/>
      <w:numFmt w:val="bullet"/>
      <w:lvlText w:val="o"/>
      <w:lvlJc w:val="left"/>
      <w:pPr>
        <w:ind w:left="1800" w:hanging="360"/>
      </w:pPr>
      <w:rPr>
        <w:rFonts w:ascii="Courier New" w:hAnsi="Courier New" w:cs="Courier New" w:hint="default"/>
      </w:rPr>
    </w:lvl>
    <w:lvl w:ilvl="2" w:tplc="4A10CF2C" w:tentative="1">
      <w:start w:val="1"/>
      <w:numFmt w:val="bullet"/>
      <w:lvlText w:val=""/>
      <w:lvlJc w:val="left"/>
      <w:pPr>
        <w:ind w:left="2520" w:hanging="360"/>
      </w:pPr>
      <w:rPr>
        <w:rFonts w:ascii="Wingdings" w:hAnsi="Wingdings" w:hint="default"/>
      </w:rPr>
    </w:lvl>
    <w:lvl w:ilvl="3" w:tplc="4DDECE86" w:tentative="1">
      <w:start w:val="1"/>
      <w:numFmt w:val="bullet"/>
      <w:lvlText w:val=""/>
      <w:lvlJc w:val="left"/>
      <w:pPr>
        <w:ind w:left="3240" w:hanging="360"/>
      </w:pPr>
      <w:rPr>
        <w:rFonts w:ascii="Symbol" w:hAnsi="Symbol" w:hint="default"/>
      </w:rPr>
    </w:lvl>
    <w:lvl w:ilvl="4" w:tplc="6CA43AC0" w:tentative="1">
      <w:start w:val="1"/>
      <w:numFmt w:val="bullet"/>
      <w:lvlText w:val="o"/>
      <w:lvlJc w:val="left"/>
      <w:pPr>
        <w:ind w:left="3960" w:hanging="360"/>
      </w:pPr>
      <w:rPr>
        <w:rFonts w:ascii="Courier New" w:hAnsi="Courier New" w:cs="Courier New" w:hint="default"/>
      </w:rPr>
    </w:lvl>
    <w:lvl w:ilvl="5" w:tplc="2160B1C8" w:tentative="1">
      <w:start w:val="1"/>
      <w:numFmt w:val="bullet"/>
      <w:lvlText w:val=""/>
      <w:lvlJc w:val="left"/>
      <w:pPr>
        <w:ind w:left="4680" w:hanging="360"/>
      </w:pPr>
      <w:rPr>
        <w:rFonts w:ascii="Wingdings" w:hAnsi="Wingdings" w:hint="default"/>
      </w:rPr>
    </w:lvl>
    <w:lvl w:ilvl="6" w:tplc="B360F9AE" w:tentative="1">
      <w:start w:val="1"/>
      <w:numFmt w:val="bullet"/>
      <w:lvlText w:val=""/>
      <w:lvlJc w:val="left"/>
      <w:pPr>
        <w:ind w:left="5400" w:hanging="360"/>
      </w:pPr>
      <w:rPr>
        <w:rFonts w:ascii="Symbol" w:hAnsi="Symbol" w:hint="default"/>
      </w:rPr>
    </w:lvl>
    <w:lvl w:ilvl="7" w:tplc="09D212EC" w:tentative="1">
      <w:start w:val="1"/>
      <w:numFmt w:val="bullet"/>
      <w:lvlText w:val="o"/>
      <w:lvlJc w:val="left"/>
      <w:pPr>
        <w:ind w:left="6120" w:hanging="360"/>
      </w:pPr>
      <w:rPr>
        <w:rFonts w:ascii="Courier New" w:hAnsi="Courier New" w:cs="Courier New" w:hint="default"/>
      </w:rPr>
    </w:lvl>
    <w:lvl w:ilvl="8" w:tplc="5066AAA4" w:tentative="1">
      <w:start w:val="1"/>
      <w:numFmt w:val="bullet"/>
      <w:lvlText w:val=""/>
      <w:lvlJc w:val="left"/>
      <w:pPr>
        <w:ind w:left="6840" w:hanging="360"/>
      </w:pPr>
      <w:rPr>
        <w:rFonts w:ascii="Wingdings" w:hAnsi="Wingdings" w:hint="default"/>
      </w:rPr>
    </w:lvl>
  </w:abstractNum>
  <w:abstractNum w:abstractNumId="12" w15:restartNumberingAfterBreak="0">
    <w:nsid w:val="294F6692"/>
    <w:multiLevelType w:val="hybridMultilevel"/>
    <w:tmpl w:val="110C53A0"/>
    <w:lvl w:ilvl="0" w:tplc="0C090011">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2CDE78C1"/>
    <w:multiLevelType w:val="hybridMultilevel"/>
    <w:tmpl w:val="B908E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235C6"/>
    <w:multiLevelType w:val="hybridMultilevel"/>
    <w:tmpl w:val="04A69C7E"/>
    <w:lvl w:ilvl="0" w:tplc="092E7034">
      <w:start w:val="2"/>
      <w:numFmt w:val="decimal"/>
      <w:lvlText w:val="%1."/>
      <w:lvlJc w:val="left"/>
      <w:pPr>
        <w:ind w:left="360" w:hanging="360"/>
      </w:pPr>
      <w:rPr>
        <w:rFonts w:hint="default"/>
      </w:rPr>
    </w:lvl>
    <w:lvl w:ilvl="1" w:tplc="DBF2698C">
      <w:numFmt w:val="bullet"/>
      <w:lvlText w:val="-"/>
      <w:lvlJc w:val="left"/>
      <w:pPr>
        <w:ind w:left="1080" w:hanging="360"/>
      </w:pPr>
      <w:rPr>
        <w:rFonts w:ascii="Calibri" w:eastAsia="Calibri" w:hAnsi="Calibri" w:cs="Calibri" w:hint="default"/>
      </w:rPr>
    </w:lvl>
    <w:lvl w:ilvl="2" w:tplc="B93A8DDC">
      <w:start w:val="1"/>
      <w:numFmt w:val="lowerRoman"/>
      <w:lvlText w:val="%3."/>
      <w:lvlJc w:val="right"/>
      <w:pPr>
        <w:ind w:left="1800" w:hanging="180"/>
      </w:pPr>
    </w:lvl>
    <w:lvl w:ilvl="3" w:tplc="91E687E0" w:tentative="1">
      <w:start w:val="1"/>
      <w:numFmt w:val="decimal"/>
      <w:lvlText w:val="%4."/>
      <w:lvlJc w:val="left"/>
      <w:pPr>
        <w:ind w:left="2520" w:hanging="360"/>
      </w:pPr>
    </w:lvl>
    <w:lvl w:ilvl="4" w:tplc="259425FE" w:tentative="1">
      <w:start w:val="1"/>
      <w:numFmt w:val="lowerLetter"/>
      <w:lvlText w:val="%5."/>
      <w:lvlJc w:val="left"/>
      <w:pPr>
        <w:ind w:left="3240" w:hanging="360"/>
      </w:pPr>
    </w:lvl>
    <w:lvl w:ilvl="5" w:tplc="FA8C755E" w:tentative="1">
      <w:start w:val="1"/>
      <w:numFmt w:val="lowerRoman"/>
      <w:lvlText w:val="%6."/>
      <w:lvlJc w:val="right"/>
      <w:pPr>
        <w:ind w:left="3960" w:hanging="180"/>
      </w:pPr>
    </w:lvl>
    <w:lvl w:ilvl="6" w:tplc="27E289E4" w:tentative="1">
      <w:start w:val="1"/>
      <w:numFmt w:val="decimal"/>
      <w:lvlText w:val="%7."/>
      <w:lvlJc w:val="left"/>
      <w:pPr>
        <w:ind w:left="4680" w:hanging="360"/>
      </w:pPr>
    </w:lvl>
    <w:lvl w:ilvl="7" w:tplc="58A4EE4E" w:tentative="1">
      <w:start w:val="1"/>
      <w:numFmt w:val="lowerLetter"/>
      <w:lvlText w:val="%8."/>
      <w:lvlJc w:val="left"/>
      <w:pPr>
        <w:ind w:left="5400" w:hanging="360"/>
      </w:pPr>
    </w:lvl>
    <w:lvl w:ilvl="8" w:tplc="EFFA08C0" w:tentative="1">
      <w:start w:val="1"/>
      <w:numFmt w:val="lowerRoman"/>
      <w:lvlText w:val="%9."/>
      <w:lvlJc w:val="right"/>
      <w:pPr>
        <w:ind w:left="6120" w:hanging="180"/>
      </w:pPr>
    </w:lvl>
  </w:abstractNum>
  <w:abstractNum w:abstractNumId="15" w15:restartNumberingAfterBreak="0">
    <w:nsid w:val="35751467"/>
    <w:multiLevelType w:val="hybridMultilevel"/>
    <w:tmpl w:val="7E9CB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C1E1921"/>
    <w:multiLevelType w:val="hybridMultilevel"/>
    <w:tmpl w:val="7778DD2A"/>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start w:val="1"/>
      <w:numFmt w:val="bullet"/>
      <w:lvlText w:val=""/>
      <w:lvlJc w:val="left"/>
      <w:pPr>
        <w:ind w:left="2931" w:hanging="360"/>
      </w:pPr>
      <w:rPr>
        <w:rFonts w:ascii="Symbol" w:hAnsi="Symbol" w:hint="default"/>
      </w:rPr>
    </w:lvl>
    <w:lvl w:ilvl="4" w:tplc="0C090003">
      <w:start w:val="1"/>
      <w:numFmt w:val="bullet"/>
      <w:lvlText w:val="o"/>
      <w:lvlJc w:val="left"/>
      <w:pPr>
        <w:ind w:left="3651" w:hanging="360"/>
      </w:pPr>
      <w:rPr>
        <w:rFonts w:ascii="Courier New" w:hAnsi="Courier New" w:cs="Courier New" w:hint="default"/>
      </w:rPr>
    </w:lvl>
    <w:lvl w:ilvl="5" w:tplc="0C090005">
      <w:start w:val="1"/>
      <w:numFmt w:val="bullet"/>
      <w:lvlText w:val=""/>
      <w:lvlJc w:val="left"/>
      <w:pPr>
        <w:ind w:left="4371" w:hanging="360"/>
      </w:pPr>
      <w:rPr>
        <w:rFonts w:ascii="Wingdings" w:hAnsi="Wingdings" w:hint="default"/>
      </w:rPr>
    </w:lvl>
    <w:lvl w:ilvl="6" w:tplc="0C090001">
      <w:start w:val="1"/>
      <w:numFmt w:val="bullet"/>
      <w:lvlText w:val=""/>
      <w:lvlJc w:val="left"/>
      <w:pPr>
        <w:ind w:left="5091" w:hanging="360"/>
      </w:pPr>
      <w:rPr>
        <w:rFonts w:ascii="Symbol" w:hAnsi="Symbol" w:hint="default"/>
      </w:rPr>
    </w:lvl>
    <w:lvl w:ilvl="7" w:tplc="0C090003">
      <w:start w:val="1"/>
      <w:numFmt w:val="bullet"/>
      <w:lvlText w:val="o"/>
      <w:lvlJc w:val="left"/>
      <w:pPr>
        <w:ind w:left="5811" w:hanging="360"/>
      </w:pPr>
      <w:rPr>
        <w:rFonts w:ascii="Courier New" w:hAnsi="Courier New" w:cs="Courier New" w:hint="default"/>
      </w:rPr>
    </w:lvl>
    <w:lvl w:ilvl="8" w:tplc="0C090005">
      <w:start w:val="1"/>
      <w:numFmt w:val="bullet"/>
      <w:lvlText w:val=""/>
      <w:lvlJc w:val="left"/>
      <w:pPr>
        <w:ind w:left="6531" w:hanging="360"/>
      </w:pPr>
      <w:rPr>
        <w:rFonts w:ascii="Wingdings" w:hAnsi="Wingdings" w:hint="default"/>
      </w:rPr>
    </w:lvl>
  </w:abstractNum>
  <w:abstractNum w:abstractNumId="17" w15:restartNumberingAfterBreak="0">
    <w:nsid w:val="3CF55441"/>
    <w:multiLevelType w:val="hybridMultilevel"/>
    <w:tmpl w:val="3034C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791780"/>
    <w:multiLevelType w:val="hybridMultilevel"/>
    <w:tmpl w:val="7FDCB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165D7A"/>
    <w:multiLevelType w:val="hybridMultilevel"/>
    <w:tmpl w:val="D98C7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A0CB9"/>
    <w:multiLevelType w:val="multilevel"/>
    <w:tmpl w:val="84A2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84604"/>
    <w:multiLevelType w:val="hybridMultilevel"/>
    <w:tmpl w:val="B1AEF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70023B"/>
    <w:multiLevelType w:val="hybridMultilevel"/>
    <w:tmpl w:val="6E9CD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B11ED3"/>
    <w:multiLevelType w:val="hybridMultilevel"/>
    <w:tmpl w:val="89C0F386"/>
    <w:lvl w:ilvl="0" w:tplc="7134711A">
      <w:start w:val="1"/>
      <w:numFmt w:val="bullet"/>
      <w:lvlText w:val="o"/>
      <w:lvlJc w:val="left"/>
      <w:pPr>
        <w:ind w:left="1495" w:hanging="360"/>
      </w:pPr>
      <w:rPr>
        <w:rFonts w:ascii="Courier New" w:hAnsi="Courier New" w:cs="Courier New" w:hint="default"/>
      </w:rPr>
    </w:lvl>
    <w:lvl w:ilvl="1" w:tplc="7D76B59C" w:tentative="1">
      <w:start w:val="1"/>
      <w:numFmt w:val="bullet"/>
      <w:lvlText w:val="o"/>
      <w:lvlJc w:val="left"/>
      <w:pPr>
        <w:ind w:left="2215" w:hanging="360"/>
      </w:pPr>
      <w:rPr>
        <w:rFonts w:ascii="Courier New" w:hAnsi="Courier New" w:cs="Courier New" w:hint="default"/>
      </w:rPr>
    </w:lvl>
    <w:lvl w:ilvl="2" w:tplc="B2EECE52" w:tentative="1">
      <w:start w:val="1"/>
      <w:numFmt w:val="bullet"/>
      <w:lvlText w:val=""/>
      <w:lvlJc w:val="left"/>
      <w:pPr>
        <w:ind w:left="2935" w:hanging="360"/>
      </w:pPr>
      <w:rPr>
        <w:rFonts w:ascii="Wingdings" w:hAnsi="Wingdings" w:hint="default"/>
      </w:rPr>
    </w:lvl>
    <w:lvl w:ilvl="3" w:tplc="D666A016" w:tentative="1">
      <w:start w:val="1"/>
      <w:numFmt w:val="bullet"/>
      <w:lvlText w:val=""/>
      <w:lvlJc w:val="left"/>
      <w:pPr>
        <w:ind w:left="3655" w:hanging="360"/>
      </w:pPr>
      <w:rPr>
        <w:rFonts w:ascii="Symbol" w:hAnsi="Symbol" w:hint="default"/>
      </w:rPr>
    </w:lvl>
    <w:lvl w:ilvl="4" w:tplc="DAE4DA62" w:tentative="1">
      <w:start w:val="1"/>
      <w:numFmt w:val="bullet"/>
      <w:lvlText w:val="o"/>
      <w:lvlJc w:val="left"/>
      <w:pPr>
        <w:ind w:left="4375" w:hanging="360"/>
      </w:pPr>
      <w:rPr>
        <w:rFonts w:ascii="Courier New" w:hAnsi="Courier New" w:cs="Courier New" w:hint="default"/>
      </w:rPr>
    </w:lvl>
    <w:lvl w:ilvl="5" w:tplc="65EA2074" w:tentative="1">
      <w:start w:val="1"/>
      <w:numFmt w:val="bullet"/>
      <w:lvlText w:val=""/>
      <w:lvlJc w:val="left"/>
      <w:pPr>
        <w:ind w:left="5095" w:hanging="360"/>
      </w:pPr>
      <w:rPr>
        <w:rFonts w:ascii="Wingdings" w:hAnsi="Wingdings" w:hint="default"/>
      </w:rPr>
    </w:lvl>
    <w:lvl w:ilvl="6" w:tplc="4CAE3AB6" w:tentative="1">
      <w:start w:val="1"/>
      <w:numFmt w:val="bullet"/>
      <w:lvlText w:val=""/>
      <w:lvlJc w:val="left"/>
      <w:pPr>
        <w:ind w:left="5815" w:hanging="360"/>
      </w:pPr>
      <w:rPr>
        <w:rFonts w:ascii="Symbol" w:hAnsi="Symbol" w:hint="default"/>
      </w:rPr>
    </w:lvl>
    <w:lvl w:ilvl="7" w:tplc="E398EE18" w:tentative="1">
      <w:start w:val="1"/>
      <w:numFmt w:val="bullet"/>
      <w:lvlText w:val="o"/>
      <w:lvlJc w:val="left"/>
      <w:pPr>
        <w:ind w:left="6535" w:hanging="360"/>
      </w:pPr>
      <w:rPr>
        <w:rFonts w:ascii="Courier New" w:hAnsi="Courier New" w:cs="Courier New" w:hint="default"/>
      </w:rPr>
    </w:lvl>
    <w:lvl w:ilvl="8" w:tplc="BD62F358" w:tentative="1">
      <w:start w:val="1"/>
      <w:numFmt w:val="bullet"/>
      <w:lvlText w:val=""/>
      <w:lvlJc w:val="left"/>
      <w:pPr>
        <w:ind w:left="7255" w:hanging="360"/>
      </w:pPr>
      <w:rPr>
        <w:rFonts w:ascii="Wingdings" w:hAnsi="Wingdings" w:hint="default"/>
      </w:rPr>
    </w:lvl>
  </w:abstractNum>
  <w:abstractNum w:abstractNumId="24" w15:restartNumberingAfterBreak="0">
    <w:nsid w:val="56DA37D6"/>
    <w:multiLevelType w:val="hybridMultilevel"/>
    <w:tmpl w:val="91CCE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1E277E"/>
    <w:multiLevelType w:val="hybridMultilevel"/>
    <w:tmpl w:val="824C1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7106A2"/>
    <w:multiLevelType w:val="hybridMultilevel"/>
    <w:tmpl w:val="CCFEB592"/>
    <w:lvl w:ilvl="0" w:tplc="0C090011">
      <w:start w:val="4"/>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602F4129"/>
    <w:multiLevelType w:val="hybridMultilevel"/>
    <w:tmpl w:val="FD1CA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C1BDB"/>
    <w:multiLevelType w:val="hybridMultilevel"/>
    <w:tmpl w:val="8BB62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A163E0"/>
    <w:multiLevelType w:val="hybridMultilevel"/>
    <w:tmpl w:val="BE6CC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C850AA5"/>
    <w:multiLevelType w:val="hybridMultilevel"/>
    <w:tmpl w:val="08FC0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72003"/>
    <w:multiLevelType w:val="hybridMultilevel"/>
    <w:tmpl w:val="86084F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C4A6542"/>
    <w:multiLevelType w:val="hybridMultilevel"/>
    <w:tmpl w:val="9D8E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774432"/>
    <w:multiLevelType w:val="hybridMultilevel"/>
    <w:tmpl w:val="0D18D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0"/>
  </w:num>
  <w:num w:numId="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4"/>
  </w:num>
  <w:num w:numId="9">
    <w:abstractNumId w:val="33"/>
  </w:num>
  <w:num w:numId="10">
    <w:abstractNumId w:val="14"/>
  </w:num>
  <w:num w:numId="11">
    <w:abstractNumId w:val="11"/>
  </w:num>
  <w:num w:numId="12">
    <w:abstractNumId w:val="23"/>
  </w:num>
  <w:num w:numId="13">
    <w:abstractNumId w:val="7"/>
  </w:num>
  <w:num w:numId="14">
    <w:abstractNumId w:val="12"/>
  </w:num>
  <w:num w:numId="15">
    <w:abstractNumId w:val="32"/>
  </w:num>
  <w:num w:numId="16">
    <w:abstractNumId w:val="31"/>
  </w:num>
  <w:num w:numId="17">
    <w:abstractNumId w:val="27"/>
  </w:num>
  <w:num w:numId="18">
    <w:abstractNumId w:val="1"/>
  </w:num>
  <w:num w:numId="19">
    <w:abstractNumId w:val="0"/>
    <w:lvlOverride w:ilvl="0">
      <w:startOverride w:val="1"/>
    </w:lvlOverride>
  </w:num>
  <w:num w:numId="20">
    <w:abstractNumId w:val="25"/>
  </w:num>
  <w:num w:numId="21">
    <w:abstractNumId w:val="16"/>
  </w:num>
  <w:num w:numId="22">
    <w:abstractNumId w:val="21"/>
  </w:num>
  <w:num w:numId="23">
    <w:abstractNumId w:val="3"/>
  </w:num>
  <w:num w:numId="24">
    <w:abstractNumId w:val="13"/>
  </w:num>
  <w:num w:numId="25">
    <w:abstractNumId w:val="15"/>
  </w:num>
  <w:num w:numId="26">
    <w:abstractNumId w:val="2"/>
  </w:num>
  <w:num w:numId="27">
    <w:abstractNumId w:val="9"/>
  </w:num>
  <w:num w:numId="28">
    <w:abstractNumId w:val="6"/>
  </w:num>
  <w:num w:numId="29">
    <w:abstractNumId w:val="18"/>
  </w:num>
  <w:num w:numId="30">
    <w:abstractNumId w:val="22"/>
  </w:num>
  <w:num w:numId="31">
    <w:abstractNumId w:val="30"/>
  </w:num>
  <w:num w:numId="32">
    <w:abstractNumId w:val="5"/>
  </w:num>
  <w:num w:numId="33">
    <w:abstractNumId w:val="8"/>
  </w:num>
  <w:num w:numId="34">
    <w:abstractNumId w:val="2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988"/>
    <w:rsid w:val="00000279"/>
    <w:rsid w:val="00005633"/>
    <w:rsid w:val="000058C3"/>
    <w:rsid w:val="00006FF4"/>
    <w:rsid w:val="00013125"/>
    <w:rsid w:val="00014139"/>
    <w:rsid w:val="000275A8"/>
    <w:rsid w:val="00035A18"/>
    <w:rsid w:val="000458E5"/>
    <w:rsid w:val="00061E6D"/>
    <w:rsid w:val="00070E11"/>
    <w:rsid w:val="000751B8"/>
    <w:rsid w:val="000A1926"/>
    <w:rsid w:val="000A3978"/>
    <w:rsid w:val="000A6E2D"/>
    <w:rsid w:val="000B3424"/>
    <w:rsid w:val="000C1F1A"/>
    <w:rsid w:val="000C676B"/>
    <w:rsid w:val="000D678C"/>
    <w:rsid w:val="000E2D07"/>
    <w:rsid w:val="000F2C93"/>
    <w:rsid w:val="001011B3"/>
    <w:rsid w:val="00105EFD"/>
    <w:rsid w:val="001120C6"/>
    <w:rsid w:val="00123E99"/>
    <w:rsid w:val="00125225"/>
    <w:rsid w:val="001618DD"/>
    <w:rsid w:val="001B13FD"/>
    <w:rsid w:val="001B58DD"/>
    <w:rsid w:val="001D64AE"/>
    <w:rsid w:val="001E630D"/>
    <w:rsid w:val="0021156B"/>
    <w:rsid w:val="00212531"/>
    <w:rsid w:val="0022666E"/>
    <w:rsid w:val="00230193"/>
    <w:rsid w:val="00231FFE"/>
    <w:rsid w:val="00232B5C"/>
    <w:rsid w:val="00234023"/>
    <w:rsid w:val="00245988"/>
    <w:rsid w:val="00250DA2"/>
    <w:rsid w:val="00274D13"/>
    <w:rsid w:val="002765B7"/>
    <w:rsid w:val="00284DC9"/>
    <w:rsid w:val="00287CF2"/>
    <w:rsid w:val="002C2D6B"/>
    <w:rsid w:val="002C47A0"/>
    <w:rsid w:val="002D01B3"/>
    <w:rsid w:val="002D01BF"/>
    <w:rsid w:val="002D6519"/>
    <w:rsid w:val="002D7359"/>
    <w:rsid w:val="002E1D6C"/>
    <w:rsid w:val="002E3F2F"/>
    <w:rsid w:val="002F237D"/>
    <w:rsid w:val="00302369"/>
    <w:rsid w:val="00302E87"/>
    <w:rsid w:val="003207A5"/>
    <w:rsid w:val="00340AC4"/>
    <w:rsid w:val="00344D76"/>
    <w:rsid w:val="00347E81"/>
    <w:rsid w:val="003815C8"/>
    <w:rsid w:val="00383C0B"/>
    <w:rsid w:val="0039327E"/>
    <w:rsid w:val="00393471"/>
    <w:rsid w:val="003A3860"/>
    <w:rsid w:val="003B2BB8"/>
    <w:rsid w:val="003D34FF"/>
    <w:rsid w:val="003D49A3"/>
    <w:rsid w:val="003D6764"/>
    <w:rsid w:val="00402AD3"/>
    <w:rsid w:val="00415777"/>
    <w:rsid w:val="004225C6"/>
    <w:rsid w:val="00427EE7"/>
    <w:rsid w:val="004464FB"/>
    <w:rsid w:val="00472247"/>
    <w:rsid w:val="004941F8"/>
    <w:rsid w:val="004B54CA"/>
    <w:rsid w:val="004E5088"/>
    <w:rsid w:val="004E5974"/>
    <w:rsid w:val="004E5CBF"/>
    <w:rsid w:val="004E7263"/>
    <w:rsid w:val="004F080C"/>
    <w:rsid w:val="00501689"/>
    <w:rsid w:val="00516111"/>
    <w:rsid w:val="00546BCE"/>
    <w:rsid w:val="00546BE8"/>
    <w:rsid w:val="0056078A"/>
    <w:rsid w:val="005822BD"/>
    <w:rsid w:val="005848C7"/>
    <w:rsid w:val="005A1C80"/>
    <w:rsid w:val="005B40A2"/>
    <w:rsid w:val="005B5953"/>
    <w:rsid w:val="005C3AA9"/>
    <w:rsid w:val="005D7EE9"/>
    <w:rsid w:val="005E089A"/>
    <w:rsid w:val="005E2BC3"/>
    <w:rsid w:val="005E5D41"/>
    <w:rsid w:val="005E7C6F"/>
    <w:rsid w:val="006045EE"/>
    <w:rsid w:val="0060611C"/>
    <w:rsid w:val="006129DF"/>
    <w:rsid w:val="00612FBF"/>
    <w:rsid w:val="00615E8C"/>
    <w:rsid w:val="00621B7E"/>
    <w:rsid w:val="00621FC5"/>
    <w:rsid w:val="00626D45"/>
    <w:rsid w:val="00635849"/>
    <w:rsid w:val="00637B02"/>
    <w:rsid w:val="00641CBB"/>
    <w:rsid w:val="006433A6"/>
    <w:rsid w:val="00665876"/>
    <w:rsid w:val="006707A3"/>
    <w:rsid w:val="00682AE6"/>
    <w:rsid w:val="00683A84"/>
    <w:rsid w:val="00686F36"/>
    <w:rsid w:val="0069586A"/>
    <w:rsid w:val="00696E5D"/>
    <w:rsid w:val="006A4CE7"/>
    <w:rsid w:val="006A4F33"/>
    <w:rsid w:val="006A6190"/>
    <w:rsid w:val="006B0AE0"/>
    <w:rsid w:val="006B5C48"/>
    <w:rsid w:val="006B7E4C"/>
    <w:rsid w:val="006E351B"/>
    <w:rsid w:val="006F1321"/>
    <w:rsid w:val="006F3FB1"/>
    <w:rsid w:val="006F65B8"/>
    <w:rsid w:val="006F6A88"/>
    <w:rsid w:val="0070222A"/>
    <w:rsid w:val="00703973"/>
    <w:rsid w:val="00705975"/>
    <w:rsid w:val="007161CA"/>
    <w:rsid w:val="007311D3"/>
    <w:rsid w:val="007359D2"/>
    <w:rsid w:val="00737AFA"/>
    <w:rsid w:val="007516A4"/>
    <w:rsid w:val="00752868"/>
    <w:rsid w:val="00766A3F"/>
    <w:rsid w:val="0077140B"/>
    <w:rsid w:val="0077191D"/>
    <w:rsid w:val="00785261"/>
    <w:rsid w:val="00791299"/>
    <w:rsid w:val="007B0256"/>
    <w:rsid w:val="007B4C2E"/>
    <w:rsid w:val="007B74A6"/>
    <w:rsid w:val="007D1795"/>
    <w:rsid w:val="007E5DBE"/>
    <w:rsid w:val="00816465"/>
    <w:rsid w:val="00826ECB"/>
    <w:rsid w:val="0083177B"/>
    <w:rsid w:val="00831C2C"/>
    <w:rsid w:val="0084177D"/>
    <w:rsid w:val="008542DE"/>
    <w:rsid w:val="008727C3"/>
    <w:rsid w:val="00883134"/>
    <w:rsid w:val="00885F5A"/>
    <w:rsid w:val="008B5E37"/>
    <w:rsid w:val="008C6B36"/>
    <w:rsid w:val="008E0AF7"/>
    <w:rsid w:val="008E14EB"/>
    <w:rsid w:val="008F3912"/>
    <w:rsid w:val="008F7655"/>
    <w:rsid w:val="0090275E"/>
    <w:rsid w:val="009225F0"/>
    <w:rsid w:val="009231BC"/>
    <w:rsid w:val="0093462C"/>
    <w:rsid w:val="00944321"/>
    <w:rsid w:val="00952249"/>
    <w:rsid w:val="0095263A"/>
    <w:rsid w:val="00953795"/>
    <w:rsid w:val="00973610"/>
    <w:rsid w:val="00974189"/>
    <w:rsid w:val="009741E5"/>
    <w:rsid w:val="009922C7"/>
    <w:rsid w:val="009B24E9"/>
    <w:rsid w:val="009C6C1A"/>
    <w:rsid w:val="009D37F4"/>
    <w:rsid w:val="009D6CBE"/>
    <w:rsid w:val="009E0696"/>
    <w:rsid w:val="00A05FF1"/>
    <w:rsid w:val="00A47799"/>
    <w:rsid w:val="00A57E1F"/>
    <w:rsid w:val="00A6225A"/>
    <w:rsid w:val="00A702F9"/>
    <w:rsid w:val="00A7650C"/>
    <w:rsid w:val="00A80D26"/>
    <w:rsid w:val="00A879B7"/>
    <w:rsid w:val="00A95334"/>
    <w:rsid w:val="00AA682A"/>
    <w:rsid w:val="00AC564F"/>
    <w:rsid w:val="00AD2E8F"/>
    <w:rsid w:val="00AD73D8"/>
    <w:rsid w:val="00AE5CF2"/>
    <w:rsid w:val="00AF5EB8"/>
    <w:rsid w:val="00AF6D96"/>
    <w:rsid w:val="00B0355F"/>
    <w:rsid w:val="00B04ED8"/>
    <w:rsid w:val="00B27A81"/>
    <w:rsid w:val="00B54CD4"/>
    <w:rsid w:val="00B5632E"/>
    <w:rsid w:val="00B8115C"/>
    <w:rsid w:val="00B91E3E"/>
    <w:rsid w:val="00BA2DB9"/>
    <w:rsid w:val="00BA6B4A"/>
    <w:rsid w:val="00BB12F6"/>
    <w:rsid w:val="00BB2139"/>
    <w:rsid w:val="00BB26F2"/>
    <w:rsid w:val="00BB7EA5"/>
    <w:rsid w:val="00BC5715"/>
    <w:rsid w:val="00BE7148"/>
    <w:rsid w:val="00BF52B1"/>
    <w:rsid w:val="00C21B9B"/>
    <w:rsid w:val="00C31CBE"/>
    <w:rsid w:val="00C359C2"/>
    <w:rsid w:val="00C51C27"/>
    <w:rsid w:val="00C62600"/>
    <w:rsid w:val="00C733C0"/>
    <w:rsid w:val="00C76AA3"/>
    <w:rsid w:val="00C84DD7"/>
    <w:rsid w:val="00C91A50"/>
    <w:rsid w:val="00CA1FF6"/>
    <w:rsid w:val="00CA2113"/>
    <w:rsid w:val="00CB465A"/>
    <w:rsid w:val="00CB5863"/>
    <w:rsid w:val="00CC1FB2"/>
    <w:rsid w:val="00CD2D1E"/>
    <w:rsid w:val="00CE260E"/>
    <w:rsid w:val="00CE5792"/>
    <w:rsid w:val="00CE5B8B"/>
    <w:rsid w:val="00D01954"/>
    <w:rsid w:val="00D174BD"/>
    <w:rsid w:val="00D17A64"/>
    <w:rsid w:val="00D35092"/>
    <w:rsid w:val="00D507A8"/>
    <w:rsid w:val="00D5471C"/>
    <w:rsid w:val="00D55595"/>
    <w:rsid w:val="00D562BF"/>
    <w:rsid w:val="00D67191"/>
    <w:rsid w:val="00D734A1"/>
    <w:rsid w:val="00D737F8"/>
    <w:rsid w:val="00D7636C"/>
    <w:rsid w:val="00DA243A"/>
    <w:rsid w:val="00DB0E5E"/>
    <w:rsid w:val="00DB6E81"/>
    <w:rsid w:val="00DD0D3C"/>
    <w:rsid w:val="00DD5D8A"/>
    <w:rsid w:val="00DE5153"/>
    <w:rsid w:val="00DE6A49"/>
    <w:rsid w:val="00E0052C"/>
    <w:rsid w:val="00E050D0"/>
    <w:rsid w:val="00E22A49"/>
    <w:rsid w:val="00E273E4"/>
    <w:rsid w:val="00E40369"/>
    <w:rsid w:val="00E46BDD"/>
    <w:rsid w:val="00E51638"/>
    <w:rsid w:val="00E5260E"/>
    <w:rsid w:val="00E617D8"/>
    <w:rsid w:val="00E66819"/>
    <w:rsid w:val="00E77C2C"/>
    <w:rsid w:val="00EA12D8"/>
    <w:rsid w:val="00EE2FCE"/>
    <w:rsid w:val="00F03C66"/>
    <w:rsid w:val="00F16FDA"/>
    <w:rsid w:val="00F20F52"/>
    <w:rsid w:val="00F229CC"/>
    <w:rsid w:val="00F30AFE"/>
    <w:rsid w:val="00F3515F"/>
    <w:rsid w:val="00F3616B"/>
    <w:rsid w:val="00F577F1"/>
    <w:rsid w:val="00F65D61"/>
    <w:rsid w:val="00F84CC9"/>
    <w:rsid w:val="00F92D4A"/>
    <w:rsid w:val="00FB708C"/>
    <w:rsid w:val="00FC6E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54A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0Bullet,Bullet point,CV text,Dot pt,F5 List Paragraph,FooterText,L,List Paragraph1,List Paragraph11,List Paragraph111,List Paragraph2,Medium Grid 1 - Accent 21,NFP GP Bulleted List,Table text,numbered,列出段,Recommendation,Numbered Paragraph"/>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basedOn w:val="DefaultParagraphFont"/>
    <w:uiPriority w:val="99"/>
    <w:unhideWhenUsed/>
    <w:rsid w:val="001B13FD"/>
    <w:rPr>
      <w:color w:val="0000FF" w:themeColor="hyperlink"/>
      <w:u w:val="single"/>
    </w:rPr>
  </w:style>
  <w:style w:type="character" w:styleId="FollowedHyperlink">
    <w:name w:val="FollowedHyperlink"/>
    <w:basedOn w:val="DefaultParagraphFont"/>
    <w:uiPriority w:val="99"/>
    <w:semiHidden/>
    <w:unhideWhenUsed/>
    <w:rsid w:val="001B13FD"/>
    <w:rPr>
      <w:color w:val="800080" w:themeColor="followedHyperlink"/>
      <w:u w:val="single"/>
    </w:rPr>
  </w:style>
  <w:style w:type="paragraph" w:styleId="FootnoteText">
    <w:name w:val="footnote text"/>
    <w:aliases w:val="5_G,Footnote Text Char1 Char,Footnote Text Char Char Char,Footnote Text Char Char Char Char Char Char Char Char Char Char Char,Footnote Text Char Char Char Char Char Char Char Char,Footnote Text Char2 Char,Char,FA Fu"/>
    <w:basedOn w:val="Normal"/>
    <w:link w:val="FootnoteTextChar"/>
    <w:uiPriority w:val="99"/>
    <w:unhideWhenUsed/>
    <w:rsid w:val="001B13FD"/>
    <w:pPr>
      <w:suppressAutoHyphens/>
      <w:autoSpaceDN w:val="0"/>
      <w:spacing w:after="0" w:line="240" w:lineRule="auto"/>
    </w:pPr>
    <w:rPr>
      <w:rFonts w:ascii="Calibri" w:eastAsia="Calibri" w:hAnsi="Calibri" w:cs="Mangal"/>
      <w:sz w:val="20"/>
      <w:szCs w:val="18"/>
      <w:lang w:eastAsia="zh-CN" w:bidi="hi-IN"/>
    </w:rPr>
  </w:style>
  <w:style w:type="character" w:customStyle="1" w:styleId="FootnoteTextChar">
    <w:name w:val="Footnote Text Char"/>
    <w:aliases w:val="5_G Char,Footnote Text Char1 Char Char,Footnote Text Char Char Char Char,Footnote Text Char Char Char Char Char Char Char Char Char Char Char Char,Footnote Text Char Char Char Char Char Char Char Char Char,Char Char,FA Fu Char"/>
    <w:basedOn w:val="DefaultParagraphFont"/>
    <w:link w:val="FootnoteText"/>
    <w:uiPriority w:val="99"/>
    <w:rsid w:val="001B13FD"/>
    <w:rPr>
      <w:rFonts w:ascii="Calibri" w:eastAsia="Calibri" w:hAnsi="Calibri" w:cs="Mangal"/>
      <w:sz w:val="20"/>
      <w:szCs w:val="18"/>
      <w:lang w:eastAsia="zh-CN" w:bidi="hi-IN"/>
    </w:rPr>
  </w:style>
  <w:style w:type="paragraph" w:customStyle="1" w:styleId="Standard">
    <w:name w:val="Standard"/>
    <w:rsid w:val="001B13FD"/>
    <w:pPr>
      <w:widowControl w:val="0"/>
      <w:suppressAutoHyphens/>
      <w:autoSpaceDN w:val="0"/>
      <w:spacing w:after="160" w:line="256" w:lineRule="auto"/>
    </w:pPr>
    <w:rPr>
      <w:rFonts w:ascii="Calibri" w:eastAsia="Calibri" w:hAnsi="Calibri" w:cs="Calibri"/>
      <w:lang w:eastAsia="zh-CN" w:bidi="hi-IN"/>
    </w:rPr>
  </w:style>
  <w:style w:type="character" w:styleId="FootnoteReference">
    <w:name w:val="footnote reference"/>
    <w:aliases w:val="4_G,(NECG) Footnote Reference,Footnote Ref,16 Point,Superscript 6 Point,ftref,Footnote Refernece,callout,Footnote Reference Superscript,Footnotes refss,Appel note de bas de p.,Footnote Reference Number,BVI fnr,Fn Ref,Style 10"/>
    <w:basedOn w:val="DefaultParagraphFont"/>
    <w:uiPriority w:val="99"/>
    <w:unhideWhenUsed/>
    <w:rsid w:val="001B13FD"/>
    <w:rPr>
      <w:vertAlign w:val="superscript"/>
    </w:rPr>
  </w:style>
  <w:style w:type="character" w:customStyle="1" w:styleId="ListParagraphChar">
    <w:name w:val="List Paragraph Char"/>
    <w:aliases w:val="0Bullet Char,Bullet point Char,CV text Char,Dot pt Char,F5 List Paragraph Char,FooterText Char,L Char,List Paragraph1 Char,List Paragraph11 Char,List Paragraph111 Char,List Paragraph2 Char,Medium Grid 1 - Accent 21 Char,numbered Char"/>
    <w:basedOn w:val="DefaultParagraphFont"/>
    <w:link w:val="ListParagraph"/>
    <w:uiPriority w:val="1"/>
    <w:locked/>
    <w:rsid w:val="001B13FD"/>
    <w:rPr>
      <w:rFonts w:ascii="Arial" w:hAnsi="Arial"/>
    </w:rPr>
  </w:style>
  <w:style w:type="paragraph" w:styleId="NormalWeb">
    <w:name w:val="Normal (Web)"/>
    <w:basedOn w:val="Normal"/>
    <w:uiPriority w:val="99"/>
    <w:semiHidden/>
    <w:unhideWhenUsed/>
    <w:rsid w:val="002D7359"/>
    <w:pPr>
      <w:spacing w:before="240" w:after="24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347E81"/>
    <w:rPr>
      <w:sz w:val="16"/>
      <w:szCs w:val="16"/>
    </w:rPr>
  </w:style>
  <w:style w:type="paragraph" w:styleId="CommentText">
    <w:name w:val="annotation text"/>
    <w:basedOn w:val="Normal"/>
    <w:link w:val="CommentTextChar"/>
    <w:unhideWhenUsed/>
    <w:rsid w:val="00347E81"/>
    <w:pPr>
      <w:spacing w:line="240" w:lineRule="auto"/>
    </w:pPr>
    <w:rPr>
      <w:sz w:val="20"/>
      <w:szCs w:val="20"/>
    </w:rPr>
  </w:style>
  <w:style w:type="character" w:customStyle="1" w:styleId="CommentTextChar">
    <w:name w:val="Comment Text Char"/>
    <w:basedOn w:val="DefaultParagraphFont"/>
    <w:link w:val="CommentText"/>
    <w:rsid w:val="00347E8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47E81"/>
    <w:rPr>
      <w:b/>
      <w:bCs/>
    </w:rPr>
  </w:style>
  <w:style w:type="character" w:customStyle="1" w:styleId="CommentSubjectChar">
    <w:name w:val="Comment Subject Char"/>
    <w:basedOn w:val="CommentTextChar"/>
    <w:link w:val="CommentSubject"/>
    <w:uiPriority w:val="99"/>
    <w:semiHidden/>
    <w:rsid w:val="00347E81"/>
    <w:rPr>
      <w:rFonts w:ascii="Arial" w:hAnsi="Arial"/>
      <w:b/>
      <w:bCs/>
      <w:sz w:val="20"/>
      <w:szCs w:val="20"/>
    </w:rPr>
  </w:style>
  <w:style w:type="paragraph" w:styleId="BalloonText">
    <w:name w:val="Balloon Text"/>
    <w:basedOn w:val="Normal"/>
    <w:link w:val="BalloonTextChar"/>
    <w:uiPriority w:val="99"/>
    <w:semiHidden/>
    <w:unhideWhenUsed/>
    <w:rsid w:val="00347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81"/>
    <w:rPr>
      <w:rFonts w:ascii="Segoe UI" w:hAnsi="Segoe UI" w:cs="Segoe UI"/>
      <w:sz w:val="18"/>
      <w:szCs w:val="18"/>
    </w:rPr>
  </w:style>
  <w:style w:type="paragraph" w:styleId="ListNumber">
    <w:name w:val="List Number"/>
    <w:basedOn w:val="Normal"/>
    <w:uiPriority w:val="99"/>
    <w:semiHidden/>
    <w:unhideWhenUsed/>
    <w:rsid w:val="00C76AA3"/>
    <w:pPr>
      <w:numPr>
        <w:numId w:val="19"/>
      </w:numPr>
      <w:spacing w:after="0" w:line="360" w:lineRule="auto"/>
    </w:pPr>
    <w:rPr>
      <w:rFonts w:cs="Arial"/>
      <w:sz w:val="28"/>
      <w:szCs w:val="28"/>
    </w:rPr>
  </w:style>
  <w:style w:type="paragraph" w:customStyle="1" w:styleId="SingleTxtG">
    <w:name w:val="_ Single Txt_G"/>
    <w:basedOn w:val="Normal"/>
    <w:link w:val="SingleTxtGChar"/>
    <w:qFormat/>
    <w:rsid w:val="00105EFD"/>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105EFD"/>
    <w:rPr>
      <w:rFonts w:ascii="Times New Roman" w:eastAsia="SimSun" w:hAnsi="Times New Roman" w:cs="Times New Roman"/>
      <w:sz w:val="20"/>
      <w:szCs w:val="20"/>
      <w:lang w:val="en-GB" w:eastAsia="zh-CN"/>
    </w:rPr>
  </w:style>
  <w:style w:type="character" w:styleId="EndnoteReference">
    <w:name w:val="endnote reference"/>
    <w:basedOn w:val="DefaultParagraphFont"/>
    <w:uiPriority w:val="99"/>
    <w:semiHidden/>
    <w:unhideWhenUsed/>
    <w:rsid w:val="00BB26F2"/>
    <w:rPr>
      <w:rFonts w:ascii="Open Sans" w:hAnsi="Open Sans"/>
      <w:sz w:val="20"/>
      <w:vertAlign w:val="superscript"/>
    </w:rPr>
  </w:style>
  <w:style w:type="paragraph" w:styleId="EndnoteText">
    <w:name w:val="endnote text"/>
    <w:basedOn w:val="Normal"/>
    <w:link w:val="EndnoteTextChar"/>
    <w:uiPriority w:val="99"/>
    <w:semiHidden/>
    <w:unhideWhenUsed/>
    <w:rsid w:val="00BB26F2"/>
    <w:pPr>
      <w:spacing w:after="0" w:line="240" w:lineRule="auto"/>
    </w:pPr>
    <w:rPr>
      <w:rFonts w:ascii="Open Sans" w:eastAsiaTheme="minorEastAsia" w:hAnsi="Open Sans"/>
      <w:sz w:val="20"/>
      <w:szCs w:val="20"/>
      <w:lang w:eastAsia="zh-CN"/>
    </w:rPr>
  </w:style>
  <w:style w:type="character" w:customStyle="1" w:styleId="EndnoteTextChar">
    <w:name w:val="Endnote Text Char"/>
    <w:basedOn w:val="DefaultParagraphFont"/>
    <w:link w:val="EndnoteText"/>
    <w:uiPriority w:val="99"/>
    <w:semiHidden/>
    <w:rsid w:val="00BB26F2"/>
    <w:rPr>
      <w:rFonts w:ascii="Open Sans" w:eastAsiaTheme="minorEastAsia" w:hAnsi="Open San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0806">
      <w:bodyDiv w:val="1"/>
      <w:marLeft w:val="0"/>
      <w:marRight w:val="0"/>
      <w:marTop w:val="0"/>
      <w:marBottom w:val="0"/>
      <w:divBdr>
        <w:top w:val="none" w:sz="0" w:space="0" w:color="auto"/>
        <w:left w:val="none" w:sz="0" w:space="0" w:color="auto"/>
        <w:bottom w:val="none" w:sz="0" w:space="0" w:color="auto"/>
        <w:right w:val="none" w:sz="0" w:space="0" w:color="auto"/>
      </w:divBdr>
    </w:div>
    <w:div w:id="303974900">
      <w:bodyDiv w:val="1"/>
      <w:marLeft w:val="0"/>
      <w:marRight w:val="0"/>
      <w:marTop w:val="0"/>
      <w:marBottom w:val="0"/>
      <w:divBdr>
        <w:top w:val="none" w:sz="0" w:space="0" w:color="auto"/>
        <w:left w:val="none" w:sz="0" w:space="0" w:color="auto"/>
        <w:bottom w:val="none" w:sz="0" w:space="0" w:color="auto"/>
        <w:right w:val="none" w:sz="0" w:space="0" w:color="auto"/>
      </w:divBdr>
    </w:div>
    <w:div w:id="441264303">
      <w:bodyDiv w:val="1"/>
      <w:marLeft w:val="0"/>
      <w:marRight w:val="0"/>
      <w:marTop w:val="0"/>
      <w:marBottom w:val="0"/>
      <w:divBdr>
        <w:top w:val="none" w:sz="0" w:space="0" w:color="auto"/>
        <w:left w:val="none" w:sz="0" w:space="0" w:color="auto"/>
        <w:bottom w:val="none" w:sz="0" w:space="0" w:color="auto"/>
        <w:right w:val="none" w:sz="0" w:space="0" w:color="auto"/>
      </w:divBdr>
    </w:div>
    <w:div w:id="559095378">
      <w:bodyDiv w:val="1"/>
      <w:marLeft w:val="0"/>
      <w:marRight w:val="0"/>
      <w:marTop w:val="0"/>
      <w:marBottom w:val="0"/>
      <w:divBdr>
        <w:top w:val="none" w:sz="0" w:space="0" w:color="auto"/>
        <w:left w:val="none" w:sz="0" w:space="0" w:color="auto"/>
        <w:bottom w:val="none" w:sz="0" w:space="0" w:color="auto"/>
        <w:right w:val="none" w:sz="0" w:space="0" w:color="auto"/>
      </w:divBdr>
    </w:div>
    <w:div w:id="638849483">
      <w:bodyDiv w:val="1"/>
      <w:marLeft w:val="0"/>
      <w:marRight w:val="0"/>
      <w:marTop w:val="0"/>
      <w:marBottom w:val="0"/>
      <w:divBdr>
        <w:top w:val="none" w:sz="0" w:space="0" w:color="auto"/>
        <w:left w:val="none" w:sz="0" w:space="0" w:color="auto"/>
        <w:bottom w:val="none" w:sz="0" w:space="0" w:color="auto"/>
        <w:right w:val="none" w:sz="0" w:space="0" w:color="auto"/>
      </w:divBdr>
    </w:div>
    <w:div w:id="708526777">
      <w:bodyDiv w:val="1"/>
      <w:marLeft w:val="0"/>
      <w:marRight w:val="0"/>
      <w:marTop w:val="0"/>
      <w:marBottom w:val="0"/>
      <w:divBdr>
        <w:top w:val="none" w:sz="0" w:space="0" w:color="auto"/>
        <w:left w:val="none" w:sz="0" w:space="0" w:color="auto"/>
        <w:bottom w:val="none" w:sz="0" w:space="0" w:color="auto"/>
        <w:right w:val="none" w:sz="0" w:space="0" w:color="auto"/>
      </w:divBdr>
    </w:div>
    <w:div w:id="1393886567">
      <w:bodyDiv w:val="1"/>
      <w:marLeft w:val="0"/>
      <w:marRight w:val="0"/>
      <w:marTop w:val="0"/>
      <w:marBottom w:val="0"/>
      <w:divBdr>
        <w:top w:val="none" w:sz="0" w:space="0" w:color="auto"/>
        <w:left w:val="none" w:sz="0" w:space="0" w:color="auto"/>
        <w:bottom w:val="none" w:sz="0" w:space="0" w:color="auto"/>
        <w:right w:val="none" w:sz="0" w:space="0" w:color="auto"/>
      </w:divBdr>
    </w:div>
    <w:div w:id="1539320576">
      <w:bodyDiv w:val="1"/>
      <w:marLeft w:val="0"/>
      <w:marRight w:val="0"/>
      <w:marTop w:val="0"/>
      <w:marBottom w:val="0"/>
      <w:divBdr>
        <w:top w:val="none" w:sz="0" w:space="0" w:color="auto"/>
        <w:left w:val="none" w:sz="0" w:space="0" w:color="auto"/>
        <w:bottom w:val="none" w:sz="0" w:space="0" w:color="auto"/>
        <w:right w:val="none" w:sz="0" w:space="0" w:color="auto"/>
      </w:divBdr>
    </w:div>
    <w:div w:id="1575122303">
      <w:bodyDiv w:val="1"/>
      <w:marLeft w:val="0"/>
      <w:marRight w:val="0"/>
      <w:marTop w:val="0"/>
      <w:marBottom w:val="0"/>
      <w:divBdr>
        <w:top w:val="none" w:sz="0" w:space="0" w:color="auto"/>
        <w:left w:val="none" w:sz="0" w:space="0" w:color="auto"/>
        <w:bottom w:val="none" w:sz="0" w:space="0" w:color="auto"/>
        <w:right w:val="none" w:sz="0" w:space="0" w:color="auto"/>
      </w:divBdr>
    </w:div>
    <w:div w:id="1672171821">
      <w:bodyDiv w:val="1"/>
      <w:marLeft w:val="0"/>
      <w:marRight w:val="0"/>
      <w:marTop w:val="0"/>
      <w:marBottom w:val="0"/>
      <w:divBdr>
        <w:top w:val="none" w:sz="0" w:space="0" w:color="auto"/>
        <w:left w:val="none" w:sz="0" w:space="0" w:color="auto"/>
        <w:bottom w:val="none" w:sz="0" w:space="0" w:color="auto"/>
        <w:right w:val="none" w:sz="0" w:space="0" w:color="auto"/>
      </w:divBdr>
      <w:divsChild>
        <w:div w:id="1573270247">
          <w:marLeft w:val="0"/>
          <w:marRight w:val="0"/>
          <w:marTop w:val="0"/>
          <w:marBottom w:val="0"/>
          <w:divBdr>
            <w:top w:val="none" w:sz="0" w:space="0" w:color="auto"/>
            <w:left w:val="none" w:sz="0" w:space="0" w:color="auto"/>
            <w:bottom w:val="none" w:sz="0" w:space="0" w:color="auto"/>
            <w:right w:val="none" w:sz="0" w:space="0" w:color="auto"/>
          </w:divBdr>
          <w:divsChild>
            <w:div w:id="156586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63518">
      <w:bodyDiv w:val="1"/>
      <w:marLeft w:val="0"/>
      <w:marRight w:val="0"/>
      <w:marTop w:val="0"/>
      <w:marBottom w:val="0"/>
      <w:divBdr>
        <w:top w:val="none" w:sz="0" w:space="0" w:color="auto"/>
        <w:left w:val="none" w:sz="0" w:space="0" w:color="auto"/>
        <w:bottom w:val="none" w:sz="0" w:space="0" w:color="auto"/>
        <w:right w:val="none" w:sz="0" w:space="0" w:color="auto"/>
      </w:divBdr>
    </w:div>
    <w:div w:id="1841701927">
      <w:bodyDiv w:val="1"/>
      <w:marLeft w:val="0"/>
      <w:marRight w:val="0"/>
      <w:marTop w:val="0"/>
      <w:marBottom w:val="0"/>
      <w:divBdr>
        <w:top w:val="none" w:sz="0" w:space="0" w:color="auto"/>
        <w:left w:val="none" w:sz="0" w:space="0" w:color="auto"/>
        <w:bottom w:val="none" w:sz="0" w:space="0" w:color="auto"/>
        <w:right w:val="none" w:sz="0" w:space="0" w:color="auto"/>
      </w:divBdr>
    </w:div>
    <w:div w:id="211513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c.gov.au/focus-areas/inquiries/digital-platforms-inquiry"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baccess.gov.au/" TargetMode="Externa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jobaccess.gov.au/people-with-disability/accessabilityday" TargetMode="External"/><Relationship Id="rId3" Type="http://schemas.openxmlformats.org/officeDocument/2006/relationships/hyperlink" Target="http://www.esafety.gov.au/-/media/cesc/documents/corporate-office/young_people_and_sexting_attitudes_and_behaviours_pdf.pdf" TargetMode="External"/><Relationship Id="rId7" Type="http://schemas.openxmlformats.org/officeDocument/2006/relationships/hyperlink" Target="https://www.jobaccess.gov.au/news-media/employers-set-benefit-new-disability-employment-toolkit" TargetMode="External"/><Relationship Id="rId2" Type="http://schemas.openxmlformats.org/officeDocument/2006/relationships/hyperlink" Target="http://www.esafety.gov.au/-/media/cesc/esafety-teachers/outreach/pl/oesc-teachers-pl-inclusion-and-digital-wellbeing-summary-sheet.pdf" TargetMode="External"/><Relationship Id="rId1" Type="http://schemas.openxmlformats.org/officeDocument/2006/relationships/hyperlink" Target="https://www.aihw.gov.au/reports/mental-health-services/mental-health-services-in-australia/report-contents/restrictive-practices/seclusion" TargetMode="External"/><Relationship Id="rId6" Type="http://schemas.openxmlformats.org/officeDocument/2006/relationships/hyperlink" Target="https://zeroproject.org/policy/one-platform-for-all-from-assistance-to-incentives-for-employers/" TargetMode="External"/><Relationship Id="rId5" Type="http://schemas.openxmlformats.org/officeDocument/2006/relationships/hyperlink" Target="http://unpan1.un.org/intradoc/groups/public/documents/un/unpan030239.pdf" TargetMode="External"/><Relationship Id="rId4" Type="http://schemas.openxmlformats.org/officeDocument/2006/relationships/hyperlink" Target="https://www.humanrights.gov.au/about/news/speeches/critical-task-changing-community-attitudes-towards-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89719C-84DE-44E1-AB92-22199D570FDF}">
  <ds:schemaRefs>
    <ds:schemaRef ds:uri="http://schemas.openxmlformats.org/officeDocument/2006/bibliography"/>
  </ds:schemaRefs>
</ds:datastoreItem>
</file>

<file path=customXml/itemProps2.xml><?xml version="1.0" encoding="utf-8"?>
<ds:datastoreItem xmlns:ds="http://schemas.openxmlformats.org/officeDocument/2006/customXml" ds:itemID="{46D86D50-014A-4336-80DE-BCEFEBF85CBB}"/>
</file>

<file path=customXml/itemProps3.xml><?xml version="1.0" encoding="utf-8"?>
<ds:datastoreItem xmlns:ds="http://schemas.openxmlformats.org/officeDocument/2006/customXml" ds:itemID="{62E8D32A-9E15-43B9-A55D-63DD4BB7E5F8}"/>
</file>

<file path=customXml/itemProps4.xml><?xml version="1.0" encoding="utf-8"?>
<ds:datastoreItem xmlns:ds="http://schemas.openxmlformats.org/officeDocument/2006/customXml" ds:itemID="{178DCA36-9106-405B-9FD7-932DA128F0DF}"/>
</file>

<file path=docProps/app.xml><?xml version="1.0" encoding="utf-8"?>
<Properties xmlns="http://schemas.openxmlformats.org/officeDocument/2006/extended-properties" xmlns:vt="http://schemas.openxmlformats.org/officeDocument/2006/docPropsVTypes">
  <Template>Normal</Template>
  <TotalTime>0</TotalTime>
  <Pages>15</Pages>
  <Words>6235</Words>
  <Characters>35540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2019-08-01T23:11:00Z</dcterms:created>
  <dcterms:modified xsi:type="dcterms:W3CDTF">2019-08-01T23:44:00Z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