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sldx" ContentType="application/vnd.openxmlformats-officedocument.presentationml.slide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C5" w:rsidRPr="00821362" w:rsidRDefault="00BD2AC5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  <w:bookmarkStart w:id="0" w:name="_GoBack"/>
      <w:bookmarkEnd w:id="0"/>
    </w:p>
    <w:p w:rsidR="00BD2AC5" w:rsidRPr="00821362" w:rsidRDefault="00044C62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4.85pt;margin-top:1.65pt;width:333.7pt;height:23.75pt;z-index:251657728" fillcolor="#0070c0" strokecolor="#4f81bd" strokeweight=".5pt">
            <v:textbox>
              <w:txbxContent>
                <w:p w:rsidR="00BD2AC5" w:rsidRPr="005D2ABB" w:rsidRDefault="00CA5B5E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5D2ABB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N</w:t>
                  </w:r>
                  <w:r w:rsidR="00BD2AC5" w:rsidRPr="005D2ABB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ote for the facilitator</w:t>
                  </w:r>
                </w:p>
              </w:txbxContent>
            </v:textbox>
          </v:shape>
        </w:pict>
      </w:r>
    </w:p>
    <w:p w:rsidR="00BD2AC5" w:rsidRPr="00821362" w:rsidRDefault="00BD2AC5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9079"/>
      </w:tblGrid>
      <w:tr w:rsidR="00BD2AC5" w:rsidRPr="00821362" w:rsidTr="00BC3727">
        <w:trPr>
          <w:trHeight w:val="619"/>
        </w:trPr>
        <w:tc>
          <w:tcPr>
            <w:tcW w:w="879" w:type="pct"/>
          </w:tcPr>
          <w:p w:rsidR="00BD2AC5" w:rsidRPr="00821362" w:rsidRDefault="00CA5B5E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21362">
              <w:rPr>
                <w:rFonts w:cs="Arial"/>
                <w:b w:val="0"/>
                <w:sz w:val="24"/>
                <w:szCs w:val="24"/>
              </w:rPr>
              <w:t>M</w:t>
            </w:r>
            <w:r w:rsidR="00BD2AC5" w:rsidRPr="00821362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BD2AC5" w:rsidRPr="00821362" w:rsidRDefault="00044C62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i1025" type="#_x0000_t75" style="width:35.45pt;height:23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PMsGkwMAAHIQAAAOAAAAZHJzL2Uyb0RvYy54bWzsmN9v2yAQx98n7X9AvE5dYje/GtWd1m6tJnVb&#10;1HR/AMU4sYrBAuIm++t3B8R2s7UP2+PyVAzHl+PDcTl6/mFbSdIIY0utMpq8H1IiFNd5qVYZ/XF/&#10;fTKjxDqmcia1EhndCUs/XLx9c/5Uz0Wq11rmwhAQUXb+VGd07Vw9HwwsX4uK2fe6FgoGC20q5uDT&#10;rAa5YU+gXslBOhxOBk/a5LXRXFgLvZ/CIL3w+kUhuPteFFY4IjM6GZ5NKHEZBSdNRtPZLKXkAT8H&#10;F+dsvjKsXpc8OsP+wpeKlQqWbqU+McfIxpR/ISU1fxT5FVMNsyAp+bzfE32U/N+V2Vw1N6Ze1guD&#10;nvNvzcKQMveQFKvgyAIdGIhmAGtwMGvVCWwLU6GQLgqy9Sq7lrDYOsKhczIbz4ZwCByG8FCg7U+A&#10;r+GwcNYIhrGXgEE6HE9HncXnVzXAseAANHpO2RpdUs3vu0ymlIRtfuQOYphcbpzTak6+qBB02JdM&#10;WgaosAewV7OR3cHWX9zE6xjaLbB5bay7Eboi2Mgo8x4GB3vu+Yhjza11wbH9LNyy1bLMr0sp/Qde&#10;KnElDWkYXAe3Tf1Uuam+6jz0AfQ9aujG0/CmwD90g3P+aqKKD4PeAjgWSbjt0hN320ud73DtB/gL&#10;gWWcvNKwNhwtU3yt4RpyZwJdad3S7aRA81wUixCQ0LqDiZJhQhHq5McSrWGtzkQ2MoGFScXMbZCW&#10;K0hGkhKwuWcPy58ZPUtGGETogDcR7FZdmkdIWRS0XaniJ5isYSlIJYuN4gA98YyiFxaUEh+6j8Jg&#10;voMU5Md7GHqEAjzpkujyMyu/KnG7WhSMwzV7V6kT6QIKwQ4GBAsD3B4McNvhAE6eTOSBHKGZdmhG&#10;4yk6TNh/zwehRD6nHZ99kBz5IJTIZ9TxSU6niU/LR0BIJQIa9wDNoKg43jBMO0glApp0gNJ0hj8x&#10;xxTUSKQSAU17gKaj02OO9j9cSCUCmnWAkI7/JT/mIKQSAZ31AE3G02OS9hGEVEJF1CstfWGKuEIA&#10;teWnUPmCGfbnYhMmQcnZlbMbK5b1HbwuQy26r3ftvn6V6k4U8IyCt0wostuqOdSEjHOhoC7E47Nr&#10;lovQPX6xzvaCaF1AMd9qR4Hndf1eO7gW7XGq8O/hdnKsXF+b3M7wK2vl2slVqbQJ7j8X6KrdIth7&#10;chGMfyJAx8Fz1pvE5ze+mfvf0O7/q+DiFwAAAP//AwBQSwMEFAAGAAgAAAAhAFrmLuHdAAAAAwEA&#10;AA8AAABkcnMvZG93bnJldi54bWxMj81OwzAQhO9IvIO1SFwQtflp2oZsqoqWW4XUlEOPbrxNIuJ1&#10;FLtpeHsMF7isNJrRzLfZcrStGKj3jWOEh4kCQVw603CF8LF/u5+D8EGz0a1jQvgiD8v8+irTqXEX&#10;3tFQhErEEvapRqhD6FIpfVmT1X7iOuLonVxvdYiyr6Tp9SWW21Y+KpVIqxuOC7Xu6LWm8rM4W4Tt&#10;kyqSzXw4Lcxhv9ndrdZJ+b5GvL0ZVy8gAo3hLww/+BEd8sh0dGc2XrQI8ZHwe6M3U1MQR4TnxRRk&#10;nsn/7Pk3AAAA//8DAFBLAQItABQABgAIAAAAIQCTXr2S+wAAAOEBAAATAAAAAAAAAAAAAAAAAAAA&#10;AABbQ29udGVudF9UeXBlc10ueG1sUEsBAi0AFAAGAAgAAAAhADj9If/WAAAAlAEAAAsAAAAAAAAA&#10;AAAAAAAALAEAAF9yZWxzLy5yZWxzUEsBAi0AFAAGAAgAAAAhACo8ywaTAwAAchAAAA4AAAAAAAAA&#10;AAAAAAAAKwIAAGRycy9lMm9Eb2MueG1sUEsBAi0AFAAGAAgAAAAhAFrmLuHdAAAAAwEAAA8AAAAA&#10;AAAAAAAAAAAA6gUAAGRycy9kb3ducmV2LnhtbFBLBQYAAAAABAAEAPMAAAD0BgAAAAA=&#10;">
                  <v:imagedata r:id="rId8" o:title="" cropbottom="-1092f"/>
                  <o:lock v:ext="edit" aspectratio="f"/>
                </v:shape>
              </w:pict>
            </w:r>
          </w:p>
          <w:p w:rsidR="00BD2AC5" w:rsidRPr="00821362" w:rsidRDefault="00BD2AC5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BD2AC5" w:rsidRPr="00821362" w:rsidRDefault="00BD2AC5" w:rsidP="00BC3727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821362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Module 6:</w:t>
            </w:r>
            <w:r w:rsidR="00A06514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 xml:space="preserve"> </w:t>
            </w:r>
            <w:r w:rsidRPr="00821362">
              <w:rPr>
                <w:rFonts w:ascii="Arial" w:hAnsi="Arial" w:cs="Arial"/>
                <w:color w:val="000000"/>
                <w:kern w:val="24"/>
                <w:sz w:val="96"/>
                <w:szCs w:val="96"/>
                <w:lang w:val="en-GB"/>
              </w:rPr>
              <w:t xml:space="preserve"> </w:t>
            </w:r>
            <w:r w:rsidR="00413C06" w:rsidRPr="00821362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N</w:t>
            </w:r>
            <w:r w:rsidRPr="00821362">
              <w:rPr>
                <w:rFonts w:ascii="Arial" w:hAnsi="Arial" w:cs="Arial"/>
                <w:b/>
                <w:color w:val="1F497D"/>
                <w:sz w:val="22"/>
                <w:szCs w:val="22"/>
                <w:lang w:val="en-GB"/>
              </w:rPr>
              <w:t>ational implementation and monitoring frameworks</w:t>
            </w:r>
          </w:p>
          <w:p w:rsidR="00BD2AC5" w:rsidRPr="00821362" w:rsidRDefault="00BD2AC5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BD2AC5" w:rsidRPr="00821362" w:rsidTr="00BC3727">
        <w:trPr>
          <w:trHeight w:val="1300"/>
        </w:trPr>
        <w:tc>
          <w:tcPr>
            <w:tcW w:w="879" w:type="pct"/>
          </w:tcPr>
          <w:p w:rsidR="00BD2AC5" w:rsidRPr="00821362" w:rsidRDefault="00CA5B5E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21362">
              <w:rPr>
                <w:rFonts w:cs="Arial"/>
                <w:b w:val="0"/>
                <w:sz w:val="24"/>
                <w:szCs w:val="24"/>
              </w:rPr>
              <w:t>S</w:t>
            </w:r>
            <w:r w:rsidR="00BD2AC5" w:rsidRPr="00821362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BD2AC5" w:rsidRPr="00821362" w:rsidRDefault="00BD2AC5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821362">
              <w:rPr>
                <w:rFonts w:ascii="Arial" w:hAnsi="Arial" w:cs="Arial"/>
                <w:lang w:val="en-GB"/>
              </w:rPr>
              <w:object w:dxaOrig="7191" w:dyaOrig="5399">
                <v:shape id="_x0000_i1026" type="#_x0000_t75" style="width:1in;height:53.75pt" o:ole="">
                  <v:imagedata r:id="rId9" o:title=""/>
                </v:shape>
                <o:OLEObject Type="Embed" ProgID="PowerPoint.Slide.12" ShapeID="_x0000_i1026" DrawAspect="Content" ObjectID="_1406708046" r:id="rId10"/>
              </w:object>
            </w:r>
          </w:p>
        </w:tc>
        <w:tc>
          <w:tcPr>
            <w:tcW w:w="4121" w:type="pct"/>
          </w:tcPr>
          <w:p w:rsidR="00BD2AC5" w:rsidRPr="00821362" w:rsidRDefault="00BD2AC5" w:rsidP="00F225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</w:t>
            </w:r>
          </w:p>
          <w:p w:rsidR="00BD2AC5" w:rsidRPr="00821362" w:rsidRDefault="00D133BF" w:rsidP="00F225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>Q&amp;A</w:t>
            </w:r>
          </w:p>
          <w:p w:rsidR="00D133BF" w:rsidRPr="00821362" w:rsidRDefault="00D133BF" w:rsidP="00F225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>Group activity</w:t>
            </w:r>
          </w:p>
        </w:tc>
      </w:tr>
      <w:tr w:rsidR="00BD2AC5" w:rsidRPr="00821362" w:rsidTr="00BC3727">
        <w:trPr>
          <w:trHeight w:val="367"/>
        </w:trPr>
        <w:tc>
          <w:tcPr>
            <w:tcW w:w="879" w:type="pct"/>
          </w:tcPr>
          <w:p w:rsidR="00BD2AC5" w:rsidRPr="00821362" w:rsidRDefault="00CA5B5E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821362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BD2AC5" w:rsidRPr="00821362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BD2AC5" w:rsidRPr="00821362" w:rsidRDefault="00044C62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3" o:spid="_x0000_i1027" type="#_x0000_t75" style="width:44.6pt;height:33.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VNqqHQsAAKCzAAAOAAAAZHJzL2Uyb0RvYy54bWzsnVtv2kgUx99X2u9g+bVqgy/YgEqrbXrRSlU3&#10;Ku2+T40JVgcb2S4h++n3nJnxJRQYkm7aRfq/JAZ7hvGfYzO/ORc/f7ldSWeTllVW5FPXezZwnTRP&#10;inmWX0/dz5/ePh25TlWLfC5kkadT9zat3Jcvfv/t+c16kvrFspDztHSok7ya3Kyn7rKu15OLiypZ&#10;pitRPSvWaU47F0W5EjW9LK8v5qW4od5X8sIfDKKLm6Kcr8siSauK3n2td7ovVP+LRZrUfy0WVVo7&#10;curS2Gr1t1R/v/DfixfPxeS6FOtllphhiAeMYiWynD607eq1qIXzrcwe0JUskq/p/FLkG1FRlzKZ&#10;9N8xY5TJj/csJvnmXbmera9KHnnyYXNVOtlcaZOLFX1ZWh3aYQ4jsS52Wl13HWwX5Yo7KhYLZ6t6&#10;uW0VTre1k9Cb/nAwCAL6IhLa5w9jL45G5lOW9EVxO/VuELkOH+F74XAYNke8sfRCg9ODoI3ewKo1&#10;DyvffH+mvuvoM30ri5tkKcp64lwWeU5mU5SO154/t2xOvumlMrrtnPbB4dskaAcvJuuyqt+lxcrh&#10;jam7oMFd8uDaoSlTE5v3Va1H1TRQ51m8zaRUdi1z52bqhmE4HKgWVSGzOe/l49Qlll7K0tkIujjq&#10;rTpdGkXvKHolc/WlN2dbb2dKzXr7qpjfcj9f6D8ZTlnLy0JfZCJPlgVdY0ldagVlVc/qW5ny4fN0&#10;caUNjrY+UkMp+FaR5k8/z/ho+sjuELmRHsnsrET5XlmUkNd0m5GuQ8d8El9m/0zdsReGA7IoGoA6&#10;JBXv81flV7oZudR3neXmJR2ypI+im8TVtzwhWT2liRlFRT15I+7na1rynYxuLlbNZL1HM5KMP9Wp&#10;b9fpQiR0GT1Z5U9lraVIxc6OVOgdSbWzI6k6OUgnpYzRg3WkTb+TJhzGPGAH+rAoRp+g06cxEujD&#10;ohh9wk4fL4i9CAbEVxWrYgQa9gQa+SN1e4AFsSpGoKgTyPdHZEC4BZEFsSpGoLgnUBwGuEerHy5W&#10;xQg06gRiddQvOS4xVsUINO4JFA1j3KSVBbEqekbUm1qqiSnLpQ2onX6m+fxKlGL/ZJMa0ZSzm85+&#10;q9LZ+iMBgJ6LNvPdqpm/yvxjuiBMYlJx+TvamUeLJElzmheqXUsxT/X0mriHbo66z7aFPgPukI9e&#10;0MS87dt0wBjczdGbvnU35nhumirSbRubmeuxxm0L9clFXreNV1lelPvOrJvtLvTxavhGGOYGpf9h&#10;2Aoa2PqzKqoklWnlfCozmpLL1PHNJPiDgjR9fh2wNfCxg1pBFBJLalIMA7o2xoYUG9Si97wx/SQx&#10;bJpt3XXTUcNNBrRqMxx19gfwqkdH33339VadB2vRJy1GKOLPhstoN6DqMIh2ZnZXRECVvpP8Cn0A&#10;VQbjD0A5oKpZ5zggEKDKIhCgyiIQoMoiEKDKIhCgyiIQoKqFsLOBqvAIVAUnQ5VTFuwQiQY+LTCM&#10;Ff4YL144HA1iP1beuCCIIp94ihiKkNP44sBYcFzddXUdmAKyI48NB46r/Y49MBYY647L+L6eYTCW&#10;ZX4DxrIIBMayCATGsggExrIIBMY6P8YaHmGsJjbR7rgyjDWgKBJ2BfJU2DBW349FYRTD8di4w8BY&#10;CA5UsI3gQL3m8KPBk2AsMBYY6zE96WAsywQQjGURCIxlEQiMZREIjHV+jEVRfDoTa09w4PCefqwh&#10;RRHvIJYfRV4UkbOMIwH9IPDiGG4s5F9RYtZ9V9nhxjqOEECs4/ogVNDy6w03lkUgIJZFICCWRSAg&#10;lkUgIJZFICDW/xWxkm2uKzTkm0ve1EFXXXEPqseiQWtWlyK7XtbOH2VZ3PTKXhgyoiamA50zdae/&#10;fkZWEzxI6ZtMXc5CZuu/m/IKjYvLG8RDnyoycFGPkU/4tcNfIypgMCQI5FQtzpWLIuYzSpU6kKpV&#10;mdG3JTF0wtyBpK0fLoRBGYIik2/yuSrSMHUFa2ZGuJPMtS9T8IRsPpVXyE7BO2mAJ2Ty/ew0wK5Q&#10;yP40wNYA2407ltNZokfmYDFFzwSb/re2GEZhzB/OawFePBpHO7YYDf2Q7E/Z4pi2YYmqnA8bZ5u6&#10;qnPRfm1C6smWeDgn1Wvjp/dXADo9hLrnz/djKoVAJXeUgY0pYlrfzLqYaS/0R7ExMLN99GZ3nwJA&#10;KhFX3/Sb3OUuuRm1er7LzX1MZxjWio6vhWCt6Lg+WCuyYAjWiiwCYa3IIhDWiiwCYa3IIhDWiiwC&#10;Ya2ohXqGhLbyji4idALhty3U8sBPqdXjtTHP+7no9LDnHhcFHlVACzUX7a3XAy5CDVPUMNWFXfm6&#10;oVRZRgBT/hY1THW9NC2K0YcJwOiDGqaUX83FxVDDtKu7fCAZHVxkmbSBiywCgYssAoGLLAKBi86Q&#10;i9o45f1cdHqoco+L+v4if+yPxsFOHVNwEbgIXAQuap8mcmBWC3+R5ScX/iKLQOAii0DgIotA4CKL&#10;QOAii0DgojPkIqoQeuxJeiqaVz1jcEYLtk1AMW8zB1XmfxPr2wYNd/4i9eBAetYDNUUcHZ55x48D&#10;xDPvmuV+xNEhjg5lbR4zkhdcZJm0gYssAoGLLAKBiywCgYvOkIvadMv9/qIu1/IeXETZQ5EfUs+c&#10;TMkPVAcX4VngXRwUuAhcdNqz5AOz7mIixhBHJyZzVRSrMSD4iyxzEnCRRSBwkUUgcJFFIHCRRSBw&#10;0Rly0fi4v2ikHT1U9+M+XEQ1ZFQFGuYixNE5NJcBF4GLOCfk7rQW/iL4i+Avgr+o1FWcZO2ZEldV&#10;IbP520xKlV33mAKBiyyzWnCRRSBwkUUgcNH5cZFP1RGOxdGNH8RFURiEgfYXBahHBy7CI7jxCO4n&#10;D3j2BfxFlp9c+IssAsFfZBEIXGQRCFxkEQhcZBEIXPSruehfAAAA///sl82OmzAQx1/F8rVaJRBC&#10;PrTksKm2l6iKkvYBvMYEFGMj42WTPn1nbBOS1aovUC7JWJ4Zz/wY4M9BFJvnCVu39iqFt5rNM6zd&#10;r+qOzd7gmv/s9oZUeUbjiBLFapHRV6k/eMmMXZOtVkpwqw2Jp3QSAjAWbMg+5GlDvkthanTTRUEu&#10;GU3iZRonS0quYM/mi3SV+DTiYgkHhwg8FiklHByC7VP3iRrT2h9C1wSNjBZQ2xZru1VG8TjW7Vrr&#10;A/uA0LRv016OrnF7edH5FSPe4B86N1ZutczolBKmeKlNRrk1vkbZ2qPHx9a5KPY+FVgHCJRMnTIq&#10;1NPvI3oDjMFFdjICHqRmZudTy5PKqKQEfH6xt+OfjK6iJJnCqVCAcxFsp17MGShQyG0rFZbgUsJR&#10;lTrt3xUHApFrOFTRQqZoiXnOwsARUQw2ttdqWeWvlZRuwUtRi600pGNwmrRRKPnBy51K7LURBeMw&#10;Bt9q9SRtuFzs04ZgfoO3nzZ4O+AATo5M4IGlgBkPaJL5Agsm7L/ng1ACn9nApx+SkQ9CCXySgU80&#10;W0TpOEB4VyGVAGh+B2gZL93jYZwgpBIApQOgGF5Q03GCcIKQSgC0uAO0SGbjM9q9uJBKALQcACEd&#10;9yYfbzGkEgCt7gCloPvGWwxvMaTiFdGdtHTCFHH5AbrJT6HyPTPsa7EJQSA5Bzn73opjcwCp7rVo&#10;r3eD/IfxVfBFADofJHdM8Rq1j5qQcS4U6EK3VbJceKk4h2ejE/74KdFH+A4wIXoXIDJvuUOC3tMn&#10;6XP70oI/hoqigIpvwUG5/iv4FuFO1moIriulzVedDWq38P6u/Mfvoonka6n5WeRbpjrWOpeTYU1Z&#10;8e/Msvs12B/NWsS61DIXZvMXAAD//wMAUEsDBBQABgAIAAAAIQC5IZCh2AAAAAMBAAAPAAAAZHJz&#10;L2Rvd25yZXYueG1sTI9BS8NAEIXvgv9hGcGb3bUHtTGbUgqeVMRWep5kp0lodjZkt03y7x296OXB&#10;4w3vfZOvJ9+pCw2xDWzhfmFAEVfBtVxb+Nq/3D2BignZYReYLMwUYV1cX+WYuTDyJ112qVZSwjFD&#10;C01KfaZ1rBryGBehJ5bsGAaPSexQazfgKOW+00tjHrTHlmWhwZ62DVWn3dlbOLzRx2sZynZcTfP+&#10;/VDN5mS21t7eTJtnUImm9HcMP/iCDoUwleHMLqrOgjySflWylRFXWnhcGtBFrv+zF98AAAD//wMA&#10;UEsBAi0AFAAGAAgAAAAhAJNevZL7AAAA4QEAABMAAAAAAAAAAAAAAAAAAAAAAFtDb250ZW50X1R5&#10;cGVzXS54bWxQSwECLQAUAAYACAAAACEAOP0h/9YAAACUAQAACwAAAAAAAAAAAAAAAAAsAQAAX3Jl&#10;bHMvLnJlbHNQSwECLQAUAAYACAAAACEAhFTaqh0LAACgswAADgAAAAAAAAAAAAAAAAArAgAAZHJz&#10;L2Uyb0RvYy54bWxQSwECLQAUAAYACAAAACEAuSGQodgAAAADAQAADwAAAAAAAAAAAAAAAAB0DQAA&#10;ZHJzL2Rvd25yZXYueG1sUEsFBgAAAAAEAAQA8wAAAHkOAAAAAA==&#10;">
                  <v:imagedata r:id="rId11" o:title="" cropbottom="-546f" cropright="-73f"/>
                  <o:lock v:ext="edit" aspectratio="f"/>
                </v:shape>
              </w:pict>
            </w:r>
          </w:p>
          <w:p w:rsidR="00BD2AC5" w:rsidRPr="00821362" w:rsidRDefault="00BD2AC5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BD2AC5" w:rsidRPr="00821362" w:rsidRDefault="00BD2AC5" w:rsidP="00BC3727">
            <w:p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+/- 90 minutes: </w:t>
            </w:r>
          </w:p>
          <w:p w:rsidR="00BD2AC5" w:rsidRPr="00821362" w:rsidRDefault="00BD2AC5" w:rsidP="00753AA4">
            <w:p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45 min presentation </w:t>
            </w:r>
            <w:r w:rsidR="00413C06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</w:t>
            </w:r>
            <w:r w:rsidR="00413C06"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discussion</w:t>
            </w:r>
          </w:p>
          <w:p w:rsidR="00BD2AC5" w:rsidRPr="00821362" w:rsidRDefault="00BD2AC5" w:rsidP="00753AA4">
            <w:pPr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>30</w:t>
            </w:r>
            <w:r w:rsidR="004A1E3B">
              <w:rPr>
                <w:rFonts w:ascii="Arial" w:hAnsi="Arial" w:cs="Arial"/>
                <w:bCs/>
                <w:sz w:val="22"/>
                <w:szCs w:val="22"/>
                <w:lang w:val="en-GB"/>
              </w:rPr>
              <w:t>–</w:t>
            </w: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>45 min group activity</w:t>
            </w:r>
          </w:p>
          <w:p w:rsidR="00BD2AC5" w:rsidRPr="00821362" w:rsidRDefault="00BD2AC5" w:rsidP="00BC3727">
            <w:pPr>
              <w:rPr>
                <w:rFonts w:ascii="Arial" w:hAnsi="Arial" w:cs="Arial"/>
                <w:bCs/>
                <w:lang w:val="en-GB"/>
              </w:rPr>
            </w:pPr>
          </w:p>
          <w:p w:rsidR="00BD2AC5" w:rsidRPr="00821362" w:rsidRDefault="00BD2AC5" w:rsidP="00BC3727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BD2AC5" w:rsidRPr="00821362" w:rsidTr="00BC3727">
        <w:tc>
          <w:tcPr>
            <w:tcW w:w="879" w:type="pct"/>
          </w:tcPr>
          <w:p w:rsidR="00BD2AC5" w:rsidRPr="00821362" w:rsidRDefault="00CA5B5E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821362">
              <w:rPr>
                <w:rFonts w:ascii="Arial" w:hAnsi="Arial" w:cs="Arial"/>
                <w:lang w:val="en-GB"/>
              </w:rPr>
              <w:t>T</w:t>
            </w:r>
            <w:r w:rsidR="00BD2AC5" w:rsidRPr="00821362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BD2AC5" w:rsidRPr="00821362" w:rsidRDefault="00044C62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_x0000_i1028" type="#_x0000_t75" style="width:46.2pt;height:27.9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pEumwgcAABtXAAAOAAAAZHJzL2Uyb0RvYy54bWzsnNtu2zgQhu8X2HcQdLtorbMco26Bpk0Xi6Qb&#10;xO0DMBJlCaEOoBjH6dPvDEnJrjeu0PSwm925SWSLHA5/Hjyfh/KLV9taOBsu+6ptlq7/3HMd3mRt&#10;XjXrpfvxw9mzuev0ijU5E23Dl+49791XL3/95cVdt+BBW7Yi59IBI02/uOuWbqlUt5jN+qzkNeuf&#10;tx1v4GbRypopeCnXs1yyO7Bei1ngecnsrpV5J9uM9z28+8bcdF9q+0XBM/VnUfRcOWLpJt5J4jpq&#10;6YKTUv+9xr+zly/YYi1ZV1aZ9YQ9wpGaVQ20O5p6wxRzbmX1CFOizW54fsqaDevBpMgW++9YH0X2&#10;7ZbZotm8k92qu5ToefZ+cymdKtfaNKyG8TLqwA1bDMSaHdRa7wxsC1mjobYonK22cj8qzLfKyeDN&#10;uef5XgwDkcG9KE4DLwxsKyWMFdbzo2CeBjBzoARex2OBtxNGwDfjA1zs+dV36FWz+XtHY9cxHT0T&#10;7V1WMqkWzuq2rmEuOX/cNpmCee1EowpoYJBgMNZb9Q46Dx1IEj/QnQjCOI1CO9UGIfx5nIZz6CUK&#10;AXPZCxLd0NgHtuhkr97xtnbwYukW4OMp+mg9HBzU045tzntlfBuqYaf7jDc8zPXwwohKZm11sGY7&#10;WB7Vhv/OZVtlIK3kNT/nhTpjGfTfdFpU61JdVWtHVrCiVSk5v1Suk1ewghQWAXf32ui7MNctXDDF&#10;ZcVg2eU3b/M11z5e8w0XH5w7GFYvPYlhHZZwGQeRZ7XRBV7rAvPIhwK2AbBqWrJaq+1KD6navm7z&#10;e+zcNfyHySuVOG2hUTDNmqxswctMSduVXq3UveBYPOfFpZn0cHUFFQXDHYs3zz6ubKO7ImIjfGjY&#10;qZk8N6bFGnY7ATLw4gO7Xn1auid+hL1AB3QRzs6b1/IGuueCbVU19iX2GZoCfS9xeuF96w960YMl&#10;H1aI69xwiRsqzAt9v29FlZ9VQmBhvTvyUyGdDQoslD/otF9Kt+qo+44XLIOl/FvdPBN6yNiCs4Mb&#10;nBmNsv7gRtbv5AAP9ShYPdAVuAx20ujljNL/7/VBUaw+4U6fYZKQPiiK1Sfa6eOHqZ/g7CeBUBUr&#10;ULwn0DyY6+2BBEJVrEDJTqAAPnXho5Rm0EagKlagdE8gCETwQ4WWmEBVrEDznUCojv4kpyWGqliB&#10;TvYESuKUNmkd+qAqJiLaCy11YIpymQk0hp+8yS+ZZA8Hm1AJAuldOHvb81V3BfG5CYCHeLcf4lfR&#10;XPECUA1oKXBxjA5iQpZB3A9xob5VspybUDGGvXEMqpGxMYo0PUCDWLqAIHO0bQ0MJY2RwbZxzZbH&#10;qlwD91jZRq5fqjzW0C23jRorA4G18qGe7aLdwpTX7lthEEa0/seJLxqI76JqbnsntHHvew2Hpks7&#10;UDzCdnEUnATIsEhuqR8lwQHbwQbixUiwyHY+lIiBBI3xARMHSLM8Bt9vlNoj3efvBHPAbeW30hyO&#10;zI7bwjCJLbclaeibyWQLGG6LEo+4jbjtiXItcZv9puAI9xO3DV+lHBGIuG1CIOK2CYGI2yYEIm6b&#10;EIi4bUIg4raR854Mt4UDt30pUzckCr+K5iLgs3kEXHiM5ihTB98XUqaOMnX/xUwmER8R32c58q9N&#10;hRPxTURbRHwTAhHxTQhExDchEBHfhEBEfE+P+CC/Nn02M35M/g7TcxEeBsbs3N4B0598NHP/tN5B&#10;/lZtTVpX3NYXbW7yrilmb20WcSxusp+fW6ITn3Tic9gP6cTn7tzsDz0RSxxJHEkciSfdD06Qf7cd&#10;iDhy2NSP5J6JIycEIo6cEIg4ckIg4sinx5HpwJHmxGfyGGIMPHgyJYU0GBAjYlhkM40DMf6oA5+f&#10;g509sGtw8CciIp0jpef/zHOS5qy4eR4Sjw7Q838PPx9JNEg0SDRINPgPPqJNNDgRyxMNTghENDgh&#10;ENHg06NBeChvOquYPoYR93+25iFG/EnHSP8dyEi/I0O/I7P/yzNHvrJGrv7uHPkXAAAA///slktu&#10;4zAMhq9iaFsUjZ2XG9RZtINZdRHE7QFYmY6NMLIhq5lkTj+krMaZoJgDDLwJKPMh6oNC/XafqYmK&#10;KjC72uw2n0a7TMVq/QSrAsvtxkbdb/6QTjhoj9awnbAt/q6huvhZE/mFrvCAL2SjI1CmyMXqYf30&#10;cBNF4GoTuXOLJWjM1N3B3JOTSFgh3DgQeofubhy6C7X7Dv02dKSk3VgpxOaUzegA9jVTj/FsJs0D&#10;7bh5UhEnvcFHzqf6clnHHXMIwqt5FiCxinynYfmf8BEogc9s4BNPl/FiBCS3RqgEQPMrQGmS+us/&#10;3iChEgAtBkBJkvIFGv9ifIOESgC0vAK0nE1laI4ziIRKAJQOgITOOKT9yyVUAqDHK0CL+XIc0h6Q&#10;UOlf/M7l7kwotFr/w29+P6O1s0FTmGIDFkTGECucTKG5f8+DeuAk1ifu9NwUZ8n/7DBvt6hdL1zc&#10;Kfdlu69NyGyxjOrilKlESUL3t+YBrdGw7vGuCgrspdCcZ+MkbHnJ6E8gBSW6ZBF1qR0KfF+7by3E&#10;SyqWJXd8SQ7K7F/Jlwy/c2OG5ENtGvvdyQY1V/bxvv0ARjSeoCS9okbvsXgBc4TOh+wstFWtf4CD&#10;6zXbv9oVJk3VUIF2/QcAAP//AwBQSwMEFAAGAAgAAAAhAEvimj/aAAAAAwEAAA8AAABkcnMvZG93&#10;bnJldi54bWxMj8FKxEAMhu+C7zBE8CLutKsuWjtdZEEPHhZcRfCWdmKn2MnUzuy2vr3Ri14CP3/4&#10;8qVcz75XBxpjF9hAvshAETfBdtwaeHm+P78GFROyxT4wGfiiCOvq+KjEwoaJn+iwS60SCMcCDbiU&#10;hkLr2DjyGBdhIJbuPYwek8Sx1XbESeC+18ssW2mPHcsFhwNtHDUfu703sLLo53z79rpdTq5uzy4/&#10;Nw/8aMzpyXx3CyrRnP6W4Udf1KESpzrs2UbVG5BH0u+U7uZCUi3c/Ap0Ver/7tU3AAAA//8DAFBL&#10;AQItABQABgAIAAAAIQCTXr2S+wAAAOEBAAATAAAAAAAAAAAAAAAAAAAAAABbQ29udGVudF9UeXBl&#10;c10ueG1sUEsBAi0AFAAGAAgAAAAhADj9If/WAAAAlAEAAAsAAAAAAAAAAAAAAAAALAEAAF9yZWxz&#10;Ly5yZWxzUEsBAi0AFAAGAAgAAAAhAGOkS6bCBwAAG1cAAA4AAAAAAAAAAAAAAAAAKwIAAGRycy9l&#10;Mm9Eb2MueG1sUEsBAi0AFAAGAAgAAAAhAEvimj/aAAAAAwEAAA8AAAAAAAAAAAAAAAAAGQoAAGRy&#10;cy9kb3ducmV2LnhtbFBLBQYAAAAABAAEAPMAAAAgCwAAAAA=&#10;">
                  <v:imagedata r:id="rId12" o:title="" cropbottom="-3243f" cropright="-213f"/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1" o:spid="_x0000_i1029" type="#_x0000_t75" style="width:33.3pt;height:27.4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HvWgPwQAAOQRAAAOAAAAZHJzL2Uyb0RvYy54bWzsWE1v2zgQvS+w/4HQdZHaki1/IU6xcexegq4R&#10;pz+AoShLCEUKJCPb++t3hqQlwUm3QHusc3AocebxzeNoNNTt52MlSMO1KZVcRvGnYUS4ZCor5X4Z&#10;fXve3MwiYiyVGRVK8mV04ib6fPfnH7eHesETVSiRcU0ARJrFoV5GhbX1YjAwrOAVNZ9UzSVM5kpX&#10;1MKl3g8yTQ+AXolBMhxOBgels1orxo2Buw9+Mrpz+HnOmf0nzw23RCyjyXA+iYhdRkBSu98X/B3c&#10;3dLFXtO6KFlgQn+CSEVLCeu2UA/UUvKmy5+AEoq98mxFZUMNQAq26N8JHAX7dWS6kM0XXe/qrUbm&#10;7Guz1aTMnDaSVrBfXh2YCGYg1uDCa98BHHNdIZDKc3J0KKdWYX60hMHNNInH8+k4IgzmxvNkniRJ&#10;WKWAvUK/UTqNU0gcMADjURxPzgbrH4AAN88BBj1epkZWsnkfaBIRH+hGqAMrqLYLslJSQuIoTeI2&#10;fPQ8x35GMUG2i6i/x/5HArTc6aLWxn7hqiI4WEY5cFsht5aZSzTaPBrrSZ0dQv5lm1IINzZg4gek&#10;VgY3A6+M3r+shCYNhcciXc/Xmw1GiqKZvvVoDn/vPWbpKvmOx3QIf+89VuOHyfr+wzVi9PjAZbNZ&#10;32/+7rk4diEcUUpCscSkY+9ODKOCu8wNgWjaqiAkBiUVquJn/R3DuOSjDCcZZLumQW+lbaFCRdho&#10;JS2yoAtR7gv7VO6JLmFlW2jOtzYiWQnFxJkAwx6kqT30C2+4eCYHyPYkHadQfAqolMN4AlE7XGdw&#10;jwbpcIZaOIP5ZIa2PgOMyu2TepNZ0MNj43ohB+1x53LcHu9VdkK2L/AfnmZtxUrBLgMUlaxQwJVZ&#10;HQIydmdPgqN5xvOtrwIwegJH4fTl8ubbLizamYhGxLAwqah+9NBiD+VfgBg8f6Yvu3+X0Twew95A&#10;pbV+dU4f5b1+hdAjwLalDJcYLiwFxXv7Jhlke+zSJ7AwgBSDKBF55RrfMFD0fXopUbYb7F4XvM1o&#10;Yd2Di/L0rdyqxJ5qnlMGte2vSt6IsLecXkxw6jVi5mKCmU4O0Mk9NUEPlySNSDppxukUCRP62+uD&#10;ogR9Rp0+5yS56oOiBH3GnT7xaOrqxDWBBKoSBEp7As2SmSsP1wxCVYJAk06gJJnBi+ZagqBEoypB&#10;oGlPoOl4dK3R0N00AlUJAs06gVAd9ya/PmKoShBo3hNokk6xmbsWaYGq+I6o11q6xhTl8gnUtp9c&#10;Zluq6cfNJjhB/9a1s2+G7+onOJb5Bv7c75pz/yrkE8/h7ArHxyTCPbroCSmDZh/6QjdV0IyHww8e&#10;H0JD13r4CBAQrXM4NbTYAQA/T3T95hnbUwv26MrdF4jWOXSu/+fceriV4ejROlelVPqjyLpuN/f2&#10;jn4Qxh0R4MbFNwRnEk44+KGifw3j/seZu/8AAAD//wMAUEsDBBQABgAIAAAAIQBnNceB2AAAAAMB&#10;AAAPAAAAZHJzL2Rvd25yZXYueG1sTI/BTsMwEETvSP0Haytxo3ZzaKMQp6JIvZRTW+DsxEscEa9D&#10;7Lbp37NwgctIo1nNvC03k+/FBcfYBdKwXCgQSE2wHbUaXk+7hxxETIas6QOhhhtG2FSzu9IUNlzp&#10;gJdjagWXUCyMBpfSUEgZG4fexEUYkDj7CKM3ie3YSjuaK5f7XmZKraQ3HfGCMwM+O2w+j2ev4WuZ&#10;uxTzab9+sy7b+u3L+3Cqtb6fT0+PIBJO6e8YfvAZHSpmqsOZbBS9Bn4k/Spn64xdrWGlFMiqlP/Z&#10;q28AAAD//wMAUEsBAi0AFAAGAAgAAAAhAJNevZL7AAAA4QEAABMAAAAAAAAAAAAAAAAAAAAAAFtD&#10;b250ZW50X1R5cGVzXS54bWxQSwECLQAUAAYACAAAACEAOP0h/9YAAACUAQAACwAAAAAAAAAAAAAA&#10;AAAsAQAAX3JlbHMvLnJlbHNQSwECLQAUAAYACAAAACEAXR71oD8EAADkEQAADgAAAAAAAAAAAAAA&#10;AAArAgAAZHJzL2Uyb0RvYy54bWxQSwECLQAUAAYACAAAACEAZzXHgdgAAAADAQAADwAAAAAAAAAA&#10;AAAAAACWBgAAZHJzL2Rvd25yZXYueG1sUEsFBgAAAAAEAAQA8wAAAJsHAAAAAA==&#10;">
                  <v:imagedata r:id="rId13" o:title="" cropbottom="-551f" cropright="-369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BD2AC5" w:rsidRPr="00821362" w:rsidRDefault="00BC15A6" w:rsidP="00F22545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Computer slide</w:t>
            </w:r>
            <w:r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BD2AC5" w:rsidRPr="008213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on </w:t>
            </w:r>
            <w:r w:rsidR="00BD2AC5" w:rsidRPr="00821362">
              <w:rPr>
                <w:rFonts w:ascii="Arial" w:hAnsi="Arial" w:cs="Arial"/>
                <w:sz w:val="22"/>
                <w:szCs w:val="22"/>
                <w:lang w:val="en-GB"/>
              </w:rPr>
              <w:t>national implementation and monitoring frameworks</w:t>
            </w:r>
          </w:p>
          <w:p w:rsidR="00BD2AC5" w:rsidRPr="00821362" w:rsidRDefault="00BD2AC5" w:rsidP="00F22545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lang w:val="en-GB"/>
              </w:rPr>
            </w:pPr>
            <w:r w:rsidRPr="00821362">
              <w:rPr>
                <w:rFonts w:ascii="Arial" w:hAnsi="Arial" w:cs="Arial"/>
                <w:sz w:val="22"/>
                <w:szCs w:val="22"/>
                <w:lang w:val="en-GB"/>
              </w:rPr>
              <w:t>Note for facilitator (this note)</w:t>
            </w:r>
          </w:p>
          <w:p w:rsidR="00BD2AC5" w:rsidRPr="00821362" w:rsidRDefault="00BD2AC5" w:rsidP="00BC15A6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b/>
                <w:lang w:val="en-GB"/>
              </w:rPr>
            </w:pPr>
            <w:r w:rsidRPr="00821362">
              <w:rPr>
                <w:rFonts w:ascii="Arial" w:hAnsi="Arial" w:cs="Arial"/>
                <w:sz w:val="22"/>
                <w:szCs w:val="22"/>
                <w:lang w:val="en-GB"/>
              </w:rPr>
              <w:t xml:space="preserve">Instructions for group activity </w:t>
            </w:r>
          </w:p>
        </w:tc>
      </w:tr>
      <w:tr w:rsidR="00BD2AC5" w:rsidRPr="00821362" w:rsidTr="00BC3727">
        <w:tc>
          <w:tcPr>
            <w:tcW w:w="879" w:type="pct"/>
          </w:tcPr>
          <w:p w:rsidR="00BD2AC5" w:rsidRPr="00821362" w:rsidRDefault="00CA5B5E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821362">
              <w:rPr>
                <w:rFonts w:ascii="Arial" w:hAnsi="Arial" w:cs="Arial"/>
                <w:lang w:val="en-GB"/>
              </w:rPr>
              <w:t>B</w:t>
            </w:r>
            <w:r w:rsidR="00BD2AC5" w:rsidRPr="00821362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BD2AC5" w:rsidRPr="00821362" w:rsidRDefault="00044C62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Object 6" o:spid="_x0000_i1030" type="#_x0000_t75" style="width:71.45pt;height:45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DB694RMAAIUrAQAOAAAAZHJzL2Uyb0RvYy54bWzsXdtu20gSfV9g/4HQ62LGvF+McQaJs5MJkE2M&#10;2DPAPjISZWlDkQLJOPZ8/Z7qCylpRLZi0XFs1MPuyBHZpA6L3XWqTlX/8uvtKrdusqpelsXZxPnZ&#10;nlhZMS1ny+L6bPLH1W8/xROrbtJiluZlkZ1N7rJ68uuLf/7jl6/r08wtF2U+yyoLgxT16df12WTR&#10;NOvTk5N6ushWaf1zuc4KfDkvq1Xa4M/q+mRWpV8x+io/cW07PPlaVrN1VU6zusa/vpZfTl6I8efz&#10;bNp8mM/rrLHyswnurRH/X+FOA9efWJ/oz5MXv6Sn11W6Xiyn6k7Se9zIKl0WuG471Ou0Sa0v1fIe&#10;Q+Xl9HM2O0+Lm7TGkPn0dPNf1D3m0+NHTk+LmzfV+nJ9UdGdT9/fXFTWciZAKtIVnpdEB1+owwDW&#10;yc5Z190At/NqRQOV87l1K0a5axHObhtrin8M7TCwQ3diTfFdYEd+4gTqKgs8KzrPjYPIdSYWDnAc&#10;O4kjTx/wb8MguDd5D/iwcV/1mu6quPn7D/Umlvyhv+Xl1+kirZpT67Ipq2xmiQfotgDQufrX63Fq&#10;BdzO73YC23bCUPyAwHcTN/TlMBoDN/Y918UBhEEUBGSMcmw90rqqmzdZubLow9lkjrs7p7v7UOTL&#10;IqM7TK8zYW7pzbu6kSfrk8Qz0vfW3F6KX9/cvipnd4TDJ/wXz7lq8vNSvhZpMV2UeCumTSVvNK+b&#10;y+Yuz+jwWTa/kPaBTx9xYp7Sy50VP/1xqe66OyS/yR2AYq3S6p0wgDS/xsSQTywcc5V+uvzrbJI4&#10;vm/jZcQNiEOy9F3xqvqMhz3B2M2yUH/ikAUuhdf64ksxBQqO+MHqLmqM5MQ0zuesorkH04H4vi7z&#10;5ey3ZZ7TzYuJJDvPK+smxdXyxlG3vHWUuKrV3K2zeTqF1f9rVfyUNxKKLN35IkvlF9N654tp3cEB&#10;nMRTUHjQreCj20Hjw8Tp5hkfAkXh43X4aCNhfAgUhY/f4eN4kROyAdFbRagogIINgGI3FtMDWxCh&#10;ogAKO4BcN4YB8RQECyJUFEDRBkARVmkGiF4xQkUBFHcAETpiJedXjFBRACUbAIVBxJO0cH0IFekR&#10;bbiWwjEluKQBte6ngLLacTUt8vhgcZixwNvgK86WVSP4hVWvmvM8S+EFml3A5naPCwi6gMvRA2xe&#10;/P7Hf16+tz6+ffP71aV19eH1y/8S5WnEzYtDsmJ2kVbprivcf3807pa/ueOV9t1SdyFxcaBFN9L6&#10;8V/q7HL9ERRXev/a0a+1454XH7M56Bwxqom4B2LVnTOcTqdZAYdYfLVIZ5n0kUFegLEcs71R+eho&#10;QDp6Du+6HVsNsH9sOYw6nk7NBClvT1bPa+jk9gxx5bJo2pNXy6Ks9v2yzs2fy+PF7StggKHkg9Pb&#10;QlKj4uacPkoD6EiwA5IqyeFlU6XL60VjnZdFAcDLynKEFQnOrE6WP3VrLM3BiNVZ83y5/lOTGMWQ&#10;fQ8TRCyZoh/FoecqwqmZohPAzfMUU3RwtDoCP6KHKhI/FJiYiOE+OzngWQqr+psRHPAcv7cRdG/V&#10;fiNoH3/7YevZdXaAZ9JvB4hT4MEfbQd25CQeIlKYzyQzjOWwnR0gpJAgmEYRAwcBkjg2hAzYDhTn&#10;H88O2mDRnvlAv7gwm2PmA8f3vAj2RnYQ+p7vh7t2wPMBrYL3WBTGswO8p73rgqtjlePZQeT46m3H&#10;71YBUBFi7OYDRNSkpfC6oF2eXudgPDsIhuxAhXyPnA/A0V0f0z7NBwfYAa8LhzuJ49kB3LP++UAn&#10;N46bDzbtYO+6oFwC6R/Amwgi7cOznygo0HeYD6IhO1AL+bHzAdYCBwy4109kOxBc71H9A8zX/fNB&#10;NAZf8BI3sQO1LoCwq7d90z9gP/Gh/cT+rLKPN1RaQE9a2UtaK6C4gw4d6BjEZtyAFjQVLXAQmMH/&#10;+tkB55UJHc4rAwQOyXNeWSkZenQJngp4qgyqkmxwXrmSsW7OK3damB4L4ryyFgv1AMR5ZQNAnFc2&#10;AMR5ZQNAI+SVHzSbfPXx5dv3b9+/sT68t16/vXz56u27t1eHZpR37oyoAOeRZQq6JfgywX1A/rE9&#10;4/AQ4WF55AEeCJWC5IGUpoeWNc8scEOdMDRRP6sqoXp1HTtOQoT3N5lg4kEgKZmgE7u+G6hws84P&#10;uFHoOZRYpnyh79qJa2vZQ088sMId9ueNoeEo7mt+6kyIDTJvRoNMIS2vUiVtXtblKmuq5RTi75e3&#10;y9q9KtcSoZxS7h+X11a1hN64WVRZdtEI2Qf+okMok69Hpc/KodVCiE4pwYpngmdTF82K50dUhDMz&#10;ZWa6VWvwrSUFrHg2eIXMTA0AMTM1AMTM1AAQM1MDQN/ETDup757yOhb+QnL8HYW//pDg0x9F8Omh&#10;xDWEdlQk8pHWC+wdAsfCX0nw7sHaRxP2+EOCTxiJ5vFHCD6h6AZNT4QdeBCAO4kKD2givyP0Y4HX&#10;4dGb8exgSPAJIxnDDiDq8mwIiBCukXPD3wTgLOh4aEGHqRDAHxJ8+qMIPr1NOyCRD9oICPPqmQ9Y&#10;+PsY88GQ4BNGMsZ8QGtBjPWH5oMD7IDXhcewgyHBp67cOE7wKXwCbQfCZ9xdF1jw+eiCTxLo9wo+&#10;/XEEnxD/R7T+0Hyw109kO3h8O4Af328H6sU9cj7w3ThJ1LpANhFwwajK5OhyZqy+yHY9JG/sT/gG&#10;SMkOCn/9+wl/EzeOEvn2u5B7e7ZyMrRXyMJfFv5yQyl676Fm5fQqp1c5vUqN9HYa1I3W0o7Tq4bc&#10;D6dXDQBxetUAEKdXDQBxerXtw0Shr5bv/Mh62KDVw/bURYI/6eCpSRxLP1rVRSL0ofsFy1gpsyNu&#10;t6uIgCpr43a7IirC7MhY1MZlkYaFl8WnBoCYHRkAYnZkAIjZkQEgZkcGgJgdPUF21MpOu2pBMKZD&#10;CdFAtaDr+uhDLZLHWxuqtOkjrhbc6KvM1YJcLfgD7R/D6SxOZ3E6i9NZj1iwzITN4G4zYTMAxITN&#10;ANA3ETa0KBMblmzVCor9R7AdD/z8nb4x4+6PojvakNrmwF1R9t4V/YatnhTtZiNyH5KufGfjKFL2&#10;tduviJA2F0d+3+LIYKgoTqtRjxS5YhcEF3WWQuyMzteObqqv+SoXRz68yNVUDIWOQ/1iZxiJDlsc&#10;URxJeV0/VsWR6Gke20o929kB74ry0GJnox0MFcXptlTHzQfYQTdOXFUcKeYGVVPR2QEXRz66HQwV&#10;xQWjFMVt2YHr+GG8I/TYKZbm4kjysQ7rnNB5W0fulhUMFcUFo+yCgEJprAWqCOYAO+DiyMewg6Gi&#10;OBjJCP7Blh3sXRe4KO7Bi6GM/sFQURy2sBjFDlASFariyL1+ItvBo9sB5R97iyODrizuGL6AgsjQ&#10;UesCAiHYIl2aF/uJP0JxZNiqf7v8NqxCTwAmwa/Mb8c+9kPDDom0omn5b+TGtq6NRgMdR1uTfuyI&#10;JQS2B7ugZrhh4nu2KJpFLOmevXA3AlKIYW1vXvvpWjfa3TiKEqrcnZYCfttgdQ2WN8BCEd9DZnuc&#10;bt8LSq2yQPh0ls2xmTULhHfK5Xo2dWCBsCGVwQJhA0AsEDYAxPlmA0CcbzYAxPlmA0DflG/uUq5b&#10;GWd47nBsOQF7aIy183b3x1hlX5n+7jJhKxA+X5TVzAKh+jby5Nq+g3ipv8WewiAMKWgrOs2FkQ9y&#10;JUbV7Al9aokwSfIUYNcREXTvJ09TujdxhfTmXQ2FQHp6PVPUP539DyRwvsrTs8lNmltuBJoOxYK4&#10;4OZRuF53lANSnziOiB3jumpYMr2qbt5k5YqusUUgdmjGXk6mtzQpShJ7SlumrUowLnM1gShzNetz&#10;VhVnE8eFjZqMrHu7t0zxQbksa4NZG8za4IeMFjFXMziSzNUMADFXMwDEXM0AEHO1p1fMGbbyyI1k&#10;V6eKvHeyy/MiDzooRdeiIIl2tHCc7FIZHeSb0/wa3nuOPSOz+VX66fKvswm2zYQafWJVTX42wX+z&#10;9F3xqvoMH3+C2AZ65qk/8dUCG3Yui+uLL8UU23A6ggDIVImQ2kOChIN+cILAya5hgsAEahgfTnYZ&#10;1mZOdhkAYgJlAIgJlAEgJlAGgJhAGQBiAvUECVRbV7RBoLo9tu5PoOLI86A7pnwXuuI4tK/CVr6L&#10;CRQTqE4NxwRqmCAwgRrGhwmUYW1mAmUAiAmUASAmUAaAmEAZAGICZQCICdQTJFBtQb5SC3Y1+IeR&#10;p31qQUo/Jar0GvX3Tqw7vrBaEB1EL6GFRVOk21fl7I4+cSdRElOW+XKm+2k+qBqOudowF2GuNowP&#10;czWDG8BczQAQczUDQMzVDAAxVzMAxFzNABBztSfI1dqmWYqrdX2yDuNqTowOeG60VdkFogYKBx0i&#10;Ml0BGqPE8Y5UkCu7mKulkEE+RuUSc7VhLsJcbRgf5moGN4C5mgEg5moGgJirGQBirmYAiLmaASDm&#10;aj8qVzO1NQ2H2pqGo7Q1dUU7S1nqJVrhJ4oV6lybE/pogQuCR30NHS9AZZihsWG+LLKuNYfsebHZ&#10;RIP6X+xkbHZaaXR9ojfyOsjy7HTOqJu7PKOx8uJjNpd70ssKqp3xthtTiqPptDlacrQnqt4L2+0o&#10;tk9Ux9Op2XyeTZtvObk9Q1y5LLqTV8uirGTnh+2rdzDsb+XSmk/7obhRnU3pIuiHj86Dy9nZJBra&#10;TkO3YjmyfX4Uh3aAWjVYiWih7ikZLdsRyO9zsaO23vSyqdLl9aKxzsuiwJtQVhaMTEicj7QjsR2H&#10;VE57or3uTqcgno8a3fv16c5Hrex+nx11+ns1mcklZGtuq1V/Veqta83z5fpPXTyr+/Vu2pFo266W&#10;S56PntF81KqP9tlRJ0U6wo68wLbhAMlS+ABbQkTsH2Xnudon8rmsa21mZJ8ddWmSY+yI1jLq1wD/&#10;yOP5aNBBf7rr2tB2JLqHxnH+kdyORLXmENvS8Hz0/OajId4fjcL7QeSdGCEEMR+B4mNO2q5QZD/7&#10;6fvZMfyW3u1QolG2Q/GxlnkIIZAd+ZiPoNZmO3pu/lHcbqqyxz+CkY3A++EbeZ4Nf578I8Qko13N&#10;P89Hz2A+wjzROx/ByEawIx8LWxhLO/KDCD11eT56dv5RPBTPjlXA8Eg/G/FsB0OJ+QixpNBlO3p+&#10;djQUz4aRjTAfba1rbEfPk/dji+CBdW2UeLYfhBG2SJB+dujFIcchV89vPhqKZ+t9qI9b1yRHU3bk&#10;xqGrd0vmvMjzyYtAgz8wH40Sz/bJdnzV4cp3E8fjPO2Tm4/6dwGK20i2rBXRVR2YfA6rFdlX1+8H&#10;cez5iG2SRsRzfS9RISg993CtCNeKcK0I7wJE6rWn1gSda0UMMmSuFTEAxLUiBoC4VsQAENeKGADi&#10;WhEDQFwr0pYFfDeZf1cZvV/mb9qxNW7VIoqrdQKR+3O1wPUcsHqZ/3Ac23W4rl+LjrkH20botbPe&#10;jVodlOQ85H6JXNc/XLfOdf3D+DBXM7gBzNUMADFXMwDEXM0AEHM1A0DM1QYA+r8AAAAA///sWE1v&#10;2zAM/SuCrkPRyN8J6h6aYbsUQ9Bsu6u2nHhV5EBW03S/fqSk2E6RdgUK7AN1DoZtUST9+KjoaSZ3&#10;crpd6MuLcz6TrVmaRykuL/hsay8LTbhcqZwWRtNzfCVUueCa38CI5GqVU6HOvi1xDBzAJLia/VVT&#10;PqLxfSuW2xtRGDds9kvrtj0EkepGVKQu9zkNKE5oi7XYiLnUZMdlTnlRCGWYG1rzUrjX8QR+PmQ3&#10;w30BOkRHVS1l59s7OO3bpebt7RdWFWTcTZ68lJibLA4zbORG9ZM3tWr0KQcSvspHdvY2fQ8MYNg6&#10;oOxV7Za2QnxWfNkB7nWZ0+mEEsU3IqfzdaNLkk1decACjZ3rfmLrHewrvSG6MYD3JGIBiyKbXFNV&#10;BGoQx1kWZYySx5xGkzCbMosyFH1vSAEGaRKEk4CSAgySmEWT2H8E+sWP3+rWfBbNhuANsAZzsxH4&#10;7ro1aLEqfd68/AGRqo3kOYVikyDFqvqAQyuI11uxhIVTxhIf17tF6vnIGKNtZF1+AgbYh+Oy364O&#10;wB9ZSYW2qsFZDjx8YwuBzYGkdtztyX0LJIdqaCPnDXAVCsIVfvCgWYYNVYpq4VzB3en26U2gKxmU&#10;jGy4vnaubRdKSsDmK79d/gQKQPUAL0zAmgh+ra70XU4BVslNrfwjmKyhU2u1WtyrAqri2sFn0YIn&#10;lqGfO6Gh0VkA978DsWfvMYgYlZjHrah4AdT8sFFn0jhiCv5kQHA3ULRPBorWF9dl6Pra4YF5ATRB&#10;D00Up5iwX6XeMz4Iiscn7PE5kMSt4u8ZHwTF4xP1+LAwZclIIOwqRMUDFA8AyoLMLg8jgxAVD1DS&#10;AxQEGRBoXIKAQYiKBygdAJRG4bhG2z8uRMUDlPUAITr2n3xsMUTFA4SqxO9/wiROx0XaMmjUap22&#10;Q550ysuJyL+p1Yq9cgpB7eZ464g8UGygY5xiWxrN69XakHmjFEjNRpOpFSVW4PnJBwU38HUk4ipZ&#10;b78f9vIH/ZYykMaZ0292Y5z5zbfXb1EWp6nXbywKppHfaT8j32StBEWYrcxyGQ11llTkIadhxl4h&#10;Gcw+8MEGkgH01ROZdepo4BXy3R4kYKZHuv8VdPjTut/sD/KzOqn7OxZ1N8/RKX6JTrawb6YTnA9M&#10;I6ALqP0wzRIGhw5Agv44YKRTf0TluuP/pVPyEp3sMc9b6eSkOmyUkU6wYw5hJRrp1J1fHp94/tN0&#10;OpfFTDbFnSjnXO14a49oVppv13XxkRs+fIb7h+1MBM26kaXQl78AAAD//wMAUEsDBBQABgAIAAAA&#10;IQBWQ9w92wAAAAQBAAAPAAAAZHJzL2Rvd25yZXYueG1sTI9BS8NAEIXvgv9hGcGb3bQ0YmMmRUTR&#10;XtSm4nmanSbB7GzIbtvor3frRS8Dj/d475t8OdpOHXjwrROE6SQBxVI500qN8L55vLoB5QOJoc4J&#10;I3yxh2VxfpZTZtxR1nwoQ61iifiMEJoQ+kxrXzVsyU9czxK9nRsshSiHWpuBjrHcdnqWJNfaUitx&#10;oaGe7xuuPsu9RUhfX+q3+XP59PBhWhqTXbr5Xq0QLy/Gu1tQgcfwF4YTfkSHIjJt3V6MVx1CfCT8&#10;3pM3n6WgtgiLaQq6yPV/+OIHAAD//wMAUEsBAi0AFAAGAAgAAAAhAJNevZL7AAAA4QEAABMAAAAA&#10;AAAAAAAAAAAAAAAAAFtDb250ZW50X1R5cGVzXS54bWxQSwECLQAUAAYACAAAACEAOP0h/9YAAACU&#10;AQAACwAAAAAAAAAAAAAAAAAsAQAAX3JlbHMvLnJlbHNQSwECLQAUAAYACAAAACEALgweveETAACF&#10;KwEADgAAAAAAAAAAAAAAAAArAgAAZHJzL2Uyb0RvYy54bWxQSwECLQAUAAYACAAAACEAVkPcPdsA&#10;AAAEAQAADwAAAAAAAAAAAAAAAAA4FgAAZHJzL2Rvd25yZXYueG1sUEsFBgAAAAAEAAQA8wAAAEAX&#10;AAAAAA==&#10;">
                  <v:imagedata r:id="rId14" o:title="" cropbottom="-144f" cropleft="-2275f"/>
                  <o:lock v:ext="edit" aspectratio="f"/>
                </v:shape>
              </w:pict>
            </w:r>
          </w:p>
          <w:p w:rsidR="00BD2AC5" w:rsidRPr="00821362" w:rsidRDefault="00BD2AC5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BD2AC5" w:rsidRPr="00044C62" w:rsidRDefault="008E5222" w:rsidP="00F22545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For </w:t>
            </w:r>
            <w:r w:rsidR="00BD2AC5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source</w:t>
            </w:r>
            <w:r w:rsidR="00C91432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4A1E3B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C91432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BD2AC5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see last slide </w:t>
            </w:r>
          </w:p>
          <w:p w:rsidR="00BD2AC5" w:rsidRPr="00044C62" w:rsidRDefault="00017EEB" w:rsidP="00F22545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44C6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Human Rights Training: A Manual on Human Rights Training Methodology</w:t>
            </w:r>
            <w:r w:rsidRPr="00044C62">
              <w:rPr>
                <w:rFonts w:ascii="Arial" w:hAnsi="Arial" w:cs="Arial"/>
                <w:bCs/>
                <w:sz w:val="22"/>
                <w:szCs w:val="22"/>
                <w:lang w:val="en-GB"/>
              </w:rPr>
              <w:t>, Professional Training Series No. 6</w:t>
            </w:r>
          </w:p>
          <w:p w:rsidR="00BD2AC5" w:rsidRPr="00044C62" w:rsidRDefault="00BD2AC5" w:rsidP="004A1E3B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On training techniques, including compilation of icebreakers, see OHCHR METS</w:t>
            </w:r>
            <w:r w:rsidR="004A1E3B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materials</w:t>
            </w:r>
          </w:p>
        </w:tc>
      </w:tr>
      <w:tr w:rsidR="00BD2AC5" w:rsidRPr="00821362" w:rsidTr="00BC3727">
        <w:tc>
          <w:tcPr>
            <w:tcW w:w="879" w:type="pct"/>
          </w:tcPr>
          <w:p w:rsidR="00BD2AC5" w:rsidRPr="00821362" w:rsidRDefault="00CA5B5E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821362">
              <w:rPr>
                <w:rFonts w:ascii="Arial" w:hAnsi="Arial" w:cs="Arial"/>
                <w:lang w:val="en-GB"/>
              </w:rPr>
              <w:t>H</w:t>
            </w:r>
            <w:r w:rsidR="00BD2AC5" w:rsidRPr="00821362">
              <w:rPr>
                <w:rFonts w:ascii="Arial" w:hAnsi="Arial" w:cs="Arial"/>
                <w:lang w:val="en-GB"/>
              </w:rPr>
              <w:t>andouts for participants</w:t>
            </w:r>
          </w:p>
          <w:p w:rsidR="00BD2AC5" w:rsidRPr="00821362" w:rsidRDefault="00044C62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12" o:spid="_x0000_i1031" type="#_x0000_t75" style="width:64.5pt;height:40.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J/RlWwgAAG1DAAAOAAAAZHJzL2Uyb0RvYy54bWzsW9ty2zYQfe9M/4HD144j8aKLNZEzjd2kD55U&#10;YyUfABKgRBIEOCBCy/n6Li4kJVmu4lwmbYqxLJHAYrE4XIA4y+XLV7uKei0RTc7Z0g9ejH2PsJTj&#10;nG2W/of3by7mvtdIxDCinJGl/0Aa/9XVr7+8vK8XJORbTjERHihhzeK+XvpbKevFaNSkW1Kh5gWv&#10;CYPKjIsKSTgVmxEW6B60V3QUjsfT0T0XuBY8JU0DpTem0r/S+rOMpPKvLGuI9OjSn44vp74nlz4Y&#10;KfR3or5HVy/RYiNQvc1Tawn6AkMqlDPot1d1gyTyPor8C1RRnpYEXyPWogZU0nSxX2JtpOnXa0YL&#10;1r4V9bpeCWV5+q5dCS/HGhuGKrheBh2osGIA1uio1WZQsMtEpRTxLPN2WstDjzDZSS+FwjCKo2AK&#10;lyCFujAO4snl3PayhWul2gXTOBrHoe+BRBRNZpNp2En8cUYLGGeMgIM9w5pamcXaxyONfc+M9A58&#10;BbENJV7UD1qJdyPumjYWrKOxhmBzMANtxzZ34w6CcD4LQECNO4jnk8txrDrqLUaLWjTyLeGVpw6W&#10;vgCLtEeh9raRRrQT0cPhb3JKoRwtKFPfDac5VmX6RE0hck2F1yJwfpSmhMnA9rgnCf2r1vDTjUzu&#10;1houuXvN8YPSlcAveIaQ9JqDLrh4iKVbDpMolcKgRRu5lg+UKHFMspXxKDi6g4YUgF36hF18WFsD&#10;BhHa0gAg9Sokbo1quoGlhPoeyLxHyfrT0r8M4nisZq00vRN0y16LEnD0QbfMmT0FkS10BQvB6iNL&#10;AcJA42etaEBTMFd6SiLUagULiK7fQwNQOMSNnsIMIFO9evKhJhlKYZ78VrELKg0UBB1VEGQq0uao&#10;Im0GOAAnfRUsHgpHOAwHaOLJTBnsof89PgoUi0804NM5icNHgWLxiQd8gmgG665zIJhVChUL0GQP&#10;oHk418uD8yCFigVoOgAUhnNwIOdB4EEKFQvQbA+gWRy5NVrfuBQqFqD5AJBCR9/J3RRTqFiALvcA&#10;mk5mbpHWHqRQMTuiva2l3pgquIwD9dtPDaU42mp6wO9gh4hzIWHPDetWU8lrShDs/c5v/OTu9GYZ&#10;OlGXTV5db0la0ryRau8staXGXmOjEjptldqH6vvMYBgRsJcGU7+pgX/iJClxUpRFgsuiTcoyadui&#10;TMqiaA9sfoah39RAL8uyIivgk7UZa1lWtGWG4Tdj8JclLRiMEzBcHRQFnBcYl22CMRxBSdu2DOt/&#10;xkp7WIKeti0xa+Fjy+AAxLAqseVFwYkoalKSYlOrD6mzghDCCedH0BCGV0igYxrjPb6K6or/E5V4&#10;yqOGHrQTgfsoh+rJ18eGrGvFTg0D7NhZ07Etyu5IBqxdcWtf23DIYDrmp6u2CBNDCCdwJ9fBD8X8&#10;uhZmvimFSjoDKtnrNlSqlzzFKq28akp07KVvbKdb182pxn0L3TNnsm9c5YyLUyMbuFlm5LX5FhhN&#10;aPWY9Xw8xf0hwnDM/fWc15GQNawyBvGhaceQj7j/QbwiDi8tsICCjVY47u+4v+P+el342tiI4/42&#10;2vRE7Mhx/y4c9wRAjvufAchx/zMAOe5/BiDH/c8A5Lj/GYD+9dz/bnVzwBOBbTjab2jdUzS3D5w4&#10;2q95qqP9agb9ANo/eUz79ZP459L+cD6ZxXNIcIHgIuQxRNHcJpP8R2i/ivsQRiKsiFkK6R4C2cyD&#10;vOEVkSJPISHj913eBO95bR5h03yzlXf5xhM5PNGXW0HISuoQK5zZh9m9Vh2CseFSl1Mw5GIMcauD&#10;cKHLKbC5Kj8CHxdXcHGFg2ye5ybtuLjCmT29iyucAcjFFc4A5OIKZwBycYUzAD0rrjAQtIME1u+S&#10;VTD0pbmhiyW4WMKpLO6nYiuP3Qe4l0sh+P4pBNHjWEL3rsI7/bbBZ6YQQF7cOIzMKw8xpFmGk6kh&#10;3D9dLCF0sQT3fsLP/f7GZ8US/gYAAP//7FZNc9owEP0rHl87GcB8hgkcQqfTQw5MaH+AbK3AkpA9&#10;sqJCf313ZYEJzaQ55FYGgVfa1erxJPltmnAQP1i++b1I7wejUb+fJtbpRYpPYE/m0apFOkgTzVxp&#10;YhddO2a2pdmuX0zhyL98YHNM9Ly2SYOZBjPKo8AatDO0yd9UuuTfSq1Dp9jBHlbaJp7hatoN0t7y&#10;oXcVFVZN3LEGwQpYpF/25k47imRzYFcOYK2jaK4cRRNztwjDMtrrYb22lAjNEZrJntknhDucDiaE&#10;nuktotf/MUHESiRofEHQLJuF7b0RRKxEgiYdQVk2wwN0O0F4r4iVSND0gqDpaEgvhdsV08RKJGjW&#10;EUTshDfx7YoRK5Gg+wuCJuPp7SUdpItYaRWtcRt31EBs1eEHNa09QIWzUTMNXzPLSKY1KvgiBXP3&#10;c5MmOWl4wkvrjkH5m71baWCof/+Wbnd4Q7pRyOG8VoDXQiJcYT/tNQQqG4KsdCjA2oDrM9DgerS2&#10;W37nea54LpXMuZI+Vyr3XqpcSemp/nABbYsxoP0A0E8FmAghpJDYhBfGGyG9EhyfwuBH5B4B8xyB&#10;kyEl9iXnyueco4Uj3nvDw9cYFU2FebxX3HhscQwNDOM0EselrMDKGhTIbU0NaiEBoIKquqKm29zX&#10;B+nvXSQO36v8Pn58aHMOjxU/UsqXBjb1MxSurRrdYRMOWHO6Ado8g0hKflikWRowvC44WVGAwaIz&#10;uHaMQ1uHjlG4+7FabE4z2utFCSlaYAV7zh0TnCLbJKfcLbQYT1NBCER8nhzv1nuTzzPCypXpJu9L&#10;U9m3/llXSos2PsCPxFCBjUT1dDHXVaGAr5jxrAkhW8vqXVl8ZY5d9tH+Vc8hq3aV5mCXfwAAAP//&#10;AwBQSwMEFAAGAAgAAAAhAESogWXZAAAABAEAAA8AAABkcnMvZG93bnJldi54bWxMj0tPwzAQhO9I&#10;/AdrkbhRp+HZkE1VteIAtz7E2Y2XJDReR7abuv8elwtcRhrNaubbch5NL0ZyvrOMMJ1kIIhrqztu&#10;EHbbt7sXED4o1qq3TAhn8jCvrq9KVWh74jWNm9CIVMK+UAhtCEMhpa9bMspP7ECcsi/rjArJukZq&#10;p06p3PQyz7InaVTHaaFVAy1bqg+bo0HId2c7bt3KPNxHk8fP9++Pxq0Qb2/i4hVEoBj+juGCn9Ch&#10;Skx7e2TtRY+QHgm/esnyWbJ7hOfZI8iqlP/hqx8AAAD//wMAUEsBAi0AFAAGAAgAAAAhAJNevZL7&#10;AAAA4QEAABMAAAAAAAAAAAAAAAAAAAAAAFtDb250ZW50X1R5cGVzXS54bWxQSwECLQAUAAYACAAA&#10;ACEAOP0h/9YAAACUAQAACwAAAAAAAAAAAAAAAAAsAQAAX3JlbHMvLnJlbHNQSwECLQAUAAYACAAA&#10;ACEASSf0ZVsIAABtQwAADgAAAAAAAAAAAAAAAAArAgAAZHJzL2Uyb0RvYy54bWxQSwECLQAUAAYA&#10;CAAAACEARKiBZdkAAAAEAQAADwAAAAAAAAAAAAAAAACyCgAAZHJzL2Rvd25yZXYueG1sUEsFBgAA&#10;AAAEAAQA8wAAALgLAAAAAA==&#10;">
                  <v:imagedata r:id="rId15" o:title="" croptop="-2475f" cropbottom="-427f" cropright="-153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BD2AC5" w:rsidRPr="00044C62" w:rsidRDefault="004A1E3B" w:rsidP="00044C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Computer slide presentation </w:t>
            </w:r>
            <w:r w:rsidR="00BD2AC5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(print 4 slides per page)</w:t>
            </w:r>
          </w:p>
          <w:p w:rsidR="00BD2AC5" w:rsidRPr="00044C62" w:rsidRDefault="00BD2AC5" w:rsidP="00F225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Convention on the Rights of Persons with Disabilities</w:t>
            </w:r>
          </w:p>
          <w:p w:rsidR="00BD2AC5" w:rsidRPr="00044C62" w:rsidRDefault="00BD2AC5" w:rsidP="00F225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Style w:val="normal--char"/>
                <w:rFonts w:ascii="Arial" w:hAnsi="Arial" w:cs="Arial"/>
                <w:bCs/>
                <w:sz w:val="22"/>
                <w:szCs w:val="22"/>
                <w:lang w:val="en-GB"/>
              </w:rPr>
              <w:t>Group activity, instruction</w:t>
            </w:r>
            <w:r w:rsidR="004A1E3B" w:rsidRPr="001B2B23">
              <w:rPr>
                <w:rStyle w:val="normal--char"/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</w:p>
        </w:tc>
      </w:tr>
      <w:tr w:rsidR="00BD2AC5" w:rsidRPr="00821362" w:rsidTr="00BC3727">
        <w:tc>
          <w:tcPr>
            <w:tcW w:w="879" w:type="pct"/>
          </w:tcPr>
          <w:p w:rsidR="00BD2AC5" w:rsidRPr="00821362" w:rsidRDefault="00CA5B5E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821362">
              <w:rPr>
                <w:rFonts w:ascii="Arial" w:hAnsi="Arial" w:cs="Arial"/>
                <w:bCs/>
                <w:lang w:val="en-GB"/>
              </w:rPr>
              <w:t>R</w:t>
            </w:r>
            <w:r w:rsidR="00BD2AC5" w:rsidRPr="00821362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BD2AC5" w:rsidRPr="00821362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BD2AC5" w:rsidRPr="00821362" w:rsidRDefault="00CA5B5E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821362">
              <w:rPr>
                <w:rFonts w:ascii="Arial" w:hAnsi="Arial" w:cs="Arial"/>
                <w:lang w:val="en-GB"/>
              </w:rPr>
              <w:object w:dxaOrig="6373" w:dyaOrig="4783">
                <v:shape id="_x0000_i1032" type="#_x0000_t75" style="width:76.3pt;height:55.35pt" o:ole="">
                  <v:imagedata r:id="rId16" o:title=""/>
                </v:shape>
                <o:OLEObject Type="Embed" ProgID="PowerPoint.Slide.12" ShapeID="_x0000_i1032" DrawAspect="Content" ObjectID="_1406708047" r:id="rId17"/>
              </w:object>
            </w:r>
          </w:p>
        </w:tc>
        <w:tc>
          <w:tcPr>
            <w:tcW w:w="4121" w:type="pct"/>
          </w:tcPr>
          <w:p w:rsidR="00BD2AC5" w:rsidRPr="00044C62" w:rsidRDefault="00BD2AC5" w:rsidP="00044C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Convention on the Rights of Persons with Disabilities</w:t>
            </w:r>
          </w:p>
          <w:p w:rsidR="00BD2AC5" w:rsidRPr="00044C62" w:rsidRDefault="00017EEB" w:rsidP="00F225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44C62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From Exclusion to Equality: Realizing the Rights of Persons with Disabilities—Handbook for Parliamentarians on the Convention on the Rights of Persons with Disabilities and its Optional </w:t>
            </w:r>
            <w:r w:rsidRPr="00044C62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Protocol</w:t>
            </w:r>
            <w:r w:rsidR="00895082" w:rsidRPr="00044C6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(HR/PUB/07/6)</w:t>
            </w:r>
            <w:r w:rsidR="00BD2AC5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C91432" w:rsidRPr="00044C62" w:rsidRDefault="00017EEB" w:rsidP="00F225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44C62">
              <w:rPr>
                <w:rFonts w:ascii="Arial" w:hAnsi="Arial" w:cs="Arial"/>
                <w:bCs/>
                <w:sz w:val="22"/>
                <w:szCs w:val="22"/>
                <w:lang w:val="en-GB"/>
              </w:rPr>
              <w:t>A/HRC/10/48</w:t>
            </w:r>
            <w:r w:rsidR="00C91432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C91432" w:rsidRPr="00044C62" w:rsidRDefault="00C91432" w:rsidP="00F225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OHCHR, </w:t>
            </w:r>
            <w:r w:rsidR="003C252F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Study on </w:t>
            </w:r>
            <w:r w:rsidR="00017EEB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implementation of article </w:t>
            </w:r>
            <w:r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33 in Europe</w:t>
            </w:r>
            <w:r w:rsidR="003C252F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>”</w:t>
            </w:r>
            <w:r w:rsidR="00413C06" w:rsidRPr="001B2B2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(forthcoming)</w:t>
            </w:r>
          </w:p>
          <w:p w:rsidR="00BD2AC5" w:rsidRPr="00044C62" w:rsidRDefault="00BD2AC5" w:rsidP="0008134B">
            <w:pPr>
              <w:pStyle w:val="ListParagraph"/>
              <w:ind w:left="394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D2AC5" w:rsidRPr="00821362" w:rsidRDefault="00BD2AC5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B3116C" w:rsidRDefault="00B3116C" w:rsidP="004C4F86">
      <w:pPr>
        <w:rPr>
          <w:rFonts w:ascii="Arial" w:hAnsi="Arial" w:cs="Arial"/>
          <w:b/>
          <w:bCs/>
          <w:color w:val="1F497D"/>
          <w:u w:val="single"/>
          <w:lang w:val="en-GB"/>
        </w:rPr>
      </w:pPr>
      <w:r>
        <w:rPr>
          <w:rFonts w:ascii="Arial" w:hAnsi="Arial" w:cs="Arial"/>
          <w:b/>
          <w:bCs/>
          <w:color w:val="1F497D"/>
          <w:u w:val="single"/>
          <w:lang w:val="en-GB"/>
        </w:rPr>
        <w:br w:type="page"/>
      </w:r>
    </w:p>
    <w:p w:rsidR="00BD2AC5" w:rsidRPr="00821362" w:rsidRDefault="00BD2AC5" w:rsidP="004C4F86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821362">
        <w:rPr>
          <w:rFonts w:ascii="Arial" w:hAnsi="Arial" w:cs="Arial"/>
          <w:b/>
          <w:bCs/>
          <w:color w:val="1F497D"/>
          <w:u w:val="single"/>
          <w:lang w:val="en-GB"/>
        </w:rPr>
        <w:t xml:space="preserve">Learning </w:t>
      </w:r>
      <w:r w:rsidR="00CA5B5E" w:rsidRPr="00821362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821362">
        <w:rPr>
          <w:rFonts w:ascii="Arial" w:hAnsi="Arial" w:cs="Arial"/>
          <w:b/>
          <w:bCs/>
          <w:color w:val="1F497D"/>
          <w:u w:val="single"/>
          <w:lang w:val="en-GB"/>
        </w:rPr>
        <w:t>bjectives (skills, knowledge, attitudes)</w:t>
      </w:r>
    </w:p>
    <w:p w:rsidR="00BD2AC5" w:rsidRPr="00821362" w:rsidRDefault="00BD2AC5" w:rsidP="004C4F86">
      <w:pPr>
        <w:rPr>
          <w:rFonts w:ascii="Arial" w:hAnsi="Arial" w:cs="Arial"/>
          <w:lang w:val="en-GB"/>
        </w:rPr>
      </w:pPr>
    </w:p>
    <w:p w:rsidR="00BD2AC5" w:rsidRPr="00821362" w:rsidRDefault="00BD2AC5" w:rsidP="004C4F86">
      <w:p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At the end of </w:t>
      </w:r>
      <w:r w:rsidR="00656CE3" w:rsidRPr="00821362">
        <w:rPr>
          <w:rFonts w:ascii="Arial" w:hAnsi="Arial" w:cs="Arial"/>
          <w:lang w:val="en-GB"/>
        </w:rPr>
        <w:t>m</w:t>
      </w:r>
      <w:r w:rsidRPr="00821362">
        <w:rPr>
          <w:rFonts w:ascii="Arial" w:hAnsi="Arial" w:cs="Arial"/>
          <w:lang w:val="en-GB"/>
        </w:rPr>
        <w:t>od</w:t>
      </w:r>
      <w:r w:rsidR="00656CE3">
        <w:rPr>
          <w:rFonts w:ascii="Arial" w:hAnsi="Arial" w:cs="Arial"/>
          <w:lang w:val="en-GB"/>
        </w:rPr>
        <w:t>ule</w:t>
      </w:r>
      <w:r w:rsidRPr="00821362">
        <w:rPr>
          <w:rFonts w:ascii="Arial" w:hAnsi="Arial" w:cs="Arial"/>
          <w:lang w:val="en-GB"/>
        </w:rPr>
        <w:t xml:space="preserve"> 6, participants will be able to:</w:t>
      </w:r>
    </w:p>
    <w:p w:rsidR="00BD2AC5" w:rsidRPr="00821362" w:rsidRDefault="00BD2AC5" w:rsidP="004C4F86">
      <w:pPr>
        <w:rPr>
          <w:rFonts w:ascii="Arial" w:hAnsi="Arial" w:cs="Arial"/>
          <w:lang w:val="en-GB"/>
        </w:rPr>
      </w:pPr>
    </w:p>
    <w:p w:rsidR="00D01362" w:rsidRPr="00821362" w:rsidRDefault="00B60A16" w:rsidP="004C4F86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Name </w:t>
      </w:r>
      <w:r w:rsidR="00C91432" w:rsidRPr="00821362">
        <w:rPr>
          <w:rFonts w:ascii="Arial" w:hAnsi="Arial" w:cs="Arial"/>
          <w:lang w:val="en-GB"/>
        </w:rPr>
        <w:t xml:space="preserve">the main institutional actors with roles </w:t>
      </w:r>
      <w:r w:rsidR="00656CE3">
        <w:rPr>
          <w:rFonts w:ascii="Arial" w:hAnsi="Arial" w:cs="Arial"/>
          <w:lang w:val="en-GB"/>
        </w:rPr>
        <w:t>in</w:t>
      </w:r>
      <w:r w:rsidR="00656CE3" w:rsidRPr="00821362">
        <w:rPr>
          <w:rFonts w:ascii="Arial" w:hAnsi="Arial" w:cs="Arial"/>
          <w:lang w:val="en-GB"/>
        </w:rPr>
        <w:t xml:space="preserve"> </w:t>
      </w:r>
      <w:r w:rsidR="00C91432" w:rsidRPr="00821362">
        <w:rPr>
          <w:rFonts w:ascii="Arial" w:hAnsi="Arial" w:cs="Arial"/>
          <w:lang w:val="en-GB"/>
        </w:rPr>
        <w:t>implement</w:t>
      </w:r>
      <w:r w:rsidR="00656CE3">
        <w:rPr>
          <w:rFonts w:ascii="Arial" w:hAnsi="Arial" w:cs="Arial"/>
          <w:lang w:val="en-GB"/>
        </w:rPr>
        <w:t>ing</w:t>
      </w:r>
      <w:r w:rsidR="00C91432" w:rsidRPr="00821362">
        <w:rPr>
          <w:rFonts w:ascii="Arial" w:hAnsi="Arial" w:cs="Arial"/>
          <w:lang w:val="en-GB"/>
        </w:rPr>
        <w:t xml:space="preserve"> and monitor</w:t>
      </w:r>
      <w:r w:rsidR="00656CE3">
        <w:rPr>
          <w:rFonts w:ascii="Arial" w:hAnsi="Arial" w:cs="Arial"/>
          <w:lang w:val="en-GB"/>
        </w:rPr>
        <w:t>ing</w:t>
      </w:r>
      <w:r w:rsidR="00C91432" w:rsidRPr="00821362">
        <w:rPr>
          <w:rFonts w:ascii="Arial" w:hAnsi="Arial" w:cs="Arial"/>
          <w:lang w:val="en-GB"/>
        </w:rPr>
        <w:t xml:space="preserve"> the </w:t>
      </w:r>
      <w:r w:rsidR="00656CE3">
        <w:rPr>
          <w:rFonts w:ascii="Arial" w:hAnsi="Arial" w:cs="Arial"/>
          <w:lang w:val="en-GB"/>
        </w:rPr>
        <w:t>Convention</w:t>
      </w:r>
    </w:p>
    <w:p w:rsidR="00D01362" w:rsidRPr="00821362" w:rsidRDefault="00E908C7" w:rsidP="004C4F86">
      <w:pPr>
        <w:numPr>
          <w:ilvl w:val="0"/>
          <w:numId w:val="6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Identify </w:t>
      </w:r>
      <w:r w:rsidR="00C91432" w:rsidRPr="00821362">
        <w:rPr>
          <w:rFonts w:ascii="Arial" w:hAnsi="Arial" w:cs="Arial"/>
          <w:lang w:val="en-GB"/>
        </w:rPr>
        <w:t>the main functions of actors involved in implementation and monitoring</w:t>
      </w:r>
    </w:p>
    <w:p w:rsidR="00BD2AC5" w:rsidRPr="00821362" w:rsidRDefault="00BD2AC5" w:rsidP="004C4F86">
      <w:pPr>
        <w:rPr>
          <w:rFonts w:ascii="Arial" w:hAnsi="Arial" w:cs="Arial"/>
          <w:lang w:val="en-GB"/>
        </w:rPr>
      </w:pPr>
    </w:p>
    <w:p w:rsidR="00C91432" w:rsidRPr="00821362" w:rsidRDefault="00C91432" w:rsidP="004C4F86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821362">
        <w:rPr>
          <w:rFonts w:ascii="Arial" w:hAnsi="Arial" w:cs="Arial"/>
          <w:b/>
          <w:bCs/>
          <w:color w:val="1F497D"/>
          <w:u w:val="single"/>
          <w:lang w:val="en-GB"/>
        </w:rPr>
        <w:t>General tips</w:t>
      </w:r>
    </w:p>
    <w:p w:rsidR="00C91432" w:rsidRPr="00821362" w:rsidRDefault="00C91432" w:rsidP="004C4F86">
      <w:pPr>
        <w:rPr>
          <w:rFonts w:ascii="Arial" w:hAnsi="Arial" w:cs="Arial"/>
          <w:lang w:val="en-GB"/>
        </w:rPr>
      </w:pPr>
    </w:p>
    <w:p w:rsidR="00BD2AC5" w:rsidRPr="00821362" w:rsidRDefault="00BD2AC5" w:rsidP="004C4F86">
      <w:p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Before and during the session, </w:t>
      </w:r>
      <w:r w:rsidR="00A06514">
        <w:rPr>
          <w:rFonts w:ascii="Arial" w:hAnsi="Arial" w:cs="Arial"/>
          <w:lang w:val="en-GB"/>
        </w:rPr>
        <w:t>facilitators</w:t>
      </w:r>
      <w:r w:rsidR="00A06514" w:rsidRPr="00821362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>may want to:</w:t>
      </w:r>
    </w:p>
    <w:p w:rsidR="00BD2AC5" w:rsidRPr="00821362" w:rsidRDefault="00BD2AC5" w:rsidP="004C4F86">
      <w:pPr>
        <w:rPr>
          <w:rFonts w:ascii="Arial" w:hAnsi="Arial" w:cs="Arial"/>
          <w:lang w:val="en-GB"/>
        </w:rPr>
      </w:pPr>
    </w:p>
    <w:p w:rsidR="00BD2AC5" w:rsidRPr="00821362" w:rsidRDefault="00BD2AC5" w:rsidP="004C4F86">
      <w:pPr>
        <w:pStyle w:val="Default"/>
        <w:numPr>
          <w:ilvl w:val="1"/>
          <w:numId w:val="7"/>
        </w:numPr>
        <w:ind w:right="22"/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Collect examples of/brainstorm on success stories and challenges faced by the national </w:t>
      </w:r>
      <w:r w:rsidR="00C91432" w:rsidRPr="00821362">
        <w:rPr>
          <w:rFonts w:ascii="Arial" w:hAnsi="Arial" w:cs="Arial"/>
          <w:lang w:val="en-GB"/>
        </w:rPr>
        <w:t xml:space="preserve">implementation and </w:t>
      </w:r>
      <w:r w:rsidRPr="00821362">
        <w:rPr>
          <w:rFonts w:ascii="Arial" w:hAnsi="Arial" w:cs="Arial"/>
          <w:lang w:val="en-GB"/>
        </w:rPr>
        <w:t>monitoring mechanisms (focal points, coordination mechanism, monitoring framework) in monitoring and implementing the Convention</w:t>
      </w:r>
    </w:p>
    <w:p w:rsidR="00BD2AC5" w:rsidRPr="00821362" w:rsidRDefault="00BD2AC5" w:rsidP="004C4F86">
      <w:pPr>
        <w:pStyle w:val="Default"/>
        <w:numPr>
          <w:ilvl w:val="1"/>
          <w:numId w:val="7"/>
        </w:numPr>
        <w:ind w:right="22"/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>Explore the pros and cons of expanding mandates of existing national human rights institutions and/or creating an entirely new monitoring framework (art. 33 (2))</w:t>
      </w:r>
    </w:p>
    <w:p w:rsidR="00BD2AC5" w:rsidRPr="00821362" w:rsidRDefault="00BD2AC5" w:rsidP="004C4F86">
      <w:pPr>
        <w:pStyle w:val="Default"/>
        <w:numPr>
          <w:ilvl w:val="1"/>
          <w:numId w:val="7"/>
        </w:numPr>
        <w:ind w:right="22"/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>Brainstorm about possible ways to strengthen and promote the participation of persons with disabilities and DPOs in national monitoring</w:t>
      </w:r>
    </w:p>
    <w:p w:rsidR="00BD2AC5" w:rsidRPr="00821362" w:rsidRDefault="00BD2AC5" w:rsidP="004C4F86">
      <w:pPr>
        <w:rPr>
          <w:rFonts w:ascii="Arial" w:hAnsi="Arial" w:cs="Arial"/>
          <w:lang w:val="en-GB"/>
        </w:rPr>
      </w:pPr>
    </w:p>
    <w:p w:rsidR="00FE476A" w:rsidRPr="00821362" w:rsidRDefault="00FE476A" w:rsidP="004C4F86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821362">
        <w:rPr>
          <w:rFonts w:ascii="Arial" w:hAnsi="Arial" w:cs="Arial"/>
          <w:b/>
          <w:bCs/>
          <w:color w:val="1F497D"/>
          <w:u w:val="single"/>
          <w:lang w:val="en-GB"/>
        </w:rPr>
        <w:t>Specific slides</w:t>
      </w:r>
    </w:p>
    <w:p w:rsidR="00FE476A" w:rsidRPr="00821362" w:rsidRDefault="00FE476A" w:rsidP="004C4F86">
      <w:pPr>
        <w:rPr>
          <w:rFonts w:ascii="Arial" w:hAnsi="Arial" w:cs="Arial"/>
          <w:lang w:val="en-GB"/>
        </w:rPr>
      </w:pPr>
    </w:p>
    <w:p w:rsidR="00FE476A" w:rsidRPr="00821362" w:rsidRDefault="00FE476A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1 </w:t>
      </w:r>
      <w:r w:rsidR="007A4AC6" w:rsidRPr="00821362">
        <w:rPr>
          <w:rFonts w:ascii="Arial" w:hAnsi="Arial" w:cs="Arial"/>
          <w:lang w:val="en-GB"/>
        </w:rPr>
        <w:t>–</w:t>
      </w:r>
      <w:r w:rsidRPr="00821362">
        <w:rPr>
          <w:rFonts w:ascii="Arial" w:hAnsi="Arial" w:cs="Arial"/>
          <w:lang w:val="en-GB"/>
        </w:rPr>
        <w:t xml:space="preserve"> </w:t>
      </w:r>
      <w:r w:rsidR="007A4AC6" w:rsidRPr="00821362">
        <w:rPr>
          <w:rFonts w:ascii="Arial" w:hAnsi="Arial" w:cs="Arial"/>
          <w:lang w:val="en-GB"/>
        </w:rPr>
        <w:t xml:space="preserve">title </w:t>
      </w:r>
    </w:p>
    <w:p w:rsidR="007A4AC6" w:rsidRPr="00821362" w:rsidRDefault="007A4AC6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>Slide 2 – sets out the objectives of the module and the module flow</w:t>
      </w:r>
    </w:p>
    <w:p w:rsidR="007A4AC6" w:rsidRPr="00821362" w:rsidRDefault="00D56D1F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3 – has already appeared in the </w:t>
      </w:r>
      <w:r w:rsidR="008B6DB5" w:rsidRPr="00821362">
        <w:rPr>
          <w:rFonts w:ascii="Arial" w:hAnsi="Arial" w:cs="Arial"/>
          <w:lang w:val="en-GB"/>
        </w:rPr>
        <w:t xml:space="preserve">module </w:t>
      </w:r>
      <w:r w:rsidR="008B6DB5">
        <w:rPr>
          <w:rFonts w:ascii="Arial" w:hAnsi="Arial" w:cs="Arial"/>
          <w:lang w:val="en-GB"/>
        </w:rPr>
        <w:t xml:space="preserve">4 </w:t>
      </w:r>
      <w:r w:rsidR="008B6DB5" w:rsidRPr="00821362">
        <w:rPr>
          <w:rFonts w:ascii="Arial" w:hAnsi="Arial" w:cs="Arial"/>
          <w:lang w:val="en-GB"/>
        </w:rPr>
        <w:t>on implementation measures</w:t>
      </w:r>
      <w:r w:rsidRPr="00821362">
        <w:rPr>
          <w:rFonts w:ascii="Arial" w:hAnsi="Arial" w:cs="Arial"/>
          <w:lang w:val="en-GB"/>
        </w:rPr>
        <w:t>.</w:t>
      </w:r>
      <w:r w:rsidR="00A06514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 xml:space="preserve">It reappears here as a reminder that many institutions have a role in implementing and monitoring the </w:t>
      </w:r>
      <w:r w:rsidR="00FE57B9">
        <w:rPr>
          <w:rFonts w:ascii="Arial" w:hAnsi="Arial" w:cs="Arial"/>
          <w:lang w:val="en-GB"/>
        </w:rPr>
        <w:t>C</w:t>
      </w:r>
      <w:r w:rsidR="00194CFB">
        <w:rPr>
          <w:rFonts w:ascii="Arial" w:hAnsi="Arial" w:cs="Arial"/>
          <w:lang w:val="en-GB"/>
        </w:rPr>
        <w:t>onvention</w:t>
      </w:r>
      <w:r w:rsidRPr="00821362">
        <w:rPr>
          <w:rFonts w:ascii="Arial" w:hAnsi="Arial" w:cs="Arial"/>
          <w:lang w:val="en-GB"/>
        </w:rPr>
        <w:t>.</w:t>
      </w:r>
    </w:p>
    <w:p w:rsidR="00E31438" w:rsidRPr="00821362" w:rsidRDefault="00D56D1F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4 </w:t>
      </w:r>
      <w:r w:rsidR="00CC0C7C" w:rsidRPr="00821362">
        <w:rPr>
          <w:rFonts w:ascii="Arial" w:hAnsi="Arial" w:cs="Arial"/>
          <w:lang w:val="en-GB"/>
        </w:rPr>
        <w:t>–</w:t>
      </w:r>
      <w:r w:rsidRPr="00821362">
        <w:rPr>
          <w:rFonts w:ascii="Arial" w:hAnsi="Arial" w:cs="Arial"/>
          <w:lang w:val="en-GB"/>
        </w:rPr>
        <w:t xml:space="preserve"> </w:t>
      </w:r>
      <w:r w:rsidR="00CC0C7C" w:rsidRPr="00821362">
        <w:rPr>
          <w:rFonts w:ascii="Arial" w:hAnsi="Arial" w:cs="Arial"/>
          <w:lang w:val="en-GB"/>
        </w:rPr>
        <w:t>sets out article 33</w:t>
      </w:r>
      <w:r w:rsidR="00A06514">
        <w:rPr>
          <w:rFonts w:ascii="Arial" w:hAnsi="Arial" w:cs="Arial"/>
          <w:lang w:val="en-GB"/>
        </w:rPr>
        <w:t> </w:t>
      </w:r>
      <w:r w:rsidR="00CC0C7C" w:rsidRPr="00821362">
        <w:rPr>
          <w:rFonts w:ascii="Arial" w:hAnsi="Arial" w:cs="Arial"/>
          <w:lang w:val="en-GB"/>
        </w:rPr>
        <w:t>(1) relating to focal point</w:t>
      </w:r>
      <w:r w:rsidR="00E31438" w:rsidRPr="00821362">
        <w:rPr>
          <w:rFonts w:ascii="Arial" w:hAnsi="Arial" w:cs="Arial"/>
          <w:lang w:val="en-GB"/>
        </w:rPr>
        <w:t>s and coordination mechanisms</w:t>
      </w:r>
    </w:p>
    <w:p w:rsidR="00CC0C7C" w:rsidRPr="00821362" w:rsidRDefault="00CC0C7C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5 – </w:t>
      </w:r>
      <w:r w:rsidR="00FA1A98">
        <w:rPr>
          <w:rFonts w:ascii="Arial" w:hAnsi="Arial" w:cs="Arial"/>
          <w:lang w:val="en-GB"/>
        </w:rPr>
        <w:t>asks</w:t>
      </w:r>
      <w:r w:rsidR="00E31438" w:rsidRPr="00821362">
        <w:rPr>
          <w:rFonts w:ascii="Arial" w:hAnsi="Arial" w:cs="Arial"/>
          <w:lang w:val="en-GB"/>
        </w:rPr>
        <w:t xml:space="preserve"> what the possible functions of focal points and coordination mechanisms</w:t>
      </w:r>
      <w:r w:rsidR="00FA1A98" w:rsidRPr="00FA1A98">
        <w:rPr>
          <w:rFonts w:ascii="Arial" w:hAnsi="Arial" w:cs="Arial"/>
          <w:lang w:val="en-GB"/>
        </w:rPr>
        <w:t xml:space="preserve"> </w:t>
      </w:r>
      <w:r w:rsidR="00FA1A98" w:rsidRPr="00821362">
        <w:rPr>
          <w:rFonts w:ascii="Arial" w:hAnsi="Arial" w:cs="Arial"/>
          <w:lang w:val="en-GB"/>
        </w:rPr>
        <w:t>are</w:t>
      </w:r>
      <w:r w:rsidR="00E31438" w:rsidRPr="00821362">
        <w:rPr>
          <w:rFonts w:ascii="Arial" w:hAnsi="Arial" w:cs="Arial"/>
          <w:lang w:val="en-GB"/>
        </w:rPr>
        <w:t>.</w:t>
      </w:r>
      <w:r w:rsidR="00A06514">
        <w:rPr>
          <w:rFonts w:ascii="Arial" w:hAnsi="Arial" w:cs="Arial"/>
          <w:lang w:val="en-GB"/>
        </w:rPr>
        <w:t xml:space="preserve"> </w:t>
      </w:r>
      <w:r w:rsidR="00E31438" w:rsidRPr="00821362">
        <w:rPr>
          <w:rFonts w:ascii="Arial" w:hAnsi="Arial" w:cs="Arial"/>
          <w:lang w:val="en-GB"/>
        </w:rPr>
        <w:t xml:space="preserve">Given </w:t>
      </w:r>
      <w:r w:rsidR="00FA1A98">
        <w:rPr>
          <w:rFonts w:ascii="Arial" w:hAnsi="Arial" w:cs="Arial"/>
          <w:lang w:val="en-GB"/>
        </w:rPr>
        <w:t>that</w:t>
      </w:r>
      <w:r w:rsidR="00E31438" w:rsidRPr="00821362">
        <w:rPr>
          <w:rFonts w:ascii="Arial" w:hAnsi="Arial" w:cs="Arial"/>
          <w:lang w:val="en-GB"/>
        </w:rPr>
        <w:t xml:space="preserve"> article 33</w:t>
      </w:r>
      <w:r w:rsidR="00A06514">
        <w:rPr>
          <w:rFonts w:ascii="Arial" w:hAnsi="Arial" w:cs="Arial"/>
          <w:lang w:val="en-GB"/>
        </w:rPr>
        <w:t> </w:t>
      </w:r>
      <w:r w:rsidR="00E31438" w:rsidRPr="00821362">
        <w:rPr>
          <w:rFonts w:ascii="Arial" w:hAnsi="Arial" w:cs="Arial"/>
          <w:lang w:val="en-GB"/>
        </w:rPr>
        <w:t>(1)</w:t>
      </w:r>
      <w:r w:rsidR="00FA1A98">
        <w:rPr>
          <w:rFonts w:ascii="Arial" w:hAnsi="Arial" w:cs="Arial"/>
          <w:lang w:val="en-GB"/>
        </w:rPr>
        <w:t xml:space="preserve"> is very vague</w:t>
      </w:r>
      <w:r w:rsidR="00E31438" w:rsidRPr="00821362">
        <w:rPr>
          <w:rFonts w:ascii="Arial" w:hAnsi="Arial" w:cs="Arial"/>
          <w:lang w:val="en-GB"/>
        </w:rPr>
        <w:t>, States have a clean slate to create the structures and functions of focal points and coordination mechanisms.</w:t>
      </w:r>
      <w:r w:rsidR="00A06514">
        <w:rPr>
          <w:rFonts w:ascii="Arial" w:hAnsi="Arial" w:cs="Arial"/>
          <w:lang w:val="en-GB"/>
        </w:rPr>
        <w:t xml:space="preserve"> </w:t>
      </w:r>
      <w:r w:rsidR="00E31438" w:rsidRPr="00821362">
        <w:rPr>
          <w:rFonts w:ascii="Arial" w:hAnsi="Arial" w:cs="Arial"/>
          <w:lang w:val="en-GB"/>
        </w:rPr>
        <w:t xml:space="preserve">The </w:t>
      </w:r>
      <w:r w:rsidR="00FE57B9" w:rsidRPr="00821362">
        <w:rPr>
          <w:rFonts w:ascii="Arial" w:hAnsi="Arial" w:cs="Arial"/>
          <w:lang w:val="en-GB"/>
        </w:rPr>
        <w:t>n</w:t>
      </w:r>
      <w:r w:rsidR="00E31438" w:rsidRPr="00821362">
        <w:rPr>
          <w:rFonts w:ascii="Arial" w:hAnsi="Arial" w:cs="Arial"/>
          <w:lang w:val="en-GB"/>
        </w:rPr>
        <w:t>otes provide some suggestions for functions of these mechanisms</w:t>
      </w:r>
    </w:p>
    <w:p w:rsidR="00CC0C7C" w:rsidRPr="00821362" w:rsidRDefault="00CC0C7C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6 and 7 – identify </w:t>
      </w:r>
      <w:r w:rsidR="006A64DB" w:rsidRPr="00821362">
        <w:rPr>
          <w:rFonts w:ascii="Arial" w:hAnsi="Arial" w:cs="Arial"/>
          <w:lang w:val="en-GB"/>
        </w:rPr>
        <w:t xml:space="preserve">examples of </w:t>
      </w:r>
      <w:r w:rsidRPr="00821362">
        <w:rPr>
          <w:rFonts w:ascii="Arial" w:hAnsi="Arial" w:cs="Arial"/>
          <w:lang w:val="en-GB"/>
        </w:rPr>
        <w:t>focal point</w:t>
      </w:r>
      <w:r w:rsidR="006A64DB" w:rsidRPr="00821362">
        <w:rPr>
          <w:rFonts w:ascii="Arial" w:hAnsi="Arial" w:cs="Arial"/>
          <w:lang w:val="en-GB"/>
        </w:rPr>
        <w:t xml:space="preserve">s and </w:t>
      </w:r>
      <w:r w:rsidRPr="00821362">
        <w:rPr>
          <w:rFonts w:ascii="Arial" w:hAnsi="Arial" w:cs="Arial"/>
          <w:lang w:val="en-GB"/>
        </w:rPr>
        <w:t>coordination mechanism</w:t>
      </w:r>
      <w:r w:rsidR="006A64DB" w:rsidRPr="00821362">
        <w:rPr>
          <w:rFonts w:ascii="Arial" w:hAnsi="Arial" w:cs="Arial"/>
          <w:lang w:val="en-GB"/>
        </w:rPr>
        <w:t>s</w:t>
      </w:r>
      <w:r w:rsidRPr="00821362">
        <w:rPr>
          <w:rFonts w:ascii="Arial" w:hAnsi="Arial" w:cs="Arial"/>
          <w:lang w:val="en-GB"/>
        </w:rPr>
        <w:t>, taken from the OHCHR study on article 33 in Europe.</w:t>
      </w:r>
      <w:r w:rsidR="00A06514">
        <w:rPr>
          <w:rFonts w:ascii="Arial" w:hAnsi="Arial" w:cs="Arial"/>
          <w:lang w:val="en-GB"/>
        </w:rPr>
        <w:t xml:space="preserve"> </w:t>
      </w:r>
      <w:r w:rsidR="006A64DB" w:rsidRPr="00821362">
        <w:rPr>
          <w:rFonts w:ascii="Arial" w:hAnsi="Arial" w:cs="Arial"/>
          <w:lang w:val="en-GB"/>
        </w:rPr>
        <w:t>The facilitator can discuss the different approaches of the two examples.</w:t>
      </w:r>
      <w:r w:rsidRPr="00821362">
        <w:rPr>
          <w:rFonts w:ascii="Arial" w:hAnsi="Arial" w:cs="Arial"/>
          <w:lang w:val="en-GB"/>
        </w:rPr>
        <w:t xml:space="preserve"> The facilitator might wish to find examples from the region in which the training is taking place in order to make the examples as relevant as poss</w:t>
      </w:r>
      <w:r w:rsidR="00CA5076" w:rsidRPr="00821362">
        <w:rPr>
          <w:rFonts w:ascii="Arial" w:hAnsi="Arial" w:cs="Arial"/>
          <w:lang w:val="en-GB"/>
        </w:rPr>
        <w:t>ible</w:t>
      </w:r>
    </w:p>
    <w:p w:rsidR="00CC0C7C" w:rsidRPr="00821362" w:rsidRDefault="00CC0C7C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8 </w:t>
      </w:r>
      <w:r w:rsidR="00CA5076" w:rsidRPr="00821362">
        <w:rPr>
          <w:rFonts w:ascii="Arial" w:hAnsi="Arial" w:cs="Arial"/>
          <w:lang w:val="en-GB"/>
        </w:rPr>
        <w:t>–</w:t>
      </w:r>
      <w:r w:rsidRPr="00821362">
        <w:rPr>
          <w:rFonts w:ascii="Arial" w:hAnsi="Arial" w:cs="Arial"/>
          <w:lang w:val="en-GB"/>
        </w:rPr>
        <w:t xml:space="preserve"> </w:t>
      </w:r>
      <w:r w:rsidR="00CA5076" w:rsidRPr="00821362">
        <w:rPr>
          <w:rFonts w:ascii="Arial" w:hAnsi="Arial" w:cs="Arial"/>
          <w:lang w:val="en-GB"/>
        </w:rPr>
        <w:t xml:space="preserve">introduces independent </w:t>
      </w:r>
      <w:r w:rsidR="0075286F" w:rsidRPr="00821362">
        <w:rPr>
          <w:rFonts w:ascii="Arial" w:hAnsi="Arial" w:cs="Arial"/>
          <w:lang w:val="en-GB"/>
        </w:rPr>
        <w:t xml:space="preserve">national </w:t>
      </w:r>
      <w:r w:rsidR="00CA5076" w:rsidRPr="00821362">
        <w:rPr>
          <w:rFonts w:ascii="Arial" w:hAnsi="Arial" w:cs="Arial"/>
          <w:lang w:val="en-GB"/>
        </w:rPr>
        <w:t>mechanisms for implementation and monitoring</w:t>
      </w:r>
    </w:p>
    <w:p w:rsidR="00CA5076" w:rsidRPr="00821362" w:rsidRDefault="00CA5076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>Slide 9 – raises some issues to be considered when establishing or designating the mechanism or mechanism</w:t>
      </w:r>
      <w:r w:rsidR="0075286F">
        <w:rPr>
          <w:rFonts w:ascii="Arial" w:hAnsi="Arial" w:cs="Arial"/>
          <w:lang w:val="en-GB"/>
        </w:rPr>
        <w:t>s</w:t>
      </w:r>
      <w:r w:rsidRPr="00821362">
        <w:rPr>
          <w:rFonts w:ascii="Arial" w:hAnsi="Arial" w:cs="Arial"/>
          <w:lang w:val="en-GB"/>
        </w:rPr>
        <w:t>.</w:t>
      </w:r>
      <w:r w:rsidR="00A06514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>In particular, the slide discusses the Paris Principles</w:t>
      </w:r>
      <w:r w:rsidR="0075286F">
        <w:rPr>
          <w:rFonts w:ascii="Arial" w:hAnsi="Arial" w:cs="Arial"/>
          <w:lang w:val="en-GB"/>
        </w:rPr>
        <w:t>,</w:t>
      </w:r>
      <w:r w:rsidRPr="00821362">
        <w:rPr>
          <w:rFonts w:ascii="Arial" w:hAnsi="Arial" w:cs="Arial"/>
          <w:lang w:val="en-GB"/>
        </w:rPr>
        <w:t xml:space="preserve"> </w:t>
      </w:r>
      <w:r w:rsidR="0075286F">
        <w:rPr>
          <w:rFonts w:ascii="Arial" w:hAnsi="Arial" w:cs="Arial"/>
          <w:lang w:val="en-GB"/>
        </w:rPr>
        <w:t>i.e.,</w:t>
      </w:r>
      <w:r w:rsidRPr="00821362">
        <w:rPr>
          <w:rFonts w:ascii="Arial" w:hAnsi="Arial" w:cs="Arial"/>
          <w:lang w:val="en-GB"/>
        </w:rPr>
        <w:t xml:space="preserve"> the Principles relating to </w:t>
      </w:r>
      <w:r w:rsidR="002D1945" w:rsidRPr="00821362">
        <w:rPr>
          <w:rFonts w:ascii="Arial" w:hAnsi="Arial" w:cs="Arial"/>
          <w:lang w:val="en-GB"/>
        </w:rPr>
        <w:t>the status of national institutions</w:t>
      </w:r>
      <w:r w:rsidRPr="00821362">
        <w:rPr>
          <w:rFonts w:ascii="Arial" w:hAnsi="Arial" w:cs="Arial"/>
          <w:lang w:val="en-GB"/>
        </w:rPr>
        <w:t>.</w:t>
      </w:r>
      <w:r w:rsidR="00A06514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>Given the explicit reference to the</w:t>
      </w:r>
      <w:r w:rsidR="0075286F">
        <w:rPr>
          <w:rFonts w:ascii="Arial" w:hAnsi="Arial" w:cs="Arial"/>
          <w:lang w:val="en-GB"/>
        </w:rPr>
        <w:t>m</w:t>
      </w:r>
      <w:r w:rsidRPr="00821362">
        <w:rPr>
          <w:rFonts w:ascii="Arial" w:hAnsi="Arial" w:cs="Arial"/>
          <w:lang w:val="en-GB"/>
        </w:rPr>
        <w:t xml:space="preserve"> in article 33, the </w:t>
      </w:r>
      <w:r w:rsidR="0075286F">
        <w:rPr>
          <w:rFonts w:ascii="Arial" w:hAnsi="Arial" w:cs="Arial"/>
          <w:lang w:val="en-GB"/>
        </w:rPr>
        <w:t>Convention</w:t>
      </w:r>
      <w:r w:rsidR="0075286F" w:rsidRPr="00821362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 xml:space="preserve">effectively provides much greater detail of the structure and functions of independent </w:t>
      </w:r>
      <w:r w:rsidR="0075286F" w:rsidRPr="00821362">
        <w:rPr>
          <w:rFonts w:ascii="Arial" w:hAnsi="Arial" w:cs="Arial"/>
          <w:lang w:val="en-GB"/>
        </w:rPr>
        <w:t xml:space="preserve">national </w:t>
      </w:r>
      <w:r w:rsidRPr="00821362">
        <w:rPr>
          <w:rFonts w:ascii="Arial" w:hAnsi="Arial" w:cs="Arial"/>
          <w:lang w:val="en-GB"/>
        </w:rPr>
        <w:t>mechanisms than it does in relation to focal points and coordination mechanisms</w:t>
      </w:r>
    </w:p>
    <w:p w:rsidR="00CA5076" w:rsidRPr="00821362" w:rsidRDefault="00CA5076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10 – makes some suggestions in relation to the mandate of independent </w:t>
      </w:r>
      <w:r w:rsidR="002D1945" w:rsidRPr="00821362">
        <w:rPr>
          <w:rFonts w:ascii="Arial" w:hAnsi="Arial" w:cs="Arial"/>
          <w:lang w:val="en-GB"/>
        </w:rPr>
        <w:t xml:space="preserve">national </w:t>
      </w:r>
      <w:r w:rsidRPr="00821362">
        <w:rPr>
          <w:rFonts w:ascii="Arial" w:hAnsi="Arial" w:cs="Arial"/>
          <w:lang w:val="en-GB"/>
        </w:rPr>
        <w:t xml:space="preserve">mechanisms to promote, protect and monitor the </w:t>
      </w:r>
      <w:r w:rsidR="002D1945">
        <w:rPr>
          <w:rFonts w:ascii="Arial" w:hAnsi="Arial" w:cs="Arial"/>
          <w:lang w:val="en-GB"/>
        </w:rPr>
        <w:t>Convention</w:t>
      </w:r>
      <w:r w:rsidR="00BA481E">
        <w:rPr>
          <w:rFonts w:ascii="Arial" w:hAnsi="Arial" w:cs="Arial"/>
          <w:lang w:val="en-GB"/>
        </w:rPr>
        <w:t>,</w:t>
      </w:r>
      <w:r w:rsidR="002D1945" w:rsidRPr="00821362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>as set out in article 33</w:t>
      </w:r>
      <w:r w:rsidR="00A517B6">
        <w:rPr>
          <w:rFonts w:ascii="Arial" w:hAnsi="Arial" w:cs="Arial"/>
          <w:lang w:val="en-GB"/>
        </w:rPr>
        <w:t> </w:t>
      </w:r>
      <w:r w:rsidRPr="00821362">
        <w:rPr>
          <w:rFonts w:ascii="Arial" w:hAnsi="Arial" w:cs="Arial"/>
          <w:lang w:val="en-GB"/>
        </w:rPr>
        <w:t>(2).</w:t>
      </w:r>
      <w:r w:rsidR="00A06514">
        <w:rPr>
          <w:rFonts w:ascii="Arial" w:hAnsi="Arial" w:cs="Arial"/>
          <w:lang w:val="en-GB"/>
        </w:rPr>
        <w:t xml:space="preserve"> </w:t>
      </w:r>
      <w:r w:rsidR="002D1945">
        <w:rPr>
          <w:rFonts w:ascii="Arial" w:hAnsi="Arial" w:cs="Arial"/>
          <w:lang w:val="en-GB"/>
        </w:rPr>
        <w:t>Before</w:t>
      </w:r>
      <w:r w:rsidR="006742C7" w:rsidRPr="00821362">
        <w:rPr>
          <w:rFonts w:ascii="Arial" w:hAnsi="Arial" w:cs="Arial"/>
          <w:lang w:val="en-GB"/>
        </w:rPr>
        <w:t xml:space="preserve"> showing slide 10, t</w:t>
      </w:r>
      <w:r w:rsidRPr="00821362">
        <w:rPr>
          <w:rFonts w:ascii="Arial" w:hAnsi="Arial" w:cs="Arial"/>
          <w:lang w:val="en-GB"/>
        </w:rPr>
        <w:t xml:space="preserve">he facilitator could, as an exercise, suggest </w:t>
      </w:r>
      <w:r w:rsidR="006742C7" w:rsidRPr="00821362">
        <w:rPr>
          <w:rFonts w:ascii="Arial" w:hAnsi="Arial" w:cs="Arial"/>
          <w:lang w:val="en-GB"/>
        </w:rPr>
        <w:t xml:space="preserve">that participants examine the Paris Principles and identify which functions fall under the headings </w:t>
      </w:r>
      <w:r w:rsidR="00FA1A98">
        <w:rPr>
          <w:rFonts w:ascii="Arial" w:hAnsi="Arial" w:cs="Arial"/>
          <w:lang w:val="en-GB"/>
        </w:rPr>
        <w:t>“</w:t>
      </w:r>
      <w:r w:rsidR="006742C7" w:rsidRPr="00821362">
        <w:rPr>
          <w:rFonts w:ascii="Arial" w:hAnsi="Arial" w:cs="Arial"/>
          <w:lang w:val="en-GB"/>
        </w:rPr>
        <w:t>protect</w:t>
      </w:r>
      <w:r w:rsidR="00FA1A98">
        <w:rPr>
          <w:rFonts w:ascii="Arial" w:hAnsi="Arial" w:cs="Arial"/>
          <w:lang w:val="en-GB"/>
        </w:rPr>
        <w:t>”</w:t>
      </w:r>
      <w:r w:rsidR="006742C7" w:rsidRPr="00821362">
        <w:rPr>
          <w:rFonts w:ascii="Arial" w:hAnsi="Arial" w:cs="Arial"/>
          <w:lang w:val="en-GB"/>
        </w:rPr>
        <w:t xml:space="preserve">, </w:t>
      </w:r>
      <w:r w:rsidR="00FA1A98">
        <w:rPr>
          <w:rFonts w:ascii="Arial" w:hAnsi="Arial" w:cs="Arial"/>
          <w:lang w:val="en-GB"/>
        </w:rPr>
        <w:t>“</w:t>
      </w:r>
      <w:r w:rsidR="006742C7" w:rsidRPr="00821362">
        <w:rPr>
          <w:rFonts w:ascii="Arial" w:hAnsi="Arial" w:cs="Arial"/>
          <w:lang w:val="en-GB"/>
        </w:rPr>
        <w:t>promote</w:t>
      </w:r>
      <w:r w:rsidR="00FA1A98">
        <w:rPr>
          <w:rFonts w:ascii="Arial" w:hAnsi="Arial" w:cs="Arial"/>
          <w:lang w:val="en-GB"/>
        </w:rPr>
        <w:t>”</w:t>
      </w:r>
      <w:r w:rsidR="006742C7" w:rsidRPr="00821362">
        <w:rPr>
          <w:rFonts w:ascii="Arial" w:hAnsi="Arial" w:cs="Arial"/>
          <w:lang w:val="en-GB"/>
        </w:rPr>
        <w:t xml:space="preserve"> and </w:t>
      </w:r>
      <w:r w:rsidR="00FA1A98">
        <w:rPr>
          <w:rFonts w:ascii="Arial" w:hAnsi="Arial" w:cs="Arial"/>
          <w:lang w:val="en-GB"/>
        </w:rPr>
        <w:t>“</w:t>
      </w:r>
      <w:r w:rsidR="006742C7" w:rsidRPr="00821362">
        <w:rPr>
          <w:rFonts w:ascii="Arial" w:hAnsi="Arial" w:cs="Arial"/>
          <w:lang w:val="en-GB"/>
        </w:rPr>
        <w:t>monitor</w:t>
      </w:r>
      <w:r w:rsidR="00FA1A98">
        <w:rPr>
          <w:rFonts w:ascii="Arial" w:hAnsi="Arial" w:cs="Arial"/>
          <w:lang w:val="en-GB"/>
        </w:rPr>
        <w:t>”</w:t>
      </w:r>
    </w:p>
    <w:p w:rsidR="006742C7" w:rsidRPr="00821362" w:rsidRDefault="006742C7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11 </w:t>
      </w:r>
      <w:r w:rsidR="00E31438" w:rsidRPr="00821362">
        <w:rPr>
          <w:rFonts w:ascii="Arial" w:hAnsi="Arial" w:cs="Arial"/>
          <w:lang w:val="en-GB"/>
        </w:rPr>
        <w:t>–</w:t>
      </w:r>
      <w:r w:rsidRPr="00821362">
        <w:rPr>
          <w:rFonts w:ascii="Arial" w:hAnsi="Arial" w:cs="Arial"/>
          <w:lang w:val="en-GB"/>
        </w:rPr>
        <w:t xml:space="preserve"> </w:t>
      </w:r>
      <w:r w:rsidR="00E31438" w:rsidRPr="00821362">
        <w:rPr>
          <w:rFonts w:ascii="Arial" w:hAnsi="Arial" w:cs="Arial"/>
          <w:lang w:val="en-GB"/>
        </w:rPr>
        <w:t xml:space="preserve">identifies possible roles </w:t>
      </w:r>
      <w:r w:rsidR="002D1945">
        <w:rPr>
          <w:rFonts w:ascii="Arial" w:hAnsi="Arial" w:cs="Arial"/>
          <w:lang w:val="en-GB"/>
        </w:rPr>
        <w:t>of</w:t>
      </w:r>
      <w:r w:rsidR="002D1945" w:rsidRPr="00821362">
        <w:rPr>
          <w:rFonts w:ascii="Arial" w:hAnsi="Arial" w:cs="Arial"/>
          <w:lang w:val="en-GB"/>
        </w:rPr>
        <w:t xml:space="preserve"> </w:t>
      </w:r>
      <w:r w:rsidR="007B2814" w:rsidRPr="00821362">
        <w:rPr>
          <w:rFonts w:ascii="Arial" w:hAnsi="Arial" w:cs="Arial"/>
          <w:lang w:val="en-GB"/>
        </w:rPr>
        <w:t>p</w:t>
      </w:r>
      <w:r w:rsidR="00E31438" w:rsidRPr="00821362">
        <w:rPr>
          <w:rFonts w:ascii="Arial" w:hAnsi="Arial" w:cs="Arial"/>
          <w:lang w:val="en-GB"/>
        </w:rPr>
        <w:t xml:space="preserve">arliament </w:t>
      </w:r>
      <w:r w:rsidR="007B2814">
        <w:rPr>
          <w:rFonts w:ascii="Arial" w:hAnsi="Arial" w:cs="Arial"/>
          <w:lang w:val="en-GB"/>
        </w:rPr>
        <w:t>in</w:t>
      </w:r>
      <w:r w:rsidR="007B2814" w:rsidRPr="00821362">
        <w:rPr>
          <w:rFonts w:ascii="Arial" w:hAnsi="Arial" w:cs="Arial"/>
          <w:lang w:val="en-GB"/>
        </w:rPr>
        <w:t xml:space="preserve"> </w:t>
      </w:r>
      <w:r w:rsidR="00E31438" w:rsidRPr="00821362">
        <w:rPr>
          <w:rFonts w:ascii="Arial" w:hAnsi="Arial" w:cs="Arial"/>
          <w:lang w:val="en-GB"/>
        </w:rPr>
        <w:t>monitor</w:t>
      </w:r>
      <w:r w:rsidR="007B2814">
        <w:rPr>
          <w:rFonts w:ascii="Arial" w:hAnsi="Arial" w:cs="Arial"/>
          <w:lang w:val="en-GB"/>
        </w:rPr>
        <w:t>ing</w:t>
      </w:r>
      <w:r w:rsidR="00E31438" w:rsidRPr="00821362">
        <w:rPr>
          <w:rFonts w:ascii="Arial" w:hAnsi="Arial" w:cs="Arial"/>
          <w:lang w:val="en-GB"/>
        </w:rPr>
        <w:t xml:space="preserve"> and implement</w:t>
      </w:r>
      <w:r w:rsidR="007B2814">
        <w:rPr>
          <w:rFonts w:ascii="Arial" w:hAnsi="Arial" w:cs="Arial"/>
          <w:lang w:val="en-GB"/>
        </w:rPr>
        <w:t>ing</w:t>
      </w:r>
      <w:r w:rsidR="00E31438" w:rsidRPr="00821362">
        <w:rPr>
          <w:rFonts w:ascii="Arial" w:hAnsi="Arial" w:cs="Arial"/>
          <w:lang w:val="en-GB"/>
        </w:rPr>
        <w:t xml:space="preserve"> the </w:t>
      </w:r>
      <w:r w:rsidR="007B2814">
        <w:rPr>
          <w:rFonts w:ascii="Arial" w:hAnsi="Arial" w:cs="Arial"/>
          <w:lang w:val="en-GB"/>
        </w:rPr>
        <w:t>Convention</w:t>
      </w:r>
    </w:p>
    <w:p w:rsidR="00B3116C" w:rsidRDefault="00B3116C" w:rsidP="00044C62">
      <w:pPr>
        <w:ind w:left="720"/>
        <w:rPr>
          <w:rFonts w:ascii="Arial" w:hAnsi="Arial" w:cs="Arial"/>
          <w:lang w:val="en-GB"/>
        </w:rPr>
      </w:pPr>
    </w:p>
    <w:p w:rsidR="00E31438" w:rsidRPr="00821362" w:rsidRDefault="00E31438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12 – identifies possible roles of </w:t>
      </w:r>
      <w:r w:rsidR="007B2814" w:rsidRPr="00821362">
        <w:rPr>
          <w:rFonts w:ascii="Arial" w:hAnsi="Arial" w:cs="Arial"/>
          <w:lang w:val="en-GB"/>
        </w:rPr>
        <w:t xml:space="preserve">courts and tribunals </w:t>
      </w:r>
      <w:r w:rsidR="007B2814">
        <w:rPr>
          <w:rFonts w:ascii="Arial" w:hAnsi="Arial" w:cs="Arial"/>
          <w:lang w:val="en-GB"/>
        </w:rPr>
        <w:t>in</w:t>
      </w:r>
      <w:r w:rsidR="007B2814" w:rsidRPr="00821362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>monitor</w:t>
      </w:r>
      <w:r w:rsidR="007B2814">
        <w:rPr>
          <w:rFonts w:ascii="Arial" w:hAnsi="Arial" w:cs="Arial"/>
          <w:lang w:val="en-GB"/>
        </w:rPr>
        <w:t>ing</w:t>
      </w:r>
      <w:r w:rsidRPr="00821362">
        <w:rPr>
          <w:rFonts w:ascii="Arial" w:hAnsi="Arial" w:cs="Arial"/>
          <w:lang w:val="en-GB"/>
        </w:rPr>
        <w:t xml:space="preserve"> the </w:t>
      </w:r>
      <w:r w:rsidR="007B2814">
        <w:rPr>
          <w:rFonts w:ascii="Arial" w:hAnsi="Arial" w:cs="Arial"/>
          <w:lang w:val="en-GB"/>
        </w:rPr>
        <w:t>Convention</w:t>
      </w:r>
    </w:p>
    <w:p w:rsidR="00E31438" w:rsidRPr="00821362" w:rsidRDefault="00E31438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>Slide 13 – recalls article 33</w:t>
      </w:r>
      <w:r w:rsidR="002170F1">
        <w:rPr>
          <w:rFonts w:ascii="Arial" w:hAnsi="Arial" w:cs="Arial"/>
          <w:lang w:val="en-GB"/>
        </w:rPr>
        <w:t> </w:t>
      </w:r>
      <w:r w:rsidRPr="00821362">
        <w:rPr>
          <w:rFonts w:ascii="Arial" w:hAnsi="Arial" w:cs="Arial"/>
          <w:lang w:val="en-GB"/>
        </w:rPr>
        <w:t>(3)</w:t>
      </w:r>
      <w:r w:rsidR="002170F1">
        <w:rPr>
          <w:rFonts w:ascii="Arial" w:hAnsi="Arial" w:cs="Arial"/>
          <w:lang w:val="en-GB"/>
        </w:rPr>
        <w:t>,</w:t>
      </w:r>
      <w:r w:rsidRPr="00821362">
        <w:rPr>
          <w:rFonts w:ascii="Arial" w:hAnsi="Arial" w:cs="Arial"/>
          <w:lang w:val="en-GB"/>
        </w:rPr>
        <w:t xml:space="preserve"> which requires that persons with disabilities and their representative organizations should participate in the monitoring of the </w:t>
      </w:r>
      <w:r w:rsidR="007B2814">
        <w:rPr>
          <w:rFonts w:ascii="Arial" w:hAnsi="Arial" w:cs="Arial"/>
          <w:lang w:val="en-GB"/>
        </w:rPr>
        <w:t>Convention</w:t>
      </w:r>
      <w:r w:rsidRPr="00821362">
        <w:rPr>
          <w:rFonts w:ascii="Arial" w:hAnsi="Arial" w:cs="Arial"/>
          <w:lang w:val="en-GB"/>
        </w:rPr>
        <w:t>.</w:t>
      </w:r>
      <w:r w:rsidR="00A06514">
        <w:rPr>
          <w:rFonts w:ascii="Arial" w:hAnsi="Arial" w:cs="Arial"/>
          <w:lang w:val="en-GB"/>
        </w:rPr>
        <w:t xml:space="preserve"> </w:t>
      </w:r>
      <w:r w:rsidRPr="00821362">
        <w:rPr>
          <w:rFonts w:ascii="Arial" w:hAnsi="Arial" w:cs="Arial"/>
          <w:lang w:val="en-GB"/>
        </w:rPr>
        <w:t xml:space="preserve">The facilitator might wish to brainstorm with participants </w:t>
      </w:r>
      <w:r w:rsidR="002D1945">
        <w:rPr>
          <w:rFonts w:ascii="Arial" w:hAnsi="Arial" w:cs="Arial"/>
          <w:lang w:val="en-GB"/>
        </w:rPr>
        <w:t xml:space="preserve">on </w:t>
      </w:r>
      <w:r w:rsidRPr="00821362">
        <w:rPr>
          <w:rFonts w:ascii="Arial" w:hAnsi="Arial" w:cs="Arial"/>
          <w:lang w:val="en-GB"/>
        </w:rPr>
        <w:t xml:space="preserve">what civil society can do to monitor the Convention as well as how monitoring mechanisms can be open to </w:t>
      </w:r>
      <w:r w:rsidR="002D1945">
        <w:rPr>
          <w:rFonts w:ascii="Arial" w:hAnsi="Arial" w:cs="Arial"/>
          <w:lang w:val="en-GB"/>
        </w:rPr>
        <w:t xml:space="preserve">the </w:t>
      </w:r>
      <w:r w:rsidRPr="00821362">
        <w:rPr>
          <w:rFonts w:ascii="Arial" w:hAnsi="Arial" w:cs="Arial"/>
          <w:lang w:val="en-GB"/>
        </w:rPr>
        <w:t>participation of persons with disabilities and their representative organizations</w:t>
      </w:r>
    </w:p>
    <w:p w:rsidR="00E31438" w:rsidRPr="00821362" w:rsidRDefault="00E31438" w:rsidP="004C4F86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821362">
        <w:rPr>
          <w:rFonts w:ascii="Arial" w:hAnsi="Arial" w:cs="Arial"/>
          <w:lang w:val="en-GB"/>
        </w:rPr>
        <w:t xml:space="preserve">Slide 14 – </w:t>
      </w:r>
      <w:r w:rsidR="002170F1">
        <w:rPr>
          <w:rFonts w:ascii="Arial" w:hAnsi="Arial" w:cs="Arial"/>
          <w:lang w:val="en-GB"/>
        </w:rPr>
        <w:t>lists</w:t>
      </w:r>
      <w:r w:rsidRPr="00821362">
        <w:rPr>
          <w:rFonts w:ascii="Arial" w:hAnsi="Arial" w:cs="Arial"/>
          <w:lang w:val="en-GB"/>
        </w:rPr>
        <w:t xml:space="preserve"> the main sources for this module</w:t>
      </w:r>
    </w:p>
    <w:sectPr w:rsidR="00E31438" w:rsidRPr="00821362" w:rsidSect="009816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45" w:rsidRDefault="00F22545">
      <w:r>
        <w:separator/>
      </w:r>
    </w:p>
  </w:endnote>
  <w:endnote w:type="continuationSeparator" w:id="0">
    <w:p w:rsidR="00F22545" w:rsidRDefault="00F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C5" w:rsidRDefault="00BD2AC5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AC5" w:rsidRDefault="00BD2AC5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C5" w:rsidRPr="005526DF" w:rsidRDefault="00BD2AC5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044C62">
      <w:rPr>
        <w:rStyle w:val="PageNumber"/>
        <w:rFonts w:ascii="Arial" w:hAnsi="Arial" w:cs="Arial"/>
        <w:noProof/>
      </w:rPr>
      <w:t>3</w:t>
    </w:r>
    <w:r w:rsidRPr="005526DF">
      <w:rPr>
        <w:rStyle w:val="PageNumber"/>
        <w:rFonts w:ascii="Arial" w:hAnsi="Arial" w:cs="Arial"/>
      </w:rPr>
      <w:fldChar w:fldCharType="end"/>
    </w:r>
  </w:p>
  <w:p w:rsidR="00BD2AC5" w:rsidRPr="00044C62" w:rsidRDefault="00CA5B5E" w:rsidP="00CA5B5E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35" w:rsidRDefault="00F36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45" w:rsidRDefault="00F22545">
      <w:r>
        <w:separator/>
      </w:r>
    </w:p>
  </w:footnote>
  <w:footnote w:type="continuationSeparator" w:id="0">
    <w:p w:rsidR="00F22545" w:rsidRDefault="00F22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35" w:rsidRDefault="00F36A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C5" w:rsidRPr="00E0544F" w:rsidRDefault="00F36A35" w:rsidP="005D2ABB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6</w:t>
    </w:r>
    <w:r w:rsidR="00BD2AC5">
      <w:rPr>
        <w:rFonts w:ascii="Calibri" w:hAnsi="Calibri"/>
        <w:iCs/>
        <w:sz w:val="20"/>
        <w:szCs w:val="20"/>
      </w:rPr>
      <w:tab/>
    </w:r>
    <w:r w:rsidR="00BD2AC5" w:rsidRPr="00044C62">
      <w:rPr>
        <w:rFonts w:ascii="Arial" w:hAnsi="Arial" w:cs="Arial"/>
        <w:iCs/>
        <w:sz w:val="20"/>
        <w:szCs w:val="20"/>
      </w:rPr>
      <w:t>Convention on the Rights of Persons with Disabilities</w:t>
    </w:r>
    <w:r w:rsidR="00CA5B5E" w:rsidRPr="00044C62">
      <w:rPr>
        <w:rFonts w:ascii="Arial" w:hAnsi="Arial" w:cs="Arial"/>
        <w:iCs/>
        <w:sz w:val="20"/>
        <w:szCs w:val="20"/>
      </w:rPr>
      <w:t>: training package</w:t>
    </w:r>
    <w:r w:rsidR="00BD2AC5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35" w:rsidRDefault="00F36A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9E"/>
    <w:multiLevelType w:val="hybridMultilevel"/>
    <w:tmpl w:val="985C66D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14553616"/>
    <w:multiLevelType w:val="hybridMultilevel"/>
    <w:tmpl w:val="2FBCAF06"/>
    <w:lvl w:ilvl="0" w:tplc="2B90AC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A2C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F2D9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E59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888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FA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E2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4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A2C4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A0908"/>
    <w:multiLevelType w:val="hybridMultilevel"/>
    <w:tmpl w:val="3CC48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669DD"/>
    <w:multiLevelType w:val="hybridMultilevel"/>
    <w:tmpl w:val="54965F86"/>
    <w:lvl w:ilvl="0" w:tplc="0409000D">
      <w:start w:val="1"/>
      <w:numFmt w:val="bullet"/>
      <w:lvlText w:val=""/>
      <w:lvlJc w:val="left"/>
      <w:pPr>
        <w:ind w:left="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">
    <w:nsid w:val="33167F38"/>
    <w:multiLevelType w:val="hybridMultilevel"/>
    <w:tmpl w:val="AA88AF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17EEB"/>
    <w:rsid w:val="00022250"/>
    <w:rsid w:val="0002316C"/>
    <w:rsid w:val="00024964"/>
    <w:rsid w:val="0002527E"/>
    <w:rsid w:val="00040A70"/>
    <w:rsid w:val="00043523"/>
    <w:rsid w:val="00044C62"/>
    <w:rsid w:val="0007075E"/>
    <w:rsid w:val="0008134B"/>
    <w:rsid w:val="00081EE2"/>
    <w:rsid w:val="00085031"/>
    <w:rsid w:val="00086549"/>
    <w:rsid w:val="000A0B75"/>
    <w:rsid w:val="000A0B78"/>
    <w:rsid w:val="000A346F"/>
    <w:rsid w:val="000A5EF9"/>
    <w:rsid w:val="000A780F"/>
    <w:rsid w:val="000B1483"/>
    <w:rsid w:val="000C6506"/>
    <w:rsid w:val="000C6CCA"/>
    <w:rsid w:val="000D7432"/>
    <w:rsid w:val="000F284D"/>
    <w:rsid w:val="00106050"/>
    <w:rsid w:val="0010663E"/>
    <w:rsid w:val="0011200B"/>
    <w:rsid w:val="00120883"/>
    <w:rsid w:val="00127CB0"/>
    <w:rsid w:val="00130DAD"/>
    <w:rsid w:val="00133CA1"/>
    <w:rsid w:val="0014409C"/>
    <w:rsid w:val="00154AB6"/>
    <w:rsid w:val="0016135F"/>
    <w:rsid w:val="001751C9"/>
    <w:rsid w:val="0017776C"/>
    <w:rsid w:val="00182BB3"/>
    <w:rsid w:val="0018795A"/>
    <w:rsid w:val="00193191"/>
    <w:rsid w:val="00194CFB"/>
    <w:rsid w:val="0019644D"/>
    <w:rsid w:val="001B2B23"/>
    <w:rsid w:val="001B5212"/>
    <w:rsid w:val="001C770E"/>
    <w:rsid w:val="001D747D"/>
    <w:rsid w:val="001E73C9"/>
    <w:rsid w:val="002106EA"/>
    <w:rsid w:val="002170F1"/>
    <w:rsid w:val="002239D1"/>
    <w:rsid w:val="00230D61"/>
    <w:rsid w:val="002320AB"/>
    <w:rsid w:val="0023491B"/>
    <w:rsid w:val="00235CD0"/>
    <w:rsid w:val="00240BC0"/>
    <w:rsid w:val="00241835"/>
    <w:rsid w:val="00246C90"/>
    <w:rsid w:val="0025017D"/>
    <w:rsid w:val="00255E26"/>
    <w:rsid w:val="00262699"/>
    <w:rsid w:val="00264897"/>
    <w:rsid w:val="002675BF"/>
    <w:rsid w:val="00270564"/>
    <w:rsid w:val="00271066"/>
    <w:rsid w:val="00274FEC"/>
    <w:rsid w:val="00277C4E"/>
    <w:rsid w:val="002840BC"/>
    <w:rsid w:val="00287A03"/>
    <w:rsid w:val="002931BB"/>
    <w:rsid w:val="002A6377"/>
    <w:rsid w:val="002B0149"/>
    <w:rsid w:val="002B3196"/>
    <w:rsid w:val="002B717D"/>
    <w:rsid w:val="002B7E95"/>
    <w:rsid w:val="002C2991"/>
    <w:rsid w:val="002C7E30"/>
    <w:rsid w:val="002D1945"/>
    <w:rsid w:val="002E165F"/>
    <w:rsid w:val="002F6C94"/>
    <w:rsid w:val="002F79AD"/>
    <w:rsid w:val="00302DAD"/>
    <w:rsid w:val="00303E72"/>
    <w:rsid w:val="00317326"/>
    <w:rsid w:val="00320BC1"/>
    <w:rsid w:val="00336311"/>
    <w:rsid w:val="00347CF5"/>
    <w:rsid w:val="00356C3D"/>
    <w:rsid w:val="0036253A"/>
    <w:rsid w:val="003640D1"/>
    <w:rsid w:val="00367BDB"/>
    <w:rsid w:val="00373776"/>
    <w:rsid w:val="003919F5"/>
    <w:rsid w:val="00394508"/>
    <w:rsid w:val="00397843"/>
    <w:rsid w:val="003A1505"/>
    <w:rsid w:val="003A1DA1"/>
    <w:rsid w:val="003A66DA"/>
    <w:rsid w:val="003B2611"/>
    <w:rsid w:val="003C252F"/>
    <w:rsid w:val="003C4308"/>
    <w:rsid w:val="003C5BA5"/>
    <w:rsid w:val="003C5D69"/>
    <w:rsid w:val="003C6810"/>
    <w:rsid w:val="003D0B7F"/>
    <w:rsid w:val="003D3D05"/>
    <w:rsid w:val="003D51BB"/>
    <w:rsid w:val="003D63F2"/>
    <w:rsid w:val="003D7054"/>
    <w:rsid w:val="003E39C8"/>
    <w:rsid w:val="003E482A"/>
    <w:rsid w:val="003F7A4B"/>
    <w:rsid w:val="003F7DAE"/>
    <w:rsid w:val="00406A81"/>
    <w:rsid w:val="00413C06"/>
    <w:rsid w:val="00413D74"/>
    <w:rsid w:val="004172A6"/>
    <w:rsid w:val="00425821"/>
    <w:rsid w:val="00442016"/>
    <w:rsid w:val="004434FA"/>
    <w:rsid w:val="0045411E"/>
    <w:rsid w:val="00467C83"/>
    <w:rsid w:val="004800D6"/>
    <w:rsid w:val="004831FD"/>
    <w:rsid w:val="00497057"/>
    <w:rsid w:val="00497C8F"/>
    <w:rsid w:val="004A1E3B"/>
    <w:rsid w:val="004A6F2B"/>
    <w:rsid w:val="004C4F86"/>
    <w:rsid w:val="004C602F"/>
    <w:rsid w:val="004D1D7F"/>
    <w:rsid w:val="004D54F0"/>
    <w:rsid w:val="004F006D"/>
    <w:rsid w:val="004F542D"/>
    <w:rsid w:val="005007D7"/>
    <w:rsid w:val="00504BD1"/>
    <w:rsid w:val="005148F4"/>
    <w:rsid w:val="005216CB"/>
    <w:rsid w:val="005260A4"/>
    <w:rsid w:val="00531E04"/>
    <w:rsid w:val="00534E2B"/>
    <w:rsid w:val="0054504B"/>
    <w:rsid w:val="00551229"/>
    <w:rsid w:val="005526DF"/>
    <w:rsid w:val="005529C6"/>
    <w:rsid w:val="00554A04"/>
    <w:rsid w:val="005626B7"/>
    <w:rsid w:val="00564EEA"/>
    <w:rsid w:val="0057291B"/>
    <w:rsid w:val="00584E77"/>
    <w:rsid w:val="005910DB"/>
    <w:rsid w:val="0059130A"/>
    <w:rsid w:val="005916C5"/>
    <w:rsid w:val="0059198E"/>
    <w:rsid w:val="00592C90"/>
    <w:rsid w:val="005955B2"/>
    <w:rsid w:val="005A128C"/>
    <w:rsid w:val="005A36CF"/>
    <w:rsid w:val="005A42AE"/>
    <w:rsid w:val="005A7521"/>
    <w:rsid w:val="005C2832"/>
    <w:rsid w:val="005C2D50"/>
    <w:rsid w:val="005C332F"/>
    <w:rsid w:val="005C6BAA"/>
    <w:rsid w:val="005D0B1A"/>
    <w:rsid w:val="005D0F68"/>
    <w:rsid w:val="005D2ABB"/>
    <w:rsid w:val="005D7FEB"/>
    <w:rsid w:val="00623EA1"/>
    <w:rsid w:val="00642E23"/>
    <w:rsid w:val="006432C5"/>
    <w:rsid w:val="00646A99"/>
    <w:rsid w:val="00646F24"/>
    <w:rsid w:val="00647373"/>
    <w:rsid w:val="00654223"/>
    <w:rsid w:val="00656CE3"/>
    <w:rsid w:val="006656DE"/>
    <w:rsid w:val="00667BFF"/>
    <w:rsid w:val="006734F5"/>
    <w:rsid w:val="006742C7"/>
    <w:rsid w:val="00674EDF"/>
    <w:rsid w:val="0069180E"/>
    <w:rsid w:val="006929CF"/>
    <w:rsid w:val="006A5012"/>
    <w:rsid w:val="006A62ED"/>
    <w:rsid w:val="006A64DB"/>
    <w:rsid w:val="006C12FD"/>
    <w:rsid w:val="006C284E"/>
    <w:rsid w:val="006C4EC7"/>
    <w:rsid w:val="006C59D9"/>
    <w:rsid w:val="006D1CC6"/>
    <w:rsid w:val="006D6AA8"/>
    <w:rsid w:val="006D7AB7"/>
    <w:rsid w:val="006E46F0"/>
    <w:rsid w:val="006F5AEE"/>
    <w:rsid w:val="00700658"/>
    <w:rsid w:val="007039CF"/>
    <w:rsid w:val="00704CCD"/>
    <w:rsid w:val="007059B8"/>
    <w:rsid w:val="00713354"/>
    <w:rsid w:val="00714E6D"/>
    <w:rsid w:val="007448F1"/>
    <w:rsid w:val="0075286F"/>
    <w:rsid w:val="00753AA4"/>
    <w:rsid w:val="007567B4"/>
    <w:rsid w:val="00783106"/>
    <w:rsid w:val="007A4AC6"/>
    <w:rsid w:val="007B2814"/>
    <w:rsid w:val="007B472D"/>
    <w:rsid w:val="007B5D3D"/>
    <w:rsid w:val="007C26A8"/>
    <w:rsid w:val="007D3D37"/>
    <w:rsid w:val="007E0E18"/>
    <w:rsid w:val="007E6059"/>
    <w:rsid w:val="007F05EE"/>
    <w:rsid w:val="007F1AD9"/>
    <w:rsid w:val="007F4CEF"/>
    <w:rsid w:val="00803651"/>
    <w:rsid w:val="008039AF"/>
    <w:rsid w:val="00805916"/>
    <w:rsid w:val="00821362"/>
    <w:rsid w:val="00822E0A"/>
    <w:rsid w:val="008244E8"/>
    <w:rsid w:val="00837961"/>
    <w:rsid w:val="00843297"/>
    <w:rsid w:val="00855737"/>
    <w:rsid w:val="008561DC"/>
    <w:rsid w:val="00857E78"/>
    <w:rsid w:val="0086691A"/>
    <w:rsid w:val="0088150F"/>
    <w:rsid w:val="008916BB"/>
    <w:rsid w:val="00895082"/>
    <w:rsid w:val="00895B6A"/>
    <w:rsid w:val="00896AA9"/>
    <w:rsid w:val="008B6DB5"/>
    <w:rsid w:val="008B7C96"/>
    <w:rsid w:val="008C0407"/>
    <w:rsid w:val="008C6CE1"/>
    <w:rsid w:val="008D0133"/>
    <w:rsid w:val="008D576C"/>
    <w:rsid w:val="008E3B6C"/>
    <w:rsid w:val="008E5222"/>
    <w:rsid w:val="008E5CA4"/>
    <w:rsid w:val="008E6CE0"/>
    <w:rsid w:val="008E6FD5"/>
    <w:rsid w:val="008E76E9"/>
    <w:rsid w:val="008F52B6"/>
    <w:rsid w:val="00904F93"/>
    <w:rsid w:val="00905B19"/>
    <w:rsid w:val="009112E6"/>
    <w:rsid w:val="00934FF9"/>
    <w:rsid w:val="009351FA"/>
    <w:rsid w:val="0093692E"/>
    <w:rsid w:val="00943FCA"/>
    <w:rsid w:val="00944352"/>
    <w:rsid w:val="00957400"/>
    <w:rsid w:val="00957CF4"/>
    <w:rsid w:val="00960456"/>
    <w:rsid w:val="009635C8"/>
    <w:rsid w:val="00965942"/>
    <w:rsid w:val="009710E2"/>
    <w:rsid w:val="009727B3"/>
    <w:rsid w:val="009816E4"/>
    <w:rsid w:val="00981CB0"/>
    <w:rsid w:val="00991846"/>
    <w:rsid w:val="009B0017"/>
    <w:rsid w:val="009C3560"/>
    <w:rsid w:val="009C4239"/>
    <w:rsid w:val="009C4E47"/>
    <w:rsid w:val="009D1DBD"/>
    <w:rsid w:val="009E14E0"/>
    <w:rsid w:val="009F21D9"/>
    <w:rsid w:val="009F3276"/>
    <w:rsid w:val="00A06514"/>
    <w:rsid w:val="00A13AF6"/>
    <w:rsid w:val="00A2229E"/>
    <w:rsid w:val="00A22E8C"/>
    <w:rsid w:val="00A34F5C"/>
    <w:rsid w:val="00A35182"/>
    <w:rsid w:val="00A3680A"/>
    <w:rsid w:val="00A517B6"/>
    <w:rsid w:val="00A54448"/>
    <w:rsid w:val="00A65668"/>
    <w:rsid w:val="00A70E54"/>
    <w:rsid w:val="00A81F4C"/>
    <w:rsid w:val="00A9365A"/>
    <w:rsid w:val="00A9649B"/>
    <w:rsid w:val="00AA0EA0"/>
    <w:rsid w:val="00AA3C49"/>
    <w:rsid w:val="00AB00F0"/>
    <w:rsid w:val="00AB7EDF"/>
    <w:rsid w:val="00AC0645"/>
    <w:rsid w:val="00AC109B"/>
    <w:rsid w:val="00AF4DF8"/>
    <w:rsid w:val="00B005D0"/>
    <w:rsid w:val="00B03B76"/>
    <w:rsid w:val="00B2519E"/>
    <w:rsid w:val="00B3116C"/>
    <w:rsid w:val="00B3164F"/>
    <w:rsid w:val="00B31B9D"/>
    <w:rsid w:val="00B335FB"/>
    <w:rsid w:val="00B540C1"/>
    <w:rsid w:val="00B60A16"/>
    <w:rsid w:val="00B75AF3"/>
    <w:rsid w:val="00B77FDE"/>
    <w:rsid w:val="00B82C11"/>
    <w:rsid w:val="00B871FF"/>
    <w:rsid w:val="00B96A3A"/>
    <w:rsid w:val="00BA2624"/>
    <w:rsid w:val="00BA481E"/>
    <w:rsid w:val="00BB4FEE"/>
    <w:rsid w:val="00BB54C3"/>
    <w:rsid w:val="00BC15A6"/>
    <w:rsid w:val="00BC3727"/>
    <w:rsid w:val="00BD2AC5"/>
    <w:rsid w:val="00BD2E52"/>
    <w:rsid w:val="00BD58FB"/>
    <w:rsid w:val="00BD7051"/>
    <w:rsid w:val="00BE087F"/>
    <w:rsid w:val="00BE2E54"/>
    <w:rsid w:val="00BF0A22"/>
    <w:rsid w:val="00BF1D98"/>
    <w:rsid w:val="00BF1F85"/>
    <w:rsid w:val="00BF3312"/>
    <w:rsid w:val="00BF350E"/>
    <w:rsid w:val="00C00200"/>
    <w:rsid w:val="00C014CC"/>
    <w:rsid w:val="00C1150C"/>
    <w:rsid w:val="00C35173"/>
    <w:rsid w:val="00C3677B"/>
    <w:rsid w:val="00C47CB1"/>
    <w:rsid w:val="00C56DA3"/>
    <w:rsid w:val="00C82F70"/>
    <w:rsid w:val="00C91432"/>
    <w:rsid w:val="00CA0A61"/>
    <w:rsid w:val="00CA5076"/>
    <w:rsid w:val="00CA5B5E"/>
    <w:rsid w:val="00CB1829"/>
    <w:rsid w:val="00CB2E71"/>
    <w:rsid w:val="00CB36B4"/>
    <w:rsid w:val="00CB4552"/>
    <w:rsid w:val="00CB5C41"/>
    <w:rsid w:val="00CC0C7C"/>
    <w:rsid w:val="00CC1343"/>
    <w:rsid w:val="00CC353E"/>
    <w:rsid w:val="00CC53B0"/>
    <w:rsid w:val="00CD4264"/>
    <w:rsid w:val="00CE1253"/>
    <w:rsid w:val="00CE3DAA"/>
    <w:rsid w:val="00CF1DE1"/>
    <w:rsid w:val="00D007FC"/>
    <w:rsid w:val="00D01362"/>
    <w:rsid w:val="00D032BF"/>
    <w:rsid w:val="00D10B30"/>
    <w:rsid w:val="00D133BF"/>
    <w:rsid w:val="00D14959"/>
    <w:rsid w:val="00D15EA9"/>
    <w:rsid w:val="00D3132D"/>
    <w:rsid w:val="00D35A55"/>
    <w:rsid w:val="00D372CD"/>
    <w:rsid w:val="00D557A8"/>
    <w:rsid w:val="00D56D1F"/>
    <w:rsid w:val="00D6510B"/>
    <w:rsid w:val="00D651C7"/>
    <w:rsid w:val="00D760B7"/>
    <w:rsid w:val="00D80C4F"/>
    <w:rsid w:val="00D868CA"/>
    <w:rsid w:val="00D87D2A"/>
    <w:rsid w:val="00DC7CA9"/>
    <w:rsid w:val="00DD5063"/>
    <w:rsid w:val="00DE3B88"/>
    <w:rsid w:val="00DE4C9F"/>
    <w:rsid w:val="00DE5F0D"/>
    <w:rsid w:val="00DF39A9"/>
    <w:rsid w:val="00E03E5C"/>
    <w:rsid w:val="00E0544F"/>
    <w:rsid w:val="00E10545"/>
    <w:rsid w:val="00E12996"/>
    <w:rsid w:val="00E158DC"/>
    <w:rsid w:val="00E23509"/>
    <w:rsid w:val="00E25694"/>
    <w:rsid w:val="00E31438"/>
    <w:rsid w:val="00E32729"/>
    <w:rsid w:val="00E534E4"/>
    <w:rsid w:val="00E55127"/>
    <w:rsid w:val="00E577A7"/>
    <w:rsid w:val="00E62E69"/>
    <w:rsid w:val="00E652AC"/>
    <w:rsid w:val="00E675C3"/>
    <w:rsid w:val="00E70764"/>
    <w:rsid w:val="00E724A2"/>
    <w:rsid w:val="00E908C7"/>
    <w:rsid w:val="00E928F7"/>
    <w:rsid w:val="00EA7491"/>
    <w:rsid w:val="00EB36D8"/>
    <w:rsid w:val="00EB41B8"/>
    <w:rsid w:val="00ED677E"/>
    <w:rsid w:val="00ED75A2"/>
    <w:rsid w:val="00EF3341"/>
    <w:rsid w:val="00EF5D57"/>
    <w:rsid w:val="00F03B06"/>
    <w:rsid w:val="00F20A86"/>
    <w:rsid w:val="00F22545"/>
    <w:rsid w:val="00F327BB"/>
    <w:rsid w:val="00F36A35"/>
    <w:rsid w:val="00F416E9"/>
    <w:rsid w:val="00F42A27"/>
    <w:rsid w:val="00F44D70"/>
    <w:rsid w:val="00F52C06"/>
    <w:rsid w:val="00F56BFB"/>
    <w:rsid w:val="00F65595"/>
    <w:rsid w:val="00F65971"/>
    <w:rsid w:val="00F67CFE"/>
    <w:rsid w:val="00F73A7E"/>
    <w:rsid w:val="00F80523"/>
    <w:rsid w:val="00F83177"/>
    <w:rsid w:val="00F87890"/>
    <w:rsid w:val="00F9044A"/>
    <w:rsid w:val="00FA0902"/>
    <w:rsid w:val="00FA1907"/>
    <w:rsid w:val="00FA1A98"/>
    <w:rsid w:val="00FA26C8"/>
    <w:rsid w:val="00FA2B5F"/>
    <w:rsid w:val="00FD5840"/>
    <w:rsid w:val="00FD63A9"/>
    <w:rsid w:val="00FD7D16"/>
    <w:rsid w:val="00FE476A"/>
    <w:rsid w:val="00FE57B9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4308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C4308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5FB"/>
    <w:pPr>
      <w:ind w:left="720"/>
      <w:contextualSpacing/>
    </w:pPr>
  </w:style>
  <w:style w:type="character" w:styleId="Hyperlink">
    <w:name w:val="Hyperlink"/>
    <w:uiPriority w:val="99"/>
    <w:rsid w:val="009816E4"/>
    <w:rPr>
      <w:rFonts w:cs="Times New Roman"/>
      <w:color w:val="0000FF"/>
      <w:u w:val="single"/>
    </w:rPr>
  </w:style>
  <w:style w:type="character" w:customStyle="1" w:styleId="normal--char">
    <w:name w:val="normal--char"/>
    <w:uiPriority w:val="99"/>
    <w:rsid w:val="004D54F0"/>
    <w:rPr>
      <w:rFonts w:cs="Times New Roman"/>
    </w:rPr>
  </w:style>
  <w:style w:type="paragraph" w:customStyle="1" w:styleId="Default">
    <w:name w:val="Default"/>
    <w:uiPriority w:val="99"/>
    <w:rsid w:val="0096594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0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8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8C7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6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5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PowerPoint_Slide2.sld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package" Target="embeddings/Microsoft_PowerPoint_Slide1.sldx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EFF3E-0705-469C-8A38-A55759260EBC}"/>
</file>

<file path=customXml/itemProps2.xml><?xml version="1.0" encoding="utf-8"?>
<ds:datastoreItem xmlns:ds="http://schemas.openxmlformats.org/officeDocument/2006/customXml" ds:itemID="{FD84936F-1EF8-4D48-8B39-09260D7BBC4E}"/>
</file>

<file path=customXml/itemProps3.xml><?xml version="1.0" encoding="utf-8"?>
<ds:datastoreItem xmlns:ds="http://schemas.openxmlformats.org/officeDocument/2006/customXml" ds:itemID="{AF7FDA66-7995-4A02-AB49-FA2BCF405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Patrick Marega Castellan</dc:creator>
  <cp:keywords/>
  <dc:description/>
  <cp:lastModifiedBy>Caroline Lambein</cp:lastModifiedBy>
  <cp:revision>54</cp:revision>
  <cp:lastPrinted>2011-10-10T20:06:00Z</cp:lastPrinted>
  <dcterms:created xsi:type="dcterms:W3CDTF">2010-09-10T13:15:00Z</dcterms:created>
  <dcterms:modified xsi:type="dcterms:W3CDTF">2012-08-17T09:27:00Z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2766900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