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BC1" w:rsidRPr="00F54BC1" w:rsidRDefault="00F54BC1" w:rsidP="00F54BC1">
      <w:pPr>
        <w:pStyle w:val="NoSpacing"/>
        <w:pBdr>
          <w:top w:val="single" w:sz="4" w:space="1" w:color="auto"/>
          <w:left w:val="single" w:sz="4" w:space="4" w:color="auto"/>
          <w:bottom w:val="single" w:sz="4" w:space="1" w:color="auto"/>
          <w:right w:val="single" w:sz="4" w:space="4" w:color="auto"/>
        </w:pBdr>
        <w:jc w:val="center"/>
        <w:rPr>
          <w:rFonts w:ascii="Book Antiqua" w:hAnsi="Book Antiqua"/>
          <w:b/>
          <w:sz w:val="24"/>
          <w:szCs w:val="24"/>
        </w:rPr>
      </w:pPr>
      <w:bookmarkStart w:id="0" w:name="_GoBack"/>
      <w:bookmarkEnd w:id="0"/>
      <w:r w:rsidRPr="00F54BC1">
        <w:rPr>
          <w:rFonts w:ascii="Book Antiqua" w:hAnsi="Book Antiqua"/>
          <w:b/>
          <w:sz w:val="24"/>
          <w:szCs w:val="24"/>
        </w:rPr>
        <w:t>Haut-Commissariat aux droits de l’homme (HCDH)</w:t>
      </w:r>
    </w:p>
    <w:p w:rsidR="00F54BC1" w:rsidRPr="00F54BC1" w:rsidRDefault="00F54BC1" w:rsidP="00F54BC1">
      <w:pPr>
        <w:pStyle w:val="NoSpacing"/>
        <w:pBdr>
          <w:top w:val="single" w:sz="4" w:space="1" w:color="auto"/>
          <w:left w:val="single" w:sz="4" w:space="4" w:color="auto"/>
          <w:bottom w:val="single" w:sz="4" w:space="1" w:color="auto"/>
          <w:right w:val="single" w:sz="4" w:space="4" w:color="auto"/>
        </w:pBdr>
        <w:jc w:val="center"/>
        <w:rPr>
          <w:rFonts w:ascii="Book Antiqua" w:hAnsi="Book Antiqua"/>
          <w:sz w:val="24"/>
          <w:szCs w:val="24"/>
        </w:rPr>
      </w:pPr>
    </w:p>
    <w:p w:rsidR="00F54BC1" w:rsidRPr="00F54BC1" w:rsidRDefault="00F54BC1" w:rsidP="00F54BC1">
      <w:pPr>
        <w:pStyle w:val="NoSpacing"/>
        <w:pBdr>
          <w:top w:val="single" w:sz="4" w:space="1" w:color="auto"/>
          <w:left w:val="single" w:sz="4" w:space="4" w:color="auto"/>
          <w:bottom w:val="single" w:sz="4" w:space="1" w:color="auto"/>
          <w:right w:val="single" w:sz="4" w:space="4" w:color="auto"/>
        </w:pBdr>
        <w:jc w:val="center"/>
        <w:rPr>
          <w:rFonts w:ascii="Book Antiqua" w:hAnsi="Book Antiqua"/>
          <w:sz w:val="24"/>
          <w:szCs w:val="24"/>
        </w:rPr>
      </w:pPr>
      <w:r w:rsidRPr="00F54BC1">
        <w:rPr>
          <w:rFonts w:ascii="Book Antiqua" w:hAnsi="Book Antiqua"/>
          <w:sz w:val="24"/>
          <w:szCs w:val="24"/>
        </w:rPr>
        <w:t>Le droit des personnes handicapées à jouir de la liberté et la sûreté de leur personne</w:t>
      </w:r>
    </w:p>
    <w:p w:rsidR="00F54BC1" w:rsidRDefault="00F54BC1" w:rsidP="0067270D">
      <w:pPr>
        <w:pStyle w:val="NoSpacing"/>
        <w:jc w:val="both"/>
        <w:rPr>
          <w:rFonts w:ascii="Book Antiqua" w:hAnsi="Book Antiqua"/>
          <w:sz w:val="23"/>
          <w:szCs w:val="23"/>
        </w:rPr>
      </w:pPr>
    </w:p>
    <w:p w:rsidR="00587D32" w:rsidRDefault="00587D32" w:rsidP="0067270D">
      <w:pPr>
        <w:pStyle w:val="NoSpacing"/>
        <w:jc w:val="both"/>
        <w:rPr>
          <w:rFonts w:ascii="Book Antiqua" w:hAnsi="Book Antiqua"/>
          <w:sz w:val="23"/>
          <w:szCs w:val="23"/>
        </w:rPr>
      </w:pPr>
    </w:p>
    <w:p w:rsidR="0067270D" w:rsidRPr="002E7973" w:rsidRDefault="0067270D" w:rsidP="0067270D">
      <w:pPr>
        <w:pStyle w:val="NoSpacing"/>
        <w:jc w:val="both"/>
        <w:rPr>
          <w:rFonts w:ascii="Book Antiqua" w:hAnsi="Book Antiqua"/>
          <w:sz w:val="23"/>
          <w:szCs w:val="23"/>
        </w:rPr>
      </w:pPr>
      <w:r w:rsidRPr="002E7973">
        <w:rPr>
          <w:rFonts w:ascii="Book Antiqua" w:hAnsi="Book Antiqua"/>
          <w:sz w:val="23"/>
          <w:szCs w:val="23"/>
        </w:rPr>
        <w:t>La Principauté de Monaco, sous l’impulsion de la famille princière, est particulièrement engagée en faveur de la défense des droits de l’homme et en particulier des droits des personnes les plus vulnérables (femmes, enfants et personnes souffrant d’un handicap).</w:t>
      </w:r>
    </w:p>
    <w:p w:rsidR="0067270D" w:rsidRPr="002E7973" w:rsidRDefault="0067270D" w:rsidP="0067270D">
      <w:pPr>
        <w:pStyle w:val="NoSpacing"/>
        <w:jc w:val="both"/>
        <w:rPr>
          <w:rFonts w:ascii="Book Antiqua" w:hAnsi="Book Antiqua"/>
          <w:sz w:val="23"/>
          <w:szCs w:val="23"/>
        </w:rPr>
      </w:pPr>
    </w:p>
    <w:p w:rsidR="0067270D" w:rsidRPr="002E7973" w:rsidRDefault="0067270D" w:rsidP="0067270D">
      <w:pPr>
        <w:pStyle w:val="NoSpacing"/>
        <w:jc w:val="both"/>
        <w:rPr>
          <w:rFonts w:ascii="Book Antiqua" w:hAnsi="Book Antiqua"/>
          <w:sz w:val="23"/>
          <w:szCs w:val="23"/>
        </w:rPr>
      </w:pPr>
      <w:r w:rsidRPr="002E7973">
        <w:rPr>
          <w:rFonts w:ascii="Book Antiqua" w:hAnsi="Book Antiqua"/>
          <w:sz w:val="23"/>
          <w:szCs w:val="23"/>
        </w:rPr>
        <w:t>Dans le cadre de cet engagement, la Principauté de Monaco a signé la Convention des Nations Unies relative aux droits des personnes handicapées, le 23 septembre 2009.</w:t>
      </w:r>
    </w:p>
    <w:p w:rsidR="0067270D" w:rsidRPr="002E7973" w:rsidRDefault="0067270D" w:rsidP="0067270D">
      <w:pPr>
        <w:pStyle w:val="NoSpacing"/>
        <w:jc w:val="both"/>
        <w:rPr>
          <w:rFonts w:ascii="Book Antiqua" w:hAnsi="Book Antiqua"/>
          <w:sz w:val="23"/>
          <w:szCs w:val="23"/>
        </w:rPr>
      </w:pPr>
    </w:p>
    <w:p w:rsidR="0067270D" w:rsidRPr="002E7973" w:rsidRDefault="0067270D" w:rsidP="0067270D">
      <w:pPr>
        <w:pStyle w:val="NoSpacing"/>
        <w:jc w:val="both"/>
        <w:rPr>
          <w:rFonts w:ascii="Book Antiqua" w:hAnsi="Book Antiqua"/>
          <w:sz w:val="23"/>
          <w:szCs w:val="23"/>
        </w:rPr>
      </w:pPr>
      <w:r w:rsidRPr="002E7973">
        <w:rPr>
          <w:rFonts w:ascii="Book Antiqua" w:hAnsi="Book Antiqua"/>
          <w:sz w:val="23"/>
          <w:szCs w:val="23"/>
        </w:rPr>
        <w:t xml:space="preserve">Depuis cette date, </w:t>
      </w:r>
      <w:r>
        <w:rPr>
          <w:rFonts w:ascii="Book Antiqua" w:hAnsi="Book Antiqua"/>
          <w:sz w:val="23"/>
          <w:szCs w:val="23"/>
        </w:rPr>
        <w:t xml:space="preserve">de nombreuses mesures ont été prises en faveur des personnes souffrant d’un handicap et </w:t>
      </w:r>
      <w:r w:rsidRPr="002E7973">
        <w:rPr>
          <w:rFonts w:ascii="Book Antiqua" w:hAnsi="Book Antiqua"/>
          <w:sz w:val="23"/>
          <w:szCs w:val="23"/>
        </w:rPr>
        <w:t xml:space="preserve">des travaux législatifs ont été entrepris afin de renforcer le droit interne en matière de protection des personnes handicapées. </w:t>
      </w:r>
    </w:p>
    <w:p w:rsidR="0067270D" w:rsidRPr="002E7973" w:rsidRDefault="0067270D" w:rsidP="0067270D">
      <w:pPr>
        <w:pStyle w:val="NoSpacing"/>
        <w:jc w:val="both"/>
        <w:rPr>
          <w:rFonts w:ascii="Book Antiqua" w:hAnsi="Book Antiqua"/>
          <w:sz w:val="23"/>
          <w:szCs w:val="23"/>
        </w:rPr>
      </w:pPr>
    </w:p>
    <w:p w:rsidR="0067270D" w:rsidRPr="002E7973" w:rsidRDefault="0067270D" w:rsidP="0067270D">
      <w:pPr>
        <w:pStyle w:val="NoSpacing"/>
        <w:numPr>
          <w:ilvl w:val="0"/>
          <w:numId w:val="1"/>
        </w:numPr>
        <w:ind w:left="0" w:firstLine="426"/>
        <w:jc w:val="both"/>
        <w:rPr>
          <w:rFonts w:ascii="Book Antiqua" w:hAnsi="Book Antiqua" w:cs="Times New Roman"/>
          <w:sz w:val="23"/>
          <w:szCs w:val="23"/>
        </w:rPr>
      </w:pPr>
      <w:r w:rsidRPr="002E7973">
        <w:rPr>
          <w:rFonts w:ascii="Book Antiqua" w:hAnsi="Book Antiqua"/>
          <w:sz w:val="23"/>
          <w:szCs w:val="23"/>
        </w:rPr>
        <w:t xml:space="preserve">A ce titre, il convient de relever l’adoption </w:t>
      </w:r>
      <w:r>
        <w:rPr>
          <w:rFonts w:ascii="Book Antiqua" w:hAnsi="Book Antiqua"/>
          <w:sz w:val="23"/>
          <w:szCs w:val="23"/>
        </w:rPr>
        <w:t xml:space="preserve">au mois de décembre 2014 </w:t>
      </w:r>
      <w:r w:rsidRPr="002E7973">
        <w:rPr>
          <w:rFonts w:ascii="Book Antiqua" w:hAnsi="Book Antiqua"/>
          <w:sz w:val="23"/>
          <w:szCs w:val="23"/>
        </w:rPr>
        <w:t xml:space="preserve">de </w:t>
      </w:r>
      <w:r w:rsidRPr="002E7973">
        <w:rPr>
          <w:rFonts w:ascii="Book Antiqua" w:hAnsi="Book Antiqua" w:cs="Times New Roman"/>
          <w:sz w:val="23"/>
          <w:szCs w:val="23"/>
        </w:rPr>
        <w:t>la loi n°1.410 sur la protection, l’autonomie et la promotion des droits et des libertés des personnes handicapées.</w:t>
      </w:r>
    </w:p>
    <w:p w:rsidR="0067270D" w:rsidRPr="002E7973" w:rsidRDefault="0067270D" w:rsidP="0067270D">
      <w:pPr>
        <w:pStyle w:val="NoSpacing"/>
        <w:jc w:val="both"/>
        <w:rPr>
          <w:rFonts w:ascii="Book Antiqua" w:hAnsi="Book Antiqua" w:cs="Times New Roman"/>
          <w:sz w:val="23"/>
          <w:szCs w:val="23"/>
        </w:rPr>
      </w:pPr>
    </w:p>
    <w:p w:rsidR="0067270D" w:rsidRPr="002E7973" w:rsidRDefault="0067270D" w:rsidP="0067270D">
      <w:pPr>
        <w:pStyle w:val="NoSpacing"/>
        <w:jc w:val="both"/>
        <w:rPr>
          <w:rFonts w:ascii="Book Antiqua" w:hAnsi="Book Antiqua" w:cs="Times New Roman"/>
          <w:sz w:val="23"/>
          <w:szCs w:val="23"/>
        </w:rPr>
      </w:pPr>
      <w:r w:rsidRPr="002E7973">
        <w:rPr>
          <w:rFonts w:ascii="Book Antiqua" w:hAnsi="Book Antiqua" w:cs="Times New Roman"/>
          <w:sz w:val="23"/>
          <w:szCs w:val="23"/>
        </w:rPr>
        <w:t>Ce texte tend à définir les mesures de toute nature (besoins en aide humaine, technique ou animalière) permettant de garantir la plus grande autonomie de la personne handicapée dans le respect de son projet de vie. L’objectif de ce texte est également de veiller au respect des droits et libertés de cette même personne (accès à l’emploi, octroi de diverses allocations en vue de garantir des ressources suffisantes, scolarité de l’enfant handicapé etc.).</w:t>
      </w:r>
    </w:p>
    <w:p w:rsidR="0067270D" w:rsidRPr="002E7973" w:rsidRDefault="0067270D" w:rsidP="0067270D">
      <w:pPr>
        <w:pStyle w:val="NoSpacing"/>
        <w:jc w:val="both"/>
        <w:rPr>
          <w:rFonts w:ascii="Book Antiqua" w:hAnsi="Book Antiqua" w:cs="Times New Roman"/>
          <w:sz w:val="23"/>
          <w:szCs w:val="23"/>
        </w:rPr>
      </w:pPr>
    </w:p>
    <w:p w:rsidR="0067270D" w:rsidRDefault="0067270D" w:rsidP="00F54BC1">
      <w:pPr>
        <w:pStyle w:val="NoSpacing"/>
        <w:numPr>
          <w:ilvl w:val="0"/>
          <w:numId w:val="1"/>
        </w:numPr>
        <w:ind w:left="0" w:firstLine="426"/>
        <w:jc w:val="both"/>
        <w:rPr>
          <w:rFonts w:ascii="Book Antiqua" w:hAnsi="Book Antiqua" w:cs="Times New Roman"/>
          <w:sz w:val="23"/>
          <w:szCs w:val="23"/>
        </w:rPr>
      </w:pPr>
      <w:r w:rsidRPr="002E7973">
        <w:rPr>
          <w:rFonts w:ascii="Book Antiqua" w:hAnsi="Book Antiqua" w:cs="Times New Roman"/>
          <w:sz w:val="23"/>
          <w:szCs w:val="23"/>
        </w:rPr>
        <w:t xml:space="preserve">En outre, </w:t>
      </w:r>
      <w:r w:rsidR="00F54BC1">
        <w:rPr>
          <w:rFonts w:ascii="Book Antiqua" w:hAnsi="Book Antiqua" w:cs="Times New Roman"/>
          <w:sz w:val="23"/>
          <w:szCs w:val="23"/>
        </w:rPr>
        <w:t xml:space="preserve">a été adoptée au mois de décembre 2016, la </w:t>
      </w:r>
      <w:r w:rsidRPr="002E7973">
        <w:rPr>
          <w:rFonts w:ascii="Book Antiqua" w:hAnsi="Book Antiqua" w:cs="Times New Roman"/>
          <w:sz w:val="23"/>
          <w:szCs w:val="23"/>
        </w:rPr>
        <w:t xml:space="preserve">loi </w:t>
      </w:r>
      <w:r w:rsidR="00F54BC1">
        <w:rPr>
          <w:rFonts w:ascii="Book Antiqua" w:hAnsi="Book Antiqua" w:cs="Times New Roman"/>
          <w:sz w:val="23"/>
          <w:szCs w:val="23"/>
        </w:rPr>
        <w:t xml:space="preserve">n°1.441 relative à </w:t>
      </w:r>
      <w:r>
        <w:rPr>
          <w:rFonts w:ascii="Book Antiqua" w:hAnsi="Book Antiqua" w:cs="Times New Roman"/>
          <w:sz w:val="23"/>
          <w:szCs w:val="23"/>
        </w:rPr>
        <w:t xml:space="preserve">l’accessibilité </w:t>
      </w:r>
      <w:r w:rsidRPr="002E7973">
        <w:rPr>
          <w:rFonts w:ascii="Book Antiqua" w:hAnsi="Book Antiqua" w:cs="Times New Roman"/>
          <w:sz w:val="23"/>
          <w:szCs w:val="23"/>
        </w:rPr>
        <w:t>du cadre bâti.</w:t>
      </w:r>
    </w:p>
    <w:p w:rsidR="00F54BC1" w:rsidRPr="00F54BC1" w:rsidRDefault="00F54BC1" w:rsidP="00F54BC1">
      <w:pPr>
        <w:pStyle w:val="NoSpacing"/>
        <w:ind w:left="426"/>
        <w:jc w:val="both"/>
        <w:rPr>
          <w:rFonts w:ascii="Book Antiqua" w:hAnsi="Book Antiqua" w:cs="Times New Roman"/>
          <w:sz w:val="23"/>
          <w:szCs w:val="23"/>
        </w:rPr>
      </w:pPr>
    </w:p>
    <w:p w:rsidR="0067270D" w:rsidRPr="002E7973" w:rsidRDefault="00F54BC1" w:rsidP="0067270D">
      <w:pPr>
        <w:pStyle w:val="NoSpacing"/>
        <w:jc w:val="both"/>
        <w:rPr>
          <w:rFonts w:ascii="Book Antiqua" w:hAnsi="Book Antiqua" w:cs="Times New Roman"/>
          <w:sz w:val="23"/>
          <w:szCs w:val="23"/>
        </w:rPr>
      </w:pPr>
      <w:r>
        <w:rPr>
          <w:rFonts w:ascii="Book Antiqua" w:hAnsi="Book Antiqua" w:cs="Times New Roman"/>
          <w:sz w:val="23"/>
          <w:szCs w:val="23"/>
        </w:rPr>
        <w:t xml:space="preserve">Cette loi </w:t>
      </w:r>
      <w:r w:rsidR="0067270D" w:rsidRPr="002E7973">
        <w:rPr>
          <w:rFonts w:ascii="Book Antiqua" w:hAnsi="Book Antiqua" w:cs="Times New Roman"/>
          <w:sz w:val="23"/>
          <w:szCs w:val="23"/>
        </w:rPr>
        <w:t>a pour objet de permettre aux personnes présentant un handicap d’accéder aisément notamment aux établissements recevant du public</w:t>
      </w:r>
      <w:r w:rsidR="0067270D">
        <w:rPr>
          <w:rFonts w:ascii="Book Antiqua" w:hAnsi="Book Antiqua" w:cs="Times New Roman"/>
          <w:sz w:val="23"/>
          <w:szCs w:val="23"/>
        </w:rPr>
        <w:t>,</w:t>
      </w:r>
      <w:r w:rsidR="0067270D" w:rsidRPr="002E7973">
        <w:rPr>
          <w:rFonts w:ascii="Book Antiqua" w:hAnsi="Book Antiqua" w:cs="Times New Roman"/>
          <w:sz w:val="23"/>
          <w:szCs w:val="23"/>
        </w:rPr>
        <w:t xml:space="preserve"> aux bâtiments à usage industriel ou</w:t>
      </w:r>
      <w:r w:rsidR="0067270D">
        <w:rPr>
          <w:rFonts w:ascii="Book Antiqua" w:hAnsi="Book Antiqua" w:cs="Times New Roman"/>
          <w:sz w:val="23"/>
          <w:szCs w:val="23"/>
        </w:rPr>
        <w:t xml:space="preserve"> de bureau et aux</w:t>
      </w:r>
      <w:r w:rsidR="0067270D" w:rsidRPr="002E7973">
        <w:rPr>
          <w:rFonts w:ascii="Book Antiqua" w:hAnsi="Book Antiqua" w:cs="Times New Roman"/>
          <w:sz w:val="23"/>
          <w:szCs w:val="23"/>
        </w:rPr>
        <w:t xml:space="preserve"> bâtiments collectifs à usage d’habitation. </w:t>
      </w:r>
    </w:p>
    <w:p w:rsidR="0067270D" w:rsidRPr="002E7973" w:rsidRDefault="0067270D" w:rsidP="0067270D">
      <w:pPr>
        <w:pStyle w:val="NoSpacing"/>
        <w:jc w:val="both"/>
        <w:rPr>
          <w:rFonts w:ascii="Book Antiqua" w:hAnsi="Book Antiqua" w:cs="Times New Roman"/>
          <w:sz w:val="23"/>
          <w:szCs w:val="23"/>
        </w:rPr>
      </w:pPr>
    </w:p>
    <w:p w:rsidR="0067270D" w:rsidRDefault="0067270D" w:rsidP="0067270D">
      <w:pPr>
        <w:pStyle w:val="NoSpacing"/>
        <w:numPr>
          <w:ilvl w:val="0"/>
          <w:numId w:val="1"/>
        </w:numPr>
        <w:tabs>
          <w:tab w:val="left" w:pos="0"/>
        </w:tabs>
        <w:ind w:left="0" w:firstLine="426"/>
        <w:jc w:val="both"/>
        <w:rPr>
          <w:rFonts w:ascii="Book Antiqua" w:hAnsi="Book Antiqua"/>
          <w:sz w:val="23"/>
          <w:szCs w:val="23"/>
        </w:rPr>
      </w:pPr>
      <w:r w:rsidRPr="002E7973">
        <w:rPr>
          <w:rFonts w:ascii="Book Antiqua" w:hAnsi="Book Antiqua"/>
          <w:sz w:val="23"/>
          <w:szCs w:val="23"/>
        </w:rPr>
        <w:t>En par</w:t>
      </w:r>
      <w:r w:rsidR="00F54BC1">
        <w:rPr>
          <w:rFonts w:ascii="Book Antiqua" w:hAnsi="Book Antiqua"/>
          <w:sz w:val="23"/>
          <w:szCs w:val="23"/>
        </w:rPr>
        <w:t>allèle, au cours de l’année 2017</w:t>
      </w:r>
      <w:r w:rsidRPr="002E7973">
        <w:rPr>
          <w:rFonts w:ascii="Book Antiqua" w:hAnsi="Book Antiqua"/>
          <w:sz w:val="23"/>
          <w:szCs w:val="23"/>
        </w:rPr>
        <w:t>, les Services juridiques du Gouvernement Princier veilleront à s’assurer que l’adoption des deux lois précitées permettra une mise en adéquation totale du droit interne avec les stipulations conventionnel</w:t>
      </w:r>
      <w:r>
        <w:rPr>
          <w:rFonts w:ascii="Book Antiqua" w:hAnsi="Book Antiqua"/>
          <w:sz w:val="23"/>
          <w:szCs w:val="23"/>
        </w:rPr>
        <w:t>les et donc la ratification de la Convention relative aux droits des personnes handicapées.</w:t>
      </w:r>
    </w:p>
    <w:p w:rsidR="00DC3FD9" w:rsidRDefault="00DC3FD9"/>
    <w:p w:rsidR="00002425" w:rsidRDefault="00002425" w:rsidP="00002425">
      <w:pPr>
        <w:jc w:val="center"/>
      </w:pPr>
      <w:r>
        <w:t>***</w:t>
      </w:r>
    </w:p>
    <w:sectPr w:rsidR="0000242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732" w:rsidRDefault="00DE5732" w:rsidP="00F54BC1">
      <w:pPr>
        <w:spacing w:after="0" w:line="240" w:lineRule="auto"/>
      </w:pPr>
      <w:r>
        <w:separator/>
      </w:r>
    </w:p>
  </w:endnote>
  <w:endnote w:type="continuationSeparator" w:id="0">
    <w:p w:rsidR="00DE5732" w:rsidRDefault="00DE5732" w:rsidP="00F54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2387512"/>
      <w:docPartObj>
        <w:docPartGallery w:val="Page Numbers (Bottom of Page)"/>
        <w:docPartUnique/>
      </w:docPartObj>
    </w:sdtPr>
    <w:sdtEndPr/>
    <w:sdtContent>
      <w:p w:rsidR="00F54BC1" w:rsidRDefault="00F54BC1">
        <w:pPr>
          <w:pStyle w:val="Footer"/>
          <w:jc w:val="right"/>
        </w:pPr>
        <w:r>
          <w:fldChar w:fldCharType="begin"/>
        </w:r>
        <w:r>
          <w:instrText>PAGE   \* MERGEFORMAT</w:instrText>
        </w:r>
        <w:r>
          <w:fldChar w:fldCharType="separate"/>
        </w:r>
        <w:r w:rsidR="00E17424">
          <w:rPr>
            <w:noProof/>
          </w:rPr>
          <w:t>1</w:t>
        </w:r>
        <w:r>
          <w:fldChar w:fldCharType="end"/>
        </w:r>
      </w:p>
    </w:sdtContent>
  </w:sdt>
  <w:p w:rsidR="00F54BC1" w:rsidRDefault="00F54B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732" w:rsidRDefault="00DE5732" w:rsidP="00F54BC1">
      <w:pPr>
        <w:spacing w:after="0" w:line="240" w:lineRule="auto"/>
      </w:pPr>
      <w:r>
        <w:separator/>
      </w:r>
    </w:p>
  </w:footnote>
  <w:footnote w:type="continuationSeparator" w:id="0">
    <w:p w:rsidR="00DE5732" w:rsidRDefault="00DE5732" w:rsidP="00F54B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55CA9"/>
    <w:multiLevelType w:val="hybridMultilevel"/>
    <w:tmpl w:val="03506A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D6A3CB8"/>
    <w:multiLevelType w:val="multilevel"/>
    <w:tmpl w:val="48600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70D"/>
    <w:rsid w:val="00002425"/>
    <w:rsid w:val="00587D32"/>
    <w:rsid w:val="0067270D"/>
    <w:rsid w:val="00DC3FD9"/>
    <w:rsid w:val="00DE5732"/>
    <w:rsid w:val="00E17424"/>
    <w:rsid w:val="00F54B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7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270D"/>
    <w:pPr>
      <w:spacing w:after="0" w:line="240" w:lineRule="auto"/>
    </w:pPr>
  </w:style>
  <w:style w:type="paragraph" w:styleId="Header">
    <w:name w:val="header"/>
    <w:basedOn w:val="Normal"/>
    <w:link w:val="HeaderChar"/>
    <w:uiPriority w:val="99"/>
    <w:unhideWhenUsed/>
    <w:rsid w:val="00F54BC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54BC1"/>
  </w:style>
  <w:style w:type="paragraph" w:styleId="Footer">
    <w:name w:val="footer"/>
    <w:basedOn w:val="Normal"/>
    <w:link w:val="FooterChar"/>
    <w:uiPriority w:val="99"/>
    <w:unhideWhenUsed/>
    <w:rsid w:val="00F54BC1"/>
    <w:pPr>
      <w:tabs>
        <w:tab w:val="center" w:pos="4536"/>
        <w:tab w:val="right" w:pos="9072"/>
      </w:tabs>
      <w:spacing w:after="0" w:line="240" w:lineRule="auto"/>
    </w:pPr>
  </w:style>
  <w:style w:type="character" w:customStyle="1" w:styleId="FooterChar">
    <w:name w:val="Footer Char"/>
    <w:basedOn w:val="DefaultParagraphFont"/>
    <w:link w:val="Footer"/>
    <w:uiPriority w:val="99"/>
    <w:rsid w:val="00F54B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7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270D"/>
    <w:pPr>
      <w:spacing w:after="0" w:line="240" w:lineRule="auto"/>
    </w:pPr>
  </w:style>
  <w:style w:type="paragraph" w:styleId="Header">
    <w:name w:val="header"/>
    <w:basedOn w:val="Normal"/>
    <w:link w:val="HeaderChar"/>
    <w:uiPriority w:val="99"/>
    <w:unhideWhenUsed/>
    <w:rsid w:val="00F54BC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54BC1"/>
  </w:style>
  <w:style w:type="paragraph" w:styleId="Footer">
    <w:name w:val="footer"/>
    <w:basedOn w:val="Normal"/>
    <w:link w:val="FooterChar"/>
    <w:uiPriority w:val="99"/>
    <w:unhideWhenUsed/>
    <w:rsid w:val="00F54BC1"/>
    <w:pPr>
      <w:tabs>
        <w:tab w:val="center" w:pos="4536"/>
        <w:tab w:val="right" w:pos="9072"/>
      </w:tabs>
      <w:spacing w:after="0" w:line="240" w:lineRule="auto"/>
    </w:pPr>
  </w:style>
  <w:style w:type="character" w:customStyle="1" w:styleId="FooterChar">
    <w:name w:val="Footer Char"/>
    <w:basedOn w:val="DefaultParagraphFont"/>
    <w:link w:val="Footer"/>
    <w:uiPriority w:val="99"/>
    <w:rsid w:val="00F54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793129">
      <w:bodyDiv w:val="1"/>
      <w:marLeft w:val="0"/>
      <w:marRight w:val="0"/>
      <w:marTop w:val="0"/>
      <w:marBottom w:val="0"/>
      <w:divBdr>
        <w:top w:val="none" w:sz="0" w:space="0" w:color="auto"/>
        <w:left w:val="none" w:sz="0" w:space="0" w:color="auto"/>
        <w:bottom w:val="none" w:sz="0" w:space="0" w:color="auto"/>
        <w:right w:val="none" w:sz="0" w:space="0" w:color="auto"/>
      </w:divBdr>
      <w:divsChild>
        <w:div w:id="841892158">
          <w:marLeft w:val="0"/>
          <w:marRight w:val="0"/>
          <w:marTop w:val="0"/>
          <w:marBottom w:val="0"/>
          <w:divBdr>
            <w:top w:val="none" w:sz="0" w:space="0" w:color="auto"/>
            <w:left w:val="none" w:sz="0" w:space="0" w:color="auto"/>
            <w:bottom w:val="none" w:sz="0" w:space="0" w:color="auto"/>
            <w:right w:val="none" w:sz="0" w:space="0" w:color="auto"/>
          </w:divBdr>
        </w:div>
        <w:div w:id="1086927187">
          <w:marLeft w:val="0"/>
          <w:marRight w:val="0"/>
          <w:marTop w:val="0"/>
          <w:marBottom w:val="0"/>
          <w:divBdr>
            <w:top w:val="none" w:sz="0" w:space="0" w:color="auto"/>
            <w:left w:val="none" w:sz="0" w:space="0" w:color="auto"/>
            <w:bottom w:val="none" w:sz="0" w:space="0" w:color="auto"/>
            <w:right w:val="none" w:sz="0" w:space="0" w:color="auto"/>
          </w:divBdr>
          <w:divsChild>
            <w:div w:id="420878589">
              <w:marLeft w:val="0"/>
              <w:marRight w:val="0"/>
              <w:marTop w:val="0"/>
              <w:marBottom w:val="0"/>
              <w:divBdr>
                <w:top w:val="none" w:sz="0" w:space="0" w:color="auto"/>
                <w:left w:val="none" w:sz="0" w:space="0" w:color="auto"/>
                <w:bottom w:val="none" w:sz="0" w:space="0" w:color="auto"/>
                <w:right w:val="none" w:sz="0" w:space="0" w:color="auto"/>
              </w:divBdr>
              <w:divsChild>
                <w:div w:id="1642466906">
                  <w:marLeft w:val="0"/>
                  <w:marRight w:val="0"/>
                  <w:marTop w:val="0"/>
                  <w:marBottom w:val="0"/>
                  <w:divBdr>
                    <w:top w:val="none" w:sz="0" w:space="0" w:color="auto"/>
                    <w:left w:val="none" w:sz="0" w:space="0" w:color="auto"/>
                    <w:bottom w:val="none" w:sz="0" w:space="0" w:color="auto"/>
                    <w:right w:val="none" w:sz="0" w:space="0" w:color="auto"/>
                  </w:divBdr>
                  <w:divsChild>
                    <w:div w:id="253780855">
                      <w:marLeft w:val="0"/>
                      <w:marRight w:val="0"/>
                      <w:marTop w:val="0"/>
                      <w:marBottom w:val="0"/>
                      <w:divBdr>
                        <w:top w:val="none" w:sz="0" w:space="0" w:color="auto"/>
                        <w:left w:val="none" w:sz="0" w:space="0" w:color="auto"/>
                        <w:bottom w:val="none" w:sz="0" w:space="0" w:color="auto"/>
                        <w:right w:val="none" w:sz="0" w:space="0" w:color="auto"/>
                      </w:divBdr>
                      <w:divsChild>
                        <w:div w:id="161736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A03956C-E34D-4BE0-AED3-EBB11B8716C1}"/>
</file>

<file path=customXml/itemProps2.xml><?xml version="1.0" encoding="utf-8"?>
<ds:datastoreItem xmlns:ds="http://schemas.openxmlformats.org/officeDocument/2006/customXml" ds:itemID="{FB9FAB81-98CE-42A1-949F-10551BF8C682}"/>
</file>

<file path=customXml/itemProps3.xml><?xml version="1.0" encoding="utf-8"?>
<ds:datastoreItem xmlns:ds="http://schemas.openxmlformats.org/officeDocument/2006/customXml" ds:itemID="{A0325EBE-C422-4F70-AD13-FE9337B7E4B5}"/>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1823</Characters>
  <Application>Microsoft Office Word</Application>
  <DocSecurity>0</DocSecurity>
  <Lines>15</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Alina Grigoras</cp:lastModifiedBy>
  <cp:revision>2</cp:revision>
  <dcterms:created xsi:type="dcterms:W3CDTF">2017-06-16T16:56:00Z</dcterms:created>
  <dcterms:modified xsi:type="dcterms:W3CDTF">2017-06-16T16:56:00Z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