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0D" w:rsidRPr="0093210F" w:rsidRDefault="00CE500D" w:rsidP="0093210F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93210F">
        <w:rPr>
          <w:rFonts w:ascii="Bookman Old Style" w:hAnsi="Bookman Old Style"/>
          <w:b/>
          <w:sz w:val="28"/>
          <w:szCs w:val="28"/>
        </w:rPr>
        <w:t>REPONSE AU QUESTIONNAIRE DUR LE DROIT DES PERSONNES HANDICAPEES A JOUIR DE LA LIBERTE ET DE LA SURETE DE LEUR PERSONNE</w:t>
      </w:r>
    </w:p>
    <w:p w:rsidR="00E0588F" w:rsidRPr="00213C80" w:rsidRDefault="00CE500D" w:rsidP="008E6BC9">
      <w:pPr>
        <w:pStyle w:val="ListParagraph"/>
        <w:numPr>
          <w:ilvl w:val="0"/>
          <w:numId w:val="7"/>
        </w:numPr>
        <w:ind w:left="0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La constit</w:t>
      </w:r>
      <w:r w:rsidR="006B7FF0">
        <w:rPr>
          <w:rFonts w:ascii="Bookman Old Style" w:hAnsi="Bookman Old Style"/>
          <w:sz w:val="26"/>
          <w:szCs w:val="26"/>
        </w:rPr>
        <w:t>ution du 14 octobre 1992 prévoit</w:t>
      </w:r>
      <w:r w:rsidRPr="00213C80">
        <w:rPr>
          <w:rFonts w:ascii="Bookman Old Style" w:hAnsi="Bookman Old Style"/>
          <w:sz w:val="26"/>
          <w:szCs w:val="26"/>
        </w:rPr>
        <w:t xml:space="preserve"> des dispositions pour assurer que les p</w:t>
      </w:r>
      <w:r w:rsidR="00FA572C">
        <w:rPr>
          <w:rFonts w:ascii="Bookman Old Style" w:hAnsi="Bookman Old Style"/>
          <w:sz w:val="26"/>
          <w:szCs w:val="26"/>
        </w:rPr>
        <w:t>ersonnes handicapées jouissent de la liberté et de</w:t>
      </w:r>
      <w:r w:rsidRPr="00213C80">
        <w:rPr>
          <w:rFonts w:ascii="Bookman Old Style" w:hAnsi="Bookman Old Style"/>
          <w:sz w:val="26"/>
          <w:szCs w:val="26"/>
        </w:rPr>
        <w:t xml:space="preserve"> la sûreté de leur personne. Ces dispositions sont contenues dans les articles 10,11,12,13,14,15,16,17,18,19,20,21,22,23,24,25,26.</w:t>
      </w:r>
    </w:p>
    <w:p w:rsidR="00B90502" w:rsidRPr="00213C80" w:rsidRDefault="00CE500D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En résumé, il s’agit des droits et libertés des personnes handicapées. En outre, l’article 33 quant à lui dispose que : « l’Etat prend ou fait prendre en faveur des personnes handicapées</w:t>
      </w:r>
      <w:r w:rsidR="00B90502" w:rsidRPr="00213C80">
        <w:rPr>
          <w:rFonts w:ascii="Bookman Old Style" w:hAnsi="Bookman Old Style"/>
          <w:sz w:val="26"/>
          <w:szCs w:val="26"/>
        </w:rPr>
        <w:t xml:space="preserve"> et des personnes âgées des mesures susceptibles de les mettre à l’abri des injustices sociales ». </w:t>
      </w:r>
      <w:r w:rsidR="0093210F" w:rsidRPr="00213C80">
        <w:rPr>
          <w:rFonts w:ascii="Bookman Old Style" w:hAnsi="Bookman Old Style"/>
          <w:sz w:val="26"/>
          <w:szCs w:val="26"/>
        </w:rPr>
        <w:t>Par</w:t>
      </w:r>
      <w:r w:rsidR="00B90502" w:rsidRPr="00213C80">
        <w:rPr>
          <w:rFonts w:ascii="Bookman Old Style" w:hAnsi="Bookman Old Style"/>
          <w:sz w:val="26"/>
          <w:szCs w:val="26"/>
        </w:rPr>
        <w:t xml:space="preserve"> ailleurs, l’article 6 de la loi du 23 avril 2004 portant protection sociale des personnes handicapées stipule : «  la personne handicapée jouit, soit personnellement soit p</w:t>
      </w:r>
      <w:r w:rsidR="00FE44B9">
        <w:rPr>
          <w:rFonts w:ascii="Bookman Old Style" w:hAnsi="Bookman Old Style"/>
          <w:sz w:val="26"/>
          <w:szCs w:val="26"/>
        </w:rPr>
        <w:t>ar l’intermédiaire d’un tiers, d</w:t>
      </w:r>
      <w:r w:rsidR="00B90502" w:rsidRPr="00213C80">
        <w:rPr>
          <w:rFonts w:ascii="Bookman Old Style" w:hAnsi="Bookman Old Style"/>
          <w:sz w:val="26"/>
          <w:szCs w:val="26"/>
        </w:rPr>
        <w:t>es droits reconnus à tous les citoyens par la constitution.</w:t>
      </w:r>
    </w:p>
    <w:p w:rsidR="00CE500D" w:rsidRPr="00213C80" w:rsidRDefault="00B90502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Aucune discrimination de quelque sorte ne peut être opérée à l’égard des personnes handicapées si ce n’est pour des raisons liées exclusivement à la nature de l’activité et du ha</w:t>
      </w:r>
      <w:r w:rsidR="00FE44B9">
        <w:rPr>
          <w:rFonts w:ascii="Bookman Old Style" w:hAnsi="Bookman Old Style"/>
          <w:sz w:val="26"/>
          <w:szCs w:val="26"/>
        </w:rPr>
        <w:t>ndicap dont souffre la personne</w:t>
      </w:r>
      <w:r w:rsidRPr="00213C80">
        <w:rPr>
          <w:rFonts w:ascii="Bookman Old Style" w:hAnsi="Bookman Old Style"/>
          <w:sz w:val="26"/>
          <w:szCs w:val="26"/>
        </w:rPr>
        <w:t xml:space="preserve"> en cause ».</w:t>
      </w:r>
    </w:p>
    <w:p w:rsidR="00D3073F" w:rsidRPr="00213C80" w:rsidRDefault="008E6BC9" w:rsidP="00C83C52">
      <w:pPr>
        <w:pStyle w:val="ListParagraph"/>
        <w:ind w:left="0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2.1</w:t>
      </w:r>
      <w:r w:rsidRPr="00213C80">
        <w:rPr>
          <w:rFonts w:ascii="Bookman Old Style" w:hAnsi="Bookman Old Style"/>
          <w:sz w:val="26"/>
          <w:szCs w:val="26"/>
        </w:rPr>
        <w:t xml:space="preserve">-  </w:t>
      </w:r>
      <w:r w:rsidR="00D3073F" w:rsidRPr="00213C80">
        <w:rPr>
          <w:rFonts w:ascii="Bookman Old Style" w:hAnsi="Bookman Old Style"/>
          <w:sz w:val="26"/>
          <w:szCs w:val="26"/>
        </w:rPr>
        <w:t>Les articles 15 et suivants de la Constitution Togolaise  du 14 octobre 1992 assurent aux personnes handicapées la participation dans toutes les étapes de la procédure judiciaire.</w:t>
      </w:r>
    </w:p>
    <w:p w:rsidR="00D3073F" w:rsidRPr="00213C80" w:rsidRDefault="00D3073F" w:rsidP="00D3073F">
      <w:pPr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Pour ce faire, le Ministère de la Justice grâce au programme national de la modernisation de la justice a créé la direction de l’accès au droit et à la justice qui est chargé de vulgariser tous les textes nationaux et internationaux relatifs aux droits de l’homme.</w:t>
      </w:r>
    </w:p>
    <w:p w:rsidR="00D3073F" w:rsidRPr="00213C80" w:rsidRDefault="00D3073F" w:rsidP="00D3073F">
      <w:pPr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Cette direction a aussi pour mission de rapprocher les justiciables  de la justice par la création des bureaux d’information, d’accueil et d’orientation des justiciables à la cour d’appel de  Lomé et de Kara et au tribunal de Lomé animés par les juristes volontaires.</w:t>
      </w:r>
    </w:p>
    <w:p w:rsidR="00D3073F" w:rsidRPr="00213C80" w:rsidRDefault="00D3073F" w:rsidP="00D3073F">
      <w:pPr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Une assistance judiciaire est aussi accordée aux détenus vulnérables y compris les personnes handicapées dans le cadre des projets « recours au volontariat pour un appui juridique en milieu carcéral » et « appui à l’accès au droit et à la justice » appuyés par le PNUD.</w:t>
      </w:r>
    </w:p>
    <w:p w:rsidR="00D3073F" w:rsidRPr="00213C80" w:rsidRDefault="00D3073F" w:rsidP="00D3073F">
      <w:pPr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lastRenderedPageBreak/>
        <w:t>Les cours d’appel disposent d’une liste d’experts dans tous les domaines y compris les cas spécifiques des femmes et enfants handicapés en vue de conduire toutes les procédures judiciaires.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2.2-</w:t>
      </w:r>
      <w:r w:rsidRPr="00213C80">
        <w:rPr>
          <w:rFonts w:ascii="Bookman Old Style" w:hAnsi="Bookman Old Style"/>
          <w:sz w:val="26"/>
          <w:szCs w:val="26"/>
        </w:rPr>
        <w:t xml:space="preserve"> Il n’existe pas pour le moment d’institutions réservées uniquement aux personnes handicapées.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>Toutefois on peut trouver une poignée d’enfants handicapés dans des orphelinats existants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2.3-</w:t>
      </w:r>
      <w:r w:rsidRPr="00213C80">
        <w:rPr>
          <w:rFonts w:ascii="Bookman Old Style" w:hAnsi="Bookman Old Style"/>
          <w:sz w:val="26"/>
          <w:szCs w:val="26"/>
        </w:rPr>
        <w:t xml:space="preserve"> il existe un centre psychiatrique étatique qui accueille les personnes ayant les déficiences mentales.</w:t>
      </w:r>
    </w:p>
    <w:p w:rsidR="008E6BC9" w:rsidRPr="00213C80" w:rsidRDefault="008E6BC9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24-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2.5</w:t>
      </w:r>
      <w:r w:rsidR="008E6BC9" w:rsidRPr="00213C80">
        <w:rPr>
          <w:rFonts w:ascii="Bookman Old Style" w:hAnsi="Bookman Old Style"/>
          <w:b/>
          <w:sz w:val="26"/>
          <w:szCs w:val="26"/>
        </w:rPr>
        <w:t>-</w:t>
      </w:r>
      <w:r w:rsidRPr="00213C80">
        <w:rPr>
          <w:rFonts w:ascii="Bookman Old Style" w:hAnsi="Bookman Old Style"/>
          <w:sz w:val="26"/>
          <w:szCs w:val="26"/>
        </w:rPr>
        <w:t xml:space="preserve">  L’article 35 de la loi relative à la protection sociale des personnes stipule que : </w:t>
      </w:r>
      <w:r w:rsidR="00FE44B9">
        <w:rPr>
          <w:rFonts w:ascii="Bookman Old Style" w:hAnsi="Bookman Old Style"/>
          <w:sz w:val="26"/>
          <w:szCs w:val="26"/>
        </w:rPr>
        <w:t>« </w:t>
      </w:r>
      <w:r w:rsidRPr="00213C80">
        <w:rPr>
          <w:rFonts w:ascii="Bookman Old Style" w:hAnsi="Bookman Old Style"/>
          <w:sz w:val="26"/>
          <w:szCs w:val="26"/>
        </w:rPr>
        <w:t>l’Etat assure la protection juridique des déficients mentaux. Il leur procure en particulier l’assistance judiciaire en cas de besoin.</w:t>
      </w:r>
      <w:r w:rsidR="00FE44B9">
        <w:rPr>
          <w:rFonts w:ascii="Bookman Old Style" w:hAnsi="Bookman Old Style"/>
          <w:sz w:val="26"/>
          <w:szCs w:val="26"/>
        </w:rPr>
        <w:t> »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b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2.6</w:t>
      </w:r>
      <w:r w:rsidR="008E6BC9" w:rsidRPr="00213C80">
        <w:rPr>
          <w:rFonts w:ascii="Bookman Old Style" w:hAnsi="Bookman Old Style"/>
          <w:b/>
          <w:sz w:val="26"/>
          <w:szCs w:val="26"/>
        </w:rPr>
        <w:t>-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b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3.1</w:t>
      </w:r>
      <w:r w:rsidR="008E6BC9" w:rsidRPr="00213C80">
        <w:rPr>
          <w:rFonts w:ascii="Bookman Old Style" w:hAnsi="Bookman Old Style"/>
          <w:b/>
          <w:sz w:val="26"/>
          <w:szCs w:val="26"/>
        </w:rPr>
        <w:t>-</w:t>
      </w:r>
    </w:p>
    <w:p w:rsidR="00A76D08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b/>
          <w:sz w:val="26"/>
          <w:szCs w:val="26"/>
        </w:rPr>
      </w:pPr>
      <w:r w:rsidRPr="00213C80">
        <w:rPr>
          <w:rFonts w:ascii="Bookman Old Style" w:hAnsi="Bookman Old Style"/>
          <w:b/>
          <w:sz w:val="26"/>
          <w:szCs w:val="26"/>
        </w:rPr>
        <w:t>3.2</w:t>
      </w:r>
      <w:r w:rsidR="008E6BC9" w:rsidRPr="00213C80">
        <w:rPr>
          <w:rFonts w:ascii="Bookman Old Style" w:hAnsi="Bookman Old Style"/>
          <w:b/>
          <w:sz w:val="26"/>
          <w:szCs w:val="26"/>
        </w:rPr>
        <w:t>-</w:t>
      </w:r>
    </w:p>
    <w:p w:rsidR="0093210F" w:rsidRPr="00213C80" w:rsidRDefault="0093210F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</w:p>
    <w:p w:rsidR="00C83C52" w:rsidRPr="00213C80" w:rsidRDefault="00A76D08" w:rsidP="0093210F">
      <w:pPr>
        <w:pStyle w:val="ListParagraph"/>
        <w:ind w:left="57"/>
        <w:jc w:val="both"/>
        <w:rPr>
          <w:rFonts w:ascii="Bookman Old Style" w:hAnsi="Bookman Old Style"/>
          <w:sz w:val="26"/>
          <w:szCs w:val="26"/>
        </w:rPr>
      </w:pPr>
      <w:r w:rsidRPr="00213C80">
        <w:rPr>
          <w:rFonts w:ascii="Bookman Old Style" w:hAnsi="Bookman Old Style"/>
          <w:sz w:val="26"/>
          <w:szCs w:val="26"/>
        </w:rPr>
        <w:t xml:space="preserve">Le Togo n’a pas encore </w:t>
      </w:r>
      <w:r w:rsidR="0093210F" w:rsidRPr="00213C80">
        <w:rPr>
          <w:rFonts w:ascii="Bookman Old Style" w:hAnsi="Bookman Old Style"/>
          <w:sz w:val="26"/>
          <w:szCs w:val="26"/>
        </w:rPr>
        <w:t>recueilli</w:t>
      </w:r>
      <w:r w:rsidRPr="00213C80">
        <w:rPr>
          <w:rFonts w:ascii="Bookman Old Style" w:hAnsi="Bookman Old Style"/>
          <w:sz w:val="26"/>
          <w:szCs w:val="26"/>
        </w:rPr>
        <w:t xml:space="preserve"> de données statistiques désagrégé</w:t>
      </w:r>
      <w:r w:rsidR="0093210F" w:rsidRPr="00213C80">
        <w:rPr>
          <w:rFonts w:ascii="Bookman Old Style" w:hAnsi="Bookman Old Style"/>
          <w:sz w:val="26"/>
          <w:szCs w:val="26"/>
        </w:rPr>
        <w:t>es selon le sexe et l’âge.</w:t>
      </w: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8E6BC9" w:rsidRPr="00213C80" w:rsidRDefault="008E6BC9" w:rsidP="00C83C52">
      <w:pPr>
        <w:rPr>
          <w:sz w:val="26"/>
          <w:szCs w:val="26"/>
        </w:rPr>
      </w:pPr>
    </w:p>
    <w:p w:rsidR="00C83C52" w:rsidRPr="00213C80" w:rsidRDefault="00C83C52" w:rsidP="00C83C52">
      <w:pPr>
        <w:rPr>
          <w:sz w:val="26"/>
          <w:szCs w:val="26"/>
        </w:rPr>
      </w:pPr>
    </w:p>
    <w:p w:rsidR="00A76D08" w:rsidRDefault="00C83C52" w:rsidP="00C83C52">
      <w:pPr>
        <w:tabs>
          <w:tab w:val="left" w:pos="3990"/>
        </w:tabs>
      </w:pPr>
      <w:r>
        <w:tab/>
      </w:r>
    </w:p>
    <w:p w:rsidR="00C83C52" w:rsidRDefault="00C83C52" w:rsidP="00C83C52">
      <w:pPr>
        <w:tabs>
          <w:tab w:val="left" w:pos="3990"/>
        </w:tabs>
      </w:pPr>
    </w:p>
    <w:p w:rsidR="00C83C52" w:rsidRDefault="00C83C52" w:rsidP="00C83C52">
      <w:pPr>
        <w:tabs>
          <w:tab w:val="left" w:pos="399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C83C52">
        <w:rPr>
          <w:rFonts w:ascii="Bookman Old Style" w:hAnsi="Bookman Old Style"/>
          <w:b/>
          <w:sz w:val="28"/>
          <w:szCs w:val="28"/>
        </w:rPr>
        <w:lastRenderedPageBreak/>
        <w:t>QUESTIONNAIRE SUR LE DROIT A LA SANTE SEXUELLE ET REPRODUCTIVE DES FILLES HANDICAPEES.</w:t>
      </w:r>
    </w:p>
    <w:p w:rsidR="00C83C52" w:rsidRDefault="00C83C52" w:rsidP="00213C80">
      <w:pPr>
        <w:tabs>
          <w:tab w:val="left" w:pos="3990"/>
        </w:tabs>
        <w:jc w:val="both"/>
        <w:rPr>
          <w:rFonts w:ascii="Bookman Old Style" w:hAnsi="Bookman Old Style"/>
          <w:b/>
          <w:sz w:val="28"/>
          <w:szCs w:val="28"/>
        </w:rPr>
      </w:pPr>
    </w:p>
    <w:p w:rsidR="00C83C52" w:rsidRPr="001C1619" w:rsidRDefault="00C83C52" w:rsidP="00213C80">
      <w:pPr>
        <w:pStyle w:val="ListParagraph"/>
        <w:numPr>
          <w:ilvl w:val="0"/>
          <w:numId w:val="3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 xml:space="preserve">Il ya de cela plusieurs années, l’opinion publique </w:t>
      </w:r>
      <w:r w:rsidR="008E6BC9" w:rsidRPr="001C1619">
        <w:rPr>
          <w:rFonts w:ascii="Bookman Old Style" w:hAnsi="Bookman Old Style"/>
          <w:sz w:val="26"/>
          <w:szCs w:val="26"/>
        </w:rPr>
        <w:t>soutenait</w:t>
      </w:r>
      <w:r w:rsidRPr="001C1619">
        <w:rPr>
          <w:rFonts w:ascii="Bookman Old Style" w:hAnsi="Bookman Old Style"/>
          <w:sz w:val="26"/>
          <w:szCs w:val="26"/>
        </w:rPr>
        <w:t xml:space="preserve"> que les jeunes filles handicapées n’avaient pas droit à la sexualité.</w:t>
      </w:r>
    </w:p>
    <w:p w:rsidR="00C83C52" w:rsidRPr="001C1619" w:rsidRDefault="00C83C52" w:rsidP="00213C80">
      <w:pPr>
        <w:pStyle w:val="ListParagraph"/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L’Etat assure une protection spéciale à la femme handicapée en vue de préserver sa dignité. Il est procédé en cas de besoin, au p</w:t>
      </w:r>
      <w:r w:rsidR="00EF592A">
        <w:rPr>
          <w:rFonts w:ascii="Bookman Old Style" w:hAnsi="Bookman Old Style"/>
          <w:sz w:val="26"/>
          <w:szCs w:val="26"/>
        </w:rPr>
        <w:t>lacement de l’enfant</w:t>
      </w:r>
      <w:r w:rsidRPr="001C1619">
        <w:rPr>
          <w:rFonts w:ascii="Bookman Old Style" w:hAnsi="Bookman Old Style"/>
          <w:sz w:val="26"/>
          <w:szCs w:val="26"/>
        </w:rPr>
        <w:t xml:space="preserve"> né d’une femme handicapée mentale ou polyhandicapée dont les parents n’ont pas été identifiés.</w:t>
      </w:r>
    </w:p>
    <w:p w:rsidR="00C83C52" w:rsidRPr="001C1619" w:rsidRDefault="00C83C52" w:rsidP="00213C80">
      <w:pPr>
        <w:pStyle w:val="ListParagraph"/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 xml:space="preserve">Le personnel des structures sanitaires accorde une attention toute particulière à la femme handicapée ou polyhandicapée pendant sa </w:t>
      </w:r>
      <w:r w:rsidR="008E6BC9" w:rsidRPr="001C1619">
        <w:rPr>
          <w:rFonts w:ascii="Bookman Old Style" w:hAnsi="Bookman Old Style"/>
          <w:sz w:val="26"/>
          <w:szCs w:val="26"/>
        </w:rPr>
        <w:t>maternité</w:t>
      </w:r>
      <w:r w:rsidRPr="001C1619">
        <w:rPr>
          <w:rFonts w:ascii="Bookman Old Style" w:hAnsi="Bookman Old Style"/>
          <w:sz w:val="26"/>
          <w:szCs w:val="26"/>
        </w:rPr>
        <w:t xml:space="preserve">. C’est dans ce sens que la Fédération Togolaise des Associations de Personnes </w:t>
      </w:r>
      <w:r w:rsidR="00356B1C" w:rsidRPr="001C1619">
        <w:rPr>
          <w:rFonts w:ascii="Bookman Old Style" w:hAnsi="Bookman Old Style"/>
          <w:sz w:val="26"/>
          <w:szCs w:val="26"/>
        </w:rPr>
        <w:t xml:space="preserve">Handicapées a eu à renforcer les capacités des sages femmes des structures sanitaires en ce qui concerne la santé de </w:t>
      </w:r>
      <w:r w:rsidR="008E6BC9" w:rsidRPr="001C1619">
        <w:rPr>
          <w:rFonts w:ascii="Bookman Old Style" w:hAnsi="Bookman Old Style"/>
          <w:sz w:val="26"/>
          <w:szCs w:val="26"/>
        </w:rPr>
        <w:t>reproduction</w:t>
      </w:r>
      <w:r w:rsidR="00356B1C" w:rsidRPr="001C1619">
        <w:rPr>
          <w:rFonts w:ascii="Bookman Old Style" w:hAnsi="Bookman Old Style"/>
          <w:sz w:val="26"/>
          <w:szCs w:val="26"/>
        </w:rPr>
        <w:t xml:space="preserve"> des femmes handicapées.</w:t>
      </w:r>
    </w:p>
    <w:p w:rsidR="00356B1C" w:rsidRPr="001C1619" w:rsidRDefault="00356B1C" w:rsidP="00213C80">
      <w:pPr>
        <w:pStyle w:val="ListParagraph"/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Par ailleurs, il faut préciser que des pesanteurs socioculturelles continuent de peser sur les femmes handicapées.</w:t>
      </w:r>
    </w:p>
    <w:p w:rsidR="00356B1C" w:rsidRPr="001C1619" w:rsidRDefault="00356B1C" w:rsidP="00213C80">
      <w:pPr>
        <w:pStyle w:val="ListParagraph"/>
        <w:numPr>
          <w:ilvl w:val="0"/>
          <w:numId w:val="4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Au niveau informel, les sensibilisations se font sur la santé sexuelle par les associations féminines œuvrant dans le domaine. Et au niveau formel par la Direction Génér</w:t>
      </w:r>
      <w:r w:rsidR="00EF592A">
        <w:rPr>
          <w:rFonts w:ascii="Bookman Old Style" w:hAnsi="Bookman Old Style"/>
          <w:sz w:val="26"/>
          <w:szCs w:val="26"/>
        </w:rPr>
        <w:t>ale de la Promotion de la Femme et</w:t>
      </w:r>
      <w:r w:rsidRPr="001C1619">
        <w:rPr>
          <w:rFonts w:ascii="Bookman Old Style" w:hAnsi="Bookman Old Style"/>
          <w:sz w:val="26"/>
          <w:szCs w:val="26"/>
        </w:rPr>
        <w:t xml:space="preserve"> les professionnels de la santé.</w:t>
      </w:r>
    </w:p>
    <w:p w:rsidR="00356B1C" w:rsidRPr="001C1619" w:rsidRDefault="00356B1C" w:rsidP="00213C80">
      <w:pPr>
        <w:pStyle w:val="ListParagraph"/>
        <w:numPr>
          <w:ilvl w:val="0"/>
          <w:numId w:val="4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Les associations mentionnées plus haut sensibilisent les enfants et les jeunes à accéder au service de santé sexuelle et reproduction de qualité dans les structures sanitaires approprié</w:t>
      </w:r>
      <w:r w:rsidR="00EF592A">
        <w:rPr>
          <w:rFonts w:ascii="Bookman Old Style" w:hAnsi="Bookman Old Style"/>
          <w:sz w:val="26"/>
          <w:szCs w:val="26"/>
        </w:rPr>
        <w:t>e</w:t>
      </w:r>
      <w:r w:rsidRPr="001C1619">
        <w:rPr>
          <w:rFonts w:ascii="Bookman Old Style" w:hAnsi="Bookman Old Style"/>
          <w:sz w:val="26"/>
          <w:szCs w:val="26"/>
        </w:rPr>
        <w:t>s.</w:t>
      </w:r>
    </w:p>
    <w:p w:rsidR="00356B1C" w:rsidRPr="001C1619" w:rsidRDefault="00356B1C" w:rsidP="00213C80">
      <w:pPr>
        <w:pStyle w:val="ListParagraph"/>
        <w:numPr>
          <w:ilvl w:val="0"/>
          <w:numId w:val="4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Les campagnes générales de santé publique sont rendues accessibles aux personnes handicapées.</w:t>
      </w:r>
    </w:p>
    <w:p w:rsidR="00356B1C" w:rsidRPr="001C1619" w:rsidRDefault="00356B1C" w:rsidP="00213C80">
      <w:pPr>
        <w:tabs>
          <w:tab w:val="left" w:pos="3990"/>
        </w:tabs>
        <w:ind w:left="720"/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Il existe également des services de santé, des programme</w:t>
      </w:r>
      <w:r w:rsidR="00363C54" w:rsidRPr="001C1619">
        <w:rPr>
          <w:rFonts w:ascii="Bookman Old Style" w:hAnsi="Bookman Old Style"/>
          <w:sz w:val="26"/>
          <w:szCs w:val="26"/>
        </w:rPr>
        <w:t>s</w:t>
      </w:r>
      <w:r w:rsidRPr="001C1619">
        <w:rPr>
          <w:rFonts w:ascii="Bookman Old Style" w:hAnsi="Bookman Old Style"/>
          <w:sz w:val="26"/>
          <w:szCs w:val="26"/>
        </w:rPr>
        <w:t xml:space="preserve"> de dépistage </w:t>
      </w:r>
      <w:r w:rsidR="00363C54" w:rsidRPr="001C1619">
        <w:rPr>
          <w:rFonts w:ascii="Bookman Old Style" w:hAnsi="Bookman Old Style"/>
          <w:sz w:val="26"/>
          <w:szCs w:val="26"/>
        </w:rPr>
        <w:t xml:space="preserve">et d’intervention à un stade précoce selon qu’il convient à réduire au maximum ou à prévenir de nouvelles infections sexuellement transmissibles </w:t>
      </w:r>
      <w:r w:rsidRPr="001C1619">
        <w:rPr>
          <w:rFonts w:ascii="Bookman Old Style" w:hAnsi="Bookman Old Style"/>
          <w:sz w:val="26"/>
          <w:szCs w:val="26"/>
        </w:rPr>
        <w:t xml:space="preserve">  </w:t>
      </w:r>
      <w:r w:rsidR="00363C54" w:rsidRPr="001C1619">
        <w:rPr>
          <w:rFonts w:ascii="Bookman Old Style" w:hAnsi="Bookman Old Style"/>
          <w:sz w:val="26"/>
          <w:szCs w:val="26"/>
        </w:rPr>
        <w:t>notamment chez les jeunes filles et femmes handicapées tant en milieu rural qu’urbain.</w:t>
      </w:r>
    </w:p>
    <w:p w:rsidR="00363C54" w:rsidRPr="001C1619" w:rsidRDefault="00363C54" w:rsidP="00213C80">
      <w:pPr>
        <w:tabs>
          <w:tab w:val="left" w:pos="3990"/>
        </w:tabs>
        <w:ind w:left="720"/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Cependant il est difficile de dresser des statistiques eu égard aux caractères inclusifs des services offerts et programmes existants.</w:t>
      </w:r>
    </w:p>
    <w:p w:rsidR="00363C54" w:rsidRPr="001C1619" w:rsidRDefault="00363C54" w:rsidP="00213C80">
      <w:pPr>
        <w:pStyle w:val="ListParagraph"/>
        <w:numPr>
          <w:ilvl w:val="0"/>
          <w:numId w:val="4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lastRenderedPageBreak/>
        <w:t>Parmi les violences qui impactent la jouissance du droit à la santé sexuelle et reproductive des filles handicapées, on peut mentionner : la violence verbale, le harcèlement sexuel, le viol.</w:t>
      </w:r>
    </w:p>
    <w:p w:rsidR="00363C54" w:rsidRPr="001C1619" w:rsidRDefault="00363C54" w:rsidP="00213C80">
      <w:pPr>
        <w:pStyle w:val="ListParagraph"/>
        <w:numPr>
          <w:ilvl w:val="0"/>
          <w:numId w:val="3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</w:p>
    <w:p w:rsidR="00363C54" w:rsidRPr="001C1619" w:rsidRDefault="00363C54" w:rsidP="00213C80">
      <w:pPr>
        <w:pStyle w:val="ListParagraph"/>
        <w:numPr>
          <w:ilvl w:val="0"/>
          <w:numId w:val="6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 xml:space="preserve">Le renforcement des campagnes de sensibilisation sur la santé sexuelle et reproductive des femmes handicapées, </w:t>
      </w:r>
    </w:p>
    <w:p w:rsidR="00363C54" w:rsidRPr="001C1619" w:rsidRDefault="00363C54" w:rsidP="00213C80">
      <w:pPr>
        <w:pStyle w:val="ListParagraph"/>
        <w:numPr>
          <w:ilvl w:val="0"/>
          <w:numId w:val="6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La formation d’une monitrice à l’école nationale des sages femmes sur la santé reproductive des femmes handicapées en vue de l’introduction de ce module dans les circulas de formation des sages femmes au Togo.</w:t>
      </w:r>
    </w:p>
    <w:p w:rsidR="00363C54" w:rsidRPr="001C1619" w:rsidRDefault="00363C54" w:rsidP="00213C80">
      <w:pPr>
        <w:pStyle w:val="ListParagraph"/>
        <w:numPr>
          <w:ilvl w:val="0"/>
          <w:numId w:val="6"/>
        </w:numPr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  <w:r w:rsidRPr="001C1619">
        <w:rPr>
          <w:rFonts w:ascii="Bookman Old Style" w:hAnsi="Bookman Old Style"/>
          <w:sz w:val="26"/>
          <w:szCs w:val="26"/>
        </w:rPr>
        <w:t>La conduite par l’A</w:t>
      </w:r>
      <w:r w:rsidR="008E6BC9" w:rsidRPr="001C1619">
        <w:rPr>
          <w:rFonts w:ascii="Bookman Old Style" w:hAnsi="Bookman Old Style"/>
          <w:sz w:val="26"/>
          <w:szCs w:val="26"/>
        </w:rPr>
        <w:t xml:space="preserve">ssociation Togolaise du Bien-Etre Familial (ATBEF) d’un projet pilote dans huit (08) établissements scolaires sur </w:t>
      </w:r>
      <w:r w:rsidR="00EF592A">
        <w:rPr>
          <w:rFonts w:ascii="Bookman Old Style" w:hAnsi="Bookman Old Style"/>
          <w:sz w:val="26"/>
          <w:szCs w:val="26"/>
        </w:rPr>
        <w:t>l’</w:t>
      </w:r>
      <w:r w:rsidR="008E6BC9" w:rsidRPr="001C1619">
        <w:rPr>
          <w:rFonts w:ascii="Bookman Old Style" w:hAnsi="Bookman Old Style"/>
          <w:sz w:val="26"/>
          <w:szCs w:val="26"/>
        </w:rPr>
        <w:t>éducation sexuelle. Cependant, ce projet n’est pas spécifique aux jeunes filles handicapées mais plutôt inclusif.</w:t>
      </w:r>
    </w:p>
    <w:p w:rsidR="00363C54" w:rsidRPr="001C1619" w:rsidRDefault="00363C54" w:rsidP="00213C80">
      <w:pPr>
        <w:pStyle w:val="ListParagraph"/>
        <w:tabs>
          <w:tab w:val="left" w:pos="3990"/>
        </w:tabs>
        <w:jc w:val="both"/>
        <w:rPr>
          <w:rFonts w:ascii="Bookman Old Style" w:hAnsi="Bookman Old Style"/>
          <w:sz w:val="26"/>
          <w:szCs w:val="26"/>
        </w:rPr>
      </w:pPr>
    </w:p>
    <w:p w:rsidR="00C83C52" w:rsidRPr="001C1619" w:rsidRDefault="00C83C52" w:rsidP="00213C80">
      <w:pPr>
        <w:tabs>
          <w:tab w:val="left" w:pos="3990"/>
        </w:tabs>
        <w:jc w:val="both"/>
        <w:rPr>
          <w:rFonts w:ascii="Bookman Old Style" w:hAnsi="Bookman Old Style"/>
          <w:b/>
          <w:sz w:val="26"/>
          <w:szCs w:val="26"/>
        </w:rPr>
      </w:pPr>
    </w:p>
    <w:sectPr w:rsidR="00C83C52" w:rsidRPr="001C1619" w:rsidSect="00E0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C18"/>
    <w:multiLevelType w:val="hybridMultilevel"/>
    <w:tmpl w:val="64AE0386"/>
    <w:lvl w:ilvl="0" w:tplc="6BA4E78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24F81"/>
    <w:multiLevelType w:val="hybridMultilevel"/>
    <w:tmpl w:val="F926C270"/>
    <w:lvl w:ilvl="0" w:tplc="FB161C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60C01"/>
    <w:multiLevelType w:val="hybridMultilevel"/>
    <w:tmpl w:val="5F583848"/>
    <w:lvl w:ilvl="0" w:tplc="9D52E4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4458D4"/>
    <w:multiLevelType w:val="hybridMultilevel"/>
    <w:tmpl w:val="925C3C7E"/>
    <w:lvl w:ilvl="0" w:tplc="2802192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637E64"/>
    <w:multiLevelType w:val="hybridMultilevel"/>
    <w:tmpl w:val="5F7ED8EC"/>
    <w:lvl w:ilvl="0" w:tplc="9F9A4E62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FA76B5"/>
    <w:multiLevelType w:val="hybridMultilevel"/>
    <w:tmpl w:val="BAACDA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0D"/>
    <w:rsid w:val="001C1619"/>
    <w:rsid w:val="001E2E4A"/>
    <w:rsid w:val="001F09A6"/>
    <w:rsid w:val="00213C80"/>
    <w:rsid w:val="00356B1C"/>
    <w:rsid w:val="00363C54"/>
    <w:rsid w:val="006B7FF0"/>
    <w:rsid w:val="00730735"/>
    <w:rsid w:val="00751A93"/>
    <w:rsid w:val="00816000"/>
    <w:rsid w:val="008E6BC9"/>
    <w:rsid w:val="0093210F"/>
    <w:rsid w:val="00A76D08"/>
    <w:rsid w:val="00B22D8A"/>
    <w:rsid w:val="00B90502"/>
    <w:rsid w:val="00C83C52"/>
    <w:rsid w:val="00CE500D"/>
    <w:rsid w:val="00D3073F"/>
    <w:rsid w:val="00E0588F"/>
    <w:rsid w:val="00EF592A"/>
    <w:rsid w:val="00FA572C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053B86-4546-4FBC-BE6E-139D10CDE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0AEF9-2ABA-4518-887F-3F063295F976}"/>
</file>

<file path=customXml/itemProps3.xml><?xml version="1.0" encoding="utf-8"?>
<ds:datastoreItem xmlns:ds="http://schemas.openxmlformats.org/officeDocument/2006/customXml" ds:itemID="{FF9C7FE9-EACB-44CB-B80A-3346EAE24E20}"/>
</file>

<file path=customXml/itemProps4.xml><?xml version="1.0" encoding="utf-8"?>
<ds:datastoreItem xmlns:ds="http://schemas.openxmlformats.org/officeDocument/2006/customXml" ds:itemID="{64E1BE79-84E1-4FA9-ACDD-6BBA48EB5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Alina Grigoras</cp:lastModifiedBy>
  <cp:revision>2</cp:revision>
  <cp:lastPrinted>2017-05-19T16:44:00Z</cp:lastPrinted>
  <dcterms:created xsi:type="dcterms:W3CDTF">2017-06-14T16:46:00Z</dcterms:created>
  <dcterms:modified xsi:type="dcterms:W3CDTF">2017-06-14T16:46:00Z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