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E1" w:rsidRDefault="00EF1CE1" w:rsidP="00EF1CE1">
      <w:pPr>
        <w:spacing w:after="0"/>
        <w:ind w:right="-152"/>
        <w:jc w:val="center"/>
        <w:rPr>
          <w:rFonts w:ascii="Arial" w:hAnsi="Arial" w:cs="Arial"/>
          <w:b/>
          <w:iCs/>
          <w:color w:val="000000"/>
        </w:rPr>
      </w:pPr>
      <w:r>
        <w:rPr>
          <w:noProof/>
          <w:lang w:eastAsia="en-GB"/>
        </w:rPr>
        <w:drawing>
          <wp:inline distT="0" distB="0" distL="0" distR="0" wp14:anchorId="3A57E174" wp14:editId="58710232">
            <wp:extent cx="2016644" cy="923925"/>
            <wp:effectExtent l="0" t="0" r="0" b="0"/>
            <wp:docPr id="5" name="Picture 5" descr="Office_logo_EN_blue_SMALL_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e_logo_EN_blue_SMALL_72d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644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D12">
        <w:rPr>
          <w:rFonts w:ascii="Arial" w:hAnsi="Arial" w:cs="Arial"/>
          <w:b/>
          <w:iCs/>
          <w:color w:val="000000"/>
        </w:rPr>
        <w:t xml:space="preserve"> </w:t>
      </w:r>
    </w:p>
    <w:p w:rsidR="00EF1CE1" w:rsidRPr="001C1D12" w:rsidRDefault="00EF1CE1" w:rsidP="00EF1CE1">
      <w:pPr>
        <w:spacing w:after="240"/>
        <w:ind w:right="-152"/>
        <w:jc w:val="center"/>
        <w:rPr>
          <w:rFonts w:ascii="Arial" w:hAnsi="Arial" w:cs="Arial"/>
          <w:b/>
          <w:iCs/>
          <w:color w:val="000000"/>
        </w:rPr>
      </w:pPr>
      <w:r w:rsidRPr="001C1D12">
        <w:rPr>
          <w:rFonts w:ascii="Arial" w:hAnsi="Arial" w:cs="Arial"/>
          <w:b/>
          <w:iCs/>
          <w:color w:val="000000"/>
        </w:rPr>
        <w:t>Special Rapporteur on the rights of persons with disabilities</w:t>
      </w:r>
    </w:p>
    <w:p w:rsidR="00EF1CE1" w:rsidRDefault="00EF1CE1" w:rsidP="00EF1CE1">
      <w:pPr>
        <w:spacing w:after="0"/>
        <w:ind w:right="-152"/>
        <w:jc w:val="center"/>
        <w:rPr>
          <w:rFonts w:ascii="Arial" w:hAnsi="Arial" w:cs="Arial"/>
          <w:b/>
          <w:iCs/>
          <w:color w:val="000000"/>
        </w:rPr>
      </w:pPr>
      <w:r w:rsidRPr="001C1D12">
        <w:rPr>
          <w:rFonts w:ascii="Arial" w:hAnsi="Arial" w:cs="Arial"/>
          <w:b/>
          <w:iCs/>
          <w:color w:val="000000"/>
        </w:rPr>
        <w:t>Special Rapporteur on the right of everyone to the enjoyment of the highest attainable standard of physical and mental health</w:t>
      </w:r>
    </w:p>
    <w:p w:rsidR="00EF1CE1" w:rsidRPr="00A214D1" w:rsidRDefault="00EF1CE1" w:rsidP="00EF1CE1">
      <w:pPr>
        <w:spacing w:after="240"/>
        <w:ind w:right="-152"/>
        <w:jc w:val="center"/>
        <w:rPr>
          <w:rFonts w:ascii="Arial" w:hAnsi="Arial" w:cs="Arial"/>
          <w:b/>
          <w:iCs/>
          <w:color w:val="000000"/>
        </w:rPr>
      </w:pPr>
    </w:p>
    <w:p w:rsidR="00EF1CE1" w:rsidRPr="00A214D1" w:rsidRDefault="00EF1CE1" w:rsidP="00EF1CE1">
      <w:pPr>
        <w:spacing w:after="360"/>
        <w:ind w:right="-152"/>
        <w:jc w:val="center"/>
        <w:rPr>
          <w:rFonts w:ascii="Arial" w:hAnsi="Arial" w:cs="Arial"/>
          <w:b/>
          <w:bCs/>
          <w:color w:val="3366FF"/>
          <w:sz w:val="28"/>
          <w:szCs w:val="28"/>
        </w:rPr>
      </w:pPr>
      <w:r>
        <w:rPr>
          <w:rFonts w:ascii="Arial" w:hAnsi="Arial" w:cs="Arial"/>
          <w:b/>
          <w:bCs/>
          <w:color w:val="3366FF"/>
          <w:sz w:val="28"/>
          <w:szCs w:val="28"/>
        </w:rPr>
        <w:t>Expert meeting on the d</w:t>
      </w:r>
      <w:r w:rsidRPr="001C1D12">
        <w:rPr>
          <w:rFonts w:ascii="Arial" w:hAnsi="Arial" w:cs="Arial"/>
          <w:b/>
          <w:bCs/>
          <w:color w:val="3366FF"/>
          <w:sz w:val="28"/>
          <w:szCs w:val="28"/>
        </w:rPr>
        <w:t xml:space="preserve">eprivation of liberty </w:t>
      </w:r>
      <w:r>
        <w:rPr>
          <w:rFonts w:ascii="Arial" w:hAnsi="Arial" w:cs="Arial"/>
          <w:b/>
          <w:bCs/>
          <w:color w:val="3366FF"/>
          <w:sz w:val="28"/>
          <w:szCs w:val="28"/>
        </w:rPr>
        <w:t>of persons with disabilities</w:t>
      </w:r>
      <w:r w:rsidRPr="00FA274E">
        <w:rPr>
          <w:rFonts w:ascii="Arial" w:hAnsi="Arial" w:cs="Arial"/>
          <w:b/>
          <w:bCs/>
          <w:color w:val="3366FF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66FF"/>
          <w:sz w:val="28"/>
          <w:szCs w:val="28"/>
        </w:rPr>
        <w:t xml:space="preserve">on the basis of disability </w:t>
      </w:r>
    </w:p>
    <w:p w:rsidR="00EF1CE1" w:rsidRDefault="00E272E3" w:rsidP="00EF1CE1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Executive s</w:t>
      </w:r>
      <w:r w:rsidR="00F858F6">
        <w:rPr>
          <w:rFonts w:ascii="Arial" w:hAnsi="Arial" w:cs="Arial"/>
          <w:b/>
          <w:bCs/>
        </w:rPr>
        <w:t>ummary</w:t>
      </w:r>
    </w:p>
    <w:p w:rsidR="00EF1CE1" w:rsidRDefault="00EF1CE1" w:rsidP="00CF3C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E272E3" w:rsidRPr="009B0CD4" w:rsidRDefault="00E272E3" w:rsidP="00E272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3366FF"/>
        </w:rPr>
        <w:t>Introduction</w:t>
      </w:r>
    </w:p>
    <w:p w:rsidR="00E272E3" w:rsidRDefault="00E272E3" w:rsidP="00CF3C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3F4A5F" w:rsidRDefault="003F4A5F" w:rsidP="00CF3C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CF3C04">
        <w:rPr>
          <w:rFonts w:ascii="Arial" w:hAnsi="Arial" w:cs="Arial"/>
          <w:color w:val="000000"/>
        </w:rPr>
        <w:t xml:space="preserve">On 7 September 2015, the Special Rapporteur on the rights of persons with </w:t>
      </w:r>
      <w:r w:rsidR="00F43C53">
        <w:rPr>
          <w:rFonts w:ascii="Arial" w:hAnsi="Arial" w:cs="Arial"/>
          <w:color w:val="000000"/>
        </w:rPr>
        <w:t>disabilities, Catalina Devandas-</w:t>
      </w:r>
      <w:r w:rsidRPr="00CF3C04">
        <w:rPr>
          <w:rFonts w:ascii="Arial" w:hAnsi="Arial" w:cs="Arial"/>
          <w:color w:val="000000"/>
        </w:rPr>
        <w:t>Aguilar</w:t>
      </w:r>
      <w:r w:rsidR="00FB09B5">
        <w:rPr>
          <w:rFonts w:ascii="Arial" w:hAnsi="Arial" w:cs="Arial"/>
          <w:color w:val="000000"/>
        </w:rPr>
        <w:t>,</w:t>
      </w:r>
      <w:r w:rsidRPr="00CF3C04">
        <w:rPr>
          <w:rFonts w:ascii="Arial" w:hAnsi="Arial" w:cs="Arial"/>
          <w:color w:val="000000"/>
        </w:rPr>
        <w:t xml:space="preserve"> and the Special Rapporteur on the right of everyone to the enjoyment of the highest attainable standard of physical and mental health, Dainius Puras, convened an </w:t>
      </w:r>
      <w:r w:rsidRPr="00CF3C04">
        <w:rPr>
          <w:rFonts w:ascii="Arial" w:hAnsi="Arial" w:cs="Arial"/>
          <w:i/>
          <w:iCs/>
          <w:color w:val="000000"/>
        </w:rPr>
        <w:t>Expert meeting on the deprivation of liberty of persons with disabilities on the basis of disability</w:t>
      </w:r>
      <w:r w:rsidRPr="00CF3C04">
        <w:rPr>
          <w:rFonts w:ascii="Arial" w:hAnsi="Arial" w:cs="Arial"/>
          <w:color w:val="000000"/>
        </w:rPr>
        <w:t xml:space="preserve">, which was attended by </w:t>
      </w:r>
      <w:r w:rsidR="00496E85">
        <w:rPr>
          <w:rFonts w:ascii="Arial" w:hAnsi="Arial" w:cs="Arial"/>
          <w:color w:val="000000"/>
        </w:rPr>
        <w:t>21</w:t>
      </w:r>
      <w:r w:rsidRPr="00CF3C04">
        <w:rPr>
          <w:rFonts w:ascii="Arial" w:hAnsi="Arial" w:cs="Arial"/>
          <w:color w:val="000000"/>
        </w:rPr>
        <w:t xml:space="preserve"> international experts, with experience in the areas of deprivation of liberty, mental health and the rights of persons with disabilities.  </w:t>
      </w:r>
    </w:p>
    <w:p w:rsidR="005A20D5" w:rsidRDefault="005A20D5" w:rsidP="00CF3C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6E0154" w:rsidRDefault="006E0154" w:rsidP="00CF3C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5768E8" w:rsidRPr="006E0154" w:rsidRDefault="008D1930" w:rsidP="006E01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3366FF"/>
        </w:rPr>
        <w:t>S</w:t>
      </w:r>
      <w:r w:rsidR="005A20D5">
        <w:rPr>
          <w:rFonts w:ascii="Arial" w:hAnsi="Arial" w:cs="Arial"/>
          <w:b/>
          <w:bCs/>
          <w:color w:val="3366FF"/>
        </w:rPr>
        <w:t>ummary of discussions</w:t>
      </w:r>
    </w:p>
    <w:p w:rsidR="006E0154" w:rsidRPr="006E0154" w:rsidRDefault="006E0154" w:rsidP="006E0154">
      <w:pPr>
        <w:pStyle w:val="ListParagraph"/>
        <w:jc w:val="both"/>
        <w:rPr>
          <w:rFonts w:ascii="Arial" w:hAnsi="Arial" w:cs="Arial"/>
          <w:b/>
        </w:rPr>
      </w:pPr>
    </w:p>
    <w:p w:rsidR="007016F1" w:rsidRDefault="007531E4" w:rsidP="007016F1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6E0154">
        <w:rPr>
          <w:rFonts w:ascii="Arial" w:hAnsi="Arial" w:cs="Arial"/>
          <w:b/>
          <w:color w:val="000000"/>
        </w:rPr>
        <w:t>Overview of international standards</w:t>
      </w:r>
    </w:p>
    <w:p w:rsidR="007016F1" w:rsidRPr="007016F1" w:rsidRDefault="007016F1" w:rsidP="007016F1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837970" w:rsidRDefault="007016F1" w:rsidP="007016F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Relevant IHRL standards on the deprivation of liberty of persons with disabilities include: Art. 3 UDHR (non-binding, but normative force), Art. 9 ICCPR, Arts. 10 and 11 CAT, Art. 37 CRC, and Art. 14 CRPD. The latter constitutes the most recent expression of the right to liberty in a UN treaty, and is the most legitimate, due to the involvement of persons with disabilities. </w:t>
      </w:r>
    </w:p>
    <w:p w:rsidR="00837970" w:rsidRDefault="00837970" w:rsidP="007016F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7016F1" w:rsidRDefault="007016F1" w:rsidP="007016F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Acknowledging that </w:t>
      </w:r>
      <w:r w:rsidR="001D73FE">
        <w:rPr>
          <w:rFonts w:ascii="Arial" w:hAnsi="Arial" w:cs="Arial"/>
          <w:color w:val="000000"/>
        </w:rPr>
        <w:t>many</w:t>
      </w:r>
      <w:r w:rsidRPr="007B5D81">
        <w:rPr>
          <w:rFonts w:ascii="Arial" w:hAnsi="Arial" w:cs="Arial"/>
          <w:color w:val="000000"/>
        </w:rPr>
        <w:t xml:space="preserve"> countries still retain det</w:t>
      </w:r>
      <w:r>
        <w:rPr>
          <w:rFonts w:ascii="Arial" w:hAnsi="Arial" w:cs="Arial"/>
          <w:color w:val="000000"/>
        </w:rPr>
        <w:t xml:space="preserve">ention on grounds of disability, discussions </w:t>
      </w:r>
      <w:r w:rsidRPr="007B5D81">
        <w:rPr>
          <w:rFonts w:ascii="Arial" w:hAnsi="Arial" w:cs="Arial"/>
          <w:color w:val="000000"/>
        </w:rPr>
        <w:t>focused on how to ensure</w:t>
      </w:r>
      <w:r w:rsidR="001D73FE">
        <w:rPr>
          <w:rFonts w:ascii="Arial" w:hAnsi="Arial" w:cs="Arial"/>
          <w:color w:val="000000"/>
        </w:rPr>
        <w:t xml:space="preserve"> that</w:t>
      </w:r>
      <w:r w:rsidRPr="007B5D81">
        <w:rPr>
          <w:rFonts w:ascii="Arial" w:hAnsi="Arial" w:cs="Arial"/>
          <w:color w:val="000000"/>
        </w:rPr>
        <w:t>, in practice, the existence of a disability does not justify, under any circumstances, a</w:t>
      </w:r>
      <w:r w:rsidR="001D73FE">
        <w:rPr>
          <w:rFonts w:ascii="Arial" w:hAnsi="Arial" w:cs="Arial"/>
          <w:color w:val="000000"/>
        </w:rPr>
        <w:t xml:space="preserve"> deprivation of liberty, including in “hard cases” situations. </w:t>
      </w:r>
    </w:p>
    <w:p w:rsidR="007016F1" w:rsidRPr="007016F1" w:rsidRDefault="007016F1" w:rsidP="007016F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6E0154" w:rsidRDefault="004B552F" w:rsidP="004B552F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</w:t>
      </w:r>
      <w:r w:rsidRPr="004B552F">
        <w:rPr>
          <w:rFonts w:ascii="Arial" w:hAnsi="Arial" w:cs="Arial"/>
          <w:b/>
          <w:color w:val="000000"/>
        </w:rPr>
        <w:t xml:space="preserve">apping </w:t>
      </w:r>
      <w:r w:rsidR="001D73FE">
        <w:rPr>
          <w:rFonts w:ascii="Arial" w:hAnsi="Arial" w:cs="Arial"/>
          <w:b/>
          <w:color w:val="000000"/>
        </w:rPr>
        <w:t xml:space="preserve">of </w:t>
      </w:r>
      <w:r w:rsidRPr="004B552F">
        <w:rPr>
          <w:rFonts w:ascii="Arial" w:hAnsi="Arial" w:cs="Arial"/>
          <w:b/>
          <w:color w:val="000000"/>
        </w:rPr>
        <w:t>forms of deprivation of liberty worldwide</w:t>
      </w:r>
    </w:p>
    <w:p w:rsidR="007531E4" w:rsidRPr="007531E4" w:rsidRDefault="007531E4" w:rsidP="00CF3C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0C058F" w:rsidRPr="001130AC" w:rsidRDefault="00837970" w:rsidP="001130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FC1300">
        <w:rPr>
          <w:rFonts w:ascii="Arial" w:hAnsi="Arial" w:cs="Arial"/>
          <w:color w:val="000000"/>
        </w:rPr>
        <w:t xml:space="preserve">An </w:t>
      </w:r>
      <w:r w:rsidR="003F4A5F" w:rsidRPr="00FC1300">
        <w:rPr>
          <w:rFonts w:ascii="Arial" w:hAnsi="Arial" w:cs="Arial"/>
          <w:color w:val="000000"/>
        </w:rPr>
        <w:t xml:space="preserve">overview of existing psychiatric and non-psychiatric forms of deprivation of liberty based on actual or perceived disability </w:t>
      </w:r>
      <w:r w:rsidRPr="00FC1300">
        <w:rPr>
          <w:rFonts w:ascii="Arial" w:hAnsi="Arial" w:cs="Arial"/>
          <w:color w:val="000000"/>
        </w:rPr>
        <w:t xml:space="preserve">was provided through </w:t>
      </w:r>
      <w:r w:rsidR="000C058F" w:rsidRPr="00FC1300">
        <w:rPr>
          <w:rFonts w:ascii="Arial" w:hAnsi="Arial" w:cs="Arial"/>
          <w:color w:val="000000"/>
        </w:rPr>
        <w:t xml:space="preserve">different </w:t>
      </w:r>
      <w:r w:rsidRPr="00FC1300">
        <w:rPr>
          <w:rFonts w:ascii="Arial" w:hAnsi="Arial" w:cs="Arial"/>
          <w:color w:val="000000"/>
        </w:rPr>
        <w:t>presentations</w:t>
      </w:r>
      <w:r w:rsidR="000C058F" w:rsidRPr="00FC1300">
        <w:rPr>
          <w:rFonts w:ascii="Arial" w:hAnsi="Arial" w:cs="Arial"/>
          <w:color w:val="000000"/>
        </w:rPr>
        <w:t>, which illustrated various practices</w:t>
      </w:r>
      <w:r w:rsidR="00341E9E" w:rsidRPr="00FC1300">
        <w:rPr>
          <w:rFonts w:ascii="Arial" w:hAnsi="Arial" w:cs="Arial"/>
          <w:color w:val="000000"/>
        </w:rPr>
        <w:t xml:space="preserve"> existing </w:t>
      </w:r>
      <w:r w:rsidR="003C76DB" w:rsidRPr="00FC1300">
        <w:rPr>
          <w:rFonts w:ascii="Arial" w:hAnsi="Arial" w:cs="Arial"/>
          <w:color w:val="000000"/>
        </w:rPr>
        <w:t>worldwide</w:t>
      </w:r>
      <w:r w:rsidR="000C058F" w:rsidRPr="00FC1300">
        <w:rPr>
          <w:rFonts w:ascii="Arial" w:hAnsi="Arial" w:cs="Arial"/>
          <w:color w:val="000000"/>
        </w:rPr>
        <w:t>, including:</w:t>
      </w:r>
    </w:p>
    <w:p w:rsidR="000C058F" w:rsidRPr="00FC1300" w:rsidRDefault="000C058F" w:rsidP="001130A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C1300">
        <w:rPr>
          <w:rFonts w:ascii="Arial" w:hAnsi="Arial" w:cs="Arial"/>
          <w:color w:val="000000"/>
          <w:sz w:val="22"/>
          <w:szCs w:val="22"/>
        </w:rPr>
        <w:t>Forced institutionalization in psychiatric hospitals and other specialized institutions,</w:t>
      </w:r>
    </w:p>
    <w:p w:rsidR="000C058F" w:rsidRPr="00FC1300" w:rsidRDefault="000C058F" w:rsidP="001130A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C1300">
        <w:rPr>
          <w:rFonts w:ascii="Arial" w:hAnsi="Arial" w:cs="Arial"/>
          <w:color w:val="000000"/>
          <w:sz w:val="22"/>
          <w:szCs w:val="22"/>
        </w:rPr>
        <w:t>Detention at</w:t>
      </w:r>
      <w:r w:rsidR="003F4A5F" w:rsidRPr="00FC1300">
        <w:rPr>
          <w:rFonts w:ascii="Arial" w:hAnsi="Arial" w:cs="Arial"/>
          <w:color w:val="000000"/>
          <w:sz w:val="22"/>
          <w:szCs w:val="22"/>
        </w:rPr>
        <w:t xml:space="preserve"> home</w:t>
      </w:r>
      <w:r w:rsidRPr="00FC1300">
        <w:rPr>
          <w:rFonts w:ascii="Arial" w:hAnsi="Arial" w:cs="Arial"/>
          <w:color w:val="000000"/>
          <w:sz w:val="22"/>
          <w:szCs w:val="22"/>
        </w:rPr>
        <w:t xml:space="preserve">, including shackling of persons with or perceived to have a disability </w:t>
      </w:r>
    </w:p>
    <w:p w:rsidR="000C058F" w:rsidRPr="00FC1300" w:rsidRDefault="000C058F" w:rsidP="001130A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C1300">
        <w:rPr>
          <w:rFonts w:ascii="Arial" w:hAnsi="Arial" w:cs="Arial"/>
          <w:color w:val="000000"/>
          <w:sz w:val="22"/>
          <w:szCs w:val="22"/>
        </w:rPr>
        <w:t>D</w:t>
      </w:r>
      <w:r w:rsidR="00837970" w:rsidRPr="00FC1300">
        <w:rPr>
          <w:rFonts w:ascii="Arial" w:hAnsi="Arial" w:cs="Arial"/>
          <w:color w:val="000000"/>
          <w:sz w:val="22"/>
          <w:szCs w:val="22"/>
        </w:rPr>
        <w:t>etention of autistic persons</w:t>
      </w:r>
      <w:r w:rsidRPr="00FC1300">
        <w:rPr>
          <w:rFonts w:ascii="Arial" w:hAnsi="Arial" w:cs="Arial"/>
          <w:color w:val="000000"/>
          <w:sz w:val="22"/>
          <w:szCs w:val="22"/>
        </w:rPr>
        <w:t xml:space="preserve"> due to misdiagnosis, </w:t>
      </w:r>
      <w:r w:rsidR="007367D9">
        <w:rPr>
          <w:rFonts w:ascii="Arial" w:hAnsi="Arial" w:cs="Arial"/>
          <w:color w:val="000000"/>
          <w:sz w:val="22"/>
          <w:szCs w:val="22"/>
        </w:rPr>
        <w:t xml:space="preserve">lack of inclusive education, </w:t>
      </w:r>
      <w:r w:rsidRPr="00FC1300">
        <w:rPr>
          <w:rFonts w:ascii="Arial" w:hAnsi="Arial" w:cs="Arial"/>
          <w:color w:val="000000"/>
          <w:sz w:val="22"/>
          <w:szCs w:val="22"/>
        </w:rPr>
        <w:lastRenderedPageBreak/>
        <w:t>misinterpretation and criminalization of autistic behaviors</w:t>
      </w:r>
    </w:p>
    <w:p w:rsidR="00837970" w:rsidRPr="00FC1300" w:rsidRDefault="000C058F" w:rsidP="001130A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C1300">
        <w:rPr>
          <w:rFonts w:ascii="Arial" w:hAnsi="Arial" w:cs="Arial"/>
          <w:color w:val="000000"/>
          <w:sz w:val="22"/>
          <w:szCs w:val="22"/>
        </w:rPr>
        <w:t>Forced treatment in mental health settings</w:t>
      </w:r>
    </w:p>
    <w:p w:rsidR="000C058F" w:rsidRPr="00FC1300" w:rsidRDefault="00341E9E" w:rsidP="001130AC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</w:rPr>
      </w:pPr>
      <w:r w:rsidRPr="00FC1300">
        <w:rPr>
          <w:rFonts w:ascii="Arial" w:hAnsi="Arial" w:cs="Arial"/>
          <w:color w:val="000000"/>
        </w:rPr>
        <w:t xml:space="preserve">Participants discussed </w:t>
      </w:r>
      <w:r w:rsidR="00E27296" w:rsidRPr="00FC1300">
        <w:rPr>
          <w:rFonts w:ascii="Arial" w:hAnsi="Arial" w:cs="Arial"/>
          <w:color w:val="000000"/>
        </w:rPr>
        <w:t>some of the reasons why these forms exist, and identified among other</w:t>
      </w:r>
      <w:r w:rsidR="003C76DB" w:rsidRPr="00FC1300">
        <w:rPr>
          <w:rFonts w:ascii="Arial" w:hAnsi="Arial" w:cs="Arial"/>
          <w:color w:val="000000"/>
        </w:rPr>
        <w:t xml:space="preserve">s: </w:t>
      </w:r>
      <w:r w:rsidR="00E27296" w:rsidRPr="00FC1300">
        <w:rPr>
          <w:rFonts w:ascii="Arial" w:hAnsi="Arial" w:cs="Arial"/>
          <w:color w:val="000000"/>
        </w:rPr>
        <w:t xml:space="preserve">strong links with stigma, prejudice and discrimination against persons with disabilities; intolerance and difficulties in accepting diversity and different forms of behaviour, society’s acceptance of such forms. </w:t>
      </w:r>
    </w:p>
    <w:p w:rsidR="003C76DB" w:rsidRPr="00FC1300" w:rsidRDefault="003C76DB" w:rsidP="001130AC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color w:val="000000"/>
        </w:rPr>
      </w:pPr>
      <w:r w:rsidRPr="00FC1300">
        <w:rPr>
          <w:rFonts w:ascii="Arial" w:hAnsi="Arial" w:cs="Arial"/>
          <w:color w:val="000000"/>
        </w:rPr>
        <w:t>They also discussed the existing challenges on the ground to making the implementation of Art. 14 of the CRPD a reality</w:t>
      </w:r>
      <w:r w:rsidR="00FC1300" w:rsidRPr="00FC1300">
        <w:rPr>
          <w:rFonts w:ascii="Arial" w:hAnsi="Arial" w:cs="Arial"/>
          <w:color w:val="000000"/>
        </w:rPr>
        <w:t>, which include, but are not limited to</w:t>
      </w:r>
      <w:r w:rsidRPr="00FC1300">
        <w:rPr>
          <w:rFonts w:ascii="Arial" w:hAnsi="Arial" w:cs="Arial"/>
          <w:color w:val="000000"/>
        </w:rPr>
        <w:t xml:space="preserve">: </w:t>
      </w:r>
    </w:p>
    <w:p w:rsidR="00322AF9" w:rsidRPr="00322AF9" w:rsidRDefault="003C76DB" w:rsidP="00322AF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FC1300">
        <w:rPr>
          <w:rFonts w:ascii="Arial" w:hAnsi="Arial" w:cs="Arial"/>
          <w:color w:val="000000"/>
          <w:sz w:val="22"/>
          <w:szCs w:val="22"/>
        </w:rPr>
        <w:t xml:space="preserve">Limited or inexistent resources (financial, training, expertise), or a perception thereof, by States; </w:t>
      </w:r>
      <w:r w:rsidR="00322AF9" w:rsidRPr="00322AF9">
        <w:rPr>
          <w:rFonts w:ascii="Arial" w:hAnsi="Arial" w:cs="Arial"/>
          <w:color w:val="000000"/>
          <w:sz w:val="22"/>
          <w:szCs w:val="22"/>
        </w:rPr>
        <w:t xml:space="preserve">Stigma </w:t>
      </w:r>
    </w:p>
    <w:p w:rsidR="003C76DB" w:rsidRPr="00322AF9" w:rsidRDefault="00322AF9" w:rsidP="00322AF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322AF9">
        <w:rPr>
          <w:rFonts w:ascii="Arial" w:hAnsi="Arial" w:cs="Arial"/>
          <w:color w:val="000000"/>
          <w:sz w:val="22"/>
          <w:szCs w:val="22"/>
        </w:rPr>
        <w:t>Societal acceptance of institutionalization as normal and commonplace, instead of as a human rights violation</w:t>
      </w:r>
    </w:p>
    <w:p w:rsidR="003C76DB" w:rsidRPr="00FC1300" w:rsidRDefault="003C76DB" w:rsidP="001130A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C1300">
        <w:rPr>
          <w:rFonts w:ascii="Arial" w:hAnsi="Arial" w:cs="Arial"/>
          <w:color w:val="000000"/>
          <w:sz w:val="22"/>
          <w:szCs w:val="22"/>
        </w:rPr>
        <w:t xml:space="preserve">Lack of </w:t>
      </w:r>
      <w:r w:rsidR="00322AF9">
        <w:rPr>
          <w:rFonts w:ascii="Arial" w:hAnsi="Arial" w:cs="Arial"/>
          <w:color w:val="000000"/>
          <w:sz w:val="22"/>
          <w:szCs w:val="22"/>
        </w:rPr>
        <w:t xml:space="preserve">alternatives, such as </w:t>
      </w:r>
      <w:r w:rsidRPr="00FC1300">
        <w:rPr>
          <w:rFonts w:ascii="Arial" w:hAnsi="Arial" w:cs="Arial"/>
          <w:color w:val="000000"/>
          <w:sz w:val="22"/>
          <w:szCs w:val="22"/>
        </w:rPr>
        <w:t>community housing and support organizations</w:t>
      </w:r>
    </w:p>
    <w:p w:rsidR="003C76DB" w:rsidRPr="00FC1300" w:rsidRDefault="003C76DB" w:rsidP="001130A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C1300">
        <w:rPr>
          <w:rFonts w:ascii="Arial" w:hAnsi="Arial" w:cs="Arial"/>
          <w:color w:val="000000"/>
          <w:sz w:val="22"/>
          <w:szCs w:val="22"/>
        </w:rPr>
        <w:t>Legal barriers, especially legislation allowing the deprivation of legal capacity</w:t>
      </w:r>
    </w:p>
    <w:p w:rsidR="003C76DB" w:rsidRDefault="003C76DB" w:rsidP="00322AF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C1300">
        <w:rPr>
          <w:rFonts w:ascii="Arial" w:hAnsi="Arial" w:cs="Arial"/>
          <w:color w:val="000000"/>
          <w:sz w:val="22"/>
          <w:szCs w:val="22"/>
        </w:rPr>
        <w:t>Lack of interest in reform by policy makers</w:t>
      </w:r>
      <w:r w:rsidR="00322AF9">
        <w:rPr>
          <w:rFonts w:ascii="Arial" w:hAnsi="Arial" w:cs="Arial"/>
          <w:color w:val="000000"/>
          <w:sz w:val="22"/>
          <w:szCs w:val="22"/>
        </w:rPr>
        <w:t xml:space="preserve">, who also do not listen </w:t>
      </w:r>
      <w:r w:rsidR="00322AF9" w:rsidRPr="00322AF9">
        <w:rPr>
          <w:rFonts w:ascii="Arial" w:hAnsi="Arial" w:cs="Arial"/>
          <w:color w:val="000000"/>
          <w:sz w:val="22"/>
          <w:szCs w:val="22"/>
        </w:rPr>
        <w:t xml:space="preserve">to users/survivors because </w:t>
      </w:r>
      <w:r w:rsidR="00322AF9">
        <w:rPr>
          <w:rFonts w:ascii="Arial" w:hAnsi="Arial" w:cs="Arial"/>
          <w:color w:val="000000"/>
          <w:sz w:val="22"/>
          <w:szCs w:val="22"/>
        </w:rPr>
        <w:t xml:space="preserve">they don’t have </w:t>
      </w:r>
      <w:r w:rsidR="00322AF9" w:rsidRPr="00322AF9">
        <w:rPr>
          <w:rFonts w:ascii="Arial" w:hAnsi="Arial" w:cs="Arial"/>
          <w:color w:val="000000"/>
          <w:sz w:val="22"/>
          <w:szCs w:val="22"/>
        </w:rPr>
        <w:t>an ‘official’ voice</w:t>
      </w:r>
    </w:p>
    <w:p w:rsidR="00322AF9" w:rsidRPr="00322AF9" w:rsidRDefault="00322AF9" w:rsidP="00322AF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</w:t>
      </w:r>
      <w:r w:rsidRPr="00322AF9">
        <w:rPr>
          <w:rFonts w:ascii="Arial" w:hAnsi="Arial" w:cs="Arial"/>
          <w:color w:val="000000"/>
          <w:sz w:val="22"/>
          <w:szCs w:val="22"/>
        </w:rPr>
        <w:t>ack of understanding of difference between DPO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322AF9">
        <w:rPr>
          <w:rFonts w:ascii="Arial" w:hAnsi="Arial" w:cs="Arial"/>
          <w:color w:val="000000"/>
          <w:sz w:val="22"/>
          <w:szCs w:val="22"/>
        </w:rPr>
        <w:t xml:space="preserve"> and disability organizations, where the latter may be invested in systems of coercion and confinement or have conflicts of interest; </w:t>
      </w:r>
    </w:p>
    <w:p w:rsidR="00322AF9" w:rsidRPr="00322AF9" w:rsidRDefault="00322AF9" w:rsidP="00322AF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</w:t>
      </w:r>
      <w:r w:rsidRPr="00322AF9">
        <w:rPr>
          <w:rFonts w:ascii="Arial" w:hAnsi="Arial" w:cs="Arial"/>
          <w:color w:val="000000"/>
          <w:sz w:val="22"/>
          <w:szCs w:val="22"/>
        </w:rPr>
        <w:t xml:space="preserve">ack of understanding of CRPD by </w:t>
      </w:r>
      <w:r>
        <w:rPr>
          <w:rFonts w:ascii="Arial" w:hAnsi="Arial" w:cs="Arial"/>
          <w:color w:val="000000"/>
          <w:sz w:val="22"/>
          <w:szCs w:val="22"/>
        </w:rPr>
        <w:t xml:space="preserve">States, </w:t>
      </w:r>
      <w:r w:rsidRPr="00322AF9">
        <w:rPr>
          <w:rFonts w:ascii="Arial" w:hAnsi="Arial" w:cs="Arial"/>
          <w:color w:val="000000"/>
          <w:sz w:val="22"/>
          <w:szCs w:val="22"/>
        </w:rPr>
        <w:t xml:space="preserve">domestic organizations, and lack of awareness of domestic legislation by some self-advocates. </w:t>
      </w:r>
    </w:p>
    <w:p w:rsidR="00563F1C" w:rsidRPr="00563F1C" w:rsidRDefault="00563F1C" w:rsidP="00563F1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color w:val="000000"/>
        </w:rPr>
      </w:pPr>
    </w:p>
    <w:p w:rsidR="004175D0" w:rsidRDefault="004175D0" w:rsidP="004175D0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4175D0">
        <w:rPr>
          <w:rFonts w:ascii="Arial" w:hAnsi="Arial" w:cs="Arial"/>
          <w:b/>
          <w:color w:val="000000"/>
        </w:rPr>
        <w:t>The way forward: what is required to end disability-specific deprivation of liberty?</w:t>
      </w:r>
    </w:p>
    <w:p w:rsidR="00563F1C" w:rsidRPr="004175D0" w:rsidRDefault="00563F1C" w:rsidP="00563F1C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2A2B53" w:rsidRDefault="003F4A5F" w:rsidP="00CF3C0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</w:rPr>
      </w:pPr>
      <w:r w:rsidRPr="00CF3C04">
        <w:rPr>
          <w:rFonts w:ascii="Arial" w:hAnsi="Arial" w:cs="Arial"/>
          <w:color w:val="000000"/>
        </w:rPr>
        <w:t>In the second part of the meeting, experts exchanged views on the way forward, and acknowledged the need to find new alternatives to existing practices which</w:t>
      </w:r>
      <w:r w:rsidR="00945ADE">
        <w:rPr>
          <w:rFonts w:ascii="Arial" w:hAnsi="Arial" w:cs="Arial"/>
          <w:color w:val="000000"/>
        </w:rPr>
        <w:t xml:space="preserve"> are</w:t>
      </w:r>
      <w:r w:rsidR="008306D5">
        <w:rPr>
          <w:rFonts w:ascii="Arial" w:hAnsi="Arial" w:cs="Arial"/>
          <w:color w:val="000000"/>
        </w:rPr>
        <w:t>: i)</w:t>
      </w:r>
      <w:r w:rsidRPr="00CF3C04">
        <w:rPr>
          <w:rFonts w:ascii="Arial" w:hAnsi="Arial" w:cs="Arial"/>
          <w:color w:val="000000"/>
        </w:rPr>
        <w:t xml:space="preserve"> respect</w:t>
      </w:r>
      <w:r w:rsidR="00945ADE">
        <w:rPr>
          <w:rFonts w:ascii="Arial" w:hAnsi="Arial" w:cs="Arial"/>
          <w:color w:val="000000"/>
        </w:rPr>
        <w:t>ive of</w:t>
      </w:r>
      <w:r w:rsidRPr="00CF3C04">
        <w:rPr>
          <w:rFonts w:ascii="Arial" w:hAnsi="Arial" w:cs="Arial"/>
          <w:color w:val="000000"/>
        </w:rPr>
        <w:t xml:space="preserve"> the human dignity of persons with disabilities, </w:t>
      </w:r>
      <w:r w:rsidR="008306D5">
        <w:rPr>
          <w:rFonts w:ascii="Arial" w:hAnsi="Arial" w:cs="Arial"/>
          <w:color w:val="000000"/>
        </w:rPr>
        <w:t xml:space="preserve">ii) </w:t>
      </w:r>
      <w:r w:rsidRPr="00CF3C04">
        <w:rPr>
          <w:rFonts w:ascii="Arial" w:hAnsi="Arial" w:cs="Arial"/>
          <w:color w:val="000000"/>
        </w:rPr>
        <w:t xml:space="preserve">tailored to local contexts and realities, </w:t>
      </w:r>
      <w:r w:rsidR="008306D5">
        <w:rPr>
          <w:rFonts w:ascii="Arial" w:hAnsi="Arial" w:cs="Arial"/>
          <w:color w:val="000000"/>
        </w:rPr>
        <w:t xml:space="preserve">iii) </w:t>
      </w:r>
      <w:r w:rsidRPr="00CF3C04">
        <w:rPr>
          <w:rFonts w:ascii="Arial" w:hAnsi="Arial" w:cs="Arial"/>
          <w:color w:val="000000"/>
        </w:rPr>
        <w:t>sufficient</w:t>
      </w:r>
      <w:r w:rsidR="00945ADE">
        <w:rPr>
          <w:rFonts w:ascii="Arial" w:hAnsi="Arial" w:cs="Arial"/>
          <w:color w:val="000000"/>
        </w:rPr>
        <w:t>ly</w:t>
      </w:r>
      <w:r w:rsidRPr="00CF3C04">
        <w:rPr>
          <w:rFonts w:ascii="Arial" w:hAnsi="Arial" w:cs="Arial"/>
          <w:color w:val="000000"/>
        </w:rPr>
        <w:t xml:space="preserve"> resource</w:t>
      </w:r>
      <w:r w:rsidR="00945ADE">
        <w:rPr>
          <w:rFonts w:ascii="Arial" w:hAnsi="Arial" w:cs="Arial"/>
          <w:color w:val="000000"/>
        </w:rPr>
        <w:t>d</w:t>
      </w:r>
      <w:r w:rsidRPr="00CF3C04">
        <w:rPr>
          <w:rFonts w:ascii="Arial" w:hAnsi="Arial" w:cs="Arial"/>
          <w:color w:val="000000"/>
        </w:rPr>
        <w:t xml:space="preserve"> and </w:t>
      </w:r>
      <w:r w:rsidR="008306D5">
        <w:rPr>
          <w:rFonts w:ascii="Arial" w:hAnsi="Arial" w:cs="Arial"/>
          <w:color w:val="000000"/>
        </w:rPr>
        <w:t xml:space="preserve">iv) </w:t>
      </w:r>
      <w:r w:rsidR="00945ADE">
        <w:rPr>
          <w:rFonts w:ascii="Arial" w:hAnsi="Arial" w:cs="Arial"/>
          <w:color w:val="000000"/>
        </w:rPr>
        <w:t>provide</w:t>
      </w:r>
      <w:r w:rsidRPr="00CF3C04">
        <w:rPr>
          <w:rFonts w:ascii="Arial" w:hAnsi="Arial" w:cs="Arial"/>
          <w:color w:val="000000"/>
        </w:rPr>
        <w:t xml:space="preserve"> guarante</w:t>
      </w:r>
      <w:r w:rsidR="00945ADE">
        <w:rPr>
          <w:rFonts w:ascii="Arial" w:hAnsi="Arial" w:cs="Arial"/>
          <w:color w:val="000000"/>
        </w:rPr>
        <w:t xml:space="preserve">es of non-repetition to victims. </w:t>
      </w:r>
    </w:p>
    <w:p w:rsidR="00945ADE" w:rsidRDefault="00945ADE" w:rsidP="00CF3C0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However, no agreement could be reached on the way forward, or on recommendation for strategies, since they acknowledged that the practitioners </w:t>
      </w:r>
      <w:r w:rsidR="002A2B53">
        <w:rPr>
          <w:rFonts w:ascii="Arial" w:hAnsi="Arial" w:cs="Arial"/>
          <w:color w:val="000000"/>
        </w:rPr>
        <w:t xml:space="preserve">who have documented such good practices </w:t>
      </w:r>
      <w:r>
        <w:rPr>
          <w:rFonts w:ascii="Arial" w:hAnsi="Arial" w:cs="Arial"/>
          <w:color w:val="000000"/>
        </w:rPr>
        <w:t xml:space="preserve">were not </w:t>
      </w:r>
      <w:r w:rsidR="002A2B53">
        <w:rPr>
          <w:rFonts w:ascii="Arial" w:hAnsi="Arial" w:cs="Arial"/>
          <w:color w:val="000000"/>
        </w:rPr>
        <w:t>present</w:t>
      </w:r>
      <w:r>
        <w:rPr>
          <w:rFonts w:ascii="Arial" w:hAnsi="Arial" w:cs="Arial"/>
          <w:color w:val="000000"/>
        </w:rPr>
        <w:t xml:space="preserve">. </w:t>
      </w:r>
      <w:r w:rsidR="003F4A5F" w:rsidRPr="00CF3C04">
        <w:rPr>
          <w:rFonts w:ascii="Arial" w:hAnsi="Arial" w:cs="Arial"/>
          <w:color w:val="000000"/>
        </w:rPr>
        <w:t xml:space="preserve"> </w:t>
      </w:r>
    </w:p>
    <w:p w:rsidR="008306D5" w:rsidRPr="008306D5" w:rsidRDefault="002A2B53" w:rsidP="008306D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945ADE">
        <w:rPr>
          <w:rFonts w:ascii="Arial" w:hAnsi="Arial" w:cs="Arial"/>
          <w:color w:val="000000"/>
        </w:rPr>
        <w:t xml:space="preserve">he following are </w:t>
      </w:r>
      <w:r>
        <w:rPr>
          <w:rFonts w:ascii="Arial" w:hAnsi="Arial" w:cs="Arial"/>
          <w:color w:val="000000"/>
        </w:rPr>
        <w:t xml:space="preserve">a mere list of </w:t>
      </w:r>
      <w:r w:rsidR="00945ADE">
        <w:rPr>
          <w:rFonts w:ascii="Arial" w:hAnsi="Arial" w:cs="Arial"/>
          <w:color w:val="000000"/>
        </w:rPr>
        <w:t>c</w:t>
      </w:r>
      <w:r w:rsidR="003F4A5F" w:rsidRPr="008306D5">
        <w:rPr>
          <w:rFonts w:ascii="Arial" w:hAnsi="Arial" w:cs="Arial"/>
          <w:color w:val="000000"/>
        </w:rPr>
        <w:t>oncrete suggested actions</w:t>
      </w:r>
      <w:r>
        <w:rPr>
          <w:rFonts w:ascii="Arial" w:hAnsi="Arial" w:cs="Arial"/>
          <w:color w:val="000000"/>
        </w:rPr>
        <w:t xml:space="preserve"> for improvement, but which was not endorsed as such by the group of experts</w:t>
      </w:r>
      <w:r w:rsidR="008306D5" w:rsidRPr="008306D5">
        <w:rPr>
          <w:rFonts w:ascii="Arial" w:hAnsi="Arial" w:cs="Arial"/>
          <w:color w:val="000000"/>
        </w:rPr>
        <w:t xml:space="preserve">: </w:t>
      </w:r>
    </w:p>
    <w:p w:rsidR="008306D5" w:rsidRDefault="008306D5" w:rsidP="008306D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Policy and legal review</w:t>
      </w:r>
      <w:r w:rsidR="002A2B5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F4A5F" w:rsidRPr="008306D5">
        <w:rPr>
          <w:rFonts w:ascii="Arial" w:hAnsi="Arial" w:cs="Arial"/>
          <w:color w:val="000000"/>
          <w:sz w:val="22"/>
          <w:szCs w:val="22"/>
        </w:rPr>
        <w:t>to repeal legislation which allows deprivation of liberty on the basis of disability</w:t>
      </w:r>
      <w:r w:rsidR="002A2B53">
        <w:rPr>
          <w:rFonts w:ascii="Arial" w:hAnsi="Arial" w:cs="Arial"/>
          <w:color w:val="000000"/>
          <w:sz w:val="22"/>
          <w:szCs w:val="22"/>
        </w:rPr>
        <w:t xml:space="preserve"> (e.g., </w:t>
      </w:r>
      <w:r w:rsidR="003F4A5F" w:rsidRPr="008306D5">
        <w:rPr>
          <w:rFonts w:ascii="Arial" w:hAnsi="Arial" w:cs="Arial"/>
          <w:color w:val="000000"/>
          <w:sz w:val="22"/>
          <w:szCs w:val="22"/>
        </w:rPr>
        <w:t>mental health acts</w:t>
      </w:r>
      <w:r w:rsidR="002A2B53">
        <w:rPr>
          <w:rFonts w:ascii="Arial" w:hAnsi="Arial" w:cs="Arial"/>
          <w:color w:val="000000"/>
          <w:sz w:val="22"/>
          <w:szCs w:val="22"/>
        </w:rPr>
        <w:t>)</w:t>
      </w:r>
    </w:p>
    <w:p w:rsidR="008306D5" w:rsidRDefault="002A2B53" w:rsidP="008306D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Prompt </w:t>
      </w:r>
      <w:r w:rsidR="008306D5">
        <w:rPr>
          <w:rFonts w:ascii="Arial" w:hAnsi="Arial" w:cs="Arial"/>
          <w:color w:val="000000"/>
          <w:sz w:val="22"/>
          <w:szCs w:val="22"/>
        </w:rPr>
        <w:t xml:space="preserve">judges take a </w:t>
      </w:r>
      <w:r>
        <w:rPr>
          <w:rFonts w:ascii="Arial" w:hAnsi="Arial" w:cs="Arial"/>
          <w:color w:val="000000"/>
          <w:sz w:val="22"/>
          <w:szCs w:val="22"/>
        </w:rPr>
        <w:t xml:space="preserve">prominent </w:t>
      </w:r>
      <w:r w:rsidR="008306D5">
        <w:rPr>
          <w:rFonts w:ascii="Arial" w:hAnsi="Arial" w:cs="Arial"/>
          <w:color w:val="000000"/>
          <w:sz w:val="22"/>
          <w:szCs w:val="22"/>
        </w:rPr>
        <w:t>role in enforcing Art. 14 of the CRPD</w:t>
      </w:r>
    </w:p>
    <w:p w:rsidR="003F4A5F" w:rsidRDefault="002A2B53" w:rsidP="008306D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Identify</w:t>
      </w:r>
      <w:r w:rsidR="008306D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and document </w:t>
      </w:r>
      <w:r w:rsidR="008306D5">
        <w:rPr>
          <w:rFonts w:ascii="Arial" w:hAnsi="Arial" w:cs="Arial"/>
          <w:color w:val="000000"/>
          <w:sz w:val="22"/>
          <w:szCs w:val="22"/>
        </w:rPr>
        <w:t xml:space="preserve">good practices, such as </w:t>
      </w:r>
      <w:r w:rsidR="003F4A5F" w:rsidRPr="008306D5">
        <w:rPr>
          <w:rFonts w:ascii="Arial" w:hAnsi="Arial" w:cs="Arial"/>
          <w:color w:val="000000"/>
          <w:sz w:val="22"/>
          <w:szCs w:val="22"/>
        </w:rPr>
        <w:t xml:space="preserve">peer support alternatives to psychiatry, </w:t>
      </w:r>
      <w:r w:rsidR="008306D5" w:rsidRPr="008306D5">
        <w:rPr>
          <w:rFonts w:ascii="Arial" w:hAnsi="Arial" w:cs="Arial"/>
          <w:color w:val="000000"/>
          <w:sz w:val="22"/>
          <w:szCs w:val="22"/>
        </w:rPr>
        <w:t>de-institutionalization, and</w:t>
      </w:r>
      <w:r w:rsidR="008306D5">
        <w:rPr>
          <w:rFonts w:ascii="Arial" w:hAnsi="Arial" w:cs="Arial"/>
          <w:color w:val="000000"/>
          <w:sz w:val="22"/>
          <w:szCs w:val="22"/>
        </w:rPr>
        <w:t xml:space="preserve"> community based services</w:t>
      </w:r>
    </w:p>
    <w:p w:rsidR="008306D5" w:rsidRDefault="002A2B53" w:rsidP="002A2B5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Focus on </w:t>
      </w:r>
      <w:r w:rsidR="008306D5">
        <w:rPr>
          <w:rFonts w:ascii="Arial" w:hAnsi="Arial" w:cs="Arial"/>
          <w:color w:val="000000"/>
          <w:sz w:val="22"/>
          <w:szCs w:val="22"/>
        </w:rPr>
        <w:t>prevention</w:t>
      </w:r>
      <w:r>
        <w:rPr>
          <w:rFonts w:ascii="Arial" w:hAnsi="Arial" w:cs="Arial"/>
          <w:color w:val="000000"/>
          <w:sz w:val="22"/>
          <w:szCs w:val="22"/>
        </w:rPr>
        <w:t>, by</w:t>
      </w:r>
      <w:r w:rsidR="008306D5">
        <w:rPr>
          <w:rFonts w:ascii="Arial" w:hAnsi="Arial" w:cs="Arial"/>
          <w:color w:val="000000"/>
          <w:sz w:val="22"/>
          <w:szCs w:val="22"/>
        </w:rPr>
        <w:t xml:space="preserve"> adopting preventive standards</w:t>
      </w:r>
      <w:r>
        <w:rPr>
          <w:rFonts w:ascii="Arial" w:hAnsi="Arial" w:cs="Arial"/>
          <w:color w:val="000000"/>
          <w:sz w:val="22"/>
          <w:szCs w:val="22"/>
        </w:rPr>
        <w:t xml:space="preserve"> and setting up services </w:t>
      </w:r>
      <w:r w:rsidRPr="002A2B53">
        <w:rPr>
          <w:rFonts w:ascii="Arial" w:hAnsi="Arial" w:cs="Arial"/>
          <w:color w:val="000000"/>
          <w:sz w:val="22"/>
          <w:szCs w:val="22"/>
        </w:rPr>
        <w:t xml:space="preserve">required to prevent people </w:t>
      </w:r>
      <w:r>
        <w:rPr>
          <w:rFonts w:ascii="Arial" w:hAnsi="Arial" w:cs="Arial"/>
          <w:color w:val="000000"/>
          <w:sz w:val="22"/>
          <w:szCs w:val="22"/>
        </w:rPr>
        <w:t xml:space="preserve">from </w:t>
      </w:r>
      <w:r w:rsidRPr="002A2B53">
        <w:rPr>
          <w:rFonts w:ascii="Arial" w:hAnsi="Arial" w:cs="Arial"/>
          <w:color w:val="000000"/>
          <w:sz w:val="22"/>
          <w:szCs w:val="22"/>
        </w:rPr>
        <w:t>ending up in crisis</w:t>
      </w:r>
    </w:p>
    <w:p w:rsidR="008306D5" w:rsidRDefault="008306D5" w:rsidP="008306D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Draw on commonalities with wider “struggles”, discourses</w:t>
      </w:r>
      <w:r w:rsidR="0010659B">
        <w:rPr>
          <w:rFonts w:ascii="Arial" w:hAnsi="Arial" w:cs="Arial"/>
          <w:color w:val="000000"/>
          <w:sz w:val="22"/>
          <w:szCs w:val="22"/>
        </w:rPr>
        <w:t xml:space="preserve"> and tactics used by other groups subjected to stigma and discrimination (e.g., LGBTI)</w:t>
      </w:r>
    </w:p>
    <w:p w:rsidR="0010659B" w:rsidRDefault="0010659B" w:rsidP="008306D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Ensure that rights-holders with disabilities are informed of their rights </w:t>
      </w:r>
      <w:r w:rsidR="002A2B53">
        <w:rPr>
          <w:rFonts w:ascii="Arial" w:hAnsi="Arial" w:cs="Arial"/>
          <w:color w:val="000000"/>
          <w:sz w:val="22"/>
          <w:szCs w:val="22"/>
        </w:rPr>
        <w:t>as well as of</w:t>
      </w:r>
      <w:r>
        <w:rPr>
          <w:rFonts w:ascii="Arial" w:hAnsi="Arial" w:cs="Arial"/>
          <w:color w:val="000000"/>
          <w:sz w:val="22"/>
          <w:szCs w:val="22"/>
        </w:rPr>
        <w:t xml:space="preserve"> existing avenues for redress</w:t>
      </w:r>
      <w:r w:rsidR="002A2B53">
        <w:rPr>
          <w:rFonts w:ascii="Arial" w:hAnsi="Arial" w:cs="Arial"/>
          <w:color w:val="000000"/>
          <w:sz w:val="22"/>
          <w:szCs w:val="22"/>
        </w:rPr>
        <w:t xml:space="preserve"> and reparation</w:t>
      </w:r>
    </w:p>
    <w:p w:rsidR="006E0154" w:rsidRPr="002A2B53" w:rsidRDefault="002A2B53" w:rsidP="00CF3C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</w:rPr>
      </w:pPr>
      <w:r w:rsidRPr="002A2B53">
        <w:rPr>
          <w:rFonts w:ascii="Arial" w:hAnsi="Arial" w:cs="Arial"/>
          <w:color w:val="000000"/>
          <w:sz w:val="22"/>
          <w:szCs w:val="22"/>
        </w:rPr>
        <w:t>E</w:t>
      </w:r>
      <w:r w:rsidR="00945ADE" w:rsidRPr="002A2B53">
        <w:rPr>
          <w:rFonts w:ascii="Arial" w:hAnsi="Arial" w:cs="Arial"/>
          <w:color w:val="000000"/>
          <w:sz w:val="22"/>
          <w:szCs w:val="22"/>
        </w:rPr>
        <w:t xml:space="preserve">ngage service users in dialogue.  </w:t>
      </w:r>
    </w:p>
    <w:p w:rsidR="002A2B53" w:rsidRPr="002A2B53" w:rsidRDefault="002A2B53" w:rsidP="002A2B5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</w:rPr>
      </w:pPr>
    </w:p>
    <w:p w:rsidR="005A20D5" w:rsidRPr="006E0154" w:rsidRDefault="005A20D5" w:rsidP="004175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3366FF"/>
        </w:rPr>
        <w:t>Next steps</w:t>
      </w:r>
    </w:p>
    <w:p w:rsidR="006E0154" w:rsidRPr="006E0154" w:rsidRDefault="006E0154" w:rsidP="006E0154">
      <w:pPr>
        <w:pStyle w:val="ListParagraph"/>
        <w:jc w:val="both"/>
        <w:rPr>
          <w:rFonts w:ascii="Arial" w:hAnsi="Arial" w:cs="Arial"/>
          <w:b/>
        </w:rPr>
      </w:pPr>
    </w:p>
    <w:p w:rsidR="00807C4B" w:rsidRDefault="00807C4B" w:rsidP="00807C4B">
      <w:pPr>
        <w:jc w:val="both"/>
        <w:rPr>
          <w:rFonts w:ascii="Arial" w:hAnsi="Arial" w:cs="Arial"/>
          <w:color w:val="000000"/>
        </w:rPr>
      </w:pPr>
      <w:r w:rsidRPr="00CF3C04">
        <w:rPr>
          <w:rFonts w:ascii="Arial" w:hAnsi="Arial" w:cs="Arial"/>
          <w:color w:val="000000"/>
        </w:rPr>
        <w:t xml:space="preserve">Given the sensitivity </w:t>
      </w:r>
      <w:r>
        <w:rPr>
          <w:rFonts w:ascii="Arial" w:hAnsi="Arial" w:cs="Arial"/>
          <w:color w:val="000000"/>
        </w:rPr>
        <w:t xml:space="preserve">and complexity </w:t>
      </w:r>
      <w:r w:rsidRPr="00CF3C04">
        <w:rPr>
          <w:rFonts w:ascii="Arial" w:hAnsi="Arial" w:cs="Arial"/>
          <w:color w:val="000000"/>
        </w:rPr>
        <w:t xml:space="preserve">of the topic, this meeting </w:t>
      </w:r>
      <w:r>
        <w:rPr>
          <w:rFonts w:ascii="Arial" w:hAnsi="Arial" w:cs="Arial"/>
          <w:color w:val="000000"/>
        </w:rPr>
        <w:t>constituted</w:t>
      </w:r>
      <w:r w:rsidRPr="00CF3C04">
        <w:rPr>
          <w:rFonts w:ascii="Arial" w:hAnsi="Arial" w:cs="Arial"/>
          <w:color w:val="000000"/>
        </w:rPr>
        <w:t xml:space="preserve"> a first initiative to convene and build bridges between </w:t>
      </w:r>
      <w:r w:rsidR="004A067A">
        <w:rPr>
          <w:rFonts w:ascii="Arial" w:hAnsi="Arial" w:cs="Arial"/>
          <w:color w:val="000000"/>
        </w:rPr>
        <w:t xml:space="preserve">different </w:t>
      </w:r>
      <w:r w:rsidRPr="00CF3C04">
        <w:rPr>
          <w:rFonts w:ascii="Arial" w:hAnsi="Arial" w:cs="Arial"/>
          <w:color w:val="000000"/>
        </w:rPr>
        <w:t xml:space="preserve">key actors involved in the implementation of these standards. </w:t>
      </w:r>
    </w:p>
    <w:p w:rsidR="00807C4B" w:rsidRDefault="003F4A5F" w:rsidP="00CF3C04">
      <w:pPr>
        <w:jc w:val="both"/>
        <w:rPr>
          <w:rFonts w:ascii="Arial" w:hAnsi="Arial" w:cs="Arial"/>
          <w:color w:val="000000"/>
        </w:rPr>
      </w:pPr>
      <w:r w:rsidRPr="00CF3C04">
        <w:rPr>
          <w:rFonts w:ascii="Arial" w:hAnsi="Arial" w:cs="Arial"/>
          <w:color w:val="000000"/>
        </w:rPr>
        <w:t>The main findings of th</w:t>
      </w:r>
      <w:r w:rsidR="004A067A">
        <w:rPr>
          <w:rFonts w:ascii="Arial" w:hAnsi="Arial" w:cs="Arial"/>
          <w:color w:val="000000"/>
        </w:rPr>
        <w:t>is preliminary</w:t>
      </w:r>
      <w:r w:rsidRPr="00CF3C04">
        <w:rPr>
          <w:rFonts w:ascii="Arial" w:hAnsi="Arial" w:cs="Arial"/>
          <w:color w:val="000000"/>
        </w:rPr>
        <w:t xml:space="preserve"> Expert Meeting will be used </w:t>
      </w:r>
      <w:r w:rsidR="00807C4B">
        <w:rPr>
          <w:rFonts w:ascii="Arial" w:hAnsi="Arial" w:cs="Arial"/>
          <w:color w:val="000000"/>
        </w:rPr>
        <w:t xml:space="preserve">by the two Special Rapporteurs in the framework of their respective work, including </w:t>
      </w:r>
      <w:r w:rsidRPr="00CF3C04">
        <w:rPr>
          <w:rFonts w:ascii="Arial" w:hAnsi="Arial" w:cs="Arial"/>
          <w:color w:val="000000"/>
        </w:rPr>
        <w:t>in the formulation of specific recommendations to Member States, UN human rights mechanisms and entities, healthcare professionals, organizations of persons with disabilit</w:t>
      </w:r>
      <w:r w:rsidR="00807C4B">
        <w:rPr>
          <w:rFonts w:ascii="Arial" w:hAnsi="Arial" w:cs="Arial"/>
          <w:color w:val="000000"/>
        </w:rPr>
        <w:t>ies (DPOs), academia, and other stakeholders</w:t>
      </w:r>
      <w:r w:rsidRPr="00CF3C04">
        <w:rPr>
          <w:rFonts w:ascii="Arial" w:hAnsi="Arial" w:cs="Arial"/>
          <w:color w:val="000000"/>
        </w:rPr>
        <w:t xml:space="preserve">. </w:t>
      </w:r>
    </w:p>
    <w:p w:rsidR="00CC7A4E" w:rsidRPr="00F244F3" w:rsidRDefault="00807C4B" w:rsidP="00F244F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Special Rapporteurs </w:t>
      </w:r>
      <w:r w:rsidR="004A067A" w:rsidRPr="004A067A">
        <w:rPr>
          <w:rFonts w:ascii="Arial" w:hAnsi="Arial" w:cs="Arial"/>
          <w:color w:val="000000"/>
        </w:rPr>
        <w:t xml:space="preserve">on the rights of persons with disabilities </w:t>
      </w:r>
      <w:r w:rsidR="004A067A">
        <w:rPr>
          <w:rFonts w:ascii="Arial" w:hAnsi="Arial" w:cs="Arial"/>
          <w:color w:val="000000"/>
        </w:rPr>
        <w:t xml:space="preserve">and on the right to health may </w:t>
      </w:r>
      <w:r>
        <w:rPr>
          <w:rFonts w:ascii="Arial" w:hAnsi="Arial" w:cs="Arial"/>
          <w:color w:val="000000"/>
        </w:rPr>
        <w:t>envisage organizing a</w:t>
      </w:r>
      <w:r w:rsidR="003F4A5F" w:rsidRPr="00CF3C04">
        <w:rPr>
          <w:rFonts w:ascii="Arial" w:hAnsi="Arial" w:cs="Arial"/>
          <w:color w:val="000000"/>
        </w:rPr>
        <w:t xml:space="preserve">nother expert meeting </w:t>
      </w:r>
      <w:r w:rsidR="004A067A">
        <w:rPr>
          <w:rFonts w:ascii="Arial" w:hAnsi="Arial" w:cs="Arial"/>
          <w:color w:val="000000"/>
        </w:rPr>
        <w:t xml:space="preserve">in the future </w:t>
      </w:r>
      <w:r w:rsidR="003F4A5F" w:rsidRPr="00CF3C04">
        <w:rPr>
          <w:rFonts w:ascii="Arial" w:hAnsi="Arial" w:cs="Arial"/>
          <w:color w:val="000000"/>
        </w:rPr>
        <w:t>with practitioners to discuss and identify good practices and concrete solutions to implem</w:t>
      </w:r>
      <w:r>
        <w:rPr>
          <w:rFonts w:ascii="Arial" w:hAnsi="Arial" w:cs="Arial"/>
          <w:color w:val="000000"/>
        </w:rPr>
        <w:t>ent alternatives to disability-</w:t>
      </w:r>
      <w:r w:rsidR="003F4A5F" w:rsidRPr="00CF3C04">
        <w:rPr>
          <w:rFonts w:ascii="Arial" w:hAnsi="Arial" w:cs="Arial"/>
          <w:color w:val="000000"/>
        </w:rPr>
        <w:t>specific forms of deprivation of liberty that respect an individual’s human dignity, will and preferences.</w:t>
      </w:r>
      <w:bookmarkStart w:id="0" w:name="_GoBack"/>
      <w:bookmarkEnd w:id="0"/>
    </w:p>
    <w:sectPr w:rsidR="00CC7A4E" w:rsidRPr="00F244F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53" w:rsidRDefault="00621553" w:rsidP="00621553">
      <w:pPr>
        <w:spacing w:after="0" w:line="240" w:lineRule="auto"/>
      </w:pPr>
      <w:r>
        <w:separator/>
      </w:r>
    </w:p>
  </w:endnote>
  <w:endnote w:type="continuationSeparator" w:id="0">
    <w:p w:rsidR="00621553" w:rsidRDefault="00621553" w:rsidP="0062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652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1553" w:rsidRDefault="006215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4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21553" w:rsidRDefault="00621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53" w:rsidRDefault="00621553" w:rsidP="00621553">
      <w:pPr>
        <w:spacing w:after="0" w:line="240" w:lineRule="auto"/>
      </w:pPr>
      <w:r>
        <w:separator/>
      </w:r>
    </w:p>
  </w:footnote>
  <w:footnote w:type="continuationSeparator" w:id="0">
    <w:p w:rsidR="00621553" w:rsidRDefault="00621553" w:rsidP="00621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F28CA"/>
    <w:multiLevelType w:val="hybridMultilevel"/>
    <w:tmpl w:val="C35A05BA"/>
    <w:lvl w:ilvl="0" w:tplc="C1EAE3C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751C5"/>
    <w:multiLevelType w:val="multilevel"/>
    <w:tmpl w:val="CC7EB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366FF"/>
        <w:lang w:val="en-GB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8697134"/>
    <w:multiLevelType w:val="hybridMultilevel"/>
    <w:tmpl w:val="918C3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A3DAE"/>
    <w:multiLevelType w:val="hybridMultilevel"/>
    <w:tmpl w:val="0EAC3BB4"/>
    <w:lvl w:ilvl="0" w:tplc="C1EAE3C0">
      <w:start w:val="2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F00589A"/>
    <w:multiLevelType w:val="hybridMultilevel"/>
    <w:tmpl w:val="3EEEB560"/>
    <w:lvl w:ilvl="0" w:tplc="A6BC0098">
      <w:start w:val="1"/>
      <w:numFmt w:val="decimal"/>
      <w:lvlText w:val="%1."/>
      <w:lvlJc w:val="left"/>
      <w:pPr>
        <w:ind w:left="720" w:hanging="360"/>
      </w:pPr>
      <w:rPr>
        <w:rFonts w:hint="default"/>
        <w:color w:val="3366FF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203F8"/>
    <w:multiLevelType w:val="hybridMultilevel"/>
    <w:tmpl w:val="FF1A3CD4"/>
    <w:lvl w:ilvl="0" w:tplc="A6BC0098">
      <w:start w:val="1"/>
      <w:numFmt w:val="decimal"/>
      <w:lvlText w:val="%1."/>
      <w:lvlJc w:val="left"/>
      <w:pPr>
        <w:ind w:left="720" w:hanging="360"/>
      </w:pPr>
      <w:rPr>
        <w:rFonts w:hint="default"/>
        <w:color w:val="3366FF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A697B"/>
    <w:multiLevelType w:val="multilevel"/>
    <w:tmpl w:val="CC7EB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366FF"/>
        <w:lang w:val="en-GB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F1"/>
    <w:rsid w:val="000C058F"/>
    <w:rsid w:val="0010659B"/>
    <w:rsid w:val="001130AC"/>
    <w:rsid w:val="001D73FE"/>
    <w:rsid w:val="0022092B"/>
    <w:rsid w:val="002A2B53"/>
    <w:rsid w:val="00322AF9"/>
    <w:rsid w:val="00341E9E"/>
    <w:rsid w:val="003C76DB"/>
    <w:rsid w:val="003F4A5F"/>
    <w:rsid w:val="00405C48"/>
    <w:rsid w:val="004175D0"/>
    <w:rsid w:val="00496E85"/>
    <w:rsid w:val="004A067A"/>
    <w:rsid w:val="004B552F"/>
    <w:rsid w:val="004D1FA6"/>
    <w:rsid w:val="0051766F"/>
    <w:rsid w:val="00563F1C"/>
    <w:rsid w:val="005768E8"/>
    <w:rsid w:val="005A20D5"/>
    <w:rsid w:val="00621553"/>
    <w:rsid w:val="006C050D"/>
    <w:rsid w:val="006C2E89"/>
    <w:rsid w:val="006C3930"/>
    <w:rsid w:val="006E0154"/>
    <w:rsid w:val="007016F1"/>
    <w:rsid w:val="00703AC7"/>
    <w:rsid w:val="007072B5"/>
    <w:rsid w:val="007367D9"/>
    <w:rsid w:val="007531E4"/>
    <w:rsid w:val="007B5D81"/>
    <w:rsid w:val="00807C4B"/>
    <w:rsid w:val="008306D5"/>
    <w:rsid w:val="00837970"/>
    <w:rsid w:val="008A0F9A"/>
    <w:rsid w:val="008D1930"/>
    <w:rsid w:val="00945ADE"/>
    <w:rsid w:val="00984EF1"/>
    <w:rsid w:val="00CC67E8"/>
    <w:rsid w:val="00CC7A4E"/>
    <w:rsid w:val="00CF3C04"/>
    <w:rsid w:val="00DF339C"/>
    <w:rsid w:val="00E032A0"/>
    <w:rsid w:val="00E05381"/>
    <w:rsid w:val="00E27296"/>
    <w:rsid w:val="00E272E3"/>
    <w:rsid w:val="00EE3393"/>
    <w:rsid w:val="00EF1CE1"/>
    <w:rsid w:val="00F244F3"/>
    <w:rsid w:val="00F43C53"/>
    <w:rsid w:val="00F5469E"/>
    <w:rsid w:val="00F858F6"/>
    <w:rsid w:val="00FB09B5"/>
    <w:rsid w:val="00F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3909"/>
  <w15:docId w15:val="{27733636-FF62-48FA-85F3-9C1845DC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72E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1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53"/>
  </w:style>
  <w:style w:type="paragraph" w:styleId="Footer">
    <w:name w:val="footer"/>
    <w:basedOn w:val="Normal"/>
    <w:link w:val="FooterChar"/>
    <w:uiPriority w:val="99"/>
    <w:unhideWhenUsed/>
    <w:rsid w:val="00621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E4FFE0-59D7-4C67-A428-1B6568A24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588F4-3D10-456A-8E86-0BB5E2BF733D}"/>
</file>

<file path=customXml/itemProps3.xml><?xml version="1.0" encoding="utf-8"?>
<ds:datastoreItem xmlns:ds="http://schemas.openxmlformats.org/officeDocument/2006/customXml" ds:itemID="{1AA72042-80ED-43E5-A05B-A64ED88D6081}"/>
</file>

<file path=customXml/itemProps4.xml><?xml version="1.0" encoding="utf-8"?>
<ds:datastoreItem xmlns:ds="http://schemas.openxmlformats.org/officeDocument/2006/customXml" ds:itemID="{8E6ED2BF-5D22-4D74-86EC-68813A86E3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Michels</dc:creator>
  <cp:keywords/>
  <dc:description/>
  <cp:lastModifiedBy>MICHELS Cristina</cp:lastModifiedBy>
  <cp:revision>4</cp:revision>
  <dcterms:created xsi:type="dcterms:W3CDTF">2020-06-30T15:22:00Z</dcterms:created>
  <dcterms:modified xsi:type="dcterms:W3CDTF">2020-06-30T15:27:00Z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