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BCB7B" w14:textId="77777777" w:rsidR="00BE703E" w:rsidRPr="00562878" w:rsidRDefault="00BE703E" w:rsidP="004B54CA">
      <w:pPr>
        <w:rPr>
          <w:rStyle w:val="BookTitle"/>
          <w:i w:val="0"/>
          <w:iCs w:val="0"/>
          <w:smallCaps w:val="0"/>
          <w:spacing w:val="0"/>
          <w:sz w:val="28"/>
          <w:szCs w:val="28"/>
        </w:rPr>
      </w:pPr>
      <w:r w:rsidRPr="00562878">
        <w:rPr>
          <w:b/>
          <w:bCs/>
          <w:sz w:val="28"/>
          <w:szCs w:val="28"/>
        </w:rPr>
        <w:t>Human Rights</w:t>
      </w:r>
      <w:r w:rsidR="00AA2158" w:rsidRPr="00562878">
        <w:rPr>
          <w:b/>
          <w:bCs/>
          <w:sz w:val="28"/>
          <w:szCs w:val="28"/>
        </w:rPr>
        <w:t xml:space="preserve"> Committee</w:t>
      </w:r>
      <w:r w:rsidRPr="00562878">
        <w:rPr>
          <w:b/>
          <w:bCs/>
          <w:sz w:val="28"/>
          <w:szCs w:val="28"/>
        </w:rPr>
        <w:t>: Questionnaire on the rights of persons with disabilities living independently and being included in the community</w:t>
      </w:r>
    </w:p>
    <w:p w14:paraId="539A093F" w14:textId="77777777" w:rsidR="00AA2158" w:rsidRPr="00562878" w:rsidRDefault="00AA2158" w:rsidP="00BE703E"/>
    <w:p w14:paraId="57618E60" w14:textId="77777777" w:rsidR="00C30911" w:rsidRPr="00562878" w:rsidRDefault="00AA2158" w:rsidP="004B54CA">
      <w:pPr>
        <w:rPr>
          <w:rStyle w:val="BookTitle"/>
          <w:b/>
          <w:i w:val="0"/>
          <w:iCs w:val="0"/>
          <w:smallCaps w:val="0"/>
          <w:spacing w:val="0"/>
          <w:u w:val="single"/>
        </w:rPr>
      </w:pPr>
      <w:r w:rsidRPr="00562878">
        <w:rPr>
          <w:rStyle w:val="BookTitle"/>
          <w:b/>
          <w:i w:val="0"/>
          <w:iCs w:val="0"/>
          <w:smallCaps w:val="0"/>
          <w:spacing w:val="0"/>
          <w:u w:val="single"/>
        </w:rPr>
        <w:t>Australia’s Response</w:t>
      </w:r>
    </w:p>
    <w:p w14:paraId="549FE692" w14:textId="77777777" w:rsidR="00BE703E" w:rsidRPr="00562878" w:rsidRDefault="00BE703E" w:rsidP="00BE703E">
      <w:pPr>
        <w:rPr>
          <w:rStyle w:val="BookTitle"/>
          <w:b/>
          <w:i w:val="0"/>
          <w:iCs w:val="0"/>
          <w:smallCaps w:val="0"/>
          <w:spacing w:val="0"/>
        </w:rPr>
      </w:pPr>
      <w:r w:rsidRPr="00562878">
        <w:rPr>
          <w:rStyle w:val="BookTitle"/>
          <w:b/>
          <w:i w:val="0"/>
          <w:iCs w:val="0"/>
          <w:smallCaps w:val="0"/>
          <w:spacing w:val="0"/>
        </w:rPr>
        <w:t>1.</w:t>
      </w:r>
      <w:r w:rsidRPr="00562878">
        <w:rPr>
          <w:rStyle w:val="BookTitle"/>
          <w:b/>
          <w:i w:val="0"/>
          <w:iCs w:val="0"/>
          <w:smallCaps w:val="0"/>
          <w:spacing w:val="0"/>
        </w:rPr>
        <w:tab/>
        <w:t>Does the constitution or national or local legislation, including civil and criminal law, of your country include provisions to avoid institutionalization and promote deinstitutionalization through, for example:</w:t>
      </w:r>
    </w:p>
    <w:p w14:paraId="155D45E2" w14:textId="77777777" w:rsidR="00BE703E" w:rsidRPr="00562878" w:rsidRDefault="00BE703E" w:rsidP="00BE703E">
      <w:pPr>
        <w:rPr>
          <w:rStyle w:val="BookTitle"/>
          <w:i w:val="0"/>
          <w:iCs w:val="0"/>
          <w:smallCaps w:val="0"/>
          <w:spacing w:val="0"/>
        </w:rPr>
      </w:pPr>
    </w:p>
    <w:p w14:paraId="364EB696" w14:textId="77777777" w:rsidR="00BE703E" w:rsidRPr="00562878" w:rsidRDefault="00BE703E" w:rsidP="00BE703E">
      <w:pPr>
        <w:pStyle w:val="ListParagraph"/>
        <w:numPr>
          <w:ilvl w:val="0"/>
          <w:numId w:val="3"/>
        </w:numPr>
      </w:pPr>
      <w:r w:rsidRPr="00562878">
        <w:t>Prohibiting forced institutionalization or deprivation of liberty on the basis of disability or dia</w:t>
      </w:r>
      <w:r w:rsidR="00E058A6" w:rsidRPr="00562878">
        <w:t>gnosis, condition or impairment</w:t>
      </w:r>
    </w:p>
    <w:p w14:paraId="04BF56E9" w14:textId="77777777" w:rsidR="00BE703E" w:rsidRPr="00562878" w:rsidRDefault="00BE703E" w:rsidP="00BE703E">
      <w:pPr>
        <w:pStyle w:val="ListParagraph"/>
        <w:numPr>
          <w:ilvl w:val="0"/>
          <w:numId w:val="3"/>
        </w:numPr>
      </w:pPr>
      <w:r w:rsidRPr="00562878">
        <w:t>Banning presumption of “dangerous” to self or others on the basis of disability, dia</w:t>
      </w:r>
      <w:r w:rsidR="00E058A6" w:rsidRPr="00562878">
        <w:t>gnosis, condition or impairment</w:t>
      </w:r>
    </w:p>
    <w:p w14:paraId="3B75E7E2" w14:textId="77777777" w:rsidR="00BE703E" w:rsidRPr="00562878" w:rsidRDefault="00BE703E" w:rsidP="00BE703E">
      <w:pPr>
        <w:pStyle w:val="ListParagraph"/>
        <w:numPr>
          <w:ilvl w:val="0"/>
          <w:numId w:val="3"/>
        </w:numPr>
      </w:pPr>
      <w:r w:rsidRPr="00562878">
        <w:t>Ensuring an array of options under social protection schemes to choose where to live, and thus avoiding institutionalization in homes, care centres or other segregated settings;</w:t>
      </w:r>
    </w:p>
    <w:p w14:paraId="354DAEA1" w14:textId="77777777" w:rsidR="00BE703E" w:rsidRPr="00562878" w:rsidRDefault="00BE703E" w:rsidP="00BE703E">
      <w:pPr>
        <w:pStyle w:val="ListParagraph"/>
        <w:numPr>
          <w:ilvl w:val="0"/>
          <w:numId w:val="3"/>
        </w:numPr>
      </w:pPr>
      <w:r w:rsidRPr="00562878">
        <w:t>Ensuring the right to choose whom to live with, avoiding thus forced institutionalized or any other fo</w:t>
      </w:r>
      <w:r w:rsidR="00E058A6" w:rsidRPr="00562878">
        <w:t>rm of forced living arrangement</w:t>
      </w:r>
    </w:p>
    <w:p w14:paraId="0031350D" w14:textId="77777777" w:rsidR="00BE703E" w:rsidRPr="00562878" w:rsidRDefault="00BE703E" w:rsidP="00BE703E">
      <w:pPr>
        <w:pStyle w:val="ListParagraph"/>
        <w:numPr>
          <w:ilvl w:val="0"/>
          <w:numId w:val="3"/>
        </w:numPr>
      </w:pPr>
      <w:r w:rsidRPr="00562878">
        <w:t>Considering access to the availability of resources for supported decision</w:t>
      </w:r>
      <w:r w:rsidRPr="00562878">
        <w:noBreakHyphen/>
        <w:t>making processes for adults, providing the person concerned the opportunity to cho</w:t>
      </w:r>
      <w:r w:rsidR="00E058A6" w:rsidRPr="00562878">
        <w:t>ose the kind of support desired,</w:t>
      </w:r>
      <w:r w:rsidRPr="00562878">
        <w:t xml:space="preserve"> and</w:t>
      </w:r>
    </w:p>
    <w:p w14:paraId="7ACCF009" w14:textId="77777777" w:rsidR="00BE703E" w:rsidRPr="00562878" w:rsidRDefault="00BE703E" w:rsidP="00BE703E">
      <w:pPr>
        <w:pStyle w:val="ListParagraph"/>
        <w:numPr>
          <w:ilvl w:val="0"/>
          <w:numId w:val="3"/>
        </w:numPr>
      </w:pPr>
      <w:r w:rsidRPr="00562878">
        <w:t>Providing for accessibility, physical and for communication and transportation, and to make all services for the general population also available for persons with disabilities, on an equal basis with others.</w:t>
      </w:r>
    </w:p>
    <w:p w14:paraId="232191F1" w14:textId="77777777" w:rsidR="00D67B7D" w:rsidRPr="00562878" w:rsidRDefault="00D67B7D" w:rsidP="003F019A"/>
    <w:p w14:paraId="59E89866" w14:textId="77777777" w:rsidR="006F16AC" w:rsidRPr="00562878" w:rsidRDefault="006F16AC" w:rsidP="006F16AC">
      <w:r w:rsidRPr="00562878">
        <w:t>The Australian Government is committed to improving the lives of all people with disability, including ensuring people with disability have access to supports that will allow them, their families and carers to participate as valued members of their communities.</w:t>
      </w:r>
      <w:r w:rsidR="00722804" w:rsidRPr="00562878">
        <w:t xml:space="preserve"> </w:t>
      </w:r>
      <w:r w:rsidRPr="00562878">
        <w:t xml:space="preserve"> The Australian Government is working closely with state and territory governments to achieve this through the National Disability Strategy 2010-2020.  The Strategy provides a 10-year national policy framework for all levels of government to improve the lives of people with disability, including improving access to buildings, transport, justice, education, health care services, and employment.  A central outcome of the Strategy is to ensure people with disability, their families and carers have access to a range of supports to assist them to live independently and actively engage in their communities.</w:t>
      </w:r>
    </w:p>
    <w:p w14:paraId="4B2B76B1" w14:textId="77777777" w:rsidR="006F16AC" w:rsidRPr="00562878" w:rsidRDefault="006F16AC" w:rsidP="006F16AC"/>
    <w:p w14:paraId="5D7544E2" w14:textId="77777777" w:rsidR="006F16AC" w:rsidRPr="00562878" w:rsidRDefault="006F16AC" w:rsidP="006F16AC">
      <w:r w:rsidRPr="00562878">
        <w:t xml:space="preserve">The Strategy commits to a range of Areas for Action designed to achieve this outcome. </w:t>
      </w:r>
      <w:r w:rsidR="00722804" w:rsidRPr="00562878">
        <w:t xml:space="preserve"> </w:t>
      </w:r>
      <w:r w:rsidRPr="00562878">
        <w:t>These action areas include:</w:t>
      </w:r>
    </w:p>
    <w:p w14:paraId="76E0711C" w14:textId="77777777" w:rsidR="006F16AC" w:rsidRPr="00562878" w:rsidRDefault="006F16AC" w:rsidP="006F16AC">
      <w:pPr>
        <w:numPr>
          <w:ilvl w:val="0"/>
          <w:numId w:val="17"/>
        </w:numPr>
      </w:pPr>
      <w:r w:rsidRPr="00562878">
        <w:t xml:space="preserve">adopting sustainable funding models and service approaches that are person-centred and provide information, choice and control to people with disability, including the </w:t>
      </w:r>
      <w:r w:rsidR="00E058A6" w:rsidRPr="00562878">
        <w:t>NDIS</w:t>
      </w:r>
    </w:p>
    <w:p w14:paraId="1B60254D" w14:textId="77777777" w:rsidR="006F16AC" w:rsidRPr="00562878" w:rsidRDefault="006F16AC" w:rsidP="006F16AC">
      <w:pPr>
        <w:numPr>
          <w:ilvl w:val="0"/>
          <w:numId w:val="17"/>
        </w:numPr>
      </w:pPr>
      <w:r w:rsidRPr="00562878">
        <w:t>continuing to develop innovative and flexible support models for peo</w:t>
      </w:r>
      <w:r w:rsidR="00E058A6" w:rsidRPr="00562878">
        <w:t>ple with high and complex needs</w:t>
      </w:r>
    </w:p>
    <w:p w14:paraId="5283C4A0" w14:textId="77777777" w:rsidR="006F16AC" w:rsidRPr="00562878" w:rsidRDefault="006F16AC" w:rsidP="006F16AC">
      <w:pPr>
        <w:numPr>
          <w:ilvl w:val="0"/>
          <w:numId w:val="17"/>
        </w:numPr>
      </w:pPr>
      <w:r w:rsidRPr="00562878">
        <w:t>collaborating with providers of universal personal and community support services to improve ac</w:t>
      </w:r>
      <w:r w:rsidR="00E058A6" w:rsidRPr="00562878">
        <w:t>cess for people with disability,</w:t>
      </w:r>
      <w:r w:rsidRPr="00562878">
        <w:t xml:space="preserve"> and</w:t>
      </w:r>
    </w:p>
    <w:p w14:paraId="241B1D2C" w14:textId="77777777" w:rsidR="006F16AC" w:rsidRPr="00562878" w:rsidRDefault="006F16AC" w:rsidP="006F16AC">
      <w:pPr>
        <w:numPr>
          <w:ilvl w:val="0"/>
          <w:numId w:val="17"/>
        </w:numPr>
      </w:pPr>
      <w:proofErr w:type="gramStart"/>
      <w:r w:rsidRPr="00562878">
        <w:t>promoting</w:t>
      </w:r>
      <w:proofErr w:type="gramEnd"/>
      <w:r w:rsidRPr="00562878">
        <w:t xml:space="preserve"> and sustaining community support networks which provide information and support to families and carers.</w:t>
      </w:r>
    </w:p>
    <w:p w14:paraId="3F3ADBCE" w14:textId="77777777" w:rsidR="003A11DB" w:rsidRPr="00562878" w:rsidRDefault="003A11DB" w:rsidP="002E44E9">
      <w:pPr>
        <w:pStyle w:val="Default"/>
        <w:tabs>
          <w:tab w:val="left" w:pos="1536"/>
        </w:tabs>
        <w:rPr>
          <w:sz w:val="22"/>
          <w:szCs w:val="22"/>
        </w:rPr>
      </w:pPr>
    </w:p>
    <w:p w14:paraId="500F37DD" w14:textId="77777777" w:rsidR="003A11DB" w:rsidRPr="00562878" w:rsidRDefault="003A11DB" w:rsidP="002E44E9">
      <w:pPr>
        <w:pStyle w:val="Default"/>
        <w:rPr>
          <w:rFonts w:ascii="Times New Roman" w:eastAsia="Times New Roman" w:hAnsi="Times New Roman" w:cs="Times New Roman"/>
          <w:lang w:eastAsia="en-AU"/>
        </w:rPr>
      </w:pPr>
      <w:r w:rsidRPr="00562878">
        <w:rPr>
          <w:rFonts w:ascii="Times New Roman" w:eastAsia="Times New Roman" w:hAnsi="Times New Roman" w:cs="Times New Roman"/>
          <w:lang w:eastAsia="en-AU"/>
        </w:rPr>
        <w:t xml:space="preserve">Australian governments are committed to maximising opportunities for people with disability to live independently and participate in the economic, social and cultural life of the community. The Australian Government supports the principle that all people with disability should have the same choices and opportunities in their lives as the broader community.  </w:t>
      </w:r>
    </w:p>
    <w:p w14:paraId="72DF04CE" w14:textId="77777777" w:rsidR="003A11DB" w:rsidRPr="00562878" w:rsidRDefault="003A11DB" w:rsidP="002E44E9">
      <w:pPr>
        <w:pStyle w:val="Default"/>
        <w:rPr>
          <w:sz w:val="22"/>
          <w:szCs w:val="22"/>
        </w:rPr>
      </w:pPr>
    </w:p>
    <w:p w14:paraId="70C845C6" w14:textId="77777777" w:rsidR="003A11DB" w:rsidRPr="00562878" w:rsidRDefault="003A11DB" w:rsidP="00306B05">
      <w:pPr>
        <w:pStyle w:val="Default"/>
        <w:keepNext/>
        <w:rPr>
          <w:rFonts w:ascii="Times New Roman" w:eastAsia="Times New Roman" w:hAnsi="Times New Roman" w:cs="Times New Roman"/>
          <w:i/>
          <w:lang w:eastAsia="en-AU"/>
        </w:rPr>
      </w:pPr>
      <w:r w:rsidRPr="00562878">
        <w:rPr>
          <w:rFonts w:ascii="Times New Roman" w:eastAsia="Times New Roman" w:hAnsi="Times New Roman" w:cs="Times New Roman"/>
          <w:i/>
          <w:lang w:eastAsia="en-AU"/>
        </w:rPr>
        <w:lastRenderedPageBreak/>
        <w:t>Housing</w:t>
      </w:r>
    </w:p>
    <w:p w14:paraId="4E29AF58" w14:textId="77777777" w:rsidR="002E44E9" w:rsidRPr="00562878" w:rsidRDefault="002E44E9" w:rsidP="00306B05">
      <w:pPr>
        <w:pStyle w:val="Default"/>
        <w:keepNext/>
        <w:rPr>
          <w:rFonts w:ascii="Times New Roman" w:eastAsia="Times New Roman" w:hAnsi="Times New Roman" w:cs="Times New Roman"/>
          <w:i/>
          <w:lang w:eastAsia="en-AU"/>
        </w:rPr>
      </w:pPr>
    </w:p>
    <w:p w14:paraId="3038AAE5" w14:textId="77777777" w:rsidR="003A11DB" w:rsidRPr="00562878" w:rsidRDefault="003A11DB" w:rsidP="00306B05">
      <w:pPr>
        <w:pStyle w:val="Default"/>
        <w:keepNext/>
        <w:rPr>
          <w:rFonts w:ascii="Times New Roman" w:eastAsia="Times New Roman" w:hAnsi="Times New Roman" w:cs="Times New Roman"/>
          <w:lang w:eastAsia="en-AU"/>
        </w:rPr>
      </w:pPr>
      <w:r w:rsidRPr="00562878">
        <w:rPr>
          <w:rFonts w:ascii="Times New Roman" w:eastAsia="Times New Roman" w:hAnsi="Times New Roman" w:cs="Times New Roman"/>
          <w:lang w:eastAsia="en-AU"/>
        </w:rPr>
        <w:t>Australian governments are working to increase the provision of accessible and well</w:t>
      </w:r>
      <w:r w:rsidR="004C2E96" w:rsidRPr="00562878">
        <w:rPr>
          <w:rFonts w:ascii="Times New Roman" w:eastAsia="Times New Roman" w:hAnsi="Times New Roman" w:cs="Times New Roman"/>
          <w:lang w:eastAsia="en-AU"/>
        </w:rPr>
        <w:noBreakHyphen/>
      </w:r>
      <w:r w:rsidRPr="00562878">
        <w:rPr>
          <w:rFonts w:ascii="Times New Roman" w:eastAsia="Times New Roman" w:hAnsi="Times New Roman" w:cs="Times New Roman"/>
          <w:lang w:eastAsia="en-AU"/>
        </w:rPr>
        <w:t xml:space="preserve">designed housing, including mainstream housing and supported accommodation, in order to enable people with disability to have individual choice and </w:t>
      </w:r>
      <w:r w:rsidR="004C2E96" w:rsidRPr="00562878">
        <w:rPr>
          <w:rFonts w:ascii="Times New Roman" w:eastAsia="Times New Roman" w:hAnsi="Times New Roman" w:cs="Times New Roman"/>
          <w:lang w:eastAsia="en-AU"/>
        </w:rPr>
        <w:t xml:space="preserve">freedom over where they live.  </w:t>
      </w:r>
      <w:r w:rsidRPr="00562878">
        <w:rPr>
          <w:rFonts w:ascii="Times New Roman" w:eastAsia="Times New Roman" w:hAnsi="Times New Roman" w:cs="Times New Roman"/>
          <w:lang w:eastAsia="en-AU"/>
        </w:rPr>
        <w:t>In Australia, there is a trend that is resulting in many people with disability moving out of institutional accommodation.</w:t>
      </w:r>
    </w:p>
    <w:p w14:paraId="0900EA90" w14:textId="77777777" w:rsidR="003A11DB" w:rsidRPr="00562878" w:rsidRDefault="003A11DB" w:rsidP="002E44E9">
      <w:pPr>
        <w:pStyle w:val="ListParagraph"/>
        <w:numPr>
          <w:ilvl w:val="0"/>
          <w:numId w:val="16"/>
        </w:numPr>
      </w:pPr>
      <w:r w:rsidRPr="00562878">
        <w:t>In 2009, approximately four per cent of Australians with disabilities (158,200 people) were living in ‘institutions’ (hospitals, homes and other cared accommodation for the aged).</w:t>
      </w:r>
    </w:p>
    <w:p w14:paraId="033341DA" w14:textId="77777777" w:rsidR="003A11DB" w:rsidRPr="00562878" w:rsidRDefault="003A11DB" w:rsidP="002E44E9">
      <w:pPr>
        <w:pStyle w:val="ListParagraph"/>
        <w:numPr>
          <w:ilvl w:val="0"/>
          <w:numId w:val="16"/>
        </w:numPr>
      </w:pPr>
      <w:r w:rsidRPr="00562878">
        <w:t>Since 2003 there has been a decrease of more than 25 per cent in the number of people with disability in institutional accommodation.</w:t>
      </w:r>
    </w:p>
    <w:p w14:paraId="6071E9C3" w14:textId="77777777" w:rsidR="003A11DB" w:rsidRPr="00562878" w:rsidRDefault="003A11DB" w:rsidP="002E44E9">
      <w:pPr>
        <w:pStyle w:val="ListParagraph"/>
        <w:numPr>
          <w:ilvl w:val="0"/>
          <w:numId w:val="16"/>
        </w:numPr>
      </w:pPr>
      <w:r w:rsidRPr="00562878">
        <w:t>Over that period, there has been a 45 per cent growth in accommodation in other community settings.</w:t>
      </w:r>
    </w:p>
    <w:p w14:paraId="0D21C612" w14:textId="77777777" w:rsidR="003A11DB" w:rsidRPr="00562878" w:rsidRDefault="003A11DB" w:rsidP="002E44E9">
      <w:pPr>
        <w:rPr>
          <w:rFonts w:cstheme="minorHAnsi"/>
          <w:i/>
        </w:rPr>
      </w:pPr>
    </w:p>
    <w:p w14:paraId="63B85E0E" w14:textId="77777777" w:rsidR="003A11DB" w:rsidRPr="00562878" w:rsidRDefault="003A11DB" w:rsidP="002E44E9">
      <w:pPr>
        <w:rPr>
          <w:rFonts w:cstheme="minorHAnsi"/>
          <w:i/>
        </w:rPr>
      </w:pPr>
      <w:r w:rsidRPr="00562878">
        <w:rPr>
          <w:rFonts w:cstheme="minorHAnsi"/>
          <w:i/>
        </w:rPr>
        <w:t>Supported decision-making</w:t>
      </w:r>
    </w:p>
    <w:p w14:paraId="32FD1DCC" w14:textId="77777777" w:rsidR="002E44E9" w:rsidRPr="00562878" w:rsidRDefault="002E44E9" w:rsidP="002E44E9">
      <w:pPr>
        <w:rPr>
          <w:rFonts w:cstheme="minorHAnsi"/>
          <w:i/>
        </w:rPr>
      </w:pPr>
    </w:p>
    <w:p w14:paraId="336CE55D" w14:textId="77777777" w:rsidR="003A11DB" w:rsidRPr="00562878" w:rsidRDefault="003A11DB" w:rsidP="002E44E9">
      <w:pPr>
        <w:rPr>
          <w:rFonts w:cstheme="minorHAnsi"/>
        </w:rPr>
      </w:pPr>
      <w:r w:rsidRPr="00562878">
        <w:rPr>
          <w:rFonts w:cstheme="minorHAnsi"/>
        </w:rPr>
        <w:t xml:space="preserve">Australia strongly supports the rights of people with disability to exercise their legal capacity and recognises that, in some cases, people with disability may require support in exercising that capacity. </w:t>
      </w:r>
      <w:r w:rsidR="004C2E96" w:rsidRPr="00562878">
        <w:rPr>
          <w:rFonts w:cstheme="minorHAnsi"/>
        </w:rPr>
        <w:t xml:space="preserve"> </w:t>
      </w:r>
      <w:r w:rsidRPr="00562878">
        <w:rPr>
          <w:rFonts w:cstheme="minorHAnsi"/>
        </w:rPr>
        <w:t>The Australian Government has commissioned an inquiry into whether there are Commonwealth laws that deny or diminish equal recognition of people with disabilities as persons before the law and their ability to exercise legal capacity.  The inquiry is due to report in August 2014.</w:t>
      </w:r>
    </w:p>
    <w:p w14:paraId="73A7FAD9" w14:textId="77777777" w:rsidR="003A11DB" w:rsidRPr="00562878" w:rsidRDefault="003A11DB" w:rsidP="002E44E9">
      <w:pPr>
        <w:pStyle w:val="Default"/>
        <w:rPr>
          <w:sz w:val="22"/>
          <w:szCs w:val="22"/>
        </w:rPr>
      </w:pPr>
    </w:p>
    <w:p w14:paraId="0E4F3D6A" w14:textId="77777777" w:rsidR="003A11DB" w:rsidRPr="00562878" w:rsidRDefault="003A11DB" w:rsidP="002E44E9">
      <w:pPr>
        <w:rPr>
          <w:rFonts w:cstheme="minorHAnsi"/>
          <w:i/>
        </w:rPr>
      </w:pPr>
      <w:r w:rsidRPr="00562878">
        <w:rPr>
          <w:rFonts w:cstheme="minorHAnsi"/>
          <w:i/>
        </w:rPr>
        <w:t>Accessibility</w:t>
      </w:r>
    </w:p>
    <w:p w14:paraId="10F3B240" w14:textId="77777777" w:rsidR="002E44E9" w:rsidRPr="00562878" w:rsidRDefault="002E44E9" w:rsidP="002E44E9">
      <w:pPr>
        <w:rPr>
          <w:rFonts w:cstheme="minorHAnsi"/>
          <w:i/>
        </w:rPr>
      </w:pPr>
    </w:p>
    <w:p w14:paraId="7009F134" w14:textId="77777777" w:rsidR="003A11DB" w:rsidRPr="00562878" w:rsidRDefault="003A11DB" w:rsidP="002E44E9">
      <w:r w:rsidRPr="00562878">
        <w:t xml:space="preserve">Prohibitions on disability discrimination are well-established in Australian law both at the Commonwealth and State and Territory levels.  At the Commonwealth level, the </w:t>
      </w:r>
      <w:r w:rsidRPr="00562878">
        <w:rPr>
          <w:i/>
        </w:rPr>
        <w:t>Disability Discrimination Act 1992</w:t>
      </w:r>
      <w:r w:rsidRPr="00562878">
        <w:t xml:space="preserve"> makes it unlawful to discriminate in a number of areas, such as employment, education, the provision of goods and services and facilities, accommodation and the implementation of federal laws and programs.  The </w:t>
      </w:r>
      <w:r w:rsidRPr="00562878">
        <w:rPr>
          <w:i/>
        </w:rPr>
        <w:t>Disability Access to Premises Building Standards 2010</w:t>
      </w:r>
      <w:r w:rsidRPr="00562878">
        <w:t xml:space="preserve"> (Premises Standards) and the </w:t>
      </w:r>
      <w:r w:rsidRPr="00562878">
        <w:rPr>
          <w:i/>
        </w:rPr>
        <w:t>Disability Standards for Accessible Public Transport 2002</w:t>
      </w:r>
      <w:r w:rsidRPr="00562878">
        <w:t xml:space="preserve"> (Transport Standards) are made under the </w:t>
      </w:r>
      <w:r w:rsidRPr="00562878">
        <w:rPr>
          <w:i/>
        </w:rPr>
        <w:t>Disability Discrimination Act 1992</w:t>
      </w:r>
      <w:r w:rsidRPr="00562878">
        <w:t xml:space="preserve"> (Cth).  The Disability standards give further precision to the rights and obligations under the Act in specific circumstances, and provide greater certainty about how to comply with the Disability Discrimination Act. </w:t>
      </w:r>
    </w:p>
    <w:p w14:paraId="48773B52" w14:textId="77777777" w:rsidR="003A11DB" w:rsidRPr="00562878" w:rsidRDefault="003A11DB" w:rsidP="002E44E9"/>
    <w:p w14:paraId="212B9421" w14:textId="77777777" w:rsidR="003A11DB" w:rsidRPr="00562878" w:rsidRDefault="003A11DB" w:rsidP="002E44E9">
      <w:r w:rsidRPr="00562878">
        <w:t xml:space="preserve">The Premises Standards set technical design specifications to assist developers in ensuring that people with disability have dignified access to, and use of, buildings.  </w:t>
      </w:r>
      <w:r w:rsidRPr="00562878">
        <w:rPr>
          <w:snapToGrid w:val="0"/>
        </w:rPr>
        <w:t>The Premises Standards were formulated after extensive consultation, o</w:t>
      </w:r>
      <w:r w:rsidR="00722804" w:rsidRPr="00562878">
        <w:rPr>
          <w:snapToGrid w:val="0"/>
        </w:rPr>
        <w:t>ver a ten year period, between s</w:t>
      </w:r>
      <w:r w:rsidRPr="00562878">
        <w:rPr>
          <w:snapToGrid w:val="0"/>
        </w:rPr>
        <w:t xml:space="preserve">tate and </w:t>
      </w:r>
      <w:r w:rsidR="00722804" w:rsidRPr="00562878">
        <w:rPr>
          <w:snapToGrid w:val="0"/>
        </w:rPr>
        <w:t>t</w:t>
      </w:r>
      <w:r w:rsidRPr="00562878">
        <w:rPr>
          <w:snapToGrid w:val="0"/>
        </w:rPr>
        <w:t xml:space="preserve">erritory </w:t>
      </w:r>
      <w:r w:rsidR="00722804" w:rsidRPr="00562878">
        <w:rPr>
          <w:snapToGrid w:val="0"/>
        </w:rPr>
        <w:t>g</w:t>
      </w:r>
      <w:r w:rsidRPr="00562878">
        <w:rPr>
          <w:snapToGrid w:val="0"/>
        </w:rPr>
        <w:t xml:space="preserve">overnments, industry, community and disability groups.  </w:t>
      </w:r>
      <w:r w:rsidRPr="00562878">
        <w:t xml:space="preserve">Improving building access gives more people with disability the opportunity to access employment, education and services, and to connect with and participate in the broader community.  The technical requirements of the Premises Standards are mirrored in state and territory building law. </w:t>
      </w:r>
    </w:p>
    <w:p w14:paraId="1FDE7993" w14:textId="77777777" w:rsidR="003A11DB" w:rsidRPr="00562878" w:rsidRDefault="003A11DB" w:rsidP="002E44E9"/>
    <w:p w14:paraId="34EAD019" w14:textId="77777777" w:rsidR="003A11DB" w:rsidRPr="00562878" w:rsidRDefault="003A11DB" w:rsidP="002E44E9">
      <w:r w:rsidRPr="00562878">
        <w:t xml:space="preserve">The Transport Standards apply to: trams; trains; buses and coaches; taxis; ferries; and aeroplanes.  The Transport Standards have helped to facilitate the progressive removal of discrimination experienced by people with disability in accessing public transport in Australia.  The Standards also have been effective in encouraging investment in accessible public transport and infrastructure.  </w:t>
      </w:r>
    </w:p>
    <w:p w14:paraId="2F3E24CD" w14:textId="77777777" w:rsidR="003A11DB" w:rsidRPr="00562878" w:rsidRDefault="003A11DB" w:rsidP="002E44E9"/>
    <w:p w14:paraId="7E169E84" w14:textId="77777777" w:rsidR="003A11DB" w:rsidRPr="00562878" w:rsidRDefault="003A11DB" w:rsidP="002E44E9">
      <w:pPr>
        <w:autoSpaceDE w:val="0"/>
        <w:autoSpaceDN w:val="0"/>
      </w:pPr>
      <w:r w:rsidRPr="00562878">
        <w:t xml:space="preserve">The disability standards each contain a provision setting out a review process. </w:t>
      </w:r>
      <w:r w:rsidR="004C2E96" w:rsidRPr="00562878">
        <w:t xml:space="preserve"> </w:t>
      </w:r>
      <w:r w:rsidRPr="00562878">
        <w:t xml:space="preserve">The relevant Minister, in consultation with the Attorney-General, must review the effectiveness of each of the disability standards in achieving their objects within 5 years after they take effect; and there must be a </w:t>
      </w:r>
      <w:r w:rsidRPr="00562878">
        <w:lastRenderedPageBreak/>
        <w:t xml:space="preserve">subsequent review every 5 years after the initial review. </w:t>
      </w:r>
      <w:r w:rsidR="0081520C" w:rsidRPr="00562878">
        <w:t xml:space="preserve"> </w:t>
      </w:r>
      <w:r w:rsidRPr="00562878">
        <w:t>These reviews must also consider any necessary amendments to these Standards.</w:t>
      </w:r>
    </w:p>
    <w:p w14:paraId="44CC2A2F" w14:textId="77777777" w:rsidR="00072EB1" w:rsidRPr="00562878" w:rsidRDefault="00072EB1" w:rsidP="00BE703E">
      <w:pPr>
        <w:rPr>
          <w:color w:val="auto"/>
        </w:rPr>
      </w:pPr>
    </w:p>
    <w:p w14:paraId="677B2D35" w14:textId="77777777" w:rsidR="00BE703E" w:rsidRPr="00562878" w:rsidRDefault="00BE703E" w:rsidP="00BE703E">
      <w:pPr>
        <w:rPr>
          <w:b/>
          <w:color w:val="auto"/>
        </w:rPr>
      </w:pPr>
      <w:r w:rsidRPr="00562878">
        <w:rPr>
          <w:b/>
          <w:color w:val="auto"/>
        </w:rPr>
        <w:t>2.</w:t>
      </w:r>
      <w:r w:rsidRPr="00562878">
        <w:rPr>
          <w:b/>
          <w:color w:val="auto"/>
        </w:rPr>
        <w:tab/>
        <w:t xml:space="preserve">Does your country have a plan or program that provides for, inter alia, the following services to support community living for persons and </w:t>
      </w:r>
      <w:r w:rsidR="00072EB1" w:rsidRPr="00562878">
        <w:rPr>
          <w:b/>
          <w:color w:val="auto"/>
        </w:rPr>
        <w:t>disabilities?</w:t>
      </w:r>
    </w:p>
    <w:p w14:paraId="7B8225D0" w14:textId="77777777" w:rsidR="00C367D6" w:rsidRPr="00562878" w:rsidRDefault="00C367D6" w:rsidP="00C367D6"/>
    <w:p w14:paraId="4AF19B6A" w14:textId="77777777" w:rsidR="00E57B8F" w:rsidRPr="00562878" w:rsidRDefault="00E57B8F" w:rsidP="00E57B8F"/>
    <w:p w14:paraId="31E41F47" w14:textId="77777777" w:rsidR="00E57B8F" w:rsidRPr="00562878" w:rsidRDefault="00E57B8F" w:rsidP="00E57B8F">
      <w:r w:rsidRPr="00562878">
        <w:t>The National Disability Insurance Scheme (NDIS), currently being trialled in seven locations around Australia, will reform the way Australians with disability are supported. It will provide participants with individual funding packages with which they can choose the services and providers they wish to access. This supports choice and control for people with disability. It is not means tested.</w:t>
      </w:r>
    </w:p>
    <w:p w14:paraId="1790C49B" w14:textId="77777777" w:rsidR="00983371" w:rsidRPr="00562878" w:rsidRDefault="00983371" w:rsidP="00E57B8F"/>
    <w:p w14:paraId="27D331AC" w14:textId="77777777" w:rsidR="00E57B8F" w:rsidRPr="00562878" w:rsidRDefault="00E57B8F" w:rsidP="00E57B8F">
      <w:r w:rsidRPr="00562878">
        <w:t xml:space="preserve">The NDIS will enable people with disability to access necessary supports based on their functional needs rather than on a specific diagnosis. The supports provided will vary in nature as they will be tailored to each person’s individual needs. </w:t>
      </w:r>
    </w:p>
    <w:p w14:paraId="6C255246" w14:textId="77777777" w:rsidR="00E57B8F" w:rsidRPr="00562878" w:rsidRDefault="00E57B8F" w:rsidP="00E57B8F"/>
    <w:p w14:paraId="6ED22982" w14:textId="77777777" w:rsidR="00E57B8F" w:rsidRPr="00562878" w:rsidRDefault="00E57B8F" w:rsidP="00E57B8F">
      <w:r w:rsidRPr="00562878">
        <w:t>To be eligible for participation in the NDIS, a person must have an impairment that is, or is likely to be, permanent and which results in them having a substantially reduced capacity to undertake activities of daily living.</w:t>
      </w:r>
    </w:p>
    <w:p w14:paraId="0F8F5797" w14:textId="77777777" w:rsidR="00E57B8F" w:rsidRPr="00562878" w:rsidRDefault="00E57B8F" w:rsidP="00E57B8F"/>
    <w:p w14:paraId="091FFCF9" w14:textId="77777777" w:rsidR="00E57B8F" w:rsidRPr="00562878" w:rsidRDefault="00E57B8F" w:rsidP="00E57B8F">
      <w:r w:rsidRPr="00562878">
        <w:t>The first stage of the NDIS began in the Hunter area in New South Wales (NSW), the Barwon area of Victoria, throughout South Australia and Tasmania,</w:t>
      </w:r>
      <w:r w:rsidR="00E058A6" w:rsidRPr="00562878">
        <w:t xml:space="preserve"> (the latter to be trialled for </w:t>
      </w:r>
      <w:r w:rsidRPr="00562878">
        <w:t>certain age groups</w:t>
      </w:r>
      <w:r w:rsidR="00E058A6" w:rsidRPr="00562878">
        <w:t>)</w:t>
      </w:r>
      <w:r w:rsidRPr="00562878">
        <w:t xml:space="preserve"> from 1 July 2013. The Australian Capital Territory (ACT), the Barkly region of the Northern Territory and Western Australia joined the trial on 1 July 2014. The roll out to</w:t>
      </w:r>
      <w:r w:rsidR="00E058A6" w:rsidRPr="00562878">
        <w:t xml:space="preserve"> the</w:t>
      </w:r>
      <w:r w:rsidRPr="00562878">
        <w:t xml:space="preserve"> full scheme is currently scheduled for 2019. </w:t>
      </w:r>
    </w:p>
    <w:p w14:paraId="2B388A04" w14:textId="77777777" w:rsidR="00E57B8F" w:rsidRPr="00562878" w:rsidRDefault="00E57B8F" w:rsidP="00E57B8F"/>
    <w:p w14:paraId="33137FB7" w14:textId="77777777" w:rsidR="00E57B8F" w:rsidRPr="00562878" w:rsidRDefault="00E57B8F" w:rsidP="00E57B8F">
      <w:r w:rsidRPr="00562878">
        <w:t>The following responses relate to the provision of disability support services under the NDIS.</w:t>
      </w:r>
    </w:p>
    <w:p w14:paraId="0E17552B" w14:textId="77777777" w:rsidR="00BE703E" w:rsidRPr="00562878" w:rsidRDefault="00BE703E" w:rsidP="00BE703E">
      <w:pPr>
        <w:rPr>
          <w:b/>
          <w:color w:val="auto"/>
        </w:rPr>
      </w:pPr>
    </w:p>
    <w:p w14:paraId="302B0340" w14:textId="77777777" w:rsidR="005C139A" w:rsidRPr="00562878" w:rsidRDefault="005C139A" w:rsidP="00A12854">
      <w:pPr>
        <w:pStyle w:val="ListParagraph"/>
        <w:numPr>
          <w:ilvl w:val="0"/>
          <w:numId w:val="11"/>
        </w:numPr>
        <w:rPr>
          <w:b/>
          <w:color w:val="auto"/>
        </w:rPr>
      </w:pPr>
      <w:r w:rsidRPr="00562878">
        <w:rPr>
          <w:b/>
          <w:color w:val="auto"/>
        </w:rPr>
        <w:t xml:space="preserve">&amp; (b) </w:t>
      </w:r>
      <w:r w:rsidR="00BE703E" w:rsidRPr="00562878">
        <w:rPr>
          <w:b/>
          <w:color w:val="auto"/>
        </w:rPr>
        <w:t>Personal assistance; and</w:t>
      </w:r>
      <w:r w:rsidRPr="00562878">
        <w:rPr>
          <w:b/>
          <w:color w:val="auto"/>
        </w:rPr>
        <w:t xml:space="preserve"> in</w:t>
      </w:r>
      <w:r w:rsidRPr="00562878">
        <w:rPr>
          <w:b/>
          <w:color w:val="auto"/>
        </w:rPr>
        <w:noBreakHyphen/>
        <w:t>home and other community</w:t>
      </w:r>
      <w:r w:rsidRPr="00562878">
        <w:rPr>
          <w:b/>
          <w:color w:val="auto"/>
        </w:rPr>
        <w:noBreakHyphen/>
        <w:t>based services.</w:t>
      </w:r>
    </w:p>
    <w:p w14:paraId="7D2883AA" w14:textId="77777777" w:rsidR="00C508D1" w:rsidRPr="00562878" w:rsidRDefault="00C508D1" w:rsidP="00B20D96">
      <w:pPr>
        <w:rPr>
          <w:color w:val="auto"/>
        </w:rPr>
      </w:pPr>
    </w:p>
    <w:p w14:paraId="165013A9" w14:textId="77777777" w:rsidR="00641272" w:rsidRPr="00562878" w:rsidRDefault="00641272" w:rsidP="00641272">
      <w:r w:rsidRPr="00562878">
        <w:t xml:space="preserve">The NDIS adopts an insurance approach that assists people with a disability to access mainstream and community supports; helps support informal care and funds reasonable and necessary supports, including early intervention, for its participants.  </w:t>
      </w:r>
    </w:p>
    <w:p w14:paraId="190EFA76" w14:textId="77777777" w:rsidR="00641272" w:rsidRPr="00562878" w:rsidRDefault="00641272" w:rsidP="00641272"/>
    <w:p w14:paraId="6EAB3FF4" w14:textId="77777777" w:rsidR="00641272" w:rsidRPr="00562878" w:rsidRDefault="00641272" w:rsidP="00641272">
      <w:r w:rsidRPr="00562878">
        <w:t>The NDIS enables participants to exercise choice and control in the pursuit of their goals and the planning and delivery of their supports. The scheme will help participants to increase their independence and social and economic participation.</w:t>
      </w:r>
    </w:p>
    <w:p w14:paraId="3AC17199" w14:textId="77777777" w:rsidR="00641272" w:rsidRPr="00562878" w:rsidRDefault="00641272" w:rsidP="00641272">
      <w:pPr>
        <w:pStyle w:val="Default"/>
      </w:pPr>
    </w:p>
    <w:p w14:paraId="2A2FBB19" w14:textId="77777777" w:rsidR="00641272" w:rsidRPr="00562878" w:rsidRDefault="00641272" w:rsidP="00641272">
      <w:pPr>
        <w:pStyle w:val="Default"/>
        <w:rPr>
          <w:rFonts w:ascii="Times New Roman" w:eastAsia="Times New Roman" w:hAnsi="Times New Roman" w:cs="Times New Roman"/>
          <w:lang w:eastAsia="en-AU"/>
        </w:rPr>
      </w:pPr>
      <w:r w:rsidRPr="00562878">
        <w:rPr>
          <w:rFonts w:ascii="Times New Roman" w:eastAsia="Times New Roman" w:hAnsi="Times New Roman" w:cs="Times New Roman"/>
          <w:lang w:eastAsia="en-AU"/>
        </w:rPr>
        <w:t xml:space="preserve">The supports available under the scheme will vary from person to person but may include therapies, home and vehicle modifications, assistive devices and equipment, assistance with household tasks, personal care and transport, and assistance for family and carers. </w:t>
      </w:r>
    </w:p>
    <w:p w14:paraId="0429709F" w14:textId="77777777" w:rsidR="00641272" w:rsidRPr="00562878" w:rsidRDefault="00641272" w:rsidP="00641272">
      <w:pPr>
        <w:rPr>
          <w:color w:val="auto"/>
        </w:rPr>
      </w:pPr>
    </w:p>
    <w:p w14:paraId="44D242A0" w14:textId="77777777" w:rsidR="00BE703E" w:rsidRPr="00562878" w:rsidRDefault="00BE703E" w:rsidP="00E058A6">
      <w:pPr>
        <w:keepNext/>
        <w:rPr>
          <w:b/>
          <w:color w:val="auto"/>
        </w:rPr>
      </w:pPr>
      <w:r w:rsidRPr="00562878">
        <w:rPr>
          <w:b/>
          <w:color w:val="auto"/>
        </w:rPr>
        <w:t>3.</w:t>
      </w:r>
      <w:r w:rsidRPr="00562878">
        <w:rPr>
          <w:b/>
          <w:color w:val="auto"/>
        </w:rPr>
        <w:tab/>
        <w:t>If so, please respond to the following questions:</w:t>
      </w:r>
    </w:p>
    <w:p w14:paraId="5152DD2C" w14:textId="77777777" w:rsidR="00707A10" w:rsidRPr="00562878" w:rsidRDefault="00707A10" w:rsidP="00E058A6">
      <w:pPr>
        <w:keepNext/>
        <w:rPr>
          <w:rStyle w:val="BookTitle"/>
          <w:b/>
          <w:i w:val="0"/>
          <w:iCs w:val="0"/>
          <w:smallCaps w:val="0"/>
          <w:color w:val="auto"/>
          <w:spacing w:val="0"/>
        </w:rPr>
      </w:pPr>
    </w:p>
    <w:p w14:paraId="72FBD425" w14:textId="77777777" w:rsidR="00BE703E" w:rsidRPr="00562878" w:rsidRDefault="00BE703E" w:rsidP="00E058A6">
      <w:pPr>
        <w:pStyle w:val="ListParagraph"/>
        <w:keepNext/>
        <w:numPr>
          <w:ilvl w:val="0"/>
          <w:numId w:val="5"/>
        </w:numPr>
        <w:rPr>
          <w:rStyle w:val="BookTitle"/>
          <w:b/>
          <w:i w:val="0"/>
          <w:iCs w:val="0"/>
          <w:smallCaps w:val="0"/>
          <w:color w:val="auto"/>
          <w:spacing w:val="0"/>
        </w:rPr>
      </w:pPr>
      <w:r w:rsidRPr="00562878">
        <w:rPr>
          <w:rStyle w:val="BookTitle"/>
          <w:b/>
          <w:i w:val="0"/>
          <w:iCs w:val="0"/>
          <w:smallCaps w:val="0"/>
          <w:color w:val="auto"/>
          <w:spacing w:val="0"/>
        </w:rPr>
        <w:t>Are the services paid for by a State entity (central/federal)?</w:t>
      </w:r>
    </w:p>
    <w:p w14:paraId="4206969D" w14:textId="77777777" w:rsidR="00641272" w:rsidRPr="00562878" w:rsidRDefault="00641272" w:rsidP="001843D7">
      <w:pPr>
        <w:rPr>
          <w:rStyle w:val="BookTitle"/>
          <w:b/>
          <w:i w:val="0"/>
          <w:iCs w:val="0"/>
          <w:smallCaps w:val="0"/>
          <w:color w:val="auto"/>
          <w:spacing w:val="0"/>
        </w:rPr>
      </w:pPr>
    </w:p>
    <w:p w14:paraId="11CCD297" w14:textId="77777777" w:rsidR="00641272" w:rsidRPr="00562878" w:rsidRDefault="00641272" w:rsidP="00641272">
      <w:pPr>
        <w:widowControl w:val="0"/>
      </w:pPr>
      <w:r w:rsidRPr="00562878">
        <w:t xml:space="preserve">Yes. At full scheme, the Australian Government will fund 53 per cent and the states around 47 per cent of the total cost.  </w:t>
      </w:r>
    </w:p>
    <w:p w14:paraId="79B79E41" w14:textId="77777777" w:rsidR="00641272" w:rsidRPr="00562878" w:rsidRDefault="00641272" w:rsidP="001843D7">
      <w:pPr>
        <w:rPr>
          <w:rStyle w:val="BookTitle"/>
          <w:b/>
          <w:i w:val="0"/>
          <w:iCs w:val="0"/>
          <w:smallCaps w:val="0"/>
          <w:color w:val="auto"/>
          <w:spacing w:val="0"/>
        </w:rPr>
      </w:pPr>
    </w:p>
    <w:p w14:paraId="143F14AF" w14:textId="77777777" w:rsidR="00BE703E" w:rsidRPr="00562878" w:rsidRDefault="00BE703E" w:rsidP="00BE703E">
      <w:pPr>
        <w:pStyle w:val="ListParagraph"/>
        <w:numPr>
          <w:ilvl w:val="0"/>
          <w:numId w:val="5"/>
        </w:numPr>
        <w:rPr>
          <w:rStyle w:val="BookTitle"/>
          <w:b/>
          <w:i w:val="0"/>
          <w:iCs w:val="0"/>
          <w:smallCaps w:val="0"/>
          <w:color w:val="auto"/>
          <w:spacing w:val="0"/>
        </w:rPr>
      </w:pPr>
      <w:r w:rsidRPr="00562878">
        <w:rPr>
          <w:rStyle w:val="BookTitle"/>
          <w:b/>
          <w:i w:val="0"/>
          <w:iCs w:val="0"/>
          <w:smallCaps w:val="0"/>
          <w:color w:val="auto"/>
          <w:spacing w:val="0"/>
        </w:rPr>
        <w:lastRenderedPageBreak/>
        <w:t>Are the service providers chosen directly by persons with disabilities or is the choice made by other entities including companies, social security agencies, the government, medical insurance agencies, guardians or other thir</w:t>
      </w:r>
      <w:r w:rsidR="00011522" w:rsidRPr="00562878">
        <w:rPr>
          <w:rStyle w:val="BookTitle"/>
          <w:b/>
          <w:i w:val="0"/>
          <w:iCs w:val="0"/>
          <w:smallCaps w:val="0"/>
          <w:color w:val="auto"/>
          <w:spacing w:val="0"/>
        </w:rPr>
        <w:t>d</w:t>
      </w:r>
      <w:r w:rsidRPr="00562878">
        <w:rPr>
          <w:rStyle w:val="BookTitle"/>
          <w:b/>
          <w:i w:val="0"/>
          <w:iCs w:val="0"/>
          <w:smallCaps w:val="0"/>
          <w:color w:val="auto"/>
          <w:spacing w:val="0"/>
        </w:rPr>
        <w:t xml:space="preserve"> party?</w:t>
      </w:r>
    </w:p>
    <w:p w14:paraId="530934CC" w14:textId="77777777" w:rsidR="00B40AD3" w:rsidRPr="00562878" w:rsidRDefault="00B40AD3" w:rsidP="004514DA"/>
    <w:p w14:paraId="233B4AEE" w14:textId="77777777" w:rsidR="00641272" w:rsidRPr="00562878" w:rsidRDefault="00641272" w:rsidP="00641272">
      <w:r w:rsidRPr="00562878">
        <w:t>Under the NDIS, a participant of the scheme will have individualised planning processes to identify the reasonable and necessary supports they need to enable them to achieve their goals.</w:t>
      </w:r>
      <w:r w:rsidR="00FC59CF" w:rsidRPr="00562878">
        <w:t xml:space="preserve"> </w:t>
      </w:r>
    </w:p>
    <w:p w14:paraId="34B6579D" w14:textId="77777777" w:rsidR="00641272" w:rsidRPr="00562878" w:rsidRDefault="00641272" w:rsidP="00641272"/>
    <w:p w14:paraId="524C02FE" w14:textId="77777777" w:rsidR="00641272" w:rsidRPr="00562878" w:rsidRDefault="00641272" w:rsidP="00641272">
      <w:r w:rsidRPr="00562878">
        <w:t xml:space="preserve">The participant has flexibility to choose how and when supports are provided as part of developing and implementing an individual support plan.  This can include accessing mainstream and community supports, choosing support providers, choosing to change providers, and considering how formal supports fit best with those provided informally by family, friends and other carers.  </w:t>
      </w:r>
    </w:p>
    <w:p w14:paraId="491BA5C3" w14:textId="77777777" w:rsidR="00641272" w:rsidRPr="00562878" w:rsidRDefault="00641272" w:rsidP="00641272"/>
    <w:p w14:paraId="44B2FB5D" w14:textId="77777777" w:rsidR="00BE703E" w:rsidRPr="00562878" w:rsidRDefault="00BE703E" w:rsidP="00BE703E">
      <w:pPr>
        <w:pStyle w:val="ListParagraph"/>
        <w:numPr>
          <w:ilvl w:val="0"/>
          <w:numId w:val="5"/>
        </w:numPr>
        <w:rPr>
          <w:rStyle w:val="BookTitle"/>
          <w:b/>
          <w:i w:val="0"/>
          <w:iCs w:val="0"/>
          <w:smallCaps w:val="0"/>
          <w:color w:val="auto"/>
          <w:spacing w:val="0"/>
        </w:rPr>
      </w:pPr>
      <w:r w:rsidRPr="00562878">
        <w:rPr>
          <w:rStyle w:val="BookTitle"/>
          <w:b/>
          <w:i w:val="0"/>
          <w:iCs w:val="0"/>
          <w:smallCaps w:val="0"/>
          <w:color w:val="auto"/>
          <w:spacing w:val="0"/>
        </w:rPr>
        <w:t>Are persons with disabilities entitled to refuse the support offered and choose an alternative support?</w:t>
      </w:r>
      <w:r w:rsidR="004514DA" w:rsidRPr="00562878">
        <w:rPr>
          <w:rStyle w:val="BookTitle"/>
          <w:b/>
          <w:i w:val="0"/>
          <w:iCs w:val="0"/>
          <w:smallCaps w:val="0"/>
          <w:color w:val="auto"/>
          <w:spacing w:val="0"/>
        </w:rPr>
        <w:t xml:space="preserve"> </w:t>
      </w:r>
    </w:p>
    <w:p w14:paraId="2161EA3D" w14:textId="77777777" w:rsidR="0035154C" w:rsidRPr="00562878" w:rsidRDefault="0035154C" w:rsidP="004514DA"/>
    <w:p w14:paraId="4463FCA1" w14:textId="77777777" w:rsidR="00641272" w:rsidRPr="00562878" w:rsidRDefault="00641272" w:rsidP="00641272">
      <w:r w:rsidRPr="00562878">
        <w:t>Under the NDIS, the participant has control over how, when and where they receive supports.  They can arrange the details of support, such as when and how to receive supports, directly with their chosen provider.  The NDIS, in the sense meant by the question, does not link a participant to a particular provider.  The participant chooses a provider.</w:t>
      </w:r>
    </w:p>
    <w:p w14:paraId="4ADF777E" w14:textId="77777777" w:rsidR="00641272" w:rsidRPr="00562878" w:rsidRDefault="00641272" w:rsidP="00641272"/>
    <w:p w14:paraId="79F7EFCA" w14:textId="77777777" w:rsidR="0035154C" w:rsidRPr="00562878" w:rsidRDefault="00ED25C5" w:rsidP="0035154C">
      <w:r w:rsidRPr="00562878">
        <w:t>The participant</w:t>
      </w:r>
      <w:r w:rsidR="0035154C" w:rsidRPr="00562878">
        <w:t xml:space="preserve"> can </w:t>
      </w:r>
      <w:r w:rsidRPr="00562878">
        <w:t xml:space="preserve">also </w:t>
      </w:r>
      <w:r w:rsidR="0035154C" w:rsidRPr="00562878">
        <w:t>change their goals and plan, what supports they need, how supports are provided, and who provides these supports.</w:t>
      </w:r>
    </w:p>
    <w:p w14:paraId="37B7227A" w14:textId="77777777" w:rsidR="00432A25" w:rsidRPr="00562878" w:rsidRDefault="00432A25" w:rsidP="004514DA"/>
    <w:p w14:paraId="07B2732C" w14:textId="77777777" w:rsidR="004514DA" w:rsidRPr="00562878" w:rsidRDefault="004514DA" w:rsidP="004514DA">
      <w:pPr>
        <w:pStyle w:val="ListParagraph"/>
        <w:numPr>
          <w:ilvl w:val="0"/>
          <w:numId w:val="5"/>
        </w:numPr>
        <w:rPr>
          <w:rStyle w:val="BookTitle"/>
          <w:b/>
          <w:i w:val="0"/>
          <w:iCs w:val="0"/>
          <w:smallCaps w:val="0"/>
          <w:color w:val="auto"/>
          <w:spacing w:val="0"/>
        </w:rPr>
      </w:pPr>
      <w:r w:rsidRPr="00562878">
        <w:rPr>
          <w:rStyle w:val="BookTitle"/>
          <w:b/>
          <w:i w:val="0"/>
          <w:iCs w:val="0"/>
          <w:smallCaps w:val="0"/>
          <w:color w:val="auto"/>
          <w:spacing w:val="0"/>
        </w:rPr>
        <w:t>Can family members be service providers?</w:t>
      </w:r>
    </w:p>
    <w:p w14:paraId="63F91215" w14:textId="77777777" w:rsidR="00335F93" w:rsidRPr="00562878" w:rsidRDefault="00335F93" w:rsidP="004514DA"/>
    <w:p w14:paraId="6537AB2F" w14:textId="77777777" w:rsidR="00641272" w:rsidRPr="00562878" w:rsidRDefault="00641272" w:rsidP="00641272">
      <w:pPr>
        <w:rPr>
          <w:color w:val="1F497D"/>
        </w:rPr>
      </w:pPr>
      <w:r w:rsidRPr="00562878">
        <w:t xml:space="preserve">Family members </w:t>
      </w:r>
      <w:r w:rsidR="00403A9D" w:rsidRPr="00562878">
        <w:t>cannot</w:t>
      </w:r>
      <w:r w:rsidRPr="00562878">
        <w:t xml:space="preserve"> be employed to provide supports under the scheme unless there are exceptional circumstances, for example where there is </w:t>
      </w:r>
      <w:r w:rsidR="00FC59CF" w:rsidRPr="00562878">
        <w:t>no other provider available.</w:t>
      </w:r>
    </w:p>
    <w:p w14:paraId="23AF1812" w14:textId="77777777" w:rsidR="001E51F5" w:rsidRPr="00562878" w:rsidRDefault="001E51F5" w:rsidP="004514DA"/>
    <w:p w14:paraId="0F3B36E5" w14:textId="77777777" w:rsidR="004514DA" w:rsidRPr="00562878" w:rsidRDefault="004514DA" w:rsidP="004514DA">
      <w:pPr>
        <w:pStyle w:val="ListParagraph"/>
        <w:numPr>
          <w:ilvl w:val="0"/>
          <w:numId w:val="5"/>
        </w:numPr>
        <w:rPr>
          <w:rStyle w:val="BookTitle"/>
          <w:b/>
          <w:i w:val="0"/>
          <w:iCs w:val="0"/>
          <w:smallCaps w:val="0"/>
          <w:color w:val="auto"/>
          <w:spacing w:val="0"/>
        </w:rPr>
      </w:pPr>
      <w:r w:rsidRPr="00562878">
        <w:rPr>
          <w:rStyle w:val="BookTitle"/>
          <w:b/>
          <w:i w:val="0"/>
          <w:iCs w:val="0"/>
          <w:smallCaps w:val="0"/>
          <w:color w:val="auto"/>
          <w:spacing w:val="0"/>
        </w:rPr>
        <w:t>Are there public and private service providers to choose from?</w:t>
      </w:r>
    </w:p>
    <w:p w14:paraId="6DB5A630" w14:textId="77777777" w:rsidR="001E51F5" w:rsidRPr="00562878" w:rsidRDefault="001E51F5" w:rsidP="004514DA"/>
    <w:p w14:paraId="6CB565B6" w14:textId="77777777" w:rsidR="00641272" w:rsidRPr="00562878" w:rsidRDefault="00641272" w:rsidP="00641272">
      <w:r w:rsidRPr="00562878">
        <w:t>Unless a participant’s plan is managed by the NDIS Agency, there are no restrictions on who may provide funded supports under the plan, ex</w:t>
      </w:r>
      <w:r w:rsidR="00983371" w:rsidRPr="00562878">
        <w:t>cep</w:t>
      </w:r>
      <w:r w:rsidRPr="00562878">
        <w:t>t as restrictions outlined above on family members.</w:t>
      </w:r>
      <w:r w:rsidRPr="00562878">
        <w:br/>
      </w:r>
    </w:p>
    <w:p w14:paraId="060BF513" w14:textId="77777777" w:rsidR="00641272" w:rsidRPr="00562878" w:rsidRDefault="00641272" w:rsidP="00641272">
      <w:r w:rsidRPr="00562878">
        <w:t>The Agency has a list of registered providers which have met requirements in relation to qualifications, approvals, experience and capacity for the approved supports.  These include public and private service providers.</w:t>
      </w:r>
    </w:p>
    <w:p w14:paraId="13C59A6B" w14:textId="77777777" w:rsidR="0032245F" w:rsidRPr="00562878" w:rsidRDefault="0032245F" w:rsidP="004514DA"/>
    <w:p w14:paraId="1EC1BD69" w14:textId="77777777" w:rsidR="004514DA" w:rsidRPr="00562878" w:rsidRDefault="004514DA" w:rsidP="004514DA">
      <w:pPr>
        <w:pStyle w:val="ListParagraph"/>
        <w:numPr>
          <w:ilvl w:val="0"/>
          <w:numId w:val="5"/>
        </w:numPr>
        <w:rPr>
          <w:rStyle w:val="BookTitle"/>
          <w:b/>
          <w:i w:val="0"/>
          <w:iCs w:val="0"/>
          <w:smallCaps w:val="0"/>
          <w:color w:val="auto"/>
          <w:spacing w:val="0"/>
        </w:rPr>
      </w:pPr>
      <w:r w:rsidRPr="00562878">
        <w:rPr>
          <w:rStyle w:val="BookTitle"/>
          <w:b/>
          <w:i w:val="0"/>
          <w:iCs w:val="0"/>
          <w:smallCaps w:val="0"/>
          <w:color w:val="auto"/>
          <w:spacing w:val="0"/>
        </w:rPr>
        <w:t>Does the provision of services cover the entire country, in urban and rural areas with equal quality services?</w:t>
      </w:r>
    </w:p>
    <w:p w14:paraId="098C2403" w14:textId="77777777" w:rsidR="001E51F5" w:rsidRPr="00562878" w:rsidRDefault="001E51F5" w:rsidP="004514DA"/>
    <w:p w14:paraId="604E49C6" w14:textId="77777777" w:rsidR="00641272" w:rsidRPr="00562878" w:rsidRDefault="00641272" w:rsidP="00641272">
      <w:r w:rsidRPr="00562878">
        <w:t xml:space="preserve">Not at present.  The first stage of the NDIS began in the Hunter area in New South Wales (NSW), the Barwon area of Victoria, South Australia and Tasmania from 1 July 2013.  The Australian Capital Territory (ACT), the Barkly region of the Northern Territory and Western Australia joined the trial on 1 July 2014.  </w:t>
      </w:r>
    </w:p>
    <w:p w14:paraId="36712418" w14:textId="77777777" w:rsidR="00641272" w:rsidRPr="00562878" w:rsidRDefault="00641272" w:rsidP="00641272"/>
    <w:p w14:paraId="2D828D87" w14:textId="77777777" w:rsidR="00641272" w:rsidRPr="00562878" w:rsidRDefault="00641272" w:rsidP="00641272">
      <w:r w:rsidRPr="00562878">
        <w:t xml:space="preserve">The roll out to full scheme is currently scheduled for completion by 2019. </w:t>
      </w:r>
      <w:r w:rsidR="002069EE" w:rsidRPr="00562878">
        <w:t xml:space="preserve"> </w:t>
      </w:r>
      <w:r w:rsidRPr="00562878">
        <w:t>Until this time, people with disability who do not live in a trial site will continue to receive their supports through their current means, usually through State and Territory administered disability support arrangements.  These arrangements attempt to provide equal quality services as far as possible.</w:t>
      </w:r>
    </w:p>
    <w:p w14:paraId="047C4199" w14:textId="77777777" w:rsidR="00335F93" w:rsidRPr="00562878" w:rsidRDefault="00335F93" w:rsidP="004514DA">
      <w:pPr>
        <w:rPr>
          <w:rStyle w:val="BookTitle"/>
          <w:i w:val="0"/>
          <w:iCs w:val="0"/>
          <w:smallCaps w:val="0"/>
          <w:spacing w:val="0"/>
        </w:rPr>
      </w:pPr>
    </w:p>
    <w:p w14:paraId="2DED3DFC" w14:textId="77777777" w:rsidR="004514DA" w:rsidRPr="00562878" w:rsidRDefault="00BE703E" w:rsidP="004514DA">
      <w:pPr>
        <w:pStyle w:val="ListParagraph"/>
        <w:numPr>
          <w:ilvl w:val="0"/>
          <w:numId w:val="5"/>
        </w:numPr>
        <w:rPr>
          <w:rStyle w:val="BookTitle"/>
          <w:b/>
          <w:i w:val="0"/>
          <w:iCs w:val="0"/>
          <w:smallCaps w:val="0"/>
          <w:color w:val="auto"/>
          <w:spacing w:val="0"/>
        </w:rPr>
      </w:pPr>
      <w:r w:rsidRPr="00562878">
        <w:rPr>
          <w:rStyle w:val="BookTitle"/>
          <w:b/>
          <w:i w:val="0"/>
          <w:iCs w:val="0"/>
          <w:smallCaps w:val="0"/>
          <w:color w:val="auto"/>
          <w:spacing w:val="0"/>
        </w:rPr>
        <w:lastRenderedPageBreak/>
        <w:t>Are these services available to all persons with disabilities, regardless of their impairment (please use article 1(2) of the Convention on the Rights of Persons with Disabilities as reference for ‘persons with disabilities’)</w:t>
      </w:r>
      <w:r w:rsidR="004514DA" w:rsidRPr="00562878">
        <w:rPr>
          <w:rStyle w:val="BookTitle"/>
          <w:b/>
          <w:i w:val="0"/>
          <w:iCs w:val="0"/>
          <w:smallCaps w:val="0"/>
          <w:color w:val="auto"/>
          <w:spacing w:val="0"/>
        </w:rPr>
        <w:t>?</w:t>
      </w:r>
    </w:p>
    <w:p w14:paraId="016FB741" w14:textId="77777777" w:rsidR="00EC51C8" w:rsidRPr="00562878" w:rsidRDefault="00EC51C8" w:rsidP="004514DA"/>
    <w:p w14:paraId="35D5EFC3" w14:textId="77777777" w:rsidR="00641272" w:rsidRPr="00562878" w:rsidRDefault="00641272" w:rsidP="00641272">
      <w:pPr>
        <w:rPr>
          <w:color w:val="auto"/>
        </w:rPr>
      </w:pPr>
      <w:r w:rsidRPr="00562878">
        <w:rPr>
          <w:color w:val="auto"/>
        </w:rPr>
        <w:t xml:space="preserve">Participants must meet eligibility requirements regarding their disability, in addition to residency and age requirements.  The </w:t>
      </w:r>
      <w:r w:rsidRPr="00562878">
        <w:rPr>
          <w:i/>
          <w:color w:val="auto"/>
        </w:rPr>
        <w:t>NDIS Act 2013</w:t>
      </w:r>
      <w:r w:rsidRPr="00562878">
        <w:rPr>
          <w:color w:val="auto"/>
        </w:rPr>
        <w:t xml:space="preserve"> sets out the disability requirements as the following - </w:t>
      </w:r>
    </w:p>
    <w:p w14:paraId="6B5BD9B0" w14:textId="77777777" w:rsidR="00641272" w:rsidRPr="00562878" w:rsidRDefault="00641272" w:rsidP="00641272">
      <w:pPr>
        <w:pStyle w:val="NDISSubsection"/>
        <w:tabs>
          <w:tab w:val="left" w:pos="567"/>
        </w:tabs>
        <w:ind w:left="567" w:hanging="567"/>
        <w:rPr>
          <w:rFonts w:ascii="Times New Roman" w:hAnsi="Times New Roman" w:cs="Times New Roman"/>
          <w:sz w:val="24"/>
          <w:szCs w:val="24"/>
        </w:rPr>
      </w:pPr>
      <w:r w:rsidRPr="00562878">
        <w:rPr>
          <w:rFonts w:ascii="Times New Roman" w:hAnsi="Times New Roman" w:cs="Times New Roman"/>
          <w:sz w:val="24"/>
          <w:szCs w:val="24"/>
        </w:rPr>
        <w:t xml:space="preserve">The requirements are met if: </w:t>
      </w:r>
    </w:p>
    <w:p w14:paraId="3DBB360A" w14:textId="77777777" w:rsidR="00641272" w:rsidRPr="00562878" w:rsidRDefault="00641272" w:rsidP="00641272">
      <w:pPr>
        <w:pStyle w:val="NDISParagraph"/>
        <w:tabs>
          <w:tab w:val="left" w:pos="1134"/>
        </w:tabs>
        <w:ind w:left="1134" w:hanging="567"/>
        <w:rPr>
          <w:rFonts w:ascii="Times New Roman" w:hAnsi="Times New Roman" w:cs="Times New Roman"/>
          <w:sz w:val="24"/>
          <w:szCs w:val="24"/>
        </w:rPr>
      </w:pPr>
      <w:r w:rsidRPr="00562878">
        <w:rPr>
          <w:rFonts w:ascii="Times New Roman" w:hAnsi="Times New Roman" w:cs="Times New Roman"/>
          <w:sz w:val="24"/>
          <w:szCs w:val="24"/>
        </w:rPr>
        <w:t>(a)</w:t>
      </w:r>
      <w:r w:rsidRPr="00562878">
        <w:rPr>
          <w:rFonts w:ascii="Times New Roman" w:hAnsi="Times New Roman" w:cs="Times New Roman"/>
          <w:sz w:val="24"/>
          <w:szCs w:val="24"/>
        </w:rPr>
        <w:tab/>
      </w:r>
      <w:proofErr w:type="gramStart"/>
      <w:r w:rsidRPr="00562878">
        <w:rPr>
          <w:rFonts w:ascii="Times New Roman" w:hAnsi="Times New Roman" w:cs="Times New Roman"/>
          <w:sz w:val="24"/>
          <w:szCs w:val="24"/>
        </w:rPr>
        <w:t>the</w:t>
      </w:r>
      <w:proofErr w:type="gramEnd"/>
      <w:r w:rsidRPr="00562878">
        <w:rPr>
          <w:rFonts w:ascii="Times New Roman" w:hAnsi="Times New Roman" w:cs="Times New Roman"/>
          <w:sz w:val="24"/>
          <w:szCs w:val="24"/>
        </w:rPr>
        <w:t xml:space="preserve"> person has a disability that is attributable to one or more intellectual, cognitive, neurological, sensory or physical impairments, or to one or more impairments attributable to a psychiatric condition; </w:t>
      </w:r>
    </w:p>
    <w:p w14:paraId="5214F646" w14:textId="77777777" w:rsidR="00641272" w:rsidRPr="00562878" w:rsidRDefault="00641272" w:rsidP="00641272">
      <w:pPr>
        <w:pStyle w:val="NDISParagraph"/>
        <w:tabs>
          <w:tab w:val="left" w:pos="1134"/>
        </w:tabs>
        <w:ind w:left="1134" w:hanging="567"/>
        <w:rPr>
          <w:rFonts w:ascii="Times New Roman" w:hAnsi="Times New Roman" w:cs="Times New Roman"/>
          <w:sz w:val="24"/>
          <w:szCs w:val="24"/>
        </w:rPr>
      </w:pPr>
      <w:bookmarkStart w:id="0" w:name="_AGSRef53387308"/>
      <w:r w:rsidRPr="00562878">
        <w:rPr>
          <w:rFonts w:ascii="Times New Roman" w:hAnsi="Times New Roman" w:cs="Times New Roman"/>
          <w:sz w:val="24"/>
          <w:szCs w:val="24"/>
        </w:rPr>
        <w:t>(b)</w:t>
      </w:r>
      <w:r w:rsidRPr="00562878">
        <w:rPr>
          <w:rFonts w:ascii="Times New Roman" w:hAnsi="Times New Roman" w:cs="Times New Roman"/>
          <w:sz w:val="24"/>
          <w:szCs w:val="24"/>
        </w:rPr>
        <w:tab/>
      </w:r>
      <w:proofErr w:type="gramStart"/>
      <w:r w:rsidRPr="00562878">
        <w:rPr>
          <w:rFonts w:ascii="Times New Roman" w:hAnsi="Times New Roman" w:cs="Times New Roman"/>
          <w:sz w:val="24"/>
          <w:szCs w:val="24"/>
        </w:rPr>
        <w:t>the</w:t>
      </w:r>
      <w:proofErr w:type="gramEnd"/>
      <w:r w:rsidRPr="00562878">
        <w:rPr>
          <w:rFonts w:ascii="Times New Roman" w:hAnsi="Times New Roman" w:cs="Times New Roman"/>
          <w:sz w:val="24"/>
          <w:szCs w:val="24"/>
        </w:rPr>
        <w:t xml:space="preserve"> person’s impairment or impairments are, or are likely to be, permanent; </w:t>
      </w:r>
      <w:bookmarkEnd w:id="0"/>
    </w:p>
    <w:p w14:paraId="0938B0B4" w14:textId="77777777" w:rsidR="00641272" w:rsidRPr="00562878" w:rsidRDefault="00641272" w:rsidP="00641272">
      <w:pPr>
        <w:pStyle w:val="NDISParagraph"/>
        <w:tabs>
          <w:tab w:val="left" w:pos="1134"/>
        </w:tabs>
        <w:ind w:left="1134" w:hanging="567"/>
        <w:rPr>
          <w:rFonts w:ascii="Times New Roman" w:hAnsi="Times New Roman" w:cs="Times New Roman"/>
          <w:sz w:val="24"/>
          <w:szCs w:val="24"/>
        </w:rPr>
      </w:pPr>
      <w:r w:rsidRPr="00562878">
        <w:rPr>
          <w:rFonts w:ascii="Times New Roman" w:hAnsi="Times New Roman" w:cs="Times New Roman"/>
          <w:sz w:val="24"/>
          <w:szCs w:val="24"/>
        </w:rPr>
        <w:t>(c)</w:t>
      </w:r>
      <w:r w:rsidRPr="00562878">
        <w:rPr>
          <w:rFonts w:ascii="Times New Roman" w:hAnsi="Times New Roman" w:cs="Times New Roman"/>
          <w:sz w:val="24"/>
          <w:szCs w:val="24"/>
        </w:rPr>
        <w:tab/>
      </w:r>
      <w:proofErr w:type="gramStart"/>
      <w:r w:rsidRPr="00562878">
        <w:rPr>
          <w:rFonts w:ascii="Times New Roman" w:hAnsi="Times New Roman" w:cs="Times New Roman"/>
          <w:sz w:val="24"/>
          <w:szCs w:val="24"/>
        </w:rPr>
        <w:t>the</w:t>
      </w:r>
      <w:proofErr w:type="gramEnd"/>
      <w:r w:rsidRPr="00562878">
        <w:rPr>
          <w:rFonts w:ascii="Times New Roman" w:hAnsi="Times New Roman" w:cs="Times New Roman"/>
          <w:sz w:val="24"/>
          <w:szCs w:val="24"/>
        </w:rPr>
        <w:t xml:space="preserve"> impairment or impairments result in substantially reduced functional capacity to undertake, or psychosocial functioning in undertaking, one or more of the following activities: communication, social interaction, learning, mobility, self</w:t>
      </w:r>
      <w:r w:rsidR="002069EE" w:rsidRPr="00562878">
        <w:rPr>
          <w:rFonts w:ascii="Times New Roman" w:hAnsi="Times New Roman" w:cs="Times New Roman"/>
          <w:sz w:val="24"/>
          <w:szCs w:val="24"/>
        </w:rPr>
        <w:noBreakHyphen/>
      </w:r>
      <w:r w:rsidRPr="00562878">
        <w:rPr>
          <w:rFonts w:ascii="Times New Roman" w:hAnsi="Times New Roman" w:cs="Times New Roman"/>
          <w:sz w:val="24"/>
          <w:szCs w:val="24"/>
        </w:rPr>
        <w:t xml:space="preserve">care, self-management; </w:t>
      </w:r>
    </w:p>
    <w:p w14:paraId="5EDF91A0" w14:textId="77777777" w:rsidR="00641272" w:rsidRPr="00562878" w:rsidRDefault="00641272" w:rsidP="00641272">
      <w:pPr>
        <w:pStyle w:val="NDISParagraph"/>
        <w:tabs>
          <w:tab w:val="left" w:pos="1134"/>
        </w:tabs>
        <w:ind w:left="1134" w:hanging="567"/>
        <w:rPr>
          <w:rFonts w:ascii="Times New Roman" w:hAnsi="Times New Roman" w:cs="Times New Roman"/>
          <w:sz w:val="24"/>
          <w:szCs w:val="24"/>
        </w:rPr>
      </w:pPr>
      <w:r w:rsidRPr="00562878">
        <w:rPr>
          <w:rFonts w:ascii="Times New Roman" w:hAnsi="Times New Roman" w:cs="Times New Roman"/>
          <w:sz w:val="24"/>
          <w:szCs w:val="24"/>
        </w:rPr>
        <w:t>(d)</w:t>
      </w:r>
      <w:r w:rsidRPr="00562878">
        <w:rPr>
          <w:rFonts w:ascii="Times New Roman" w:hAnsi="Times New Roman" w:cs="Times New Roman"/>
          <w:sz w:val="24"/>
          <w:szCs w:val="24"/>
        </w:rPr>
        <w:tab/>
      </w:r>
      <w:proofErr w:type="gramStart"/>
      <w:r w:rsidRPr="00562878">
        <w:rPr>
          <w:rFonts w:ascii="Times New Roman" w:hAnsi="Times New Roman" w:cs="Times New Roman"/>
          <w:sz w:val="24"/>
          <w:szCs w:val="24"/>
        </w:rPr>
        <w:t>the</w:t>
      </w:r>
      <w:proofErr w:type="gramEnd"/>
      <w:r w:rsidRPr="00562878">
        <w:rPr>
          <w:rFonts w:ascii="Times New Roman" w:hAnsi="Times New Roman" w:cs="Times New Roman"/>
          <w:sz w:val="24"/>
          <w:szCs w:val="24"/>
        </w:rPr>
        <w:t xml:space="preserve"> impairment or impairments affect the person’s capacity for social and economic participation; and</w:t>
      </w:r>
    </w:p>
    <w:p w14:paraId="41E295B8" w14:textId="77777777" w:rsidR="00641272" w:rsidRPr="00562878" w:rsidRDefault="00641272" w:rsidP="00641272">
      <w:pPr>
        <w:pStyle w:val="NDISParagraph"/>
        <w:tabs>
          <w:tab w:val="left" w:pos="1134"/>
        </w:tabs>
        <w:ind w:left="1134" w:hanging="567"/>
        <w:rPr>
          <w:rFonts w:ascii="Times New Roman" w:hAnsi="Times New Roman" w:cs="Times New Roman"/>
          <w:sz w:val="24"/>
          <w:szCs w:val="24"/>
        </w:rPr>
      </w:pPr>
      <w:r w:rsidRPr="00562878">
        <w:rPr>
          <w:rFonts w:ascii="Times New Roman" w:hAnsi="Times New Roman" w:cs="Times New Roman"/>
          <w:sz w:val="24"/>
          <w:szCs w:val="24"/>
        </w:rPr>
        <w:t>(e)</w:t>
      </w:r>
      <w:r w:rsidRPr="00562878">
        <w:rPr>
          <w:rFonts w:ascii="Times New Roman" w:hAnsi="Times New Roman" w:cs="Times New Roman"/>
          <w:sz w:val="24"/>
          <w:szCs w:val="24"/>
        </w:rPr>
        <w:tab/>
      </w:r>
      <w:proofErr w:type="gramStart"/>
      <w:r w:rsidRPr="00562878">
        <w:rPr>
          <w:rFonts w:ascii="Times New Roman" w:hAnsi="Times New Roman" w:cs="Times New Roman"/>
          <w:sz w:val="24"/>
          <w:szCs w:val="24"/>
        </w:rPr>
        <w:t>the</w:t>
      </w:r>
      <w:proofErr w:type="gramEnd"/>
      <w:r w:rsidRPr="00562878">
        <w:rPr>
          <w:rFonts w:ascii="Times New Roman" w:hAnsi="Times New Roman" w:cs="Times New Roman"/>
          <w:sz w:val="24"/>
          <w:szCs w:val="24"/>
        </w:rPr>
        <w:t xml:space="preserve"> person is likely to require support under the NDIS for the person’s lifetime. </w:t>
      </w:r>
    </w:p>
    <w:p w14:paraId="2C969195" w14:textId="77777777" w:rsidR="00A521E8" w:rsidRPr="00562878" w:rsidRDefault="00A521E8" w:rsidP="004514DA"/>
    <w:p w14:paraId="275BBD86" w14:textId="77777777" w:rsidR="00BE703E" w:rsidRPr="00562878" w:rsidRDefault="00BE703E" w:rsidP="00BE703E">
      <w:pPr>
        <w:pStyle w:val="ListParagraph"/>
        <w:numPr>
          <w:ilvl w:val="0"/>
          <w:numId w:val="5"/>
        </w:numPr>
        <w:rPr>
          <w:rStyle w:val="BookTitle"/>
          <w:b/>
          <w:i w:val="0"/>
          <w:iCs w:val="0"/>
          <w:smallCaps w:val="0"/>
          <w:color w:val="auto"/>
          <w:spacing w:val="0"/>
        </w:rPr>
      </w:pPr>
      <w:r w:rsidRPr="00562878">
        <w:rPr>
          <w:rStyle w:val="BookTitle"/>
          <w:b/>
          <w:i w:val="0"/>
          <w:iCs w:val="0"/>
          <w:smallCaps w:val="0"/>
          <w:color w:val="auto"/>
          <w:spacing w:val="0"/>
        </w:rPr>
        <w:t>Please, specify what Ministry is in charge of implementing these policies on provision of services.</w:t>
      </w:r>
    </w:p>
    <w:p w14:paraId="05828098" w14:textId="77777777" w:rsidR="00DA7410" w:rsidRPr="00562878" w:rsidRDefault="00DA7410" w:rsidP="004514DA"/>
    <w:p w14:paraId="7A8C028F" w14:textId="77777777" w:rsidR="00641272" w:rsidRPr="00562878" w:rsidRDefault="00641272" w:rsidP="00641272">
      <w:r w:rsidRPr="00562878">
        <w:t xml:space="preserve">Senator the Hon Mitch Fifield, Assistant Minister for Social Services, is responsible for administering the </w:t>
      </w:r>
      <w:r w:rsidRPr="00562878">
        <w:rPr>
          <w:i/>
        </w:rPr>
        <w:t>National Disability Insurance Scheme Act 2013</w:t>
      </w:r>
      <w:r w:rsidRPr="00562878">
        <w:t>, and exercises statutory powers with the agreement of states and territories, including a power to make the NDIS Rules and give general directions and strategic guidance to the National Disability Insurance Agency.</w:t>
      </w:r>
    </w:p>
    <w:p w14:paraId="684B22C1" w14:textId="77777777" w:rsidR="00641272" w:rsidRPr="00562878" w:rsidRDefault="00641272" w:rsidP="00641272"/>
    <w:p w14:paraId="25813B3A" w14:textId="77777777" w:rsidR="00641272" w:rsidRPr="00562878" w:rsidRDefault="00641272" w:rsidP="00641272">
      <w:r w:rsidRPr="00562878">
        <w:t>The National Disability Insurance Scheme is a nationally based scheme with funding and governance shared amongst all governments.  All Australian governments will continue to be involved in decisions relating to the scheme’s policy, funding and governance.</w:t>
      </w:r>
    </w:p>
    <w:p w14:paraId="69C9F63C" w14:textId="77777777" w:rsidR="00641272" w:rsidRPr="00562878" w:rsidRDefault="00641272" w:rsidP="00641272"/>
    <w:p w14:paraId="03F857A8" w14:textId="77777777" w:rsidR="00641272" w:rsidRPr="00562878" w:rsidRDefault="00641272" w:rsidP="00641272">
      <w:r w:rsidRPr="00562878">
        <w:t>The governance model for the National Disability Insurance Scheme is outlined in the</w:t>
      </w:r>
      <w:r w:rsidRPr="00562878">
        <w:rPr>
          <w:i/>
        </w:rPr>
        <w:t xml:space="preserve"> National Disability Insurance Scheme Act 2013</w:t>
      </w:r>
      <w:r w:rsidRPr="00562878">
        <w:t xml:space="preserve">.  </w:t>
      </w:r>
    </w:p>
    <w:p w14:paraId="6947852C" w14:textId="77777777" w:rsidR="00DC0129" w:rsidRPr="00562878" w:rsidRDefault="00DC0129">
      <w:pPr>
        <w:spacing w:after="200" w:line="276" w:lineRule="auto"/>
      </w:pPr>
      <w:r w:rsidRPr="00562878">
        <w:br w:type="page"/>
      </w:r>
    </w:p>
    <w:p w14:paraId="77CCCB36" w14:textId="77777777" w:rsidR="00641272" w:rsidRPr="00562878" w:rsidRDefault="00641272" w:rsidP="00641272"/>
    <w:p w14:paraId="069CDBD8" w14:textId="77777777" w:rsidR="00BE703E" w:rsidRPr="00562878" w:rsidRDefault="000147DB" w:rsidP="00BE703E">
      <w:pPr>
        <w:rPr>
          <w:rStyle w:val="BookTitle"/>
          <w:i w:val="0"/>
          <w:iCs w:val="0"/>
          <w:smallCaps w:val="0"/>
          <w:color w:val="auto"/>
          <w:spacing w:val="0"/>
        </w:rPr>
      </w:pPr>
      <w:r w:rsidRPr="00562878">
        <w:rPr>
          <w:rStyle w:val="BookTitle"/>
          <w:b/>
          <w:i w:val="0"/>
          <w:iCs w:val="0"/>
          <w:smallCaps w:val="0"/>
          <w:color w:val="auto"/>
          <w:spacing w:val="0"/>
        </w:rPr>
        <w:t>4.</w:t>
      </w:r>
      <w:r w:rsidRPr="00562878">
        <w:rPr>
          <w:rStyle w:val="BookTitle"/>
          <w:b/>
          <w:i w:val="0"/>
          <w:iCs w:val="0"/>
          <w:smallCaps w:val="0"/>
          <w:color w:val="auto"/>
          <w:spacing w:val="0"/>
        </w:rPr>
        <w:tab/>
        <w:t xml:space="preserve">Does your country have an independent accountability mechanism in place to monitor the implementation of the </w:t>
      </w:r>
      <w:proofErr w:type="spellStart"/>
      <w:r w:rsidRPr="00562878">
        <w:rPr>
          <w:rStyle w:val="BookTitle"/>
          <w:b/>
          <w:i w:val="0"/>
          <w:iCs w:val="0"/>
          <w:smallCaps w:val="0"/>
          <w:color w:val="auto"/>
          <w:spacing w:val="0"/>
        </w:rPr>
        <w:t>deinstitionalization</w:t>
      </w:r>
      <w:proofErr w:type="spellEnd"/>
      <w:r w:rsidRPr="00562878">
        <w:rPr>
          <w:rStyle w:val="BookTitle"/>
          <w:b/>
          <w:i w:val="0"/>
          <w:iCs w:val="0"/>
          <w:smallCaps w:val="0"/>
          <w:color w:val="auto"/>
          <w:spacing w:val="0"/>
        </w:rPr>
        <w:t xml:space="preserve"> policies to avoid abuse in current segregated settings and to ensure access to justice, if needed?</w:t>
      </w:r>
    </w:p>
    <w:p w14:paraId="4AAA9F72" w14:textId="77777777" w:rsidR="000147DB" w:rsidRPr="00562878" w:rsidRDefault="000147DB" w:rsidP="00BE703E">
      <w:pPr>
        <w:rPr>
          <w:rStyle w:val="BookTitle"/>
          <w:i w:val="0"/>
          <w:iCs w:val="0"/>
          <w:smallCaps w:val="0"/>
          <w:spacing w:val="0"/>
        </w:rPr>
      </w:pPr>
    </w:p>
    <w:p w14:paraId="0EB3B82D" w14:textId="77777777" w:rsidR="00641272" w:rsidRPr="00562878" w:rsidRDefault="00641272" w:rsidP="00641272">
      <w:r w:rsidRPr="00562878">
        <w:t xml:space="preserve">Disability support services (including residential care) and the accountability mechanisms governing those </w:t>
      </w:r>
      <w:proofErr w:type="gramStart"/>
      <w:r w:rsidRPr="00562878">
        <w:t>supports,</w:t>
      </w:r>
      <w:proofErr w:type="gramEnd"/>
      <w:r w:rsidRPr="00562878">
        <w:t xml:space="preserve"> are currently the responsibility of state and territory governments.  </w:t>
      </w:r>
    </w:p>
    <w:p w14:paraId="1FAD4F12" w14:textId="77777777" w:rsidR="00641272" w:rsidRPr="00562878" w:rsidRDefault="00641272" w:rsidP="00641272"/>
    <w:p w14:paraId="56BF2C45" w14:textId="77777777" w:rsidR="00641272" w:rsidRPr="00562878" w:rsidRDefault="00641272" w:rsidP="00641272">
      <w:r w:rsidRPr="00562878">
        <w:t xml:space="preserve">These services will be the responsibility of the National Disability Insurance Scheme (NDIS) from 2019, when the full NDIS scheme comes into place.  Officials from all jurisdictions are currently working together to develop a nationally consistent, risk based, approach to quality and safeguards.   In the interim state and territory governments maintain a range of safeguards including, in some jurisdiction, independent statutory office holders with broad oversight powers. </w:t>
      </w:r>
    </w:p>
    <w:p w14:paraId="7F123EE2" w14:textId="77777777" w:rsidR="00641272" w:rsidRPr="00562878" w:rsidRDefault="00641272" w:rsidP="00641272"/>
    <w:p w14:paraId="7A0372E9" w14:textId="77777777" w:rsidR="004F2EC6" w:rsidRPr="00562878" w:rsidRDefault="004F2EC6" w:rsidP="00BA7611">
      <w:r w:rsidRPr="00562878">
        <w:t>Australia strongly supports the rights of people with disability to exercise their legal capacity, and recognises that, in some cases, people with disability may require support in exercising that capacity.  The Australian Government has commissioned an inquiry into whether there are Commonwealth laws that deny or diminish equal recognition of people with disabilities as persons before the law and their ability to exercise legal capacity.  The inquiry is due to report in August 2014.</w:t>
      </w:r>
    </w:p>
    <w:p w14:paraId="715C5CF0" w14:textId="77777777" w:rsidR="004F2EC6" w:rsidRPr="00562878" w:rsidRDefault="004F2EC6" w:rsidP="00BA7611"/>
    <w:p w14:paraId="7F664C9C" w14:textId="77777777" w:rsidR="004F2EC6" w:rsidRPr="00562878" w:rsidRDefault="004F2EC6" w:rsidP="004F2EC6">
      <w:pPr>
        <w:spacing w:line="360" w:lineRule="auto"/>
        <w:rPr>
          <w:rFonts w:cstheme="minorHAnsi"/>
          <w:i/>
        </w:rPr>
      </w:pPr>
      <w:r w:rsidRPr="00562878">
        <w:rPr>
          <w:rFonts w:cstheme="minorHAnsi"/>
          <w:i/>
        </w:rPr>
        <w:t>Guardianship</w:t>
      </w:r>
    </w:p>
    <w:p w14:paraId="1295EC65" w14:textId="77777777" w:rsidR="004F2EC6" w:rsidRPr="00562878" w:rsidRDefault="004F2EC6" w:rsidP="00BA7611">
      <w:r w:rsidRPr="00562878">
        <w:t xml:space="preserve">Guardianship laws are different in each State and Territory.  There are procedures for review of guardianship decisions in each jurisdiction.  </w:t>
      </w:r>
    </w:p>
    <w:p w14:paraId="1C9A8B93" w14:textId="77777777" w:rsidR="004F2EC6" w:rsidRPr="00562878" w:rsidRDefault="004F2EC6" w:rsidP="00BA7611"/>
    <w:p w14:paraId="6FE958AC" w14:textId="77777777" w:rsidR="004F2EC6" w:rsidRPr="00562878" w:rsidRDefault="004F2EC6" w:rsidP="004F2EC6">
      <w:pPr>
        <w:spacing w:line="360" w:lineRule="auto"/>
        <w:rPr>
          <w:rFonts w:cstheme="minorHAnsi"/>
          <w:i/>
        </w:rPr>
      </w:pPr>
      <w:r w:rsidRPr="00562878">
        <w:rPr>
          <w:rFonts w:cstheme="minorHAnsi"/>
          <w:i/>
        </w:rPr>
        <w:t>Mental Health</w:t>
      </w:r>
    </w:p>
    <w:p w14:paraId="65FBA941" w14:textId="77777777" w:rsidR="004F2EC6" w:rsidRPr="00562878" w:rsidRDefault="004F2EC6" w:rsidP="00BA7611">
      <w:r w:rsidRPr="00562878">
        <w:t xml:space="preserve">In Australia, the focus of mental health policies and programs are aimed at providing sufficient community-based services to adequately support people within their communities to prevent their hospitalisation or involuntary treatment.  States and Territories manage specialised, community-based mental health services, which provide ongoing clinical and psychosocial support to people with persistent mental illness.   </w:t>
      </w:r>
    </w:p>
    <w:p w14:paraId="02991CAD" w14:textId="77777777" w:rsidR="004F2EC6" w:rsidRPr="00562878" w:rsidRDefault="004F2EC6" w:rsidP="00BA7611"/>
    <w:p w14:paraId="46EDC834" w14:textId="77777777" w:rsidR="004F2EC6" w:rsidRPr="00562878" w:rsidRDefault="004F2EC6" w:rsidP="00BA7611">
      <w:r w:rsidRPr="00562878">
        <w:t xml:space="preserve">Mental Health reform is taking place in the States and Territories. </w:t>
      </w:r>
      <w:r w:rsidR="00253ADA" w:rsidRPr="00562878">
        <w:t xml:space="preserve"> </w:t>
      </w:r>
      <w:r w:rsidRPr="00562878">
        <w:t xml:space="preserve">Australian Governments are actively working to ensure that approaches to mental health service delivery recognise and respect the rights of persons with disabilities. </w:t>
      </w:r>
      <w:r w:rsidR="00253ADA" w:rsidRPr="00562878">
        <w:t xml:space="preserve"> </w:t>
      </w:r>
      <w:r w:rsidRPr="00562878">
        <w:t xml:space="preserve">For example, Queensland is reviewing its </w:t>
      </w:r>
      <w:r w:rsidRPr="00562878">
        <w:rPr>
          <w:i/>
        </w:rPr>
        <w:t>Mental Health Act 2000</w:t>
      </w:r>
      <w:r w:rsidRPr="00562878">
        <w:t xml:space="preserve"> (QLD) to ensure that it reflects contemporary mental health service delivery requirements and the obligations in the Convention.  The Western Australian government has developed a strategic plan for mental health called Mental Health 2020: Making it Personal and Everybody’s Business. </w:t>
      </w:r>
      <w:r w:rsidR="00253ADA" w:rsidRPr="00562878">
        <w:t xml:space="preserve"> </w:t>
      </w:r>
      <w:r w:rsidRPr="00562878">
        <w:t xml:space="preserve">The Strategic plan proposes greater emphasis on services capable of supporting people to live well in the community and avoid hospital admissions. </w:t>
      </w:r>
    </w:p>
    <w:p w14:paraId="2B2644F1" w14:textId="77777777" w:rsidR="00A05BD7" w:rsidRPr="00562878" w:rsidRDefault="00A05BD7" w:rsidP="00072EB1">
      <w:pPr>
        <w:rPr>
          <w:rStyle w:val="BookTitle"/>
          <w:i w:val="0"/>
          <w:iCs w:val="0"/>
          <w:smallCaps w:val="0"/>
          <w:spacing w:val="0"/>
        </w:rPr>
      </w:pPr>
    </w:p>
    <w:p w14:paraId="762F980E" w14:textId="77777777" w:rsidR="004F2EC6" w:rsidRPr="00562878" w:rsidRDefault="004F2EC6" w:rsidP="004F2EC6">
      <w:pPr>
        <w:spacing w:line="360" w:lineRule="auto"/>
        <w:sectPr w:rsidR="004F2EC6" w:rsidRPr="00562878" w:rsidSect="00983371">
          <w:headerReference w:type="default" r:id="rId9"/>
          <w:pgSz w:w="11906" w:h="16838"/>
          <w:pgMar w:top="1440" w:right="1080" w:bottom="1440" w:left="1080" w:header="708" w:footer="708" w:gutter="0"/>
          <w:cols w:space="708"/>
          <w:docGrid w:linePitch="360"/>
        </w:sectPr>
      </w:pPr>
    </w:p>
    <w:p w14:paraId="1AE94E5E" w14:textId="77777777" w:rsidR="00310A1D" w:rsidRPr="00562878" w:rsidRDefault="004F2EC6" w:rsidP="00BA7611">
      <w:pPr>
        <w:rPr>
          <w:b/>
        </w:rPr>
      </w:pPr>
      <w:r w:rsidRPr="00562878">
        <w:rPr>
          <w:b/>
        </w:rPr>
        <w:lastRenderedPageBreak/>
        <w:t>5</w:t>
      </w:r>
      <w:r w:rsidR="000425CF" w:rsidRPr="00562878">
        <w:rPr>
          <w:b/>
        </w:rPr>
        <w:t>.</w:t>
      </w:r>
      <w:r w:rsidR="00310A1D" w:rsidRPr="00562878">
        <w:rPr>
          <w:b/>
        </w:rPr>
        <w:t xml:space="preserve"> </w:t>
      </w:r>
      <w:r w:rsidRPr="00562878">
        <w:rPr>
          <w:b/>
        </w:rPr>
        <w:t xml:space="preserve"> Does your country have disaggregated data on persons with disabilities, including women, children and older </w:t>
      </w:r>
      <w:proofErr w:type="gramStart"/>
      <w:r w:rsidRPr="00562878">
        <w:rPr>
          <w:b/>
        </w:rPr>
        <w:t>persons:</w:t>
      </w:r>
      <w:proofErr w:type="gramEnd"/>
      <w:r w:rsidRPr="00562878">
        <w:rPr>
          <w:b/>
        </w:rPr>
        <w:t xml:space="preserve">  </w:t>
      </w:r>
    </w:p>
    <w:p w14:paraId="03703A9A" w14:textId="77777777" w:rsidR="004F2EC6" w:rsidRPr="00562878" w:rsidRDefault="004F2EC6" w:rsidP="00BA7611">
      <w:pPr>
        <w:rPr>
          <w:b/>
        </w:rPr>
      </w:pPr>
      <w:r w:rsidRPr="00562878">
        <w:rPr>
          <w:b/>
        </w:rPr>
        <w:t>(a) Profiting from public housing programs and support services (compared to the general population) that enable them to live in the community?</w:t>
      </w:r>
    </w:p>
    <w:p w14:paraId="0384E03E" w14:textId="77777777" w:rsidR="00310A1D" w:rsidRPr="00562878" w:rsidRDefault="00310A1D" w:rsidP="00BA7611">
      <w:pPr>
        <w:rPr>
          <w:b/>
        </w:rPr>
      </w:pPr>
    </w:p>
    <w:p w14:paraId="1B9B6A24" w14:textId="77777777" w:rsidR="004F2EC6" w:rsidRPr="00562878" w:rsidRDefault="004F2EC6" w:rsidP="00BA7611">
      <w:r w:rsidRPr="00562878">
        <w:t xml:space="preserve">The Australian Government collects disaggregated data on persons with disabilities, including women, children over 15 years and older persons, being resident in a household receiving government housing assistance. </w:t>
      </w:r>
    </w:p>
    <w:p w14:paraId="3443A2B9" w14:textId="77777777" w:rsidR="00310A1D" w:rsidRPr="00562878" w:rsidRDefault="00310A1D" w:rsidP="00BA7611"/>
    <w:p w14:paraId="21C65D2A" w14:textId="77777777" w:rsidR="004F2EC6" w:rsidRPr="00562878" w:rsidRDefault="004F2EC6" w:rsidP="004F2EC6">
      <w:pPr>
        <w:sectPr w:rsidR="004F2EC6" w:rsidRPr="00562878" w:rsidSect="007C1117">
          <w:footerReference w:type="default" r:id="rId10"/>
          <w:pgSz w:w="16838" w:h="11906" w:orient="landscape"/>
          <w:pgMar w:top="1440" w:right="1440" w:bottom="1440" w:left="1440" w:header="709" w:footer="709" w:gutter="0"/>
          <w:cols w:space="708"/>
          <w:docGrid w:linePitch="360"/>
        </w:sectPr>
      </w:pPr>
      <w:r w:rsidRPr="00562878">
        <w:rPr>
          <w:noProof/>
          <w:lang w:val="en-US" w:eastAsia="en-US"/>
        </w:rPr>
        <w:drawing>
          <wp:anchor distT="0" distB="0" distL="114300" distR="114300" simplePos="0" relativeHeight="251658240" behindDoc="0" locked="0" layoutInCell="1" allowOverlap="1" wp14:anchorId="685C6107" wp14:editId="3B034374">
            <wp:simplePos x="0" y="0"/>
            <wp:positionH relativeFrom="column">
              <wp:align>left</wp:align>
            </wp:positionH>
            <wp:positionV relativeFrom="paragraph">
              <wp:align>top</wp:align>
            </wp:positionV>
            <wp:extent cx="8296275" cy="442658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6275" cy="4426585"/>
                    </a:xfrm>
                    <a:prstGeom prst="rect">
                      <a:avLst/>
                    </a:prstGeom>
                    <a:noFill/>
                    <a:ln>
                      <a:noFill/>
                    </a:ln>
                  </pic:spPr>
                </pic:pic>
              </a:graphicData>
            </a:graphic>
          </wp:anchor>
        </w:drawing>
      </w:r>
      <w:r w:rsidR="00310A1D" w:rsidRPr="00562878">
        <w:br w:type="textWrapping" w:clear="all"/>
      </w:r>
    </w:p>
    <w:p w14:paraId="51F0D273" w14:textId="77777777" w:rsidR="004F2EC6" w:rsidRPr="00562878" w:rsidRDefault="004F2EC6" w:rsidP="00BA7611">
      <w:pPr>
        <w:rPr>
          <w:rFonts w:cstheme="minorHAnsi"/>
        </w:rPr>
      </w:pPr>
      <w:r w:rsidRPr="00562878">
        <w:rPr>
          <w:rFonts w:cstheme="minorHAnsi"/>
        </w:rPr>
        <w:lastRenderedPageBreak/>
        <w:t>Australian governments are working to increase the provision of accessible and well-designed housing, including mainstream housing and supported accommodation, in order to enable people with disability to have individual choice and freedom over where they live.</w:t>
      </w:r>
      <w:r w:rsidRPr="00562878">
        <w:rPr>
          <w:rStyle w:val="FootnoteReference"/>
          <w:rFonts w:cstheme="minorHAnsi"/>
        </w:rPr>
        <w:footnoteReference w:id="1"/>
      </w:r>
      <w:r w:rsidRPr="00562878">
        <w:rPr>
          <w:rFonts w:cstheme="minorHAnsi"/>
        </w:rPr>
        <w:t xml:space="preserve">  State and Territory disability services fund a range of supports to support people with disability to live independently and be included in the community.</w:t>
      </w:r>
    </w:p>
    <w:p w14:paraId="1EC6567A" w14:textId="77777777" w:rsidR="004F2EC6" w:rsidRPr="00562878" w:rsidRDefault="004F2EC6" w:rsidP="00BA7611">
      <w:pPr>
        <w:rPr>
          <w:rFonts w:cstheme="minorHAnsi"/>
          <w:i/>
        </w:rPr>
      </w:pPr>
    </w:p>
    <w:p w14:paraId="39F051D9" w14:textId="77777777" w:rsidR="004F2EC6" w:rsidRPr="00562878" w:rsidRDefault="004F2EC6" w:rsidP="004F2EC6">
      <w:pPr>
        <w:spacing w:line="360" w:lineRule="auto"/>
        <w:rPr>
          <w:rFonts w:cstheme="minorHAnsi"/>
          <w:i/>
        </w:rPr>
      </w:pPr>
      <w:r w:rsidRPr="00562878">
        <w:rPr>
          <w:rFonts w:cstheme="minorHAnsi"/>
          <w:i/>
        </w:rPr>
        <w:t>Social Housing Initiative:</w:t>
      </w:r>
    </w:p>
    <w:p w14:paraId="5380CF44" w14:textId="77777777" w:rsidR="004F2EC6" w:rsidRPr="00562878" w:rsidRDefault="004F2EC6" w:rsidP="00BA7611">
      <w:pPr>
        <w:rPr>
          <w:rFonts w:cstheme="minorHAnsi"/>
        </w:rPr>
      </w:pPr>
      <w:r w:rsidRPr="00562878">
        <w:rPr>
          <w:rFonts w:cstheme="minorHAnsi"/>
        </w:rPr>
        <w:t xml:space="preserve">Australia invested in a Social Housing Initiative, designed to fund the construction of new social housing supply and the repair and maintenance of existing social housing.  People with disability were a key target group for the Social Housing Initiative. </w:t>
      </w:r>
    </w:p>
    <w:p w14:paraId="0F9C50F4" w14:textId="77777777" w:rsidR="004F2EC6" w:rsidRPr="00562878" w:rsidRDefault="004F2EC6" w:rsidP="00BA7611">
      <w:pPr>
        <w:rPr>
          <w:rFonts w:cstheme="minorHAnsi"/>
        </w:rPr>
      </w:pPr>
    </w:p>
    <w:p w14:paraId="7ADA4DAB" w14:textId="77777777" w:rsidR="004F2EC6" w:rsidRPr="00562878" w:rsidRDefault="004F2EC6" w:rsidP="00BA7611">
      <w:pPr>
        <w:rPr>
          <w:rFonts w:cstheme="minorHAnsi"/>
        </w:rPr>
      </w:pPr>
      <w:r w:rsidRPr="00562878">
        <w:rPr>
          <w:rFonts w:cstheme="minorHAnsi"/>
        </w:rPr>
        <w:t xml:space="preserve">Seventy three per cent of new dwellings constructed incorporated minimum Universal Design elements to make properties more accessible to people who are ageing or live with disability.  These features include grab rails, wider corridors and step-free showers.   </w:t>
      </w:r>
    </w:p>
    <w:p w14:paraId="23E29FB2" w14:textId="77777777" w:rsidR="00EE4BBB" w:rsidRPr="00562878" w:rsidRDefault="00EE4BBB" w:rsidP="00BA7611">
      <w:pPr>
        <w:keepNext/>
        <w:keepLines/>
        <w:rPr>
          <w:rFonts w:cstheme="minorHAnsi"/>
        </w:rPr>
      </w:pPr>
    </w:p>
    <w:p w14:paraId="48152BD5" w14:textId="77777777" w:rsidR="004F2EC6" w:rsidRPr="00562878" w:rsidRDefault="004F2EC6" w:rsidP="00BA7611">
      <w:pPr>
        <w:keepNext/>
        <w:keepLines/>
        <w:rPr>
          <w:rFonts w:cstheme="minorHAnsi"/>
        </w:rPr>
      </w:pPr>
      <w:r w:rsidRPr="00562878">
        <w:rPr>
          <w:rFonts w:cstheme="minorHAnsi"/>
        </w:rPr>
        <w:t>Funding provided to each State and Territory Government under the Social Housing Initiative and key outputs are summarised as follows:</w:t>
      </w:r>
    </w:p>
    <w:tbl>
      <w:tblPr>
        <w:tblW w:w="0" w:type="auto"/>
        <w:tblLayout w:type="fixed"/>
        <w:tblCellMar>
          <w:left w:w="0" w:type="dxa"/>
          <w:right w:w="0" w:type="dxa"/>
        </w:tblCellMar>
        <w:tblLook w:val="04A0" w:firstRow="1" w:lastRow="0" w:firstColumn="1" w:lastColumn="0" w:noHBand="0" w:noVBand="1"/>
      </w:tblPr>
      <w:tblGrid>
        <w:gridCol w:w="627"/>
        <w:gridCol w:w="1418"/>
        <w:gridCol w:w="1276"/>
        <w:gridCol w:w="1842"/>
        <w:gridCol w:w="2977"/>
        <w:gridCol w:w="1006"/>
      </w:tblGrid>
      <w:tr w:rsidR="004F2EC6" w:rsidRPr="00562878" w14:paraId="0B1E82C6" w14:textId="77777777" w:rsidTr="007C1117">
        <w:tc>
          <w:tcPr>
            <w:tcW w:w="627" w:type="dxa"/>
            <w:vMerge w:val="restart"/>
            <w:tcBorders>
              <w:bottom w:val="single" w:sz="6" w:space="0" w:color="AAAAAA"/>
            </w:tcBorders>
            <w:tcMar>
              <w:top w:w="60" w:type="dxa"/>
              <w:left w:w="60" w:type="dxa"/>
              <w:bottom w:w="60" w:type="dxa"/>
              <w:right w:w="60" w:type="dxa"/>
            </w:tcMar>
            <w:hideMark/>
          </w:tcPr>
          <w:p w14:paraId="6F3F5EBF" w14:textId="77777777" w:rsidR="004F2EC6" w:rsidRPr="00562878" w:rsidRDefault="004F2EC6" w:rsidP="007C1117">
            <w:pPr>
              <w:keepNext/>
              <w:keepLines/>
              <w:rPr>
                <w:rFonts w:ascii="Arial" w:hAnsi="Arial" w:cs="Arial"/>
                <w:b/>
                <w:bCs/>
                <w:color w:val="2C2A29"/>
                <w:sz w:val="19"/>
                <w:szCs w:val="19"/>
              </w:rPr>
            </w:pPr>
          </w:p>
        </w:tc>
        <w:tc>
          <w:tcPr>
            <w:tcW w:w="1418" w:type="dxa"/>
            <w:vMerge w:val="restart"/>
            <w:tcMar>
              <w:top w:w="60" w:type="dxa"/>
              <w:left w:w="60" w:type="dxa"/>
              <w:bottom w:w="60" w:type="dxa"/>
              <w:right w:w="60" w:type="dxa"/>
            </w:tcMar>
            <w:vAlign w:val="center"/>
            <w:hideMark/>
          </w:tcPr>
          <w:p w14:paraId="6D22B374" w14:textId="77777777" w:rsidR="004F2EC6" w:rsidRPr="00562878" w:rsidRDefault="004F2EC6" w:rsidP="007C1117">
            <w:pPr>
              <w:keepNext/>
              <w:keepLines/>
              <w:rPr>
                <w:rFonts w:ascii="Arial" w:hAnsi="Arial" w:cs="Arial"/>
                <w:b/>
                <w:bCs/>
                <w:color w:val="2C2A29"/>
                <w:sz w:val="19"/>
                <w:szCs w:val="19"/>
              </w:rPr>
            </w:pPr>
            <w:r w:rsidRPr="00562878">
              <w:rPr>
                <w:rFonts w:ascii="Arial" w:hAnsi="Arial" w:cs="Arial"/>
                <w:b/>
                <w:bCs/>
                <w:color w:val="2C2A29"/>
                <w:sz w:val="19"/>
                <w:szCs w:val="19"/>
              </w:rPr>
              <w:t>Funding allocation</w:t>
            </w:r>
            <w:r w:rsidRPr="00562878">
              <w:rPr>
                <w:rFonts w:ascii="Arial" w:hAnsi="Arial" w:cs="Arial"/>
                <w:b/>
                <w:bCs/>
                <w:color w:val="2C2A29"/>
                <w:sz w:val="19"/>
                <w:szCs w:val="19"/>
              </w:rPr>
              <w:br/>
              <w:t xml:space="preserve">$m </w:t>
            </w:r>
          </w:p>
        </w:tc>
        <w:tc>
          <w:tcPr>
            <w:tcW w:w="1276" w:type="dxa"/>
            <w:vMerge w:val="restart"/>
            <w:tcMar>
              <w:top w:w="60" w:type="dxa"/>
              <w:left w:w="60" w:type="dxa"/>
              <w:bottom w:w="60" w:type="dxa"/>
              <w:right w:w="60" w:type="dxa"/>
            </w:tcMar>
            <w:vAlign w:val="center"/>
            <w:hideMark/>
          </w:tcPr>
          <w:p w14:paraId="674B62E6" w14:textId="77777777" w:rsidR="004F2EC6" w:rsidRPr="00562878" w:rsidRDefault="004F2EC6" w:rsidP="007C1117">
            <w:pPr>
              <w:keepNext/>
              <w:keepLines/>
              <w:rPr>
                <w:rFonts w:ascii="Arial" w:hAnsi="Arial" w:cs="Arial"/>
                <w:b/>
                <w:bCs/>
                <w:color w:val="2C2A29"/>
                <w:sz w:val="19"/>
                <w:szCs w:val="19"/>
              </w:rPr>
            </w:pPr>
            <w:r w:rsidRPr="00562878">
              <w:rPr>
                <w:rFonts w:ascii="Arial" w:hAnsi="Arial" w:cs="Arial"/>
                <w:b/>
                <w:bCs/>
                <w:color w:val="2C2A29"/>
                <w:sz w:val="19"/>
                <w:szCs w:val="19"/>
              </w:rPr>
              <w:t xml:space="preserve">No. new dwellings constructed </w:t>
            </w:r>
          </w:p>
        </w:tc>
        <w:tc>
          <w:tcPr>
            <w:tcW w:w="1842" w:type="dxa"/>
            <w:vMerge w:val="restart"/>
            <w:tcMar>
              <w:top w:w="60" w:type="dxa"/>
              <w:left w:w="60" w:type="dxa"/>
              <w:bottom w:w="60" w:type="dxa"/>
              <w:right w:w="60" w:type="dxa"/>
            </w:tcMar>
            <w:vAlign w:val="center"/>
            <w:hideMark/>
          </w:tcPr>
          <w:p w14:paraId="521DF1D6" w14:textId="77777777" w:rsidR="004F2EC6" w:rsidRPr="00562878" w:rsidRDefault="004F2EC6" w:rsidP="007C1117">
            <w:pPr>
              <w:keepNext/>
              <w:keepLines/>
              <w:rPr>
                <w:rFonts w:ascii="Arial" w:hAnsi="Arial" w:cs="Arial"/>
                <w:b/>
                <w:bCs/>
                <w:color w:val="2C2A29"/>
                <w:sz w:val="19"/>
                <w:szCs w:val="19"/>
              </w:rPr>
            </w:pPr>
            <w:r w:rsidRPr="00562878">
              <w:rPr>
                <w:rFonts w:ascii="Arial" w:hAnsi="Arial" w:cs="Arial"/>
                <w:b/>
                <w:bCs/>
                <w:color w:val="2C2A29"/>
                <w:sz w:val="19"/>
                <w:szCs w:val="19"/>
              </w:rPr>
              <w:t>No. dwellings - repairs/</w:t>
            </w:r>
            <w:r w:rsidRPr="00562878">
              <w:rPr>
                <w:rFonts w:ascii="Arial" w:hAnsi="Arial" w:cs="Arial"/>
                <w:b/>
                <w:bCs/>
                <w:color w:val="2C2A29"/>
                <w:sz w:val="19"/>
                <w:szCs w:val="19"/>
              </w:rPr>
              <w:br/>
              <w:t xml:space="preserve">maintenance </w:t>
            </w:r>
          </w:p>
        </w:tc>
        <w:tc>
          <w:tcPr>
            <w:tcW w:w="3983" w:type="dxa"/>
            <w:gridSpan w:val="2"/>
            <w:tcMar>
              <w:top w:w="60" w:type="dxa"/>
              <w:left w:w="60" w:type="dxa"/>
              <w:bottom w:w="60" w:type="dxa"/>
              <w:right w:w="60" w:type="dxa"/>
            </w:tcMar>
            <w:vAlign w:val="center"/>
            <w:hideMark/>
          </w:tcPr>
          <w:p w14:paraId="61D3883D" w14:textId="77777777" w:rsidR="004F2EC6" w:rsidRPr="00562878" w:rsidRDefault="004F2EC6" w:rsidP="007C1117">
            <w:pPr>
              <w:keepNext/>
              <w:keepLines/>
              <w:rPr>
                <w:rFonts w:ascii="Arial" w:hAnsi="Arial" w:cs="Arial"/>
                <w:b/>
                <w:bCs/>
                <w:color w:val="2C2A29"/>
                <w:sz w:val="19"/>
                <w:szCs w:val="19"/>
              </w:rPr>
            </w:pPr>
          </w:p>
        </w:tc>
      </w:tr>
      <w:tr w:rsidR="004F2EC6" w:rsidRPr="00562878" w14:paraId="11CB398F" w14:textId="77777777" w:rsidTr="007C1117">
        <w:trPr>
          <w:gridAfter w:val="1"/>
          <w:wAfter w:w="1006" w:type="dxa"/>
        </w:trPr>
        <w:tc>
          <w:tcPr>
            <w:tcW w:w="627" w:type="dxa"/>
            <w:vMerge/>
            <w:tcBorders>
              <w:bottom w:val="single" w:sz="4" w:space="0" w:color="auto"/>
            </w:tcBorders>
            <w:vAlign w:val="center"/>
            <w:hideMark/>
          </w:tcPr>
          <w:p w14:paraId="2C8BAE03" w14:textId="77777777" w:rsidR="004F2EC6" w:rsidRPr="00562878" w:rsidRDefault="004F2EC6" w:rsidP="007C1117">
            <w:pPr>
              <w:rPr>
                <w:rFonts w:ascii="Arial" w:hAnsi="Arial" w:cs="Arial"/>
                <w:b/>
                <w:bCs/>
                <w:color w:val="2C2A29"/>
                <w:sz w:val="19"/>
                <w:szCs w:val="19"/>
              </w:rPr>
            </w:pPr>
          </w:p>
        </w:tc>
        <w:tc>
          <w:tcPr>
            <w:tcW w:w="1418" w:type="dxa"/>
            <w:vMerge/>
            <w:tcBorders>
              <w:bottom w:val="single" w:sz="4" w:space="0" w:color="auto"/>
            </w:tcBorders>
            <w:vAlign w:val="center"/>
            <w:hideMark/>
          </w:tcPr>
          <w:p w14:paraId="059F78E4" w14:textId="77777777" w:rsidR="004F2EC6" w:rsidRPr="00562878" w:rsidRDefault="004F2EC6" w:rsidP="007C1117">
            <w:pPr>
              <w:rPr>
                <w:rFonts w:ascii="Arial" w:hAnsi="Arial" w:cs="Arial"/>
                <w:b/>
                <w:bCs/>
                <w:color w:val="2C2A29"/>
                <w:sz w:val="19"/>
                <w:szCs w:val="19"/>
              </w:rPr>
            </w:pPr>
          </w:p>
        </w:tc>
        <w:tc>
          <w:tcPr>
            <w:tcW w:w="1276" w:type="dxa"/>
            <w:vMerge/>
            <w:tcBorders>
              <w:bottom w:val="single" w:sz="4" w:space="0" w:color="auto"/>
            </w:tcBorders>
            <w:vAlign w:val="center"/>
            <w:hideMark/>
          </w:tcPr>
          <w:p w14:paraId="51ED8776" w14:textId="77777777" w:rsidR="004F2EC6" w:rsidRPr="00562878" w:rsidRDefault="004F2EC6" w:rsidP="007C1117">
            <w:pPr>
              <w:rPr>
                <w:rFonts w:ascii="Arial" w:hAnsi="Arial" w:cs="Arial"/>
                <w:b/>
                <w:bCs/>
                <w:color w:val="2C2A29"/>
                <w:sz w:val="19"/>
                <w:szCs w:val="19"/>
              </w:rPr>
            </w:pPr>
          </w:p>
        </w:tc>
        <w:tc>
          <w:tcPr>
            <w:tcW w:w="1842" w:type="dxa"/>
            <w:vMerge/>
            <w:tcBorders>
              <w:bottom w:val="single" w:sz="4" w:space="0" w:color="auto"/>
            </w:tcBorders>
            <w:vAlign w:val="center"/>
            <w:hideMark/>
          </w:tcPr>
          <w:p w14:paraId="2072A265" w14:textId="77777777" w:rsidR="004F2EC6" w:rsidRPr="00562878" w:rsidRDefault="004F2EC6" w:rsidP="007C1117">
            <w:pPr>
              <w:rPr>
                <w:rFonts w:ascii="Arial" w:hAnsi="Arial" w:cs="Arial"/>
                <w:b/>
                <w:bCs/>
                <w:color w:val="2C2A29"/>
                <w:sz w:val="19"/>
                <w:szCs w:val="19"/>
              </w:rPr>
            </w:pPr>
          </w:p>
        </w:tc>
        <w:tc>
          <w:tcPr>
            <w:tcW w:w="2977" w:type="dxa"/>
            <w:tcBorders>
              <w:bottom w:val="single" w:sz="4" w:space="0" w:color="auto"/>
            </w:tcBorders>
            <w:tcMar>
              <w:top w:w="60" w:type="dxa"/>
              <w:left w:w="60" w:type="dxa"/>
              <w:bottom w:w="60" w:type="dxa"/>
              <w:right w:w="60" w:type="dxa"/>
            </w:tcMar>
            <w:vAlign w:val="center"/>
            <w:hideMark/>
          </w:tcPr>
          <w:p w14:paraId="68CCBF13" w14:textId="77777777" w:rsidR="004F2EC6" w:rsidRPr="00562878" w:rsidRDefault="004F2EC6" w:rsidP="007C1117">
            <w:pPr>
              <w:rPr>
                <w:rFonts w:ascii="Arial" w:hAnsi="Arial" w:cs="Arial"/>
                <w:b/>
                <w:bCs/>
                <w:color w:val="2C2A29"/>
                <w:sz w:val="19"/>
                <w:szCs w:val="19"/>
              </w:rPr>
            </w:pPr>
            <w:r w:rsidRPr="00562878">
              <w:rPr>
                <w:rFonts w:ascii="Arial" w:hAnsi="Arial" w:cs="Arial"/>
                <w:b/>
                <w:bCs/>
                <w:color w:val="2C2A29"/>
                <w:sz w:val="19"/>
                <w:szCs w:val="19"/>
              </w:rPr>
              <w:t xml:space="preserve">Percentage of new dwellings tenanted to people with Disability </w:t>
            </w:r>
            <w:r w:rsidRPr="00562878">
              <w:rPr>
                <w:rFonts w:ascii="Arial" w:hAnsi="Arial" w:cs="Arial"/>
                <w:color w:val="2C2A29"/>
                <w:sz w:val="20"/>
                <w:szCs w:val="20"/>
                <w:vertAlign w:val="superscript"/>
                <w:lang w:val="en"/>
              </w:rPr>
              <w:t>1</w:t>
            </w:r>
          </w:p>
        </w:tc>
      </w:tr>
      <w:tr w:rsidR="004F2EC6" w:rsidRPr="00562878" w14:paraId="6EC751A1" w14:textId="77777777" w:rsidTr="007C1117">
        <w:trPr>
          <w:gridAfter w:val="1"/>
          <w:wAfter w:w="1006" w:type="dxa"/>
        </w:trPr>
        <w:tc>
          <w:tcPr>
            <w:tcW w:w="62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3C6BEDE1" w14:textId="77777777" w:rsidR="004F2EC6" w:rsidRPr="00562878" w:rsidRDefault="004F2EC6" w:rsidP="007C1117">
            <w:pPr>
              <w:rPr>
                <w:rFonts w:ascii="Arial" w:hAnsi="Arial" w:cs="Arial"/>
                <w:b/>
                <w:bCs/>
                <w:color w:val="2C2A29"/>
                <w:sz w:val="19"/>
                <w:szCs w:val="19"/>
              </w:rPr>
            </w:pPr>
            <w:r w:rsidRPr="00562878">
              <w:rPr>
                <w:rFonts w:ascii="Arial" w:hAnsi="Arial" w:cs="Arial"/>
                <w:b/>
                <w:bCs/>
                <w:color w:val="2C2A29"/>
                <w:sz w:val="19"/>
                <w:szCs w:val="19"/>
              </w:rPr>
              <w:t xml:space="preserve">NSW </w:t>
            </w:r>
          </w:p>
        </w:tc>
        <w:tc>
          <w:tcPr>
            <w:tcW w:w="1418"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13919CCB"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1,894.0</w:t>
            </w:r>
          </w:p>
        </w:tc>
        <w:tc>
          <w:tcPr>
            <w:tcW w:w="1276"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5438D93C"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6,330</w:t>
            </w:r>
          </w:p>
        </w:tc>
        <w:tc>
          <w:tcPr>
            <w:tcW w:w="1842"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23F2A332"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31,672</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60" w:type="dxa"/>
              <w:left w:w="60" w:type="dxa"/>
              <w:bottom w:w="60" w:type="dxa"/>
              <w:right w:w="60" w:type="dxa"/>
            </w:tcMar>
            <w:vAlign w:val="center"/>
            <w:hideMark/>
          </w:tcPr>
          <w:p w14:paraId="2E6B8B2F" w14:textId="77777777" w:rsidR="004F2EC6" w:rsidRPr="00562878" w:rsidRDefault="004F2EC6" w:rsidP="007C1117">
            <w:pPr>
              <w:jc w:val="center"/>
              <w:rPr>
                <w:rFonts w:ascii="Arial" w:hAnsi="Arial" w:cs="Arial"/>
                <w:b/>
                <w:color w:val="2C2A29"/>
                <w:sz w:val="19"/>
                <w:szCs w:val="19"/>
              </w:rPr>
            </w:pPr>
            <w:r w:rsidRPr="00562878">
              <w:rPr>
                <w:rFonts w:ascii="Arial" w:hAnsi="Arial" w:cs="Arial"/>
                <w:b/>
                <w:color w:val="2C2A29"/>
                <w:sz w:val="19"/>
                <w:szCs w:val="19"/>
              </w:rPr>
              <w:t>47</w:t>
            </w:r>
          </w:p>
        </w:tc>
      </w:tr>
      <w:tr w:rsidR="004F2EC6" w:rsidRPr="00562878" w14:paraId="1FD88318" w14:textId="77777777" w:rsidTr="007C1117">
        <w:trPr>
          <w:gridAfter w:val="1"/>
          <w:wAfter w:w="1006" w:type="dxa"/>
        </w:trPr>
        <w:tc>
          <w:tcPr>
            <w:tcW w:w="62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6F93793C" w14:textId="77777777" w:rsidR="004F2EC6" w:rsidRPr="00562878" w:rsidRDefault="004F2EC6" w:rsidP="007C1117">
            <w:pPr>
              <w:rPr>
                <w:rFonts w:ascii="Arial" w:hAnsi="Arial" w:cs="Arial"/>
                <w:b/>
                <w:bCs/>
                <w:color w:val="2C2A29"/>
                <w:sz w:val="19"/>
                <w:szCs w:val="19"/>
              </w:rPr>
            </w:pPr>
            <w:r w:rsidRPr="00562878">
              <w:rPr>
                <w:rFonts w:ascii="Arial" w:hAnsi="Arial" w:cs="Arial"/>
                <w:b/>
                <w:bCs/>
                <w:color w:val="2C2A29"/>
                <w:sz w:val="19"/>
                <w:szCs w:val="19"/>
              </w:rPr>
              <w:t xml:space="preserve">VIC </w:t>
            </w:r>
          </w:p>
        </w:tc>
        <w:tc>
          <w:tcPr>
            <w:tcW w:w="1418"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079ED46F"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1,265.9</w:t>
            </w:r>
          </w:p>
        </w:tc>
        <w:tc>
          <w:tcPr>
            <w:tcW w:w="1276"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73484D82"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4,663</w:t>
            </w:r>
          </w:p>
        </w:tc>
        <w:tc>
          <w:tcPr>
            <w:tcW w:w="1842"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37D2745B"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9,363</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60" w:type="dxa"/>
              <w:left w:w="60" w:type="dxa"/>
              <w:bottom w:w="60" w:type="dxa"/>
              <w:right w:w="60" w:type="dxa"/>
            </w:tcMar>
            <w:vAlign w:val="center"/>
            <w:hideMark/>
          </w:tcPr>
          <w:p w14:paraId="1FC691EA" w14:textId="77777777" w:rsidR="004F2EC6" w:rsidRPr="00562878" w:rsidRDefault="004F2EC6" w:rsidP="007C1117">
            <w:pPr>
              <w:jc w:val="center"/>
              <w:rPr>
                <w:rFonts w:ascii="Arial" w:hAnsi="Arial" w:cs="Arial"/>
                <w:b/>
                <w:color w:val="2C2A29"/>
                <w:sz w:val="19"/>
                <w:szCs w:val="19"/>
              </w:rPr>
            </w:pPr>
            <w:r w:rsidRPr="00562878">
              <w:rPr>
                <w:rFonts w:ascii="Arial" w:hAnsi="Arial" w:cs="Arial"/>
                <w:b/>
                <w:color w:val="2C2A29"/>
                <w:sz w:val="19"/>
                <w:szCs w:val="19"/>
              </w:rPr>
              <w:t>29</w:t>
            </w:r>
          </w:p>
        </w:tc>
      </w:tr>
      <w:tr w:rsidR="004F2EC6" w:rsidRPr="00562878" w14:paraId="53EC8B6A" w14:textId="77777777" w:rsidTr="007C1117">
        <w:trPr>
          <w:gridAfter w:val="1"/>
          <w:wAfter w:w="1006" w:type="dxa"/>
        </w:trPr>
        <w:tc>
          <w:tcPr>
            <w:tcW w:w="62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5029F554" w14:textId="77777777" w:rsidR="004F2EC6" w:rsidRPr="00562878" w:rsidRDefault="004F2EC6" w:rsidP="007C1117">
            <w:pPr>
              <w:rPr>
                <w:rFonts w:ascii="Arial" w:hAnsi="Arial" w:cs="Arial"/>
                <w:b/>
                <w:bCs/>
                <w:color w:val="2C2A29"/>
                <w:sz w:val="19"/>
                <w:szCs w:val="19"/>
              </w:rPr>
            </w:pPr>
            <w:r w:rsidRPr="00562878">
              <w:rPr>
                <w:rFonts w:ascii="Arial" w:hAnsi="Arial" w:cs="Arial"/>
                <w:b/>
                <w:bCs/>
                <w:color w:val="2C2A29"/>
                <w:sz w:val="19"/>
                <w:szCs w:val="19"/>
              </w:rPr>
              <w:t xml:space="preserve">QLD </w:t>
            </w:r>
          </w:p>
        </w:tc>
        <w:tc>
          <w:tcPr>
            <w:tcW w:w="1418"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74B56789"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1,165.6</w:t>
            </w:r>
          </w:p>
        </w:tc>
        <w:tc>
          <w:tcPr>
            <w:tcW w:w="1276"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6E51F2AB"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4,035</w:t>
            </w:r>
          </w:p>
        </w:tc>
        <w:tc>
          <w:tcPr>
            <w:tcW w:w="1842"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58D78CB8"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27,420</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60" w:type="dxa"/>
              <w:left w:w="60" w:type="dxa"/>
              <w:bottom w:w="60" w:type="dxa"/>
              <w:right w:w="60" w:type="dxa"/>
            </w:tcMar>
            <w:vAlign w:val="center"/>
            <w:hideMark/>
          </w:tcPr>
          <w:p w14:paraId="603E5FC2" w14:textId="77777777" w:rsidR="004F2EC6" w:rsidRPr="00562878" w:rsidRDefault="004F2EC6" w:rsidP="007C1117">
            <w:pPr>
              <w:jc w:val="center"/>
              <w:rPr>
                <w:rFonts w:ascii="Arial" w:hAnsi="Arial" w:cs="Arial"/>
                <w:b/>
                <w:color w:val="2C2A29"/>
                <w:sz w:val="19"/>
                <w:szCs w:val="19"/>
              </w:rPr>
            </w:pPr>
            <w:r w:rsidRPr="00562878">
              <w:rPr>
                <w:rFonts w:ascii="Arial" w:hAnsi="Arial" w:cs="Arial"/>
                <w:b/>
                <w:color w:val="2C2A29"/>
                <w:sz w:val="19"/>
                <w:szCs w:val="19"/>
              </w:rPr>
              <w:t>58</w:t>
            </w:r>
          </w:p>
        </w:tc>
      </w:tr>
      <w:tr w:rsidR="004F2EC6" w:rsidRPr="00562878" w14:paraId="131C9AF9" w14:textId="77777777" w:rsidTr="007C1117">
        <w:trPr>
          <w:gridAfter w:val="1"/>
          <w:wAfter w:w="1006" w:type="dxa"/>
        </w:trPr>
        <w:tc>
          <w:tcPr>
            <w:tcW w:w="62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34AD379A" w14:textId="77777777" w:rsidR="004F2EC6" w:rsidRPr="00562878" w:rsidRDefault="004F2EC6" w:rsidP="007C1117">
            <w:pPr>
              <w:rPr>
                <w:rFonts w:ascii="Arial" w:hAnsi="Arial" w:cs="Arial"/>
                <w:b/>
                <w:bCs/>
                <w:color w:val="2C2A29"/>
                <w:sz w:val="19"/>
                <w:szCs w:val="19"/>
              </w:rPr>
            </w:pPr>
            <w:r w:rsidRPr="00562878">
              <w:rPr>
                <w:rFonts w:ascii="Arial" w:hAnsi="Arial" w:cs="Arial"/>
                <w:b/>
                <w:bCs/>
                <w:color w:val="2C2A29"/>
                <w:sz w:val="19"/>
                <w:szCs w:val="19"/>
              </w:rPr>
              <w:t xml:space="preserve">WA </w:t>
            </w:r>
          </w:p>
        </w:tc>
        <w:tc>
          <w:tcPr>
            <w:tcW w:w="1418"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743ADD78"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590.2</w:t>
            </w:r>
          </w:p>
        </w:tc>
        <w:tc>
          <w:tcPr>
            <w:tcW w:w="1276"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114F2C39"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2,083</w:t>
            </w:r>
          </w:p>
        </w:tc>
        <w:tc>
          <w:tcPr>
            <w:tcW w:w="1842"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25604247"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10,489</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60" w:type="dxa"/>
              <w:left w:w="60" w:type="dxa"/>
              <w:bottom w:w="60" w:type="dxa"/>
              <w:right w:w="60" w:type="dxa"/>
            </w:tcMar>
            <w:vAlign w:val="center"/>
            <w:hideMark/>
          </w:tcPr>
          <w:p w14:paraId="78DB60C7" w14:textId="77777777" w:rsidR="004F2EC6" w:rsidRPr="00562878" w:rsidRDefault="004F2EC6" w:rsidP="007C1117">
            <w:pPr>
              <w:jc w:val="center"/>
              <w:rPr>
                <w:rFonts w:ascii="Arial" w:hAnsi="Arial" w:cs="Arial"/>
                <w:b/>
                <w:color w:val="2C2A29"/>
                <w:sz w:val="19"/>
                <w:szCs w:val="19"/>
              </w:rPr>
            </w:pPr>
            <w:r w:rsidRPr="00562878">
              <w:rPr>
                <w:rFonts w:ascii="Arial" w:hAnsi="Arial" w:cs="Arial"/>
                <w:b/>
                <w:color w:val="2C2A29"/>
                <w:sz w:val="19"/>
                <w:szCs w:val="19"/>
              </w:rPr>
              <w:t>24</w:t>
            </w:r>
          </w:p>
        </w:tc>
      </w:tr>
      <w:tr w:rsidR="004F2EC6" w:rsidRPr="00562878" w14:paraId="09DBA2F3" w14:textId="77777777" w:rsidTr="007C1117">
        <w:trPr>
          <w:gridAfter w:val="1"/>
          <w:wAfter w:w="1006" w:type="dxa"/>
        </w:trPr>
        <w:tc>
          <w:tcPr>
            <w:tcW w:w="62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4B71EC7E" w14:textId="77777777" w:rsidR="004F2EC6" w:rsidRPr="00562878" w:rsidRDefault="004F2EC6" w:rsidP="007C1117">
            <w:pPr>
              <w:rPr>
                <w:rFonts w:ascii="Arial" w:hAnsi="Arial" w:cs="Arial"/>
                <w:b/>
                <w:bCs/>
                <w:color w:val="2C2A29"/>
                <w:sz w:val="19"/>
                <w:szCs w:val="19"/>
              </w:rPr>
            </w:pPr>
            <w:r w:rsidRPr="00562878">
              <w:rPr>
                <w:rFonts w:ascii="Arial" w:hAnsi="Arial" w:cs="Arial"/>
                <w:b/>
                <w:bCs/>
                <w:color w:val="2C2A29"/>
                <w:sz w:val="19"/>
                <w:szCs w:val="19"/>
              </w:rPr>
              <w:t xml:space="preserve">SA </w:t>
            </w:r>
          </w:p>
        </w:tc>
        <w:tc>
          <w:tcPr>
            <w:tcW w:w="1418"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6C8A73CA"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434.2</w:t>
            </w:r>
          </w:p>
        </w:tc>
        <w:tc>
          <w:tcPr>
            <w:tcW w:w="1276"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1688FA4E"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1,470</w:t>
            </w:r>
          </w:p>
        </w:tc>
        <w:tc>
          <w:tcPr>
            <w:tcW w:w="1842"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1FF747CC"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503</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60" w:type="dxa"/>
              <w:left w:w="60" w:type="dxa"/>
              <w:bottom w:w="60" w:type="dxa"/>
              <w:right w:w="60" w:type="dxa"/>
            </w:tcMar>
            <w:vAlign w:val="center"/>
            <w:hideMark/>
          </w:tcPr>
          <w:p w14:paraId="6C8A1F32" w14:textId="77777777" w:rsidR="004F2EC6" w:rsidRPr="00562878" w:rsidRDefault="004F2EC6" w:rsidP="007C1117">
            <w:pPr>
              <w:jc w:val="center"/>
              <w:rPr>
                <w:rFonts w:ascii="Arial" w:hAnsi="Arial" w:cs="Arial"/>
                <w:b/>
                <w:color w:val="2C2A29"/>
                <w:sz w:val="19"/>
                <w:szCs w:val="19"/>
              </w:rPr>
            </w:pPr>
            <w:r w:rsidRPr="00562878">
              <w:rPr>
                <w:rFonts w:ascii="Arial" w:hAnsi="Arial" w:cs="Arial"/>
                <w:b/>
                <w:color w:val="2C2A29"/>
                <w:sz w:val="19"/>
                <w:szCs w:val="19"/>
              </w:rPr>
              <w:t>50</w:t>
            </w:r>
          </w:p>
        </w:tc>
      </w:tr>
      <w:tr w:rsidR="004F2EC6" w:rsidRPr="00562878" w14:paraId="22B8CEA0" w14:textId="77777777" w:rsidTr="007C1117">
        <w:trPr>
          <w:gridAfter w:val="1"/>
          <w:wAfter w:w="1006" w:type="dxa"/>
        </w:trPr>
        <w:tc>
          <w:tcPr>
            <w:tcW w:w="62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4A06F967" w14:textId="77777777" w:rsidR="004F2EC6" w:rsidRPr="00562878" w:rsidRDefault="004F2EC6" w:rsidP="007C1117">
            <w:pPr>
              <w:rPr>
                <w:rFonts w:ascii="Arial" w:hAnsi="Arial" w:cs="Arial"/>
                <w:b/>
                <w:bCs/>
                <w:color w:val="2C2A29"/>
                <w:sz w:val="19"/>
                <w:szCs w:val="19"/>
              </w:rPr>
            </w:pPr>
            <w:r w:rsidRPr="00562878">
              <w:rPr>
                <w:rFonts w:ascii="Arial" w:hAnsi="Arial" w:cs="Arial"/>
                <w:b/>
                <w:bCs/>
                <w:color w:val="2C2A29"/>
                <w:sz w:val="19"/>
                <w:szCs w:val="19"/>
              </w:rPr>
              <w:t xml:space="preserve">TAS </w:t>
            </w:r>
          </w:p>
        </w:tc>
        <w:tc>
          <w:tcPr>
            <w:tcW w:w="1418"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089AB5F2"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134.8</w:t>
            </w:r>
          </w:p>
        </w:tc>
        <w:tc>
          <w:tcPr>
            <w:tcW w:w="1276"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3242AA01"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530</w:t>
            </w:r>
          </w:p>
        </w:tc>
        <w:tc>
          <w:tcPr>
            <w:tcW w:w="1842"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4280BED5"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534</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60" w:type="dxa"/>
              <w:left w:w="60" w:type="dxa"/>
              <w:bottom w:w="60" w:type="dxa"/>
              <w:right w:w="60" w:type="dxa"/>
            </w:tcMar>
            <w:vAlign w:val="center"/>
            <w:hideMark/>
          </w:tcPr>
          <w:p w14:paraId="6025BC61" w14:textId="77777777" w:rsidR="004F2EC6" w:rsidRPr="00562878" w:rsidRDefault="004F2EC6" w:rsidP="007C1117">
            <w:pPr>
              <w:jc w:val="center"/>
              <w:rPr>
                <w:rFonts w:ascii="Arial" w:hAnsi="Arial" w:cs="Arial"/>
                <w:b/>
                <w:color w:val="2C2A29"/>
                <w:sz w:val="19"/>
                <w:szCs w:val="19"/>
              </w:rPr>
            </w:pPr>
            <w:r w:rsidRPr="00562878">
              <w:rPr>
                <w:rFonts w:ascii="Arial" w:hAnsi="Arial" w:cs="Arial"/>
                <w:b/>
                <w:color w:val="2C2A29"/>
                <w:sz w:val="19"/>
                <w:szCs w:val="19"/>
              </w:rPr>
              <w:t>40</w:t>
            </w:r>
          </w:p>
        </w:tc>
      </w:tr>
      <w:tr w:rsidR="004F2EC6" w:rsidRPr="00562878" w14:paraId="6CA0624C" w14:textId="77777777" w:rsidTr="007C1117">
        <w:trPr>
          <w:gridAfter w:val="1"/>
          <w:wAfter w:w="1006" w:type="dxa"/>
        </w:trPr>
        <w:tc>
          <w:tcPr>
            <w:tcW w:w="62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26DB8D7E" w14:textId="77777777" w:rsidR="004F2EC6" w:rsidRPr="00562878" w:rsidRDefault="004F2EC6" w:rsidP="007C1117">
            <w:pPr>
              <w:rPr>
                <w:rFonts w:ascii="Arial" w:hAnsi="Arial" w:cs="Arial"/>
                <w:b/>
                <w:bCs/>
                <w:color w:val="2C2A29"/>
                <w:sz w:val="19"/>
                <w:szCs w:val="19"/>
              </w:rPr>
            </w:pPr>
            <w:r w:rsidRPr="00562878">
              <w:rPr>
                <w:rFonts w:ascii="Arial" w:hAnsi="Arial" w:cs="Arial"/>
                <w:b/>
                <w:bCs/>
                <w:color w:val="2C2A29"/>
                <w:sz w:val="19"/>
                <w:szCs w:val="19"/>
              </w:rPr>
              <w:t xml:space="preserve">ACT </w:t>
            </w:r>
          </w:p>
        </w:tc>
        <w:tc>
          <w:tcPr>
            <w:tcW w:w="1418"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4FCFEB8C"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93.5</w:t>
            </w:r>
          </w:p>
        </w:tc>
        <w:tc>
          <w:tcPr>
            <w:tcW w:w="1276"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768C2C5A"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421</w:t>
            </w:r>
          </w:p>
        </w:tc>
        <w:tc>
          <w:tcPr>
            <w:tcW w:w="1842"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7A8E785F"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259</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60" w:type="dxa"/>
              <w:left w:w="60" w:type="dxa"/>
              <w:bottom w:w="60" w:type="dxa"/>
              <w:right w:w="60" w:type="dxa"/>
            </w:tcMar>
            <w:vAlign w:val="center"/>
            <w:hideMark/>
          </w:tcPr>
          <w:p w14:paraId="46ACC222" w14:textId="77777777" w:rsidR="004F2EC6" w:rsidRPr="00562878" w:rsidRDefault="004F2EC6" w:rsidP="007C1117">
            <w:pPr>
              <w:jc w:val="center"/>
              <w:rPr>
                <w:rFonts w:ascii="Arial" w:hAnsi="Arial" w:cs="Arial"/>
                <w:b/>
                <w:color w:val="2C2A29"/>
                <w:sz w:val="19"/>
                <w:szCs w:val="19"/>
              </w:rPr>
            </w:pPr>
            <w:r w:rsidRPr="00562878">
              <w:rPr>
                <w:rFonts w:ascii="Arial" w:hAnsi="Arial" w:cs="Arial"/>
                <w:b/>
                <w:color w:val="2C2A29"/>
                <w:sz w:val="19"/>
                <w:szCs w:val="19"/>
              </w:rPr>
              <w:t>14</w:t>
            </w:r>
          </w:p>
        </w:tc>
      </w:tr>
      <w:tr w:rsidR="004F2EC6" w:rsidRPr="00562878" w14:paraId="77690361" w14:textId="77777777" w:rsidTr="007C1117">
        <w:trPr>
          <w:gridAfter w:val="1"/>
          <w:wAfter w:w="1006" w:type="dxa"/>
        </w:trPr>
        <w:tc>
          <w:tcPr>
            <w:tcW w:w="62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5FE7F68B" w14:textId="77777777" w:rsidR="004F2EC6" w:rsidRPr="00562878" w:rsidRDefault="004F2EC6" w:rsidP="007C1117">
            <w:pPr>
              <w:rPr>
                <w:rFonts w:ascii="Arial" w:hAnsi="Arial" w:cs="Arial"/>
                <w:b/>
                <w:bCs/>
                <w:color w:val="2C2A29"/>
                <w:sz w:val="19"/>
                <w:szCs w:val="19"/>
              </w:rPr>
            </w:pPr>
            <w:r w:rsidRPr="00562878">
              <w:rPr>
                <w:rFonts w:ascii="Arial" w:hAnsi="Arial" w:cs="Arial"/>
                <w:b/>
                <w:bCs/>
                <w:color w:val="2C2A29"/>
                <w:sz w:val="19"/>
                <w:szCs w:val="19"/>
              </w:rPr>
              <w:t xml:space="preserve">NT </w:t>
            </w:r>
          </w:p>
        </w:tc>
        <w:tc>
          <w:tcPr>
            <w:tcW w:w="1418"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60EA12ED"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59.7</w:t>
            </w:r>
          </w:p>
        </w:tc>
        <w:tc>
          <w:tcPr>
            <w:tcW w:w="1276"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0EE50589"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208</w:t>
            </w:r>
          </w:p>
        </w:tc>
        <w:tc>
          <w:tcPr>
            <w:tcW w:w="1842" w:type="dxa"/>
            <w:tcBorders>
              <w:top w:val="single" w:sz="4" w:space="0" w:color="auto"/>
              <w:left w:val="single" w:sz="4" w:space="0" w:color="auto"/>
              <w:bottom w:val="single" w:sz="4" w:space="0" w:color="auto"/>
              <w:right w:val="single" w:sz="4" w:space="0" w:color="auto"/>
            </w:tcBorders>
            <w:shd w:val="clear" w:color="auto" w:fill="F0F0F0"/>
            <w:tcMar>
              <w:top w:w="60" w:type="dxa"/>
              <w:left w:w="60" w:type="dxa"/>
              <w:bottom w:w="60" w:type="dxa"/>
              <w:right w:w="60" w:type="dxa"/>
            </w:tcMar>
            <w:vAlign w:val="center"/>
            <w:hideMark/>
          </w:tcPr>
          <w:p w14:paraId="031220C8"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297</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60" w:type="dxa"/>
              <w:left w:w="60" w:type="dxa"/>
              <w:bottom w:w="60" w:type="dxa"/>
              <w:right w:w="60" w:type="dxa"/>
            </w:tcMar>
            <w:vAlign w:val="center"/>
            <w:hideMark/>
          </w:tcPr>
          <w:p w14:paraId="69803B1F" w14:textId="77777777" w:rsidR="004F2EC6" w:rsidRPr="00562878" w:rsidRDefault="004F2EC6" w:rsidP="007C1117">
            <w:pPr>
              <w:jc w:val="center"/>
              <w:rPr>
                <w:rFonts w:ascii="Arial" w:hAnsi="Arial" w:cs="Arial"/>
                <w:b/>
                <w:color w:val="2C2A29"/>
                <w:sz w:val="19"/>
                <w:szCs w:val="19"/>
              </w:rPr>
            </w:pPr>
            <w:r w:rsidRPr="00562878">
              <w:rPr>
                <w:rFonts w:ascii="Arial" w:hAnsi="Arial" w:cs="Arial"/>
                <w:b/>
                <w:color w:val="2C2A29"/>
                <w:sz w:val="19"/>
                <w:szCs w:val="19"/>
              </w:rPr>
              <w:t>23</w:t>
            </w:r>
          </w:p>
        </w:tc>
      </w:tr>
      <w:tr w:rsidR="004F2EC6" w:rsidRPr="00562878" w14:paraId="6651A84B" w14:textId="77777777" w:rsidTr="007C1117">
        <w:trPr>
          <w:gridAfter w:val="1"/>
          <w:wAfter w:w="1006" w:type="dxa"/>
        </w:trPr>
        <w:tc>
          <w:tcPr>
            <w:tcW w:w="62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12B39F65" w14:textId="77777777" w:rsidR="004F2EC6" w:rsidRPr="00562878" w:rsidRDefault="004F2EC6" w:rsidP="007C1117">
            <w:pPr>
              <w:rPr>
                <w:rFonts w:ascii="Arial" w:hAnsi="Arial" w:cs="Arial"/>
                <w:b/>
                <w:bCs/>
                <w:color w:val="2C2A29"/>
                <w:sz w:val="19"/>
                <w:szCs w:val="19"/>
              </w:rPr>
            </w:pPr>
            <w:r w:rsidRPr="00562878">
              <w:rPr>
                <w:rFonts w:ascii="Arial" w:hAnsi="Arial" w:cs="Arial"/>
                <w:b/>
                <w:bCs/>
                <w:color w:val="2C2A29"/>
                <w:sz w:val="19"/>
                <w:szCs w:val="19"/>
              </w:rPr>
              <w:t xml:space="preserve">TOTAL </w:t>
            </w:r>
          </w:p>
        </w:tc>
        <w:tc>
          <w:tcPr>
            <w:tcW w:w="1418"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0FF6A29D"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5,638.0</w:t>
            </w:r>
          </w:p>
        </w:tc>
        <w:tc>
          <w:tcPr>
            <w:tcW w:w="1276"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03C90800"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19,740</w:t>
            </w:r>
          </w:p>
        </w:tc>
        <w:tc>
          <w:tcPr>
            <w:tcW w:w="1842" w:type="dxa"/>
            <w:tcBorders>
              <w:top w:val="single" w:sz="4" w:space="0" w:color="auto"/>
              <w:left w:val="single" w:sz="4" w:space="0" w:color="auto"/>
              <w:bottom w:val="single" w:sz="4" w:space="0" w:color="auto"/>
              <w:right w:val="single" w:sz="4" w:space="0" w:color="auto"/>
            </w:tcBorders>
            <w:shd w:val="clear" w:color="auto" w:fill="F6F6F6"/>
            <w:tcMar>
              <w:top w:w="60" w:type="dxa"/>
              <w:left w:w="60" w:type="dxa"/>
              <w:bottom w:w="60" w:type="dxa"/>
              <w:right w:w="60" w:type="dxa"/>
            </w:tcMar>
            <w:vAlign w:val="center"/>
            <w:hideMark/>
          </w:tcPr>
          <w:p w14:paraId="5244ACDC" w14:textId="77777777" w:rsidR="004F2EC6" w:rsidRPr="00562878" w:rsidRDefault="004F2EC6" w:rsidP="007C1117">
            <w:pPr>
              <w:jc w:val="center"/>
              <w:rPr>
                <w:rFonts w:ascii="Arial" w:hAnsi="Arial" w:cs="Arial"/>
                <w:color w:val="2C2A29"/>
                <w:sz w:val="19"/>
                <w:szCs w:val="19"/>
              </w:rPr>
            </w:pPr>
            <w:r w:rsidRPr="00562878">
              <w:rPr>
                <w:rFonts w:ascii="Arial" w:hAnsi="Arial" w:cs="Arial"/>
                <w:color w:val="2C2A29"/>
                <w:sz w:val="19"/>
                <w:szCs w:val="19"/>
              </w:rPr>
              <w:t>80,537</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60" w:type="dxa"/>
              <w:left w:w="60" w:type="dxa"/>
              <w:bottom w:w="60" w:type="dxa"/>
              <w:right w:w="60" w:type="dxa"/>
            </w:tcMar>
            <w:vAlign w:val="center"/>
            <w:hideMark/>
          </w:tcPr>
          <w:p w14:paraId="2FA84AFD" w14:textId="77777777" w:rsidR="004F2EC6" w:rsidRPr="00562878" w:rsidRDefault="004F2EC6" w:rsidP="007C1117">
            <w:pPr>
              <w:jc w:val="center"/>
              <w:rPr>
                <w:rFonts w:ascii="Arial" w:hAnsi="Arial" w:cs="Arial"/>
                <w:b/>
                <w:color w:val="2C2A29"/>
                <w:sz w:val="19"/>
                <w:szCs w:val="19"/>
              </w:rPr>
            </w:pPr>
            <w:r w:rsidRPr="00562878">
              <w:rPr>
                <w:rFonts w:ascii="Arial" w:hAnsi="Arial" w:cs="Arial"/>
                <w:b/>
                <w:color w:val="2C2A29"/>
                <w:sz w:val="19"/>
                <w:szCs w:val="19"/>
              </w:rPr>
              <w:t>42</w:t>
            </w:r>
          </w:p>
        </w:tc>
      </w:tr>
    </w:tbl>
    <w:p w14:paraId="65B24406" w14:textId="77777777" w:rsidR="004F2EC6" w:rsidRPr="00562878" w:rsidRDefault="004F2EC6" w:rsidP="002633EF">
      <w:pPr>
        <w:shd w:val="clear" w:color="auto" w:fill="FFFFFF"/>
        <w:rPr>
          <w:rFonts w:ascii="Arial" w:hAnsi="Arial" w:cs="Arial"/>
          <w:color w:val="2C2A29"/>
          <w:sz w:val="20"/>
          <w:szCs w:val="20"/>
          <w:lang w:val="en"/>
        </w:rPr>
      </w:pPr>
      <w:bookmarkStart w:id="1" w:name="1"/>
      <w:bookmarkEnd w:id="1"/>
      <w:r w:rsidRPr="00562878">
        <w:rPr>
          <w:rFonts w:ascii="Arial" w:hAnsi="Arial" w:cs="Arial"/>
          <w:color w:val="2C2A29"/>
          <w:sz w:val="20"/>
          <w:szCs w:val="20"/>
          <w:vertAlign w:val="superscript"/>
          <w:lang w:val="en"/>
        </w:rPr>
        <w:t>1</w:t>
      </w:r>
      <w:r w:rsidRPr="00562878">
        <w:rPr>
          <w:rFonts w:ascii="Arial" w:hAnsi="Arial" w:cs="Arial"/>
          <w:color w:val="2C2A29"/>
          <w:sz w:val="20"/>
          <w:szCs w:val="20"/>
          <w:lang w:val="en"/>
        </w:rPr>
        <w:t xml:space="preserve"> Percentages are based on the number of new dwellings that had been tenanted as at 30 November 2012.</w:t>
      </w:r>
    </w:p>
    <w:p w14:paraId="02E880E9" w14:textId="77777777" w:rsidR="002633EF" w:rsidRPr="00562878" w:rsidRDefault="002633EF" w:rsidP="002633EF">
      <w:pPr>
        <w:shd w:val="clear" w:color="auto" w:fill="FFFFFF"/>
        <w:rPr>
          <w:rFonts w:ascii="Arial" w:hAnsi="Arial" w:cs="Arial"/>
          <w:color w:val="2C2A29"/>
          <w:sz w:val="20"/>
          <w:szCs w:val="20"/>
          <w:lang w:val="en"/>
        </w:rPr>
      </w:pPr>
    </w:p>
    <w:p w14:paraId="2CA61F3F" w14:textId="77777777" w:rsidR="002633EF" w:rsidRPr="00562878" w:rsidRDefault="002633EF" w:rsidP="002633EF">
      <w:pPr>
        <w:shd w:val="clear" w:color="auto" w:fill="FFFFFF"/>
        <w:rPr>
          <w:rFonts w:ascii="Arial" w:hAnsi="Arial" w:cs="Arial"/>
          <w:color w:val="2C2A29"/>
          <w:sz w:val="20"/>
          <w:szCs w:val="20"/>
          <w:lang w:val="en"/>
        </w:rPr>
      </w:pPr>
    </w:p>
    <w:p w14:paraId="7C097AFE" w14:textId="77777777" w:rsidR="002633EF" w:rsidRPr="00562878" w:rsidRDefault="002633EF" w:rsidP="002633EF">
      <w:pPr>
        <w:spacing w:line="360" w:lineRule="auto"/>
        <w:rPr>
          <w:i/>
        </w:rPr>
      </w:pPr>
      <w:r w:rsidRPr="00562878">
        <w:rPr>
          <w:i/>
        </w:rPr>
        <w:t>The National Partnership Agreement on Social Housing</w:t>
      </w:r>
    </w:p>
    <w:p w14:paraId="12C06194" w14:textId="77777777" w:rsidR="002633EF" w:rsidRPr="00562878" w:rsidRDefault="002633EF" w:rsidP="002633EF">
      <w:pPr>
        <w:rPr>
          <w:color w:val="auto"/>
        </w:rPr>
      </w:pPr>
      <w:r w:rsidRPr="00562878">
        <w:t>People with disability were also one of the target groups for the National Partnership Agreement on Social Housing.  The fund provided capital funding to support a range of projects to increase the supply of social housing in the short term and to enable more disadvantaged households to access safe and secure housing that met their nee</w:t>
      </w:r>
      <w:r w:rsidRPr="00562878">
        <w:rPr>
          <w:color w:val="auto"/>
        </w:rPr>
        <w:t xml:space="preserve">ds. </w:t>
      </w:r>
      <w:r w:rsidRPr="00562878">
        <w:t xml:space="preserve"> As at </w:t>
      </w:r>
      <w:r w:rsidR="00950CB3" w:rsidRPr="00562878">
        <w:t>3 September 2013</w:t>
      </w:r>
      <w:r w:rsidRPr="00562878">
        <w:t xml:space="preserve"> around 35 per cent (655) of the 1,910 dwellings constructed under the National Partnership Agreement on Social Housing had been tenanted by people with disability.</w:t>
      </w:r>
      <w:r w:rsidRPr="00562878">
        <w:rPr>
          <w:rStyle w:val="FootnoteReference"/>
          <w:rFonts w:cstheme="minorHAnsi"/>
        </w:rPr>
        <w:footnoteReference w:id="2"/>
      </w:r>
      <w:r w:rsidRPr="00562878">
        <w:rPr>
          <w:color w:val="auto"/>
          <w:shd w:val="clear" w:color="auto" w:fill="D9D9D9" w:themeFill="background1" w:themeFillShade="D9"/>
        </w:rPr>
        <w:t xml:space="preserve"> </w:t>
      </w:r>
    </w:p>
    <w:p w14:paraId="796C359E" w14:textId="77777777" w:rsidR="002633EF" w:rsidRPr="00562878" w:rsidRDefault="002633EF" w:rsidP="002633EF">
      <w:pPr>
        <w:shd w:val="clear" w:color="auto" w:fill="FFFFFF"/>
        <w:rPr>
          <w:rFonts w:ascii="Arial" w:hAnsi="Arial" w:cs="Arial"/>
          <w:color w:val="2C2A29"/>
          <w:sz w:val="20"/>
          <w:szCs w:val="20"/>
          <w:lang w:val="en"/>
        </w:rPr>
      </w:pPr>
    </w:p>
    <w:p w14:paraId="4751D9D8" w14:textId="77777777" w:rsidR="002633EF" w:rsidRPr="00562878" w:rsidRDefault="002633EF" w:rsidP="002633EF">
      <w:pPr>
        <w:shd w:val="clear" w:color="auto" w:fill="FFFFFF"/>
        <w:rPr>
          <w:rFonts w:ascii="Arial" w:hAnsi="Arial" w:cs="Arial"/>
          <w:color w:val="2C2A29"/>
          <w:sz w:val="20"/>
          <w:szCs w:val="20"/>
          <w:lang w:val="en"/>
        </w:rPr>
      </w:pPr>
    </w:p>
    <w:p w14:paraId="2A1F1F98" w14:textId="77777777" w:rsidR="000147DB" w:rsidRPr="00562878" w:rsidRDefault="000147DB" w:rsidP="00E058A6">
      <w:pPr>
        <w:pStyle w:val="ListParagraph"/>
        <w:keepNext/>
        <w:numPr>
          <w:ilvl w:val="0"/>
          <w:numId w:val="11"/>
        </w:numPr>
        <w:rPr>
          <w:rStyle w:val="BookTitle"/>
          <w:b/>
          <w:i w:val="0"/>
          <w:iCs w:val="0"/>
          <w:smallCaps w:val="0"/>
          <w:color w:val="auto"/>
          <w:spacing w:val="0"/>
        </w:rPr>
      </w:pPr>
      <w:r w:rsidRPr="00562878">
        <w:rPr>
          <w:rStyle w:val="BookTitle"/>
          <w:b/>
          <w:i w:val="0"/>
          <w:iCs w:val="0"/>
          <w:smallCaps w:val="0"/>
          <w:color w:val="auto"/>
          <w:spacing w:val="0"/>
        </w:rPr>
        <w:lastRenderedPageBreak/>
        <w:t>Institutionalized in psychiatric, social or other institutions?  Please provide the available data.</w:t>
      </w:r>
    </w:p>
    <w:p w14:paraId="070BC1D2" w14:textId="77777777" w:rsidR="005823D9" w:rsidRPr="00562878" w:rsidRDefault="005823D9" w:rsidP="00E058A6">
      <w:pPr>
        <w:keepNext/>
      </w:pPr>
    </w:p>
    <w:p w14:paraId="69174039" w14:textId="77777777" w:rsidR="00D67B7D" w:rsidRPr="00562878" w:rsidRDefault="005823D9" w:rsidP="00E058A6">
      <w:pPr>
        <w:keepNext/>
        <w:spacing w:line="360" w:lineRule="auto"/>
        <w:rPr>
          <w:i/>
        </w:rPr>
      </w:pPr>
      <w:r w:rsidRPr="00562878">
        <w:rPr>
          <w:i/>
        </w:rPr>
        <w:t>Residential Mental Health Services</w:t>
      </w:r>
    </w:p>
    <w:p w14:paraId="3C07A79E" w14:textId="77777777" w:rsidR="00D67B7D" w:rsidRPr="00562878" w:rsidRDefault="00D67B7D" w:rsidP="00D67B7D">
      <w:pPr>
        <w:pStyle w:val="ListParagraph"/>
        <w:numPr>
          <w:ilvl w:val="0"/>
          <w:numId w:val="12"/>
        </w:numPr>
        <w:spacing w:after="200" w:line="276" w:lineRule="auto"/>
        <w:rPr>
          <w:lang w:val="en"/>
        </w:rPr>
      </w:pPr>
      <w:r w:rsidRPr="00562878">
        <w:rPr>
          <w:lang w:val="en"/>
        </w:rPr>
        <w:t xml:space="preserve">Over 2.1 million patient days were provided by public hospital specialised mental health services during 2011–12. </w:t>
      </w:r>
    </w:p>
    <w:p w14:paraId="0CB63B3B" w14:textId="77777777" w:rsidR="00D67B7D" w:rsidRPr="00562878" w:rsidRDefault="00D67B7D" w:rsidP="00EE4BBB">
      <w:pPr>
        <w:pStyle w:val="ListParagraph"/>
        <w:numPr>
          <w:ilvl w:val="1"/>
          <w:numId w:val="12"/>
        </w:numPr>
        <w:ind w:hanging="357"/>
        <w:rPr>
          <w:lang w:val="en"/>
        </w:rPr>
      </w:pPr>
      <w:r w:rsidRPr="00562878">
        <w:rPr>
          <w:lang w:val="en"/>
        </w:rPr>
        <w:t xml:space="preserve">More than two-thirds (71.6%) of all patient days were in specialised psychiatric units or wards in public acute hospitals. </w:t>
      </w:r>
    </w:p>
    <w:p w14:paraId="460B1050" w14:textId="77777777" w:rsidR="00D67B7D" w:rsidRPr="00562878" w:rsidRDefault="00D67B7D" w:rsidP="00EE4BBB">
      <w:pPr>
        <w:pStyle w:val="ListParagraph"/>
        <w:numPr>
          <w:ilvl w:val="1"/>
          <w:numId w:val="12"/>
        </w:numPr>
        <w:ind w:hanging="357"/>
        <w:rPr>
          <w:lang w:val="en"/>
        </w:rPr>
      </w:pPr>
      <w:r w:rsidRPr="00562878">
        <w:rPr>
          <w:lang w:val="en"/>
        </w:rPr>
        <w:t>New South Wales (114.0) had the highest number of patient days per 1,000 population, while the Northern Territory (45.1) had the lowest, compared with the national rate of 94.9 (per 1,000 population).</w:t>
      </w:r>
    </w:p>
    <w:p w14:paraId="317DAAA6" w14:textId="77777777" w:rsidR="00D67B7D" w:rsidRPr="00562878" w:rsidRDefault="00D67B7D" w:rsidP="00EE4BBB">
      <w:pPr>
        <w:pStyle w:val="ListParagraph"/>
        <w:numPr>
          <w:ilvl w:val="0"/>
          <w:numId w:val="12"/>
        </w:numPr>
        <w:ind w:hanging="357"/>
        <w:rPr>
          <w:lang w:val="en"/>
        </w:rPr>
      </w:pPr>
      <w:r w:rsidRPr="00562878">
        <w:rPr>
          <w:lang w:val="en"/>
        </w:rPr>
        <w:t>Residential mental health services provided about 752,000 patient days during 2011</w:t>
      </w:r>
      <w:r w:rsidRPr="00562878">
        <w:rPr>
          <w:lang w:val="en"/>
        </w:rPr>
        <w:noBreakHyphen/>
        <w:t xml:space="preserve">12. </w:t>
      </w:r>
    </w:p>
    <w:p w14:paraId="3D087720" w14:textId="77777777" w:rsidR="00D67B7D" w:rsidRPr="00562878" w:rsidRDefault="00D67B7D" w:rsidP="00EE4BBB">
      <w:pPr>
        <w:pStyle w:val="ListParagraph"/>
        <w:numPr>
          <w:ilvl w:val="1"/>
          <w:numId w:val="12"/>
        </w:numPr>
        <w:ind w:hanging="357"/>
        <w:rPr>
          <w:lang w:val="en"/>
        </w:rPr>
      </w:pPr>
      <w:r w:rsidRPr="00562878">
        <w:rPr>
          <w:lang w:val="en"/>
        </w:rPr>
        <w:t>Around two-thirds (68.7%) of all patient days were for residents of 24-hour staffed services.</w:t>
      </w:r>
    </w:p>
    <w:p w14:paraId="08CED1C8" w14:textId="77777777" w:rsidR="00D67B7D" w:rsidRPr="00562878" w:rsidRDefault="00D67B7D" w:rsidP="00EE4BBB">
      <w:pPr>
        <w:pStyle w:val="ListParagraph"/>
        <w:numPr>
          <w:ilvl w:val="1"/>
          <w:numId w:val="12"/>
        </w:numPr>
        <w:ind w:hanging="357"/>
        <w:rPr>
          <w:lang w:val="en"/>
        </w:rPr>
      </w:pPr>
      <w:r w:rsidRPr="00562878">
        <w:rPr>
          <w:lang w:val="en"/>
        </w:rPr>
        <w:t>Tasmania (124.1) had the highest number of patient days per 1,000 population within General services, while New South Wales (10.6) had the lowest; compared with the national rate of 36.1 (per 1,000 population).</w:t>
      </w:r>
    </w:p>
    <w:p w14:paraId="0152A041" w14:textId="77777777" w:rsidR="00D67B7D" w:rsidRPr="00562878" w:rsidRDefault="00D67B7D" w:rsidP="00EE4BBB">
      <w:pPr>
        <w:pStyle w:val="ListParagraph"/>
        <w:numPr>
          <w:ilvl w:val="1"/>
          <w:numId w:val="12"/>
        </w:numPr>
        <w:ind w:hanging="357"/>
        <w:rPr>
          <w:lang w:val="en"/>
        </w:rPr>
      </w:pPr>
      <w:r w:rsidRPr="00562878">
        <w:rPr>
          <w:lang w:val="en"/>
        </w:rPr>
        <w:t xml:space="preserve">People aged 35–44 comprised the highest proportion of residential care episodes (29.1%) and had the highest number of episodes per 10,000 population (5.2) in 2011–12. </w:t>
      </w:r>
    </w:p>
    <w:p w14:paraId="59DA92BC" w14:textId="77777777" w:rsidR="00D67B7D" w:rsidRPr="00562878" w:rsidRDefault="00D67B7D" w:rsidP="00EE4BBB">
      <w:pPr>
        <w:pStyle w:val="ListParagraph"/>
        <w:numPr>
          <w:ilvl w:val="1"/>
          <w:numId w:val="12"/>
        </w:numPr>
        <w:ind w:hanging="357"/>
        <w:rPr>
          <w:lang w:val="en"/>
        </w:rPr>
      </w:pPr>
      <w:r w:rsidRPr="00562878">
        <w:rPr>
          <w:lang w:val="en"/>
        </w:rPr>
        <w:t>Overall, there were more residential care episodes for males than females (53.2% and 46.8% respectively), except for the 55 and over age group which had higher the rate of episodes for females than males (1.8 compared with 1.4 per 10,000 population).</w:t>
      </w:r>
    </w:p>
    <w:p w14:paraId="313C2E2F" w14:textId="77777777" w:rsidR="00D67B7D" w:rsidRPr="00562878" w:rsidRDefault="00D67B7D" w:rsidP="00EB531F">
      <w:pPr>
        <w:pStyle w:val="ListParagraph"/>
        <w:numPr>
          <w:ilvl w:val="0"/>
          <w:numId w:val="12"/>
        </w:numPr>
        <w:ind w:left="714" w:hanging="357"/>
        <w:rPr>
          <w:lang w:val="en"/>
        </w:rPr>
      </w:pPr>
      <w:r w:rsidRPr="00562878">
        <w:rPr>
          <w:lang w:val="en"/>
        </w:rPr>
        <w:t>Specialised mental health services in private hospitals provided 708,794 patient days during 2011–12, equating to 31.5 days per 1,000 population.  However, in contrast to public sector services, this figure also includes same day separations.</w:t>
      </w:r>
    </w:p>
    <w:p w14:paraId="6CC497FD" w14:textId="77777777" w:rsidR="00EB531F" w:rsidRPr="00562878" w:rsidRDefault="00EB531F" w:rsidP="00EB531F">
      <w:pPr>
        <w:rPr>
          <w:lang w:val="en"/>
        </w:rPr>
      </w:pPr>
    </w:p>
    <w:p w14:paraId="4D07B9B9" w14:textId="77777777" w:rsidR="00D67B7D" w:rsidRPr="00562878" w:rsidRDefault="00D67B7D" w:rsidP="00D67B7D">
      <w:pPr>
        <w:rPr>
          <w:lang w:val="en"/>
        </w:rPr>
      </w:pPr>
      <w:r w:rsidRPr="00562878">
        <w:rPr>
          <w:lang w:val="en"/>
        </w:rPr>
        <w:t>* Data sourced from AIHW – Mental Health Services in Australia (</w:t>
      </w:r>
      <w:r w:rsidRPr="00562878">
        <w:rPr>
          <w:u w:val="single"/>
          <w:lang w:val="en"/>
        </w:rPr>
        <w:t>www.mhsa.aihw.gov.au</w:t>
      </w:r>
      <w:r w:rsidRPr="00562878">
        <w:rPr>
          <w:lang w:val="en"/>
        </w:rPr>
        <w:t>)</w:t>
      </w:r>
    </w:p>
    <w:p w14:paraId="3C6CCEF1" w14:textId="77777777" w:rsidR="00F623C8" w:rsidRPr="00562878" w:rsidRDefault="00F623C8" w:rsidP="00D67B7D">
      <w:pPr>
        <w:rPr>
          <w:b/>
        </w:rPr>
      </w:pPr>
    </w:p>
    <w:p w14:paraId="354BBA22" w14:textId="77777777" w:rsidR="00D67B7D" w:rsidRPr="00562878" w:rsidRDefault="00D67B7D" w:rsidP="00D67B7D">
      <w:pPr>
        <w:rPr>
          <w:b/>
        </w:rPr>
      </w:pPr>
      <w:r w:rsidRPr="00562878">
        <w:rPr>
          <w:b/>
        </w:rPr>
        <w:t>Notes:</w:t>
      </w:r>
    </w:p>
    <w:p w14:paraId="3530883D" w14:textId="77777777" w:rsidR="00D67B7D" w:rsidRPr="00562878" w:rsidRDefault="00D67B7D" w:rsidP="008940A5">
      <w:pPr>
        <w:pStyle w:val="ListParagraph"/>
        <w:numPr>
          <w:ilvl w:val="0"/>
          <w:numId w:val="13"/>
        </w:numPr>
        <w:ind w:left="714" w:hanging="357"/>
      </w:pPr>
      <w:r w:rsidRPr="00562878">
        <w:t>Data provided relates to persons with a mental illness.  This does not necessarily mean that the person receiving care had a psychiatric disability, as a mental illness is not always classified as a disability.</w:t>
      </w:r>
    </w:p>
    <w:p w14:paraId="21E7567E" w14:textId="77777777" w:rsidR="00D67B7D" w:rsidRPr="00562878" w:rsidRDefault="00D67B7D" w:rsidP="008940A5">
      <w:pPr>
        <w:pStyle w:val="ListParagraph"/>
        <w:numPr>
          <w:ilvl w:val="0"/>
          <w:numId w:val="13"/>
        </w:numPr>
        <w:ind w:left="714" w:hanging="357"/>
      </w:pPr>
      <w:r w:rsidRPr="00562878">
        <w:t>For the purpose of this activity, mental illness is defined as a clinically diagnosable disorder that significantly interferes with an individual’s cognitive, emotional or social abilities. Psychiatric disability refers to the impact of a mental illness on a person’s functioning in different aspects of their life.</w:t>
      </w:r>
    </w:p>
    <w:p w14:paraId="42EDDA71" w14:textId="77777777" w:rsidR="00D67B7D" w:rsidRPr="00562878" w:rsidRDefault="00D67B7D" w:rsidP="008940A5">
      <w:pPr>
        <w:pStyle w:val="ListParagraph"/>
        <w:numPr>
          <w:ilvl w:val="0"/>
          <w:numId w:val="13"/>
        </w:numPr>
        <w:ind w:left="714" w:hanging="357"/>
        <w:rPr>
          <w:lang w:val="en"/>
        </w:rPr>
      </w:pPr>
      <w:r w:rsidRPr="00562878">
        <w:t xml:space="preserve">For the purposes of this </w:t>
      </w:r>
      <w:r w:rsidR="00E058A6" w:rsidRPr="00562878">
        <w:t>activity</w:t>
      </w:r>
      <w:r w:rsidRPr="00562878">
        <w:t xml:space="preserve">, psychiatric institutions include </w:t>
      </w:r>
      <w:proofErr w:type="spellStart"/>
      <w:r w:rsidRPr="00562878">
        <w:t>sp</w:t>
      </w:r>
      <w:proofErr w:type="spellEnd"/>
      <w:r w:rsidRPr="00562878">
        <w:rPr>
          <w:lang w:val="en"/>
        </w:rPr>
        <w:t>ecialised mental health care delivered in and by a range of specialised facilities in Australia including public and private psychiatric hospitals, psychiatric units or wards in public acute hospitals, community mental health care services and government- and non</w:t>
      </w:r>
      <w:r w:rsidRPr="00562878">
        <w:rPr>
          <w:lang w:val="en"/>
        </w:rPr>
        <w:noBreakHyphen/>
        <w:t>government-operated residential mental health services.</w:t>
      </w:r>
    </w:p>
    <w:p w14:paraId="39E20382" w14:textId="77777777" w:rsidR="00D67B7D" w:rsidRPr="00562878" w:rsidRDefault="00D67B7D" w:rsidP="008940A5">
      <w:pPr>
        <w:pStyle w:val="ListParagraph"/>
        <w:numPr>
          <w:ilvl w:val="0"/>
          <w:numId w:val="13"/>
        </w:numPr>
        <w:ind w:left="714" w:hanging="357"/>
        <w:rPr>
          <w:lang w:val="en"/>
        </w:rPr>
      </w:pPr>
      <w:r w:rsidRPr="00562878">
        <w:rPr>
          <w:bCs/>
        </w:rPr>
        <w:t>Patient days</w:t>
      </w:r>
      <w:r w:rsidRPr="00562878">
        <w:t xml:space="preserve"> are days of admitted patient care provided to </w:t>
      </w:r>
      <w:proofErr w:type="gramStart"/>
      <w:r w:rsidRPr="00562878">
        <w:t>admitted</w:t>
      </w:r>
      <w:proofErr w:type="gramEnd"/>
      <w:r w:rsidRPr="00562878">
        <w:t xml:space="preserve"> patients in public psychiatric hospitals or specialised psychiatric units or wards in public acute hospitals and in residential mental health services.</w:t>
      </w:r>
    </w:p>
    <w:p w14:paraId="2EAD5FA1" w14:textId="77777777" w:rsidR="008940A5" w:rsidRPr="00562878" w:rsidRDefault="008940A5" w:rsidP="008940A5">
      <w:pPr>
        <w:rPr>
          <w:lang w:val="en"/>
        </w:rPr>
      </w:pPr>
    </w:p>
    <w:p w14:paraId="4C3A6F51" w14:textId="77777777" w:rsidR="005D3C05" w:rsidRPr="00562878" w:rsidRDefault="009B3750" w:rsidP="0001281A">
      <w:pPr>
        <w:spacing w:after="200" w:line="276" w:lineRule="auto"/>
        <w:rPr>
          <w:i/>
        </w:rPr>
      </w:pPr>
      <w:r w:rsidRPr="00562878">
        <w:rPr>
          <w:i/>
        </w:rPr>
        <w:br w:type="page"/>
      </w:r>
      <w:r w:rsidR="005D3C05" w:rsidRPr="00562878">
        <w:rPr>
          <w:i/>
        </w:rPr>
        <w:lastRenderedPageBreak/>
        <w:t>Residential Disability Services</w:t>
      </w:r>
    </w:p>
    <w:p w14:paraId="78CD495E" w14:textId="77777777" w:rsidR="00852CEA" w:rsidRPr="00562878" w:rsidRDefault="00852CEA" w:rsidP="00852CEA">
      <w:r w:rsidRPr="00562878">
        <w:t>The Australian Bureau of Statistics 2012 Survey of Disability, Ageing and Carers estimates there were 185,700 people with disabilities living in ‘institutions’ (hospitals, homes and other cared accommodation for the aged), or approximately four per cent of the population with a disability.</w:t>
      </w:r>
    </w:p>
    <w:p w14:paraId="76849E45" w14:textId="77777777" w:rsidR="00852CEA" w:rsidRPr="00562878" w:rsidRDefault="00852CEA" w:rsidP="00852CEA">
      <w:pPr>
        <w:pStyle w:val="ListParagraph"/>
        <w:numPr>
          <w:ilvl w:val="0"/>
          <w:numId w:val="20"/>
        </w:numPr>
      </w:pPr>
      <w:r w:rsidRPr="00562878">
        <w:t>159,300 of the people in institutions (86 per cent) had impairments which meant they always needed help with at least one of the three core activities: self-care, mobility and communication.  This is almost 22 per cent of people who need this level of support.</w:t>
      </w:r>
    </w:p>
    <w:p w14:paraId="58B8B879" w14:textId="77777777" w:rsidR="00852CEA" w:rsidRPr="00562878" w:rsidRDefault="00852CEA" w:rsidP="00852CEA">
      <w:pPr>
        <w:pStyle w:val="ListParagraph"/>
        <w:numPr>
          <w:ilvl w:val="0"/>
          <w:numId w:val="20"/>
        </w:numPr>
      </w:pPr>
      <w:r w:rsidRPr="00562878">
        <w:t>166,800 of the people in institutions (90 per cent) need assistance with at least one activity of daily living several times each day.</w:t>
      </w:r>
    </w:p>
    <w:p w14:paraId="4189DA17" w14:textId="77777777" w:rsidR="00852CEA" w:rsidRPr="00562878" w:rsidRDefault="00852CEA" w:rsidP="00852CEA">
      <w:r w:rsidRPr="00562878">
        <w:t>The Disability Services National Minimum Data Set demonstrates the commitment at all levels of government for a trend that moves people out of institutional accommodation over recent years.</w:t>
      </w:r>
    </w:p>
    <w:p w14:paraId="60807FEB" w14:textId="77777777" w:rsidR="00852CEA" w:rsidRPr="00562878" w:rsidRDefault="00852CEA" w:rsidP="00852CEA">
      <w:pPr>
        <w:pStyle w:val="ListParagraph"/>
        <w:numPr>
          <w:ilvl w:val="0"/>
          <w:numId w:val="21"/>
        </w:numPr>
      </w:pPr>
      <w:r w:rsidRPr="00562878">
        <w:t>Since 2003 there has been a decrease of more than 25 per cent in the number of people with disability in institutional accommodation.</w:t>
      </w:r>
    </w:p>
    <w:p w14:paraId="3CB832DD" w14:textId="77777777" w:rsidR="00852CEA" w:rsidRPr="00562878" w:rsidRDefault="00852CEA" w:rsidP="00852CEA">
      <w:pPr>
        <w:pStyle w:val="ListParagraph"/>
        <w:numPr>
          <w:ilvl w:val="0"/>
          <w:numId w:val="21"/>
        </w:numPr>
      </w:pPr>
      <w:r w:rsidRPr="00562878">
        <w:t>The data also shows that accommodation in other community settings has grown by over 30 per cent in the same period.</w:t>
      </w:r>
    </w:p>
    <w:p w14:paraId="01840F9F" w14:textId="77777777" w:rsidR="00DE47B3" w:rsidRPr="00562878" w:rsidRDefault="00DE47B3" w:rsidP="00710698"/>
    <w:p w14:paraId="4257F73E" w14:textId="77777777" w:rsidR="00DE47B3" w:rsidRPr="00562878" w:rsidRDefault="00DE47B3" w:rsidP="00DE47B3">
      <w:r w:rsidRPr="00562878">
        <w:t>The table below demonstrates the commitment at all levels of Governments, for a trend that moves people out of institutional accommodation over recent years (2003-04 to 2010</w:t>
      </w:r>
      <w:r w:rsidR="000E226C" w:rsidRPr="00562878">
        <w:noBreakHyphen/>
      </w:r>
      <w:r w:rsidRPr="00562878">
        <w:t xml:space="preserve">11). </w:t>
      </w:r>
      <w:r w:rsidR="0027086C" w:rsidRPr="00562878">
        <w:t xml:space="preserve"> </w:t>
      </w:r>
      <w:r w:rsidRPr="00562878">
        <w:t>Since 2003 there has been a decrease by more than 25 per cent in the number of people with disability in institutional accommodation.  Simultaneously, the data shows that alternative support (see other community settings) has grown by over 30</w:t>
      </w:r>
      <w:r w:rsidR="00F23833" w:rsidRPr="00562878">
        <w:t xml:space="preserve"> per cent for the same period.</w:t>
      </w:r>
      <w:r w:rsidR="00015E41" w:rsidRPr="00562878">
        <w:t xml:space="preserve">  </w:t>
      </w:r>
    </w:p>
    <w:p w14:paraId="43B4CD02" w14:textId="77777777" w:rsidR="00DE47B3" w:rsidRPr="00562878" w:rsidRDefault="00DE47B3" w:rsidP="00DE47B3">
      <w:r w:rsidRPr="00562878">
        <w:t>A further breakdown of transition from institutional care to independent living disaggregated by gender, disabilities, age, and indige</w:t>
      </w:r>
      <w:r w:rsidR="0027086C" w:rsidRPr="00562878">
        <w:t xml:space="preserve">nous people is not available. </w:t>
      </w:r>
    </w:p>
    <w:p w14:paraId="0A298F9C" w14:textId="77777777" w:rsidR="00674367" w:rsidRPr="00562878" w:rsidRDefault="00674367" w:rsidP="00DE47B3">
      <w:pPr>
        <w:rPr>
          <w:rFonts w:eastAsia="Calibri"/>
          <w:b/>
        </w:rPr>
      </w:pPr>
    </w:p>
    <w:p w14:paraId="77770AE4" w14:textId="77777777" w:rsidR="00DE47B3" w:rsidRPr="00562878" w:rsidRDefault="00DE47B3" w:rsidP="00DE47B3">
      <w:pPr>
        <w:rPr>
          <w:rFonts w:eastAsia="Calibri"/>
        </w:rPr>
      </w:pPr>
      <w:r w:rsidRPr="00562878">
        <w:rPr>
          <w:rFonts w:eastAsia="Calibri"/>
        </w:rPr>
        <w:t>The table below updates the one included in Australia’s List of Issues response provided in July 2014</w:t>
      </w:r>
      <w:r w:rsidR="00015E41" w:rsidRPr="00562878">
        <w:rPr>
          <w:rFonts w:eastAsia="Calibri"/>
        </w:rPr>
        <w:t xml:space="preserve"> to the UN Committee on the Rights of People with Disabilities</w:t>
      </w:r>
      <w:r w:rsidRPr="00562878">
        <w:rPr>
          <w:rFonts w:eastAsia="Calibri"/>
        </w:rPr>
        <w:t>.</w:t>
      </w:r>
    </w:p>
    <w:tbl>
      <w:tblPr>
        <w:tblW w:w="9555" w:type="dxa"/>
        <w:tblLook w:val="04A0" w:firstRow="1" w:lastRow="0" w:firstColumn="1" w:lastColumn="0" w:noHBand="0" w:noVBand="1"/>
      </w:tblPr>
      <w:tblGrid>
        <w:gridCol w:w="481"/>
        <w:gridCol w:w="1384"/>
        <w:gridCol w:w="811"/>
        <w:gridCol w:w="744"/>
        <w:gridCol w:w="744"/>
        <w:gridCol w:w="744"/>
        <w:gridCol w:w="793"/>
        <w:gridCol w:w="744"/>
        <w:gridCol w:w="771"/>
        <w:gridCol w:w="479"/>
        <w:gridCol w:w="261"/>
        <w:gridCol w:w="744"/>
        <w:gridCol w:w="405"/>
        <w:gridCol w:w="226"/>
        <w:gridCol w:w="113"/>
        <w:gridCol w:w="111"/>
      </w:tblGrid>
      <w:tr w:rsidR="00DE47B3" w:rsidRPr="00562878" w14:paraId="059A8C96" w14:textId="77777777" w:rsidTr="00015E41">
        <w:trPr>
          <w:gridBefore w:val="1"/>
          <w:wBefore w:w="481" w:type="dxa"/>
          <w:trHeight w:val="222"/>
        </w:trPr>
        <w:tc>
          <w:tcPr>
            <w:tcW w:w="7214" w:type="dxa"/>
            <w:gridSpan w:val="9"/>
            <w:tcBorders>
              <w:top w:val="nil"/>
              <w:left w:val="nil"/>
              <w:bottom w:val="nil"/>
              <w:right w:val="nil"/>
            </w:tcBorders>
            <w:shd w:val="clear" w:color="auto" w:fill="auto"/>
            <w:noWrap/>
            <w:vAlign w:val="center"/>
            <w:hideMark/>
          </w:tcPr>
          <w:p w14:paraId="2CE9C803" w14:textId="77777777" w:rsidR="00DE47B3" w:rsidRPr="00562878" w:rsidRDefault="00DE47B3" w:rsidP="007C1117">
            <w:pPr>
              <w:rPr>
                <w:rFonts w:ascii="Calibri" w:hAnsi="Calibri" w:cs="Arial"/>
                <w:b/>
                <w:bCs/>
                <w:sz w:val="20"/>
              </w:rPr>
            </w:pPr>
            <w:r w:rsidRPr="00562878">
              <w:rPr>
                <w:rFonts w:ascii="Calibri" w:hAnsi="Calibri" w:cs="Arial"/>
                <w:b/>
                <w:bCs/>
                <w:sz w:val="20"/>
              </w:rPr>
              <w:t>Table: Users of accommodation support services, accommodation support type, 2003–04 to 2012–13</w:t>
            </w:r>
          </w:p>
        </w:tc>
        <w:tc>
          <w:tcPr>
            <w:tcW w:w="1402" w:type="dxa"/>
            <w:gridSpan w:val="3"/>
            <w:tcBorders>
              <w:top w:val="nil"/>
              <w:left w:val="nil"/>
              <w:bottom w:val="nil"/>
              <w:right w:val="nil"/>
            </w:tcBorders>
            <w:shd w:val="clear" w:color="auto" w:fill="auto"/>
            <w:noWrap/>
            <w:vAlign w:val="bottom"/>
            <w:hideMark/>
          </w:tcPr>
          <w:p w14:paraId="1FAAE63F"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7A4FB97A" w14:textId="77777777" w:rsidR="00DE47B3" w:rsidRPr="00562878" w:rsidRDefault="00DE47B3" w:rsidP="007C1117">
            <w:pPr>
              <w:rPr>
                <w:rFonts w:ascii="Calibri" w:hAnsi="Calibri" w:cs="Arial"/>
                <w:sz w:val="16"/>
                <w:szCs w:val="16"/>
              </w:rPr>
            </w:pPr>
          </w:p>
        </w:tc>
        <w:tc>
          <w:tcPr>
            <w:tcW w:w="0" w:type="auto"/>
            <w:gridSpan w:val="2"/>
            <w:tcBorders>
              <w:top w:val="nil"/>
              <w:left w:val="nil"/>
              <w:bottom w:val="nil"/>
              <w:right w:val="nil"/>
            </w:tcBorders>
          </w:tcPr>
          <w:p w14:paraId="5F8B7F2B" w14:textId="77777777" w:rsidR="00DE47B3" w:rsidRPr="00562878" w:rsidRDefault="00DE47B3" w:rsidP="007C1117">
            <w:pPr>
              <w:rPr>
                <w:rFonts w:ascii="Calibri" w:hAnsi="Calibri" w:cs="Arial"/>
                <w:sz w:val="16"/>
                <w:szCs w:val="16"/>
              </w:rPr>
            </w:pPr>
          </w:p>
        </w:tc>
      </w:tr>
      <w:tr w:rsidR="00DE47B3" w:rsidRPr="00562878" w14:paraId="12F749FE" w14:textId="77777777" w:rsidTr="00015E41">
        <w:trPr>
          <w:gridAfter w:val="1"/>
          <w:trHeight w:val="222"/>
        </w:trPr>
        <w:tc>
          <w:tcPr>
            <w:tcW w:w="1865" w:type="dxa"/>
            <w:gridSpan w:val="2"/>
            <w:tcBorders>
              <w:top w:val="single" w:sz="4" w:space="0" w:color="auto"/>
              <w:left w:val="nil"/>
              <w:bottom w:val="single" w:sz="4" w:space="0" w:color="auto"/>
              <w:right w:val="nil"/>
            </w:tcBorders>
            <w:shd w:val="clear" w:color="auto" w:fill="auto"/>
            <w:vAlign w:val="center"/>
            <w:hideMark/>
          </w:tcPr>
          <w:p w14:paraId="1510028E" w14:textId="77777777" w:rsidR="00DE47B3" w:rsidRPr="00562878" w:rsidRDefault="00DE47B3" w:rsidP="007C1117">
            <w:pPr>
              <w:rPr>
                <w:rFonts w:ascii="Calibri" w:hAnsi="Calibri" w:cs="Arial"/>
                <w:b/>
                <w:bCs/>
                <w:sz w:val="16"/>
                <w:szCs w:val="16"/>
              </w:rPr>
            </w:pPr>
            <w:r w:rsidRPr="00562878">
              <w:rPr>
                <w:rFonts w:ascii="Calibri" w:hAnsi="Calibri" w:cs="Arial"/>
                <w:b/>
                <w:bCs/>
                <w:sz w:val="16"/>
                <w:szCs w:val="16"/>
              </w:rPr>
              <w:t>Accommodation support type</w:t>
            </w:r>
          </w:p>
        </w:tc>
        <w:tc>
          <w:tcPr>
            <w:tcW w:w="811" w:type="dxa"/>
            <w:tcBorders>
              <w:top w:val="single" w:sz="4" w:space="0" w:color="auto"/>
              <w:left w:val="nil"/>
              <w:bottom w:val="single" w:sz="4" w:space="0" w:color="auto"/>
              <w:right w:val="nil"/>
            </w:tcBorders>
            <w:shd w:val="clear" w:color="auto" w:fill="auto"/>
            <w:vAlign w:val="center"/>
            <w:hideMark/>
          </w:tcPr>
          <w:p w14:paraId="223EAD92"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2003–04</w:t>
            </w:r>
          </w:p>
        </w:tc>
        <w:tc>
          <w:tcPr>
            <w:tcW w:w="744" w:type="dxa"/>
            <w:tcBorders>
              <w:top w:val="single" w:sz="4" w:space="0" w:color="auto"/>
              <w:left w:val="nil"/>
              <w:bottom w:val="single" w:sz="4" w:space="0" w:color="auto"/>
              <w:right w:val="nil"/>
            </w:tcBorders>
            <w:shd w:val="clear" w:color="auto" w:fill="auto"/>
            <w:vAlign w:val="center"/>
            <w:hideMark/>
          </w:tcPr>
          <w:p w14:paraId="5995856A"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2004–05</w:t>
            </w:r>
          </w:p>
        </w:tc>
        <w:tc>
          <w:tcPr>
            <w:tcW w:w="744" w:type="dxa"/>
            <w:tcBorders>
              <w:top w:val="single" w:sz="4" w:space="0" w:color="auto"/>
              <w:left w:val="nil"/>
              <w:bottom w:val="single" w:sz="4" w:space="0" w:color="auto"/>
              <w:right w:val="nil"/>
            </w:tcBorders>
            <w:shd w:val="clear" w:color="auto" w:fill="auto"/>
            <w:vAlign w:val="center"/>
            <w:hideMark/>
          </w:tcPr>
          <w:p w14:paraId="582C295E"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2005–06</w:t>
            </w:r>
          </w:p>
        </w:tc>
        <w:tc>
          <w:tcPr>
            <w:tcW w:w="744" w:type="dxa"/>
            <w:tcBorders>
              <w:top w:val="single" w:sz="4" w:space="0" w:color="auto"/>
              <w:left w:val="nil"/>
              <w:bottom w:val="single" w:sz="4" w:space="0" w:color="auto"/>
              <w:right w:val="nil"/>
            </w:tcBorders>
            <w:shd w:val="clear" w:color="auto" w:fill="auto"/>
            <w:vAlign w:val="center"/>
            <w:hideMark/>
          </w:tcPr>
          <w:p w14:paraId="313BF0A3"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2006–07</w:t>
            </w:r>
          </w:p>
        </w:tc>
        <w:tc>
          <w:tcPr>
            <w:tcW w:w="793" w:type="dxa"/>
            <w:tcBorders>
              <w:top w:val="single" w:sz="4" w:space="0" w:color="auto"/>
              <w:left w:val="nil"/>
              <w:bottom w:val="single" w:sz="4" w:space="0" w:color="auto"/>
              <w:right w:val="nil"/>
            </w:tcBorders>
            <w:shd w:val="clear" w:color="auto" w:fill="auto"/>
            <w:vAlign w:val="center"/>
            <w:hideMark/>
          </w:tcPr>
          <w:p w14:paraId="638B6FDC"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2007–08</w:t>
            </w:r>
          </w:p>
        </w:tc>
        <w:tc>
          <w:tcPr>
            <w:tcW w:w="744" w:type="dxa"/>
            <w:tcBorders>
              <w:top w:val="single" w:sz="4" w:space="0" w:color="auto"/>
              <w:left w:val="nil"/>
              <w:bottom w:val="single" w:sz="4" w:space="0" w:color="auto"/>
              <w:right w:val="nil"/>
            </w:tcBorders>
            <w:shd w:val="clear" w:color="auto" w:fill="auto"/>
            <w:vAlign w:val="center"/>
            <w:hideMark/>
          </w:tcPr>
          <w:p w14:paraId="774F322C"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2008–09</w:t>
            </w:r>
          </w:p>
        </w:tc>
        <w:tc>
          <w:tcPr>
            <w:tcW w:w="771" w:type="dxa"/>
            <w:tcBorders>
              <w:top w:val="single" w:sz="4" w:space="0" w:color="auto"/>
              <w:left w:val="nil"/>
              <w:bottom w:val="single" w:sz="4" w:space="0" w:color="auto"/>
              <w:right w:val="nil"/>
            </w:tcBorders>
            <w:shd w:val="clear" w:color="auto" w:fill="auto"/>
            <w:vAlign w:val="center"/>
            <w:hideMark/>
          </w:tcPr>
          <w:p w14:paraId="3444A75D"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2009–10</w:t>
            </w:r>
          </w:p>
        </w:tc>
        <w:tc>
          <w:tcPr>
            <w:tcW w:w="740" w:type="dxa"/>
            <w:gridSpan w:val="2"/>
            <w:tcBorders>
              <w:top w:val="single" w:sz="4" w:space="0" w:color="auto"/>
              <w:left w:val="nil"/>
              <w:bottom w:val="single" w:sz="4" w:space="0" w:color="auto"/>
              <w:right w:val="nil"/>
            </w:tcBorders>
            <w:shd w:val="clear" w:color="auto" w:fill="auto"/>
            <w:vAlign w:val="center"/>
            <w:hideMark/>
          </w:tcPr>
          <w:p w14:paraId="48D56B7C"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2010–11</w:t>
            </w:r>
          </w:p>
        </w:tc>
        <w:tc>
          <w:tcPr>
            <w:tcW w:w="744" w:type="dxa"/>
            <w:tcBorders>
              <w:top w:val="single" w:sz="4" w:space="0" w:color="auto"/>
              <w:left w:val="nil"/>
              <w:bottom w:val="single" w:sz="4" w:space="0" w:color="auto"/>
              <w:right w:val="nil"/>
            </w:tcBorders>
            <w:shd w:val="clear" w:color="auto" w:fill="auto"/>
            <w:noWrap/>
            <w:vAlign w:val="center"/>
            <w:hideMark/>
          </w:tcPr>
          <w:p w14:paraId="3E893F93"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2011–12</w:t>
            </w:r>
          </w:p>
        </w:tc>
        <w:tc>
          <w:tcPr>
            <w:tcW w:w="744" w:type="dxa"/>
            <w:gridSpan w:val="3"/>
            <w:tcBorders>
              <w:top w:val="single" w:sz="4" w:space="0" w:color="auto"/>
              <w:left w:val="nil"/>
              <w:bottom w:val="single" w:sz="4" w:space="0" w:color="auto"/>
              <w:right w:val="nil"/>
            </w:tcBorders>
            <w:vAlign w:val="center"/>
          </w:tcPr>
          <w:p w14:paraId="3258C7D7"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2011–12</w:t>
            </w:r>
          </w:p>
        </w:tc>
      </w:tr>
      <w:tr w:rsidR="00DE47B3" w:rsidRPr="00562878" w14:paraId="14E3AB9E" w14:textId="77777777" w:rsidTr="00015E41">
        <w:trPr>
          <w:gridAfter w:val="1"/>
          <w:trHeight w:val="246"/>
        </w:trPr>
        <w:tc>
          <w:tcPr>
            <w:tcW w:w="1865" w:type="dxa"/>
            <w:gridSpan w:val="2"/>
            <w:tcBorders>
              <w:top w:val="nil"/>
              <w:left w:val="nil"/>
              <w:bottom w:val="nil"/>
              <w:right w:val="nil"/>
            </w:tcBorders>
            <w:shd w:val="clear" w:color="auto" w:fill="auto"/>
            <w:vAlign w:val="center"/>
            <w:hideMark/>
          </w:tcPr>
          <w:p w14:paraId="33DE424E" w14:textId="77777777" w:rsidR="00DE47B3" w:rsidRPr="00562878" w:rsidRDefault="00DE47B3" w:rsidP="007C1117">
            <w:pPr>
              <w:rPr>
                <w:rFonts w:ascii="Calibri" w:hAnsi="Calibri" w:cs="Arial"/>
                <w:sz w:val="16"/>
                <w:szCs w:val="16"/>
              </w:rPr>
            </w:pPr>
            <w:r w:rsidRPr="00562878">
              <w:rPr>
                <w:rFonts w:ascii="Calibri" w:hAnsi="Calibri" w:cs="Arial"/>
                <w:sz w:val="16"/>
                <w:szCs w:val="16"/>
              </w:rPr>
              <w:t>Institutional accommodation</w:t>
            </w:r>
          </w:p>
        </w:tc>
        <w:tc>
          <w:tcPr>
            <w:tcW w:w="811" w:type="dxa"/>
            <w:tcBorders>
              <w:top w:val="nil"/>
              <w:left w:val="nil"/>
              <w:bottom w:val="nil"/>
              <w:right w:val="nil"/>
            </w:tcBorders>
            <w:shd w:val="clear" w:color="auto" w:fill="auto"/>
            <w:noWrap/>
            <w:vAlign w:val="center"/>
            <w:hideMark/>
          </w:tcPr>
          <w:p w14:paraId="70A28A8B"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5,303</w:t>
            </w:r>
          </w:p>
        </w:tc>
        <w:tc>
          <w:tcPr>
            <w:tcW w:w="744" w:type="dxa"/>
            <w:tcBorders>
              <w:top w:val="nil"/>
              <w:left w:val="nil"/>
              <w:bottom w:val="nil"/>
              <w:right w:val="nil"/>
            </w:tcBorders>
            <w:shd w:val="clear" w:color="auto" w:fill="auto"/>
            <w:noWrap/>
            <w:vAlign w:val="center"/>
            <w:hideMark/>
          </w:tcPr>
          <w:p w14:paraId="26A9D907"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5,068</w:t>
            </w:r>
          </w:p>
        </w:tc>
        <w:tc>
          <w:tcPr>
            <w:tcW w:w="744" w:type="dxa"/>
            <w:tcBorders>
              <w:top w:val="nil"/>
              <w:left w:val="nil"/>
              <w:bottom w:val="nil"/>
              <w:right w:val="nil"/>
            </w:tcBorders>
            <w:shd w:val="clear" w:color="auto" w:fill="auto"/>
            <w:noWrap/>
            <w:vAlign w:val="center"/>
            <w:hideMark/>
          </w:tcPr>
          <w:p w14:paraId="5CF7B5FC"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5,059</w:t>
            </w:r>
          </w:p>
        </w:tc>
        <w:tc>
          <w:tcPr>
            <w:tcW w:w="744" w:type="dxa"/>
            <w:tcBorders>
              <w:top w:val="nil"/>
              <w:left w:val="nil"/>
              <w:bottom w:val="nil"/>
              <w:right w:val="nil"/>
            </w:tcBorders>
            <w:shd w:val="clear" w:color="auto" w:fill="auto"/>
            <w:noWrap/>
            <w:vAlign w:val="center"/>
            <w:hideMark/>
          </w:tcPr>
          <w:p w14:paraId="260D7996"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4,805</w:t>
            </w:r>
          </w:p>
        </w:tc>
        <w:tc>
          <w:tcPr>
            <w:tcW w:w="793" w:type="dxa"/>
            <w:tcBorders>
              <w:top w:val="nil"/>
              <w:left w:val="nil"/>
              <w:bottom w:val="nil"/>
              <w:right w:val="nil"/>
            </w:tcBorders>
            <w:shd w:val="clear" w:color="auto" w:fill="auto"/>
            <w:noWrap/>
            <w:vAlign w:val="center"/>
            <w:hideMark/>
          </w:tcPr>
          <w:p w14:paraId="6DFE3EB0"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4,461</w:t>
            </w:r>
          </w:p>
        </w:tc>
        <w:tc>
          <w:tcPr>
            <w:tcW w:w="744" w:type="dxa"/>
            <w:tcBorders>
              <w:top w:val="nil"/>
              <w:left w:val="nil"/>
              <w:bottom w:val="nil"/>
              <w:right w:val="nil"/>
            </w:tcBorders>
            <w:shd w:val="clear" w:color="auto" w:fill="auto"/>
            <w:noWrap/>
            <w:vAlign w:val="center"/>
            <w:hideMark/>
          </w:tcPr>
          <w:p w14:paraId="4DB7E5EA"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4,547</w:t>
            </w:r>
          </w:p>
        </w:tc>
        <w:tc>
          <w:tcPr>
            <w:tcW w:w="771" w:type="dxa"/>
            <w:tcBorders>
              <w:top w:val="nil"/>
              <w:left w:val="nil"/>
              <w:bottom w:val="nil"/>
              <w:right w:val="nil"/>
            </w:tcBorders>
            <w:shd w:val="clear" w:color="auto" w:fill="auto"/>
            <w:noWrap/>
            <w:vAlign w:val="center"/>
            <w:hideMark/>
          </w:tcPr>
          <w:p w14:paraId="22FC2524"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4,174</w:t>
            </w:r>
          </w:p>
        </w:tc>
        <w:tc>
          <w:tcPr>
            <w:tcW w:w="740" w:type="dxa"/>
            <w:gridSpan w:val="2"/>
            <w:tcBorders>
              <w:top w:val="nil"/>
              <w:left w:val="nil"/>
              <w:bottom w:val="nil"/>
              <w:right w:val="nil"/>
            </w:tcBorders>
            <w:shd w:val="clear" w:color="auto" w:fill="auto"/>
            <w:noWrap/>
            <w:vAlign w:val="center"/>
            <w:hideMark/>
          </w:tcPr>
          <w:p w14:paraId="3E299578"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3,981</w:t>
            </w:r>
          </w:p>
        </w:tc>
        <w:tc>
          <w:tcPr>
            <w:tcW w:w="744" w:type="dxa"/>
            <w:tcBorders>
              <w:top w:val="nil"/>
              <w:left w:val="nil"/>
              <w:bottom w:val="nil"/>
              <w:right w:val="nil"/>
            </w:tcBorders>
            <w:shd w:val="clear" w:color="auto" w:fill="auto"/>
            <w:noWrap/>
            <w:vAlign w:val="center"/>
            <w:hideMark/>
          </w:tcPr>
          <w:p w14:paraId="5C57E9B2"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3,702</w:t>
            </w:r>
          </w:p>
        </w:tc>
        <w:tc>
          <w:tcPr>
            <w:tcW w:w="744" w:type="dxa"/>
            <w:gridSpan w:val="3"/>
            <w:tcBorders>
              <w:top w:val="nil"/>
              <w:left w:val="nil"/>
              <w:bottom w:val="nil"/>
              <w:right w:val="nil"/>
            </w:tcBorders>
            <w:vAlign w:val="center"/>
          </w:tcPr>
          <w:p w14:paraId="33AD27FC"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3,452</w:t>
            </w:r>
          </w:p>
        </w:tc>
      </w:tr>
      <w:tr w:rsidR="00DE47B3" w:rsidRPr="00562878" w14:paraId="15FE6A08" w14:textId="77777777" w:rsidTr="00015E41">
        <w:trPr>
          <w:gridAfter w:val="1"/>
          <w:trHeight w:val="246"/>
        </w:trPr>
        <w:tc>
          <w:tcPr>
            <w:tcW w:w="1865" w:type="dxa"/>
            <w:gridSpan w:val="2"/>
            <w:tcBorders>
              <w:top w:val="nil"/>
              <w:left w:val="nil"/>
              <w:bottom w:val="nil"/>
              <w:right w:val="nil"/>
            </w:tcBorders>
            <w:shd w:val="clear" w:color="auto" w:fill="auto"/>
            <w:vAlign w:val="center"/>
            <w:hideMark/>
          </w:tcPr>
          <w:p w14:paraId="7D3B814B" w14:textId="77777777" w:rsidR="00DE47B3" w:rsidRPr="00562878" w:rsidRDefault="00DE47B3" w:rsidP="007C1117">
            <w:pPr>
              <w:rPr>
                <w:rFonts w:ascii="Calibri" w:hAnsi="Calibri" w:cs="Arial"/>
                <w:sz w:val="16"/>
                <w:szCs w:val="16"/>
              </w:rPr>
            </w:pPr>
            <w:r w:rsidRPr="00562878">
              <w:rPr>
                <w:rFonts w:ascii="Calibri" w:hAnsi="Calibri" w:cs="Arial"/>
                <w:sz w:val="16"/>
                <w:szCs w:val="16"/>
              </w:rPr>
              <w:t>Group homes</w:t>
            </w:r>
          </w:p>
        </w:tc>
        <w:tc>
          <w:tcPr>
            <w:tcW w:w="811" w:type="dxa"/>
            <w:tcBorders>
              <w:top w:val="nil"/>
              <w:left w:val="nil"/>
              <w:bottom w:val="nil"/>
              <w:right w:val="nil"/>
            </w:tcBorders>
            <w:shd w:val="clear" w:color="auto" w:fill="auto"/>
            <w:noWrap/>
            <w:vAlign w:val="center"/>
            <w:hideMark/>
          </w:tcPr>
          <w:p w14:paraId="6EDC2396"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11,308</w:t>
            </w:r>
          </w:p>
        </w:tc>
        <w:tc>
          <w:tcPr>
            <w:tcW w:w="744" w:type="dxa"/>
            <w:tcBorders>
              <w:top w:val="nil"/>
              <w:left w:val="nil"/>
              <w:bottom w:val="nil"/>
              <w:right w:val="nil"/>
            </w:tcBorders>
            <w:shd w:val="clear" w:color="auto" w:fill="auto"/>
            <w:noWrap/>
            <w:vAlign w:val="center"/>
            <w:hideMark/>
          </w:tcPr>
          <w:p w14:paraId="0E4E2FC0"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10,722</w:t>
            </w:r>
          </w:p>
        </w:tc>
        <w:tc>
          <w:tcPr>
            <w:tcW w:w="744" w:type="dxa"/>
            <w:tcBorders>
              <w:top w:val="nil"/>
              <w:left w:val="nil"/>
              <w:bottom w:val="nil"/>
              <w:right w:val="nil"/>
            </w:tcBorders>
            <w:shd w:val="clear" w:color="auto" w:fill="auto"/>
            <w:noWrap/>
            <w:vAlign w:val="center"/>
            <w:hideMark/>
          </w:tcPr>
          <w:p w14:paraId="688A8EC5"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11,414</w:t>
            </w:r>
          </w:p>
        </w:tc>
        <w:tc>
          <w:tcPr>
            <w:tcW w:w="744" w:type="dxa"/>
            <w:tcBorders>
              <w:top w:val="nil"/>
              <w:left w:val="nil"/>
              <w:bottom w:val="nil"/>
              <w:right w:val="nil"/>
            </w:tcBorders>
            <w:shd w:val="clear" w:color="auto" w:fill="auto"/>
            <w:noWrap/>
            <w:vAlign w:val="center"/>
            <w:hideMark/>
          </w:tcPr>
          <w:p w14:paraId="26941A59"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12,274</w:t>
            </w:r>
          </w:p>
        </w:tc>
        <w:tc>
          <w:tcPr>
            <w:tcW w:w="793" w:type="dxa"/>
            <w:tcBorders>
              <w:top w:val="nil"/>
              <w:left w:val="nil"/>
              <w:bottom w:val="nil"/>
              <w:right w:val="nil"/>
            </w:tcBorders>
            <w:shd w:val="clear" w:color="auto" w:fill="auto"/>
            <w:noWrap/>
            <w:vAlign w:val="center"/>
            <w:hideMark/>
          </w:tcPr>
          <w:p w14:paraId="1AC388B3"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12,913</w:t>
            </w:r>
          </w:p>
        </w:tc>
        <w:tc>
          <w:tcPr>
            <w:tcW w:w="744" w:type="dxa"/>
            <w:tcBorders>
              <w:top w:val="nil"/>
              <w:left w:val="nil"/>
              <w:bottom w:val="nil"/>
              <w:right w:val="nil"/>
            </w:tcBorders>
            <w:shd w:val="clear" w:color="auto" w:fill="auto"/>
            <w:noWrap/>
            <w:vAlign w:val="center"/>
            <w:hideMark/>
          </w:tcPr>
          <w:p w14:paraId="5A5FEFA0"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13,188</w:t>
            </w:r>
          </w:p>
        </w:tc>
        <w:tc>
          <w:tcPr>
            <w:tcW w:w="771" w:type="dxa"/>
            <w:tcBorders>
              <w:top w:val="nil"/>
              <w:left w:val="nil"/>
              <w:bottom w:val="nil"/>
              <w:right w:val="nil"/>
            </w:tcBorders>
            <w:shd w:val="clear" w:color="auto" w:fill="auto"/>
            <w:noWrap/>
            <w:vAlign w:val="center"/>
            <w:hideMark/>
          </w:tcPr>
          <w:p w14:paraId="2D78BA99"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13,435</w:t>
            </w:r>
          </w:p>
        </w:tc>
        <w:tc>
          <w:tcPr>
            <w:tcW w:w="740" w:type="dxa"/>
            <w:gridSpan w:val="2"/>
            <w:tcBorders>
              <w:top w:val="nil"/>
              <w:left w:val="nil"/>
              <w:bottom w:val="nil"/>
              <w:right w:val="nil"/>
            </w:tcBorders>
            <w:shd w:val="clear" w:color="auto" w:fill="auto"/>
            <w:noWrap/>
            <w:vAlign w:val="center"/>
            <w:hideMark/>
          </w:tcPr>
          <w:p w14:paraId="0B9B4186"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15,130</w:t>
            </w:r>
          </w:p>
        </w:tc>
        <w:tc>
          <w:tcPr>
            <w:tcW w:w="744" w:type="dxa"/>
            <w:tcBorders>
              <w:top w:val="nil"/>
              <w:left w:val="nil"/>
              <w:bottom w:val="nil"/>
              <w:right w:val="nil"/>
            </w:tcBorders>
            <w:shd w:val="clear" w:color="auto" w:fill="auto"/>
            <w:noWrap/>
            <w:vAlign w:val="center"/>
            <w:hideMark/>
          </w:tcPr>
          <w:p w14:paraId="5E2D5F29"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16,190</w:t>
            </w:r>
          </w:p>
        </w:tc>
        <w:tc>
          <w:tcPr>
            <w:tcW w:w="744" w:type="dxa"/>
            <w:gridSpan w:val="3"/>
            <w:tcBorders>
              <w:top w:val="nil"/>
              <w:left w:val="nil"/>
              <w:bottom w:val="nil"/>
              <w:right w:val="nil"/>
            </w:tcBorders>
            <w:vAlign w:val="center"/>
          </w:tcPr>
          <w:p w14:paraId="0DA88B8D"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16,433</w:t>
            </w:r>
          </w:p>
        </w:tc>
      </w:tr>
      <w:tr w:rsidR="00DE47B3" w:rsidRPr="00562878" w14:paraId="7D7DA6DE" w14:textId="77777777" w:rsidTr="00015E41">
        <w:trPr>
          <w:gridAfter w:val="1"/>
          <w:trHeight w:val="246"/>
        </w:trPr>
        <w:tc>
          <w:tcPr>
            <w:tcW w:w="1865" w:type="dxa"/>
            <w:gridSpan w:val="2"/>
            <w:tcBorders>
              <w:top w:val="nil"/>
              <w:left w:val="nil"/>
              <w:bottom w:val="nil"/>
              <w:right w:val="nil"/>
            </w:tcBorders>
            <w:shd w:val="clear" w:color="auto" w:fill="auto"/>
            <w:vAlign w:val="center"/>
            <w:hideMark/>
          </w:tcPr>
          <w:p w14:paraId="5C366529" w14:textId="77777777" w:rsidR="00DE47B3" w:rsidRPr="00562878" w:rsidRDefault="00DE47B3" w:rsidP="007C1117">
            <w:pPr>
              <w:rPr>
                <w:rFonts w:ascii="Calibri" w:hAnsi="Calibri" w:cs="Arial"/>
                <w:sz w:val="16"/>
                <w:szCs w:val="16"/>
              </w:rPr>
            </w:pPr>
            <w:r w:rsidRPr="00562878">
              <w:rPr>
                <w:rFonts w:ascii="Calibri" w:hAnsi="Calibri" w:cs="Arial"/>
                <w:sz w:val="16"/>
                <w:szCs w:val="16"/>
              </w:rPr>
              <w:t>Other community settings</w:t>
            </w:r>
          </w:p>
        </w:tc>
        <w:tc>
          <w:tcPr>
            <w:tcW w:w="811" w:type="dxa"/>
            <w:tcBorders>
              <w:top w:val="nil"/>
              <w:left w:val="nil"/>
              <w:bottom w:val="nil"/>
              <w:right w:val="nil"/>
            </w:tcBorders>
            <w:shd w:val="clear" w:color="auto" w:fill="auto"/>
            <w:noWrap/>
            <w:vAlign w:val="center"/>
            <w:hideMark/>
          </w:tcPr>
          <w:p w14:paraId="2DD3AED6"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17,271</w:t>
            </w:r>
          </w:p>
        </w:tc>
        <w:tc>
          <w:tcPr>
            <w:tcW w:w="744" w:type="dxa"/>
            <w:tcBorders>
              <w:top w:val="nil"/>
              <w:left w:val="nil"/>
              <w:bottom w:val="nil"/>
              <w:right w:val="nil"/>
            </w:tcBorders>
            <w:shd w:val="clear" w:color="auto" w:fill="auto"/>
            <w:noWrap/>
            <w:vAlign w:val="center"/>
            <w:hideMark/>
          </w:tcPr>
          <w:p w14:paraId="2CE71286"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18,621</w:t>
            </w:r>
          </w:p>
        </w:tc>
        <w:tc>
          <w:tcPr>
            <w:tcW w:w="744" w:type="dxa"/>
            <w:tcBorders>
              <w:top w:val="nil"/>
              <w:left w:val="nil"/>
              <w:bottom w:val="nil"/>
              <w:right w:val="nil"/>
            </w:tcBorders>
            <w:shd w:val="clear" w:color="auto" w:fill="auto"/>
            <w:noWrap/>
            <w:vAlign w:val="center"/>
            <w:hideMark/>
          </w:tcPr>
          <w:p w14:paraId="37BE5CCC"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19,714</w:t>
            </w:r>
          </w:p>
        </w:tc>
        <w:tc>
          <w:tcPr>
            <w:tcW w:w="744" w:type="dxa"/>
            <w:tcBorders>
              <w:top w:val="nil"/>
              <w:left w:val="nil"/>
              <w:bottom w:val="nil"/>
              <w:right w:val="nil"/>
            </w:tcBorders>
            <w:shd w:val="clear" w:color="auto" w:fill="auto"/>
            <w:noWrap/>
            <w:vAlign w:val="center"/>
            <w:hideMark/>
          </w:tcPr>
          <w:p w14:paraId="1CFAC7D7"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21,143</w:t>
            </w:r>
          </w:p>
        </w:tc>
        <w:tc>
          <w:tcPr>
            <w:tcW w:w="793" w:type="dxa"/>
            <w:tcBorders>
              <w:top w:val="nil"/>
              <w:left w:val="nil"/>
              <w:bottom w:val="nil"/>
              <w:right w:val="nil"/>
            </w:tcBorders>
            <w:shd w:val="clear" w:color="auto" w:fill="auto"/>
            <w:noWrap/>
            <w:vAlign w:val="center"/>
            <w:hideMark/>
          </w:tcPr>
          <w:p w14:paraId="5BD152C1"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21,318</w:t>
            </w:r>
          </w:p>
        </w:tc>
        <w:tc>
          <w:tcPr>
            <w:tcW w:w="744" w:type="dxa"/>
            <w:tcBorders>
              <w:top w:val="nil"/>
              <w:left w:val="nil"/>
              <w:bottom w:val="nil"/>
              <w:right w:val="nil"/>
            </w:tcBorders>
            <w:shd w:val="clear" w:color="auto" w:fill="auto"/>
            <w:noWrap/>
            <w:vAlign w:val="center"/>
            <w:hideMark/>
          </w:tcPr>
          <w:p w14:paraId="0860932E"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22,419</w:t>
            </w:r>
          </w:p>
        </w:tc>
        <w:tc>
          <w:tcPr>
            <w:tcW w:w="771" w:type="dxa"/>
            <w:tcBorders>
              <w:top w:val="nil"/>
              <w:left w:val="nil"/>
              <w:bottom w:val="nil"/>
              <w:right w:val="nil"/>
            </w:tcBorders>
            <w:shd w:val="clear" w:color="auto" w:fill="auto"/>
            <w:noWrap/>
            <w:vAlign w:val="center"/>
            <w:hideMark/>
          </w:tcPr>
          <w:p w14:paraId="7BFAEFC0"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23,024</w:t>
            </w:r>
          </w:p>
        </w:tc>
        <w:tc>
          <w:tcPr>
            <w:tcW w:w="740" w:type="dxa"/>
            <w:gridSpan w:val="2"/>
            <w:tcBorders>
              <w:top w:val="nil"/>
              <w:left w:val="nil"/>
              <w:bottom w:val="nil"/>
              <w:right w:val="nil"/>
            </w:tcBorders>
            <w:shd w:val="clear" w:color="auto" w:fill="auto"/>
            <w:noWrap/>
            <w:vAlign w:val="center"/>
            <w:hideMark/>
          </w:tcPr>
          <w:p w14:paraId="64CC80C0"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25,075</w:t>
            </w:r>
          </w:p>
        </w:tc>
        <w:tc>
          <w:tcPr>
            <w:tcW w:w="744" w:type="dxa"/>
            <w:tcBorders>
              <w:top w:val="nil"/>
              <w:left w:val="nil"/>
              <w:bottom w:val="nil"/>
              <w:right w:val="nil"/>
            </w:tcBorders>
            <w:shd w:val="clear" w:color="auto" w:fill="auto"/>
            <w:noWrap/>
            <w:vAlign w:val="center"/>
            <w:hideMark/>
          </w:tcPr>
          <w:p w14:paraId="14742416"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22,712</w:t>
            </w:r>
          </w:p>
        </w:tc>
        <w:tc>
          <w:tcPr>
            <w:tcW w:w="744" w:type="dxa"/>
            <w:gridSpan w:val="3"/>
            <w:tcBorders>
              <w:top w:val="nil"/>
              <w:left w:val="nil"/>
              <w:bottom w:val="nil"/>
              <w:right w:val="nil"/>
            </w:tcBorders>
            <w:vAlign w:val="center"/>
          </w:tcPr>
          <w:p w14:paraId="46992DC5" w14:textId="77777777" w:rsidR="00DE47B3" w:rsidRPr="00562878" w:rsidRDefault="00DE47B3" w:rsidP="007C1117">
            <w:pPr>
              <w:jc w:val="right"/>
              <w:rPr>
                <w:rFonts w:ascii="Calibri" w:hAnsi="Calibri" w:cs="Arial"/>
                <w:sz w:val="16"/>
                <w:szCs w:val="16"/>
              </w:rPr>
            </w:pPr>
            <w:r w:rsidRPr="00562878">
              <w:rPr>
                <w:rFonts w:ascii="Calibri" w:hAnsi="Calibri" w:cs="Arial"/>
                <w:sz w:val="16"/>
                <w:szCs w:val="16"/>
              </w:rPr>
              <w:t>24,747</w:t>
            </w:r>
          </w:p>
        </w:tc>
      </w:tr>
      <w:tr w:rsidR="00DE47B3" w:rsidRPr="00562878" w14:paraId="39AEF85D" w14:textId="77777777" w:rsidTr="00015E41">
        <w:trPr>
          <w:gridAfter w:val="1"/>
          <w:trHeight w:val="246"/>
        </w:trPr>
        <w:tc>
          <w:tcPr>
            <w:tcW w:w="1865" w:type="dxa"/>
            <w:gridSpan w:val="2"/>
            <w:tcBorders>
              <w:top w:val="nil"/>
              <w:left w:val="nil"/>
              <w:bottom w:val="single" w:sz="4" w:space="0" w:color="auto"/>
              <w:right w:val="nil"/>
            </w:tcBorders>
            <w:shd w:val="clear" w:color="auto" w:fill="auto"/>
            <w:vAlign w:val="center"/>
            <w:hideMark/>
          </w:tcPr>
          <w:p w14:paraId="58779DB7" w14:textId="77777777" w:rsidR="00DE47B3" w:rsidRPr="00562878" w:rsidRDefault="00DE47B3" w:rsidP="007C1117">
            <w:pPr>
              <w:rPr>
                <w:rFonts w:ascii="Calibri" w:hAnsi="Calibri" w:cs="Arial"/>
                <w:b/>
                <w:bCs/>
                <w:sz w:val="16"/>
                <w:szCs w:val="16"/>
              </w:rPr>
            </w:pPr>
            <w:r w:rsidRPr="00562878">
              <w:rPr>
                <w:rFonts w:ascii="Calibri" w:hAnsi="Calibri" w:cs="Arial"/>
                <w:b/>
                <w:bCs/>
                <w:sz w:val="16"/>
                <w:szCs w:val="16"/>
              </w:rPr>
              <w:t>Total accommodation support</w:t>
            </w:r>
          </w:p>
        </w:tc>
        <w:tc>
          <w:tcPr>
            <w:tcW w:w="811" w:type="dxa"/>
            <w:tcBorders>
              <w:top w:val="nil"/>
              <w:left w:val="nil"/>
              <w:bottom w:val="single" w:sz="4" w:space="0" w:color="auto"/>
              <w:right w:val="nil"/>
            </w:tcBorders>
            <w:shd w:val="clear" w:color="auto" w:fill="auto"/>
            <w:noWrap/>
            <w:vAlign w:val="center"/>
            <w:hideMark/>
          </w:tcPr>
          <w:p w14:paraId="7FEA541C"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33,175</w:t>
            </w:r>
          </w:p>
        </w:tc>
        <w:tc>
          <w:tcPr>
            <w:tcW w:w="744" w:type="dxa"/>
            <w:tcBorders>
              <w:top w:val="nil"/>
              <w:left w:val="nil"/>
              <w:bottom w:val="single" w:sz="4" w:space="0" w:color="auto"/>
              <w:right w:val="nil"/>
            </w:tcBorders>
            <w:shd w:val="clear" w:color="auto" w:fill="auto"/>
            <w:noWrap/>
            <w:vAlign w:val="center"/>
            <w:hideMark/>
          </w:tcPr>
          <w:p w14:paraId="5BA9C62F"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33,787</w:t>
            </w:r>
          </w:p>
        </w:tc>
        <w:tc>
          <w:tcPr>
            <w:tcW w:w="744" w:type="dxa"/>
            <w:tcBorders>
              <w:top w:val="nil"/>
              <w:left w:val="nil"/>
              <w:bottom w:val="single" w:sz="4" w:space="0" w:color="auto"/>
              <w:right w:val="nil"/>
            </w:tcBorders>
            <w:shd w:val="clear" w:color="auto" w:fill="auto"/>
            <w:noWrap/>
            <w:vAlign w:val="center"/>
            <w:hideMark/>
          </w:tcPr>
          <w:p w14:paraId="1B24D769"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35,566</w:t>
            </w:r>
          </w:p>
        </w:tc>
        <w:tc>
          <w:tcPr>
            <w:tcW w:w="744" w:type="dxa"/>
            <w:tcBorders>
              <w:top w:val="nil"/>
              <w:left w:val="nil"/>
              <w:bottom w:val="single" w:sz="4" w:space="0" w:color="auto"/>
              <w:right w:val="nil"/>
            </w:tcBorders>
            <w:shd w:val="clear" w:color="auto" w:fill="auto"/>
            <w:noWrap/>
            <w:vAlign w:val="center"/>
            <w:hideMark/>
          </w:tcPr>
          <w:p w14:paraId="6F68A4EB"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37,473</w:t>
            </w:r>
          </w:p>
        </w:tc>
        <w:tc>
          <w:tcPr>
            <w:tcW w:w="793" w:type="dxa"/>
            <w:tcBorders>
              <w:top w:val="nil"/>
              <w:left w:val="nil"/>
              <w:bottom w:val="single" w:sz="4" w:space="0" w:color="auto"/>
              <w:right w:val="nil"/>
            </w:tcBorders>
            <w:shd w:val="clear" w:color="auto" w:fill="auto"/>
            <w:noWrap/>
            <w:vAlign w:val="center"/>
            <w:hideMark/>
          </w:tcPr>
          <w:p w14:paraId="1C8BBA0B"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37,704</w:t>
            </w:r>
          </w:p>
        </w:tc>
        <w:tc>
          <w:tcPr>
            <w:tcW w:w="744" w:type="dxa"/>
            <w:tcBorders>
              <w:top w:val="nil"/>
              <w:left w:val="nil"/>
              <w:bottom w:val="single" w:sz="4" w:space="0" w:color="auto"/>
              <w:right w:val="nil"/>
            </w:tcBorders>
            <w:shd w:val="clear" w:color="auto" w:fill="auto"/>
            <w:noWrap/>
            <w:vAlign w:val="center"/>
            <w:hideMark/>
          </w:tcPr>
          <w:p w14:paraId="376CF66A"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39,169</w:t>
            </w:r>
          </w:p>
        </w:tc>
        <w:tc>
          <w:tcPr>
            <w:tcW w:w="771" w:type="dxa"/>
            <w:tcBorders>
              <w:top w:val="nil"/>
              <w:left w:val="nil"/>
              <w:bottom w:val="single" w:sz="4" w:space="0" w:color="auto"/>
              <w:right w:val="nil"/>
            </w:tcBorders>
            <w:shd w:val="clear" w:color="auto" w:fill="auto"/>
            <w:noWrap/>
            <w:vAlign w:val="center"/>
            <w:hideMark/>
          </w:tcPr>
          <w:p w14:paraId="6A35FFBF"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39,854</w:t>
            </w:r>
          </w:p>
        </w:tc>
        <w:tc>
          <w:tcPr>
            <w:tcW w:w="740" w:type="dxa"/>
            <w:gridSpan w:val="2"/>
            <w:tcBorders>
              <w:top w:val="nil"/>
              <w:left w:val="nil"/>
              <w:bottom w:val="single" w:sz="4" w:space="0" w:color="auto"/>
              <w:right w:val="nil"/>
            </w:tcBorders>
            <w:shd w:val="clear" w:color="auto" w:fill="auto"/>
            <w:noWrap/>
            <w:vAlign w:val="center"/>
            <w:hideMark/>
          </w:tcPr>
          <w:p w14:paraId="34A127EA"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42,579</w:t>
            </w:r>
          </w:p>
        </w:tc>
        <w:tc>
          <w:tcPr>
            <w:tcW w:w="744" w:type="dxa"/>
            <w:tcBorders>
              <w:top w:val="nil"/>
              <w:left w:val="nil"/>
              <w:bottom w:val="single" w:sz="4" w:space="0" w:color="auto"/>
              <w:right w:val="nil"/>
            </w:tcBorders>
            <w:shd w:val="clear" w:color="auto" w:fill="auto"/>
            <w:noWrap/>
            <w:vAlign w:val="center"/>
            <w:hideMark/>
          </w:tcPr>
          <w:p w14:paraId="25851A92"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41,421</w:t>
            </w:r>
          </w:p>
        </w:tc>
        <w:tc>
          <w:tcPr>
            <w:tcW w:w="744" w:type="dxa"/>
            <w:gridSpan w:val="3"/>
            <w:tcBorders>
              <w:top w:val="nil"/>
              <w:left w:val="nil"/>
              <w:bottom w:val="single" w:sz="4" w:space="0" w:color="auto"/>
              <w:right w:val="nil"/>
            </w:tcBorders>
            <w:vAlign w:val="center"/>
          </w:tcPr>
          <w:p w14:paraId="7E590F5A"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43,592</w:t>
            </w:r>
          </w:p>
        </w:tc>
      </w:tr>
      <w:tr w:rsidR="00DE47B3" w:rsidRPr="00562878" w14:paraId="7146583D" w14:textId="77777777" w:rsidTr="00015E41">
        <w:trPr>
          <w:gridAfter w:val="1"/>
          <w:trHeight w:val="246"/>
        </w:trPr>
        <w:tc>
          <w:tcPr>
            <w:tcW w:w="1865" w:type="dxa"/>
            <w:gridSpan w:val="2"/>
            <w:tcBorders>
              <w:top w:val="nil"/>
              <w:left w:val="nil"/>
              <w:bottom w:val="single" w:sz="4" w:space="0" w:color="auto"/>
              <w:right w:val="nil"/>
            </w:tcBorders>
            <w:shd w:val="clear" w:color="auto" w:fill="auto"/>
            <w:noWrap/>
            <w:vAlign w:val="bottom"/>
            <w:hideMark/>
          </w:tcPr>
          <w:p w14:paraId="087AED9E" w14:textId="77777777" w:rsidR="00DE47B3" w:rsidRPr="00562878" w:rsidRDefault="00DE47B3" w:rsidP="007C1117">
            <w:pPr>
              <w:rPr>
                <w:rFonts w:ascii="Calibri" w:hAnsi="Calibri" w:cs="Arial"/>
                <w:b/>
                <w:bCs/>
                <w:sz w:val="16"/>
                <w:szCs w:val="16"/>
              </w:rPr>
            </w:pPr>
            <w:r w:rsidRPr="00562878">
              <w:rPr>
                <w:rFonts w:ascii="Calibri" w:hAnsi="Calibri" w:cs="Arial"/>
                <w:b/>
                <w:bCs/>
                <w:sz w:val="16"/>
                <w:szCs w:val="16"/>
              </w:rPr>
              <w:t>Total service users (all service types)</w:t>
            </w:r>
            <w:r w:rsidRPr="00562878">
              <w:rPr>
                <w:rFonts w:ascii="Calibri" w:hAnsi="Calibri" w:cs="Arial"/>
                <w:b/>
                <w:bCs/>
                <w:sz w:val="16"/>
                <w:szCs w:val="16"/>
                <w:vertAlign w:val="superscript"/>
              </w:rPr>
              <w:t>(a)</w:t>
            </w:r>
          </w:p>
        </w:tc>
        <w:tc>
          <w:tcPr>
            <w:tcW w:w="811" w:type="dxa"/>
            <w:tcBorders>
              <w:top w:val="nil"/>
              <w:left w:val="nil"/>
              <w:bottom w:val="single" w:sz="4" w:space="0" w:color="auto"/>
              <w:right w:val="nil"/>
            </w:tcBorders>
            <w:shd w:val="clear" w:color="auto" w:fill="auto"/>
            <w:noWrap/>
            <w:vAlign w:val="bottom"/>
            <w:hideMark/>
          </w:tcPr>
          <w:p w14:paraId="6EFA741A"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187,806</w:t>
            </w:r>
          </w:p>
        </w:tc>
        <w:tc>
          <w:tcPr>
            <w:tcW w:w="744" w:type="dxa"/>
            <w:tcBorders>
              <w:top w:val="nil"/>
              <w:left w:val="nil"/>
              <w:bottom w:val="single" w:sz="4" w:space="0" w:color="auto"/>
              <w:right w:val="nil"/>
            </w:tcBorders>
            <w:shd w:val="clear" w:color="auto" w:fill="auto"/>
            <w:noWrap/>
            <w:vAlign w:val="bottom"/>
            <w:hideMark/>
          </w:tcPr>
          <w:p w14:paraId="19450202"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200,493</w:t>
            </w:r>
          </w:p>
        </w:tc>
        <w:tc>
          <w:tcPr>
            <w:tcW w:w="744" w:type="dxa"/>
            <w:tcBorders>
              <w:top w:val="nil"/>
              <w:left w:val="nil"/>
              <w:bottom w:val="single" w:sz="4" w:space="0" w:color="auto"/>
              <w:right w:val="nil"/>
            </w:tcBorders>
            <w:shd w:val="clear" w:color="auto" w:fill="auto"/>
            <w:noWrap/>
            <w:vAlign w:val="bottom"/>
            <w:hideMark/>
          </w:tcPr>
          <w:p w14:paraId="076AC43F"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217,143</w:t>
            </w:r>
          </w:p>
        </w:tc>
        <w:tc>
          <w:tcPr>
            <w:tcW w:w="744" w:type="dxa"/>
            <w:tcBorders>
              <w:top w:val="nil"/>
              <w:left w:val="nil"/>
              <w:bottom w:val="single" w:sz="4" w:space="0" w:color="auto"/>
              <w:right w:val="nil"/>
            </w:tcBorders>
            <w:shd w:val="clear" w:color="auto" w:fill="auto"/>
            <w:noWrap/>
            <w:vAlign w:val="bottom"/>
            <w:hideMark/>
          </w:tcPr>
          <w:p w14:paraId="25F75D3C"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232,253</w:t>
            </w:r>
          </w:p>
        </w:tc>
        <w:tc>
          <w:tcPr>
            <w:tcW w:w="793" w:type="dxa"/>
            <w:tcBorders>
              <w:top w:val="nil"/>
              <w:left w:val="nil"/>
              <w:bottom w:val="single" w:sz="4" w:space="0" w:color="auto"/>
              <w:right w:val="nil"/>
            </w:tcBorders>
            <w:shd w:val="clear" w:color="auto" w:fill="auto"/>
            <w:noWrap/>
            <w:vAlign w:val="bottom"/>
            <w:hideMark/>
          </w:tcPr>
          <w:p w14:paraId="1DC0910E"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246,281</w:t>
            </w:r>
          </w:p>
        </w:tc>
        <w:tc>
          <w:tcPr>
            <w:tcW w:w="744" w:type="dxa"/>
            <w:tcBorders>
              <w:top w:val="nil"/>
              <w:left w:val="nil"/>
              <w:bottom w:val="single" w:sz="4" w:space="0" w:color="auto"/>
              <w:right w:val="nil"/>
            </w:tcBorders>
            <w:shd w:val="clear" w:color="auto" w:fill="auto"/>
            <w:noWrap/>
            <w:vAlign w:val="bottom"/>
            <w:hideMark/>
          </w:tcPr>
          <w:p w14:paraId="7F8979C8"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279,301</w:t>
            </w:r>
          </w:p>
        </w:tc>
        <w:tc>
          <w:tcPr>
            <w:tcW w:w="771" w:type="dxa"/>
            <w:tcBorders>
              <w:top w:val="nil"/>
              <w:left w:val="nil"/>
              <w:bottom w:val="single" w:sz="4" w:space="0" w:color="auto"/>
              <w:right w:val="nil"/>
            </w:tcBorders>
            <w:shd w:val="clear" w:color="auto" w:fill="auto"/>
            <w:noWrap/>
            <w:vAlign w:val="bottom"/>
            <w:hideMark/>
          </w:tcPr>
          <w:p w14:paraId="5811FA98"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295,024</w:t>
            </w:r>
          </w:p>
        </w:tc>
        <w:tc>
          <w:tcPr>
            <w:tcW w:w="740" w:type="dxa"/>
            <w:gridSpan w:val="2"/>
            <w:tcBorders>
              <w:top w:val="nil"/>
              <w:left w:val="nil"/>
              <w:bottom w:val="single" w:sz="4" w:space="0" w:color="auto"/>
              <w:right w:val="nil"/>
            </w:tcBorders>
            <w:shd w:val="clear" w:color="auto" w:fill="auto"/>
            <w:noWrap/>
            <w:vAlign w:val="bottom"/>
            <w:hideMark/>
          </w:tcPr>
          <w:p w14:paraId="44C78CAF"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314,252</w:t>
            </w:r>
          </w:p>
        </w:tc>
        <w:tc>
          <w:tcPr>
            <w:tcW w:w="744" w:type="dxa"/>
            <w:tcBorders>
              <w:top w:val="nil"/>
              <w:left w:val="nil"/>
              <w:bottom w:val="single" w:sz="4" w:space="0" w:color="auto"/>
              <w:right w:val="nil"/>
            </w:tcBorders>
            <w:shd w:val="clear" w:color="auto" w:fill="auto"/>
            <w:noWrap/>
            <w:vAlign w:val="bottom"/>
            <w:hideMark/>
          </w:tcPr>
          <w:p w14:paraId="366CEBE4"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317,616</w:t>
            </w:r>
          </w:p>
        </w:tc>
        <w:tc>
          <w:tcPr>
            <w:tcW w:w="744" w:type="dxa"/>
            <w:gridSpan w:val="3"/>
            <w:tcBorders>
              <w:top w:val="nil"/>
              <w:left w:val="nil"/>
              <w:bottom w:val="single" w:sz="4" w:space="0" w:color="auto"/>
              <w:right w:val="nil"/>
            </w:tcBorders>
            <w:vAlign w:val="center"/>
          </w:tcPr>
          <w:p w14:paraId="0BA26D43" w14:textId="77777777" w:rsidR="00DE47B3" w:rsidRPr="00562878" w:rsidRDefault="00DE47B3" w:rsidP="007C1117">
            <w:pPr>
              <w:jc w:val="right"/>
              <w:rPr>
                <w:rFonts w:ascii="Calibri" w:hAnsi="Calibri" w:cs="Arial"/>
                <w:b/>
                <w:bCs/>
                <w:sz w:val="16"/>
                <w:szCs w:val="16"/>
              </w:rPr>
            </w:pPr>
            <w:r w:rsidRPr="00562878">
              <w:rPr>
                <w:rFonts w:ascii="Calibri" w:hAnsi="Calibri" w:cs="Arial"/>
                <w:b/>
                <w:bCs/>
                <w:sz w:val="16"/>
                <w:szCs w:val="16"/>
              </w:rPr>
              <w:t>312,539</w:t>
            </w:r>
          </w:p>
        </w:tc>
      </w:tr>
    </w:tbl>
    <w:p w14:paraId="32B3FF24" w14:textId="77777777" w:rsidR="00DE47B3" w:rsidRPr="00562878" w:rsidRDefault="00DE47B3" w:rsidP="00DE47B3">
      <w:pPr>
        <w:contextualSpacing/>
        <w:rPr>
          <w:rFonts w:ascii="Calibri" w:hAnsi="Calibri"/>
          <w:sz w:val="16"/>
          <w:szCs w:val="16"/>
        </w:rPr>
      </w:pPr>
    </w:p>
    <w:tbl>
      <w:tblPr>
        <w:tblW w:w="0" w:type="auto"/>
        <w:tblInd w:w="93" w:type="dxa"/>
        <w:tblLook w:val="04A0" w:firstRow="1" w:lastRow="0" w:firstColumn="1" w:lastColumn="0" w:noHBand="0" w:noVBand="1"/>
      </w:tblPr>
      <w:tblGrid>
        <w:gridCol w:w="3150"/>
        <w:gridCol w:w="1021"/>
        <w:gridCol w:w="975"/>
        <w:gridCol w:w="599"/>
        <w:gridCol w:w="599"/>
        <w:gridCol w:w="599"/>
        <w:gridCol w:w="599"/>
        <w:gridCol w:w="599"/>
        <w:gridCol w:w="599"/>
        <w:gridCol w:w="409"/>
      </w:tblGrid>
      <w:tr w:rsidR="00DE47B3" w:rsidRPr="00562878" w14:paraId="19500968" w14:textId="77777777" w:rsidTr="007C1117">
        <w:tc>
          <w:tcPr>
            <w:tcW w:w="0" w:type="auto"/>
            <w:gridSpan w:val="10"/>
            <w:tcBorders>
              <w:top w:val="nil"/>
              <w:left w:val="nil"/>
              <w:bottom w:val="nil"/>
              <w:right w:val="nil"/>
            </w:tcBorders>
            <w:shd w:val="clear" w:color="auto" w:fill="auto"/>
            <w:vAlign w:val="bottom"/>
            <w:hideMark/>
          </w:tcPr>
          <w:p w14:paraId="3E4FDFF8" w14:textId="77777777" w:rsidR="00DE47B3" w:rsidRPr="00562878" w:rsidRDefault="00DE47B3" w:rsidP="007C1117">
            <w:pPr>
              <w:rPr>
                <w:rFonts w:ascii="Calibri" w:hAnsi="Calibri" w:cs="Arial"/>
                <w:sz w:val="16"/>
                <w:szCs w:val="16"/>
              </w:rPr>
            </w:pPr>
            <w:r w:rsidRPr="00562878">
              <w:rPr>
                <w:rFonts w:ascii="Calibri" w:hAnsi="Calibri" w:cs="Arial"/>
                <w:sz w:val="16"/>
                <w:szCs w:val="16"/>
              </w:rPr>
              <w:t xml:space="preserve">(a) Includes service users of all service groups—accommodation support; community support; community access; respite; and employment. For a complete list of service types and groups see </w:t>
            </w:r>
            <w:r w:rsidRPr="00562878">
              <w:rPr>
                <w:rFonts w:ascii="Calibri" w:hAnsi="Calibri" w:cs="Arial"/>
                <w:i/>
                <w:iCs/>
                <w:sz w:val="16"/>
                <w:szCs w:val="16"/>
              </w:rPr>
              <w:t>Disability support services 2011–12: Appendix</w:t>
            </w:r>
            <w:r w:rsidRPr="00562878">
              <w:rPr>
                <w:rFonts w:ascii="Calibri" w:hAnsi="Calibri" w:cs="Arial"/>
                <w:sz w:val="16"/>
                <w:szCs w:val="16"/>
              </w:rPr>
              <w:t xml:space="preserve"> (AIHW cat. no. </w:t>
            </w:r>
            <w:proofErr w:type="spellStart"/>
            <w:r w:rsidRPr="00562878">
              <w:rPr>
                <w:rFonts w:ascii="Calibri" w:hAnsi="Calibri" w:cs="Arial"/>
                <w:sz w:val="16"/>
                <w:szCs w:val="16"/>
              </w:rPr>
              <w:t>Aus</w:t>
            </w:r>
            <w:proofErr w:type="spellEnd"/>
            <w:r w:rsidRPr="00562878">
              <w:rPr>
                <w:rFonts w:ascii="Calibri" w:hAnsi="Calibri" w:cs="Arial"/>
                <w:sz w:val="16"/>
                <w:szCs w:val="16"/>
              </w:rPr>
              <w:t xml:space="preserve"> 173) Table B59. </w:t>
            </w:r>
          </w:p>
        </w:tc>
      </w:tr>
      <w:tr w:rsidR="00DE47B3" w:rsidRPr="00562878" w14:paraId="1CDE5C5E" w14:textId="77777777" w:rsidTr="007C1117">
        <w:tc>
          <w:tcPr>
            <w:tcW w:w="0" w:type="auto"/>
            <w:tcBorders>
              <w:top w:val="nil"/>
              <w:left w:val="nil"/>
              <w:bottom w:val="nil"/>
              <w:right w:val="nil"/>
            </w:tcBorders>
            <w:shd w:val="clear" w:color="auto" w:fill="auto"/>
            <w:noWrap/>
            <w:vAlign w:val="center"/>
            <w:hideMark/>
          </w:tcPr>
          <w:p w14:paraId="2E85AC3B" w14:textId="77777777" w:rsidR="00DE47B3" w:rsidRPr="00562878" w:rsidRDefault="00DE47B3" w:rsidP="007C1117">
            <w:pPr>
              <w:rPr>
                <w:rFonts w:ascii="Calibri" w:hAnsi="Calibri" w:cs="Arial"/>
                <w:i/>
                <w:iCs/>
                <w:sz w:val="16"/>
                <w:szCs w:val="16"/>
              </w:rPr>
            </w:pPr>
            <w:r w:rsidRPr="00562878">
              <w:rPr>
                <w:rFonts w:ascii="Calibri" w:hAnsi="Calibri" w:cs="Arial"/>
                <w:i/>
                <w:iCs/>
                <w:sz w:val="16"/>
                <w:szCs w:val="16"/>
              </w:rPr>
              <w:t>Notes</w:t>
            </w:r>
          </w:p>
        </w:tc>
        <w:tc>
          <w:tcPr>
            <w:tcW w:w="0" w:type="auto"/>
            <w:tcBorders>
              <w:top w:val="nil"/>
              <w:left w:val="nil"/>
              <w:bottom w:val="nil"/>
              <w:right w:val="nil"/>
            </w:tcBorders>
            <w:shd w:val="clear" w:color="auto" w:fill="auto"/>
            <w:noWrap/>
            <w:vAlign w:val="bottom"/>
            <w:hideMark/>
          </w:tcPr>
          <w:p w14:paraId="592D17EB"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31FB6CF6"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158FE400"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4C2A842E"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161DAAAF"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0B29CA7A"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5D49680F"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6429FB10"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39917911" w14:textId="77777777" w:rsidR="00DE47B3" w:rsidRPr="00562878" w:rsidRDefault="00DE47B3" w:rsidP="007C1117">
            <w:pPr>
              <w:rPr>
                <w:rFonts w:ascii="Calibri" w:hAnsi="Calibri" w:cs="Arial"/>
                <w:sz w:val="16"/>
                <w:szCs w:val="16"/>
              </w:rPr>
            </w:pPr>
          </w:p>
        </w:tc>
      </w:tr>
      <w:tr w:rsidR="00DE47B3" w:rsidRPr="00562878" w14:paraId="0D49C655" w14:textId="77777777" w:rsidTr="007C1117">
        <w:tc>
          <w:tcPr>
            <w:tcW w:w="0" w:type="auto"/>
            <w:gridSpan w:val="9"/>
            <w:tcBorders>
              <w:top w:val="nil"/>
              <w:left w:val="nil"/>
              <w:bottom w:val="nil"/>
              <w:right w:val="nil"/>
            </w:tcBorders>
            <w:shd w:val="clear" w:color="auto" w:fill="auto"/>
            <w:vAlign w:val="center"/>
            <w:hideMark/>
          </w:tcPr>
          <w:p w14:paraId="198A37CD" w14:textId="77777777" w:rsidR="00DE47B3" w:rsidRPr="00562878" w:rsidRDefault="00DE47B3" w:rsidP="007C1117">
            <w:pPr>
              <w:rPr>
                <w:rFonts w:ascii="Calibri" w:hAnsi="Calibri" w:cs="Arial"/>
                <w:sz w:val="16"/>
                <w:szCs w:val="16"/>
              </w:rPr>
            </w:pPr>
            <w:r w:rsidRPr="00562878">
              <w:rPr>
                <w:rFonts w:ascii="Calibri" w:hAnsi="Calibri" w:cs="Arial"/>
                <w:sz w:val="16"/>
                <w:szCs w:val="16"/>
              </w:rPr>
              <w:t>1. Service user data are estimates after use of a statistical linkage key to account for individuals who received services from more than one service type outlet during the 12-month period.</w:t>
            </w:r>
          </w:p>
        </w:tc>
        <w:tc>
          <w:tcPr>
            <w:tcW w:w="0" w:type="auto"/>
            <w:tcBorders>
              <w:top w:val="nil"/>
              <w:left w:val="nil"/>
              <w:bottom w:val="nil"/>
              <w:right w:val="nil"/>
            </w:tcBorders>
            <w:shd w:val="clear" w:color="auto" w:fill="auto"/>
            <w:noWrap/>
            <w:vAlign w:val="bottom"/>
            <w:hideMark/>
          </w:tcPr>
          <w:p w14:paraId="668B690B" w14:textId="77777777" w:rsidR="00DE47B3" w:rsidRPr="00562878" w:rsidRDefault="00DE47B3" w:rsidP="007C1117">
            <w:pPr>
              <w:rPr>
                <w:rFonts w:ascii="Calibri" w:hAnsi="Calibri" w:cs="Arial"/>
                <w:sz w:val="16"/>
                <w:szCs w:val="16"/>
              </w:rPr>
            </w:pPr>
          </w:p>
        </w:tc>
      </w:tr>
      <w:tr w:rsidR="00DE47B3" w:rsidRPr="00562878" w14:paraId="4806AE6B" w14:textId="77777777" w:rsidTr="007C1117">
        <w:tc>
          <w:tcPr>
            <w:tcW w:w="0" w:type="auto"/>
            <w:gridSpan w:val="9"/>
            <w:tcBorders>
              <w:top w:val="nil"/>
              <w:left w:val="nil"/>
              <w:bottom w:val="nil"/>
              <w:right w:val="nil"/>
            </w:tcBorders>
            <w:shd w:val="clear" w:color="auto" w:fill="auto"/>
            <w:vAlign w:val="center"/>
            <w:hideMark/>
          </w:tcPr>
          <w:p w14:paraId="624A5D9B" w14:textId="77777777" w:rsidR="00DE47B3" w:rsidRPr="00562878" w:rsidRDefault="00DE47B3" w:rsidP="007C1117">
            <w:pPr>
              <w:rPr>
                <w:rFonts w:ascii="Calibri" w:hAnsi="Calibri" w:cs="Arial"/>
                <w:sz w:val="16"/>
                <w:szCs w:val="16"/>
              </w:rPr>
            </w:pPr>
            <w:r w:rsidRPr="00562878">
              <w:rPr>
                <w:rFonts w:ascii="Calibri" w:hAnsi="Calibri" w:cs="Arial"/>
                <w:sz w:val="16"/>
                <w:szCs w:val="16"/>
              </w:rPr>
              <w:t>2. Total for accommodation support may not be the sum of components because service users may have accessed services from more than one of the accommodation support categories listed.</w:t>
            </w:r>
          </w:p>
        </w:tc>
        <w:tc>
          <w:tcPr>
            <w:tcW w:w="0" w:type="auto"/>
            <w:tcBorders>
              <w:top w:val="nil"/>
              <w:left w:val="nil"/>
              <w:bottom w:val="nil"/>
              <w:right w:val="nil"/>
            </w:tcBorders>
            <w:shd w:val="clear" w:color="auto" w:fill="auto"/>
            <w:noWrap/>
            <w:vAlign w:val="bottom"/>
            <w:hideMark/>
          </w:tcPr>
          <w:p w14:paraId="59F5DC06" w14:textId="77777777" w:rsidR="00DE47B3" w:rsidRPr="00562878" w:rsidRDefault="00DE47B3" w:rsidP="007C1117">
            <w:pPr>
              <w:rPr>
                <w:rFonts w:ascii="Calibri" w:hAnsi="Calibri" w:cs="Arial"/>
                <w:sz w:val="16"/>
                <w:szCs w:val="16"/>
              </w:rPr>
            </w:pPr>
          </w:p>
        </w:tc>
      </w:tr>
      <w:tr w:rsidR="00DE47B3" w:rsidRPr="00562878" w14:paraId="625B862F" w14:textId="77777777" w:rsidTr="007C1117">
        <w:tc>
          <w:tcPr>
            <w:tcW w:w="0" w:type="auto"/>
            <w:gridSpan w:val="9"/>
            <w:tcBorders>
              <w:top w:val="nil"/>
              <w:left w:val="nil"/>
              <w:bottom w:val="nil"/>
              <w:right w:val="nil"/>
            </w:tcBorders>
            <w:shd w:val="clear" w:color="auto" w:fill="auto"/>
            <w:vAlign w:val="center"/>
            <w:hideMark/>
          </w:tcPr>
          <w:p w14:paraId="435E095A" w14:textId="77777777" w:rsidR="00DE47B3" w:rsidRPr="00562878" w:rsidRDefault="00DE47B3" w:rsidP="007C1117">
            <w:pPr>
              <w:rPr>
                <w:rFonts w:ascii="Calibri" w:hAnsi="Calibri" w:cs="Arial"/>
                <w:sz w:val="16"/>
                <w:szCs w:val="16"/>
              </w:rPr>
            </w:pPr>
            <w:r w:rsidRPr="00562878">
              <w:rPr>
                <w:rFonts w:ascii="Calibri" w:hAnsi="Calibri" w:cs="Arial"/>
                <w:sz w:val="16"/>
                <w:szCs w:val="16"/>
              </w:rPr>
              <w:t>3. Institutional accommodation refers to service users accessing service types 1.01 large residential institutions; 1.02 small residential institutions; and 1.03 hostels. ‘Group homes’ refers to service users accessing service type 1.04 group homes; ‘Other community settings’ refers to service users accessing service types 1.05 attendant care/personal care; 1.06 in-home accommodation support; 1.07 alternative family placement; and 1.08 other accommodation support.</w:t>
            </w:r>
          </w:p>
        </w:tc>
        <w:tc>
          <w:tcPr>
            <w:tcW w:w="0" w:type="auto"/>
            <w:tcBorders>
              <w:top w:val="nil"/>
              <w:left w:val="nil"/>
              <w:bottom w:val="nil"/>
              <w:right w:val="nil"/>
            </w:tcBorders>
            <w:shd w:val="clear" w:color="auto" w:fill="auto"/>
            <w:noWrap/>
            <w:vAlign w:val="bottom"/>
            <w:hideMark/>
          </w:tcPr>
          <w:p w14:paraId="09998A4E" w14:textId="77777777" w:rsidR="00DE47B3" w:rsidRPr="00562878" w:rsidRDefault="00DE47B3" w:rsidP="007C1117">
            <w:pPr>
              <w:rPr>
                <w:rFonts w:ascii="Calibri" w:hAnsi="Calibri" w:cs="Arial"/>
                <w:sz w:val="16"/>
                <w:szCs w:val="16"/>
              </w:rPr>
            </w:pPr>
          </w:p>
        </w:tc>
      </w:tr>
      <w:tr w:rsidR="00DE47B3" w:rsidRPr="00562878" w14:paraId="5D6EE9D3" w14:textId="77777777" w:rsidTr="007C1117">
        <w:tc>
          <w:tcPr>
            <w:tcW w:w="0" w:type="auto"/>
            <w:gridSpan w:val="9"/>
            <w:tcBorders>
              <w:top w:val="nil"/>
              <w:left w:val="nil"/>
              <w:bottom w:val="nil"/>
              <w:right w:val="nil"/>
            </w:tcBorders>
            <w:shd w:val="clear" w:color="auto" w:fill="auto"/>
            <w:vAlign w:val="center"/>
            <w:hideMark/>
          </w:tcPr>
          <w:p w14:paraId="6C37AD96" w14:textId="77777777" w:rsidR="00DE47B3" w:rsidRPr="00562878" w:rsidRDefault="00DE47B3" w:rsidP="007C1117">
            <w:pPr>
              <w:rPr>
                <w:rFonts w:ascii="Calibri" w:hAnsi="Calibri" w:cs="Arial"/>
                <w:sz w:val="16"/>
                <w:szCs w:val="16"/>
              </w:rPr>
            </w:pPr>
            <w:r w:rsidRPr="00562878">
              <w:rPr>
                <w:rFonts w:ascii="Calibri" w:hAnsi="Calibri" w:cs="Arial"/>
                <w:sz w:val="16"/>
                <w:szCs w:val="16"/>
              </w:rPr>
              <w:t xml:space="preserve">4. Linkage processes (to get unique service user counts) from 2007–08 have changed from those for previous years. For further information, see Chapter 1 in </w:t>
            </w:r>
            <w:r w:rsidRPr="00562878">
              <w:rPr>
                <w:rFonts w:ascii="Calibri" w:hAnsi="Calibri" w:cs="Arial"/>
                <w:i/>
                <w:iCs/>
                <w:sz w:val="16"/>
                <w:szCs w:val="16"/>
              </w:rPr>
              <w:t>Disability support services 2008–09</w:t>
            </w:r>
            <w:r w:rsidRPr="00562878">
              <w:rPr>
                <w:rFonts w:ascii="Calibri" w:hAnsi="Calibri" w:cs="Arial"/>
                <w:sz w:val="16"/>
                <w:szCs w:val="16"/>
              </w:rPr>
              <w:t>.</w:t>
            </w:r>
          </w:p>
        </w:tc>
        <w:tc>
          <w:tcPr>
            <w:tcW w:w="0" w:type="auto"/>
            <w:tcBorders>
              <w:top w:val="nil"/>
              <w:left w:val="nil"/>
              <w:bottom w:val="nil"/>
              <w:right w:val="nil"/>
            </w:tcBorders>
            <w:shd w:val="clear" w:color="auto" w:fill="auto"/>
            <w:noWrap/>
            <w:vAlign w:val="bottom"/>
            <w:hideMark/>
          </w:tcPr>
          <w:p w14:paraId="2F0B3EA4" w14:textId="77777777" w:rsidR="00DE47B3" w:rsidRPr="00562878" w:rsidRDefault="00DE47B3" w:rsidP="007C1117">
            <w:pPr>
              <w:rPr>
                <w:rFonts w:ascii="Calibri" w:hAnsi="Calibri" w:cs="Arial"/>
                <w:sz w:val="16"/>
                <w:szCs w:val="16"/>
              </w:rPr>
            </w:pPr>
          </w:p>
        </w:tc>
      </w:tr>
      <w:tr w:rsidR="00DE47B3" w:rsidRPr="00562878" w14:paraId="568C7ABD" w14:textId="77777777" w:rsidTr="007C1117">
        <w:tc>
          <w:tcPr>
            <w:tcW w:w="0" w:type="auto"/>
            <w:gridSpan w:val="9"/>
            <w:tcBorders>
              <w:top w:val="nil"/>
              <w:left w:val="nil"/>
              <w:bottom w:val="nil"/>
              <w:right w:val="nil"/>
            </w:tcBorders>
            <w:shd w:val="clear" w:color="auto" w:fill="auto"/>
            <w:vAlign w:val="center"/>
            <w:hideMark/>
          </w:tcPr>
          <w:p w14:paraId="030D321A" w14:textId="77777777" w:rsidR="00DE47B3" w:rsidRPr="00562878" w:rsidRDefault="00DE47B3" w:rsidP="007C1117">
            <w:pPr>
              <w:rPr>
                <w:rFonts w:ascii="Calibri" w:hAnsi="Calibri" w:cs="Arial"/>
                <w:sz w:val="16"/>
                <w:szCs w:val="16"/>
              </w:rPr>
            </w:pPr>
            <w:r w:rsidRPr="00562878">
              <w:rPr>
                <w:rFonts w:ascii="Calibri" w:hAnsi="Calibri" w:cs="Arial"/>
                <w:sz w:val="16"/>
                <w:szCs w:val="16"/>
              </w:rPr>
              <w:t>5. Because of revisions to data over years, data may not match previously published figures.</w:t>
            </w:r>
          </w:p>
        </w:tc>
        <w:tc>
          <w:tcPr>
            <w:tcW w:w="0" w:type="auto"/>
            <w:tcBorders>
              <w:top w:val="nil"/>
              <w:left w:val="nil"/>
              <w:bottom w:val="nil"/>
              <w:right w:val="nil"/>
            </w:tcBorders>
            <w:shd w:val="clear" w:color="auto" w:fill="auto"/>
            <w:noWrap/>
            <w:vAlign w:val="bottom"/>
            <w:hideMark/>
          </w:tcPr>
          <w:p w14:paraId="2C47B8E2" w14:textId="77777777" w:rsidR="00DE47B3" w:rsidRPr="00562878" w:rsidRDefault="00DE47B3" w:rsidP="007C1117">
            <w:pPr>
              <w:rPr>
                <w:rFonts w:ascii="Calibri" w:hAnsi="Calibri" w:cs="Arial"/>
                <w:sz w:val="16"/>
                <w:szCs w:val="16"/>
              </w:rPr>
            </w:pPr>
          </w:p>
        </w:tc>
      </w:tr>
      <w:tr w:rsidR="00DE47B3" w:rsidRPr="00562878" w14:paraId="46BF3EBE" w14:textId="77777777" w:rsidTr="007C1117">
        <w:tc>
          <w:tcPr>
            <w:tcW w:w="0" w:type="auto"/>
            <w:gridSpan w:val="3"/>
            <w:tcBorders>
              <w:top w:val="nil"/>
              <w:left w:val="nil"/>
              <w:bottom w:val="nil"/>
              <w:right w:val="nil"/>
            </w:tcBorders>
            <w:shd w:val="clear" w:color="auto" w:fill="auto"/>
            <w:noWrap/>
            <w:vAlign w:val="center"/>
            <w:hideMark/>
          </w:tcPr>
          <w:p w14:paraId="664D7DD3" w14:textId="77777777" w:rsidR="00DE47B3" w:rsidRPr="00562878" w:rsidRDefault="00DE47B3" w:rsidP="007C1117">
            <w:pPr>
              <w:rPr>
                <w:rFonts w:ascii="Calibri" w:hAnsi="Calibri" w:cs="Arial"/>
                <w:sz w:val="16"/>
                <w:szCs w:val="16"/>
              </w:rPr>
            </w:pPr>
            <w:r w:rsidRPr="00562878">
              <w:rPr>
                <w:rFonts w:ascii="Calibri" w:hAnsi="Calibri" w:cs="Arial"/>
                <w:i/>
                <w:iCs/>
                <w:sz w:val="16"/>
                <w:szCs w:val="16"/>
              </w:rPr>
              <w:t>Source:</w:t>
            </w:r>
            <w:r w:rsidRPr="00562878">
              <w:rPr>
                <w:rFonts w:ascii="Calibri" w:hAnsi="Calibri" w:cs="Arial"/>
                <w:sz w:val="16"/>
                <w:szCs w:val="16"/>
              </w:rPr>
              <w:t xml:space="preserve"> Disability Services National Minimum Data Set.</w:t>
            </w:r>
          </w:p>
        </w:tc>
        <w:tc>
          <w:tcPr>
            <w:tcW w:w="0" w:type="auto"/>
            <w:tcBorders>
              <w:top w:val="nil"/>
              <w:left w:val="nil"/>
              <w:bottom w:val="nil"/>
              <w:right w:val="nil"/>
            </w:tcBorders>
            <w:shd w:val="clear" w:color="auto" w:fill="auto"/>
            <w:noWrap/>
            <w:vAlign w:val="bottom"/>
            <w:hideMark/>
          </w:tcPr>
          <w:p w14:paraId="45E0E756"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6017A65B"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0655E247"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27D682E1"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6B67B758"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04F1A15C" w14:textId="77777777" w:rsidR="00DE47B3" w:rsidRPr="00562878" w:rsidRDefault="00DE47B3" w:rsidP="007C1117">
            <w:pPr>
              <w:rPr>
                <w:rFonts w:ascii="Calibri" w:hAnsi="Calibri" w:cs="Arial"/>
                <w:sz w:val="16"/>
                <w:szCs w:val="16"/>
              </w:rPr>
            </w:pPr>
          </w:p>
        </w:tc>
        <w:tc>
          <w:tcPr>
            <w:tcW w:w="0" w:type="auto"/>
            <w:tcBorders>
              <w:top w:val="nil"/>
              <w:left w:val="nil"/>
              <w:bottom w:val="nil"/>
              <w:right w:val="nil"/>
            </w:tcBorders>
            <w:shd w:val="clear" w:color="auto" w:fill="auto"/>
            <w:noWrap/>
            <w:vAlign w:val="bottom"/>
            <w:hideMark/>
          </w:tcPr>
          <w:p w14:paraId="44C7F999" w14:textId="77777777" w:rsidR="00DE47B3" w:rsidRPr="00562878" w:rsidRDefault="00DE47B3" w:rsidP="007C1117">
            <w:pPr>
              <w:rPr>
                <w:rFonts w:ascii="Calibri" w:hAnsi="Calibri" w:cs="Arial"/>
                <w:sz w:val="16"/>
                <w:szCs w:val="16"/>
              </w:rPr>
            </w:pPr>
          </w:p>
        </w:tc>
      </w:tr>
    </w:tbl>
    <w:p w14:paraId="31D6E8E6" w14:textId="77777777" w:rsidR="0099001B" w:rsidRPr="00562878" w:rsidRDefault="0099001B" w:rsidP="0099001B">
      <w:pPr>
        <w:spacing w:line="360" w:lineRule="auto"/>
        <w:rPr>
          <w:rFonts w:cstheme="minorHAnsi"/>
          <w:i/>
        </w:rPr>
      </w:pPr>
    </w:p>
    <w:p w14:paraId="1CB18C49" w14:textId="77777777" w:rsidR="00DE47B3" w:rsidRPr="00562878" w:rsidRDefault="00DE47B3" w:rsidP="0099001B">
      <w:pPr>
        <w:spacing w:line="360" w:lineRule="auto"/>
        <w:rPr>
          <w:rFonts w:cstheme="minorHAnsi"/>
          <w:i/>
        </w:rPr>
      </w:pPr>
      <w:r w:rsidRPr="00562878">
        <w:rPr>
          <w:rFonts w:cstheme="minorHAnsi"/>
          <w:i/>
        </w:rPr>
        <w:t>The Survey of Disability, Ag</w:t>
      </w:r>
      <w:r w:rsidR="00923059" w:rsidRPr="00562878">
        <w:rPr>
          <w:rFonts w:cstheme="minorHAnsi"/>
          <w:i/>
        </w:rPr>
        <w:t>e</w:t>
      </w:r>
      <w:r w:rsidRPr="00562878">
        <w:rPr>
          <w:rFonts w:cstheme="minorHAnsi"/>
          <w:i/>
        </w:rPr>
        <w:t xml:space="preserve">ing and Carers </w:t>
      </w:r>
    </w:p>
    <w:p w14:paraId="625F7FFE" w14:textId="77777777" w:rsidR="00DE47B3" w:rsidRPr="00562878" w:rsidRDefault="00DE47B3" w:rsidP="00F23833">
      <w:r w:rsidRPr="00562878">
        <w:t>The Survey of Disability, Ageing and Carers has scope and coverage exclusions.  These exclusions are:</w:t>
      </w:r>
    </w:p>
    <w:p w14:paraId="04BE2B50" w14:textId="77777777" w:rsidR="00DE47B3" w:rsidRPr="00562878" w:rsidRDefault="00DE47B3" w:rsidP="00F23833">
      <w:pPr>
        <w:pStyle w:val="ListParagraph"/>
        <w:numPr>
          <w:ilvl w:val="0"/>
          <w:numId w:val="22"/>
        </w:numPr>
        <w:ind w:left="714" w:hanging="357"/>
      </w:pPr>
      <w:r w:rsidRPr="00562878">
        <w:t>persons in very remote areas;</w:t>
      </w:r>
    </w:p>
    <w:p w14:paraId="0E904F18" w14:textId="77777777" w:rsidR="00DE47B3" w:rsidRPr="00562878" w:rsidRDefault="00DE47B3" w:rsidP="00F23833">
      <w:pPr>
        <w:pStyle w:val="ListParagraph"/>
        <w:numPr>
          <w:ilvl w:val="0"/>
          <w:numId w:val="22"/>
        </w:numPr>
      </w:pPr>
      <w:r w:rsidRPr="00562878">
        <w:t>persons living in Indigenous communities in non-very remote areas;</w:t>
      </w:r>
    </w:p>
    <w:p w14:paraId="5136F394" w14:textId="77777777" w:rsidR="00DE47B3" w:rsidRPr="00562878" w:rsidRDefault="00DE47B3" w:rsidP="00F23833">
      <w:pPr>
        <w:pStyle w:val="ListParagraph"/>
        <w:numPr>
          <w:ilvl w:val="0"/>
          <w:numId w:val="22"/>
        </w:numPr>
      </w:pPr>
      <w:r w:rsidRPr="00562878">
        <w:t>persons living in boarding schools; or</w:t>
      </w:r>
    </w:p>
    <w:p w14:paraId="442B66E2" w14:textId="77777777" w:rsidR="00DE47B3" w:rsidRPr="00562878" w:rsidRDefault="00DE47B3" w:rsidP="00F23833">
      <w:pPr>
        <w:pStyle w:val="ListParagraph"/>
        <w:numPr>
          <w:ilvl w:val="0"/>
          <w:numId w:val="22"/>
        </w:numPr>
      </w:pPr>
      <w:proofErr w:type="gramStart"/>
      <w:r w:rsidRPr="00562878">
        <w:t>persons</w:t>
      </w:r>
      <w:proofErr w:type="gramEnd"/>
      <w:r w:rsidRPr="00562878">
        <w:t xml:space="preserve"> living in gaols or correctional institutions.</w:t>
      </w:r>
    </w:p>
    <w:p w14:paraId="5016B814" w14:textId="77777777" w:rsidR="00F23833" w:rsidRPr="00562878" w:rsidRDefault="00F23833" w:rsidP="00F23833"/>
    <w:p w14:paraId="12A0B827" w14:textId="77777777" w:rsidR="00DE47B3" w:rsidRPr="00562878" w:rsidRDefault="00DE47B3" w:rsidP="00DE47B3">
      <w:r w:rsidRPr="00562878">
        <w:t>These exclusions should not impact on the estimates for the institutions being considered under Article 19 of the Convention.</w:t>
      </w:r>
      <w:r w:rsidR="00DF4F35" w:rsidRPr="00562878">
        <w:t xml:space="preserve"> </w:t>
      </w:r>
      <w:r w:rsidRPr="00562878">
        <w:t xml:space="preserve"> A complete breakdown of the prevalence of disability amongst different types of non-private dwellings</w:t>
      </w:r>
      <w:r w:rsidR="007A5397" w:rsidRPr="00562878">
        <w:t xml:space="preserve"> in the 2012 SDAC are provided below.</w:t>
      </w:r>
    </w:p>
    <w:p w14:paraId="3AC55E53" w14:textId="77777777" w:rsidR="005823D9" w:rsidRPr="00562878" w:rsidRDefault="005823D9" w:rsidP="005823D9">
      <w:pPr>
        <w:spacing w:after="120"/>
        <w:rPr>
          <w:rFonts w:ascii="Calibri" w:hAnsi="Calibri"/>
          <w:sz w:val="22"/>
          <w:szCs w:val="22"/>
        </w:rPr>
      </w:pPr>
    </w:p>
    <w:tbl>
      <w:tblPr>
        <w:tblStyle w:val="TableGrid"/>
        <w:tblW w:w="101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0"/>
        <w:gridCol w:w="1576"/>
        <w:gridCol w:w="1576"/>
        <w:gridCol w:w="1576"/>
      </w:tblGrid>
      <w:tr w:rsidR="005823D9" w:rsidRPr="00562878" w14:paraId="460FD267" w14:textId="77777777" w:rsidTr="007C1117">
        <w:trPr>
          <w:trHeight w:val="300"/>
        </w:trPr>
        <w:tc>
          <w:tcPr>
            <w:tcW w:w="5440" w:type="dxa"/>
            <w:noWrap/>
            <w:hideMark/>
          </w:tcPr>
          <w:p w14:paraId="40C06BCC" w14:textId="77777777" w:rsidR="005823D9" w:rsidRPr="00562878" w:rsidRDefault="005823D9" w:rsidP="007C1117">
            <w:pPr>
              <w:rPr>
                <w:rFonts w:ascii="Calibri" w:hAnsi="Calibri"/>
                <w:sz w:val="16"/>
                <w:szCs w:val="16"/>
              </w:rPr>
            </w:pPr>
          </w:p>
        </w:tc>
        <w:tc>
          <w:tcPr>
            <w:tcW w:w="1576" w:type="dxa"/>
            <w:noWrap/>
            <w:hideMark/>
          </w:tcPr>
          <w:p w14:paraId="30F43C30" w14:textId="77777777" w:rsidR="005823D9" w:rsidRPr="00562878" w:rsidRDefault="005823D9" w:rsidP="007C1117">
            <w:pPr>
              <w:rPr>
                <w:rFonts w:ascii="Calibri" w:hAnsi="Calibri"/>
                <w:b/>
                <w:sz w:val="16"/>
                <w:szCs w:val="16"/>
              </w:rPr>
            </w:pPr>
            <w:r w:rsidRPr="00562878">
              <w:rPr>
                <w:rFonts w:ascii="Calibri" w:hAnsi="Calibri"/>
                <w:b/>
                <w:sz w:val="16"/>
                <w:szCs w:val="16"/>
              </w:rPr>
              <w:t>Has a disability</w:t>
            </w:r>
          </w:p>
        </w:tc>
        <w:tc>
          <w:tcPr>
            <w:tcW w:w="1576" w:type="dxa"/>
            <w:noWrap/>
            <w:hideMark/>
          </w:tcPr>
          <w:p w14:paraId="24B5D76E" w14:textId="77777777" w:rsidR="005823D9" w:rsidRPr="00562878" w:rsidRDefault="005823D9" w:rsidP="007C1117">
            <w:pPr>
              <w:rPr>
                <w:rFonts w:ascii="Calibri" w:hAnsi="Calibri"/>
                <w:b/>
                <w:sz w:val="16"/>
                <w:szCs w:val="16"/>
              </w:rPr>
            </w:pPr>
            <w:r w:rsidRPr="00562878">
              <w:rPr>
                <w:rFonts w:ascii="Calibri" w:hAnsi="Calibri"/>
                <w:b/>
                <w:sz w:val="16"/>
                <w:szCs w:val="16"/>
              </w:rPr>
              <w:t>Does not have a disability</w:t>
            </w:r>
          </w:p>
        </w:tc>
        <w:tc>
          <w:tcPr>
            <w:tcW w:w="1576" w:type="dxa"/>
            <w:noWrap/>
            <w:hideMark/>
          </w:tcPr>
          <w:p w14:paraId="6F165034" w14:textId="77777777" w:rsidR="005823D9" w:rsidRPr="00562878" w:rsidRDefault="005823D9" w:rsidP="00D95742">
            <w:pPr>
              <w:jc w:val="right"/>
              <w:rPr>
                <w:rFonts w:ascii="Calibri" w:hAnsi="Calibri"/>
                <w:b/>
                <w:sz w:val="16"/>
                <w:szCs w:val="16"/>
              </w:rPr>
            </w:pPr>
            <w:r w:rsidRPr="00562878">
              <w:rPr>
                <w:rFonts w:ascii="Calibri" w:hAnsi="Calibri"/>
                <w:b/>
                <w:sz w:val="16"/>
                <w:szCs w:val="16"/>
              </w:rPr>
              <w:t>Total</w:t>
            </w:r>
          </w:p>
        </w:tc>
      </w:tr>
      <w:tr w:rsidR="005823D9" w:rsidRPr="00562878" w14:paraId="1989F073" w14:textId="77777777" w:rsidTr="007C1117">
        <w:trPr>
          <w:trHeight w:val="300"/>
        </w:trPr>
        <w:tc>
          <w:tcPr>
            <w:tcW w:w="5440" w:type="dxa"/>
            <w:noWrap/>
            <w:hideMark/>
          </w:tcPr>
          <w:p w14:paraId="68078877" w14:textId="77777777" w:rsidR="005823D9" w:rsidRPr="00562878" w:rsidRDefault="005823D9" w:rsidP="007C1117">
            <w:pPr>
              <w:rPr>
                <w:rFonts w:ascii="Calibri" w:hAnsi="Calibri"/>
                <w:sz w:val="16"/>
                <w:szCs w:val="16"/>
              </w:rPr>
            </w:pPr>
            <w:r w:rsidRPr="00562878">
              <w:rPr>
                <w:rFonts w:ascii="Calibri" w:hAnsi="Calibri"/>
                <w:sz w:val="16"/>
                <w:szCs w:val="16"/>
              </w:rPr>
              <w:t>Not applicable - Private Dwellings</w:t>
            </w:r>
          </w:p>
        </w:tc>
        <w:tc>
          <w:tcPr>
            <w:tcW w:w="1576" w:type="dxa"/>
            <w:noWrap/>
            <w:vAlign w:val="bottom"/>
          </w:tcPr>
          <w:p w14:paraId="040B2F46" w14:textId="77777777" w:rsidR="005823D9" w:rsidRPr="00562878" w:rsidRDefault="005823D9" w:rsidP="007C1117">
            <w:pPr>
              <w:jc w:val="right"/>
              <w:rPr>
                <w:rFonts w:ascii="Calibri" w:hAnsi="Calibri"/>
                <w:sz w:val="16"/>
                <w:szCs w:val="16"/>
              </w:rPr>
            </w:pPr>
            <w:r w:rsidRPr="00562878">
              <w:rPr>
                <w:rFonts w:ascii="Calibri" w:hAnsi="Calibri"/>
                <w:sz w:val="16"/>
                <w:szCs w:val="16"/>
              </w:rPr>
              <w:t>3,941,000</w:t>
            </w:r>
          </w:p>
        </w:tc>
        <w:tc>
          <w:tcPr>
            <w:tcW w:w="1576" w:type="dxa"/>
            <w:noWrap/>
            <w:vAlign w:val="bottom"/>
          </w:tcPr>
          <w:p w14:paraId="3C215570" w14:textId="77777777" w:rsidR="005823D9" w:rsidRPr="00562878" w:rsidRDefault="005823D9" w:rsidP="007C1117">
            <w:pPr>
              <w:jc w:val="right"/>
              <w:rPr>
                <w:rFonts w:ascii="Calibri" w:hAnsi="Calibri"/>
                <w:sz w:val="16"/>
                <w:szCs w:val="16"/>
              </w:rPr>
            </w:pPr>
            <w:r w:rsidRPr="00562878">
              <w:rPr>
                <w:rFonts w:ascii="Calibri" w:hAnsi="Calibri"/>
                <w:sz w:val="16"/>
                <w:szCs w:val="16"/>
              </w:rPr>
              <w:t>18,532,700</w:t>
            </w:r>
          </w:p>
        </w:tc>
        <w:tc>
          <w:tcPr>
            <w:tcW w:w="1576" w:type="dxa"/>
            <w:noWrap/>
            <w:vAlign w:val="bottom"/>
          </w:tcPr>
          <w:p w14:paraId="65D78EB0" w14:textId="77777777" w:rsidR="005823D9" w:rsidRPr="00562878" w:rsidRDefault="005823D9" w:rsidP="007C1117">
            <w:pPr>
              <w:jc w:val="right"/>
              <w:rPr>
                <w:rFonts w:ascii="Calibri" w:hAnsi="Calibri"/>
                <w:sz w:val="16"/>
                <w:szCs w:val="16"/>
              </w:rPr>
            </w:pPr>
            <w:r w:rsidRPr="00562878">
              <w:rPr>
                <w:rFonts w:ascii="Calibri" w:hAnsi="Calibri"/>
                <w:sz w:val="16"/>
                <w:szCs w:val="16"/>
              </w:rPr>
              <w:t>22,472,500</w:t>
            </w:r>
          </w:p>
        </w:tc>
      </w:tr>
      <w:tr w:rsidR="005823D9" w:rsidRPr="00562878" w14:paraId="44F36771" w14:textId="77777777" w:rsidTr="007C1117">
        <w:trPr>
          <w:trHeight w:val="300"/>
        </w:trPr>
        <w:tc>
          <w:tcPr>
            <w:tcW w:w="5440" w:type="dxa"/>
            <w:noWrap/>
            <w:hideMark/>
          </w:tcPr>
          <w:p w14:paraId="5BDA1E94" w14:textId="77777777" w:rsidR="005823D9" w:rsidRPr="00562878" w:rsidRDefault="005823D9" w:rsidP="007C1117">
            <w:pPr>
              <w:rPr>
                <w:rFonts w:ascii="Calibri" w:hAnsi="Calibri"/>
                <w:sz w:val="16"/>
                <w:szCs w:val="16"/>
              </w:rPr>
            </w:pPr>
            <w:r w:rsidRPr="00562878">
              <w:rPr>
                <w:rFonts w:ascii="Calibri" w:hAnsi="Calibri"/>
                <w:sz w:val="16"/>
                <w:szCs w:val="16"/>
              </w:rPr>
              <w:t>Hospital - general</w:t>
            </w:r>
          </w:p>
        </w:tc>
        <w:tc>
          <w:tcPr>
            <w:tcW w:w="1576" w:type="dxa"/>
            <w:noWrap/>
            <w:vAlign w:val="bottom"/>
          </w:tcPr>
          <w:p w14:paraId="59D3F373" w14:textId="77777777" w:rsidR="005823D9" w:rsidRPr="00562878" w:rsidRDefault="005823D9" w:rsidP="007C1117">
            <w:pPr>
              <w:jc w:val="right"/>
              <w:rPr>
                <w:rFonts w:ascii="Calibri" w:hAnsi="Calibri"/>
                <w:sz w:val="16"/>
                <w:szCs w:val="16"/>
              </w:rPr>
            </w:pPr>
            <w:r w:rsidRPr="00562878">
              <w:rPr>
                <w:rFonts w:ascii="Calibri" w:hAnsi="Calibri"/>
                <w:sz w:val="16"/>
                <w:szCs w:val="16"/>
              </w:rPr>
              <w:t>4,300</w:t>
            </w:r>
          </w:p>
        </w:tc>
        <w:tc>
          <w:tcPr>
            <w:tcW w:w="1576" w:type="dxa"/>
            <w:noWrap/>
            <w:vAlign w:val="bottom"/>
          </w:tcPr>
          <w:p w14:paraId="332F5AE5" w14:textId="77777777" w:rsidR="005823D9" w:rsidRPr="00562878" w:rsidRDefault="005823D9" w:rsidP="007C1117">
            <w:pPr>
              <w:jc w:val="right"/>
              <w:rPr>
                <w:rFonts w:ascii="Calibri" w:hAnsi="Calibri"/>
                <w:sz w:val="16"/>
                <w:szCs w:val="16"/>
              </w:rPr>
            </w:pPr>
            <w:r w:rsidRPr="00562878">
              <w:rPr>
                <w:rFonts w:ascii="Calibri" w:hAnsi="Calibri"/>
                <w:sz w:val="16"/>
                <w:szCs w:val="16"/>
              </w:rPr>
              <w:t>200</w:t>
            </w:r>
          </w:p>
        </w:tc>
        <w:tc>
          <w:tcPr>
            <w:tcW w:w="1576" w:type="dxa"/>
            <w:noWrap/>
            <w:vAlign w:val="bottom"/>
          </w:tcPr>
          <w:p w14:paraId="3ABECE0C" w14:textId="77777777" w:rsidR="005823D9" w:rsidRPr="00562878" w:rsidRDefault="005823D9" w:rsidP="007C1117">
            <w:pPr>
              <w:jc w:val="right"/>
              <w:rPr>
                <w:rFonts w:ascii="Calibri" w:hAnsi="Calibri"/>
                <w:sz w:val="16"/>
                <w:szCs w:val="16"/>
              </w:rPr>
            </w:pPr>
            <w:r w:rsidRPr="00562878">
              <w:rPr>
                <w:rFonts w:ascii="Calibri" w:hAnsi="Calibri"/>
                <w:sz w:val="16"/>
                <w:szCs w:val="16"/>
              </w:rPr>
              <w:t>4,300</w:t>
            </w:r>
          </w:p>
        </w:tc>
      </w:tr>
      <w:tr w:rsidR="005823D9" w:rsidRPr="00562878" w14:paraId="08FEFF24" w14:textId="77777777" w:rsidTr="007C1117">
        <w:trPr>
          <w:trHeight w:val="300"/>
        </w:trPr>
        <w:tc>
          <w:tcPr>
            <w:tcW w:w="5440" w:type="dxa"/>
            <w:noWrap/>
            <w:hideMark/>
          </w:tcPr>
          <w:p w14:paraId="48D44606" w14:textId="77777777" w:rsidR="005823D9" w:rsidRPr="00562878" w:rsidRDefault="005823D9" w:rsidP="007C1117">
            <w:pPr>
              <w:rPr>
                <w:rFonts w:ascii="Calibri" w:hAnsi="Calibri"/>
                <w:sz w:val="16"/>
                <w:szCs w:val="16"/>
              </w:rPr>
            </w:pPr>
            <w:r w:rsidRPr="00562878">
              <w:rPr>
                <w:rFonts w:ascii="Calibri" w:hAnsi="Calibri"/>
                <w:sz w:val="16"/>
                <w:szCs w:val="16"/>
              </w:rPr>
              <w:t>Hospital - other</w:t>
            </w:r>
          </w:p>
        </w:tc>
        <w:tc>
          <w:tcPr>
            <w:tcW w:w="1576" w:type="dxa"/>
            <w:noWrap/>
            <w:vAlign w:val="bottom"/>
          </w:tcPr>
          <w:p w14:paraId="128F2435" w14:textId="77777777" w:rsidR="005823D9" w:rsidRPr="00562878" w:rsidRDefault="005823D9" w:rsidP="007C1117">
            <w:pPr>
              <w:jc w:val="right"/>
              <w:rPr>
                <w:rFonts w:ascii="Calibri" w:hAnsi="Calibri"/>
                <w:sz w:val="16"/>
                <w:szCs w:val="16"/>
              </w:rPr>
            </w:pPr>
            <w:r w:rsidRPr="00562878">
              <w:rPr>
                <w:rFonts w:ascii="Calibri" w:hAnsi="Calibri"/>
                <w:sz w:val="16"/>
                <w:szCs w:val="16"/>
              </w:rPr>
              <w:t>600</w:t>
            </w:r>
          </w:p>
        </w:tc>
        <w:tc>
          <w:tcPr>
            <w:tcW w:w="1576" w:type="dxa"/>
            <w:noWrap/>
            <w:vAlign w:val="bottom"/>
          </w:tcPr>
          <w:p w14:paraId="186CB86F" w14:textId="77777777" w:rsidR="005823D9" w:rsidRPr="00562878" w:rsidRDefault="005823D9" w:rsidP="007C1117">
            <w:pPr>
              <w:jc w:val="right"/>
              <w:rPr>
                <w:rFonts w:ascii="Calibri" w:hAnsi="Calibri"/>
                <w:sz w:val="16"/>
                <w:szCs w:val="16"/>
              </w:rPr>
            </w:pPr>
            <w:r w:rsidRPr="00562878">
              <w:rPr>
                <w:rFonts w:ascii="Calibri" w:hAnsi="Calibri"/>
                <w:sz w:val="16"/>
                <w:szCs w:val="16"/>
              </w:rPr>
              <w:t>0</w:t>
            </w:r>
          </w:p>
        </w:tc>
        <w:tc>
          <w:tcPr>
            <w:tcW w:w="1576" w:type="dxa"/>
            <w:noWrap/>
            <w:vAlign w:val="bottom"/>
          </w:tcPr>
          <w:p w14:paraId="1DEC3020" w14:textId="77777777" w:rsidR="005823D9" w:rsidRPr="00562878" w:rsidRDefault="005823D9" w:rsidP="007C1117">
            <w:pPr>
              <w:jc w:val="right"/>
              <w:rPr>
                <w:rFonts w:ascii="Calibri" w:hAnsi="Calibri"/>
                <w:sz w:val="16"/>
                <w:szCs w:val="16"/>
              </w:rPr>
            </w:pPr>
            <w:r w:rsidRPr="00562878">
              <w:rPr>
                <w:rFonts w:ascii="Calibri" w:hAnsi="Calibri"/>
                <w:sz w:val="16"/>
                <w:szCs w:val="16"/>
              </w:rPr>
              <w:t>600</w:t>
            </w:r>
          </w:p>
        </w:tc>
      </w:tr>
      <w:tr w:rsidR="005823D9" w:rsidRPr="00562878" w14:paraId="0C1E560F" w14:textId="77777777" w:rsidTr="007C1117">
        <w:trPr>
          <w:trHeight w:val="300"/>
        </w:trPr>
        <w:tc>
          <w:tcPr>
            <w:tcW w:w="5440" w:type="dxa"/>
            <w:noWrap/>
            <w:hideMark/>
          </w:tcPr>
          <w:p w14:paraId="398EAE71" w14:textId="77777777" w:rsidR="005823D9" w:rsidRPr="00562878" w:rsidRDefault="005823D9" w:rsidP="007C1117">
            <w:pPr>
              <w:rPr>
                <w:rFonts w:ascii="Calibri" w:hAnsi="Calibri"/>
                <w:sz w:val="16"/>
                <w:szCs w:val="16"/>
              </w:rPr>
            </w:pPr>
            <w:r w:rsidRPr="00562878">
              <w:rPr>
                <w:rFonts w:ascii="Calibri" w:hAnsi="Calibri"/>
                <w:sz w:val="16"/>
                <w:szCs w:val="16"/>
              </w:rPr>
              <w:t>Home for the aged</w:t>
            </w:r>
          </w:p>
        </w:tc>
        <w:tc>
          <w:tcPr>
            <w:tcW w:w="1576" w:type="dxa"/>
            <w:noWrap/>
            <w:vAlign w:val="bottom"/>
          </w:tcPr>
          <w:p w14:paraId="31C6FEE4" w14:textId="77777777" w:rsidR="005823D9" w:rsidRPr="00562878" w:rsidRDefault="005823D9" w:rsidP="007C1117">
            <w:pPr>
              <w:jc w:val="right"/>
              <w:rPr>
                <w:rFonts w:ascii="Calibri" w:hAnsi="Calibri"/>
                <w:sz w:val="16"/>
                <w:szCs w:val="16"/>
              </w:rPr>
            </w:pPr>
            <w:r w:rsidRPr="00562878">
              <w:rPr>
                <w:rFonts w:ascii="Calibri" w:hAnsi="Calibri"/>
                <w:sz w:val="16"/>
                <w:szCs w:val="16"/>
              </w:rPr>
              <w:t>57,200</w:t>
            </w:r>
          </w:p>
        </w:tc>
        <w:tc>
          <w:tcPr>
            <w:tcW w:w="1576" w:type="dxa"/>
            <w:noWrap/>
            <w:vAlign w:val="bottom"/>
          </w:tcPr>
          <w:p w14:paraId="3A2D4280" w14:textId="77777777" w:rsidR="005823D9" w:rsidRPr="00562878" w:rsidRDefault="005823D9" w:rsidP="007C1117">
            <w:pPr>
              <w:jc w:val="right"/>
              <w:rPr>
                <w:rFonts w:ascii="Calibri" w:hAnsi="Calibri"/>
                <w:sz w:val="16"/>
                <w:szCs w:val="16"/>
              </w:rPr>
            </w:pPr>
            <w:r w:rsidRPr="00562878">
              <w:rPr>
                <w:rFonts w:ascii="Calibri" w:hAnsi="Calibri"/>
                <w:sz w:val="16"/>
                <w:szCs w:val="16"/>
              </w:rPr>
              <w:t>1,600</w:t>
            </w:r>
          </w:p>
        </w:tc>
        <w:tc>
          <w:tcPr>
            <w:tcW w:w="1576" w:type="dxa"/>
            <w:noWrap/>
            <w:vAlign w:val="bottom"/>
          </w:tcPr>
          <w:p w14:paraId="755D01E3" w14:textId="77777777" w:rsidR="005823D9" w:rsidRPr="00562878" w:rsidRDefault="005823D9" w:rsidP="007C1117">
            <w:pPr>
              <w:jc w:val="right"/>
              <w:rPr>
                <w:rFonts w:ascii="Calibri" w:hAnsi="Calibri"/>
                <w:sz w:val="16"/>
                <w:szCs w:val="16"/>
              </w:rPr>
            </w:pPr>
            <w:r w:rsidRPr="00562878">
              <w:rPr>
                <w:rFonts w:ascii="Calibri" w:hAnsi="Calibri"/>
                <w:sz w:val="16"/>
                <w:szCs w:val="16"/>
              </w:rPr>
              <w:t>58,700</w:t>
            </w:r>
          </w:p>
        </w:tc>
      </w:tr>
      <w:tr w:rsidR="005823D9" w:rsidRPr="00562878" w14:paraId="5FF7EA1C" w14:textId="77777777" w:rsidTr="007C1117">
        <w:trPr>
          <w:trHeight w:val="300"/>
        </w:trPr>
        <w:tc>
          <w:tcPr>
            <w:tcW w:w="5440" w:type="dxa"/>
            <w:noWrap/>
            <w:hideMark/>
          </w:tcPr>
          <w:p w14:paraId="02D822D8" w14:textId="77777777" w:rsidR="005823D9" w:rsidRPr="00562878" w:rsidRDefault="005823D9" w:rsidP="007C1117">
            <w:pPr>
              <w:rPr>
                <w:rFonts w:ascii="Calibri" w:hAnsi="Calibri"/>
                <w:sz w:val="16"/>
                <w:szCs w:val="16"/>
              </w:rPr>
            </w:pPr>
            <w:r w:rsidRPr="00562878">
              <w:rPr>
                <w:rFonts w:ascii="Calibri" w:hAnsi="Calibri"/>
                <w:sz w:val="16"/>
                <w:szCs w:val="16"/>
              </w:rPr>
              <w:t>Home - other</w:t>
            </w:r>
          </w:p>
        </w:tc>
        <w:tc>
          <w:tcPr>
            <w:tcW w:w="1576" w:type="dxa"/>
            <w:noWrap/>
            <w:vAlign w:val="bottom"/>
          </w:tcPr>
          <w:p w14:paraId="38BD5E15" w14:textId="77777777" w:rsidR="005823D9" w:rsidRPr="00562878" w:rsidRDefault="005823D9" w:rsidP="007C1117">
            <w:pPr>
              <w:jc w:val="right"/>
              <w:rPr>
                <w:rFonts w:ascii="Calibri" w:hAnsi="Calibri"/>
                <w:sz w:val="16"/>
                <w:szCs w:val="16"/>
              </w:rPr>
            </w:pPr>
            <w:r w:rsidRPr="00562878">
              <w:rPr>
                <w:rFonts w:ascii="Calibri" w:hAnsi="Calibri"/>
                <w:sz w:val="16"/>
                <w:szCs w:val="16"/>
              </w:rPr>
              <w:t>4,100</w:t>
            </w:r>
          </w:p>
        </w:tc>
        <w:tc>
          <w:tcPr>
            <w:tcW w:w="1576" w:type="dxa"/>
            <w:noWrap/>
            <w:vAlign w:val="bottom"/>
          </w:tcPr>
          <w:p w14:paraId="53CF2C83" w14:textId="77777777" w:rsidR="005823D9" w:rsidRPr="00562878" w:rsidRDefault="005823D9" w:rsidP="007C1117">
            <w:pPr>
              <w:jc w:val="right"/>
              <w:rPr>
                <w:rFonts w:ascii="Calibri" w:hAnsi="Calibri"/>
                <w:sz w:val="16"/>
                <w:szCs w:val="16"/>
              </w:rPr>
            </w:pPr>
            <w:r w:rsidRPr="00562878">
              <w:rPr>
                <w:rFonts w:ascii="Calibri" w:hAnsi="Calibri"/>
                <w:sz w:val="16"/>
                <w:szCs w:val="16"/>
              </w:rPr>
              <w:t>200</w:t>
            </w:r>
          </w:p>
        </w:tc>
        <w:tc>
          <w:tcPr>
            <w:tcW w:w="1576" w:type="dxa"/>
            <w:noWrap/>
            <w:vAlign w:val="bottom"/>
          </w:tcPr>
          <w:p w14:paraId="4DEB891D" w14:textId="77777777" w:rsidR="005823D9" w:rsidRPr="00562878" w:rsidRDefault="005823D9" w:rsidP="007C1117">
            <w:pPr>
              <w:jc w:val="right"/>
              <w:rPr>
                <w:rFonts w:ascii="Calibri" w:hAnsi="Calibri"/>
                <w:sz w:val="16"/>
                <w:szCs w:val="16"/>
              </w:rPr>
            </w:pPr>
            <w:r w:rsidRPr="00562878">
              <w:rPr>
                <w:rFonts w:ascii="Calibri" w:hAnsi="Calibri"/>
                <w:sz w:val="16"/>
                <w:szCs w:val="16"/>
              </w:rPr>
              <w:t>4,200</w:t>
            </w:r>
          </w:p>
        </w:tc>
      </w:tr>
      <w:tr w:rsidR="005823D9" w:rsidRPr="00562878" w14:paraId="4425164F" w14:textId="77777777" w:rsidTr="007C1117">
        <w:trPr>
          <w:trHeight w:val="300"/>
        </w:trPr>
        <w:tc>
          <w:tcPr>
            <w:tcW w:w="5440" w:type="dxa"/>
            <w:noWrap/>
            <w:hideMark/>
          </w:tcPr>
          <w:p w14:paraId="44DD2670" w14:textId="77777777" w:rsidR="005823D9" w:rsidRPr="00562878" w:rsidRDefault="005823D9" w:rsidP="007C1117">
            <w:pPr>
              <w:rPr>
                <w:rFonts w:ascii="Calibri" w:hAnsi="Calibri"/>
                <w:sz w:val="16"/>
                <w:szCs w:val="16"/>
              </w:rPr>
            </w:pPr>
            <w:r w:rsidRPr="00562878">
              <w:rPr>
                <w:rFonts w:ascii="Calibri" w:hAnsi="Calibri"/>
                <w:sz w:val="16"/>
                <w:szCs w:val="16"/>
              </w:rPr>
              <w:t>Accommodation for the retired or aged</w:t>
            </w:r>
          </w:p>
        </w:tc>
        <w:tc>
          <w:tcPr>
            <w:tcW w:w="1576" w:type="dxa"/>
            <w:noWrap/>
            <w:vAlign w:val="bottom"/>
          </w:tcPr>
          <w:p w14:paraId="73187099" w14:textId="77777777" w:rsidR="005823D9" w:rsidRPr="00562878" w:rsidRDefault="005823D9" w:rsidP="007C1117">
            <w:pPr>
              <w:jc w:val="right"/>
              <w:rPr>
                <w:rFonts w:ascii="Calibri" w:hAnsi="Calibri"/>
                <w:sz w:val="16"/>
                <w:szCs w:val="16"/>
              </w:rPr>
            </w:pPr>
            <w:r w:rsidRPr="00562878">
              <w:rPr>
                <w:rFonts w:ascii="Calibri" w:hAnsi="Calibri"/>
                <w:sz w:val="16"/>
                <w:szCs w:val="16"/>
              </w:rPr>
              <w:t>119,500</w:t>
            </w:r>
          </w:p>
        </w:tc>
        <w:tc>
          <w:tcPr>
            <w:tcW w:w="1576" w:type="dxa"/>
            <w:noWrap/>
            <w:vAlign w:val="bottom"/>
          </w:tcPr>
          <w:p w14:paraId="0BA49C97" w14:textId="77777777" w:rsidR="005823D9" w:rsidRPr="00562878" w:rsidRDefault="005823D9" w:rsidP="007C1117">
            <w:pPr>
              <w:jc w:val="right"/>
              <w:rPr>
                <w:rFonts w:ascii="Calibri" w:hAnsi="Calibri"/>
                <w:sz w:val="16"/>
                <w:szCs w:val="16"/>
              </w:rPr>
            </w:pPr>
            <w:r w:rsidRPr="00562878">
              <w:rPr>
                <w:rFonts w:ascii="Calibri" w:hAnsi="Calibri"/>
                <w:sz w:val="16"/>
                <w:szCs w:val="16"/>
              </w:rPr>
              <w:t>4,700</w:t>
            </w:r>
          </w:p>
        </w:tc>
        <w:tc>
          <w:tcPr>
            <w:tcW w:w="1576" w:type="dxa"/>
            <w:noWrap/>
            <w:vAlign w:val="bottom"/>
          </w:tcPr>
          <w:p w14:paraId="4517FBD6" w14:textId="77777777" w:rsidR="005823D9" w:rsidRPr="00562878" w:rsidRDefault="005823D9" w:rsidP="007C1117">
            <w:pPr>
              <w:jc w:val="right"/>
              <w:rPr>
                <w:rFonts w:ascii="Calibri" w:hAnsi="Calibri"/>
                <w:sz w:val="16"/>
                <w:szCs w:val="16"/>
              </w:rPr>
            </w:pPr>
            <w:r w:rsidRPr="00562878">
              <w:rPr>
                <w:rFonts w:ascii="Calibri" w:hAnsi="Calibri"/>
                <w:sz w:val="16"/>
                <w:szCs w:val="16"/>
              </w:rPr>
              <w:t>124,300</w:t>
            </w:r>
          </w:p>
        </w:tc>
      </w:tr>
      <w:tr w:rsidR="005823D9" w:rsidRPr="00562878" w14:paraId="7ABEF725" w14:textId="77777777" w:rsidTr="007C1117">
        <w:trPr>
          <w:trHeight w:val="300"/>
        </w:trPr>
        <w:tc>
          <w:tcPr>
            <w:tcW w:w="5440" w:type="dxa"/>
            <w:noWrap/>
            <w:hideMark/>
          </w:tcPr>
          <w:p w14:paraId="5DD5BF2C" w14:textId="77777777" w:rsidR="005823D9" w:rsidRPr="00562878" w:rsidRDefault="005823D9" w:rsidP="007C1117">
            <w:pPr>
              <w:rPr>
                <w:rFonts w:ascii="Calibri" w:hAnsi="Calibri"/>
                <w:sz w:val="16"/>
                <w:szCs w:val="16"/>
              </w:rPr>
            </w:pPr>
            <w:r w:rsidRPr="00562878">
              <w:rPr>
                <w:rFonts w:ascii="Calibri" w:hAnsi="Calibri"/>
                <w:sz w:val="16"/>
                <w:szCs w:val="16"/>
              </w:rPr>
              <w:t>Hostel for the homeless, night shelter or refuge</w:t>
            </w:r>
          </w:p>
        </w:tc>
        <w:tc>
          <w:tcPr>
            <w:tcW w:w="1576" w:type="dxa"/>
            <w:noWrap/>
            <w:vAlign w:val="bottom"/>
          </w:tcPr>
          <w:p w14:paraId="6C13D918" w14:textId="77777777" w:rsidR="005823D9" w:rsidRPr="00562878" w:rsidRDefault="005823D9" w:rsidP="007C1117">
            <w:pPr>
              <w:jc w:val="right"/>
              <w:rPr>
                <w:rFonts w:ascii="Calibri" w:hAnsi="Calibri"/>
                <w:sz w:val="16"/>
                <w:szCs w:val="16"/>
              </w:rPr>
            </w:pPr>
            <w:r w:rsidRPr="00562878">
              <w:rPr>
                <w:rFonts w:ascii="Calibri" w:hAnsi="Calibri"/>
                <w:sz w:val="16"/>
                <w:szCs w:val="16"/>
              </w:rPr>
              <w:t>600</w:t>
            </w:r>
          </w:p>
        </w:tc>
        <w:tc>
          <w:tcPr>
            <w:tcW w:w="1576" w:type="dxa"/>
            <w:noWrap/>
            <w:vAlign w:val="bottom"/>
          </w:tcPr>
          <w:p w14:paraId="507C4CF4" w14:textId="77777777" w:rsidR="005823D9" w:rsidRPr="00562878" w:rsidRDefault="005823D9" w:rsidP="007C1117">
            <w:pPr>
              <w:jc w:val="right"/>
              <w:rPr>
                <w:rFonts w:ascii="Calibri" w:hAnsi="Calibri"/>
                <w:sz w:val="16"/>
                <w:szCs w:val="16"/>
              </w:rPr>
            </w:pPr>
            <w:r w:rsidRPr="00562878">
              <w:rPr>
                <w:rFonts w:ascii="Calibri" w:hAnsi="Calibri"/>
                <w:sz w:val="16"/>
                <w:szCs w:val="16"/>
              </w:rPr>
              <w:t>1,200</w:t>
            </w:r>
          </w:p>
        </w:tc>
        <w:tc>
          <w:tcPr>
            <w:tcW w:w="1576" w:type="dxa"/>
            <w:noWrap/>
            <w:vAlign w:val="bottom"/>
          </w:tcPr>
          <w:p w14:paraId="4BA10162" w14:textId="77777777" w:rsidR="005823D9" w:rsidRPr="00562878" w:rsidRDefault="005823D9" w:rsidP="007C1117">
            <w:pPr>
              <w:jc w:val="right"/>
              <w:rPr>
                <w:rFonts w:ascii="Calibri" w:hAnsi="Calibri"/>
                <w:sz w:val="16"/>
                <w:szCs w:val="16"/>
              </w:rPr>
            </w:pPr>
            <w:r w:rsidRPr="00562878">
              <w:rPr>
                <w:rFonts w:ascii="Calibri" w:hAnsi="Calibri"/>
                <w:sz w:val="16"/>
                <w:szCs w:val="16"/>
              </w:rPr>
              <w:t>3,600</w:t>
            </w:r>
          </w:p>
        </w:tc>
      </w:tr>
      <w:tr w:rsidR="005823D9" w:rsidRPr="00562878" w14:paraId="1780E009" w14:textId="77777777" w:rsidTr="007C1117">
        <w:trPr>
          <w:trHeight w:val="300"/>
        </w:trPr>
        <w:tc>
          <w:tcPr>
            <w:tcW w:w="5440" w:type="dxa"/>
            <w:noWrap/>
            <w:hideMark/>
          </w:tcPr>
          <w:p w14:paraId="0B1C51E3" w14:textId="77777777" w:rsidR="005823D9" w:rsidRPr="00562878" w:rsidRDefault="005823D9" w:rsidP="007C1117">
            <w:pPr>
              <w:rPr>
                <w:rFonts w:ascii="Calibri" w:hAnsi="Calibri"/>
                <w:sz w:val="16"/>
                <w:szCs w:val="16"/>
              </w:rPr>
            </w:pPr>
            <w:r w:rsidRPr="00562878">
              <w:rPr>
                <w:rFonts w:ascii="Calibri" w:hAnsi="Calibri"/>
                <w:sz w:val="16"/>
                <w:szCs w:val="16"/>
              </w:rPr>
              <w:t>Hotel, motel or other short term accommodation</w:t>
            </w:r>
          </w:p>
        </w:tc>
        <w:tc>
          <w:tcPr>
            <w:tcW w:w="1576" w:type="dxa"/>
            <w:noWrap/>
            <w:vAlign w:val="bottom"/>
          </w:tcPr>
          <w:p w14:paraId="587E264A" w14:textId="77777777" w:rsidR="005823D9" w:rsidRPr="00562878" w:rsidRDefault="005823D9" w:rsidP="007C1117">
            <w:pPr>
              <w:jc w:val="right"/>
              <w:rPr>
                <w:rFonts w:ascii="Calibri" w:hAnsi="Calibri"/>
                <w:sz w:val="16"/>
                <w:szCs w:val="16"/>
              </w:rPr>
            </w:pPr>
            <w:r w:rsidRPr="00562878">
              <w:rPr>
                <w:rFonts w:ascii="Calibri" w:hAnsi="Calibri"/>
                <w:sz w:val="16"/>
                <w:szCs w:val="16"/>
              </w:rPr>
              <w:t>13,800</w:t>
            </w:r>
          </w:p>
        </w:tc>
        <w:tc>
          <w:tcPr>
            <w:tcW w:w="1576" w:type="dxa"/>
            <w:noWrap/>
            <w:vAlign w:val="bottom"/>
          </w:tcPr>
          <w:p w14:paraId="7A8FC0E4" w14:textId="77777777" w:rsidR="005823D9" w:rsidRPr="00562878" w:rsidRDefault="005823D9" w:rsidP="007C1117">
            <w:pPr>
              <w:jc w:val="right"/>
              <w:rPr>
                <w:rFonts w:ascii="Calibri" w:hAnsi="Calibri"/>
                <w:sz w:val="16"/>
                <w:szCs w:val="16"/>
              </w:rPr>
            </w:pPr>
            <w:r w:rsidRPr="00562878">
              <w:rPr>
                <w:rFonts w:ascii="Calibri" w:hAnsi="Calibri"/>
                <w:sz w:val="16"/>
                <w:szCs w:val="16"/>
              </w:rPr>
              <w:t>20,000</w:t>
            </w:r>
          </w:p>
        </w:tc>
        <w:tc>
          <w:tcPr>
            <w:tcW w:w="1576" w:type="dxa"/>
            <w:noWrap/>
            <w:vAlign w:val="bottom"/>
          </w:tcPr>
          <w:p w14:paraId="77E7ED20" w14:textId="77777777" w:rsidR="005823D9" w:rsidRPr="00562878" w:rsidRDefault="005823D9" w:rsidP="007C1117">
            <w:pPr>
              <w:jc w:val="right"/>
              <w:rPr>
                <w:rFonts w:ascii="Calibri" w:hAnsi="Calibri"/>
                <w:sz w:val="16"/>
                <w:szCs w:val="16"/>
              </w:rPr>
            </w:pPr>
            <w:r w:rsidRPr="00562878">
              <w:rPr>
                <w:rFonts w:ascii="Calibri" w:hAnsi="Calibri"/>
                <w:sz w:val="16"/>
                <w:szCs w:val="16"/>
              </w:rPr>
              <w:t>32,000</w:t>
            </w:r>
          </w:p>
        </w:tc>
      </w:tr>
      <w:tr w:rsidR="005823D9" w:rsidRPr="00562878" w14:paraId="10E39AA1" w14:textId="77777777" w:rsidTr="007C1117">
        <w:trPr>
          <w:trHeight w:val="300"/>
        </w:trPr>
        <w:tc>
          <w:tcPr>
            <w:tcW w:w="5440" w:type="dxa"/>
            <w:noWrap/>
            <w:hideMark/>
          </w:tcPr>
          <w:p w14:paraId="461F730A" w14:textId="77777777" w:rsidR="005823D9" w:rsidRPr="00562878" w:rsidRDefault="005823D9" w:rsidP="007C1117">
            <w:pPr>
              <w:rPr>
                <w:rFonts w:ascii="Calibri" w:hAnsi="Calibri"/>
                <w:sz w:val="16"/>
                <w:szCs w:val="16"/>
              </w:rPr>
            </w:pPr>
            <w:r w:rsidRPr="00562878">
              <w:rPr>
                <w:rFonts w:ascii="Calibri" w:hAnsi="Calibri"/>
                <w:sz w:val="16"/>
                <w:szCs w:val="16"/>
              </w:rPr>
              <w:t>Retired or aged accommodation (self-care)</w:t>
            </w:r>
          </w:p>
        </w:tc>
        <w:tc>
          <w:tcPr>
            <w:tcW w:w="1576" w:type="dxa"/>
            <w:noWrap/>
            <w:vAlign w:val="bottom"/>
          </w:tcPr>
          <w:p w14:paraId="3F8D2232" w14:textId="77777777" w:rsidR="005823D9" w:rsidRPr="00562878" w:rsidRDefault="005823D9" w:rsidP="007C1117">
            <w:pPr>
              <w:jc w:val="right"/>
              <w:rPr>
                <w:rFonts w:ascii="Calibri" w:hAnsi="Calibri"/>
                <w:sz w:val="16"/>
                <w:szCs w:val="16"/>
              </w:rPr>
            </w:pPr>
            <w:r w:rsidRPr="00562878">
              <w:rPr>
                <w:rFonts w:ascii="Calibri" w:hAnsi="Calibri"/>
                <w:sz w:val="16"/>
                <w:szCs w:val="16"/>
              </w:rPr>
              <w:t>77,000</w:t>
            </w:r>
          </w:p>
        </w:tc>
        <w:tc>
          <w:tcPr>
            <w:tcW w:w="1576" w:type="dxa"/>
            <w:noWrap/>
            <w:vAlign w:val="bottom"/>
          </w:tcPr>
          <w:p w14:paraId="2465B0A8" w14:textId="77777777" w:rsidR="005823D9" w:rsidRPr="00562878" w:rsidRDefault="005823D9" w:rsidP="007C1117">
            <w:pPr>
              <w:jc w:val="right"/>
              <w:rPr>
                <w:rFonts w:ascii="Calibri" w:hAnsi="Calibri"/>
                <w:sz w:val="16"/>
                <w:szCs w:val="16"/>
              </w:rPr>
            </w:pPr>
            <w:r w:rsidRPr="00562878">
              <w:rPr>
                <w:rFonts w:ascii="Calibri" w:hAnsi="Calibri"/>
                <w:sz w:val="16"/>
                <w:szCs w:val="16"/>
              </w:rPr>
              <w:t>44,400</w:t>
            </w:r>
          </w:p>
        </w:tc>
        <w:tc>
          <w:tcPr>
            <w:tcW w:w="1576" w:type="dxa"/>
            <w:noWrap/>
            <w:vAlign w:val="bottom"/>
          </w:tcPr>
          <w:p w14:paraId="6C36E45C" w14:textId="77777777" w:rsidR="005823D9" w:rsidRPr="00562878" w:rsidRDefault="005823D9" w:rsidP="007C1117">
            <w:pPr>
              <w:jc w:val="right"/>
              <w:rPr>
                <w:rFonts w:ascii="Calibri" w:hAnsi="Calibri"/>
                <w:sz w:val="16"/>
                <w:szCs w:val="16"/>
              </w:rPr>
            </w:pPr>
            <w:r w:rsidRPr="00562878">
              <w:rPr>
                <w:rFonts w:ascii="Calibri" w:hAnsi="Calibri"/>
                <w:sz w:val="16"/>
                <w:szCs w:val="16"/>
              </w:rPr>
              <w:t>121,400</w:t>
            </w:r>
          </w:p>
        </w:tc>
      </w:tr>
      <w:tr w:rsidR="005823D9" w:rsidRPr="00562878" w14:paraId="213CC53E" w14:textId="77777777" w:rsidTr="007C1117">
        <w:trPr>
          <w:trHeight w:val="300"/>
        </w:trPr>
        <w:tc>
          <w:tcPr>
            <w:tcW w:w="5440" w:type="dxa"/>
            <w:noWrap/>
            <w:hideMark/>
          </w:tcPr>
          <w:p w14:paraId="06AFDA0C" w14:textId="77777777" w:rsidR="005823D9" w:rsidRPr="00562878" w:rsidRDefault="005823D9" w:rsidP="007C1117">
            <w:pPr>
              <w:rPr>
                <w:rFonts w:ascii="Calibri" w:hAnsi="Calibri"/>
                <w:sz w:val="16"/>
                <w:szCs w:val="16"/>
              </w:rPr>
            </w:pPr>
            <w:r w:rsidRPr="00562878">
              <w:rPr>
                <w:rFonts w:ascii="Calibri" w:hAnsi="Calibri"/>
                <w:sz w:val="16"/>
                <w:szCs w:val="16"/>
              </w:rPr>
              <w:t>Religious and educational institution</w:t>
            </w:r>
          </w:p>
        </w:tc>
        <w:tc>
          <w:tcPr>
            <w:tcW w:w="1576" w:type="dxa"/>
            <w:noWrap/>
            <w:vAlign w:val="bottom"/>
          </w:tcPr>
          <w:p w14:paraId="234CC3BF" w14:textId="77777777" w:rsidR="005823D9" w:rsidRPr="00562878" w:rsidRDefault="005823D9" w:rsidP="007C1117">
            <w:pPr>
              <w:jc w:val="right"/>
              <w:rPr>
                <w:rFonts w:ascii="Calibri" w:hAnsi="Calibri"/>
                <w:sz w:val="16"/>
                <w:szCs w:val="16"/>
              </w:rPr>
            </w:pPr>
            <w:r w:rsidRPr="00562878">
              <w:rPr>
                <w:rFonts w:ascii="Calibri" w:hAnsi="Calibri"/>
                <w:sz w:val="16"/>
                <w:szCs w:val="16"/>
              </w:rPr>
              <w:t>700</w:t>
            </w:r>
          </w:p>
        </w:tc>
        <w:tc>
          <w:tcPr>
            <w:tcW w:w="1576" w:type="dxa"/>
            <w:noWrap/>
            <w:vAlign w:val="bottom"/>
          </w:tcPr>
          <w:p w14:paraId="52FE3181" w14:textId="77777777" w:rsidR="005823D9" w:rsidRPr="00562878" w:rsidRDefault="005823D9" w:rsidP="007C1117">
            <w:pPr>
              <w:jc w:val="right"/>
              <w:rPr>
                <w:rFonts w:ascii="Calibri" w:hAnsi="Calibri"/>
                <w:sz w:val="16"/>
                <w:szCs w:val="16"/>
              </w:rPr>
            </w:pPr>
            <w:r w:rsidRPr="00562878">
              <w:rPr>
                <w:rFonts w:ascii="Calibri" w:hAnsi="Calibri"/>
                <w:sz w:val="16"/>
                <w:szCs w:val="16"/>
              </w:rPr>
              <w:t>12,000</w:t>
            </w:r>
          </w:p>
        </w:tc>
        <w:tc>
          <w:tcPr>
            <w:tcW w:w="1576" w:type="dxa"/>
            <w:noWrap/>
            <w:vAlign w:val="bottom"/>
          </w:tcPr>
          <w:p w14:paraId="7CBE07C3" w14:textId="77777777" w:rsidR="005823D9" w:rsidRPr="00562878" w:rsidRDefault="005823D9" w:rsidP="007C1117">
            <w:pPr>
              <w:jc w:val="right"/>
              <w:rPr>
                <w:rFonts w:ascii="Calibri" w:hAnsi="Calibri"/>
                <w:sz w:val="16"/>
                <w:szCs w:val="16"/>
              </w:rPr>
            </w:pPr>
            <w:r w:rsidRPr="00562878">
              <w:rPr>
                <w:rFonts w:ascii="Calibri" w:hAnsi="Calibri"/>
                <w:sz w:val="16"/>
                <w:szCs w:val="16"/>
              </w:rPr>
              <w:t>11,800</w:t>
            </w:r>
          </w:p>
        </w:tc>
      </w:tr>
      <w:tr w:rsidR="005823D9" w:rsidRPr="00F12654" w14:paraId="5A148D0F" w14:textId="77777777" w:rsidTr="007C1117">
        <w:trPr>
          <w:trHeight w:val="300"/>
        </w:trPr>
        <w:tc>
          <w:tcPr>
            <w:tcW w:w="5440" w:type="dxa"/>
            <w:noWrap/>
            <w:hideMark/>
          </w:tcPr>
          <w:p w14:paraId="3367A9AD" w14:textId="77777777" w:rsidR="005823D9" w:rsidRPr="00562878" w:rsidRDefault="005823D9" w:rsidP="007C1117">
            <w:pPr>
              <w:rPr>
                <w:rFonts w:ascii="Calibri" w:hAnsi="Calibri"/>
                <w:sz w:val="16"/>
                <w:szCs w:val="16"/>
              </w:rPr>
            </w:pPr>
            <w:r w:rsidRPr="00562878">
              <w:rPr>
                <w:rFonts w:ascii="Calibri" w:hAnsi="Calibri"/>
                <w:sz w:val="16"/>
                <w:szCs w:val="16"/>
              </w:rPr>
              <w:t>Short-term caravan park, youth camp or camping ground</w:t>
            </w:r>
          </w:p>
        </w:tc>
        <w:tc>
          <w:tcPr>
            <w:tcW w:w="1576" w:type="dxa"/>
            <w:noWrap/>
            <w:vAlign w:val="bottom"/>
          </w:tcPr>
          <w:p w14:paraId="2AE516A2" w14:textId="77777777" w:rsidR="005823D9" w:rsidRPr="00562878" w:rsidRDefault="005823D9" w:rsidP="007C1117">
            <w:pPr>
              <w:jc w:val="right"/>
              <w:rPr>
                <w:rFonts w:ascii="Calibri" w:hAnsi="Calibri"/>
                <w:sz w:val="16"/>
                <w:szCs w:val="16"/>
              </w:rPr>
            </w:pPr>
            <w:r w:rsidRPr="00562878">
              <w:rPr>
                <w:rFonts w:ascii="Calibri" w:hAnsi="Calibri"/>
                <w:sz w:val="16"/>
                <w:szCs w:val="16"/>
              </w:rPr>
              <w:t>15,000</w:t>
            </w:r>
          </w:p>
        </w:tc>
        <w:tc>
          <w:tcPr>
            <w:tcW w:w="1576" w:type="dxa"/>
            <w:noWrap/>
            <w:vAlign w:val="bottom"/>
          </w:tcPr>
          <w:p w14:paraId="31A214F3" w14:textId="77777777" w:rsidR="005823D9" w:rsidRPr="00562878" w:rsidRDefault="005823D9" w:rsidP="007C1117">
            <w:pPr>
              <w:jc w:val="right"/>
              <w:rPr>
                <w:rFonts w:ascii="Calibri" w:hAnsi="Calibri"/>
                <w:sz w:val="16"/>
                <w:szCs w:val="16"/>
              </w:rPr>
            </w:pPr>
            <w:r w:rsidRPr="00562878">
              <w:rPr>
                <w:rFonts w:ascii="Calibri" w:hAnsi="Calibri"/>
                <w:sz w:val="16"/>
                <w:szCs w:val="16"/>
              </w:rPr>
              <w:t>16,500</w:t>
            </w:r>
          </w:p>
        </w:tc>
        <w:tc>
          <w:tcPr>
            <w:tcW w:w="1576" w:type="dxa"/>
            <w:noWrap/>
            <w:vAlign w:val="bottom"/>
          </w:tcPr>
          <w:p w14:paraId="320A8EC9" w14:textId="77777777" w:rsidR="005823D9" w:rsidRPr="00F12654" w:rsidRDefault="005823D9" w:rsidP="007C1117">
            <w:pPr>
              <w:jc w:val="right"/>
              <w:rPr>
                <w:rFonts w:ascii="Calibri" w:hAnsi="Calibri"/>
                <w:sz w:val="16"/>
                <w:szCs w:val="16"/>
              </w:rPr>
            </w:pPr>
            <w:r w:rsidRPr="00562878">
              <w:rPr>
                <w:rFonts w:ascii="Calibri" w:hAnsi="Calibri"/>
                <w:sz w:val="16"/>
                <w:szCs w:val="16"/>
              </w:rPr>
              <w:t>31,800</w:t>
            </w:r>
            <w:bookmarkStart w:id="2" w:name="_GoBack"/>
            <w:bookmarkEnd w:id="2"/>
          </w:p>
        </w:tc>
      </w:tr>
    </w:tbl>
    <w:p w14:paraId="617462B2" w14:textId="77777777" w:rsidR="005823D9" w:rsidRDefault="005823D9" w:rsidP="005823D9">
      <w:pPr>
        <w:spacing w:after="120"/>
        <w:rPr>
          <w:rFonts w:ascii="Calibri" w:hAnsi="Calibri"/>
          <w:sz w:val="22"/>
          <w:szCs w:val="22"/>
        </w:rPr>
      </w:pPr>
    </w:p>
    <w:p w14:paraId="48FB363B" w14:textId="77777777" w:rsidR="005823D9" w:rsidRPr="00635B9F" w:rsidRDefault="005823D9" w:rsidP="005823D9">
      <w:pPr>
        <w:spacing w:after="120"/>
        <w:rPr>
          <w:rFonts w:ascii="Calibri" w:hAnsi="Calibri" w:cs="Tahoma"/>
          <w:b/>
          <w:sz w:val="2"/>
          <w:szCs w:val="2"/>
        </w:rPr>
      </w:pPr>
    </w:p>
    <w:sectPr w:rsidR="005823D9" w:rsidRPr="00635B9F" w:rsidSect="00F23833">
      <w:footerReference w:type="default" r:id="rId12"/>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38AB0" w14:textId="77777777" w:rsidR="00BA4F5F" w:rsidRDefault="00BA4F5F" w:rsidP="004F2EC6">
      <w:r>
        <w:separator/>
      </w:r>
    </w:p>
  </w:endnote>
  <w:endnote w:type="continuationSeparator" w:id="0">
    <w:p w14:paraId="0A582D47" w14:textId="77777777" w:rsidR="00BA4F5F" w:rsidRDefault="00BA4F5F" w:rsidP="004F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DB57B" w14:textId="77777777" w:rsidR="00BA4F5F" w:rsidRDefault="00BA4F5F" w:rsidP="00183342">
    <w:pPr>
      <w:pStyle w:val="Footer"/>
    </w:pPr>
    <w:r w:rsidRPr="00E50B0B">
      <w:t>* estimate has a relative standard error of 25% to 50% and should be used with caution.</w:t>
    </w:r>
  </w:p>
  <w:p w14:paraId="59A7D658" w14:textId="77777777" w:rsidR="00BA4F5F" w:rsidRDefault="00BA4F5F" w:rsidP="00183342">
    <w:pPr>
      <w:pStyle w:val="Footer"/>
    </w:pPr>
    <w:r>
      <w:t>CRA = Commonwealth Rent Assistance</w:t>
    </w:r>
  </w:p>
  <w:p w14:paraId="16D6E3AF" w14:textId="77777777" w:rsidR="00BA4F5F" w:rsidRPr="00183342" w:rsidRDefault="00BA4F5F" w:rsidP="0018334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E20BB" w14:textId="77777777" w:rsidR="00BA4F5F" w:rsidRPr="00183342" w:rsidRDefault="00BA4F5F" w:rsidP="001833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F80ED" w14:textId="77777777" w:rsidR="00BA4F5F" w:rsidRDefault="00BA4F5F" w:rsidP="004F2EC6">
      <w:r>
        <w:separator/>
      </w:r>
    </w:p>
  </w:footnote>
  <w:footnote w:type="continuationSeparator" w:id="0">
    <w:p w14:paraId="363D934D" w14:textId="77777777" w:rsidR="00BA4F5F" w:rsidRDefault="00BA4F5F" w:rsidP="004F2EC6">
      <w:r>
        <w:continuationSeparator/>
      </w:r>
    </w:p>
  </w:footnote>
  <w:footnote w:id="1">
    <w:p w14:paraId="4F3A2CD6" w14:textId="77777777" w:rsidR="00BA4F5F" w:rsidRDefault="00BA4F5F" w:rsidP="004F2EC6">
      <w:pPr>
        <w:pStyle w:val="FootnoteText"/>
      </w:pPr>
      <w:r>
        <w:rPr>
          <w:rStyle w:val="FootnoteReference"/>
        </w:rPr>
        <w:footnoteRef/>
      </w:r>
      <w:r>
        <w:t xml:space="preserve"> Brief 34:  Living independently and being included in the community, p313.</w:t>
      </w:r>
    </w:p>
  </w:footnote>
  <w:footnote w:id="2">
    <w:p w14:paraId="05D6F4EC" w14:textId="77777777" w:rsidR="00BA4F5F" w:rsidRDefault="00BA4F5F" w:rsidP="002633EF">
      <w:pPr>
        <w:pStyle w:val="FootnoteText"/>
      </w:pPr>
      <w:r>
        <w:rPr>
          <w:rStyle w:val="FootnoteReference"/>
        </w:rPr>
        <w:footnoteRef/>
      </w:r>
      <w:r>
        <w:t xml:space="preserve"> Brief 34:  Living independently and being included in the community, p317.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53082"/>
      <w:docPartObj>
        <w:docPartGallery w:val="Page Numbers (Top of Page)"/>
        <w:docPartUnique/>
      </w:docPartObj>
    </w:sdtPr>
    <w:sdtEndPr>
      <w:rPr>
        <w:noProof/>
      </w:rPr>
    </w:sdtEndPr>
    <w:sdtContent>
      <w:p w14:paraId="36714769" w14:textId="77777777" w:rsidR="00BA4F5F" w:rsidRDefault="00BA4F5F">
        <w:pPr>
          <w:pStyle w:val="Header"/>
          <w:jc w:val="center"/>
        </w:pPr>
        <w:r>
          <w:fldChar w:fldCharType="begin"/>
        </w:r>
        <w:r>
          <w:instrText xml:space="preserve"> PAGE   \* MERGEFORMAT </w:instrText>
        </w:r>
        <w:r>
          <w:fldChar w:fldCharType="separate"/>
        </w:r>
        <w:r w:rsidR="00562878">
          <w:rPr>
            <w:noProof/>
          </w:rPr>
          <w:t>6</w:t>
        </w:r>
        <w:r>
          <w:rPr>
            <w:noProof/>
          </w:rPr>
          <w:fldChar w:fldCharType="end"/>
        </w:r>
      </w:p>
    </w:sdtContent>
  </w:sdt>
  <w:p w14:paraId="32CD5166" w14:textId="77777777" w:rsidR="00BA4F5F" w:rsidRDefault="00BA4F5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A9C"/>
    <w:multiLevelType w:val="multilevel"/>
    <w:tmpl w:val="108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E4A6F"/>
    <w:multiLevelType w:val="hybridMultilevel"/>
    <w:tmpl w:val="D58858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38127FC"/>
    <w:multiLevelType w:val="multilevel"/>
    <w:tmpl w:val="4820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AF4D38"/>
    <w:multiLevelType w:val="hybridMultilevel"/>
    <w:tmpl w:val="BAF27D3C"/>
    <w:lvl w:ilvl="0" w:tplc="8B8E5A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D5184F"/>
    <w:multiLevelType w:val="hybridMultilevel"/>
    <w:tmpl w:val="7D0E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A71970"/>
    <w:multiLevelType w:val="hybridMultilevel"/>
    <w:tmpl w:val="0C52E704"/>
    <w:lvl w:ilvl="0" w:tplc="85B04D18">
      <w:start w:val="1"/>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D04407C"/>
    <w:multiLevelType w:val="hybridMultilevel"/>
    <w:tmpl w:val="DD244224"/>
    <w:lvl w:ilvl="0" w:tplc="A5486D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E371DB7"/>
    <w:multiLevelType w:val="hybridMultilevel"/>
    <w:tmpl w:val="6BDE80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nsid w:val="35D20666"/>
    <w:multiLevelType w:val="hybridMultilevel"/>
    <w:tmpl w:val="2E7A4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7B1728"/>
    <w:multiLevelType w:val="hybridMultilevel"/>
    <w:tmpl w:val="1F6E09C2"/>
    <w:lvl w:ilvl="0" w:tplc="A964D0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B8025E5"/>
    <w:multiLevelType w:val="hybridMultilevel"/>
    <w:tmpl w:val="1966E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C192F94"/>
    <w:multiLevelType w:val="hybridMultilevel"/>
    <w:tmpl w:val="5A04C8EE"/>
    <w:lvl w:ilvl="0" w:tplc="0C090001">
      <w:start w:val="1"/>
      <w:numFmt w:val="bullet"/>
      <w:lvlText w:val=""/>
      <w:lvlJc w:val="left"/>
      <w:pPr>
        <w:ind w:left="1496" w:hanging="360"/>
      </w:pPr>
      <w:rPr>
        <w:rFonts w:ascii="Symbol" w:hAnsi="Symbol" w:hint="default"/>
      </w:rPr>
    </w:lvl>
    <w:lvl w:ilvl="1" w:tplc="0C090003">
      <w:start w:val="1"/>
      <w:numFmt w:val="bullet"/>
      <w:lvlText w:val="o"/>
      <w:lvlJc w:val="left"/>
      <w:pPr>
        <w:ind w:left="2216" w:hanging="360"/>
      </w:pPr>
      <w:rPr>
        <w:rFonts w:ascii="Courier New" w:hAnsi="Courier New" w:cs="Courier New" w:hint="default"/>
      </w:rPr>
    </w:lvl>
    <w:lvl w:ilvl="2" w:tplc="0C090005">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12">
    <w:nsid w:val="50FD50EB"/>
    <w:multiLevelType w:val="hybridMultilevel"/>
    <w:tmpl w:val="AAAAE8AE"/>
    <w:lvl w:ilvl="0" w:tplc="679651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9A975E4"/>
    <w:multiLevelType w:val="hybridMultilevel"/>
    <w:tmpl w:val="AEB8360C"/>
    <w:lvl w:ilvl="0" w:tplc="F89640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1733A27"/>
    <w:multiLevelType w:val="hybridMultilevel"/>
    <w:tmpl w:val="655AA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64B96503"/>
    <w:multiLevelType w:val="hybridMultilevel"/>
    <w:tmpl w:val="1ECE36BA"/>
    <w:lvl w:ilvl="0" w:tplc="F9166F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68308CE"/>
    <w:multiLevelType w:val="hybridMultilevel"/>
    <w:tmpl w:val="D73A7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78E0672"/>
    <w:multiLevelType w:val="hybridMultilevel"/>
    <w:tmpl w:val="DF963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8A37EF2"/>
    <w:multiLevelType w:val="hybridMultilevel"/>
    <w:tmpl w:val="D632E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6DCE3D41"/>
    <w:multiLevelType w:val="hybridMultilevel"/>
    <w:tmpl w:val="13C4A8BC"/>
    <w:lvl w:ilvl="0" w:tplc="1AF8FD8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1CD28A8"/>
    <w:multiLevelType w:val="hybridMultilevel"/>
    <w:tmpl w:val="5CEEAF6C"/>
    <w:lvl w:ilvl="0" w:tplc="0FEC1D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9"/>
  </w:num>
  <w:num w:numId="2">
    <w:abstractNumId w:val="6"/>
  </w:num>
  <w:num w:numId="3">
    <w:abstractNumId w:val="5"/>
  </w:num>
  <w:num w:numId="4">
    <w:abstractNumId w:val="13"/>
  </w:num>
  <w:num w:numId="5">
    <w:abstractNumId w:val="3"/>
  </w:num>
  <w:num w:numId="6">
    <w:abstractNumId w:val="12"/>
  </w:num>
  <w:num w:numId="7">
    <w:abstractNumId w:val="15"/>
  </w:num>
  <w:num w:numId="8">
    <w:abstractNumId w:val="0"/>
  </w:num>
  <w:num w:numId="9">
    <w:abstractNumId w:val="2"/>
  </w:num>
  <w:num w:numId="10">
    <w:abstractNumId w:val="17"/>
  </w:num>
  <w:num w:numId="11">
    <w:abstractNumId w:val="9"/>
  </w:num>
  <w:num w:numId="12">
    <w:abstractNumId w:val="14"/>
  </w:num>
  <w:num w:numId="13">
    <w:abstractNumId w:val="18"/>
  </w:num>
  <w:num w:numId="14">
    <w:abstractNumId w:val="20"/>
  </w:num>
  <w:num w:numId="15">
    <w:abstractNumId w:val="1"/>
  </w:num>
  <w:num w:numId="16">
    <w:abstractNumId w:val="10"/>
  </w:num>
  <w:num w:numId="17">
    <w:abstractNumId w:val="7"/>
  </w:num>
  <w:num w:numId="18">
    <w:abstractNumId w:val="11"/>
  </w:num>
  <w:num w:numId="19">
    <w:abstractNumId w:val="7"/>
  </w:num>
  <w:num w:numId="20">
    <w:abstractNumId w:val="4"/>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90"/>
    <w:rsid w:val="00011522"/>
    <w:rsid w:val="0001281A"/>
    <w:rsid w:val="000147DB"/>
    <w:rsid w:val="00015E41"/>
    <w:rsid w:val="000235BA"/>
    <w:rsid w:val="000425CF"/>
    <w:rsid w:val="00044EC3"/>
    <w:rsid w:val="00061B55"/>
    <w:rsid w:val="00072EB1"/>
    <w:rsid w:val="000C02A7"/>
    <w:rsid w:val="000D7448"/>
    <w:rsid w:val="000E226C"/>
    <w:rsid w:val="00111CEC"/>
    <w:rsid w:val="00142D65"/>
    <w:rsid w:val="00165998"/>
    <w:rsid w:val="00183342"/>
    <w:rsid w:val="001843D7"/>
    <w:rsid w:val="001E1F2A"/>
    <w:rsid w:val="001E51F5"/>
    <w:rsid w:val="001E630D"/>
    <w:rsid w:val="002069EE"/>
    <w:rsid w:val="00253ADA"/>
    <w:rsid w:val="00255159"/>
    <w:rsid w:val="002601A3"/>
    <w:rsid w:val="002633EF"/>
    <w:rsid w:val="0027086C"/>
    <w:rsid w:val="002D2C39"/>
    <w:rsid w:val="002E320C"/>
    <w:rsid w:val="002E44E9"/>
    <w:rsid w:val="00306B05"/>
    <w:rsid w:val="00310A1D"/>
    <w:rsid w:val="0032245F"/>
    <w:rsid w:val="00335F93"/>
    <w:rsid w:val="0035154C"/>
    <w:rsid w:val="00362587"/>
    <w:rsid w:val="003A11DB"/>
    <w:rsid w:val="003B2BB8"/>
    <w:rsid w:val="003C4650"/>
    <w:rsid w:val="003D34FF"/>
    <w:rsid w:val="003F019A"/>
    <w:rsid w:val="003F1DDB"/>
    <w:rsid w:val="00403A9D"/>
    <w:rsid w:val="00432A25"/>
    <w:rsid w:val="00433E54"/>
    <w:rsid w:val="00434C0F"/>
    <w:rsid w:val="00445103"/>
    <w:rsid w:val="004514DA"/>
    <w:rsid w:val="00471FF4"/>
    <w:rsid w:val="004A12A8"/>
    <w:rsid w:val="004B47F7"/>
    <w:rsid w:val="004B54CA"/>
    <w:rsid w:val="004C2E96"/>
    <w:rsid w:val="004E5CBF"/>
    <w:rsid w:val="004F2EC6"/>
    <w:rsid w:val="0056110E"/>
    <w:rsid w:val="00562878"/>
    <w:rsid w:val="005823D9"/>
    <w:rsid w:val="00587842"/>
    <w:rsid w:val="005C139A"/>
    <w:rsid w:val="005C3AA9"/>
    <w:rsid w:val="005D3C05"/>
    <w:rsid w:val="00610190"/>
    <w:rsid w:val="00641272"/>
    <w:rsid w:val="00651871"/>
    <w:rsid w:val="006607DC"/>
    <w:rsid w:val="00674367"/>
    <w:rsid w:val="0068406B"/>
    <w:rsid w:val="00693AC1"/>
    <w:rsid w:val="006A2790"/>
    <w:rsid w:val="006A4CE7"/>
    <w:rsid w:val="006B11E5"/>
    <w:rsid w:val="006F16AC"/>
    <w:rsid w:val="00707A10"/>
    <w:rsid w:val="00710698"/>
    <w:rsid w:val="00722804"/>
    <w:rsid w:val="007443B6"/>
    <w:rsid w:val="00765948"/>
    <w:rsid w:val="00785261"/>
    <w:rsid w:val="007A5397"/>
    <w:rsid w:val="007B0256"/>
    <w:rsid w:val="007B6A74"/>
    <w:rsid w:val="007C1117"/>
    <w:rsid w:val="007D0AA1"/>
    <w:rsid w:val="007D27DB"/>
    <w:rsid w:val="007D42C3"/>
    <w:rsid w:val="00807FD2"/>
    <w:rsid w:val="0081520C"/>
    <w:rsid w:val="00817760"/>
    <w:rsid w:val="00817817"/>
    <w:rsid w:val="00852CEA"/>
    <w:rsid w:val="00854D9F"/>
    <w:rsid w:val="008940A5"/>
    <w:rsid w:val="008A0C60"/>
    <w:rsid w:val="008A4568"/>
    <w:rsid w:val="008E4BA7"/>
    <w:rsid w:val="008E66A3"/>
    <w:rsid w:val="009039A1"/>
    <w:rsid w:val="00906423"/>
    <w:rsid w:val="00921214"/>
    <w:rsid w:val="009225F0"/>
    <w:rsid w:val="00923059"/>
    <w:rsid w:val="00924AD6"/>
    <w:rsid w:val="00950CB3"/>
    <w:rsid w:val="009615F3"/>
    <w:rsid w:val="009629A3"/>
    <w:rsid w:val="00983371"/>
    <w:rsid w:val="00983A04"/>
    <w:rsid w:val="0099001B"/>
    <w:rsid w:val="009A3D90"/>
    <w:rsid w:val="009A6AFE"/>
    <w:rsid w:val="009B3750"/>
    <w:rsid w:val="009D1340"/>
    <w:rsid w:val="009E1812"/>
    <w:rsid w:val="009E64D5"/>
    <w:rsid w:val="00A05BD7"/>
    <w:rsid w:val="00A12854"/>
    <w:rsid w:val="00A45F4F"/>
    <w:rsid w:val="00A521E8"/>
    <w:rsid w:val="00AA2158"/>
    <w:rsid w:val="00AB63D6"/>
    <w:rsid w:val="00AC3258"/>
    <w:rsid w:val="00AC3C41"/>
    <w:rsid w:val="00AD677E"/>
    <w:rsid w:val="00AF1911"/>
    <w:rsid w:val="00B108EB"/>
    <w:rsid w:val="00B20D96"/>
    <w:rsid w:val="00B2337C"/>
    <w:rsid w:val="00B40AD3"/>
    <w:rsid w:val="00B509EE"/>
    <w:rsid w:val="00B64285"/>
    <w:rsid w:val="00B85C90"/>
    <w:rsid w:val="00BA2DB9"/>
    <w:rsid w:val="00BA4F5F"/>
    <w:rsid w:val="00BA7611"/>
    <w:rsid w:val="00BE703E"/>
    <w:rsid w:val="00BE7148"/>
    <w:rsid w:val="00C30911"/>
    <w:rsid w:val="00C33780"/>
    <w:rsid w:val="00C367D6"/>
    <w:rsid w:val="00C508D1"/>
    <w:rsid w:val="00C9054C"/>
    <w:rsid w:val="00C90F05"/>
    <w:rsid w:val="00CC4CA0"/>
    <w:rsid w:val="00CC7FCF"/>
    <w:rsid w:val="00CE471A"/>
    <w:rsid w:val="00D20078"/>
    <w:rsid w:val="00D30414"/>
    <w:rsid w:val="00D516E4"/>
    <w:rsid w:val="00D67B7D"/>
    <w:rsid w:val="00D95742"/>
    <w:rsid w:val="00DA7410"/>
    <w:rsid w:val="00DC0129"/>
    <w:rsid w:val="00DE47B3"/>
    <w:rsid w:val="00DF200E"/>
    <w:rsid w:val="00DF4F35"/>
    <w:rsid w:val="00E058A6"/>
    <w:rsid w:val="00E0715A"/>
    <w:rsid w:val="00E27409"/>
    <w:rsid w:val="00E37D7D"/>
    <w:rsid w:val="00E51BBD"/>
    <w:rsid w:val="00E57B8F"/>
    <w:rsid w:val="00E83051"/>
    <w:rsid w:val="00EA4FAB"/>
    <w:rsid w:val="00EB2FC1"/>
    <w:rsid w:val="00EB531F"/>
    <w:rsid w:val="00EC51C8"/>
    <w:rsid w:val="00ED25C5"/>
    <w:rsid w:val="00EE4BBB"/>
    <w:rsid w:val="00EF1E10"/>
    <w:rsid w:val="00F07731"/>
    <w:rsid w:val="00F23833"/>
    <w:rsid w:val="00F53761"/>
    <w:rsid w:val="00F623C8"/>
    <w:rsid w:val="00F70D25"/>
    <w:rsid w:val="00F7257D"/>
    <w:rsid w:val="00F951CE"/>
    <w:rsid w:val="00FC59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2A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3E"/>
    <w:pPr>
      <w:spacing w:after="0" w:line="240" w:lineRule="auto"/>
    </w:pPr>
    <w:rPr>
      <w:rFonts w:ascii="Times New Roman" w:eastAsia="Times New Roman" w:hAnsi="Times New Roman" w:cs="Times New Roman"/>
      <w:color w:val="000000"/>
      <w:sz w:val="24"/>
      <w:szCs w:val="24"/>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Default">
    <w:name w:val="Default"/>
    <w:rsid w:val="008E4BA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E320C"/>
    <w:pPr>
      <w:spacing w:before="180" w:after="180"/>
    </w:pPr>
    <w:rPr>
      <w:color w:val="auto"/>
    </w:rPr>
  </w:style>
  <w:style w:type="paragraph" w:styleId="Footer">
    <w:name w:val="footer"/>
    <w:basedOn w:val="Normal"/>
    <w:link w:val="FooterChar"/>
    <w:uiPriority w:val="99"/>
    <w:unhideWhenUsed/>
    <w:rsid w:val="004F2EC6"/>
    <w:pPr>
      <w:tabs>
        <w:tab w:val="center" w:pos="4513"/>
        <w:tab w:val="right" w:pos="9026"/>
      </w:tabs>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4F2EC6"/>
  </w:style>
  <w:style w:type="paragraph" w:styleId="FootnoteText">
    <w:name w:val="footnote text"/>
    <w:basedOn w:val="Normal"/>
    <w:link w:val="FootnoteTextChar"/>
    <w:uiPriority w:val="99"/>
    <w:semiHidden/>
    <w:unhideWhenUsed/>
    <w:rsid w:val="004F2EC6"/>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4F2EC6"/>
    <w:rPr>
      <w:sz w:val="20"/>
      <w:szCs w:val="20"/>
    </w:rPr>
  </w:style>
  <w:style w:type="character" w:styleId="FootnoteReference">
    <w:name w:val="footnote reference"/>
    <w:basedOn w:val="DefaultParagraphFont"/>
    <w:uiPriority w:val="99"/>
    <w:semiHidden/>
    <w:unhideWhenUsed/>
    <w:rsid w:val="004F2EC6"/>
    <w:rPr>
      <w:vertAlign w:val="superscript"/>
    </w:rPr>
  </w:style>
  <w:style w:type="paragraph" w:styleId="BalloonText">
    <w:name w:val="Balloon Text"/>
    <w:basedOn w:val="Normal"/>
    <w:link w:val="BalloonTextChar"/>
    <w:uiPriority w:val="99"/>
    <w:semiHidden/>
    <w:unhideWhenUsed/>
    <w:rsid w:val="004F2EC6"/>
    <w:rPr>
      <w:rFonts w:ascii="Tahoma" w:hAnsi="Tahoma" w:cs="Tahoma"/>
      <w:sz w:val="16"/>
      <w:szCs w:val="16"/>
    </w:rPr>
  </w:style>
  <w:style w:type="character" w:customStyle="1" w:styleId="BalloonTextChar">
    <w:name w:val="Balloon Text Char"/>
    <w:basedOn w:val="DefaultParagraphFont"/>
    <w:link w:val="BalloonText"/>
    <w:uiPriority w:val="99"/>
    <w:semiHidden/>
    <w:rsid w:val="004F2EC6"/>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183342"/>
    <w:pPr>
      <w:tabs>
        <w:tab w:val="center" w:pos="4513"/>
        <w:tab w:val="right" w:pos="9026"/>
      </w:tabs>
    </w:pPr>
  </w:style>
  <w:style w:type="character" w:customStyle="1" w:styleId="HeaderChar">
    <w:name w:val="Header Char"/>
    <w:basedOn w:val="DefaultParagraphFont"/>
    <w:link w:val="Header"/>
    <w:uiPriority w:val="99"/>
    <w:rsid w:val="00183342"/>
    <w:rPr>
      <w:rFonts w:ascii="Times New Roman" w:eastAsia="Times New Roman" w:hAnsi="Times New Roman" w:cs="Times New Roman"/>
      <w:color w:val="000000"/>
      <w:sz w:val="24"/>
      <w:szCs w:val="24"/>
      <w:lang w:eastAsia="en-AU"/>
    </w:rPr>
  </w:style>
  <w:style w:type="table" w:styleId="TableGrid">
    <w:name w:val="Table Grid"/>
    <w:basedOn w:val="TableNormal"/>
    <w:uiPriority w:val="59"/>
    <w:rsid w:val="005823D9"/>
    <w:pPr>
      <w:spacing w:after="0" w:line="240" w:lineRule="auto"/>
    </w:pPr>
    <w:rPr>
      <w:rFonts w:ascii="Times New Roman" w:eastAsia="Calibri"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SSubsection">
    <w:name w:val="NDIS Subsection"/>
    <w:basedOn w:val="Normal"/>
    <w:rsid w:val="00641272"/>
    <w:pPr>
      <w:spacing w:before="240" w:after="40" w:line="280" w:lineRule="atLeast"/>
    </w:pPr>
    <w:rPr>
      <w:rFonts w:ascii="Arial" w:hAnsi="Arial" w:cs="Arial"/>
      <w:color w:val="auto"/>
      <w:sz w:val="22"/>
      <w:szCs w:val="22"/>
    </w:rPr>
  </w:style>
  <w:style w:type="paragraph" w:customStyle="1" w:styleId="NDISParagraph">
    <w:name w:val="NDIS Paragraph"/>
    <w:basedOn w:val="Normal"/>
    <w:rsid w:val="00641272"/>
    <w:pPr>
      <w:spacing w:before="80" w:after="40" w:line="280" w:lineRule="atLeast"/>
    </w:pPr>
    <w:rPr>
      <w:rFonts w:ascii="Arial" w:hAnsi="Arial" w:cs="Arial"/>
      <w:color w:val="auto"/>
      <w:sz w:val="22"/>
      <w:szCs w:val="22"/>
    </w:rPr>
  </w:style>
  <w:style w:type="character" w:styleId="CommentReference">
    <w:name w:val="annotation reference"/>
    <w:basedOn w:val="DefaultParagraphFont"/>
    <w:uiPriority w:val="99"/>
    <w:semiHidden/>
    <w:unhideWhenUsed/>
    <w:rsid w:val="009A6AFE"/>
    <w:rPr>
      <w:sz w:val="16"/>
      <w:szCs w:val="16"/>
    </w:rPr>
  </w:style>
  <w:style w:type="paragraph" w:styleId="CommentText">
    <w:name w:val="annotation text"/>
    <w:basedOn w:val="Normal"/>
    <w:link w:val="CommentTextChar"/>
    <w:uiPriority w:val="99"/>
    <w:semiHidden/>
    <w:unhideWhenUsed/>
    <w:rsid w:val="009A6AFE"/>
    <w:rPr>
      <w:sz w:val="20"/>
      <w:szCs w:val="20"/>
    </w:rPr>
  </w:style>
  <w:style w:type="character" w:customStyle="1" w:styleId="CommentTextChar">
    <w:name w:val="Comment Text Char"/>
    <w:basedOn w:val="DefaultParagraphFont"/>
    <w:link w:val="CommentText"/>
    <w:uiPriority w:val="99"/>
    <w:semiHidden/>
    <w:rsid w:val="009A6AFE"/>
    <w:rPr>
      <w:rFonts w:ascii="Times New Roman" w:eastAsia="Times New Roman" w:hAnsi="Times New Roman" w:cs="Times New Roman"/>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9A6AFE"/>
    <w:rPr>
      <w:b/>
      <w:bCs/>
    </w:rPr>
  </w:style>
  <w:style w:type="character" w:customStyle="1" w:styleId="CommentSubjectChar">
    <w:name w:val="Comment Subject Char"/>
    <w:basedOn w:val="CommentTextChar"/>
    <w:link w:val="CommentSubject"/>
    <w:uiPriority w:val="99"/>
    <w:semiHidden/>
    <w:rsid w:val="009A6AFE"/>
    <w:rPr>
      <w:rFonts w:ascii="Times New Roman" w:eastAsia="Times New Roman" w:hAnsi="Times New Roman" w:cs="Times New Roman"/>
      <w:b/>
      <w:bCs/>
      <w:color w:val="000000"/>
      <w:sz w:val="20"/>
      <w:szCs w:val="20"/>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3E"/>
    <w:pPr>
      <w:spacing w:after="0" w:line="240" w:lineRule="auto"/>
    </w:pPr>
    <w:rPr>
      <w:rFonts w:ascii="Times New Roman" w:eastAsia="Times New Roman" w:hAnsi="Times New Roman" w:cs="Times New Roman"/>
      <w:color w:val="000000"/>
      <w:sz w:val="24"/>
      <w:szCs w:val="24"/>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Default">
    <w:name w:val="Default"/>
    <w:rsid w:val="008E4BA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E320C"/>
    <w:pPr>
      <w:spacing w:before="180" w:after="180"/>
    </w:pPr>
    <w:rPr>
      <w:color w:val="auto"/>
    </w:rPr>
  </w:style>
  <w:style w:type="paragraph" w:styleId="Footer">
    <w:name w:val="footer"/>
    <w:basedOn w:val="Normal"/>
    <w:link w:val="FooterChar"/>
    <w:uiPriority w:val="99"/>
    <w:unhideWhenUsed/>
    <w:rsid w:val="004F2EC6"/>
    <w:pPr>
      <w:tabs>
        <w:tab w:val="center" w:pos="4513"/>
        <w:tab w:val="right" w:pos="9026"/>
      </w:tabs>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4F2EC6"/>
  </w:style>
  <w:style w:type="paragraph" w:styleId="FootnoteText">
    <w:name w:val="footnote text"/>
    <w:basedOn w:val="Normal"/>
    <w:link w:val="FootnoteTextChar"/>
    <w:uiPriority w:val="99"/>
    <w:semiHidden/>
    <w:unhideWhenUsed/>
    <w:rsid w:val="004F2EC6"/>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4F2EC6"/>
    <w:rPr>
      <w:sz w:val="20"/>
      <w:szCs w:val="20"/>
    </w:rPr>
  </w:style>
  <w:style w:type="character" w:styleId="FootnoteReference">
    <w:name w:val="footnote reference"/>
    <w:basedOn w:val="DefaultParagraphFont"/>
    <w:uiPriority w:val="99"/>
    <w:semiHidden/>
    <w:unhideWhenUsed/>
    <w:rsid w:val="004F2EC6"/>
    <w:rPr>
      <w:vertAlign w:val="superscript"/>
    </w:rPr>
  </w:style>
  <w:style w:type="paragraph" w:styleId="BalloonText">
    <w:name w:val="Balloon Text"/>
    <w:basedOn w:val="Normal"/>
    <w:link w:val="BalloonTextChar"/>
    <w:uiPriority w:val="99"/>
    <w:semiHidden/>
    <w:unhideWhenUsed/>
    <w:rsid w:val="004F2EC6"/>
    <w:rPr>
      <w:rFonts w:ascii="Tahoma" w:hAnsi="Tahoma" w:cs="Tahoma"/>
      <w:sz w:val="16"/>
      <w:szCs w:val="16"/>
    </w:rPr>
  </w:style>
  <w:style w:type="character" w:customStyle="1" w:styleId="BalloonTextChar">
    <w:name w:val="Balloon Text Char"/>
    <w:basedOn w:val="DefaultParagraphFont"/>
    <w:link w:val="BalloonText"/>
    <w:uiPriority w:val="99"/>
    <w:semiHidden/>
    <w:rsid w:val="004F2EC6"/>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183342"/>
    <w:pPr>
      <w:tabs>
        <w:tab w:val="center" w:pos="4513"/>
        <w:tab w:val="right" w:pos="9026"/>
      </w:tabs>
    </w:pPr>
  </w:style>
  <w:style w:type="character" w:customStyle="1" w:styleId="HeaderChar">
    <w:name w:val="Header Char"/>
    <w:basedOn w:val="DefaultParagraphFont"/>
    <w:link w:val="Header"/>
    <w:uiPriority w:val="99"/>
    <w:rsid w:val="00183342"/>
    <w:rPr>
      <w:rFonts w:ascii="Times New Roman" w:eastAsia="Times New Roman" w:hAnsi="Times New Roman" w:cs="Times New Roman"/>
      <w:color w:val="000000"/>
      <w:sz w:val="24"/>
      <w:szCs w:val="24"/>
      <w:lang w:eastAsia="en-AU"/>
    </w:rPr>
  </w:style>
  <w:style w:type="table" w:styleId="TableGrid">
    <w:name w:val="Table Grid"/>
    <w:basedOn w:val="TableNormal"/>
    <w:uiPriority w:val="59"/>
    <w:rsid w:val="005823D9"/>
    <w:pPr>
      <w:spacing w:after="0" w:line="240" w:lineRule="auto"/>
    </w:pPr>
    <w:rPr>
      <w:rFonts w:ascii="Times New Roman" w:eastAsia="Calibri"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SSubsection">
    <w:name w:val="NDIS Subsection"/>
    <w:basedOn w:val="Normal"/>
    <w:rsid w:val="00641272"/>
    <w:pPr>
      <w:spacing w:before="240" w:after="40" w:line="280" w:lineRule="atLeast"/>
    </w:pPr>
    <w:rPr>
      <w:rFonts w:ascii="Arial" w:hAnsi="Arial" w:cs="Arial"/>
      <w:color w:val="auto"/>
      <w:sz w:val="22"/>
      <w:szCs w:val="22"/>
    </w:rPr>
  </w:style>
  <w:style w:type="paragraph" w:customStyle="1" w:styleId="NDISParagraph">
    <w:name w:val="NDIS Paragraph"/>
    <w:basedOn w:val="Normal"/>
    <w:rsid w:val="00641272"/>
    <w:pPr>
      <w:spacing w:before="80" w:after="40" w:line="280" w:lineRule="atLeast"/>
    </w:pPr>
    <w:rPr>
      <w:rFonts w:ascii="Arial" w:hAnsi="Arial" w:cs="Arial"/>
      <w:color w:val="auto"/>
      <w:sz w:val="22"/>
      <w:szCs w:val="22"/>
    </w:rPr>
  </w:style>
  <w:style w:type="character" w:styleId="CommentReference">
    <w:name w:val="annotation reference"/>
    <w:basedOn w:val="DefaultParagraphFont"/>
    <w:uiPriority w:val="99"/>
    <w:semiHidden/>
    <w:unhideWhenUsed/>
    <w:rsid w:val="009A6AFE"/>
    <w:rPr>
      <w:sz w:val="16"/>
      <w:szCs w:val="16"/>
    </w:rPr>
  </w:style>
  <w:style w:type="paragraph" w:styleId="CommentText">
    <w:name w:val="annotation text"/>
    <w:basedOn w:val="Normal"/>
    <w:link w:val="CommentTextChar"/>
    <w:uiPriority w:val="99"/>
    <w:semiHidden/>
    <w:unhideWhenUsed/>
    <w:rsid w:val="009A6AFE"/>
    <w:rPr>
      <w:sz w:val="20"/>
      <w:szCs w:val="20"/>
    </w:rPr>
  </w:style>
  <w:style w:type="character" w:customStyle="1" w:styleId="CommentTextChar">
    <w:name w:val="Comment Text Char"/>
    <w:basedOn w:val="DefaultParagraphFont"/>
    <w:link w:val="CommentText"/>
    <w:uiPriority w:val="99"/>
    <w:semiHidden/>
    <w:rsid w:val="009A6AFE"/>
    <w:rPr>
      <w:rFonts w:ascii="Times New Roman" w:eastAsia="Times New Roman" w:hAnsi="Times New Roman" w:cs="Times New Roman"/>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9A6AFE"/>
    <w:rPr>
      <w:b/>
      <w:bCs/>
    </w:rPr>
  </w:style>
  <w:style w:type="character" w:customStyle="1" w:styleId="CommentSubjectChar">
    <w:name w:val="Comment Subject Char"/>
    <w:basedOn w:val="CommentTextChar"/>
    <w:link w:val="CommentSubject"/>
    <w:uiPriority w:val="99"/>
    <w:semiHidden/>
    <w:rsid w:val="009A6AFE"/>
    <w:rPr>
      <w:rFonts w:ascii="Times New Roman" w:eastAsia="Times New Roman" w:hAnsi="Times New Roman" w:cs="Times New Roman"/>
      <w:b/>
      <w:bCs/>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3863">
      <w:bodyDiv w:val="1"/>
      <w:marLeft w:val="0"/>
      <w:marRight w:val="0"/>
      <w:marTop w:val="0"/>
      <w:marBottom w:val="0"/>
      <w:divBdr>
        <w:top w:val="none" w:sz="0" w:space="0" w:color="auto"/>
        <w:left w:val="none" w:sz="0" w:space="0" w:color="auto"/>
        <w:bottom w:val="none" w:sz="0" w:space="0" w:color="auto"/>
        <w:right w:val="none" w:sz="0" w:space="0" w:color="auto"/>
      </w:divBdr>
    </w:div>
    <w:div w:id="280695362">
      <w:bodyDiv w:val="1"/>
      <w:marLeft w:val="0"/>
      <w:marRight w:val="0"/>
      <w:marTop w:val="0"/>
      <w:marBottom w:val="0"/>
      <w:divBdr>
        <w:top w:val="none" w:sz="0" w:space="0" w:color="auto"/>
        <w:left w:val="none" w:sz="0" w:space="0" w:color="auto"/>
        <w:bottom w:val="none" w:sz="0" w:space="0" w:color="auto"/>
        <w:right w:val="none" w:sz="0" w:space="0" w:color="auto"/>
      </w:divBdr>
    </w:div>
    <w:div w:id="360283976">
      <w:bodyDiv w:val="1"/>
      <w:marLeft w:val="0"/>
      <w:marRight w:val="0"/>
      <w:marTop w:val="0"/>
      <w:marBottom w:val="0"/>
      <w:divBdr>
        <w:top w:val="none" w:sz="0" w:space="0" w:color="auto"/>
        <w:left w:val="none" w:sz="0" w:space="0" w:color="auto"/>
        <w:bottom w:val="none" w:sz="0" w:space="0" w:color="auto"/>
        <w:right w:val="none" w:sz="0" w:space="0" w:color="auto"/>
      </w:divBdr>
      <w:divsChild>
        <w:div w:id="1187985129">
          <w:marLeft w:val="0"/>
          <w:marRight w:val="0"/>
          <w:marTop w:val="0"/>
          <w:marBottom w:val="0"/>
          <w:divBdr>
            <w:top w:val="none" w:sz="0" w:space="0" w:color="auto"/>
            <w:left w:val="none" w:sz="0" w:space="0" w:color="auto"/>
            <w:bottom w:val="none" w:sz="0" w:space="0" w:color="auto"/>
            <w:right w:val="none" w:sz="0" w:space="0" w:color="auto"/>
          </w:divBdr>
          <w:divsChild>
            <w:div w:id="997031139">
              <w:marLeft w:val="0"/>
              <w:marRight w:val="0"/>
              <w:marTop w:val="0"/>
              <w:marBottom w:val="0"/>
              <w:divBdr>
                <w:top w:val="none" w:sz="0" w:space="0" w:color="auto"/>
                <w:left w:val="none" w:sz="0" w:space="0" w:color="auto"/>
                <w:bottom w:val="none" w:sz="0" w:space="0" w:color="auto"/>
                <w:right w:val="none" w:sz="0" w:space="0" w:color="auto"/>
              </w:divBdr>
              <w:divsChild>
                <w:div w:id="631445327">
                  <w:marLeft w:val="0"/>
                  <w:marRight w:val="0"/>
                  <w:marTop w:val="0"/>
                  <w:marBottom w:val="0"/>
                  <w:divBdr>
                    <w:top w:val="none" w:sz="0" w:space="0" w:color="auto"/>
                    <w:left w:val="none" w:sz="0" w:space="0" w:color="auto"/>
                    <w:bottom w:val="none" w:sz="0" w:space="0" w:color="auto"/>
                    <w:right w:val="none" w:sz="0" w:space="0" w:color="auto"/>
                  </w:divBdr>
                  <w:divsChild>
                    <w:div w:id="1264537236">
                      <w:marLeft w:val="0"/>
                      <w:marRight w:val="0"/>
                      <w:marTop w:val="0"/>
                      <w:marBottom w:val="0"/>
                      <w:divBdr>
                        <w:top w:val="none" w:sz="0" w:space="0" w:color="auto"/>
                        <w:left w:val="none" w:sz="0" w:space="0" w:color="auto"/>
                        <w:bottom w:val="none" w:sz="0" w:space="0" w:color="auto"/>
                        <w:right w:val="none" w:sz="0" w:space="0" w:color="auto"/>
                      </w:divBdr>
                      <w:divsChild>
                        <w:div w:id="156192528">
                          <w:marLeft w:val="0"/>
                          <w:marRight w:val="0"/>
                          <w:marTop w:val="0"/>
                          <w:marBottom w:val="0"/>
                          <w:divBdr>
                            <w:top w:val="none" w:sz="0" w:space="0" w:color="auto"/>
                            <w:left w:val="none" w:sz="0" w:space="0" w:color="auto"/>
                            <w:bottom w:val="none" w:sz="0" w:space="0" w:color="auto"/>
                            <w:right w:val="none" w:sz="0" w:space="0" w:color="auto"/>
                          </w:divBdr>
                          <w:divsChild>
                            <w:div w:id="1703826425">
                              <w:marLeft w:val="0"/>
                              <w:marRight w:val="0"/>
                              <w:marTop w:val="0"/>
                              <w:marBottom w:val="0"/>
                              <w:divBdr>
                                <w:top w:val="none" w:sz="0" w:space="0" w:color="auto"/>
                                <w:left w:val="none" w:sz="0" w:space="0" w:color="auto"/>
                                <w:bottom w:val="none" w:sz="0" w:space="0" w:color="auto"/>
                                <w:right w:val="none" w:sz="0" w:space="0" w:color="auto"/>
                              </w:divBdr>
                              <w:divsChild>
                                <w:div w:id="1647781870">
                                  <w:marLeft w:val="0"/>
                                  <w:marRight w:val="0"/>
                                  <w:marTop w:val="0"/>
                                  <w:marBottom w:val="0"/>
                                  <w:divBdr>
                                    <w:top w:val="none" w:sz="0" w:space="0" w:color="auto"/>
                                    <w:left w:val="none" w:sz="0" w:space="0" w:color="auto"/>
                                    <w:bottom w:val="none" w:sz="0" w:space="0" w:color="auto"/>
                                    <w:right w:val="none" w:sz="0" w:space="0" w:color="auto"/>
                                  </w:divBdr>
                                  <w:divsChild>
                                    <w:div w:id="545222022">
                                      <w:marLeft w:val="0"/>
                                      <w:marRight w:val="0"/>
                                      <w:marTop w:val="0"/>
                                      <w:marBottom w:val="0"/>
                                      <w:divBdr>
                                        <w:top w:val="none" w:sz="0" w:space="0" w:color="auto"/>
                                        <w:left w:val="none" w:sz="0" w:space="0" w:color="auto"/>
                                        <w:bottom w:val="none" w:sz="0" w:space="0" w:color="auto"/>
                                        <w:right w:val="none" w:sz="0" w:space="0" w:color="auto"/>
                                      </w:divBdr>
                                      <w:divsChild>
                                        <w:div w:id="816654513">
                                          <w:marLeft w:val="0"/>
                                          <w:marRight w:val="0"/>
                                          <w:marTop w:val="0"/>
                                          <w:marBottom w:val="0"/>
                                          <w:divBdr>
                                            <w:top w:val="none" w:sz="0" w:space="0" w:color="auto"/>
                                            <w:left w:val="none" w:sz="0" w:space="0" w:color="auto"/>
                                            <w:bottom w:val="none" w:sz="0" w:space="0" w:color="auto"/>
                                            <w:right w:val="none" w:sz="0" w:space="0" w:color="auto"/>
                                          </w:divBdr>
                                          <w:divsChild>
                                            <w:div w:id="942107463">
                                              <w:marLeft w:val="0"/>
                                              <w:marRight w:val="0"/>
                                              <w:marTop w:val="0"/>
                                              <w:marBottom w:val="0"/>
                                              <w:divBdr>
                                                <w:top w:val="none" w:sz="0" w:space="0" w:color="auto"/>
                                                <w:left w:val="none" w:sz="0" w:space="0" w:color="auto"/>
                                                <w:bottom w:val="none" w:sz="0" w:space="0" w:color="auto"/>
                                                <w:right w:val="none" w:sz="0" w:space="0" w:color="auto"/>
                                              </w:divBdr>
                                              <w:divsChild>
                                                <w:div w:id="425854914">
                                                  <w:marLeft w:val="0"/>
                                                  <w:marRight w:val="0"/>
                                                  <w:marTop w:val="0"/>
                                                  <w:marBottom w:val="0"/>
                                                  <w:divBdr>
                                                    <w:top w:val="none" w:sz="0" w:space="0" w:color="auto"/>
                                                    <w:left w:val="none" w:sz="0" w:space="0" w:color="auto"/>
                                                    <w:bottom w:val="none" w:sz="0" w:space="0" w:color="auto"/>
                                                    <w:right w:val="none" w:sz="0" w:space="0" w:color="auto"/>
                                                  </w:divBdr>
                                                  <w:divsChild>
                                                    <w:div w:id="1272593419">
                                                      <w:marLeft w:val="0"/>
                                                      <w:marRight w:val="0"/>
                                                      <w:marTop w:val="0"/>
                                                      <w:marBottom w:val="240"/>
                                                      <w:divBdr>
                                                        <w:top w:val="none" w:sz="0" w:space="0" w:color="auto"/>
                                                        <w:left w:val="none" w:sz="0" w:space="0" w:color="auto"/>
                                                        <w:bottom w:val="none" w:sz="0" w:space="0" w:color="auto"/>
                                                        <w:right w:val="none" w:sz="0" w:space="0" w:color="auto"/>
                                                      </w:divBdr>
                                                      <w:divsChild>
                                                        <w:div w:id="526213659">
                                                          <w:marLeft w:val="0"/>
                                                          <w:marRight w:val="0"/>
                                                          <w:marTop w:val="0"/>
                                                          <w:marBottom w:val="0"/>
                                                          <w:divBdr>
                                                            <w:top w:val="none" w:sz="0" w:space="0" w:color="auto"/>
                                                            <w:left w:val="none" w:sz="0" w:space="0" w:color="auto"/>
                                                            <w:bottom w:val="none" w:sz="0" w:space="0" w:color="auto"/>
                                                            <w:right w:val="none" w:sz="0" w:space="0" w:color="auto"/>
                                                          </w:divBdr>
                                                          <w:divsChild>
                                                            <w:div w:id="1679429877">
                                                              <w:marLeft w:val="0"/>
                                                              <w:marRight w:val="0"/>
                                                              <w:marTop w:val="0"/>
                                                              <w:marBottom w:val="0"/>
                                                              <w:divBdr>
                                                                <w:top w:val="none" w:sz="0" w:space="0" w:color="auto"/>
                                                                <w:left w:val="none" w:sz="0" w:space="0" w:color="auto"/>
                                                                <w:bottom w:val="none" w:sz="0" w:space="0" w:color="auto"/>
                                                                <w:right w:val="none" w:sz="0" w:space="0" w:color="auto"/>
                                                              </w:divBdr>
                                                              <w:divsChild>
                                                                <w:div w:id="714622550">
                                                                  <w:marLeft w:val="0"/>
                                                                  <w:marRight w:val="0"/>
                                                                  <w:marTop w:val="0"/>
                                                                  <w:marBottom w:val="0"/>
                                                                  <w:divBdr>
                                                                    <w:top w:val="none" w:sz="0" w:space="0" w:color="auto"/>
                                                                    <w:left w:val="none" w:sz="0" w:space="0" w:color="auto"/>
                                                                    <w:bottom w:val="none" w:sz="0" w:space="0" w:color="auto"/>
                                                                    <w:right w:val="none" w:sz="0" w:space="0" w:color="auto"/>
                                                                  </w:divBdr>
                                                                  <w:divsChild>
                                                                    <w:div w:id="755051110">
                                                                      <w:marLeft w:val="0"/>
                                                                      <w:marRight w:val="0"/>
                                                                      <w:marTop w:val="0"/>
                                                                      <w:marBottom w:val="0"/>
                                                                      <w:divBdr>
                                                                        <w:top w:val="none" w:sz="0" w:space="0" w:color="auto"/>
                                                                        <w:left w:val="none" w:sz="0" w:space="0" w:color="auto"/>
                                                                        <w:bottom w:val="none" w:sz="0" w:space="0" w:color="auto"/>
                                                                        <w:right w:val="none" w:sz="0" w:space="0" w:color="auto"/>
                                                                      </w:divBdr>
                                                                      <w:divsChild>
                                                                        <w:div w:id="17634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006880">
      <w:bodyDiv w:val="1"/>
      <w:marLeft w:val="0"/>
      <w:marRight w:val="0"/>
      <w:marTop w:val="0"/>
      <w:marBottom w:val="0"/>
      <w:divBdr>
        <w:top w:val="none" w:sz="0" w:space="0" w:color="auto"/>
        <w:left w:val="none" w:sz="0" w:space="0" w:color="auto"/>
        <w:bottom w:val="none" w:sz="0" w:space="0" w:color="auto"/>
        <w:right w:val="none" w:sz="0" w:space="0" w:color="auto"/>
      </w:divBdr>
      <w:divsChild>
        <w:div w:id="1052075316">
          <w:marLeft w:val="0"/>
          <w:marRight w:val="0"/>
          <w:marTop w:val="0"/>
          <w:marBottom w:val="0"/>
          <w:divBdr>
            <w:top w:val="none" w:sz="0" w:space="0" w:color="auto"/>
            <w:left w:val="none" w:sz="0" w:space="0" w:color="auto"/>
            <w:bottom w:val="none" w:sz="0" w:space="0" w:color="auto"/>
            <w:right w:val="none" w:sz="0" w:space="0" w:color="auto"/>
          </w:divBdr>
          <w:divsChild>
            <w:div w:id="652174865">
              <w:marLeft w:val="0"/>
              <w:marRight w:val="0"/>
              <w:marTop w:val="0"/>
              <w:marBottom w:val="0"/>
              <w:divBdr>
                <w:top w:val="none" w:sz="0" w:space="0" w:color="auto"/>
                <w:left w:val="none" w:sz="0" w:space="0" w:color="auto"/>
                <w:bottom w:val="none" w:sz="0" w:space="0" w:color="auto"/>
                <w:right w:val="none" w:sz="0" w:space="0" w:color="auto"/>
              </w:divBdr>
              <w:divsChild>
                <w:div w:id="199255961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411315688">
      <w:bodyDiv w:val="1"/>
      <w:marLeft w:val="0"/>
      <w:marRight w:val="0"/>
      <w:marTop w:val="0"/>
      <w:marBottom w:val="0"/>
      <w:divBdr>
        <w:top w:val="none" w:sz="0" w:space="0" w:color="auto"/>
        <w:left w:val="none" w:sz="0" w:space="0" w:color="auto"/>
        <w:bottom w:val="none" w:sz="0" w:space="0" w:color="auto"/>
        <w:right w:val="none" w:sz="0" w:space="0" w:color="auto"/>
      </w:divBdr>
      <w:divsChild>
        <w:div w:id="876703832">
          <w:marLeft w:val="0"/>
          <w:marRight w:val="0"/>
          <w:marTop w:val="0"/>
          <w:marBottom w:val="0"/>
          <w:divBdr>
            <w:top w:val="none" w:sz="0" w:space="0" w:color="auto"/>
            <w:left w:val="none" w:sz="0" w:space="0" w:color="auto"/>
            <w:bottom w:val="none" w:sz="0" w:space="0" w:color="auto"/>
            <w:right w:val="none" w:sz="0" w:space="0" w:color="auto"/>
          </w:divBdr>
          <w:divsChild>
            <w:div w:id="2029016091">
              <w:marLeft w:val="0"/>
              <w:marRight w:val="0"/>
              <w:marTop w:val="0"/>
              <w:marBottom w:val="0"/>
              <w:divBdr>
                <w:top w:val="none" w:sz="0" w:space="0" w:color="auto"/>
                <w:left w:val="none" w:sz="0" w:space="0" w:color="auto"/>
                <w:bottom w:val="none" w:sz="0" w:space="0" w:color="auto"/>
                <w:right w:val="none" w:sz="0" w:space="0" w:color="auto"/>
              </w:divBdr>
              <w:divsChild>
                <w:div w:id="1964313090">
                  <w:marLeft w:val="0"/>
                  <w:marRight w:val="0"/>
                  <w:marTop w:val="0"/>
                  <w:marBottom w:val="0"/>
                  <w:divBdr>
                    <w:top w:val="none" w:sz="0" w:space="0" w:color="auto"/>
                    <w:left w:val="none" w:sz="0" w:space="0" w:color="auto"/>
                    <w:bottom w:val="none" w:sz="0" w:space="0" w:color="auto"/>
                    <w:right w:val="none" w:sz="0" w:space="0" w:color="auto"/>
                  </w:divBdr>
                  <w:divsChild>
                    <w:div w:id="637303319">
                      <w:marLeft w:val="0"/>
                      <w:marRight w:val="0"/>
                      <w:marTop w:val="0"/>
                      <w:marBottom w:val="0"/>
                      <w:divBdr>
                        <w:top w:val="none" w:sz="0" w:space="0" w:color="auto"/>
                        <w:left w:val="none" w:sz="0" w:space="0" w:color="auto"/>
                        <w:bottom w:val="none" w:sz="0" w:space="0" w:color="auto"/>
                        <w:right w:val="none" w:sz="0" w:space="0" w:color="auto"/>
                      </w:divBdr>
                      <w:divsChild>
                        <w:div w:id="309673933">
                          <w:marLeft w:val="0"/>
                          <w:marRight w:val="0"/>
                          <w:marTop w:val="0"/>
                          <w:marBottom w:val="0"/>
                          <w:divBdr>
                            <w:top w:val="none" w:sz="0" w:space="0" w:color="auto"/>
                            <w:left w:val="none" w:sz="0" w:space="0" w:color="auto"/>
                            <w:bottom w:val="none" w:sz="0" w:space="0" w:color="auto"/>
                            <w:right w:val="none" w:sz="0" w:space="0" w:color="auto"/>
                          </w:divBdr>
                          <w:divsChild>
                            <w:div w:id="1045056878">
                              <w:marLeft w:val="0"/>
                              <w:marRight w:val="0"/>
                              <w:marTop w:val="0"/>
                              <w:marBottom w:val="0"/>
                              <w:divBdr>
                                <w:top w:val="none" w:sz="0" w:space="0" w:color="auto"/>
                                <w:left w:val="none" w:sz="0" w:space="0" w:color="auto"/>
                                <w:bottom w:val="none" w:sz="0" w:space="0" w:color="auto"/>
                                <w:right w:val="none" w:sz="0" w:space="0" w:color="auto"/>
                              </w:divBdr>
                              <w:divsChild>
                                <w:div w:id="1181241518">
                                  <w:marLeft w:val="0"/>
                                  <w:marRight w:val="0"/>
                                  <w:marTop w:val="0"/>
                                  <w:marBottom w:val="0"/>
                                  <w:divBdr>
                                    <w:top w:val="none" w:sz="0" w:space="0" w:color="auto"/>
                                    <w:left w:val="none" w:sz="0" w:space="0" w:color="auto"/>
                                    <w:bottom w:val="none" w:sz="0" w:space="0" w:color="auto"/>
                                    <w:right w:val="none" w:sz="0" w:space="0" w:color="auto"/>
                                  </w:divBdr>
                                  <w:divsChild>
                                    <w:div w:id="237256567">
                                      <w:marLeft w:val="0"/>
                                      <w:marRight w:val="0"/>
                                      <w:marTop w:val="0"/>
                                      <w:marBottom w:val="0"/>
                                      <w:divBdr>
                                        <w:top w:val="none" w:sz="0" w:space="0" w:color="auto"/>
                                        <w:left w:val="none" w:sz="0" w:space="0" w:color="auto"/>
                                        <w:bottom w:val="none" w:sz="0" w:space="0" w:color="auto"/>
                                        <w:right w:val="none" w:sz="0" w:space="0" w:color="auto"/>
                                      </w:divBdr>
                                      <w:divsChild>
                                        <w:div w:id="465437379">
                                          <w:marLeft w:val="0"/>
                                          <w:marRight w:val="0"/>
                                          <w:marTop w:val="0"/>
                                          <w:marBottom w:val="0"/>
                                          <w:divBdr>
                                            <w:top w:val="none" w:sz="0" w:space="0" w:color="auto"/>
                                            <w:left w:val="none" w:sz="0" w:space="0" w:color="auto"/>
                                            <w:bottom w:val="none" w:sz="0" w:space="0" w:color="auto"/>
                                            <w:right w:val="none" w:sz="0" w:space="0" w:color="auto"/>
                                          </w:divBdr>
                                          <w:divsChild>
                                            <w:div w:id="260727509">
                                              <w:marLeft w:val="0"/>
                                              <w:marRight w:val="0"/>
                                              <w:marTop w:val="0"/>
                                              <w:marBottom w:val="0"/>
                                              <w:divBdr>
                                                <w:top w:val="none" w:sz="0" w:space="0" w:color="auto"/>
                                                <w:left w:val="none" w:sz="0" w:space="0" w:color="auto"/>
                                                <w:bottom w:val="none" w:sz="0" w:space="0" w:color="auto"/>
                                                <w:right w:val="none" w:sz="0" w:space="0" w:color="auto"/>
                                              </w:divBdr>
                                              <w:divsChild>
                                                <w:div w:id="13644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13882">
      <w:bodyDiv w:val="1"/>
      <w:marLeft w:val="0"/>
      <w:marRight w:val="0"/>
      <w:marTop w:val="0"/>
      <w:marBottom w:val="0"/>
      <w:divBdr>
        <w:top w:val="none" w:sz="0" w:space="0" w:color="auto"/>
        <w:left w:val="none" w:sz="0" w:space="0" w:color="auto"/>
        <w:bottom w:val="none" w:sz="0" w:space="0" w:color="auto"/>
        <w:right w:val="none" w:sz="0" w:space="0" w:color="auto"/>
      </w:divBdr>
      <w:divsChild>
        <w:div w:id="1552882310">
          <w:marLeft w:val="0"/>
          <w:marRight w:val="0"/>
          <w:marTop w:val="0"/>
          <w:marBottom w:val="0"/>
          <w:divBdr>
            <w:top w:val="none" w:sz="0" w:space="0" w:color="auto"/>
            <w:left w:val="none" w:sz="0" w:space="0" w:color="auto"/>
            <w:bottom w:val="none" w:sz="0" w:space="0" w:color="auto"/>
            <w:right w:val="none" w:sz="0" w:space="0" w:color="auto"/>
          </w:divBdr>
          <w:divsChild>
            <w:div w:id="1968582198">
              <w:marLeft w:val="0"/>
              <w:marRight w:val="0"/>
              <w:marTop w:val="0"/>
              <w:marBottom w:val="0"/>
              <w:divBdr>
                <w:top w:val="none" w:sz="0" w:space="0" w:color="auto"/>
                <w:left w:val="none" w:sz="0" w:space="0" w:color="auto"/>
                <w:bottom w:val="none" w:sz="0" w:space="0" w:color="auto"/>
                <w:right w:val="none" w:sz="0" w:space="0" w:color="auto"/>
              </w:divBdr>
              <w:divsChild>
                <w:div w:id="619923527">
                  <w:marLeft w:val="0"/>
                  <w:marRight w:val="0"/>
                  <w:marTop w:val="0"/>
                  <w:marBottom w:val="0"/>
                  <w:divBdr>
                    <w:top w:val="none" w:sz="0" w:space="0" w:color="auto"/>
                    <w:left w:val="none" w:sz="0" w:space="0" w:color="auto"/>
                    <w:bottom w:val="none" w:sz="0" w:space="0" w:color="auto"/>
                    <w:right w:val="none" w:sz="0" w:space="0" w:color="auto"/>
                  </w:divBdr>
                  <w:divsChild>
                    <w:div w:id="278345392">
                      <w:marLeft w:val="0"/>
                      <w:marRight w:val="0"/>
                      <w:marTop w:val="0"/>
                      <w:marBottom w:val="0"/>
                      <w:divBdr>
                        <w:top w:val="none" w:sz="0" w:space="0" w:color="auto"/>
                        <w:left w:val="none" w:sz="0" w:space="0" w:color="auto"/>
                        <w:bottom w:val="none" w:sz="0" w:space="0" w:color="auto"/>
                        <w:right w:val="none" w:sz="0" w:space="0" w:color="auto"/>
                      </w:divBdr>
                      <w:divsChild>
                        <w:div w:id="543712740">
                          <w:marLeft w:val="0"/>
                          <w:marRight w:val="0"/>
                          <w:marTop w:val="0"/>
                          <w:marBottom w:val="0"/>
                          <w:divBdr>
                            <w:top w:val="none" w:sz="0" w:space="0" w:color="auto"/>
                            <w:left w:val="none" w:sz="0" w:space="0" w:color="auto"/>
                            <w:bottom w:val="none" w:sz="0" w:space="0" w:color="auto"/>
                            <w:right w:val="none" w:sz="0" w:space="0" w:color="auto"/>
                          </w:divBdr>
                          <w:divsChild>
                            <w:div w:id="619916245">
                              <w:marLeft w:val="0"/>
                              <w:marRight w:val="0"/>
                              <w:marTop w:val="0"/>
                              <w:marBottom w:val="0"/>
                              <w:divBdr>
                                <w:top w:val="none" w:sz="0" w:space="0" w:color="auto"/>
                                <w:left w:val="none" w:sz="0" w:space="0" w:color="auto"/>
                                <w:bottom w:val="none" w:sz="0" w:space="0" w:color="auto"/>
                                <w:right w:val="none" w:sz="0" w:space="0" w:color="auto"/>
                              </w:divBdr>
                              <w:divsChild>
                                <w:div w:id="347564170">
                                  <w:marLeft w:val="0"/>
                                  <w:marRight w:val="0"/>
                                  <w:marTop w:val="0"/>
                                  <w:marBottom w:val="0"/>
                                  <w:divBdr>
                                    <w:top w:val="none" w:sz="0" w:space="0" w:color="auto"/>
                                    <w:left w:val="none" w:sz="0" w:space="0" w:color="auto"/>
                                    <w:bottom w:val="none" w:sz="0" w:space="0" w:color="auto"/>
                                    <w:right w:val="none" w:sz="0" w:space="0" w:color="auto"/>
                                  </w:divBdr>
                                  <w:divsChild>
                                    <w:div w:id="1321958609">
                                      <w:marLeft w:val="0"/>
                                      <w:marRight w:val="0"/>
                                      <w:marTop w:val="0"/>
                                      <w:marBottom w:val="0"/>
                                      <w:divBdr>
                                        <w:top w:val="none" w:sz="0" w:space="0" w:color="auto"/>
                                        <w:left w:val="none" w:sz="0" w:space="0" w:color="auto"/>
                                        <w:bottom w:val="none" w:sz="0" w:space="0" w:color="auto"/>
                                        <w:right w:val="none" w:sz="0" w:space="0" w:color="auto"/>
                                      </w:divBdr>
                                      <w:divsChild>
                                        <w:div w:id="317076512">
                                          <w:marLeft w:val="0"/>
                                          <w:marRight w:val="0"/>
                                          <w:marTop w:val="0"/>
                                          <w:marBottom w:val="0"/>
                                          <w:divBdr>
                                            <w:top w:val="none" w:sz="0" w:space="0" w:color="auto"/>
                                            <w:left w:val="none" w:sz="0" w:space="0" w:color="auto"/>
                                            <w:bottom w:val="none" w:sz="0" w:space="0" w:color="auto"/>
                                            <w:right w:val="none" w:sz="0" w:space="0" w:color="auto"/>
                                          </w:divBdr>
                                          <w:divsChild>
                                            <w:div w:id="14884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106252">
      <w:bodyDiv w:val="1"/>
      <w:marLeft w:val="0"/>
      <w:marRight w:val="0"/>
      <w:marTop w:val="0"/>
      <w:marBottom w:val="0"/>
      <w:divBdr>
        <w:top w:val="none" w:sz="0" w:space="0" w:color="auto"/>
        <w:left w:val="none" w:sz="0" w:space="0" w:color="auto"/>
        <w:bottom w:val="none" w:sz="0" w:space="0" w:color="auto"/>
        <w:right w:val="none" w:sz="0" w:space="0" w:color="auto"/>
      </w:divBdr>
      <w:divsChild>
        <w:div w:id="705446554">
          <w:marLeft w:val="0"/>
          <w:marRight w:val="0"/>
          <w:marTop w:val="0"/>
          <w:marBottom w:val="0"/>
          <w:divBdr>
            <w:top w:val="none" w:sz="0" w:space="0" w:color="auto"/>
            <w:left w:val="none" w:sz="0" w:space="0" w:color="auto"/>
            <w:bottom w:val="none" w:sz="0" w:space="0" w:color="auto"/>
            <w:right w:val="none" w:sz="0" w:space="0" w:color="auto"/>
          </w:divBdr>
          <w:divsChild>
            <w:div w:id="1206715764">
              <w:marLeft w:val="0"/>
              <w:marRight w:val="0"/>
              <w:marTop w:val="0"/>
              <w:marBottom w:val="0"/>
              <w:divBdr>
                <w:top w:val="none" w:sz="0" w:space="0" w:color="auto"/>
                <w:left w:val="none" w:sz="0" w:space="0" w:color="auto"/>
                <w:bottom w:val="none" w:sz="0" w:space="0" w:color="auto"/>
                <w:right w:val="none" w:sz="0" w:space="0" w:color="auto"/>
              </w:divBdr>
              <w:divsChild>
                <w:div w:id="622465707">
                  <w:marLeft w:val="0"/>
                  <w:marRight w:val="0"/>
                  <w:marTop w:val="0"/>
                  <w:marBottom w:val="0"/>
                  <w:divBdr>
                    <w:top w:val="none" w:sz="0" w:space="0" w:color="auto"/>
                    <w:left w:val="none" w:sz="0" w:space="0" w:color="auto"/>
                    <w:bottom w:val="none" w:sz="0" w:space="0" w:color="auto"/>
                    <w:right w:val="none" w:sz="0" w:space="0" w:color="auto"/>
                  </w:divBdr>
                  <w:divsChild>
                    <w:div w:id="2048021144">
                      <w:marLeft w:val="0"/>
                      <w:marRight w:val="0"/>
                      <w:marTop w:val="0"/>
                      <w:marBottom w:val="0"/>
                      <w:divBdr>
                        <w:top w:val="none" w:sz="0" w:space="0" w:color="auto"/>
                        <w:left w:val="none" w:sz="0" w:space="0" w:color="auto"/>
                        <w:bottom w:val="none" w:sz="0" w:space="0" w:color="auto"/>
                        <w:right w:val="none" w:sz="0" w:space="0" w:color="auto"/>
                      </w:divBdr>
                      <w:divsChild>
                        <w:div w:id="948974425">
                          <w:marLeft w:val="0"/>
                          <w:marRight w:val="0"/>
                          <w:marTop w:val="0"/>
                          <w:marBottom w:val="0"/>
                          <w:divBdr>
                            <w:top w:val="none" w:sz="0" w:space="0" w:color="auto"/>
                            <w:left w:val="none" w:sz="0" w:space="0" w:color="auto"/>
                            <w:bottom w:val="none" w:sz="0" w:space="0" w:color="auto"/>
                            <w:right w:val="none" w:sz="0" w:space="0" w:color="auto"/>
                          </w:divBdr>
                          <w:divsChild>
                            <w:div w:id="1105611639">
                              <w:marLeft w:val="0"/>
                              <w:marRight w:val="0"/>
                              <w:marTop w:val="0"/>
                              <w:marBottom w:val="0"/>
                              <w:divBdr>
                                <w:top w:val="none" w:sz="0" w:space="0" w:color="auto"/>
                                <w:left w:val="none" w:sz="0" w:space="0" w:color="auto"/>
                                <w:bottom w:val="none" w:sz="0" w:space="0" w:color="auto"/>
                                <w:right w:val="none" w:sz="0" w:space="0" w:color="auto"/>
                              </w:divBdr>
                              <w:divsChild>
                                <w:div w:id="1069158239">
                                  <w:marLeft w:val="0"/>
                                  <w:marRight w:val="0"/>
                                  <w:marTop w:val="0"/>
                                  <w:marBottom w:val="0"/>
                                  <w:divBdr>
                                    <w:top w:val="none" w:sz="0" w:space="0" w:color="auto"/>
                                    <w:left w:val="none" w:sz="0" w:space="0" w:color="auto"/>
                                    <w:bottom w:val="none" w:sz="0" w:space="0" w:color="auto"/>
                                    <w:right w:val="none" w:sz="0" w:space="0" w:color="auto"/>
                                  </w:divBdr>
                                  <w:divsChild>
                                    <w:div w:id="71390559">
                                      <w:marLeft w:val="0"/>
                                      <w:marRight w:val="0"/>
                                      <w:marTop w:val="0"/>
                                      <w:marBottom w:val="0"/>
                                      <w:divBdr>
                                        <w:top w:val="none" w:sz="0" w:space="0" w:color="auto"/>
                                        <w:left w:val="none" w:sz="0" w:space="0" w:color="auto"/>
                                        <w:bottom w:val="none" w:sz="0" w:space="0" w:color="auto"/>
                                        <w:right w:val="none" w:sz="0" w:space="0" w:color="auto"/>
                                      </w:divBdr>
                                      <w:divsChild>
                                        <w:div w:id="1308363707">
                                          <w:marLeft w:val="0"/>
                                          <w:marRight w:val="0"/>
                                          <w:marTop w:val="0"/>
                                          <w:marBottom w:val="0"/>
                                          <w:divBdr>
                                            <w:top w:val="none" w:sz="0" w:space="0" w:color="auto"/>
                                            <w:left w:val="none" w:sz="0" w:space="0" w:color="auto"/>
                                            <w:bottom w:val="none" w:sz="0" w:space="0" w:color="auto"/>
                                            <w:right w:val="none" w:sz="0" w:space="0" w:color="auto"/>
                                          </w:divBdr>
                                          <w:divsChild>
                                            <w:div w:id="19127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864052">
      <w:bodyDiv w:val="1"/>
      <w:marLeft w:val="0"/>
      <w:marRight w:val="0"/>
      <w:marTop w:val="0"/>
      <w:marBottom w:val="0"/>
      <w:divBdr>
        <w:top w:val="none" w:sz="0" w:space="0" w:color="auto"/>
        <w:left w:val="none" w:sz="0" w:space="0" w:color="auto"/>
        <w:bottom w:val="none" w:sz="0" w:space="0" w:color="auto"/>
        <w:right w:val="none" w:sz="0" w:space="0" w:color="auto"/>
      </w:divBdr>
    </w:div>
    <w:div w:id="1564835160">
      <w:bodyDiv w:val="1"/>
      <w:marLeft w:val="0"/>
      <w:marRight w:val="0"/>
      <w:marTop w:val="0"/>
      <w:marBottom w:val="0"/>
      <w:divBdr>
        <w:top w:val="none" w:sz="0" w:space="0" w:color="auto"/>
        <w:left w:val="none" w:sz="0" w:space="0" w:color="auto"/>
        <w:bottom w:val="none" w:sz="0" w:space="0" w:color="auto"/>
        <w:right w:val="none" w:sz="0" w:space="0" w:color="auto"/>
      </w:divBdr>
      <w:divsChild>
        <w:div w:id="605119864">
          <w:marLeft w:val="0"/>
          <w:marRight w:val="0"/>
          <w:marTop w:val="0"/>
          <w:marBottom w:val="0"/>
          <w:divBdr>
            <w:top w:val="none" w:sz="0" w:space="0" w:color="auto"/>
            <w:left w:val="none" w:sz="0" w:space="0" w:color="auto"/>
            <w:bottom w:val="none" w:sz="0" w:space="0" w:color="auto"/>
            <w:right w:val="none" w:sz="0" w:space="0" w:color="auto"/>
          </w:divBdr>
          <w:divsChild>
            <w:div w:id="1405106461">
              <w:marLeft w:val="0"/>
              <w:marRight w:val="0"/>
              <w:marTop w:val="0"/>
              <w:marBottom w:val="0"/>
              <w:divBdr>
                <w:top w:val="none" w:sz="0" w:space="0" w:color="auto"/>
                <w:left w:val="none" w:sz="0" w:space="0" w:color="auto"/>
                <w:bottom w:val="none" w:sz="0" w:space="0" w:color="auto"/>
                <w:right w:val="none" w:sz="0" w:space="0" w:color="auto"/>
              </w:divBdr>
              <w:divsChild>
                <w:div w:id="456216460">
                  <w:marLeft w:val="0"/>
                  <w:marRight w:val="0"/>
                  <w:marTop w:val="0"/>
                  <w:marBottom w:val="0"/>
                  <w:divBdr>
                    <w:top w:val="none" w:sz="0" w:space="0" w:color="auto"/>
                    <w:left w:val="none" w:sz="0" w:space="0" w:color="auto"/>
                    <w:bottom w:val="none" w:sz="0" w:space="0" w:color="auto"/>
                    <w:right w:val="none" w:sz="0" w:space="0" w:color="auto"/>
                  </w:divBdr>
                  <w:divsChild>
                    <w:div w:id="996765007">
                      <w:marLeft w:val="0"/>
                      <w:marRight w:val="0"/>
                      <w:marTop w:val="0"/>
                      <w:marBottom w:val="0"/>
                      <w:divBdr>
                        <w:top w:val="none" w:sz="0" w:space="0" w:color="auto"/>
                        <w:left w:val="none" w:sz="0" w:space="0" w:color="auto"/>
                        <w:bottom w:val="none" w:sz="0" w:space="0" w:color="auto"/>
                        <w:right w:val="none" w:sz="0" w:space="0" w:color="auto"/>
                      </w:divBdr>
                      <w:divsChild>
                        <w:div w:id="1902206834">
                          <w:marLeft w:val="0"/>
                          <w:marRight w:val="0"/>
                          <w:marTop w:val="0"/>
                          <w:marBottom w:val="0"/>
                          <w:divBdr>
                            <w:top w:val="none" w:sz="0" w:space="0" w:color="auto"/>
                            <w:left w:val="none" w:sz="0" w:space="0" w:color="auto"/>
                            <w:bottom w:val="none" w:sz="0" w:space="0" w:color="auto"/>
                            <w:right w:val="none" w:sz="0" w:space="0" w:color="auto"/>
                          </w:divBdr>
                          <w:divsChild>
                            <w:div w:id="1279220241">
                              <w:marLeft w:val="0"/>
                              <w:marRight w:val="0"/>
                              <w:marTop w:val="0"/>
                              <w:marBottom w:val="0"/>
                              <w:divBdr>
                                <w:top w:val="none" w:sz="0" w:space="0" w:color="auto"/>
                                <w:left w:val="none" w:sz="0" w:space="0" w:color="auto"/>
                                <w:bottom w:val="none" w:sz="0" w:space="0" w:color="auto"/>
                                <w:right w:val="none" w:sz="0" w:space="0" w:color="auto"/>
                              </w:divBdr>
                              <w:divsChild>
                                <w:div w:id="2121609038">
                                  <w:marLeft w:val="0"/>
                                  <w:marRight w:val="0"/>
                                  <w:marTop w:val="0"/>
                                  <w:marBottom w:val="0"/>
                                  <w:divBdr>
                                    <w:top w:val="none" w:sz="0" w:space="0" w:color="auto"/>
                                    <w:left w:val="none" w:sz="0" w:space="0" w:color="auto"/>
                                    <w:bottom w:val="none" w:sz="0" w:space="0" w:color="auto"/>
                                    <w:right w:val="none" w:sz="0" w:space="0" w:color="auto"/>
                                  </w:divBdr>
                                  <w:divsChild>
                                    <w:div w:id="444082129">
                                      <w:marLeft w:val="0"/>
                                      <w:marRight w:val="0"/>
                                      <w:marTop w:val="0"/>
                                      <w:marBottom w:val="0"/>
                                      <w:divBdr>
                                        <w:top w:val="none" w:sz="0" w:space="0" w:color="auto"/>
                                        <w:left w:val="none" w:sz="0" w:space="0" w:color="auto"/>
                                        <w:bottom w:val="none" w:sz="0" w:space="0" w:color="auto"/>
                                        <w:right w:val="none" w:sz="0" w:space="0" w:color="auto"/>
                                      </w:divBdr>
                                      <w:divsChild>
                                        <w:div w:id="1288926160">
                                          <w:marLeft w:val="0"/>
                                          <w:marRight w:val="0"/>
                                          <w:marTop w:val="0"/>
                                          <w:marBottom w:val="0"/>
                                          <w:divBdr>
                                            <w:top w:val="none" w:sz="0" w:space="0" w:color="auto"/>
                                            <w:left w:val="none" w:sz="0" w:space="0" w:color="auto"/>
                                            <w:bottom w:val="none" w:sz="0" w:space="0" w:color="auto"/>
                                            <w:right w:val="none" w:sz="0" w:space="0" w:color="auto"/>
                                          </w:divBdr>
                                          <w:divsChild>
                                            <w:div w:id="2874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8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1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876E81-0158-EA46-99A9-554BC9A1D39D}"/>
</file>

<file path=customXml/itemProps2.xml><?xml version="1.0" encoding="utf-8"?>
<ds:datastoreItem xmlns:ds="http://schemas.openxmlformats.org/officeDocument/2006/customXml" ds:itemID="{88CF8693-AF4C-4BC7-A6EC-7653E148D7CD}"/>
</file>

<file path=customXml/itemProps3.xml><?xml version="1.0" encoding="utf-8"?>
<ds:datastoreItem xmlns:ds="http://schemas.openxmlformats.org/officeDocument/2006/customXml" ds:itemID="{0B11AF1E-D143-455F-8963-DF6D23A94DC2}"/>
</file>

<file path=customXml/itemProps4.xml><?xml version="1.0" encoding="utf-8"?>
<ds:datastoreItem xmlns:ds="http://schemas.openxmlformats.org/officeDocument/2006/customXml" ds:itemID="{8CD259AE-36DB-4255-B3A9-02C6302CB4F3}"/>
</file>

<file path=docProps/app.xml><?xml version="1.0" encoding="utf-8"?>
<Properties xmlns="http://schemas.openxmlformats.org/officeDocument/2006/extended-properties" xmlns:vt="http://schemas.openxmlformats.org/officeDocument/2006/docPropsVTypes">
  <Template>Normal.dotm</Template>
  <TotalTime>16</TotalTime>
  <Pages>11</Pages>
  <Words>4231</Words>
  <Characters>23907</Characters>
  <Application>Microsoft Macintosh Word</Application>
  <DocSecurity>0</DocSecurity>
  <Lines>298</Lines>
  <Paragraphs>51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 Nicola</dc:creator>
  <cp:lastModifiedBy>Luca Trinchieri</cp:lastModifiedBy>
  <cp:revision>4</cp:revision>
  <cp:lastPrinted>2014-07-25T03:14:00Z</cp:lastPrinted>
  <dcterms:created xsi:type="dcterms:W3CDTF">2014-07-31T15:02:00Z</dcterms:created>
  <dcterms:modified xsi:type="dcterms:W3CDTF">2014-11-03T12:39:00Z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2599300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