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5DEF3" w14:textId="56B82615" w:rsidR="00DA3C61" w:rsidRPr="00FB14B0" w:rsidRDefault="0066559C" w:rsidP="00244B6E">
      <w:pPr>
        <w:spacing w:after="0"/>
        <w:rPr>
          <w:noProof/>
        </w:rPr>
      </w:pPr>
      <w:r w:rsidRPr="00FB14B0">
        <w:rPr>
          <w:noProof/>
        </w:rPr>
        <w:drawing>
          <wp:inline distT="0" distB="0" distL="0" distR="0" wp14:anchorId="52CAC6AF" wp14:editId="46416B24">
            <wp:extent cx="3296285" cy="1212215"/>
            <wp:effectExtent l="0" t="0" r="0" b="0"/>
            <wp:docPr id="1" name="Picture 7" descr="Canadian Human Rights Commission (CH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nadian Human Rights Commission (CHR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6285" cy="1212215"/>
                    </a:xfrm>
                    <a:prstGeom prst="rect">
                      <a:avLst/>
                    </a:prstGeom>
                    <a:noFill/>
                    <a:ln>
                      <a:noFill/>
                    </a:ln>
                  </pic:spPr>
                </pic:pic>
              </a:graphicData>
            </a:graphic>
          </wp:inline>
        </w:drawing>
      </w:r>
    </w:p>
    <w:p w14:paraId="70F6D0A3" w14:textId="77777777" w:rsidR="005B7FB9" w:rsidRPr="00FB14B0" w:rsidRDefault="005B7FB9" w:rsidP="00244B6E">
      <w:pPr>
        <w:spacing w:after="0"/>
        <w:rPr>
          <w:noProof/>
        </w:rPr>
      </w:pPr>
    </w:p>
    <w:p w14:paraId="47AEFE8A" w14:textId="77777777" w:rsidR="005B7FB9" w:rsidRPr="00FB14B0" w:rsidRDefault="005B7FB9" w:rsidP="00244B6E">
      <w:pPr>
        <w:spacing w:after="0"/>
        <w:rPr>
          <w:noProof/>
        </w:rPr>
      </w:pPr>
    </w:p>
    <w:p w14:paraId="1F67E1C1" w14:textId="77777777" w:rsidR="005B7FB9" w:rsidRPr="00FB14B0" w:rsidRDefault="005B7FB9" w:rsidP="00244B6E">
      <w:pPr>
        <w:spacing w:after="0"/>
        <w:rPr>
          <w:noProof/>
        </w:rPr>
      </w:pPr>
    </w:p>
    <w:p w14:paraId="6F4C78FC" w14:textId="77777777" w:rsidR="005B7FB9" w:rsidRPr="00FB14B0" w:rsidRDefault="005B7FB9" w:rsidP="00244B6E">
      <w:pPr>
        <w:spacing w:after="0"/>
        <w:rPr>
          <w:noProof/>
        </w:rPr>
      </w:pPr>
    </w:p>
    <w:p w14:paraId="63CA4D83" w14:textId="77777777" w:rsidR="005B7FB9" w:rsidRPr="00FB14B0" w:rsidRDefault="005B7FB9" w:rsidP="00244B6E">
      <w:pPr>
        <w:spacing w:after="0"/>
        <w:rPr>
          <w:noProof/>
        </w:rPr>
      </w:pPr>
    </w:p>
    <w:p w14:paraId="630C7F11" w14:textId="77777777" w:rsidR="005B7FB9" w:rsidRPr="00FB14B0" w:rsidRDefault="005B7FB9" w:rsidP="00244B6E">
      <w:pPr>
        <w:spacing w:after="0"/>
        <w:rPr>
          <w:noProof/>
        </w:rPr>
      </w:pPr>
    </w:p>
    <w:p w14:paraId="71739F44" w14:textId="77777777" w:rsidR="005B7FB9" w:rsidRPr="00FB14B0" w:rsidRDefault="005B7FB9" w:rsidP="00244B6E">
      <w:pPr>
        <w:spacing w:after="0"/>
        <w:rPr>
          <w:noProof/>
        </w:rPr>
      </w:pPr>
    </w:p>
    <w:p w14:paraId="7BB1E9B6" w14:textId="77777777" w:rsidR="005B7FB9" w:rsidRPr="00FB14B0" w:rsidRDefault="005B7FB9" w:rsidP="00244B6E">
      <w:pPr>
        <w:spacing w:after="0"/>
        <w:rPr>
          <w:noProof/>
        </w:rPr>
      </w:pPr>
    </w:p>
    <w:p w14:paraId="735FEE9D" w14:textId="77777777" w:rsidR="005B7FB9" w:rsidRPr="00FB14B0" w:rsidRDefault="005B7FB9" w:rsidP="00244B6E">
      <w:pPr>
        <w:spacing w:after="0"/>
        <w:rPr>
          <w:noProof/>
        </w:rPr>
      </w:pPr>
    </w:p>
    <w:p w14:paraId="4251F4D8" w14:textId="77777777" w:rsidR="005B7FB9" w:rsidRPr="00FB14B0" w:rsidRDefault="005B7FB9" w:rsidP="00244B6E">
      <w:pPr>
        <w:spacing w:after="0"/>
        <w:rPr>
          <w:noProof/>
        </w:rPr>
      </w:pPr>
    </w:p>
    <w:p w14:paraId="5D2AED64" w14:textId="77777777" w:rsidR="005B7FB9" w:rsidRPr="00FB14B0" w:rsidRDefault="005B7FB9" w:rsidP="00244B6E">
      <w:pPr>
        <w:spacing w:after="0"/>
        <w:rPr>
          <w:noProof/>
        </w:rPr>
      </w:pPr>
    </w:p>
    <w:p w14:paraId="52E1F6E2" w14:textId="77777777" w:rsidR="005B7FB9" w:rsidRPr="00FB14B0" w:rsidRDefault="005B7FB9" w:rsidP="00244B6E">
      <w:pPr>
        <w:spacing w:after="0"/>
        <w:jc w:val="center"/>
        <w:rPr>
          <w:b/>
          <w:smallCaps/>
        </w:rPr>
      </w:pPr>
      <w:r w:rsidRPr="00FB14B0">
        <w:rPr>
          <w:b/>
          <w:smallCaps/>
        </w:rPr>
        <w:t xml:space="preserve">Submission to the </w:t>
      </w:r>
    </w:p>
    <w:p w14:paraId="41C928F9" w14:textId="77777777" w:rsidR="005B7FB9" w:rsidRPr="00FB14B0" w:rsidRDefault="008D1B6C" w:rsidP="00244B6E">
      <w:pPr>
        <w:spacing w:after="0"/>
        <w:jc w:val="center"/>
        <w:rPr>
          <w:b/>
          <w:smallCaps/>
        </w:rPr>
      </w:pPr>
      <w:r w:rsidRPr="00FB14B0">
        <w:rPr>
          <w:b/>
          <w:smallCaps/>
        </w:rPr>
        <w:t>Special rapporteur on the rights of persons with disabilities</w:t>
      </w:r>
    </w:p>
    <w:p w14:paraId="5D35AF5F" w14:textId="77777777" w:rsidR="008D1B6C" w:rsidRPr="00FB14B0" w:rsidRDefault="008D1B6C" w:rsidP="00244B6E">
      <w:pPr>
        <w:spacing w:after="0"/>
        <w:jc w:val="center"/>
        <w:rPr>
          <w:b/>
          <w:i/>
          <w:smallCaps/>
        </w:rPr>
      </w:pPr>
      <w:r w:rsidRPr="00FB14B0">
        <w:rPr>
          <w:b/>
          <w:i/>
          <w:smallCaps/>
        </w:rPr>
        <w:t>rights of older persons with disabilities</w:t>
      </w:r>
    </w:p>
    <w:p w14:paraId="6F95C453" w14:textId="77777777" w:rsidR="005B7FB9" w:rsidRPr="00FB14B0" w:rsidRDefault="005B7FB9" w:rsidP="00244B6E">
      <w:pPr>
        <w:spacing w:after="0"/>
        <w:rPr>
          <w:noProof/>
        </w:rPr>
      </w:pPr>
    </w:p>
    <w:p w14:paraId="5F9984CF" w14:textId="77777777" w:rsidR="005B7FB9" w:rsidRPr="00FB14B0" w:rsidRDefault="005B7FB9" w:rsidP="00244B6E">
      <w:pPr>
        <w:spacing w:after="0"/>
        <w:rPr>
          <w:noProof/>
        </w:rPr>
      </w:pPr>
    </w:p>
    <w:p w14:paraId="1F88DF54" w14:textId="77777777" w:rsidR="005B7FB9" w:rsidRPr="00FB14B0" w:rsidRDefault="005B7FB9" w:rsidP="00244B6E">
      <w:pPr>
        <w:spacing w:after="0"/>
        <w:rPr>
          <w:noProof/>
        </w:rPr>
      </w:pPr>
    </w:p>
    <w:p w14:paraId="60EC6318" w14:textId="77777777" w:rsidR="005B7FB9" w:rsidRPr="00FB14B0" w:rsidRDefault="005B7FB9" w:rsidP="00244B6E">
      <w:pPr>
        <w:spacing w:after="0"/>
        <w:rPr>
          <w:noProof/>
        </w:rPr>
      </w:pPr>
    </w:p>
    <w:p w14:paraId="67A277CB" w14:textId="77777777" w:rsidR="005B7FB9" w:rsidRPr="00FB14B0" w:rsidRDefault="005B7FB9" w:rsidP="00244B6E">
      <w:pPr>
        <w:spacing w:after="0"/>
        <w:rPr>
          <w:noProof/>
        </w:rPr>
      </w:pPr>
    </w:p>
    <w:p w14:paraId="5EDA8C0C" w14:textId="77777777" w:rsidR="005B7FB9" w:rsidRPr="00FB14B0" w:rsidRDefault="005B7FB9" w:rsidP="00244B6E">
      <w:pPr>
        <w:spacing w:after="0"/>
        <w:rPr>
          <w:noProof/>
        </w:rPr>
      </w:pPr>
    </w:p>
    <w:p w14:paraId="665189EB" w14:textId="553D2940" w:rsidR="005B7FB9" w:rsidRPr="00FB14B0" w:rsidRDefault="005B7FB9" w:rsidP="00244B6E">
      <w:pPr>
        <w:spacing w:after="0"/>
        <w:rPr>
          <w:noProof/>
        </w:rPr>
      </w:pPr>
    </w:p>
    <w:p w14:paraId="6124DD8D" w14:textId="77777777" w:rsidR="005B7FB9" w:rsidRPr="00FB14B0" w:rsidRDefault="005B7FB9" w:rsidP="00244B6E">
      <w:pPr>
        <w:spacing w:after="0"/>
        <w:rPr>
          <w:noProof/>
        </w:rPr>
      </w:pPr>
    </w:p>
    <w:p w14:paraId="5E546614" w14:textId="77777777" w:rsidR="005B7FB9" w:rsidRPr="00FB14B0" w:rsidRDefault="005B7FB9" w:rsidP="00244B6E">
      <w:pPr>
        <w:spacing w:after="0"/>
        <w:rPr>
          <w:noProof/>
        </w:rPr>
      </w:pPr>
    </w:p>
    <w:p w14:paraId="66DCF0C5" w14:textId="77777777" w:rsidR="005B7FB9" w:rsidRPr="00FB14B0" w:rsidRDefault="005B7FB9" w:rsidP="00244B6E">
      <w:pPr>
        <w:spacing w:after="0"/>
        <w:rPr>
          <w:noProof/>
        </w:rPr>
      </w:pPr>
    </w:p>
    <w:p w14:paraId="450D97CC" w14:textId="77777777" w:rsidR="008D1B6C" w:rsidRPr="00FB14B0" w:rsidRDefault="008D1B6C" w:rsidP="00244B6E">
      <w:pPr>
        <w:spacing w:after="0"/>
        <w:rPr>
          <w:noProof/>
        </w:rPr>
      </w:pPr>
    </w:p>
    <w:p w14:paraId="35854BF8" w14:textId="77777777" w:rsidR="005B7FB9" w:rsidRPr="00FB14B0" w:rsidRDefault="005B7FB9" w:rsidP="00244B6E">
      <w:pPr>
        <w:spacing w:after="0"/>
        <w:rPr>
          <w:noProof/>
        </w:rPr>
      </w:pPr>
    </w:p>
    <w:p w14:paraId="55C04149" w14:textId="77777777" w:rsidR="005B7FB9" w:rsidRPr="00FB14B0" w:rsidRDefault="005B7FB9" w:rsidP="00244B6E">
      <w:pPr>
        <w:spacing w:after="0"/>
        <w:rPr>
          <w:noProof/>
        </w:rPr>
      </w:pPr>
    </w:p>
    <w:p w14:paraId="4B955F57" w14:textId="77777777" w:rsidR="005B7FB9" w:rsidRPr="00FB14B0" w:rsidRDefault="005B7FB9" w:rsidP="00244B6E">
      <w:pPr>
        <w:spacing w:after="0"/>
        <w:rPr>
          <w:noProof/>
        </w:rPr>
      </w:pPr>
    </w:p>
    <w:p w14:paraId="3C7773EF" w14:textId="77777777" w:rsidR="005B7FB9" w:rsidRPr="00FB14B0" w:rsidRDefault="005B7FB9" w:rsidP="00244B6E">
      <w:pPr>
        <w:spacing w:after="0"/>
        <w:rPr>
          <w:noProof/>
        </w:rPr>
      </w:pPr>
    </w:p>
    <w:p w14:paraId="4DA75DCF" w14:textId="77777777" w:rsidR="005B7FB9" w:rsidRPr="00FB14B0" w:rsidRDefault="005B7FB9" w:rsidP="00244B6E">
      <w:pPr>
        <w:spacing w:after="0"/>
        <w:rPr>
          <w:noProof/>
        </w:rPr>
      </w:pPr>
    </w:p>
    <w:p w14:paraId="28C69AB4" w14:textId="77777777" w:rsidR="005B7FB9" w:rsidRPr="00FB14B0" w:rsidRDefault="005B7FB9" w:rsidP="00244B6E">
      <w:pPr>
        <w:spacing w:after="0"/>
        <w:rPr>
          <w:noProof/>
        </w:rPr>
      </w:pPr>
    </w:p>
    <w:p w14:paraId="6629B053" w14:textId="77777777" w:rsidR="005B7FB9" w:rsidRPr="00FB14B0" w:rsidRDefault="005B7FB9" w:rsidP="00244B6E">
      <w:pPr>
        <w:jc w:val="center"/>
        <w:rPr>
          <w:b/>
          <w:smallCaps/>
        </w:rPr>
      </w:pPr>
      <w:r w:rsidRPr="00FB14B0">
        <w:rPr>
          <w:b/>
          <w:smallCaps/>
        </w:rPr>
        <w:t xml:space="preserve">Canadian Human Rights Commission </w:t>
      </w:r>
    </w:p>
    <w:p w14:paraId="685E3E2F" w14:textId="4D55B4B4" w:rsidR="005B7FB9" w:rsidRPr="00FB14B0" w:rsidRDefault="009635E0" w:rsidP="00244B6E">
      <w:pPr>
        <w:jc w:val="center"/>
        <w:rPr>
          <w:b/>
          <w:smallCaps/>
        </w:rPr>
      </w:pPr>
      <w:r>
        <w:rPr>
          <w:b/>
          <w:smallCaps/>
        </w:rPr>
        <w:t>A</w:t>
      </w:r>
      <w:r w:rsidR="008D1B6C" w:rsidRPr="00FB14B0">
        <w:rPr>
          <w:b/>
          <w:smallCaps/>
        </w:rPr>
        <w:t>pril 2019</w:t>
      </w:r>
    </w:p>
    <w:p w14:paraId="02848FB5" w14:textId="77777777" w:rsidR="005B7FB9" w:rsidRPr="00FB14B0" w:rsidRDefault="005B7FB9" w:rsidP="00244B6E">
      <w:pPr>
        <w:spacing w:after="0"/>
        <w:sectPr w:rsidR="005B7FB9" w:rsidRPr="00FB14B0" w:rsidSect="00FC07E0">
          <w:footerReference w:type="default" r:id="rId12"/>
          <w:pgSz w:w="12240" w:h="15840"/>
          <w:pgMar w:top="1440" w:right="1325" w:bottom="1440" w:left="1440" w:header="720" w:footer="720" w:gutter="0"/>
          <w:cols w:space="720"/>
          <w:docGrid w:linePitch="360"/>
        </w:sectPr>
      </w:pPr>
    </w:p>
    <w:p w14:paraId="3289C52F" w14:textId="77777777" w:rsidR="00DA3C61" w:rsidRPr="00FB14B0" w:rsidRDefault="00DA3C61" w:rsidP="00244B6E">
      <w:pPr>
        <w:spacing w:after="0"/>
      </w:pPr>
    </w:p>
    <w:p w14:paraId="21F67ED6" w14:textId="77777777" w:rsidR="00244B6E" w:rsidRDefault="001037B1" w:rsidP="00244B6E">
      <w:pPr>
        <w:pStyle w:val="Heading1"/>
        <w:shd w:val="clear" w:color="auto" w:fill="8DB3E2"/>
        <w:spacing w:line="276" w:lineRule="auto"/>
        <w:rPr>
          <w:noProof/>
        </w:rPr>
      </w:pPr>
      <w:bookmarkStart w:id="0" w:name="_Toc410731820"/>
      <w:bookmarkStart w:id="1" w:name="_Toc455734289"/>
      <w:bookmarkStart w:id="2" w:name="_Toc455734324"/>
      <w:bookmarkStart w:id="3" w:name="_Toc486577420"/>
      <w:bookmarkStart w:id="4" w:name="_Toc525716894"/>
      <w:bookmarkStart w:id="5" w:name="_Toc7018142"/>
      <w:bookmarkStart w:id="6" w:name="_Toc7171893"/>
      <w:r w:rsidRPr="00FB14B0">
        <w:rPr>
          <w:lang w:val="en-CA"/>
        </w:rPr>
        <w:t>TABLE OF CONTENTS</w:t>
      </w:r>
      <w:bookmarkEnd w:id="0"/>
      <w:bookmarkEnd w:id="1"/>
      <w:bookmarkEnd w:id="2"/>
      <w:bookmarkEnd w:id="3"/>
      <w:bookmarkEnd w:id="4"/>
      <w:bookmarkEnd w:id="5"/>
      <w:bookmarkEnd w:id="6"/>
      <w:r w:rsidR="00B43236" w:rsidRPr="00FB14B0">
        <w:rPr>
          <w:lang w:val="en-CA"/>
        </w:rPr>
        <w:fldChar w:fldCharType="begin"/>
      </w:r>
      <w:r w:rsidR="00B43236" w:rsidRPr="00FB14B0">
        <w:rPr>
          <w:lang w:val="en-CA"/>
        </w:rPr>
        <w:instrText xml:space="preserve"> TOC \o "1-3" \h \z \u </w:instrText>
      </w:r>
      <w:r w:rsidR="00B43236" w:rsidRPr="00FB14B0">
        <w:rPr>
          <w:lang w:val="en-CA"/>
        </w:rPr>
        <w:fldChar w:fldCharType="separate"/>
      </w:r>
    </w:p>
    <w:p w14:paraId="086C8A9F" w14:textId="4A297AC1" w:rsidR="00244B6E" w:rsidRDefault="008601EE" w:rsidP="00244B6E">
      <w:pPr>
        <w:pStyle w:val="TOC1"/>
        <w:spacing w:line="276" w:lineRule="auto"/>
        <w:rPr>
          <w:rFonts w:asciiTheme="minorHAnsi" w:eastAsiaTheme="minorEastAsia" w:hAnsiTheme="minorHAnsi" w:cstheme="minorBidi"/>
          <w:b w:val="0"/>
          <w:sz w:val="22"/>
          <w:szCs w:val="22"/>
        </w:rPr>
      </w:pPr>
      <w:hyperlink w:anchor="_Toc7171893" w:history="1">
        <w:r w:rsidR="00244B6E" w:rsidRPr="00D55184">
          <w:rPr>
            <w:rStyle w:val="Hyperlink"/>
          </w:rPr>
          <w:t>1.</w:t>
        </w:r>
        <w:r w:rsidR="00244B6E">
          <w:rPr>
            <w:rFonts w:asciiTheme="minorHAnsi" w:eastAsiaTheme="minorEastAsia" w:hAnsiTheme="minorHAnsi" w:cstheme="minorBidi"/>
            <w:b w:val="0"/>
            <w:sz w:val="22"/>
            <w:szCs w:val="22"/>
          </w:rPr>
          <w:tab/>
        </w:r>
        <w:r w:rsidR="00244B6E" w:rsidRPr="00D55184">
          <w:rPr>
            <w:rStyle w:val="Hyperlink"/>
          </w:rPr>
          <w:t>TABLE OF CONTENTS</w:t>
        </w:r>
        <w:r w:rsidR="00244B6E">
          <w:rPr>
            <w:webHidden/>
          </w:rPr>
          <w:tab/>
        </w:r>
        <w:r w:rsidR="00244B6E">
          <w:rPr>
            <w:webHidden/>
          </w:rPr>
          <w:fldChar w:fldCharType="begin"/>
        </w:r>
        <w:r w:rsidR="00244B6E">
          <w:rPr>
            <w:webHidden/>
          </w:rPr>
          <w:instrText xml:space="preserve"> PAGEREF _Toc7171893 \h </w:instrText>
        </w:r>
        <w:r w:rsidR="00244B6E">
          <w:rPr>
            <w:webHidden/>
          </w:rPr>
        </w:r>
        <w:r w:rsidR="00244B6E">
          <w:rPr>
            <w:webHidden/>
          </w:rPr>
          <w:fldChar w:fldCharType="separate"/>
        </w:r>
        <w:r w:rsidR="00244B6E">
          <w:rPr>
            <w:webHidden/>
          </w:rPr>
          <w:t>2</w:t>
        </w:r>
        <w:r w:rsidR="00244B6E">
          <w:rPr>
            <w:webHidden/>
          </w:rPr>
          <w:fldChar w:fldCharType="end"/>
        </w:r>
      </w:hyperlink>
    </w:p>
    <w:p w14:paraId="470EB60D" w14:textId="09FFD72E" w:rsidR="00244B6E" w:rsidRDefault="008601EE" w:rsidP="00244B6E">
      <w:pPr>
        <w:pStyle w:val="TOC1"/>
        <w:spacing w:line="276" w:lineRule="auto"/>
        <w:rPr>
          <w:rFonts w:asciiTheme="minorHAnsi" w:eastAsiaTheme="minorEastAsia" w:hAnsiTheme="minorHAnsi" w:cstheme="minorBidi"/>
          <w:b w:val="0"/>
          <w:sz w:val="22"/>
          <w:szCs w:val="22"/>
        </w:rPr>
      </w:pPr>
      <w:hyperlink w:anchor="_Toc7171894" w:history="1">
        <w:r w:rsidR="00244B6E" w:rsidRPr="00D55184">
          <w:rPr>
            <w:rStyle w:val="Hyperlink"/>
          </w:rPr>
          <w:t>1.</w:t>
        </w:r>
        <w:r w:rsidR="00244B6E">
          <w:rPr>
            <w:rFonts w:asciiTheme="minorHAnsi" w:eastAsiaTheme="minorEastAsia" w:hAnsiTheme="minorHAnsi" w:cstheme="minorBidi"/>
            <w:b w:val="0"/>
            <w:sz w:val="22"/>
            <w:szCs w:val="22"/>
          </w:rPr>
          <w:tab/>
        </w:r>
        <w:r w:rsidR="00244B6E" w:rsidRPr="00D55184">
          <w:rPr>
            <w:rStyle w:val="Hyperlink"/>
          </w:rPr>
          <w:t>THE CANADIAN HUMAN RIGHTS COMMISSION</w:t>
        </w:r>
        <w:r w:rsidR="00244B6E">
          <w:rPr>
            <w:webHidden/>
          </w:rPr>
          <w:tab/>
        </w:r>
        <w:r w:rsidR="00244B6E">
          <w:rPr>
            <w:webHidden/>
          </w:rPr>
          <w:fldChar w:fldCharType="begin"/>
        </w:r>
        <w:r w:rsidR="00244B6E">
          <w:rPr>
            <w:webHidden/>
          </w:rPr>
          <w:instrText xml:space="preserve"> PAGEREF _Toc7171894 \h </w:instrText>
        </w:r>
        <w:r w:rsidR="00244B6E">
          <w:rPr>
            <w:webHidden/>
          </w:rPr>
        </w:r>
        <w:r w:rsidR="00244B6E">
          <w:rPr>
            <w:webHidden/>
          </w:rPr>
          <w:fldChar w:fldCharType="separate"/>
        </w:r>
        <w:r w:rsidR="00244B6E">
          <w:rPr>
            <w:webHidden/>
          </w:rPr>
          <w:t>1</w:t>
        </w:r>
        <w:r w:rsidR="00244B6E">
          <w:rPr>
            <w:webHidden/>
          </w:rPr>
          <w:fldChar w:fldCharType="end"/>
        </w:r>
      </w:hyperlink>
    </w:p>
    <w:p w14:paraId="1A6AE4B8" w14:textId="0114AAD1" w:rsidR="00244B6E" w:rsidRDefault="008601EE" w:rsidP="00244B6E">
      <w:pPr>
        <w:pStyle w:val="TOC2"/>
        <w:spacing w:line="276" w:lineRule="auto"/>
        <w:rPr>
          <w:rFonts w:asciiTheme="minorHAnsi" w:eastAsiaTheme="minorEastAsia" w:hAnsiTheme="minorHAnsi" w:cstheme="minorBidi"/>
          <w:noProof/>
          <w:sz w:val="22"/>
          <w:szCs w:val="22"/>
        </w:rPr>
      </w:pPr>
      <w:hyperlink w:anchor="_Toc7171895" w:history="1">
        <w:r w:rsidR="00244B6E" w:rsidRPr="00D55184">
          <w:rPr>
            <w:rStyle w:val="Hyperlink"/>
            <w:iCs/>
            <w:noProof/>
          </w:rPr>
          <w:t>1.1.</w:t>
        </w:r>
        <w:r w:rsidR="00244B6E">
          <w:rPr>
            <w:rFonts w:asciiTheme="minorHAnsi" w:eastAsiaTheme="minorEastAsia" w:hAnsiTheme="minorHAnsi" w:cstheme="minorBidi"/>
            <w:noProof/>
            <w:sz w:val="22"/>
            <w:szCs w:val="22"/>
          </w:rPr>
          <w:tab/>
        </w:r>
        <w:r w:rsidR="00244B6E" w:rsidRPr="00D55184">
          <w:rPr>
            <w:rStyle w:val="Hyperlink"/>
            <w:iCs/>
            <w:noProof/>
          </w:rPr>
          <w:t>Proposed Changes to the Mandate of the Canadian Human Rights Commission having to do with disability</w:t>
        </w:r>
        <w:r w:rsidR="00244B6E">
          <w:rPr>
            <w:noProof/>
            <w:webHidden/>
          </w:rPr>
          <w:tab/>
        </w:r>
        <w:r w:rsidR="00244B6E">
          <w:rPr>
            <w:noProof/>
            <w:webHidden/>
          </w:rPr>
          <w:fldChar w:fldCharType="begin"/>
        </w:r>
        <w:r w:rsidR="00244B6E">
          <w:rPr>
            <w:noProof/>
            <w:webHidden/>
          </w:rPr>
          <w:instrText xml:space="preserve"> PAGEREF _Toc7171895 \h </w:instrText>
        </w:r>
        <w:r w:rsidR="00244B6E">
          <w:rPr>
            <w:noProof/>
            <w:webHidden/>
          </w:rPr>
        </w:r>
        <w:r w:rsidR="00244B6E">
          <w:rPr>
            <w:noProof/>
            <w:webHidden/>
          </w:rPr>
          <w:fldChar w:fldCharType="separate"/>
        </w:r>
        <w:r w:rsidR="00244B6E">
          <w:rPr>
            <w:noProof/>
            <w:webHidden/>
          </w:rPr>
          <w:t>1</w:t>
        </w:r>
        <w:r w:rsidR="00244B6E">
          <w:rPr>
            <w:noProof/>
            <w:webHidden/>
          </w:rPr>
          <w:fldChar w:fldCharType="end"/>
        </w:r>
      </w:hyperlink>
    </w:p>
    <w:p w14:paraId="11D53213" w14:textId="73880C9B" w:rsidR="00244B6E" w:rsidRDefault="008601EE" w:rsidP="00244B6E">
      <w:pPr>
        <w:pStyle w:val="TOC3"/>
        <w:rPr>
          <w:rFonts w:asciiTheme="minorHAnsi" w:eastAsiaTheme="minorEastAsia" w:hAnsiTheme="minorHAnsi" w:cstheme="minorBidi"/>
          <w:noProof/>
          <w:sz w:val="22"/>
          <w:szCs w:val="22"/>
        </w:rPr>
      </w:pPr>
      <w:hyperlink w:anchor="_Toc7171896" w:history="1">
        <w:r w:rsidR="00244B6E" w:rsidRPr="00D55184">
          <w:rPr>
            <w:rStyle w:val="Hyperlink"/>
            <w:noProof/>
          </w:rPr>
          <w:t>1.1.1.</w:t>
        </w:r>
        <w:r w:rsidR="00244B6E">
          <w:rPr>
            <w:rFonts w:asciiTheme="minorHAnsi" w:eastAsiaTheme="minorEastAsia" w:hAnsiTheme="minorHAnsi" w:cstheme="minorBidi"/>
            <w:noProof/>
            <w:sz w:val="22"/>
            <w:szCs w:val="22"/>
          </w:rPr>
          <w:tab/>
        </w:r>
        <w:r w:rsidR="00244B6E" w:rsidRPr="00D55184">
          <w:rPr>
            <w:rStyle w:val="Hyperlink"/>
            <w:noProof/>
          </w:rPr>
          <w:t>Sectoral Enforcement Agency – Federal Accessibility Regulations</w:t>
        </w:r>
        <w:r w:rsidR="00244B6E">
          <w:rPr>
            <w:noProof/>
            <w:webHidden/>
          </w:rPr>
          <w:tab/>
        </w:r>
        <w:r w:rsidR="00244B6E">
          <w:rPr>
            <w:noProof/>
            <w:webHidden/>
          </w:rPr>
          <w:fldChar w:fldCharType="begin"/>
        </w:r>
        <w:r w:rsidR="00244B6E">
          <w:rPr>
            <w:noProof/>
            <w:webHidden/>
          </w:rPr>
          <w:instrText xml:space="preserve"> PAGEREF _Toc7171896 \h </w:instrText>
        </w:r>
        <w:r w:rsidR="00244B6E">
          <w:rPr>
            <w:noProof/>
            <w:webHidden/>
          </w:rPr>
        </w:r>
        <w:r w:rsidR="00244B6E">
          <w:rPr>
            <w:noProof/>
            <w:webHidden/>
          </w:rPr>
          <w:fldChar w:fldCharType="separate"/>
        </w:r>
        <w:r w:rsidR="00244B6E">
          <w:rPr>
            <w:noProof/>
            <w:webHidden/>
          </w:rPr>
          <w:t>2</w:t>
        </w:r>
        <w:r w:rsidR="00244B6E">
          <w:rPr>
            <w:noProof/>
            <w:webHidden/>
          </w:rPr>
          <w:fldChar w:fldCharType="end"/>
        </w:r>
      </w:hyperlink>
    </w:p>
    <w:p w14:paraId="3AEEC477" w14:textId="70F3940F" w:rsidR="00244B6E" w:rsidRDefault="008601EE" w:rsidP="00244B6E">
      <w:pPr>
        <w:pStyle w:val="TOC3"/>
        <w:rPr>
          <w:rFonts w:asciiTheme="minorHAnsi" w:eastAsiaTheme="minorEastAsia" w:hAnsiTheme="minorHAnsi" w:cstheme="minorBidi"/>
          <w:noProof/>
          <w:sz w:val="22"/>
          <w:szCs w:val="22"/>
        </w:rPr>
      </w:pPr>
      <w:hyperlink w:anchor="_Toc7171897" w:history="1">
        <w:r w:rsidR="00244B6E" w:rsidRPr="00D55184">
          <w:rPr>
            <w:rStyle w:val="Hyperlink"/>
            <w:noProof/>
          </w:rPr>
          <w:t>1.1.2.</w:t>
        </w:r>
        <w:r w:rsidR="00244B6E">
          <w:rPr>
            <w:rFonts w:asciiTheme="minorHAnsi" w:eastAsiaTheme="minorEastAsia" w:hAnsiTheme="minorHAnsi" w:cstheme="minorBidi"/>
            <w:noProof/>
            <w:sz w:val="22"/>
            <w:szCs w:val="22"/>
          </w:rPr>
          <w:tab/>
        </w:r>
        <w:r w:rsidR="00244B6E" w:rsidRPr="00D55184">
          <w:rPr>
            <w:rStyle w:val="Hyperlink"/>
            <w:noProof/>
          </w:rPr>
          <w:t>CRPD Monitoring Mechanism</w:t>
        </w:r>
        <w:r w:rsidR="00244B6E">
          <w:rPr>
            <w:noProof/>
            <w:webHidden/>
          </w:rPr>
          <w:tab/>
        </w:r>
        <w:r w:rsidR="00244B6E">
          <w:rPr>
            <w:noProof/>
            <w:webHidden/>
          </w:rPr>
          <w:fldChar w:fldCharType="begin"/>
        </w:r>
        <w:r w:rsidR="00244B6E">
          <w:rPr>
            <w:noProof/>
            <w:webHidden/>
          </w:rPr>
          <w:instrText xml:space="preserve"> PAGEREF _Toc7171897 \h </w:instrText>
        </w:r>
        <w:r w:rsidR="00244B6E">
          <w:rPr>
            <w:noProof/>
            <w:webHidden/>
          </w:rPr>
        </w:r>
        <w:r w:rsidR="00244B6E">
          <w:rPr>
            <w:noProof/>
            <w:webHidden/>
          </w:rPr>
          <w:fldChar w:fldCharType="separate"/>
        </w:r>
        <w:r w:rsidR="00244B6E">
          <w:rPr>
            <w:noProof/>
            <w:webHidden/>
          </w:rPr>
          <w:t>2</w:t>
        </w:r>
        <w:r w:rsidR="00244B6E">
          <w:rPr>
            <w:noProof/>
            <w:webHidden/>
          </w:rPr>
          <w:fldChar w:fldCharType="end"/>
        </w:r>
      </w:hyperlink>
    </w:p>
    <w:p w14:paraId="74F3E098" w14:textId="214DDDB2" w:rsidR="00244B6E" w:rsidRDefault="008601EE" w:rsidP="00244B6E">
      <w:pPr>
        <w:pStyle w:val="TOC3"/>
        <w:rPr>
          <w:rFonts w:asciiTheme="minorHAnsi" w:eastAsiaTheme="minorEastAsia" w:hAnsiTheme="minorHAnsi" w:cstheme="minorBidi"/>
          <w:noProof/>
          <w:sz w:val="22"/>
          <w:szCs w:val="22"/>
        </w:rPr>
      </w:pPr>
      <w:hyperlink w:anchor="_Toc7171898" w:history="1">
        <w:r w:rsidR="00244B6E" w:rsidRPr="00D55184">
          <w:rPr>
            <w:rStyle w:val="Hyperlink"/>
            <w:noProof/>
          </w:rPr>
          <w:t>1.1.3.</w:t>
        </w:r>
        <w:r w:rsidR="00244B6E">
          <w:rPr>
            <w:rFonts w:asciiTheme="minorHAnsi" w:eastAsiaTheme="minorEastAsia" w:hAnsiTheme="minorHAnsi" w:cstheme="minorBidi"/>
            <w:noProof/>
            <w:sz w:val="22"/>
            <w:szCs w:val="22"/>
          </w:rPr>
          <w:tab/>
        </w:r>
        <w:r w:rsidR="00244B6E" w:rsidRPr="00D55184">
          <w:rPr>
            <w:rStyle w:val="Hyperlink"/>
            <w:noProof/>
          </w:rPr>
          <w:t>The CHRC’s View on These Changes</w:t>
        </w:r>
        <w:r w:rsidR="00244B6E">
          <w:rPr>
            <w:noProof/>
            <w:webHidden/>
          </w:rPr>
          <w:tab/>
        </w:r>
        <w:r w:rsidR="00244B6E">
          <w:rPr>
            <w:noProof/>
            <w:webHidden/>
          </w:rPr>
          <w:fldChar w:fldCharType="begin"/>
        </w:r>
        <w:r w:rsidR="00244B6E">
          <w:rPr>
            <w:noProof/>
            <w:webHidden/>
          </w:rPr>
          <w:instrText xml:space="preserve"> PAGEREF _Toc7171898 \h </w:instrText>
        </w:r>
        <w:r w:rsidR="00244B6E">
          <w:rPr>
            <w:noProof/>
            <w:webHidden/>
          </w:rPr>
        </w:r>
        <w:r w:rsidR="00244B6E">
          <w:rPr>
            <w:noProof/>
            <w:webHidden/>
          </w:rPr>
          <w:fldChar w:fldCharType="separate"/>
        </w:r>
        <w:r w:rsidR="00244B6E">
          <w:rPr>
            <w:noProof/>
            <w:webHidden/>
          </w:rPr>
          <w:t>3</w:t>
        </w:r>
        <w:r w:rsidR="00244B6E">
          <w:rPr>
            <w:noProof/>
            <w:webHidden/>
          </w:rPr>
          <w:fldChar w:fldCharType="end"/>
        </w:r>
      </w:hyperlink>
    </w:p>
    <w:p w14:paraId="4AFC1F7A" w14:textId="5B29FF5A" w:rsidR="00244B6E" w:rsidRDefault="008601EE" w:rsidP="00244B6E">
      <w:pPr>
        <w:pStyle w:val="TOC1"/>
        <w:spacing w:line="276" w:lineRule="auto"/>
        <w:rPr>
          <w:rFonts w:asciiTheme="minorHAnsi" w:eastAsiaTheme="minorEastAsia" w:hAnsiTheme="minorHAnsi" w:cstheme="minorBidi"/>
          <w:b w:val="0"/>
          <w:sz w:val="22"/>
          <w:szCs w:val="22"/>
        </w:rPr>
      </w:pPr>
      <w:hyperlink w:anchor="_Toc7171899" w:history="1">
        <w:r w:rsidR="00244B6E" w:rsidRPr="00D55184">
          <w:rPr>
            <w:rStyle w:val="Hyperlink"/>
          </w:rPr>
          <w:t>2.</w:t>
        </w:r>
        <w:r w:rsidR="00244B6E">
          <w:rPr>
            <w:rFonts w:asciiTheme="minorHAnsi" w:eastAsiaTheme="minorEastAsia" w:hAnsiTheme="minorHAnsi" w:cstheme="minorBidi"/>
            <w:b w:val="0"/>
            <w:sz w:val="22"/>
            <w:szCs w:val="22"/>
          </w:rPr>
          <w:tab/>
        </w:r>
        <w:r w:rsidR="00244B6E" w:rsidRPr="00D55184">
          <w:rPr>
            <w:rStyle w:val="Hyperlink"/>
          </w:rPr>
          <w:t>QUESTIONS TO NATIONAL HUMAN RIGHTS INSTITUTIONS</w:t>
        </w:r>
        <w:r w:rsidR="00244B6E">
          <w:rPr>
            <w:webHidden/>
          </w:rPr>
          <w:tab/>
        </w:r>
        <w:r w:rsidR="00244B6E">
          <w:rPr>
            <w:webHidden/>
          </w:rPr>
          <w:fldChar w:fldCharType="begin"/>
        </w:r>
        <w:r w:rsidR="00244B6E">
          <w:rPr>
            <w:webHidden/>
          </w:rPr>
          <w:instrText xml:space="preserve"> PAGEREF _Toc7171899 \h </w:instrText>
        </w:r>
        <w:r w:rsidR="00244B6E">
          <w:rPr>
            <w:webHidden/>
          </w:rPr>
        </w:r>
        <w:r w:rsidR="00244B6E">
          <w:rPr>
            <w:webHidden/>
          </w:rPr>
          <w:fldChar w:fldCharType="separate"/>
        </w:r>
        <w:r w:rsidR="00244B6E">
          <w:rPr>
            <w:webHidden/>
          </w:rPr>
          <w:t>3</w:t>
        </w:r>
        <w:r w:rsidR="00244B6E">
          <w:rPr>
            <w:webHidden/>
          </w:rPr>
          <w:fldChar w:fldCharType="end"/>
        </w:r>
      </w:hyperlink>
    </w:p>
    <w:p w14:paraId="455079B1" w14:textId="376CF7FF" w:rsidR="00244B6E" w:rsidRDefault="008601EE" w:rsidP="00244B6E">
      <w:pPr>
        <w:pStyle w:val="TOC2"/>
        <w:spacing w:line="276" w:lineRule="auto"/>
        <w:rPr>
          <w:rFonts w:asciiTheme="minorHAnsi" w:eastAsiaTheme="minorEastAsia" w:hAnsiTheme="minorHAnsi" w:cstheme="minorBidi"/>
          <w:noProof/>
          <w:sz w:val="22"/>
          <w:szCs w:val="22"/>
        </w:rPr>
      </w:pPr>
      <w:hyperlink w:anchor="_Toc7171900" w:history="1">
        <w:r w:rsidR="00244B6E" w:rsidRPr="00D55184">
          <w:rPr>
            <w:rStyle w:val="Hyperlink"/>
            <w:noProof/>
          </w:rPr>
          <w:t>2.1.</w:t>
        </w:r>
        <w:r w:rsidR="00244B6E">
          <w:rPr>
            <w:rFonts w:asciiTheme="minorHAnsi" w:eastAsiaTheme="minorEastAsia" w:hAnsiTheme="minorHAnsi" w:cstheme="minorBidi"/>
            <w:noProof/>
            <w:sz w:val="22"/>
            <w:szCs w:val="22"/>
          </w:rPr>
          <w:tab/>
        </w:r>
        <w:r w:rsidR="00244B6E" w:rsidRPr="00D55184">
          <w:rPr>
            <w:rStyle w:val="Hyperlink"/>
            <w:noProof/>
          </w:rPr>
          <w:t>General Trends in Human Rights Complaints at the National/Federal level</w:t>
        </w:r>
        <w:r w:rsidR="00244B6E">
          <w:rPr>
            <w:noProof/>
            <w:webHidden/>
          </w:rPr>
          <w:tab/>
        </w:r>
        <w:r w:rsidR="00244B6E">
          <w:rPr>
            <w:noProof/>
            <w:webHidden/>
          </w:rPr>
          <w:fldChar w:fldCharType="begin"/>
        </w:r>
        <w:r w:rsidR="00244B6E">
          <w:rPr>
            <w:noProof/>
            <w:webHidden/>
          </w:rPr>
          <w:instrText xml:space="preserve"> PAGEREF _Toc7171900 \h </w:instrText>
        </w:r>
        <w:r w:rsidR="00244B6E">
          <w:rPr>
            <w:noProof/>
            <w:webHidden/>
          </w:rPr>
        </w:r>
        <w:r w:rsidR="00244B6E">
          <w:rPr>
            <w:noProof/>
            <w:webHidden/>
          </w:rPr>
          <w:fldChar w:fldCharType="separate"/>
        </w:r>
        <w:r w:rsidR="00244B6E">
          <w:rPr>
            <w:noProof/>
            <w:webHidden/>
          </w:rPr>
          <w:t>3</w:t>
        </w:r>
        <w:r w:rsidR="00244B6E">
          <w:rPr>
            <w:noProof/>
            <w:webHidden/>
          </w:rPr>
          <w:fldChar w:fldCharType="end"/>
        </w:r>
      </w:hyperlink>
    </w:p>
    <w:p w14:paraId="3B594422" w14:textId="4F9BE883" w:rsidR="00244B6E" w:rsidRDefault="008601EE" w:rsidP="00244B6E">
      <w:pPr>
        <w:pStyle w:val="TOC3"/>
        <w:rPr>
          <w:rFonts w:asciiTheme="minorHAnsi" w:eastAsiaTheme="minorEastAsia" w:hAnsiTheme="minorHAnsi" w:cstheme="minorBidi"/>
          <w:noProof/>
          <w:sz w:val="22"/>
          <w:szCs w:val="22"/>
        </w:rPr>
      </w:pPr>
      <w:hyperlink w:anchor="_Toc7171901" w:history="1">
        <w:r w:rsidR="00244B6E" w:rsidRPr="00D55184">
          <w:rPr>
            <w:rStyle w:val="Hyperlink"/>
            <w:noProof/>
          </w:rPr>
          <w:t>2.1.1.</w:t>
        </w:r>
        <w:r w:rsidR="00244B6E">
          <w:rPr>
            <w:rFonts w:asciiTheme="minorHAnsi" w:eastAsiaTheme="minorEastAsia" w:hAnsiTheme="minorHAnsi" w:cstheme="minorBidi"/>
            <w:noProof/>
            <w:sz w:val="22"/>
            <w:szCs w:val="22"/>
          </w:rPr>
          <w:tab/>
        </w:r>
        <w:r w:rsidR="00244B6E" w:rsidRPr="00D55184">
          <w:rPr>
            <w:rStyle w:val="Hyperlink"/>
            <w:noProof/>
          </w:rPr>
          <w:t>Disability Representation in Canada, Generally</w:t>
        </w:r>
        <w:r w:rsidR="00244B6E">
          <w:rPr>
            <w:noProof/>
            <w:webHidden/>
          </w:rPr>
          <w:tab/>
        </w:r>
        <w:r w:rsidR="00244B6E">
          <w:rPr>
            <w:noProof/>
            <w:webHidden/>
          </w:rPr>
          <w:fldChar w:fldCharType="begin"/>
        </w:r>
        <w:r w:rsidR="00244B6E">
          <w:rPr>
            <w:noProof/>
            <w:webHidden/>
          </w:rPr>
          <w:instrText xml:space="preserve"> PAGEREF _Toc7171901 \h </w:instrText>
        </w:r>
        <w:r w:rsidR="00244B6E">
          <w:rPr>
            <w:noProof/>
            <w:webHidden/>
          </w:rPr>
        </w:r>
        <w:r w:rsidR="00244B6E">
          <w:rPr>
            <w:noProof/>
            <w:webHidden/>
          </w:rPr>
          <w:fldChar w:fldCharType="separate"/>
        </w:r>
        <w:r w:rsidR="00244B6E">
          <w:rPr>
            <w:noProof/>
            <w:webHidden/>
          </w:rPr>
          <w:t>3</w:t>
        </w:r>
        <w:r w:rsidR="00244B6E">
          <w:rPr>
            <w:noProof/>
            <w:webHidden/>
          </w:rPr>
          <w:fldChar w:fldCharType="end"/>
        </w:r>
      </w:hyperlink>
    </w:p>
    <w:p w14:paraId="6A97951B" w14:textId="7B2AECA6" w:rsidR="00244B6E" w:rsidRDefault="008601EE" w:rsidP="00244B6E">
      <w:pPr>
        <w:pStyle w:val="TOC3"/>
        <w:rPr>
          <w:rFonts w:asciiTheme="minorHAnsi" w:eastAsiaTheme="minorEastAsia" w:hAnsiTheme="minorHAnsi" w:cstheme="minorBidi"/>
          <w:noProof/>
          <w:sz w:val="22"/>
          <w:szCs w:val="22"/>
        </w:rPr>
      </w:pPr>
      <w:hyperlink w:anchor="_Toc7171902" w:history="1">
        <w:r w:rsidR="00244B6E" w:rsidRPr="00D55184">
          <w:rPr>
            <w:rStyle w:val="Hyperlink"/>
            <w:noProof/>
          </w:rPr>
          <w:t>2.1.2.</w:t>
        </w:r>
        <w:r w:rsidR="00244B6E">
          <w:rPr>
            <w:rFonts w:asciiTheme="minorHAnsi" w:eastAsiaTheme="minorEastAsia" w:hAnsiTheme="minorHAnsi" w:cstheme="minorBidi"/>
            <w:noProof/>
            <w:sz w:val="22"/>
            <w:szCs w:val="22"/>
          </w:rPr>
          <w:tab/>
        </w:r>
        <w:r w:rsidR="00244B6E" w:rsidRPr="00D55184">
          <w:rPr>
            <w:rStyle w:val="Hyperlink"/>
            <w:noProof/>
          </w:rPr>
          <w:t>Disability-related Trends in Complaints Received by the CHRC</w:t>
        </w:r>
        <w:r w:rsidR="00244B6E">
          <w:rPr>
            <w:noProof/>
            <w:webHidden/>
          </w:rPr>
          <w:tab/>
        </w:r>
        <w:r w:rsidR="00244B6E">
          <w:rPr>
            <w:noProof/>
            <w:webHidden/>
          </w:rPr>
          <w:fldChar w:fldCharType="begin"/>
        </w:r>
        <w:r w:rsidR="00244B6E">
          <w:rPr>
            <w:noProof/>
            <w:webHidden/>
          </w:rPr>
          <w:instrText xml:space="preserve"> PAGEREF _Toc7171902 \h </w:instrText>
        </w:r>
        <w:r w:rsidR="00244B6E">
          <w:rPr>
            <w:noProof/>
            <w:webHidden/>
          </w:rPr>
        </w:r>
        <w:r w:rsidR="00244B6E">
          <w:rPr>
            <w:noProof/>
            <w:webHidden/>
          </w:rPr>
          <w:fldChar w:fldCharType="separate"/>
        </w:r>
        <w:r w:rsidR="00244B6E">
          <w:rPr>
            <w:noProof/>
            <w:webHidden/>
          </w:rPr>
          <w:t>4</w:t>
        </w:r>
        <w:r w:rsidR="00244B6E">
          <w:rPr>
            <w:noProof/>
            <w:webHidden/>
          </w:rPr>
          <w:fldChar w:fldCharType="end"/>
        </w:r>
      </w:hyperlink>
    </w:p>
    <w:p w14:paraId="544014F5" w14:textId="0E0C9041" w:rsidR="00244B6E" w:rsidRDefault="008601EE" w:rsidP="00244B6E">
      <w:pPr>
        <w:pStyle w:val="TOC2"/>
        <w:spacing w:line="276" w:lineRule="auto"/>
        <w:rPr>
          <w:rFonts w:asciiTheme="minorHAnsi" w:eastAsiaTheme="minorEastAsia" w:hAnsiTheme="minorHAnsi" w:cstheme="minorBidi"/>
          <w:noProof/>
          <w:sz w:val="22"/>
          <w:szCs w:val="22"/>
        </w:rPr>
      </w:pPr>
      <w:hyperlink w:anchor="_Toc7171903" w:history="1">
        <w:r w:rsidR="00244B6E" w:rsidRPr="00D55184">
          <w:rPr>
            <w:rStyle w:val="Hyperlink"/>
            <w:noProof/>
          </w:rPr>
          <w:t>2.2.</w:t>
        </w:r>
        <w:r w:rsidR="00244B6E">
          <w:rPr>
            <w:rFonts w:asciiTheme="minorHAnsi" w:eastAsiaTheme="minorEastAsia" w:hAnsiTheme="minorHAnsi" w:cstheme="minorBidi"/>
            <w:noProof/>
            <w:sz w:val="22"/>
            <w:szCs w:val="22"/>
          </w:rPr>
          <w:tab/>
        </w:r>
        <w:r w:rsidR="00244B6E" w:rsidRPr="00D55184">
          <w:rPr>
            <w:rStyle w:val="Hyperlink"/>
            <w:noProof/>
          </w:rPr>
          <w:t>Intersections of Age and Disability: Aging and Dying in Canada’s Federal Prisons</w:t>
        </w:r>
        <w:r w:rsidR="00244B6E">
          <w:rPr>
            <w:noProof/>
            <w:webHidden/>
          </w:rPr>
          <w:tab/>
        </w:r>
        <w:r w:rsidR="00244B6E">
          <w:rPr>
            <w:noProof/>
            <w:webHidden/>
          </w:rPr>
          <w:fldChar w:fldCharType="begin"/>
        </w:r>
        <w:r w:rsidR="00244B6E">
          <w:rPr>
            <w:noProof/>
            <w:webHidden/>
          </w:rPr>
          <w:instrText xml:space="preserve"> PAGEREF _Toc7171903 \h </w:instrText>
        </w:r>
        <w:r w:rsidR="00244B6E">
          <w:rPr>
            <w:noProof/>
            <w:webHidden/>
          </w:rPr>
        </w:r>
        <w:r w:rsidR="00244B6E">
          <w:rPr>
            <w:noProof/>
            <w:webHidden/>
          </w:rPr>
          <w:fldChar w:fldCharType="separate"/>
        </w:r>
        <w:r w:rsidR="00244B6E">
          <w:rPr>
            <w:noProof/>
            <w:webHidden/>
          </w:rPr>
          <w:t>4</w:t>
        </w:r>
        <w:r w:rsidR="00244B6E">
          <w:rPr>
            <w:noProof/>
            <w:webHidden/>
          </w:rPr>
          <w:fldChar w:fldCharType="end"/>
        </w:r>
      </w:hyperlink>
    </w:p>
    <w:p w14:paraId="3970E747" w14:textId="0812DF89" w:rsidR="00244B6E" w:rsidRDefault="008601EE" w:rsidP="00244B6E">
      <w:pPr>
        <w:pStyle w:val="TOC3"/>
        <w:rPr>
          <w:rFonts w:asciiTheme="minorHAnsi" w:eastAsiaTheme="minorEastAsia" w:hAnsiTheme="minorHAnsi" w:cstheme="minorBidi"/>
          <w:noProof/>
          <w:sz w:val="22"/>
          <w:szCs w:val="22"/>
        </w:rPr>
      </w:pPr>
      <w:hyperlink w:anchor="_Toc7171904" w:history="1">
        <w:r w:rsidR="00244B6E" w:rsidRPr="00D55184">
          <w:rPr>
            <w:rStyle w:val="Hyperlink"/>
            <w:noProof/>
          </w:rPr>
          <w:t>2.2.1.</w:t>
        </w:r>
        <w:r w:rsidR="00244B6E">
          <w:rPr>
            <w:rFonts w:asciiTheme="minorHAnsi" w:eastAsiaTheme="minorEastAsia" w:hAnsiTheme="minorHAnsi" w:cstheme="minorBidi"/>
            <w:noProof/>
            <w:sz w:val="22"/>
            <w:szCs w:val="22"/>
          </w:rPr>
          <w:tab/>
        </w:r>
        <w:r w:rsidR="00244B6E" w:rsidRPr="00D55184">
          <w:rPr>
            <w:rStyle w:val="Hyperlink"/>
            <w:noProof/>
          </w:rPr>
          <w:t>Findings and Recommendations</w:t>
        </w:r>
        <w:r w:rsidR="00244B6E">
          <w:rPr>
            <w:noProof/>
            <w:webHidden/>
          </w:rPr>
          <w:tab/>
        </w:r>
        <w:r w:rsidR="00244B6E">
          <w:rPr>
            <w:noProof/>
            <w:webHidden/>
          </w:rPr>
          <w:fldChar w:fldCharType="begin"/>
        </w:r>
        <w:r w:rsidR="00244B6E">
          <w:rPr>
            <w:noProof/>
            <w:webHidden/>
          </w:rPr>
          <w:instrText xml:space="preserve"> PAGEREF _Toc7171904 \h </w:instrText>
        </w:r>
        <w:r w:rsidR="00244B6E">
          <w:rPr>
            <w:noProof/>
            <w:webHidden/>
          </w:rPr>
        </w:r>
        <w:r w:rsidR="00244B6E">
          <w:rPr>
            <w:noProof/>
            <w:webHidden/>
          </w:rPr>
          <w:fldChar w:fldCharType="separate"/>
        </w:r>
        <w:r w:rsidR="00244B6E">
          <w:rPr>
            <w:noProof/>
            <w:webHidden/>
          </w:rPr>
          <w:t>5</w:t>
        </w:r>
        <w:r w:rsidR="00244B6E">
          <w:rPr>
            <w:noProof/>
            <w:webHidden/>
          </w:rPr>
          <w:fldChar w:fldCharType="end"/>
        </w:r>
      </w:hyperlink>
    </w:p>
    <w:p w14:paraId="3B655454" w14:textId="0C531D92" w:rsidR="00244B6E" w:rsidRDefault="008601EE" w:rsidP="00244B6E">
      <w:pPr>
        <w:pStyle w:val="TOC3"/>
        <w:rPr>
          <w:rFonts w:asciiTheme="minorHAnsi" w:eastAsiaTheme="minorEastAsia" w:hAnsiTheme="minorHAnsi" w:cstheme="minorBidi"/>
          <w:noProof/>
          <w:sz w:val="22"/>
          <w:szCs w:val="22"/>
        </w:rPr>
      </w:pPr>
      <w:hyperlink w:anchor="_Toc7171905" w:history="1">
        <w:r w:rsidR="00244B6E" w:rsidRPr="00D55184">
          <w:rPr>
            <w:rStyle w:val="Hyperlink"/>
            <w:noProof/>
          </w:rPr>
          <w:t>2.2.2.</w:t>
        </w:r>
        <w:r w:rsidR="00244B6E">
          <w:rPr>
            <w:rFonts w:asciiTheme="minorHAnsi" w:eastAsiaTheme="minorEastAsia" w:hAnsiTheme="minorHAnsi" w:cstheme="minorBidi"/>
            <w:noProof/>
            <w:sz w:val="22"/>
            <w:szCs w:val="22"/>
          </w:rPr>
          <w:tab/>
        </w:r>
        <w:r w:rsidR="00244B6E" w:rsidRPr="00D55184">
          <w:rPr>
            <w:rStyle w:val="Hyperlink"/>
            <w:noProof/>
          </w:rPr>
          <w:t>Lived Realities of Older Persons in Federal Custody</w:t>
        </w:r>
        <w:r w:rsidR="00244B6E">
          <w:rPr>
            <w:noProof/>
            <w:webHidden/>
          </w:rPr>
          <w:tab/>
        </w:r>
        <w:r w:rsidR="00244B6E">
          <w:rPr>
            <w:noProof/>
            <w:webHidden/>
          </w:rPr>
          <w:fldChar w:fldCharType="begin"/>
        </w:r>
        <w:r w:rsidR="00244B6E">
          <w:rPr>
            <w:noProof/>
            <w:webHidden/>
          </w:rPr>
          <w:instrText xml:space="preserve"> PAGEREF _Toc7171905 \h </w:instrText>
        </w:r>
        <w:r w:rsidR="00244B6E">
          <w:rPr>
            <w:noProof/>
            <w:webHidden/>
          </w:rPr>
        </w:r>
        <w:r w:rsidR="00244B6E">
          <w:rPr>
            <w:noProof/>
            <w:webHidden/>
          </w:rPr>
          <w:fldChar w:fldCharType="separate"/>
        </w:r>
        <w:r w:rsidR="00244B6E">
          <w:rPr>
            <w:noProof/>
            <w:webHidden/>
          </w:rPr>
          <w:t>7</w:t>
        </w:r>
        <w:r w:rsidR="00244B6E">
          <w:rPr>
            <w:noProof/>
            <w:webHidden/>
          </w:rPr>
          <w:fldChar w:fldCharType="end"/>
        </w:r>
      </w:hyperlink>
    </w:p>
    <w:p w14:paraId="3960E392" w14:textId="44814C11" w:rsidR="00244B6E" w:rsidRDefault="008601EE" w:rsidP="00244B6E">
      <w:pPr>
        <w:pStyle w:val="TOC3"/>
        <w:rPr>
          <w:rFonts w:asciiTheme="minorHAnsi" w:eastAsiaTheme="minorEastAsia" w:hAnsiTheme="minorHAnsi" w:cstheme="minorBidi"/>
          <w:noProof/>
          <w:sz w:val="22"/>
          <w:szCs w:val="22"/>
        </w:rPr>
      </w:pPr>
      <w:hyperlink w:anchor="_Toc7171906" w:history="1">
        <w:r w:rsidR="00244B6E" w:rsidRPr="00D55184">
          <w:rPr>
            <w:rStyle w:val="Hyperlink"/>
            <w:noProof/>
          </w:rPr>
          <w:t>2.2.3.</w:t>
        </w:r>
        <w:r w:rsidR="00244B6E">
          <w:rPr>
            <w:rFonts w:asciiTheme="minorHAnsi" w:eastAsiaTheme="minorEastAsia" w:hAnsiTheme="minorHAnsi" w:cstheme="minorBidi"/>
            <w:noProof/>
            <w:sz w:val="22"/>
            <w:szCs w:val="22"/>
          </w:rPr>
          <w:tab/>
        </w:r>
        <w:r w:rsidR="00244B6E" w:rsidRPr="00D55184">
          <w:rPr>
            <w:rStyle w:val="Hyperlink"/>
            <w:noProof/>
          </w:rPr>
          <w:t>Realities Specific to Older Inmates with Disabilities</w:t>
        </w:r>
        <w:r w:rsidR="00244B6E">
          <w:rPr>
            <w:noProof/>
            <w:webHidden/>
          </w:rPr>
          <w:tab/>
        </w:r>
        <w:r w:rsidR="00244B6E">
          <w:rPr>
            <w:noProof/>
            <w:webHidden/>
          </w:rPr>
          <w:fldChar w:fldCharType="begin"/>
        </w:r>
        <w:r w:rsidR="00244B6E">
          <w:rPr>
            <w:noProof/>
            <w:webHidden/>
          </w:rPr>
          <w:instrText xml:space="preserve"> PAGEREF _Toc7171906 \h </w:instrText>
        </w:r>
        <w:r w:rsidR="00244B6E">
          <w:rPr>
            <w:noProof/>
            <w:webHidden/>
          </w:rPr>
        </w:r>
        <w:r w:rsidR="00244B6E">
          <w:rPr>
            <w:noProof/>
            <w:webHidden/>
          </w:rPr>
          <w:fldChar w:fldCharType="separate"/>
        </w:r>
        <w:r w:rsidR="00244B6E">
          <w:rPr>
            <w:noProof/>
            <w:webHidden/>
          </w:rPr>
          <w:t>7</w:t>
        </w:r>
        <w:r w:rsidR="00244B6E">
          <w:rPr>
            <w:noProof/>
            <w:webHidden/>
          </w:rPr>
          <w:fldChar w:fldCharType="end"/>
        </w:r>
      </w:hyperlink>
    </w:p>
    <w:p w14:paraId="550735B3" w14:textId="2A72F040" w:rsidR="00244B6E" w:rsidRDefault="008601EE" w:rsidP="00244B6E">
      <w:pPr>
        <w:pStyle w:val="TOC3"/>
        <w:rPr>
          <w:rFonts w:asciiTheme="minorHAnsi" w:eastAsiaTheme="minorEastAsia" w:hAnsiTheme="minorHAnsi" w:cstheme="minorBidi"/>
          <w:noProof/>
          <w:sz w:val="22"/>
          <w:szCs w:val="22"/>
        </w:rPr>
      </w:pPr>
      <w:hyperlink w:anchor="_Toc7171907" w:history="1">
        <w:r w:rsidR="00244B6E" w:rsidRPr="00D55184">
          <w:rPr>
            <w:rStyle w:val="Hyperlink"/>
            <w:noProof/>
          </w:rPr>
          <w:t>2.2.4.</w:t>
        </w:r>
        <w:r w:rsidR="00244B6E">
          <w:rPr>
            <w:rFonts w:asciiTheme="minorHAnsi" w:eastAsiaTheme="minorEastAsia" w:hAnsiTheme="minorHAnsi" w:cstheme="minorBidi"/>
            <w:noProof/>
            <w:sz w:val="22"/>
            <w:szCs w:val="22"/>
          </w:rPr>
          <w:tab/>
        </w:r>
        <w:r w:rsidR="00244B6E" w:rsidRPr="00D55184">
          <w:rPr>
            <w:rStyle w:val="Hyperlink"/>
            <w:noProof/>
          </w:rPr>
          <w:t>End of Life Care in Federal Custody</w:t>
        </w:r>
        <w:r w:rsidR="00244B6E">
          <w:rPr>
            <w:noProof/>
            <w:webHidden/>
          </w:rPr>
          <w:tab/>
        </w:r>
        <w:r w:rsidR="00244B6E">
          <w:rPr>
            <w:noProof/>
            <w:webHidden/>
          </w:rPr>
          <w:fldChar w:fldCharType="begin"/>
        </w:r>
        <w:r w:rsidR="00244B6E">
          <w:rPr>
            <w:noProof/>
            <w:webHidden/>
          </w:rPr>
          <w:instrText xml:space="preserve"> PAGEREF _Toc7171907 \h </w:instrText>
        </w:r>
        <w:r w:rsidR="00244B6E">
          <w:rPr>
            <w:noProof/>
            <w:webHidden/>
          </w:rPr>
        </w:r>
        <w:r w:rsidR="00244B6E">
          <w:rPr>
            <w:noProof/>
            <w:webHidden/>
          </w:rPr>
          <w:fldChar w:fldCharType="separate"/>
        </w:r>
        <w:r w:rsidR="00244B6E">
          <w:rPr>
            <w:noProof/>
            <w:webHidden/>
          </w:rPr>
          <w:t>8</w:t>
        </w:r>
        <w:r w:rsidR="00244B6E">
          <w:rPr>
            <w:noProof/>
            <w:webHidden/>
          </w:rPr>
          <w:fldChar w:fldCharType="end"/>
        </w:r>
      </w:hyperlink>
    </w:p>
    <w:p w14:paraId="10A3EFD1" w14:textId="01F9743F" w:rsidR="00244B6E" w:rsidRDefault="008601EE" w:rsidP="00244B6E">
      <w:pPr>
        <w:pStyle w:val="TOC2"/>
        <w:spacing w:line="276" w:lineRule="auto"/>
        <w:rPr>
          <w:rFonts w:asciiTheme="minorHAnsi" w:eastAsiaTheme="minorEastAsia" w:hAnsiTheme="minorHAnsi" w:cstheme="minorBidi"/>
          <w:noProof/>
          <w:sz w:val="22"/>
          <w:szCs w:val="22"/>
        </w:rPr>
      </w:pPr>
      <w:hyperlink w:anchor="_Toc7171908" w:history="1">
        <w:r w:rsidR="00244B6E" w:rsidRPr="00D55184">
          <w:rPr>
            <w:rStyle w:val="Hyperlink"/>
            <w:noProof/>
          </w:rPr>
          <w:t>2.3.</w:t>
        </w:r>
        <w:r w:rsidR="00244B6E">
          <w:rPr>
            <w:rFonts w:asciiTheme="minorHAnsi" w:eastAsiaTheme="minorEastAsia" w:hAnsiTheme="minorHAnsi" w:cstheme="minorBidi"/>
            <w:noProof/>
            <w:sz w:val="22"/>
            <w:szCs w:val="22"/>
          </w:rPr>
          <w:tab/>
        </w:r>
        <w:r w:rsidR="00244B6E" w:rsidRPr="00D55184">
          <w:rPr>
            <w:rStyle w:val="Hyperlink"/>
            <w:noProof/>
          </w:rPr>
          <w:t>Inequitable and Inadequate Services on Indigenous Reserves</w:t>
        </w:r>
        <w:r w:rsidR="00244B6E">
          <w:rPr>
            <w:noProof/>
            <w:webHidden/>
          </w:rPr>
          <w:tab/>
        </w:r>
        <w:r w:rsidR="00244B6E">
          <w:rPr>
            <w:noProof/>
            <w:webHidden/>
          </w:rPr>
          <w:fldChar w:fldCharType="begin"/>
        </w:r>
        <w:r w:rsidR="00244B6E">
          <w:rPr>
            <w:noProof/>
            <w:webHidden/>
          </w:rPr>
          <w:instrText xml:space="preserve"> PAGEREF _Toc7171908 \h </w:instrText>
        </w:r>
        <w:r w:rsidR="00244B6E">
          <w:rPr>
            <w:noProof/>
            <w:webHidden/>
          </w:rPr>
        </w:r>
        <w:r w:rsidR="00244B6E">
          <w:rPr>
            <w:noProof/>
            <w:webHidden/>
          </w:rPr>
          <w:fldChar w:fldCharType="separate"/>
        </w:r>
        <w:r w:rsidR="00244B6E">
          <w:rPr>
            <w:noProof/>
            <w:webHidden/>
          </w:rPr>
          <w:t>9</w:t>
        </w:r>
        <w:r w:rsidR="00244B6E">
          <w:rPr>
            <w:noProof/>
            <w:webHidden/>
          </w:rPr>
          <w:fldChar w:fldCharType="end"/>
        </w:r>
      </w:hyperlink>
    </w:p>
    <w:p w14:paraId="777E476C" w14:textId="77777777" w:rsidR="00B43236" w:rsidRPr="00FB14B0" w:rsidRDefault="00B43236" w:rsidP="00244B6E">
      <w:pPr>
        <w:pStyle w:val="TOC3"/>
        <w:spacing w:after="0"/>
      </w:pPr>
      <w:r w:rsidRPr="00FB14B0">
        <w:fldChar w:fldCharType="end"/>
      </w:r>
    </w:p>
    <w:p w14:paraId="4286F7D1" w14:textId="77777777" w:rsidR="00E96763" w:rsidRPr="00FB14B0" w:rsidRDefault="00E96763" w:rsidP="00244B6E">
      <w:pPr>
        <w:ind w:right="-138"/>
        <w:sectPr w:rsidR="00E96763" w:rsidRPr="00FB14B0" w:rsidSect="00FC07E0">
          <w:pgSz w:w="12240" w:h="15840"/>
          <w:pgMar w:top="1440" w:right="1325" w:bottom="1440" w:left="1440" w:header="720" w:footer="720" w:gutter="0"/>
          <w:cols w:space="720"/>
          <w:docGrid w:linePitch="360"/>
        </w:sectPr>
      </w:pPr>
    </w:p>
    <w:p w14:paraId="4EDDDC6D" w14:textId="77777777" w:rsidR="008143E7" w:rsidRPr="00FB14B0" w:rsidRDefault="008143E7" w:rsidP="00244B6E">
      <w:pPr>
        <w:pStyle w:val="Heading1"/>
        <w:numPr>
          <w:ilvl w:val="0"/>
          <w:numId w:val="3"/>
        </w:numPr>
        <w:shd w:val="clear" w:color="auto" w:fill="8DB3E2"/>
        <w:spacing w:line="276" w:lineRule="auto"/>
        <w:rPr>
          <w:lang w:val="en-CA"/>
        </w:rPr>
      </w:pPr>
      <w:bookmarkStart w:id="7" w:name="_Toc7171894"/>
      <w:r w:rsidRPr="00FB14B0">
        <w:rPr>
          <w:lang w:val="en-CA"/>
        </w:rPr>
        <w:lastRenderedPageBreak/>
        <w:t>THE CANADIAN HUMAN RIGHTS COMMISSION</w:t>
      </w:r>
      <w:bookmarkEnd w:id="7"/>
    </w:p>
    <w:p w14:paraId="305E10B9" w14:textId="77777777" w:rsidR="008143E7" w:rsidRPr="00FB14B0" w:rsidRDefault="008143E7" w:rsidP="00244B6E">
      <w:pPr>
        <w:pStyle w:val="NoSpacing"/>
        <w:spacing w:line="276" w:lineRule="auto"/>
        <w:rPr>
          <w:b/>
          <w:sz w:val="24"/>
          <w:szCs w:val="24"/>
          <w:u w:val="single"/>
          <w:lang w:val="en-CA"/>
        </w:rPr>
      </w:pPr>
    </w:p>
    <w:p w14:paraId="23B45BDB" w14:textId="77777777" w:rsidR="008143E7" w:rsidRPr="00FB14B0" w:rsidRDefault="008143E7" w:rsidP="00244B6E">
      <w:pPr>
        <w:pStyle w:val="NoSpacing"/>
        <w:spacing w:line="276" w:lineRule="auto"/>
        <w:rPr>
          <w:sz w:val="24"/>
          <w:szCs w:val="24"/>
          <w:lang w:val="en-CA"/>
        </w:rPr>
      </w:pPr>
      <w:r w:rsidRPr="00FB14B0">
        <w:rPr>
          <w:sz w:val="24"/>
          <w:szCs w:val="24"/>
          <w:lang w:val="en-CA"/>
        </w:rPr>
        <w:t>The Canadian Human Rights Commission (CHRC) is Canada’s national human rights institution.</w:t>
      </w:r>
      <w:r w:rsidR="00F0298A" w:rsidRPr="00FB14B0">
        <w:rPr>
          <w:sz w:val="24"/>
          <w:szCs w:val="24"/>
          <w:lang w:val="en-CA"/>
        </w:rPr>
        <w:t xml:space="preserve"> </w:t>
      </w:r>
      <w:r w:rsidRPr="00FB14B0">
        <w:rPr>
          <w:sz w:val="24"/>
          <w:szCs w:val="24"/>
          <w:lang w:val="en-CA"/>
        </w:rPr>
        <w:t xml:space="preserve">It has been accredited “A-status” by the </w:t>
      </w:r>
      <w:r w:rsidR="004B0631" w:rsidRPr="00FB14B0">
        <w:rPr>
          <w:sz w:val="24"/>
          <w:szCs w:val="24"/>
          <w:lang w:val="en-CA"/>
        </w:rPr>
        <w:t>Global Alliance of National Human Rights Institutions</w:t>
      </w:r>
      <w:r w:rsidRPr="00FB14B0">
        <w:rPr>
          <w:sz w:val="24"/>
          <w:szCs w:val="24"/>
          <w:lang w:val="en-CA"/>
        </w:rPr>
        <w:t xml:space="preserve">, </w:t>
      </w:r>
      <w:r w:rsidR="004B0631" w:rsidRPr="00FB14B0">
        <w:rPr>
          <w:sz w:val="24"/>
          <w:szCs w:val="24"/>
          <w:lang w:val="en-CA"/>
        </w:rPr>
        <w:t xml:space="preserve">first in 1999 and again in 2006, </w:t>
      </w:r>
      <w:r w:rsidRPr="00FB14B0">
        <w:rPr>
          <w:sz w:val="24"/>
          <w:szCs w:val="24"/>
          <w:lang w:val="en-CA"/>
        </w:rPr>
        <w:t>2011</w:t>
      </w:r>
      <w:r w:rsidR="004B0631" w:rsidRPr="00FB14B0">
        <w:rPr>
          <w:sz w:val="24"/>
          <w:szCs w:val="24"/>
          <w:lang w:val="en-CA"/>
        </w:rPr>
        <w:t xml:space="preserve"> and 2016</w:t>
      </w:r>
      <w:r w:rsidRPr="00FB14B0">
        <w:rPr>
          <w:sz w:val="24"/>
          <w:szCs w:val="24"/>
          <w:lang w:val="en-CA"/>
        </w:rPr>
        <w:t>.</w:t>
      </w:r>
    </w:p>
    <w:p w14:paraId="5934A172" w14:textId="77777777" w:rsidR="008143E7" w:rsidRPr="00FB14B0" w:rsidRDefault="008143E7" w:rsidP="00244B6E">
      <w:pPr>
        <w:pStyle w:val="NoSpacing"/>
        <w:spacing w:line="276" w:lineRule="auto"/>
        <w:rPr>
          <w:sz w:val="24"/>
          <w:szCs w:val="24"/>
          <w:lang w:val="en-CA"/>
        </w:rPr>
      </w:pPr>
    </w:p>
    <w:p w14:paraId="532277CB" w14:textId="77777777" w:rsidR="002935A3" w:rsidRPr="00FB14B0" w:rsidRDefault="008143E7" w:rsidP="00244B6E">
      <w:pPr>
        <w:pStyle w:val="NoSpacing"/>
        <w:spacing w:line="276" w:lineRule="auto"/>
        <w:rPr>
          <w:sz w:val="24"/>
          <w:szCs w:val="24"/>
          <w:lang w:val="en-CA"/>
        </w:rPr>
      </w:pPr>
      <w:r w:rsidRPr="00FB14B0">
        <w:rPr>
          <w:sz w:val="24"/>
          <w:szCs w:val="24"/>
          <w:lang w:val="en-CA"/>
        </w:rPr>
        <w:t xml:space="preserve">The CHRC was established by Parliament through the </w:t>
      </w:r>
      <w:r w:rsidRPr="00FB14B0">
        <w:rPr>
          <w:i/>
          <w:iCs/>
          <w:sz w:val="24"/>
          <w:szCs w:val="24"/>
          <w:lang w:val="en-CA"/>
        </w:rPr>
        <w:t xml:space="preserve">Canadian Human Rights Act </w:t>
      </w:r>
      <w:r w:rsidRPr="00FB14B0">
        <w:rPr>
          <w:sz w:val="24"/>
          <w:szCs w:val="24"/>
          <w:lang w:val="en-CA"/>
        </w:rPr>
        <w:t>(CHRA) in 1977</w:t>
      </w:r>
      <w:r w:rsidR="00103702" w:rsidRPr="00FB14B0">
        <w:rPr>
          <w:sz w:val="24"/>
          <w:szCs w:val="24"/>
          <w:lang w:val="en-CA"/>
        </w:rPr>
        <w:t>.</w:t>
      </w:r>
      <w:r w:rsidR="002F322C" w:rsidRPr="00FB14B0">
        <w:rPr>
          <w:rStyle w:val="FootnoteReference"/>
          <w:sz w:val="24"/>
          <w:szCs w:val="24"/>
          <w:lang w:val="en-CA"/>
        </w:rPr>
        <w:footnoteReference w:id="1"/>
      </w:r>
      <w:r w:rsidRPr="00FB14B0">
        <w:rPr>
          <w:sz w:val="24"/>
          <w:szCs w:val="24"/>
          <w:lang w:val="en-CA"/>
        </w:rPr>
        <w:t xml:space="preserve"> It has a broad mandate to promote and protect human rights. </w:t>
      </w:r>
      <w:r w:rsidR="00EA3081" w:rsidRPr="00FB14B0">
        <w:rPr>
          <w:sz w:val="24"/>
          <w:szCs w:val="24"/>
          <w:lang w:val="en-CA"/>
        </w:rPr>
        <w:t>The Constitution of Canada divides jurisdiction for human rights matters between the federal and provinc</w:t>
      </w:r>
      <w:r w:rsidR="002935A3" w:rsidRPr="00FB14B0">
        <w:rPr>
          <w:sz w:val="24"/>
          <w:szCs w:val="24"/>
          <w:lang w:val="en-CA"/>
        </w:rPr>
        <w:t>ial or territorial governments.</w:t>
      </w:r>
    </w:p>
    <w:p w14:paraId="6C5A775E" w14:textId="77777777" w:rsidR="002935A3" w:rsidRPr="00FB14B0" w:rsidRDefault="002935A3" w:rsidP="00244B6E">
      <w:pPr>
        <w:pStyle w:val="NoSpacing"/>
        <w:spacing w:line="276" w:lineRule="auto"/>
        <w:rPr>
          <w:sz w:val="24"/>
          <w:szCs w:val="24"/>
          <w:lang w:val="en-CA"/>
        </w:rPr>
      </w:pPr>
    </w:p>
    <w:p w14:paraId="65A23C12" w14:textId="77777777" w:rsidR="00EA3081" w:rsidRPr="00FB14B0" w:rsidRDefault="002935A3" w:rsidP="00244B6E">
      <w:pPr>
        <w:pStyle w:val="NoSpacing"/>
        <w:spacing w:line="276" w:lineRule="auto"/>
        <w:rPr>
          <w:sz w:val="24"/>
          <w:szCs w:val="24"/>
          <w:lang w:val="en-CA"/>
        </w:rPr>
      </w:pPr>
      <w:r w:rsidRPr="00FB14B0">
        <w:rPr>
          <w:sz w:val="24"/>
          <w:szCs w:val="24"/>
          <w:lang w:val="en-CA"/>
        </w:rPr>
        <w:t>The CHRC protects human rights by investigating human rights complaints.  It</w:t>
      </w:r>
      <w:r w:rsidR="00EA3081" w:rsidRPr="00FB14B0">
        <w:rPr>
          <w:sz w:val="24"/>
          <w:szCs w:val="24"/>
          <w:lang w:val="en-CA"/>
        </w:rPr>
        <w:t xml:space="preserve"> has jurisdiction pursuant to the CHRA over </w:t>
      </w:r>
      <w:r w:rsidR="008F4951" w:rsidRPr="00FB14B0">
        <w:rPr>
          <w:sz w:val="24"/>
          <w:szCs w:val="24"/>
          <w:lang w:val="en-CA"/>
        </w:rPr>
        <w:t>federal government departments and agencies, Crown corporations, First Nations governments and federally-regulated private sector organizations</w:t>
      </w:r>
      <w:r w:rsidR="00EA3081" w:rsidRPr="00FB14B0">
        <w:rPr>
          <w:sz w:val="24"/>
          <w:szCs w:val="24"/>
          <w:lang w:val="en-CA"/>
        </w:rPr>
        <w:t>. Provincial and territorial governments have their own human rights codes and are responsible for provincially/territorially-regulated sectors.</w:t>
      </w:r>
      <w:r w:rsidR="00F0298A" w:rsidRPr="00FB14B0">
        <w:rPr>
          <w:sz w:val="24"/>
          <w:szCs w:val="24"/>
          <w:lang w:val="en-CA"/>
        </w:rPr>
        <w:t xml:space="preserve"> </w:t>
      </w:r>
    </w:p>
    <w:p w14:paraId="1BE7602C" w14:textId="77777777" w:rsidR="00EA3081" w:rsidRPr="00FB14B0" w:rsidRDefault="00EA3081" w:rsidP="00244B6E">
      <w:pPr>
        <w:pStyle w:val="NoSpacing"/>
        <w:spacing w:line="276" w:lineRule="auto"/>
        <w:rPr>
          <w:sz w:val="24"/>
          <w:szCs w:val="24"/>
          <w:lang w:val="en-CA"/>
        </w:rPr>
      </w:pPr>
    </w:p>
    <w:p w14:paraId="16614577" w14:textId="77777777" w:rsidR="008143E7" w:rsidRPr="00FB14B0" w:rsidRDefault="002F322C" w:rsidP="00244B6E">
      <w:pPr>
        <w:pStyle w:val="NoSpacing"/>
        <w:spacing w:line="276" w:lineRule="auto"/>
        <w:rPr>
          <w:bCs/>
          <w:iCs/>
          <w:sz w:val="24"/>
          <w:szCs w:val="24"/>
          <w:lang w:val="en-CA"/>
        </w:rPr>
      </w:pPr>
      <w:r w:rsidRPr="00FB14B0">
        <w:rPr>
          <w:sz w:val="24"/>
          <w:szCs w:val="24"/>
          <w:lang w:val="en-CA"/>
        </w:rPr>
        <w:t>The CHRC</w:t>
      </w:r>
      <w:r w:rsidR="00B7126D" w:rsidRPr="00FB14B0">
        <w:rPr>
          <w:sz w:val="24"/>
          <w:szCs w:val="24"/>
          <w:lang w:val="en-CA"/>
        </w:rPr>
        <w:t xml:space="preserve"> also </w:t>
      </w:r>
      <w:r w:rsidR="00A11788" w:rsidRPr="00FB14B0">
        <w:rPr>
          <w:sz w:val="24"/>
          <w:szCs w:val="24"/>
          <w:lang w:val="en-CA"/>
        </w:rPr>
        <w:t>conducts compliance audits under</w:t>
      </w:r>
      <w:r w:rsidR="00B7126D" w:rsidRPr="00FB14B0">
        <w:rPr>
          <w:sz w:val="24"/>
          <w:szCs w:val="24"/>
          <w:lang w:val="en-CA"/>
        </w:rPr>
        <w:t xml:space="preserve"> the </w:t>
      </w:r>
      <w:r w:rsidR="00B7126D" w:rsidRPr="00FB14B0">
        <w:rPr>
          <w:i/>
          <w:sz w:val="24"/>
          <w:szCs w:val="24"/>
          <w:lang w:val="en-CA"/>
        </w:rPr>
        <w:t>Employment Equity Act</w:t>
      </w:r>
      <w:r w:rsidR="00982344" w:rsidRPr="00FB14B0">
        <w:rPr>
          <w:sz w:val="24"/>
          <w:szCs w:val="24"/>
          <w:lang w:val="en-CA"/>
        </w:rPr>
        <w:t xml:space="preserve"> (EEA)</w:t>
      </w:r>
      <w:r w:rsidR="00103702" w:rsidRPr="00FB14B0">
        <w:rPr>
          <w:sz w:val="24"/>
          <w:szCs w:val="24"/>
          <w:lang w:val="en-CA"/>
        </w:rPr>
        <w:t>.</w:t>
      </w:r>
      <w:r w:rsidRPr="00FB14B0">
        <w:rPr>
          <w:rStyle w:val="FootnoteReference"/>
          <w:sz w:val="24"/>
          <w:szCs w:val="24"/>
          <w:lang w:val="en-CA"/>
        </w:rPr>
        <w:t xml:space="preserve"> </w:t>
      </w:r>
      <w:r w:rsidRPr="00FB14B0">
        <w:rPr>
          <w:rStyle w:val="FootnoteReference"/>
          <w:sz w:val="24"/>
          <w:szCs w:val="24"/>
          <w:lang w:val="en-CA"/>
        </w:rPr>
        <w:footnoteReference w:id="2"/>
      </w:r>
      <w:r w:rsidR="00F0298A" w:rsidRPr="00FB14B0">
        <w:rPr>
          <w:sz w:val="24"/>
          <w:szCs w:val="24"/>
          <w:lang w:val="en-CA"/>
        </w:rPr>
        <w:t xml:space="preserve"> </w:t>
      </w:r>
      <w:r w:rsidR="00982344" w:rsidRPr="00FB14B0">
        <w:rPr>
          <w:sz w:val="24"/>
          <w:szCs w:val="24"/>
          <w:lang w:val="en-CA"/>
        </w:rPr>
        <w:t xml:space="preserve">The </w:t>
      </w:r>
      <w:r w:rsidR="00114D41" w:rsidRPr="00FB14B0">
        <w:rPr>
          <w:sz w:val="24"/>
          <w:szCs w:val="24"/>
          <w:lang w:val="en-CA"/>
        </w:rPr>
        <w:t>purpose</w:t>
      </w:r>
      <w:r w:rsidR="00982344" w:rsidRPr="00FB14B0">
        <w:rPr>
          <w:sz w:val="24"/>
          <w:szCs w:val="24"/>
          <w:lang w:val="en-CA"/>
        </w:rPr>
        <w:t xml:space="preserve"> of the EEA is to </w:t>
      </w:r>
      <w:r w:rsidR="00114D41" w:rsidRPr="00FB14B0">
        <w:rPr>
          <w:sz w:val="24"/>
          <w:szCs w:val="24"/>
          <w:lang w:val="en-CA"/>
        </w:rPr>
        <w:t xml:space="preserve">achieve equality in the workplace so that no person is denied employment opportunities or benefits for reasons </w:t>
      </w:r>
      <w:r w:rsidR="00BE285B" w:rsidRPr="00FB14B0">
        <w:rPr>
          <w:sz w:val="24"/>
          <w:szCs w:val="24"/>
          <w:lang w:val="en-CA"/>
        </w:rPr>
        <w:t xml:space="preserve">unrelated to ability, and to </w:t>
      </w:r>
      <w:r w:rsidR="00982344" w:rsidRPr="00FB14B0">
        <w:rPr>
          <w:sz w:val="24"/>
          <w:szCs w:val="24"/>
          <w:lang w:val="en-CA"/>
        </w:rPr>
        <w:t>correct the historic employment disadvantages experie</w:t>
      </w:r>
      <w:r w:rsidR="00695D07" w:rsidRPr="00FB14B0">
        <w:rPr>
          <w:sz w:val="24"/>
          <w:szCs w:val="24"/>
          <w:lang w:val="en-CA"/>
        </w:rPr>
        <w:t xml:space="preserve">nced by four designated groups: </w:t>
      </w:r>
      <w:r w:rsidR="00982344" w:rsidRPr="00FB14B0">
        <w:rPr>
          <w:sz w:val="24"/>
          <w:szCs w:val="24"/>
          <w:lang w:val="en-CA"/>
        </w:rPr>
        <w:t xml:space="preserve">women, </w:t>
      </w:r>
      <w:r w:rsidR="00CC474C" w:rsidRPr="00FB14B0">
        <w:rPr>
          <w:sz w:val="24"/>
          <w:szCs w:val="24"/>
          <w:lang w:val="en-CA"/>
        </w:rPr>
        <w:t>Indigenous</w:t>
      </w:r>
      <w:r w:rsidR="00982344" w:rsidRPr="00FB14B0">
        <w:rPr>
          <w:sz w:val="24"/>
          <w:szCs w:val="24"/>
          <w:lang w:val="en-CA"/>
        </w:rPr>
        <w:t xml:space="preserve"> peoples, persons with disabilities and members of visible minorities.</w:t>
      </w:r>
    </w:p>
    <w:p w14:paraId="2CB292AA" w14:textId="77777777" w:rsidR="008143E7" w:rsidRPr="00FB14B0" w:rsidRDefault="008143E7" w:rsidP="00244B6E">
      <w:pPr>
        <w:pStyle w:val="NoSpacing"/>
        <w:spacing w:line="276" w:lineRule="auto"/>
        <w:rPr>
          <w:sz w:val="24"/>
          <w:szCs w:val="24"/>
          <w:lang w:val="en-CA"/>
        </w:rPr>
      </w:pPr>
    </w:p>
    <w:p w14:paraId="02B9FB45" w14:textId="430F532E" w:rsidR="002D48A2" w:rsidRPr="00FB14B0" w:rsidRDefault="002935A3" w:rsidP="00244B6E">
      <w:pPr>
        <w:pStyle w:val="NoSpacing"/>
        <w:spacing w:line="276" w:lineRule="auto"/>
        <w:rPr>
          <w:sz w:val="24"/>
          <w:szCs w:val="24"/>
          <w:lang w:val="en-CA"/>
        </w:rPr>
      </w:pPr>
      <w:r w:rsidRPr="00FB14B0">
        <w:rPr>
          <w:iCs/>
          <w:sz w:val="24"/>
          <w:szCs w:val="24"/>
          <w:lang w:val="en-CA"/>
        </w:rPr>
        <w:t xml:space="preserve">The CHRC has a broad jurisdiction to promote human rights and freedoms in Canada. It does this by </w:t>
      </w:r>
      <w:r w:rsidR="00CC474C" w:rsidRPr="00FB14B0">
        <w:rPr>
          <w:iCs/>
          <w:sz w:val="24"/>
          <w:szCs w:val="24"/>
          <w:lang w:val="en-CA"/>
        </w:rPr>
        <w:t xml:space="preserve">issuing public statements, tabling Special Reports in Parliament, conducting research, developing policy, </w:t>
      </w:r>
      <w:r w:rsidRPr="00FB14B0">
        <w:rPr>
          <w:iCs/>
          <w:sz w:val="24"/>
          <w:szCs w:val="24"/>
          <w:lang w:val="en-CA"/>
        </w:rPr>
        <w:t xml:space="preserve">and </w:t>
      </w:r>
      <w:r w:rsidR="00CC474C" w:rsidRPr="00FB14B0">
        <w:rPr>
          <w:iCs/>
          <w:sz w:val="24"/>
          <w:szCs w:val="24"/>
          <w:lang w:val="en-CA"/>
        </w:rPr>
        <w:t xml:space="preserve">consulting with </w:t>
      </w:r>
      <w:r w:rsidRPr="00FB14B0">
        <w:rPr>
          <w:iCs/>
          <w:sz w:val="24"/>
          <w:szCs w:val="24"/>
          <w:lang w:val="en-CA"/>
        </w:rPr>
        <w:t>stakeholders</w:t>
      </w:r>
      <w:r w:rsidR="00CC474C" w:rsidRPr="00FB14B0">
        <w:rPr>
          <w:iCs/>
          <w:sz w:val="24"/>
          <w:szCs w:val="24"/>
          <w:lang w:val="en-CA"/>
        </w:rPr>
        <w:t>.</w:t>
      </w:r>
      <w:r w:rsidR="00BC148B" w:rsidRPr="00FB14B0">
        <w:rPr>
          <w:iCs/>
          <w:sz w:val="24"/>
          <w:szCs w:val="24"/>
          <w:lang w:val="en-CA"/>
        </w:rPr>
        <w:t xml:space="preserve"> </w:t>
      </w:r>
      <w:r w:rsidR="00CC474C" w:rsidRPr="00FB14B0">
        <w:rPr>
          <w:iCs/>
          <w:sz w:val="24"/>
          <w:szCs w:val="24"/>
          <w:lang w:val="en-CA"/>
        </w:rPr>
        <w:t>It</w:t>
      </w:r>
      <w:r w:rsidR="00DB0DB4" w:rsidRPr="00FB14B0">
        <w:rPr>
          <w:iCs/>
          <w:sz w:val="24"/>
          <w:szCs w:val="24"/>
          <w:lang w:val="en-CA"/>
        </w:rPr>
        <w:t xml:space="preserve"> is committed to working with the Government of Canada to ensure continued progress in the protection of human rights</w:t>
      </w:r>
      <w:r w:rsidR="00EA3081" w:rsidRPr="00FB14B0">
        <w:rPr>
          <w:iCs/>
          <w:sz w:val="24"/>
          <w:szCs w:val="24"/>
          <w:lang w:val="en-CA"/>
        </w:rPr>
        <w:t xml:space="preserve">, including </w:t>
      </w:r>
      <w:r w:rsidR="00EA3081" w:rsidRPr="00FB14B0">
        <w:rPr>
          <w:sz w:val="24"/>
          <w:szCs w:val="24"/>
          <w:lang w:val="en-CA"/>
        </w:rPr>
        <w:t>Canada’s implementation of the rights and obligations enshrined in the</w:t>
      </w:r>
      <w:r w:rsidR="00EA3081" w:rsidRPr="00FB14B0">
        <w:rPr>
          <w:i/>
          <w:sz w:val="24"/>
          <w:szCs w:val="24"/>
          <w:lang w:val="en-CA"/>
        </w:rPr>
        <w:t xml:space="preserve"> </w:t>
      </w:r>
      <w:r w:rsidR="002D48A2" w:rsidRPr="00FB14B0">
        <w:rPr>
          <w:i/>
          <w:sz w:val="24"/>
          <w:szCs w:val="24"/>
          <w:lang w:val="en-CA"/>
        </w:rPr>
        <w:t>Convention on the Rights of Persons with Disabilities</w:t>
      </w:r>
      <w:r w:rsidR="002D48A2" w:rsidRPr="00FB14B0">
        <w:rPr>
          <w:sz w:val="24"/>
          <w:szCs w:val="24"/>
          <w:lang w:val="en-CA"/>
        </w:rPr>
        <w:t>.</w:t>
      </w:r>
    </w:p>
    <w:p w14:paraId="3DF6F450" w14:textId="32554DB1" w:rsidR="00690D3F" w:rsidRPr="00FB14B0" w:rsidRDefault="00690D3F" w:rsidP="00244B6E">
      <w:pPr>
        <w:pStyle w:val="NoSpacing"/>
        <w:spacing w:line="276" w:lineRule="auto"/>
        <w:rPr>
          <w:sz w:val="24"/>
          <w:szCs w:val="24"/>
          <w:lang w:val="en-CA"/>
        </w:rPr>
      </w:pPr>
    </w:p>
    <w:p w14:paraId="0520DA72" w14:textId="4CA43FA7" w:rsidR="00246235" w:rsidRPr="00FB14B0" w:rsidRDefault="00690D3F" w:rsidP="00244B6E">
      <w:pPr>
        <w:pStyle w:val="Heading2"/>
        <w:numPr>
          <w:ilvl w:val="1"/>
          <w:numId w:val="3"/>
        </w:numPr>
        <w:spacing w:line="276" w:lineRule="auto"/>
        <w:rPr>
          <w:iCs/>
          <w:lang w:val="en-CA"/>
        </w:rPr>
      </w:pPr>
      <w:r w:rsidRPr="00FB14B0">
        <w:rPr>
          <w:iCs/>
          <w:lang w:val="en-CA"/>
        </w:rPr>
        <w:t xml:space="preserve"> </w:t>
      </w:r>
      <w:bookmarkStart w:id="8" w:name="_Toc7171895"/>
      <w:r w:rsidRPr="00FB14B0">
        <w:rPr>
          <w:iCs/>
          <w:lang w:val="en-CA"/>
        </w:rPr>
        <w:t xml:space="preserve">Proposed Changes to the Mandate of the </w:t>
      </w:r>
      <w:r w:rsidR="00680CF9">
        <w:rPr>
          <w:iCs/>
          <w:lang w:val="en-CA"/>
        </w:rPr>
        <w:t>CHRC</w:t>
      </w:r>
      <w:r w:rsidRPr="00FB14B0">
        <w:rPr>
          <w:iCs/>
          <w:lang w:val="en-CA"/>
        </w:rPr>
        <w:t xml:space="preserve"> </w:t>
      </w:r>
      <w:bookmarkEnd w:id="8"/>
    </w:p>
    <w:p w14:paraId="4B06B83C" w14:textId="77777777" w:rsidR="00246235" w:rsidRPr="00FB14B0" w:rsidRDefault="00246235" w:rsidP="00244B6E">
      <w:pPr>
        <w:pStyle w:val="Heading2"/>
        <w:numPr>
          <w:ilvl w:val="0"/>
          <w:numId w:val="0"/>
        </w:numPr>
        <w:spacing w:line="276" w:lineRule="auto"/>
        <w:ind w:left="1283" w:hanging="792"/>
        <w:rPr>
          <w:iCs/>
          <w:lang w:val="en-CA"/>
        </w:rPr>
      </w:pPr>
    </w:p>
    <w:p w14:paraId="3791BBF4" w14:textId="6BDFAFA3" w:rsidR="00690D3F" w:rsidRPr="00FB14B0" w:rsidRDefault="00680CF9" w:rsidP="00244B6E">
      <w:pPr>
        <w:pStyle w:val="Heading3"/>
        <w:spacing w:line="276" w:lineRule="auto"/>
      </w:pPr>
      <w:r>
        <w:t xml:space="preserve">The </w:t>
      </w:r>
      <w:r w:rsidRPr="00680CF9">
        <w:rPr>
          <w:i/>
        </w:rPr>
        <w:t>Accessible Canada Act</w:t>
      </w:r>
      <w:r w:rsidR="00690D3F" w:rsidRPr="00FB14B0">
        <w:br/>
      </w:r>
    </w:p>
    <w:p w14:paraId="2A8C0982" w14:textId="276171B8" w:rsidR="00690D3F" w:rsidRPr="00FB14B0" w:rsidRDefault="00690D3F" w:rsidP="00244B6E">
      <w:r w:rsidRPr="00FB14B0">
        <w:t xml:space="preserve">On June 6, 2018, the Government of Canada introduced the proposed </w:t>
      </w:r>
      <w:r w:rsidRPr="00FB14B0">
        <w:rPr>
          <w:i/>
        </w:rPr>
        <w:t>Accessible Canada Act</w:t>
      </w:r>
      <w:r w:rsidRPr="00FB14B0">
        <w:t xml:space="preserve"> (ACA) in Parliament’s lower house. The stated purpose of the ACA is to promote the full and equal participation of persons with disabilities in Canadian society through the creation of a Canada free from accessibility barriers.</w:t>
      </w:r>
      <w:r w:rsidR="00EF63E7" w:rsidRPr="00FB14B0">
        <w:t xml:space="preserve"> Broadly speaking, the ACA would allow the Government of Canada, as well as other identified regulatory agencies, to establish accessibility regulations applying to Canada’s federal jurisdiction. These regulations would aim to remove existing barriers and prevent new ones in the following areas: </w:t>
      </w:r>
    </w:p>
    <w:p w14:paraId="1E5CA064" w14:textId="77777777" w:rsidR="00EF63E7" w:rsidRPr="00FB14B0" w:rsidRDefault="00EF63E7" w:rsidP="00244B6E">
      <w:pPr>
        <w:ind w:left="720"/>
      </w:pPr>
      <w:r w:rsidRPr="00FB14B0">
        <w:t>(a) employment;</w:t>
      </w:r>
    </w:p>
    <w:p w14:paraId="6281D127" w14:textId="77777777" w:rsidR="00EF63E7" w:rsidRPr="00FB14B0" w:rsidRDefault="00EF63E7" w:rsidP="00244B6E">
      <w:pPr>
        <w:ind w:left="720"/>
      </w:pPr>
      <w:r w:rsidRPr="00FB14B0">
        <w:lastRenderedPageBreak/>
        <w:t>(b) the built environment;</w:t>
      </w:r>
    </w:p>
    <w:p w14:paraId="2941A12E" w14:textId="77777777" w:rsidR="00EF63E7" w:rsidRPr="00FB14B0" w:rsidRDefault="00EF63E7" w:rsidP="00244B6E">
      <w:pPr>
        <w:ind w:left="720"/>
      </w:pPr>
      <w:r w:rsidRPr="00FB14B0">
        <w:t>(c) information and communication technologies;</w:t>
      </w:r>
    </w:p>
    <w:p w14:paraId="55D13DA6" w14:textId="77777777" w:rsidR="00EF63E7" w:rsidRPr="00FB14B0" w:rsidRDefault="00EF63E7" w:rsidP="00244B6E">
      <w:pPr>
        <w:ind w:left="1440"/>
      </w:pPr>
      <w:r w:rsidRPr="00FB14B0">
        <w:t>(c.‍1) communication, other than information and communication technologies;</w:t>
      </w:r>
    </w:p>
    <w:p w14:paraId="5736DE46" w14:textId="77777777" w:rsidR="00EF63E7" w:rsidRPr="00FB14B0" w:rsidRDefault="00EF63E7" w:rsidP="00244B6E">
      <w:pPr>
        <w:ind w:left="720"/>
      </w:pPr>
      <w:r w:rsidRPr="00FB14B0">
        <w:t>(d) the procurement of goods, services and facilities;</w:t>
      </w:r>
    </w:p>
    <w:p w14:paraId="6EF9FC84" w14:textId="77777777" w:rsidR="00EF63E7" w:rsidRPr="00FB14B0" w:rsidRDefault="00EF63E7" w:rsidP="00244B6E">
      <w:pPr>
        <w:ind w:left="720"/>
      </w:pPr>
      <w:r w:rsidRPr="00FB14B0">
        <w:t>(e) the design and delivery of programs and services;</w:t>
      </w:r>
    </w:p>
    <w:p w14:paraId="07595309" w14:textId="77777777" w:rsidR="00EF63E7" w:rsidRPr="00FB14B0" w:rsidRDefault="00EF63E7" w:rsidP="00244B6E">
      <w:pPr>
        <w:ind w:left="720"/>
      </w:pPr>
      <w:r w:rsidRPr="00FB14B0">
        <w:t>(f) transportation; and</w:t>
      </w:r>
    </w:p>
    <w:p w14:paraId="354278FD" w14:textId="4C2A3782" w:rsidR="00EF63E7" w:rsidRPr="00FB14B0" w:rsidRDefault="00EF63E7" w:rsidP="00244B6E">
      <w:pPr>
        <w:ind w:left="720"/>
      </w:pPr>
      <w:r w:rsidRPr="00FB14B0">
        <w:t>(g) areas designated under regulations.</w:t>
      </w:r>
    </w:p>
    <w:p w14:paraId="46417112" w14:textId="15EE8797" w:rsidR="00246235" w:rsidRPr="00FB14B0" w:rsidRDefault="00EF63E7" w:rsidP="00244B6E">
      <w:r w:rsidRPr="00FB14B0">
        <w:t>The ACA would also establish enforcement mechanisms to ensure compliance with regulations, including administrative monetary penalties and individual compensation for persons with disabilities who suffer harm, property damage, or economic loss as the result of the breach of a regulation.</w:t>
      </w:r>
      <w:r w:rsidR="00246235" w:rsidRPr="00FB14B0">
        <w:t xml:space="preserve"> The CHRC would be one of the federal bodies charged with enforcing the ACA among the federal organizations falling under its jurisdiction.</w:t>
      </w:r>
    </w:p>
    <w:p w14:paraId="42AD2B45" w14:textId="181807B1" w:rsidR="00246235" w:rsidRPr="00FB14B0" w:rsidRDefault="00246235" w:rsidP="00244B6E">
      <w:pPr>
        <w:pStyle w:val="Heading3"/>
        <w:spacing w:line="276" w:lineRule="auto"/>
      </w:pPr>
      <w:bookmarkStart w:id="9" w:name="_Toc7171897"/>
      <w:r w:rsidRPr="00FB14B0">
        <w:t>CRPD Monitoring Mechanism</w:t>
      </w:r>
      <w:bookmarkEnd w:id="9"/>
    </w:p>
    <w:p w14:paraId="7D15D3A2" w14:textId="77777777" w:rsidR="002469D1" w:rsidRPr="00FB14B0" w:rsidRDefault="002469D1" w:rsidP="00244B6E"/>
    <w:p w14:paraId="5C8EFE40" w14:textId="26084F06" w:rsidR="008623FA" w:rsidRDefault="00246235" w:rsidP="00244B6E">
      <w:r w:rsidRPr="00FB14B0">
        <w:t xml:space="preserve">Apart for designating the CHRC as an enforcement agency for accessibility regulations, the ACA would also designate the CHRC as </w:t>
      </w:r>
      <w:r w:rsidR="008623FA" w:rsidRPr="00FB14B0">
        <w:t xml:space="preserve">“a body responsible for monitoring the Government of Canada’s implementation” of the CRPD, pursuant to Article 33, paragraph 2 of the Convention. </w:t>
      </w:r>
    </w:p>
    <w:p w14:paraId="0747A710" w14:textId="5220D81C" w:rsidR="008623FA" w:rsidRPr="00FB14B0" w:rsidRDefault="00680CF9" w:rsidP="00244B6E">
      <w:pPr>
        <w:pStyle w:val="Heading3"/>
        <w:spacing w:line="276" w:lineRule="auto"/>
      </w:pPr>
      <w:bookmarkStart w:id="10" w:name="_Toc7171898"/>
      <w:r>
        <w:t>The CHRC’s View on these c</w:t>
      </w:r>
      <w:r w:rsidR="008623FA" w:rsidRPr="00FB14B0">
        <w:t>hanges</w:t>
      </w:r>
      <w:bookmarkEnd w:id="10"/>
    </w:p>
    <w:p w14:paraId="2BFADC21" w14:textId="77777777" w:rsidR="002469D1" w:rsidRPr="00FB14B0" w:rsidRDefault="002469D1" w:rsidP="00244B6E">
      <w:pPr>
        <w:rPr>
          <w:lang w:val="en-US"/>
        </w:rPr>
      </w:pPr>
    </w:p>
    <w:p w14:paraId="4E0AB2C6" w14:textId="1FF66DC5" w:rsidR="005B7FB9" w:rsidRPr="00FB14B0" w:rsidRDefault="008623FA" w:rsidP="00244B6E">
      <w:pPr>
        <w:spacing w:after="0"/>
        <w:rPr>
          <w:iCs/>
        </w:rPr>
      </w:pPr>
      <w:r w:rsidRPr="00FB14B0">
        <w:rPr>
          <w:iCs/>
        </w:rPr>
        <w:t xml:space="preserve">Overall, the CHRC welcomes the ACA, especially with respect to its new proposed mandates and authorities. While the CHRC recognizes that the ACA may not be perfect, and will not, in itself, ensure Canada’s compliance with the CRPD, the ACA would nonetheless be a fundamental shift for Canada – laying the groundwork for a federal sector where inclusion is systemic and by design, and disability communities are not left having to fight for change one human rights complaint at a time. </w:t>
      </w:r>
    </w:p>
    <w:p w14:paraId="591F647E" w14:textId="77777777" w:rsidR="008623FA" w:rsidRPr="00FB14B0" w:rsidRDefault="008623FA" w:rsidP="00244B6E">
      <w:pPr>
        <w:spacing w:after="0"/>
        <w:rPr>
          <w:iCs/>
        </w:rPr>
      </w:pPr>
    </w:p>
    <w:p w14:paraId="0B793D1C" w14:textId="77777777" w:rsidR="00630B17" w:rsidRPr="00FB14B0" w:rsidRDefault="008D1B6C" w:rsidP="00244B6E">
      <w:pPr>
        <w:pStyle w:val="Heading1"/>
        <w:shd w:val="clear" w:color="auto" w:fill="8DB3E2"/>
        <w:spacing w:line="276" w:lineRule="auto"/>
        <w:rPr>
          <w:lang w:val="en-CA"/>
        </w:rPr>
      </w:pPr>
      <w:bookmarkStart w:id="11" w:name="_Toc7171899"/>
      <w:r w:rsidRPr="00FB14B0">
        <w:rPr>
          <w:lang w:val="en-CA"/>
        </w:rPr>
        <w:t>QUESTIONS TO NATIONAL HUMAN RIGHTS INSTITUTIONS</w:t>
      </w:r>
      <w:bookmarkEnd w:id="11"/>
    </w:p>
    <w:p w14:paraId="452A1338" w14:textId="77777777" w:rsidR="00576C84" w:rsidRPr="00FB14B0" w:rsidRDefault="00576C84" w:rsidP="00244B6E">
      <w:pPr>
        <w:pStyle w:val="NoSpacing"/>
        <w:spacing w:line="276" w:lineRule="auto"/>
        <w:rPr>
          <w:b/>
          <w:sz w:val="24"/>
          <w:szCs w:val="24"/>
          <w:u w:val="single"/>
          <w:lang w:val="en-CA"/>
        </w:rPr>
      </w:pPr>
    </w:p>
    <w:p w14:paraId="673A3C06" w14:textId="39736B9A" w:rsidR="002221CE" w:rsidRPr="00FB14B0" w:rsidRDefault="002D48A2" w:rsidP="00244B6E">
      <w:pPr>
        <w:pStyle w:val="NoSpacing"/>
        <w:spacing w:line="276" w:lineRule="auto"/>
        <w:rPr>
          <w:sz w:val="24"/>
          <w:szCs w:val="24"/>
          <w:lang w:val="en-CA"/>
        </w:rPr>
      </w:pPr>
      <w:r w:rsidRPr="00FB14B0">
        <w:rPr>
          <w:sz w:val="24"/>
          <w:szCs w:val="24"/>
          <w:lang w:val="en-CA"/>
        </w:rPr>
        <w:t xml:space="preserve">On February 6, 2019, Ms. Catalina </w:t>
      </w:r>
      <w:proofErr w:type="spellStart"/>
      <w:r w:rsidRPr="00FB14B0">
        <w:rPr>
          <w:sz w:val="24"/>
          <w:szCs w:val="24"/>
          <w:lang w:val="en-CA"/>
        </w:rPr>
        <w:t>Devandas</w:t>
      </w:r>
      <w:proofErr w:type="spellEnd"/>
      <w:r w:rsidRPr="00FB14B0">
        <w:rPr>
          <w:sz w:val="24"/>
          <w:szCs w:val="24"/>
          <w:lang w:val="en-CA"/>
        </w:rPr>
        <w:t>-Aguilar, Special Rapporteur on the rights of persons with disabilities</w:t>
      </w:r>
      <w:r w:rsidR="002221CE" w:rsidRPr="00FB14B0">
        <w:rPr>
          <w:sz w:val="24"/>
          <w:szCs w:val="24"/>
          <w:lang w:val="en-CA"/>
        </w:rPr>
        <w:t xml:space="preserve">, wrote to national human rights institutions requesting information on the rights of older persons with disabilities. By way of this reply, the </w:t>
      </w:r>
      <w:r w:rsidR="00680CF9">
        <w:rPr>
          <w:sz w:val="24"/>
          <w:szCs w:val="24"/>
          <w:lang w:val="en-CA"/>
        </w:rPr>
        <w:t>CHRC</w:t>
      </w:r>
      <w:r w:rsidR="002221CE" w:rsidRPr="00FB14B0">
        <w:rPr>
          <w:sz w:val="24"/>
          <w:szCs w:val="24"/>
          <w:lang w:val="en-CA"/>
        </w:rPr>
        <w:t xml:space="preserve"> seeks to help inform the Special Rapporteur’s up coming report to the 74</w:t>
      </w:r>
      <w:r w:rsidR="002221CE" w:rsidRPr="00FB14B0">
        <w:rPr>
          <w:sz w:val="24"/>
          <w:szCs w:val="24"/>
          <w:vertAlign w:val="superscript"/>
          <w:lang w:val="en-CA"/>
        </w:rPr>
        <w:t>th</w:t>
      </w:r>
      <w:r w:rsidR="002221CE" w:rsidRPr="00FB14B0">
        <w:rPr>
          <w:sz w:val="24"/>
          <w:szCs w:val="24"/>
          <w:lang w:val="en-CA"/>
        </w:rPr>
        <w:t xml:space="preserve"> session of the General </w:t>
      </w:r>
      <w:r w:rsidR="002221CE" w:rsidRPr="00FB14B0">
        <w:rPr>
          <w:sz w:val="24"/>
          <w:szCs w:val="24"/>
          <w:lang w:val="en-CA"/>
        </w:rPr>
        <w:lastRenderedPageBreak/>
        <w:t xml:space="preserve">Assembly by </w:t>
      </w:r>
      <w:r w:rsidR="00AB1C12">
        <w:rPr>
          <w:sz w:val="24"/>
          <w:szCs w:val="24"/>
          <w:lang w:val="en-CA"/>
        </w:rPr>
        <w:t>providing information with respect to:</w:t>
      </w:r>
      <w:r w:rsidR="00690D3F" w:rsidRPr="00FB14B0">
        <w:rPr>
          <w:sz w:val="24"/>
          <w:szCs w:val="24"/>
          <w:lang w:val="en-CA"/>
        </w:rPr>
        <w:t xml:space="preserve"> general trends in human rights complaints at the </w:t>
      </w:r>
      <w:r w:rsidR="00BC6226" w:rsidRPr="00FB14B0">
        <w:rPr>
          <w:sz w:val="24"/>
          <w:szCs w:val="24"/>
          <w:lang w:val="en-CA"/>
        </w:rPr>
        <w:t>national/</w:t>
      </w:r>
      <w:r w:rsidR="00690D3F" w:rsidRPr="00FB14B0">
        <w:rPr>
          <w:sz w:val="24"/>
          <w:szCs w:val="24"/>
          <w:lang w:val="en-CA"/>
        </w:rPr>
        <w:t>federal level</w:t>
      </w:r>
      <w:r w:rsidR="00AB1C12">
        <w:rPr>
          <w:sz w:val="24"/>
          <w:szCs w:val="24"/>
          <w:lang w:val="en-CA"/>
        </w:rPr>
        <w:t xml:space="preserve">; the result of a recent investigative study undertaken by the </w:t>
      </w:r>
      <w:r w:rsidR="00690D3F" w:rsidRPr="00FB14B0">
        <w:rPr>
          <w:sz w:val="24"/>
          <w:szCs w:val="24"/>
          <w:lang w:val="en-CA"/>
        </w:rPr>
        <w:t>CHRC</w:t>
      </w:r>
      <w:r w:rsidR="00AB1C12">
        <w:rPr>
          <w:sz w:val="24"/>
          <w:szCs w:val="24"/>
          <w:lang w:val="en-CA"/>
        </w:rPr>
        <w:t xml:space="preserve"> in collaboration with the federal Office of the Correctional Investigator </w:t>
      </w:r>
      <w:r w:rsidR="00690D3F" w:rsidRPr="00FB14B0">
        <w:rPr>
          <w:sz w:val="24"/>
          <w:szCs w:val="24"/>
          <w:lang w:val="en-CA"/>
        </w:rPr>
        <w:t>on aging and dying in federal prisons</w:t>
      </w:r>
      <w:r w:rsidR="00AB1C12">
        <w:rPr>
          <w:sz w:val="24"/>
          <w:szCs w:val="24"/>
          <w:lang w:val="en-CA"/>
        </w:rPr>
        <w:t>;</w:t>
      </w:r>
      <w:r w:rsidR="00690D3F" w:rsidRPr="00FB14B0">
        <w:rPr>
          <w:sz w:val="24"/>
          <w:szCs w:val="24"/>
          <w:lang w:val="en-CA"/>
        </w:rPr>
        <w:t xml:space="preserve"> and inequitable and inadequate services on Indigenous reserves. </w:t>
      </w:r>
    </w:p>
    <w:p w14:paraId="690B99E6" w14:textId="0657BEE8" w:rsidR="007F7AE6" w:rsidRPr="00FB14B0" w:rsidRDefault="007F7AE6" w:rsidP="00244B6E">
      <w:pPr>
        <w:pStyle w:val="NoSpacing"/>
        <w:spacing w:line="276" w:lineRule="auto"/>
        <w:rPr>
          <w:sz w:val="24"/>
          <w:szCs w:val="24"/>
          <w:lang w:val="en-CA"/>
        </w:rPr>
      </w:pPr>
    </w:p>
    <w:p w14:paraId="4FA81F79" w14:textId="04149F87" w:rsidR="00A108B6" w:rsidRDefault="00BC6226" w:rsidP="00244B6E">
      <w:pPr>
        <w:pStyle w:val="Heading2"/>
        <w:spacing w:line="276" w:lineRule="auto"/>
      </w:pPr>
      <w:bookmarkStart w:id="12" w:name="_Toc7171900"/>
      <w:r w:rsidRPr="00FB14B0">
        <w:t xml:space="preserve">General Trends in Human Rights Complaints </w:t>
      </w:r>
      <w:bookmarkEnd w:id="12"/>
    </w:p>
    <w:p w14:paraId="21EF0EE8" w14:textId="77777777" w:rsidR="00680CF9" w:rsidRDefault="00680CF9" w:rsidP="00680CF9">
      <w:pPr>
        <w:pStyle w:val="Heading3"/>
        <w:numPr>
          <w:ilvl w:val="0"/>
          <w:numId w:val="0"/>
        </w:numPr>
        <w:spacing w:line="276" w:lineRule="auto"/>
        <w:ind w:left="1224"/>
      </w:pPr>
      <w:bookmarkStart w:id="13" w:name="_Toc7171901"/>
    </w:p>
    <w:p w14:paraId="0FEC0C79" w14:textId="4386B589" w:rsidR="00BC6226" w:rsidRPr="00FB14B0" w:rsidRDefault="00BC6226" w:rsidP="00244B6E">
      <w:pPr>
        <w:pStyle w:val="Heading3"/>
        <w:spacing w:line="276" w:lineRule="auto"/>
      </w:pPr>
      <w:r w:rsidRPr="00FB14B0">
        <w:t>Disability in Canada</w:t>
      </w:r>
      <w:bookmarkEnd w:id="13"/>
    </w:p>
    <w:p w14:paraId="6126F21F" w14:textId="59EA7088" w:rsidR="00BC6226" w:rsidRPr="00FB14B0" w:rsidRDefault="00BC6226" w:rsidP="00244B6E">
      <w:pPr>
        <w:rPr>
          <w:lang w:val="en-US"/>
        </w:rPr>
      </w:pPr>
      <w:r w:rsidRPr="00FB14B0">
        <w:rPr>
          <w:lang w:val="en-US"/>
        </w:rPr>
        <w:br/>
      </w:r>
      <w:r w:rsidR="00E6363C" w:rsidRPr="00FB14B0">
        <w:rPr>
          <w:lang w:val="en-US"/>
        </w:rPr>
        <w:t>On November 28, 2018, Statistics Canada released the results of the Canadian Survey on Disability conducted in 2017. This Survey represents the most recent statistics available on the representation of disability in Canada. Generally, the Survey indicates that 6.2 million persons in Canada (or 22% of the Canadian population) aged 15 years and over reported having one or more disabilities that affect them in their daily activities.</w:t>
      </w:r>
      <w:r w:rsidR="00E6363C" w:rsidRPr="00FB14B0">
        <w:rPr>
          <w:rStyle w:val="FootnoteReference"/>
          <w:lang w:val="en-US"/>
        </w:rPr>
        <w:footnoteReference w:id="3"/>
      </w:r>
      <w:r w:rsidR="00E6363C" w:rsidRPr="00FB14B0">
        <w:rPr>
          <w:lang w:val="en-US"/>
        </w:rPr>
        <w:t xml:space="preserve"> </w:t>
      </w:r>
    </w:p>
    <w:p w14:paraId="329F0C32" w14:textId="22385761" w:rsidR="00BC6226" w:rsidRPr="00FB14B0" w:rsidRDefault="00E6363C" w:rsidP="00244B6E">
      <w:pPr>
        <w:rPr>
          <w:lang w:val="en-US"/>
        </w:rPr>
      </w:pPr>
      <w:r w:rsidRPr="00FB14B0">
        <w:rPr>
          <w:lang w:val="en-US"/>
        </w:rPr>
        <w:t>Among older persons with disabilities</w:t>
      </w:r>
      <w:r w:rsidRPr="00FB14B0">
        <w:rPr>
          <w:rStyle w:val="FootnoteReference"/>
          <w:lang w:val="en-US"/>
        </w:rPr>
        <w:footnoteReference w:id="4"/>
      </w:r>
      <w:r w:rsidRPr="00FB14B0">
        <w:rPr>
          <w:lang w:val="en-US"/>
        </w:rPr>
        <w:t>, the Survey notes that seniors are almost twice as likely to have a disability th</w:t>
      </w:r>
      <w:r w:rsidR="00E13820" w:rsidRPr="00FB14B0">
        <w:rPr>
          <w:lang w:val="en-US"/>
        </w:rPr>
        <w:t>an those of working age (aged 25</w:t>
      </w:r>
      <w:r w:rsidRPr="00FB14B0">
        <w:rPr>
          <w:lang w:val="en-US"/>
        </w:rPr>
        <w:t xml:space="preserve"> to</w:t>
      </w:r>
      <w:r w:rsidR="00E13820" w:rsidRPr="00FB14B0">
        <w:rPr>
          <w:lang w:val="en-US"/>
        </w:rPr>
        <w:t xml:space="preserve"> 64 years), with a prevalen</w:t>
      </w:r>
      <w:r w:rsidR="00680CF9">
        <w:rPr>
          <w:lang w:val="en-US"/>
        </w:rPr>
        <w:t>ce of disability at 38%. Early s</w:t>
      </w:r>
      <w:r w:rsidR="00E13820" w:rsidRPr="00FB14B0">
        <w:rPr>
          <w:lang w:val="en-US"/>
        </w:rPr>
        <w:t xml:space="preserve">eniors with disabilities are increasingly working beyond the typical retirement age for Canadians, and are working beyond retirement age at the same rate as early seniors without disabilities. Compared to younger persons with disabilities who have a higher rate of income inequity compared to their cohorts without disabilities, seniors with disabilities in Canada have less income inequity than their cohorts without disability. Older women on average had a median income that was </w:t>
      </w:r>
      <w:r w:rsidR="00680CF9">
        <w:rPr>
          <w:lang w:val="en-US"/>
        </w:rPr>
        <w:t>two-</w:t>
      </w:r>
      <w:r w:rsidR="00E13820" w:rsidRPr="00FB14B0">
        <w:rPr>
          <w:lang w:val="en-US"/>
        </w:rPr>
        <w:t>thirds that or their male counterparts, regardless of disability or severity of disability.</w:t>
      </w:r>
      <w:r w:rsidR="005B0DDE" w:rsidRPr="00FB14B0">
        <w:rPr>
          <w:lang w:val="en-US"/>
        </w:rPr>
        <w:t xml:space="preserve"> Generally, the Survey found that seniors with disabilities often fare somewhat better than their working age counterparts. However,</w:t>
      </w:r>
      <w:r w:rsidR="00E13820" w:rsidRPr="00FB14B0">
        <w:rPr>
          <w:lang w:val="en-US"/>
        </w:rPr>
        <w:t xml:space="preserve"> employment income, and representation in the workforce, remains the lowest among persons with disabilities in Canada.</w:t>
      </w:r>
      <w:r w:rsidRPr="00FB14B0">
        <w:rPr>
          <w:lang w:val="en-US"/>
        </w:rPr>
        <w:t xml:space="preserve"> </w:t>
      </w:r>
    </w:p>
    <w:p w14:paraId="1E5074BD" w14:textId="2721DC71" w:rsidR="00BC6226" w:rsidRPr="00FB14B0" w:rsidRDefault="00680CF9" w:rsidP="00244B6E">
      <w:pPr>
        <w:pStyle w:val="Heading3"/>
        <w:spacing w:line="276" w:lineRule="auto"/>
      </w:pPr>
      <w:bookmarkStart w:id="14" w:name="_Toc7171902"/>
      <w:r>
        <w:t>Disability-related trends in complaints r</w:t>
      </w:r>
      <w:r w:rsidR="00BC6226" w:rsidRPr="00FB14B0">
        <w:t>eceived by the CHRC</w:t>
      </w:r>
      <w:bookmarkEnd w:id="14"/>
    </w:p>
    <w:p w14:paraId="3080BF9A" w14:textId="77777777" w:rsidR="00680CF9" w:rsidRDefault="00680CF9" w:rsidP="00680CF9">
      <w:pPr>
        <w:pStyle w:val="NoSpacing"/>
      </w:pPr>
    </w:p>
    <w:p w14:paraId="28378AA7" w14:textId="130067A6" w:rsidR="00680CF9" w:rsidRPr="00680CF9" w:rsidRDefault="00793A95" w:rsidP="00680CF9">
      <w:pPr>
        <w:rPr>
          <w:lang w:val="en-US"/>
        </w:rPr>
      </w:pPr>
      <w:r w:rsidRPr="00FB14B0">
        <w:rPr>
          <w:lang w:val="en-US"/>
        </w:rPr>
        <w:t xml:space="preserve">Across Canada, more complaints of discrimination are received from persons with disabilities than from any other group. At the CHRC, </w:t>
      </w:r>
      <w:r w:rsidR="00E63052" w:rsidRPr="00FB14B0">
        <w:rPr>
          <w:lang w:val="en-US"/>
        </w:rPr>
        <w:t>1547 complaints were accepted</w:t>
      </w:r>
      <w:r w:rsidRPr="00FB14B0">
        <w:rPr>
          <w:lang w:val="en-US"/>
        </w:rPr>
        <w:t xml:space="preserve"> from 2016 to 2018 which cited disability as a ground of discrimination. </w:t>
      </w:r>
      <w:r w:rsidR="00E63052" w:rsidRPr="00FB14B0">
        <w:rPr>
          <w:lang w:val="en-US"/>
        </w:rPr>
        <w:t>This represented 56</w:t>
      </w:r>
      <w:r w:rsidRPr="00FB14B0">
        <w:rPr>
          <w:lang w:val="en-US"/>
        </w:rPr>
        <w:t xml:space="preserve">% </w:t>
      </w:r>
      <w:r w:rsidR="00E63052" w:rsidRPr="00FB14B0">
        <w:rPr>
          <w:lang w:val="en-US"/>
        </w:rPr>
        <w:t>of the total complaints accepted</w:t>
      </w:r>
      <w:r w:rsidRPr="00FB14B0">
        <w:rPr>
          <w:lang w:val="en-US"/>
        </w:rPr>
        <w:t xml:space="preserve"> for that timeframe. For that sa</w:t>
      </w:r>
      <w:r w:rsidR="00E63052" w:rsidRPr="00FB14B0">
        <w:rPr>
          <w:lang w:val="en-US"/>
        </w:rPr>
        <w:t>me period, the CHRC accepted 284</w:t>
      </w:r>
      <w:r w:rsidRPr="00FB14B0">
        <w:rPr>
          <w:lang w:val="en-US"/>
        </w:rPr>
        <w:t xml:space="preserve"> complaints where age was cited as a ground of discrimination, making</w:t>
      </w:r>
      <w:r w:rsidR="00E63052" w:rsidRPr="00FB14B0">
        <w:rPr>
          <w:lang w:val="en-US"/>
        </w:rPr>
        <w:t>-up 10</w:t>
      </w:r>
      <w:r w:rsidRPr="00FB14B0">
        <w:rPr>
          <w:lang w:val="en-US"/>
        </w:rPr>
        <w:t xml:space="preserve">% of total complaints received. </w:t>
      </w:r>
      <w:r w:rsidR="00E63052" w:rsidRPr="00FB14B0">
        <w:rPr>
          <w:lang w:val="en-US"/>
        </w:rPr>
        <w:t>4</w:t>
      </w:r>
      <w:r w:rsidRPr="00FB14B0">
        <w:rPr>
          <w:lang w:val="en-US"/>
        </w:rPr>
        <w:t>% of t</w:t>
      </w:r>
      <w:r w:rsidR="00E63052" w:rsidRPr="00FB14B0">
        <w:rPr>
          <w:lang w:val="en-US"/>
        </w:rPr>
        <w:t xml:space="preserve">otal accepted complaints (or 106 </w:t>
      </w:r>
      <w:r w:rsidRPr="00FB14B0">
        <w:rPr>
          <w:lang w:val="en-US"/>
        </w:rPr>
        <w:t xml:space="preserve"> complaints) cited both age and disability as a ground of discrimination.</w:t>
      </w:r>
      <w:r w:rsidRPr="00FB14B0">
        <w:rPr>
          <w:rStyle w:val="FootnoteReference"/>
          <w:lang w:val="en-US"/>
        </w:rPr>
        <w:footnoteReference w:id="5"/>
      </w:r>
      <w:r w:rsidRPr="00FB14B0">
        <w:rPr>
          <w:lang w:val="en-US"/>
        </w:rPr>
        <w:t xml:space="preserve"> Of those complaints citing both age and disability which the CHRC accepted, 69% alleged discrimination in employment; 28% alleged discrimination in the provision of goods, services, facilities, or accommodations</w:t>
      </w:r>
      <w:r w:rsidR="00E63052" w:rsidRPr="00FB14B0">
        <w:rPr>
          <w:lang w:val="en-US"/>
        </w:rPr>
        <w:t>; 14% alleged discrimination in employment specifically related to an employer’s policy or practice; 11% alleged incidents of harassment.</w:t>
      </w:r>
    </w:p>
    <w:p w14:paraId="0886BEF6" w14:textId="77777777" w:rsidR="00FB14B0" w:rsidRDefault="00BC6226" w:rsidP="00244B6E">
      <w:pPr>
        <w:pStyle w:val="Heading2"/>
        <w:spacing w:line="276" w:lineRule="auto"/>
        <w:rPr>
          <w:lang w:val="en-CA"/>
        </w:rPr>
      </w:pPr>
      <w:bookmarkStart w:id="15" w:name="_Toc7171903"/>
      <w:r w:rsidRPr="00FB14B0">
        <w:rPr>
          <w:lang w:val="en-CA"/>
        </w:rPr>
        <w:lastRenderedPageBreak/>
        <w:t>Intersections of Age and Disability: Aging and Dying in Canada’s Federal Prisons</w:t>
      </w:r>
      <w:bookmarkEnd w:id="15"/>
    </w:p>
    <w:p w14:paraId="002E103D" w14:textId="77777777" w:rsidR="00FB14B0" w:rsidRDefault="00FB14B0" w:rsidP="00244B6E">
      <w:pPr>
        <w:pStyle w:val="Heading2"/>
        <w:numPr>
          <w:ilvl w:val="0"/>
          <w:numId w:val="0"/>
        </w:numPr>
        <w:spacing w:line="276" w:lineRule="auto"/>
        <w:ind w:left="1283" w:hanging="792"/>
        <w:rPr>
          <w:lang w:val="en-CA"/>
        </w:rPr>
      </w:pPr>
    </w:p>
    <w:p w14:paraId="357C99AD" w14:textId="63B37C75" w:rsidR="00FB14B0" w:rsidRPr="00FB14B0" w:rsidRDefault="00FB14B0" w:rsidP="00244B6E">
      <w:pPr>
        <w:pStyle w:val="Heading3"/>
        <w:spacing w:line="276" w:lineRule="auto"/>
      </w:pPr>
      <w:bookmarkStart w:id="16" w:name="_Toc7171904"/>
      <w:r>
        <w:t>Findings and Recommendations</w:t>
      </w:r>
      <w:bookmarkEnd w:id="16"/>
      <w:r>
        <w:br/>
      </w:r>
    </w:p>
    <w:p w14:paraId="533BCAF0" w14:textId="3FB017C1" w:rsidR="00FB14B0" w:rsidRDefault="00FB14B0" w:rsidP="00244B6E">
      <w:r>
        <w:t>On February 28, 2019, the CHRC released the results of its investigation into the experiences of older individuals in federal custody.</w:t>
      </w:r>
      <w:r>
        <w:rPr>
          <w:rStyle w:val="FootnoteReference"/>
        </w:rPr>
        <w:footnoteReference w:id="6"/>
      </w:r>
      <w:r>
        <w:t xml:space="preserve"> The investigation was a partnership between the CHRC and Canada’s </w:t>
      </w:r>
      <w:r w:rsidRPr="00FB14B0">
        <w:t>Office o</w:t>
      </w:r>
      <w:r>
        <w:t xml:space="preserve">f the Correctional Investigator. </w:t>
      </w:r>
    </w:p>
    <w:p w14:paraId="4CC7A600" w14:textId="7734CE29" w:rsidR="00FB14B0" w:rsidRDefault="00FB14B0" w:rsidP="00244B6E">
      <w:r>
        <w:t>Overall, the investigation found that Correctional Services Canada (CSC) fails to meet the fundamental purposes of Canada’s correctional laws: safe and human custody and assisting in the rehabilitation and reintegration of offenders into the community. CSC’s treatment of older individuals in federal custody was found to</w:t>
      </w:r>
      <w:r w:rsidR="002F2023">
        <w:t>:</w:t>
      </w:r>
      <w:r>
        <w:t xml:space="preserve"> not respect their human rights; not be justified in terms of institutional security or public safety; be inconsistent with the administration of law</w:t>
      </w:r>
      <w:r w:rsidR="002F2023">
        <w:t>ful sentences imposed by courts; and</w:t>
      </w:r>
      <w:r>
        <w:t xml:space="preserve"> be unnecessarily costly.</w:t>
      </w:r>
    </w:p>
    <w:p w14:paraId="4EE098F5" w14:textId="45C0C99B" w:rsidR="00FB14B0" w:rsidRDefault="00880F05" w:rsidP="00244B6E">
      <w:r>
        <w:t>The investigation made eight (8) major findings with respect to o</w:t>
      </w:r>
      <w:r w:rsidR="002F2023">
        <w:t>lder persons in federal custody</w:t>
      </w:r>
      <w:r>
        <w:t xml:space="preserve">: </w:t>
      </w:r>
    </w:p>
    <w:p w14:paraId="4D6D6A7D" w14:textId="46BDF6BC" w:rsidR="00880F05" w:rsidRPr="00880F05" w:rsidRDefault="00880F05" w:rsidP="00244B6E">
      <w:pPr>
        <w:pStyle w:val="ListParagraph"/>
        <w:numPr>
          <w:ilvl w:val="0"/>
          <w:numId w:val="30"/>
        </w:numPr>
      </w:pPr>
      <w:r w:rsidRPr="00880F05">
        <w:t>Some older, long-serving federally sentenced offenders are being warehoused behind bars well past their parole eligibility dates.</w:t>
      </w:r>
    </w:p>
    <w:p w14:paraId="799B0F74" w14:textId="118FBFE3" w:rsidR="00880F05" w:rsidRPr="00880F05" w:rsidRDefault="00880F05" w:rsidP="00244B6E">
      <w:pPr>
        <w:pStyle w:val="ListParagraph"/>
        <w:numPr>
          <w:ilvl w:val="0"/>
          <w:numId w:val="30"/>
        </w:numPr>
      </w:pPr>
      <w:r w:rsidRPr="00880F05">
        <w:t>There is no legal or policy recognition that older individuals represent a vulnerable population in prison or that they have unique characteristics, needs and rights which must be respected and met. As a result, their health, safety, dignity and human rights are not adequately protected.</w:t>
      </w:r>
    </w:p>
    <w:p w14:paraId="4CACD15F" w14:textId="0FD6DECE" w:rsidR="00880F05" w:rsidRPr="00880F05" w:rsidRDefault="00880F05" w:rsidP="00244B6E">
      <w:pPr>
        <w:pStyle w:val="ListParagraph"/>
        <w:numPr>
          <w:ilvl w:val="0"/>
          <w:numId w:val="30"/>
        </w:numPr>
      </w:pPr>
      <w:r w:rsidRPr="00880F05">
        <w:t>Federal penitentiaries were never intended or physically designed to accommodate an aging inmate population. The physical infrastructure of institutions does not adequately meet the needs of older individuals in federal custody.</w:t>
      </w:r>
    </w:p>
    <w:p w14:paraId="038DAD5C" w14:textId="7AB264B9" w:rsidR="00FB14B0" w:rsidRPr="00880F05" w:rsidRDefault="00880F05" w:rsidP="00244B6E">
      <w:pPr>
        <w:pStyle w:val="ListParagraph"/>
        <w:numPr>
          <w:ilvl w:val="0"/>
          <w:numId w:val="30"/>
        </w:numPr>
      </w:pPr>
      <w:r w:rsidRPr="00880F05">
        <w:t>Correctional health care costs are rising as the number of aging individuals in federal custody with chronic disease increases.</w:t>
      </w:r>
    </w:p>
    <w:p w14:paraId="3338FC9E" w14:textId="03631034" w:rsidR="00880F05" w:rsidRPr="00880F05" w:rsidRDefault="00880F05" w:rsidP="00244B6E">
      <w:pPr>
        <w:pStyle w:val="ListParagraph"/>
        <w:numPr>
          <w:ilvl w:val="0"/>
          <w:numId w:val="30"/>
        </w:numPr>
      </w:pPr>
      <w:r w:rsidRPr="00880F05">
        <w:t>Offenders with terminal illness and those requiring palliative care are living out their single greatest and expressed fear — dying in prison. Prison is no place for a person who requires end-of-life care.</w:t>
      </w:r>
    </w:p>
    <w:p w14:paraId="2C3FFDBC" w14:textId="69DE3F29" w:rsidR="00880F05" w:rsidRPr="00880F05" w:rsidRDefault="00692731" w:rsidP="00244B6E">
      <w:pPr>
        <w:pStyle w:val="ListParagraph"/>
        <w:numPr>
          <w:ilvl w:val="0"/>
          <w:numId w:val="30"/>
        </w:numPr>
      </w:pPr>
      <w:r>
        <w:t>Federal corrections lack</w:t>
      </w:r>
      <w:r w:rsidR="00880F05" w:rsidRPr="00880F05">
        <w:t xml:space="preserve"> adequate, compassionate and responsive release options for older individuals in federal custody who do not pose an undue risk to public safety.</w:t>
      </w:r>
    </w:p>
    <w:p w14:paraId="2DF5E1F3" w14:textId="3A2CACAA" w:rsidR="00880F05" w:rsidRPr="00880F05" w:rsidRDefault="00880F05" w:rsidP="00244B6E">
      <w:pPr>
        <w:pStyle w:val="ListParagraph"/>
        <w:numPr>
          <w:ilvl w:val="0"/>
          <w:numId w:val="30"/>
        </w:numPr>
      </w:pPr>
      <w:r w:rsidRPr="00880F05">
        <w:t>Community alternatives are lacking and are not well resourced.</w:t>
      </w:r>
    </w:p>
    <w:p w14:paraId="6E23F8F6" w14:textId="7CA8F1DA" w:rsidR="00880F05" w:rsidRDefault="00880F05" w:rsidP="00244B6E">
      <w:pPr>
        <w:pStyle w:val="ListParagraph"/>
        <w:numPr>
          <w:ilvl w:val="0"/>
          <w:numId w:val="30"/>
        </w:numPr>
      </w:pPr>
      <w:r w:rsidRPr="00880F05">
        <w:t>There is a clear need for an integrated, comprehensive and funded National Older Offender Strategy that meets the characteristics and needs of older individuals</w:t>
      </w:r>
    </w:p>
    <w:p w14:paraId="78532BA8" w14:textId="0511EFBA" w:rsidR="00880F05" w:rsidRDefault="00692731" w:rsidP="00244B6E">
      <w:r>
        <w:lastRenderedPageBreak/>
        <w:t xml:space="preserve">The report also made </w:t>
      </w:r>
      <w:r w:rsidR="00880F05">
        <w:t>a series of recommendations which call on the Government of Canada to:</w:t>
      </w:r>
    </w:p>
    <w:p w14:paraId="40281BD0" w14:textId="158EDE18" w:rsidR="00880F05" w:rsidRDefault="00880F05" w:rsidP="00244B6E">
      <w:pPr>
        <w:pStyle w:val="ListParagraph"/>
        <w:numPr>
          <w:ilvl w:val="0"/>
          <w:numId w:val="33"/>
        </w:numPr>
      </w:pPr>
      <w:r>
        <w:t>Independently review all of the older individuals in federal custody to determine whether alternatives to their incarceration would be more appropriate;</w:t>
      </w:r>
    </w:p>
    <w:p w14:paraId="2D1C18BA" w14:textId="19457B94" w:rsidR="00880F05" w:rsidRDefault="00880F05" w:rsidP="00244B6E">
      <w:pPr>
        <w:pStyle w:val="ListParagraph"/>
        <w:numPr>
          <w:ilvl w:val="0"/>
          <w:numId w:val="33"/>
        </w:numPr>
      </w:pPr>
      <w:r>
        <w:t xml:space="preserve">Develop separate and distinct policies, directives, and training with respect to the needs and interests of older individuals and ensuring that they receive appropriate care, services, and interventions; </w:t>
      </w:r>
    </w:p>
    <w:p w14:paraId="19A295DD" w14:textId="4BFB654D" w:rsidR="00880F05" w:rsidRDefault="00880F05" w:rsidP="00244B6E">
      <w:pPr>
        <w:pStyle w:val="ListParagraph"/>
        <w:numPr>
          <w:ilvl w:val="0"/>
          <w:numId w:val="33"/>
        </w:numPr>
      </w:pPr>
      <w:r>
        <w:t>Ensuring that older individuals in federal custody have access to appropriate living facilities, activities, programs, and work opportunities; and</w:t>
      </w:r>
    </w:p>
    <w:p w14:paraId="2F0FDCFA" w14:textId="793BCB5D" w:rsidR="00880F05" w:rsidRDefault="00880F05" w:rsidP="00244B6E">
      <w:pPr>
        <w:pStyle w:val="ListParagraph"/>
        <w:numPr>
          <w:ilvl w:val="0"/>
          <w:numId w:val="33"/>
        </w:numPr>
      </w:pPr>
      <w:r>
        <w:t>Immediately fund and implement a comprehensive National Older Offender Strategy, which should:</w:t>
      </w:r>
    </w:p>
    <w:p w14:paraId="6A1D09AE" w14:textId="0405457C" w:rsidR="00880F05" w:rsidRPr="00880F05" w:rsidRDefault="00880F05" w:rsidP="00244B6E">
      <w:pPr>
        <w:pStyle w:val="ListParagraph"/>
        <w:numPr>
          <w:ilvl w:val="1"/>
          <w:numId w:val="33"/>
        </w:numPr>
      </w:pPr>
      <w:r w:rsidRPr="00880F05">
        <w:t xml:space="preserve">reflect the recommendations </w:t>
      </w:r>
      <w:r>
        <w:t>of the investigation</w:t>
      </w:r>
      <w:r w:rsidRPr="00880F05">
        <w:t>;</w:t>
      </w:r>
    </w:p>
    <w:p w14:paraId="77093592" w14:textId="5B69117A" w:rsidR="00880F05" w:rsidRPr="00880F05" w:rsidRDefault="00880F05" w:rsidP="00244B6E">
      <w:pPr>
        <w:pStyle w:val="ListParagraph"/>
        <w:numPr>
          <w:ilvl w:val="1"/>
          <w:numId w:val="33"/>
        </w:numPr>
      </w:pPr>
      <w:r w:rsidRPr="00880F05">
        <w:t>go beyond an “aging in place” approach, including the mandatory and ongoing review of release options for older individuals who do not pose undue risk to public safety;</w:t>
      </w:r>
    </w:p>
    <w:p w14:paraId="6DA0E304" w14:textId="557AFC59" w:rsidR="00880F05" w:rsidRPr="00EA5EDE" w:rsidRDefault="00880F05" w:rsidP="00244B6E">
      <w:pPr>
        <w:pStyle w:val="ListParagraph"/>
        <w:numPr>
          <w:ilvl w:val="1"/>
          <w:numId w:val="33"/>
        </w:numPr>
      </w:pPr>
      <w:r w:rsidRPr="00880F05">
        <w:t>examine, respect and respond to the intersectional characteristics and needs of older individuals in federal custody; and</w:t>
      </w:r>
    </w:p>
    <w:p w14:paraId="05F5AD1E" w14:textId="460DED43" w:rsidR="00880F05" w:rsidRDefault="00880F05" w:rsidP="00244B6E">
      <w:pPr>
        <w:pStyle w:val="ListParagraph"/>
        <w:numPr>
          <w:ilvl w:val="1"/>
          <w:numId w:val="33"/>
        </w:numPr>
      </w:pPr>
      <w:r w:rsidRPr="00880F05">
        <w:t>establish a timeframe for assessing, retrofitting and, where necessary, building facilities under CSC authority to ensure accessibility.</w:t>
      </w:r>
    </w:p>
    <w:p w14:paraId="1DD7E971" w14:textId="1E264749" w:rsidR="00EA5EDE" w:rsidRDefault="00EA5EDE" w:rsidP="00244B6E">
      <w:pPr>
        <w:pStyle w:val="Heading3"/>
        <w:spacing w:line="276" w:lineRule="auto"/>
      </w:pPr>
      <w:bookmarkStart w:id="17" w:name="_Toc7171905"/>
      <w:r>
        <w:t>Live</w:t>
      </w:r>
      <w:r w:rsidR="00244B6E">
        <w:t xml:space="preserve">d </w:t>
      </w:r>
      <w:r w:rsidR="00D102D5">
        <w:t>realities of older p</w:t>
      </w:r>
      <w:r w:rsidR="00244B6E">
        <w:t>ersons</w:t>
      </w:r>
      <w:r w:rsidR="00D102D5">
        <w:t xml:space="preserve"> in federal c</w:t>
      </w:r>
      <w:r>
        <w:t>ustody</w:t>
      </w:r>
      <w:bookmarkEnd w:id="17"/>
    </w:p>
    <w:p w14:paraId="43D36050" w14:textId="5E7825A7" w:rsidR="00EA5EDE" w:rsidRDefault="00EA5EDE" w:rsidP="00692731">
      <w:pPr>
        <w:pStyle w:val="NoSpacing"/>
      </w:pPr>
    </w:p>
    <w:p w14:paraId="0E493B52" w14:textId="79B60FD9" w:rsidR="00EA5EDE" w:rsidRDefault="00692731" w:rsidP="00244B6E">
      <w:pPr>
        <w:rPr>
          <w:lang w:val="en-US"/>
        </w:rPr>
      </w:pPr>
      <w:r>
        <w:rPr>
          <w:lang w:val="en-US"/>
        </w:rPr>
        <w:t xml:space="preserve">The report </w:t>
      </w:r>
      <w:r w:rsidR="00EA5EDE">
        <w:rPr>
          <w:lang w:val="en-US"/>
        </w:rPr>
        <w:t>found that</w:t>
      </w:r>
      <w:r>
        <w:rPr>
          <w:lang w:val="en-US"/>
        </w:rPr>
        <w:t>,</w:t>
      </w:r>
      <w:r w:rsidR="00EA5EDE">
        <w:rPr>
          <w:lang w:val="en-US"/>
        </w:rPr>
        <w:t xml:space="preserve"> between 2009 and 2019, the older population</w:t>
      </w:r>
      <w:r>
        <w:rPr>
          <w:lang w:val="en-US"/>
        </w:rPr>
        <w:t xml:space="preserve"> – defined as 50 years of age or older – within </w:t>
      </w:r>
      <w:r w:rsidR="00EA5EDE">
        <w:rPr>
          <w:lang w:val="en-US"/>
        </w:rPr>
        <w:t xml:space="preserve">Canada’s federal correctional system increased by 50%. Of a total prison population of 14,004, older persons represent 25.2% of that population, or 3,534 individuals. </w:t>
      </w:r>
      <w:r w:rsidR="00EA5EDE" w:rsidRPr="00EA5EDE">
        <w:rPr>
          <w:lang w:val="en-US"/>
        </w:rPr>
        <w:t>Similarly, over the past decade, the number of Indigen</w:t>
      </w:r>
      <w:r w:rsidR="00EA5EDE">
        <w:rPr>
          <w:lang w:val="en-US"/>
        </w:rPr>
        <w:t xml:space="preserve">ous individuals 50 years of age and older has also </w:t>
      </w:r>
      <w:r w:rsidR="00EA5EDE" w:rsidRPr="00EA5EDE">
        <w:rPr>
          <w:lang w:val="en-US"/>
        </w:rPr>
        <w:t>increased. The number of older I</w:t>
      </w:r>
      <w:r w:rsidR="00EA5EDE">
        <w:rPr>
          <w:lang w:val="en-US"/>
        </w:rPr>
        <w:t xml:space="preserve">ndigenous persons has more than </w:t>
      </w:r>
      <w:r w:rsidR="00EA5EDE" w:rsidRPr="00EA5EDE">
        <w:rPr>
          <w:lang w:val="en-US"/>
        </w:rPr>
        <w:t>doubled—from 265 individuals in 2007–08, to 632 in 2017–18.</w:t>
      </w:r>
    </w:p>
    <w:p w14:paraId="2C392860" w14:textId="77777777" w:rsidR="00D102D5" w:rsidRDefault="00D102D5" w:rsidP="00D102D5">
      <w:pPr>
        <w:pStyle w:val="NoSpacing"/>
        <w:spacing w:line="276" w:lineRule="auto"/>
        <w:rPr>
          <w:sz w:val="24"/>
          <w:szCs w:val="24"/>
        </w:rPr>
      </w:pPr>
      <w:r>
        <w:rPr>
          <w:sz w:val="24"/>
          <w:szCs w:val="24"/>
        </w:rPr>
        <w:t xml:space="preserve">The investigation suggests that </w:t>
      </w:r>
      <w:r w:rsidRPr="00423907">
        <w:rPr>
          <w:sz w:val="24"/>
          <w:szCs w:val="24"/>
        </w:rPr>
        <w:t>older indi</w:t>
      </w:r>
      <w:r>
        <w:rPr>
          <w:sz w:val="24"/>
          <w:szCs w:val="24"/>
        </w:rPr>
        <w:t xml:space="preserve">viduals (particularly those who </w:t>
      </w:r>
      <w:r w:rsidRPr="00423907">
        <w:rPr>
          <w:sz w:val="24"/>
          <w:szCs w:val="24"/>
        </w:rPr>
        <w:t>have been in the system for extended periods) face st</w:t>
      </w:r>
      <w:r>
        <w:rPr>
          <w:sz w:val="24"/>
          <w:szCs w:val="24"/>
        </w:rPr>
        <w:t xml:space="preserve">igma and stereotyping resulting from </w:t>
      </w:r>
      <w:r w:rsidRPr="00423907">
        <w:rPr>
          <w:sz w:val="24"/>
          <w:szCs w:val="24"/>
        </w:rPr>
        <w:t>unconscious or conscious beliefs that they cannot b</w:t>
      </w:r>
      <w:r>
        <w:rPr>
          <w:sz w:val="24"/>
          <w:szCs w:val="24"/>
        </w:rPr>
        <w:t xml:space="preserve">e rehabilitated or reintegrated – </w:t>
      </w:r>
      <w:r w:rsidRPr="00423907">
        <w:rPr>
          <w:sz w:val="24"/>
          <w:szCs w:val="24"/>
        </w:rPr>
        <w:t>or that they are not worthy of the expenditures of resources to do so.</w:t>
      </w:r>
      <w:r>
        <w:rPr>
          <w:sz w:val="24"/>
          <w:szCs w:val="24"/>
        </w:rPr>
        <w:t xml:space="preserve"> </w:t>
      </w:r>
      <w:r w:rsidRPr="00423907">
        <w:rPr>
          <w:sz w:val="24"/>
          <w:szCs w:val="24"/>
        </w:rPr>
        <w:t>To the extent that stigma and stereotyping against this population are</w:t>
      </w:r>
      <w:r>
        <w:rPr>
          <w:sz w:val="24"/>
          <w:szCs w:val="24"/>
        </w:rPr>
        <w:t xml:space="preserve"> </w:t>
      </w:r>
      <w:r w:rsidRPr="00423907">
        <w:rPr>
          <w:sz w:val="24"/>
          <w:szCs w:val="24"/>
        </w:rPr>
        <w:t>contributing factors to warehousing and institutionaliza</w:t>
      </w:r>
      <w:r>
        <w:rPr>
          <w:sz w:val="24"/>
          <w:szCs w:val="24"/>
        </w:rPr>
        <w:t xml:space="preserve">tion, they represent a systemic </w:t>
      </w:r>
      <w:r w:rsidRPr="00423907">
        <w:rPr>
          <w:sz w:val="24"/>
          <w:szCs w:val="24"/>
        </w:rPr>
        <w:t>and pervasive form of discrimi</w:t>
      </w:r>
      <w:r>
        <w:rPr>
          <w:sz w:val="24"/>
          <w:szCs w:val="24"/>
        </w:rPr>
        <w:t>nation.</w:t>
      </w:r>
    </w:p>
    <w:p w14:paraId="45E57667" w14:textId="77777777" w:rsidR="00D102D5" w:rsidRDefault="00D102D5" w:rsidP="00D102D5">
      <w:pPr>
        <w:pStyle w:val="NoSpacing"/>
      </w:pPr>
    </w:p>
    <w:p w14:paraId="4173B4E4" w14:textId="6DEA0597" w:rsidR="00EA5EDE" w:rsidRDefault="00EA5EDE" w:rsidP="00244B6E">
      <w:pPr>
        <w:rPr>
          <w:lang w:val="en-US"/>
        </w:rPr>
      </w:pPr>
      <w:r>
        <w:rPr>
          <w:lang w:val="en-US"/>
        </w:rPr>
        <w:t>I</w:t>
      </w:r>
      <w:r w:rsidRPr="00EA5EDE">
        <w:rPr>
          <w:lang w:val="en-US"/>
        </w:rPr>
        <w:t>t is the</w:t>
      </w:r>
      <w:r>
        <w:rPr>
          <w:lang w:val="en-US"/>
        </w:rPr>
        <w:t xml:space="preserve"> growing concentration of older </w:t>
      </w:r>
      <w:r w:rsidRPr="00EA5EDE">
        <w:rPr>
          <w:lang w:val="en-US"/>
        </w:rPr>
        <w:t>individuals in federal custody</w:t>
      </w:r>
      <w:r w:rsidR="00692731">
        <w:rPr>
          <w:lang w:val="en-US"/>
        </w:rPr>
        <w:t xml:space="preserve">, and the fact that they are </w:t>
      </w:r>
      <w:r w:rsidRPr="00EA5EDE">
        <w:rPr>
          <w:lang w:val="en-US"/>
        </w:rPr>
        <w:t>being housed in facilities</w:t>
      </w:r>
      <w:r>
        <w:rPr>
          <w:lang w:val="en-US"/>
        </w:rPr>
        <w:t xml:space="preserve"> that were not designed to hold </w:t>
      </w:r>
      <w:r w:rsidR="00692731">
        <w:rPr>
          <w:lang w:val="en-US"/>
        </w:rPr>
        <w:t xml:space="preserve">them in the first place, </w:t>
      </w:r>
      <w:r w:rsidRPr="00EA5EDE">
        <w:rPr>
          <w:lang w:val="en-US"/>
        </w:rPr>
        <w:t>that makes this an area of in</w:t>
      </w:r>
      <w:r>
        <w:rPr>
          <w:lang w:val="en-US"/>
        </w:rPr>
        <w:t>creasing attention and concern</w:t>
      </w:r>
      <w:r w:rsidR="00423907">
        <w:rPr>
          <w:lang w:val="en-US"/>
        </w:rPr>
        <w:t xml:space="preserve">. </w:t>
      </w:r>
      <w:r>
        <w:rPr>
          <w:lang w:val="en-US"/>
        </w:rPr>
        <w:t xml:space="preserve">Compared to their younger cohorts, older individuals in federal custody are more likely to: </w:t>
      </w:r>
    </w:p>
    <w:p w14:paraId="0C950A88" w14:textId="77777777" w:rsidR="00EA5EDE" w:rsidRPr="00EA5EDE" w:rsidRDefault="00EA5EDE" w:rsidP="00244B6E">
      <w:pPr>
        <w:pStyle w:val="NoSpacing"/>
        <w:numPr>
          <w:ilvl w:val="1"/>
          <w:numId w:val="35"/>
        </w:numPr>
        <w:spacing w:line="276" w:lineRule="auto"/>
        <w:rPr>
          <w:sz w:val="24"/>
          <w:szCs w:val="24"/>
        </w:rPr>
      </w:pPr>
      <w:r w:rsidRPr="00EA5EDE">
        <w:rPr>
          <w:sz w:val="24"/>
          <w:szCs w:val="24"/>
        </w:rPr>
        <w:t>Be serving a longer or indeterminate sentence;</w:t>
      </w:r>
    </w:p>
    <w:p w14:paraId="4CC1C03F" w14:textId="3B5B8327" w:rsidR="00EA5EDE" w:rsidRPr="00EA5EDE" w:rsidRDefault="00EA5EDE" w:rsidP="00244B6E">
      <w:pPr>
        <w:pStyle w:val="NoSpacing"/>
        <w:numPr>
          <w:ilvl w:val="1"/>
          <w:numId w:val="35"/>
        </w:numPr>
        <w:spacing w:line="276" w:lineRule="auto"/>
        <w:rPr>
          <w:sz w:val="24"/>
          <w:szCs w:val="24"/>
        </w:rPr>
      </w:pPr>
      <w:r w:rsidRPr="00EA5EDE">
        <w:rPr>
          <w:sz w:val="24"/>
          <w:szCs w:val="24"/>
        </w:rPr>
        <w:t>Be convicted of a sexual offence;</w:t>
      </w:r>
    </w:p>
    <w:p w14:paraId="3FF91D9C" w14:textId="464F1CA6" w:rsidR="00EA5EDE" w:rsidRPr="00EA5EDE" w:rsidRDefault="00EA5EDE" w:rsidP="00244B6E">
      <w:pPr>
        <w:pStyle w:val="NoSpacing"/>
        <w:numPr>
          <w:ilvl w:val="1"/>
          <w:numId w:val="35"/>
        </w:numPr>
        <w:spacing w:line="276" w:lineRule="auto"/>
        <w:rPr>
          <w:sz w:val="24"/>
          <w:szCs w:val="24"/>
        </w:rPr>
      </w:pPr>
      <w:r w:rsidRPr="00EA5EDE">
        <w:rPr>
          <w:sz w:val="24"/>
          <w:szCs w:val="24"/>
        </w:rPr>
        <w:t>Be classified as minimum security;</w:t>
      </w:r>
    </w:p>
    <w:p w14:paraId="52F1B2A7" w14:textId="5609AECB" w:rsidR="00EA5EDE" w:rsidRPr="00EA5EDE" w:rsidRDefault="00EA5EDE" w:rsidP="00244B6E">
      <w:pPr>
        <w:pStyle w:val="NoSpacing"/>
        <w:numPr>
          <w:ilvl w:val="1"/>
          <w:numId w:val="35"/>
        </w:numPr>
        <w:spacing w:line="276" w:lineRule="auto"/>
        <w:rPr>
          <w:sz w:val="24"/>
          <w:szCs w:val="24"/>
        </w:rPr>
      </w:pPr>
      <w:r w:rsidRPr="00EA5EDE">
        <w:rPr>
          <w:sz w:val="24"/>
          <w:szCs w:val="24"/>
        </w:rPr>
        <w:t>Have a high level of risk;</w:t>
      </w:r>
    </w:p>
    <w:p w14:paraId="1D5F875D" w14:textId="7D680F6D" w:rsidR="00EA5EDE" w:rsidRPr="00EA5EDE" w:rsidRDefault="00EA5EDE" w:rsidP="00244B6E">
      <w:pPr>
        <w:pStyle w:val="NoSpacing"/>
        <w:numPr>
          <w:ilvl w:val="1"/>
          <w:numId w:val="35"/>
        </w:numPr>
        <w:spacing w:line="276" w:lineRule="auto"/>
        <w:rPr>
          <w:sz w:val="24"/>
          <w:szCs w:val="24"/>
        </w:rPr>
      </w:pPr>
      <w:r w:rsidRPr="00EA5EDE">
        <w:rPr>
          <w:sz w:val="24"/>
          <w:szCs w:val="24"/>
        </w:rPr>
        <w:t>Be deemed a dangerous offender; and</w:t>
      </w:r>
    </w:p>
    <w:p w14:paraId="62C7E45B" w14:textId="4E4FC688" w:rsidR="00EA5EDE" w:rsidRDefault="00EA5EDE" w:rsidP="00244B6E">
      <w:pPr>
        <w:pStyle w:val="NoSpacing"/>
        <w:numPr>
          <w:ilvl w:val="1"/>
          <w:numId w:val="35"/>
        </w:numPr>
        <w:spacing w:line="276" w:lineRule="auto"/>
        <w:rPr>
          <w:sz w:val="24"/>
          <w:szCs w:val="24"/>
        </w:rPr>
      </w:pPr>
      <w:r w:rsidRPr="00EA5EDE">
        <w:rPr>
          <w:sz w:val="24"/>
          <w:szCs w:val="24"/>
        </w:rPr>
        <w:lastRenderedPageBreak/>
        <w:t>Be admitted to segregation for their own safety.</w:t>
      </w:r>
    </w:p>
    <w:p w14:paraId="65802233" w14:textId="4E854556" w:rsidR="00EA5EDE" w:rsidRDefault="00EA5EDE" w:rsidP="00244B6E">
      <w:pPr>
        <w:pStyle w:val="NoSpacing"/>
        <w:spacing w:line="276" w:lineRule="auto"/>
        <w:rPr>
          <w:sz w:val="24"/>
          <w:szCs w:val="24"/>
        </w:rPr>
      </w:pPr>
    </w:p>
    <w:p w14:paraId="69C1DE44" w14:textId="290A5A8A" w:rsidR="00EA5EDE" w:rsidRDefault="00EA5EDE" w:rsidP="00244B6E">
      <w:pPr>
        <w:pStyle w:val="NoSpacing"/>
        <w:spacing w:line="276" w:lineRule="auto"/>
        <w:rPr>
          <w:sz w:val="24"/>
          <w:szCs w:val="24"/>
        </w:rPr>
      </w:pPr>
      <w:r>
        <w:rPr>
          <w:sz w:val="24"/>
          <w:szCs w:val="24"/>
        </w:rPr>
        <w:t>In addition, older persons i</w:t>
      </w:r>
      <w:r w:rsidR="00423907">
        <w:rPr>
          <w:sz w:val="24"/>
          <w:szCs w:val="24"/>
        </w:rPr>
        <w:t>n federal custody have a higher prevalence of chronic diseases than Canada’s general population, and inmates aged 65 years or older have higher rates of depression, anxiety, and personality disorders.</w:t>
      </w:r>
    </w:p>
    <w:p w14:paraId="0D40387A" w14:textId="623AC3E9" w:rsidR="00423907" w:rsidRDefault="00423907" w:rsidP="00244B6E">
      <w:pPr>
        <w:pStyle w:val="NoSpacing"/>
        <w:spacing w:line="276" w:lineRule="auto"/>
        <w:rPr>
          <w:sz w:val="24"/>
          <w:szCs w:val="24"/>
        </w:rPr>
      </w:pPr>
    </w:p>
    <w:p w14:paraId="225BCB87" w14:textId="03B58D96" w:rsidR="00423907" w:rsidRDefault="00423907" w:rsidP="00244B6E">
      <w:pPr>
        <w:rPr>
          <w:lang w:val="en-US"/>
        </w:rPr>
      </w:pPr>
      <w:r w:rsidRPr="00423907">
        <w:rPr>
          <w:lang w:val="en-US"/>
        </w:rPr>
        <w:t xml:space="preserve">Across Canada, CSC has 428 wheelchair accessible cells. Of those, 52 are in women’s facilities, and </w:t>
      </w:r>
      <w:r>
        <w:rPr>
          <w:lang w:val="en-US"/>
        </w:rPr>
        <w:t>38 of them are transitional (</w:t>
      </w:r>
      <w:r w:rsidRPr="00423907">
        <w:rPr>
          <w:lang w:val="en-US"/>
        </w:rPr>
        <w:t>e.g. health care beds, segregations cells). All told, it means that CSC has 390 permanent barrier-free cells. This represents 2.5% of all the cells across CSC</w:t>
      </w:r>
      <w:r>
        <w:rPr>
          <w:lang w:val="en-US"/>
        </w:rPr>
        <w:t xml:space="preserve">. </w:t>
      </w:r>
      <w:r w:rsidRPr="00423907">
        <w:rPr>
          <w:lang w:val="en-US"/>
        </w:rPr>
        <w:t>During site visits to a number of institutions, it becam</w:t>
      </w:r>
      <w:r>
        <w:rPr>
          <w:lang w:val="en-US"/>
        </w:rPr>
        <w:t xml:space="preserve">e </w:t>
      </w:r>
      <w:r w:rsidRPr="00423907">
        <w:rPr>
          <w:lang w:val="en-US"/>
        </w:rPr>
        <w:t>clear to investigators that</w:t>
      </w:r>
      <w:r w:rsidR="00D102D5">
        <w:rPr>
          <w:lang w:val="en-US"/>
        </w:rPr>
        <w:t>,</w:t>
      </w:r>
      <w:r w:rsidRPr="00423907">
        <w:rPr>
          <w:lang w:val="en-US"/>
        </w:rPr>
        <w:t xml:space="preserve"> while some cells/</w:t>
      </w:r>
      <w:r>
        <w:rPr>
          <w:lang w:val="en-US"/>
        </w:rPr>
        <w:t xml:space="preserve">rooms may be termed “wheelchair </w:t>
      </w:r>
      <w:r w:rsidRPr="00423907">
        <w:rPr>
          <w:lang w:val="en-US"/>
        </w:rPr>
        <w:t>accessible”</w:t>
      </w:r>
      <w:r w:rsidR="00D102D5">
        <w:rPr>
          <w:lang w:val="en-US"/>
        </w:rPr>
        <w:t>,</w:t>
      </w:r>
      <w:r w:rsidRPr="00423907">
        <w:rPr>
          <w:lang w:val="en-US"/>
        </w:rPr>
        <w:t xml:space="preserve"> that did not mean that those using mob</w:t>
      </w:r>
      <w:r>
        <w:rPr>
          <w:lang w:val="en-US"/>
        </w:rPr>
        <w:t xml:space="preserve">ility devices could easily move </w:t>
      </w:r>
      <w:r w:rsidRPr="00423907">
        <w:rPr>
          <w:lang w:val="en-US"/>
        </w:rPr>
        <w:t>around or fully participate within the institution.</w:t>
      </w:r>
    </w:p>
    <w:p w14:paraId="318AEC20" w14:textId="161FCF87" w:rsidR="00423907" w:rsidRDefault="00423907" w:rsidP="00244B6E">
      <w:pPr>
        <w:rPr>
          <w:lang w:val="en-US"/>
        </w:rPr>
      </w:pPr>
      <w:r>
        <w:rPr>
          <w:lang w:val="en-US"/>
        </w:rPr>
        <w:t>The investigation found that</w:t>
      </w:r>
      <w:r w:rsidR="00D102D5">
        <w:rPr>
          <w:lang w:val="en-US"/>
        </w:rPr>
        <w:t>,</w:t>
      </w:r>
      <w:r>
        <w:rPr>
          <w:lang w:val="en-US"/>
        </w:rPr>
        <w:t xml:space="preserve"> a</w:t>
      </w:r>
      <w:r w:rsidRPr="00423907">
        <w:rPr>
          <w:lang w:val="en-US"/>
        </w:rPr>
        <w:t>t ti</w:t>
      </w:r>
      <w:r>
        <w:rPr>
          <w:lang w:val="en-US"/>
        </w:rPr>
        <w:t xml:space="preserve">mes, institutional routines are </w:t>
      </w:r>
      <w:r w:rsidRPr="00423907">
        <w:rPr>
          <w:lang w:val="en-US"/>
        </w:rPr>
        <w:t>ill-adapted t</w:t>
      </w:r>
      <w:r>
        <w:rPr>
          <w:lang w:val="en-US"/>
        </w:rPr>
        <w:t xml:space="preserve">o meet the needs of persons who </w:t>
      </w:r>
      <w:r w:rsidRPr="00423907">
        <w:rPr>
          <w:lang w:val="en-US"/>
        </w:rPr>
        <w:t>are el</w:t>
      </w:r>
      <w:r>
        <w:rPr>
          <w:lang w:val="en-US"/>
        </w:rPr>
        <w:t xml:space="preserve">derly and who have disabilities, as </w:t>
      </w:r>
      <w:r w:rsidRPr="00423907">
        <w:rPr>
          <w:lang w:val="en-US"/>
        </w:rPr>
        <w:t>older individuals are expected to do</w:t>
      </w:r>
      <w:r w:rsidR="00D102D5">
        <w:rPr>
          <w:lang w:val="en-US"/>
        </w:rPr>
        <w:t xml:space="preserve"> the same things that a 20</w:t>
      </w:r>
      <w:r w:rsidR="00657C1F">
        <w:rPr>
          <w:lang w:val="en-US"/>
        </w:rPr>
        <w:t>-</w:t>
      </w:r>
      <w:r w:rsidRPr="00423907">
        <w:rPr>
          <w:lang w:val="en-US"/>
        </w:rPr>
        <w:t>year-old must do, with few accommodations or exceptions</w:t>
      </w:r>
      <w:r w:rsidR="00657C1F">
        <w:rPr>
          <w:lang w:val="en-US"/>
        </w:rPr>
        <w:t>.</w:t>
      </w:r>
    </w:p>
    <w:p w14:paraId="3E08B864" w14:textId="2A028D3C" w:rsidR="00657C1F" w:rsidRDefault="00D102D5" w:rsidP="00244B6E">
      <w:pPr>
        <w:rPr>
          <w:lang w:val="en-US"/>
        </w:rPr>
      </w:pPr>
      <w:r>
        <w:rPr>
          <w:lang w:val="en-US"/>
        </w:rPr>
        <w:t>Further, t</w:t>
      </w:r>
      <w:r w:rsidR="00657C1F">
        <w:rPr>
          <w:lang w:val="en-US"/>
        </w:rPr>
        <w:t>he investigation found that</w:t>
      </w:r>
      <w:r w:rsidR="00657C1F" w:rsidRPr="00657C1F">
        <w:rPr>
          <w:lang w:val="en-US"/>
        </w:rPr>
        <w:t xml:space="preserve"> inmates with dementia or Alzheimer’s</w:t>
      </w:r>
      <w:r w:rsidR="00657C1F">
        <w:rPr>
          <w:lang w:val="en-US"/>
        </w:rPr>
        <w:t xml:space="preserve"> </w:t>
      </w:r>
      <w:r w:rsidR="00657C1F" w:rsidRPr="00657C1F">
        <w:rPr>
          <w:lang w:val="en-US"/>
        </w:rPr>
        <w:t>disease face significant challenges in Canada’s federal prisons. CSC staff reported</w:t>
      </w:r>
      <w:r w:rsidR="00657C1F">
        <w:rPr>
          <w:lang w:val="en-US"/>
        </w:rPr>
        <w:t xml:space="preserve"> </w:t>
      </w:r>
      <w:r w:rsidR="00657C1F" w:rsidRPr="00657C1F">
        <w:rPr>
          <w:lang w:val="en-US"/>
        </w:rPr>
        <w:t>receiving little to no train</w:t>
      </w:r>
      <w:r w:rsidR="00657C1F">
        <w:rPr>
          <w:lang w:val="en-US"/>
        </w:rPr>
        <w:t xml:space="preserve">ing with respect to dementia or Alzheimer’s disease and this </w:t>
      </w:r>
      <w:r w:rsidR="00657C1F" w:rsidRPr="00657C1F">
        <w:rPr>
          <w:lang w:val="en-US"/>
        </w:rPr>
        <w:t>was the case even among those working on units where these individuals resided.</w:t>
      </w:r>
      <w:r w:rsidR="00657C1F">
        <w:rPr>
          <w:lang w:val="en-US"/>
        </w:rPr>
        <w:t xml:space="preserve"> </w:t>
      </w:r>
      <w:r w:rsidR="00657C1F" w:rsidRPr="00657C1F">
        <w:rPr>
          <w:lang w:val="en-US"/>
        </w:rPr>
        <w:t>Individuals with dementia not only pose signific</w:t>
      </w:r>
      <w:r w:rsidR="00657C1F">
        <w:rPr>
          <w:lang w:val="en-US"/>
        </w:rPr>
        <w:t xml:space="preserve">ant challenges for staff within </w:t>
      </w:r>
      <w:r w:rsidR="00657C1F" w:rsidRPr="00657C1F">
        <w:rPr>
          <w:lang w:val="en-US"/>
        </w:rPr>
        <w:t>institutions but also in terms of community reintegration (appropriate</w:t>
      </w:r>
      <w:r w:rsidR="00657C1F">
        <w:rPr>
          <w:lang w:val="en-US"/>
        </w:rPr>
        <w:t xml:space="preserve"> housing, care). </w:t>
      </w:r>
      <w:r w:rsidR="00657C1F" w:rsidRPr="00657C1F">
        <w:rPr>
          <w:lang w:val="en-US"/>
        </w:rPr>
        <w:t xml:space="preserve">Since violent or aggressive </w:t>
      </w:r>
      <w:proofErr w:type="spellStart"/>
      <w:r w:rsidR="00657C1F" w:rsidRPr="00657C1F">
        <w:rPr>
          <w:lang w:val="en-US"/>
        </w:rPr>
        <w:t>behaviour</w:t>
      </w:r>
      <w:proofErr w:type="spellEnd"/>
      <w:r w:rsidR="00657C1F" w:rsidRPr="00657C1F">
        <w:rPr>
          <w:lang w:val="en-US"/>
        </w:rPr>
        <w:t xml:space="preserve"> ca</w:t>
      </w:r>
      <w:r w:rsidR="00657C1F">
        <w:rPr>
          <w:lang w:val="en-US"/>
        </w:rPr>
        <w:t xml:space="preserve">n be related to dementia, there is considerable </w:t>
      </w:r>
      <w:r w:rsidR="00657C1F" w:rsidRPr="00657C1F">
        <w:rPr>
          <w:lang w:val="en-US"/>
        </w:rPr>
        <w:t>stigma and/or resistance to accept</w:t>
      </w:r>
      <w:r w:rsidR="00657C1F">
        <w:rPr>
          <w:lang w:val="en-US"/>
        </w:rPr>
        <w:t xml:space="preserve"> or place sentenced individuals in long-term care or </w:t>
      </w:r>
      <w:r w:rsidR="00657C1F" w:rsidRPr="00657C1F">
        <w:rPr>
          <w:lang w:val="en-US"/>
        </w:rPr>
        <w:t>nursing facilities.</w:t>
      </w:r>
      <w:r w:rsidR="00657C1F">
        <w:rPr>
          <w:lang w:val="en-US"/>
        </w:rPr>
        <w:t xml:space="preserve"> </w:t>
      </w:r>
    </w:p>
    <w:p w14:paraId="638CB392" w14:textId="4BF57811" w:rsidR="00910D10" w:rsidRDefault="00BC6226" w:rsidP="00244B6E">
      <w:pPr>
        <w:pStyle w:val="Heading2"/>
        <w:spacing w:line="276" w:lineRule="auto"/>
        <w:rPr>
          <w:lang w:val="en-CA"/>
        </w:rPr>
      </w:pPr>
      <w:bookmarkStart w:id="18" w:name="_Toc7171908"/>
      <w:r w:rsidRPr="00FB14B0">
        <w:rPr>
          <w:lang w:val="en-CA"/>
        </w:rPr>
        <w:t>Inequitable and Inadequate Services on Indigenous Reserves</w:t>
      </w:r>
      <w:bookmarkEnd w:id="18"/>
    </w:p>
    <w:p w14:paraId="230C0BBB" w14:textId="0DA079C3" w:rsidR="00657C1F" w:rsidRDefault="00657C1F" w:rsidP="00244B6E">
      <w:pPr>
        <w:rPr>
          <w:lang w:eastAsia="en-US"/>
        </w:rPr>
      </w:pPr>
    </w:p>
    <w:p w14:paraId="7B24B8FD" w14:textId="673AC4FF" w:rsidR="004E16E3" w:rsidRDefault="004E16E3" w:rsidP="00244B6E">
      <w:pPr>
        <w:rPr>
          <w:lang w:val="en-US" w:eastAsia="en-US"/>
        </w:rPr>
      </w:pPr>
      <w:r w:rsidRPr="004E16E3">
        <w:rPr>
          <w:lang w:val="en-US" w:eastAsia="en-US"/>
        </w:rPr>
        <w:t>The CHRC views the situation of Indigenous peoples</w:t>
      </w:r>
      <w:r w:rsidRPr="004E16E3">
        <w:rPr>
          <w:vertAlign w:val="superscript"/>
          <w:lang w:val="en-US" w:eastAsia="en-US"/>
        </w:rPr>
        <w:footnoteReference w:id="7"/>
      </w:r>
      <w:r w:rsidRPr="004E16E3">
        <w:rPr>
          <w:lang w:val="en-US" w:eastAsia="en-US"/>
        </w:rPr>
        <w:t xml:space="preserve"> in Canada as one of the most pressing human rights issues facing Canada today. Indigenous peoples in Canada continue to be significantly disadvantaged in terms of education, employment and access to basic needs such as water, food and housing. This includes</w:t>
      </w:r>
      <w:r>
        <w:rPr>
          <w:lang w:val="en-US" w:eastAsia="en-US"/>
        </w:rPr>
        <w:t xml:space="preserve"> older</w:t>
      </w:r>
      <w:r w:rsidRPr="004E16E3">
        <w:rPr>
          <w:lang w:val="en-US" w:eastAsia="en-US"/>
        </w:rPr>
        <w:t xml:space="preserve"> Indigenous persons with disabilities.</w:t>
      </w:r>
      <w:r>
        <w:rPr>
          <w:lang w:val="en-US" w:eastAsia="en-US"/>
        </w:rPr>
        <w:t xml:space="preserve"> </w:t>
      </w:r>
    </w:p>
    <w:p w14:paraId="4C03CDE2" w14:textId="0DCC774F" w:rsidR="004E16E3" w:rsidRPr="004E16E3" w:rsidRDefault="004E16E3" w:rsidP="00244B6E">
      <w:pPr>
        <w:rPr>
          <w:lang w:val="en-US" w:eastAsia="en-US"/>
        </w:rPr>
      </w:pPr>
      <w:r w:rsidRPr="004E16E3">
        <w:rPr>
          <w:lang w:val="en-US" w:eastAsia="en-US"/>
        </w:rPr>
        <w:t>The Auditor General of Canada, an independent parliamentary officer, has noted that structural impediments – including the lack of clarity about service levels, the lack of a legislative base, the lack of an appropriate funding mechanism, and the lack of organizations to support local service delivery – severely limit the delivery of public services to First Nation communities and hinder improvements in living conditions on reserves.</w:t>
      </w:r>
      <w:r w:rsidRPr="004E16E3">
        <w:rPr>
          <w:vertAlign w:val="superscript"/>
          <w:lang w:val="en-US" w:eastAsia="en-US"/>
        </w:rPr>
        <w:footnoteReference w:id="8"/>
      </w:r>
    </w:p>
    <w:p w14:paraId="48FE41E0" w14:textId="0E80AD0D" w:rsidR="004E16E3" w:rsidRDefault="004E16E3" w:rsidP="00244B6E">
      <w:pPr>
        <w:rPr>
          <w:lang w:val="en-US" w:eastAsia="en-US"/>
        </w:rPr>
      </w:pPr>
      <w:r w:rsidRPr="004E16E3">
        <w:rPr>
          <w:lang w:val="en-US" w:eastAsia="en-US"/>
        </w:rPr>
        <w:t>Funding for services on reserves was noted as an issue of concern by former Special Rapporteur on the Rights of Indigenous Peoples, James Anaya, in his report on his October 2013 visit to Canada. Noting the “rights and significant needs of Indigenous peoples and the geographic remoteness of many Indigenous communities”, he recommended that the Government of Canada should ensure “sufficient funding for services for Indigenous peoples both on and off reserve, including in areas of education, health and child welfare” and that “the quality of these services is at least equal to that provided to other Canadians”.</w:t>
      </w:r>
      <w:r w:rsidRPr="004E16E3">
        <w:rPr>
          <w:vertAlign w:val="superscript"/>
          <w:lang w:val="en-US" w:eastAsia="en-US"/>
        </w:rPr>
        <w:footnoteReference w:id="9"/>
      </w:r>
    </w:p>
    <w:p w14:paraId="1C5E5700" w14:textId="00A38A49" w:rsidR="008601EE" w:rsidRDefault="008601EE" w:rsidP="00244B6E">
      <w:pPr>
        <w:rPr>
          <w:lang w:val="en-US" w:eastAsia="en-US"/>
        </w:rPr>
      </w:pPr>
      <w:r>
        <w:t>T</w:t>
      </w:r>
      <w:r w:rsidRPr="005D64B7">
        <w:t xml:space="preserve">he CHRC </w:t>
      </w:r>
      <w:r>
        <w:t>has received several complaints</w:t>
      </w:r>
      <w:r w:rsidRPr="005D64B7">
        <w:t xml:space="preserve"> that allege that federal fu</w:t>
      </w:r>
      <w:r>
        <w:t>nding for programs and services delivered on-</w:t>
      </w:r>
      <w:r w:rsidRPr="005D64B7">
        <w:t xml:space="preserve">reserve is inequitable and discriminatory </w:t>
      </w:r>
      <w:r>
        <w:t xml:space="preserve">when compared to provincial / </w:t>
      </w:r>
      <w:r w:rsidRPr="005D64B7">
        <w:t>territorial fu</w:t>
      </w:r>
      <w:r>
        <w:t>nding for the same services off-</w:t>
      </w:r>
      <w:r w:rsidRPr="005D64B7">
        <w:t>reserve.</w:t>
      </w:r>
      <w:r>
        <w:t xml:space="preserve"> In a ground-breaking </w:t>
      </w:r>
      <w:r w:rsidRPr="006A1B39">
        <w:t>January 2016 decision, the Canadian Human Rights Tribunal found that the federal program and funding for child welfare services on reserve is discriminatory against First Nation children and families.</w:t>
      </w:r>
      <w:r w:rsidRPr="006A1B39">
        <w:rPr>
          <w:rStyle w:val="FootnoteReference"/>
        </w:rPr>
        <w:footnoteReference w:id="10"/>
      </w:r>
    </w:p>
    <w:p w14:paraId="25FCA5C6" w14:textId="14F025FA" w:rsidR="00BC6226" w:rsidRDefault="004E16E3" w:rsidP="00244B6E">
      <w:pPr>
        <w:rPr>
          <w:lang w:val="en-US" w:eastAsia="en-US"/>
        </w:rPr>
      </w:pPr>
      <w:r w:rsidRPr="004E16E3">
        <w:rPr>
          <w:lang w:val="en-US" w:eastAsia="en-US"/>
        </w:rPr>
        <w:t>As it relates to specific services for Indigenous persons with disabilities, the CHRC has received complaints relating to the availability of and funding for disability supports and special edu</w:t>
      </w:r>
      <w:r>
        <w:rPr>
          <w:lang w:val="en-US" w:eastAsia="en-US"/>
        </w:rPr>
        <w:t>cation services on reserves.</w:t>
      </w:r>
      <w:bookmarkStart w:id="19" w:name="_GoBack"/>
      <w:bookmarkEnd w:id="19"/>
    </w:p>
    <w:sectPr w:rsidR="00BC6226" w:rsidSect="00FC07E0">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247BC" w14:textId="77777777" w:rsidR="00613511" w:rsidRDefault="00613511" w:rsidP="008143E7">
      <w:pPr>
        <w:spacing w:after="0" w:line="240" w:lineRule="auto"/>
      </w:pPr>
      <w:r>
        <w:separator/>
      </w:r>
    </w:p>
  </w:endnote>
  <w:endnote w:type="continuationSeparator" w:id="0">
    <w:p w14:paraId="59404C2F" w14:textId="77777777" w:rsidR="00613511" w:rsidRDefault="00613511" w:rsidP="00814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15441" w14:textId="77777777" w:rsidR="007449B8" w:rsidRDefault="007449B8">
    <w:pPr>
      <w:pStyle w:val="Footer"/>
      <w:jc w:val="right"/>
    </w:pPr>
  </w:p>
  <w:p w14:paraId="676A0559" w14:textId="77777777" w:rsidR="007449B8" w:rsidRDefault="007449B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0B936" w14:textId="6F16C325" w:rsidR="007449B8" w:rsidRPr="00E96763" w:rsidRDefault="007449B8">
    <w:pPr>
      <w:pStyle w:val="Footer"/>
      <w:jc w:val="right"/>
    </w:pPr>
    <w:r w:rsidRPr="00E96763">
      <w:fldChar w:fldCharType="begin"/>
    </w:r>
    <w:r w:rsidRPr="00E96763">
      <w:instrText xml:space="preserve"> PAGE   \* MERGEFORMAT </w:instrText>
    </w:r>
    <w:r w:rsidRPr="00E96763">
      <w:fldChar w:fldCharType="separate"/>
    </w:r>
    <w:r w:rsidR="008601EE">
      <w:rPr>
        <w:noProof/>
      </w:rPr>
      <w:t>9</w:t>
    </w:r>
    <w:r w:rsidRPr="00E96763">
      <w:fldChar w:fldCharType="end"/>
    </w:r>
  </w:p>
  <w:p w14:paraId="045DF90E" w14:textId="77777777" w:rsidR="007449B8" w:rsidRDefault="007449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67244" w14:textId="77777777" w:rsidR="00613511" w:rsidRDefault="00613511" w:rsidP="008143E7">
      <w:pPr>
        <w:spacing w:after="0" w:line="240" w:lineRule="auto"/>
      </w:pPr>
      <w:r>
        <w:separator/>
      </w:r>
    </w:p>
  </w:footnote>
  <w:footnote w:type="continuationSeparator" w:id="0">
    <w:p w14:paraId="72BD5610" w14:textId="77777777" w:rsidR="00613511" w:rsidRDefault="00613511" w:rsidP="008143E7">
      <w:pPr>
        <w:spacing w:after="0" w:line="240" w:lineRule="auto"/>
      </w:pPr>
      <w:r>
        <w:continuationSeparator/>
      </w:r>
    </w:p>
  </w:footnote>
  <w:footnote w:id="1">
    <w:p w14:paraId="59D88902" w14:textId="68BD14B7" w:rsidR="007449B8" w:rsidRPr="00680CF9" w:rsidRDefault="007449B8" w:rsidP="002F322C">
      <w:pPr>
        <w:pStyle w:val="NoSpacing"/>
        <w:rPr>
          <w:sz w:val="18"/>
          <w:szCs w:val="18"/>
        </w:rPr>
      </w:pPr>
      <w:r w:rsidRPr="00680CF9">
        <w:rPr>
          <w:rStyle w:val="FootnoteReference"/>
          <w:sz w:val="18"/>
          <w:szCs w:val="18"/>
          <w:vertAlign w:val="baseline"/>
        </w:rPr>
        <w:footnoteRef/>
      </w:r>
      <w:r w:rsidRPr="00680CF9">
        <w:rPr>
          <w:sz w:val="18"/>
          <w:szCs w:val="18"/>
        </w:rPr>
        <w:t xml:space="preserve"> Available at </w:t>
      </w:r>
      <w:hyperlink r:id="rId1" w:history="1">
        <w:r w:rsidRPr="00680CF9">
          <w:rPr>
            <w:rStyle w:val="Hyperlink"/>
            <w:sz w:val="18"/>
            <w:szCs w:val="18"/>
          </w:rPr>
          <w:t>laws-lois.justice.gc.ca/PDF/H-6.pdf</w:t>
        </w:r>
      </w:hyperlink>
      <w:r w:rsidRPr="00680CF9">
        <w:rPr>
          <w:sz w:val="18"/>
          <w:szCs w:val="18"/>
        </w:rPr>
        <w:t>.  Although Canada’s human rights laws are not part of the Constitution, they are considered “quasi-constitutional” in nature, meaning that all other laws must be interpreted in a manner consistent with human rights law</w:t>
      </w:r>
      <w:r w:rsidR="009000F0" w:rsidRPr="00680CF9">
        <w:rPr>
          <w:sz w:val="18"/>
          <w:szCs w:val="18"/>
        </w:rPr>
        <w:t>s</w:t>
      </w:r>
      <w:r w:rsidRPr="00680CF9">
        <w:rPr>
          <w:sz w:val="18"/>
          <w:szCs w:val="18"/>
        </w:rPr>
        <w:t xml:space="preserve">.  </w:t>
      </w:r>
    </w:p>
  </w:footnote>
  <w:footnote w:id="2">
    <w:p w14:paraId="630CF59B" w14:textId="77777777" w:rsidR="007449B8" w:rsidRPr="003617A7" w:rsidRDefault="007449B8" w:rsidP="002F322C">
      <w:pPr>
        <w:pStyle w:val="FootnoteText"/>
        <w:rPr>
          <w:rFonts w:ascii="Arial" w:hAnsi="Arial"/>
        </w:rPr>
      </w:pPr>
      <w:r w:rsidRPr="00680CF9">
        <w:rPr>
          <w:rStyle w:val="FootnoteReference"/>
          <w:rFonts w:ascii="Arial" w:hAnsi="Arial"/>
          <w:sz w:val="18"/>
          <w:szCs w:val="18"/>
        </w:rPr>
        <w:footnoteRef/>
      </w:r>
      <w:r w:rsidRPr="00680CF9">
        <w:rPr>
          <w:rFonts w:ascii="Arial" w:hAnsi="Arial"/>
          <w:sz w:val="18"/>
          <w:szCs w:val="18"/>
        </w:rPr>
        <w:t xml:space="preserve"> </w:t>
      </w:r>
      <w:r w:rsidRPr="00680CF9">
        <w:rPr>
          <w:rFonts w:ascii="Arial" w:hAnsi="Arial"/>
          <w:sz w:val="18"/>
          <w:szCs w:val="18"/>
        </w:rPr>
        <w:t xml:space="preserve">Available at </w:t>
      </w:r>
      <w:hyperlink r:id="rId2" w:history="1">
        <w:r w:rsidRPr="00680CF9">
          <w:rPr>
            <w:rStyle w:val="Hyperlink"/>
            <w:rFonts w:ascii="Arial" w:hAnsi="Arial"/>
            <w:sz w:val="18"/>
            <w:szCs w:val="18"/>
          </w:rPr>
          <w:t>laws-lois.justice.gc.ca/PDF/E-5.401.pdf</w:t>
        </w:r>
      </w:hyperlink>
      <w:r w:rsidRPr="00680CF9">
        <w:rPr>
          <w:rFonts w:ascii="Arial" w:hAnsi="Arial"/>
          <w:sz w:val="18"/>
          <w:szCs w:val="18"/>
        </w:rPr>
        <w:t>.</w:t>
      </w:r>
      <w:r w:rsidRPr="003617A7">
        <w:rPr>
          <w:rFonts w:ascii="Arial" w:hAnsi="Arial"/>
        </w:rPr>
        <w:t xml:space="preserve"> </w:t>
      </w:r>
    </w:p>
  </w:footnote>
  <w:footnote w:id="3">
    <w:p w14:paraId="409FC634" w14:textId="4A876D67" w:rsidR="00E6363C" w:rsidRPr="00680CF9" w:rsidRDefault="00E6363C">
      <w:pPr>
        <w:pStyle w:val="FootnoteText"/>
        <w:rPr>
          <w:rFonts w:ascii="Arial" w:hAnsi="Arial"/>
          <w:sz w:val="18"/>
          <w:szCs w:val="18"/>
          <w:lang w:val="en-CA"/>
        </w:rPr>
      </w:pPr>
      <w:r w:rsidRPr="00680CF9">
        <w:rPr>
          <w:rStyle w:val="FootnoteReference"/>
          <w:rFonts w:ascii="Arial" w:hAnsi="Arial"/>
          <w:sz w:val="18"/>
          <w:szCs w:val="18"/>
        </w:rPr>
        <w:footnoteRef/>
      </w:r>
      <w:r w:rsidRPr="00680CF9">
        <w:rPr>
          <w:rFonts w:ascii="Arial" w:hAnsi="Arial"/>
          <w:sz w:val="18"/>
          <w:szCs w:val="18"/>
        </w:rPr>
        <w:t xml:space="preserve"> </w:t>
      </w:r>
      <w:r w:rsidR="00244B6E" w:rsidRPr="00680CF9">
        <w:rPr>
          <w:rFonts w:ascii="Arial" w:hAnsi="Arial"/>
          <w:sz w:val="18"/>
          <w:szCs w:val="18"/>
          <w:lang w:val="en-CA"/>
        </w:rPr>
        <w:t>See an extract from Statistics Canada’s 2017 re</w:t>
      </w:r>
      <w:r w:rsidR="003617A7" w:rsidRPr="00680CF9">
        <w:rPr>
          <w:rFonts w:ascii="Arial" w:hAnsi="Arial"/>
          <w:sz w:val="18"/>
          <w:szCs w:val="18"/>
          <w:lang w:val="en-CA"/>
        </w:rPr>
        <w:t>s</w:t>
      </w:r>
      <w:r w:rsidR="00244B6E" w:rsidRPr="00680CF9">
        <w:rPr>
          <w:rFonts w:ascii="Arial" w:hAnsi="Arial"/>
          <w:sz w:val="18"/>
          <w:szCs w:val="18"/>
          <w:lang w:val="en-CA"/>
        </w:rPr>
        <w:t xml:space="preserve">ults for the Canadian Survey on Disability, available at: </w:t>
      </w:r>
      <w:hyperlink r:id="rId3" w:history="1">
        <w:r w:rsidR="00217C06" w:rsidRPr="00680CF9">
          <w:rPr>
            <w:rStyle w:val="Hyperlink"/>
            <w:rFonts w:ascii="Arial" w:hAnsi="Arial"/>
            <w:sz w:val="18"/>
            <w:szCs w:val="18"/>
          </w:rPr>
          <w:t>https://www150.statcan.gc.ca/n1/en/pub/89-654-x/89-654-x2018002-eng.pdf?st=MKzGjAHA</w:t>
        </w:r>
      </w:hyperlink>
      <w:r w:rsidR="00217C06" w:rsidRPr="00680CF9">
        <w:rPr>
          <w:rFonts w:ascii="Arial" w:hAnsi="Arial"/>
          <w:sz w:val="18"/>
          <w:szCs w:val="18"/>
          <w:lang w:val="en-CA"/>
        </w:rPr>
        <w:t xml:space="preserve"> </w:t>
      </w:r>
    </w:p>
  </w:footnote>
  <w:footnote w:id="4">
    <w:p w14:paraId="18C05F62" w14:textId="28D84105" w:rsidR="00E6363C" w:rsidRPr="003617A7" w:rsidRDefault="00E6363C">
      <w:pPr>
        <w:pStyle w:val="FootnoteText"/>
        <w:rPr>
          <w:rFonts w:ascii="Arial" w:hAnsi="Arial"/>
          <w:lang w:val="en-CA"/>
        </w:rPr>
      </w:pPr>
      <w:r w:rsidRPr="00680CF9">
        <w:rPr>
          <w:rStyle w:val="FootnoteReference"/>
          <w:rFonts w:ascii="Arial" w:hAnsi="Arial"/>
          <w:sz w:val="18"/>
          <w:szCs w:val="18"/>
        </w:rPr>
        <w:footnoteRef/>
      </w:r>
      <w:r w:rsidRPr="00680CF9">
        <w:rPr>
          <w:rFonts w:ascii="Arial" w:hAnsi="Arial"/>
          <w:sz w:val="18"/>
          <w:szCs w:val="18"/>
        </w:rPr>
        <w:t xml:space="preserve"> </w:t>
      </w:r>
      <w:r w:rsidRPr="00680CF9">
        <w:rPr>
          <w:rFonts w:ascii="Arial" w:hAnsi="Arial"/>
          <w:sz w:val="18"/>
          <w:szCs w:val="18"/>
          <w:lang w:val="en-CA"/>
        </w:rPr>
        <w:t>The Survey categorizes older persons in the following ways: “Early Seniors” (aged 65 to 69 years); and “Seniors” (Aged 65 years and older).</w:t>
      </w:r>
    </w:p>
  </w:footnote>
  <w:footnote w:id="5">
    <w:p w14:paraId="35A5ADC2" w14:textId="6F0F6D06" w:rsidR="00793A95" w:rsidRPr="002F2023" w:rsidRDefault="00793A95">
      <w:pPr>
        <w:pStyle w:val="FootnoteText"/>
        <w:rPr>
          <w:rFonts w:ascii="Arial" w:hAnsi="Arial"/>
          <w:sz w:val="18"/>
          <w:szCs w:val="18"/>
          <w:lang w:val="en-CA"/>
        </w:rPr>
      </w:pPr>
      <w:r w:rsidRPr="002F2023">
        <w:rPr>
          <w:rStyle w:val="FootnoteReference"/>
          <w:rFonts w:ascii="Arial" w:hAnsi="Arial"/>
          <w:sz w:val="18"/>
          <w:szCs w:val="18"/>
        </w:rPr>
        <w:footnoteRef/>
      </w:r>
      <w:r w:rsidRPr="002F2023">
        <w:rPr>
          <w:rFonts w:ascii="Arial" w:hAnsi="Arial"/>
          <w:sz w:val="18"/>
          <w:szCs w:val="18"/>
        </w:rPr>
        <w:t xml:space="preserve"> </w:t>
      </w:r>
      <w:r w:rsidRPr="002F2023">
        <w:rPr>
          <w:rFonts w:ascii="Arial" w:hAnsi="Arial"/>
          <w:sz w:val="18"/>
          <w:szCs w:val="18"/>
          <w:lang w:val="en-CA"/>
        </w:rPr>
        <w:t>It should be noted however that the CHRC’s complaints statistics system does not capture the age of a particular complainant, and so, while the CHRC can indicate how many complaints it received citing age as a discrimination ground, it cannot further specify how many of those complaints were from older persons or older persons with disabilities.</w:t>
      </w:r>
    </w:p>
  </w:footnote>
  <w:footnote w:id="6">
    <w:p w14:paraId="219FD4B2" w14:textId="2C557810" w:rsidR="00FB14B0" w:rsidRPr="003617A7" w:rsidRDefault="00FB14B0">
      <w:pPr>
        <w:pStyle w:val="FootnoteText"/>
        <w:rPr>
          <w:rFonts w:ascii="Arial" w:hAnsi="Arial"/>
          <w:lang w:val="en-CA"/>
        </w:rPr>
      </w:pPr>
      <w:r w:rsidRPr="002F2023">
        <w:rPr>
          <w:rStyle w:val="FootnoteReference"/>
          <w:rFonts w:ascii="Arial" w:hAnsi="Arial"/>
          <w:sz w:val="18"/>
          <w:szCs w:val="18"/>
        </w:rPr>
        <w:footnoteRef/>
      </w:r>
      <w:r w:rsidRPr="002F2023">
        <w:rPr>
          <w:rFonts w:ascii="Arial" w:hAnsi="Arial"/>
          <w:sz w:val="18"/>
          <w:szCs w:val="18"/>
        </w:rPr>
        <w:t xml:space="preserve"> </w:t>
      </w:r>
      <w:r w:rsidR="00244B6E" w:rsidRPr="002F2023">
        <w:rPr>
          <w:rFonts w:ascii="Arial" w:hAnsi="Arial"/>
          <w:sz w:val="18"/>
          <w:szCs w:val="18"/>
          <w:lang w:val="en-CA"/>
        </w:rPr>
        <w:t>See the full report</w:t>
      </w:r>
      <w:r w:rsidR="003617A7" w:rsidRPr="002F2023">
        <w:rPr>
          <w:rFonts w:ascii="Arial" w:hAnsi="Arial"/>
          <w:sz w:val="18"/>
          <w:szCs w:val="18"/>
          <w:lang w:val="en-CA"/>
        </w:rPr>
        <w:t xml:space="preserve">, entitled “Aging and Dying in Prison: An Investigation into the Experiences of Older Individuals in Federal Custody” available at: </w:t>
      </w:r>
      <w:hyperlink r:id="rId4" w:history="1">
        <w:r w:rsidR="003617A7" w:rsidRPr="002F2023">
          <w:rPr>
            <w:rStyle w:val="Hyperlink"/>
            <w:rFonts w:ascii="Arial" w:hAnsi="Arial"/>
            <w:sz w:val="18"/>
            <w:szCs w:val="18"/>
            <w:lang w:val="en-CA"/>
          </w:rPr>
          <w:t>http://www.oci-bec.gc.ca/cnt/rpt/oth-aut/oth-aut20190228-eng.aspx</w:t>
        </w:r>
      </w:hyperlink>
      <w:r w:rsidR="003617A7" w:rsidRPr="002F2023">
        <w:rPr>
          <w:rFonts w:ascii="Arial" w:hAnsi="Arial"/>
          <w:sz w:val="18"/>
          <w:szCs w:val="18"/>
          <w:lang w:val="en-CA"/>
        </w:rPr>
        <w:t xml:space="preserve"> </w:t>
      </w:r>
    </w:p>
  </w:footnote>
  <w:footnote w:id="7">
    <w:p w14:paraId="4AD9C81B" w14:textId="77777777" w:rsidR="004E16E3" w:rsidRPr="008601EE" w:rsidRDefault="004E16E3" w:rsidP="004E16E3">
      <w:pPr>
        <w:pStyle w:val="FootnoteText"/>
        <w:rPr>
          <w:rFonts w:ascii="Arial" w:hAnsi="Arial"/>
          <w:sz w:val="18"/>
          <w:szCs w:val="18"/>
          <w:lang w:val="en-CA"/>
        </w:rPr>
      </w:pPr>
      <w:r w:rsidRPr="008601EE">
        <w:rPr>
          <w:rStyle w:val="FootnoteReference"/>
          <w:rFonts w:ascii="Arial" w:hAnsi="Arial"/>
          <w:sz w:val="18"/>
          <w:szCs w:val="18"/>
        </w:rPr>
        <w:footnoteRef/>
      </w:r>
      <w:r w:rsidRPr="008601EE">
        <w:rPr>
          <w:rFonts w:ascii="Arial" w:hAnsi="Arial"/>
          <w:sz w:val="18"/>
          <w:szCs w:val="18"/>
        </w:rPr>
        <w:t xml:space="preserve"> </w:t>
      </w:r>
      <w:r w:rsidRPr="008601EE">
        <w:rPr>
          <w:rFonts w:ascii="Arial" w:hAnsi="Arial"/>
          <w:sz w:val="18"/>
          <w:szCs w:val="18"/>
        </w:rPr>
        <w:t>The term “Indigenous” or “Indigenous peoples” is used throughout this submission to refer to First Nations, Inuit and Métis peoples in Canada, also commonly referred to as Aboriginal peoples. In specific areas of this submission, the terms Aboriginal or First Nations may be used for greater specificity, for example where this is the official terminology used in a referenced law, or where a law or program is applicable only to this sub-category of the Indigneous population.</w:t>
      </w:r>
    </w:p>
  </w:footnote>
  <w:footnote w:id="8">
    <w:p w14:paraId="5D3201FE" w14:textId="77777777" w:rsidR="004E16E3" w:rsidRPr="008601EE" w:rsidRDefault="004E16E3" w:rsidP="004E16E3">
      <w:pPr>
        <w:pStyle w:val="FootnoteText"/>
        <w:rPr>
          <w:rFonts w:ascii="Arial" w:hAnsi="Arial"/>
          <w:sz w:val="18"/>
          <w:szCs w:val="18"/>
        </w:rPr>
      </w:pPr>
      <w:r w:rsidRPr="008601EE">
        <w:rPr>
          <w:rStyle w:val="FootnoteReference"/>
          <w:rFonts w:ascii="Arial" w:hAnsi="Arial"/>
          <w:sz w:val="18"/>
          <w:szCs w:val="18"/>
        </w:rPr>
        <w:footnoteRef/>
      </w:r>
      <w:r w:rsidRPr="008601EE">
        <w:rPr>
          <w:rFonts w:ascii="Arial" w:hAnsi="Arial"/>
          <w:sz w:val="18"/>
          <w:szCs w:val="18"/>
        </w:rPr>
        <w:t xml:space="preserve"> </w:t>
      </w:r>
      <w:r w:rsidRPr="008601EE">
        <w:rPr>
          <w:rFonts w:ascii="Arial" w:hAnsi="Arial"/>
          <w:sz w:val="18"/>
          <w:szCs w:val="18"/>
        </w:rPr>
        <w:t xml:space="preserve">See </w:t>
      </w:r>
      <w:r w:rsidRPr="008601EE">
        <w:rPr>
          <w:rFonts w:ascii="Arial" w:hAnsi="Arial"/>
          <w:i/>
          <w:sz w:val="18"/>
          <w:szCs w:val="18"/>
        </w:rPr>
        <w:t>2011 June Status Report of the Auditor General of Canada</w:t>
      </w:r>
      <w:r w:rsidRPr="008601EE">
        <w:rPr>
          <w:rFonts w:ascii="Arial" w:hAnsi="Arial"/>
          <w:sz w:val="18"/>
          <w:szCs w:val="18"/>
        </w:rPr>
        <w:t xml:space="preserve">, “Chapter 4 – Programs for First Nations on Reserve”, available at </w:t>
      </w:r>
      <w:hyperlink r:id="rId5" w:history="1">
        <w:r w:rsidRPr="008601EE">
          <w:rPr>
            <w:rStyle w:val="Hyperlink"/>
            <w:rFonts w:ascii="Arial" w:hAnsi="Arial"/>
            <w:sz w:val="18"/>
            <w:szCs w:val="18"/>
          </w:rPr>
          <w:t>www.oag-bvg.gc.ca/internet/English/parl_oag_201106_04_e_35372.html</w:t>
        </w:r>
      </w:hyperlink>
      <w:r w:rsidRPr="008601EE">
        <w:rPr>
          <w:rFonts w:ascii="Arial" w:hAnsi="Arial"/>
          <w:sz w:val="18"/>
          <w:szCs w:val="18"/>
        </w:rPr>
        <w:t xml:space="preserve">. </w:t>
      </w:r>
    </w:p>
  </w:footnote>
  <w:footnote w:id="9">
    <w:p w14:paraId="62836262" w14:textId="77777777" w:rsidR="004E16E3" w:rsidRPr="003617A7" w:rsidRDefault="004E16E3" w:rsidP="004E16E3">
      <w:pPr>
        <w:pStyle w:val="FootnoteText"/>
        <w:rPr>
          <w:rFonts w:ascii="Arial" w:hAnsi="Arial"/>
        </w:rPr>
      </w:pPr>
      <w:r w:rsidRPr="008601EE">
        <w:rPr>
          <w:rStyle w:val="FootnoteReference"/>
          <w:rFonts w:ascii="Arial" w:hAnsi="Arial"/>
          <w:sz w:val="18"/>
          <w:szCs w:val="18"/>
        </w:rPr>
        <w:footnoteRef/>
      </w:r>
      <w:r w:rsidRPr="008601EE">
        <w:rPr>
          <w:rFonts w:ascii="Arial" w:hAnsi="Arial"/>
          <w:sz w:val="18"/>
          <w:szCs w:val="18"/>
        </w:rPr>
        <w:t xml:space="preserve"> </w:t>
      </w:r>
      <w:r w:rsidRPr="008601EE">
        <w:rPr>
          <w:rFonts w:ascii="Arial" w:hAnsi="Arial"/>
          <w:sz w:val="18"/>
          <w:szCs w:val="18"/>
        </w:rPr>
        <w:t>A/HRC/27/52/Add.2 at para 84.</w:t>
      </w:r>
    </w:p>
  </w:footnote>
  <w:footnote w:id="10">
    <w:p w14:paraId="1CFCC519" w14:textId="77777777" w:rsidR="008601EE" w:rsidRDefault="008601EE" w:rsidP="008601EE">
      <w:pPr>
        <w:pStyle w:val="FootnoteText"/>
      </w:pPr>
      <w:r w:rsidRPr="001E4E3F">
        <w:rPr>
          <w:rStyle w:val="FootnoteReference"/>
          <w:rFonts w:ascii="Arial" w:hAnsi="Arial"/>
          <w:sz w:val="18"/>
          <w:szCs w:val="18"/>
        </w:rPr>
        <w:footnoteRef/>
      </w:r>
      <w:r w:rsidRPr="001E4E3F">
        <w:rPr>
          <w:rFonts w:ascii="Arial" w:hAnsi="Arial"/>
          <w:sz w:val="18"/>
          <w:szCs w:val="18"/>
        </w:rPr>
        <w:t xml:space="preserve"> </w:t>
      </w:r>
      <w:r>
        <w:rPr>
          <w:rFonts w:ascii="Arial" w:hAnsi="Arial"/>
          <w:sz w:val="18"/>
          <w:szCs w:val="18"/>
        </w:rPr>
        <w:t>A decision from the Canadian Human Rights Tribunal in January 2016 substantiated the complaint, finding that the federal government had discriminated against First Nation children and families living on reserve.  Specifically, the Tribunal found that First Nation children and families were denied equal child and family services and/or differentiated adversely in the provision of child and family services.  The Tribunal has reserved its decision on remedies and the parties have made submissions and have had discussions on how best to address the remedies required to alleviate the adverse differentiation and put an end to the discrimination.  Given the extensive changes required in the child and family services program, the remedies have been divided into immediate, mid and long-term.  Currently, the parties remain engaged in providing input and have begun the process to implement the immediate measures necessary.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51C"/>
    <w:multiLevelType w:val="hybridMultilevel"/>
    <w:tmpl w:val="1B8A02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323A1E"/>
    <w:multiLevelType w:val="hybridMultilevel"/>
    <w:tmpl w:val="9998FDF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6087E32"/>
    <w:multiLevelType w:val="hybridMultilevel"/>
    <w:tmpl w:val="ADB4614E"/>
    <w:lvl w:ilvl="0" w:tplc="686C6AFC">
      <w:start w:val="1"/>
      <w:numFmt w:val="upp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4D43C1F"/>
    <w:multiLevelType w:val="hybridMultilevel"/>
    <w:tmpl w:val="862250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5F45DED"/>
    <w:multiLevelType w:val="hybridMultilevel"/>
    <w:tmpl w:val="29DEB68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95A4DBB"/>
    <w:multiLevelType w:val="hybridMultilevel"/>
    <w:tmpl w:val="185E420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19D52545"/>
    <w:multiLevelType w:val="hybridMultilevel"/>
    <w:tmpl w:val="22384208"/>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DBE47C5"/>
    <w:multiLevelType w:val="hybridMultilevel"/>
    <w:tmpl w:val="CE0C5F5E"/>
    <w:lvl w:ilvl="0" w:tplc="0D2CBEE4">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E276E8A"/>
    <w:multiLevelType w:val="hybridMultilevel"/>
    <w:tmpl w:val="00F61B4E"/>
    <w:lvl w:ilvl="0" w:tplc="60A884B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EC10AC4"/>
    <w:multiLevelType w:val="hybridMultilevel"/>
    <w:tmpl w:val="8C38E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2647ED2"/>
    <w:multiLevelType w:val="hybridMultilevel"/>
    <w:tmpl w:val="1218711A"/>
    <w:lvl w:ilvl="0" w:tplc="0C0C0001">
      <w:start w:val="1"/>
      <w:numFmt w:val="bullet"/>
      <w:lvlText w:val=""/>
      <w:lvlJc w:val="left"/>
      <w:pPr>
        <w:ind w:left="720"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11" w15:restartNumberingAfterBreak="0">
    <w:nsid w:val="242604B6"/>
    <w:multiLevelType w:val="multilevel"/>
    <w:tmpl w:val="E2EC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9F1876"/>
    <w:multiLevelType w:val="hybridMultilevel"/>
    <w:tmpl w:val="4FBAEA6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8C65E8C"/>
    <w:multiLevelType w:val="hybridMultilevel"/>
    <w:tmpl w:val="E4985D4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295D0BE3"/>
    <w:multiLevelType w:val="hybridMultilevel"/>
    <w:tmpl w:val="126AE2FA"/>
    <w:lvl w:ilvl="0" w:tplc="FCF2927C">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B425024"/>
    <w:multiLevelType w:val="hybridMultilevel"/>
    <w:tmpl w:val="82404016"/>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6" w15:restartNumberingAfterBreak="0">
    <w:nsid w:val="2CF859B7"/>
    <w:multiLevelType w:val="hybridMultilevel"/>
    <w:tmpl w:val="112041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D53041D"/>
    <w:multiLevelType w:val="hybridMultilevel"/>
    <w:tmpl w:val="0AA8142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7C7A7D"/>
    <w:multiLevelType w:val="hybridMultilevel"/>
    <w:tmpl w:val="B3C89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9E3D70"/>
    <w:multiLevelType w:val="hybridMultilevel"/>
    <w:tmpl w:val="FD16D53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358C7CA1"/>
    <w:multiLevelType w:val="hybridMultilevel"/>
    <w:tmpl w:val="8E42E83A"/>
    <w:lvl w:ilvl="0" w:tplc="6DF827AE">
      <w:start w:val="3"/>
      <w:numFmt w:val="bullet"/>
      <w:lvlText w:val="-"/>
      <w:lvlJc w:val="left"/>
      <w:pPr>
        <w:ind w:left="720" w:hanging="360"/>
      </w:pPr>
      <w:rPr>
        <w:rFonts w:ascii="Arial" w:eastAsia="Calibri" w:hAnsi="Arial" w:cs="Arial"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1AE7377"/>
    <w:multiLevelType w:val="hybridMultilevel"/>
    <w:tmpl w:val="E0BAE2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67E19A3"/>
    <w:multiLevelType w:val="hybridMultilevel"/>
    <w:tmpl w:val="8F92569E"/>
    <w:lvl w:ilvl="0" w:tplc="FCF2927C">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09647E4"/>
    <w:multiLevelType w:val="multilevel"/>
    <w:tmpl w:val="598CAE70"/>
    <w:lvl w:ilvl="0">
      <w:start w:val="1"/>
      <w:numFmt w:val="decimal"/>
      <w:pStyle w:val="Heading1"/>
      <w:lvlText w:val="%1."/>
      <w:lvlJc w:val="left"/>
      <w:pPr>
        <w:ind w:left="360" w:hanging="360"/>
      </w:pPr>
    </w:lvl>
    <w:lvl w:ilvl="1">
      <w:start w:val="1"/>
      <w:numFmt w:val="decimal"/>
      <w:pStyle w:val="Heading2"/>
      <w:lvlText w:val="%1.%2."/>
      <w:lvlJc w:val="left"/>
      <w:pPr>
        <w:ind w:left="1283" w:hanging="432"/>
      </w:pPr>
    </w:lvl>
    <w:lvl w:ilvl="2">
      <w:start w:val="1"/>
      <w:numFmt w:val="decimal"/>
      <w:pStyle w:val="Heading3"/>
      <w:lvlText w:val="%1.%2.%3."/>
      <w:lvlJc w:val="left"/>
      <w:pPr>
        <w:ind w:left="1224" w:hanging="504"/>
      </w:pPr>
      <w:rPr>
        <w:b w:val="0"/>
        <w:i w:val="0"/>
      </w:r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CF26AD"/>
    <w:multiLevelType w:val="hybridMultilevel"/>
    <w:tmpl w:val="CA604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34C599B"/>
    <w:multiLevelType w:val="hybridMultilevel"/>
    <w:tmpl w:val="C36220A0"/>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8644B28"/>
    <w:multiLevelType w:val="hybridMultilevel"/>
    <w:tmpl w:val="0C5EEDA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5F132C45"/>
    <w:multiLevelType w:val="hybridMultilevel"/>
    <w:tmpl w:val="D5407D20"/>
    <w:lvl w:ilvl="0" w:tplc="1B40B010">
      <w:numFmt w:val="bullet"/>
      <w:lvlText w:val="-"/>
      <w:lvlJc w:val="left"/>
      <w:pPr>
        <w:ind w:left="720" w:hanging="360"/>
      </w:pPr>
      <w:rPr>
        <w:rFonts w:ascii="Arial" w:eastAsia="Calibri" w:hAnsi="Arial" w:cs="Arial"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75200AF"/>
    <w:multiLevelType w:val="hybridMultilevel"/>
    <w:tmpl w:val="AA0647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B7236B2"/>
    <w:multiLevelType w:val="hybridMultilevel"/>
    <w:tmpl w:val="3A8EDB32"/>
    <w:lvl w:ilvl="0" w:tplc="1009000F">
      <w:start w:val="1"/>
      <w:numFmt w:val="decimal"/>
      <w:lvlText w:val="%1."/>
      <w:lvlJc w:val="left"/>
      <w:pPr>
        <w:ind w:left="360" w:hanging="360"/>
      </w:pPr>
    </w:lvl>
    <w:lvl w:ilvl="1" w:tplc="10090001">
      <w:start w:val="1"/>
      <w:numFmt w:val="bullet"/>
      <w:lvlText w:val=""/>
      <w:lvlJc w:val="left"/>
      <w:pPr>
        <w:ind w:left="1080" w:hanging="360"/>
      </w:pPr>
      <w:rPr>
        <w:rFonts w:ascii="Symbol" w:hAnsi="Symbol" w:hint="default"/>
      </w:rPr>
    </w:lvl>
    <w:lvl w:ilvl="2" w:tplc="A9AA8CE2">
      <w:start w:val="1"/>
      <w:numFmt w:val="decimal"/>
      <w:lvlText w:val="%3)"/>
      <w:lvlJc w:val="left"/>
      <w:pPr>
        <w:ind w:left="1980" w:hanging="360"/>
      </w:pPr>
      <w:rPr>
        <w:rFonts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6C2B0221"/>
    <w:multiLevelType w:val="hybridMultilevel"/>
    <w:tmpl w:val="9274ED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1E94C3E"/>
    <w:multiLevelType w:val="hybridMultilevel"/>
    <w:tmpl w:val="3688764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A8349D3"/>
    <w:multiLevelType w:val="hybridMultilevel"/>
    <w:tmpl w:val="8C7039EA"/>
    <w:lvl w:ilvl="0" w:tplc="020A9EBE">
      <w:start w:val="44"/>
      <w:numFmt w:val="bullet"/>
      <w:lvlText w:val="-"/>
      <w:lvlJc w:val="left"/>
      <w:pPr>
        <w:ind w:left="360" w:hanging="360"/>
      </w:pPr>
      <w:rPr>
        <w:rFonts w:ascii="Arial" w:eastAsia="Calibri"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7E775EFF"/>
    <w:multiLevelType w:val="hybridMultilevel"/>
    <w:tmpl w:val="69AA108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3"/>
  </w:num>
  <w:num w:numId="2">
    <w:abstractNumId w:val="17"/>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9"/>
  </w:num>
  <w:num w:numId="6">
    <w:abstractNumId w:val="14"/>
  </w:num>
  <w:num w:numId="7">
    <w:abstractNumId w:val="32"/>
  </w:num>
  <w:num w:numId="8">
    <w:abstractNumId w:val="5"/>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20"/>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9"/>
  </w:num>
  <w:num w:numId="15">
    <w:abstractNumId w:val="18"/>
  </w:num>
  <w:num w:numId="16">
    <w:abstractNumId w:val="26"/>
  </w:num>
  <w:num w:numId="17">
    <w:abstractNumId w:val="7"/>
  </w:num>
  <w:num w:numId="18">
    <w:abstractNumId w:val="1"/>
  </w:num>
  <w:num w:numId="19">
    <w:abstractNumId w:val="22"/>
  </w:num>
  <w:num w:numId="20">
    <w:abstractNumId w:val="8"/>
  </w:num>
  <w:num w:numId="21">
    <w:abstractNumId w:val="4"/>
  </w:num>
  <w:num w:numId="22">
    <w:abstractNumId w:val="3"/>
  </w:num>
  <w:num w:numId="23">
    <w:abstractNumId w:val="13"/>
  </w:num>
  <w:num w:numId="24">
    <w:abstractNumId w:val="24"/>
  </w:num>
  <w:num w:numId="25">
    <w:abstractNumId w:val="16"/>
  </w:num>
  <w:num w:numId="26">
    <w:abstractNumId w:val="28"/>
  </w:num>
  <w:num w:numId="27">
    <w:abstractNumId w:val="19"/>
  </w:num>
  <w:num w:numId="28">
    <w:abstractNumId w:val="31"/>
  </w:num>
  <w:num w:numId="29">
    <w:abstractNumId w:val="12"/>
  </w:num>
  <w:num w:numId="30">
    <w:abstractNumId w:val="0"/>
  </w:num>
  <w:num w:numId="31">
    <w:abstractNumId w:val="21"/>
  </w:num>
  <w:num w:numId="32">
    <w:abstractNumId w:val="33"/>
  </w:num>
  <w:num w:numId="33">
    <w:abstractNumId w:val="2"/>
  </w:num>
  <w:num w:numId="34">
    <w:abstractNumId w:val="6"/>
  </w:num>
  <w:num w:numId="35">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CA" w:vendorID="64" w:dllVersion="131078" w:nlCheck="1" w:checkStyle="0"/>
  <w:activeWritingStyle w:appName="MSWord" w:lang="en-US" w:vendorID="64" w:dllVersion="131078" w:nlCheck="1" w:checkStyle="0"/>
  <w:activeWritingStyle w:appName="MSWord" w:lang="fr-CA" w:vendorID="64" w:dllVersion="131078" w:nlCheck="1" w:checkStyle="0"/>
  <w:proofState w:spelling="clean" w:grammar="clean"/>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91F"/>
    <w:rsid w:val="0000077F"/>
    <w:rsid w:val="00002276"/>
    <w:rsid w:val="00002F30"/>
    <w:rsid w:val="000030C5"/>
    <w:rsid w:val="00004A68"/>
    <w:rsid w:val="00006DF9"/>
    <w:rsid w:val="00007FD6"/>
    <w:rsid w:val="00010FA4"/>
    <w:rsid w:val="00011EDD"/>
    <w:rsid w:val="000144AA"/>
    <w:rsid w:val="00014D96"/>
    <w:rsid w:val="000159E2"/>
    <w:rsid w:val="00022610"/>
    <w:rsid w:val="000232A3"/>
    <w:rsid w:val="00023A26"/>
    <w:rsid w:val="000244C4"/>
    <w:rsid w:val="0002468C"/>
    <w:rsid w:val="000249C2"/>
    <w:rsid w:val="00024A99"/>
    <w:rsid w:val="000257DB"/>
    <w:rsid w:val="0002582F"/>
    <w:rsid w:val="00025870"/>
    <w:rsid w:val="0002735A"/>
    <w:rsid w:val="0003236A"/>
    <w:rsid w:val="00033835"/>
    <w:rsid w:val="00033B9E"/>
    <w:rsid w:val="00034881"/>
    <w:rsid w:val="00034A99"/>
    <w:rsid w:val="00035DBC"/>
    <w:rsid w:val="000378B5"/>
    <w:rsid w:val="000428C5"/>
    <w:rsid w:val="00043D01"/>
    <w:rsid w:val="00044002"/>
    <w:rsid w:val="000455D4"/>
    <w:rsid w:val="0005025A"/>
    <w:rsid w:val="00051ED8"/>
    <w:rsid w:val="00053A2C"/>
    <w:rsid w:val="00053DBE"/>
    <w:rsid w:val="000551F2"/>
    <w:rsid w:val="000559E5"/>
    <w:rsid w:val="000570E3"/>
    <w:rsid w:val="000602CA"/>
    <w:rsid w:val="00060476"/>
    <w:rsid w:val="00061CEE"/>
    <w:rsid w:val="00062144"/>
    <w:rsid w:val="00062968"/>
    <w:rsid w:val="000629F5"/>
    <w:rsid w:val="000630D1"/>
    <w:rsid w:val="000654F6"/>
    <w:rsid w:val="000667BC"/>
    <w:rsid w:val="00066B56"/>
    <w:rsid w:val="000671F2"/>
    <w:rsid w:val="00070589"/>
    <w:rsid w:val="0007231C"/>
    <w:rsid w:val="000735DD"/>
    <w:rsid w:val="00073B98"/>
    <w:rsid w:val="00074796"/>
    <w:rsid w:val="00076E28"/>
    <w:rsid w:val="00077581"/>
    <w:rsid w:val="00080465"/>
    <w:rsid w:val="000833B7"/>
    <w:rsid w:val="0008387A"/>
    <w:rsid w:val="000868EB"/>
    <w:rsid w:val="000870D8"/>
    <w:rsid w:val="00087FAA"/>
    <w:rsid w:val="00094367"/>
    <w:rsid w:val="000A0D3C"/>
    <w:rsid w:val="000A30D1"/>
    <w:rsid w:val="000A3229"/>
    <w:rsid w:val="000A529D"/>
    <w:rsid w:val="000B5A18"/>
    <w:rsid w:val="000B734D"/>
    <w:rsid w:val="000B73CF"/>
    <w:rsid w:val="000B7F20"/>
    <w:rsid w:val="000C0E83"/>
    <w:rsid w:val="000C1681"/>
    <w:rsid w:val="000C2477"/>
    <w:rsid w:val="000C3659"/>
    <w:rsid w:val="000C43B2"/>
    <w:rsid w:val="000C6B73"/>
    <w:rsid w:val="000C77BB"/>
    <w:rsid w:val="000C7A4A"/>
    <w:rsid w:val="000D212A"/>
    <w:rsid w:val="000D2BE3"/>
    <w:rsid w:val="000D32F9"/>
    <w:rsid w:val="000D3488"/>
    <w:rsid w:val="000D4E69"/>
    <w:rsid w:val="000D5E90"/>
    <w:rsid w:val="000D69BD"/>
    <w:rsid w:val="000E021A"/>
    <w:rsid w:val="000E59E7"/>
    <w:rsid w:val="000F3ADF"/>
    <w:rsid w:val="000F3E2C"/>
    <w:rsid w:val="000F426B"/>
    <w:rsid w:val="000F4A51"/>
    <w:rsid w:val="000F5EB6"/>
    <w:rsid w:val="000F7133"/>
    <w:rsid w:val="000F768F"/>
    <w:rsid w:val="00102131"/>
    <w:rsid w:val="001025DD"/>
    <w:rsid w:val="0010268D"/>
    <w:rsid w:val="00102C51"/>
    <w:rsid w:val="0010362B"/>
    <w:rsid w:val="00103702"/>
    <w:rsid w:val="001037B1"/>
    <w:rsid w:val="00103B56"/>
    <w:rsid w:val="00104F34"/>
    <w:rsid w:val="00105790"/>
    <w:rsid w:val="00106418"/>
    <w:rsid w:val="0011056C"/>
    <w:rsid w:val="00111DA5"/>
    <w:rsid w:val="0011282B"/>
    <w:rsid w:val="00112DDB"/>
    <w:rsid w:val="001132F5"/>
    <w:rsid w:val="001148EC"/>
    <w:rsid w:val="00114D41"/>
    <w:rsid w:val="00121317"/>
    <w:rsid w:val="001221BC"/>
    <w:rsid w:val="00123175"/>
    <w:rsid w:val="0012473A"/>
    <w:rsid w:val="001247A4"/>
    <w:rsid w:val="001265E2"/>
    <w:rsid w:val="001304F1"/>
    <w:rsid w:val="00130F81"/>
    <w:rsid w:val="00131548"/>
    <w:rsid w:val="00131F4D"/>
    <w:rsid w:val="0013207C"/>
    <w:rsid w:val="00132284"/>
    <w:rsid w:val="00132CC0"/>
    <w:rsid w:val="0013404C"/>
    <w:rsid w:val="00135896"/>
    <w:rsid w:val="001362AD"/>
    <w:rsid w:val="00140533"/>
    <w:rsid w:val="0014255B"/>
    <w:rsid w:val="00143047"/>
    <w:rsid w:val="0014471F"/>
    <w:rsid w:val="001473F3"/>
    <w:rsid w:val="001474C7"/>
    <w:rsid w:val="0015082B"/>
    <w:rsid w:val="0015119A"/>
    <w:rsid w:val="00151F11"/>
    <w:rsid w:val="00152612"/>
    <w:rsid w:val="0015534C"/>
    <w:rsid w:val="00155481"/>
    <w:rsid w:val="001604E2"/>
    <w:rsid w:val="00160D65"/>
    <w:rsid w:val="00162B3B"/>
    <w:rsid w:val="0016360C"/>
    <w:rsid w:val="0016618D"/>
    <w:rsid w:val="00167D6D"/>
    <w:rsid w:val="00170A04"/>
    <w:rsid w:val="00170F55"/>
    <w:rsid w:val="00172373"/>
    <w:rsid w:val="00172519"/>
    <w:rsid w:val="00173542"/>
    <w:rsid w:val="001808A4"/>
    <w:rsid w:val="00181FBD"/>
    <w:rsid w:val="00182006"/>
    <w:rsid w:val="00183BD2"/>
    <w:rsid w:val="00185153"/>
    <w:rsid w:val="00186464"/>
    <w:rsid w:val="0018648E"/>
    <w:rsid w:val="00197117"/>
    <w:rsid w:val="001A26DE"/>
    <w:rsid w:val="001A2802"/>
    <w:rsid w:val="001A329C"/>
    <w:rsid w:val="001A3400"/>
    <w:rsid w:val="001A60F6"/>
    <w:rsid w:val="001A6DF4"/>
    <w:rsid w:val="001B0F21"/>
    <w:rsid w:val="001B12AA"/>
    <w:rsid w:val="001B130E"/>
    <w:rsid w:val="001B48BA"/>
    <w:rsid w:val="001B5755"/>
    <w:rsid w:val="001B684C"/>
    <w:rsid w:val="001C173B"/>
    <w:rsid w:val="001C1F46"/>
    <w:rsid w:val="001C223A"/>
    <w:rsid w:val="001C22E5"/>
    <w:rsid w:val="001C27AB"/>
    <w:rsid w:val="001C34CA"/>
    <w:rsid w:val="001C4F28"/>
    <w:rsid w:val="001C5C4A"/>
    <w:rsid w:val="001C60A3"/>
    <w:rsid w:val="001C7C4D"/>
    <w:rsid w:val="001C7CC4"/>
    <w:rsid w:val="001C7FCB"/>
    <w:rsid w:val="001D246C"/>
    <w:rsid w:val="001D358B"/>
    <w:rsid w:val="001D7291"/>
    <w:rsid w:val="001D7875"/>
    <w:rsid w:val="001E2546"/>
    <w:rsid w:val="001E41A9"/>
    <w:rsid w:val="001E44DB"/>
    <w:rsid w:val="001E4E3F"/>
    <w:rsid w:val="001E4E47"/>
    <w:rsid w:val="001E5534"/>
    <w:rsid w:val="001E5CA2"/>
    <w:rsid w:val="001E5D34"/>
    <w:rsid w:val="001E6626"/>
    <w:rsid w:val="001E6907"/>
    <w:rsid w:val="001E731D"/>
    <w:rsid w:val="001F0034"/>
    <w:rsid w:val="001F04D0"/>
    <w:rsid w:val="001F0F68"/>
    <w:rsid w:val="001F1959"/>
    <w:rsid w:val="001F1AE9"/>
    <w:rsid w:val="001F28E6"/>
    <w:rsid w:val="001F40DB"/>
    <w:rsid w:val="001F4FA3"/>
    <w:rsid w:val="001F576E"/>
    <w:rsid w:val="001F5E1E"/>
    <w:rsid w:val="00201944"/>
    <w:rsid w:val="0020255C"/>
    <w:rsid w:val="00203065"/>
    <w:rsid w:val="00204AEA"/>
    <w:rsid w:val="00205248"/>
    <w:rsid w:val="002055CF"/>
    <w:rsid w:val="00207FCC"/>
    <w:rsid w:val="002113B2"/>
    <w:rsid w:val="0021357B"/>
    <w:rsid w:val="002152C0"/>
    <w:rsid w:val="00217C06"/>
    <w:rsid w:val="00220C02"/>
    <w:rsid w:val="00221F39"/>
    <w:rsid w:val="0022204F"/>
    <w:rsid w:val="002221CE"/>
    <w:rsid w:val="0022384F"/>
    <w:rsid w:val="002239B8"/>
    <w:rsid w:val="00223D3A"/>
    <w:rsid w:val="00224796"/>
    <w:rsid w:val="00227192"/>
    <w:rsid w:val="00227F0C"/>
    <w:rsid w:val="00230AD8"/>
    <w:rsid w:val="00231BFD"/>
    <w:rsid w:val="00233747"/>
    <w:rsid w:val="00233EB8"/>
    <w:rsid w:val="00234160"/>
    <w:rsid w:val="00236217"/>
    <w:rsid w:val="002364E5"/>
    <w:rsid w:val="00237E49"/>
    <w:rsid w:val="00240FAF"/>
    <w:rsid w:val="00242CEB"/>
    <w:rsid w:val="00244B6E"/>
    <w:rsid w:val="00244C35"/>
    <w:rsid w:val="00244ECE"/>
    <w:rsid w:val="00246124"/>
    <w:rsid w:val="00246235"/>
    <w:rsid w:val="002463F0"/>
    <w:rsid w:val="002469D1"/>
    <w:rsid w:val="0024792F"/>
    <w:rsid w:val="00247A6F"/>
    <w:rsid w:val="00247AFC"/>
    <w:rsid w:val="0025254A"/>
    <w:rsid w:val="00254281"/>
    <w:rsid w:val="00254BD0"/>
    <w:rsid w:val="0025523C"/>
    <w:rsid w:val="00256053"/>
    <w:rsid w:val="002563D9"/>
    <w:rsid w:val="002674BA"/>
    <w:rsid w:val="002703CC"/>
    <w:rsid w:val="002707AB"/>
    <w:rsid w:val="00272A55"/>
    <w:rsid w:val="00272C78"/>
    <w:rsid w:val="00272FEB"/>
    <w:rsid w:val="00273011"/>
    <w:rsid w:val="00273431"/>
    <w:rsid w:val="00273DA8"/>
    <w:rsid w:val="00274947"/>
    <w:rsid w:val="00275CAC"/>
    <w:rsid w:val="00276312"/>
    <w:rsid w:val="002774A8"/>
    <w:rsid w:val="00277B6B"/>
    <w:rsid w:val="00277B91"/>
    <w:rsid w:val="00282A6D"/>
    <w:rsid w:val="00283930"/>
    <w:rsid w:val="0028406B"/>
    <w:rsid w:val="0028434E"/>
    <w:rsid w:val="00286651"/>
    <w:rsid w:val="00286CA2"/>
    <w:rsid w:val="0028755A"/>
    <w:rsid w:val="00290917"/>
    <w:rsid w:val="002915B9"/>
    <w:rsid w:val="00291B61"/>
    <w:rsid w:val="00291BB4"/>
    <w:rsid w:val="002931DA"/>
    <w:rsid w:val="002935A3"/>
    <w:rsid w:val="00294896"/>
    <w:rsid w:val="002956CD"/>
    <w:rsid w:val="00296A99"/>
    <w:rsid w:val="002A1BC4"/>
    <w:rsid w:val="002A4F38"/>
    <w:rsid w:val="002B07D5"/>
    <w:rsid w:val="002B44A2"/>
    <w:rsid w:val="002B4B96"/>
    <w:rsid w:val="002B6E8E"/>
    <w:rsid w:val="002C0514"/>
    <w:rsid w:val="002C09E2"/>
    <w:rsid w:val="002C0AC5"/>
    <w:rsid w:val="002C2038"/>
    <w:rsid w:val="002C41AE"/>
    <w:rsid w:val="002C46B7"/>
    <w:rsid w:val="002C4949"/>
    <w:rsid w:val="002D0BE4"/>
    <w:rsid w:val="002D0D5F"/>
    <w:rsid w:val="002D2A38"/>
    <w:rsid w:val="002D2A9E"/>
    <w:rsid w:val="002D48A2"/>
    <w:rsid w:val="002E0F2E"/>
    <w:rsid w:val="002E1737"/>
    <w:rsid w:val="002E46D0"/>
    <w:rsid w:val="002E69E0"/>
    <w:rsid w:val="002F0EF6"/>
    <w:rsid w:val="002F1C9C"/>
    <w:rsid w:val="002F2023"/>
    <w:rsid w:val="002F243E"/>
    <w:rsid w:val="002F311D"/>
    <w:rsid w:val="002F322C"/>
    <w:rsid w:val="002F4CA2"/>
    <w:rsid w:val="002F6598"/>
    <w:rsid w:val="00300CDE"/>
    <w:rsid w:val="003012C0"/>
    <w:rsid w:val="00303892"/>
    <w:rsid w:val="0030439B"/>
    <w:rsid w:val="00306B8E"/>
    <w:rsid w:val="00307A7E"/>
    <w:rsid w:val="00311315"/>
    <w:rsid w:val="00311CEC"/>
    <w:rsid w:val="00313170"/>
    <w:rsid w:val="003137E1"/>
    <w:rsid w:val="0031393D"/>
    <w:rsid w:val="00315DE9"/>
    <w:rsid w:val="00315EAF"/>
    <w:rsid w:val="003165E7"/>
    <w:rsid w:val="00320ABD"/>
    <w:rsid w:val="00320E6D"/>
    <w:rsid w:val="00322B60"/>
    <w:rsid w:val="00322D49"/>
    <w:rsid w:val="003250B0"/>
    <w:rsid w:val="00327579"/>
    <w:rsid w:val="00327BAE"/>
    <w:rsid w:val="00330219"/>
    <w:rsid w:val="00332388"/>
    <w:rsid w:val="00334A06"/>
    <w:rsid w:val="00337AF6"/>
    <w:rsid w:val="00337F9A"/>
    <w:rsid w:val="00342FBC"/>
    <w:rsid w:val="00343640"/>
    <w:rsid w:val="00343733"/>
    <w:rsid w:val="003447AD"/>
    <w:rsid w:val="00344879"/>
    <w:rsid w:val="00345EC8"/>
    <w:rsid w:val="003526CB"/>
    <w:rsid w:val="003528DD"/>
    <w:rsid w:val="003559BE"/>
    <w:rsid w:val="00356986"/>
    <w:rsid w:val="00356A52"/>
    <w:rsid w:val="0035791A"/>
    <w:rsid w:val="00360215"/>
    <w:rsid w:val="0036030A"/>
    <w:rsid w:val="00361052"/>
    <w:rsid w:val="003617A7"/>
    <w:rsid w:val="00362EAD"/>
    <w:rsid w:val="00364CFC"/>
    <w:rsid w:val="00365186"/>
    <w:rsid w:val="00365599"/>
    <w:rsid w:val="00367D3C"/>
    <w:rsid w:val="0037019C"/>
    <w:rsid w:val="003735B4"/>
    <w:rsid w:val="003751D4"/>
    <w:rsid w:val="003751DD"/>
    <w:rsid w:val="00376787"/>
    <w:rsid w:val="00381B68"/>
    <w:rsid w:val="00382A66"/>
    <w:rsid w:val="00383CD5"/>
    <w:rsid w:val="003844DF"/>
    <w:rsid w:val="0038569C"/>
    <w:rsid w:val="00385A66"/>
    <w:rsid w:val="0038643A"/>
    <w:rsid w:val="00391D9F"/>
    <w:rsid w:val="0039489B"/>
    <w:rsid w:val="00394972"/>
    <w:rsid w:val="003963F2"/>
    <w:rsid w:val="003973E8"/>
    <w:rsid w:val="003A21AE"/>
    <w:rsid w:val="003A2A6E"/>
    <w:rsid w:val="003A3750"/>
    <w:rsid w:val="003A4EF2"/>
    <w:rsid w:val="003A516A"/>
    <w:rsid w:val="003A5F73"/>
    <w:rsid w:val="003A79AA"/>
    <w:rsid w:val="003B0546"/>
    <w:rsid w:val="003B3FF8"/>
    <w:rsid w:val="003B422F"/>
    <w:rsid w:val="003B4661"/>
    <w:rsid w:val="003B4E04"/>
    <w:rsid w:val="003B532C"/>
    <w:rsid w:val="003B6068"/>
    <w:rsid w:val="003B6968"/>
    <w:rsid w:val="003B6CB6"/>
    <w:rsid w:val="003C07ED"/>
    <w:rsid w:val="003C0D5E"/>
    <w:rsid w:val="003C307F"/>
    <w:rsid w:val="003C3388"/>
    <w:rsid w:val="003C3A92"/>
    <w:rsid w:val="003C3F9F"/>
    <w:rsid w:val="003C4139"/>
    <w:rsid w:val="003C4FD6"/>
    <w:rsid w:val="003C5D75"/>
    <w:rsid w:val="003C6272"/>
    <w:rsid w:val="003C67FF"/>
    <w:rsid w:val="003D0987"/>
    <w:rsid w:val="003D13D3"/>
    <w:rsid w:val="003D1EA7"/>
    <w:rsid w:val="003D2CB5"/>
    <w:rsid w:val="003D5071"/>
    <w:rsid w:val="003D60DB"/>
    <w:rsid w:val="003D7B87"/>
    <w:rsid w:val="003E2083"/>
    <w:rsid w:val="003E2128"/>
    <w:rsid w:val="003E2F2E"/>
    <w:rsid w:val="003E39CC"/>
    <w:rsid w:val="003E5290"/>
    <w:rsid w:val="003E5F45"/>
    <w:rsid w:val="003E7AC5"/>
    <w:rsid w:val="003F0BCD"/>
    <w:rsid w:val="003F1E61"/>
    <w:rsid w:val="003F23D5"/>
    <w:rsid w:val="003F26F1"/>
    <w:rsid w:val="003F2F83"/>
    <w:rsid w:val="003F425A"/>
    <w:rsid w:val="003F523D"/>
    <w:rsid w:val="003F5751"/>
    <w:rsid w:val="00400616"/>
    <w:rsid w:val="00400F77"/>
    <w:rsid w:val="004020CC"/>
    <w:rsid w:val="00402447"/>
    <w:rsid w:val="0040426A"/>
    <w:rsid w:val="00404D78"/>
    <w:rsid w:val="0040705D"/>
    <w:rsid w:val="00407C38"/>
    <w:rsid w:val="00410E43"/>
    <w:rsid w:val="004117C7"/>
    <w:rsid w:val="00412395"/>
    <w:rsid w:val="00415135"/>
    <w:rsid w:val="0041658A"/>
    <w:rsid w:val="00416DD3"/>
    <w:rsid w:val="00417B61"/>
    <w:rsid w:val="00420043"/>
    <w:rsid w:val="00420394"/>
    <w:rsid w:val="00423907"/>
    <w:rsid w:val="00425B65"/>
    <w:rsid w:val="0042627B"/>
    <w:rsid w:val="004277D9"/>
    <w:rsid w:val="0043015D"/>
    <w:rsid w:val="004367EB"/>
    <w:rsid w:val="00437F68"/>
    <w:rsid w:val="0044085D"/>
    <w:rsid w:val="00444C8C"/>
    <w:rsid w:val="00447D16"/>
    <w:rsid w:val="00447DED"/>
    <w:rsid w:val="00456825"/>
    <w:rsid w:val="00456EA9"/>
    <w:rsid w:val="00460A22"/>
    <w:rsid w:val="00461333"/>
    <w:rsid w:val="004637A1"/>
    <w:rsid w:val="00463993"/>
    <w:rsid w:val="00463D5C"/>
    <w:rsid w:val="00464988"/>
    <w:rsid w:val="00465159"/>
    <w:rsid w:val="0046701D"/>
    <w:rsid w:val="004672D4"/>
    <w:rsid w:val="004719AB"/>
    <w:rsid w:val="00471D35"/>
    <w:rsid w:val="00474CDD"/>
    <w:rsid w:val="00474D35"/>
    <w:rsid w:val="004764BC"/>
    <w:rsid w:val="00476B20"/>
    <w:rsid w:val="00484E8A"/>
    <w:rsid w:val="00485413"/>
    <w:rsid w:val="0049015F"/>
    <w:rsid w:val="00493A37"/>
    <w:rsid w:val="004951A2"/>
    <w:rsid w:val="00495433"/>
    <w:rsid w:val="0049612C"/>
    <w:rsid w:val="004964C6"/>
    <w:rsid w:val="00497F7C"/>
    <w:rsid w:val="004A12E0"/>
    <w:rsid w:val="004A1A78"/>
    <w:rsid w:val="004A612D"/>
    <w:rsid w:val="004B0631"/>
    <w:rsid w:val="004B1575"/>
    <w:rsid w:val="004B19E8"/>
    <w:rsid w:val="004B2ACD"/>
    <w:rsid w:val="004B4D7D"/>
    <w:rsid w:val="004B5988"/>
    <w:rsid w:val="004B5A68"/>
    <w:rsid w:val="004B716F"/>
    <w:rsid w:val="004B78AA"/>
    <w:rsid w:val="004C1AB8"/>
    <w:rsid w:val="004D19EE"/>
    <w:rsid w:val="004D7A6F"/>
    <w:rsid w:val="004E16E3"/>
    <w:rsid w:val="004F0095"/>
    <w:rsid w:val="004F0588"/>
    <w:rsid w:val="004F066C"/>
    <w:rsid w:val="004F238F"/>
    <w:rsid w:val="004F29C2"/>
    <w:rsid w:val="004F33BA"/>
    <w:rsid w:val="004F57C9"/>
    <w:rsid w:val="004F58FC"/>
    <w:rsid w:val="004F7F5F"/>
    <w:rsid w:val="00503D8B"/>
    <w:rsid w:val="005050DE"/>
    <w:rsid w:val="00505E7D"/>
    <w:rsid w:val="005078B6"/>
    <w:rsid w:val="0051060E"/>
    <w:rsid w:val="00512203"/>
    <w:rsid w:val="00513B96"/>
    <w:rsid w:val="00516554"/>
    <w:rsid w:val="00516723"/>
    <w:rsid w:val="00517858"/>
    <w:rsid w:val="00520B36"/>
    <w:rsid w:val="00524E2B"/>
    <w:rsid w:val="00525055"/>
    <w:rsid w:val="005255EB"/>
    <w:rsid w:val="00525F45"/>
    <w:rsid w:val="005300CE"/>
    <w:rsid w:val="00530402"/>
    <w:rsid w:val="00532D8A"/>
    <w:rsid w:val="005343D6"/>
    <w:rsid w:val="00534825"/>
    <w:rsid w:val="0053559A"/>
    <w:rsid w:val="0053702A"/>
    <w:rsid w:val="00544A35"/>
    <w:rsid w:val="0055393A"/>
    <w:rsid w:val="00555058"/>
    <w:rsid w:val="0055639E"/>
    <w:rsid w:val="005565DD"/>
    <w:rsid w:val="00556659"/>
    <w:rsid w:val="00557FA8"/>
    <w:rsid w:val="00561878"/>
    <w:rsid w:val="0056442F"/>
    <w:rsid w:val="00564AE1"/>
    <w:rsid w:val="00564E6C"/>
    <w:rsid w:val="005719E5"/>
    <w:rsid w:val="00574BF1"/>
    <w:rsid w:val="00575FCB"/>
    <w:rsid w:val="00576215"/>
    <w:rsid w:val="00576C84"/>
    <w:rsid w:val="00577884"/>
    <w:rsid w:val="00582DE5"/>
    <w:rsid w:val="00584051"/>
    <w:rsid w:val="005855B5"/>
    <w:rsid w:val="00585D8C"/>
    <w:rsid w:val="00590343"/>
    <w:rsid w:val="00590A19"/>
    <w:rsid w:val="00590B39"/>
    <w:rsid w:val="0059175F"/>
    <w:rsid w:val="00592103"/>
    <w:rsid w:val="005931CE"/>
    <w:rsid w:val="00596E6B"/>
    <w:rsid w:val="005977B5"/>
    <w:rsid w:val="00597A6E"/>
    <w:rsid w:val="005A0D6C"/>
    <w:rsid w:val="005A2801"/>
    <w:rsid w:val="005A2C02"/>
    <w:rsid w:val="005A376D"/>
    <w:rsid w:val="005A5ECC"/>
    <w:rsid w:val="005A6CDC"/>
    <w:rsid w:val="005B05BE"/>
    <w:rsid w:val="005B0791"/>
    <w:rsid w:val="005B0DDE"/>
    <w:rsid w:val="005B0FB7"/>
    <w:rsid w:val="005B12C1"/>
    <w:rsid w:val="005B168D"/>
    <w:rsid w:val="005B1936"/>
    <w:rsid w:val="005B4273"/>
    <w:rsid w:val="005B7FB9"/>
    <w:rsid w:val="005C038B"/>
    <w:rsid w:val="005C0855"/>
    <w:rsid w:val="005C2588"/>
    <w:rsid w:val="005C47BA"/>
    <w:rsid w:val="005D0C81"/>
    <w:rsid w:val="005D2AC3"/>
    <w:rsid w:val="005D436D"/>
    <w:rsid w:val="005D461E"/>
    <w:rsid w:val="005D5010"/>
    <w:rsid w:val="005D56CE"/>
    <w:rsid w:val="005D5BD2"/>
    <w:rsid w:val="005D64B7"/>
    <w:rsid w:val="005E545E"/>
    <w:rsid w:val="005E7014"/>
    <w:rsid w:val="005E7D11"/>
    <w:rsid w:val="005F16C9"/>
    <w:rsid w:val="005F1DF8"/>
    <w:rsid w:val="005F30E0"/>
    <w:rsid w:val="005F32AE"/>
    <w:rsid w:val="005F4692"/>
    <w:rsid w:val="005F4FCF"/>
    <w:rsid w:val="005F6E81"/>
    <w:rsid w:val="005F7788"/>
    <w:rsid w:val="00606A0E"/>
    <w:rsid w:val="00610A59"/>
    <w:rsid w:val="00613511"/>
    <w:rsid w:val="00613945"/>
    <w:rsid w:val="00613E7E"/>
    <w:rsid w:val="00615407"/>
    <w:rsid w:val="006155BF"/>
    <w:rsid w:val="00615DA7"/>
    <w:rsid w:val="00616BA6"/>
    <w:rsid w:val="00616DF8"/>
    <w:rsid w:val="00617206"/>
    <w:rsid w:val="00620B48"/>
    <w:rsid w:val="00625594"/>
    <w:rsid w:val="006263F4"/>
    <w:rsid w:val="00630AB5"/>
    <w:rsid w:val="00630B17"/>
    <w:rsid w:val="00630BD3"/>
    <w:rsid w:val="0063179D"/>
    <w:rsid w:val="00633A2C"/>
    <w:rsid w:val="00634B1F"/>
    <w:rsid w:val="00637854"/>
    <w:rsid w:val="006378FE"/>
    <w:rsid w:val="0064192F"/>
    <w:rsid w:val="00643A7F"/>
    <w:rsid w:val="006472C0"/>
    <w:rsid w:val="00650737"/>
    <w:rsid w:val="00650A31"/>
    <w:rsid w:val="00651F37"/>
    <w:rsid w:val="00653342"/>
    <w:rsid w:val="00653A68"/>
    <w:rsid w:val="00653E1E"/>
    <w:rsid w:val="00653FCB"/>
    <w:rsid w:val="006545A7"/>
    <w:rsid w:val="00654D91"/>
    <w:rsid w:val="00655444"/>
    <w:rsid w:val="006556EB"/>
    <w:rsid w:val="006565B1"/>
    <w:rsid w:val="006579DB"/>
    <w:rsid w:val="00657C1F"/>
    <w:rsid w:val="00657FF8"/>
    <w:rsid w:val="00661E48"/>
    <w:rsid w:val="00662101"/>
    <w:rsid w:val="0066307E"/>
    <w:rsid w:val="0066559C"/>
    <w:rsid w:val="00665BC3"/>
    <w:rsid w:val="0066680F"/>
    <w:rsid w:val="00667F38"/>
    <w:rsid w:val="006705BB"/>
    <w:rsid w:val="00671500"/>
    <w:rsid w:val="00671E3F"/>
    <w:rsid w:val="00671E7F"/>
    <w:rsid w:val="00672CDB"/>
    <w:rsid w:val="00673923"/>
    <w:rsid w:val="00676A0B"/>
    <w:rsid w:val="00676CE0"/>
    <w:rsid w:val="00677292"/>
    <w:rsid w:val="00680828"/>
    <w:rsid w:val="00680BF9"/>
    <w:rsid w:val="00680CF9"/>
    <w:rsid w:val="006843EF"/>
    <w:rsid w:val="006846D2"/>
    <w:rsid w:val="0068682A"/>
    <w:rsid w:val="00690D3F"/>
    <w:rsid w:val="00691E15"/>
    <w:rsid w:val="00692731"/>
    <w:rsid w:val="00693B6F"/>
    <w:rsid w:val="0069458B"/>
    <w:rsid w:val="0069537F"/>
    <w:rsid w:val="00695D07"/>
    <w:rsid w:val="00697A7A"/>
    <w:rsid w:val="006A1B39"/>
    <w:rsid w:val="006A1E0D"/>
    <w:rsid w:val="006A2ADA"/>
    <w:rsid w:val="006A4312"/>
    <w:rsid w:val="006A5C86"/>
    <w:rsid w:val="006B2E22"/>
    <w:rsid w:val="006B4B37"/>
    <w:rsid w:val="006B59E3"/>
    <w:rsid w:val="006B60B4"/>
    <w:rsid w:val="006B6843"/>
    <w:rsid w:val="006B6CE0"/>
    <w:rsid w:val="006C156E"/>
    <w:rsid w:val="006C19E6"/>
    <w:rsid w:val="006C2526"/>
    <w:rsid w:val="006C2558"/>
    <w:rsid w:val="006C3C61"/>
    <w:rsid w:val="006C4346"/>
    <w:rsid w:val="006C519F"/>
    <w:rsid w:val="006C6026"/>
    <w:rsid w:val="006C719C"/>
    <w:rsid w:val="006D0098"/>
    <w:rsid w:val="006D0BED"/>
    <w:rsid w:val="006D43E2"/>
    <w:rsid w:val="006D5228"/>
    <w:rsid w:val="006D5950"/>
    <w:rsid w:val="006D59DD"/>
    <w:rsid w:val="006D5F77"/>
    <w:rsid w:val="006D71A6"/>
    <w:rsid w:val="006E0393"/>
    <w:rsid w:val="006E04C1"/>
    <w:rsid w:val="006E1B82"/>
    <w:rsid w:val="006E2174"/>
    <w:rsid w:val="006E2E2F"/>
    <w:rsid w:val="006E42CF"/>
    <w:rsid w:val="006F14EC"/>
    <w:rsid w:val="006F3B71"/>
    <w:rsid w:val="006F503B"/>
    <w:rsid w:val="006F665D"/>
    <w:rsid w:val="006F6FFA"/>
    <w:rsid w:val="006F75ED"/>
    <w:rsid w:val="006F7B28"/>
    <w:rsid w:val="007000B1"/>
    <w:rsid w:val="007021A5"/>
    <w:rsid w:val="00703C0B"/>
    <w:rsid w:val="00710FF0"/>
    <w:rsid w:val="00711FF7"/>
    <w:rsid w:val="0071327E"/>
    <w:rsid w:val="0071386E"/>
    <w:rsid w:val="0071404B"/>
    <w:rsid w:val="00714600"/>
    <w:rsid w:val="00715218"/>
    <w:rsid w:val="00715EEF"/>
    <w:rsid w:val="00717854"/>
    <w:rsid w:val="00722499"/>
    <w:rsid w:val="0072272D"/>
    <w:rsid w:val="00725239"/>
    <w:rsid w:val="007263E4"/>
    <w:rsid w:val="00726679"/>
    <w:rsid w:val="007268A1"/>
    <w:rsid w:val="0073011C"/>
    <w:rsid w:val="00732F20"/>
    <w:rsid w:val="00733099"/>
    <w:rsid w:val="00733D51"/>
    <w:rsid w:val="00734B19"/>
    <w:rsid w:val="00734B21"/>
    <w:rsid w:val="00734B36"/>
    <w:rsid w:val="0073629C"/>
    <w:rsid w:val="00737689"/>
    <w:rsid w:val="00741FD1"/>
    <w:rsid w:val="007438E4"/>
    <w:rsid w:val="007442BC"/>
    <w:rsid w:val="007449B8"/>
    <w:rsid w:val="00745650"/>
    <w:rsid w:val="00745E52"/>
    <w:rsid w:val="007473CF"/>
    <w:rsid w:val="0074742C"/>
    <w:rsid w:val="00750D3F"/>
    <w:rsid w:val="007524E6"/>
    <w:rsid w:val="007530E2"/>
    <w:rsid w:val="00753BA6"/>
    <w:rsid w:val="007540A2"/>
    <w:rsid w:val="0075481D"/>
    <w:rsid w:val="00755193"/>
    <w:rsid w:val="00756C30"/>
    <w:rsid w:val="00757F42"/>
    <w:rsid w:val="00760B3A"/>
    <w:rsid w:val="007624B0"/>
    <w:rsid w:val="0076281F"/>
    <w:rsid w:val="0076395A"/>
    <w:rsid w:val="00764351"/>
    <w:rsid w:val="00765E55"/>
    <w:rsid w:val="00766408"/>
    <w:rsid w:val="00767110"/>
    <w:rsid w:val="0077152A"/>
    <w:rsid w:val="00774B37"/>
    <w:rsid w:val="00775525"/>
    <w:rsid w:val="0077733D"/>
    <w:rsid w:val="00780400"/>
    <w:rsid w:val="007821A8"/>
    <w:rsid w:val="007832E2"/>
    <w:rsid w:val="0078346E"/>
    <w:rsid w:val="00783F47"/>
    <w:rsid w:val="007849E1"/>
    <w:rsid w:val="00785637"/>
    <w:rsid w:val="007857D7"/>
    <w:rsid w:val="00785B7C"/>
    <w:rsid w:val="00785BB3"/>
    <w:rsid w:val="00785DDC"/>
    <w:rsid w:val="00786C59"/>
    <w:rsid w:val="00786D28"/>
    <w:rsid w:val="0079192A"/>
    <w:rsid w:val="00792CD2"/>
    <w:rsid w:val="007933B9"/>
    <w:rsid w:val="00793A95"/>
    <w:rsid w:val="0079617A"/>
    <w:rsid w:val="007A0939"/>
    <w:rsid w:val="007A0DC0"/>
    <w:rsid w:val="007A12BB"/>
    <w:rsid w:val="007A1585"/>
    <w:rsid w:val="007A1D2D"/>
    <w:rsid w:val="007A395F"/>
    <w:rsid w:val="007A477B"/>
    <w:rsid w:val="007A54C0"/>
    <w:rsid w:val="007A5E5B"/>
    <w:rsid w:val="007A6C7D"/>
    <w:rsid w:val="007B0B7A"/>
    <w:rsid w:val="007B119F"/>
    <w:rsid w:val="007B17D0"/>
    <w:rsid w:val="007B27D9"/>
    <w:rsid w:val="007B50CF"/>
    <w:rsid w:val="007B574E"/>
    <w:rsid w:val="007B7533"/>
    <w:rsid w:val="007C0326"/>
    <w:rsid w:val="007C03CC"/>
    <w:rsid w:val="007C0C2A"/>
    <w:rsid w:val="007C1598"/>
    <w:rsid w:val="007C2594"/>
    <w:rsid w:val="007C3359"/>
    <w:rsid w:val="007C3713"/>
    <w:rsid w:val="007C5099"/>
    <w:rsid w:val="007C79CC"/>
    <w:rsid w:val="007D096B"/>
    <w:rsid w:val="007D1BAB"/>
    <w:rsid w:val="007D26A9"/>
    <w:rsid w:val="007D2FA7"/>
    <w:rsid w:val="007D382E"/>
    <w:rsid w:val="007D5346"/>
    <w:rsid w:val="007D5355"/>
    <w:rsid w:val="007D5460"/>
    <w:rsid w:val="007D5502"/>
    <w:rsid w:val="007D75FB"/>
    <w:rsid w:val="007D78FF"/>
    <w:rsid w:val="007E0179"/>
    <w:rsid w:val="007E03E2"/>
    <w:rsid w:val="007E2C2C"/>
    <w:rsid w:val="007E3CA9"/>
    <w:rsid w:val="007E4133"/>
    <w:rsid w:val="007E4A57"/>
    <w:rsid w:val="007E60DD"/>
    <w:rsid w:val="007E66B9"/>
    <w:rsid w:val="007F1EE9"/>
    <w:rsid w:val="007F60D3"/>
    <w:rsid w:val="007F6FF1"/>
    <w:rsid w:val="007F7AE6"/>
    <w:rsid w:val="00800453"/>
    <w:rsid w:val="008004A5"/>
    <w:rsid w:val="00800592"/>
    <w:rsid w:val="00802215"/>
    <w:rsid w:val="00805AB1"/>
    <w:rsid w:val="00805C72"/>
    <w:rsid w:val="00806741"/>
    <w:rsid w:val="00806AAF"/>
    <w:rsid w:val="00811669"/>
    <w:rsid w:val="008117CC"/>
    <w:rsid w:val="0081327F"/>
    <w:rsid w:val="0081399D"/>
    <w:rsid w:val="008143E7"/>
    <w:rsid w:val="00816215"/>
    <w:rsid w:val="00817A00"/>
    <w:rsid w:val="00817F8D"/>
    <w:rsid w:val="008202F1"/>
    <w:rsid w:val="008210EE"/>
    <w:rsid w:val="0082154F"/>
    <w:rsid w:val="008218A4"/>
    <w:rsid w:val="00821B48"/>
    <w:rsid w:val="00821EBB"/>
    <w:rsid w:val="00822F72"/>
    <w:rsid w:val="0082608E"/>
    <w:rsid w:val="00831AAA"/>
    <w:rsid w:val="00831E97"/>
    <w:rsid w:val="00832334"/>
    <w:rsid w:val="008403BC"/>
    <w:rsid w:val="008424EB"/>
    <w:rsid w:val="00842882"/>
    <w:rsid w:val="00844A4C"/>
    <w:rsid w:val="00845A3A"/>
    <w:rsid w:val="00846B3D"/>
    <w:rsid w:val="008471E3"/>
    <w:rsid w:val="00850CFF"/>
    <w:rsid w:val="00850FC8"/>
    <w:rsid w:val="00851172"/>
    <w:rsid w:val="008512B8"/>
    <w:rsid w:val="00852396"/>
    <w:rsid w:val="00853E08"/>
    <w:rsid w:val="0085409A"/>
    <w:rsid w:val="008561D6"/>
    <w:rsid w:val="00860140"/>
    <w:rsid w:val="008601EE"/>
    <w:rsid w:val="00861275"/>
    <w:rsid w:val="008623FA"/>
    <w:rsid w:val="0086242D"/>
    <w:rsid w:val="0086267A"/>
    <w:rsid w:val="0086678B"/>
    <w:rsid w:val="00870F94"/>
    <w:rsid w:val="00872021"/>
    <w:rsid w:val="00875680"/>
    <w:rsid w:val="00875896"/>
    <w:rsid w:val="00877662"/>
    <w:rsid w:val="00877917"/>
    <w:rsid w:val="008800DA"/>
    <w:rsid w:val="00880F05"/>
    <w:rsid w:val="00883F10"/>
    <w:rsid w:val="00885A3A"/>
    <w:rsid w:val="00886939"/>
    <w:rsid w:val="008870A5"/>
    <w:rsid w:val="0089155F"/>
    <w:rsid w:val="008930FA"/>
    <w:rsid w:val="008945F1"/>
    <w:rsid w:val="00894E3F"/>
    <w:rsid w:val="008961F2"/>
    <w:rsid w:val="0089748C"/>
    <w:rsid w:val="008A3822"/>
    <w:rsid w:val="008A47E0"/>
    <w:rsid w:val="008A4B9C"/>
    <w:rsid w:val="008A6014"/>
    <w:rsid w:val="008A7B1C"/>
    <w:rsid w:val="008B0710"/>
    <w:rsid w:val="008B0D61"/>
    <w:rsid w:val="008B3061"/>
    <w:rsid w:val="008B40E6"/>
    <w:rsid w:val="008B43DB"/>
    <w:rsid w:val="008B48E1"/>
    <w:rsid w:val="008C03CC"/>
    <w:rsid w:val="008C0827"/>
    <w:rsid w:val="008C37CC"/>
    <w:rsid w:val="008C5FD0"/>
    <w:rsid w:val="008D078A"/>
    <w:rsid w:val="008D0FCD"/>
    <w:rsid w:val="008D1B6C"/>
    <w:rsid w:val="008D3C56"/>
    <w:rsid w:val="008D3F38"/>
    <w:rsid w:val="008D43DF"/>
    <w:rsid w:val="008D4435"/>
    <w:rsid w:val="008D4889"/>
    <w:rsid w:val="008D5F60"/>
    <w:rsid w:val="008D60FE"/>
    <w:rsid w:val="008E2B6F"/>
    <w:rsid w:val="008E4F79"/>
    <w:rsid w:val="008E539D"/>
    <w:rsid w:val="008E7D7E"/>
    <w:rsid w:val="008E7FC5"/>
    <w:rsid w:val="008F01F6"/>
    <w:rsid w:val="008F15F9"/>
    <w:rsid w:val="008F1E82"/>
    <w:rsid w:val="008F26C2"/>
    <w:rsid w:val="008F3D30"/>
    <w:rsid w:val="008F4951"/>
    <w:rsid w:val="008F4E07"/>
    <w:rsid w:val="008F5998"/>
    <w:rsid w:val="008F6473"/>
    <w:rsid w:val="008F6C15"/>
    <w:rsid w:val="008F7D0E"/>
    <w:rsid w:val="009000F0"/>
    <w:rsid w:val="009027D7"/>
    <w:rsid w:val="00903A14"/>
    <w:rsid w:val="00906E2F"/>
    <w:rsid w:val="00907DCE"/>
    <w:rsid w:val="009105AE"/>
    <w:rsid w:val="00910D10"/>
    <w:rsid w:val="00913367"/>
    <w:rsid w:val="0091377F"/>
    <w:rsid w:val="00916F86"/>
    <w:rsid w:val="009172CD"/>
    <w:rsid w:val="00917602"/>
    <w:rsid w:val="009204AA"/>
    <w:rsid w:val="009223CF"/>
    <w:rsid w:val="00923115"/>
    <w:rsid w:val="00923515"/>
    <w:rsid w:val="00924DBD"/>
    <w:rsid w:val="009252AA"/>
    <w:rsid w:val="0092642F"/>
    <w:rsid w:val="009274CC"/>
    <w:rsid w:val="009326F4"/>
    <w:rsid w:val="009329F6"/>
    <w:rsid w:val="00932C77"/>
    <w:rsid w:val="00932DD6"/>
    <w:rsid w:val="00933023"/>
    <w:rsid w:val="0093321F"/>
    <w:rsid w:val="00933CF0"/>
    <w:rsid w:val="00934DBE"/>
    <w:rsid w:val="0093520C"/>
    <w:rsid w:val="00935719"/>
    <w:rsid w:val="00935797"/>
    <w:rsid w:val="009359E6"/>
    <w:rsid w:val="00946DDD"/>
    <w:rsid w:val="0094792C"/>
    <w:rsid w:val="00947E92"/>
    <w:rsid w:val="00950F43"/>
    <w:rsid w:val="00951EC4"/>
    <w:rsid w:val="0095272C"/>
    <w:rsid w:val="0095367D"/>
    <w:rsid w:val="00953DD2"/>
    <w:rsid w:val="009545DC"/>
    <w:rsid w:val="00955291"/>
    <w:rsid w:val="00957041"/>
    <w:rsid w:val="00960B16"/>
    <w:rsid w:val="00960E43"/>
    <w:rsid w:val="00960E72"/>
    <w:rsid w:val="009635E0"/>
    <w:rsid w:val="0096372E"/>
    <w:rsid w:val="00967A97"/>
    <w:rsid w:val="009702D4"/>
    <w:rsid w:val="0097153F"/>
    <w:rsid w:val="00972A5F"/>
    <w:rsid w:val="00973C53"/>
    <w:rsid w:val="009742EC"/>
    <w:rsid w:val="009764CD"/>
    <w:rsid w:val="00976C6B"/>
    <w:rsid w:val="00982344"/>
    <w:rsid w:val="009826B3"/>
    <w:rsid w:val="009831DF"/>
    <w:rsid w:val="00984B60"/>
    <w:rsid w:val="00985A6B"/>
    <w:rsid w:val="00985B80"/>
    <w:rsid w:val="009873AD"/>
    <w:rsid w:val="009922BE"/>
    <w:rsid w:val="009928D6"/>
    <w:rsid w:val="0099356E"/>
    <w:rsid w:val="009939C8"/>
    <w:rsid w:val="00994261"/>
    <w:rsid w:val="009946CE"/>
    <w:rsid w:val="00995594"/>
    <w:rsid w:val="00996B0F"/>
    <w:rsid w:val="00997097"/>
    <w:rsid w:val="009A1A99"/>
    <w:rsid w:val="009A223F"/>
    <w:rsid w:val="009A2777"/>
    <w:rsid w:val="009A5F6B"/>
    <w:rsid w:val="009A73E8"/>
    <w:rsid w:val="009A75B3"/>
    <w:rsid w:val="009B0C73"/>
    <w:rsid w:val="009B1D8E"/>
    <w:rsid w:val="009B6937"/>
    <w:rsid w:val="009B717C"/>
    <w:rsid w:val="009C420C"/>
    <w:rsid w:val="009C5004"/>
    <w:rsid w:val="009C5563"/>
    <w:rsid w:val="009C622F"/>
    <w:rsid w:val="009C78B8"/>
    <w:rsid w:val="009D016E"/>
    <w:rsid w:val="009D0801"/>
    <w:rsid w:val="009D1743"/>
    <w:rsid w:val="009D1EDE"/>
    <w:rsid w:val="009D3060"/>
    <w:rsid w:val="009D45C7"/>
    <w:rsid w:val="009D506A"/>
    <w:rsid w:val="009D525B"/>
    <w:rsid w:val="009D6BCF"/>
    <w:rsid w:val="009D6CE9"/>
    <w:rsid w:val="009D79C6"/>
    <w:rsid w:val="009E04D9"/>
    <w:rsid w:val="009E1C2D"/>
    <w:rsid w:val="009E1FBD"/>
    <w:rsid w:val="009E3584"/>
    <w:rsid w:val="009E413C"/>
    <w:rsid w:val="009E4B1F"/>
    <w:rsid w:val="009E5DED"/>
    <w:rsid w:val="009E687C"/>
    <w:rsid w:val="009E7AEC"/>
    <w:rsid w:val="009F0A86"/>
    <w:rsid w:val="009F0D77"/>
    <w:rsid w:val="009F2DB6"/>
    <w:rsid w:val="009F2EF9"/>
    <w:rsid w:val="009F462B"/>
    <w:rsid w:val="00A015FC"/>
    <w:rsid w:val="00A0225D"/>
    <w:rsid w:val="00A04DAB"/>
    <w:rsid w:val="00A05FFB"/>
    <w:rsid w:val="00A06525"/>
    <w:rsid w:val="00A102A8"/>
    <w:rsid w:val="00A108B6"/>
    <w:rsid w:val="00A11788"/>
    <w:rsid w:val="00A129D4"/>
    <w:rsid w:val="00A1358A"/>
    <w:rsid w:val="00A138D8"/>
    <w:rsid w:val="00A14A8E"/>
    <w:rsid w:val="00A154BC"/>
    <w:rsid w:val="00A16696"/>
    <w:rsid w:val="00A24C10"/>
    <w:rsid w:val="00A260B3"/>
    <w:rsid w:val="00A26B29"/>
    <w:rsid w:val="00A27CF0"/>
    <w:rsid w:val="00A30216"/>
    <w:rsid w:val="00A309F1"/>
    <w:rsid w:val="00A31771"/>
    <w:rsid w:val="00A3227C"/>
    <w:rsid w:val="00A32E11"/>
    <w:rsid w:val="00A3303C"/>
    <w:rsid w:val="00A33401"/>
    <w:rsid w:val="00A33902"/>
    <w:rsid w:val="00A34893"/>
    <w:rsid w:val="00A349B7"/>
    <w:rsid w:val="00A3594A"/>
    <w:rsid w:val="00A36132"/>
    <w:rsid w:val="00A37571"/>
    <w:rsid w:val="00A400AB"/>
    <w:rsid w:val="00A40438"/>
    <w:rsid w:val="00A43770"/>
    <w:rsid w:val="00A451D6"/>
    <w:rsid w:val="00A45E84"/>
    <w:rsid w:val="00A4704B"/>
    <w:rsid w:val="00A473E2"/>
    <w:rsid w:val="00A50033"/>
    <w:rsid w:val="00A512C9"/>
    <w:rsid w:val="00A531EB"/>
    <w:rsid w:val="00A5332B"/>
    <w:rsid w:val="00A53C78"/>
    <w:rsid w:val="00A62187"/>
    <w:rsid w:val="00A63B57"/>
    <w:rsid w:val="00A63FDB"/>
    <w:rsid w:val="00A64B57"/>
    <w:rsid w:val="00A65C27"/>
    <w:rsid w:val="00A70643"/>
    <w:rsid w:val="00A70FC4"/>
    <w:rsid w:val="00A71B58"/>
    <w:rsid w:val="00A7271D"/>
    <w:rsid w:val="00A74A87"/>
    <w:rsid w:val="00A753AB"/>
    <w:rsid w:val="00A774F8"/>
    <w:rsid w:val="00A8105C"/>
    <w:rsid w:val="00A81F90"/>
    <w:rsid w:val="00A823AE"/>
    <w:rsid w:val="00A829DB"/>
    <w:rsid w:val="00A82B01"/>
    <w:rsid w:val="00A8314E"/>
    <w:rsid w:val="00A84520"/>
    <w:rsid w:val="00A847C2"/>
    <w:rsid w:val="00A875EF"/>
    <w:rsid w:val="00A879A3"/>
    <w:rsid w:val="00A87F05"/>
    <w:rsid w:val="00A91332"/>
    <w:rsid w:val="00A91FA8"/>
    <w:rsid w:val="00A93BB1"/>
    <w:rsid w:val="00A97468"/>
    <w:rsid w:val="00A9792D"/>
    <w:rsid w:val="00AA138E"/>
    <w:rsid w:val="00AA175F"/>
    <w:rsid w:val="00AA2AB0"/>
    <w:rsid w:val="00AA3526"/>
    <w:rsid w:val="00AA551D"/>
    <w:rsid w:val="00AA6831"/>
    <w:rsid w:val="00AA738D"/>
    <w:rsid w:val="00AA7E12"/>
    <w:rsid w:val="00AB12AE"/>
    <w:rsid w:val="00AB1C12"/>
    <w:rsid w:val="00AB2D97"/>
    <w:rsid w:val="00AB4BEE"/>
    <w:rsid w:val="00AB4F98"/>
    <w:rsid w:val="00AB7AD6"/>
    <w:rsid w:val="00AC004E"/>
    <w:rsid w:val="00AC068B"/>
    <w:rsid w:val="00AC2790"/>
    <w:rsid w:val="00AC4AF7"/>
    <w:rsid w:val="00AD0112"/>
    <w:rsid w:val="00AD013D"/>
    <w:rsid w:val="00AD0323"/>
    <w:rsid w:val="00AD0D5F"/>
    <w:rsid w:val="00AD0DF4"/>
    <w:rsid w:val="00AD1824"/>
    <w:rsid w:val="00AD2729"/>
    <w:rsid w:val="00AD350A"/>
    <w:rsid w:val="00AD35AB"/>
    <w:rsid w:val="00AD4D68"/>
    <w:rsid w:val="00AD6DB5"/>
    <w:rsid w:val="00AE23F4"/>
    <w:rsid w:val="00AE2781"/>
    <w:rsid w:val="00AE3501"/>
    <w:rsid w:val="00AE4306"/>
    <w:rsid w:val="00AE49E2"/>
    <w:rsid w:val="00AE66C0"/>
    <w:rsid w:val="00AF035F"/>
    <w:rsid w:val="00AF0432"/>
    <w:rsid w:val="00AF0DAB"/>
    <w:rsid w:val="00AF1411"/>
    <w:rsid w:val="00AF14BB"/>
    <w:rsid w:val="00AF4A67"/>
    <w:rsid w:val="00AF5473"/>
    <w:rsid w:val="00AF641B"/>
    <w:rsid w:val="00AF6DD6"/>
    <w:rsid w:val="00B016A5"/>
    <w:rsid w:val="00B01DBB"/>
    <w:rsid w:val="00B02D71"/>
    <w:rsid w:val="00B05CED"/>
    <w:rsid w:val="00B0680F"/>
    <w:rsid w:val="00B07DF5"/>
    <w:rsid w:val="00B110D0"/>
    <w:rsid w:val="00B11A4F"/>
    <w:rsid w:val="00B12321"/>
    <w:rsid w:val="00B124C8"/>
    <w:rsid w:val="00B12F16"/>
    <w:rsid w:val="00B13A45"/>
    <w:rsid w:val="00B14E2D"/>
    <w:rsid w:val="00B150D5"/>
    <w:rsid w:val="00B15346"/>
    <w:rsid w:val="00B16168"/>
    <w:rsid w:val="00B16830"/>
    <w:rsid w:val="00B17691"/>
    <w:rsid w:val="00B20790"/>
    <w:rsid w:val="00B20E4D"/>
    <w:rsid w:val="00B215FA"/>
    <w:rsid w:val="00B24569"/>
    <w:rsid w:val="00B24841"/>
    <w:rsid w:val="00B2519E"/>
    <w:rsid w:val="00B25A41"/>
    <w:rsid w:val="00B277D8"/>
    <w:rsid w:val="00B300AA"/>
    <w:rsid w:val="00B308CC"/>
    <w:rsid w:val="00B31826"/>
    <w:rsid w:val="00B33F71"/>
    <w:rsid w:val="00B349E6"/>
    <w:rsid w:val="00B34E87"/>
    <w:rsid w:val="00B41408"/>
    <w:rsid w:val="00B41B49"/>
    <w:rsid w:val="00B41C66"/>
    <w:rsid w:val="00B43236"/>
    <w:rsid w:val="00B44620"/>
    <w:rsid w:val="00B44C40"/>
    <w:rsid w:val="00B52DDE"/>
    <w:rsid w:val="00B530E8"/>
    <w:rsid w:val="00B53E86"/>
    <w:rsid w:val="00B557D8"/>
    <w:rsid w:val="00B6191F"/>
    <w:rsid w:val="00B622AE"/>
    <w:rsid w:val="00B63698"/>
    <w:rsid w:val="00B637CC"/>
    <w:rsid w:val="00B63B08"/>
    <w:rsid w:val="00B67948"/>
    <w:rsid w:val="00B70B43"/>
    <w:rsid w:val="00B7126D"/>
    <w:rsid w:val="00B71443"/>
    <w:rsid w:val="00B71D39"/>
    <w:rsid w:val="00B745E5"/>
    <w:rsid w:val="00B777B4"/>
    <w:rsid w:val="00B80A04"/>
    <w:rsid w:val="00B81D1A"/>
    <w:rsid w:val="00B81E57"/>
    <w:rsid w:val="00B8299B"/>
    <w:rsid w:val="00B82CD8"/>
    <w:rsid w:val="00B83D91"/>
    <w:rsid w:val="00B8604E"/>
    <w:rsid w:val="00B915D6"/>
    <w:rsid w:val="00B9164B"/>
    <w:rsid w:val="00B927B4"/>
    <w:rsid w:val="00B949B2"/>
    <w:rsid w:val="00B95362"/>
    <w:rsid w:val="00B96053"/>
    <w:rsid w:val="00B9661B"/>
    <w:rsid w:val="00B96987"/>
    <w:rsid w:val="00BA06B7"/>
    <w:rsid w:val="00BA3662"/>
    <w:rsid w:val="00BA38EB"/>
    <w:rsid w:val="00BA3DA2"/>
    <w:rsid w:val="00BA5597"/>
    <w:rsid w:val="00BA5BE7"/>
    <w:rsid w:val="00BA7EEF"/>
    <w:rsid w:val="00BB04D5"/>
    <w:rsid w:val="00BB105B"/>
    <w:rsid w:val="00BB1079"/>
    <w:rsid w:val="00BB170C"/>
    <w:rsid w:val="00BB7BC9"/>
    <w:rsid w:val="00BC05E8"/>
    <w:rsid w:val="00BC0C99"/>
    <w:rsid w:val="00BC148B"/>
    <w:rsid w:val="00BC254E"/>
    <w:rsid w:val="00BC521C"/>
    <w:rsid w:val="00BC6226"/>
    <w:rsid w:val="00BC6FB7"/>
    <w:rsid w:val="00BC727E"/>
    <w:rsid w:val="00BC7363"/>
    <w:rsid w:val="00BC75FC"/>
    <w:rsid w:val="00BD0F71"/>
    <w:rsid w:val="00BD111F"/>
    <w:rsid w:val="00BD2DCB"/>
    <w:rsid w:val="00BD40EB"/>
    <w:rsid w:val="00BD4662"/>
    <w:rsid w:val="00BD4BB8"/>
    <w:rsid w:val="00BD54ED"/>
    <w:rsid w:val="00BD5BF3"/>
    <w:rsid w:val="00BD645E"/>
    <w:rsid w:val="00BE0E44"/>
    <w:rsid w:val="00BE1439"/>
    <w:rsid w:val="00BE18D1"/>
    <w:rsid w:val="00BE285B"/>
    <w:rsid w:val="00BE40A2"/>
    <w:rsid w:val="00BE48E6"/>
    <w:rsid w:val="00BE602D"/>
    <w:rsid w:val="00BE7793"/>
    <w:rsid w:val="00BE7D8B"/>
    <w:rsid w:val="00BF0848"/>
    <w:rsid w:val="00BF27D0"/>
    <w:rsid w:val="00BF796F"/>
    <w:rsid w:val="00C01237"/>
    <w:rsid w:val="00C01C76"/>
    <w:rsid w:val="00C02BF8"/>
    <w:rsid w:val="00C03D36"/>
    <w:rsid w:val="00C06ACB"/>
    <w:rsid w:val="00C11FD0"/>
    <w:rsid w:val="00C12126"/>
    <w:rsid w:val="00C16BA4"/>
    <w:rsid w:val="00C1717B"/>
    <w:rsid w:val="00C1752F"/>
    <w:rsid w:val="00C24AFE"/>
    <w:rsid w:val="00C255E5"/>
    <w:rsid w:val="00C27E6E"/>
    <w:rsid w:val="00C3039D"/>
    <w:rsid w:val="00C30D8F"/>
    <w:rsid w:val="00C31234"/>
    <w:rsid w:val="00C32721"/>
    <w:rsid w:val="00C327FF"/>
    <w:rsid w:val="00C3413D"/>
    <w:rsid w:val="00C37BA0"/>
    <w:rsid w:val="00C400B0"/>
    <w:rsid w:val="00C41887"/>
    <w:rsid w:val="00C41A1A"/>
    <w:rsid w:val="00C41C16"/>
    <w:rsid w:val="00C4489F"/>
    <w:rsid w:val="00C460CB"/>
    <w:rsid w:val="00C466A9"/>
    <w:rsid w:val="00C473CA"/>
    <w:rsid w:val="00C52DE3"/>
    <w:rsid w:val="00C54165"/>
    <w:rsid w:val="00C569D8"/>
    <w:rsid w:val="00C60335"/>
    <w:rsid w:val="00C603A1"/>
    <w:rsid w:val="00C613A5"/>
    <w:rsid w:val="00C61A21"/>
    <w:rsid w:val="00C64874"/>
    <w:rsid w:val="00C64B37"/>
    <w:rsid w:val="00C66815"/>
    <w:rsid w:val="00C671F8"/>
    <w:rsid w:val="00C67C27"/>
    <w:rsid w:val="00C67E84"/>
    <w:rsid w:val="00C729A2"/>
    <w:rsid w:val="00C73260"/>
    <w:rsid w:val="00C73318"/>
    <w:rsid w:val="00C73532"/>
    <w:rsid w:val="00C755DF"/>
    <w:rsid w:val="00C762BD"/>
    <w:rsid w:val="00C83D02"/>
    <w:rsid w:val="00C872EB"/>
    <w:rsid w:val="00C874C6"/>
    <w:rsid w:val="00C90E3E"/>
    <w:rsid w:val="00C919F6"/>
    <w:rsid w:val="00C92AB3"/>
    <w:rsid w:val="00C93219"/>
    <w:rsid w:val="00C937E1"/>
    <w:rsid w:val="00C9523E"/>
    <w:rsid w:val="00C9551A"/>
    <w:rsid w:val="00C957F1"/>
    <w:rsid w:val="00C9717F"/>
    <w:rsid w:val="00C97319"/>
    <w:rsid w:val="00C978BF"/>
    <w:rsid w:val="00CA2292"/>
    <w:rsid w:val="00CA2746"/>
    <w:rsid w:val="00CA2856"/>
    <w:rsid w:val="00CA3545"/>
    <w:rsid w:val="00CA5F00"/>
    <w:rsid w:val="00CA62A6"/>
    <w:rsid w:val="00CA63BE"/>
    <w:rsid w:val="00CA72CE"/>
    <w:rsid w:val="00CB09A8"/>
    <w:rsid w:val="00CB469F"/>
    <w:rsid w:val="00CB4B9B"/>
    <w:rsid w:val="00CB7329"/>
    <w:rsid w:val="00CB7D83"/>
    <w:rsid w:val="00CC0E06"/>
    <w:rsid w:val="00CC30E2"/>
    <w:rsid w:val="00CC392D"/>
    <w:rsid w:val="00CC443B"/>
    <w:rsid w:val="00CC474C"/>
    <w:rsid w:val="00CC484D"/>
    <w:rsid w:val="00CC4EEA"/>
    <w:rsid w:val="00CC6948"/>
    <w:rsid w:val="00CC73C4"/>
    <w:rsid w:val="00CD09E7"/>
    <w:rsid w:val="00CD2F4F"/>
    <w:rsid w:val="00CD3864"/>
    <w:rsid w:val="00CD5326"/>
    <w:rsid w:val="00CD5383"/>
    <w:rsid w:val="00CD5A9E"/>
    <w:rsid w:val="00CD78CC"/>
    <w:rsid w:val="00CD7F5D"/>
    <w:rsid w:val="00CE0045"/>
    <w:rsid w:val="00CE117B"/>
    <w:rsid w:val="00CE1FFD"/>
    <w:rsid w:val="00CE3DA7"/>
    <w:rsid w:val="00CE5E76"/>
    <w:rsid w:val="00CE605A"/>
    <w:rsid w:val="00CE65BF"/>
    <w:rsid w:val="00CE6BD2"/>
    <w:rsid w:val="00CF3223"/>
    <w:rsid w:val="00CF327D"/>
    <w:rsid w:val="00CF449C"/>
    <w:rsid w:val="00CF480E"/>
    <w:rsid w:val="00CF77CE"/>
    <w:rsid w:val="00D02399"/>
    <w:rsid w:val="00D030FC"/>
    <w:rsid w:val="00D0439B"/>
    <w:rsid w:val="00D0528F"/>
    <w:rsid w:val="00D05A44"/>
    <w:rsid w:val="00D07C63"/>
    <w:rsid w:val="00D102B2"/>
    <w:rsid w:val="00D102D5"/>
    <w:rsid w:val="00D12717"/>
    <w:rsid w:val="00D12F7F"/>
    <w:rsid w:val="00D138D9"/>
    <w:rsid w:val="00D1391E"/>
    <w:rsid w:val="00D139BF"/>
    <w:rsid w:val="00D13BDC"/>
    <w:rsid w:val="00D165DB"/>
    <w:rsid w:val="00D1720B"/>
    <w:rsid w:val="00D20A76"/>
    <w:rsid w:val="00D21A07"/>
    <w:rsid w:val="00D21C9A"/>
    <w:rsid w:val="00D22609"/>
    <w:rsid w:val="00D30907"/>
    <w:rsid w:val="00D316B8"/>
    <w:rsid w:val="00D36AB7"/>
    <w:rsid w:val="00D4093F"/>
    <w:rsid w:val="00D463D0"/>
    <w:rsid w:val="00D47919"/>
    <w:rsid w:val="00D51E0C"/>
    <w:rsid w:val="00D52B20"/>
    <w:rsid w:val="00D53932"/>
    <w:rsid w:val="00D55B62"/>
    <w:rsid w:val="00D55D42"/>
    <w:rsid w:val="00D569C4"/>
    <w:rsid w:val="00D56F47"/>
    <w:rsid w:val="00D574D0"/>
    <w:rsid w:val="00D57E83"/>
    <w:rsid w:val="00D6143B"/>
    <w:rsid w:val="00D6196D"/>
    <w:rsid w:val="00D62001"/>
    <w:rsid w:val="00D6296F"/>
    <w:rsid w:val="00D66D18"/>
    <w:rsid w:val="00D67B75"/>
    <w:rsid w:val="00D72419"/>
    <w:rsid w:val="00D72877"/>
    <w:rsid w:val="00D749BC"/>
    <w:rsid w:val="00D751D5"/>
    <w:rsid w:val="00D75AE8"/>
    <w:rsid w:val="00D77805"/>
    <w:rsid w:val="00D8342B"/>
    <w:rsid w:val="00D838F0"/>
    <w:rsid w:val="00D84DA5"/>
    <w:rsid w:val="00D8585C"/>
    <w:rsid w:val="00D859EE"/>
    <w:rsid w:val="00D85DD1"/>
    <w:rsid w:val="00D87627"/>
    <w:rsid w:val="00D90788"/>
    <w:rsid w:val="00D93E55"/>
    <w:rsid w:val="00D94192"/>
    <w:rsid w:val="00D95C80"/>
    <w:rsid w:val="00D97411"/>
    <w:rsid w:val="00DA1A10"/>
    <w:rsid w:val="00DA3434"/>
    <w:rsid w:val="00DA3C61"/>
    <w:rsid w:val="00DA755C"/>
    <w:rsid w:val="00DB0C8F"/>
    <w:rsid w:val="00DB0DB4"/>
    <w:rsid w:val="00DB15A7"/>
    <w:rsid w:val="00DB4D59"/>
    <w:rsid w:val="00DB6ABF"/>
    <w:rsid w:val="00DC03BE"/>
    <w:rsid w:val="00DC08A0"/>
    <w:rsid w:val="00DC37AC"/>
    <w:rsid w:val="00DC46B0"/>
    <w:rsid w:val="00DC64E9"/>
    <w:rsid w:val="00DC7359"/>
    <w:rsid w:val="00DD0C20"/>
    <w:rsid w:val="00DD0E76"/>
    <w:rsid w:val="00DD3844"/>
    <w:rsid w:val="00DE08C8"/>
    <w:rsid w:val="00DE2F2A"/>
    <w:rsid w:val="00DE47CB"/>
    <w:rsid w:val="00DE7DC8"/>
    <w:rsid w:val="00DF085E"/>
    <w:rsid w:val="00DF2A79"/>
    <w:rsid w:val="00DF328B"/>
    <w:rsid w:val="00DF4676"/>
    <w:rsid w:val="00DF5651"/>
    <w:rsid w:val="00DF5AC1"/>
    <w:rsid w:val="00DF756C"/>
    <w:rsid w:val="00E006BF"/>
    <w:rsid w:val="00E00B20"/>
    <w:rsid w:val="00E00C1F"/>
    <w:rsid w:val="00E012C6"/>
    <w:rsid w:val="00E0312D"/>
    <w:rsid w:val="00E0380F"/>
    <w:rsid w:val="00E059B8"/>
    <w:rsid w:val="00E05A55"/>
    <w:rsid w:val="00E06913"/>
    <w:rsid w:val="00E06ED1"/>
    <w:rsid w:val="00E07459"/>
    <w:rsid w:val="00E07B28"/>
    <w:rsid w:val="00E07C44"/>
    <w:rsid w:val="00E11812"/>
    <w:rsid w:val="00E11A11"/>
    <w:rsid w:val="00E11AC4"/>
    <w:rsid w:val="00E13820"/>
    <w:rsid w:val="00E13861"/>
    <w:rsid w:val="00E15946"/>
    <w:rsid w:val="00E16DD1"/>
    <w:rsid w:val="00E17ECD"/>
    <w:rsid w:val="00E20776"/>
    <w:rsid w:val="00E23422"/>
    <w:rsid w:val="00E23548"/>
    <w:rsid w:val="00E276B7"/>
    <w:rsid w:val="00E316A3"/>
    <w:rsid w:val="00E32919"/>
    <w:rsid w:val="00E359B8"/>
    <w:rsid w:val="00E37CF2"/>
    <w:rsid w:val="00E37E65"/>
    <w:rsid w:val="00E41397"/>
    <w:rsid w:val="00E41420"/>
    <w:rsid w:val="00E4379A"/>
    <w:rsid w:val="00E4483B"/>
    <w:rsid w:val="00E47B4C"/>
    <w:rsid w:val="00E50345"/>
    <w:rsid w:val="00E550E6"/>
    <w:rsid w:val="00E556C8"/>
    <w:rsid w:val="00E56855"/>
    <w:rsid w:val="00E60426"/>
    <w:rsid w:val="00E61004"/>
    <w:rsid w:val="00E62F68"/>
    <w:rsid w:val="00E63052"/>
    <w:rsid w:val="00E63579"/>
    <w:rsid w:val="00E6363C"/>
    <w:rsid w:val="00E66108"/>
    <w:rsid w:val="00E70169"/>
    <w:rsid w:val="00E71A27"/>
    <w:rsid w:val="00E74B2E"/>
    <w:rsid w:val="00E778C2"/>
    <w:rsid w:val="00E809E3"/>
    <w:rsid w:val="00E80D78"/>
    <w:rsid w:val="00E81758"/>
    <w:rsid w:val="00E81B96"/>
    <w:rsid w:val="00E83772"/>
    <w:rsid w:val="00E855A5"/>
    <w:rsid w:val="00E8587C"/>
    <w:rsid w:val="00E85EE6"/>
    <w:rsid w:val="00E87903"/>
    <w:rsid w:val="00E91100"/>
    <w:rsid w:val="00E919B0"/>
    <w:rsid w:val="00E924AA"/>
    <w:rsid w:val="00E937F1"/>
    <w:rsid w:val="00E9630E"/>
    <w:rsid w:val="00E96763"/>
    <w:rsid w:val="00E97FD2"/>
    <w:rsid w:val="00EA001F"/>
    <w:rsid w:val="00EA0D3E"/>
    <w:rsid w:val="00EA16CD"/>
    <w:rsid w:val="00EA18DB"/>
    <w:rsid w:val="00EA3081"/>
    <w:rsid w:val="00EA4229"/>
    <w:rsid w:val="00EA4C59"/>
    <w:rsid w:val="00EA5EDE"/>
    <w:rsid w:val="00EA65EA"/>
    <w:rsid w:val="00EA68CF"/>
    <w:rsid w:val="00EA7230"/>
    <w:rsid w:val="00EA75F7"/>
    <w:rsid w:val="00EB49B2"/>
    <w:rsid w:val="00EB4CF9"/>
    <w:rsid w:val="00EB6FAA"/>
    <w:rsid w:val="00EB7A64"/>
    <w:rsid w:val="00EC07B0"/>
    <w:rsid w:val="00EC1106"/>
    <w:rsid w:val="00EC2267"/>
    <w:rsid w:val="00EC2B0E"/>
    <w:rsid w:val="00EC2B3C"/>
    <w:rsid w:val="00EC3096"/>
    <w:rsid w:val="00EC3486"/>
    <w:rsid w:val="00EC3C31"/>
    <w:rsid w:val="00EC5B21"/>
    <w:rsid w:val="00EC61AB"/>
    <w:rsid w:val="00EC6866"/>
    <w:rsid w:val="00ED0481"/>
    <w:rsid w:val="00ED3DA4"/>
    <w:rsid w:val="00ED3E1F"/>
    <w:rsid w:val="00ED577C"/>
    <w:rsid w:val="00ED610A"/>
    <w:rsid w:val="00ED75BD"/>
    <w:rsid w:val="00EE181D"/>
    <w:rsid w:val="00EE22E0"/>
    <w:rsid w:val="00EE40D3"/>
    <w:rsid w:val="00EE42B5"/>
    <w:rsid w:val="00EE5CDB"/>
    <w:rsid w:val="00EE633C"/>
    <w:rsid w:val="00EE6C2E"/>
    <w:rsid w:val="00EE766F"/>
    <w:rsid w:val="00EE7A69"/>
    <w:rsid w:val="00EF100E"/>
    <w:rsid w:val="00EF120A"/>
    <w:rsid w:val="00EF324E"/>
    <w:rsid w:val="00EF4591"/>
    <w:rsid w:val="00EF62A9"/>
    <w:rsid w:val="00EF63E7"/>
    <w:rsid w:val="00EF6998"/>
    <w:rsid w:val="00F02294"/>
    <w:rsid w:val="00F0298A"/>
    <w:rsid w:val="00F05697"/>
    <w:rsid w:val="00F05884"/>
    <w:rsid w:val="00F06A17"/>
    <w:rsid w:val="00F075A2"/>
    <w:rsid w:val="00F07A5E"/>
    <w:rsid w:val="00F10BA1"/>
    <w:rsid w:val="00F10C87"/>
    <w:rsid w:val="00F1119D"/>
    <w:rsid w:val="00F11AF1"/>
    <w:rsid w:val="00F21081"/>
    <w:rsid w:val="00F2204D"/>
    <w:rsid w:val="00F23312"/>
    <w:rsid w:val="00F233C5"/>
    <w:rsid w:val="00F24862"/>
    <w:rsid w:val="00F2493A"/>
    <w:rsid w:val="00F250D1"/>
    <w:rsid w:val="00F25359"/>
    <w:rsid w:val="00F2596F"/>
    <w:rsid w:val="00F32962"/>
    <w:rsid w:val="00F32ACD"/>
    <w:rsid w:val="00F36031"/>
    <w:rsid w:val="00F40E05"/>
    <w:rsid w:val="00F40E33"/>
    <w:rsid w:val="00F42F03"/>
    <w:rsid w:val="00F4315B"/>
    <w:rsid w:val="00F43423"/>
    <w:rsid w:val="00F435CB"/>
    <w:rsid w:val="00F4408D"/>
    <w:rsid w:val="00F45041"/>
    <w:rsid w:val="00F46D73"/>
    <w:rsid w:val="00F50802"/>
    <w:rsid w:val="00F52BDE"/>
    <w:rsid w:val="00F54797"/>
    <w:rsid w:val="00F54B8F"/>
    <w:rsid w:val="00F56F7E"/>
    <w:rsid w:val="00F5752F"/>
    <w:rsid w:val="00F61782"/>
    <w:rsid w:val="00F62674"/>
    <w:rsid w:val="00F6573B"/>
    <w:rsid w:val="00F666B2"/>
    <w:rsid w:val="00F67AB3"/>
    <w:rsid w:val="00F67B02"/>
    <w:rsid w:val="00F70508"/>
    <w:rsid w:val="00F70E50"/>
    <w:rsid w:val="00F712B6"/>
    <w:rsid w:val="00F71D65"/>
    <w:rsid w:val="00F71F1A"/>
    <w:rsid w:val="00F72218"/>
    <w:rsid w:val="00F72623"/>
    <w:rsid w:val="00F72955"/>
    <w:rsid w:val="00F76F17"/>
    <w:rsid w:val="00F77598"/>
    <w:rsid w:val="00F77796"/>
    <w:rsid w:val="00F77DCA"/>
    <w:rsid w:val="00F829A1"/>
    <w:rsid w:val="00F847D3"/>
    <w:rsid w:val="00F86C40"/>
    <w:rsid w:val="00F87049"/>
    <w:rsid w:val="00F8726F"/>
    <w:rsid w:val="00F922A1"/>
    <w:rsid w:val="00F9477E"/>
    <w:rsid w:val="00F95D45"/>
    <w:rsid w:val="00F96B65"/>
    <w:rsid w:val="00F96BAE"/>
    <w:rsid w:val="00F97AD0"/>
    <w:rsid w:val="00F97E45"/>
    <w:rsid w:val="00FA1B0E"/>
    <w:rsid w:val="00FA2118"/>
    <w:rsid w:val="00FA301A"/>
    <w:rsid w:val="00FA4182"/>
    <w:rsid w:val="00FA4D3E"/>
    <w:rsid w:val="00FA4E93"/>
    <w:rsid w:val="00FA6C83"/>
    <w:rsid w:val="00FA71CB"/>
    <w:rsid w:val="00FA73BB"/>
    <w:rsid w:val="00FB14B0"/>
    <w:rsid w:val="00FB2681"/>
    <w:rsid w:val="00FB2CF5"/>
    <w:rsid w:val="00FB46B3"/>
    <w:rsid w:val="00FB7EA4"/>
    <w:rsid w:val="00FC00B6"/>
    <w:rsid w:val="00FC07E0"/>
    <w:rsid w:val="00FC3408"/>
    <w:rsid w:val="00FC3489"/>
    <w:rsid w:val="00FC4117"/>
    <w:rsid w:val="00FC4195"/>
    <w:rsid w:val="00FC63EA"/>
    <w:rsid w:val="00FC7054"/>
    <w:rsid w:val="00FC76DB"/>
    <w:rsid w:val="00FC7D7C"/>
    <w:rsid w:val="00FD069A"/>
    <w:rsid w:val="00FD1465"/>
    <w:rsid w:val="00FD3253"/>
    <w:rsid w:val="00FD36C3"/>
    <w:rsid w:val="00FD43ED"/>
    <w:rsid w:val="00FD7A50"/>
    <w:rsid w:val="00FE1507"/>
    <w:rsid w:val="00FE1F80"/>
    <w:rsid w:val="00FE2D1A"/>
    <w:rsid w:val="00FE2FF5"/>
    <w:rsid w:val="00FE5A70"/>
    <w:rsid w:val="00FE5F38"/>
    <w:rsid w:val="00FE6515"/>
    <w:rsid w:val="00FE7B15"/>
    <w:rsid w:val="00FF0E75"/>
    <w:rsid w:val="00FF2029"/>
    <w:rsid w:val="00FF386C"/>
    <w:rsid w:val="00FF498E"/>
    <w:rsid w:val="00FF4AED"/>
    <w:rsid w:val="00FF4F3B"/>
    <w:rsid w:val="00FF5996"/>
    <w:rsid w:val="00FF6C96"/>
    <w:rsid w:val="00FF7467"/>
    <w:rsid w:val="00FF77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3A364173"/>
  <w15:chartTrackingRefBased/>
  <w15:docId w15:val="{D64B68A6-B5BB-4F27-ADF5-66F3161DF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sz w:val="24"/>
        <w:szCs w:val="24"/>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C72"/>
    <w:pPr>
      <w:spacing w:after="200" w:line="276" w:lineRule="auto"/>
    </w:pPr>
  </w:style>
  <w:style w:type="paragraph" w:styleId="Heading1">
    <w:name w:val="heading 1"/>
    <w:basedOn w:val="NoSpacing"/>
    <w:next w:val="Normal"/>
    <w:link w:val="Heading1Char"/>
    <w:uiPriority w:val="9"/>
    <w:qFormat/>
    <w:rsid w:val="00B43236"/>
    <w:pPr>
      <w:numPr>
        <w:numId w:val="1"/>
      </w:numPr>
      <w:pBdr>
        <w:top w:val="single" w:sz="4" w:space="0" w:color="auto"/>
        <w:left w:val="single" w:sz="4" w:space="4" w:color="auto"/>
        <w:bottom w:val="single" w:sz="4" w:space="1" w:color="auto"/>
        <w:right w:val="single" w:sz="4" w:space="4" w:color="auto"/>
      </w:pBdr>
      <w:shd w:val="clear" w:color="auto" w:fill="A6A6A6"/>
      <w:outlineLvl w:val="0"/>
    </w:pPr>
    <w:rPr>
      <w:b/>
      <w:sz w:val="24"/>
      <w:szCs w:val="24"/>
    </w:rPr>
  </w:style>
  <w:style w:type="paragraph" w:styleId="Heading2">
    <w:name w:val="heading 2"/>
    <w:basedOn w:val="NoSpacing"/>
    <w:next w:val="Normal"/>
    <w:link w:val="Heading2Char"/>
    <w:uiPriority w:val="9"/>
    <w:unhideWhenUsed/>
    <w:qFormat/>
    <w:rsid w:val="00B43236"/>
    <w:pPr>
      <w:numPr>
        <w:ilvl w:val="1"/>
        <w:numId w:val="1"/>
      </w:numPr>
      <w:ind w:hanging="792"/>
      <w:outlineLvl w:val="1"/>
    </w:pPr>
    <w:rPr>
      <w:b/>
      <w:sz w:val="24"/>
      <w:szCs w:val="24"/>
    </w:rPr>
  </w:style>
  <w:style w:type="paragraph" w:styleId="Heading3">
    <w:name w:val="heading 3"/>
    <w:basedOn w:val="NoSpacing"/>
    <w:next w:val="Normal"/>
    <w:link w:val="Heading3Char"/>
    <w:uiPriority w:val="9"/>
    <w:unhideWhenUsed/>
    <w:qFormat/>
    <w:rsid w:val="00B43236"/>
    <w:pPr>
      <w:numPr>
        <w:ilvl w:val="2"/>
        <w:numId w:val="1"/>
      </w:numPr>
      <w:ind w:hanging="1224"/>
      <w:outlineLvl w:val="2"/>
    </w:pPr>
    <w:rPr>
      <w:sz w:val="24"/>
      <w:szCs w:val="24"/>
      <w:u w:val="single"/>
    </w:rPr>
  </w:style>
  <w:style w:type="paragraph" w:styleId="Heading4">
    <w:name w:val="heading 4"/>
    <w:basedOn w:val="NoSpacing"/>
    <w:next w:val="Normal"/>
    <w:link w:val="Heading4Char"/>
    <w:uiPriority w:val="9"/>
    <w:unhideWhenUsed/>
    <w:qFormat/>
    <w:rsid w:val="00B43236"/>
    <w:pPr>
      <w:numPr>
        <w:ilvl w:val="3"/>
        <w:numId w:val="1"/>
      </w:numPr>
      <w:ind w:left="1134" w:hanging="1134"/>
      <w:outlineLvl w:val="3"/>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191F"/>
    <w:rPr>
      <w:sz w:val="22"/>
      <w:szCs w:val="22"/>
      <w:lang w:val="en-US" w:eastAsia="en-US"/>
    </w:rPr>
  </w:style>
  <w:style w:type="paragraph" w:styleId="FootnoteText">
    <w:name w:val="footnote text"/>
    <w:aliases w:val="Carattere,Footnote Text Char1 Char,Footnote Text Char Char Char,Footnote Text Char1 Char Char Char,Footnote Text Char Char Char Char Char,Footnote Text Char2 Char Char Char Char Char,Footnote Text Char1,FA Fu,Char,FA"/>
    <w:basedOn w:val="Normal"/>
    <w:link w:val="FootnoteTextChar"/>
    <w:uiPriority w:val="99"/>
    <w:unhideWhenUsed/>
    <w:rsid w:val="008143E7"/>
    <w:pPr>
      <w:spacing w:after="0" w:line="240" w:lineRule="auto"/>
    </w:pPr>
    <w:rPr>
      <w:rFonts w:ascii="Cambria" w:eastAsia="Cambria" w:hAnsi="Cambria"/>
      <w:noProof/>
      <w:lang w:val="x-none" w:eastAsia="x-none"/>
    </w:rPr>
  </w:style>
  <w:style w:type="character" w:customStyle="1" w:styleId="FootnoteTextChar">
    <w:name w:val="Footnote Text Char"/>
    <w:aliases w:val="Carattere Char,Footnote Text Char1 Char Char,Footnote Text Char Char Char Char,Footnote Text Char1 Char Char Char Char,Footnote Text Char Char Char Char Char Char,Footnote Text Char2 Char Char Char Char Char Char,FA Fu Char,Char Char"/>
    <w:link w:val="FootnoteText"/>
    <w:uiPriority w:val="99"/>
    <w:rsid w:val="008143E7"/>
    <w:rPr>
      <w:rFonts w:ascii="Cambria" w:eastAsia="Cambria" w:hAnsi="Cambria"/>
      <w:noProof/>
      <w:sz w:val="24"/>
      <w:szCs w:val="24"/>
    </w:rPr>
  </w:style>
  <w:style w:type="character" w:styleId="FootnoteReference">
    <w:name w:val="footnote reference"/>
    <w:uiPriority w:val="99"/>
    <w:unhideWhenUsed/>
    <w:rsid w:val="008143E7"/>
    <w:rPr>
      <w:vertAlign w:val="superscript"/>
    </w:rPr>
  </w:style>
  <w:style w:type="paragraph" w:styleId="NormalWeb">
    <w:name w:val="Normal (Web)"/>
    <w:basedOn w:val="Normal"/>
    <w:semiHidden/>
    <w:unhideWhenUsed/>
    <w:rsid w:val="008143E7"/>
    <w:pPr>
      <w:spacing w:before="100" w:beforeAutospacing="1" w:after="100" w:afterAutospacing="1" w:line="240" w:lineRule="auto"/>
    </w:pPr>
    <w:rPr>
      <w:rFonts w:ascii="Verdana" w:eastAsia="Times New Roman" w:hAnsi="Verdana"/>
      <w:noProof/>
    </w:rPr>
  </w:style>
  <w:style w:type="paragraph" w:styleId="BodyText2">
    <w:name w:val="Body Text 2"/>
    <w:basedOn w:val="Normal"/>
    <w:link w:val="BodyText2Char"/>
    <w:semiHidden/>
    <w:rsid w:val="008143E7"/>
    <w:pPr>
      <w:autoSpaceDE w:val="0"/>
      <w:autoSpaceDN w:val="0"/>
      <w:adjustRightInd w:val="0"/>
      <w:spacing w:after="0" w:line="240" w:lineRule="auto"/>
    </w:pPr>
    <w:rPr>
      <w:rFonts w:ascii="Times New Roman" w:eastAsia="Times New Roman" w:hAnsi="Times New Roman"/>
      <w:b/>
      <w:bCs/>
      <w:noProof/>
      <w:lang w:val="x-none" w:eastAsia="x-none"/>
    </w:rPr>
  </w:style>
  <w:style w:type="character" w:customStyle="1" w:styleId="BodyText2Char">
    <w:name w:val="Body Text 2 Char"/>
    <w:link w:val="BodyText2"/>
    <w:semiHidden/>
    <w:rsid w:val="008143E7"/>
    <w:rPr>
      <w:rFonts w:ascii="Times New Roman" w:eastAsia="Times New Roman" w:hAnsi="Times New Roman"/>
      <w:b/>
      <w:bCs/>
      <w:noProof/>
      <w:sz w:val="24"/>
      <w:szCs w:val="24"/>
    </w:rPr>
  </w:style>
  <w:style w:type="paragraph" w:styleId="Header">
    <w:name w:val="header"/>
    <w:basedOn w:val="Normal"/>
    <w:link w:val="HeaderChar"/>
    <w:uiPriority w:val="99"/>
    <w:semiHidden/>
    <w:unhideWhenUsed/>
    <w:rsid w:val="00130F81"/>
    <w:pPr>
      <w:tabs>
        <w:tab w:val="center" w:pos="4680"/>
        <w:tab w:val="right" w:pos="9360"/>
      </w:tabs>
    </w:pPr>
    <w:rPr>
      <w:lang w:val="x-none" w:eastAsia="x-none"/>
    </w:rPr>
  </w:style>
  <w:style w:type="character" w:customStyle="1" w:styleId="HeaderChar">
    <w:name w:val="Header Char"/>
    <w:link w:val="Header"/>
    <w:uiPriority w:val="99"/>
    <w:semiHidden/>
    <w:rsid w:val="00130F81"/>
    <w:rPr>
      <w:sz w:val="22"/>
      <w:szCs w:val="22"/>
    </w:rPr>
  </w:style>
  <w:style w:type="paragraph" w:styleId="Footer">
    <w:name w:val="footer"/>
    <w:basedOn w:val="Normal"/>
    <w:link w:val="FooterChar"/>
    <w:uiPriority w:val="99"/>
    <w:unhideWhenUsed/>
    <w:rsid w:val="00130F81"/>
    <w:pPr>
      <w:tabs>
        <w:tab w:val="center" w:pos="4680"/>
        <w:tab w:val="right" w:pos="9360"/>
      </w:tabs>
    </w:pPr>
    <w:rPr>
      <w:lang w:val="x-none" w:eastAsia="x-none"/>
    </w:rPr>
  </w:style>
  <w:style w:type="character" w:customStyle="1" w:styleId="FooterChar">
    <w:name w:val="Footer Char"/>
    <w:link w:val="Footer"/>
    <w:uiPriority w:val="99"/>
    <w:rsid w:val="00130F81"/>
    <w:rPr>
      <w:sz w:val="22"/>
      <w:szCs w:val="22"/>
    </w:rPr>
  </w:style>
  <w:style w:type="character" w:styleId="Hyperlink">
    <w:name w:val="Hyperlink"/>
    <w:uiPriority w:val="99"/>
    <w:unhideWhenUsed/>
    <w:rsid w:val="00FA301A"/>
    <w:rPr>
      <w:color w:val="0000FF"/>
      <w:u w:val="single"/>
    </w:rPr>
  </w:style>
  <w:style w:type="paragraph" w:styleId="BalloonText">
    <w:name w:val="Balloon Text"/>
    <w:basedOn w:val="Normal"/>
    <w:link w:val="BalloonTextChar"/>
    <w:uiPriority w:val="99"/>
    <w:semiHidden/>
    <w:unhideWhenUsed/>
    <w:rsid w:val="006579D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579DB"/>
    <w:rPr>
      <w:rFonts w:ascii="Tahoma" w:hAnsi="Tahoma" w:cs="Tahoma"/>
      <w:sz w:val="16"/>
      <w:szCs w:val="16"/>
    </w:rPr>
  </w:style>
  <w:style w:type="character" w:styleId="FollowedHyperlink">
    <w:name w:val="FollowedHyperlink"/>
    <w:uiPriority w:val="99"/>
    <w:semiHidden/>
    <w:unhideWhenUsed/>
    <w:rsid w:val="00E32919"/>
    <w:rPr>
      <w:color w:val="800080"/>
      <w:u w:val="single"/>
    </w:rPr>
  </w:style>
  <w:style w:type="table" w:styleId="TableGrid">
    <w:name w:val="Table Grid"/>
    <w:basedOn w:val="TableNormal"/>
    <w:uiPriority w:val="59"/>
    <w:rsid w:val="007671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B43236"/>
    <w:rPr>
      <w:rFonts w:ascii="Arial" w:hAnsi="Arial" w:cs="Arial"/>
      <w:b/>
      <w:sz w:val="24"/>
      <w:szCs w:val="24"/>
      <w:shd w:val="clear" w:color="auto" w:fill="A6A6A6"/>
      <w:lang w:val="en-US" w:eastAsia="en-US"/>
    </w:rPr>
  </w:style>
  <w:style w:type="paragraph" w:styleId="TOCHeading">
    <w:name w:val="TOC Heading"/>
    <w:basedOn w:val="Heading1"/>
    <w:next w:val="Normal"/>
    <w:uiPriority w:val="39"/>
    <w:semiHidden/>
    <w:unhideWhenUsed/>
    <w:qFormat/>
    <w:rsid w:val="00B43236"/>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Cambria" w:eastAsia="Times New Roman" w:hAnsi="Cambria"/>
      <w:bCs/>
      <w:color w:val="365F91"/>
      <w:sz w:val="28"/>
      <w:szCs w:val="28"/>
      <w:lang w:val="fr-FR"/>
    </w:rPr>
  </w:style>
  <w:style w:type="paragraph" w:styleId="TOC1">
    <w:name w:val="toc 1"/>
    <w:basedOn w:val="Normal"/>
    <w:next w:val="Normal"/>
    <w:autoRedefine/>
    <w:uiPriority w:val="39"/>
    <w:unhideWhenUsed/>
    <w:rsid w:val="00960E72"/>
    <w:pPr>
      <w:tabs>
        <w:tab w:val="left" w:pos="440"/>
        <w:tab w:val="right" w:leader="dot" w:pos="9498"/>
      </w:tabs>
      <w:spacing w:before="240" w:after="240" w:line="240" w:lineRule="auto"/>
    </w:pPr>
    <w:rPr>
      <w:b/>
      <w:noProof/>
      <w:sz w:val="20"/>
      <w:szCs w:val="20"/>
    </w:rPr>
  </w:style>
  <w:style w:type="character" w:customStyle="1" w:styleId="Heading2Char">
    <w:name w:val="Heading 2 Char"/>
    <w:link w:val="Heading2"/>
    <w:uiPriority w:val="9"/>
    <w:rsid w:val="00B43236"/>
    <w:rPr>
      <w:rFonts w:ascii="Arial" w:hAnsi="Arial" w:cs="Arial"/>
      <w:b/>
      <w:sz w:val="24"/>
      <w:szCs w:val="24"/>
      <w:lang w:val="en-US" w:eastAsia="en-US"/>
    </w:rPr>
  </w:style>
  <w:style w:type="character" w:customStyle="1" w:styleId="Heading3Char">
    <w:name w:val="Heading 3 Char"/>
    <w:link w:val="Heading3"/>
    <w:uiPriority w:val="9"/>
    <w:rsid w:val="00B43236"/>
    <w:rPr>
      <w:rFonts w:ascii="Arial" w:hAnsi="Arial" w:cs="Arial"/>
      <w:sz w:val="24"/>
      <w:szCs w:val="24"/>
      <w:u w:val="single"/>
      <w:lang w:val="en-US" w:eastAsia="en-US"/>
    </w:rPr>
  </w:style>
  <w:style w:type="character" w:customStyle="1" w:styleId="Heading4Char">
    <w:name w:val="Heading 4 Char"/>
    <w:link w:val="Heading4"/>
    <w:uiPriority w:val="9"/>
    <w:rsid w:val="00B43236"/>
    <w:rPr>
      <w:rFonts w:ascii="Arial" w:hAnsi="Arial" w:cs="Arial"/>
      <w:i/>
      <w:sz w:val="24"/>
      <w:szCs w:val="24"/>
      <w:lang w:val="en-US" w:eastAsia="en-US"/>
    </w:rPr>
  </w:style>
  <w:style w:type="paragraph" w:styleId="TOC2">
    <w:name w:val="toc 2"/>
    <w:basedOn w:val="Normal"/>
    <w:next w:val="Normal"/>
    <w:autoRedefine/>
    <w:uiPriority w:val="39"/>
    <w:unhideWhenUsed/>
    <w:rsid w:val="00960E72"/>
    <w:pPr>
      <w:tabs>
        <w:tab w:val="left" w:pos="880"/>
        <w:tab w:val="right" w:leader="dot" w:pos="9498"/>
      </w:tabs>
      <w:spacing w:before="120" w:after="0" w:line="240" w:lineRule="auto"/>
      <w:ind w:left="221"/>
    </w:pPr>
  </w:style>
  <w:style w:type="paragraph" w:styleId="TOC3">
    <w:name w:val="toc 3"/>
    <w:basedOn w:val="Normal"/>
    <w:next w:val="Normal"/>
    <w:autoRedefine/>
    <w:uiPriority w:val="39"/>
    <w:unhideWhenUsed/>
    <w:rsid w:val="00960E72"/>
    <w:pPr>
      <w:tabs>
        <w:tab w:val="left" w:pos="1320"/>
        <w:tab w:val="right" w:leader="dot" w:pos="9498"/>
      </w:tabs>
      <w:ind w:left="440"/>
    </w:pPr>
  </w:style>
  <w:style w:type="paragraph" w:styleId="ListParagraph">
    <w:name w:val="List Paragraph"/>
    <w:basedOn w:val="Normal"/>
    <w:uiPriority w:val="34"/>
    <w:qFormat/>
    <w:rsid w:val="00615DA7"/>
    <w:pPr>
      <w:ind w:left="720"/>
    </w:pPr>
  </w:style>
  <w:style w:type="character" w:styleId="CommentReference">
    <w:name w:val="annotation reference"/>
    <w:uiPriority w:val="99"/>
    <w:semiHidden/>
    <w:unhideWhenUsed/>
    <w:rsid w:val="00E47B4C"/>
    <w:rPr>
      <w:sz w:val="16"/>
      <w:szCs w:val="16"/>
    </w:rPr>
  </w:style>
  <w:style w:type="paragraph" w:styleId="CommentText">
    <w:name w:val="annotation text"/>
    <w:basedOn w:val="Normal"/>
    <w:link w:val="CommentTextChar"/>
    <w:uiPriority w:val="99"/>
    <w:unhideWhenUsed/>
    <w:rsid w:val="00E47B4C"/>
    <w:rPr>
      <w:sz w:val="20"/>
      <w:szCs w:val="20"/>
      <w:lang w:val="en-US"/>
    </w:rPr>
  </w:style>
  <w:style w:type="character" w:customStyle="1" w:styleId="CommentTextChar">
    <w:name w:val="Comment Text Char"/>
    <w:link w:val="CommentText"/>
    <w:uiPriority w:val="99"/>
    <w:rsid w:val="00E47B4C"/>
    <w:rPr>
      <w:lang w:val="en-US" w:eastAsia="en-US"/>
    </w:rPr>
  </w:style>
  <w:style w:type="paragraph" w:styleId="CommentSubject">
    <w:name w:val="annotation subject"/>
    <w:basedOn w:val="CommentText"/>
    <w:next w:val="CommentText"/>
    <w:link w:val="CommentSubjectChar"/>
    <w:uiPriority w:val="99"/>
    <w:semiHidden/>
    <w:unhideWhenUsed/>
    <w:rsid w:val="00E47B4C"/>
    <w:rPr>
      <w:b/>
      <w:bCs/>
    </w:rPr>
  </w:style>
  <w:style w:type="character" w:customStyle="1" w:styleId="CommentSubjectChar">
    <w:name w:val="Comment Subject Char"/>
    <w:link w:val="CommentSubject"/>
    <w:uiPriority w:val="99"/>
    <w:semiHidden/>
    <w:rsid w:val="00E47B4C"/>
    <w:rPr>
      <w:b/>
      <w:bCs/>
      <w:lang w:val="en-US" w:eastAsia="en-US"/>
    </w:rPr>
  </w:style>
  <w:style w:type="paragraph" w:styleId="Revision">
    <w:name w:val="Revision"/>
    <w:hidden/>
    <w:uiPriority w:val="99"/>
    <w:semiHidden/>
    <w:rsid w:val="006D59DD"/>
    <w:rPr>
      <w:sz w:val="22"/>
      <w:szCs w:val="22"/>
      <w:lang w:val="en-US" w:eastAsia="en-US"/>
    </w:rPr>
  </w:style>
  <w:style w:type="paragraph" w:customStyle="1" w:styleId="Default">
    <w:name w:val="Default"/>
    <w:basedOn w:val="Normal"/>
    <w:rsid w:val="001A60F6"/>
    <w:pPr>
      <w:autoSpaceDE w:val="0"/>
      <w:autoSpaceDN w:val="0"/>
      <w:spacing w:after="0" w:line="240" w:lineRule="auto"/>
    </w:pPr>
    <w:rPr>
      <w:color w:val="000000"/>
    </w:rPr>
  </w:style>
  <w:style w:type="character" w:styleId="Strong">
    <w:name w:val="Strong"/>
    <w:uiPriority w:val="22"/>
    <w:qFormat/>
    <w:rsid w:val="00C400B0"/>
    <w:rPr>
      <w:b/>
      <w:bCs/>
    </w:rPr>
  </w:style>
  <w:style w:type="character" w:styleId="Emphasis">
    <w:name w:val="Emphasis"/>
    <w:uiPriority w:val="20"/>
    <w:qFormat/>
    <w:rsid w:val="00C400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30460">
      <w:bodyDiv w:val="1"/>
      <w:marLeft w:val="0"/>
      <w:marRight w:val="0"/>
      <w:marTop w:val="0"/>
      <w:marBottom w:val="0"/>
      <w:divBdr>
        <w:top w:val="none" w:sz="0" w:space="0" w:color="auto"/>
        <w:left w:val="none" w:sz="0" w:space="0" w:color="auto"/>
        <w:bottom w:val="none" w:sz="0" w:space="0" w:color="auto"/>
        <w:right w:val="none" w:sz="0" w:space="0" w:color="auto"/>
      </w:divBdr>
    </w:div>
    <w:div w:id="604581485">
      <w:bodyDiv w:val="1"/>
      <w:marLeft w:val="0"/>
      <w:marRight w:val="0"/>
      <w:marTop w:val="0"/>
      <w:marBottom w:val="0"/>
      <w:divBdr>
        <w:top w:val="none" w:sz="0" w:space="0" w:color="auto"/>
        <w:left w:val="none" w:sz="0" w:space="0" w:color="auto"/>
        <w:bottom w:val="none" w:sz="0" w:space="0" w:color="auto"/>
        <w:right w:val="none" w:sz="0" w:space="0" w:color="auto"/>
      </w:divBdr>
    </w:div>
    <w:div w:id="712844962">
      <w:bodyDiv w:val="1"/>
      <w:marLeft w:val="0"/>
      <w:marRight w:val="0"/>
      <w:marTop w:val="0"/>
      <w:marBottom w:val="0"/>
      <w:divBdr>
        <w:top w:val="none" w:sz="0" w:space="0" w:color="auto"/>
        <w:left w:val="none" w:sz="0" w:space="0" w:color="auto"/>
        <w:bottom w:val="none" w:sz="0" w:space="0" w:color="auto"/>
        <w:right w:val="none" w:sz="0" w:space="0" w:color="auto"/>
      </w:divBdr>
    </w:div>
    <w:div w:id="717703113">
      <w:bodyDiv w:val="1"/>
      <w:marLeft w:val="0"/>
      <w:marRight w:val="0"/>
      <w:marTop w:val="0"/>
      <w:marBottom w:val="0"/>
      <w:divBdr>
        <w:top w:val="none" w:sz="0" w:space="0" w:color="auto"/>
        <w:left w:val="none" w:sz="0" w:space="0" w:color="auto"/>
        <w:bottom w:val="none" w:sz="0" w:space="0" w:color="auto"/>
        <w:right w:val="none" w:sz="0" w:space="0" w:color="auto"/>
      </w:divBdr>
    </w:div>
    <w:div w:id="738985077">
      <w:bodyDiv w:val="1"/>
      <w:marLeft w:val="0"/>
      <w:marRight w:val="0"/>
      <w:marTop w:val="0"/>
      <w:marBottom w:val="0"/>
      <w:divBdr>
        <w:top w:val="none" w:sz="0" w:space="0" w:color="auto"/>
        <w:left w:val="none" w:sz="0" w:space="0" w:color="auto"/>
        <w:bottom w:val="none" w:sz="0" w:space="0" w:color="auto"/>
        <w:right w:val="none" w:sz="0" w:space="0" w:color="auto"/>
      </w:divBdr>
      <w:divsChild>
        <w:div w:id="1343126081">
          <w:marLeft w:val="0"/>
          <w:marRight w:val="0"/>
          <w:marTop w:val="0"/>
          <w:marBottom w:val="0"/>
          <w:divBdr>
            <w:top w:val="none" w:sz="0" w:space="0" w:color="auto"/>
            <w:left w:val="none" w:sz="0" w:space="0" w:color="auto"/>
            <w:bottom w:val="none" w:sz="0" w:space="0" w:color="auto"/>
            <w:right w:val="none" w:sz="0" w:space="0" w:color="auto"/>
          </w:divBdr>
          <w:divsChild>
            <w:div w:id="689994826">
              <w:marLeft w:val="0"/>
              <w:marRight w:val="0"/>
              <w:marTop w:val="0"/>
              <w:marBottom w:val="0"/>
              <w:divBdr>
                <w:top w:val="none" w:sz="0" w:space="0" w:color="auto"/>
                <w:left w:val="none" w:sz="0" w:space="0" w:color="auto"/>
                <w:bottom w:val="none" w:sz="0" w:space="0" w:color="auto"/>
                <w:right w:val="none" w:sz="0" w:space="0" w:color="auto"/>
              </w:divBdr>
              <w:divsChild>
                <w:div w:id="997732977">
                  <w:marLeft w:val="0"/>
                  <w:marRight w:val="0"/>
                  <w:marTop w:val="0"/>
                  <w:marBottom w:val="0"/>
                  <w:divBdr>
                    <w:top w:val="none" w:sz="0" w:space="0" w:color="auto"/>
                    <w:left w:val="none" w:sz="0" w:space="0" w:color="auto"/>
                    <w:bottom w:val="none" w:sz="0" w:space="0" w:color="auto"/>
                    <w:right w:val="none" w:sz="0" w:space="0" w:color="auto"/>
                  </w:divBdr>
                  <w:divsChild>
                    <w:div w:id="1203129811">
                      <w:marLeft w:val="0"/>
                      <w:marRight w:val="0"/>
                      <w:marTop w:val="0"/>
                      <w:marBottom w:val="0"/>
                      <w:divBdr>
                        <w:top w:val="none" w:sz="0" w:space="0" w:color="auto"/>
                        <w:left w:val="none" w:sz="0" w:space="0" w:color="auto"/>
                        <w:bottom w:val="none" w:sz="0" w:space="0" w:color="auto"/>
                        <w:right w:val="none" w:sz="0" w:space="0" w:color="auto"/>
                      </w:divBdr>
                      <w:divsChild>
                        <w:div w:id="756440242">
                          <w:marLeft w:val="0"/>
                          <w:marRight w:val="0"/>
                          <w:marTop w:val="0"/>
                          <w:marBottom w:val="0"/>
                          <w:divBdr>
                            <w:top w:val="none" w:sz="0" w:space="0" w:color="auto"/>
                            <w:left w:val="none" w:sz="0" w:space="0" w:color="auto"/>
                            <w:bottom w:val="none" w:sz="0" w:space="0" w:color="auto"/>
                            <w:right w:val="none" w:sz="0" w:space="0" w:color="auto"/>
                          </w:divBdr>
                          <w:divsChild>
                            <w:div w:id="1309016572">
                              <w:marLeft w:val="0"/>
                              <w:marRight w:val="0"/>
                              <w:marTop w:val="0"/>
                              <w:marBottom w:val="0"/>
                              <w:divBdr>
                                <w:top w:val="none" w:sz="0" w:space="0" w:color="auto"/>
                                <w:left w:val="none" w:sz="0" w:space="0" w:color="auto"/>
                                <w:bottom w:val="none" w:sz="0" w:space="0" w:color="auto"/>
                                <w:right w:val="none" w:sz="0" w:space="0" w:color="auto"/>
                              </w:divBdr>
                              <w:divsChild>
                                <w:div w:id="1686244758">
                                  <w:marLeft w:val="0"/>
                                  <w:marRight w:val="0"/>
                                  <w:marTop w:val="0"/>
                                  <w:marBottom w:val="0"/>
                                  <w:divBdr>
                                    <w:top w:val="none" w:sz="0" w:space="0" w:color="auto"/>
                                    <w:left w:val="none" w:sz="0" w:space="0" w:color="auto"/>
                                    <w:bottom w:val="none" w:sz="0" w:space="0" w:color="auto"/>
                                    <w:right w:val="none" w:sz="0" w:space="0" w:color="auto"/>
                                  </w:divBdr>
                                  <w:divsChild>
                                    <w:div w:id="691423213">
                                      <w:marLeft w:val="0"/>
                                      <w:marRight w:val="0"/>
                                      <w:marTop w:val="0"/>
                                      <w:marBottom w:val="0"/>
                                      <w:divBdr>
                                        <w:top w:val="none" w:sz="0" w:space="0" w:color="auto"/>
                                        <w:left w:val="none" w:sz="0" w:space="0" w:color="auto"/>
                                        <w:bottom w:val="none" w:sz="0" w:space="0" w:color="auto"/>
                                        <w:right w:val="none" w:sz="0" w:space="0" w:color="auto"/>
                                      </w:divBdr>
                                      <w:divsChild>
                                        <w:div w:id="1153910903">
                                          <w:marLeft w:val="0"/>
                                          <w:marRight w:val="0"/>
                                          <w:marTop w:val="0"/>
                                          <w:marBottom w:val="0"/>
                                          <w:divBdr>
                                            <w:top w:val="none" w:sz="0" w:space="0" w:color="auto"/>
                                            <w:left w:val="none" w:sz="0" w:space="0" w:color="auto"/>
                                            <w:bottom w:val="none" w:sz="0" w:space="0" w:color="auto"/>
                                            <w:right w:val="none" w:sz="0" w:space="0" w:color="auto"/>
                                          </w:divBdr>
                                          <w:divsChild>
                                            <w:div w:id="824056342">
                                              <w:marLeft w:val="0"/>
                                              <w:marRight w:val="0"/>
                                              <w:marTop w:val="0"/>
                                              <w:marBottom w:val="0"/>
                                              <w:divBdr>
                                                <w:top w:val="none" w:sz="0" w:space="0" w:color="auto"/>
                                                <w:left w:val="none" w:sz="0" w:space="0" w:color="auto"/>
                                                <w:bottom w:val="none" w:sz="0" w:space="0" w:color="auto"/>
                                                <w:right w:val="none" w:sz="0" w:space="0" w:color="auto"/>
                                              </w:divBdr>
                                              <w:divsChild>
                                                <w:div w:id="1553035757">
                                                  <w:marLeft w:val="0"/>
                                                  <w:marRight w:val="0"/>
                                                  <w:marTop w:val="0"/>
                                                  <w:marBottom w:val="0"/>
                                                  <w:divBdr>
                                                    <w:top w:val="none" w:sz="0" w:space="0" w:color="auto"/>
                                                    <w:left w:val="none" w:sz="0" w:space="0" w:color="auto"/>
                                                    <w:bottom w:val="none" w:sz="0" w:space="0" w:color="auto"/>
                                                    <w:right w:val="none" w:sz="0" w:space="0" w:color="auto"/>
                                                  </w:divBdr>
                                                  <w:divsChild>
                                                    <w:div w:id="7899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7494654">
      <w:bodyDiv w:val="1"/>
      <w:marLeft w:val="0"/>
      <w:marRight w:val="0"/>
      <w:marTop w:val="0"/>
      <w:marBottom w:val="0"/>
      <w:divBdr>
        <w:top w:val="none" w:sz="0" w:space="0" w:color="auto"/>
        <w:left w:val="none" w:sz="0" w:space="0" w:color="auto"/>
        <w:bottom w:val="none" w:sz="0" w:space="0" w:color="auto"/>
        <w:right w:val="none" w:sz="0" w:space="0" w:color="auto"/>
      </w:divBdr>
    </w:div>
    <w:div w:id="1041127232">
      <w:bodyDiv w:val="1"/>
      <w:marLeft w:val="0"/>
      <w:marRight w:val="0"/>
      <w:marTop w:val="0"/>
      <w:marBottom w:val="0"/>
      <w:divBdr>
        <w:top w:val="none" w:sz="0" w:space="0" w:color="auto"/>
        <w:left w:val="none" w:sz="0" w:space="0" w:color="auto"/>
        <w:bottom w:val="none" w:sz="0" w:space="0" w:color="auto"/>
        <w:right w:val="none" w:sz="0" w:space="0" w:color="auto"/>
      </w:divBdr>
    </w:div>
    <w:div w:id="1685128432">
      <w:bodyDiv w:val="1"/>
      <w:marLeft w:val="0"/>
      <w:marRight w:val="0"/>
      <w:marTop w:val="0"/>
      <w:marBottom w:val="0"/>
      <w:divBdr>
        <w:top w:val="none" w:sz="0" w:space="0" w:color="auto"/>
        <w:left w:val="none" w:sz="0" w:space="0" w:color="auto"/>
        <w:bottom w:val="none" w:sz="0" w:space="0" w:color="auto"/>
        <w:right w:val="none" w:sz="0" w:space="0" w:color="auto"/>
      </w:divBdr>
    </w:div>
    <w:div w:id="194375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150.statcan.gc.ca/n1/en/pub/89-654-x/89-654-x2018002-eng.pdf?st=MKzGjAHA" TargetMode="External"/><Relationship Id="rId2" Type="http://schemas.openxmlformats.org/officeDocument/2006/relationships/hyperlink" Target="http://laws-lois.justice.gc.ca/PDF/E-5.401.pdf" TargetMode="External"/><Relationship Id="rId1" Type="http://schemas.openxmlformats.org/officeDocument/2006/relationships/hyperlink" Target="http://laws-lois.justice.gc.ca/PDF/H-6.pdf" TargetMode="External"/><Relationship Id="rId5" Type="http://schemas.openxmlformats.org/officeDocument/2006/relationships/hyperlink" Target="http://www.oag-bvg.gc.ca/internet/English/parl_oag_201106_04_e_35372.html" TargetMode="External"/><Relationship Id="rId4" Type="http://schemas.openxmlformats.org/officeDocument/2006/relationships/hyperlink" Target="http://www.oci-bec.gc.ca/cnt/rpt/oth-aut/oth-aut20190228-e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4C672-7EAB-4C41-BDA9-4B319BA9FB1D}"/>
</file>

<file path=customXml/itemProps2.xml><?xml version="1.0" encoding="utf-8"?>
<ds:datastoreItem xmlns:ds="http://schemas.openxmlformats.org/officeDocument/2006/customXml" ds:itemID="{28AA23E5-241B-4DA9-8C89-8D560C915ED6}">
  <ds:schemaRefs>
    <ds:schemaRef ds:uri="http://purl.org/dc/terms/"/>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8E2E91B0-9CA7-4F4A-A676-D7B1AD5109AC}">
  <ds:schemaRefs>
    <ds:schemaRef ds:uri="http://schemas.microsoft.com/sharepoint/v3/contenttype/forms"/>
  </ds:schemaRefs>
</ds:datastoreItem>
</file>

<file path=customXml/itemProps4.xml><?xml version="1.0" encoding="utf-8"?>
<ds:datastoreItem xmlns:ds="http://schemas.openxmlformats.org/officeDocument/2006/customXml" ds:itemID="{3428DE0F-F97D-4302-B26B-C3B355E49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2792</Words>
  <Characters>15917</Characters>
  <Application>Microsoft Office Word</Application>
  <DocSecurity>0</DocSecurity>
  <Lines>132</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CCDP</Company>
  <LinksUpToDate>false</LinksUpToDate>
  <CharactersWithSpaces>18672</CharactersWithSpaces>
  <SharedDoc>false</SharedDoc>
  <HLinks>
    <vt:vector size="90" baseType="variant">
      <vt:variant>
        <vt:i4>1310776</vt:i4>
      </vt:variant>
      <vt:variant>
        <vt:i4>74</vt:i4>
      </vt:variant>
      <vt:variant>
        <vt:i4>0</vt:i4>
      </vt:variant>
      <vt:variant>
        <vt:i4>5</vt:i4>
      </vt:variant>
      <vt:variant>
        <vt:lpwstr/>
      </vt:variant>
      <vt:variant>
        <vt:lpwstr>_Toc525716907</vt:lpwstr>
      </vt:variant>
      <vt:variant>
        <vt:i4>1310776</vt:i4>
      </vt:variant>
      <vt:variant>
        <vt:i4>68</vt:i4>
      </vt:variant>
      <vt:variant>
        <vt:i4>0</vt:i4>
      </vt:variant>
      <vt:variant>
        <vt:i4>5</vt:i4>
      </vt:variant>
      <vt:variant>
        <vt:lpwstr/>
      </vt:variant>
      <vt:variant>
        <vt:lpwstr>_Toc525716906</vt:lpwstr>
      </vt:variant>
      <vt:variant>
        <vt:i4>1310776</vt:i4>
      </vt:variant>
      <vt:variant>
        <vt:i4>62</vt:i4>
      </vt:variant>
      <vt:variant>
        <vt:i4>0</vt:i4>
      </vt:variant>
      <vt:variant>
        <vt:i4>5</vt:i4>
      </vt:variant>
      <vt:variant>
        <vt:lpwstr/>
      </vt:variant>
      <vt:variant>
        <vt:lpwstr>_Toc525716905</vt:lpwstr>
      </vt:variant>
      <vt:variant>
        <vt:i4>1310776</vt:i4>
      </vt:variant>
      <vt:variant>
        <vt:i4>56</vt:i4>
      </vt:variant>
      <vt:variant>
        <vt:i4>0</vt:i4>
      </vt:variant>
      <vt:variant>
        <vt:i4>5</vt:i4>
      </vt:variant>
      <vt:variant>
        <vt:lpwstr/>
      </vt:variant>
      <vt:variant>
        <vt:lpwstr>_Toc525716904</vt:lpwstr>
      </vt:variant>
      <vt:variant>
        <vt:i4>1310776</vt:i4>
      </vt:variant>
      <vt:variant>
        <vt:i4>50</vt:i4>
      </vt:variant>
      <vt:variant>
        <vt:i4>0</vt:i4>
      </vt:variant>
      <vt:variant>
        <vt:i4>5</vt:i4>
      </vt:variant>
      <vt:variant>
        <vt:lpwstr/>
      </vt:variant>
      <vt:variant>
        <vt:lpwstr>_Toc525716903</vt:lpwstr>
      </vt:variant>
      <vt:variant>
        <vt:i4>1310776</vt:i4>
      </vt:variant>
      <vt:variant>
        <vt:i4>44</vt:i4>
      </vt:variant>
      <vt:variant>
        <vt:i4>0</vt:i4>
      </vt:variant>
      <vt:variant>
        <vt:i4>5</vt:i4>
      </vt:variant>
      <vt:variant>
        <vt:lpwstr/>
      </vt:variant>
      <vt:variant>
        <vt:lpwstr>_Toc525716902</vt:lpwstr>
      </vt:variant>
      <vt:variant>
        <vt:i4>1310776</vt:i4>
      </vt:variant>
      <vt:variant>
        <vt:i4>38</vt:i4>
      </vt:variant>
      <vt:variant>
        <vt:i4>0</vt:i4>
      </vt:variant>
      <vt:variant>
        <vt:i4>5</vt:i4>
      </vt:variant>
      <vt:variant>
        <vt:lpwstr/>
      </vt:variant>
      <vt:variant>
        <vt:lpwstr>_Toc525716901</vt:lpwstr>
      </vt:variant>
      <vt:variant>
        <vt:i4>1310776</vt:i4>
      </vt:variant>
      <vt:variant>
        <vt:i4>32</vt:i4>
      </vt:variant>
      <vt:variant>
        <vt:i4>0</vt:i4>
      </vt:variant>
      <vt:variant>
        <vt:i4>5</vt:i4>
      </vt:variant>
      <vt:variant>
        <vt:lpwstr/>
      </vt:variant>
      <vt:variant>
        <vt:lpwstr>_Toc525716900</vt:lpwstr>
      </vt:variant>
      <vt:variant>
        <vt:i4>1900601</vt:i4>
      </vt:variant>
      <vt:variant>
        <vt:i4>26</vt:i4>
      </vt:variant>
      <vt:variant>
        <vt:i4>0</vt:i4>
      </vt:variant>
      <vt:variant>
        <vt:i4>5</vt:i4>
      </vt:variant>
      <vt:variant>
        <vt:lpwstr/>
      </vt:variant>
      <vt:variant>
        <vt:lpwstr>_Toc525716899</vt:lpwstr>
      </vt:variant>
      <vt:variant>
        <vt:i4>1900601</vt:i4>
      </vt:variant>
      <vt:variant>
        <vt:i4>20</vt:i4>
      </vt:variant>
      <vt:variant>
        <vt:i4>0</vt:i4>
      </vt:variant>
      <vt:variant>
        <vt:i4>5</vt:i4>
      </vt:variant>
      <vt:variant>
        <vt:lpwstr/>
      </vt:variant>
      <vt:variant>
        <vt:lpwstr>_Toc525716898</vt:lpwstr>
      </vt:variant>
      <vt:variant>
        <vt:i4>1900601</vt:i4>
      </vt:variant>
      <vt:variant>
        <vt:i4>14</vt:i4>
      </vt:variant>
      <vt:variant>
        <vt:i4>0</vt:i4>
      </vt:variant>
      <vt:variant>
        <vt:i4>5</vt:i4>
      </vt:variant>
      <vt:variant>
        <vt:lpwstr/>
      </vt:variant>
      <vt:variant>
        <vt:lpwstr>_Toc525716897</vt:lpwstr>
      </vt:variant>
      <vt:variant>
        <vt:i4>1900601</vt:i4>
      </vt:variant>
      <vt:variant>
        <vt:i4>8</vt:i4>
      </vt:variant>
      <vt:variant>
        <vt:i4>0</vt:i4>
      </vt:variant>
      <vt:variant>
        <vt:i4>5</vt:i4>
      </vt:variant>
      <vt:variant>
        <vt:lpwstr/>
      </vt:variant>
      <vt:variant>
        <vt:lpwstr>_Toc525716896</vt:lpwstr>
      </vt:variant>
      <vt:variant>
        <vt:i4>1900601</vt:i4>
      </vt:variant>
      <vt:variant>
        <vt:i4>2</vt:i4>
      </vt:variant>
      <vt:variant>
        <vt:i4>0</vt:i4>
      </vt:variant>
      <vt:variant>
        <vt:i4>5</vt:i4>
      </vt:variant>
      <vt:variant>
        <vt:lpwstr/>
      </vt:variant>
      <vt:variant>
        <vt:lpwstr>_Toc525716895</vt:lpwstr>
      </vt:variant>
      <vt:variant>
        <vt:i4>6881377</vt:i4>
      </vt:variant>
      <vt:variant>
        <vt:i4>3</vt:i4>
      </vt:variant>
      <vt:variant>
        <vt:i4>0</vt:i4>
      </vt:variant>
      <vt:variant>
        <vt:i4>5</vt:i4>
      </vt:variant>
      <vt:variant>
        <vt:lpwstr>http://laws-lois.justice.gc.ca/PDF/E-5.401.pdf</vt:lpwstr>
      </vt:variant>
      <vt:variant>
        <vt:lpwstr/>
      </vt:variant>
      <vt:variant>
        <vt:i4>6422655</vt:i4>
      </vt:variant>
      <vt:variant>
        <vt:i4>0</vt:i4>
      </vt:variant>
      <vt:variant>
        <vt:i4>0</vt:i4>
      </vt:variant>
      <vt:variant>
        <vt:i4>5</vt:i4>
      </vt:variant>
      <vt:variant>
        <vt:lpwstr>http://laws-lois.justice.gc.ca/PDF/H-6.pdf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CanadianHumanRightsCommission</dc:title>
  <dc:subject/>
  <dc:creator>tt1</dc:creator>
  <cp:keywords/>
  <cp:lastModifiedBy>Tabatha Tranquilla</cp:lastModifiedBy>
  <cp:revision>5</cp:revision>
  <cp:lastPrinted>2018-09-28T13:14:00Z</cp:lastPrinted>
  <dcterms:created xsi:type="dcterms:W3CDTF">2019-04-26T16:42:00Z</dcterms:created>
  <dcterms:modified xsi:type="dcterms:W3CDTF">2019-04-26T16:54:00Z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