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126" w:rsidRPr="00941126" w:rsidRDefault="00941126" w:rsidP="00941126">
      <w:pPr>
        <w:pStyle w:val="Title"/>
        <w:rPr>
          <w:color w:val="5B9BD5" w:themeColor="accent1"/>
          <w:sz w:val="44"/>
        </w:rPr>
      </w:pPr>
      <w:r w:rsidRPr="00941126">
        <w:rPr>
          <w:color w:val="5B9BD5" w:themeColor="accent1"/>
          <w:sz w:val="44"/>
        </w:rPr>
        <w:t>Submission in response to the UN Special Rapporteur on the rights of persons with disabilities by the European Union Agency for Fundamental Rights</w:t>
      </w:r>
    </w:p>
    <w:p w:rsidR="006A196E" w:rsidRPr="00941126" w:rsidRDefault="00941126" w:rsidP="00941126">
      <w:pPr>
        <w:pStyle w:val="Subtitle"/>
      </w:pPr>
      <w:r>
        <w:t>Questionnaire on “the</w:t>
      </w:r>
      <w:r w:rsidR="006A196E" w:rsidRPr="007901D6">
        <w:t xml:space="preserve"> rights of older persons</w:t>
      </w:r>
      <w:r w:rsidR="006A196E">
        <w:t xml:space="preserve"> with disabilities</w:t>
      </w:r>
      <w:r>
        <w:t xml:space="preserve">”, </w:t>
      </w:r>
      <w:bookmarkStart w:id="0" w:name="_GoBack"/>
      <w:bookmarkEnd w:id="0"/>
      <w:r>
        <w:t>15 April 2019</w:t>
      </w:r>
    </w:p>
    <w:p w:rsidR="006A196E" w:rsidRDefault="006A196E" w:rsidP="006A196E">
      <w:pPr>
        <w:spacing w:before="240" w:line="240" w:lineRule="auto"/>
        <w:rPr>
          <w:rFonts w:ascii="Verdana" w:hAnsi="Verdana" w:cs="Times New Roman"/>
        </w:rPr>
      </w:pPr>
      <w:r>
        <w:rPr>
          <w:rFonts w:ascii="Verdana" w:hAnsi="Verdana" w:cs="Times New Roman"/>
        </w:rPr>
        <w:t xml:space="preserve">Even though the Agency has not conducted a specific research focused on older persons with disabilities, we can contribute to OHCHR’s reflections by submitting last year’s focus chapter of the Fundamental Rights Report on ageing as well as the Agency’s work on Independent Living where some information related to the topic can be found as a cross-cutting issues. In this document we provide you with a compilation of relevant information based on the Agency’s publications. </w:t>
      </w:r>
    </w:p>
    <w:p w:rsidR="006A196E" w:rsidRPr="00AF5B1A" w:rsidRDefault="00941126" w:rsidP="006A196E">
      <w:pPr>
        <w:pStyle w:val="ListParagraph"/>
        <w:numPr>
          <w:ilvl w:val="0"/>
          <w:numId w:val="4"/>
        </w:numPr>
        <w:spacing w:before="240" w:line="240" w:lineRule="auto"/>
        <w:rPr>
          <w:rStyle w:val="Strong"/>
          <w:rFonts w:ascii="Verdana" w:hAnsi="Verdana" w:cs="Times New Roman"/>
          <w:b w:val="0"/>
          <w:bCs w:val="0"/>
        </w:rPr>
      </w:pPr>
      <w:hyperlink r:id="rId5" w:history="1">
        <w:r w:rsidR="006A196E" w:rsidRPr="00AF5B1A">
          <w:rPr>
            <w:rStyle w:val="Hyperlink"/>
            <w:rFonts w:ascii="Verdana" w:hAnsi="Verdana"/>
            <w:color w:val="2E74B5" w:themeColor="accent1" w:themeShade="BF"/>
          </w:rPr>
          <w:t>Shifting perceptions: towards a rights</w:t>
        </w:r>
        <w:r w:rsidR="006A196E" w:rsidRPr="00AF5B1A">
          <w:rPr>
            <w:rStyle w:val="Hyperlink"/>
            <w:rFonts w:ascii="Verdana" w:hAnsi="Verdana"/>
            <w:color w:val="2E74B5" w:themeColor="accent1" w:themeShade="BF"/>
          </w:rPr>
          <w:noBreakHyphen/>
          <w:t>based approach to ageing</w:t>
        </w:r>
      </w:hyperlink>
      <w:r w:rsidR="006A196E" w:rsidRPr="00AF5B1A">
        <w:rPr>
          <w:rFonts w:ascii="Verdana" w:hAnsi="Verdana"/>
        </w:rPr>
        <w:t xml:space="preserve"> - </w:t>
      </w:r>
      <w:r w:rsidR="006A196E" w:rsidRPr="00AF5B1A">
        <w:rPr>
          <w:rStyle w:val="Strong"/>
          <w:rFonts w:ascii="Verdana" w:hAnsi="Verdana"/>
          <w:b w:val="0"/>
          <w:lang w:val="en"/>
        </w:rPr>
        <w:t xml:space="preserve">This chapter </w:t>
      </w:r>
      <w:r w:rsidR="006A196E">
        <w:rPr>
          <w:rStyle w:val="Strong"/>
          <w:rFonts w:ascii="Verdana" w:hAnsi="Verdana"/>
          <w:b w:val="0"/>
          <w:lang w:val="en"/>
        </w:rPr>
        <w:t xml:space="preserve">of the Fundamental Rights Report 2018 </w:t>
      </w:r>
      <w:r w:rsidR="006A196E" w:rsidRPr="00AF5B1A">
        <w:rPr>
          <w:rStyle w:val="Strong"/>
          <w:rFonts w:ascii="Verdana" w:hAnsi="Verdana"/>
          <w:b w:val="0"/>
          <w:lang w:val="en"/>
        </w:rPr>
        <w:t>explores the slow but inexorable shift from thinking about old age in terms of ‘deficits’ that create ‘needs’ to a more comprehensive one encompassing a ‘rights-based’ approach towards ageing. This gradually evolving paradigm shift strives to respect the fundamental right to equal treatment of all individuals, regardless of age – without neglecting protecting and providing support to those who need it. A human rights approach does not contradict the reality of age-specific needs; on the contrary, a rights-based approach enables one to better meet needs, as required, while framing them in a human rights-based narrative.</w:t>
      </w:r>
    </w:p>
    <w:p w:rsidR="006A196E" w:rsidRPr="00AF5B1A" w:rsidRDefault="006A196E" w:rsidP="006A196E">
      <w:pPr>
        <w:pStyle w:val="ListParagraph"/>
        <w:numPr>
          <w:ilvl w:val="0"/>
          <w:numId w:val="6"/>
        </w:numPr>
        <w:spacing w:before="240" w:line="240" w:lineRule="auto"/>
        <w:rPr>
          <w:rFonts w:ascii="Verdana" w:hAnsi="Verdana" w:cs="Times New Roman"/>
        </w:rPr>
      </w:pPr>
      <w:r w:rsidRPr="00AF5B1A">
        <w:rPr>
          <w:rFonts w:ascii="Verdana" w:hAnsi="Verdana"/>
        </w:rPr>
        <w:t>Fundamental rights do not carry an expiry date and the need to move towards a right-based approach to ageing</w:t>
      </w:r>
      <w:r>
        <w:rPr>
          <w:rFonts w:ascii="Verdana" w:hAnsi="Verdana"/>
        </w:rPr>
        <w:t xml:space="preserve"> (P. 9)</w:t>
      </w:r>
      <w:r w:rsidRPr="00AF5B1A">
        <w:rPr>
          <w:rFonts w:ascii="Verdana" w:hAnsi="Verdana"/>
        </w:rPr>
        <w:t>;</w:t>
      </w:r>
    </w:p>
    <w:p w:rsidR="006A196E" w:rsidRPr="00AF5B1A" w:rsidRDefault="006A196E" w:rsidP="006A196E">
      <w:pPr>
        <w:pStyle w:val="ListParagraph"/>
        <w:numPr>
          <w:ilvl w:val="0"/>
          <w:numId w:val="6"/>
        </w:numPr>
        <w:spacing w:before="240" w:line="240" w:lineRule="auto"/>
        <w:rPr>
          <w:rFonts w:ascii="Verdana" w:hAnsi="Verdana" w:cs="Times New Roman"/>
        </w:rPr>
      </w:pPr>
      <w:r w:rsidRPr="00AF5B1A">
        <w:rPr>
          <w:rFonts w:ascii="Verdana" w:hAnsi="Verdana" w:cs="DaxlinePro"/>
        </w:rPr>
        <w:t>Little research, and none across all EU Member States, addresses the complex aspects of multiple and intersectional discrimination affecting older persons depending on their gender, disability, sexual orientation</w:t>
      </w:r>
      <w:r w:rsidRPr="00AF5B1A">
        <w:rPr>
          <w:rStyle w:val="A14"/>
          <w:rFonts w:ascii="Verdana" w:hAnsi="Verdana"/>
          <w:color w:val="auto"/>
          <w:sz w:val="22"/>
          <w:szCs w:val="22"/>
        </w:rPr>
        <w:t xml:space="preserve"> </w:t>
      </w:r>
      <w:r w:rsidRPr="00AF5B1A">
        <w:rPr>
          <w:rFonts w:ascii="Verdana" w:hAnsi="Verdana" w:cs="DaxlinePro"/>
        </w:rPr>
        <w:t xml:space="preserve">or minority and migrant status. Older </w:t>
      </w:r>
      <w:r>
        <w:rPr>
          <w:rFonts w:ascii="Verdana" w:hAnsi="Verdana" w:cs="DaxlinePro"/>
        </w:rPr>
        <w:t>persons</w:t>
      </w:r>
      <w:r w:rsidRPr="00AF5B1A">
        <w:rPr>
          <w:rFonts w:ascii="Verdana" w:hAnsi="Verdana" w:cs="DaxlinePro"/>
        </w:rPr>
        <w:t xml:space="preserve"> are a widely heterogeneous group with quite diverse needs, possibilities and preferences. Understanding intersecting forms of discrimination and how they affect older pe</w:t>
      </w:r>
      <w:r>
        <w:rPr>
          <w:rFonts w:ascii="Verdana" w:hAnsi="Verdana" w:cs="DaxlinePro"/>
        </w:rPr>
        <w:t>rsons</w:t>
      </w:r>
      <w:r w:rsidRPr="00AF5B1A">
        <w:rPr>
          <w:rFonts w:ascii="Verdana" w:hAnsi="Verdana" w:cs="DaxlinePro"/>
        </w:rPr>
        <w:t xml:space="preserve"> is therefore key to crafting effective policies across a range of issues to safeguard the dignit</w:t>
      </w:r>
      <w:r>
        <w:rPr>
          <w:rFonts w:ascii="Verdana" w:hAnsi="Verdana" w:cs="DaxlinePro"/>
        </w:rPr>
        <w:t>y of all older persons (P. 14)</w:t>
      </w:r>
      <w:r w:rsidRPr="00AF5B1A">
        <w:rPr>
          <w:rFonts w:ascii="Verdana" w:hAnsi="Verdana" w:cs="DaxlinePro"/>
        </w:rPr>
        <w:t>;</w:t>
      </w:r>
    </w:p>
    <w:p w:rsidR="006A196E" w:rsidRPr="00AF5B1A" w:rsidRDefault="006A196E" w:rsidP="006A196E">
      <w:pPr>
        <w:pStyle w:val="ListParagraph"/>
        <w:numPr>
          <w:ilvl w:val="0"/>
          <w:numId w:val="6"/>
        </w:numPr>
        <w:spacing w:before="240" w:line="240" w:lineRule="auto"/>
        <w:rPr>
          <w:rFonts w:ascii="Verdana" w:hAnsi="Verdana" w:cs="Times New Roman"/>
        </w:rPr>
      </w:pPr>
      <w:r w:rsidRPr="00AF5B1A">
        <w:rPr>
          <w:rFonts w:ascii="Verdana" w:hAnsi="Verdana" w:cs="DaxlinePro"/>
        </w:rPr>
        <w:t>In the EU-28, an estimated 49 % of people aged 65 years and over reported long-standing limitations in usual activities due to health conditions in 2016. The results also show that more women than men experience long-standing limitations (51.5 % versus 44.4 %), which is likely because the proportion of older women among older pe</w:t>
      </w:r>
      <w:r>
        <w:rPr>
          <w:rFonts w:ascii="Verdana" w:hAnsi="Verdana" w:cs="DaxlinePro"/>
        </w:rPr>
        <w:t>rsons</w:t>
      </w:r>
      <w:r w:rsidRPr="00AF5B1A">
        <w:rPr>
          <w:rFonts w:ascii="Verdana" w:hAnsi="Verdana" w:cs="DaxlinePro"/>
        </w:rPr>
        <w:t xml:space="preserve"> increases as age increases.</w:t>
      </w:r>
      <w:r w:rsidRPr="00AF5B1A">
        <w:rPr>
          <w:rStyle w:val="A14"/>
          <w:rFonts w:ascii="Verdana" w:hAnsi="Verdana"/>
          <w:color w:val="auto"/>
          <w:sz w:val="22"/>
          <w:szCs w:val="22"/>
        </w:rPr>
        <w:t xml:space="preserve">33 </w:t>
      </w:r>
      <w:r w:rsidRPr="00AF5B1A">
        <w:rPr>
          <w:rFonts w:ascii="Verdana" w:hAnsi="Verdana" w:cs="DaxlinePro"/>
        </w:rPr>
        <w:t>This number can be seen as a proxy for older pe</w:t>
      </w:r>
      <w:r>
        <w:rPr>
          <w:rFonts w:ascii="Verdana" w:hAnsi="Verdana" w:cs="DaxlinePro"/>
        </w:rPr>
        <w:t>rsons</w:t>
      </w:r>
      <w:r w:rsidRPr="00AF5B1A">
        <w:rPr>
          <w:rFonts w:ascii="Verdana" w:hAnsi="Verdana" w:cs="DaxlinePro"/>
        </w:rPr>
        <w:t xml:space="preserve"> in need of some sort of support</w:t>
      </w:r>
      <w:r>
        <w:rPr>
          <w:rFonts w:ascii="Verdana" w:hAnsi="Verdana" w:cs="DaxlinePro"/>
        </w:rPr>
        <w:t xml:space="preserve"> (P. 14)</w:t>
      </w:r>
      <w:r w:rsidRPr="00AF5B1A">
        <w:rPr>
          <w:rFonts w:ascii="Verdana" w:hAnsi="Verdana" w:cs="DaxlinePro"/>
        </w:rPr>
        <w:t>;</w:t>
      </w:r>
    </w:p>
    <w:p w:rsidR="006A196E" w:rsidRPr="000733A0" w:rsidRDefault="006A196E" w:rsidP="006A196E">
      <w:pPr>
        <w:pStyle w:val="ListParagraph"/>
        <w:numPr>
          <w:ilvl w:val="0"/>
          <w:numId w:val="6"/>
        </w:numPr>
        <w:spacing w:before="240" w:line="240" w:lineRule="auto"/>
        <w:rPr>
          <w:rFonts w:ascii="Verdana" w:hAnsi="Verdana" w:cs="Times New Roman"/>
          <w:b/>
        </w:rPr>
      </w:pPr>
      <w:r w:rsidRPr="00AF5B1A">
        <w:rPr>
          <w:rFonts w:ascii="Verdana" w:hAnsi="Verdana" w:cs="DaxlinePro"/>
          <w:i/>
          <w:iCs/>
        </w:rPr>
        <w:t>“All too often double standards apply in law and practice, excluding older people from some benefits, applying different eligibility criteria or giving less support when disability occurs in old age. Moreover, when ageism interferes with disability assessments, older people are not offered the same level, quality or ranges of support as younger people with disabilities.” AGE Platform Europe submission to Draft General Comment in Article 5, CRPD, 30 June 2017</w:t>
      </w:r>
      <w:r>
        <w:rPr>
          <w:rFonts w:ascii="Verdana" w:hAnsi="Verdana" w:cs="DaxlinePro"/>
          <w:i/>
          <w:iCs/>
        </w:rPr>
        <w:t xml:space="preserve"> (P.15)</w:t>
      </w:r>
      <w:r w:rsidRPr="00AF5B1A">
        <w:rPr>
          <w:rFonts w:ascii="Verdana" w:hAnsi="Verdana" w:cs="DaxlinePro"/>
          <w:i/>
          <w:iCs/>
        </w:rPr>
        <w:t xml:space="preserve">; </w:t>
      </w:r>
    </w:p>
    <w:p w:rsidR="006A196E" w:rsidRPr="001C4534" w:rsidRDefault="006A196E" w:rsidP="006A196E">
      <w:pPr>
        <w:pStyle w:val="ListParagraph"/>
        <w:spacing w:before="240" w:line="240" w:lineRule="auto"/>
        <w:ind w:left="1080"/>
        <w:rPr>
          <w:rFonts w:ascii="Verdana" w:hAnsi="Verdana" w:cs="Times New Roman"/>
          <w:b/>
        </w:rPr>
      </w:pPr>
    </w:p>
    <w:p w:rsidR="006A196E" w:rsidRPr="006A196E" w:rsidRDefault="00941126" w:rsidP="006A196E">
      <w:pPr>
        <w:pStyle w:val="ListParagraph"/>
        <w:numPr>
          <w:ilvl w:val="0"/>
          <w:numId w:val="4"/>
        </w:numPr>
        <w:spacing w:before="240" w:line="240" w:lineRule="auto"/>
        <w:rPr>
          <w:rFonts w:ascii="Verdana" w:hAnsi="Verdana" w:cs="Times New Roman"/>
        </w:rPr>
      </w:pPr>
      <w:hyperlink r:id="rId6" w:history="1">
        <w:r w:rsidR="006A196E" w:rsidRPr="00B41524">
          <w:rPr>
            <w:rStyle w:val="Hyperlink"/>
            <w:rFonts w:ascii="Verdana" w:hAnsi="Verdana" w:cs="Times New Roman"/>
            <w:color w:val="0070C0"/>
          </w:rPr>
          <w:t>The rig</w:t>
        </w:r>
        <w:r w:rsidR="006A196E" w:rsidRPr="001C4534">
          <w:rPr>
            <w:rStyle w:val="Hyperlink"/>
            <w:rFonts w:ascii="Verdana" w:hAnsi="Verdana" w:cs="Times New Roman"/>
            <w:color w:val="2E74B5" w:themeColor="accent1" w:themeShade="BF"/>
          </w:rPr>
          <w:t>ht to independent living of persons with disabilities</w:t>
        </w:r>
      </w:hyperlink>
      <w:r w:rsidR="006A196E">
        <w:rPr>
          <w:rFonts w:ascii="Verdana" w:hAnsi="Verdana" w:cs="Times New Roman"/>
        </w:rPr>
        <w:t xml:space="preserve"> </w:t>
      </w:r>
      <w:r w:rsidR="006A196E" w:rsidRPr="00102C46">
        <w:rPr>
          <w:rFonts w:ascii="Verdana" w:hAnsi="Verdana" w:cs="Times New Roman"/>
        </w:rPr>
        <w:t xml:space="preserve">- </w:t>
      </w:r>
      <w:r w:rsidR="006A196E" w:rsidRPr="00102C46">
        <w:rPr>
          <w:rFonts w:ascii="Verdana" w:hAnsi="Verdana"/>
          <w:color w:val="333333"/>
          <w:lang w:val="en"/>
        </w:rPr>
        <w:t xml:space="preserve">The Convention on the Rights of Persons with Disabilities </w:t>
      </w:r>
      <w:r w:rsidR="006A196E">
        <w:rPr>
          <w:rFonts w:ascii="Verdana" w:hAnsi="Verdana"/>
          <w:color w:val="333333"/>
          <w:lang w:val="en"/>
        </w:rPr>
        <w:t xml:space="preserve">(CRPD) </w:t>
      </w:r>
      <w:r w:rsidR="006A196E" w:rsidRPr="00102C46">
        <w:rPr>
          <w:rFonts w:ascii="Verdana" w:hAnsi="Verdana"/>
          <w:color w:val="333333"/>
          <w:lang w:val="en"/>
        </w:rPr>
        <w:t>commits both the EU and all o</w:t>
      </w:r>
      <w:r w:rsidR="006A196E">
        <w:rPr>
          <w:rFonts w:ascii="Verdana" w:hAnsi="Verdana"/>
          <w:color w:val="333333"/>
          <w:lang w:val="en"/>
        </w:rPr>
        <w:t xml:space="preserve">f its Member States to </w:t>
      </w:r>
      <w:proofErr w:type="spellStart"/>
      <w:r w:rsidR="006A196E">
        <w:rPr>
          <w:rFonts w:ascii="Verdana" w:hAnsi="Verdana"/>
          <w:color w:val="333333"/>
          <w:lang w:val="en"/>
        </w:rPr>
        <w:t>realise</w:t>
      </w:r>
      <w:proofErr w:type="spellEnd"/>
      <w:r w:rsidR="006A196E" w:rsidRPr="00102C46">
        <w:rPr>
          <w:rFonts w:ascii="Verdana" w:hAnsi="Verdana"/>
          <w:color w:val="333333"/>
          <w:lang w:val="en"/>
        </w:rPr>
        <w:t xml:space="preserve"> the right of persons with disabilities to live independently in the community – which includes achieving de</w:t>
      </w:r>
      <w:r w:rsidR="006A196E">
        <w:rPr>
          <w:rFonts w:ascii="Verdana" w:hAnsi="Verdana"/>
          <w:color w:val="333333"/>
          <w:lang w:val="en"/>
        </w:rPr>
        <w:t>-</w:t>
      </w:r>
      <w:r w:rsidR="006A196E" w:rsidRPr="00102C46">
        <w:rPr>
          <w:rFonts w:ascii="Verdana" w:hAnsi="Verdana"/>
          <w:color w:val="333333"/>
          <w:lang w:val="en"/>
        </w:rPr>
        <w:t>institutionalization for those residing in institutional settings. But much remains to be done to make this a reality in practice. Doing so requires a meaningful and sustainable shift from institutional to communit</w:t>
      </w:r>
      <w:r w:rsidR="006A196E">
        <w:rPr>
          <w:rFonts w:ascii="Verdana" w:hAnsi="Verdana"/>
          <w:color w:val="333333"/>
          <w:lang w:val="en"/>
        </w:rPr>
        <w:t>y-based living arrangements. The</w:t>
      </w:r>
      <w:r w:rsidR="006A196E" w:rsidRPr="00102C46">
        <w:rPr>
          <w:rFonts w:ascii="Verdana" w:hAnsi="Verdana"/>
          <w:color w:val="333333"/>
          <w:lang w:val="en"/>
        </w:rPr>
        <w:t>s</w:t>
      </w:r>
      <w:r w:rsidR="006A196E">
        <w:rPr>
          <w:rFonts w:ascii="Verdana" w:hAnsi="Verdana"/>
          <w:color w:val="333333"/>
          <w:lang w:val="en"/>
        </w:rPr>
        <w:t>e</w:t>
      </w:r>
      <w:r w:rsidR="006A196E" w:rsidRPr="00102C46">
        <w:rPr>
          <w:rFonts w:ascii="Verdana" w:hAnsi="Verdana"/>
          <w:color w:val="333333"/>
          <w:lang w:val="en"/>
        </w:rPr>
        <w:t xml:space="preserve"> publication</w:t>
      </w:r>
      <w:r w:rsidR="006A196E">
        <w:rPr>
          <w:rFonts w:ascii="Verdana" w:hAnsi="Verdana"/>
          <w:color w:val="333333"/>
          <w:lang w:val="en"/>
        </w:rPr>
        <w:t>s</w:t>
      </w:r>
      <w:r w:rsidR="006A196E" w:rsidRPr="00102C46">
        <w:rPr>
          <w:rFonts w:ascii="Verdana" w:hAnsi="Verdana"/>
          <w:color w:val="333333"/>
          <w:lang w:val="en"/>
        </w:rPr>
        <w:t xml:space="preserve"> </w:t>
      </w:r>
      <w:r w:rsidR="006A196E">
        <w:rPr>
          <w:rFonts w:ascii="Verdana" w:hAnsi="Verdana"/>
          <w:color w:val="333333"/>
          <w:lang w:val="en"/>
        </w:rPr>
        <w:t>summarize</w:t>
      </w:r>
      <w:r w:rsidR="006A196E" w:rsidRPr="00102C46">
        <w:rPr>
          <w:rFonts w:ascii="Verdana" w:hAnsi="Verdana"/>
          <w:color w:val="333333"/>
          <w:lang w:val="en"/>
        </w:rPr>
        <w:t xml:space="preserve"> the findings from the three FRA reports focusing on different aspects of de</w:t>
      </w:r>
      <w:r w:rsidR="006A196E">
        <w:rPr>
          <w:rFonts w:ascii="Verdana" w:hAnsi="Verdana"/>
          <w:color w:val="333333"/>
          <w:lang w:val="en"/>
        </w:rPr>
        <w:t>-</w:t>
      </w:r>
      <w:proofErr w:type="spellStart"/>
      <w:r w:rsidR="006A196E" w:rsidRPr="00102C46">
        <w:rPr>
          <w:rFonts w:ascii="Verdana" w:hAnsi="Verdana"/>
          <w:color w:val="333333"/>
          <w:lang w:val="en"/>
        </w:rPr>
        <w:t>institutionalisation</w:t>
      </w:r>
      <w:proofErr w:type="spellEnd"/>
      <w:r w:rsidR="006A196E" w:rsidRPr="00102C46">
        <w:rPr>
          <w:rFonts w:ascii="Verdana" w:hAnsi="Verdana"/>
          <w:color w:val="333333"/>
          <w:lang w:val="en"/>
        </w:rPr>
        <w:t>.</w:t>
      </w:r>
    </w:p>
    <w:p w:rsidR="006A196E" w:rsidRPr="00FB225B" w:rsidRDefault="006A196E" w:rsidP="00FB225B">
      <w:pPr>
        <w:pStyle w:val="ListParagraph"/>
        <w:numPr>
          <w:ilvl w:val="0"/>
          <w:numId w:val="6"/>
        </w:numPr>
        <w:spacing w:line="240" w:lineRule="auto"/>
        <w:rPr>
          <w:rStyle w:val="Hyperlink"/>
          <w:rFonts w:ascii="Verdana" w:hAnsi="Verdana" w:cs="Times New Roman"/>
          <w:color w:val="auto"/>
          <w:u w:val="none"/>
        </w:rPr>
      </w:pPr>
      <w:r w:rsidRPr="006A196E">
        <w:rPr>
          <w:rFonts w:ascii="Verdana" w:hAnsi="Verdana" w:cs="Times New Roman"/>
        </w:rPr>
        <w:t xml:space="preserve">A group of civil society organisations works together as the European Expert Group on the Transition from Institutional to Community-based Care (EEG). In 2012, it developed guidelines on how to achieve sustainable deinstitutionalisation for children, persons with disabilities and older persons. Drawing on best practice, they provide practical guidance for all public authorities involved in deinstitutionalisation on the essential elements of a successful transition process. </w:t>
      </w:r>
      <w:r w:rsidRPr="006A196E">
        <w:rPr>
          <w:rFonts w:ascii="Verdana" w:hAnsi="Verdana" w:cs="Times New Roman"/>
          <w:i/>
        </w:rPr>
        <w:t xml:space="preserve">For more information, see: </w:t>
      </w:r>
      <w:hyperlink r:id="rId7" w:history="1">
        <w:r w:rsidRPr="006A196E">
          <w:rPr>
            <w:rFonts w:ascii="Verdana" w:hAnsi="Verdana" w:cs="Times New Roman"/>
            <w:i/>
            <w:color w:val="00565B"/>
          </w:rPr>
          <w:t>www.deinstitutionalisationguide.eu</w:t>
        </w:r>
      </w:hyperlink>
      <w:r w:rsidRPr="006A196E">
        <w:rPr>
          <w:rFonts w:ascii="Verdana" w:hAnsi="Verdana" w:cs="Times New Roman"/>
          <w:i/>
          <w:color w:val="00565B"/>
        </w:rPr>
        <w:t xml:space="preserve"> </w:t>
      </w:r>
      <w:r w:rsidRPr="00FB225B">
        <w:rPr>
          <w:rFonts w:ascii="Verdana" w:hAnsi="Verdana" w:cs="Times New Roman"/>
          <w:i/>
        </w:rPr>
        <w:t>(</w:t>
      </w:r>
      <w:r w:rsidRPr="00FB225B">
        <w:rPr>
          <w:rFonts w:ascii="Verdana" w:hAnsi="Verdana"/>
        </w:rPr>
        <w:t>From institutions to community living (</w:t>
      </w:r>
      <w:r w:rsidR="00FB225B" w:rsidRPr="00FB225B">
        <w:rPr>
          <w:rFonts w:ascii="Verdana" w:hAnsi="Verdana"/>
        </w:rPr>
        <w:t xml:space="preserve">P. 18 </w:t>
      </w:r>
      <w:r w:rsidRPr="00FB225B">
        <w:rPr>
          <w:rFonts w:ascii="Verdana" w:hAnsi="Verdana"/>
        </w:rPr>
        <w:t>Part II: Funding and budgeting</w:t>
      </w:r>
      <w:r w:rsidR="00FB225B" w:rsidRPr="00FB225B">
        <w:rPr>
          <w:rFonts w:ascii="Verdana" w:hAnsi="Verdana"/>
        </w:rPr>
        <w:t>)</w:t>
      </w:r>
      <w:r w:rsidRPr="00FB225B">
        <w:rPr>
          <w:rFonts w:ascii="Verdana" w:hAnsi="Verdana" w:cs="Times New Roman"/>
          <w:i/>
        </w:rPr>
        <w:t>;</w:t>
      </w:r>
    </w:p>
    <w:p w:rsidR="006A196E" w:rsidRPr="00FB225B" w:rsidRDefault="006A196E" w:rsidP="006A196E">
      <w:pPr>
        <w:pStyle w:val="ListParagraph"/>
        <w:numPr>
          <w:ilvl w:val="0"/>
          <w:numId w:val="6"/>
        </w:numPr>
        <w:spacing w:before="240" w:line="240" w:lineRule="auto"/>
        <w:rPr>
          <w:rFonts w:ascii="Verdana" w:hAnsi="Verdana" w:cs="Times New Roman"/>
        </w:rPr>
      </w:pPr>
      <w:r w:rsidRPr="000733A0">
        <w:rPr>
          <w:rFonts w:ascii="Verdana" w:hAnsi="Verdana" w:cs="Times New Roman"/>
        </w:rPr>
        <w:t xml:space="preserve">These findings underline the importance of further developing personal assistance services, even among those who already receive some form of help. Women and older persons with disabilities who do not receive help are most likely to declare that they need more help. Particular steps to address their requirements may be necessary. Further research could also explore the gender aspects of responses, in particular whether or not women are more likely to declare a need for, and request, help than men. (P. 25 - </w:t>
      </w:r>
      <w:r w:rsidRPr="00FB225B">
        <w:rPr>
          <w:rFonts w:ascii="Verdana" w:hAnsi="Verdana"/>
        </w:rPr>
        <w:t>From institutions to community living Part III: Outcomes for persons with disabilities)</w:t>
      </w:r>
    </w:p>
    <w:p w:rsidR="006A196E" w:rsidRPr="000733A0" w:rsidRDefault="006A196E" w:rsidP="006A196E">
      <w:pPr>
        <w:pStyle w:val="ListParagraph"/>
        <w:spacing w:before="240" w:line="240" w:lineRule="auto"/>
        <w:ind w:left="1080"/>
        <w:rPr>
          <w:rFonts w:ascii="Verdana" w:hAnsi="Verdana" w:cs="Times New Roman"/>
        </w:rPr>
      </w:pPr>
    </w:p>
    <w:p w:rsidR="006A196E" w:rsidRDefault="006A196E" w:rsidP="006A196E">
      <w:pPr>
        <w:pStyle w:val="ListParagraph"/>
        <w:numPr>
          <w:ilvl w:val="0"/>
          <w:numId w:val="4"/>
        </w:numPr>
        <w:spacing w:before="240" w:line="240" w:lineRule="auto"/>
        <w:rPr>
          <w:rFonts w:ascii="Verdana" w:hAnsi="Verdana" w:cs="Times New Roman"/>
        </w:rPr>
      </w:pPr>
      <w:r>
        <w:rPr>
          <w:rFonts w:ascii="Verdana" w:hAnsi="Verdana" w:cs="Times New Roman"/>
        </w:rPr>
        <w:t xml:space="preserve">FRA Fundamental Rights Report </w:t>
      </w:r>
      <w:hyperlink r:id="rId8" w:history="1">
        <w:r w:rsidRPr="00AF576A">
          <w:rPr>
            <w:rStyle w:val="Hyperlink"/>
            <w:rFonts w:ascii="Verdana" w:hAnsi="Verdana" w:cs="Times New Roman"/>
          </w:rPr>
          <w:t>2016</w:t>
        </w:r>
      </w:hyperlink>
      <w:r>
        <w:rPr>
          <w:rFonts w:ascii="Verdana" w:hAnsi="Verdana" w:cs="Times New Roman"/>
        </w:rPr>
        <w:t xml:space="preserve">, </w:t>
      </w:r>
      <w:hyperlink r:id="rId9" w:history="1">
        <w:r w:rsidRPr="00AF576A">
          <w:rPr>
            <w:rStyle w:val="Hyperlink"/>
            <w:rFonts w:ascii="Verdana" w:hAnsi="Verdana" w:cs="Times New Roman"/>
          </w:rPr>
          <w:t>2017</w:t>
        </w:r>
      </w:hyperlink>
      <w:r>
        <w:rPr>
          <w:rFonts w:ascii="Verdana" w:hAnsi="Verdana" w:cs="Times New Roman"/>
        </w:rPr>
        <w:t xml:space="preserve">, </w:t>
      </w:r>
      <w:hyperlink r:id="rId10" w:history="1">
        <w:r w:rsidRPr="00AF576A">
          <w:rPr>
            <w:rStyle w:val="Hyperlink"/>
            <w:rFonts w:ascii="Verdana" w:hAnsi="Verdana" w:cs="Times New Roman"/>
          </w:rPr>
          <w:t xml:space="preserve">2018 </w:t>
        </w:r>
      </w:hyperlink>
      <w:r>
        <w:rPr>
          <w:rFonts w:ascii="Verdana" w:hAnsi="Verdana" w:cs="Times New Roman"/>
        </w:rPr>
        <w:t xml:space="preserve"> - These reports include the Chapters on developments in the implementation of  the CRPD and the Chapter on Equality and non-discrimination that cover the issues of older people</w:t>
      </w:r>
    </w:p>
    <w:p w:rsidR="006A196E" w:rsidRPr="00FB225B" w:rsidRDefault="006A196E" w:rsidP="006A196E">
      <w:pPr>
        <w:pStyle w:val="ListParagraph"/>
        <w:numPr>
          <w:ilvl w:val="0"/>
          <w:numId w:val="6"/>
        </w:numPr>
        <w:spacing w:before="240" w:line="240" w:lineRule="auto"/>
        <w:rPr>
          <w:rFonts w:ascii="Verdana" w:hAnsi="Verdana" w:cs="Times New Roman"/>
        </w:rPr>
      </w:pPr>
      <w:r w:rsidRPr="00FB225B">
        <w:rPr>
          <w:rFonts w:ascii="Verdana" w:hAnsi="Verdana" w:cs="DaxlinePro-Regular"/>
          <w:color w:val="000000"/>
        </w:rPr>
        <w:t>Older people make up an increasing proportion of the EU’s population, a phenomenon driven by declining fertility rates and a higher life expectancy. Based on the latest available data, Eurostat estimates that about 64.5 million people in the EU were aged between 55 and 64 years in 2014 (Fundamental Rights Report 2016, P. 60)</w:t>
      </w:r>
      <w:r w:rsidR="00FB225B">
        <w:rPr>
          <w:rFonts w:ascii="Verdana" w:hAnsi="Verdana" w:cs="DaxlinePro-Regular"/>
          <w:color w:val="000000"/>
        </w:rPr>
        <w:t>;</w:t>
      </w:r>
    </w:p>
    <w:p w:rsidR="006A196E" w:rsidRPr="00FB225B" w:rsidRDefault="006A196E" w:rsidP="006A196E">
      <w:pPr>
        <w:pStyle w:val="ListParagraph"/>
        <w:numPr>
          <w:ilvl w:val="0"/>
          <w:numId w:val="6"/>
        </w:numPr>
        <w:spacing w:before="240" w:line="240" w:lineRule="auto"/>
        <w:rPr>
          <w:rFonts w:ascii="Verdana" w:hAnsi="Verdana" w:cs="Times New Roman"/>
        </w:rPr>
      </w:pPr>
      <w:r w:rsidRPr="00FB225B">
        <w:rPr>
          <w:rFonts w:ascii="Verdana" w:hAnsi="Verdana" w:cs="DaxlinePro-Regular"/>
          <w:color w:val="000000"/>
        </w:rPr>
        <w:t>EU-level measures mainly focus on keeping older people at work by promoting healthy and active ageing. One such measure is the European Innovation Partnership on Active and Healthy Ageing, which falls under the Europe 2020 strategy</w:t>
      </w:r>
      <w:r w:rsidR="00FB225B">
        <w:rPr>
          <w:rFonts w:ascii="Verdana" w:hAnsi="Verdana" w:cs="DaxlinePro-Regular"/>
          <w:color w:val="000000"/>
        </w:rPr>
        <w:t xml:space="preserve"> (</w:t>
      </w:r>
      <w:r w:rsidR="00FB225B" w:rsidRPr="00FB225B">
        <w:rPr>
          <w:rFonts w:ascii="Verdana" w:hAnsi="Verdana" w:cs="DaxlinePro-Regular"/>
          <w:color w:val="000000"/>
        </w:rPr>
        <w:t>Funda</w:t>
      </w:r>
      <w:r w:rsidR="00FB225B">
        <w:rPr>
          <w:rFonts w:ascii="Verdana" w:hAnsi="Verdana" w:cs="DaxlinePro-Regular"/>
          <w:color w:val="000000"/>
        </w:rPr>
        <w:t>mental Rights Report 2016, P. 62)</w:t>
      </w:r>
      <w:r w:rsidRPr="00FB225B">
        <w:rPr>
          <w:rFonts w:ascii="Verdana" w:hAnsi="Verdana" w:cs="DaxlinePro-Regular"/>
          <w:color w:val="000000"/>
        </w:rPr>
        <w:t>;</w:t>
      </w:r>
    </w:p>
    <w:p w:rsidR="006A196E" w:rsidRPr="00FB225B" w:rsidRDefault="006A196E" w:rsidP="006A196E">
      <w:pPr>
        <w:pStyle w:val="ListParagraph"/>
        <w:spacing w:before="240" w:line="240" w:lineRule="auto"/>
        <w:ind w:left="1080"/>
        <w:rPr>
          <w:rStyle w:val="Hyperlink"/>
          <w:rFonts w:ascii="Verdana" w:hAnsi="Verdana" w:cs="Times New Roman"/>
          <w:color w:val="auto"/>
          <w:u w:val="none"/>
        </w:rPr>
      </w:pPr>
    </w:p>
    <w:p w:rsidR="006A196E" w:rsidRPr="00FB225B" w:rsidRDefault="006A196E" w:rsidP="006A196E">
      <w:pPr>
        <w:rPr>
          <w:rFonts w:ascii="Verdana" w:hAnsi="Verdana"/>
        </w:rPr>
      </w:pPr>
    </w:p>
    <w:p w:rsidR="00684B12" w:rsidRPr="00684B12" w:rsidRDefault="00684B12" w:rsidP="00684B12"/>
    <w:sectPr w:rsidR="00684B12" w:rsidRPr="00684B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axlinePro">
    <w:altName w:val="DaxlinePro"/>
    <w:panose1 w:val="00000000000000000000"/>
    <w:charset w:val="00"/>
    <w:family w:val="swiss"/>
    <w:notTrueType/>
    <w:pitch w:val="default"/>
    <w:sig w:usb0="00000203" w:usb1="00000000" w:usb2="00000000" w:usb3="00000000" w:csb0="00000005"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linePro-Regular">
    <w:altName w:val="Arial"/>
    <w:panose1 w:val="00000000000000000000"/>
    <w:charset w:val="00"/>
    <w:family w:val="swiss"/>
    <w:notTrueType/>
    <w:pitch w:val="variable"/>
    <w:sig w:usb0="A00002FF" w:usb1="4000A4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A45A47"/>
    <w:multiLevelType w:val="hybridMultilevel"/>
    <w:tmpl w:val="C810DED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287DBCB"/>
    <w:multiLevelType w:val="hybridMultilevel"/>
    <w:tmpl w:val="9DD4844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B045B34"/>
    <w:multiLevelType w:val="hybridMultilevel"/>
    <w:tmpl w:val="63E4AA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7C16BEE"/>
    <w:multiLevelType w:val="hybridMultilevel"/>
    <w:tmpl w:val="068EBC1C"/>
    <w:lvl w:ilvl="0" w:tplc="08090011">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38572545"/>
    <w:multiLevelType w:val="hybridMultilevel"/>
    <w:tmpl w:val="D016752E"/>
    <w:lvl w:ilvl="0" w:tplc="677C8408">
      <w:start w:val="1"/>
      <w:numFmt w:val="bullet"/>
      <w:lvlText w:val=""/>
      <w:lvlJc w:val="left"/>
      <w:pPr>
        <w:ind w:left="1080" w:hanging="360"/>
      </w:pPr>
      <w:rPr>
        <w:rFonts w:ascii="Symbol" w:eastAsiaTheme="minorHAnsi" w:hAnsi="Symbol" w:cstheme="minorBidi" w:hint="default"/>
        <w:color w:val="1F497D"/>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9CA4576"/>
    <w:multiLevelType w:val="hybridMultilevel"/>
    <w:tmpl w:val="04581F08"/>
    <w:lvl w:ilvl="0" w:tplc="A05C6F6C">
      <w:start w:val="1"/>
      <w:numFmt w:val="bullet"/>
      <w:lvlText w:val=""/>
      <w:lvlJc w:val="left"/>
      <w:pPr>
        <w:ind w:left="1080" w:hanging="360"/>
      </w:pPr>
      <w:rPr>
        <w:rFonts w:ascii="Symbol" w:eastAsiaTheme="minorHAnsi" w:hAnsi="Symbol" w:cstheme="minorBidi" w:hint="default"/>
        <w:b/>
        <w:color w:val="333333"/>
        <w:sz w:val="19"/>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E09E287"/>
    <w:multiLevelType w:val="hybridMultilevel"/>
    <w:tmpl w:val="CE53518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A9822BB"/>
    <w:multiLevelType w:val="hybridMultilevel"/>
    <w:tmpl w:val="B4582C4A"/>
    <w:lvl w:ilvl="0" w:tplc="9C1E9336">
      <w:start w:val="1"/>
      <w:numFmt w:val="bullet"/>
      <w:lvlText w:val=""/>
      <w:lvlJc w:val="left"/>
      <w:pPr>
        <w:ind w:left="720" w:hanging="360"/>
      </w:pPr>
      <w:rPr>
        <w:rFonts w:ascii="Symbol" w:hAnsi="Symbol" w:hint="default"/>
        <w:color w:val="00565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5"/>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1FC"/>
    <w:rsid w:val="000733A0"/>
    <w:rsid w:val="00102C46"/>
    <w:rsid w:val="001C4534"/>
    <w:rsid w:val="002E0981"/>
    <w:rsid w:val="00544503"/>
    <w:rsid w:val="00684B12"/>
    <w:rsid w:val="006A196E"/>
    <w:rsid w:val="007901D6"/>
    <w:rsid w:val="00941126"/>
    <w:rsid w:val="00AE280E"/>
    <w:rsid w:val="00AF576A"/>
    <w:rsid w:val="00AF5B1A"/>
    <w:rsid w:val="00CC0682"/>
    <w:rsid w:val="00E961FC"/>
    <w:rsid w:val="00FB22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B2654"/>
  <w15:chartTrackingRefBased/>
  <w15:docId w15:val="{009D6DBD-C6DE-4905-AF8F-D67234BF4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9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61FC"/>
    <w:pPr>
      <w:autoSpaceDE w:val="0"/>
      <w:autoSpaceDN w:val="0"/>
      <w:adjustRightInd w:val="0"/>
      <w:spacing w:after="0" w:line="240" w:lineRule="auto"/>
    </w:pPr>
    <w:rPr>
      <w:rFonts w:ascii="DaxlinePro" w:hAnsi="DaxlinePro" w:cs="DaxlinePro"/>
      <w:color w:val="000000"/>
      <w:sz w:val="24"/>
      <w:szCs w:val="24"/>
    </w:rPr>
  </w:style>
  <w:style w:type="paragraph" w:customStyle="1" w:styleId="Pa31">
    <w:name w:val="Pa31"/>
    <w:basedOn w:val="Default"/>
    <w:next w:val="Default"/>
    <w:uiPriority w:val="99"/>
    <w:rsid w:val="00E961FC"/>
    <w:pPr>
      <w:spacing w:line="331" w:lineRule="atLeast"/>
    </w:pPr>
    <w:rPr>
      <w:rFonts w:cstheme="minorBidi"/>
      <w:color w:val="auto"/>
    </w:rPr>
  </w:style>
  <w:style w:type="paragraph" w:customStyle="1" w:styleId="Pa10">
    <w:name w:val="Pa10"/>
    <w:basedOn w:val="Default"/>
    <w:next w:val="Default"/>
    <w:uiPriority w:val="99"/>
    <w:rsid w:val="00E961FC"/>
    <w:pPr>
      <w:spacing w:line="185" w:lineRule="atLeast"/>
    </w:pPr>
    <w:rPr>
      <w:rFonts w:cstheme="minorBidi"/>
      <w:color w:val="auto"/>
    </w:rPr>
  </w:style>
  <w:style w:type="character" w:customStyle="1" w:styleId="A14">
    <w:name w:val="A14"/>
    <w:uiPriority w:val="99"/>
    <w:rsid w:val="00E961FC"/>
    <w:rPr>
      <w:rFonts w:cs="DaxlinePro"/>
      <w:color w:val="000000"/>
      <w:sz w:val="10"/>
      <w:szCs w:val="10"/>
    </w:rPr>
  </w:style>
  <w:style w:type="paragraph" w:customStyle="1" w:styleId="Pa69">
    <w:name w:val="Pa69"/>
    <w:basedOn w:val="Default"/>
    <w:next w:val="Default"/>
    <w:uiPriority w:val="99"/>
    <w:rsid w:val="00E961FC"/>
    <w:pPr>
      <w:spacing w:line="161" w:lineRule="atLeast"/>
    </w:pPr>
    <w:rPr>
      <w:rFonts w:cstheme="minorBidi"/>
      <w:color w:val="auto"/>
    </w:rPr>
  </w:style>
  <w:style w:type="paragraph" w:customStyle="1" w:styleId="Pa35">
    <w:name w:val="Pa35"/>
    <w:basedOn w:val="Default"/>
    <w:next w:val="Default"/>
    <w:uiPriority w:val="99"/>
    <w:rsid w:val="00E961FC"/>
    <w:pPr>
      <w:spacing w:line="251" w:lineRule="atLeast"/>
    </w:pPr>
    <w:rPr>
      <w:rFonts w:cstheme="minorBidi"/>
      <w:color w:val="auto"/>
    </w:rPr>
  </w:style>
  <w:style w:type="paragraph" w:customStyle="1" w:styleId="Pa39">
    <w:name w:val="Pa39"/>
    <w:basedOn w:val="Default"/>
    <w:next w:val="Default"/>
    <w:uiPriority w:val="99"/>
    <w:rsid w:val="00E961FC"/>
    <w:pPr>
      <w:spacing w:line="201" w:lineRule="atLeast"/>
    </w:pPr>
    <w:rPr>
      <w:rFonts w:cstheme="minorBidi"/>
      <w:color w:val="auto"/>
    </w:rPr>
  </w:style>
  <w:style w:type="paragraph" w:customStyle="1" w:styleId="Pa28">
    <w:name w:val="Pa28"/>
    <w:basedOn w:val="Default"/>
    <w:next w:val="Default"/>
    <w:uiPriority w:val="99"/>
    <w:rsid w:val="00E961FC"/>
    <w:pPr>
      <w:spacing w:line="241" w:lineRule="atLeast"/>
    </w:pPr>
    <w:rPr>
      <w:rFonts w:cstheme="minorBidi"/>
      <w:color w:val="auto"/>
    </w:rPr>
  </w:style>
  <w:style w:type="paragraph" w:customStyle="1" w:styleId="Pa29">
    <w:name w:val="Pa29"/>
    <w:basedOn w:val="Default"/>
    <w:next w:val="Default"/>
    <w:uiPriority w:val="99"/>
    <w:rsid w:val="00E961FC"/>
    <w:pPr>
      <w:spacing w:line="185" w:lineRule="atLeast"/>
    </w:pPr>
    <w:rPr>
      <w:rFonts w:cstheme="minorBidi"/>
      <w:color w:val="auto"/>
    </w:rPr>
  </w:style>
  <w:style w:type="paragraph" w:customStyle="1" w:styleId="Pa30">
    <w:name w:val="Pa30"/>
    <w:basedOn w:val="Default"/>
    <w:next w:val="Default"/>
    <w:uiPriority w:val="99"/>
    <w:rsid w:val="00E961FC"/>
    <w:pPr>
      <w:spacing w:line="141" w:lineRule="atLeast"/>
    </w:pPr>
    <w:rPr>
      <w:rFonts w:cstheme="minorBidi"/>
      <w:color w:val="auto"/>
    </w:rPr>
  </w:style>
  <w:style w:type="paragraph" w:customStyle="1" w:styleId="Pa49">
    <w:name w:val="Pa49"/>
    <w:basedOn w:val="Default"/>
    <w:next w:val="Default"/>
    <w:uiPriority w:val="99"/>
    <w:rsid w:val="00E961FC"/>
    <w:pPr>
      <w:spacing w:line="221" w:lineRule="atLeast"/>
    </w:pPr>
    <w:rPr>
      <w:rFonts w:cstheme="minorBidi"/>
      <w:color w:val="auto"/>
    </w:rPr>
  </w:style>
  <w:style w:type="paragraph" w:customStyle="1" w:styleId="Pa50">
    <w:name w:val="Pa50"/>
    <w:basedOn w:val="Default"/>
    <w:next w:val="Default"/>
    <w:uiPriority w:val="99"/>
    <w:rsid w:val="00E961FC"/>
    <w:pPr>
      <w:spacing w:line="145" w:lineRule="atLeast"/>
    </w:pPr>
    <w:rPr>
      <w:rFonts w:cstheme="minorBidi"/>
      <w:color w:val="auto"/>
    </w:rPr>
  </w:style>
  <w:style w:type="paragraph" w:customStyle="1" w:styleId="Pa32">
    <w:name w:val="Pa32"/>
    <w:basedOn w:val="Default"/>
    <w:next w:val="Default"/>
    <w:uiPriority w:val="99"/>
    <w:rsid w:val="00E961FC"/>
    <w:pPr>
      <w:spacing w:line="185" w:lineRule="atLeast"/>
    </w:pPr>
    <w:rPr>
      <w:rFonts w:cstheme="minorBidi"/>
      <w:color w:val="auto"/>
    </w:rPr>
  </w:style>
  <w:style w:type="paragraph" w:customStyle="1" w:styleId="Pa57">
    <w:name w:val="Pa57"/>
    <w:basedOn w:val="Default"/>
    <w:next w:val="Default"/>
    <w:uiPriority w:val="99"/>
    <w:rsid w:val="00E961FC"/>
    <w:pPr>
      <w:spacing w:line="185" w:lineRule="atLeast"/>
    </w:pPr>
    <w:rPr>
      <w:rFonts w:cstheme="minorBidi"/>
      <w:color w:val="auto"/>
    </w:rPr>
  </w:style>
  <w:style w:type="paragraph" w:customStyle="1" w:styleId="Pa40">
    <w:name w:val="Pa40"/>
    <w:basedOn w:val="Default"/>
    <w:next w:val="Default"/>
    <w:uiPriority w:val="99"/>
    <w:rsid w:val="00E961FC"/>
    <w:pPr>
      <w:spacing w:line="201" w:lineRule="atLeast"/>
    </w:pPr>
    <w:rPr>
      <w:rFonts w:cstheme="minorBidi"/>
      <w:color w:val="auto"/>
    </w:rPr>
  </w:style>
  <w:style w:type="paragraph" w:customStyle="1" w:styleId="Pa41">
    <w:name w:val="Pa41"/>
    <w:basedOn w:val="Default"/>
    <w:next w:val="Default"/>
    <w:uiPriority w:val="99"/>
    <w:rsid w:val="00E961FC"/>
    <w:pPr>
      <w:spacing w:line="181" w:lineRule="atLeast"/>
    </w:pPr>
    <w:rPr>
      <w:rFonts w:cstheme="minorBidi"/>
      <w:color w:val="auto"/>
    </w:rPr>
  </w:style>
  <w:style w:type="character" w:styleId="Hyperlink">
    <w:name w:val="Hyperlink"/>
    <w:basedOn w:val="DefaultParagraphFont"/>
    <w:uiPriority w:val="99"/>
    <w:unhideWhenUsed/>
    <w:rsid w:val="00684B12"/>
    <w:rPr>
      <w:color w:val="0563C1"/>
      <w:u w:val="single"/>
    </w:rPr>
  </w:style>
  <w:style w:type="table" w:styleId="TableGrid">
    <w:name w:val="Table Grid"/>
    <w:basedOn w:val="TableNormal"/>
    <w:uiPriority w:val="39"/>
    <w:rsid w:val="00684B12"/>
    <w:pPr>
      <w:spacing w:after="0" w:line="240" w:lineRule="auto"/>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01D6"/>
    <w:pPr>
      <w:ind w:left="720"/>
      <w:contextualSpacing/>
    </w:pPr>
  </w:style>
  <w:style w:type="character" w:styleId="Strong">
    <w:name w:val="Strong"/>
    <w:basedOn w:val="DefaultParagraphFont"/>
    <w:uiPriority w:val="22"/>
    <w:qFormat/>
    <w:rsid w:val="007901D6"/>
    <w:rPr>
      <w:b/>
      <w:bCs/>
    </w:rPr>
  </w:style>
  <w:style w:type="paragraph" w:customStyle="1" w:styleId="Pa22">
    <w:name w:val="Pa22"/>
    <w:basedOn w:val="Default"/>
    <w:next w:val="Default"/>
    <w:uiPriority w:val="99"/>
    <w:rsid w:val="00AF5B1A"/>
    <w:pPr>
      <w:spacing w:line="185" w:lineRule="atLeast"/>
    </w:pPr>
    <w:rPr>
      <w:rFonts w:cstheme="minorBidi"/>
      <w:color w:val="auto"/>
    </w:rPr>
  </w:style>
  <w:style w:type="paragraph" w:customStyle="1" w:styleId="Pa23">
    <w:name w:val="Pa23"/>
    <w:basedOn w:val="Default"/>
    <w:next w:val="Default"/>
    <w:uiPriority w:val="99"/>
    <w:rsid w:val="00AF5B1A"/>
    <w:pPr>
      <w:spacing w:line="145" w:lineRule="atLeast"/>
    </w:pPr>
    <w:rPr>
      <w:rFonts w:cstheme="minorBidi"/>
      <w:color w:val="auto"/>
    </w:rPr>
  </w:style>
  <w:style w:type="character" w:styleId="FollowedHyperlink">
    <w:name w:val="FollowedHyperlink"/>
    <w:basedOn w:val="DefaultParagraphFont"/>
    <w:uiPriority w:val="99"/>
    <w:semiHidden/>
    <w:unhideWhenUsed/>
    <w:rsid w:val="001C4534"/>
    <w:rPr>
      <w:color w:val="954F72" w:themeColor="followedHyperlink"/>
      <w:u w:val="single"/>
    </w:rPr>
  </w:style>
  <w:style w:type="table" w:customStyle="1" w:styleId="TableGrid61">
    <w:name w:val="Table Grid61"/>
    <w:basedOn w:val="TableNormal"/>
    <w:next w:val="TableGrid"/>
    <w:uiPriority w:val="59"/>
    <w:rsid w:val="000733A0"/>
    <w:pPr>
      <w:spacing w:after="0" w:line="240" w:lineRule="auto"/>
    </w:pPr>
    <w:rPr>
      <w:rFonts w:eastAsia="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733A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3A0"/>
    <w:rPr>
      <w:rFonts w:asciiTheme="majorHAnsi" w:eastAsiaTheme="majorEastAsia" w:hAnsiTheme="majorHAnsi" w:cstheme="majorBidi"/>
      <w:spacing w:val="-10"/>
      <w:kern w:val="28"/>
      <w:sz w:val="56"/>
      <w:szCs w:val="56"/>
    </w:rPr>
  </w:style>
  <w:style w:type="paragraph" w:styleId="FootnoteText">
    <w:name w:val="footnote text"/>
    <w:aliases w:val="footnotes,Footnote Text Char2 Char,Footnote Text Char Char1 Char,Footnote Text Char2 Char Char Char,Footnote Text Char1 Char Char Char Char,Footnote Text Char Char Char Char Char Char,Footnote Text Char1 Char,C,Footnote TextCSR,Footnote,fn"/>
    <w:basedOn w:val="Normal"/>
    <w:link w:val="FootnoteTextChar"/>
    <w:uiPriority w:val="99"/>
    <w:qFormat/>
    <w:rsid w:val="006A196E"/>
    <w:pPr>
      <w:spacing w:after="0" w:line="276" w:lineRule="auto"/>
    </w:pPr>
    <w:rPr>
      <w:rFonts w:ascii="Times New Roman" w:eastAsia="Calibri" w:hAnsi="Times New Roman" w:cs="Times New Roman"/>
      <w:sz w:val="20"/>
      <w:szCs w:val="20"/>
      <w:lang w:val="x-none"/>
    </w:rPr>
  </w:style>
  <w:style w:type="character" w:customStyle="1" w:styleId="FootnoteTextChar">
    <w:name w:val="Footnote Text Char"/>
    <w:aliases w:val="footnotes Char,Footnote Text Char2 Char Char,Footnote Text Char Char1 Char Char,Footnote Text Char2 Char Char Char Char,Footnote Text Char1 Char Char Char Char Char,Footnote Text Char Char Char Char Char Char Char,C Char,Footnote Char"/>
    <w:basedOn w:val="DefaultParagraphFont"/>
    <w:link w:val="FootnoteText"/>
    <w:uiPriority w:val="99"/>
    <w:rsid w:val="006A196E"/>
    <w:rPr>
      <w:rFonts w:ascii="Times New Roman" w:eastAsia="Calibri" w:hAnsi="Times New Roman" w:cs="Times New Roman"/>
      <w:sz w:val="20"/>
      <w:szCs w:val="20"/>
      <w:lang w:val="x-none"/>
    </w:rPr>
  </w:style>
  <w:style w:type="paragraph" w:styleId="Subtitle">
    <w:name w:val="Subtitle"/>
    <w:basedOn w:val="Normal"/>
    <w:next w:val="Normal"/>
    <w:link w:val="SubtitleChar"/>
    <w:uiPriority w:val="11"/>
    <w:qFormat/>
    <w:rsid w:val="0094112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41126"/>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a.europa.eu/en/publications-and-resources/publications/annual-reports/fundamental-rights-2016"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deinstitutionalisationguide.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ra.europa.eu/en/project/2014/rights-persons-disabilities-right-independent-living/publications" TargetMode="External"/><Relationship Id="rId11" Type="http://schemas.openxmlformats.org/officeDocument/2006/relationships/fontTable" Target="fontTable.xml"/><Relationship Id="rId5" Type="http://schemas.openxmlformats.org/officeDocument/2006/relationships/hyperlink" Target="https://fra.europa.eu/en/publication/2018/frr-2018-focus-rights-based-ageing" TargetMode="External"/><Relationship Id="rId15" Type="http://schemas.openxmlformats.org/officeDocument/2006/relationships/customXml" Target="../customXml/item3.xml"/><Relationship Id="rId10" Type="http://schemas.openxmlformats.org/officeDocument/2006/relationships/hyperlink" Target="https://fra.europa.eu/en/publications-and-resources/publications/annual-reports/fundamental-rights-2018" TargetMode="External"/><Relationship Id="rId4" Type="http://schemas.openxmlformats.org/officeDocument/2006/relationships/webSettings" Target="webSettings.xml"/><Relationship Id="rId9" Type="http://schemas.openxmlformats.org/officeDocument/2006/relationships/hyperlink" Target="https://fra.europa.eu/en/publications-and-resources/publications/annual-reports/fundamental-rights-2017"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B5A3FBC-A1B3-4B34-A500-E018C15E2F13}"/>
</file>

<file path=customXml/itemProps2.xml><?xml version="1.0" encoding="utf-8"?>
<ds:datastoreItem xmlns:ds="http://schemas.openxmlformats.org/officeDocument/2006/customXml" ds:itemID="{713190C1-5B0F-475B-A3B9-6F10F1B2B032}"/>
</file>

<file path=customXml/itemProps3.xml><?xml version="1.0" encoding="utf-8"?>
<ds:datastoreItem xmlns:ds="http://schemas.openxmlformats.org/officeDocument/2006/customXml" ds:itemID="{6317BE0B-FFCD-44B8-B178-C3CE050582BE}"/>
</file>

<file path=docProps/app.xml><?xml version="1.0" encoding="utf-8"?>
<Properties xmlns="http://schemas.openxmlformats.org/officeDocument/2006/extended-properties" xmlns:vt="http://schemas.openxmlformats.org/officeDocument/2006/docPropsVTypes">
  <Template>Normal.dotm</Template>
  <TotalTime>1</TotalTime>
  <Pages>2</Pages>
  <Words>955</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EU Agency for Fundamental Rights</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LUCHKA Viktoriya (FRA)</dc:creator>
  <cp:keywords/>
  <dc:description/>
  <cp:lastModifiedBy>GRIMHEDEN Jonas (FRA)</cp:lastModifiedBy>
  <cp:revision>2</cp:revision>
  <dcterms:created xsi:type="dcterms:W3CDTF">2019-04-16T10:57:00Z</dcterms:created>
  <dcterms:modified xsi:type="dcterms:W3CDTF">2019-04-16T10:57:00Z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