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7049D" w14:textId="77777777" w:rsidR="007976F3" w:rsidRPr="004D7792" w:rsidRDefault="007976F3" w:rsidP="00EC65FA">
      <w:pPr>
        <w:rPr>
          <w:rFonts w:ascii="Khmer UI" w:hAnsi="Khmer UI" w:cs="Khmer UI"/>
          <w:sz w:val="24"/>
          <w:szCs w:val="24"/>
        </w:rPr>
      </w:pPr>
      <w:bookmarkStart w:id="0" w:name="_GoBack"/>
      <w:bookmarkEnd w:id="0"/>
      <w:r w:rsidRPr="004D7792">
        <w:rPr>
          <w:rFonts w:ascii="Khmer UI" w:hAnsi="Khmer UI" w:cs="Khmer UI"/>
          <w:noProof/>
          <w:sz w:val="24"/>
          <w:szCs w:val="24"/>
          <w:lang w:eastAsia="es-GT"/>
        </w:rPr>
        <w:drawing>
          <wp:inline distT="0" distB="0" distL="0" distR="0" wp14:anchorId="2629EE09" wp14:editId="319DA42A">
            <wp:extent cx="5490210" cy="2888392"/>
            <wp:effectExtent l="0" t="0" r="0" b="7620"/>
            <wp:docPr id="20" name="Imagen 20"/>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90210" cy="2888392"/>
                    </a:xfrm>
                    <a:prstGeom prst="rect">
                      <a:avLst/>
                    </a:prstGeom>
                  </pic:spPr>
                </pic:pic>
              </a:graphicData>
            </a:graphic>
          </wp:inline>
        </w:drawing>
      </w:r>
    </w:p>
    <w:p w14:paraId="4CD8CEE1" w14:textId="77777777" w:rsidR="007976F3" w:rsidRPr="004D7792" w:rsidRDefault="007976F3" w:rsidP="00EC65FA">
      <w:pPr>
        <w:rPr>
          <w:rFonts w:ascii="Khmer UI" w:hAnsi="Khmer UI" w:cs="Khmer UI"/>
          <w:sz w:val="24"/>
          <w:szCs w:val="24"/>
        </w:rPr>
      </w:pPr>
    </w:p>
    <w:p w14:paraId="34857165" w14:textId="77777777" w:rsidR="007976F3" w:rsidRPr="004D7792" w:rsidRDefault="007976F3" w:rsidP="00EC65FA">
      <w:pPr>
        <w:rPr>
          <w:rFonts w:ascii="Khmer UI" w:hAnsi="Khmer UI" w:cs="Khmer UI"/>
          <w:sz w:val="24"/>
          <w:szCs w:val="24"/>
        </w:rPr>
      </w:pPr>
    </w:p>
    <w:p w14:paraId="7E5BF97E" w14:textId="77777777" w:rsidR="007976F3" w:rsidRPr="004D7792" w:rsidRDefault="007976F3" w:rsidP="00EC65FA">
      <w:pPr>
        <w:rPr>
          <w:rFonts w:ascii="Khmer UI" w:hAnsi="Khmer UI" w:cs="Khmer UI"/>
          <w:sz w:val="24"/>
          <w:szCs w:val="24"/>
        </w:rPr>
      </w:pPr>
    </w:p>
    <w:p w14:paraId="297F53C1" w14:textId="77777777" w:rsidR="00EC65FA" w:rsidRPr="004D7792" w:rsidRDefault="00EC65FA" w:rsidP="00EC65FA">
      <w:pPr>
        <w:rPr>
          <w:rFonts w:ascii="Khmer UI" w:hAnsi="Khmer UI" w:cs="Khmer UI"/>
          <w:sz w:val="24"/>
          <w:szCs w:val="24"/>
        </w:rPr>
      </w:pPr>
    </w:p>
    <w:p w14:paraId="14BCEC0E" w14:textId="77777777" w:rsidR="00EC65FA" w:rsidRPr="004D7792" w:rsidRDefault="00EC65FA" w:rsidP="00EC65FA">
      <w:pPr>
        <w:pStyle w:val="HTMLPreformatted"/>
        <w:jc w:val="center"/>
        <w:rPr>
          <w:rFonts w:ascii="Khmer UI" w:hAnsi="Khmer UI" w:cs="Khmer UI"/>
          <w:b/>
          <w:sz w:val="32"/>
          <w:szCs w:val="24"/>
          <w:lang w:val="es-ES_tradnl" w:eastAsia="en-GB"/>
        </w:rPr>
      </w:pPr>
      <w:r w:rsidRPr="004D7792">
        <w:rPr>
          <w:rFonts w:ascii="Khmer UI" w:hAnsi="Khmer UI" w:cs="Khmer UI"/>
          <w:b/>
          <w:kern w:val="2"/>
          <w:sz w:val="32"/>
          <w:szCs w:val="24"/>
          <w:lang w:val="es-ES"/>
        </w:rPr>
        <w:t xml:space="preserve">Contribución del Procurador de los Derechos Humanos de Guatemala sobre </w:t>
      </w:r>
      <w:r w:rsidRPr="004D7792">
        <w:rPr>
          <w:rFonts w:ascii="Khmer UI" w:hAnsi="Khmer UI" w:cs="Khmer UI"/>
          <w:b/>
          <w:sz w:val="32"/>
          <w:szCs w:val="24"/>
          <w:lang w:val="es-ES_tradnl" w:eastAsia="en-GB"/>
        </w:rPr>
        <w:t>los derechos de las personas mayores con discapacidad</w:t>
      </w:r>
    </w:p>
    <w:p w14:paraId="2EB89FDE" w14:textId="77777777" w:rsidR="00EC65FA" w:rsidRPr="004D7792" w:rsidRDefault="00EC65FA" w:rsidP="00EC65FA">
      <w:pPr>
        <w:pStyle w:val="HTMLPreformatted"/>
        <w:jc w:val="center"/>
        <w:rPr>
          <w:rFonts w:ascii="Khmer UI" w:hAnsi="Khmer UI" w:cs="Khmer UI"/>
          <w:b/>
          <w:sz w:val="24"/>
          <w:szCs w:val="24"/>
          <w:lang w:val="es-ES_tradnl" w:eastAsia="en-GB"/>
        </w:rPr>
      </w:pPr>
    </w:p>
    <w:p w14:paraId="7BD9C5C3" w14:textId="77777777" w:rsidR="00EC65FA" w:rsidRPr="004D7792" w:rsidRDefault="00EC65FA" w:rsidP="00EC65FA">
      <w:pPr>
        <w:pStyle w:val="HTMLPreformatted"/>
        <w:jc w:val="both"/>
        <w:rPr>
          <w:rFonts w:ascii="Khmer UI" w:hAnsi="Khmer UI" w:cs="Khmer UI"/>
          <w:b/>
          <w:sz w:val="24"/>
          <w:szCs w:val="24"/>
          <w:u w:val="single"/>
          <w:lang w:val="es-ES_tradnl" w:eastAsia="en-GB"/>
        </w:rPr>
      </w:pPr>
    </w:p>
    <w:p w14:paraId="6C84B9EE" w14:textId="77777777" w:rsidR="00EC65FA" w:rsidRPr="004D7792" w:rsidRDefault="00EC65FA" w:rsidP="00EC65FA">
      <w:pPr>
        <w:pStyle w:val="HTMLPreformatted"/>
        <w:jc w:val="both"/>
        <w:rPr>
          <w:rFonts w:ascii="Khmer UI" w:hAnsi="Khmer UI" w:cs="Khmer UI"/>
          <w:b/>
          <w:sz w:val="24"/>
          <w:szCs w:val="24"/>
          <w:u w:val="single"/>
          <w:lang w:val="es-ES_tradnl" w:eastAsia="en-GB"/>
        </w:rPr>
      </w:pPr>
    </w:p>
    <w:p w14:paraId="3ADDD579" w14:textId="77777777" w:rsidR="00EC65FA" w:rsidRPr="004D7792" w:rsidRDefault="00EC65FA" w:rsidP="00EC65FA">
      <w:pPr>
        <w:pStyle w:val="HTMLPreformatted"/>
        <w:jc w:val="both"/>
        <w:rPr>
          <w:rFonts w:ascii="Khmer UI" w:hAnsi="Khmer UI" w:cs="Khmer UI"/>
          <w:b/>
          <w:sz w:val="24"/>
          <w:szCs w:val="24"/>
          <w:u w:val="single"/>
          <w:lang w:val="es-ES_tradnl" w:eastAsia="en-GB"/>
        </w:rPr>
      </w:pPr>
    </w:p>
    <w:p w14:paraId="6B536017" w14:textId="77777777" w:rsidR="00EC65FA" w:rsidRPr="004D7792" w:rsidRDefault="00EC65FA" w:rsidP="00EC65FA">
      <w:pPr>
        <w:pStyle w:val="HTMLPreformatted"/>
        <w:jc w:val="both"/>
        <w:rPr>
          <w:rFonts w:ascii="Khmer UI" w:hAnsi="Khmer UI" w:cs="Khmer UI"/>
          <w:b/>
          <w:sz w:val="24"/>
          <w:szCs w:val="24"/>
          <w:u w:val="single"/>
          <w:lang w:val="es-ES_tradnl" w:eastAsia="en-GB"/>
        </w:rPr>
      </w:pPr>
    </w:p>
    <w:p w14:paraId="789A4A16" w14:textId="0C00AC11" w:rsidR="00EC65FA" w:rsidRPr="004D7792" w:rsidRDefault="00EC65FA" w:rsidP="00EC65FA">
      <w:pPr>
        <w:pStyle w:val="HTMLPreformatted"/>
        <w:jc w:val="center"/>
        <w:rPr>
          <w:rFonts w:ascii="Khmer UI" w:hAnsi="Khmer UI" w:cs="Khmer UI"/>
          <w:sz w:val="24"/>
          <w:szCs w:val="24"/>
          <w:u w:val="single"/>
          <w:lang w:val="es-ES_tradnl" w:eastAsia="en-GB"/>
        </w:rPr>
      </w:pPr>
      <w:r w:rsidRPr="004D7792">
        <w:rPr>
          <w:rFonts w:ascii="Khmer UI" w:hAnsi="Khmer UI" w:cs="Khmer UI"/>
          <w:bCs/>
          <w:sz w:val="24"/>
          <w:szCs w:val="24"/>
        </w:rPr>
        <w:t xml:space="preserve">A solicitud de la Relatora </w:t>
      </w:r>
      <w:r w:rsidRPr="004D7792">
        <w:rPr>
          <w:rFonts w:ascii="Khmer UI" w:hAnsi="Khmer UI" w:cs="Khmer UI"/>
          <w:sz w:val="24"/>
          <w:szCs w:val="24"/>
        </w:rPr>
        <w:t xml:space="preserve">Especial sobre los derechos de las personas con discapacidad, Sra. Catalina Devandas-Aguilar, </w:t>
      </w:r>
      <w:r w:rsidR="002A45E7">
        <w:rPr>
          <w:rFonts w:ascii="Khmer UI" w:hAnsi="Khmer UI" w:cs="Khmer UI"/>
          <w:sz w:val="24"/>
          <w:szCs w:val="24"/>
        </w:rPr>
        <w:t xml:space="preserve">en </w:t>
      </w:r>
      <w:r w:rsidRPr="004D7792">
        <w:rPr>
          <w:rFonts w:ascii="Khmer UI" w:hAnsi="Khmer UI" w:cs="Khmer UI"/>
          <w:sz w:val="24"/>
          <w:szCs w:val="24"/>
          <w:lang w:val="es-ES"/>
        </w:rPr>
        <w:t>el marco de preparación de su informe para el 74º período de sesiones de la Asamblea General.</w:t>
      </w:r>
    </w:p>
    <w:p w14:paraId="52193862" w14:textId="77777777" w:rsidR="00EC65FA" w:rsidRPr="004D7792" w:rsidRDefault="00EC65FA" w:rsidP="00EC65FA">
      <w:pPr>
        <w:jc w:val="center"/>
        <w:outlineLvl w:val="1"/>
        <w:rPr>
          <w:rFonts w:ascii="Khmer UI" w:hAnsi="Khmer UI" w:cs="Khmer UI"/>
          <w:kern w:val="2"/>
          <w:sz w:val="24"/>
          <w:szCs w:val="24"/>
        </w:rPr>
      </w:pPr>
    </w:p>
    <w:p w14:paraId="2C94F453" w14:textId="77777777" w:rsidR="00EC65FA" w:rsidRPr="004D7792" w:rsidRDefault="00EC65FA" w:rsidP="00EC65FA">
      <w:pPr>
        <w:jc w:val="center"/>
        <w:outlineLvl w:val="1"/>
        <w:rPr>
          <w:rFonts w:ascii="Khmer UI" w:hAnsi="Khmer UI" w:cs="Khmer UI"/>
          <w:kern w:val="2"/>
          <w:sz w:val="24"/>
          <w:szCs w:val="24"/>
        </w:rPr>
      </w:pPr>
    </w:p>
    <w:p w14:paraId="696DDD21" w14:textId="77777777" w:rsidR="00EC65FA" w:rsidRPr="004D7792" w:rsidRDefault="00EC65FA" w:rsidP="00EC65FA">
      <w:pPr>
        <w:jc w:val="center"/>
        <w:outlineLvl w:val="1"/>
        <w:rPr>
          <w:rFonts w:ascii="Khmer UI" w:hAnsi="Khmer UI" w:cs="Khmer UI"/>
          <w:kern w:val="2"/>
          <w:sz w:val="24"/>
          <w:szCs w:val="24"/>
        </w:rPr>
      </w:pPr>
    </w:p>
    <w:p w14:paraId="36C9380B" w14:textId="77777777" w:rsidR="00EC65FA" w:rsidRPr="004D7792" w:rsidRDefault="00EC65FA" w:rsidP="00EC65FA">
      <w:pPr>
        <w:jc w:val="center"/>
        <w:outlineLvl w:val="1"/>
        <w:rPr>
          <w:rFonts w:ascii="Khmer UI" w:hAnsi="Khmer UI" w:cs="Khmer UI"/>
          <w:kern w:val="2"/>
          <w:sz w:val="24"/>
          <w:szCs w:val="24"/>
        </w:rPr>
      </w:pPr>
    </w:p>
    <w:p w14:paraId="6077DDE7" w14:textId="77777777" w:rsidR="00EC65FA" w:rsidRPr="004D7792" w:rsidRDefault="00EC65FA" w:rsidP="00EC65FA">
      <w:pPr>
        <w:jc w:val="center"/>
        <w:outlineLvl w:val="1"/>
        <w:rPr>
          <w:rFonts w:ascii="Khmer UI" w:hAnsi="Khmer UI" w:cs="Khmer UI"/>
          <w:kern w:val="2"/>
          <w:sz w:val="24"/>
          <w:szCs w:val="24"/>
        </w:rPr>
      </w:pPr>
    </w:p>
    <w:p w14:paraId="7188D3F0" w14:textId="77777777" w:rsidR="00EC65FA" w:rsidRPr="004D7792" w:rsidRDefault="00EC65FA" w:rsidP="00EC65FA">
      <w:pPr>
        <w:jc w:val="center"/>
        <w:outlineLvl w:val="1"/>
        <w:rPr>
          <w:rFonts w:ascii="Khmer UI" w:hAnsi="Khmer UI" w:cs="Khmer UI"/>
          <w:kern w:val="2"/>
          <w:sz w:val="24"/>
          <w:szCs w:val="24"/>
        </w:rPr>
      </w:pPr>
    </w:p>
    <w:p w14:paraId="2937830B" w14:textId="77777777" w:rsidR="00EC65FA" w:rsidRPr="004D7792" w:rsidRDefault="00EC65FA" w:rsidP="00EC65FA">
      <w:pPr>
        <w:jc w:val="center"/>
        <w:outlineLvl w:val="1"/>
        <w:rPr>
          <w:rFonts w:ascii="Khmer UI" w:hAnsi="Khmer UI" w:cs="Khmer UI"/>
          <w:kern w:val="2"/>
          <w:sz w:val="24"/>
          <w:szCs w:val="24"/>
        </w:rPr>
      </w:pPr>
    </w:p>
    <w:p w14:paraId="51AB035A" w14:textId="77777777" w:rsidR="00EC65FA" w:rsidRPr="004D7792" w:rsidRDefault="00EC65FA" w:rsidP="00EC65FA">
      <w:pPr>
        <w:jc w:val="center"/>
        <w:outlineLvl w:val="1"/>
        <w:rPr>
          <w:rFonts w:ascii="Khmer UI" w:hAnsi="Khmer UI" w:cs="Khmer UI"/>
          <w:kern w:val="2"/>
          <w:sz w:val="24"/>
          <w:szCs w:val="24"/>
        </w:rPr>
      </w:pPr>
    </w:p>
    <w:p w14:paraId="28AC830A" w14:textId="77777777" w:rsidR="00EC65FA" w:rsidRPr="004D7792" w:rsidRDefault="00EC65FA" w:rsidP="00EC65FA">
      <w:pPr>
        <w:jc w:val="center"/>
        <w:outlineLvl w:val="1"/>
        <w:rPr>
          <w:rFonts w:ascii="Khmer UI" w:hAnsi="Khmer UI" w:cs="Khmer UI"/>
          <w:kern w:val="2"/>
          <w:sz w:val="24"/>
          <w:szCs w:val="24"/>
        </w:rPr>
      </w:pPr>
    </w:p>
    <w:p w14:paraId="7D2BED52" w14:textId="77777777" w:rsidR="00EC65FA" w:rsidRPr="004D7792" w:rsidRDefault="00EC65FA" w:rsidP="00EC65FA">
      <w:pPr>
        <w:jc w:val="center"/>
        <w:outlineLvl w:val="1"/>
        <w:rPr>
          <w:rFonts w:ascii="Khmer UI" w:hAnsi="Khmer UI" w:cs="Khmer UI"/>
          <w:kern w:val="2"/>
          <w:sz w:val="24"/>
          <w:szCs w:val="24"/>
        </w:rPr>
      </w:pPr>
    </w:p>
    <w:p w14:paraId="193C6910" w14:textId="64704C37" w:rsidR="00EC65FA" w:rsidRPr="004D7792" w:rsidRDefault="004D7792" w:rsidP="00EC65FA">
      <w:pPr>
        <w:jc w:val="center"/>
        <w:rPr>
          <w:rFonts w:ascii="Khmer UI" w:eastAsia="Times New Roman" w:hAnsi="Khmer UI" w:cs="Khmer UI"/>
          <w:sz w:val="24"/>
          <w:szCs w:val="24"/>
          <w:lang w:eastAsia="es-GT"/>
        </w:rPr>
      </w:pPr>
      <w:r>
        <w:rPr>
          <w:rFonts w:ascii="Khmer UI" w:eastAsia="Times New Roman" w:hAnsi="Khmer UI" w:cs="Khmer UI"/>
          <w:bCs/>
          <w:sz w:val="24"/>
          <w:szCs w:val="24"/>
          <w:lang w:eastAsia="es-GT"/>
        </w:rPr>
        <w:t xml:space="preserve">Guatemala, </w:t>
      </w:r>
      <w:r w:rsidR="00CA426B">
        <w:rPr>
          <w:rFonts w:ascii="Khmer UI" w:eastAsia="Times New Roman" w:hAnsi="Khmer UI" w:cs="Khmer UI"/>
          <w:bCs/>
          <w:sz w:val="24"/>
          <w:szCs w:val="24"/>
          <w:lang w:eastAsia="es-GT"/>
        </w:rPr>
        <w:t>15</w:t>
      </w:r>
      <w:r w:rsidR="00EC65FA" w:rsidRPr="004D7792">
        <w:rPr>
          <w:rFonts w:ascii="Khmer UI" w:eastAsia="Times New Roman" w:hAnsi="Khmer UI" w:cs="Khmer UI"/>
          <w:bCs/>
          <w:sz w:val="24"/>
          <w:szCs w:val="24"/>
          <w:lang w:eastAsia="es-GT"/>
        </w:rPr>
        <w:t xml:space="preserve"> de </w:t>
      </w:r>
      <w:r>
        <w:rPr>
          <w:rFonts w:ascii="Khmer UI" w:eastAsia="Times New Roman" w:hAnsi="Khmer UI" w:cs="Khmer UI"/>
          <w:bCs/>
          <w:sz w:val="24"/>
          <w:szCs w:val="24"/>
          <w:lang w:eastAsia="es-GT"/>
        </w:rPr>
        <w:t>abril de 2019</w:t>
      </w:r>
    </w:p>
    <w:p w14:paraId="3D975178" w14:textId="77777777" w:rsidR="00EC65FA" w:rsidRPr="004D7792" w:rsidRDefault="00EC65FA" w:rsidP="00EC65FA">
      <w:pPr>
        <w:jc w:val="center"/>
        <w:outlineLvl w:val="1"/>
        <w:rPr>
          <w:rFonts w:ascii="Khmer UI" w:hAnsi="Khmer UI" w:cs="Khmer UI"/>
          <w:b/>
          <w:sz w:val="24"/>
          <w:szCs w:val="24"/>
          <w:u w:val="single"/>
          <w:lang w:val="es-ES_tradnl" w:eastAsia="en-GB"/>
        </w:rPr>
      </w:pPr>
      <w:r w:rsidRPr="004D7792">
        <w:rPr>
          <w:rFonts w:ascii="Khmer UI" w:hAnsi="Khmer UI" w:cs="Khmer UI"/>
          <w:kern w:val="2"/>
          <w:sz w:val="24"/>
          <w:szCs w:val="24"/>
        </w:rPr>
        <w:br w:type="page"/>
      </w:r>
    </w:p>
    <w:p w14:paraId="711D4D72" w14:textId="4328D77C" w:rsidR="00EC65FA" w:rsidRPr="004D7792" w:rsidRDefault="00EC65FA" w:rsidP="00EC65FA">
      <w:pPr>
        <w:pStyle w:val="HTMLPreformatted"/>
        <w:jc w:val="both"/>
        <w:rPr>
          <w:rFonts w:ascii="Khmer UI" w:hAnsi="Khmer UI" w:cs="Khmer UI"/>
          <w:sz w:val="24"/>
          <w:szCs w:val="24"/>
          <w:lang w:val="es-ES"/>
        </w:rPr>
      </w:pPr>
      <w:r w:rsidRPr="004D7792">
        <w:rPr>
          <w:rFonts w:ascii="Khmer UI" w:hAnsi="Khmer UI" w:cs="Khmer UI"/>
          <w:sz w:val="24"/>
          <w:szCs w:val="24"/>
          <w:lang w:val="es-ES"/>
        </w:rPr>
        <w:lastRenderedPageBreak/>
        <w:t xml:space="preserve">En </w:t>
      </w:r>
      <w:r w:rsidR="00A30EA3">
        <w:rPr>
          <w:rFonts w:ascii="Khmer UI" w:hAnsi="Khmer UI" w:cs="Khmer UI"/>
          <w:sz w:val="24"/>
          <w:szCs w:val="24"/>
          <w:lang w:val="es-ES"/>
        </w:rPr>
        <w:t>a</w:t>
      </w:r>
      <w:r w:rsidRPr="004D7792">
        <w:rPr>
          <w:rFonts w:ascii="Khmer UI" w:hAnsi="Khmer UI" w:cs="Khmer UI"/>
          <w:sz w:val="24"/>
          <w:szCs w:val="24"/>
          <w:lang w:val="es-ES"/>
        </w:rPr>
        <w:t xml:space="preserve">tención a la carta de la Relatora Especial sobre los derechos de las personas con discapacidad, Sra. Catalina Devandas-Aguilar, de conformidad con la resolución 35/6 del Consejo de Derechos Humanos, y </w:t>
      </w:r>
      <w:r w:rsidR="002A45E7">
        <w:rPr>
          <w:rFonts w:ascii="Khmer UI" w:hAnsi="Khmer UI" w:cs="Khmer UI"/>
          <w:sz w:val="24"/>
          <w:szCs w:val="24"/>
          <w:lang w:val="es-ES"/>
        </w:rPr>
        <w:t xml:space="preserve">en </w:t>
      </w:r>
      <w:r w:rsidRPr="004D7792">
        <w:rPr>
          <w:rFonts w:ascii="Khmer UI" w:hAnsi="Khmer UI" w:cs="Khmer UI"/>
          <w:sz w:val="24"/>
          <w:szCs w:val="24"/>
          <w:lang w:val="es-ES"/>
        </w:rPr>
        <w:t>el marco de preparación de su informe para el 74º período de sesiones de la Asamblea General sobre los derechos de las personas mayores con discapacidad, cuyo objetivo es identificar y abordar las preocupaciones específicas de derechos humanos que enfrentan las personas con discapacidad que están envejeciendo y las personas mayores que adquieren una discapacidad.</w:t>
      </w:r>
    </w:p>
    <w:p w14:paraId="0C30FAFD" w14:textId="77777777" w:rsidR="00EC65FA" w:rsidRPr="004D7792" w:rsidRDefault="00EC65FA" w:rsidP="00EC65FA">
      <w:pPr>
        <w:pStyle w:val="HTMLPreformatted"/>
        <w:jc w:val="both"/>
        <w:rPr>
          <w:rFonts w:ascii="Khmer UI" w:hAnsi="Khmer UI" w:cs="Khmer UI"/>
          <w:sz w:val="24"/>
          <w:szCs w:val="24"/>
          <w:lang w:val="es-ES"/>
        </w:rPr>
      </w:pPr>
    </w:p>
    <w:p w14:paraId="4E197707" w14:textId="65073C72" w:rsidR="00EC65FA" w:rsidRPr="004D7792" w:rsidRDefault="00EC65FA" w:rsidP="00EC65FA">
      <w:pPr>
        <w:pStyle w:val="HTMLPreformatted"/>
        <w:jc w:val="both"/>
        <w:rPr>
          <w:rFonts w:ascii="Khmer UI" w:hAnsi="Khmer UI" w:cs="Khmer UI"/>
          <w:sz w:val="24"/>
          <w:szCs w:val="24"/>
          <w:lang w:val="es-ES"/>
        </w:rPr>
      </w:pPr>
      <w:r w:rsidRPr="004D7792">
        <w:rPr>
          <w:rFonts w:ascii="Khmer UI" w:hAnsi="Khmer UI" w:cs="Khmer UI"/>
          <w:sz w:val="24"/>
          <w:szCs w:val="24"/>
          <w:lang w:val="es-ES"/>
        </w:rPr>
        <w:t>El Procurador de los Derechos Humanos de Guatemala, Augusto Jord</w:t>
      </w:r>
      <w:r w:rsidR="00975DFC">
        <w:rPr>
          <w:rFonts w:ascii="Khmer UI" w:hAnsi="Khmer UI" w:cs="Khmer UI"/>
          <w:sz w:val="24"/>
          <w:szCs w:val="24"/>
          <w:lang w:val="es-ES"/>
        </w:rPr>
        <w:t>á</w:t>
      </w:r>
      <w:r w:rsidRPr="004D7792">
        <w:rPr>
          <w:rFonts w:ascii="Khmer UI" w:hAnsi="Khmer UI" w:cs="Khmer UI"/>
          <w:sz w:val="24"/>
          <w:szCs w:val="24"/>
          <w:lang w:val="es-ES"/>
        </w:rPr>
        <w:t>n Rodas Andrade, se complace en brindar la siguiente información.</w:t>
      </w:r>
    </w:p>
    <w:p w14:paraId="41F82D72" w14:textId="77777777" w:rsidR="00EC65FA" w:rsidRPr="004D7792" w:rsidRDefault="00EC65FA" w:rsidP="00EC65FA">
      <w:pPr>
        <w:pStyle w:val="HTMLPreformatted"/>
        <w:jc w:val="both"/>
        <w:rPr>
          <w:rFonts w:ascii="Khmer UI" w:hAnsi="Khmer UI" w:cs="Khmer UI"/>
          <w:sz w:val="24"/>
          <w:szCs w:val="24"/>
          <w:lang w:val="es-ES"/>
        </w:rPr>
      </w:pPr>
    </w:p>
    <w:p w14:paraId="68F44973" w14:textId="77777777" w:rsidR="00EC65FA" w:rsidRPr="004D7792" w:rsidRDefault="00EC65FA" w:rsidP="00EC65FA">
      <w:pPr>
        <w:pStyle w:val="ListParagraph"/>
        <w:numPr>
          <w:ilvl w:val="0"/>
          <w:numId w:val="9"/>
        </w:numPr>
        <w:ind w:left="567" w:hanging="567"/>
        <w:jc w:val="both"/>
        <w:rPr>
          <w:rFonts w:ascii="Khmer UI" w:hAnsi="Khmer UI" w:cs="Khmer UI"/>
          <w:b/>
          <w:sz w:val="24"/>
          <w:szCs w:val="24"/>
          <w:lang w:val="es-ES_tradnl"/>
        </w:rPr>
      </w:pPr>
      <w:r w:rsidRPr="004D7792">
        <w:rPr>
          <w:rFonts w:ascii="Khmer UI" w:hAnsi="Khmer UI" w:cs="Khmer UI"/>
          <w:b/>
          <w:sz w:val="24"/>
          <w:szCs w:val="24"/>
          <w:lang w:val="es-ES_tradnl"/>
        </w:rPr>
        <w:t>Sírvanse proporcionar información sobre el marco legislativo y de políticas vigente en su país para garantizar la realización de los derechos de las personas mayores con discapacidad, incluidas las personas con discapacidad que están envejeciendo y las personas mayores que adquieren una discapacidad.</w:t>
      </w:r>
    </w:p>
    <w:p w14:paraId="7EB2B536" w14:textId="77777777" w:rsidR="00EC65FA" w:rsidRPr="004D7792" w:rsidRDefault="00EC65FA" w:rsidP="00EC65FA">
      <w:pPr>
        <w:pStyle w:val="ListParagraph"/>
        <w:ind w:left="0"/>
        <w:jc w:val="both"/>
        <w:rPr>
          <w:rFonts w:ascii="Khmer UI" w:hAnsi="Khmer UI" w:cs="Khmer UI"/>
          <w:sz w:val="24"/>
          <w:szCs w:val="24"/>
          <w:lang w:val="es-ES_tradnl"/>
        </w:rPr>
      </w:pPr>
    </w:p>
    <w:p w14:paraId="28DEE329" w14:textId="642D5E7B" w:rsidR="00EC65FA" w:rsidRPr="004D7792" w:rsidRDefault="00EC65FA" w:rsidP="00EC65FA">
      <w:pPr>
        <w:autoSpaceDE w:val="0"/>
        <w:autoSpaceDN w:val="0"/>
        <w:adjustRightInd w:val="0"/>
        <w:ind w:left="0"/>
        <w:jc w:val="both"/>
        <w:rPr>
          <w:rFonts w:ascii="Khmer UI" w:hAnsi="Khmer UI" w:cs="Khmer UI"/>
          <w:sz w:val="24"/>
          <w:szCs w:val="24"/>
          <w:lang w:val="es-ES_tradnl"/>
        </w:rPr>
      </w:pPr>
      <w:r w:rsidRPr="004D7792">
        <w:rPr>
          <w:rFonts w:ascii="Khmer UI" w:hAnsi="Khmer UI" w:cs="Khmer UI"/>
          <w:sz w:val="24"/>
          <w:szCs w:val="24"/>
          <w:lang w:val="es-ES_tradnl"/>
        </w:rPr>
        <w:t xml:space="preserve">La </w:t>
      </w:r>
      <w:r w:rsidRPr="004D7792">
        <w:rPr>
          <w:rFonts w:ascii="Khmer UI" w:hAnsi="Khmer UI" w:cs="Khmer UI"/>
          <w:i/>
          <w:sz w:val="24"/>
          <w:szCs w:val="24"/>
          <w:lang w:val="es-ES_tradnl"/>
        </w:rPr>
        <w:t>Constitución Política de la República de Guatemala</w:t>
      </w:r>
      <w:r w:rsidRPr="004D7792">
        <w:rPr>
          <w:rFonts w:ascii="Khmer UI" w:hAnsi="Khmer UI" w:cs="Khmer UI"/>
          <w:sz w:val="24"/>
          <w:szCs w:val="24"/>
          <w:lang w:val="es-ES_tradnl"/>
        </w:rPr>
        <w:t xml:space="preserve"> ha plasmado el principio de igualdad en su artículo 4, al señalar que “e</w:t>
      </w:r>
      <w:r w:rsidRPr="004D7792">
        <w:rPr>
          <w:rFonts w:ascii="Khmer UI" w:hAnsi="Khmer UI" w:cs="Khmer UI"/>
          <w:sz w:val="24"/>
          <w:szCs w:val="24"/>
          <w:lang w:eastAsia="es-GT"/>
        </w:rPr>
        <w:t>n Guatemala todos los seres humanos son libres e iguales en dignidad y derechos”</w:t>
      </w:r>
      <w:r w:rsidRPr="004D7792">
        <w:rPr>
          <w:rStyle w:val="FootnoteReference"/>
          <w:rFonts w:ascii="Khmer UI" w:hAnsi="Khmer UI" w:cs="Khmer UI"/>
          <w:sz w:val="24"/>
          <w:szCs w:val="24"/>
          <w:lang w:val="es-ES_tradnl"/>
        </w:rPr>
        <w:footnoteReference w:id="1"/>
      </w:r>
      <w:r w:rsidRPr="004D7792">
        <w:rPr>
          <w:rFonts w:ascii="Khmer UI" w:hAnsi="Khmer UI" w:cs="Khmer UI"/>
          <w:sz w:val="24"/>
          <w:szCs w:val="24"/>
          <w:lang w:val="es-ES_tradnl"/>
        </w:rPr>
        <w:t xml:space="preserve">; el </w:t>
      </w:r>
      <w:r w:rsidR="00975DFC">
        <w:rPr>
          <w:rFonts w:ascii="Khmer UI" w:hAnsi="Khmer UI" w:cs="Khmer UI"/>
          <w:sz w:val="24"/>
          <w:szCs w:val="24"/>
          <w:lang w:val="es-ES_tradnl"/>
        </w:rPr>
        <w:t>a</w:t>
      </w:r>
      <w:r w:rsidRPr="004D7792">
        <w:rPr>
          <w:rFonts w:ascii="Khmer UI" w:hAnsi="Khmer UI" w:cs="Khmer UI"/>
          <w:sz w:val="24"/>
          <w:szCs w:val="24"/>
          <w:lang w:val="es-ES_tradnl"/>
        </w:rPr>
        <w:t xml:space="preserve">rtículo 51 </w:t>
      </w:r>
      <w:r w:rsidR="00975DFC">
        <w:rPr>
          <w:rFonts w:ascii="Khmer UI" w:hAnsi="Khmer UI" w:cs="Khmer UI"/>
          <w:sz w:val="24"/>
          <w:szCs w:val="24"/>
          <w:lang w:val="es-ES_tradnl"/>
        </w:rPr>
        <w:t xml:space="preserve">constitucional </w:t>
      </w:r>
      <w:r w:rsidRPr="004D7792">
        <w:rPr>
          <w:rFonts w:ascii="Khmer UI" w:hAnsi="Khmer UI" w:cs="Khmer UI"/>
          <w:sz w:val="24"/>
          <w:szCs w:val="24"/>
          <w:lang w:val="es-ES_tradnl"/>
        </w:rPr>
        <w:t>exp</w:t>
      </w:r>
      <w:r w:rsidR="00975DFC">
        <w:rPr>
          <w:rFonts w:ascii="Khmer UI" w:hAnsi="Khmer UI" w:cs="Khmer UI"/>
          <w:sz w:val="24"/>
          <w:szCs w:val="24"/>
          <w:lang w:val="es-ES_tradnl"/>
        </w:rPr>
        <w:t>resamente</w:t>
      </w:r>
      <w:r w:rsidRPr="004D7792">
        <w:rPr>
          <w:rFonts w:ascii="Khmer UI" w:hAnsi="Khmer UI" w:cs="Khmer UI"/>
          <w:sz w:val="24"/>
          <w:szCs w:val="24"/>
          <w:lang w:val="es-ES_tradnl"/>
        </w:rPr>
        <w:t xml:space="preserve"> obliga al Estado a la protección de </w:t>
      </w:r>
      <w:r w:rsidR="00975DFC">
        <w:rPr>
          <w:rFonts w:ascii="Khmer UI" w:hAnsi="Khmer UI" w:cs="Khmer UI"/>
          <w:sz w:val="24"/>
          <w:szCs w:val="24"/>
          <w:lang w:val="es-ES_tradnl"/>
        </w:rPr>
        <w:t xml:space="preserve">las personas </w:t>
      </w:r>
      <w:r w:rsidRPr="004D7792">
        <w:rPr>
          <w:rFonts w:ascii="Khmer UI" w:hAnsi="Khmer UI" w:cs="Khmer UI"/>
          <w:sz w:val="24"/>
          <w:szCs w:val="24"/>
          <w:lang w:val="es-ES_tradnl"/>
        </w:rPr>
        <w:t xml:space="preserve">menores de edad y  mayores de edad; </w:t>
      </w:r>
      <w:r w:rsidR="00975DFC">
        <w:rPr>
          <w:rFonts w:ascii="Khmer UI" w:hAnsi="Khmer UI" w:cs="Khmer UI"/>
          <w:sz w:val="24"/>
          <w:szCs w:val="24"/>
          <w:lang w:val="es-ES_tradnl"/>
        </w:rPr>
        <w:t xml:space="preserve">mientras que </w:t>
      </w:r>
      <w:r w:rsidRPr="004D7792">
        <w:rPr>
          <w:rFonts w:ascii="Khmer UI" w:hAnsi="Khmer UI" w:cs="Khmer UI"/>
          <w:sz w:val="24"/>
          <w:szCs w:val="24"/>
          <w:lang w:val="es-ES_tradnl"/>
        </w:rPr>
        <w:t xml:space="preserve">el </w:t>
      </w:r>
      <w:r w:rsidR="00975DFC">
        <w:rPr>
          <w:rFonts w:ascii="Khmer UI" w:hAnsi="Khmer UI" w:cs="Khmer UI"/>
          <w:sz w:val="24"/>
          <w:szCs w:val="24"/>
          <w:lang w:val="es-ES_tradnl"/>
        </w:rPr>
        <w:t>a</w:t>
      </w:r>
      <w:r w:rsidRPr="004D7792">
        <w:rPr>
          <w:rFonts w:ascii="Khmer UI" w:hAnsi="Khmer UI" w:cs="Khmer UI"/>
          <w:sz w:val="24"/>
          <w:szCs w:val="24"/>
          <w:lang w:val="es-ES_tradnl"/>
        </w:rPr>
        <w:t xml:space="preserve">rtículo 53 garantiza la protección de las personas con discapacidad. </w:t>
      </w:r>
    </w:p>
    <w:p w14:paraId="09BD7031" w14:textId="77777777" w:rsidR="00EC65FA" w:rsidRPr="004D7792" w:rsidRDefault="00EC65FA" w:rsidP="00EC65FA">
      <w:pPr>
        <w:pStyle w:val="ListParagraph"/>
        <w:ind w:left="0"/>
        <w:jc w:val="both"/>
        <w:rPr>
          <w:rFonts w:ascii="Khmer UI" w:hAnsi="Khmer UI" w:cs="Khmer UI"/>
          <w:sz w:val="24"/>
          <w:szCs w:val="24"/>
          <w:lang w:val="es-ES_tradnl"/>
        </w:rPr>
      </w:pPr>
    </w:p>
    <w:p w14:paraId="4385C88A"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Es importante observar que la Constitución vigente data de 1985, y aún utiliza terminologías como “ancianos” y “minusválidos”, que resultan desfasadas para un abordaje basado en el enfoque de derechos humanos, particularmente en el marco de implementación de la Convención sobre los Derechos de las Personas con Discapacidad (</w:t>
      </w:r>
      <w:r w:rsidR="00975DFC">
        <w:rPr>
          <w:rFonts w:ascii="Khmer UI" w:hAnsi="Khmer UI" w:cs="Khmer UI"/>
          <w:sz w:val="24"/>
          <w:szCs w:val="24"/>
          <w:lang w:val="es-ES_tradnl"/>
        </w:rPr>
        <w:t xml:space="preserve">en adelante </w:t>
      </w:r>
      <w:r w:rsidRPr="004D7792">
        <w:rPr>
          <w:rFonts w:ascii="Khmer UI" w:hAnsi="Khmer UI" w:cs="Khmer UI"/>
          <w:sz w:val="24"/>
          <w:szCs w:val="24"/>
          <w:lang w:val="es-ES_tradnl"/>
        </w:rPr>
        <w:t>la Convención), ratificada por Guatemala en 2008.</w:t>
      </w:r>
    </w:p>
    <w:p w14:paraId="7E6B2D92" w14:textId="77777777" w:rsidR="00EC65FA" w:rsidRPr="004D7792" w:rsidRDefault="00EC65FA" w:rsidP="00EC65FA">
      <w:pPr>
        <w:pStyle w:val="ListParagraph"/>
        <w:ind w:left="0"/>
        <w:jc w:val="both"/>
        <w:rPr>
          <w:rFonts w:ascii="Khmer UI" w:hAnsi="Khmer UI" w:cs="Khmer UI"/>
          <w:sz w:val="24"/>
          <w:szCs w:val="24"/>
          <w:lang w:val="es-ES_tradnl"/>
        </w:rPr>
      </w:pPr>
    </w:p>
    <w:p w14:paraId="70C03944"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 xml:space="preserve">La </w:t>
      </w:r>
      <w:r w:rsidRPr="004D7792">
        <w:rPr>
          <w:rFonts w:ascii="Khmer UI" w:hAnsi="Khmer UI" w:cs="Khmer UI"/>
          <w:i/>
          <w:sz w:val="24"/>
          <w:szCs w:val="24"/>
          <w:lang w:val="es-ES_tradnl"/>
        </w:rPr>
        <w:t>Ley de Protección para las Personas de la Tercera Edad</w:t>
      </w:r>
      <w:r w:rsidRPr="004D7792">
        <w:rPr>
          <w:rStyle w:val="FootnoteReference"/>
          <w:rFonts w:ascii="Khmer UI" w:hAnsi="Khmer UI" w:cs="Khmer UI"/>
          <w:sz w:val="24"/>
          <w:szCs w:val="24"/>
          <w:lang w:val="es-ES_tradnl"/>
        </w:rPr>
        <w:footnoteReference w:id="2"/>
      </w:r>
      <w:r w:rsidR="008B72B3">
        <w:rPr>
          <w:rFonts w:ascii="Khmer UI" w:hAnsi="Khmer UI" w:cs="Khmer UI"/>
          <w:i/>
          <w:sz w:val="24"/>
          <w:szCs w:val="24"/>
          <w:lang w:val="es-ES_tradnl"/>
        </w:rPr>
        <w:t xml:space="preserve"> </w:t>
      </w:r>
      <w:r w:rsidR="008B72B3">
        <w:rPr>
          <w:rFonts w:ascii="Khmer UI" w:hAnsi="Khmer UI" w:cs="Khmer UI"/>
          <w:sz w:val="24"/>
          <w:szCs w:val="24"/>
          <w:lang w:val="es-ES_tradnl"/>
        </w:rPr>
        <w:t>(en adelante Ley de Protección)</w:t>
      </w:r>
      <w:r w:rsidRPr="004D7792">
        <w:rPr>
          <w:rFonts w:ascii="Khmer UI" w:hAnsi="Khmer UI" w:cs="Khmer UI"/>
          <w:sz w:val="24"/>
          <w:szCs w:val="24"/>
          <w:lang w:val="es-ES_tradnl"/>
        </w:rPr>
        <w:t>, Decreto 80-96, tiene como finalidad tutelar los intereses de las personas mayores, en este sentido, esta ley señala que el Estado les garantizará su derecho a la alimentación, salud, educación, seguridad y previsión social;  asimismo, que el Estado debe garantizar los servicios sociales necesarios para una existencia útil y digna. Esta ley data de 1996 y también necesita armonizarse con la Convención.</w:t>
      </w:r>
    </w:p>
    <w:p w14:paraId="1961D007" w14:textId="77777777" w:rsidR="00EC65FA" w:rsidRPr="004D7792" w:rsidRDefault="00EC65FA" w:rsidP="00EC65FA">
      <w:pPr>
        <w:pStyle w:val="ListParagraph"/>
        <w:ind w:left="0"/>
        <w:jc w:val="both"/>
        <w:rPr>
          <w:rFonts w:ascii="Khmer UI" w:hAnsi="Khmer UI" w:cs="Khmer UI"/>
          <w:sz w:val="24"/>
          <w:szCs w:val="24"/>
          <w:lang w:val="es-ES_tradnl"/>
        </w:rPr>
      </w:pPr>
    </w:p>
    <w:p w14:paraId="58766CCA" w14:textId="3B8E76C4"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lastRenderedPageBreak/>
        <w:t>La Ley de Protección define a “personas mayores en condiciones de vulnerabilidad” como aquellas que careciendo de protección adecuada sufran o estén expuest</w:t>
      </w:r>
      <w:r w:rsidR="008B72B3">
        <w:rPr>
          <w:rFonts w:ascii="Khmer UI" w:hAnsi="Khmer UI" w:cs="Khmer UI"/>
          <w:sz w:val="24"/>
          <w:szCs w:val="24"/>
          <w:lang w:val="es-ES_tradnl"/>
        </w:rPr>
        <w:t>a</w:t>
      </w:r>
      <w:r w:rsidRPr="004D7792">
        <w:rPr>
          <w:rFonts w:ascii="Khmer UI" w:hAnsi="Khmer UI" w:cs="Khmer UI"/>
          <w:sz w:val="24"/>
          <w:szCs w:val="24"/>
          <w:lang w:val="es-ES_tradnl"/>
        </w:rPr>
        <w:t>s a sufrir desviaciones o trastornos en su estado físico o mental y los que se encuentren en situación de riesgo (art. 3). También establece que las municipalidades del país deberán promover la eliminación de barreras arquitectónicas para que las personas mayores y en especial las que sufren de discapacidades físicas puedan movilizarse sin dificultad (art. 29)</w:t>
      </w:r>
      <w:r w:rsidR="00DD59B5">
        <w:rPr>
          <w:rFonts w:ascii="Khmer UI" w:hAnsi="Khmer UI" w:cs="Khmer UI"/>
          <w:sz w:val="24"/>
          <w:szCs w:val="24"/>
          <w:lang w:val="es-ES_tradnl"/>
        </w:rPr>
        <w:t>.</w:t>
      </w:r>
    </w:p>
    <w:p w14:paraId="52386FD4" w14:textId="77777777" w:rsidR="00EC65FA" w:rsidRPr="004D7792" w:rsidRDefault="00EC65FA" w:rsidP="00EC65FA">
      <w:pPr>
        <w:pStyle w:val="ListParagraph"/>
        <w:ind w:left="0"/>
        <w:jc w:val="both"/>
        <w:rPr>
          <w:rFonts w:ascii="Khmer UI" w:hAnsi="Khmer UI" w:cs="Khmer UI"/>
          <w:sz w:val="24"/>
          <w:szCs w:val="24"/>
          <w:lang w:val="es-ES_tradnl"/>
        </w:rPr>
      </w:pPr>
    </w:p>
    <w:p w14:paraId="5A26E7D0" w14:textId="77777777" w:rsidR="00EC65FA" w:rsidRPr="004D7792" w:rsidRDefault="00EC65FA" w:rsidP="00EC65FA">
      <w:pPr>
        <w:pStyle w:val="ListParagraph"/>
        <w:ind w:left="0"/>
        <w:jc w:val="both"/>
        <w:rPr>
          <w:rFonts w:ascii="Khmer UI" w:hAnsi="Khmer UI" w:cs="Khmer UI"/>
          <w:sz w:val="24"/>
          <w:szCs w:val="24"/>
        </w:rPr>
      </w:pPr>
      <w:r w:rsidRPr="004D7792">
        <w:rPr>
          <w:rFonts w:ascii="Khmer UI" w:hAnsi="Khmer UI" w:cs="Khmer UI"/>
          <w:sz w:val="24"/>
          <w:szCs w:val="24"/>
        </w:rPr>
        <w:t xml:space="preserve">Sin embargo, la Ley de Protección tiene un abordaje generalizado, y no contempla las características y necesidades particulares de las personas con discapacidad, como la edad, la ubicación rural o urbana, la pertinencia cultural para personas con discapacidad indígenas, ni la situación de las personas pensionadas por jubilación, entre otras; y tampoco aborda otros aspectos del envejecimiento, como lo relativo a cuidados paliativos. </w:t>
      </w:r>
    </w:p>
    <w:p w14:paraId="21980190" w14:textId="77777777" w:rsidR="00EC65FA" w:rsidRPr="004D7792" w:rsidRDefault="00EC65FA" w:rsidP="00EC65FA">
      <w:pPr>
        <w:pStyle w:val="ListParagraph"/>
        <w:ind w:left="0"/>
        <w:jc w:val="both"/>
        <w:rPr>
          <w:rFonts w:ascii="Khmer UI" w:hAnsi="Khmer UI" w:cs="Khmer UI"/>
          <w:sz w:val="24"/>
          <w:szCs w:val="24"/>
          <w:lang w:val="es-ES_tradnl"/>
        </w:rPr>
      </w:pPr>
    </w:p>
    <w:p w14:paraId="5F80B379"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 xml:space="preserve">El </w:t>
      </w:r>
      <w:r w:rsidRPr="004D7792">
        <w:rPr>
          <w:rFonts w:ascii="Khmer UI" w:hAnsi="Khmer UI" w:cs="Khmer UI"/>
          <w:i/>
          <w:sz w:val="24"/>
          <w:szCs w:val="24"/>
          <w:lang w:val="es-ES_tradnl"/>
        </w:rPr>
        <w:t>Código Civil</w:t>
      </w:r>
      <w:r w:rsidRPr="004D7792">
        <w:rPr>
          <w:rStyle w:val="FootnoteReference"/>
          <w:rFonts w:ascii="Khmer UI" w:hAnsi="Khmer UI" w:cs="Khmer UI"/>
          <w:sz w:val="24"/>
          <w:szCs w:val="24"/>
          <w:lang w:val="es-ES_tradnl"/>
        </w:rPr>
        <w:footnoteReference w:id="3"/>
      </w:r>
      <w:r w:rsidRPr="004D7792">
        <w:rPr>
          <w:rFonts w:ascii="Khmer UI" w:hAnsi="Khmer UI" w:cs="Khmer UI"/>
          <w:sz w:val="24"/>
          <w:szCs w:val="24"/>
          <w:lang w:val="es-ES_tradnl"/>
        </w:rPr>
        <w:t>, que data de 1963, señala que cuando los hijos sean mayores de edad y cualquiera que sea su condición, están obligados a prestar asistencia a sus padres en todas las circunstancias de la vida. La Ley de Protección en el Artículo 31 determina que en caso de desamparo o abandono corresponde al Estado promover la atención de las personas mayores</w:t>
      </w:r>
      <w:r w:rsidR="00BA3F26">
        <w:rPr>
          <w:rFonts w:ascii="Khmer UI" w:hAnsi="Khmer UI" w:cs="Khmer UI"/>
          <w:sz w:val="24"/>
          <w:szCs w:val="24"/>
          <w:lang w:val="es-ES_tradnl"/>
        </w:rPr>
        <w:t>,</w:t>
      </w:r>
      <w:r w:rsidRPr="004D7792">
        <w:rPr>
          <w:rFonts w:ascii="Khmer UI" w:hAnsi="Khmer UI" w:cs="Khmer UI"/>
          <w:sz w:val="24"/>
          <w:szCs w:val="24"/>
          <w:lang w:val="es-ES_tradnl"/>
        </w:rPr>
        <w:t xml:space="preserve"> ya sea en forma directa o por medio de instituciones establecidas o creadas para el efecto. </w:t>
      </w:r>
    </w:p>
    <w:p w14:paraId="677211B4" w14:textId="77777777" w:rsidR="00EC65FA" w:rsidRPr="004D7792" w:rsidRDefault="00EC65FA" w:rsidP="00EC65FA">
      <w:pPr>
        <w:pStyle w:val="ListParagraph"/>
        <w:ind w:left="0"/>
        <w:jc w:val="both"/>
        <w:rPr>
          <w:rFonts w:ascii="Khmer UI" w:hAnsi="Khmer UI" w:cs="Khmer UI"/>
          <w:sz w:val="24"/>
          <w:szCs w:val="24"/>
          <w:lang w:val="es-ES_tradnl"/>
        </w:rPr>
      </w:pPr>
    </w:p>
    <w:p w14:paraId="1E1E240C" w14:textId="77777777" w:rsidR="00EC65FA" w:rsidRPr="004D7792" w:rsidRDefault="00EC65FA" w:rsidP="00EC65FA">
      <w:pPr>
        <w:pStyle w:val="ListParagraph"/>
        <w:ind w:left="0"/>
        <w:jc w:val="both"/>
        <w:rPr>
          <w:rFonts w:ascii="Khmer UI" w:hAnsi="Khmer UI" w:cs="Khmer UI"/>
          <w:sz w:val="24"/>
          <w:szCs w:val="24"/>
        </w:rPr>
      </w:pPr>
      <w:r w:rsidRPr="004D7792">
        <w:rPr>
          <w:rFonts w:ascii="Khmer UI" w:hAnsi="Khmer UI" w:cs="Khmer UI"/>
          <w:sz w:val="24"/>
          <w:szCs w:val="24"/>
          <w:lang w:val="es-ES_tradnl"/>
        </w:rPr>
        <w:t>No obstante la situación de las</w:t>
      </w:r>
      <w:r w:rsidRPr="004D7792">
        <w:rPr>
          <w:rFonts w:ascii="Khmer UI" w:hAnsi="Khmer UI" w:cs="Khmer UI"/>
          <w:sz w:val="24"/>
          <w:szCs w:val="24"/>
        </w:rPr>
        <w:t xml:space="preserve"> personas mayores en Guatemala es preocupante</w:t>
      </w:r>
      <w:r w:rsidR="00D13D3C">
        <w:rPr>
          <w:rFonts w:ascii="Khmer UI" w:hAnsi="Khmer UI" w:cs="Khmer UI"/>
          <w:sz w:val="24"/>
          <w:szCs w:val="24"/>
        </w:rPr>
        <w:t>,</w:t>
      </w:r>
      <w:r w:rsidRPr="004D7792">
        <w:rPr>
          <w:rFonts w:ascii="Khmer UI" w:hAnsi="Khmer UI" w:cs="Khmer UI"/>
          <w:sz w:val="24"/>
          <w:szCs w:val="24"/>
        </w:rPr>
        <w:t xml:space="preserve"> no solo por las características que con</w:t>
      </w:r>
      <w:r w:rsidRPr="004D7792">
        <w:rPr>
          <w:rFonts w:ascii="Khmer UI" w:hAnsi="Khmer UI" w:cs="Khmer UI"/>
          <w:sz w:val="24"/>
          <w:szCs w:val="24"/>
        </w:rPr>
        <w:softHyphen/>
        <w:t>lleva el envejecimiento físico, sino por la carencia de atención y políticas públicas para el goce de sus derechos a la salud, alimentación, asistencia social, vivienda, educación, acceso a la justicia, entre otros.</w:t>
      </w:r>
    </w:p>
    <w:p w14:paraId="0559AB4B" w14:textId="77777777" w:rsidR="00EC65FA" w:rsidRPr="004D7792" w:rsidRDefault="00EC65FA" w:rsidP="00EC65FA">
      <w:pPr>
        <w:pStyle w:val="ListParagraph"/>
        <w:ind w:left="0"/>
        <w:jc w:val="both"/>
        <w:rPr>
          <w:rFonts w:ascii="Khmer UI" w:hAnsi="Khmer UI" w:cs="Khmer UI"/>
          <w:sz w:val="24"/>
          <w:szCs w:val="24"/>
        </w:rPr>
      </w:pPr>
    </w:p>
    <w:p w14:paraId="5C0D01EF" w14:textId="77777777" w:rsidR="00EC65FA" w:rsidRPr="004D7792" w:rsidRDefault="00EC65FA" w:rsidP="00EC65FA">
      <w:pPr>
        <w:pStyle w:val="ListParagraph"/>
        <w:ind w:left="0"/>
        <w:jc w:val="both"/>
        <w:rPr>
          <w:rFonts w:ascii="Khmer UI" w:hAnsi="Khmer UI" w:cs="Khmer UI"/>
          <w:sz w:val="24"/>
          <w:szCs w:val="24"/>
        </w:rPr>
      </w:pPr>
      <w:r w:rsidRPr="004D7792">
        <w:rPr>
          <w:rFonts w:ascii="Khmer UI" w:hAnsi="Khmer UI" w:cs="Khmer UI"/>
          <w:sz w:val="24"/>
          <w:szCs w:val="24"/>
        </w:rPr>
        <w:t>La Ley de Protección creó el Comité Nacional de Protección a la Vejez (CONAPROV) como órgano de control y vigilancia encargado de promover, impulsar, coordinar, realizar y orientar programas y acciones relativos al bienestar y seguridad de las personas de edad avanzada por medio del Programa Nacional de la Ancianidad. Si bien el CONAPROV tiene la facultad de crear, proponer y promover políticas para personas mayores a nivel nacional, Guatemala sigue careciendo de una política de personas mayores con enfoque de derechos que defina líneas de acción, estrategias, programas de trabajo y responsabilidades de las instituciones, lo que dificulta el disfrute de sus derechos humanos fundamentales. Asimismo no existe un ente rector para la atención y cumplimiento de derechos de esta población.</w:t>
      </w:r>
    </w:p>
    <w:p w14:paraId="7A1015AC" w14:textId="77777777" w:rsidR="00EC65FA" w:rsidRPr="004D7792" w:rsidRDefault="00EC65FA" w:rsidP="00EC65FA">
      <w:pPr>
        <w:pStyle w:val="Default"/>
        <w:jc w:val="both"/>
        <w:rPr>
          <w:rFonts w:ascii="Khmer UI" w:hAnsi="Khmer UI" w:cs="Khmer UI"/>
          <w:color w:val="auto"/>
        </w:rPr>
      </w:pPr>
    </w:p>
    <w:p w14:paraId="561C5E3F" w14:textId="77777777" w:rsidR="00EC65FA" w:rsidRPr="004D7792" w:rsidRDefault="00EC65FA" w:rsidP="00EC65FA">
      <w:pPr>
        <w:pStyle w:val="Default"/>
        <w:jc w:val="both"/>
        <w:rPr>
          <w:rFonts w:ascii="Khmer UI" w:hAnsi="Khmer UI" w:cs="Khmer UI"/>
          <w:color w:val="auto"/>
        </w:rPr>
      </w:pPr>
      <w:r w:rsidRPr="004D7792">
        <w:rPr>
          <w:rFonts w:ascii="Khmer UI" w:hAnsi="Khmer UI" w:cs="Khmer UI"/>
          <w:color w:val="auto"/>
        </w:rPr>
        <w:t xml:space="preserve">La </w:t>
      </w:r>
      <w:r w:rsidRPr="004D7792">
        <w:rPr>
          <w:rFonts w:ascii="Khmer UI" w:hAnsi="Khmer UI" w:cs="Khmer UI"/>
          <w:i/>
          <w:color w:val="auto"/>
        </w:rPr>
        <w:t xml:space="preserve">Ley de Atención a las Personas con Discapacidad, </w:t>
      </w:r>
      <w:r w:rsidRPr="00CA426B">
        <w:rPr>
          <w:rFonts w:ascii="Khmer UI" w:hAnsi="Khmer UI" w:cs="Khmer UI"/>
          <w:color w:val="auto"/>
        </w:rPr>
        <w:t>Decreto 135-96</w:t>
      </w:r>
      <w:r w:rsidRPr="004D7792">
        <w:rPr>
          <w:rFonts w:ascii="Khmer UI" w:hAnsi="Khmer UI" w:cs="Khmer UI"/>
          <w:color w:val="auto"/>
        </w:rPr>
        <w:t>, únicamente contempla preceptos generales, sin realizar consideraciones particulares para personas mayores con discapacidad. La misma data de 1996 y necesita ser armonizada con la Convención.</w:t>
      </w:r>
    </w:p>
    <w:p w14:paraId="19586CFB" w14:textId="77777777" w:rsidR="00EC65FA" w:rsidRPr="004D7792" w:rsidRDefault="00EC65FA" w:rsidP="00EC65FA">
      <w:pPr>
        <w:pStyle w:val="Default"/>
        <w:jc w:val="both"/>
        <w:rPr>
          <w:rFonts w:ascii="Khmer UI" w:hAnsi="Khmer UI" w:cs="Khmer UI"/>
          <w:color w:val="auto"/>
        </w:rPr>
      </w:pPr>
    </w:p>
    <w:p w14:paraId="7059A7B5" w14:textId="636F0E20" w:rsidR="00EC65FA" w:rsidRPr="004D7792" w:rsidRDefault="00EC65FA" w:rsidP="00EC65FA">
      <w:pPr>
        <w:pStyle w:val="Default"/>
        <w:jc w:val="both"/>
        <w:rPr>
          <w:rFonts w:ascii="Khmer UI" w:hAnsi="Khmer UI" w:cs="Khmer UI"/>
          <w:color w:val="auto"/>
        </w:rPr>
      </w:pPr>
      <w:r w:rsidRPr="004D7792">
        <w:rPr>
          <w:rFonts w:ascii="Khmer UI" w:hAnsi="Khmer UI" w:cs="Khmer UI"/>
          <w:color w:val="auto"/>
        </w:rPr>
        <w:lastRenderedPageBreak/>
        <w:t xml:space="preserve">El Procurador de los Derechos Humanos ha recomendado reiteradamente al Congreso de la República de Guatemala, aprobar un nuevo marco normativo en materia de discapacidad con el fin de armonizar la legislación interna con la Convención, sin embargo, </w:t>
      </w:r>
      <w:r w:rsidR="00BA3F26">
        <w:rPr>
          <w:rFonts w:ascii="Khmer UI" w:hAnsi="Khmer UI" w:cs="Khmer UI"/>
          <w:color w:val="auto"/>
        </w:rPr>
        <w:t>el</w:t>
      </w:r>
      <w:r w:rsidR="00BA3F26" w:rsidRPr="004D7792">
        <w:rPr>
          <w:rFonts w:ascii="Khmer UI" w:hAnsi="Khmer UI" w:cs="Khmer UI"/>
          <w:color w:val="auto"/>
        </w:rPr>
        <w:t xml:space="preserve"> </w:t>
      </w:r>
      <w:r w:rsidRPr="004D7792">
        <w:rPr>
          <w:rFonts w:ascii="Khmer UI" w:hAnsi="Khmer UI" w:cs="Khmer UI"/>
          <w:color w:val="auto"/>
        </w:rPr>
        <w:t>Congreso no ha mostrado voluntad suficiente para legislar a favor de las personas con discapacidad en el país.</w:t>
      </w:r>
    </w:p>
    <w:p w14:paraId="3A83B261" w14:textId="77777777" w:rsidR="00EC65FA" w:rsidRPr="004D7792" w:rsidRDefault="00EC65FA" w:rsidP="00EC65FA">
      <w:pPr>
        <w:pStyle w:val="ListParagraph"/>
        <w:ind w:left="0"/>
        <w:jc w:val="both"/>
        <w:rPr>
          <w:rFonts w:ascii="Khmer UI" w:hAnsi="Khmer UI" w:cs="Khmer UI"/>
          <w:sz w:val="24"/>
          <w:szCs w:val="24"/>
        </w:rPr>
      </w:pPr>
    </w:p>
    <w:p w14:paraId="695F152B" w14:textId="118A8A86" w:rsidR="00EC65FA" w:rsidRPr="004D7792" w:rsidRDefault="00EC65FA" w:rsidP="00EC65FA">
      <w:pPr>
        <w:ind w:left="0"/>
        <w:contextualSpacing/>
        <w:jc w:val="both"/>
        <w:rPr>
          <w:rFonts w:ascii="Khmer UI" w:hAnsi="Khmer UI" w:cs="Khmer UI"/>
          <w:sz w:val="24"/>
          <w:szCs w:val="24"/>
        </w:rPr>
      </w:pPr>
      <w:r w:rsidRPr="004D7792">
        <w:rPr>
          <w:rFonts w:ascii="Khmer UI" w:hAnsi="Khmer UI" w:cs="Khmer UI"/>
          <w:sz w:val="24"/>
          <w:szCs w:val="24"/>
        </w:rPr>
        <w:t xml:space="preserve">En cuanto a </w:t>
      </w:r>
      <w:r w:rsidR="00BA3F26">
        <w:rPr>
          <w:rFonts w:ascii="Khmer UI" w:hAnsi="Khmer UI" w:cs="Khmer UI"/>
          <w:sz w:val="24"/>
          <w:szCs w:val="24"/>
        </w:rPr>
        <w:t>p</w:t>
      </w:r>
      <w:r w:rsidRPr="004D7792">
        <w:rPr>
          <w:rFonts w:ascii="Khmer UI" w:hAnsi="Khmer UI" w:cs="Khmer UI"/>
          <w:sz w:val="24"/>
          <w:szCs w:val="24"/>
        </w:rPr>
        <w:t xml:space="preserve">olíticas </w:t>
      </w:r>
      <w:r w:rsidR="00BA3F26">
        <w:rPr>
          <w:rFonts w:ascii="Khmer UI" w:hAnsi="Khmer UI" w:cs="Khmer UI"/>
          <w:sz w:val="24"/>
          <w:szCs w:val="24"/>
        </w:rPr>
        <w:t>p</w:t>
      </w:r>
      <w:r w:rsidRPr="004D7792">
        <w:rPr>
          <w:rFonts w:ascii="Khmer UI" w:hAnsi="Khmer UI" w:cs="Khmer UI"/>
          <w:sz w:val="24"/>
          <w:szCs w:val="24"/>
        </w:rPr>
        <w:t xml:space="preserve">úblicas, se cuenta con la </w:t>
      </w:r>
      <w:r w:rsidRPr="004D7792">
        <w:rPr>
          <w:rFonts w:ascii="Khmer UI" w:hAnsi="Khmer UI" w:cs="Khmer UI"/>
          <w:i/>
          <w:sz w:val="24"/>
          <w:szCs w:val="24"/>
        </w:rPr>
        <w:t>Política Nacional en materia de Discapacidad</w:t>
      </w:r>
      <w:r w:rsidRPr="004D7792">
        <w:rPr>
          <w:rFonts w:ascii="Khmer UI" w:hAnsi="Khmer UI" w:cs="Khmer UI"/>
          <w:sz w:val="24"/>
          <w:szCs w:val="24"/>
        </w:rPr>
        <w:t xml:space="preserve">, elaborada en 2006 y aprobada en 2007, es decir, anterior a la ratificación de la Convención por parte de Guatemala. Dicha política no cuenta con indicadores que permitan medir su impacto, ni contempló acciones para facilitar los mecanismos de apoyo a personas mayores que adquieren una condición de discapacidad. </w:t>
      </w:r>
    </w:p>
    <w:p w14:paraId="7FBBFBF7" w14:textId="77777777" w:rsidR="00EC65FA" w:rsidRPr="004D7792" w:rsidRDefault="00EC65FA" w:rsidP="00EC65FA">
      <w:pPr>
        <w:pStyle w:val="ListParagraph"/>
        <w:ind w:left="0"/>
        <w:jc w:val="both"/>
        <w:rPr>
          <w:rFonts w:ascii="Khmer UI" w:hAnsi="Khmer UI" w:cs="Khmer UI"/>
          <w:sz w:val="24"/>
          <w:szCs w:val="24"/>
        </w:rPr>
      </w:pPr>
    </w:p>
    <w:p w14:paraId="69BE41C4" w14:textId="77777777" w:rsidR="00EC65FA" w:rsidRPr="004D7792" w:rsidRDefault="00EC65FA" w:rsidP="00EC65FA">
      <w:pPr>
        <w:pStyle w:val="ListParagraph"/>
        <w:numPr>
          <w:ilvl w:val="0"/>
          <w:numId w:val="9"/>
        </w:numPr>
        <w:ind w:left="426" w:hanging="426"/>
        <w:jc w:val="both"/>
        <w:rPr>
          <w:rFonts w:ascii="Khmer UI" w:hAnsi="Khmer UI" w:cs="Khmer UI"/>
          <w:b/>
          <w:sz w:val="24"/>
          <w:szCs w:val="24"/>
          <w:lang w:val="es-ES_tradnl"/>
        </w:rPr>
      </w:pPr>
      <w:r w:rsidRPr="004D7792">
        <w:rPr>
          <w:rFonts w:ascii="Khmer UI" w:hAnsi="Khmer UI" w:cs="Khmer UI"/>
          <w:b/>
          <w:sz w:val="24"/>
          <w:szCs w:val="24"/>
          <w:lang w:val="es-ES_tradnl"/>
        </w:rPr>
        <w:t xml:space="preserve">Sírvase proporcionar información sobre la discriminación contra las personas mayores con discapacidad en la legislación y en la práctica. </w:t>
      </w:r>
    </w:p>
    <w:p w14:paraId="42EDF2F7" w14:textId="77777777" w:rsidR="00EC65FA" w:rsidRPr="004D7792" w:rsidRDefault="00EC65FA" w:rsidP="00EC65FA">
      <w:pPr>
        <w:pStyle w:val="ListParagraph"/>
        <w:ind w:left="426"/>
        <w:jc w:val="both"/>
        <w:rPr>
          <w:rFonts w:ascii="Khmer UI" w:hAnsi="Khmer UI" w:cs="Khmer UI"/>
          <w:sz w:val="24"/>
          <w:szCs w:val="24"/>
          <w:lang w:val="es-ES_tradnl"/>
        </w:rPr>
      </w:pPr>
    </w:p>
    <w:p w14:paraId="3D8EC3C0" w14:textId="77777777" w:rsidR="00EC65FA" w:rsidRPr="004D7792" w:rsidRDefault="00EC65FA" w:rsidP="00EC65FA">
      <w:pPr>
        <w:ind w:left="0"/>
        <w:jc w:val="both"/>
        <w:rPr>
          <w:rFonts w:ascii="Khmer UI" w:hAnsi="Khmer UI" w:cs="Khmer UI"/>
          <w:sz w:val="24"/>
          <w:szCs w:val="24"/>
        </w:rPr>
      </w:pPr>
      <w:r w:rsidRPr="004D7792">
        <w:rPr>
          <w:rFonts w:ascii="Khmer UI" w:hAnsi="Khmer UI" w:cs="Khmer UI"/>
          <w:sz w:val="24"/>
          <w:szCs w:val="24"/>
        </w:rPr>
        <w:t>El delito de discriminación está tipificado en el Código Penal</w:t>
      </w:r>
      <w:r w:rsidRPr="004D7792">
        <w:rPr>
          <w:rStyle w:val="FootnoteReference"/>
          <w:rFonts w:ascii="Khmer UI" w:hAnsi="Khmer UI" w:cs="Khmer UI"/>
          <w:sz w:val="24"/>
          <w:szCs w:val="24"/>
        </w:rPr>
        <w:footnoteReference w:id="4"/>
      </w:r>
      <w:r w:rsidRPr="004D7792">
        <w:rPr>
          <w:rFonts w:ascii="Khmer UI" w:hAnsi="Khmer UI" w:cs="Khmer UI"/>
          <w:sz w:val="24"/>
          <w:szCs w:val="24"/>
        </w:rPr>
        <w:t xml:space="preserve">, cuyo artículo 202 bis describe discriminación como: “toda distinción, exclusión, restricción o referencia basada en motivos de género, raza, etnia, idioma, edad, religión, situación económica, enfermedad, discapacidad, estado civil, o en cualesquiera otro motivo, razón o circunstancia, que impidiere o dificultare a una persona, grupo de personas o asociaciones, el ejercicio de un derecho legalmente establecido incluyendo el derecho consuetudinario o costumbre, de conformidad con la Constitución Política de la República y los Tratados Internacionales en materia de derechos humanos”. </w:t>
      </w:r>
    </w:p>
    <w:p w14:paraId="28F8644F" w14:textId="77777777" w:rsidR="00EC65FA" w:rsidRPr="004D7792" w:rsidRDefault="00EC65FA" w:rsidP="00EC65FA">
      <w:pPr>
        <w:jc w:val="both"/>
        <w:rPr>
          <w:rFonts w:ascii="Khmer UI" w:hAnsi="Khmer UI" w:cs="Khmer UI"/>
          <w:sz w:val="24"/>
          <w:szCs w:val="24"/>
        </w:rPr>
      </w:pPr>
    </w:p>
    <w:p w14:paraId="5C2CF015"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rPr>
        <w:t xml:space="preserve">Por otra parte, existe </w:t>
      </w:r>
      <w:r w:rsidRPr="004D7792">
        <w:rPr>
          <w:rFonts w:ascii="Khmer UI" w:hAnsi="Khmer UI" w:cs="Khmer UI"/>
          <w:sz w:val="24"/>
          <w:szCs w:val="24"/>
          <w:lang w:val="es-ES_tradnl"/>
        </w:rPr>
        <w:t xml:space="preserve">discriminación hacia las personas mayores cuando la legislación vigente de protección  a dicha población no se cumple. </w:t>
      </w:r>
    </w:p>
    <w:p w14:paraId="4303371C" w14:textId="77777777" w:rsidR="00EC65FA" w:rsidRPr="004D7792" w:rsidRDefault="00EC65FA" w:rsidP="00EC65FA">
      <w:pPr>
        <w:pStyle w:val="ListParagraph"/>
        <w:ind w:left="0"/>
        <w:jc w:val="both"/>
        <w:rPr>
          <w:rFonts w:ascii="Khmer UI" w:hAnsi="Khmer UI" w:cs="Khmer UI"/>
          <w:sz w:val="24"/>
          <w:szCs w:val="24"/>
          <w:lang w:val="es-ES_tradnl"/>
        </w:rPr>
      </w:pPr>
    </w:p>
    <w:p w14:paraId="6D661312" w14:textId="77777777" w:rsidR="00EC65FA" w:rsidRPr="004D7792" w:rsidRDefault="00EC65FA" w:rsidP="00EC65FA">
      <w:pPr>
        <w:pStyle w:val="ListParagraph"/>
        <w:ind w:left="0"/>
        <w:jc w:val="both"/>
        <w:rPr>
          <w:rFonts w:ascii="Khmer UI" w:hAnsi="Khmer UI" w:cs="Khmer UI"/>
          <w:sz w:val="24"/>
          <w:szCs w:val="24"/>
        </w:rPr>
      </w:pPr>
      <w:r w:rsidRPr="004D7792">
        <w:rPr>
          <w:rFonts w:ascii="Khmer UI" w:hAnsi="Khmer UI" w:cs="Khmer UI"/>
          <w:sz w:val="24"/>
          <w:szCs w:val="24"/>
          <w:lang w:val="es-ES_tradnl"/>
        </w:rPr>
        <w:t xml:space="preserve">La discriminación no siempre se denuncia. </w:t>
      </w:r>
      <w:r w:rsidRPr="004D7792">
        <w:rPr>
          <w:rFonts w:ascii="Khmer UI" w:hAnsi="Khmer UI" w:cs="Khmer UI"/>
          <w:sz w:val="24"/>
          <w:szCs w:val="24"/>
        </w:rPr>
        <w:t xml:space="preserve">La Comisión Presidencial contra la Discriminación y el Racismo </w:t>
      </w:r>
      <w:r w:rsidR="00814C19">
        <w:rPr>
          <w:rFonts w:ascii="Khmer UI" w:hAnsi="Khmer UI" w:cs="Khmer UI"/>
          <w:sz w:val="24"/>
          <w:szCs w:val="24"/>
        </w:rPr>
        <w:t xml:space="preserve">Contra Los Pueblos Indígenas </w:t>
      </w:r>
      <w:r w:rsidRPr="004D7792">
        <w:rPr>
          <w:rFonts w:ascii="Khmer UI" w:hAnsi="Khmer UI" w:cs="Khmer UI"/>
          <w:sz w:val="24"/>
          <w:szCs w:val="24"/>
        </w:rPr>
        <w:t xml:space="preserve">informó que únicamente ha recibido dos denuncias por discriminación contra personas mayores con discapacidad. </w:t>
      </w:r>
    </w:p>
    <w:p w14:paraId="7FF69AF0" w14:textId="77777777" w:rsidR="00EC65FA" w:rsidRPr="004D7792" w:rsidRDefault="00EC65FA" w:rsidP="00EC65FA">
      <w:pPr>
        <w:autoSpaceDE w:val="0"/>
        <w:autoSpaceDN w:val="0"/>
        <w:adjustRightInd w:val="0"/>
        <w:jc w:val="both"/>
        <w:rPr>
          <w:rFonts w:ascii="Khmer UI" w:hAnsi="Khmer UI" w:cs="Khmer UI"/>
          <w:sz w:val="24"/>
          <w:szCs w:val="24"/>
          <w:lang w:eastAsia="es-GT"/>
        </w:rPr>
      </w:pPr>
    </w:p>
    <w:p w14:paraId="32A2DDB4" w14:textId="77777777" w:rsidR="00EC65FA" w:rsidRPr="004D7792" w:rsidRDefault="00EC65FA" w:rsidP="00EC65FA">
      <w:pPr>
        <w:autoSpaceDE w:val="0"/>
        <w:autoSpaceDN w:val="0"/>
        <w:adjustRightInd w:val="0"/>
        <w:ind w:left="0"/>
        <w:jc w:val="both"/>
        <w:rPr>
          <w:rFonts w:ascii="Khmer UI" w:hAnsi="Khmer UI" w:cs="Khmer UI"/>
          <w:sz w:val="24"/>
          <w:szCs w:val="24"/>
          <w:lang w:eastAsia="es-GT"/>
        </w:rPr>
      </w:pPr>
      <w:r w:rsidRPr="004D7792">
        <w:rPr>
          <w:rFonts w:ascii="Khmer UI" w:hAnsi="Khmer UI" w:cs="Khmer UI"/>
          <w:sz w:val="24"/>
          <w:szCs w:val="24"/>
          <w:lang w:eastAsia="es-GT"/>
        </w:rPr>
        <w:t>El Procurador de los Derechos Humanos ha demandado al Estado la implementación de sistemas para el seguimiento y recopilación específica de datos relativos a la discriminación contra personas con discapacidad; sin embargo, no ha habido esfuerzos suficientes para la concreción de los mismos, a pesar de que la discriminación está tipificada como delito en la legislación penal guatemalteca</w:t>
      </w:r>
      <w:r w:rsidRPr="004D7792">
        <w:rPr>
          <w:rStyle w:val="FootnoteReference"/>
          <w:rFonts w:ascii="Khmer UI" w:hAnsi="Khmer UI" w:cs="Khmer UI"/>
          <w:sz w:val="24"/>
          <w:szCs w:val="24"/>
          <w:lang w:eastAsia="es-GT"/>
        </w:rPr>
        <w:footnoteReference w:id="5"/>
      </w:r>
      <w:r w:rsidRPr="004D7792">
        <w:rPr>
          <w:rFonts w:ascii="Khmer UI" w:hAnsi="Khmer UI" w:cs="Khmer UI"/>
          <w:sz w:val="24"/>
          <w:szCs w:val="24"/>
          <w:lang w:eastAsia="es-GT"/>
        </w:rPr>
        <w:t>.</w:t>
      </w:r>
    </w:p>
    <w:p w14:paraId="2D200740" w14:textId="77777777" w:rsidR="00EC65FA" w:rsidRPr="004D7792" w:rsidRDefault="00EC65FA" w:rsidP="00EC65FA">
      <w:pPr>
        <w:autoSpaceDE w:val="0"/>
        <w:autoSpaceDN w:val="0"/>
        <w:adjustRightInd w:val="0"/>
        <w:jc w:val="both"/>
        <w:rPr>
          <w:rFonts w:ascii="Khmer UI" w:hAnsi="Khmer UI" w:cs="Khmer UI"/>
          <w:sz w:val="24"/>
          <w:szCs w:val="24"/>
          <w:lang w:eastAsia="es-GT"/>
        </w:rPr>
      </w:pPr>
    </w:p>
    <w:p w14:paraId="40C2F951" w14:textId="77777777" w:rsidR="00EC65FA" w:rsidRPr="004D7792" w:rsidRDefault="00EC65FA" w:rsidP="00EC65FA">
      <w:pPr>
        <w:autoSpaceDE w:val="0"/>
        <w:autoSpaceDN w:val="0"/>
        <w:adjustRightInd w:val="0"/>
        <w:ind w:left="0"/>
        <w:jc w:val="both"/>
        <w:rPr>
          <w:rFonts w:ascii="Khmer UI" w:hAnsi="Khmer UI" w:cs="Khmer UI"/>
          <w:sz w:val="24"/>
          <w:szCs w:val="24"/>
        </w:rPr>
      </w:pPr>
      <w:r w:rsidRPr="004D7792">
        <w:rPr>
          <w:rFonts w:ascii="Khmer UI" w:hAnsi="Khmer UI" w:cs="Khmer UI"/>
          <w:sz w:val="24"/>
          <w:szCs w:val="24"/>
          <w:lang w:eastAsia="es-GT"/>
        </w:rPr>
        <w:t xml:space="preserve">La </w:t>
      </w:r>
      <w:r w:rsidRPr="004D7792">
        <w:rPr>
          <w:rFonts w:ascii="Khmer UI" w:hAnsi="Khmer UI" w:cs="Khmer UI"/>
          <w:i/>
          <w:sz w:val="24"/>
          <w:szCs w:val="24"/>
          <w:lang w:eastAsia="es-GT"/>
        </w:rPr>
        <w:t>Política Pública para la Convivencia y la Eliminación del Racismo y la Discriminación en Guatemala</w:t>
      </w:r>
      <w:r w:rsidRPr="004D7792">
        <w:rPr>
          <w:rFonts w:ascii="Khmer UI" w:hAnsi="Khmer UI" w:cs="Khmer UI"/>
          <w:sz w:val="24"/>
          <w:szCs w:val="24"/>
          <w:lang w:eastAsia="es-GT"/>
        </w:rPr>
        <w:t xml:space="preserve"> (2006) no contempló la generación de un sistema de registro de la discriminación, y la misma se focaliza en la discriminación hacia la población indígena. Es necesario actualizar dicha política para incluir acciones encaminadas a la generación de registros adecuados para el monitoreo de la discriminación, e incluir un monitoreo a la judicialización de casos por el delito de discriminación a las distintas poblaciones o grupos.</w:t>
      </w:r>
    </w:p>
    <w:p w14:paraId="12E374D1" w14:textId="77777777" w:rsidR="00EC65FA" w:rsidRPr="004D7792" w:rsidRDefault="00EC65FA" w:rsidP="00EC65FA">
      <w:pPr>
        <w:pStyle w:val="ListParagraph"/>
        <w:ind w:left="0"/>
        <w:jc w:val="both"/>
        <w:rPr>
          <w:rFonts w:ascii="Khmer UI" w:hAnsi="Khmer UI" w:cs="Khmer UI"/>
          <w:sz w:val="24"/>
          <w:szCs w:val="24"/>
        </w:rPr>
      </w:pPr>
    </w:p>
    <w:p w14:paraId="3B0527FA" w14:textId="77777777" w:rsidR="00EC65FA" w:rsidRPr="004D7792" w:rsidRDefault="00EC65FA" w:rsidP="00EC65FA">
      <w:pPr>
        <w:ind w:left="0"/>
        <w:jc w:val="both"/>
        <w:rPr>
          <w:rFonts w:ascii="Khmer UI" w:hAnsi="Khmer UI" w:cs="Khmer UI"/>
          <w:sz w:val="24"/>
          <w:szCs w:val="24"/>
        </w:rPr>
      </w:pPr>
      <w:r w:rsidRPr="004D7792">
        <w:rPr>
          <w:rFonts w:ascii="Khmer UI" w:hAnsi="Khmer UI" w:cs="Khmer UI"/>
          <w:sz w:val="24"/>
          <w:szCs w:val="24"/>
        </w:rPr>
        <w:t>La discriminación hacia personas mayores se da en diferentes ámbitos</w:t>
      </w:r>
      <w:r w:rsidRPr="004D7792">
        <w:rPr>
          <w:rStyle w:val="FootnoteReference"/>
          <w:rFonts w:ascii="Khmer UI" w:hAnsi="Khmer UI" w:cs="Khmer UI"/>
          <w:sz w:val="24"/>
          <w:szCs w:val="24"/>
        </w:rPr>
        <w:footnoteReference w:id="6"/>
      </w:r>
      <w:r w:rsidRPr="004D7792">
        <w:rPr>
          <w:rFonts w:ascii="Khmer UI" w:hAnsi="Khmer UI" w:cs="Khmer UI"/>
          <w:sz w:val="24"/>
          <w:szCs w:val="24"/>
        </w:rPr>
        <w:t xml:space="preserve">:  </w:t>
      </w:r>
    </w:p>
    <w:p w14:paraId="4FDB888C" w14:textId="77777777" w:rsidR="00EC65FA" w:rsidRPr="004D7792" w:rsidRDefault="00EC65FA" w:rsidP="00EC65FA">
      <w:pPr>
        <w:jc w:val="both"/>
        <w:rPr>
          <w:rFonts w:ascii="Khmer UI" w:hAnsi="Khmer UI" w:cs="Khmer UI"/>
          <w:sz w:val="24"/>
          <w:szCs w:val="24"/>
        </w:rPr>
      </w:pPr>
    </w:p>
    <w:p w14:paraId="34123DD3" w14:textId="77777777" w:rsidR="00EC65FA" w:rsidRPr="004D7792" w:rsidRDefault="00EC65FA" w:rsidP="00EC65FA">
      <w:pPr>
        <w:pStyle w:val="ListParagraph"/>
        <w:ind w:left="0"/>
        <w:jc w:val="both"/>
        <w:rPr>
          <w:rFonts w:ascii="Khmer UI" w:hAnsi="Khmer UI" w:cs="Khmer UI"/>
          <w:sz w:val="24"/>
          <w:szCs w:val="24"/>
        </w:rPr>
      </w:pPr>
      <w:r w:rsidRPr="004D7792">
        <w:rPr>
          <w:rFonts w:ascii="Khmer UI" w:hAnsi="Khmer UI" w:cs="Khmer UI"/>
          <w:b/>
          <w:i/>
          <w:sz w:val="24"/>
          <w:szCs w:val="24"/>
        </w:rPr>
        <w:t>Empleo</w:t>
      </w:r>
      <w:r w:rsidRPr="004D7792">
        <w:rPr>
          <w:rFonts w:ascii="Khmer UI" w:hAnsi="Khmer UI" w:cs="Khmer UI"/>
          <w:sz w:val="24"/>
          <w:szCs w:val="24"/>
        </w:rPr>
        <w:t>: Las personas mayores tienen pocas probabilidades de encontrar un nuevo puesto laboral, por lo que recurren al trabajo informal</w:t>
      </w:r>
      <w:r w:rsidRPr="004D7792">
        <w:rPr>
          <w:rStyle w:val="FootnoteReference"/>
          <w:rFonts w:ascii="Khmer UI" w:hAnsi="Khmer UI" w:cs="Khmer UI"/>
          <w:sz w:val="24"/>
          <w:szCs w:val="24"/>
        </w:rPr>
        <w:footnoteReference w:id="7"/>
      </w:r>
      <w:r w:rsidRPr="004D7792">
        <w:rPr>
          <w:rFonts w:ascii="Khmer UI" w:hAnsi="Khmer UI" w:cs="Khmer UI"/>
          <w:sz w:val="24"/>
          <w:szCs w:val="24"/>
        </w:rPr>
        <w:t>. Los cambios de la organización del trabajo y el entorno económico del país vulneran su acceso al trabajo</w:t>
      </w:r>
      <w:r w:rsidRPr="004D7792">
        <w:rPr>
          <w:rStyle w:val="FootnoteReference"/>
          <w:rFonts w:ascii="Khmer UI" w:hAnsi="Khmer UI" w:cs="Khmer UI"/>
          <w:sz w:val="24"/>
          <w:szCs w:val="24"/>
        </w:rPr>
        <w:footnoteReference w:id="8"/>
      </w:r>
      <w:r w:rsidRPr="004D7792">
        <w:rPr>
          <w:rFonts w:ascii="Khmer UI" w:hAnsi="Khmer UI" w:cs="Khmer UI"/>
          <w:sz w:val="24"/>
          <w:szCs w:val="24"/>
        </w:rPr>
        <w:t>;  también se dan casos de exclusión de personas mayores, pues los empleadores consideran que no son aptos para cumplir con eficiencia sus atribuciones</w:t>
      </w:r>
      <w:r w:rsidRPr="004D7792">
        <w:rPr>
          <w:rStyle w:val="FootnoteReference"/>
          <w:rFonts w:ascii="Khmer UI" w:hAnsi="Khmer UI" w:cs="Khmer UI"/>
          <w:sz w:val="24"/>
          <w:szCs w:val="24"/>
        </w:rPr>
        <w:footnoteReference w:id="9"/>
      </w:r>
      <w:r w:rsidRPr="004D7792">
        <w:rPr>
          <w:rFonts w:ascii="Khmer UI" w:hAnsi="Khmer UI" w:cs="Khmer UI"/>
          <w:sz w:val="24"/>
          <w:szCs w:val="24"/>
        </w:rPr>
        <w:t xml:space="preserve">. </w:t>
      </w:r>
    </w:p>
    <w:p w14:paraId="3ADA8EC3" w14:textId="77777777" w:rsidR="00EC65FA" w:rsidRPr="004D7792" w:rsidRDefault="00EC65FA" w:rsidP="00EC65FA">
      <w:pPr>
        <w:jc w:val="both"/>
        <w:rPr>
          <w:rFonts w:ascii="Khmer UI" w:hAnsi="Khmer UI" w:cs="Khmer UI"/>
          <w:sz w:val="24"/>
          <w:szCs w:val="24"/>
        </w:rPr>
      </w:pPr>
    </w:p>
    <w:p w14:paraId="6DA390C6" w14:textId="77777777" w:rsidR="00EC65FA" w:rsidRPr="004D7792" w:rsidRDefault="00EC65FA" w:rsidP="00EC65FA">
      <w:pPr>
        <w:pStyle w:val="ListParagraph"/>
        <w:ind w:left="0"/>
        <w:jc w:val="both"/>
        <w:rPr>
          <w:rFonts w:ascii="Khmer UI" w:hAnsi="Khmer UI" w:cs="Khmer UI"/>
          <w:sz w:val="24"/>
          <w:szCs w:val="24"/>
          <w:lang w:eastAsia="es-GT"/>
        </w:rPr>
      </w:pPr>
      <w:r w:rsidRPr="004D7792">
        <w:rPr>
          <w:rFonts w:ascii="Khmer UI" w:hAnsi="Khmer UI" w:cs="Khmer UI"/>
          <w:b/>
          <w:i/>
          <w:sz w:val="24"/>
          <w:szCs w:val="24"/>
        </w:rPr>
        <w:t>Acceso a bienes y servicios</w:t>
      </w:r>
      <w:r w:rsidRPr="004D7792">
        <w:rPr>
          <w:rFonts w:ascii="Khmer UI" w:hAnsi="Khmer UI" w:cs="Khmer UI"/>
          <w:sz w:val="24"/>
          <w:szCs w:val="24"/>
        </w:rPr>
        <w:t xml:space="preserve">: </w:t>
      </w:r>
      <w:r w:rsidRPr="004D7792">
        <w:rPr>
          <w:rFonts w:ascii="Khmer UI" w:hAnsi="Khmer UI" w:cs="Khmer UI"/>
          <w:sz w:val="24"/>
          <w:szCs w:val="24"/>
          <w:lang w:eastAsia="es-GT"/>
        </w:rPr>
        <w:t>El Estado otorga subsidio a empresarios del transporte público para que las personas mayores gocen de gratuidad al utilizar el servicio, pero persiste el cobro del pasaje. Reiteradamente la PDH ha señalado la ocurrencia de los malos tratos y discriminación por parte de pilotos y ayudantes a las personas mayores</w:t>
      </w:r>
      <w:r w:rsidRPr="004D7792">
        <w:rPr>
          <w:rStyle w:val="FootnoteReference"/>
          <w:rFonts w:ascii="Khmer UI" w:hAnsi="Khmer UI" w:cs="Khmer UI"/>
          <w:sz w:val="24"/>
          <w:szCs w:val="24"/>
          <w:lang w:eastAsia="es-GT"/>
        </w:rPr>
        <w:footnoteReference w:id="10"/>
      </w:r>
      <w:r w:rsidRPr="004D7792">
        <w:rPr>
          <w:rFonts w:ascii="Khmer UI" w:hAnsi="Khmer UI" w:cs="Khmer UI"/>
          <w:sz w:val="24"/>
          <w:szCs w:val="24"/>
          <w:lang w:eastAsia="es-GT"/>
        </w:rPr>
        <w:t>.</w:t>
      </w:r>
    </w:p>
    <w:p w14:paraId="36F5F623" w14:textId="77777777" w:rsidR="00EC65FA" w:rsidRPr="004D7792" w:rsidRDefault="00EC65FA" w:rsidP="00EC65FA">
      <w:pPr>
        <w:jc w:val="both"/>
        <w:rPr>
          <w:rFonts w:ascii="Khmer UI" w:hAnsi="Khmer UI" w:cs="Khmer UI"/>
          <w:sz w:val="24"/>
          <w:szCs w:val="24"/>
          <w:lang w:eastAsia="es-GT"/>
        </w:rPr>
      </w:pPr>
    </w:p>
    <w:p w14:paraId="14F08073" w14:textId="77777777" w:rsidR="00EC65FA" w:rsidRPr="004D7792" w:rsidRDefault="00EC65FA" w:rsidP="00EC65FA">
      <w:pPr>
        <w:pStyle w:val="ListParagraph"/>
        <w:ind w:left="0"/>
        <w:jc w:val="both"/>
        <w:rPr>
          <w:rFonts w:ascii="Khmer UI" w:hAnsi="Khmer UI" w:cs="Khmer UI"/>
          <w:sz w:val="24"/>
          <w:szCs w:val="24"/>
        </w:rPr>
      </w:pPr>
      <w:r w:rsidRPr="004D7792">
        <w:rPr>
          <w:rFonts w:ascii="Khmer UI" w:hAnsi="Khmer UI" w:cs="Khmer UI"/>
          <w:b/>
          <w:i/>
          <w:sz w:val="24"/>
          <w:szCs w:val="24"/>
        </w:rPr>
        <w:t>Protección social</w:t>
      </w:r>
      <w:r w:rsidRPr="004D7792">
        <w:rPr>
          <w:rFonts w:ascii="Khmer UI" w:hAnsi="Khmer UI" w:cs="Khmer UI"/>
          <w:sz w:val="24"/>
          <w:szCs w:val="24"/>
        </w:rPr>
        <w:t>: La mayoría de personas mayores en Guatemala carece de acceso a la seguridad social. El sistema de pensiones de seguridad social es insuficiente</w:t>
      </w:r>
      <w:r w:rsidRPr="004D7792">
        <w:rPr>
          <w:rStyle w:val="FootnoteReference"/>
          <w:rFonts w:ascii="Khmer UI" w:hAnsi="Khmer UI" w:cs="Khmer UI"/>
          <w:sz w:val="24"/>
          <w:szCs w:val="24"/>
        </w:rPr>
        <w:footnoteReference w:id="11"/>
      </w:r>
      <w:r w:rsidRPr="004D7792">
        <w:rPr>
          <w:rFonts w:ascii="Khmer UI" w:hAnsi="Khmer UI" w:cs="Khmer UI"/>
          <w:sz w:val="24"/>
          <w:szCs w:val="24"/>
        </w:rPr>
        <w:t xml:space="preserve"> y sus montos son bajos en relación con la canasta básica</w:t>
      </w:r>
      <w:r w:rsidRPr="004D7792">
        <w:rPr>
          <w:rStyle w:val="FootnoteReference"/>
          <w:rFonts w:ascii="Khmer UI" w:hAnsi="Khmer UI" w:cs="Khmer UI"/>
          <w:sz w:val="24"/>
          <w:szCs w:val="24"/>
        </w:rPr>
        <w:footnoteReference w:id="12"/>
      </w:r>
      <w:r w:rsidRPr="004D7792">
        <w:rPr>
          <w:rFonts w:ascii="Khmer UI" w:hAnsi="Khmer UI" w:cs="Khmer UI"/>
          <w:sz w:val="24"/>
          <w:szCs w:val="24"/>
        </w:rPr>
        <w:t xml:space="preserve">. </w:t>
      </w:r>
    </w:p>
    <w:p w14:paraId="697C662F" w14:textId="77777777" w:rsidR="00EC65FA" w:rsidRPr="004D7792" w:rsidRDefault="00EC65FA" w:rsidP="00EC65FA">
      <w:pPr>
        <w:pStyle w:val="ListParagraph"/>
        <w:ind w:left="0"/>
        <w:jc w:val="both"/>
        <w:rPr>
          <w:rFonts w:ascii="Khmer UI" w:hAnsi="Khmer UI" w:cs="Khmer UI"/>
          <w:sz w:val="24"/>
          <w:szCs w:val="24"/>
        </w:rPr>
      </w:pPr>
    </w:p>
    <w:p w14:paraId="646911EF" w14:textId="77777777" w:rsidR="00EC65FA" w:rsidRPr="004D7792" w:rsidRDefault="00EC65FA" w:rsidP="00EC65FA">
      <w:pPr>
        <w:pStyle w:val="ListParagraph"/>
        <w:ind w:left="0"/>
        <w:jc w:val="both"/>
        <w:rPr>
          <w:rFonts w:ascii="Khmer UI" w:hAnsi="Khmer UI" w:cs="Khmer UI"/>
          <w:sz w:val="24"/>
          <w:szCs w:val="24"/>
          <w:lang w:eastAsia="es-GT"/>
        </w:rPr>
      </w:pPr>
      <w:r w:rsidRPr="004D7792">
        <w:rPr>
          <w:rFonts w:ascii="Khmer UI" w:hAnsi="Khmer UI" w:cs="Khmer UI"/>
          <w:b/>
          <w:i/>
          <w:sz w:val="24"/>
          <w:szCs w:val="24"/>
        </w:rPr>
        <w:lastRenderedPageBreak/>
        <w:t>Asistencia social</w:t>
      </w:r>
      <w:r w:rsidRPr="004D7792">
        <w:rPr>
          <w:rStyle w:val="FootnoteReference"/>
          <w:rFonts w:ascii="Khmer UI" w:hAnsi="Khmer UI" w:cs="Khmer UI"/>
          <w:sz w:val="24"/>
          <w:szCs w:val="24"/>
        </w:rPr>
        <w:footnoteReference w:id="13"/>
      </w:r>
      <w:r w:rsidRPr="004D7792">
        <w:rPr>
          <w:rFonts w:ascii="Khmer UI" w:hAnsi="Khmer UI" w:cs="Khmer UI"/>
          <w:sz w:val="24"/>
          <w:szCs w:val="24"/>
        </w:rPr>
        <w:t xml:space="preserve">: </w:t>
      </w:r>
      <w:r w:rsidRPr="004D7792">
        <w:rPr>
          <w:rFonts w:ascii="Khmer UI" w:hAnsi="Khmer UI" w:cs="Khmer UI"/>
          <w:sz w:val="24"/>
          <w:szCs w:val="24"/>
          <w:lang w:eastAsia="es-GT"/>
        </w:rPr>
        <w:t>Los programas de atención diurna, los hogares públicos para personas mayores abandonadas</w:t>
      </w:r>
      <w:r w:rsidRPr="004D7792">
        <w:rPr>
          <w:rStyle w:val="FootnoteReference"/>
          <w:rFonts w:ascii="Khmer UI" w:hAnsi="Khmer UI" w:cs="Khmer UI"/>
          <w:sz w:val="24"/>
          <w:szCs w:val="24"/>
          <w:lang w:eastAsia="es-GT"/>
        </w:rPr>
        <w:footnoteReference w:id="14"/>
      </w:r>
      <w:r w:rsidRPr="004D7792">
        <w:rPr>
          <w:rFonts w:ascii="Khmer UI" w:hAnsi="Khmer UI" w:cs="Khmer UI"/>
          <w:sz w:val="24"/>
          <w:szCs w:val="24"/>
          <w:lang w:eastAsia="es-GT"/>
        </w:rPr>
        <w:t xml:space="preserve"> y el Programa de Aporte Económico del Adulto Mayor son insuficientes para la demanda de atención de personas mayores en pobreza y pobreza extrema</w:t>
      </w:r>
      <w:r w:rsidRPr="004D7792">
        <w:rPr>
          <w:rStyle w:val="FootnoteReference"/>
          <w:rFonts w:ascii="Khmer UI" w:hAnsi="Khmer UI" w:cs="Khmer UI"/>
          <w:sz w:val="24"/>
          <w:szCs w:val="24"/>
          <w:lang w:eastAsia="es-GT"/>
        </w:rPr>
        <w:footnoteReference w:id="15"/>
      </w:r>
      <w:r w:rsidRPr="004D7792">
        <w:rPr>
          <w:rFonts w:ascii="Khmer UI" w:hAnsi="Khmer UI" w:cs="Khmer UI"/>
          <w:sz w:val="24"/>
          <w:szCs w:val="24"/>
          <w:lang w:eastAsia="es-GT"/>
        </w:rPr>
        <w:t xml:space="preserve">. </w:t>
      </w:r>
    </w:p>
    <w:p w14:paraId="2DE1D724" w14:textId="77777777" w:rsidR="00EC65FA" w:rsidRPr="004D7792" w:rsidRDefault="00EC65FA" w:rsidP="00EC65FA">
      <w:pPr>
        <w:pStyle w:val="ListParagraph"/>
        <w:ind w:left="0"/>
        <w:jc w:val="both"/>
        <w:rPr>
          <w:rFonts w:ascii="Khmer UI" w:hAnsi="Khmer UI" w:cs="Khmer UI"/>
          <w:sz w:val="24"/>
          <w:szCs w:val="24"/>
          <w:lang w:val="es-ES_tradnl"/>
        </w:rPr>
      </w:pPr>
    </w:p>
    <w:p w14:paraId="4C074756" w14:textId="77777777" w:rsidR="00EC65FA" w:rsidRPr="004D7792" w:rsidRDefault="00EC65FA" w:rsidP="00EC65FA">
      <w:pPr>
        <w:pStyle w:val="ListParagraph"/>
        <w:numPr>
          <w:ilvl w:val="0"/>
          <w:numId w:val="9"/>
        </w:numPr>
        <w:ind w:left="426" w:hanging="426"/>
        <w:jc w:val="both"/>
        <w:rPr>
          <w:rFonts w:ascii="Khmer UI" w:hAnsi="Khmer UI" w:cs="Khmer UI"/>
          <w:b/>
          <w:sz w:val="24"/>
          <w:szCs w:val="24"/>
          <w:lang w:val="es-ES_tradnl"/>
        </w:rPr>
      </w:pPr>
      <w:r w:rsidRPr="004D7792">
        <w:rPr>
          <w:rFonts w:ascii="Khmer UI" w:hAnsi="Khmer UI" w:cs="Khmer UI"/>
          <w:b/>
          <w:sz w:val="24"/>
          <w:szCs w:val="24"/>
          <w:lang w:val="es-ES_tradnl"/>
        </w:rPr>
        <w:t>Sírvanse proporcionar información y datos estadísticos (incluidas encuestas, censos, datos administrativos, publicaciones, informes y estudios) relacionados con la realización de los derechos de las personas mayores con discapacidad en general, así como con particular énfasis en las siguientes áreas:</w:t>
      </w:r>
    </w:p>
    <w:p w14:paraId="4E487E1D" w14:textId="77777777" w:rsidR="00EC65FA" w:rsidRPr="004D7792" w:rsidRDefault="00EC65FA" w:rsidP="00EC65FA">
      <w:pPr>
        <w:pStyle w:val="ListParagraph"/>
        <w:ind w:left="0"/>
        <w:jc w:val="both"/>
        <w:rPr>
          <w:rFonts w:ascii="Khmer UI" w:hAnsi="Khmer UI" w:cs="Khmer UI"/>
          <w:sz w:val="24"/>
          <w:szCs w:val="24"/>
          <w:lang w:val="es-ES_tradnl"/>
        </w:rPr>
      </w:pPr>
    </w:p>
    <w:p w14:paraId="4E1B1080"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Guatemala no cuenta con datos estadísticos relacionados con personas mayores con discapacidad.</w:t>
      </w:r>
    </w:p>
    <w:p w14:paraId="7F54E2E6" w14:textId="77777777" w:rsidR="00EC65FA" w:rsidRPr="004D7792" w:rsidRDefault="00EC65FA" w:rsidP="00EC65FA">
      <w:pPr>
        <w:pStyle w:val="ListParagraph"/>
        <w:ind w:left="0"/>
        <w:jc w:val="both"/>
        <w:rPr>
          <w:rFonts w:ascii="Khmer UI" w:hAnsi="Khmer UI" w:cs="Khmer UI"/>
          <w:sz w:val="24"/>
          <w:szCs w:val="24"/>
          <w:lang w:val="es-ES_tradnl"/>
        </w:rPr>
      </w:pPr>
    </w:p>
    <w:p w14:paraId="7691A10A" w14:textId="77777777" w:rsidR="00EC65FA" w:rsidRPr="004D7792" w:rsidRDefault="00EC65FA" w:rsidP="00EC65FA">
      <w:pPr>
        <w:autoSpaceDE w:val="0"/>
        <w:autoSpaceDN w:val="0"/>
        <w:adjustRightInd w:val="0"/>
        <w:ind w:left="0"/>
        <w:jc w:val="both"/>
        <w:rPr>
          <w:rFonts w:ascii="Khmer UI" w:hAnsi="Khmer UI" w:cs="Khmer UI"/>
          <w:sz w:val="24"/>
          <w:szCs w:val="24"/>
          <w:lang w:eastAsia="es-GT"/>
        </w:rPr>
      </w:pPr>
      <w:r w:rsidRPr="004D7792">
        <w:rPr>
          <w:rFonts w:ascii="Khmer UI" w:hAnsi="Khmer UI" w:cs="Khmer UI"/>
          <w:sz w:val="24"/>
          <w:szCs w:val="24"/>
          <w:lang w:eastAsia="es-GT"/>
        </w:rPr>
        <w:t>En 2018 fue positivo que el Estado de Guatemala haya realizado un nuevo censo de población, en el cual se incluyó la lista corta sobre discapacidad recomendada internacionalmente por el Grupo de Washington sobre estadísticas de discapacidad, lo que permitirá obtener información sobre la prevalencia de la discapacidad y algunos tipos de discapacidad como la visual, auditiva, física, no así la desagregación de los tipos de discapacidad mental; se espera que los resultados del censo sean presentados a la brevedad por parte del Instituto Nacional de Estadística (INE)</w:t>
      </w:r>
      <w:r w:rsidRPr="004D7792">
        <w:rPr>
          <w:rStyle w:val="FootnoteReference"/>
          <w:rFonts w:ascii="Khmer UI" w:hAnsi="Khmer UI" w:cs="Khmer UI"/>
          <w:sz w:val="24"/>
          <w:szCs w:val="24"/>
          <w:lang w:eastAsia="es-GT"/>
        </w:rPr>
        <w:footnoteReference w:id="16"/>
      </w:r>
      <w:r w:rsidRPr="004D7792">
        <w:rPr>
          <w:rFonts w:ascii="Khmer UI" w:hAnsi="Khmer UI" w:cs="Khmer UI"/>
          <w:sz w:val="24"/>
          <w:szCs w:val="24"/>
          <w:lang w:eastAsia="es-GT"/>
        </w:rPr>
        <w:t>.</w:t>
      </w:r>
    </w:p>
    <w:p w14:paraId="4BDBF6D7" w14:textId="77777777" w:rsidR="00EC65FA" w:rsidRPr="004D7792" w:rsidRDefault="00EC65FA" w:rsidP="00EC65FA">
      <w:pPr>
        <w:autoSpaceDE w:val="0"/>
        <w:autoSpaceDN w:val="0"/>
        <w:adjustRightInd w:val="0"/>
        <w:jc w:val="both"/>
        <w:rPr>
          <w:rFonts w:ascii="Khmer UI" w:hAnsi="Khmer UI" w:cs="Khmer UI"/>
          <w:sz w:val="24"/>
          <w:szCs w:val="24"/>
          <w:lang w:eastAsia="es-GT"/>
        </w:rPr>
      </w:pPr>
    </w:p>
    <w:p w14:paraId="509979D6" w14:textId="77777777" w:rsidR="00EC65FA" w:rsidRPr="004D7792" w:rsidRDefault="00EC65FA" w:rsidP="00EC65FA">
      <w:pPr>
        <w:autoSpaceDE w:val="0"/>
        <w:autoSpaceDN w:val="0"/>
        <w:adjustRightInd w:val="0"/>
        <w:ind w:left="0"/>
        <w:jc w:val="both"/>
        <w:rPr>
          <w:rFonts w:ascii="Khmer UI" w:hAnsi="Khmer UI" w:cs="Khmer UI"/>
          <w:sz w:val="24"/>
          <w:szCs w:val="24"/>
          <w:lang w:eastAsia="es-GT"/>
        </w:rPr>
      </w:pPr>
      <w:r w:rsidRPr="004D7792">
        <w:rPr>
          <w:rFonts w:ascii="Khmer UI" w:hAnsi="Khmer UI" w:cs="Khmer UI"/>
          <w:sz w:val="24"/>
          <w:szCs w:val="24"/>
          <w:lang w:eastAsia="es-GT"/>
        </w:rPr>
        <w:t>Es importante advertir que, si bien el país podrá contar con información sobre la prevalencia y algunos tipos de discapacidad, queda pendiente que el Estado incluya a las personas con discapacidad en futuras encuestas especializadas de discapacidad orientadas conocer la situación de derechos como salud, alimentación, empleo, vivienda digna, seguridad, justicia, desarrollo, accesibilidad, entre otros.</w:t>
      </w:r>
    </w:p>
    <w:p w14:paraId="2AE3D784" w14:textId="77777777" w:rsidR="00EC65FA" w:rsidRPr="004D7792" w:rsidRDefault="00EC65FA" w:rsidP="00EC65FA">
      <w:pPr>
        <w:autoSpaceDE w:val="0"/>
        <w:autoSpaceDN w:val="0"/>
        <w:adjustRightInd w:val="0"/>
        <w:jc w:val="both"/>
        <w:rPr>
          <w:rFonts w:ascii="Khmer UI" w:hAnsi="Khmer UI" w:cs="Khmer UI"/>
          <w:sz w:val="24"/>
          <w:szCs w:val="24"/>
          <w:lang w:eastAsia="es-GT"/>
        </w:rPr>
      </w:pPr>
    </w:p>
    <w:p w14:paraId="01CFB574" w14:textId="77777777" w:rsidR="00EC65FA" w:rsidRPr="004D7792" w:rsidRDefault="00EC65FA" w:rsidP="00EC65FA">
      <w:pPr>
        <w:autoSpaceDE w:val="0"/>
        <w:autoSpaceDN w:val="0"/>
        <w:adjustRightInd w:val="0"/>
        <w:ind w:left="0"/>
        <w:jc w:val="both"/>
        <w:rPr>
          <w:rFonts w:ascii="Khmer UI" w:hAnsi="Khmer UI" w:cs="Khmer UI"/>
          <w:sz w:val="24"/>
          <w:szCs w:val="24"/>
          <w:lang w:eastAsia="es-GT"/>
        </w:rPr>
      </w:pPr>
      <w:r w:rsidRPr="004D7792">
        <w:rPr>
          <w:rFonts w:ascii="Khmer UI" w:hAnsi="Khmer UI" w:cs="Khmer UI"/>
          <w:sz w:val="24"/>
          <w:szCs w:val="24"/>
          <w:lang w:eastAsia="es-GT"/>
        </w:rPr>
        <w:t xml:space="preserve">En informes anteriores el Procurador de los Derechos Humanos ha señalado la importancia de que el país cuente con estadísticas desagregadas y comparables sobre personas con discapacidad, ya que la falta de estadísticas ha dificultado una evaluación profunda del cumplimiento de los derechos de dicha población, en atención a la edad, la pertenencia cultural, el sexo / género, la identidad cultural, los tipos de discapacidad, las condiciones socioeconómicas y sociodemográficas, y las condiciones de vida en general de las personas con discapacidad en el país. La obtención de estadísticas uniformes comparables debiera dar paso también a la </w:t>
      </w:r>
      <w:r w:rsidRPr="004D7792">
        <w:rPr>
          <w:rFonts w:ascii="Khmer UI" w:hAnsi="Khmer UI" w:cs="Khmer UI"/>
          <w:sz w:val="24"/>
          <w:szCs w:val="24"/>
          <w:lang w:eastAsia="es-GT"/>
        </w:rPr>
        <w:lastRenderedPageBreak/>
        <w:t>generación de un sistema de indicadores de derechos humanos de las personas con discapacidad, así como la formulación e  implementación de políticas a favor de esta población.</w:t>
      </w:r>
    </w:p>
    <w:p w14:paraId="1870D618" w14:textId="77777777" w:rsidR="00EC65FA" w:rsidRPr="004D7792" w:rsidRDefault="00EC65FA" w:rsidP="00EC65FA">
      <w:pPr>
        <w:autoSpaceDE w:val="0"/>
        <w:autoSpaceDN w:val="0"/>
        <w:adjustRightInd w:val="0"/>
        <w:rPr>
          <w:rFonts w:ascii="Khmer UI" w:hAnsi="Khmer UI" w:cs="Khmer UI"/>
          <w:sz w:val="24"/>
          <w:szCs w:val="24"/>
          <w:lang w:val="es-ES_tradnl"/>
        </w:rPr>
      </w:pPr>
    </w:p>
    <w:p w14:paraId="3BD21DFA" w14:textId="77777777" w:rsidR="00EC65FA" w:rsidRPr="004D7792" w:rsidRDefault="00EC65FA" w:rsidP="00EC65FA">
      <w:pPr>
        <w:pStyle w:val="ListParagraph"/>
        <w:numPr>
          <w:ilvl w:val="0"/>
          <w:numId w:val="10"/>
        </w:numPr>
        <w:ind w:left="284" w:hanging="284"/>
        <w:jc w:val="both"/>
        <w:rPr>
          <w:rFonts w:ascii="Khmer UI" w:hAnsi="Khmer UI" w:cs="Khmer UI"/>
          <w:i/>
          <w:sz w:val="24"/>
          <w:szCs w:val="24"/>
          <w:lang w:val="es-ES_tradnl"/>
        </w:rPr>
      </w:pPr>
      <w:r w:rsidRPr="004D7792">
        <w:rPr>
          <w:rFonts w:ascii="Khmer UI" w:hAnsi="Khmer UI" w:cs="Khmer UI"/>
          <w:i/>
          <w:sz w:val="24"/>
          <w:szCs w:val="24"/>
          <w:lang w:val="es-ES_tradnl"/>
        </w:rPr>
        <w:t>Procedimientos de admisión a servicios sociales o de salud, incluida la admisión involuntaria</w:t>
      </w:r>
    </w:p>
    <w:p w14:paraId="06D4E6B3" w14:textId="77777777" w:rsidR="00EC65FA" w:rsidRPr="004D7792" w:rsidRDefault="00EC65FA" w:rsidP="00EC65FA">
      <w:pPr>
        <w:pStyle w:val="ListParagraph"/>
        <w:ind w:left="0"/>
        <w:rPr>
          <w:rFonts w:ascii="Khmer UI" w:hAnsi="Khmer UI" w:cs="Khmer UI"/>
          <w:i/>
          <w:sz w:val="24"/>
          <w:szCs w:val="24"/>
          <w:lang w:val="es-ES_tradnl"/>
        </w:rPr>
      </w:pPr>
    </w:p>
    <w:p w14:paraId="30A32391" w14:textId="0AF0FEB0"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El Ministerio de Desarrollo Social, tiene a su cargo los programas sociales Mi Bolsa Segura y Comedores Sociales</w:t>
      </w:r>
      <w:r w:rsidR="002B103B">
        <w:rPr>
          <w:rFonts w:ascii="Khmer UI" w:hAnsi="Khmer UI" w:cs="Khmer UI"/>
          <w:sz w:val="24"/>
          <w:szCs w:val="24"/>
          <w:lang w:val="es-ES_tradnl"/>
        </w:rPr>
        <w:t>, entre otros</w:t>
      </w:r>
      <w:r w:rsidRPr="004D7792">
        <w:rPr>
          <w:rFonts w:ascii="Khmer UI" w:hAnsi="Khmer UI" w:cs="Khmer UI"/>
          <w:sz w:val="24"/>
          <w:szCs w:val="24"/>
          <w:lang w:val="es-ES_tradnl"/>
        </w:rPr>
        <w:t xml:space="preserve">. </w:t>
      </w:r>
    </w:p>
    <w:p w14:paraId="7D98308A" w14:textId="77777777" w:rsidR="00EC65FA" w:rsidRPr="004D7792" w:rsidRDefault="00EC65FA" w:rsidP="00EC65FA">
      <w:pPr>
        <w:pStyle w:val="ListParagraph"/>
        <w:ind w:left="0"/>
        <w:jc w:val="both"/>
        <w:rPr>
          <w:rFonts w:ascii="Khmer UI" w:hAnsi="Khmer UI" w:cs="Khmer UI"/>
          <w:sz w:val="24"/>
          <w:szCs w:val="24"/>
          <w:lang w:val="es-ES_tradnl"/>
        </w:rPr>
      </w:pPr>
    </w:p>
    <w:p w14:paraId="528B072E"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 xml:space="preserve">El Programa Social Mi Bolsa Segura surgió con base en el Acuerdo Ministerial Número 02-2012. Según su Acuerdo de creación el Programa tiene como objetivo contribuir a fortalecer las capacidades de las familias que viven en áreas urbanas precarias para promover la seguridad alimentaria nutricional y su desarrollo integral; fue dirigido a la población residente en los asentamientos urbanos, colonias y barrios que viven en condiciones de pobreza, pobreza extrema y vulnerabilidad. Asimismo el programa está sujeto a la disponibilidad presupuestaria y financiera. </w:t>
      </w:r>
    </w:p>
    <w:p w14:paraId="3A9F6307" w14:textId="77777777" w:rsidR="00EC65FA" w:rsidRPr="004D7792" w:rsidRDefault="00EC65FA" w:rsidP="00EC65FA">
      <w:pPr>
        <w:pStyle w:val="ListParagraph"/>
        <w:ind w:left="0"/>
        <w:jc w:val="both"/>
        <w:rPr>
          <w:rFonts w:ascii="Khmer UI" w:hAnsi="Khmer UI" w:cs="Khmer UI"/>
          <w:sz w:val="24"/>
          <w:szCs w:val="24"/>
          <w:lang w:val="es-ES_tradnl"/>
        </w:rPr>
      </w:pPr>
    </w:p>
    <w:p w14:paraId="0FA6CBED"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Los criterios de inclusión de los usuarios en dicho programa son los siguientes: ser calificada como familia o persona en condición de pobreza (conforme los mecanismos de evaluación socioeconómica del programa); tener hijos o hijas comprendidos entre 0 a 15 años; personas mayores de 65 años y más</w:t>
      </w:r>
      <w:r w:rsidRPr="004D7792">
        <w:rPr>
          <w:rStyle w:val="FootnoteReference"/>
          <w:rFonts w:ascii="Khmer UI" w:hAnsi="Khmer UI" w:cs="Khmer UI"/>
          <w:sz w:val="24"/>
          <w:szCs w:val="24"/>
          <w:lang w:val="es-ES_tradnl"/>
        </w:rPr>
        <w:footnoteReference w:id="17"/>
      </w:r>
      <w:r w:rsidRPr="004D7792">
        <w:rPr>
          <w:rFonts w:ascii="Khmer UI" w:hAnsi="Khmer UI" w:cs="Khmer UI"/>
          <w:sz w:val="24"/>
          <w:szCs w:val="24"/>
          <w:lang w:val="es-ES_tradnl"/>
        </w:rPr>
        <w:t xml:space="preserve">.  </w:t>
      </w:r>
    </w:p>
    <w:p w14:paraId="0CEA0869" w14:textId="77777777" w:rsidR="00EC65FA" w:rsidRPr="004D7792" w:rsidRDefault="00EC65FA" w:rsidP="00EC65FA">
      <w:pPr>
        <w:pStyle w:val="ListParagraph"/>
        <w:ind w:left="0"/>
        <w:jc w:val="both"/>
        <w:rPr>
          <w:rFonts w:ascii="Khmer UI" w:hAnsi="Khmer UI" w:cs="Khmer UI"/>
          <w:sz w:val="24"/>
          <w:szCs w:val="24"/>
          <w:lang w:val="es-ES_tradnl"/>
        </w:rPr>
      </w:pPr>
    </w:p>
    <w:p w14:paraId="0951584C"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En 2017 el Ministerio registró la atención a 394 personas mayores con discapacidad en el Programa Mi Bolsa Segura; en 2018, únicamente a 23</w:t>
      </w:r>
      <w:r w:rsidRPr="004D7792">
        <w:rPr>
          <w:rStyle w:val="FootnoteReference"/>
          <w:rFonts w:ascii="Khmer UI" w:hAnsi="Khmer UI" w:cs="Khmer UI"/>
          <w:sz w:val="24"/>
          <w:szCs w:val="24"/>
          <w:lang w:val="es-ES_tradnl"/>
        </w:rPr>
        <w:footnoteReference w:id="18"/>
      </w:r>
      <w:r w:rsidRPr="004D7792">
        <w:rPr>
          <w:rFonts w:ascii="Khmer UI" w:hAnsi="Khmer UI" w:cs="Khmer UI"/>
          <w:sz w:val="24"/>
          <w:szCs w:val="24"/>
          <w:lang w:val="es-ES_tradnl"/>
        </w:rPr>
        <w:t>.</w:t>
      </w:r>
    </w:p>
    <w:p w14:paraId="10B51F46" w14:textId="77777777" w:rsidR="00EC65FA" w:rsidRPr="004D7792" w:rsidRDefault="00EC65FA" w:rsidP="00EC65FA">
      <w:pPr>
        <w:pStyle w:val="ListParagraph"/>
        <w:ind w:left="0"/>
        <w:jc w:val="both"/>
        <w:rPr>
          <w:rFonts w:ascii="Khmer UI" w:hAnsi="Khmer UI" w:cs="Khmer UI"/>
          <w:sz w:val="24"/>
          <w:szCs w:val="24"/>
          <w:lang w:val="es-ES_tradnl"/>
        </w:rPr>
      </w:pPr>
    </w:p>
    <w:p w14:paraId="0F7D74BC"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El Programa Comedor Seguro fue creado bajo Acuerdo Ministerial Número 03-2012 como respuesta al limitado acceso de la población que vive con alguna situación de riesgo o vulnerabilidad, en pobreza, pobreza extrema, crisis o estado de emergencia para adquirir comida nutritiva. El desarrollo del Programa consiste en la entrega de raciones alimenticias a un costo subsidiado, en situaciones de crisis o emergencia las raciones pueden entregarse en forma gratuita si las autoridades superiores así lo deciden. El Programa no cuenta con criterios de inclusión toda vez que a la satisfacción de necesidades básicas e inmediatas de personas o familias; por otra parte los usuarios del programa deben cancelar el valor de la ración alimenticia, registrarse en el sistema electrónico, entre otros. La población que utiliza el servicio no registra una asistencia regular por lo que el Programa realiza el Registro de Usuarios a través del Sistema de Comedores –SICOME- por medio de registro biométrico, en caso de imposibilidad del usuario el registro se realiza en forma manual mediante hojas de registro</w:t>
      </w:r>
      <w:r w:rsidRPr="004D7792">
        <w:rPr>
          <w:rStyle w:val="FootnoteReference"/>
          <w:rFonts w:ascii="Khmer UI" w:hAnsi="Khmer UI" w:cs="Khmer UI"/>
          <w:sz w:val="24"/>
          <w:szCs w:val="24"/>
          <w:lang w:val="es-ES_tradnl"/>
        </w:rPr>
        <w:footnoteReference w:id="19"/>
      </w:r>
      <w:r w:rsidRPr="004D7792">
        <w:rPr>
          <w:rFonts w:ascii="Khmer UI" w:hAnsi="Khmer UI" w:cs="Khmer UI"/>
          <w:sz w:val="24"/>
          <w:szCs w:val="24"/>
          <w:lang w:val="es-ES_tradnl"/>
        </w:rPr>
        <w:t xml:space="preserve">.  </w:t>
      </w:r>
    </w:p>
    <w:p w14:paraId="5AF3FB87" w14:textId="77777777" w:rsidR="00EC65FA" w:rsidRPr="004D7792" w:rsidRDefault="00EC65FA" w:rsidP="00EC65FA">
      <w:pPr>
        <w:pStyle w:val="ListParagraph"/>
        <w:ind w:left="0"/>
        <w:jc w:val="both"/>
        <w:rPr>
          <w:rFonts w:ascii="Khmer UI" w:hAnsi="Khmer UI" w:cs="Khmer UI"/>
          <w:sz w:val="24"/>
          <w:szCs w:val="24"/>
          <w:lang w:val="es-ES_tradnl"/>
        </w:rPr>
      </w:pPr>
    </w:p>
    <w:p w14:paraId="5D0562D3"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En 2017 el SICOME registró la atención a 32 personas mayores con discapacidad (31 en el departamento de Guatemala, y 1 en San Marcos); en 2018, atendió a 1,148 (1,071 en el departamento de Guatemala, 11 en Chiquimula, 29 en San Marcos, 4 en Jutiapa y 33 en Nuevo San Carlos, Retalhulehu)</w:t>
      </w:r>
      <w:r w:rsidRPr="004D7792">
        <w:rPr>
          <w:rStyle w:val="FootnoteReference"/>
          <w:rFonts w:ascii="Khmer UI" w:hAnsi="Khmer UI" w:cs="Khmer UI"/>
          <w:sz w:val="24"/>
          <w:szCs w:val="24"/>
          <w:lang w:val="es-ES_tradnl"/>
        </w:rPr>
        <w:footnoteReference w:id="20"/>
      </w:r>
      <w:r w:rsidRPr="004D7792">
        <w:rPr>
          <w:rFonts w:ascii="Khmer UI" w:hAnsi="Khmer UI" w:cs="Khmer UI"/>
          <w:sz w:val="24"/>
          <w:szCs w:val="24"/>
          <w:lang w:val="es-ES_tradnl"/>
        </w:rPr>
        <w:t>.</w:t>
      </w:r>
    </w:p>
    <w:p w14:paraId="32AD315D" w14:textId="77777777" w:rsidR="00EC65FA" w:rsidRPr="004D7792" w:rsidRDefault="00EC65FA" w:rsidP="00EC65FA">
      <w:pPr>
        <w:pStyle w:val="ListParagraph"/>
        <w:ind w:left="0"/>
        <w:jc w:val="both"/>
        <w:rPr>
          <w:rFonts w:ascii="Khmer UI" w:hAnsi="Khmer UI" w:cs="Khmer UI"/>
          <w:sz w:val="24"/>
          <w:szCs w:val="24"/>
          <w:lang w:val="es-ES_tradnl"/>
        </w:rPr>
      </w:pPr>
    </w:p>
    <w:p w14:paraId="394B882A" w14:textId="77777777" w:rsidR="00EC65FA" w:rsidRPr="004D7792" w:rsidRDefault="00EC65FA" w:rsidP="00EC65FA">
      <w:pPr>
        <w:pStyle w:val="ListParagraph"/>
        <w:numPr>
          <w:ilvl w:val="0"/>
          <w:numId w:val="10"/>
        </w:numPr>
        <w:ind w:left="284" w:hanging="284"/>
        <w:jc w:val="both"/>
        <w:rPr>
          <w:rFonts w:ascii="Khmer UI" w:hAnsi="Khmer UI" w:cs="Khmer UI"/>
          <w:i/>
          <w:sz w:val="24"/>
          <w:szCs w:val="24"/>
          <w:lang w:val="es-ES_tradnl"/>
        </w:rPr>
      </w:pPr>
      <w:r w:rsidRPr="004D7792">
        <w:rPr>
          <w:rFonts w:ascii="Khmer UI" w:hAnsi="Khmer UI" w:cs="Khmer UI"/>
          <w:i/>
          <w:sz w:val="24"/>
          <w:szCs w:val="24"/>
          <w:lang w:val="es-ES_tradnl"/>
        </w:rPr>
        <w:t>Personas mayores con discapacidad que viven en instituciones;</w:t>
      </w:r>
    </w:p>
    <w:p w14:paraId="21B382C2" w14:textId="77777777" w:rsidR="00EC65FA" w:rsidRPr="004D7792" w:rsidRDefault="00EC65FA" w:rsidP="00EC65FA">
      <w:pPr>
        <w:pStyle w:val="ListParagraph"/>
        <w:rPr>
          <w:rFonts w:ascii="Khmer UI" w:hAnsi="Khmer UI" w:cs="Khmer UI"/>
          <w:i/>
          <w:sz w:val="24"/>
          <w:szCs w:val="24"/>
          <w:lang w:val="es-ES_tradnl"/>
        </w:rPr>
      </w:pPr>
    </w:p>
    <w:p w14:paraId="7EAC1B99"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El Estado de Guatemala no cuenta con hogares</w:t>
      </w:r>
      <w:r w:rsidR="00E8682D">
        <w:rPr>
          <w:rFonts w:ascii="Khmer UI" w:hAnsi="Khmer UI" w:cs="Khmer UI"/>
          <w:sz w:val="24"/>
          <w:szCs w:val="24"/>
          <w:lang w:val="es-ES_tradnl"/>
        </w:rPr>
        <w:t xml:space="preserve"> especializados</w:t>
      </w:r>
      <w:r w:rsidRPr="004D7792">
        <w:rPr>
          <w:rFonts w:ascii="Khmer UI" w:hAnsi="Khmer UI" w:cs="Khmer UI"/>
          <w:sz w:val="24"/>
          <w:szCs w:val="24"/>
          <w:lang w:val="es-ES_tradnl"/>
        </w:rPr>
        <w:t xml:space="preserve"> para personas mayores con discapacidad. </w:t>
      </w:r>
    </w:p>
    <w:p w14:paraId="2BABB598" w14:textId="77777777" w:rsidR="00EC65FA" w:rsidRPr="004D7792" w:rsidRDefault="00EC65FA" w:rsidP="00EC65FA">
      <w:pPr>
        <w:pStyle w:val="ListParagraph"/>
        <w:ind w:left="0"/>
        <w:jc w:val="both"/>
        <w:rPr>
          <w:rFonts w:ascii="Khmer UI" w:hAnsi="Khmer UI" w:cs="Khmer UI"/>
          <w:sz w:val="24"/>
          <w:szCs w:val="24"/>
          <w:lang w:val="es-ES_tradnl"/>
        </w:rPr>
      </w:pPr>
    </w:p>
    <w:p w14:paraId="7562492E"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Existen dos residencias públicas para personas mayores a cargo del Ministerio de Salud Pública y Asistencia Social; una es la residencia de Personas Mayores del Hospital Nacional de Ortopedia y rehabilitación “Dr. Jorge Von Ahn</w:t>
      </w:r>
      <w:r w:rsidR="00E8682D">
        <w:rPr>
          <w:rFonts w:ascii="Khmer UI" w:hAnsi="Khmer UI" w:cs="Khmer UI"/>
          <w:sz w:val="24"/>
          <w:szCs w:val="24"/>
          <w:lang w:val="es-ES_tradnl"/>
        </w:rPr>
        <w:t>”</w:t>
      </w:r>
      <w:r w:rsidRPr="004D7792">
        <w:rPr>
          <w:rFonts w:ascii="Khmer UI" w:hAnsi="Khmer UI" w:cs="Khmer UI"/>
          <w:sz w:val="24"/>
          <w:szCs w:val="24"/>
          <w:lang w:val="es-ES_tradnl"/>
        </w:rPr>
        <w:t xml:space="preserve">, ubicado en la capital y el Hogar Fray Rodrigo de la Cruz en Antigua Guatemala, Sacatepéquez.   </w:t>
      </w:r>
    </w:p>
    <w:p w14:paraId="569E560E" w14:textId="77777777" w:rsidR="00EC65FA" w:rsidRPr="004D7792" w:rsidRDefault="00EC65FA" w:rsidP="00EC65FA">
      <w:pPr>
        <w:pStyle w:val="ListParagraph"/>
        <w:ind w:left="0"/>
        <w:jc w:val="both"/>
        <w:rPr>
          <w:rFonts w:ascii="Khmer UI" w:hAnsi="Khmer UI" w:cs="Khmer UI"/>
          <w:sz w:val="24"/>
          <w:szCs w:val="24"/>
          <w:lang w:val="es-ES_tradnl"/>
        </w:rPr>
      </w:pPr>
    </w:p>
    <w:p w14:paraId="13584A1B"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Al 13 de marzo de 2019 la Residencia del Hospital Nacional de Ortopedia registraba 54 personas mayores (21 hombres y 33 mujeres), la mayoría con discapacidad física y sensorial; quienes recibían atención integral directa por el alto grado de dependencia así como tratamiento biopsicosocial contando con un equipo multidisciplinario</w:t>
      </w:r>
      <w:r w:rsidRPr="004D7792">
        <w:rPr>
          <w:rStyle w:val="FootnoteReference"/>
          <w:rFonts w:ascii="Khmer UI" w:hAnsi="Khmer UI" w:cs="Khmer UI"/>
          <w:sz w:val="24"/>
          <w:szCs w:val="24"/>
          <w:lang w:val="es-ES_tradnl"/>
        </w:rPr>
        <w:footnoteReference w:id="21"/>
      </w:r>
      <w:r w:rsidRPr="004D7792">
        <w:rPr>
          <w:rFonts w:ascii="Khmer UI" w:hAnsi="Khmer UI" w:cs="Khmer UI"/>
          <w:sz w:val="24"/>
          <w:szCs w:val="24"/>
          <w:lang w:val="es-ES_tradnl"/>
        </w:rPr>
        <w:t xml:space="preserve">. </w:t>
      </w:r>
    </w:p>
    <w:p w14:paraId="3D1F9A51" w14:textId="77777777" w:rsidR="00EC65FA" w:rsidRPr="004D7792" w:rsidRDefault="00EC65FA" w:rsidP="00EC65FA">
      <w:pPr>
        <w:pStyle w:val="ListParagraph"/>
        <w:ind w:left="0"/>
        <w:jc w:val="both"/>
        <w:rPr>
          <w:rFonts w:ascii="Khmer UI" w:hAnsi="Khmer UI" w:cs="Khmer UI"/>
          <w:sz w:val="24"/>
          <w:szCs w:val="24"/>
          <w:lang w:val="es-ES_tradnl"/>
        </w:rPr>
      </w:pPr>
    </w:p>
    <w:p w14:paraId="006FEB39"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El Hogar Fray Rodrigo de la Cruz tiene capacidad para atender a 135 personas. Al 15 de marzo de 2019 atendían a un total de 133 personas mayores (83 hombres y 50 mujeres) y entre ellos 72 con discapacidad (43 hombres y 29 mujeres) a quienes se les brindaba vestuario, alimentación, atención médica, medicina y terapia física y ocupacional, entre otros</w:t>
      </w:r>
      <w:r w:rsidRPr="004D7792">
        <w:rPr>
          <w:rStyle w:val="FootnoteReference"/>
          <w:rFonts w:ascii="Khmer UI" w:hAnsi="Khmer UI" w:cs="Khmer UI"/>
          <w:sz w:val="24"/>
          <w:szCs w:val="24"/>
          <w:lang w:val="es-ES_tradnl"/>
        </w:rPr>
        <w:footnoteReference w:id="22"/>
      </w:r>
      <w:r w:rsidRPr="004D7792">
        <w:rPr>
          <w:rFonts w:ascii="Khmer UI" w:hAnsi="Khmer UI" w:cs="Khmer UI"/>
          <w:sz w:val="24"/>
          <w:szCs w:val="24"/>
          <w:lang w:val="es-ES_tradnl"/>
        </w:rPr>
        <w:t xml:space="preserve">. </w:t>
      </w:r>
    </w:p>
    <w:p w14:paraId="609F9C5B" w14:textId="77777777" w:rsidR="00EC65FA" w:rsidRPr="004D7792" w:rsidRDefault="00EC65FA" w:rsidP="00EC65FA">
      <w:pPr>
        <w:pStyle w:val="ListParagraph"/>
        <w:ind w:left="0"/>
        <w:jc w:val="both"/>
        <w:rPr>
          <w:rFonts w:ascii="Khmer UI" w:hAnsi="Khmer UI" w:cs="Khmer UI"/>
          <w:sz w:val="24"/>
          <w:szCs w:val="24"/>
          <w:lang w:val="es-ES_tradnl"/>
        </w:rPr>
      </w:pPr>
    </w:p>
    <w:p w14:paraId="663E472B"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Por otra parte según la Procuraduría General de la Nación</w:t>
      </w:r>
      <w:r w:rsidR="00E8682D">
        <w:rPr>
          <w:rFonts w:ascii="Khmer UI" w:hAnsi="Khmer UI" w:cs="Khmer UI"/>
          <w:sz w:val="24"/>
          <w:szCs w:val="24"/>
          <w:lang w:val="es-ES_tradnl"/>
        </w:rPr>
        <w:t xml:space="preserve"> (PGN),</w:t>
      </w:r>
      <w:r w:rsidRPr="004D7792">
        <w:rPr>
          <w:rFonts w:ascii="Khmer UI" w:hAnsi="Khmer UI" w:cs="Khmer UI"/>
          <w:sz w:val="24"/>
          <w:szCs w:val="24"/>
          <w:lang w:val="es-ES_tradnl"/>
        </w:rPr>
        <w:t xml:space="preserve"> hay casos en los cuales las personas mayores con alguna discapacidad que han ingresado para tratamiento médico en hospitales nacionales luego de haberlo recibido permanecen en los mismos como huéspedes; en otros casos la Procuraduría General de la Nación ha encontrado recurso familiar de las personas mayores para su cuidado y protección</w:t>
      </w:r>
      <w:r w:rsidRPr="004D7792">
        <w:rPr>
          <w:rStyle w:val="FootnoteReference"/>
          <w:rFonts w:ascii="Khmer UI" w:hAnsi="Khmer UI" w:cs="Khmer UI"/>
          <w:sz w:val="24"/>
          <w:szCs w:val="24"/>
          <w:lang w:val="es-ES_tradnl"/>
        </w:rPr>
        <w:footnoteReference w:id="23"/>
      </w:r>
      <w:r w:rsidRPr="004D7792">
        <w:rPr>
          <w:rFonts w:ascii="Khmer UI" w:hAnsi="Khmer UI" w:cs="Khmer UI"/>
          <w:sz w:val="24"/>
          <w:szCs w:val="24"/>
          <w:lang w:val="es-ES_tradnl"/>
        </w:rPr>
        <w:t xml:space="preserve">. </w:t>
      </w:r>
    </w:p>
    <w:p w14:paraId="7E3D2870" w14:textId="77777777" w:rsidR="00EC65FA" w:rsidRPr="004D7792" w:rsidRDefault="00EC65FA" w:rsidP="00EC65FA">
      <w:pPr>
        <w:pStyle w:val="ListParagraph"/>
        <w:ind w:left="0"/>
        <w:jc w:val="both"/>
        <w:rPr>
          <w:rFonts w:ascii="Khmer UI" w:hAnsi="Khmer UI" w:cs="Khmer UI"/>
          <w:sz w:val="24"/>
          <w:szCs w:val="24"/>
          <w:lang w:val="es-ES_tradnl"/>
        </w:rPr>
      </w:pPr>
    </w:p>
    <w:p w14:paraId="0B455F81" w14:textId="77777777" w:rsidR="00EC65FA" w:rsidRPr="004D7792" w:rsidRDefault="00EC65FA" w:rsidP="00EC65FA">
      <w:pPr>
        <w:pStyle w:val="ListParagraph"/>
        <w:ind w:left="0"/>
        <w:jc w:val="both"/>
        <w:rPr>
          <w:rFonts w:ascii="Khmer UI" w:hAnsi="Khmer UI" w:cs="Khmer UI"/>
          <w:i/>
          <w:sz w:val="24"/>
          <w:szCs w:val="24"/>
          <w:lang w:val="es-ES_tradnl"/>
        </w:rPr>
      </w:pPr>
      <w:r w:rsidRPr="004D7792">
        <w:rPr>
          <w:rFonts w:ascii="Khmer UI" w:hAnsi="Khmer UI" w:cs="Khmer UI"/>
          <w:sz w:val="24"/>
          <w:szCs w:val="24"/>
          <w:lang w:val="es-ES_tradnl"/>
        </w:rPr>
        <w:t xml:space="preserve">Al 15 de marzo de 2019 la PGN registraba trámite de expedientes en los cuales  había personas mayores con discapacidad residentes en hogares públicos y privados </w:t>
      </w:r>
      <w:r w:rsidRPr="004D7792">
        <w:rPr>
          <w:rFonts w:ascii="Khmer UI" w:hAnsi="Khmer UI" w:cs="Khmer UI"/>
          <w:sz w:val="24"/>
          <w:szCs w:val="24"/>
          <w:lang w:val="es-ES_tradnl"/>
        </w:rPr>
        <w:lastRenderedPageBreak/>
        <w:t>destinados a la atención permanente de personas mayores;  5 personas se encontraban en  hogares públicos de atención permanente en donde recibían atención primaria de enfermería y médica y en algunos recibían atención psicológica, entre otros y 8 residían en hogares privados donde recibían atención médica primaria y de enfermería y en algunos atención psicológica, entre otros</w:t>
      </w:r>
      <w:r w:rsidRPr="004D7792">
        <w:rPr>
          <w:rStyle w:val="FootnoteReference"/>
          <w:rFonts w:ascii="Khmer UI" w:hAnsi="Khmer UI" w:cs="Khmer UI"/>
          <w:sz w:val="24"/>
          <w:szCs w:val="24"/>
          <w:lang w:val="es-ES_tradnl"/>
        </w:rPr>
        <w:footnoteReference w:id="24"/>
      </w:r>
      <w:r w:rsidRPr="004D7792">
        <w:rPr>
          <w:rFonts w:ascii="Khmer UI" w:hAnsi="Khmer UI" w:cs="Khmer UI"/>
          <w:sz w:val="24"/>
          <w:szCs w:val="24"/>
          <w:lang w:val="es-ES_tradnl"/>
        </w:rPr>
        <w:t xml:space="preserve">.  </w:t>
      </w:r>
    </w:p>
    <w:p w14:paraId="7F6D936D" w14:textId="77777777" w:rsidR="00EC65FA" w:rsidRPr="004D7792" w:rsidRDefault="00EC65FA" w:rsidP="00EC65FA">
      <w:pPr>
        <w:pStyle w:val="ListParagraph"/>
        <w:ind w:left="0"/>
        <w:jc w:val="both"/>
        <w:rPr>
          <w:rFonts w:ascii="Khmer UI" w:hAnsi="Khmer UI" w:cs="Khmer UI"/>
          <w:sz w:val="24"/>
          <w:szCs w:val="24"/>
          <w:lang w:val="es-ES_tradnl"/>
        </w:rPr>
      </w:pPr>
    </w:p>
    <w:p w14:paraId="29BDCC50" w14:textId="77777777" w:rsidR="00EC65FA" w:rsidRPr="004D7792" w:rsidRDefault="00EC65FA" w:rsidP="00EC65FA">
      <w:pPr>
        <w:pStyle w:val="ListParagraph"/>
        <w:numPr>
          <w:ilvl w:val="0"/>
          <w:numId w:val="10"/>
        </w:numPr>
        <w:ind w:left="284" w:hanging="284"/>
        <w:jc w:val="both"/>
        <w:rPr>
          <w:rFonts w:ascii="Khmer UI" w:hAnsi="Khmer UI" w:cs="Khmer UI"/>
          <w:i/>
          <w:sz w:val="24"/>
          <w:szCs w:val="24"/>
          <w:lang w:val="es-ES_tradnl"/>
        </w:rPr>
      </w:pPr>
      <w:r w:rsidRPr="004D7792">
        <w:rPr>
          <w:rFonts w:ascii="Khmer UI" w:hAnsi="Khmer UI" w:cs="Khmer UI"/>
          <w:i/>
          <w:sz w:val="24"/>
          <w:szCs w:val="24"/>
          <w:lang w:val="es-ES_tradnl"/>
        </w:rPr>
        <w:t>Acceso a apoyo para vivir de manera independiente en la comunidad;</w:t>
      </w:r>
    </w:p>
    <w:p w14:paraId="7153DB85" w14:textId="77777777" w:rsidR="00EC65FA" w:rsidRPr="004D7792" w:rsidRDefault="00EC65FA" w:rsidP="00EC65FA">
      <w:pPr>
        <w:pStyle w:val="ListParagraph"/>
        <w:ind w:left="284" w:hanging="284"/>
        <w:jc w:val="both"/>
        <w:rPr>
          <w:rFonts w:ascii="Khmer UI" w:hAnsi="Khmer UI" w:cs="Khmer UI"/>
          <w:sz w:val="24"/>
          <w:szCs w:val="24"/>
          <w:lang w:val="es-ES_tradnl"/>
        </w:rPr>
      </w:pPr>
    </w:p>
    <w:p w14:paraId="391981F1"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A la fecha no existe ningún apoyo para que las personas mayores pueda</w:t>
      </w:r>
      <w:r w:rsidR="00214531" w:rsidRPr="004D7792">
        <w:rPr>
          <w:rFonts w:ascii="Khmer UI" w:hAnsi="Khmer UI" w:cs="Khmer UI"/>
          <w:sz w:val="24"/>
          <w:szCs w:val="24"/>
          <w:lang w:val="es-ES_tradnl"/>
        </w:rPr>
        <w:t>n vivir de manera independiente</w:t>
      </w:r>
      <w:r w:rsidRPr="004D7792">
        <w:rPr>
          <w:rFonts w:ascii="Khmer UI" w:hAnsi="Khmer UI" w:cs="Khmer UI"/>
          <w:sz w:val="24"/>
          <w:szCs w:val="24"/>
          <w:lang w:val="es-ES_tradnl"/>
        </w:rPr>
        <w:t>.</w:t>
      </w:r>
    </w:p>
    <w:p w14:paraId="229AC183" w14:textId="77777777" w:rsidR="00EC65FA" w:rsidRPr="004D7792" w:rsidRDefault="00EC65FA" w:rsidP="00EC65FA">
      <w:pPr>
        <w:pStyle w:val="ListParagraph"/>
        <w:ind w:left="0"/>
        <w:jc w:val="both"/>
        <w:rPr>
          <w:rFonts w:ascii="Khmer UI" w:hAnsi="Khmer UI" w:cs="Khmer UI"/>
          <w:sz w:val="24"/>
          <w:szCs w:val="24"/>
          <w:lang w:val="es-ES_tradnl"/>
        </w:rPr>
      </w:pPr>
    </w:p>
    <w:p w14:paraId="25FE7298" w14:textId="77777777" w:rsidR="00EC65FA" w:rsidRPr="004D7792" w:rsidRDefault="00EC65FA" w:rsidP="00EC65FA">
      <w:pPr>
        <w:pStyle w:val="ListParagraph"/>
        <w:ind w:left="0"/>
        <w:jc w:val="both"/>
        <w:rPr>
          <w:rFonts w:ascii="Khmer UI" w:hAnsi="Khmer UI" w:cs="Khmer UI"/>
          <w:sz w:val="24"/>
          <w:szCs w:val="24"/>
        </w:rPr>
      </w:pPr>
      <w:r w:rsidRPr="004D7792">
        <w:rPr>
          <w:rFonts w:ascii="Khmer UI" w:hAnsi="Khmer UI" w:cs="Khmer UI"/>
          <w:sz w:val="24"/>
          <w:szCs w:val="24"/>
        </w:rPr>
        <w:t xml:space="preserve">La carencia de un modelo social de atención que favorezca la autonomía de las personas mayores es uno de los factores que dificulta el reconocimiento de la especificidad de esta población como titulares de derechos. </w:t>
      </w:r>
    </w:p>
    <w:p w14:paraId="2D7EE6F2" w14:textId="77777777" w:rsidR="00EC65FA" w:rsidRPr="004D7792" w:rsidRDefault="00EC65FA" w:rsidP="00EC65FA">
      <w:pPr>
        <w:pStyle w:val="ListParagraph"/>
        <w:ind w:left="1080"/>
        <w:jc w:val="both"/>
        <w:rPr>
          <w:rFonts w:ascii="Khmer UI" w:hAnsi="Khmer UI" w:cs="Khmer UI"/>
          <w:b/>
          <w:sz w:val="24"/>
          <w:szCs w:val="24"/>
          <w:lang w:val="es-ES_tradnl"/>
        </w:rPr>
      </w:pPr>
    </w:p>
    <w:p w14:paraId="786E8E74" w14:textId="77777777" w:rsidR="00EC65FA" w:rsidRPr="004D7792" w:rsidRDefault="00EC65FA" w:rsidP="00EC65FA">
      <w:pPr>
        <w:pStyle w:val="ListParagraph"/>
        <w:numPr>
          <w:ilvl w:val="0"/>
          <w:numId w:val="10"/>
        </w:numPr>
        <w:ind w:left="284" w:hanging="284"/>
        <w:jc w:val="both"/>
        <w:rPr>
          <w:rFonts w:ascii="Khmer UI" w:hAnsi="Khmer UI" w:cs="Khmer UI"/>
          <w:i/>
          <w:sz w:val="24"/>
          <w:szCs w:val="24"/>
          <w:lang w:val="es-ES_tradnl"/>
        </w:rPr>
      </w:pPr>
      <w:r w:rsidRPr="004D7792">
        <w:rPr>
          <w:rFonts w:ascii="Khmer UI" w:hAnsi="Khmer UI" w:cs="Khmer UI"/>
          <w:i/>
          <w:sz w:val="24"/>
          <w:szCs w:val="24"/>
          <w:lang w:val="es-ES_tradnl"/>
        </w:rPr>
        <w:t>Acceso a atención médica gratuita o asequible;</w:t>
      </w:r>
    </w:p>
    <w:p w14:paraId="445BEF5A" w14:textId="77777777" w:rsidR="00EC65FA" w:rsidRPr="004D7792" w:rsidRDefault="00EC65FA" w:rsidP="00EC65FA">
      <w:pPr>
        <w:pStyle w:val="ListParagraph"/>
        <w:ind w:left="284" w:hanging="284"/>
        <w:jc w:val="both"/>
        <w:rPr>
          <w:rFonts w:ascii="Khmer UI" w:hAnsi="Khmer UI" w:cs="Khmer UI"/>
          <w:i/>
          <w:sz w:val="24"/>
          <w:szCs w:val="24"/>
          <w:lang w:val="es-ES_tradnl"/>
        </w:rPr>
      </w:pPr>
    </w:p>
    <w:p w14:paraId="15FA293D"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La Ley de Protección para las Personas de la Tercera Edad, establece que el Estado garantizará la asistencia médica geriátrica y gerontológica integral, sin embargo no se  cumple en virtud que el Ministerio de Salud Pública y Asistencia Social no cuenta con programas específicos de estas dos áreas.</w:t>
      </w:r>
    </w:p>
    <w:p w14:paraId="390CBEF6" w14:textId="77777777" w:rsidR="00EC65FA" w:rsidRPr="004D7792" w:rsidRDefault="00EC65FA" w:rsidP="00EC65FA">
      <w:pPr>
        <w:pStyle w:val="ListParagraph"/>
        <w:ind w:left="284" w:hanging="284"/>
        <w:jc w:val="both"/>
        <w:rPr>
          <w:rFonts w:ascii="Khmer UI" w:hAnsi="Khmer UI" w:cs="Khmer UI"/>
          <w:sz w:val="24"/>
          <w:szCs w:val="24"/>
          <w:lang w:val="es-ES_tradnl"/>
        </w:rPr>
      </w:pPr>
    </w:p>
    <w:p w14:paraId="3906A6E1" w14:textId="1DE493CF" w:rsidR="00EC65FA" w:rsidRPr="004D7792" w:rsidRDefault="00EC65FA" w:rsidP="00EC65FA">
      <w:pPr>
        <w:pStyle w:val="ListParagraph"/>
        <w:numPr>
          <w:ilvl w:val="0"/>
          <w:numId w:val="10"/>
        </w:numPr>
        <w:ind w:left="284" w:hanging="284"/>
        <w:jc w:val="both"/>
        <w:rPr>
          <w:rFonts w:ascii="Khmer UI" w:hAnsi="Khmer UI" w:cs="Khmer UI"/>
          <w:i/>
          <w:sz w:val="24"/>
          <w:szCs w:val="24"/>
          <w:lang w:val="es-ES_tradnl"/>
        </w:rPr>
      </w:pPr>
      <w:r w:rsidRPr="004D7792">
        <w:rPr>
          <w:rFonts w:ascii="Khmer UI" w:hAnsi="Khmer UI" w:cs="Khmer UI"/>
          <w:i/>
          <w:sz w:val="24"/>
          <w:szCs w:val="24"/>
          <w:lang w:val="es-ES_tradnl"/>
        </w:rPr>
        <w:t xml:space="preserve">Acceso a esquemas de protección social; </w:t>
      </w:r>
    </w:p>
    <w:p w14:paraId="4F3CD277" w14:textId="77777777" w:rsidR="00EC65FA" w:rsidRPr="004D7792" w:rsidRDefault="00EC65FA" w:rsidP="00EC65FA">
      <w:pPr>
        <w:pStyle w:val="ListParagraph"/>
        <w:ind w:left="0"/>
        <w:jc w:val="both"/>
        <w:rPr>
          <w:rFonts w:ascii="Khmer UI" w:hAnsi="Khmer UI" w:cs="Khmer UI"/>
          <w:i/>
          <w:sz w:val="24"/>
          <w:szCs w:val="24"/>
          <w:lang w:val="es-ES_tradnl"/>
        </w:rPr>
      </w:pPr>
    </w:p>
    <w:p w14:paraId="6B62F911"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Existe el Programa del Aporte Económico adscrito al Ministerio de Trabajo y Previsión Social</w:t>
      </w:r>
      <w:r w:rsidRPr="004D7792">
        <w:rPr>
          <w:rStyle w:val="FootnoteReference"/>
          <w:rFonts w:ascii="Khmer UI" w:hAnsi="Khmer UI" w:cs="Khmer UI"/>
          <w:sz w:val="24"/>
          <w:szCs w:val="24"/>
          <w:lang w:val="es-ES_tradnl"/>
        </w:rPr>
        <w:footnoteReference w:id="25"/>
      </w:r>
      <w:r w:rsidRPr="004D7792">
        <w:rPr>
          <w:rFonts w:ascii="Khmer UI" w:hAnsi="Khmer UI" w:cs="Khmer UI"/>
          <w:sz w:val="24"/>
          <w:szCs w:val="24"/>
          <w:lang w:val="es-ES_tradnl"/>
        </w:rPr>
        <w:t>, el cual consiste en un aporte mensual de Q.400.00 para aquellas personas de 65 años y más que demuestren que viven en extrema pobreza. El presupuesto anual de dicho programa es insuficiente para poder cubrir la totalidad de solicitudes, únicamente alcanza para cubrir a 103.125 personas mayores</w:t>
      </w:r>
      <w:r w:rsidRPr="004D7792">
        <w:rPr>
          <w:rStyle w:val="FootnoteReference"/>
          <w:rFonts w:ascii="Khmer UI" w:hAnsi="Khmer UI" w:cs="Khmer UI"/>
          <w:sz w:val="24"/>
          <w:szCs w:val="24"/>
          <w:lang w:val="es-ES_tradnl"/>
        </w:rPr>
        <w:footnoteReference w:id="26"/>
      </w:r>
      <w:r w:rsidRPr="004D7792">
        <w:rPr>
          <w:rFonts w:ascii="Khmer UI" w:hAnsi="Khmer UI" w:cs="Khmer UI"/>
          <w:sz w:val="24"/>
          <w:szCs w:val="24"/>
          <w:lang w:val="es-ES_tradnl"/>
        </w:rPr>
        <w:t xml:space="preserve">. </w:t>
      </w:r>
    </w:p>
    <w:p w14:paraId="4EF9F936" w14:textId="77777777" w:rsidR="00EC65FA" w:rsidRPr="004D7792" w:rsidRDefault="00EC65FA" w:rsidP="00EC65FA">
      <w:pPr>
        <w:pStyle w:val="ListParagraph"/>
        <w:ind w:left="0"/>
        <w:jc w:val="both"/>
        <w:rPr>
          <w:rFonts w:ascii="Khmer UI" w:hAnsi="Khmer UI" w:cs="Khmer UI"/>
          <w:sz w:val="24"/>
          <w:szCs w:val="24"/>
          <w:lang w:val="es-ES_tradnl"/>
        </w:rPr>
      </w:pPr>
    </w:p>
    <w:p w14:paraId="66DA6628" w14:textId="5A676EC4"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 xml:space="preserve">La Ley del Programa de Aporte Económico del Adulto Mayor, Decreto 85-2005,  reformado por el Decreto 39-2006, ambos del Congreso de la República, refiere en el </w:t>
      </w:r>
      <w:r w:rsidR="001208F4">
        <w:rPr>
          <w:rFonts w:ascii="Khmer UI" w:hAnsi="Khmer UI" w:cs="Khmer UI"/>
          <w:sz w:val="24"/>
          <w:szCs w:val="24"/>
          <w:lang w:val="es-ES_tradnl"/>
        </w:rPr>
        <w:t>a</w:t>
      </w:r>
      <w:r w:rsidRPr="004D7792">
        <w:rPr>
          <w:rFonts w:ascii="Khmer UI" w:hAnsi="Khmer UI" w:cs="Khmer UI"/>
          <w:sz w:val="24"/>
          <w:szCs w:val="24"/>
          <w:lang w:val="es-ES_tradnl"/>
        </w:rPr>
        <w:t xml:space="preserve">rtículo 3 como beneficiarios especiales a las personas mayores que adolezcan de algún grado de discapacidad física, psíquica o sensorial que hayan cumplido 65 años y más y cuya limitación esté debidamente certificada por centros del sistema de salud y que se encuentren en situación de extrema pobreza. </w:t>
      </w:r>
    </w:p>
    <w:p w14:paraId="638DE8B1" w14:textId="77777777" w:rsidR="00EC65FA" w:rsidRPr="004D7792" w:rsidRDefault="00EC65FA" w:rsidP="00EC65FA">
      <w:pPr>
        <w:pStyle w:val="ListParagraph"/>
        <w:ind w:left="0"/>
        <w:jc w:val="both"/>
        <w:rPr>
          <w:rFonts w:ascii="Khmer UI" w:hAnsi="Khmer UI" w:cs="Khmer UI"/>
          <w:sz w:val="24"/>
          <w:szCs w:val="24"/>
          <w:lang w:val="es-ES_tradnl"/>
        </w:rPr>
      </w:pPr>
    </w:p>
    <w:p w14:paraId="5624B82C" w14:textId="77777777" w:rsidR="00EC65FA" w:rsidRPr="004D7792" w:rsidRDefault="00EC65FA" w:rsidP="00EC65FA">
      <w:pPr>
        <w:pStyle w:val="ListParagraph"/>
        <w:ind w:left="0"/>
        <w:jc w:val="both"/>
        <w:rPr>
          <w:rFonts w:ascii="Khmer UI" w:hAnsi="Khmer UI" w:cs="Khmer UI"/>
          <w:sz w:val="24"/>
          <w:szCs w:val="24"/>
        </w:rPr>
      </w:pPr>
      <w:r w:rsidRPr="004D7792">
        <w:rPr>
          <w:rFonts w:ascii="Khmer UI" w:hAnsi="Khmer UI" w:cs="Khmer UI"/>
          <w:sz w:val="24"/>
          <w:szCs w:val="24"/>
        </w:rPr>
        <w:t>Debido a que el Programa no fue proyectado con base en datos demográficos, este no ha brindado cobertura al total de población que se encuentra en condiciones de pobreza.</w:t>
      </w:r>
    </w:p>
    <w:p w14:paraId="59BA6313" w14:textId="77777777" w:rsidR="00EC65FA" w:rsidRPr="004D7792" w:rsidRDefault="00EC65FA" w:rsidP="00EC65FA">
      <w:pPr>
        <w:pStyle w:val="ListParagraph"/>
        <w:ind w:left="0"/>
        <w:jc w:val="both"/>
        <w:rPr>
          <w:rFonts w:ascii="Khmer UI" w:hAnsi="Khmer UI" w:cs="Khmer UI"/>
          <w:sz w:val="24"/>
          <w:szCs w:val="24"/>
        </w:rPr>
      </w:pPr>
    </w:p>
    <w:p w14:paraId="5E77A9BD" w14:textId="77777777" w:rsidR="00EC65FA" w:rsidRPr="004D7792" w:rsidRDefault="00EC65FA" w:rsidP="00EC65FA">
      <w:pPr>
        <w:pStyle w:val="Pa2"/>
        <w:spacing w:line="240" w:lineRule="auto"/>
        <w:jc w:val="both"/>
        <w:rPr>
          <w:rFonts w:ascii="Khmer UI" w:hAnsi="Khmer UI" w:cs="Khmer UI"/>
          <w:b/>
          <w:lang w:val="es-ES_tradnl"/>
        </w:rPr>
      </w:pPr>
      <w:r w:rsidRPr="004D7792">
        <w:rPr>
          <w:rFonts w:ascii="Khmer UI" w:hAnsi="Khmer UI" w:cs="Khmer UI"/>
          <w:lang w:val="es-ES_tradnl"/>
        </w:rPr>
        <w:t>L</w:t>
      </w:r>
      <w:r w:rsidRPr="004D7792">
        <w:rPr>
          <w:rFonts w:ascii="Khmer UI" w:hAnsi="Khmer UI" w:cs="Khmer UI"/>
        </w:rPr>
        <w:t>a PDH ha señalado una serie de factores que han impedido al Programa de Aporte Económico del Adulto Mayor (del Ministerio de Trabajo y Previsión Social) cumplir con la función de garantizar la aten</w:t>
      </w:r>
      <w:r w:rsidRPr="004D7792">
        <w:rPr>
          <w:rFonts w:ascii="Khmer UI" w:hAnsi="Khmer UI" w:cs="Khmer UI"/>
        </w:rPr>
        <w:softHyphen/>
        <w:t>ción de las personas mayores en situación de pobreza y sin cobertura social. Entre las problemáticas encontradas está la falta de ampliación del presupuesto asignado, celeridad en el trámite de solicitudes, así como la escasez de personal para realizar las diligencias que conlleva el trámite para otorgar o no este beneficio. Reiteradamente la PDH ha recomendado realizar las gestiones pertinentes para revisar el presupuesto y am</w:t>
      </w:r>
      <w:r w:rsidRPr="004D7792">
        <w:rPr>
          <w:rFonts w:ascii="Khmer UI" w:hAnsi="Khmer UI" w:cs="Khmer UI"/>
        </w:rPr>
        <w:softHyphen/>
        <w:t>pliar el rubro de funcionamiento del Programa. Asimismo ha exigido establecer mecanismos para verificar el cumplimiento de sus objetivos y desarrollar estudios actuariales cada dos años para incrementar el monto de las aportaciones</w:t>
      </w:r>
      <w:r w:rsidRPr="004D7792">
        <w:rPr>
          <w:rStyle w:val="FootnoteReference"/>
          <w:rFonts w:ascii="Khmer UI" w:hAnsi="Khmer UI" w:cs="Khmer UI"/>
        </w:rPr>
        <w:footnoteReference w:id="27"/>
      </w:r>
      <w:r w:rsidRPr="004D7792">
        <w:rPr>
          <w:rFonts w:ascii="Khmer UI" w:hAnsi="Khmer UI" w:cs="Khmer UI"/>
        </w:rPr>
        <w:t>.</w:t>
      </w:r>
    </w:p>
    <w:p w14:paraId="2FB7AFB2" w14:textId="77777777" w:rsidR="00EC65FA" w:rsidRPr="004D7792" w:rsidRDefault="00EC65FA" w:rsidP="00EC65FA">
      <w:pPr>
        <w:pStyle w:val="ListParagraph"/>
        <w:ind w:left="0"/>
        <w:jc w:val="both"/>
        <w:rPr>
          <w:rFonts w:ascii="Khmer UI" w:hAnsi="Khmer UI" w:cs="Khmer UI"/>
          <w:sz w:val="24"/>
          <w:szCs w:val="24"/>
          <w:lang w:val="es-ES_tradnl"/>
        </w:rPr>
      </w:pPr>
    </w:p>
    <w:p w14:paraId="34DC190E"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La Procuraduría General de la Nación carece de información sobre esquemas de protección social a favor de las personas mayores con discapacidad</w:t>
      </w:r>
      <w:r w:rsidRPr="004D7792">
        <w:rPr>
          <w:rStyle w:val="FootnoteReference"/>
          <w:rFonts w:ascii="Khmer UI" w:hAnsi="Khmer UI" w:cs="Khmer UI"/>
          <w:sz w:val="24"/>
          <w:szCs w:val="24"/>
          <w:lang w:val="es-ES_tradnl"/>
        </w:rPr>
        <w:footnoteReference w:id="28"/>
      </w:r>
      <w:r w:rsidRPr="004D7792">
        <w:rPr>
          <w:rFonts w:ascii="Khmer UI" w:hAnsi="Khmer UI" w:cs="Khmer UI"/>
          <w:sz w:val="24"/>
          <w:szCs w:val="24"/>
          <w:lang w:val="es-ES_tradnl"/>
        </w:rPr>
        <w:t xml:space="preserve">.  </w:t>
      </w:r>
    </w:p>
    <w:p w14:paraId="7AB9FC4F" w14:textId="77777777" w:rsidR="00EC65FA" w:rsidRPr="004D7792" w:rsidRDefault="00EC65FA" w:rsidP="00EC65FA">
      <w:pPr>
        <w:pStyle w:val="ListParagraph"/>
        <w:ind w:left="0"/>
        <w:jc w:val="both"/>
        <w:rPr>
          <w:rFonts w:ascii="Khmer UI" w:hAnsi="Khmer UI" w:cs="Khmer UI"/>
          <w:sz w:val="24"/>
          <w:szCs w:val="24"/>
          <w:lang w:val="es-ES_tradnl"/>
        </w:rPr>
      </w:pPr>
    </w:p>
    <w:p w14:paraId="4C1154D1" w14:textId="77777777" w:rsidR="00EC65FA" w:rsidRPr="004D7792" w:rsidRDefault="00EC65FA" w:rsidP="00EC65FA">
      <w:pPr>
        <w:pStyle w:val="ListParagraph"/>
        <w:numPr>
          <w:ilvl w:val="0"/>
          <w:numId w:val="10"/>
        </w:numPr>
        <w:ind w:left="284" w:hanging="284"/>
        <w:jc w:val="both"/>
        <w:rPr>
          <w:rFonts w:ascii="Khmer UI" w:hAnsi="Khmer UI" w:cs="Khmer UI"/>
          <w:i/>
          <w:sz w:val="24"/>
          <w:szCs w:val="24"/>
          <w:lang w:val="es-ES_tradnl"/>
        </w:rPr>
      </w:pPr>
      <w:r w:rsidRPr="004D7792">
        <w:rPr>
          <w:rFonts w:ascii="Khmer UI" w:hAnsi="Khmer UI" w:cs="Khmer UI"/>
          <w:i/>
          <w:sz w:val="24"/>
          <w:szCs w:val="24"/>
          <w:lang w:val="es-ES_tradnl"/>
        </w:rPr>
        <w:t>Fin de la vida y cuidados paliativos</w:t>
      </w:r>
    </w:p>
    <w:p w14:paraId="4FEFA1FA" w14:textId="77777777" w:rsidR="00EC65FA" w:rsidRPr="004D7792" w:rsidRDefault="00EC65FA" w:rsidP="00EC65FA">
      <w:pPr>
        <w:pStyle w:val="ListParagraph"/>
        <w:jc w:val="both"/>
        <w:rPr>
          <w:rFonts w:ascii="Khmer UI" w:hAnsi="Khmer UI" w:cs="Khmer UI"/>
          <w:sz w:val="24"/>
          <w:szCs w:val="24"/>
          <w:lang w:val="es-ES_tradnl"/>
        </w:rPr>
      </w:pPr>
    </w:p>
    <w:p w14:paraId="3725DBAC" w14:textId="77777777" w:rsidR="004D7792" w:rsidRPr="004D7792" w:rsidRDefault="00EC65FA" w:rsidP="004D7792">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No existe política sobre cuidados paliativos.</w:t>
      </w:r>
      <w:r w:rsidR="004D7792" w:rsidRPr="004D7792">
        <w:rPr>
          <w:rFonts w:ascii="Khmer UI" w:hAnsi="Khmer UI" w:cs="Khmer UI"/>
          <w:sz w:val="24"/>
          <w:szCs w:val="24"/>
          <w:lang w:val="es-ES_tradnl"/>
        </w:rPr>
        <w:t xml:space="preserve"> La PGN no cuenta con esta información en sus bases de datos</w:t>
      </w:r>
      <w:r w:rsidR="004D7792" w:rsidRPr="004D7792">
        <w:rPr>
          <w:rStyle w:val="FootnoteReference"/>
          <w:rFonts w:ascii="Khmer UI" w:hAnsi="Khmer UI" w:cs="Khmer UI"/>
          <w:sz w:val="24"/>
          <w:szCs w:val="24"/>
          <w:lang w:val="es-ES_tradnl"/>
        </w:rPr>
        <w:footnoteReference w:id="29"/>
      </w:r>
      <w:r w:rsidR="004D7792" w:rsidRPr="004D7792">
        <w:rPr>
          <w:rFonts w:ascii="Khmer UI" w:hAnsi="Khmer UI" w:cs="Khmer UI"/>
          <w:sz w:val="24"/>
          <w:szCs w:val="24"/>
          <w:lang w:val="es-ES_tradnl"/>
        </w:rPr>
        <w:t>.</w:t>
      </w:r>
    </w:p>
    <w:p w14:paraId="426925E2" w14:textId="77777777" w:rsidR="00EC65FA" w:rsidRPr="004D7792" w:rsidRDefault="00EC65FA" w:rsidP="00EC65FA">
      <w:pPr>
        <w:pStyle w:val="ListParagraph"/>
        <w:ind w:left="0"/>
        <w:jc w:val="both"/>
        <w:rPr>
          <w:rFonts w:ascii="Khmer UI" w:hAnsi="Khmer UI" w:cs="Khmer UI"/>
          <w:sz w:val="24"/>
          <w:szCs w:val="24"/>
          <w:lang w:val="es-ES_tradnl"/>
        </w:rPr>
      </w:pPr>
    </w:p>
    <w:p w14:paraId="56DF251E"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De acuerdo con el Atlas de Cuidados Paliativos en Latinoamérica 2012, Guatemala carecía de una ley que regulara la prestación de Cuidados Paliativos, pero contaba con el Acuerdo Ministerial (578-2011) del Ministerio de Salud Pública y Asistencia Social mediante el cual creó  la Comisión Nacional de Cuidados Paliativos con el objetivo de difundir e integrar los Cuidados Paliativos en el Sistema de Salud</w:t>
      </w:r>
      <w:r w:rsidRPr="004D7792">
        <w:rPr>
          <w:rStyle w:val="FootnoteReference"/>
          <w:rFonts w:ascii="Khmer UI" w:hAnsi="Khmer UI" w:cs="Khmer UI"/>
          <w:sz w:val="24"/>
          <w:szCs w:val="24"/>
          <w:lang w:val="es-ES_tradnl"/>
        </w:rPr>
        <w:footnoteReference w:id="30"/>
      </w:r>
      <w:r w:rsidRPr="004D7792">
        <w:rPr>
          <w:rFonts w:ascii="Khmer UI" w:hAnsi="Khmer UI" w:cs="Khmer UI"/>
          <w:sz w:val="24"/>
          <w:szCs w:val="24"/>
          <w:lang w:val="es-ES_tradnl"/>
        </w:rPr>
        <w:t xml:space="preserve">. </w:t>
      </w:r>
    </w:p>
    <w:p w14:paraId="499FDDD1" w14:textId="77777777" w:rsidR="00EC65FA" w:rsidRPr="004D7792" w:rsidRDefault="00EC65FA" w:rsidP="00EC65FA">
      <w:pPr>
        <w:pStyle w:val="ListParagraph"/>
        <w:ind w:left="0"/>
        <w:jc w:val="both"/>
        <w:rPr>
          <w:rFonts w:ascii="Khmer UI" w:hAnsi="Khmer UI" w:cs="Khmer UI"/>
          <w:sz w:val="24"/>
          <w:szCs w:val="24"/>
          <w:lang w:val="es-ES_tradnl"/>
        </w:rPr>
      </w:pPr>
    </w:p>
    <w:p w14:paraId="150D86AD" w14:textId="4D114452"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En la rama ejecutiva no había un plan/programa nacional de Cuidados Paliativos ni un sistema gubernamental de auditoría, evaluación o control de calidad para monitorear el estándar de prestación de servicios de Cuidados Paliativos. Si bien existía una estrategia nacional de VIH/SIDA y Atención Primaria esta no contenía una referencia explícita a la prestación de Cuidados Paliativos y en el control de cáncer existía una comisión aislada que pretendía incorporar lineamientos</w:t>
      </w:r>
      <w:r w:rsidRPr="004D7792">
        <w:rPr>
          <w:rStyle w:val="FootnoteReference"/>
          <w:rFonts w:ascii="Khmer UI" w:hAnsi="Khmer UI" w:cs="Khmer UI"/>
          <w:sz w:val="24"/>
          <w:szCs w:val="24"/>
          <w:lang w:val="es-ES_tradnl"/>
        </w:rPr>
        <w:footnoteReference w:id="31"/>
      </w:r>
      <w:r w:rsidRPr="004D7792">
        <w:rPr>
          <w:rFonts w:ascii="Khmer UI" w:hAnsi="Khmer UI" w:cs="Khmer UI"/>
          <w:sz w:val="24"/>
          <w:szCs w:val="24"/>
          <w:lang w:val="es-ES_tradnl"/>
        </w:rPr>
        <w:t xml:space="preserve">  de la Organización Mundial de la Salud (OMS) pero no había personal dedicado a esta tarea ni presupuesto público para la misma; tampoco existía una estrategia nacional para el control de la enfermedad</w:t>
      </w:r>
      <w:r w:rsidRPr="004D7792">
        <w:rPr>
          <w:rStyle w:val="FootnoteReference"/>
          <w:rFonts w:ascii="Khmer UI" w:hAnsi="Khmer UI" w:cs="Khmer UI"/>
          <w:sz w:val="24"/>
          <w:szCs w:val="24"/>
          <w:lang w:val="es-ES_tradnl"/>
        </w:rPr>
        <w:footnoteReference w:id="32"/>
      </w:r>
      <w:r w:rsidRPr="004D7792">
        <w:rPr>
          <w:rFonts w:ascii="Khmer UI" w:hAnsi="Khmer UI" w:cs="Khmer UI"/>
          <w:sz w:val="24"/>
          <w:szCs w:val="24"/>
          <w:lang w:val="es-ES_tradnl"/>
        </w:rPr>
        <w:t xml:space="preserve">. </w:t>
      </w:r>
    </w:p>
    <w:p w14:paraId="42F455F7" w14:textId="77777777" w:rsidR="00EC65FA" w:rsidRPr="004D7792" w:rsidRDefault="00EC65FA" w:rsidP="00EC65FA">
      <w:pPr>
        <w:pStyle w:val="ListParagraph"/>
        <w:ind w:left="0"/>
        <w:jc w:val="both"/>
        <w:rPr>
          <w:rFonts w:ascii="Khmer UI" w:hAnsi="Khmer UI" w:cs="Khmer UI"/>
          <w:sz w:val="24"/>
          <w:szCs w:val="24"/>
          <w:lang w:val="es-ES_tradnl"/>
        </w:rPr>
      </w:pPr>
    </w:p>
    <w:p w14:paraId="3292CAA2"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Por otra parte, el informe estableció que a nivel de política sanitaria había desconocimiento del tema de cuidados paliativos; no era prioridad para la Salud Pública y tampoco estaban integrados en el Sistema Nacional de Salud</w:t>
      </w:r>
      <w:r w:rsidRPr="004D7792">
        <w:rPr>
          <w:rStyle w:val="FootnoteReference"/>
          <w:rFonts w:ascii="Khmer UI" w:hAnsi="Khmer UI" w:cs="Khmer UI"/>
          <w:sz w:val="24"/>
          <w:szCs w:val="24"/>
          <w:lang w:val="es-ES_tradnl"/>
        </w:rPr>
        <w:footnoteReference w:id="33"/>
      </w:r>
      <w:r w:rsidRPr="004D7792">
        <w:rPr>
          <w:rFonts w:ascii="Khmer UI" w:hAnsi="Khmer UI" w:cs="Khmer UI"/>
          <w:sz w:val="24"/>
          <w:szCs w:val="24"/>
          <w:lang w:val="es-ES_tradnl"/>
        </w:rPr>
        <w:t xml:space="preserve">. </w:t>
      </w:r>
    </w:p>
    <w:p w14:paraId="447483E4" w14:textId="77777777" w:rsidR="00EC65FA" w:rsidRPr="004D7792" w:rsidRDefault="00EC65FA" w:rsidP="00EC65FA">
      <w:pPr>
        <w:pStyle w:val="ListParagraph"/>
        <w:ind w:left="0"/>
        <w:jc w:val="both"/>
        <w:rPr>
          <w:rFonts w:ascii="Khmer UI" w:hAnsi="Khmer UI" w:cs="Khmer UI"/>
          <w:sz w:val="24"/>
          <w:szCs w:val="24"/>
          <w:lang w:val="es-ES_tradnl"/>
        </w:rPr>
      </w:pPr>
    </w:p>
    <w:p w14:paraId="44F48FE7" w14:textId="77777777" w:rsidR="00EC65FA" w:rsidRPr="004D7792" w:rsidRDefault="00EC65FA" w:rsidP="00EC65FA">
      <w:pPr>
        <w:autoSpaceDE w:val="0"/>
        <w:autoSpaceDN w:val="0"/>
        <w:adjustRightInd w:val="0"/>
        <w:ind w:left="0"/>
        <w:jc w:val="both"/>
        <w:rPr>
          <w:rFonts w:ascii="Khmer UI" w:hAnsi="Khmer UI" w:cs="Khmer UI"/>
          <w:sz w:val="24"/>
          <w:szCs w:val="24"/>
          <w:lang w:eastAsia="es-GT"/>
        </w:rPr>
      </w:pPr>
      <w:r w:rsidRPr="004D7792">
        <w:rPr>
          <w:rFonts w:ascii="Khmer UI" w:hAnsi="Khmer UI" w:cs="Khmer UI"/>
          <w:sz w:val="24"/>
          <w:szCs w:val="24"/>
          <w:lang w:val="es-ES_tradnl"/>
        </w:rPr>
        <w:t xml:space="preserve">El informe </w:t>
      </w:r>
      <w:r w:rsidRPr="004D7792">
        <w:rPr>
          <w:rFonts w:ascii="Khmer UI" w:hAnsi="Khmer UI" w:cs="Khmer UI"/>
          <w:sz w:val="24"/>
          <w:szCs w:val="24"/>
          <w:lang w:eastAsia="es-GT"/>
        </w:rPr>
        <w:t xml:space="preserve">“Castigar al paciente” garantizar el acceso al tratamiento del dolor en Guatemala, realizado por la  </w:t>
      </w:r>
      <w:r w:rsidRPr="004D7792">
        <w:rPr>
          <w:rFonts w:ascii="Khmer UI" w:hAnsi="Khmer UI" w:cs="Khmer UI"/>
          <w:sz w:val="24"/>
          <w:szCs w:val="24"/>
          <w:lang w:val="es-ES_tradnl"/>
        </w:rPr>
        <w:t xml:space="preserve">organización </w:t>
      </w:r>
      <w:r w:rsidRPr="004D7792">
        <w:rPr>
          <w:rFonts w:ascii="Khmer UI" w:hAnsi="Khmer UI" w:cs="Khmer UI"/>
          <w:i/>
          <w:sz w:val="24"/>
          <w:szCs w:val="24"/>
          <w:lang w:val="es-ES_tradnl"/>
        </w:rPr>
        <w:t>Human Rigths Watch</w:t>
      </w:r>
      <w:r w:rsidRPr="004D7792">
        <w:rPr>
          <w:rFonts w:ascii="Khmer UI" w:hAnsi="Khmer UI" w:cs="Khmer UI"/>
          <w:sz w:val="24"/>
          <w:szCs w:val="24"/>
          <w:lang w:val="es-ES_tradnl"/>
        </w:rPr>
        <w:t xml:space="preserve"> </w:t>
      </w:r>
      <w:r w:rsidRPr="004D7792">
        <w:rPr>
          <w:rFonts w:ascii="Khmer UI" w:hAnsi="Khmer UI" w:cs="Khmer UI"/>
          <w:sz w:val="24"/>
          <w:szCs w:val="24"/>
          <w:lang w:eastAsia="es-GT"/>
        </w:rPr>
        <w:t>en 2017, resaltó la necesidad de integrar los cuidados paliativos en el sistema de atención de la salud así como en el financiamiento de los mismos en este sector. Desarrollar una política pública</w:t>
      </w:r>
      <w:r w:rsidRPr="004D7792">
        <w:rPr>
          <w:rStyle w:val="FootnoteReference"/>
          <w:rFonts w:ascii="Khmer UI" w:hAnsi="Khmer UI" w:cs="Khmer UI"/>
          <w:sz w:val="24"/>
          <w:szCs w:val="24"/>
          <w:lang w:eastAsia="es-GT"/>
        </w:rPr>
        <w:footnoteReference w:id="34"/>
      </w:r>
      <w:r w:rsidRPr="004D7792">
        <w:rPr>
          <w:rFonts w:ascii="Khmer UI" w:hAnsi="Khmer UI" w:cs="Khmer UI"/>
          <w:sz w:val="24"/>
          <w:szCs w:val="24"/>
          <w:lang w:eastAsia="es-GT"/>
        </w:rPr>
        <w:t>, adoptar una estrategia para el tratamiento del dolor y los cuidados paliativos, trabajar con hospitales clave para brindar tratamiento del dolor y cuidados paliativos, reconocer los cuidados paliativos como una especialización médica fueron parte de las recomendaciones planteadas</w:t>
      </w:r>
      <w:r w:rsidRPr="004D7792">
        <w:rPr>
          <w:rStyle w:val="FootnoteReference"/>
          <w:rFonts w:ascii="Khmer UI" w:hAnsi="Khmer UI" w:cs="Khmer UI"/>
          <w:sz w:val="24"/>
          <w:szCs w:val="24"/>
          <w:lang w:eastAsia="es-GT"/>
        </w:rPr>
        <w:footnoteReference w:id="35"/>
      </w:r>
      <w:r w:rsidRPr="004D7792">
        <w:rPr>
          <w:rFonts w:ascii="Khmer UI" w:hAnsi="Khmer UI" w:cs="Khmer UI"/>
          <w:sz w:val="24"/>
          <w:szCs w:val="24"/>
          <w:lang w:eastAsia="es-GT"/>
        </w:rPr>
        <w:t xml:space="preserve">. </w:t>
      </w:r>
    </w:p>
    <w:p w14:paraId="75417518" w14:textId="77777777" w:rsidR="00EC65FA" w:rsidRPr="004D7792" w:rsidRDefault="00EC65FA" w:rsidP="00EC65FA">
      <w:pPr>
        <w:pStyle w:val="ListParagraph"/>
        <w:ind w:left="0"/>
        <w:jc w:val="both"/>
        <w:rPr>
          <w:rFonts w:ascii="Khmer UI" w:hAnsi="Khmer UI" w:cs="Khmer UI"/>
          <w:sz w:val="24"/>
          <w:szCs w:val="24"/>
          <w:lang w:val="es-ES_tradnl"/>
        </w:rPr>
      </w:pPr>
    </w:p>
    <w:p w14:paraId="6B36144D" w14:textId="77777777" w:rsidR="00EC65FA" w:rsidRPr="004D7792" w:rsidRDefault="00EC65FA" w:rsidP="00EC65FA">
      <w:pPr>
        <w:autoSpaceDE w:val="0"/>
        <w:autoSpaceDN w:val="0"/>
        <w:adjustRightInd w:val="0"/>
        <w:ind w:left="0"/>
        <w:jc w:val="both"/>
        <w:rPr>
          <w:rFonts w:ascii="Khmer UI" w:hAnsi="Khmer UI" w:cs="Khmer UI"/>
          <w:sz w:val="24"/>
          <w:szCs w:val="24"/>
          <w:lang w:eastAsia="es-GT"/>
        </w:rPr>
      </w:pPr>
      <w:r w:rsidRPr="004D7792">
        <w:rPr>
          <w:rFonts w:ascii="Khmer UI" w:hAnsi="Khmer UI" w:cs="Khmer UI"/>
          <w:sz w:val="24"/>
          <w:szCs w:val="24"/>
          <w:lang w:val="es-ES_tradnl"/>
        </w:rPr>
        <w:t xml:space="preserve">En 2018, se desarrolló en Perú </w:t>
      </w:r>
      <w:r w:rsidRPr="004D7792">
        <w:rPr>
          <w:rFonts w:ascii="Khmer UI" w:hAnsi="Khmer UI" w:cs="Khmer UI"/>
          <w:sz w:val="24"/>
          <w:szCs w:val="24"/>
          <w:lang w:eastAsia="es-GT"/>
        </w:rPr>
        <w:t>el Primer Encuentro de Alto Nivel “Cuidados Paliativos: Fortaleciendo el Sistema Sociosanitario” con la participación de expertos de distintas disciplinas y de toda la región. De acuerdo con lo afirmado por la Presidenta de la Asociación Guatemalteca de Dolor y Cuidados Paliativos, la implementación de los cuidados paliativos en el sistema socio sanitario tanto en el país como en Latinoamérica implicaba una cobertura de atención generalizada y fundamentada en mejorar la calidad de vida y muerte de los pacientes con enfermedades progresivas, no transmisibles; asimismo, para mejorarlos se debían crear políticas sanitarias, integrar su educación, asegurar el acceso a opioides y promover la investigación</w:t>
      </w:r>
      <w:r w:rsidRPr="004D7792">
        <w:rPr>
          <w:rStyle w:val="FootnoteReference"/>
          <w:rFonts w:ascii="Khmer UI" w:hAnsi="Khmer UI" w:cs="Khmer UI"/>
          <w:sz w:val="24"/>
          <w:szCs w:val="24"/>
          <w:lang w:eastAsia="es-GT"/>
        </w:rPr>
        <w:footnoteReference w:id="36"/>
      </w:r>
      <w:r w:rsidRPr="004D7792">
        <w:rPr>
          <w:rFonts w:ascii="Khmer UI" w:hAnsi="Khmer UI" w:cs="Khmer UI"/>
          <w:sz w:val="24"/>
          <w:szCs w:val="24"/>
          <w:lang w:eastAsia="es-GT"/>
        </w:rPr>
        <w:t xml:space="preserve">. </w:t>
      </w:r>
    </w:p>
    <w:p w14:paraId="14B5AE1C" w14:textId="77777777" w:rsidR="00EC65FA" w:rsidRPr="004D7792" w:rsidRDefault="00EC65FA" w:rsidP="00EC65FA">
      <w:pPr>
        <w:autoSpaceDE w:val="0"/>
        <w:autoSpaceDN w:val="0"/>
        <w:adjustRightInd w:val="0"/>
        <w:jc w:val="both"/>
        <w:rPr>
          <w:rFonts w:ascii="Khmer UI" w:hAnsi="Khmer UI" w:cs="Khmer UI"/>
          <w:sz w:val="24"/>
          <w:szCs w:val="24"/>
          <w:lang w:eastAsia="es-GT"/>
        </w:rPr>
      </w:pPr>
    </w:p>
    <w:p w14:paraId="18E51D73" w14:textId="77777777" w:rsidR="00EC65FA" w:rsidRPr="004D7792" w:rsidRDefault="00EC65FA" w:rsidP="00EC65FA">
      <w:pPr>
        <w:autoSpaceDE w:val="0"/>
        <w:autoSpaceDN w:val="0"/>
        <w:adjustRightInd w:val="0"/>
        <w:ind w:left="0"/>
        <w:jc w:val="both"/>
        <w:rPr>
          <w:rFonts w:ascii="Khmer UI" w:hAnsi="Khmer UI" w:cs="Khmer UI"/>
          <w:sz w:val="24"/>
          <w:szCs w:val="24"/>
          <w:lang w:eastAsia="es-GT"/>
        </w:rPr>
      </w:pPr>
      <w:r w:rsidRPr="004D7792">
        <w:rPr>
          <w:rFonts w:ascii="Khmer UI" w:hAnsi="Khmer UI" w:cs="Khmer UI"/>
          <w:sz w:val="24"/>
          <w:szCs w:val="24"/>
          <w:lang w:eastAsia="es-GT"/>
        </w:rPr>
        <w:t>Asimismo, el Gobierno debía garantizar que estas personas recibieran la atención necesaria y aliviar el dolor físico y emocional; también debían vencerse las barreras que imposibilitaban a los pacientes recibir cuidados paliativos tales como la ausencia de la atención interdisciplinaria de los pacientes en medicina paliativa a nivel primario y hospitalario, la nula capacitación del personal de salud, la falta de legislación sobre el tema y la ausencia de programas en las escuelas de medicina, entre otros</w:t>
      </w:r>
      <w:r w:rsidRPr="004D7792">
        <w:rPr>
          <w:rStyle w:val="FootnoteReference"/>
          <w:rFonts w:ascii="Khmer UI" w:hAnsi="Khmer UI" w:cs="Khmer UI"/>
          <w:sz w:val="24"/>
          <w:szCs w:val="24"/>
          <w:lang w:eastAsia="es-GT"/>
        </w:rPr>
        <w:footnoteReference w:id="37"/>
      </w:r>
      <w:r w:rsidRPr="004D7792">
        <w:rPr>
          <w:rFonts w:ascii="Khmer UI" w:hAnsi="Khmer UI" w:cs="Khmer UI"/>
          <w:sz w:val="24"/>
          <w:szCs w:val="24"/>
          <w:lang w:eastAsia="es-GT"/>
        </w:rPr>
        <w:t>.</w:t>
      </w:r>
    </w:p>
    <w:p w14:paraId="28A77DE0" w14:textId="77777777" w:rsidR="00EC65FA" w:rsidRPr="004D7792" w:rsidRDefault="00EC65FA" w:rsidP="00EC65FA">
      <w:pPr>
        <w:autoSpaceDE w:val="0"/>
        <w:autoSpaceDN w:val="0"/>
        <w:adjustRightInd w:val="0"/>
        <w:rPr>
          <w:rFonts w:ascii="Khmer UI" w:hAnsi="Khmer UI" w:cs="Khmer UI"/>
          <w:sz w:val="24"/>
          <w:szCs w:val="24"/>
          <w:lang w:eastAsia="es-GT"/>
        </w:rPr>
      </w:pPr>
    </w:p>
    <w:p w14:paraId="3C94BD96" w14:textId="77777777" w:rsidR="00EC65FA" w:rsidRPr="004D7792" w:rsidRDefault="00EC65FA" w:rsidP="00EC65FA">
      <w:pPr>
        <w:pStyle w:val="ListParagraph"/>
        <w:numPr>
          <w:ilvl w:val="0"/>
          <w:numId w:val="9"/>
        </w:numPr>
        <w:ind w:left="567" w:hanging="567"/>
        <w:jc w:val="both"/>
        <w:rPr>
          <w:rFonts w:ascii="Khmer UI" w:hAnsi="Khmer UI" w:cs="Khmer UI"/>
          <w:b/>
          <w:sz w:val="24"/>
          <w:szCs w:val="24"/>
          <w:lang w:val="es-ES_tradnl"/>
        </w:rPr>
      </w:pPr>
      <w:r w:rsidRPr="004D7792">
        <w:rPr>
          <w:rFonts w:ascii="Khmer UI" w:hAnsi="Khmer UI" w:cs="Khmer UI"/>
          <w:b/>
          <w:sz w:val="24"/>
          <w:szCs w:val="24"/>
          <w:lang w:val="es-ES_tradnl"/>
        </w:rPr>
        <w:t xml:space="preserve">Sírvanse proporcionar información sobre la existencia de servicios de cuidado a largo plazo y describir en qué medida promueven la autonomía y la independencia de las personas mayores con discapacidad. </w:t>
      </w:r>
    </w:p>
    <w:p w14:paraId="3139FAB6" w14:textId="77777777" w:rsidR="00EC65FA" w:rsidRPr="004D7792" w:rsidRDefault="00EC65FA" w:rsidP="00EC65FA">
      <w:pPr>
        <w:pStyle w:val="ListParagraph"/>
        <w:ind w:left="0"/>
        <w:jc w:val="both"/>
        <w:rPr>
          <w:rFonts w:ascii="Khmer UI" w:hAnsi="Khmer UI" w:cs="Khmer UI"/>
          <w:sz w:val="24"/>
          <w:szCs w:val="24"/>
          <w:lang w:val="es-ES_tradnl"/>
        </w:rPr>
      </w:pPr>
    </w:p>
    <w:p w14:paraId="1853DC14"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El Ministerio de Salud Pública y Asistencia Social a través del Departamento de Regulación, Acreditación y Control de Establecimientos de Salud –DRACES- otorga autorización y supervisa establecimientos públicos y privados para el cuidado de personas mayores en general. Asimismo los pensionados por vejez del Instituto Guatemalteco de Seguridad Social tienen derecho a acceder a la atención respectiva en los diferentes servicios</w:t>
      </w:r>
      <w:r w:rsidRPr="004D7792">
        <w:rPr>
          <w:rStyle w:val="FootnoteReference"/>
          <w:rFonts w:ascii="Khmer UI" w:hAnsi="Khmer UI" w:cs="Khmer UI"/>
          <w:sz w:val="24"/>
          <w:szCs w:val="24"/>
          <w:lang w:val="es-ES_tradnl"/>
        </w:rPr>
        <w:footnoteReference w:id="38"/>
      </w:r>
      <w:r w:rsidRPr="004D7792">
        <w:rPr>
          <w:rFonts w:ascii="Khmer UI" w:hAnsi="Khmer UI" w:cs="Khmer UI"/>
          <w:sz w:val="24"/>
          <w:szCs w:val="24"/>
          <w:lang w:val="es-ES_tradnl"/>
        </w:rPr>
        <w:t xml:space="preserve">. </w:t>
      </w:r>
    </w:p>
    <w:p w14:paraId="642EBB70" w14:textId="77777777" w:rsidR="00EC65FA" w:rsidRPr="004D7792" w:rsidRDefault="00EC65FA" w:rsidP="00EC65FA">
      <w:pPr>
        <w:pStyle w:val="ListParagraph"/>
        <w:ind w:left="0"/>
        <w:jc w:val="both"/>
        <w:rPr>
          <w:rFonts w:ascii="Khmer UI" w:hAnsi="Khmer UI" w:cs="Khmer UI"/>
          <w:sz w:val="24"/>
          <w:szCs w:val="24"/>
          <w:lang w:val="es-ES_tradnl"/>
        </w:rPr>
      </w:pPr>
    </w:p>
    <w:p w14:paraId="6FD99F29"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De acuerdo con la Ley de Atención a la Personas con Discapacidad, corresponde al Consejo de Atención a la Personas con Discapacidad impulsar políticas en materia de discapacidad; la Procuraduría General de la Nación, al no formar parte de este Consejo, carece de competencia legal para implementar políticas, estrategias o acciones dirigidas a la atención y protección de personas con discapacidad</w:t>
      </w:r>
      <w:r w:rsidRPr="004D7792">
        <w:rPr>
          <w:rStyle w:val="FootnoteReference"/>
          <w:rFonts w:ascii="Khmer UI" w:hAnsi="Khmer UI" w:cs="Khmer UI"/>
          <w:sz w:val="24"/>
          <w:szCs w:val="24"/>
          <w:lang w:val="es-ES_tradnl"/>
        </w:rPr>
        <w:footnoteReference w:id="39"/>
      </w:r>
      <w:r w:rsidRPr="004D7792">
        <w:rPr>
          <w:rFonts w:ascii="Khmer UI" w:hAnsi="Khmer UI" w:cs="Khmer UI"/>
          <w:sz w:val="24"/>
          <w:szCs w:val="24"/>
          <w:lang w:val="es-ES_tradnl"/>
        </w:rPr>
        <w:t xml:space="preserve">.  </w:t>
      </w:r>
    </w:p>
    <w:p w14:paraId="0ABBE22E" w14:textId="77777777" w:rsidR="00EC65FA" w:rsidRPr="004D7792" w:rsidRDefault="00EC65FA" w:rsidP="00EC65FA">
      <w:pPr>
        <w:pStyle w:val="ListParagraph"/>
        <w:ind w:left="0"/>
        <w:jc w:val="both"/>
        <w:rPr>
          <w:rFonts w:ascii="Khmer UI" w:hAnsi="Khmer UI" w:cs="Khmer UI"/>
          <w:sz w:val="24"/>
          <w:szCs w:val="24"/>
          <w:lang w:val="es-ES_tradnl"/>
        </w:rPr>
      </w:pPr>
    </w:p>
    <w:p w14:paraId="64E0C2F8"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Para el funcionamiento de los servicios de cuidado a largo plazo es obligatorio que realicen los trámites de licencia para su habilitación, registro y autorización, de conformidad con la normativa emitida por el Ministerio de Salud Pública y Asistencia Social</w:t>
      </w:r>
      <w:r w:rsidRPr="004D7792">
        <w:rPr>
          <w:rStyle w:val="FootnoteReference"/>
          <w:rFonts w:ascii="Khmer UI" w:hAnsi="Khmer UI" w:cs="Khmer UI"/>
          <w:sz w:val="24"/>
          <w:szCs w:val="24"/>
          <w:lang w:val="es-ES_tradnl"/>
        </w:rPr>
        <w:footnoteReference w:id="40"/>
      </w:r>
      <w:r w:rsidRPr="004D7792">
        <w:rPr>
          <w:rFonts w:ascii="Khmer UI" w:hAnsi="Khmer UI" w:cs="Khmer UI"/>
          <w:sz w:val="24"/>
          <w:szCs w:val="24"/>
          <w:lang w:val="es-ES_tradnl"/>
        </w:rPr>
        <w:t>; en el apartado de requisitos de la infraestructura establece que toda puerta deberá ser de un ancho mínimo de 1.00 metro libre para el paso de un residente con sillas de ruedas, mismo espacio es solicitado entre cama y cama, norma también que los servicios de cuidado a largo plazo debe contar con un cuidador por cada tres residentes dependientes.</w:t>
      </w:r>
    </w:p>
    <w:p w14:paraId="1DA49025" w14:textId="77777777" w:rsidR="00EC65FA" w:rsidRPr="004D7792" w:rsidRDefault="00EC65FA" w:rsidP="00EC65FA">
      <w:pPr>
        <w:pStyle w:val="ListParagraph"/>
        <w:ind w:left="0"/>
        <w:jc w:val="both"/>
        <w:rPr>
          <w:rFonts w:ascii="Khmer UI" w:hAnsi="Khmer UI" w:cs="Khmer UI"/>
          <w:sz w:val="24"/>
          <w:szCs w:val="24"/>
          <w:lang w:val="es-ES_tradnl"/>
        </w:rPr>
      </w:pPr>
    </w:p>
    <w:p w14:paraId="4D3A8C12"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Con relación al ingreso a un servicio de cuidado a largo plazo, refiere que previo a su ingreso, toda persona mayor  debe expresar por escrito que es su voluntad hacerlo y si tiene discapacidad refiere que será su responsable legal</w:t>
      </w:r>
      <w:r w:rsidRPr="004D7792">
        <w:rPr>
          <w:rStyle w:val="FootnoteReference"/>
          <w:rFonts w:ascii="Khmer UI" w:hAnsi="Khmer UI" w:cs="Khmer UI"/>
          <w:sz w:val="24"/>
          <w:szCs w:val="24"/>
          <w:lang w:val="es-ES_tradnl"/>
        </w:rPr>
        <w:footnoteReference w:id="41"/>
      </w:r>
      <w:r w:rsidRPr="004D7792">
        <w:rPr>
          <w:rFonts w:ascii="Khmer UI" w:hAnsi="Khmer UI" w:cs="Khmer UI"/>
          <w:sz w:val="24"/>
          <w:szCs w:val="24"/>
          <w:lang w:val="es-ES_tradnl"/>
        </w:rPr>
        <w:t>.</w:t>
      </w:r>
    </w:p>
    <w:p w14:paraId="5A1C63F5" w14:textId="77777777" w:rsidR="00EC65FA" w:rsidRPr="004D7792" w:rsidRDefault="00EC65FA" w:rsidP="00EC65FA">
      <w:pPr>
        <w:pStyle w:val="ListParagraph"/>
        <w:ind w:left="0"/>
        <w:jc w:val="both"/>
        <w:rPr>
          <w:rFonts w:ascii="Khmer UI" w:hAnsi="Khmer UI" w:cs="Khmer UI"/>
          <w:sz w:val="24"/>
          <w:szCs w:val="24"/>
          <w:lang w:val="es-ES_tradnl"/>
        </w:rPr>
      </w:pPr>
    </w:p>
    <w:p w14:paraId="0E338A8B" w14:textId="2A76E5F1"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 xml:space="preserve">En la práctica, no se promueven la autonomía y la independencia, derivado </w:t>
      </w:r>
      <w:r w:rsidR="001F3ED9">
        <w:rPr>
          <w:rFonts w:ascii="Khmer UI" w:hAnsi="Khmer UI" w:cs="Khmer UI"/>
          <w:sz w:val="24"/>
          <w:szCs w:val="24"/>
          <w:lang w:val="es-ES_tradnl"/>
        </w:rPr>
        <w:t>de</w:t>
      </w:r>
      <w:r w:rsidRPr="004D7792">
        <w:rPr>
          <w:rFonts w:ascii="Khmer UI" w:hAnsi="Khmer UI" w:cs="Khmer UI"/>
          <w:sz w:val="24"/>
          <w:szCs w:val="24"/>
          <w:lang w:val="es-ES_tradnl"/>
        </w:rPr>
        <w:t xml:space="preserve"> que la mayoría de los establecimientos de larga estadía no cumplen con los requisitos mínimos para su funcionamiento (la mayoría funciona de manera ilegal porque no han tramitado la licencia correspondiente para su funcionamiento), no cuentan con personal capacitado sobre derechos humanos de las personas mayores y tienen un </w:t>
      </w:r>
      <w:r w:rsidRPr="004D7792">
        <w:rPr>
          <w:rFonts w:ascii="Khmer UI" w:hAnsi="Khmer UI" w:cs="Khmer UI"/>
          <w:sz w:val="24"/>
          <w:szCs w:val="24"/>
          <w:lang w:val="es-ES_tradnl"/>
        </w:rPr>
        <w:lastRenderedPageBreak/>
        <w:t>total desconocimiento de la referida normativa, situación que se ha comprobado a través de supervisiones y monitoreos que la Defensoría de Personas Mayores ha realizado.</w:t>
      </w:r>
    </w:p>
    <w:p w14:paraId="6A56B67C" w14:textId="77777777" w:rsidR="00EC65FA" w:rsidRPr="004D7792" w:rsidRDefault="00EC65FA" w:rsidP="00EC65FA">
      <w:pPr>
        <w:pStyle w:val="ListParagraph"/>
        <w:ind w:left="0"/>
        <w:jc w:val="both"/>
        <w:rPr>
          <w:rFonts w:ascii="Khmer UI" w:hAnsi="Khmer UI" w:cs="Khmer UI"/>
          <w:sz w:val="24"/>
          <w:szCs w:val="24"/>
          <w:lang w:val="es-ES_tradnl"/>
        </w:rPr>
      </w:pPr>
    </w:p>
    <w:p w14:paraId="1BA39189" w14:textId="77777777" w:rsidR="00EC65FA" w:rsidRPr="004D7792" w:rsidRDefault="00EC65FA" w:rsidP="00EC65FA">
      <w:pPr>
        <w:pStyle w:val="ListParagraph"/>
        <w:numPr>
          <w:ilvl w:val="0"/>
          <w:numId w:val="9"/>
        </w:numPr>
        <w:ind w:left="567" w:hanging="567"/>
        <w:jc w:val="both"/>
        <w:rPr>
          <w:rFonts w:ascii="Khmer UI" w:hAnsi="Khmer UI" w:cs="Khmer UI"/>
          <w:b/>
          <w:sz w:val="24"/>
          <w:szCs w:val="24"/>
          <w:lang w:val="es-ES_tradnl"/>
        </w:rPr>
      </w:pPr>
      <w:r w:rsidRPr="004D7792">
        <w:rPr>
          <w:rFonts w:ascii="Khmer UI" w:hAnsi="Khmer UI" w:cs="Khmer UI"/>
          <w:b/>
          <w:sz w:val="24"/>
          <w:szCs w:val="24"/>
          <w:lang w:val="es-ES_tradnl"/>
        </w:rPr>
        <w:t>Sírvanse describir cómo se garantiza el acceso a la justicia a las personas mayores con discapacidad. Sírvase proporcionar información sobre jurisprudencia, quejas o investigaciones en relación con la violencia, el abuso y la negligencia contra las personas mayores con discapacidad.</w:t>
      </w:r>
    </w:p>
    <w:p w14:paraId="6D12EA1E" w14:textId="77777777" w:rsidR="00214531" w:rsidRPr="004D7792" w:rsidRDefault="00214531" w:rsidP="00214531">
      <w:pPr>
        <w:ind w:left="0"/>
        <w:jc w:val="both"/>
        <w:rPr>
          <w:rFonts w:ascii="Khmer UI" w:hAnsi="Khmer UI" w:cs="Khmer UI"/>
          <w:sz w:val="24"/>
          <w:szCs w:val="24"/>
          <w:lang w:val="es-ES_tradnl"/>
        </w:rPr>
      </w:pPr>
    </w:p>
    <w:p w14:paraId="09AC6754" w14:textId="77777777" w:rsidR="00214531" w:rsidRPr="004D7792" w:rsidRDefault="00214531" w:rsidP="00214531">
      <w:pPr>
        <w:ind w:left="0"/>
        <w:jc w:val="both"/>
        <w:rPr>
          <w:rFonts w:ascii="Khmer UI" w:hAnsi="Khmer UI" w:cs="Khmer UI"/>
          <w:sz w:val="24"/>
          <w:szCs w:val="24"/>
          <w:lang w:val="es-ES_tradnl"/>
        </w:rPr>
      </w:pPr>
      <w:r w:rsidRPr="004D7792">
        <w:rPr>
          <w:rFonts w:ascii="Khmer UI" w:hAnsi="Khmer UI" w:cs="Khmer UI"/>
          <w:sz w:val="24"/>
          <w:szCs w:val="24"/>
          <w:lang w:val="es-ES_tradnl"/>
        </w:rPr>
        <w:t>La Ley de Protección para la Personas de la Tercera Edad, establece que toda persona mayor tiene derecho a solicitar protección ante juez competente, cuando sea objeto de malos tratos, ofensas, humillaciones o lesiones, teniendo la autoridad la obligación de dar prioridad</w:t>
      </w:r>
      <w:r w:rsidRPr="004D7792">
        <w:rPr>
          <w:rStyle w:val="FootnoteReference"/>
          <w:rFonts w:ascii="Khmer UI" w:hAnsi="Khmer UI" w:cs="Khmer UI"/>
          <w:sz w:val="24"/>
          <w:szCs w:val="24"/>
          <w:lang w:val="es-ES_tradnl"/>
        </w:rPr>
        <w:footnoteReference w:id="42"/>
      </w:r>
      <w:r w:rsidRPr="004D7792">
        <w:rPr>
          <w:rFonts w:ascii="Khmer UI" w:hAnsi="Khmer UI" w:cs="Khmer UI"/>
          <w:sz w:val="24"/>
          <w:szCs w:val="24"/>
          <w:lang w:val="es-ES_tradnl"/>
        </w:rPr>
        <w:t>.</w:t>
      </w:r>
    </w:p>
    <w:p w14:paraId="3604C0AE" w14:textId="77777777" w:rsidR="00214531" w:rsidRPr="004D7792" w:rsidRDefault="00214531" w:rsidP="00EC65FA">
      <w:pPr>
        <w:pStyle w:val="ListParagraph"/>
        <w:ind w:left="0"/>
        <w:jc w:val="both"/>
        <w:rPr>
          <w:rFonts w:ascii="Khmer UI" w:hAnsi="Khmer UI" w:cs="Khmer UI"/>
          <w:sz w:val="24"/>
          <w:szCs w:val="24"/>
          <w:lang w:val="es-ES_tradnl"/>
        </w:rPr>
      </w:pPr>
    </w:p>
    <w:p w14:paraId="6F60B1C5"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La Corte Suprema de Justicia de Guatemala, como integrante de la Cumbre Judicial Iberoamericana en el 2015, ratificó las “Cien Reglas de Brasilia sobre Acceso a la Justicia de las Personas en Condición de Vulnerabilidad”, encontrándose entre otros grupos, las personas con discapacidad y las personas mayores. Dichas reglas se habrían incorporado  al Plan Quinquenal 2016-2020 del Organismo Judicial, denominado: “Acceso a la justicia con énfasis en las condiciones de vulnerabilidad”</w:t>
      </w:r>
      <w:r w:rsidRPr="004D7792">
        <w:rPr>
          <w:rStyle w:val="FootnoteReference"/>
          <w:rFonts w:ascii="Khmer UI" w:hAnsi="Khmer UI" w:cs="Khmer UI"/>
          <w:sz w:val="24"/>
          <w:szCs w:val="24"/>
          <w:lang w:val="es-ES_tradnl"/>
        </w:rPr>
        <w:footnoteReference w:id="43"/>
      </w:r>
      <w:r w:rsidRPr="004D7792">
        <w:rPr>
          <w:rFonts w:ascii="Khmer UI" w:hAnsi="Khmer UI" w:cs="Khmer UI"/>
          <w:sz w:val="24"/>
          <w:szCs w:val="24"/>
          <w:lang w:val="es-ES_tradnl"/>
        </w:rPr>
        <w:t>.</w:t>
      </w:r>
    </w:p>
    <w:p w14:paraId="6B90B53F" w14:textId="77777777" w:rsidR="00EC65FA" w:rsidRPr="004D7792" w:rsidRDefault="00EC65FA" w:rsidP="00EC65FA">
      <w:pPr>
        <w:pStyle w:val="ListParagraph"/>
        <w:ind w:left="0"/>
        <w:jc w:val="both"/>
        <w:rPr>
          <w:rFonts w:ascii="Khmer UI" w:hAnsi="Khmer UI" w:cs="Khmer UI"/>
          <w:sz w:val="24"/>
          <w:szCs w:val="24"/>
          <w:lang w:val="es-ES_tradnl"/>
        </w:rPr>
      </w:pPr>
    </w:p>
    <w:p w14:paraId="29861445"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 xml:space="preserve">Dicha Corte también aprobó en septiembre 2018 su “Política de Acceso a la Justicia para Personas en Situación de Discapacidad y el Plan de Implementación”. Dicha política plantea que todas las dependencias administrativas del Organismo Judicial deberán cumplir con el Plan de Implementación, y tomar todas las medidas para facilitar el acceso a la justicia de las personas con discapacidad, incluyendo a las personas mayores. </w:t>
      </w:r>
    </w:p>
    <w:p w14:paraId="17C46194" w14:textId="77777777" w:rsidR="00EC65FA" w:rsidRPr="004D7792" w:rsidRDefault="00EC65FA" w:rsidP="00EC65FA">
      <w:pPr>
        <w:pStyle w:val="ListParagraph"/>
        <w:ind w:left="0"/>
        <w:jc w:val="both"/>
        <w:rPr>
          <w:rFonts w:ascii="Khmer UI" w:hAnsi="Khmer UI" w:cs="Khmer UI"/>
          <w:sz w:val="24"/>
          <w:szCs w:val="24"/>
          <w:lang w:val="es-ES_tradnl"/>
        </w:rPr>
      </w:pPr>
    </w:p>
    <w:p w14:paraId="63E01B51"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En ese marco, a la fecha el Organismo Judicial ha realizado las siguientes acciones:</w:t>
      </w:r>
    </w:p>
    <w:p w14:paraId="2784E73E" w14:textId="77777777" w:rsidR="00EC65FA" w:rsidRPr="004D7792" w:rsidRDefault="00EC65FA" w:rsidP="00EC65FA">
      <w:pPr>
        <w:pStyle w:val="ListParagraph"/>
        <w:ind w:left="0"/>
        <w:jc w:val="both"/>
        <w:rPr>
          <w:rFonts w:ascii="Khmer UI" w:hAnsi="Khmer UI" w:cs="Khmer UI"/>
          <w:sz w:val="24"/>
          <w:szCs w:val="24"/>
          <w:lang w:val="es-ES_tradnl"/>
        </w:rPr>
      </w:pPr>
    </w:p>
    <w:p w14:paraId="30A7EFD2" w14:textId="77777777" w:rsidR="00EC65FA" w:rsidRPr="004D7792" w:rsidRDefault="00EC65FA" w:rsidP="00EC65FA">
      <w:pPr>
        <w:pStyle w:val="ListParagraph"/>
        <w:numPr>
          <w:ilvl w:val="0"/>
          <w:numId w:val="11"/>
        </w:numPr>
        <w:jc w:val="both"/>
        <w:rPr>
          <w:rFonts w:ascii="Khmer UI" w:hAnsi="Khmer UI" w:cs="Khmer UI"/>
          <w:sz w:val="24"/>
          <w:szCs w:val="24"/>
          <w:lang w:val="es-ES_tradnl"/>
        </w:rPr>
      </w:pPr>
      <w:r w:rsidRPr="004D7792">
        <w:rPr>
          <w:rFonts w:ascii="Khmer UI" w:hAnsi="Khmer UI" w:cs="Khmer UI"/>
          <w:sz w:val="24"/>
          <w:szCs w:val="24"/>
          <w:lang w:val="es-ES_tradnl"/>
        </w:rPr>
        <w:t>Instalación de rampas en seis edificios del Organismo Judicial, en su mayoría ubicados en la ciudad capital.</w:t>
      </w:r>
    </w:p>
    <w:p w14:paraId="35A80AE7" w14:textId="77777777" w:rsidR="00EC65FA" w:rsidRPr="004D7792" w:rsidRDefault="00EC65FA" w:rsidP="00EC65FA">
      <w:pPr>
        <w:pStyle w:val="ListParagraph"/>
        <w:numPr>
          <w:ilvl w:val="0"/>
          <w:numId w:val="11"/>
        </w:numPr>
        <w:jc w:val="both"/>
        <w:rPr>
          <w:rFonts w:ascii="Khmer UI" w:hAnsi="Khmer UI" w:cs="Khmer UI"/>
          <w:sz w:val="24"/>
          <w:szCs w:val="24"/>
          <w:lang w:val="es-ES_tradnl"/>
        </w:rPr>
      </w:pPr>
      <w:r w:rsidRPr="004D7792">
        <w:rPr>
          <w:rFonts w:ascii="Khmer UI" w:hAnsi="Khmer UI" w:cs="Khmer UI"/>
          <w:sz w:val="24"/>
          <w:szCs w:val="24"/>
          <w:lang w:val="es-ES_tradnl"/>
        </w:rPr>
        <w:t>Adecuación de dos salas de audiencias, ubicadas en la ciudad capital.</w:t>
      </w:r>
    </w:p>
    <w:p w14:paraId="0AB721EE" w14:textId="2E601476" w:rsidR="00EC65FA" w:rsidRPr="004D7792" w:rsidRDefault="00EC65FA" w:rsidP="00EC65FA">
      <w:pPr>
        <w:pStyle w:val="ListParagraph"/>
        <w:numPr>
          <w:ilvl w:val="0"/>
          <w:numId w:val="11"/>
        </w:numPr>
        <w:jc w:val="both"/>
        <w:rPr>
          <w:rFonts w:ascii="Khmer UI" w:hAnsi="Khmer UI" w:cs="Khmer UI"/>
          <w:sz w:val="24"/>
          <w:szCs w:val="24"/>
          <w:lang w:val="es-ES_tradnl"/>
        </w:rPr>
      </w:pPr>
      <w:r w:rsidRPr="004D7792">
        <w:rPr>
          <w:rFonts w:ascii="Khmer UI" w:hAnsi="Khmer UI" w:cs="Khmer UI"/>
          <w:sz w:val="24"/>
          <w:szCs w:val="24"/>
          <w:lang w:val="es-ES_tradnl"/>
        </w:rPr>
        <w:t>Señalización con el sistema Braille (podotáctil) en pasamanos y banquetas a los accesos de tribunales y juzgados.</w:t>
      </w:r>
    </w:p>
    <w:p w14:paraId="2E9D4B0E" w14:textId="77777777" w:rsidR="00EC65FA" w:rsidRPr="004D7792" w:rsidRDefault="00EC65FA" w:rsidP="00EC65FA">
      <w:pPr>
        <w:pStyle w:val="ListParagraph"/>
        <w:numPr>
          <w:ilvl w:val="0"/>
          <w:numId w:val="11"/>
        </w:numPr>
        <w:jc w:val="both"/>
        <w:rPr>
          <w:rFonts w:ascii="Khmer UI" w:hAnsi="Khmer UI" w:cs="Khmer UI"/>
          <w:sz w:val="24"/>
          <w:szCs w:val="24"/>
          <w:lang w:val="es-ES_tradnl"/>
        </w:rPr>
      </w:pPr>
      <w:r w:rsidRPr="004D7792">
        <w:rPr>
          <w:rFonts w:ascii="Khmer UI" w:hAnsi="Khmer UI" w:cs="Khmer UI"/>
          <w:sz w:val="24"/>
          <w:szCs w:val="24"/>
          <w:lang w:val="es-ES_tradnl"/>
        </w:rPr>
        <w:t>Implementación del programa “Jaws” en el Centro de Informática y Telecomunicaciones del Organismo Judicial.</w:t>
      </w:r>
    </w:p>
    <w:p w14:paraId="63551646" w14:textId="77777777" w:rsidR="00EC65FA" w:rsidRPr="004D7792" w:rsidRDefault="00EC65FA" w:rsidP="00EC65FA">
      <w:pPr>
        <w:pStyle w:val="ListParagraph"/>
        <w:numPr>
          <w:ilvl w:val="0"/>
          <w:numId w:val="11"/>
        </w:numPr>
        <w:jc w:val="both"/>
        <w:rPr>
          <w:rFonts w:ascii="Khmer UI" w:hAnsi="Khmer UI" w:cs="Khmer UI"/>
          <w:sz w:val="24"/>
          <w:szCs w:val="24"/>
          <w:lang w:val="es-ES_tradnl"/>
        </w:rPr>
      </w:pPr>
      <w:r w:rsidRPr="004D7792">
        <w:rPr>
          <w:rFonts w:ascii="Khmer UI" w:hAnsi="Khmer UI" w:cs="Khmer UI"/>
          <w:sz w:val="24"/>
          <w:szCs w:val="24"/>
          <w:lang w:val="es-ES_tradnl"/>
        </w:rPr>
        <w:t xml:space="preserve">Una serie de capacitaciones impartidos en la Escuela de Estudios Judiciales dirigido a personal judicial y administrativo. </w:t>
      </w:r>
    </w:p>
    <w:p w14:paraId="5244727D" w14:textId="77777777" w:rsidR="00EC65FA" w:rsidRPr="004D7792" w:rsidRDefault="00EC65FA" w:rsidP="00EC65FA">
      <w:pPr>
        <w:pStyle w:val="Default"/>
        <w:rPr>
          <w:rFonts w:ascii="Khmer UI" w:hAnsi="Khmer UI" w:cs="Khmer UI"/>
          <w:color w:val="auto"/>
        </w:rPr>
      </w:pPr>
    </w:p>
    <w:p w14:paraId="26E9174E" w14:textId="36FDB867" w:rsidR="00EC65FA" w:rsidRPr="004D7792" w:rsidRDefault="00EC65FA" w:rsidP="005F0366">
      <w:pPr>
        <w:pStyle w:val="Default"/>
        <w:jc w:val="both"/>
        <w:rPr>
          <w:rFonts w:ascii="Khmer UI" w:hAnsi="Khmer UI" w:cs="Khmer UI"/>
          <w:bCs/>
          <w:color w:val="auto"/>
        </w:rPr>
      </w:pPr>
      <w:r w:rsidRPr="004D7792">
        <w:rPr>
          <w:rFonts w:ascii="Khmer UI" w:hAnsi="Khmer UI" w:cs="Khmer UI"/>
          <w:color w:val="auto"/>
        </w:rPr>
        <w:t xml:space="preserve">Por su parte, el Ministerio Público ha informado que </w:t>
      </w:r>
      <w:r w:rsidRPr="004D7792">
        <w:rPr>
          <w:rFonts w:ascii="Khmer UI" w:hAnsi="Khmer UI" w:cs="Khmer UI"/>
          <w:bCs/>
          <w:color w:val="auto"/>
        </w:rPr>
        <w:t xml:space="preserve">el once de diciembre de dos mil dieciocho se inauguró la Oficina de Acceso a la Justicia, la cual funciona en el primer </w:t>
      </w:r>
      <w:r w:rsidRPr="004D7792">
        <w:rPr>
          <w:rFonts w:ascii="Khmer UI" w:hAnsi="Khmer UI" w:cs="Khmer UI"/>
          <w:bCs/>
          <w:color w:val="auto"/>
        </w:rPr>
        <w:lastRenderedPageBreak/>
        <w:t xml:space="preserve">nivel de la sede central de la Institución y permite brindar atención especializada a personas con discapacidad, mujeres embarazadas, adultos mayores y personas que hablen idiomas indígenas. La Oficina cuenta con mobiliario adaptado a las necesidades de personas de talla pequeña, en sillas de ruedas, ciegas y sordas: así como personas adultas mayores, mujeres embarazadas y personas que hablen </w:t>
      </w:r>
      <w:r w:rsidR="005B17F7">
        <w:rPr>
          <w:rFonts w:ascii="Khmer UI" w:hAnsi="Khmer UI" w:cs="Khmer UI"/>
          <w:bCs/>
          <w:color w:val="auto"/>
        </w:rPr>
        <w:t>i</w:t>
      </w:r>
      <w:r w:rsidRPr="004D7792">
        <w:rPr>
          <w:rFonts w:ascii="Khmer UI" w:hAnsi="Khmer UI" w:cs="Khmer UI"/>
          <w:bCs/>
          <w:color w:val="auto"/>
        </w:rPr>
        <w:t>diomas indígenas</w:t>
      </w:r>
      <w:r w:rsidRPr="004D7792">
        <w:rPr>
          <w:rStyle w:val="FootnoteReference"/>
          <w:rFonts w:ascii="Khmer UI" w:hAnsi="Khmer UI" w:cs="Khmer UI"/>
          <w:bCs/>
          <w:color w:val="auto"/>
        </w:rPr>
        <w:footnoteReference w:id="44"/>
      </w:r>
      <w:r w:rsidRPr="004D7792">
        <w:rPr>
          <w:rFonts w:ascii="Khmer UI" w:hAnsi="Khmer UI" w:cs="Khmer UI"/>
          <w:bCs/>
          <w:color w:val="auto"/>
        </w:rPr>
        <w:t>.</w:t>
      </w:r>
    </w:p>
    <w:p w14:paraId="572FC268" w14:textId="77777777" w:rsidR="00EC65FA" w:rsidRPr="004D7792" w:rsidRDefault="00EC65FA" w:rsidP="00EC65FA">
      <w:pPr>
        <w:pStyle w:val="Default"/>
        <w:rPr>
          <w:rFonts w:ascii="Khmer UI" w:hAnsi="Khmer UI" w:cs="Khmer UI"/>
          <w:bCs/>
          <w:color w:val="auto"/>
        </w:rPr>
      </w:pPr>
    </w:p>
    <w:p w14:paraId="5E41FD06" w14:textId="77777777" w:rsidR="00EC65FA" w:rsidRPr="004D7792" w:rsidRDefault="00EC65FA" w:rsidP="005F0366">
      <w:pPr>
        <w:pStyle w:val="Default"/>
        <w:jc w:val="both"/>
        <w:rPr>
          <w:rFonts w:ascii="Khmer UI" w:hAnsi="Khmer UI" w:cs="Khmer UI"/>
          <w:color w:val="auto"/>
        </w:rPr>
      </w:pPr>
      <w:r w:rsidRPr="004D7792">
        <w:rPr>
          <w:rFonts w:ascii="Khmer UI" w:hAnsi="Khmer UI" w:cs="Khmer UI"/>
          <w:color w:val="auto"/>
        </w:rPr>
        <w:t>El Sistema Penitenciario informó que a la fecha existen 39 personas mayores privadas de libertad que tienen alguna discapacidad</w:t>
      </w:r>
      <w:r w:rsidR="005F0366" w:rsidRPr="004D7792">
        <w:rPr>
          <w:rStyle w:val="FootnoteReference"/>
          <w:rFonts w:ascii="Khmer UI" w:hAnsi="Khmer UI" w:cs="Khmer UI"/>
          <w:color w:val="auto"/>
        </w:rPr>
        <w:footnoteReference w:id="45"/>
      </w:r>
      <w:r w:rsidR="005F0366" w:rsidRPr="004D7792">
        <w:rPr>
          <w:rFonts w:ascii="Khmer UI" w:hAnsi="Khmer UI" w:cs="Khmer UI"/>
          <w:color w:val="auto"/>
        </w:rPr>
        <w:t xml:space="preserve">. </w:t>
      </w:r>
      <w:r w:rsidRPr="004D7792">
        <w:rPr>
          <w:rFonts w:ascii="Khmer UI" w:hAnsi="Khmer UI" w:cs="Khmer UI"/>
          <w:color w:val="auto"/>
        </w:rPr>
        <w:t xml:space="preserve">Sin embargo, la entidad </w:t>
      </w:r>
      <w:r w:rsidR="005F0366" w:rsidRPr="004D7792">
        <w:rPr>
          <w:rFonts w:ascii="Khmer UI" w:hAnsi="Khmer UI" w:cs="Khmer UI"/>
          <w:color w:val="auto"/>
        </w:rPr>
        <w:t>ha tenido debilidades para brindar una atención especializada y diferenciada a las personas con discapacidad, personas mayores y demás grupos poblacionales que están privadas de libertad.</w:t>
      </w:r>
    </w:p>
    <w:p w14:paraId="2494C8F1" w14:textId="77777777" w:rsidR="005F0366" w:rsidRPr="004D7792" w:rsidRDefault="005F0366" w:rsidP="005F0366">
      <w:pPr>
        <w:pStyle w:val="Default"/>
        <w:jc w:val="both"/>
        <w:rPr>
          <w:rFonts w:ascii="Khmer UI" w:hAnsi="Khmer UI" w:cs="Khmer UI"/>
          <w:color w:val="auto"/>
        </w:rPr>
      </w:pPr>
    </w:p>
    <w:p w14:paraId="7AED7F64" w14:textId="711105A7" w:rsidR="005F0366" w:rsidRPr="004D7792" w:rsidRDefault="005F0366" w:rsidP="005F0366">
      <w:pPr>
        <w:pStyle w:val="Default"/>
        <w:jc w:val="both"/>
        <w:rPr>
          <w:rFonts w:ascii="Khmer UI" w:hAnsi="Khmer UI" w:cs="Khmer UI"/>
          <w:color w:val="auto"/>
        </w:rPr>
      </w:pPr>
      <w:r w:rsidRPr="004D7792">
        <w:rPr>
          <w:rFonts w:ascii="Khmer UI" w:hAnsi="Khmer UI" w:cs="Khmer UI"/>
          <w:color w:val="auto"/>
        </w:rPr>
        <w:t xml:space="preserve">Por otro lado, el Instituto de la Defensa Pública Penal </w:t>
      </w:r>
      <w:r w:rsidR="00227DFC">
        <w:rPr>
          <w:rFonts w:ascii="Khmer UI" w:hAnsi="Khmer UI" w:cs="Khmer UI"/>
          <w:color w:val="auto"/>
        </w:rPr>
        <w:t xml:space="preserve">(en adelante IDPP) </w:t>
      </w:r>
      <w:r w:rsidRPr="004D7792">
        <w:rPr>
          <w:rFonts w:ascii="Khmer UI" w:hAnsi="Khmer UI" w:cs="Khmer UI"/>
          <w:color w:val="auto"/>
        </w:rPr>
        <w:t xml:space="preserve">ha informado que a través de su Unidad Nacional de Enfoque de Género y Unidad de Derechos Humanos, </w:t>
      </w:r>
      <w:r w:rsidR="00775418" w:rsidRPr="004D7792">
        <w:rPr>
          <w:rFonts w:ascii="Khmer UI" w:hAnsi="Khmer UI" w:cs="Khmer UI"/>
          <w:color w:val="auto"/>
        </w:rPr>
        <w:t xml:space="preserve">habría tenido un abordaje sobre el acceso a la justicia de personas con discapacidad, entre 2013 a la fecha. Así, habría atendido casos particulares de personas mayores con discapacidad privadas de libertad, al menos 13 de ellos, de personas que están internas en el Hospital Nacional de Salud Mental; además, ha desarrollado capacitaciones a defensoras y defensores públicos sobre accesibilidad e inclusión, tipos de discapacidad  y defensa técnica para personas con discapacidad. </w:t>
      </w:r>
    </w:p>
    <w:p w14:paraId="043D283A" w14:textId="77777777" w:rsidR="00775418" w:rsidRPr="004D7792" w:rsidRDefault="00775418" w:rsidP="005F0366">
      <w:pPr>
        <w:pStyle w:val="Default"/>
        <w:jc w:val="both"/>
        <w:rPr>
          <w:rFonts w:ascii="Khmer UI" w:hAnsi="Khmer UI" w:cs="Khmer UI"/>
          <w:color w:val="auto"/>
        </w:rPr>
      </w:pPr>
    </w:p>
    <w:p w14:paraId="393CE727" w14:textId="56CD9087" w:rsidR="00775418" w:rsidRPr="004D7792" w:rsidRDefault="00775418" w:rsidP="005F0366">
      <w:pPr>
        <w:pStyle w:val="Default"/>
        <w:jc w:val="both"/>
        <w:rPr>
          <w:rFonts w:ascii="Khmer UI" w:hAnsi="Khmer UI" w:cs="Khmer UI"/>
          <w:color w:val="auto"/>
        </w:rPr>
      </w:pPr>
      <w:r w:rsidRPr="004D7792">
        <w:rPr>
          <w:rFonts w:ascii="Khmer UI" w:hAnsi="Khmer UI" w:cs="Khmer UI"/>
          <w:color w:val="auto"/>
        </w:rPr>
        <w:t>El IDPP también informó que a través del sistema informático de apoyo al defensor, realizan un monitoreo permanente de los casos de las personas usuarias perten</w:t>
      </w:r>
      <w:r w:rsidR="00214531" w:rsidRPr="004D7792">
        <w:rPr>
          <w:rFonts w:ascii="Khmer UI" w:hAnsi="Khmer UI" w:cs="Khmer UI"/>
          <w:color w:val="auto"/>
        </w:rPr>
        <w:t>ec</w:t>
      </w:r>
      <w:r w:rsidRPr="004D7792">
        <w:rPr>
          <w:rFonts w:ascii="Khmer UI" w:hAnsi="Khmer UI" w:cs="Khmer UI"/>
          <w:color w:val="auto"/>
        </w:rPr>
        <w:t xml:space="preserve">ientes a grupos en situación de vulnerabilidad. Dicho sistema, permitiría </w:t>
      </w:r>
      <w:r w:rsidR="00214531" w:rsidRPr="004D7792">
        <w:rPr>
          <w:rFonts w:ascii="Khmer UI" w:hAnsi="Khmer UI" w:cs="Khmer UI"/>
          <w:color w:val="auto"/>
        </w:rPr>
        <w:t>realizar coordinaciones de apoyo técnico entre defensores públicos con profesionales de trabajo social, psicología, medicina forense y cualquier otro tipo de expertis</w:t>
      </w:r>
      <w:r w:rsidR="00227DFC">
        <w:rPr>
          <w:rFonts w:ascii="Khmer UI" w:hAnsi="Khmer UI" w:cs="Khmer UI"/>
          <w:color w:val="auto"/>
        </w:rPr>
        <w:t>e</w:t>
      </w:r>
      <w:r w:rsidR="00214531" w:rsidRPr="004D7792">
        <w:rPr>
          <w:rFonts w:ascii="Khmer UI" w:hAnsi="Khmer UI" w:cs="Khmer UI"/>
          <w:color w:val="auto"/>
        </w:rPr>
        <w:t xml:space="preserve"> que se requiera.</w:t>
      </w:r>
    </w:p>
    <w:p w14:paraId="707C91D7" w14:textId="77777777" w:rsidR="00EC65FA" w:rsidRPr="004D7792" w:rsidRDefault="00EC65FA" w:rsidP="00EC65FA">
      <w:pPr>
        <w:pStyle w:val="ListParagraph"/>
        <w:ind w:left="0"/>
        <w:jc w:val="both"/>
        <w:rPr>
          <w:rFonts w:ascii="Khmer UI" w:hAnsi="Khmer UI" w:cs="Khmer UI"/>
          <w:sz w:val="24"/>
          <w:szCs w:val="24"/>
          <w:lang w:val="es-ES_tradnl"/>
        </w:rPr>
      </w:pPr>
    </w:p>
    <w:p w14:paraId="75F3DAAA" w14:textId="77777777" w:rsidR="004D7792" w:rsidRPr="004D7792" w:rsidRDefault="004D7792" w:rsidP="00EC65FA">
      <w:pPr>
        <w:pStyle w:val="ListParagraph"/>
        <w:ind w:left="0"/>
        <w:jc w:val="both"/>
        <w:rPr>
          <w:rFonts w:ascii="Khmer UI" w:hAnsi="Khmer UI" w:cs="Khmer UI"/>
          <w:sz w:val="24"/>
          <w:szCs w:val="24"/>
          <w:lang w:val="es-ES_tradnl"/>
        </w:rPr>
      </w:pPr>
      <w:r w:rsidRPr="001B00F2">
        <w:rPr>
          <w:rFonts w:ascii="Khmer UI" w:hAnsi="Khmer UI" w:cs="Khmer UI"/>
          <w:sz w:val="24"/>
          <w:szCs w:val="24"/>
          <w:lang w:val="es-ES_tradnl"/>
        </w:rPr>
        <w:t>Por su parte, l</w:t>
      </w:r>
      <w:r w:rsidR="00EC65FA" w:rsidRPr="001B00F2">
        <w:rPr>
          <w:rFonts w:ascii="Khmer UI" w:hAnsi="Khmer UI" w:cs="Khmer UI"/>
          <w:sz w:val="24"/>
          <w:szCs w:val="24"/>
          <w:lang w:val="es-ES_tradnl"/>
        </w:rPr>
        <w:t xml:space="preserve">a Procuraduría General de la Nación </w:t>
      </w:r>
      <w:r w:rsidRPr="001B00F2">
        <w:rPr>
          <w:rFonts w:ascii="Khmer UI" w:hAnsi="Khmer UI" w:cs="Khmer UI"/>
          <w:sz w:val="24"/>
          <w:szCs w:val="24"/>
          <w:lang w:val="es-ES_tradnl"/>
        </w:rPr>
        <w:t>informó</w:t>
      </w:r>
      <w:r w:rsidR="00EC65FA" w:rsidRPr="001B00F2">
        <w:rPr>
          <w:rFonts w:ascii="Khmer UI" w:hAnsi="Khmer UI" w:cs="Khmer UI"/>
          <w:sz w:val="24"/>
          <w:szCs w:val="24"/>
          <w:lang w:val="es-ES_tradnl"/>
        </w:rPr>
        <w:t xml:space="preserve"> no</w:t>
      </w:r>
      <w:r w:rsidRPr="001B00F2">
        <w:rPr>
          <w:rFonts w:ascii="Khmer UI" w:hAnsi="Khmer UI" w:cs="Khmer UI"/>
          <w:sz w:val="24"/>
          <w:szCs w:val="24"/>
          <w:lang w:val="es-ES_tradnl"/>
        </w:rPr>
        <w:t xml:space="preserve"> tener</w:t>
      </w:r>
      <w:r w:rsidR="00EC65FA" w:rsidRPr="001B00F2">
        <w:rPr>
          <w:rFonts w:ascii="Khmer UI" w:hAnsi="Khmer UI" w:cs="Khmer UI"/>
          <w:sz w:val="24"/>
          <w:szCs w:val="24"/>
          <w:lang w:val="es-ES_tradnl"/>
        </w:rPr>
        <w:t xml:space="preserve"> competencia legal para </w:t>
      </w:r>
      <w:r w:rsidRPr="001B00F2">
        <w:rPr>
          <w:rFonts w:ascii="Khmer UI" w:hAnsi="Khmer UI" w:cs="Khmer UI"/>
          <w:sz w:val="24"/>
          <w:szCs w:val="24"/>
          <w:lang w:val="es-ES_tradnl"/>
        </w:rPr>
        <w:t xml:space="preserve">intervenir en </w:t>
      </w:r>
      <w:r w:rsidR="00C10770" w:rsidRPr="001B00F2">
        <w:rPr>
          <w:rFonts w:ascii="Khmer UI" w:hAnsi="Khmer UI" w:cs="Khmer UI"/>
          <w:sz w:val="24"/>
          <w:szCs w:val="24"/>
          <w:lang w:val="es-ES_tradnl"/>
        </w:rPr>
        <w:t>casos particulares para el acceso a la justicia de personas mayores con discapacidad</w:t>
      </w:r>
      <w:r w:rsidR="00EC65FA" w:rsidRPr="001B00F2">
        <w:rPr>
          <w:rStyle w:val="FootnoteReference"/>
          <w:rFonts w:ascii="Khmer UI" w:hAnsi="Khmer UI" w:cs="Khmer UI"/>
          <w:sz w:val="24"/>
          <w:szCs w:val="24"/>
          <w:lang w:val="es-ES_tradnl"/>
        </w:rPr>
        <w:footnoteReference w:id="46"/>
      </w:r>
      <w:r w:rsidR="00EC65FA" w:rsidRPr="001B00F2">
        <w:rPr>
          <w:rFonts w:ascii="Khmer UI" w:hAnsi="Khmer UI" w:cs="Khmer UI"/>
          <w:sz w:val="24"/>
          <w:szCs w:val="24"/>
          <w:lang w:val="es-ES_tradnl"/>
        </w:rPr>
        <w:t>.</w:t>
      </w:r>
      <w:r w:rsidR="00C10770" w:rsidRPr="001B00F2">
        <w:rPr>
          <w:rFonts w:ascii="Khmer UI" w:hAnsi="Khmer UI" w:cs="Khmer UI"/>
          <w:sz w:val="24"/>
          <w:szCs w:val="24"/>
          <w:lang w:val="es-ES_tradnl"/>
        </w:rPr>
        <w:t xml:space="preserve"> No</w:t>
      </w:r>
      <w:r w:rsidR="00C10770">
        <w:rPr>
          <w:rFonts w:ascii="Khmer UI" w:hAnsi="Khmer UI" w:cs="Khmer UI"/>
          <w:sz w:val="24"/>
          <w:szCs w:val="24"/>
          <w:lang w:val="es-ES_tradnl"/>
        </w:rPr>
        <w:t xml:space="preserve"> obstante, esta entidad </w:t>
      </w:r>
      <w:r w:rsidR="001B00F2">
        <w:rPr>
          <w:rFonts w:ascii="Khmer UI" w:hAnsi="Khmer UI" w:cs="Khmer UI"/>
          <w:sz w:val="24"/>
          <w:szCs w:val="24"/>
          <w:lang w:val="es-ES_tradnl"/>
        </w:rPr>
        <w:t xml:space="preserve">cuenta con una </w:t>
      </w:r>
      <w:r>
        <w:rPr>
          <w:rFonts w:ascii="Khmer UI" w:hAnsi="Khmer UI" w:cs="Khmer UI"/>
          <w:sz w:val="24"/>
          <w:szCs w:val="24"/>
          <w:lang w:val="es-ES_tradnl"/>
        </w:rPr>
        <w:t xml:space="preserve">Unidad de </w:t>
      </w:r>
      <w:r w:rsidR="001B00F2">
        <w:rPr>
          <w:rFonts w:ascii="Khmer UI" w:hAnsi="Khmer UI" w:cs="Khmer UI"/>
          <w:sz w:val="24"/>
          <w:szCs w:val="24"/>
          <w:lang w:val="es-ES_tradnl"/>
        </w:rPr>
        <w:t xml:space="preserve">Protección de la </w:t>
      </w:r>
      <w:r>
        <w:rPr>
          <w:rFonts w:ascii="Khmer UI" w:hAnsi="Khmer UI" w:cs="Khmer UI"/>
          <w:sz w:val="24"/>
          <w:szCs w:val="24"/>
          <w:lang w:val="es-ES_tradnl"/>
        </w:rPr>
        <w:t xml:space="preserve">Mujer, </w:t>
      </w:r>
      <w:r w:rsidR="001B00F2">
        <w:rPr>
          <w:rFonts w:ascii="Khmer UI" w:hAnsi="Khmer UI" w:cs="Khmer UI"/>
          <w:sz w:val="24"/>
          <w:szCs w:val="24"/>
          <w:lang w:val="es-ES_tradnl"/>
        </w:rPr>
        <w:t>Personas Mayores y Personas con Discapacidad quienes acompañan casos particulares de justicia de personas pertenecientes a dichos grupos poblacionales.</w:t>
      </w:r>
      <w:r>
        <w:rPr>
          <w:rFonts w:ascii="Khmer UI" w:hAnsi="Khmer UI" w:cs="Khmer UI"/>
          <w:sz w:val="24"/>
          <w:szCs w:val="24"/>
          <w:lang w:val="es-ES_tradnl"/>
        </w:rPr>
        <w:t xml:space="preserve"> </w:t>
      </w:r>
    </w:p>
    <w:p w14:paraId="2718ABD0" w14:textId="77777777" w:rsidR="00EC65FA" w:rsidRPr="004D7792" w:rsidRDefault="00EC65FA" w:rsidP="00EC65FA">
      <w:pPr>
        <w:pStyle w:val="ListParagraph"/>
        <w:ind w:left="0"/>
        <w:jc w:val="both"/>
        <w:rPr>
          <w:rFonts w:ascii="Khmer UI" w:hAnsi="Khmer UI" w:cs="Khmer UI"/>
          <w:sz w:val="24"/>
          <w:szCs w:val="24"/>
          <w:lang w:val="es-ES_tradnl"/>
        </w:rPr>
      </w:pPr>
    </w:p>
    <w:p w14:paraId="78840E5F" w14:textId="77777777" w:rsidR="00EC65FA" w:rsidRPr="004D7792" w:rsidRDefault="00EC65FA" w:rsidP="00EC65FA">
      <w:pPr>
        <w:pStyle w:val="ListParagraph"/>
        <w:numPr>
          <w:ilvl w:val="0"/>
          <w:numId w:val="9"/>
        </w:numPr>
        <w:ind w:left="567" w:hanging="567"/>
        <w:jc w:val="both"/>
        <w:rPr>
          <w:rFonts w:ascii="Khmer UI" w:hAnsi="Khmer UI" w:cs="Khmer UI"/>
          <w:b/>
          <w:sz w:val="24"/>
          <w:szCs w:val="24"/>
          <w:lang w:val="es-ES_tradnl"/>
        </w:rPr>
      </w:pPr>
      <w:r w:rsidRPr="004D7792">
        <w:rPr>
          <w:rFonts w:ascii="Khmer UI" w:hAnsi="Khmer UI" w:cs="Khmer UI"/>
          <w:b/>
          <w:sz w:val="24"/>
          <w:szCs w:val="24"/>
          <w:lang w:val="es-ES_tradnl"/>
        </w:rPr>
        <w:t xml:space="preserve">Sírvanse describir en qué medida y cómo participan las personas mayores con discapacidad en el diseño, planificación, implementación y evaluación de las políticas relacionadas con el envejecimiento y/o la discapacidad. </w:t>
      </w:r>
    </w:p>
    <w:p w14:paraId="7D283B1C" w14:textId="77777777" w:rsidR="00EC65FA" w:rsidRPr="004D7792" w:rsidRDefault="00EC65FA" w:rsidP="00EC65FA">
      <w:pPr>
        <w:pStyle w:val="ListParagraph"/>
        <w:ind w:left="0"/>
        <w:jc w:val="both"/>
        <w:rPr>
          <w:rFonts w:ascii="Khmer UI" w:hAnsi="Khmer UI" w:cs="Khmer UI"/>
          <w:b/>
          <w:sz w:val="24"/>
          <w:szCs w:val="24"/>
          <w:lang w:val="es-ES_tradnl"/>
        </w:rPr>
      </w:pPr>
    </w:p>
    <w:p w14:paraId="0B7090E5" w14:textId="77777777" w:rsidR="00EC65FA" w:rsidRPr="004D7792" w:rsidRDefault="00EC65FA" w:rsidP="00EC65FA">
      <w:pPr>
        <w:pStyle w:val="ListParagraph"/>
        <w:ind w:left="0"/>
        <w:jc w:val="both"/>
        <w:rPr>
          <w:rFonts w:ascii="Khmer UI" w:hAnsi="Khmer UI" w:cs="Khmer UI"/>
          <w:b/>
          <w:sz w:val="24"/>
          <w:szCs w:val="24"/>
          <w:lang w:val="es-ES_tradnl"/>
        </w:rPr>
      </w:pPr>
      <w:r w:rsidRPr="004D7792">
        <w:rPr>
          <w:rFonts w:ascii="Khmer UI" w:hAnsi="Khmer UI" w:cs="Khmer UI"/>
          <w:sz w:val="24"/>
          <w:szCs w:val="24"/>
          <w:lang w:val="es-ES_tradnl"/>
        </w:rPr>
        <w:lastRenderedPageBreak/>
        <w:t>Como se mencionó con anterioridad</w:t>
      </w:r>
      <w:r w:rsidRPr="004D7792">
        <w:rPr>
          <w:rFonts w:ascii="Khmer UI" w:hAnsi="Khmer UI" w:cs="Khmer UI"/>
          <w:b/>
          <w:sz w:val="24"/>
          <w:szCs w:val="24"/>
          <w:lang w:val="es-ES_tradnl"/>
        </w:rPr>
        <w:t xml:space="preserve"> </w:t>
      </w:r>
      <w:r w:rsidRPr="004D7792">
        <w:rPr>
          <w:rFonts w:ascii="Khmer UI" w:hAnsi="Khmer UI" w:cs="Khmer UI"/>
          <w:sz w:val="24"/>
          <w:szCs w:val="24"/>
          <w:lang w:val="es-ES_tradnl"/>
        </w:rPr>
        <w:t>no existe política relacionada con el envejecimiento.</w:t>
      </w:r>
      <w:r w:rsidR="00214531" w:rsidRPr="004D7792">
        <w:rPr>
          <w:rFonts w:ascii="Khmer UI" w:hAnsi="Khmer UI" w:cs="Khmer UI"/>
          <w:b/>
          <w:sz w:val="24"/>
          <w:szCs w:val="24"/>
          <w:lang w:val="es-ES_tradnl"/>
        </w:rPr>
        <w:t xml:space="preserve"> </w:t>
      </w:r>
      <w:r w:rsidRPr="004D7792">
        <w:rPr>
          <w:rFonts w:ascii="Khmer UI" w:hAnsi="Khmer UI" w:cs="Khmer UI"/>
          <w:sz w:val="24"/>
          <w:szCs w:val="24"/>
          <w:lang w:val="es-ES_tradnl"/>
        </w:rPr>
        <w:t>En 2016</w:t>
      </w:r>
      <w:r w:rsidR="00214531" w:rsidRPr="004D7792">
        <w:rPr>
          <w:rFonts w:ascii="Khmer UI" w:hAnsi="Khmer UI" w:cs="Khmer UI"/>
          <w:sz w:val="24"/>
          <w:szCs w:val="24"/>
          <w:lang w:val="es-ES_tradnl"/>
        </w:rPr>
        <w:t>,</w:t>
      </w:r>
      <w:r w:rsidRPr="004D7792">
        <w:rPr>
          <w:rFonts w:ascii="Khmer UI" w:hAnsi="Khmer UI" w:cs="Khmer UI"/>
          <w:sz w:val="24"/>
          <w:szCs w:val="24"/>
          <w:lang w:val="es-ES_tradnl"/>
        </w:rPr>
        <w:t xml:space="preserve"> la Secretaría de Obras Sociales de la Esposa del Presidente (SOSEP) que preside el CONAPROV</w:t>
      </w:r>
      <w:r w:rsidR="00214531" w:rsidRPr="004D7792">
        <w:rPr>
          <w:rFonts w:ascii="Khmer UI" w:hAnsi="Khmer UI" w:cs="Khmer UI"/>
          <w:sz w:val="24"/>
          <w:szCs w:val="24"/>
          <w:lang w:val="es-ES_tradnl"/>
        </w:rPr>
        <w:t>,</w:t>
      </w:r>
      <w:r w:rsidRPr="004D7792">
        <w:rPr>
          <w:rFonts w:ascii="Khmer UI" w:hAnsi="Khmer UI" w:cs="Khmer UI"/>
          <w:sz w:val="24"/>
          <w:szCs w:val="24"/>
          <w:lang w:val="es-ES_tradnl"/>
        </w:rPr>
        <w:t xml:space="preserve"> impulsó la discusión y análisis para la aprobación de la Convención Interamericana sobre la Protección de los Derechos Humanos de las Personas Mayores</w:t>
      </w:r>
      <w:r w:rsidR="00214531" w:rsidRPr="004D7792">
        <w:rPr>
          <w:rFonts w:ascii="Khmer UI" w:hAnsi="Khmer UI" w:cs="Khmer UI"/>
          <w:sz w:val="24"/>
          <w:szCs w:val="24"/>
          <w:lang w:val="es-ES_tradnl"/>
        </w:rPr>
        <w:t>, contando con una opinión de</w:t>
      </w:r>
      <w:r w:rsidRPr="004D7792">
        <w:rPr>
          <w:rFonts w:ascii="Khmer UI" w:hAnsi="Khmer UI" w:cs="Khmer UI"/>
          <w:sz w:val="24"/>
          <w:szCs w:val="24"/>
          <w:lang w:val="es-ES_tradnl"/>
        </w:rPr>
        <w:t xml:space="preserve"> la Procur</w:t>
      </w:r>
      <w:r w:rsidR="00214531" w:rsidRPr="004D7792">
        <w:rPr>
          <w:rFonts w:ascii="Khmer UI" w:hAnsi="Khmer UI" w:cs="Khmer UI"/>
          <w:sz w:val="24"/>
          <w:szCs w:val="24"/>
          <w:lang w:val="es-ES_tradnl"/>
        </w:rPr>
        <w:t xml:space="preserve">aduría General de la Nación, </w:t>
      </w:r>
      <w:r w:rsidRPr="004D7792">
        <w:rPr>
          <w:rFonts w:ascii="Khmer UI" w:hAnsi="Khmer UI" w:cs="Khmer UI"/>
          <w:sz w:val="24"/>
          <w:szCs w:val="24"/>
          <w:lang w:val="es-ES_tradnl"/>
        </w:rPr>
        <w:t>cuya propuesta fue enviada al Congreso de la República</w:t>
      </w:r>
      <w:r w:rsidRPr="004D7792">
        <w:rPr>
          <w:rStyle w:val="FootnoteReference"/>
          <w:rFonts w:ascii="Khmer UI" w:hAnsi="Khmer UI" w:cs="Khmer UI"/>
          <w:sz w:val="24"/>
          <w:szCs w:val="24"/>
          <w:lang w:val="es-ES_tradnl"/>
        </w:rPr>
        <w:footnoteReference w:id="47"/>
      </w:r>
      <w:r w:rsidRPr="004D7792">
        <w:rPr>
          <w:rFonts w:ascii="Khmer UI" w:hAnsi="Khmer UI" w:cs="Khmer UI"/>
          <w:sz w:val="24"/>
          <w:szCs w:val="24"/>
          <w:lang w:val="es-ES_tradnl"/>
        </w:rPr>
        <w:t>.</w:t>
      </w:r>
    </w:p>
    <w:p w14:paraId="78734E12" w14:textId="77777777" w:rsidR="00EC65FA" w:rsidRPr="004D7792" w:rsidRDefault="00EC65FA" w:rsidP="00EC65FA">
      <w:pPr>
        <w:pStyle w:val="ListParagraph"/>
        <w:ind w:left="0"/>
        <w:jc w:val="both"/>
        <w:rPr>
          <w:rFonts w:ascii="Khmer UI" w:hAnsi="Khmer UI" w:cs="Khmer UI"/>
          <w:sz w:val="24"/>
          <w:szCs w:val="24"/>
          <w:lang w:val="es-ES_tradnl"/>
        </w:rPr>
      </w:pPr>
    </w:p>
    <w:p w14:paraId="7A87012C" w14:textId="77777777" w:rsidR="00EC65FA" w:rsidRPr="004D7792" w:rsidRDefault="00EC65FA" w:rsidP="00214531">
      <w:pPr>
        <w:autoSpaceDE w:val="0"/>
        <w:autoSpaceDN w:val="0"/>
        <w:adjustRightInd w:val="0"/>
        <w:ind w:left="0"/>
        <w:jc w:val="both"/>
        <w:rPr>
          <w:rFonts w:ascii="Khmer UI" w:hAnsi="Khmer UI" w:cs="Khmer UI"/>
          <w:sz w:val="24"/>
          <w:szCs w:val="24"/>
        </w:rPr>
      </w:pPr>
      <w:r w:rsidRPr="004D7792">
        <w:rPr>
          <w:rFonts w:ascii="Khmer UI" w:hAnsi="Khmer UI" w:cs="Khmer UI"/>
          <w:sz w:val="24"/>
          <w:szCs w:val="24"/>
        </w:rPr>
        <w:t>Por otra parte la Ley de Desarrollo Social, Decreto 42-2001  considera a las personas mayores dentro de los sectores de especial protección en la elaboración, ejecución, seguimiento y evaluación de la Política de Desarrollo Social. Asimismo dicha ley establece que la Política de Desarrollo Social y Población considerará medidas especiales para la incorporación de las personas mayores en el desarrollo, así como la promoción de su salud y bienestar integral</w:t>
      </w:r>
      <w:r w:rsidRPr="004D7792">
        <w:rPr>
          <w:rStyle w:val="FootnoteReference"/>
          <w:rFonts w:ascii="Khmer UI" w:hAnsi="Khmer UI" w:cs="Khmer UI"/>
          <w:sz w:val="24"/>
          <w:szCs w:val="24"/>
        </w:rPr>
        <w:footnoteReference w:id="48"/>
      </w:r>
      <w:r w:rsidRPr="004D7792">
        <w:rPr>
          <w:rFonts w:ascii="Khmer UI" w:hAnsi="Khmer UI" w:cs="Khmer UI"/>
          <w:sz w:val="24"/>
          <w:szCs w:val="24"/>
        </w:rPr>
        <w:t xml:space="preserve">; sin embargo esta población carece de inclusión en las políticas sectoriales. </w:t>
      </w:r>
    </w:p>
    <w:p w14:paraId="2844DFE9" w14:textId="77777777" w:rsidR="00EC65FA" w:rsidRPr="004D7792" w:rsidRDefault="00EC65FA" w:rsidP="00EC65FA">
      <w:pPr>
        <w:pStyle w:val="ListParagraph"/>
        <w:ind w:left="0"/>
        <w:jc w:val="both"/>
        <w:rPr>
          <w:rFonts w:ascii="Khmer UI" w:hAnsi="Khmer UI" w:cs="Khmer UI"/>
          <w:sz w:val="24"/>
          <w:szCs w:val="24"/>
          <w:lang w:val="es-ES_tradnl"/>
        </w:rPr>
      </w:pPr>
    </w:p>
    <w:p w14:paraId="754EA8E9" w14:textId="77777777" w:rsidR="00EC65FA" w:rsidRPr="004D7792" w:rsidRDefault="00EC65FA" w:rsidP="00EC65FA">
      <w:pPr>
        <w:pStyle w:val="ListParagraph"/>
        <w:numPr>
          <w:ilvl w:val="0"/>
          <w:numId w:val="9"/>
        </w:numPr>
        <w:ind w:left="567" w:hanging="567"/>
        <w:jc w:val="both"/>
        <w:rPr>
          <w:rFonts w:ascii="Khmer UI" w:hAnsi="Khmer UI" w:cs="Khmer UI"/>
          <w:b/>
          <w:sz w:val="24"/>
          <w:szCs w:val="24"/>
          <w:lang w:val="es-ES_tradnl"/>
        </w:rPr>
      </w:pPr>
      <w:r w:rsidRPr="004D7792">
        <w:rPr>
          <w:rFonts w:ascii="Khmer UI" w:hAnsi="Khmer UI" w:cs="Khmer UI"/>
          <w:b/>
          <w:sz w:val="24"/>
          <w:szCs w:val="24"/>
          <w:lang w:val="es-ES_tradnl"/>
        </w:rPr>
        <w:t xml:space="preserve">Sírvanse proporcionar información sobre cualquier iniciativa innovadora que se haya tomado a nivel local, regional o nacional para promover y garantizar los derechos de las personas mayores con discapacidad e identificar las lecciones aprendidas. </w:t>
      </w:r>
    </w:p>
    <w:p w14:paraId="65B2E67B" w14:textId="77777777" w:rsidR="00EC65FA" w:rsidRPr="004D7792" w:rsidRDefault="00EC65FA" w:rsidP="00EC65FA">
      <w:pPr>
        <w:pStyle w:val="ListParagraph"/>
        <w:ind w:left="0"/>
        <w:jc w:val="both"/>
        <w:rPr>
          <w:rFonts w:ascii="Khmer UI" w:hAnsi="Khmer UI" w:cs="Khmer UI"/>
          <w:sz w:val="24"/>
          <w:szCs w:val="24"/>
          <w:lang w:val="es-ES_tradnl"/>
        </w:rPr>
      </w:pPr>
    </w:p>
    <w:p w14:paraId="1B40F5FF" w14:textId="77777777" w:rsidR="00EC65FA" w:rsidRPr="004D7792" w:rsidRDefault="00EC65FA" w:rsidP="00EC65FA">
      <w:pPr>
        <w:pStyle w:val="ListParagraph"/>
        <w:ind w:left="0"/>
        <w:jc w:val="both"/>
        <w:rPr>
          <w:rFonts w:ascii="Khmer UI" w:hAnsi="Khmer UI" w:cs="Khmer UI"/>
          <w:sz w:val="24"/>
          <w:szCs w:val="24"/>
          <w:lang w:val="es-ES_tradnl"/>
        </w:rPr>
      </w:pPr>
      <w:r w:rsidRPr="004D7792">
        <w:rPr>
          <w:rFonts w:ascii="Khmer UI" w:hAnsi="Khmer UI" w:cs="Khmer UI"/>
          <w:sz w:val="24"/>
          <w:szCs w:val="24"/>
          <w:lang w:val="es-ES_tradnl"/>
        </w:rPr>
        <w:t>Se ha participado en propuesta a nivel regional centroamericano sobre la inclusión de las personas con discapacidad  y adultas mayores en las emergencias y los desastres</w:t>
      </w:r>
      <w:r w:rsidRPr="004D7792">
        <w:rPr>
          <w:rStyle w:val="FootnoteReference"/>
          <w:rFonts w:ascii="Khmer UI" w:hAnsi="Khmer UI" w:cs="Khmer UI"/>
          <w:sz w:val="24"/>
          <w:szCs w:val="24"/>
          <w:lang w:val="es-ES_tradnl"/>
        </w:rPr>
        <w:footnoteReference w:id="49"/>
      </w:r>
      <w:r w:rsidRPr="004D7792">
        <w:rPr>
          <w:rFonts w:ascii="Khmer UI" w:hAnsi="Khmer UI" w:cs="Khmer UI"/>
          <w:sz w:val="24"/>
          <w:szCs w:val="24"/>
          <w:lang w:val="es-ES_tradnl"/>
        </w:rPr>
        <w:t>, la finalidad es la promoción de su</w:t>
      </w:r>
      <w:r w:rsidR="00214531" w:rsidRPr="004D7792">
        <w:rPr>
          <w:rFonts w:ascii="Khmer UI" w:hAnsi="Khmer UI" w:cs="Khmer UI"/>
          <w:sz w:val="24"/>
          <w:szCs w:val="24"/>
          <w:lang w:val="es-ES_tradnl"/>
        </w:rPr>
        <w:t>jetos activos y participativos de</w:t>
      </w:r>
      <w:r w:rsidRPr="004D7792">
        <w:rPr>
          <w:rFonts w:ascii="Khmer UI" w:hAnsi="Khmer UI" w:cs="Khmer UI"/>
          <w:sz w:val="24"/>
          <w:szCs w:val="24"/>
          <w:lang w:val="es-ES_tradnl"/>
        </w:rPr>
        <w:t xml:space="preserve"> estos dos grupos poblacionales en los procesos de gestión integral del riesgo de desastres y mejorar la calidad de atención y respuesta humanitaria en situaciones de desastre o de conflicto, respondiendo a sus necesidades específicas, sus vulnerabilidades y capacidades.</w:t>
      </w:r>
    </w:p>
    <w:sectPr w:rsidR="00EC65FA" w:rsidRPr="004D7792" w:rsidSect="000577E8">
      <w:headerReference w:type="default" r:id="rId9"/>
      <w:footerReference w:type="default" r:id="rId10"/>
      <w:pgSz w:w="12242" w:h="15842" w:code="1"/>
      <w:pgMar w:top="1418"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D348C" w14:textId="77777777" w:rsidR="003A7D89" w:rsidRDefault="003A7D89" w:rsidP="00A844A3">
      <w:r>
        <w:separator/>
      </w:r>
    </w:p>
  </w:endnote>
  <w:endnote w:type="continuationSeparator" w:id="0">
    <w:p w14:paraId="39663516" w14:textId="77777777" w:rsidR="003A7D89" w:rsidRDefault="003A7D89" w:rsidP="00A8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stleT">
    <w:altName w:val="Castle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Khmer UI">
    <w:panose1 w:val="020B0502040204020203"/>
    <w:charset w:val="00"/>
    <w:family w:val="swiss"/>
    <w:pitch w:val="variable"/>
    <w:sig w:usb0="8000002F" w:usb1="0000204A" w:usb2="0001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19864" w14:textId="560912BF" w:rsidR="006E5BD8" w:rsidRDefault="006E5BD8">
    <w:pPr>
      <w:tabs>
        <w:tab w:val="center" w:pos="4550"/>
        <w:tab w:val="left" w:pos="5818"/>
      </w:tabs>
      <w:ind w:right="260"/>
      <w:jc w:val="right"/>
      <w:rPr>
        <w:color w:val="323E4F" w:themeColor="text2" w:themeShade="BF"/>
        <w:sz w:val="24"/>
        <w:szCs w:val="24"/>
      </w:rPr>
    </w:pPr>
    <w:r>
      <w:rPr>
        <w:noProof/>
        <w:color w:val="222A35" w:themeColor="text2" w:themeShade="80"/>
        <w:sz w:val="24"/>
        <w:szCs w:val="24"/>
        <w:lang w:eastAsia="es-GT"/>
      </w:rPr>
      <w:drawing>
        <wp:anchor distT="0" distB="0" distL="114300" distR="114300" simplePos="0" relativeHeight="251661312" behindDoc="0" locked="0" layoutInCell="1" allowOverlap="1" wp14:anchorId="25BE7042" wp14:editId="15E5571D">
          <wp:simplePos x="0" y="0"/>
          <wp:positionH relativeFrom="margin">
            <wp:posOffset>-1052195</wp:posOffset>
          </wp:positionH>
          <wp:positionV relativeFrom="paragraph">
            <wp:posOffset>295910</wp:posOffset>
          </wp:positionV>
          <wp:extent cx="7648575" cy="274320"/>
          <wp:effectExtent l="0" t="0" r="9525" b="0"/>
          <wp:wrapThrough wrapText="bothSides">
            <wp:wrapPolygon edited="0">
              <wp:start x="0" y="0"/>
              <wp:lineTo x="0" y="19500"/>
              <wp:lineTo x="21573" y="19500"/>
              <wp:lineTo x="21573" y="0"/>
              <wp:lineTo x="0" y="0"/>
            </wp:wrapPolygon>
          </wp:wrapThrough>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e.png"/>
                  <pic:cNvPicPr/>
                </pic:nvPicPr>
                <pic:blipFill>
                  <a:blip r:embed="rId1">
                    <a:extLst>
                      <a:ext uri="{28A0092B-C50C-407E-A947-70E740481C1C}">
                        <a14:useLocalDpi xmlns:a14="http://schemas.microsoft.com/office/drawing/2010/main" val="0"/>
                      </a:ext>
                    </a:extLst>
                  </a:blip>
                  <a:stretch>
                    <a:fillRect/>
                  </a:stretch>
                </pic:blipFill>
                <pic:spPr>
                  <a:xfrm>
                    <a:off x="0" y="0"/>
                    <a:ext cx="7648575" cy="274320"/>
                  </a:xfrm>
                  <a:prstGeom prst="rect">
                    <a:avLst/>
                  </a:prstGeom>
                </pic:spPr>
              </pic:pic>
            </a:graphicData>
          </a:graphic>
          <wp14:sizeRelH relativeFrom="page">
            <wp14:pctWidth>0</wp14:pctWidth>
          </wp14:sizeRelH>
          <wp14:sizeRelV relativeFrom="page">
            <wp14:pctHeight>0</wp14:pctHeight>
          </wp14:sizeRelV>
        </wp:anchor>
      </w:drawing>
    </w: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3A714F" w:rsidRPr="003A714F">
      <w:rPr>
        <w:noProof/>
        <w:color w:val="323E4F" w:themeColor="text2" w:themeShade="BF"/>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3A714F" w:rsidRPr="003A714F">
      <w:rPr>
        <w:noProof/>
        <w:color w:val="323E4F" w:themeColor="text2" w:themeShade="BF"/>
        <w:lang w:val="es-ES"/>
      </w:rPr>
      <w:t>15</w:t>
    </w:r>
    <w:r>
      <w:rPr>
        <w:color w:val="323E4F" w:themeColor="text2" w:themeShade="BF"/>
        <w:sz w:val="24"/>
        <w:szCs w:val="24"/>
      </w:rPr>
      <w:fldChar w:fldCharType="end"/>
    </w:r>
  </w:p>
  <w:p w14:paraId="1A4FF631" w14:textId="77777777" w:rsidR="006E5BD8" w:rsidRDefault="006E5BD8" w:rsidP="006E5BD8">
    <w:pPr>
      <w:tabs>
        <w:tab w:val="left" w:pos="3090"/>
        <w:tab w:val="center" w:pos="4550"/>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08A482AE" w14:textId="77777777" w:rsidR="00A844A3" w:rsidRDefault="00A844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883EA" w14:textId="77777777" w:rsidR="003A7D89" w:rsidRDefault="003A7D89" w:rsidP="00A844A3">
      <w:r>
        <w:separator/>
      </w:r>
    </w:p>
  </w:footnote>
  <w:footnote w:type="continuationSeparator" w:id="0">
    <w:p w14:paraId="1F646E98" w14:textId="77777777" w:rsidR="003A7D89" w:rsidRDefault="003A7D89" w:rsidP="00A844A3">
      <w:r>
        <w:continuationSeparator/>
      </w:r>
    </w:p>
  </w:footnote>
  <w:footnote w:id="1">
    <w:p w14:paraId="1A4BC3C9" w14:textId="07C14479" w:rsidR="00EC65FA" w:rsidRPr="004D7792" w:rsidRDefault="00EC65FA" w:rsidP="005F0366">
      <w:pPr>
        <w:pStyle w:val="FootnoteText"/>
        <w:jc w:val="both"/>
        <w:rPr>
          <w:rFonts w:ascii="Khmer UI" w:hAnsi="Khmer UI" w:cs="Khmer UI"/>
          <w:lang w:val="es-ES"/>
        </w:rPr>
      </w:pPr>
      <w:r w:rsidRPr="004D7792">
        <w:rPr>
          <w:rStyle w:val="FootnoteReference"/>
          <w:rFonts w:ascii="Khmer UI" w:hAnsi="Khmer UI" w:cs="Khmer UI"/>
        </w:rPr>
        <w:footnoteRef/>
      </w:r>
      <w:r w:rsidRPr="004D7792">
        <w:rPr>
          <w:rFonts w:ascii="Khmer UI" w:hAnsi="Khmer UI" w:cs="Khmer UI"/>
          <w:lang w:val="es-ES"/>
        </w:rPr>
        <w:t xml:space="preserve"> La Corte de Constitucionalidad considera que el principio de igualdad plasmado en la Constitución impone que situaciones iguales sean tratadas normativamente de la misma forma; sin embargo para que este sea realmente efectivo también impone que situaciones distintas sean tratadas conforme a sus diferencias. Corte de Constitucionalidad. Gaceta No. 24. Expediente No. 141-92, </w:t>
      </w:r>
      <w:r w:rsidR="00CA426B" w:rsidRPr="004D7792">
        <w:rPr>
          <w:rFonts w:ascii="Khmer UI" w:hAnsi="Khmer UI" w:cs="Khmer UI"/>
          <w:lang w:val="es-ES"/>
        </w:rPr>
        <w:t>sentencia</w:t>
      </w:r>
      <w:r w:rsidRPr="004D7792">
        <w:rPr>
          <w:rFonts w:ascii="Khmer UI" w:hAnsi="Khmer UI" w:cs="Khmer UI"/>
          <w:lang w:val="es-ES"/>
        </w:rPr>
        <w:t xml:space="preserve"> 16.061992.Pag.14</w:t>
      </w:r>
    </w:p>
  </w:footnote>
  <w:footnote w:id="2">
    <w:p w14:paraId="67A2BE19" w14:textId="77777777" w:rsidR="00EC65FA" w:rsidRPr="004D7792" w:rsidRDefault="00EC65FA" w:rsidP="005F0366">
      <w:pPr>
        <w:pStyle w:val="FootnoteText"/>
        <w:jc w:val="both"/>
        <w:rPr>
          <w:rFonts w:ascii="Khmer UI" w:hAnsi="Khmer UI" w:cs="Khmer UI"/>
          <w:lang w:val="es-ES"/>
        </w:rPr>
      </w:pPr>
      <w:r w:rsidRPr="004D7792">
        <w:rPr>
          <w:rStyle w:val="FootnoteReference"/>
          <w:rFonts w:ascii="Khmer UI" w:hAnsi="Khmer UI" w:cs="Khmer UI"/>
        </w:rPr>
        <w:footnoteRef/>
      </w:r>
      <w:r w:rsidRPr="004D7792">
        <w:rPr>
          <w:rFonts w:ascii="Khmer UI" w:hAnsi="Khmer UI" w:cs="Khmer UI"/>
          <w:lang w:val="es-ES"/>
        </w:rPr>
        <w:t xml:space="preserve"> Define como persona mayor a toda persona de cualquier sexo, religión, raza o color que tenga 60 años o más.</w:t>
      </w:r>
    </w:p>
  </w:footnote>
  <w:footnote w:id="3">
    <w:p w14:paraId="6963BB3E" w14:textId="77777777" w:rsidR="00EC65FA" w:rsidRPr="004D7792" w:rsidRDefault="00EC65FA" w:rsidP="005F0366">
      <w:pPr>
        <w:pStyle w:val="FootnoteText"/>
        <w:jc w:val="both"/>
        <w:rPr>
          <w:rFonts w:ascii="Khmer UI" w:hAnsi="Khmer UI" w:cs="Khmer UI"/>
          <w:lang w:val="es-ES"/>
        </w:rPr>
      </w:pPr>
      <w:r w:rsidRPr="004D7792">
        <w:rPr>
          <w:rStyle w:val="FootnoteReference"/>
          <w:rFonts w:ascii="Khmer UI" w:hAnsi="Khmer UI" w:cs="Khmer UI"/>
        </w:rPr>
        <w:footnoteRef/>
      </w:r>
      <w:r w:rsidRPr="004D7792">
        <w:rPr>
          <w:rFonts w:ascii="Khmer UI" w:hAnsi="Khmer UI" w:cs="Khmer UI"/>
        </w:rPr>
        <w:t xml:space="preserve"> </w:t>
      </w:r>
      <w:r w:rsidRPr="004D7792">
        <w:rPr>
          <w:rFonts w:ascii="Khmer UI" w:hAnsi="Khmer UI" w:cs="Khmer UI"/>
          <w:lang w:val="es-ES"/>
        </w:rPr>
        <w:t>Decreto Ley 106. Art. 263.</w:t>
      </w:r>
    </w:p>
  </w:footnote>
  <w:footnote w:id="4">
    <w:p w14:paraId="32132486" w14:textId="77777777" w:rsidR="00EC65FA" w:rsidRPr="004D7792" w:rsidRDefault="00EC65FA" w:rsidP="005F0366">
      <w:pPr>
        <w:ind w:left="0"/>
        <w:jc w:val="both"/>
        <w:rPr>
          <w:rFonts w:ascii="Khmer UI" w:hAnsi="Khmer UI" w:cs="Khmer UI"/>
          <w:sz w:val="20"/>
          <w:szCs w:val="20"/>
        </w:rPr>
      </w:pPr>
      <w:r w:rsidRPr="004D7792">
        <w:rPr>
          <w:rStyle w:val="FootnoteReference"/>
          <w:rFonts w:ascii="Khmer UI" w:hAnsi="Khmer UI" w:cs="Khmer UI"/>
          <w:sz w:val="20"/>
          <w:szCs w:val="20"/>
        </w:rPr>
        <w:footnoteRef/>
      </w:r>
      <w:r w:rsidRPr="004D7792">
        <w:rPr>
          <w:rFonts w:ascii="Khmer UI" w:hAnsi="Khmer UI" w:cs="Khmer UI"/>
          <w:sz w:val="20"/>
          <w:szCs w:val="20"/>
        </w:rPr>
        <w:t xml:space="preserve"> Decreto 17-73. Dicha conducta es sancionada con prisión de 1 a 3 años y multa de Q 500.00 (US$ 68.12) a Q 3,000.00 (US$ 408.72); asimismo la pena se agrava en una tercera para quien difunda, apoye o incite ideas discriminatorias de cualquier forma y medio; cuando el hecho es cometido por funcionario o empleado público en el ejercicio de su cargo o por un particular en la prestación de un servicio público. (Al tipo de cambio de Q 7.34 por US$ 1.00)</w:t>
      </w:r>
    </w:p>
  </w:footnote>
  <w:footnote w:id="5">
    <w:p w14:paraId="236CEAD8"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PDH. Informe Anual Circunstanciado de Actividades y de la Situación de los Derechos Humanos 2018. Pág. 257.</w:t>
      </w:r>
    </w:p>
  </w:footnote>
  <w:footnote w:id="6">
    <w:p w14:paraId="247A22DB" w14:textId="77777777" w:rsidR="00EC65FA" w:rsidRPr="004D7792" w:rsidRDefault="00EC65FA" w:rsidP="005F0366">
      <w:pPr>
        <w:ind w:left="0"/>
        <w:jc w:val="both"/>
        <w:rPr>
          <w:rFonts w:ascii="Khmer UI" w:hAnsi="Khmer UI" w:cs="Khmer UI"/>
          <w:b/>
          <w:sz w:val="20"/>
          <w:szCs w:val="20"/>
        </w:rPr>
      </w:pPr>
      <w:r w:rsidRPr="004D7792">
        <w:rPr>
          <w:rStyle w:val="FootnoteReference"/>
          <w:rFonts w:ascii="Khmer UI" w:hAnsi="Khmer UI" w:cs="Khmer UI"/>
          <w:sz w:val="20"/>
          <w:szCs w:val="20"/>
        </w:rPr>
        <w:footnoteRef/>
      </w:r>
      <w:r w:rsidRPr="004D7792">
        <w:rPr>
          <w:rFonts w:ascii="Khmer UI" w:hAnsi="Khmer UI" w:cs="Khmer UI"/>
          <w:sz w:val="20"/>
          <w:szCs w:val="20"/>
        </w:rPr>
        <w:t xml:space="preserve"> PDH. Contribución del Procurador de los Derechos Humanos de Guatemala al Grupo de Trabajo de Composición Abierta sobre el Envejecimiento. Temas: “Igualdad y no discriminación” y Negligencia, violencia y abuso. Abril 2017.</w:t>
      </w:r>
    </w:p>
  </w:footnote>
  <w:footnote w:id="7">
    <w:p w14:paraId="7C9802D9"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PDH. </w:t>
      </w:r>
      <w:r w:rsidRPr="004D7792">
        <w:rPr>
          <w:rFonts w:ascii="Khmer UI" w:hAnsi="Khmer UI" w:cs="Khmer UI"/>
          <w:i/>
        </w:rPr>
        <w:t>Contribución del Procurador de los Derechos Humanos a la Oficina del Alto Comisionado para los Derechos Humanos. Situación de las personas mayores en Guatemala en relación con el PAIME</w:t>
      </w:r>
      <w:r w:rsidRPr="004D7792">
        <w:rPr>
          <w:rFonts w:ascii="Khmer UI" w:hAnsi="Khmer UI" w:cs="Khmer UI"/>
        </w:rPr>
        <w:t>. 2015. Pág. 13.</w:t>
      </w:r>
    </w:p>
  </w:footnote>
  <w:footnote w:id="8">
    <w:p w14:paraId="6EB2301F"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Por ejemplo al suprimirse puestos de trabajo, ser despedidos o reemplazados por gente más joven.</w:t>
      </w:r>
    </w:p>
  </w:footnote>
  <w:footnote w:id="9">
    <w:p w14:paraId="44ED07AD"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Prensa Libre. Revista Domingo. </w:t>
      </w:r>
      <w:r w:rsidRPr="004D7792">
        <w:rPr>
          <w:rFonts w:ascii="Khmer UI" w:hAnsi="Khmer UI" w:cs="Khmer UI"/>
          <w:i/>
        </w:rPr>
        <w:t xml:space="preserve">Perfil del Adulto Mayor. </w:t>
      </w:r>
      <w:r w:rsidRPr="004D7792">
        <w:rPr>
          <w:rFonts w:ascii="Khmer UI" w:hAnsi="Khmer UI" w:cs="Khmer UI"/>
        </w:rPr>
        <w:t>15.06.2014.</w:t>
      </w:r>
    </w:p>
  </w:footnote>
  <w:footnote w:id="10">
    <w:p w14:paraId="544C5FC6"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PDH. </w:t>
      </w:r>
      <w:r w:rsidRPr="004D7792">
        <w:rPr>
          <w:rFonts w:ascii="Khmer UI" w:hAnsi="Khmer UI" w:cs="Khmer UI"/>
          <w:i/>
        </w:rPr>
        <w:t>Informe Anual Circunstanciado. Situación de los Derechos Humanos 2016</w:t>
      </w:r>
      <w:r w:rsidRPr="004D7792">
        <w:rPr>
          <w:rFonts w:ascii="Khmer UI" w:hAnsi="Khmer UI" w:cs="Khmer UI"/>
        </w:rPr>
        <w:t>. Pág. 137.</w:t>
      </w:r>
    </w:p>
  </w:footnote>
  <w:footnote w:id="11">
    <w:p w14:paraId="1103064D"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PDH. </w:t>
      </w:r>
      <w:r w:rsidRPr="004D7792">
        <w:rPr>
          <w:rFonts w:ascii="Khmer UI" w:hAnsi="Khmer UI" w:cs="Khmer UI"/>
          <w:i/>
        </w:rPr>
        <w:t>Informe Anual Circunstanciado. Situación de los Derechos Humanos 2015</w:t>
      </w:r>
      <w:r w:rsidRPr="004D7792">
        <w:rPr>
          <w:rFonts w:ascii="Khmer UI" w:hAnsi="Khmer UI" w:cs="Khmer UI"/>
        </w:rPr>
        <w:t>. Pág. 155-156.</w:t>
      </w:r>
    </w:p>
  </w:footnote>
  <w:footnote w:id="12">
    <w:p w14:paraId="3C156382" w14:textId="77777777" w:rsidR="00EC65FA" w:rsidRPr="004D7792" w:rsidRDefault="00EC65FA" w:rsidP="005F0366">
      <w:pPr>
        <w:ind w:left="0"/>
        <w:jc w:val="both"/>
        <w:rPr>
          <w:rFonts w:ascii="Khmer UI" w:hAnsi="Khmer UI" w:cs="Khmer UI"/>
          <w:sz w:val="20"/>
          <w:szCs w:val="20"/>
        </w:rPr>
      </w:pPr>
      <w:r w:rsidRPr="004D7792">
        <w:rPr>
          <w:rStyle w:val="FootnoteReference"/>
          <w:rFonts w:ascii="Khmer UI" w:hAnsi="Khmer UI" w:cs="Khmer UI"/>
          <w:sz w:val="20"/>
          <w:szCs w:val="20"/>
        </w:rPr>
        <w:footnoteRef/>
      </w:r>
      <w:r w:rsidRPr="004D7792">
        <w:rPr>
          <w:rFonts w:ascii="Khmer UI" w:hAnsi="Khmer UI" w:cs="Khmer UI"/>
          <w:sz w:val="20"/>
          <w:szCs w:val="20"/>
        </w:rPr>
        <w:t xml:space="preserve"> A 2014 se estimaba que las  personas de 60 años y más ascendían a 975,004, de las cuales el 7.54% (77,303) estaban cubiertas con pensión del Instituto Guatemalteco de Seguridad Social</w:t>
      </w:r>
      <w:r w:rsidRPr="004D7792">
        <w:rPr>
          <w:rStyle w:val="FootnoteReference"/>
          <w:rFonts w:ascii="Khmer UI" w:hAnsi="Khmer UI" w:cs="Khmer UI"/>
          <w:sz w:val="20"/>
          <w:szCs w:val="20"/>
        </w:rPr>
        <w:footnoteRef/>
      </w:r>
      <w:r w:rsidRPr="004D7792">
        <w:rPr>
          <w:rFonts w:ascii="Khmer UI" w:hAnsi="Khmer UI" w:cs="Khmer UI"/>
          <w:sz w:val="20"/>
          <w:szCs w:val="20"/>
        </w:rPr>
        <w:t>. A 2015 la pensión mínima otorgada ascendía a Q 340.00 (US$ 46.32) y la máxima no excedía de Q 4,800.00 (US$ 655.74) y a finales de ese año la Canasta Básica Alimentaría ascendía a un costo mensual de Q 3,507.60 (US$ 477.87).</w:t>
      </w:r>
    </w:p>
  </w:footnote>
  <w:footnote w:id="13">
    <w:p w14:paraId="1B973A29"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w:t>
      </w:r>
      <w:r w:rsidRPr="004D7792">
        <w:rPr>
          <w:rFonts w:ascii="Khmer UI" w:hAnsi="Khmer UI" w:cs="Khmer UI"/>
          <w:lang w:eastAsia="es-GT"/>
        </w:rPr>
        <w:t>La política pública para la atención de las necesidades de este grupo etario no tiene un enfoque de derechos y las acciones que se impulsan son programas asistencialistas que cubren una mínima parte del total de la población de personas mayores, sin garantizarles un trato digno, sino concibiéndolos como un sector desvalido.</w:t>
      </w:r>
    </w:p>
  </w:footnote>
  <w:footnote w:id="14">
    <w:p w14:paraId="139EF8C2"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PDH. </w:t>
      </w:r>
      <w:r w:rsidRPr="004D7792">
        <w:rPr>
          <w:rFonts w:ascii="Khmer UI" w:hAnsi="Khmer UI" w:cs="Khmer UI"/>
          <w:i/>
        </w:rPr>
        <w:t>Informe Circunstanciado Situación de los Derechos Humanos y Memoria de Labores 2014</w:t>
      </w:r>
      <w:r w:rsidRPr="004D7792">
        <w:rPr>
          <w:rFonts w:ascii="Khmer UI" w:hAnsi="Khmer UI" w:cs="Khmer UI"/>
        </w:rPr>
        <w:t xml:space="preserve"> y PDH. </w:t>
      </w:r>
      <w:r w:rsidRPr="004D7792">
        <w:rPr>
          <w:rFonts w:ascii="Khmer UI" w:hAnsi="Khmer UI" w:cs="Khmer UI"/>
          <w:i/>
        </w:rPr>
        <w:t>Informe Circunstanciado Situación de los Derechos Humanos</w:t>
      </w:r>
      <w:r w:rsidRPr="004D7792">
        <w:rPr>
          <w:rFonts w:ascii="Khmer UI" w:hAnsi="Khmer UI" w:cs="Khmer UI"/>
        </w:rPr>
        <w:t xml:space="preserve"> </w:t>
      </w:r>
      <w:r w:rsidRPr="004D7792">
        <w:rPr>
          <w:rFonts w:ascii="Khmer UI" w:hAnsi="Khmer UI" w:cs="Khmer UI"/>
          <w:i/>
        </w:rPr>
        <w:t>y Memoria de Labores 2015</w:t>
      </w:r>
      <w:r w:rsidRPr="004D7792">
        <w:rPr>
          <w:rFonts w:ascii="Khmer UI" w:hAnsi="Khmer UI" w:cs="Khmer UI"/>
        </w:rPr>
        <w:t>.</w:t>
      </w:r>
    </w:p>
  </w:footnote>
  <w:footnote w:id="15">
    <w:p w14:paraId="54B9F75A"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PDH. </w:t>
      </w:r>
      <w:r w:rsidRPr="004D7792">
        <w:rPr>
          <w:rFonts w:ascii="Khmer UI" w:hAnsi="Khmer UI" w:cs="Khmer UI"/>
          <w:i/>
        </w:rPr>
        <w:t>Informe Circunstanciado Situación de los Derechos Humanos y Memoria de Labores 2015.</w:t>
      </w:r>
      <w:r w:rsidRPr="004D7792">
        <w:rPr>
          <w:rFonts w:ascii="Khmer UI" w:hAnsi="Khmer UI" w:cs="Khmer UI"/>
        </w:rPr>
        <w:t xml:space="preserve"> Págs. 153 y 154.</w:t>
      </w:r>
    </w:p>
  </w:footnote>
  <w:footnote w:id="16">
    <w:p w14:paraId="7D531F78"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PDH. Informe Anual Circunstanciado de Actividades y de la Situación de los Derechos Humanos 2018. Pág. 262.</w:t>
      </w:r>
    </w:p>
  </w:footnote>
  <w:footnote w:id="17">
    <w:p w14:paraId="78EB2E62"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Ministerio de Desarrollo Social. Acuerdo Ministerial Número DS-82-2017. 5 de octubre de 2017.</w:t>
      </w:r>
    </w:p>
  </w:footnote>
  <w:footnote w:id="18">
    <w:p w14:paraId="715F661A"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Ministerio de Desarrollo Social. Unidad de Información Pública. MIDES-IP-0069-2019/wacs. 24 de marzo de 2019.</w:t>
      </w:r>
    </w:p>
  </w:footnote>
  <w:footnote w:id="19">
    <w:p w14:paraId="73DCE110"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Ministerio de Desarrollo Social. Manual Operativo Programa Social Mi Comedor Seguro. Cuarta Versión. Octubre de 2017.</w:t>
      </w:r>
    </w:p>
  </w:footnote>
  <w:footnote w:id="20">
    <w:p w14:paraId="7BB3191F"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Ministerio de Desarrollo Social. Unidad de Información Pública. MIDES-IP-0069-2019/wacs. 24 de marzo de 2019.</w:t>
      </w:r>
    </w:p>
  </w:footnote>
  <w:footnote w:id="21">
    <w:p w14:paraId="20D7B346"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Ministerio de Salud Pública y Asistencia Social. Unidad de Información Pública. Expediente UNIP-SI-331-2019. 14 de marzo de 2019.</w:t>
      </w:r>
    </w:p>
  </w:footnote>
  <w:footnote w:id="22">
    <w:p w14:paraId="0E054565"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Ministerio de Salud Pública y Asistencia Social. Unidad de Información Pública. Expediente UNIP-SI-331-2019. 14 de marzo de 2019.</w:t>
      </w:r>
    </w:p>
  </w:footnote>
  <w:footnote w:id="23">
    <w:p w14:paraId="7B43F9AC"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Procuraduría General de la Nación. Acceso a Información Pública. Resolución Oficio No. 109-2019. 15 de febrero de 2019.</w:t>
      </w:r>
    </w:p>
  </w:footnote>
  <w:footnote w:id="24">
    <w:p w14:paraId="79CE2E59"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Procuraduría General de la Nación. Acceso a Información Pública. Resolución Oficio No. 109-2019. 15 de febrero de 2019.</w:t>
      </w:r>
    </w:p>
  </w:footnote>
  <w:footnote w:id="25">
    <w:p w14:paraId="75D4F7B4" w14:textId="77777777" w:rsidR="00EC65FA" w:rsidRPr="004D7792" w:rsidRDefault="00EC65FA" w:rsidP="005F0366">
      <w:pPr>
        <w:pStyle w:val="FootnoteText"/>
        <w:jc w:val="both"/>
        <w:rPr>
          <w:rFonts w:ascii="Khmer UI" w:hAnsi="Khmer UI" w:cs="Khmer UI"/>
          <w:lang w:val="es-ES"/>
        </w:rPr>
      </w:pPr>
      <w:r w:rsidRPr="004D7792">
        <w:rPr>
          <w:rStyle w:val="FootnoteReference"/>
          <w:rFonts w:ascii="Khmer UI" w:hAnsi="Khmer UI" w:cs="Khmer UI"/>
        </w:rPr>
        <w:footnoteRef/>
      </w:r>
      <w:r w:rsidRPr="004D7792">
        <w:rPr>
          <w:rFonts w:ascii="Khmer UI" w:hAnsi="Khmer UI" w:cs="Khmer UI"/>
          <w:lang w:val="es-ES"/>
        </w:rPr>
        <w:t xml:space="preserve"> Decreto No. 85-2005. Ley del Programa del Económico del Adulto Mayor.</w:t>
      </w:r>
    </w:p>
  </w:footnote>
  <w:footnote w:id="26">
    <w:p w14:paraId="062F9979" w14:textId="77777777" w:rsidR="00EC65FA" w:rsidRPr="004D7792" w:rsidRDefault="00EC65FA" w:rsidP="005F0366">
      <w:pPr>
        <w:pStyle w:val="FootnoteText"/>
        <w:jc w:val="both"/>
        <w:rPr>
          <w:rFonts w:ascii="Khmer UI" w:hAnsi="Khmer UI" w:cs="Khmer UI"/>
          <w:lang w:val="es-ES"/>
        </w:rPr>
      </w:pPr>
      <w:r w:rsidRPr="004D7792">
        <w:rPr>
          <w:rStyle w:val="FootnoteReference"/>
          <w:rFonts w:ascii="Khmer UI" w:hAnsi="Khmer UI" w:cs="Khmer UI"/>
        </w:rPr>
        <w:footnoteRef/>
      </w:r>
      <w:r w:rsidRPr="004D7792">
        <w:rPr>
          <w:rFonts w:ascii="Khmer UI" w:hAnsi="Khmer UI" w:cs="Khmer UI"/>
          <w:lang w:val="es-ES"/>
        </w:rPr>
        <w:t xml:space="preserve"> Monitoreo realizado en el año 2017 por Defensoría de Personas Mayores, reflejó que había 35,043 solicitudes pendientes de resolver.</w:t>
      </w:r>
    </w:p>
  </w:footnote>
  <w:footnote w:id="27">
    <w:p w14:paraId="6B1F6BC7"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Procurador de los Derechos Humanos. Informe Anual Circunstanciado 2016. Pág. 126</w:t>
      </w:r>
    </w:p>
  </w:footnote>
  <w:footnote w:id="28">
    <w:p w14:paraId="2F76B3AB"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Procuraduría General de la Nación. Acceso a Información Pública. Resolución Oficio No. 109-2019. 15 de febrero de 2019.</w:t>
      </w:r>
    </w:p>
  </w:footnote>
  <w:footnote w:id="29">
    <w:p w14:paraId="77D7830E" w14:textId="77777777" w:rsidR="004D7792" w:rsidRPr="004D7792" w:rsidRDefault="004D7792" w:rsidP="004D7792">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Procuraduría General de la Nación. Acceso a Información Pública. Resolución Oficio No. 109-2019. 15 de febrero de 2019.</w:t>
      </w:r>
    </w:p>
  </w:footnote>
  <w:footnote w:id="30">
    <w:p w14:paraId="21CBAB6C" w14:textId="77777777" w:rsidR="00EC65FA" w:rsidRPr="004D7792" w:rsidRDefault="00EC65FA" w:rsidP="005F0366">
      <w:pPr>
        <w:pStyle w:val="ListParagraph"/>
        <w:ind w:left="0"/>
        <w:jc w:val="both"/>
        <w:rPr>
          <w:rFonts w:ascii="Khmer UI" w:hAnsi="Khmer UI" w:cs="Khmer UI"/>
          <w:sz w:val="20"/>
          <w:szCs w:val="20"/>
        </w:rPr>
      </w:pPr>
      <w:r w:rsidRPr="004D7792">
        <w:rPr>
          <w:rStyle w:val="FootnoteReference"/>
          <w:rFonts w:ascii="Khmer UI" w:hAnsi="Khmer UI" w:cs="Khmer UI"/>
          <w:sz w:val="20"/>
          <w:szCs w:val="20"/>
        </w:rPr>
        <w:footnoteRef/>
      </w:r>
      <w:r w:rsidRPr="004D7792">
        <w:rPr>
          <w:rFonts w:ascii="Khmer UI" w:hAnsi="Khmer UI" w:cs="Khmer UI"/>
          <w:sz w:val="20"/>
          <w:szCs w:val="20"/>
        </w:rPr>
        <w:t xml:space="preserve"> </w:t>
      </w:r>
      <w:r w:rsidRPr="004D7792">
        <w:rPr>
          <w:rFonts w:ascii="Khmer UI" w:hAnsi="Khmer UI" w:cs="Khmer UI"/>
          <w:sz w:val="20"/>
          <w:szCs w:val="20"/>
          <w:lang w:val="es-ES_tradnl"/>
        </w:rPr>
        <w:t>Patrana T, De Lima L, Wenk R, Eisenchlas J, Monti C, Rocafort J, Centeno C (2012). Atlas de Cuidados Paliativos de Latinoamérica ALCP. 1ª. Edición. Houston: IAHPC Press. Pág. 184</w:t>
      </w:r>
    </w:p>
  </w:footnote>
  <w:footnote w:id="31">
    <w:p w14:paraId="1D7C011D"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De prevención, detección temprana, tratamiento y de gestión</w:t>
      </w:r>
    </w:p>
  </w:footnote>
  <w:footnote w:id="32">
    <w:p w14:paraId="394375D3"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w:t>
      </w:r>
      <w:r w:rsidRPr="004D7792">
        <w:rPr>
          <w:rFonts w:ascii="Khmer UI" w:hAnsi="Khmer UI" w:cs="Khmer UI"/>
          <w:lang w:val="es-ES_tradnl"/>
        </w:rPr>
        <w:t>Patrana T, De Lima L, Wenk R, Eisenchlas J, Monti C, Rocafort J, Centeno C (2012). Atlas de Cuidados Paliativos de Latinoamérica ALCP. 1ª. Edición. Houston: IAHPC Press. Pág. 184</w:t>
      </w:r>
    </w:p>
  </w:footnote>
  <w:footnote w:id="33">
    <w:p w14:paraId="6C0BF3A5"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w:t>
      </w:r>
      <w:r w:rsidRPr="004D7792">
        <w:rPr>
          <w:rFonts w:ascii="Khmer UI" w:hAnsi="Khmer UI" w:cs="Khmer UI"/>
          <w:lang w:val="es-ES_tradnl"/>
        </w:rPr>
        <w:t>Patrana T, De Lima L, Wenk R, Eisenchlas J, Monti C, Rocafort J, Centeno C (2012). Atlas de Cuidados Paliativos de Latinoamérica ALCP. 1ª. Edición. Houston: IAHPC Press. Pág. 185</w:t>
      </w:r>
    </w:p>
  </w:footnote>
  <w:footnote w:id="34">
    <w:p w14:paraId="218EF289" w14:textId="77777777" w:rsidR="00EC65FA" w:rsidRPr="004D7792" w:rsidRDefault="00EC65FA" w:rsidP="005F0366">
      <w:pPr>
        <w:autoSpaceDE w:val="0"/>
        <w:autoSpaceDN w:val="0"/>
        <w:adjustRightInd w:val="0"/>
        <w:ind w:left="0"/>
        <w:jc w:val="both"/>
        <w:rPr>
          <w:rFonts w:ascii="Khmer UI" w:hAnsi="Khmer UI" w:cs="Khmer UI"/>
          <w:sz w:val="20"/>
          <w:szCs w:val="20"/>
        </w:rPr>
      </w:pPr>
      <w:r w:rsidRPr="004D7792">
        <w:rPr>
          <w:rStyle w:val="FootnoteReference"/>
          <w:rFonts w:ascii="Khmer UI" w:hAnsi="Khmer UI" w:cs="Khmer UI"/>
          <w:sz w:val="20"/>
          <w:szCs w:val="20"/>
        </w:rPr>
        <w:footnoteRef/>
      </w:r>
      <w:r w:rsidRPr="004D7792">
        <w:rPr>
          <w:rFonts w:ascii="Khmer UI" w:hAnsi="Khmer UI" w:cs="Khmer UI"/>
          <w:sz w:val="20"/>
          <w:szCs w:val="20"/>
        </w:rPr>
        <w:t xml:space="preserve"> Que debería abordar, entre otros aspectos, los</w:t>
      </w:r>
      <w:r w:rsidRPr="004D7792">
        <w:rPr>
          <w:rFonts w:ascii="Khmer UI" w:hAnsi="Khmer UI" w:cs="Khmer UI"/>
          <w:sz w:val="20"/>
          <w:szCs w:val="20"/>
          <w:lang w:eastAsia="es-GT"/>
        </w:rPr>
        <w:t xml:space="preserve"> obstáculos que se interponen al desarrollo del tratamiento del dolor y los cuidados paliativos, incluidos obstáculos en materia de políticas, reglamentaciones, educación y de otro tipo.</w:t>
      </w:r>
    </w:p>
  </w:footnote>
  <w:footnote w:id="35">
    <w:p w14:paraId="03FB3356" w14:textId="77777777" w:rsidR="00EC65FA" w:rsidRPr="004D7792" w:rsidRDefault="00EC65FA" w:rsidP="005F0366">
      <w:pPr>
        <w:autoSpaceDE w:val="0"/>
        <w:autoSpaceDN w:val="0"/>
        <w:adjustRightInd w:val="0"/>
        <w:ind w:left="0"/>
        <w:jc w:val="both"/>
        <w:rPr>
          <w:rFonts w:ascii="Khmer UI" w:hAnsi="Khmer UI" w:cs="Khmer UI"/>
          <w:sz w:val="20"/>
          <w:szCs w:val="20"/>
        </w:rPr>
      </w:pPr>
      <w:r w:rsidRPr="004D7792">
        <w:rPr>
          <w:rStyle w:val="FootnoteReference"/>
          <w:rFonts w:ascii="Khmer UI" w:hAnsi="Khmer UI" w:cs="Khmer UI"/>
          <w:sz w:val="20"/>
          <w:szCs w:val="20"/>
        </w:rPr>
        <w:footnoteRef/>
      </w:r>
      <w:r w:rsidRPr="00A30EA3">
        <w:rPr>
          <w:rFonts w:ascii="Khmer UI" w:hAnsi="Khmer UI" w:cs="Khmer UI"/>
          <w:sz w:val="20"/>
          <w:szCs w:val="20"/>
          <w:lang w:val="en-US"/>
        </w:rPr>
        <w:t xml:space="preserve">  Human Rights Watch. “Castigar al paciente. </w:t>
      </w:r>
      <w:r w:rsidRPr="004D7792">
        <w:rPr>
          <w:rFonts w:ascii="Khmer UI" w:hAnsi="Khmer UI" w:cs="Khmer UI"/>
          <w:sz w:val="20"/>
          <w:szCs w:val="20"/>
        </w:rPr>
        <w:t>Garantizar el acceso al tratamiento del dolor en Guatemala. 2017. Mayo 2017. Pág. 67.</w:t>
      </w:r>
    </w:p>
  </w:footnote>
  <w:footnote w:id="36">
    <w:p w14:paraId="56ED1B3F" w14:textId="77777777" w:rsidR="00EC65FA" w:rsidRPr="004D7792" w:rsidRDefault="00EC65FA" w:rsidP="005F0366">
      <w:pPr>
        <w:autoSpaceDE w:val="0"/>
        <w:autoSpaceDN w:val="0"/>
        <w:adjustRightInd w:val="0"/>
        <w:ind w:left="0"/>
        <w:jc w:val="both"/>
        <w:rPr>
          <w:rFonts w:ascii="Khmer UI" w:hAnsi="Khmer UI" w:cs="Khmer UI"/>
          <w:sz w:val="20"/>
          <w:szCs w:val="20"/>
        </w:rPr>
      </w:pPr>
      <w:r w:rsidRPr="004D7792">
        <w:rPr>
          <w:rStyle w:val="FootnoteReference"/>
          <w:rFonts w:ascii="Khmer UI" w:hAnsi="Khmer UI" w:cs="Khmer UI"/>
          <w:sz w:val="20"/>
          <w:szCs w:val="20"/>
        </w:rPr>
        <w:footnoteRef/>
      </w:r>
      <w:r w:rsidRPr="004D7792">
        <w:rPr>
          <w:rFonts w:ascii="Khmer UI" w:hAnsi="Khmer UI" w:cs="Khmer UI"/>
          <w:sz w:val="20"/>
          <w:szCs w:val="20"/>
        </w:rPr>
        <w:t xml:space="preserve"> </w:t>
      </w:r>
      <w:r w:rsidRPr="004D7792">
        <w:rPr>
          <w:rFonts w:ascii="Khmer UI" w:hAnsi="Khmer UI" w:cs="Khmer UI"/>
          <w:sz w:val="20"/>
          <w:szCs w:val="20"/>
          <w:lang w:eastAsia="es-GT"/>
        </w:rPr>
        <w:t xml:space="preserve">Asociación Latinoamericana de Cuidados Paliativos (ALCP); Federación Latinoamericana de Asociaciones para el Estudio; International Association for Hospice and Palliative Care (IAHPC); Grünenthal Foundation for palliative medicine del Dolor (FEDELAT). Dossier 2018 </w:t>
      </w:r>
      <w:r w:rsidRPr="004D7792">
        <w:rPr>
          <w:rFonts w:ascii="Khmer UI" w:hAnsi="Khmer UI" w:cs="Khmer UI"/>
          <w:sz w:val="20"/>
          <w:szCs w:val="20"/>
        </w:rPr>
        <w:t>CP-FESS. Cuidados Paliativos – Fortaleciendo el Sistema Sociosanitario.</w:t>
      </w:r>
    </w:p>
  </w:footnote>
  <w:footnote w:id="37">
    <w:p w14:paraId="613B11C8" w14:textId="77777777" w:rsidR="00EC65FA" w:rsidRPr="004D7792" w:rsidRDefault="00EC65FA" w:rsidP="005F0366">
      <w:pPr>
        <w:autoSpaceDE w:val="0"/>
        <w:autoSpaceDN w:val="0"/>
        <w:adjustRightInd w:val="0"/>
        <w:ind w:left="0"/>
        <w:jc w:val="both"/>
        <w:rPr>
          <w:rFonts w:ascii="Khmer UI" w:hAnsi="Khmer UI" w:cs="Khmer UI"/>
          <w:sz w:val="20"/>
          <w:szCs w:val="20"/>
        </w:rPr>
      </w:pPr>
      <w:r w:rsidRPr="004D7792">
        <w:rPr>
          <w:rStyle w:val="FootnoteReference"/>
          <w:rFonts w:ascii="Khmer UI" w:hAnsi="Khmer UI" w:cs="Khmer UI"/>
          <w:sz w:val="20"/>
          <w:szCs w:val="20"/>
        </w:rPr>
        <w:footnoteRef/>
      </w:r>
      <w:r w:rsidRPr="004D7792">
        <w:rPr>
          <w:rFonts w:ascii="Khmer UI" w:hAnsi="Khmer UI" w:cs="Khmer UI"/>
          <w:sz w:val="20"/>
          <w:szCs w:val="20"/>
        </w:rPr>
        <w:t xml:space="preserve"> </w:t>
      </w:r>
      <w:r w:rsidRPr="004D7792">
        <w:rPr>
          <w:rFonts w:ascii="Khmer UI" w:hAnsi="Khmer UI" w:cs="Khmer UI"/>
          <w:sz w:val="20"/>
          <w:szCs w:val="20"/>
          <w:lang w:eastAsia="es-GT"/>
        </w:rPr>
        <w:t xml:space="preserve">Asociación Latinoamericana de Cuidados Paliativos (ALCP); Federación Latinoamericana de Asociaciones para el Estudio; International Association for Hospice and Palliative Care (IAHPC); Grünenthal Foundation for palliative medicine del Dolor (FEDELAT). Dossier 2018 </w:t>
      </w:r>
      <w:r w:rsidRPr="004D7792">
        <w:rPr>
          <w:rFonts w:ascii="Khmer UI" w:hAnsi="Khmer UI" w:cs="Khmer UI"/>
          <w:sz w:val="20"/>
          <w:szCs w:val="20"/>
        </w:rPr>
        <w:t>CP-FESS. Cuidados Paliativos – Fortaleciendo el Sistema Sociosanitario.</w:t>
      </w:r>
    </w:p>
  </w:footnote>
  <w:footnote w:id="38">
    <w:p w14:paraId="322613F4"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Procuraduría General de la Nación. Acceso a Información Pública. Resolución Oficio No. 109-2019. 15 de febrero de 2019.</w:t>
      </w:r>
    </w:p>
  </w:footnote>
  <w:footnote w:id="39">
    <w:p w14:paraId="79D83980"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Procuraduría General de la Nación. Acceso a Información Pública. Resolución Oficio No. 109-2019. 15 de febrero de 2019.</w:t>
      </w:r>
    </w:p>
  </w:footnote>
  <w:footnote w:id="40">
    <w:p w14:paraId="7722D6BD" w14:textId="77777777" w:rsidR="00EC65FA" w:rsidRPr="004D7792" w:rsidRDefault="00EC65FA" w:rsidP="005F0366">
      <w:pPr>
        <w:pStyle w:val="FootnoteText"/>
        <w:jc w:val="both"/>
        <w:rPr>
          <w:rFonts w:ascii="Khmer UI" w:hAnsi="Khmer UI" w:cs="Khmer UI"/>
          <w:lang w:val="es-ES"/>
        </w:rPr>
      </w:pPr>
      <w:r w:rsidRPr="004D7792">
        <w:rPr>
          <w:rStyle w:val="FootnoteReference"/>
          <w:rFonts w:ascii="Khmer UI" w:hAnsi="Khmer UI" w:cs="Khmer UI"/>
        </w:rPr>
        <w:footnoteRef/>
      </w:r>
      <w:r w:rsidRPr="004D7792">
        <w:rPr>
          <w:rFonts w:ascii="Khmer UI" w:hAnsi="Khmer UI" w:cs="Khmer UI"/>
          <w:lang w:val="es-ES"/>
        </w:rPr>
        <w:t xml:space="preserve"> Normativa para la Autorización, Regulación y control de Establecimiento de atención y cuidado a las personas Adultas Mayores. El ente regulador el Departamento de Regulación Acreditación y Control de Establecimientos de Salud (DRACES).</w:t>
      </w:r>
    </w:p>
  </w:footnote>
  <w:footnote w:id="41">
    <w:p w14:paraId="0E94F897" w14:textId="77777777" w:rsidR="00EC65FA" w:rsidRPr="004D7792" w:rsidRDefault="00EC65FA" w:rsidP="005F0366">
      <w:pPr>
        <w:pStyle w:val="FootnoteText"/>
        <w:jc w:val="both"/>
        <w:rPr>
          <w:rFonts w:ascii="Khmer UI" w:hAnsi="Khmer UI" w:cs="Khmer UI"/>
          <w:lang w:val="es-ES"/>
        </w:rPr>
      </w:pPr>
      <w:r w:rsidRPr="004D7792">
        <w:rPr>
          <w:rStyle w:val="FootnoteReference"/>
          <w:rFonts w:ascii="Khmer UI" w:hAnsi="Khmer UI" w:cs="Khmer UI"/>
        </w:rPr>
        <w:footnoteRef/>
      </w:r>
      <w:r w:rsidRPr="004D7792">
        <w:rPr>
          <w:rFonts w:ascii="Khmer UI" w:hAnsi="Khmer UI" w:cs="Khmer UI"/>
          <w:lang w:val="es-ES"/>
        </w:rPr>
        <w:t xml:space="preserve"> Artículo 10. Numeral 10.2. Normativa para la Autorización, Regulación y control de Establecimiento de atención y cuidado a las personas Adultas Mayores.</w:t>
      </w:r>
    </w:p>
  </w:footnote>
  <w:footnote w:id="42">
    <w:p w14:paraId="041169F0" w14:textId="77777777" w:rsidR="00214531" w:rsidRPr="004D7792" w:rsidRDefault="00214531" w:rsidP="00214531">
      <w:pPr>
        <w:pStyle w:val="FootnoteText"/>
        <w:jc w:val="both"/>
        <w:rPr>
          <w:rFonts w:ascii="Khmer UI" w:hAnsi="Khmer UI" w:cs="Khmer UI"/>
          <w:lang w:val="es-ES"/>
        </w:rPr>
      </w:pPr>
      <w:r w:rsidRPr="004D7792">
        <w:rPr>
          <w:rStyle w:val="FootnoteReference"/>
          <w:rFonts w:ascii="Khmer UI" w:hAnsi="Khmer UI" w:cs="Khmer UI"/>
        </w:rPr>
        <w:footnoteRef/>
      </w:r>
      <w:r w:rsidRPr="004D7792">
        <w:rPr>
          <w:rFonts w:ascii="Khmer UI" w:hAnsi="Khmer UI" w:cs="Khmer UI"/>
        </w:rPr>
        <w:t xml:space="preserve"> </w:t>
      </w:r>
      <w:r w:rsidRPr="004D7792">
        <w:rPr>
          <w:rFonts w:ascii="Khmer UI" w:hAnsi="Khmer UI" w:cs="Khmer UI"/>
          <w:lang w:val="es-ES"/>
        </w:rPr>
        <w:t>Decreto 80-96. Art. 11.</w:t>
      </w:r>
    </w:p>
  </w:footnote>
  <w:footnote w:id="43">
    <w:p w14:paraId="2B19CEB1"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Organismo Judicial. Of. No. 1633-2019/MEMA/slfe</w:t>
      </w:r>
    </w:p>
  </w:footnote>
  <w:footnote w:id="44">
    <w:p w14:paraId="181B201D" w14:textId="77777777" w:rsidR="00EC65FA" w:rsidRPr="004D7792" w:rsidRDefault="00EC65FA" w:rsidP="005F0366">
      <w:pPr>
        <w:pStyle w:val="Default"/>
        <w:jc w:val="both"/>
        <w:rPr>
          <w:rFonts w:ascii="Khmer UI" w:hAnsi="Khmer UI" w:cs="Khmer UI"/>
          <w:color w:val="auto"/>
          <w:sz w:val="20"/>
          <w:szCs w:val="20"/>
          <w:lang w:val="es-ES_tradnl"/>
        </w:rPr>
      </w:pPr>
      <w:r w:rsidRPr="004D7792">
        <w:rPr>
          <w:rStyle w:val="FootnoteReference"/>
          <w:rFonts w:ascii="Khmer UI" w:hAnsi="Khmer UI" w:cs="Khmer UI"/>
          <w:color w:val="auto"/>
          <w:sz w:val="20"/>
          <w:szCs w:val="20"/>
        </w:rPr>
        <w:footnoteRef/>
      </w:r>
      <w:r w:rsidRPr="004D7792">
        <w:rPr>
          <w:rFonts w:ascii="Khmer UI" w:hAnsi="Khmer UI" w:cs="Khmer UI"/>
          <w:color w:val="auto"/>
          <w:sz w:val="20"/>
          <w:szCs w:val="20"/>
        </w:rPr>
        <w:t xml:space="preserve"> Ministerio Público. </w:t>
      </w:r>
      <w:r w:rsidRPr="004D7792">
        <w:rPr>
          <w:rFonts w:ascii="Khmer UI" w:hAnsi="Khmer UI" w:cs="Khmer UI"/>
          <w:bCs/>
          <w:color w:val="auto"/>
          <w:sz w:val="20"/>
          <w:szCs w:val="20"/>
        </w:rPr>
        <w:t>RESOLUCIÓN UIP/G 2019- 001936 bacmda; EXP UIP2019-000831</w:t>
      </w:r>
    </w:p>
  </w:footnote>
  <w:footnote w:id="45">
    <w:p w14:paraId="63ABBAC5" w14:textId="77777777" w:rsidR="005F0366" w:rsidRPr="004D7792" w:rsidRDefault="005F0366" w:rsidP="005F0366">
      <w:pPr>
        <w:autoSpaceDE w:val="0"/>
        <w:autoSpaceDN w:val="0"/>
        <w:adjustRightInd w:val="0"/>
        <w:ind w:left="0"/>
        <w:jc w:val="both"/>
        <w:rPr>
          <w:rFonts w:ascii="Khmer UI" w:hAnsi="Khmer UI" w:cs="Khmer UI"/>
          <w:sz w:val="20"/>
          <w:szCs w:val="20"/>
          <w:lang w:val="es-ES_tradnl"/>
        </w:rPr>
      </w:pPr>
      <w:r w:rsidRPr="004D7792">
        <w:rPr>
          <w:rStyle w:val="FootnoteReference"/>
          <w:rFonts w:ascii="Khmer UI" w:hAnsi="Khmer UI" w:cs="Khmer UI"/>
          <w:sz w:val="20"/>
          <w:szCs w:val="20"/>
        </w:rPr>
        <w:footnoteRef/>
      </w:r>
      <w:r w:rsidRPr="004D7792">
        <w:rPr>
          <w:rFonts w:ascii="Khmer UI" w:hAnsi="Khmer UI" w:cs="Khmer UI"/>
          <w:sz w:val="20"/>
          <w:szCs w:val="20"/>
        </w:rPr>
        <w:t xml:space="preserve"> Oficio No. 1241 -2019/SVGS/ervm. Ref./Grupos Vulnerables. Guatemala, 14 de marzo del 2019</w:t>
      </w:r>
    </w:p>
  </w:footnote>
  <w:footnote w:id="46">
    <w:p w14:paraId="4E290749"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Procuraduría General de la Nación. Acceso a Información Pública. Resolución Oficio No. 109-2019. 15 de febrero de 2019.</w:t>
      </w:r>
    </w:p>
  </w:footnote>
  <w:footnote w:id="47">
    <w:p w14:paraId="17094EB1"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Procuraduría General de la Nación. Acceso a Información Pública. Resolución Oficio No. 109-2019. 15 de febrero de 2019</w:t>
      </w:r>
    </w:p>
  </w:footnote>
  <w:footnote w:id="48">
    <w:p w14:paraId="5B1CA79A" w14:textId="77777777" w:rsidR="00EC65FA" w:rsidRPr="004D7792" w:rsidRDefault="00EC65FA" w:rsidP="005F0366">
      <w:pPr>
        <w:pStyle w:val="FootnoteText"/>
        <w:jc w:val="both"/>
        <w:rPr>
          <w:rFonts w:ascii="Khmer UI" w:hAnsi="Khmer UI" w:cs="Khmer UI"/>
        </w:rPr>
      </w:pPr>
      <w:r w:rsidRPr="004D7792">
        <w:rPr>
          <w:rStyle w:val="FootnoteReference"/>
          <w:rFonts w:ascii="Khmer UI" w:hAnsi="Khmer UI" w:cs="Khmer UI"/>
        </w:rPr>
        <w:footnoteRef/>
      </w:r>
      <w:r w:rsidRPr="004D7792">
        <w:rPr>
          <w:rFonts w:ascii="Khmer UI" w:hAnsi="Khmer UI" w:cs="Khmer UI"/>
        </w:rPr>
        <w:t xml:space="preserve"> Según artículo 16 de Decreto 42/2001, Ley de Desarrollo Social.</w:t>
      </w:r>
    </w:p>
  </w:footnote>
  <w:footnote w:id="49">
    <w:p w14:paraId="7556ADD6" w14:textId="77777777" w:rsidR="00EC65FA" w:rsidRPr="004D7792" w:rsidRDefault="00EC65FA" w:rsidP="005F0366">
      <w:pPr>
        <w:pStyle w:val="FootnoteText"/>
        <w:jc w:val="both"/>
        <w:rPr>
          <w:rFonts w:ascii="Khmer UI" w:hAnsi="Khmer UI" w:cs="Khmer UI"/>
          <w:lang w:val="es-ES"/>
        </w:rPr>
      </w:pPr>
      <w:r w:rsidRPr="004D7792">
        <w:rPr>
          <w:rStyle w:val="FootnoteReference"/>
          <w:rFonts w:ascii="Khmer UI" w:hAnsi="Khmer UI" w:cs="Khmer UI"/>
        </w:rPr>
        <w:footnoteRef/>
      </w:r>
      <w:r w:rsidRPr="004D7792">
        <w:rPr>
          <w:rFonts w:ascii="Khmer UI" w:hAnsi="Khmer UI" w:cs="Khmer UI"/>
          <w:lang w:val="es-ES"/>
        </w:rPr>
        <w:t xml:space="preserve"> Normas mínimas  y Guía para la inclusión de las personas con discapacidad y adultas mayores en las emergencias y los desastres. Adaptación para Centroamérica. Documento elaborado por Asociación Fundación para la Cooperación y el Desarrollo Comunal de El Salvador (CORDES), Federación de Asociaciones de Personas con Discapacidad (FENOCORI), El Salvador y ArbeiteR-Samariter-Bund de Alemania (ASB). Con el apoyo y financiamiento de Ministerio de Cooperación Económica y Desarrollo de la República de Federal de Alemania.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75C9" w14:textId="77777777" w:rsidR="00A844A3" w:rsidRDefault="00A844A3">
    <w:pPr>
      <w:pStyle w:val="Header"/>
    </w:pPr>
    <w:r>
      <w:rPr>
        <w:noProof/>
        <w:lang w:eastAsia="es-GT"/>
      </w:rPr>
      <w:drawing>
        <wp:anchor distT="0" distB="0" distL="114300" distR="114300" simplePos="0" relativeHeight="251660288" behindDoc="1" locked="0" layoutInCell="1" allowOverlap="1" wp14:anchorId="6B35F6B9" wp14:editId="104704D5">
          <wp:simplePos x="0" y="0"/>
          <wp:positionH relativeFrom="margin">
            <wp:posOffset>-975360</wp:posOffset>
          </wp:positionH>
          <wp:positionV relativeFrom="paragraph">
            <wp:posOffset>3795395</wp:posOffset>
          </wp:positionV>
          <wp:extent cx="7556500" cy="1388110"/>
          <wp:effectExtent l="0" t="0" r="6350" b="2540"/>
          <wp:wrapNone/>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dio.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88110"/>
                  </a:xfrm>
                  <a:prstGeom prst="rect">
                    <a:avLst/>
                  </a:prstGeom>
                </pic:spPr>
              </pic:pic>
            </a:graphicData>
          </a:graphic>
          <wp14:sizeRelH relativeFrom="page">
            <wp14:pctWidth>0</wp14:pctWidth>
          </wp14:sizeRelH>
          <wp14:sizeRelV relativeFrom="page">
            <wp14:pctHeight>0</wp14:pctHeight>
          </wp14:sizeRelV>
        </wp:anchor>
      </w:drawing>
    </w:r>
    <w:r>
      <w:rPr>
        <w:noProof/>
        <w:lang w:eastAsia="es-GT"/>
      </w:rPr>
      <w:drawing>
        <wp:anchor distT="0" distB="0" distL="114300" distR="114300" simplePos="0" relativeHeight="251658240" behindDoc="0" locked="0" layoutInCell="1" allowOverlap="1" wp14:anchorId="0F9108F8" wp14:editId="4A11BE4D">
          <wp:simplePos x="0" y="0"/>
          <wp:positionH relativeFrom="column">
            <wp:posOffset>-956310</wp:posOffset>
          </wp:positionH>
          <wp:positionV relativeFrom="paragraph">
            <wp:posOffset>-384175</wp:posOffset>
          </wp:positionV>
          <wp:extent cx="7515225" cy="962025"/>
          <wp:effectExtent l="0" t="0" r="9525" b="9525"/>
          <wp:wrapThrough wrapText="bothSides">
            <wp:wrapPolygon edited="0">
              <wp:start x="0" y="0"/>
              <wp:lineTo x="0" y="21386"/>
              <wp:lineTo x="21573" y="21386"/>
              <wp:lineTo x="21573" y="0"/>
              <wp:lineTo x="0" y="0"/>
            </wp:wrapPolygon>
          </wp:wrapThrough>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png"/>
                  <pic:cNvPicPr/>
                </pic:nvPicPr>
                <pic:blipFill>
                  <a:blip r:embed="rId2">
                    <a:extLst>
                      <a:ext uri="{28A0092B-C50C-407E-A947-70E740481C1C}">
                        <a14:useLocalDpi xmlns:a14="http://schemas.microsoft.com/office/drawing/2010/main" val="0"/>
                      </a:ext>
                    </a:extLst>
                  </a:blip>
                  <a:stretch>
                    <a:fillRect/>
                  </a:stretch>
                </pic:blipFill>
                <pic:spPr>
                  <a:xfrm>
                    <a:off x="0" y="0"/>
                    <a:ext cx="7515225" cy="962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2556"/>
    <w:multiLevelType w:val="hybridMultilevel"/>
    <w:tmpl w:val="320A14B0"/>
    <w:lvl w:ilvl="0" w:tplc="3EEAF374">
      <w:start w:val="1"/>
      <w:numFmt w:val="upperRoman"/>
      <w:lvlText w:val="%1."/>
      <w:lvlJc w:val="left"/>
      <w:pPr>
        <w:ind w:left="720" w:hanging="72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147468C6"/>
    <w:multiLevelType w:val="hybridMultilevel"/>
    <w:tmpl w:val="74787E7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29CF1536"/>
    <w:multiLevelType w:val="hybridMultilevel"/>
    <w:tmpl w:val="BFD2668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A960423"/>
    <w:multiLevelType w:val="hybridMultilevel"/>
    <w:tmpl w:val="19368556"/>
    <w:lvl w:ilvl="0" w:tplc="AFBEBD70">
      <w:start w:val="1"/>
      <w:numFmt w:val="decimal"/>
      <w:lvlText w:val="%1."/>
      <w:lvlJc w:val="left"/>
      <w:pPr>
        <w:ind w:left="785" w:hanging="360"/>
      </w:pPr>
      <w:rPr>
        <w:rFonts w:hint="default"/>
      </w:rPr>
    </w:lvl>
    <w:lvl w:ilvl="1" w:tplc="100A0019" w:tentative="1">
      <w:start w:val="1"/>
      <w:numFmt w:val="lowerLetter"/>
      <w:lvlText w:val="%2."/>
      <w:lvlJc w:val="left"/>
      <w:pPr>
        <w:ind w:left="1505" w:hanging="360"/>
      </w:pPr>
    </w:lvl>
    <w:lvl w:ilvl="2" w:tplc="100A001B" w:tentative="1">
      <w:start w:val="1"/>
      <w:numFmt w:val="lowerRoman"/>
      <w:lvlText w:val="%3."/>
      <w:lvlJc w:val="right"/>
      <w:pPr>
        <w:ind w:left="2225" w:hanging="180"/>
      </w:pPr>
    </w:lvl>
    <w:lvl w:ilvl="3" w:tplc="100A000F" w:tentative="1">
      <w:start w:val="1"/>
      <w:numFmt w:val="decimal"/>
      <w:lvlText w:val="%4."/>
      <w:lvlJc w:val="left"/>
      <w:pPr>
        <w:ind w:left="2945" w:hanging="360"/>
      </w:pPr>
    </w:lvl>
    <w:lvl w:ilvl="4" w:tplc="100A0019" w:tentative="1">
      <w:start w:val="1"/>
      <w:numFmt w:val="lowerLetter"/>
      <w:lvlText w:val="%5."/>
      <w:lvlJc w:val="left"/>
      <w:pPr>
        <w:ind w:left="3665" w:hanging="360"/>
      </w:pPr>
    </w:lvl>
    <w:lvl w:ilvl="5" w:tplc="100A001B" w:tentative="1">
      <w:start w:val="1"/>
      <w:numFmt w:val="lowerRoman"/>
      <w:lvlText w:val="%6."/>
      <w:lvlJc w:val="right"/>
      <w:pPr>
        <w:ind w:left="4385" w:hanging="180"/>
      </w:pPr>
    </w:lvl>
    <w:lvl w:ilvl="6" w:tplc="100A000F" w:tentative="1">
      <w:start w:val="1"/>
      <w:numFmt w:val="decimal"/>
      <w:lvlText w:val="%7."/>
      <w:lvlJc w:val="left"/>
      <w:pPr>
        <w:ind w:left="5105" w:hanging="360"/>
      </w:pPr>
    </w:lvl>
    <w:lvl w:ilvl="7" w:tplc="100A0019" w:tentative="1">
      <w:start w:val="1"/>
      <w:numFmt w:val="lowerLetter"/>
      <w:lvlText w:val="%8."/>
      <w:lvlJc w:val="left"/>
      <w:pPr>
        <w:ind w:left="5825" w:hanging="360"/>
      </w:pPr>
    </w:lvl>
    <w:lvl w:ilvl="8" w:tplc="100A001B" w:tentative="1">
      <w:start w:val="1"/>
      <w:numFmt w:val="lowerRoman"/>
      <w:lvlText w:val="%9."/>
      <w:lvlJc w:val="right"/>
      <w:pPr>
        <w:ind w:left="6545" w:hanging="180"/>
      </w:pPr>
    </w:lvl>
  </w:abstractNum>
  <w:abstractNum w:abstractNumId="4" w15:restartNumberingAfterBreak="0">
    <w:nsid w:val="37405721"/>
    <w:multiLevelType w:val="hybridMultilevel"/>
    <w:tmpl w:val="953229AA"/>
    <w:lvl w:ilvl="0" w:tplc="100A0003">
      <w:start w:val="1"/>
      <w:numFmt w:val="bullet"/>
      <w:lvlText w:val="o"/>
      <w:lvlJc w:val="left"/>
      <w:pPr>
        <w:ind w:left="720" w:hanging="360"/>
      </w:pPr>
      <w:rPr>
        <w:rFonts w:ascii="Courier New" w:hAnsi="Courier New" w:cs="Courier New"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43D637D1"/>
    <w:multiLevelType w:val="hybridMultilevel"/>
    <w:tmpl w:val="0348474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489779F3"/>
    <w:multiLevelType w:val="hybridMultilevel"/>
    <w:tmpl w:val="BB7C1B40"/>
    <w:lvl w:ilvl="0" w:tplc="AD180510">
      <w:start w:val="1"/>
      <w:numFmt w:val="decimal"/>
      <w:lvlText w:val="%1."/>
      <w:lvlJc w:val="left"/>
      <w:pPr>
        <w:ind w:left="720" w:hanging="360"/>
      </w:pPr>
      <w:rPr>
        <w:rFonts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673476C2"/>
    <w:multiLevelType w:val="hybridMultilevel"/>
    <w:tmpl w:val="F01AD582"/>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8" w15:restartNumberingAfterBreak="0">
    <w:nsid w:val="693267C1"/>
    <w:multiLevelType w:val="hybridMultilevel"/>
    <w:tmpl w:val="90AED186"/>
    <w:lvl w:ilvl="0" w:tplc="7912348E">
      <w:start w:val="1"/>
      <w:numFmt w:val="decimal"/>
      <w:lvlText w:val="%1."/>
      <w:lvlJc w:val="left"/>
      <w:pPr>
        <w:ind w:left="720" w:hanging="360"/>
      </w:pPr>
      <w:rPr>
        <w:rFonts w:cs="Arial" w:hint="default"/>
        <w:sz w:val="24"/>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6B4D344F"/>
    <w:multiLevelType w:val="hybridMultilevel"/>
    <w:tmpl w:val="23F0F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E83D83"/>
    <w:multiLevelType w:val="hybridMultilevel"/>
    <w:tmpl w:val="992465FC"/>
    <w:lvl w:ilvl="0" w:tplc="52AC270E">
      <w:start w:val="1"/>
      <w:numFmt w:val="upperRoman"/>
      <w:lvlText w:val="%1."/>
      <w:lvlJc w:val="left"/>
      <w:pPr>
        <w:ind w:left="720" w:hanging="72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0"/>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8"/>
  </w:num>
  <w:num w:numId="7">
    <w:abstractNumId w:val="3"/>
  </w:num>
  <w:num w:numId="8">
    <w:abstractNumId w:val="5"/>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A3"/>
    <w:rsid w:val="0004019D"/>
    <w:rsid w:val="00040C3A"/>
    <w:rsid w:val="00041FFE"/>
    <w:rsid w:val="000542AD"/>
    <w:rsid w:val="000577E8"/>
    <w:rsid w:val="001208F4"/>
    <w:rsid w:val="001508CD"/>
    <w:rsid w:val="00151887"/>
    <w:rsid w:val="0018784B"/>
    <w:rsid w:val="001B00F2"/>
    <w:rsid w:val="001F3ED9"/>
    <w:rsid w:val="00214531"/>
    <w:rsid w:val="00227DFC"/>
    <w:rsid w:val="002A45E7"/>
    <w:rsid w:val="002B103B"/>
    <w:rsid w:val="003A714F"/>
    <w:rsid w:val="003A7D89"/>
    <w:rsid w:val="003D1C51"/>
    <w:rsid w:val="003E65D5"/>
    <w:rsid w:val="003F72D9"/>
    <w:rsid w:val="00421E8F"/>
    <w:rsid w:val="004749AA"/>
    <w:rsid w:val="004D7792"/>
    <w:rsid w:val="00504109"/>
    <w:rsid w:val="005A3014"/>
    <w:rsid w:val="005B17F7"/>
    <w:rsid w:val="005F0366"/>
    <w:rsid w:val="00664EF1"/>
    <w:rsid w:val="006A2887"/>
    <w:rsid w:val="006B1CB2"/>
    <w:rsid w:val="006E5BD8"/>
    <w:rsid w:val="0071119C"/>
    <w:rsid w:val="0076639F"/>
    <w:rsid w:val="00775418"/>
    <w:rsid w:val="007804C2"/>
    <w:rsid w:val="007976F3"/>
    <w:rsid w:val="007C5C70"/>
    <w:rsid w:val="00814C19"/>
    <w:rsid w:val="00826673"/>
    <w:rsid w:val="0084092B"/>
    <w:rsid w:val="00896CB2"/>
    <w:rsid w:val="008A4B99"/>
    <w:rsid w:val="008B0EE0"/>
    <w:rsid w:val="008B72B3"/>
    <w:rsid w:val="008D11D6"/>
    <w:rsid w:val="00957322"/>
    <w:rsid w:val="00975DFC"/>
    <w:rsid w:val="009A4828"/>
    <w:rsid w:val="00A30EA3"/>
    <w:rsid w:val="00A54339"/>
    <w:rsid w:val="00A566CA"/>
    <w:rsid w:val="00A844A3"/>
    <w:rsid w:val="00A8596E"/>
    <w:rsid w:val="00AA0664"/>
    <w:rsid w:val="00B341A9"/>
    <w:rsid w:val="00BA3F26"/>
    <w:rsid w:val="00BA6E73"/>
    <w:rsid w:val="00C10770"/>
    <w:rsid w:val="00C77E33"/>
    <w:rsid w:val="00CA426B"/>
    <w:rsid w:val="00CB5C29"/>
    <w:rsid w:val="00CD36FC"/>
    <w:rsid w:val="00CF44F0"/>
    <w:rsid w:val="00D13D3C"/>
    <w:rsid w:val="00D666EE"/>
    <w:rsid w:val="00D7785C"/>
    <w:rsid w:val="00DD59B5"/>
    <w:rsid w:val="00DF68EB"/>
    <w:rsid w:val="00E143E4"/>
    <w:rsid w:val="00E2373F"/>
    <w:rsid w:val="00E8682D"/>
    <w:rsid w:val="00EC65FA"/>
    <w:rsid w:val="00F261FD"/>
    <w:rsid w:val="00F612C1"/>
    <w:rsid w:val="00F86B95"/>
    <w:rsid w:val="00FD7B9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D2860"/>
  <w15:chartTrackingRefBased/>
  <w15:docId w15:val="{3A75A34F-6673-4171-849E-1D6D2AD5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6F3"/>
    <w:pPr>
      <w:spacing w:after="0" w:line="240" w:lineRule="auto"/>
      <w:ind w:left="42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4A3"/>
    <w:pPr>
      <w:tabs>
        <w:tab w:val="center" w:pos="4419"/>
        <w:tab w:val="right" w:pos="8838"/>
      </w:tabs>
    </w:pPr>
  </w:style>
  <w:style w:type="character" w:customStyle="1" w:styleId="HeaderChar">
    <w:name w:val="Header Char"/>
    <w:basedOn w:val="DefaultParagraphFont"/>
    <w:link w:val="Header"/>
    <w:uiPriority w:val="99"/>
    <w:rsid w:val="00A844A3"/>
  </w:style>
  <w:style w:type="paragraph" w:styleId="Footer">
    <w:name w:val="footer"/>
    <w:basedOn w:val="Normal"/>
    <w:link w:val="FooterChar"/>
    <w:uiPriority w:val="99"/>
    <w:unhideWhenUsed/>
    <w:rsid w:val="00A844A3"/>
    <w:pPr>
      <w:tabs>
        <w:tab w:val="center" w:pos="4419"/>
        <w:tab w:val="right" w:pos="8838"/>
      </w:tabs>
    </w:pPr>
  </w:style>
  <w:style w:type="character" w:customStyle="1" w:styleId="FooterChar">
    <w:name w:val="Footer Char"/>
    <w:basedOn w:val="DefaultParagraphFont"/>
    <w:link w:val="Footer"/>
    <w:uiPriority w:val="99"/>
    <w:rsid w:val="00A844A3"/>
  </w:style>
  <w:style w:type="paragraph" w:styleId="ListParagraph">
    <w:name w:val="List Paragraph"/>
    <w:basedOn w:val="Normal"/>
    <w:uiPriority w:val="34"/>
    <w:qFormat/>
    <w:rsid w:val="007976F3"/>
    <w:pPr>
      <w:ind w:left="720"/>
      <w:contextualSpacing/>
    </w:pPr>
    <w:rPr>
      <w:rFonts w:ascii="Calibri" w:hAnsi="Calibri" w:cs="Times New Roman"/>
    </w:rPr>
  </w:style>
  <w:style w:type="paragraph" w:styleId="FootnoteText">
    <w:name w:val="footnote text"/>
    <w:aliases w:val="Texto nota pie Car Car Car,Texto nota pie Car Car,Footnote Text Char,Footnote Text Char1 Char,Footnote Text Char2 Char Char,Footnote Text Char Char1 Char Char,Footnote Text Char1 Char Char Char Char,Footnote Text Char1 Char1 Char Char"/>
    <w:basedOn w:val="Normal"/>
    <w:link w:val="FootnoteTextChar1"/>
    <w:uiPriority w:val="99"/>
    <w:unhideWhenUsed/>
    <w:rsid w:val="007C5C70"/>
    <w:pPr>
      <w:ind w:left="0"/>
    </w:pPr>
    <w:rPr>
      <w:sz w:val="20"/>
      <w:szCs w:val="20"/>
    </w:rPr>
  </w:style>
  <w:style w:type="character" w:customStyle="1" w:styleId="FootnoteTextChar1">
    <w:name w:val="Footnote Text Char1"/>
    <w:aliases w:val="Texto nota pie Car Car Car Char,Texto nota pie Car Car Char,Footnote Text Char Char,Footnote Text Char1 Char Char,Footnote Text Char2 Char Char Char,Footnote Text Char Char1 Char Char Char,Footnote Text Char1 Char Char Char Char Char"/>
    <w:basedOn w:val="DefaultParagraphFont"/>
    <w:link w:val="FootnoteText"/>
    <w:uiPriority w:val="99"/>
    <w:rsid w:val="007C5C70"/>
    <w:rPr>
      <w:sz w:val="20"/>
      <w:szCs w:val="20"/>
    </w:rPr>
  </w:style>
  <w:style w:type="character" w:styleId="FootnoteReference">
    <w:name w:val="footnote reference"/>
    <w:aliases w:val="4_G,callout,Fago Fußnotenzeichen,Texto de nota al pie,Appel note de bas de page,Footnotes refss,f,Footnote number,referencia nota al pie,BVI fnr,Footnotes refss Char,Texto de nota al pie Char,Appel note de bas de page Char,4_G Car"/>
    <w:basedOn w:val="DefaultParagraphFont"/>
    <w:link w:val="f1"/>
    <w:uiPriority w:val="99"/>
    <w:unhideWhenUsed/>
    <w:qFormat/>
    <w:rsid w:val="007C5C70"/>
    <w:rPr>
      <w:vertAlign w:val="superscript"/>
    </w:rPr>
  </w:style>
  <w:style w:type="character" w:styleId="Hyperlink">
    <w:name w:val="Hyperlink"/>
    <w:basedOn w:val="DefaultParagraphFont"/>
    <w:uiPriority w:val="99"/>
    <w:unhideWhenUsed/>
    <w:rsid w:val="0004019D"/>
    <w:rPr>
      <w:color w:val="0563C1" w:themeColor="hyperlink"/>
      <w:u w:val="single"/>
    </w:rPr>
  </w:style>
  <w:style w:type="character" w:styleId="FollowedHyperlink">
    <w:name w:val="FollowedHyperlink"/>
    <w:basedOn w:val="DefaultParagraphFont"/>
    <w:uiPriority w:val="99"/>
    <w:semiHidden/>
    <w:unhideWhenUsed/>
    <w:rsid w:val="0004019D"/>
    <w:rPr>
      <w:color w:val="954F72" w:themeColor="followedHyperlink"/>
      <w:u w:val="single"/>
    </w:rPr>
  </w:style>
  <w:style w:type="paragraph" w:styleId="HTMLPreformatted">
    <w:name w:val="HTML Preformatted"/>
    <w:basedOn w:val="Normal"/>
    <w:link w:val="HTMLPreformattedChar"/>
    <w:uiPriority w:val="99"/>
    <w:unhideWhenUsed/>
    <w:rsid w:val="00EC6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lang w:eastAsia="es-GT"/>
    </w:rPr>
  </w:style>
  <w:style w:type="character" w:customStyle="1" w:styleId="HTMLPreformattedChar">
    <w:name w:val="HTML Preformatted Char"/>
    <w:basedOn w:val="DefaultParagraphFont"/>
    <w:link w:val="HTMLPreformatted"/>
    <w:uiPriority w:val="99"/>
    <w:rsid w:val="00EC65FA"/>
    <w:rPr>
      <w:rFonts w:ascii="Courier New" w:eastAsia="Times New Roman" w:hAnsi="Courier New" w:cs="Courier New"/>
      <w:sz w:val="20"/>
      <w:szCs w:val="20"/>
      <w:lang w:eastAsia="es-GT"/>
    </w:rPr>
  </w:style>
  <w:style w:type="paragraph" w:customStyle="1" w:styleId="f1">
    <w:name w:val="f1"/>
    <w:aliases w:val="Ref. de nota al pie.,Footnote symbol,Footnote,16 Point,Superscript 6 Point,Texto nota al pie,Ref. de nota al pi,Re"/>
    <w:basedOn w:val="Normal"/>
    <w:link w:val="FootnoteReference"/>
    <w:uiPriority w:val="99"/>
    <w:rsid w:val="00EC65FA"/>
    <w:pPr>
      <w:spacing w:after="160" w:line="240" w:lineRule="exact"/>
      <w:ind w:left="0"/>
    </w:pPr>
    <w:rPr>
      <w:vertAlign w:val="superscript"/>
    </w:rPr>
  </w:style>
  <w:style w:type="paragraph" w:customStyle="1" w:styleId="Pa2">
    <w:name w:val="Pa2"/>
    <w:basedOn w:val="Normal"/>
    <w:next w:val="Normal"/>
    <w:uiPriority w:val="99"/>
    <w:rsid w:val="00EC65FA"/>
    <w:pPr>
      <w:autoSpaceDE w:val="0"/>
      <w:autoSpaceDN w:val="0"/>
      <w:adjustRightInd w:val="0"/>
      <w:spacing w:line="221" w:lineRule="atLeast"/>
      <w:ind w:left="0"/>
    </w:pPr>
    <w:rPr>
      <w:rFonts w:ascii="CastleT" w:eastAsia="Times New Roman" w:hAnsi="CastleT" w:cs="Times New Roman"/>
      <w:sz w:val="24"/>
      <w:szCs w:val="24"/>
      <w:lang w:eastAsia="es-GT"/>
    </w:rPr>
  </w:style>
  <w:style w:type="paragraph" w:customStyle="1" w:styleId="Default">
    <w:name w:val="Default"/>
    <w:rsid w:val="00EC65FA"/>
    <w:pPr>
      <w:autoSpaceDE w:val="0"/>
      <w:autoSpaceDN w:val="0"/>
      <w:adjustRightInd w:val="0"/>
      <w:spacing w:after="0" w:line="240" w:lineRule="auto"/>
    </w:pPr>
    <w:rPr>
      <w:rFonts w:ascii="Arial" w:eastAsia="Times New Roman" w:hAnsi="Arial" w:cs="Arial"/>
      <w:color w:val="000000"/>
      <w:sz w:val="24"/>
      <w:szCs w:val="24"/>
      <w:lang w:eastAsia="es-GT"/>
    </w:rPr>
  </w:style>
  <w:style w:type="paragraph" w:styleId="BalloonText">
    <w:name w:val="Balloon Text"/>
    <w:basedOn w:val="Normal"/>
    <w:link w:val="BalloonTextChar"/>
    <w:uiPriority w:val="99"/>
    <w:semiHidden/>
    <w:unhideWhenUsed/>
    <w:rsid w:val="00BA3F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F26"/>
    <w:rPr>
      <w:rFonts w:ascii="Segoe UI" w:hAnsi="Segoe UI" w:cs="Segoe UI"/>
      <w:sz w:val="18"/>
      <w:szCs w:val="18"/>
    </w:rPr>
  </w:style>
  <w:style w:type="character" w:styleId="CommentReference">
    <w:name w:val="annotation reference"/>
    <w:basedOn w:val="DefaultParagraphFont"/>
    <w:uiPriority w:val="99"/>
    <w:semiHidden/>
    <w:unhideWhenUsed/>
    <w:rsid w:val="00E8682D"/>
    <w:rPr>
      <w:sz w:val="16"/>
      <w:szCs w:val="16"/>
    </w:rPr>
  </w:style>
  <w:style w:type="paragraph" w:styleId="CommentText">
    <w:name w:val="annotation text"/>
    <w:basedOn w:val="Normal"/>
    <w:link w:val="CommentTextChar"/>
    <w:uiPriority w:val="99"/>
    <w:semiHidden/>
    <w:unhideWhenUsed/>
    <w:rsid w:val="00E8682D"/>
    <w:rPr>
      <w:sz w:val="20"/>
      <w:szCs w:val="20"/>
    </w:rPr>
  </w:style>
  <w:style w:type="character" w:customStyle="1" w:styleId="CommentTextChar">
    <w:name w:val="Comment Text Char"/>
    <w:basedOn w:val="DefaultParagraphFont"/>
    <w:link w:val="CommentText"/>
    <w:uiPriority w:val="99"/>
    <w:semiHidden/>
    <w:rsid w:val="00E8682D"/>
    <w:rPr>
      <w:sz w:val="20"/>
      <w:szCs w:val="20"/>
    </w:rPr>
  </w:style>
  <w:style w:type="paragraph" w:styleId="CommentSubject">
    <w:name w:val="annotation subject"/>
    <w:basedOn w:val="CommentText"/>
    <w:next w:val="CommentText"/>
    <w:link w:val="CommentSubjectChar"/>
    <w:uiPriority w:val="99"/>
    <w:semiHidden/>
    <w:unhideWhenUsed/>
    <w:rsid w:val="00E8682D"/>
    <w:rPr>
      <w:b/>
      <w:bCs/>
    </w:rPr>
  </w:style>
  <w:style w:type="character" w:customStyle="1" w:styleId="CommentSubjectChar">
    <w:name w:val="Comment Subject Char"/>
    <w:basedOn w:val="CommentTextChar"/>
    <w:link w:val="CommentSubject"/>
    <w:uiPriority w:val="99"/>
    <w:semiHidden/>
    <w:rsid w:val="00E868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80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92BF9D-7408-41C3-970A-4CF589B748C6}">
  <ds:schemaRefs>
    <ds:schemaRef ds:uri="http://schemas.openxmlformats.org/officeDocument/2006/bibliography"/>
  </ds:schemaRefs>
</ds:datastoreItem>
</file>

<file path=customXml/itemProps2.xml><?xml version="1.0" encoding="utf-8"?>
<ds:datastoreItem xmlns:ds="http://schemas.openxmlformats.org/officeDocument/2006/customXml" ds:itemID="{8DA3C1CC-0A3E-4416-9CB8-4A1A53E439A2}"/>
</file>

<file path=customXml/itemProps3.xml><?xml version="1.0" encoding="utf-8"?>
<ds:datastoreItem xmlns:ds="http://schemas.openxmlformats.org/officeDocument/2006/customXml" ds:itemID="{54439356-910A-4964-AD53-E34FEFA5DEF4}"/>
</file>

<file path=customXml/itemProps4.xml><?xml version="1.0" encoding="utf-8"?>
<ds:datastoreItem xmlns:ds="http://schemas.openxmlformats.org/officeDocument/2006/customXml" ds:itemID="{1E1CBAFF-76E0-4F97-A5AB-52C64ADA1403}"/>
</file>

<file path=docProps/app.xml><?xml version="1.0" encoding="utf-8"?>
<Properties xmlns="http://schemas.openxmlformats.org/officeDocument/2006/extended-properties" xmlns:vt="http://schemas.openxmlformats.org/officeDocument/2006/docPropsVTypes">
  <Template>Normal</Template>
  <TotalTime>0</TotalTime>
  <Pages>15</Pages>
  <Words>4898</Words>
  <Characters>26940</Characters>
  <Application>Microsoft Office Word</Application>
  <DocSecurity>0</DocSecurity>
  <Lines>224</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Carlos Fredy Ochoa García</cp:lastModifiedBy>
  <cp:revision>2</cp:revision>
  <dcterms:created xsi:type="dcterms:W3CDTF">2019-04-15T15:22:00Z</dcterms:created>
  <dcterms:modified xsi:type="dcterms:W3CDTF">2019-04-15T15:22:00Z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