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8B6" w:rsidRDefault="003B58B6" w:rsidP="003B58B6">
      <w:pPr>
        <w:spacing w:line="240" w:lineRule="auto"/>
        <w:jc w:val="right"/>
        <w:rPr>
          <w:rFonts w:ascii="Arial" w:hAnsi="Arial" w:cs="Arial"/>
          <w:b/>
          <w:sz w:val="28"/>
          <w:szCs w:val="28"/>
        </w:rPr>
      </w:pPr>
      <w:bookmarkStart w:id="0" w:name="_GoBack"/>
      <w:bookmarkEnd w:id="0"/>
      <w:r w:rsidRPr="003B58B6">
        <w:rPr>
          <w:rFonts w:ascii="Arial" w:hAnsi="Arial" w:cs="Arial"/>
          <w:b/>
          <w:noProof/>
          <w:sz w:val="28"/>
          <w:szCs w:val="28"/>
          <w:lang w:val="en-GB" w:eastAsia="en-GB"/>
        </w:rPr>
        <w:drawing>
          <wp:inline distT="0" distB="0" distL="0" distR="0">
            <wp:extent cx="2346960" cy="955286"/>
            <wp:effectExtent l="19050" t="0" r="0" b="0"/>
            <wp:docPr id="8" name="Picture 2" descr="C:\Users\MichaelW\Desktop\NZHRC_LOCKUP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W\Desktop\NZHRC_LOCKUP_RGB.jpg"/>
                    <pic:cNvPicPr>
                      <a:picLocks noChangeAspect="1" noChangeArrowheads="1"/>
                    </pic:cNvPicPr>
                  </pic:nvPicPr>
                  <pic:blipFill>
                    <a:blip r:embed="rId9" cstate="print"/>
                    <a:srcRect/>
                    <a:stretch>
                      <a:fillRect/>
                    </a:stretch>
                  </pic:blipFill>
                  <pic:spPr bwMode="auto">
                    <a:xfrm>
                      <a:off x="0" y="0"/>
                      <a:ext cx="2355177" cy="958630"/>
                    </a:xfrm>
                    <a:prstGeom prst="rect">
                      <a:avLst/>
                    </a:prstGeom>
                    <a:noFill/>
                    <a:ln w="9525">
                      <a:noFill/>
                      <a:miter lim="800000"/>
                      <a:headEnd/>
                      <a:tailEnd/>
                    </a:ln>
                  </pic:spPr>
                </pic:pic>
              </a:graphicData>
            </a:graphic>
          </wp:inline>
        </w:drawing>
      </w:r>
    </w:p>
    <w:p w:rsidR="003B58B6" w:rsidRDefault="003B58B6" w:rsidP="00AC1B7E">
      <w:pPr>
        <w:spacing w:line="240" w:lineRule="auto"/>
        <w:rPr>
          <w:rFonts w:ascii="Arial" w:hAnsi="Arial" w:cs="Arial"/>
          <w:b/>
          <w:sz w:val="28"/>
          <w:szCs w:val="28"/>
        </w:rPr>
      </w:pPr>
    </w:p>
    <w:p w:rsidR="002D0FC8" w:rsidRPr="00366534" w:rsidRDefault="002D0FC8" w:rsidP="002D0FC8">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kern w:val="2"/>
        </w:rPr>
      </w:pPr>
      <w:r w:rsidRPr="00366534">
        <w:rPr>
          <w:rFonts w:ascii="Arial" w:hAnsi="Arial" w:cs="Arial"/>
          <w:kern w:val="2"/>
        </w:rPr>
        <w:t xml:space="preserve">Catalina </w:t>
      </w:r>
      <w:proofErr w:type="spellStart"/>
      <w:r w:rsidRPr="00366534">
        <w:rPr>
          <w:rFonts w:ascii="Arial" w:hAnsi="Arial" w:cs="Arial"/>
          <w:kern w:val="2"/>
        </w:rPr>
        <w:t>Devandas</w:t>
      </w:r>
      <w:proofErr w:type="spellEnd"/>
      <w:r w:rsidRPr="00366534">
        <w:rPr>
          <w:rFonts w:ascii="Arial" w:hAnsi="Arial" w:cs="Arial"/>
          <w:kern w:val="2"/>
        </w:rPr>
        <w:t>-Aguilar</w:t>
      </w:r>
    </w:p>
    <w:p w:rsidR="002D0FC8" w:rsidRPr="00366534" w:rsidRDefault="002D0FC8" w:rsidP="002D0FC8">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kern w:val="2"/>
        </w:rPr>
      </w:pPr>
      <w:r w:rsidRPr="00366534">
        <w:rPr>
          <w:rFonts w:ascii="Arial" w:hAnsi="Arial" w:cs="Arial"/>
          <w:kern w:val="2"/>
        </w:rPr>
        <w:t>Special Rapporteur on the rights of persons with disabilities</w:t>
      </w:r>
    </w:p>
    <w:p w:rsidR="002D0FC8" w:rsidRPr="00366534" w:rsidRDefault="00203F1E" w:rsidP="00AC1B7E">
      <w:pPr>
        <w:spacing w:line="240" w:lineRule="auto"/>
        <w:rPr>
          <w:rFonts w:ascii="Arial" w:hAnsi="Arial" w:cs="Arial"/>
          <w:b/>
        </w:rPr>
      </w:pPr>
      <w:hyperlink r:id="rId10" w:history="1">
        <w:r w:rsidR="002D0FC8" w:rsidRPr="00366534">
          <w:rPr>
            <w:rStyle w:val="Hyperlink"/>
            <w:rFonts w:ascii="Arial" w:hAnsi="Arial" w:cs="Arial"/>
          </w:rPr>
          <w:t>sr.disability@ohchr.org</w:t>
        </w:r>
      </w:hyperlink>
    </w:p>
    <w:p w:rsidR="002D0FC8" w:rsidRPr="00366534" w:rsidRDefault="002D0FC8" w:rsidP="002D0FC8">
      <w:pPr>
        <w:spacing w:line="240" w:lineRule="auto"/>
        <w:rPr>
          <w:rFonts w:ascii="Arial" w:hAnsi="Arial" w:cs="Arial"/>
          <w:b/>
        </w:rPr>
      </w:pPr>
    </w:p>
    <w:p w:rsidR="002D0FC8" w:rsidRPr="00366534" w:rsidRDefault="002D0FC8" w:rsidP="002D0FC8">
      <w:pPr>
        <w:spacing w:line="240" w:lineRule="auto"/>
        <w:rPr>
          <w:rFonts w:ascii="Arial" w:hAnsi="Arial" w:cs="Arial"/>
          <w:b/>
        </w:rPr>
      </w:pPr>
      <w:r w:rsidRPr="00366534">
        <w:rPr>
          <w:rFonts w:ascii="Arial" w:hAnsi="Arial" w:cs="Arial"/>
          <w:b/>
        </w:rPr>
        <w:t>Questionnaire on the provision of support to persons with disabilities</w:t>
      </w:r>
    </w:p>
    <w:p w:rsidR="002D0FC8" w:rsidRPr="00366534" w:rsidRDefault="0008200D" w:rsidP="00AC1B7E">
      <w:pPr>
        <w:spacing w:line="240" w:lineRule="auto"/>
        <w:rPr>
          <w:rFonts w:ascii="Arial" w:hAnsi="Arial" w:cs="Arial"/>
          <w:b/>
        </w:rPr>
      </w:pPr>
      <w:r>
        <w:rPr>
          <w:rFonts w:ascii="Arial" w:hAnsi="Arial" w:cs="Arial"/>
          <w:b/>
        </w:rPr>
        <w:t>19</w:t>
      </w:r>
      <w:r w:rsidR="002D0FC8" w:rsidRPr="00366534">
        <w:rPr>
          <w:rFonts w:ascii="Arial" w:hAnsi="Arial" w:cs="Arial"/>
          <w:b/>
        </w:rPr>
        <w:t xml:space="preserve"> October 2016</w:t>
      </w:r>
    </w:p>
    <w:p w:rsidR="002D0FC8" w:rsidRPr="00366534" w:rsidRDefault="002D0FC8" w:rsidP="00AC1B7E">
      <w:pPr>
        <w:spacing w:line="240" w:lineRule="auto"/>
        <w:rPr>
          <w:rFonts w:ascii="Arial" w:hAnsi="Arial" w:cs="Arial"/>
          <w:b/>
        </w:rPr>
      </w:pPr>
    </w:p>
    <w:p w:rsidR="00CD5113" w:rsidRPr="00366534" w:rsidRDefault="00872A47" w:rsidP="00053D4B">
      <w:pPr>
        <w:tabs>
          <w:tab w:val="left" w:pos="1024"/>
          <w:tab w:val="left" w:pos="1703"/>
          <w:tab w:val="left" w:pos="2327"/>
          <w:tab w:val="left" w:pos="6693"/>
          <w:tab w:val="left" w:pos="7259"/>
        </w:tabs>
        <w:autoSpaceDE w:val="0"/>
        <w:autoSpaceDN w:val="0"/>
        <w:adjustRightInd w:val="0"/>
        <w:spacing w:line="240" w:lineRule="atLeast"/>
        <w:ind w:right="-1"/>
        <w:rPr>
          <w:rFonts w:ascii="Arial" w:hAnsi="Arial" w:cs="Arial"/>
          <w:b/>
          <w:kern w:val="2"/>
        </w:rPr>
      </w:pPr>
      <w:r w:rsidRPr="00366534">
        <w:rPr>
          <w:rFonts w:ascii="Arial" w:hAnsi="Arial" w:cs="Arial"/>
          <w:b/>
          <w:kern w:val="2"/>
        </w:rPr>
        <w:t xml:space="preserve">Introduction </w:t>
      </w:r>
    </w:p>
    <w:p w:rsidR="00053D4B" w:rsidRPr="00E31946" w:rsidRDefault="00053D4B" w:rsidP="00D05E14">
      <w:pPr>
        <w:pStyle w:val="Default"/>
        <w:numPr>
          <w:ilvl w:val="0"/>
          <w:numId w:val="1"/>
        </w:numPr>
        <w:ind w:left="709" w:hanging="709"/>
        <w:jc w:val="both"/>
        <w:rPr>
          <w:rFonts w:ascii="Arial" w:eastAsiaTheme="minorEastAsia" w:hAnsi="Arial" w:cs="Arial"/>
          <w:color w:val="auto"/>
          <w:sz w:val="22"/>
          <w:szCs w:val="22"/>
        </w:rPr>
      </w:pPr>
      <w:r w:rsidRPr="00366534">
        <w:rPr>
          <w:rFonts w:ascii="Arial" w:hAnsi="Arial" w:cs="Arial"/>
          <w:kern w:val="2"/>
          <w:sz w:val="22"/>
          <w:szCs w:val="22"/>
        </w:rPr>
        <w:t>The New Zealand Human Rights Commission (“Commission”) welcomes the opportunity to respond on the Special Rapporteur’s ‘Questionnaire on the provision of support to persons with disabilities’</w:t>
      </w:r>
      <w:r w:rsidR="005462A9" w:rsidRPr="00366534">
        <w:rPr>
          <w:rFonts w:ascii="Arial" w:hAnsi="Arial" w:cs="Arial"/>
          <w:kern w:val="2"/>
          <w:sz w:val="22"/>
          <w:szCs w:val="22"/>
        </w:rPr>
        <w:t xml:space="preserve">. </w:t>
      </w:r>
    </w:p>
    <w:p w:rsidR="005462A9" w:rsidRPr="00E31946" w:rsidRDefault="005462A9" w:rsidP="00D05E14">
      <w:pPr>
        <w:pStyle w:val="Default"/>
        <w:ind w:left="709"/>
        <w:jc w:val="both"/>
        <w:rPr>
          <w:rFonts w:ascii="Arial" w:eastAsiaTheme="minorEastAsia" w:hAnsi="Arial" w:cs="Arial"/>
          <w:color w:val="auto"/>
          <w:sz w:val="22"/>
          <w:szCs w:val="22"/>
        </w:rPr>
      </w:pPr>
    </w:p>
    <w:p w:rsidR="00C742F2" w:rsidRPr="00E31946" w:rsidRDefault="00C742F2" w:rsidP="00D05E14">
      <w:pPr>
        <w:pStyle w:val="Default"/>
        <w:numPr>
          <w:ilvl w:val="0"/>
          <w:numId w:val="1"/>
        </w:numPr>
        <w:ind w:left="709" w:hanging="709"/>
        <w:jc w:val="both"/>
        <w:rPr>
          <w:rFonts w:ascii="Arial" w:eastAsiaTheme="minorEastAsia" w:hAnsi="Arial" w:cs="Arial"/>
          <w:color w:val="auto"/>
          <w:sz w:val="22"/>
          <w:szCs w:val="22"/>
        </w:rPr>
      </w:pPr>
      <w:r w:rsidRPr="00E31946">
        <w:rPr>
          <w:rFonts w:ascii="Arial" w:eastAsiaTheme="minorEastAsia" w:hAnsi="Arial" w:cs="Arial"/>
          <w:color w:val="auto"/>
          <w:sz w:val="22"/>
          <w:szCs w:val="22"/>
        </w:rPr>
        <w:t>The Commission is New Zealand’s National Human Rights Institution (“NHRI”). It is accredited as an “A” status NHRI. It is an independent Crown Entity pursuant to the Crown Entities Act 2004 and derives its statutory mandate from the Human Rights Act 1993 (“HRA”). The long title to the HRA states it is intended to provide better protection of human rights in New Zealand in general accordance with United Nations human rights Covenants and Conventions.</w:t>
      </w:r>
    </w:p>
    <w:p w:rsidR="00C742F2" w:rsidRPr="00E31946" w:rsidRDefault="00C742F2" w:rsidP="00D05E14">
      <w:pPr>
        <w:pStyle w:val="Default"/>
        <w:ind w:left="709"/>
        <w:jc w:val="both"/>
        <w:rPr>
          <w:rFonts w:ascii="Arial" w:eastAsiaTheme="minorEastAsia" w:hAnsi="Arial" w:cs="Arial"/>
          <w:color w:val="auto"/>
          <w:sz w:val="22"/>
          <w:szCs w:val="22"/>
        </w:rPr>
      </w:pPr>
    </w:p>
    <w:p w:rsidR="00C865F3" w:rsidRPr="00E31946" w:rsidRDefault="00C865F3" w:rsidP="00C865F3">
      <w:pPr>
        <w:pStyle w:val="Default"/>
        <w:jc w:val="both"/>
        <w:rPr>
          <w:rFonts w:ascii="Arial" w:eastAsiaTheme="minorEastAsia" w:hAnsi="Arial" w:cs="Arial"/>
          <w:b/>
          <w:color w:val="auto"/>
          <w:sz w:val="22"/>
          <w:szCs w:val="22"/>
        </w:rPr>
      </w:pPr>
      <w:r w:rsidRPr="00E31946">
        <w:rPr>
          <w:rFonts w:ascii="Arial" w:eastAsiaTheme="minorEastAsia" w:hAnsi="Arial" w:cs="Arial"/>
          <w:b/>
          <w:color w:val="auto"/>
          <w:sz w:val="22"/>
          <w:szCs w:val="22"/>
        </w:rPr>
        <w:t>Lack of Data</w:t>
      </w:r>
    </w:p>
    <w:p w:rsidR="00C865F3" w:rsidRPr="00E31946" w:rsidRDefault="00C865F3" w:rsidP="00C865F3">
      <w:pPr>
        <w:pStyle w:val="Default"/>
        <w:jc w:val="both"/>
        <w:rPr>
          <w:rFonts w:ascii="Arial" w:eastAsiaTheme="minorEastAsia" w:hAnsi="Arial" w:cs="Arial"/>
          <w:color w:val="auto"/>
          <w:sz w:val="22"/>
          <w:szCs w:val="22"/>
        </w:rPr>
      </w:pPr>
    </w:p>
    <w:p w:rsidR="00C865F3" w:rsidRPr="00E31946" w:rsidRDefault="00C865F3" w:rsidP="00F20DDE">
      <w:pPr>
        <w:pStyle w:val="Default"/>
        <w:numPr>
          <w:ilvl w:val="0"/>
          <w:numId w:val="1"/>
        </w:numPr>
        <w:ind w:left="709" w:hanging="709"/>
        <w:jc w:val="both"/>
        <w:rPr>
          <w:rFonts w:ascii="Arial" w:eastAsiaTheme="minorEastAsia" w:hAnsi="Arial" w:cs="Arial"/>
          <w:color w:val="auto"/>
          <w:sz w:val="22"/>
          <w:szCs w:val="22"/>
        </w:rPr>
      </w:pPr>
      <w:r w:rsidRPr="00E31946">
        <w:rPr>
          <w:rFonts w:ascii="Arial" w:eastAsiaTheme="minorEastAsia" w:hAnsi="Arial" w:cs="Arial"/>
          <w:color w:val="auto"/>
          <w:sz w:val="22"/>
          <w:szCs w:val="22"/>
        </w:rPr>
        <w:t xml:space="preserve">In </w:t>
      </w:r>
      <w:r w:rsidR="00A43AE6" w:rsidRPr="00E31946">
        <w:rPr>
          <w:rFonts w:ascii="Arial" w:eastAsiaTheme="minorEastAsia" w:hAnsi="Arial" w:cs="Arial"/>
          <w:color w:val="auto"/>
          <w:sz w:val="22"/>
          <w:szCs w:val="22"/>
        </w:rPr>
        <w:t xml:space="preserve">general, </w:t>
      </w:r>
      <w:r w:rsidRPr="00E31946">
        <w:rPr>
          <w:rFonts w:ascii="Arial" w:eastAsiaTheme="minorEastAsia" w:hAnsi="Arial" w:cs="Arial"/>
          <w:color w:val="auto"/>
          <w:sz w:val="22"/>
          <w:szCs w:val="22"/>
        </w:rPr>
        <w:t>there is a lack of data about support services and outcomes for people</w:t>
      </w:r>
      <w:r w:rsidR="006D0DB2" w:rsidRPr="00E31946">
        <w:rPr>
          <w:rFonts w:ascii="Arial" w:eastAsiaTheme="minorEastAsia" w:hAnsi="Arial" w:cs="Arial"/>
          <w:color w:val="auto"/>
          <w:sz w:val="22"/>
          <w:szCs w:val="22"/>
        </w:rPr>
        <w:t xml:space="preserve"> with a disab</w:t>
      </w:r>
      <w:r w:rsidRPr="00E31946">
        <w:rPr>
          <w:rFonts w:ascii="Arial" w:eastAsiaTheme="minorEastAsia" w:hAnsi="Arial" w:cs="Arial"/>
          <w:color w:val="auto"/>
          <w:sz w:val="22"/>
          <w:szCs w:val="22"/>
        </w:rPr>
        <w:t>il</w:t>
      </w:r>
      <w:r w:rsidR="006D0DB2" w:rsidRPr="00E31946">
        <w:rPr>
          <w:rFonts w:ascii="Arial" w:eastAsiaTheme="minorEastAsia" w:hAnsi="Arial" w:cs="Arial"/>
          <w:color w:val="auto"/>
          <w:sz w:val="22"/>
          <w:szCs w:val="22"/>
        </w:rPr>
        <w:t>i</w:t>
      </w:r>
      <w:r w:rsidRPr="00E31946">
        <w:rPr>
          <w:rFonts w:ascii="Arial" w:eastAsiaTheme="minorEastAsia" w:hAnsi="Arial" w:cs="Arial"/>
          <w:color w:val="auto"/>
          <w:sz w:val="22"/>
          <w:szCs w:val="22"/>
        </w:rPr>
        <w:t>ty</w:t>
      </w:r>
      <w:r w:rsidR="00A43AE6" w:rsidRPr="00E31946">
        <w:rPr>
          <w:rFonts w:ascii="Arial" w:eastAsiaTheme="minorEastAsia" w:hAnsi="Arial" w:cs="Arial"/>
          <w:color w:val="auto"/>
          <w:sz w:val="22"/>
          <w:szCs w:val="22"/>
        </w:rPr>
        <w:t xml:space="preserve"> in New Zealand</w:t>
      </w:r>
      <w:r w:rsidR="006D0DB2" w:rsidRPr="00E31946">
        <w:rPr>
          <w:rFonts w:ascii="Arial" w:eastAsiaTheme="minorEastAsia" w:hAnsi="Arial" w:cs="Arial"/>
          <w:color w:val="auto"/>
          <w:sz w:val="22"/>
          <w:szCs w:val="22"/>
        </w:rPr>
        <w:t>. Many studies relating to disability (for example, a 2013 survey carried out by the New Zealand Department of Statistics)</w:t>
      </w:r>
      <w:r w:rsidR="00487992" w:rsidRPr="00E31946">
        <w:rPr>
          <w:rFonts w:ascii="Arial" w:eastAsiaTheme="minorEastAsia" w:hAnsi="Arial" w:cs="Arial"/>
          <w:color w:val="auto"/>
          <w:sz w:val="22"/>
          <w:szCs w:val="22"/>
        </w:rPr>
        <w:t xml:space="preserve"> relate more to barriers and challenges facing people with different disabilities rather than the efficacy or range of disability support services. This issue is exacerbated for people with an ‘invisible’ disability such as a </w:t>
      </w:r>
      <w:proofErr w:type="spellStart"/>
      <w:r w:rsidR="00487992" w:rsidRPr="00E31946">
        <w:rPr>
          <w:rFonts w:ascii="Arial" w:eastAsiaTheme="minorEastAsia" w:hAnsi="Arial" w:cs="Arial"/>
          <w:color w:val="auto"/>
          <w:sz w:val="22"/>
          <w:szCs w:val="22"/>
        </w:rPr>
        <w:t>neurodisability</w:t>
      </w:r>
      <w:proofErr w:type="spellEnd"/>
      <w:r w:rsidR="00487992" w:rsidRPr="00E31946">
        <w:rPr>
          <w:rFonts w:ascii="Arial" w:eastAsiaTheme="minorEastAsia" w:hAnsi="Arial" w:cs="Arial"/>
          <w:color w:val="auto"/>
          <w:sz w:val="22"/>
          <w:szCs w:val="22"/>
        </w:rPr>
        <w:t>.</w:t>
      </w:r>
    </w:p>
    <w:p w:rsidR="00C865F3" w:rsidRPr="00E31946" w:rsidRDefault="00C865F3" w:rsidP="00C865F3">
      <w:pPr>
        <w:pStyle w:val="Default"/>
        <w:ind w:left="709"/>
        <w:jc w:val="both"/>
        <w:rPr>
          <w:rFonts w:ascii="Arial" w:eastAsiaTheme="minorEastAsia" w:hAnsi="Arial" w:cs="Arial"/>
          <w:color w:val="auto"/>
          <w:sz w:val="22"/>
          <w:szCs w:val="22"/>
        </w:rPr>
      </w:pPr>
    </w:p>
    <w:p w:rsidR="00830729" w:rsidRPr="00E31946" w:rsidRDefault="005462A9" w:rsidP="00830729">
      <w:pPr>
        <w:pStyle w:val="Default"/>
        <w:numPr>
          <w:ilvl w:val="0"/>
          <w:numId w:val="1"/>
        </w:numPr>
        <w:ind w:left="709" w:hanging="709"/>
        <w:jc w:val="both"/>
        <w:rPr>
          <w:rFonts w:ascii="Arial" w:eastAsiaTheme="minorEastAsia" w:hAnsi="Arial" w:cs="Arial"/>
          <w:color w:val="auto"/>
          <w:sz w:val="22"/>
          <w:szCs w:val="22"/>
        </w:rPr>
      </w:pPr>
      <w:r w:rsidRPr="00E31946">
        <w:rPr>
          <w:rFonts w:ascii="Arial" w:eastAsiaTheme="minorEastAsia" w:hAnsi="Arial" w:cs="Arial"/>
          <w:color w:val="auto"/>
          <w:sz w:val="22"/>
          <w:szCs w:val="22"/>
        </w:rPr>
        <w:t>We understand the Questionnaire has been sent to other agencies in New Zealand, including the Office of Disability Issues. Those agencies will be able to provide mor</w:t>
      </w:r>
      <w:r w:rsidR="00DC4406" w:rsidRPr="00E31946">
        <w:rPr>
          <w:rFonts w:ascii="Arial" w:eastAsiaTheme="minorEastAsia" w:hAnsi="Arial" w:cs="Arial"/>
          <w:color w:val="auto"/>
          <w:sz w:val="22"/>
          <w:szCs w:val="22"/>
        </w:rPr>
        <w:t>e detail on some matters than the Commission</w:t>
      </w:r>
      <w:r w:rsidRPr="00E31946">
        <w:rPr>
          <w:rFonts w:ascii="Arial" w:eastAsiaTheme="minorEastAsia" w:hAnsi="Arial" w:cs="Arial"/>
          <w:color w:val="auto"/>
          <w:sz w:val="22"/>
          <w:szCs w:val="22"/>
        </w:rPr>
        <w:t xml:space="preserve"> can.</w:t>
      </w:r>
      <w:r w:rsidR="00C865F3" w:rsidRPr="00E31946">
        <w:rPr>
          <w:rFonts w:ascii="Arial" w:eastAsiaTheme="minorEastAsia" w:hAnsi="Arial" w:cs="Arial"/>
          <w:color w:val="auto"/>
          <w:sz w:val="22"/>
          <w:szCs w:val="22"/>
        </w:rPr>
        <w:t xml:space="preserve"> There is a general lack of quality data relating to the </w:t>
      </w:r>
      <w:r w:rsidR="006D0DB2" w:rsidRPr="00E31946">
        <w:rPr>
          <w:rFonts w:ascii="Arial" w:eastAsiaTheme="minorEastAsia" w:hAnsi="Arial" w:cs="Arial"/>
          <w:color w:val="auto"/>
          <w:sz w:val="22"/>
          <w:szCs w:val="22"/>
        </w:rPr>
        <w:t>outcomes</w:t>
      </w:r>
      <w:r w:rsidR="00C865F3" w:rsidRPr="00E31946">
        <w:rPr>
          <w:rFonts w:ascii="Arial" w:eastAsiaTheme="minorEastAsia" w:hAnsi="Arial" w:cs="Arial"/>
          <w:color w:val="auto"/>
          <w:sz w:val="22"/>
          <w:szCs w:val="22"/>
        </w:rPr>
        <w:t xml:space="preserve"> for people with disability</w:t>
      </w:r>
      <w:r w:rsidR="00830729" w:rsidRPr="00E31946">
        <w:rPr>
          <w:rFonts w:ascii="Arial" w:eastAsiaTheme="minorEastAsia" w:hAnsi="Arial" w:cs="Arial"/>
          <w:color w:val="auto"/>
          <w:sz w:val="22"/>
          <w:szCs w:val="22"/>
        </w:rPr>
        <w:t>.</w:t>
      </w:r>
    </w:p>
    <w:p w:rsidR="00F20DDE" w:rsidRPr="00E31946" w:rsidRDefault="00F20DDE" w:rsidP="00F20DDE">
      <w:pPr>
        <w:pStyle w:val="ListParagraph"/>
        <w:rPr>
          <w:rFonts w:ascii="Arial" w:hAnsi="Arial" w:cs="Arial"/>
        </w:rPr>
      </w:pPr>
    </w:p>
    <w:p w:rsidR="00F20DDE" w:rsidRPr="00E31946" w:rsidRDefault="00F20DDE" w:rsidP="00F20DDE">
      <w:pPr>
        <w:rPr>
          <w:rFonts w:ascii="Arial" w:hAnsi="Arial" w:cs="Arial"/>
          <w:b/>
        </w:rPr>
      </w:pPr>
      <w:r w:rsidRPr="00E31946">
        <w:rPr>
          <w:rFonts w:ascii="Arial" w:hAnsi="Arial" w:cs="Arial"/>
          <w:b/>
        </w:rPr>
        <w:t>Independent Monitoring Mechanism Report 2013-2014</w:t>
      </w:r>
    </w:p>
    <w:p w:rsidR="00F20DDE" w:rsidRPr="00E31946" w:rsidRDefault="00DC4406" w:rsidP="00F20DDE">
      <w:pPr>
        <w:pStyle w:val="Default"/>
        <w:numPr>
          <w:ilvl w:val="0"/>
          <w:numId w:val="1"/>
        </w:numPr>
        <w:ind w:left="709" w:hanging="709"/>
        <w:jc w:val="both"/>
        <w:rPr>
          <w:rFonts w:ascii="Arial" w:eastAsiaTheme="minorEastAsia" w:hAnsi="Arial" w:cs="Arial"/>
          <w:color w:val="auto"/>
          <w:sz w:val="22"/>
          <w:szCs w:val="22"/>
        </w:rPr>
      </w:pPr>
      <w:r w:rsidRPr="00E31946">
        <w:rPr>
          <w:rFonts w:ascii="Arial" w:eastAsiaTheme="minorEastAsia" w:hAnsi="Arial" w:cs="Arial"/>
          <w:color w:val="auto"/>
          <w:sz w:val="22"/>
          <w:szCs w:val="22"/>
        </w:rPr>
        <w:t xml:space="preserve">The </w:t>
      </w:r>
      <w:r w:rsidR="00D05E14" w:rsidRPr="00E31946">
        <w:rPr>
          <w:rFonts w:ascii="Arial" w:eastAsiaTheme="minorEastAsia" w:hAnsi="Arial" w:cs="Arial"/>
          <w:color w:val="auto"/>
          <w:sz w:val="22"/>
          <w:szCs w:val="22"/>
        </w:rPr>
        <w:t>Independent Monitoring Mechanism (</w:t>
      </w:r>
      <w:r w:rsidR="009942BA" w:rsidRPr="00E31946">
        <w:rPr>
          <w:rFonts w:ascii="Arial" w:eastAsiaTheme="minorEastAsia" w:hAnsi="Arial" w:cs="Arial"/>
          <w:color w:val="auto"/>
          <w:sz w:val="22"/>
          <w:szCs w:val="22"/>
        </w:rPr>
        <w:t>“</w:t>
      </w:r>
      <w:r w:rsidRPr="00E31946">
        <w:rPr>
          <w:rFonts w:ascii="Arial" w:eastAsiaTheme="minorEastAsia" w:hAnsi="Arial" w:cs="Arial"/>
          <w:color w:val="auto"/>
          <w:sz w:val="22"/>
          <w:szCs w:val="22"/>
        </w:rPr>
        <w:t>IMM</w:t>
      </w:r>
      <w:r w:rsidR="009942BA" w:rsidRPr="00E31946">
        <w:rPr>
          <w:rFonts w:ascii="Arial" w:eastAsiaTheme="minorEastAsia" w:hAnsi="Arial" w:cs="Arial"/>
          <w:color w:val="auto"/>
          <w:sz w:val="22"/>
          <w:szCs w:val="22"/>
        </w:rPr>
        <w:t>”</w:t>
      </w:r>
      <w:r w:rsidR="00D05E14" w:rsidRPr="00E31946">
        <w:rPr>
          <w:rFonts w:ascii="Arial" w:eastAsiaTheme="minorEastAsia" w:hAnsi="Arial" w:cs="Arial"/>
          <w:color w:val="auto"/>
          <w:sz w:val="22"/>
          <w:szCs w:val="22"/>
        </w:rPr>
        <w:t>)</w:t>
      </w:r>
      <w:r w:rsidRPr="00E31946">
        <w:rPr>
          <w:rFonts w:ascii="Arial" w:eastAsiaTheme="minorEastAsia" w:hAnsi="Arial" w:cs="Arial"/>
          <w:color w:val="auto"/>
          <w:sz w:val="22"/>
          <w:szCs w:val="22"/>
        </w:rPr>
        <w:t xml:space="preserve"> was established by the Government in 2010 to fulfil obligations under Article 33 (</w:t>
      </w:r>
      <w:r w:rsidR="009942BA" w:rsidRPr="00E31946">
        <w:rPr>
          <w:rFonts w:ascii="Arial" w:eastAsiaTheme="minorEastAsia" w:hAnsi="Arial" w:cs="Arial"/>
          <w:color w:val="auto"/>
          <w:sz w:val="22"/>
          <w:szCs w:val="22"/>
        </w:rPr>
        <w:t>n</w:t>
      </w:r>
      <w:r w:rsidRPr="00E31946">
        <w:rPr>
          <w:rFonts w:ascii="Arial" w:eastAsiaTheme="minorEastAsia" w:hAnsi="Arial" w:cs="Arial"/>
          <w:color w:val="auto"/>
          <w:sz w:val="22"/>
          <w:szCs w:val="22"/>
        </w:rPr>
        <w:t>ational implementation and monitoring) of the Convention on the Rights of Persons with Disabilities (</w:t>
      </w:r>
      <w:r w:rsidR="009942BA" w:rsidRPr="00E31946">
        <w:rPr>
          <w:rFonts w:ascii="Arial" w:eastAsiaTheme="minorEastAsia" w:hAnsi="Arial" w:cs="Arial"/>
          <w:color w:val="auto"/>
          <w:sz w:val="22"/>
          <w:szCs w:val="22"/>
        </w:rPr>
        <w:t>“</w:t>
      </w:r>
      <w:r w:rsidRPr="00E31946">
        <w:rPr>
          <w:rFonts w:ascii="Arial" w:eastAsiaTheme="minorEastAsia" w:hAnsi="Arial" w:cs="Arial"/>
          <w:color w:val="auto"/>
          <w:sz w:val="22"/>
          <w:szCs w:val="22"/>
        </w:rPr>
        <w:t>CRPD</w:t>
      </w:r>
      <w:r w:rsidR="009942BA" w:rsidRPr="00E31946">
        <w:rPr>
          <w:rFonts w:ascii="Arial" w:eastAsiaTheme="minorEastAsia" w:hAnsi="Arial" w:cs="Arial"/>
          <w:color w:val="auto"/>
          <w:sz w:val="22"/>
          <w:szCs w:val="22"/>
        </w:rPr>
        <w:t>”</w:t>
      </w:r>
      <w:r w:rsidRPr="00E31946">
        <w:rPr>
          <w:rFonts w:ascii="Arial" w:eastAsiaTheme="minorEastAsia" w:hAnsi="Arial" w:cs="Arial"/>
          <w:color w:val="auto"/>
          <w:sz w:val="22"/>
          <w:szCs w:val="22"/>
        </w:rPr>
        <w:t xml:space="preserve">). It is made up of the Human Rights Commission, the Office of the Ombudsman and the New Zealand Convention Coalition Monitoring Group (a group of Disabled People’s Organisations that undertake research on the lives of disabled people). The IMM has released </w:t>
      </w:r>
      <w:r w:rsidR="00D05E14" w:rsidRPr="00E31946">
        <w:rPr>
          <w:rFonts w:ascii="Arial" w:eastAsiaTheme="minorEastAsia" w:hAnsi="Arial" w:cs="Arial"/>
          <w:color w:val="auto"/>
          <w:sz w:val="22"/>
          <w:szCs w:val="22"/>
        </w:rPr>
        <w:t xml:space="preserve">three </w:t>
      </w:r>
      <w:r w:rsidRPr="00E31946">
        <w:rPr>
          <w:rFonts w:ascii="Arial" w:eastAsiaTheme="minorEastAsia" w:hAnsi="Arial" w:cs="Arial"/>
          <w:color w:val="auto"/>
          <w:sz w:val="22"/>
          <w:szCs w:val="22"/>
        </w:rPr>
        <w:t xml:space="preserve">reports monitoring the Government’s progress implementing the </w:t>
      </w:r>
      <w:r w:rsidR="002C0924">
        <w:rPr>
          <w:rFonts w:ascii="Arial" w:eastAsiaTheme="minorEastAsia" w:hAnsi="Arial" w:cs="Arial"/>
          <w:color w:val="auto"/>
          <w:sz w:val="22"/>
          <w:szCs w:val="22"/>
        </w:rPr>
        <w:t>CRPD</w:t>
      </w:r>
      <w:r w:rsidRPr="00E31946">
        <w:rPr>
          <w:rFonts w:ascii="Arial" w:eastAsiaTheme="minorEastAsia" w:hAnsi="Arial" w:cs="Arial"/>
          <w:color w:val="auto"/>
          <w:sz w:val="22"/>
          <w:szCs w:val="22"/>
        </w:rPr>
        <w:t>, and issu</w:t>
      </w:r>
      <w:r w:rsidR="00D05E14" w:rsidRPr="00E31946">
        <w:rPr>
          <w:rFonts w:ascii="Arial" w:eastAsiaTheme="minorEastAsia" w:hAnsi="Arial" w:cs="Arial"/>
          <w:color w:val="auto"/>
          <w:sz w:val="22"/>
          <w:szCs w:val="22"/>
        </w:rPr>
        <w:t xml:space="preserve">ing a number of recommendations: </w:t>
      </w:r>
    </w:p>
    <w:p w:rsidR="00F20DDE" w:rsidRPr="00E31946" w:rsidRDefault="00F20DDE" w:rsidP="00F20DDE">
      <w:pPr>
        <w:pStyle w:val="Default"/>
        <w:ind w:left="709"/>
        <w:jc w:val="both"/>
        <w:rPr>
          <w:rFonts w:ascii="Arial" w:eastAsiaTheme="minorEastAsia" w:hAnsi="Arial" w:cs="Arial"/>
          <w:color w:val="auto"/>
          <w:sz w:val="22"/>
          <w:szCs w:val="22"/>
        </w:rPr>
      </w:pPr>
    </w:p>
    <w:p w:rsidR="00F20DDE" w:rsidRPr="00E31946" w:rsidRDefault="00F20DDE" w:rsidP="00F20DDE">
      <w:pPr>
        <w:pStyle w:val="Default"/>
        <w:ind w:left="709"/>
        <w:jc w:val="both"/>
        <w:rPr>
          <w:rFonts w:ascii="Arial" w:eastAsiaTheme="minorEastAsia" w:hAnsi="Arial" w:cs="Arial"/>
          <w:i/>
          <w:color w:val="auto"/>
          <w:sz w:val="22"/>
          <w:szCs w:val="22"/>
        </w:rPr>
      </w:pPr>
      <w:r w:rsidRPr="00E31946">
        <w:rPr>
          <w:rFonts w:ascii="Arial" w:eastAsiaTheme="minorEastAsia" w:hAnsi="Arial" w:cs="Arial"/>
          <w:i/>
          <w:color w:val="auto"/>
          <w:sz w:val="22"/>
          <w:szCs w:val="22"/>
        </w:rPr>
        <w:t>https://www.hrc.co.nz/your-rights/people-disabilities/our-work/making-disability-rights-real/</w:t>
      </w:r>
    </w:p>
    <w:p w:rsidR="00F20DDE" w:rsidRPr="00E31946" w:rsidRDefault="00F20DDE" w:rsidP="00F20DDE">
      <w:pPr>
        <w:pStyle w:val="Default"/>
        <w:ind w:left="709"/>
        <w:jc w:val="both"/>
        <w:rPr>
          <w:rFonts w:ascii="Arial" w:eastAsiaTheme="minorEastAsia" w:hAnsi="Arial" w:cs="Arial"/>
          <w:color w:val="auto"/>
          <w:sz w:val="22"/>
          <w:szCs w:val="22"/>
        </w:rPr>
      </w:pPr>
    </w:p>
    <w:p w:rsidR="00F20DDE" w:rsidRPr="00E31946" w:rsidRDefault="00F20DDE" w:rsidP="00F20DDE">
      <w:pPr>
        <w:pStyle w:val="Default"/>
        <w:ind w:left="709"/>
        <w:jc w:val="both"/>
        <w:rPr>
          <w:rFonts w:ascii="Arial" w:eastAsiaTheme="minorEastAsia" w:hAnsi="Arial" w:cs="Arial"/>
          <w:color w:val="auto"/>
          <w:sz w:val="22"/>
          <w:szCs w:val="22"/>
        </w:rPr>
      </w:pPr>
    </w:p>
    <w:p w:rsidR="00F20DDE" w:rsidRPr="00E31946" w:rsidRDefault="00D05E14" w:rsidP="00F20DDE">
      <w:pPr>
        <w:pStyle w:val="Default"/>
        <w:numPr>
          <w:ilvl w:val="0"/>
          <w:numId w:val="1"/>
        </w:numPr>
        <w:ind w:left="709" w:hanging="709"/>
        <w:jc w:val="both"/>
        <w:rPr>
          <w:rFonts w:ascii="Arial" w:eastAsiaTheme="minorEastAsia" w:hAnsi="Arial" w:cs="Arial"/>
          <w:color w:val="auto"/>
          <w:sz w:val="22"/>
          <w:szCs w:val="22"/>
        </w:rPr>
      </w:pPr>
      <w:r w:rsidRPr="00E31946">
        <w:rPr>
          <w:rFonts w:ascii="Arial" w:eastAsiaTheme="minorEastAsia" w:hAnsi="Arial" w:cs="Arial"/>
          <w:color w:val="auto"/>
          <w:sz w:val="22"/>
          <w:szCs w:val="22"/>
        </w:rPr>
        <w:lastRenderedPageBreak/>
        <w:t>In particular, we</w:t>
      </w:r>
      <w:r w:rsidR="00687A88" w:rsidRPr="00E31946">
        <w:rPr>
          <w:rFonts w:ascii="Arial" w:eastAsiaTheme="minorEastAsia" w:hAnsi="Arial" w:cs="Arial"/>
          <w:color w:val="auto"/>
          <w:sz w:val="22"/>
          <w:szCs w:val="22"/>
        </w:rPr>
        <w:t xml:space="preserve"> point your attention to </w:t>
      </w:r>
      <w:r w:rsidR="00EC6E50" w:rsidRPr="00E31946">
        <w:rPr>
          <w:rFonts w:ascii="Arial" w:eastAsiaTheme="minorEastAsia" w:hAnsi="Arial" w:cs="Arial"/>
          <w:color w:val="auto"/>
          <w:sz w:val="22"/>
          <w:szCs w:val="22"/>
        </w:rPr>
        <w:t xml:space="preserve">‘Making Disability Rights Real’ July 2012- December 2013 report (at the link above). That report discusses a number of </w:t>
      </w:r>
      <w:r w:rsidR="00F20DDE" w:rsidRPr="00E31946">
        <w:rPr>
          <w:rFonts w:ascii="Arial" w:eastAsiaTheme="minorEastAsia" w:hAnsi="Arial" w:cs="Arial"/>
          <w:color w:val="auto"/>
          <w:sz w:val="22"/>
          <w:szCs w:val="22"/>
        </w:rPr>
        <w:t xml:space="preserve">thematic areas where either service delivery or data collection regarding services could be improved. The Report discusses the need for a ‘people driven system’, that is: </w:t>
      </w:r>
    </w:p>
    <w:p w:rsidR="00F20DDE" w:rsidRPr="00E31946" w:rsidRDefault="00F20DDE" w:rsidP="00F20DDE">
      <w:pPr>
        <w:pStyle w:val="Default"/>
        <w:ind w:left="709"/>
        <w:jc w:val="both"/>
        <w:rPr>
          <w:rFonts w:ascii="Arial" w:eastAsiaTheme="minorEastAsia" w:hAnsi="Arial" w:cs="Arial"/>
          <w:color w:val="auto"/>
          <w:sz w:val="22"/>
          <w:szCs w:val="22"/>
        </w:rPr>
      </w:pPr>
    </w:p>
    <w:p w:rsidR="00687A88" w:rsidRPr="00E31946" w:rsidRDefault="00687A88" w:rsidP="00F20DDE">
      <w:pPr>
        <w:pStyle w:val="Default"/>
        <w:ind w:left="709"/>
        <w:jc w:val="both"/>
        <w:rPr>
          <w:rFonts w:ascii="Arial" w:eastAsiaTheme="minorEastAsia" w:hAnsi="Arial" w:cs="Arial"/>
          <w:color w:val="auto"/>
          <w:sz w:val="22"/>
          <w:szCs w:val="22"/>
        </w:rPr>
      </w:pPr>
      <w:r w:rsidRPr="00ED5C8A">
        <w:rPr>
          <w:rFonts w:ascii="Arial" w:eastAsiaTheme="minorEastAsia" w:hAnsi="Arial" w:cs="Arial"/>
          <w:i/>
          <w:sz w:val="22"/>
          <w:szCs w:val="22"/>
        </w:rPr>
        <w:t>All supports and services must be provided in a manner that promotes individual autonomy and choice for disabled people to the greatest extent possible. People driven means: “I direct what happens to me”. Service provision should not be driven by the needs of multiple agencies but by disabled people themselves and their families.</w:t>
      </w:r>
      <w:r w:rsidR="00F20DDE" w:rsidRPr="00E31946">
        <w:rPr>
          <w:rStyle w:val="FootnoteReference"/>
          <w:rFonts w:ascii="Arial" w:eastAsiaTheme="minorEastAsia" w:hAnsi="Arial" w:cs="Arial"/>
          <w:i/>
          <w:sz w:val="22"/>
          <w:szCs w:val="22"/>
        </w:rPr>
        <w:footnoteReference w:id="1"/>
      </w:r>
    </w:p>
    <w:p w:rsidR="00687A88" w:rsidRPr="00E31946" w:rsidRDefault="00687A88" w:rsidP="00687A88">
      <w:pPr>
        <w:pStyle w:val="Default"/>
        <w:rPr>
          <w:rFonts w:ascii="Arial" w:eastAsiaTheme="minorEastAsia" w:hAnsi="Arial" w:cs="Arial"/>
          <w:color w:val="auto"/>
          <w:sz w:val="22"/>
          <w:szCs w:val="22"/>
        </w:rPr>
      </w:pPr>
    </w:p>
    <w:p w:rsidR="00DC4406" w:rsidRPr="00E31946" w:rsidRDefault="00DC4406" w:rsidP="00151581">
      <w:pPr>
        <w:pStyle w:val="Default"/>
        <w:rPr>
          <w:rFonts w:ascii="Arial" w:eastAsiaTheme="minorEastAsia" w:hAnsi="Arial" w:cs="Arial"/>
          <w:color w:val="auto"/>
          <w:sz w:val="22"/>
          <w:szCs w:val="22"/>
        </w:rPr>
      </w:pPr>
    </w:p>
    <w:p w:rsidR="00C04188" w:rsidRPr="00E31946" w:rsidRDefault="00151581" w:rsidP="00505A51">
      <w:pPr>
        <w:pStyle w:val="Default"/>
        <w:numPr>
          <w:ilvl w:val="0"/>
          <w:numId w:val="1"/>
        </w:numPr>
        <w:ind w:left="709" w:hanging="709"/>
        <w:rPr>
          <w:rFonts w:ascii="Arial" w:eastAsiaTheme="minorEastAsia" w:hAnsi="Arial" w:cs="Arial"/>
          <w:color w:val="auto"/>
          <w:sz w:val="22"/>
          <w:szCs w:val="22"/>
        </w:rPr>
      </w:pPr>
      <w:r w:rsidRPr="00E31946">
        <w:rPr>
          <w:rFonts w:ascii="Arial" w:eastAsiaTheme="minorEastAsia" w:hAnsi="Arial" w:cs="Arial"/>
          <w:color w:val="auto"/>
          <w:sz w:val="22"/>
          <w:szCs w:val="22"/>
        </w:rPr>
        <w:t>We also note at the same link above the IMM’s Interim Report ‘Article 24: The Right to an Inclusive Education’ June 2016. That Report examines the progress made in New Zealand toward the realisation of the right to inclusive education.</w:t>
      </w:r>
      <w:r w:rsidR="00505A51" w:rsidRPr="00E31946">
        <w:rPr>
          <w:rFonts w:ascii="Arial" w:eastAsiaTheme="minorEastAsia" w:hAnsi="Arial" w:cs="Arial"/>
          <w:color w:val="auto"/>
          <w:sz w:val="22"/>
          <w:szCs w:val="22"/>
        </w:rPr>
        <w:t xml:space="preserve"> The Report discussed the importance of services/reasonable accommodation to make inclusive education a reality. </w:t>
      </w:r>
      <w:r w:rsidR="00C04188" w:rsidRPr="00E31946">
        <w:rPr>
          <w:rFonts w:ascii="Arial" w:eastAsiaTheme="minorEastAsia" w:hAnsi="Arial" w:cs="Arial"/>
          <w:color w:val="auto"/>
          <w:sz w:val="22"/>
          <w:szCs w:val="22"/>
        </w:rPr>
        <w:t>Despite a lack of data, t</w:t>
      </w:r>
      <w:r w:rsidR="00505A51" w:rsidRPr="00E31946">
        <w:rPr>
          <w:rFonts w:ascii="Arial" w:eastAsiaTheme="minorEastAsia" w:hAnsi="Arial" w:cs="Arial"/>
          <w:color w:val="auto"/>
          <w:sz w:val="22"/>
          <w:szCs w:val="22"/>
        </w:rPr>
        <w:t>he Report noted:</w:t>
      </w:r>
    </w:p>
    <w:p w:rsidR="00C04188" w:rsidRPr="00E31946" w:rsidRDefault="00C04188" w:rsidP="00C04188">
      <w:pPr>
        <w:pStyle w:val="Default"/>
        <w:ind w:left="709"/>
        <w:rPr>
          <w:rFonts w:ascii="Arial" w:eastAsiaTheme="minorEastAsia" w:hAnsi="Arial" w:cs="Arial"/>
          <w:color w:val="auto"/>
          <w:sz w:val="22"/>
          <w:szCs w:val="22"/>
        </w:rPr>
      </w:pPr>
    </w:p>
    <w:p w:rsidR="00505A51" w:rsidRPr="00E31946" w:rsidRDefault="00505A51" w:rsidP="00C04188">
      <w:pPr>
        <w:pStyle w:val="Default"/>
        <w:ind w:left="709"/>
        <w:rPr>
          <w:rFonts w:ascii="Arial" w:eastAsiaTheme="minorEastAsia" w:hAnsi="Arial" w:cs="Arial"/>
          <w:i/>
          <w:sz w:val="22"/>
          <w:szCs w:val="22"/>
        </w:rPr>
      </w:pPr>
      <w:r w:rsidRPr="00ED5C8A">
        <w:rPr>
          <w:rFonts w:ascii="Arial" w:eastAsiaTheme="minorEastAsia" w:hAnsi="Arial" w:cs="Arial"/>
          <w:i/>
          <w:sz w:val="22"/>
          <w:szCs w:val="22"/>
        </w:rPr>
        <w:t>From the available data, it appears that while improvements have been made, there is still a significant amount of work to be done to make New Zealand’s education system inclusive.</w:t>
      </w:r>
      <w:r w:rsidR="00C04188" w:rsidRPr="00E31946">
        <w:rPr>
          <w:rStyle w:val="FootnoteReference"/>
          <w:rFonts w:ascii="Arial" w:eastAsiaTheme="minorEastAsia" w:hAnsi="Arial" w:cs="Arial"/>
          <w:i/>
          <w:sz w:val="22"/>
          <w:szCs w:val="22"/>
        </w:rPr>
        <w:footnoteReference w:id="2"/>
      </w:r>
    </w:p>
    <w:p w:rsidR="00830729" w:rsidRPr="00ED5C8A" w:rsidRDefault="00830729" w:rsidP="00C04188">
      <w:pPr>
        <w:pStyle w:val="Default"/>
        <w:ind w:left="709"/>
        <w:rPr>
          <w:rFonts w:ascii="Arial" w:eastAsiaTheme="minorEastAsia" w:hAnsi="Arial" w:cs="Arial"/>
          <w:i/>
          <w:sz w:val="22"/>
          <w:szCs w:val="22"/>
        </w:rPr>
      </w:pPr>
    </w:p>
    <w:p w:rsidR="00830729" w:rsidRPr="00366534" w:rsidRDefault="00830729" w:rsidP="00830729">
      <w:pPr>
        <w:pStyle w:val="Default"/>
        <w:rPr>
          <w:rFonts w:ascii="Arial" w:eastAsiaTheme="minorEastAsia" w:hAnsi="Arial" w:cs="Arial"/>
          <w:b/>
          <w:sz w:val="22"/>
          <w:szCs w:val="22"/>
        </w:rPr>
      </w:pPr>
      <w:r w:rsidRPr="00366534">
        <w:rPr>
          <w:rFonts w:ascii="Arial" w:eastAsiaTheme="minorEastAsia" w:hAnsi="Arial" w:cs="Arial"/>
          <w:b/>
          <w:sz w:val="22"/>
          <w:szCs w:val="22"/>
        </w:rPr>
        <w:t>The New Zealand disability support workforce: 2015 survey of NZDSN member organisations</w:t>
      </w:r>
    </w:p>
    <w:p w:rsidR="00505A51" w:rsidRPr="00366534" w:rsidRDefault="00505A51" w:rsidP="00505A51">
      <w:pPr>
        <w:pStyle w:val="Default"/>
        <w:rPr>
          <w:rFonts w:ascii="Arial" w:hAnsi="Arial" w:cs="Arial"/>
          <w:sz w:val="22"/>
          <w:szCs w:val="22"/>
        </w:rPr>
      </w:pPr>
    </w:p>
    <w:p w:rsidR="00151581" w:rsidRPr="00366534" w:rsidRDefault="00151581" w:rsidP="00830729">
      <w:pPr>
        <w:pStyle w:val="Default"/>
        <w:ind w:left="709"/>
        <w:rPr>
          <w:rFonts w:ascii="Arial" w:eastAsiaTheme="minorEastAsia" w:hAnsi="Arial" w:cs="Arial"/>
          <w:color w:val="auto"/>
          <w:sz w:val="22"/>
          <w:szCs w:val="22"/>
        </w:rPr>
      </w:pPr>
    </w:p>
    <w:p w:rsidR="00BF1EEC" w:rsidRDefault="00830729" w:rsidP="00366534">
      <w:pPr>
        <w:pStyle w:val="Default"/>
        <w:numPr>
          <w:ilvl w:val="0"/>
          <w:numId w:val="1"/>
        </w:numPr>
        <w:ind w:left="709" w:hanging="709"/>
        <w:jc w:val="both"/>
        <w:rPr>
          <w:rFonts w:ascii="Arial" w:eastAsiaTheme="minorEastAsia" w:hAnsi="Arial" w:cs="Arial"/>
          <w:color w:val="auto"/>
          <w:sz w:val="22"/>
          <w:szCs w:val="22"/>
        </w:rPr>
      </w:pPr>
      <w:r w:rsidRPr="00366534">
        <w:rPr>
          <w:rFonts w:ascii="Arial" w:eastAsiaTheme="minorEastAsia" w:hAnsi="Arial" w:cs="Arial"/>
          <w:color w:val="auto"/>
          <w:sz w:val="22"/>
          <w:szCs w:val="22"/>
        </w:rPr>
        <w:t>A further report which may be of interest is the New Zealand disability support workforce: 2015 survey of NZDSN member organisations report published in June 2016.</w:t>
      </w:r>
      <w:r w:rsidRPr="00366534">
        <w:footnoteReference w:id="3"/>
      </w:r>
      <w:r w:rsidR="00A43AE6" w:rsidRPr="00366534">
        <w:rPr>
          <w:rFonts w:ascii="Arial" w:eastAsiaTheme="minorEastAsia" w:hAnsi="Arial" w:cs="Arial"/>
          <w:color w:val="auto"/>
          <w:sz w:val="22"/>
          <w:szCs w:val="22"/>
        </w:rPr>
        <w:t xml:space="preserve"> The report presents the results from the 2015 New Zealand Disability Support Network (NZDSN)</w:t>
      </w:r>
      <w:r w:rsidR="00A43AE6" w:rsidRPr="00366534">
        <w:footnoteReference w:id="4"/>
      </w:r>
      <w:r w:rsidR="00A43AE6" w:rsidRPr="00366534">
        <w:rPr>
          <w:rFonts w:ascii="Arial" w:eastAsiaTheme="minorEastAsia" w:hAnsi="Arial" w:cs="Arial"/>
          <w:color w:val="auto"/>
          <w:sz w:val="22"/>
          <w:szCs w:val="22"/>
        </w:rPr>
        <w:t xml:space="preserve"> and </w:t>
      </w:r>
      <w:proofErr w:type="spellStart"/>
      <w:r w:rsidR="00A43AE6" w:rsidRPr="00366534">
        <w:rPr>
          <w:rFonts w:ascii="Arial" w:eastAsiaTheme="minorEastAsia" w:hAnsi="Arial" w:cs="Arial"/>
          <w:color w:val="auto"/>
          <w:sz w:val="22"/>
          <w:szCs w:val="22"/>
        </w:rPr>
        <w:t>Te</w:t>
      </w:r>
      <w:proofErr w:type="spellEnd"/>
      <w:r w:rsidR="00A43AE6" w:rsidRPr="00366534">
        <w:rPr>
          <w:rFonts w:ascii="Arial" w:eastAsiaTheme="minorEastAsia" w:hAnsi="Arial" w:cs="Arial"/>
          <w:color w:val="auto"/>
          <w:sz w:val="22"/>
          <w:szCs w:val="22"/>
        </w:rPr>
        <w:t xml:space="preserve"> </w:t>
      </w:r>
      <w:proofErr w:type="spellStart"/>
      <w:r w:rsidR="00A43AE6" w:rsidRPr="00366534">
        <w:rPr>
          <w:rFonts w:ascii="Arial" w:eastAsiaTheme="minorEastAsia" w:hAnsi="Arial" w:cs="Arial"/>
          <w:color w:val="auto"/>
          <w:sz w:val="22"/>
          <w:szCs w:val="22"/>
        </w:rPr>
        <w:t>Pou</w:t>
      </w:r>
      <w:proofErr w:type="spellEnd"/>
      <w:r w:rsidR="00A43AE6" w:rsidRPr="00366534">
        <w:footnoteReference w:id="5"/>
      </w:r>
      <w:r w:rsidR="00A43AE6" w:rsidRPr="00366534">
        <w:rPr>
          <w:rFonts w:ascii="Arial" w:eastAsiaTheme="minorEastAsia" w:hAnsi="Arial" w:cs="Arial"/>
          <w:color w:val="auto"/>
          <w:sz w:val="22"/>
          <w:szCs w:val="22"/>
        </w:rPr>
        <w:t xml:space="preserve"> workforce survey, with recommendations for future workforce development.</w:t>
      </w:r>
      <w:r w:rsidRPr="00366534">
        <w:rPr>
          <w:rFonts w:ascii="Arial" w:eastAsiaTheme="minorEastAsia" w:hAnsi="Arial" w:cs="Arial"/>
          <w:color w:val="auto"/>
          <w:sz w:val="22"/>
          <w:szCs w:val="22"/>
        </w:rPr>
        <w:t xml:space="preserve"> While the report focuses on the disability support workforce, rather than the provision of support to people with disabilities, the key findings on pages 10-12 and backgroun</w:t>
      </w:r>
      <w:r w:rsidR="00BF1EEC">
        <w:rPr>
          <w:rFonts w:ascii="Arial" w:eastAsiaTheme="minorEastAsia" w:hAnsi="Arial" w:cs="Arial"/>
          <w:color w:val="auto"/>
          <w:sz w:val="22"/>
          <w:szCs w:val="22"/>
        </w:rPr>
        <w:t>d information on pages 14-17 may be useful.</w:t>
      </w:r>
    </w:p>
    <w:p w:rsidR="00D877F2" w:rsidRDefault="00D877F2" w:rsidP="00D877F2">
      <w:pPr>
        <w:pStyle w:val="Default"/>
        <w:ind w:left="709"/>
        <w:jc w:val="both"/>
        <w:rPr>
          <w:rFonts w:ascii="Arial" w:eastAsiaTheme="minorEastAsia" w:hAnsi="Arial" w:cs="Arial"/>
          <w:color w:val="auto"/>
          <w:sz w:val="22"/>
          <w:szCs w:val="22"/>
        </w:rPr>
      </w:pPr>
    </w:p>
    <w:p w:rsidR="00D877F2" w:rsidRPr="00D877F2" w:rsidRDefault="00D877F2" w:rsidP="00D877F2">
      <w:pPr>
        <w:pStyle w:val="Default"/>
        <w:jc w:val="both"/>
        <w:rPr>
          <w:rFonts w:ascii="Arial" w:eastAsiaTheme="minorEastAsia" w:hAnsi="Arial" w:cs="Arial"/>
          <w:b/>
          <w:color w:val="auto"/>
          <w:sz w:val="22"/>
          <w:szCs w:val="22"/>
        </w:rPr>
      </w:pPr>
      <w:r w:rsidRPr="00D877F2">
        <w:rPr>
          <w:rFonts w:ascii="Arial" w:eastAsiaTheme="minorEastAsia" w:hAnsi="Arial" w:cs="Arial"/>
          <w:b/>
          <w:color w:val="auto"/>
          <w:sz w:val="22"/>
          <w:szCs w:val="22"/>
        </w:rPr>
        <w:t>Pertinent examples of support services initiatives in New Zealand</w:t>
      </w:r>
    </w:p>
    <w:p w:rsidR="00262E46" w:rsidRDefault="00262E46" w:rsidP="00D877F2">
      <w:pPr>
        <w:pStyle w:val="Default"/>
        <w:jc w:val="both"/>
        <w:rPr>
          <w:rFonts w:ascii="Arial" w:eastAsiaTheme="minorEastAsia" w:hAnsi="Arial" w:cs="Arial"/>
          <w:color w:val="auto"/>
          <w:sz w:val="22"/>
          <w:szCs w:val="22"/>
        </w:rPr>
      </w:pPr>
    </w:p>
    <w:p w:rsidR="00D877F2" w:rsidRPr="00262E46" w:rsidRDefault="00262E46" w:rsidP="00D877F2">
      <w:pPr>
        <w:pStyle w:val="Default"/>
        <w:jc w:val="both"/>
        <w:rPr>
          <w:rFonts w:ascii="Arial" w:eastAsiaTheme="minorEastAsia" w:hAnsi="Arial" w:cs="Arial"/>
          <w:i/>
          <w:color w:val="auto"/>
          <w:sz w:val="22"/>
          <w:szCs w:val="22"/>
        </w:rPr>
      </w:pPr>
      <w:proofErr w:type="spellStart"/>
      <w:r w:rsidRPr="00262E46">
        <w:rPr>
          <w:rFonts w:ascii="Arial" w:eastAsiaTheme="minorEastAsia" w:hAnsi="Arial" w:cs="Arial"/>
          <w:i/>
          <w:color w:val="auto"/>
          <w:sz w:val="22"/>
          <w:szCs w:val="22"/>
        </w:rPr>
        <w:t>Whānau</w:t>
      </w:r>
      <w:proofErr w:type="spellEnd"/>
      <w:r w:rsidRPr="00262E46">
        <w:rPr>
          <w:rFonts w:ascii="Arial" w:eastAsiaTheme="minorEastAsia" w:hAnsi="Arial" w:cs="Arial"/>
          <w:i/>
          <w:color w:val="auto"/>
          <w:sz w:val="22"/>
          <w:szCs w:val="22"/>
        </w:rPr>
        <w:t xml:space="preserve"> </w:t>
      </w:r>
      <w:proofErr w:type="spellStart"/>
      <w:r w:rsidRPr="00262E46">
        <w:rPr>
          <w:rFonts w:ascii="Arial" w:eastAsiaTheme="minorEastAsia" w:hAnsi="Arial" w:cs="Arial"/>
          <w:i/>
          <w:color w:val="auto"/>
          <w:sz w:val="22"/>
          <w:szCs w:val="22"/>
        </w:rPr>
        <w:t>Ora</w:t>
      </w:r>
      <w:proofErr w:type="spellEnd"/>
    </w:p>
    <w:p w:rsidR="00262E46" w:rsidRDefault="00262E46" w:rsidP="00262E46">
      <w:pPr>
        <w:pStyle w:val="Default"/>
        <w:ind w:left="709"/>
        <w:jc w:val="both"/>
        <w:rPr>
          <w:rFonts w:ascii="Arial" w:eastAsiaTheme="minorEastAsia" w:hAnsi="Arial" w:cs="Arial"/>
          <w:color w:val="auto"/>
          <w:sz w:val="22"/>
          <w:szCs w:val="22"/>
        </w:rPr>
      </w:pPr>
    </w:p>
    <w:p w:rsidR="00D744D0" w:rsidRDefault="00D744D0" w:rsidP="00D744D0">
      <w:pPr>
        <w:pStyle w:val="Default"/>
        <w:numPr>
          <w:ilvl w:val="0"/>
          <w:numId w:val="1"/>
        </w:numPr>
        <w:ind w:left="709" w:hanging="709"/>
        <w:jc w:val="both"/>
        <w:rPr>
          <w:rFonts w:ascii="Arial" w:eastAsiaTheme="minorEastAsia" w:hAnsi="Arial" w:cs="Arial"/>
          <w:color w:val="auto"/>
          <w:sz w:val="22"/>
          <w:szCs w:val="22"/>
        </w:rPr>
      </w:pPr>
      <w:r w:rsidRPr="00AC1B7E">
        <w:rPr>
          <w:rFonts w:ascii="Arial" w:hAnsi="Arial" w:cs="Arial"/>
          <w:sz w:val="22"/>
          <w:szCs w:val="22"/>
        </w:rPr>
        <w:t xml:space="preserve">For Māori, living in the community involves all aspects of </w:t>
      </w:r>
      <w:proofErr w:type="spellStart"/>
      <w:r w:rsidRPr="00AC1B7E">
        <w:rPr>
          <w:rFonts w:ascii="Arial" w:hAnsi="Arial" w:cs="Arial"/>
          <w:sz w:val="22"/>
          <w:szCs w:val="22"/>
        </w:rPr>
        <w:t>Te</w:t>
      </w:r>
      <w:proofErr w:type="spellEnd"/>
      <w:r w:rsidRPr="00AC1B7E">
        <w:rPr>
          <w:rFonts w:ascii="Arial" w:hAnsi="Arial" w:cs="Arial"/>
          <w:sz w:val="22"/>
          <w:szCs w:val="22"/>
        </w:rPr>
        <w:t xml:space="preserve"> </w:t>
      </w:r>
      <w:proofErr w:type="spellStart"/>
      <w:r w:rsidRPr="00AC1B7E">
        <w:rPr>
          <w:rFonts w:ascii="Arial" w:hAnsi="Arial" w:cs="Arial"/>
          <w:sz w:val="22"/>
          <w:szCs w:val="22"/>
        </w:rPr>
        <w:t>Whare</w:t>
      </w:r>
      <w:proofErr w:type="spellEnd"/>
      <w:r w:rsidRPr="00AC1B7E">
        <w:rPr>
          <w:rFonts w:ascii="Arial" w:hAnsi="Arial" w:cs="Arial"/>
          <w:sz w:val="22"/>
          <w:szCs w:val="22"/>
        </w:rPr>
        <w:t xml:space="preserve"> Tapa </w:t>
      </w:r>
      <w:proofErr w:type="spellStart"/>
      <w:r w:rsidRPr="00AC1B7E">
        <w:rPr>
          <w:rFonts w:ascii="Arial" w:hAnsi="Arial" w:cs="Arial"/>
          <w:sz w:val="22"/>
          <w:szCs w:val="22"/>
        </w:rPr>
        <w:t>Whā</w:t>
      </w:r>
      <w:proofErr w:type="spellEnd"/>
      <w:r w:rsidRPr="00AC1B7E">
        <w:rPr>
          <w:rFonts w:ascii="Arial" w:hAnsi="Arial" w:cs="Arial"/>
          <w:sz w:val="22"/>
          <w:szCs w:val="22"/>
        </w:rPr>
        <w:t xml:space="preserve"> – physical, mental, spiritual and </w:t>
      </w:r>
      <w:proofErr w:type="spellStart"/>
      <w:r w:rsidRPr="00AC1B7E">
        <w:rPr>
          <w:rFonts w:ascii="Arial" w:hAnsi="Arial" w:cs="Arial"/>
          <w:sz w:val="22"/>
          <w:szCs w:val="22"/>
        </w:rPr>
        <w:t>whānau</w:t>
      </w:r>
      <w:proofErr w:type="spellEnd"/>
      <w:r w:rsidRPr="00AC1B7E">
        <w:rPr>
          <w:rFonts w:ascii="Arial" w:hAnsi="Arial" w:cs="Arial"/>
          <w:sz w:val="22"/>
          <w:szCs w:val="22"/>
        </w:rPr>
        <w:t xml:space="preserve"> health.  Support structures/service delivery needs to take this holistic model of health into account and provide Māori and Pacific people the level of </w:t>
      </w:r>
      <w:proofErr w:type="spellStart"/>
      <w:r w:rsidRPr="00AC1B7E">
        <w:rPr>
          <w:rFonts w:ascii="Arial" w:hAnsi="Arial" w:cs="Arial"/>
          <w:sz w:val="22"/>
          <w:szCs w:val="22"/>
        </w:rPr>
        <w:t>rangatiratanga</w:t>
      </w:r>
      <w:proofErr w:type="spellEnd"/>
      <w:r w:rsidRPr="00AC1B7E">
        <w:rPr>
          <w:rFonts w:ascii="Arial" w:hAnsi="Arial" w:cs="Arial"/>
          <w:sz w:val="22"/>
          <w:szCs w:val="22"/>
        </w:rPr>
        <w:t xml:space="preserve"> or choice to whic</w:t>
      </w:r>
      <w:r>
        <w:rPr>
          <w:rFonts w:ascii="Arial" w:hAnsi="Arial" w:cs="Arial"/>
          <w:sz w:val="22"/>
          <w:szCs w:val="22"/>
        </w:rPr>
        <w:t xml:space="preserve">h they aspire. For example, </w:t>
      </w:r>
      <w:r>
        <w:rPr>
          <w:rFonts w:ascii="Arial" w:hAnsi="Arial" w:cs="Arial"/>
          <w:sz w:val="22"/>
          <w:szCs w:val="22"/>
        </w:rPr>
        <w:br/>
        <w:t xml:space="preserve">New </w:t>
      </w:r>
      <w:r w:rsidRPr="00AC1B7E">
        <w:rPr>
          <w:rFonts w:ascii="Arial" w:hAnsi="Arial" w:cs="Arial"/>
          <w:sz w:val="22"/>
          <w:szCs w:val="22"/>
        </w:rPr>
        <w:t xml:space="preserve">Zealand’s Ministry of Health </w:t>
      </w:r>
      <w:r>
        <w:rPr>
          <w:rFonts w:ascii="Arial" w:hAnsi="Arial" w:cs="Arial"/>
          <w:sz w:val="22"/>
          <w:szCs w:val="22"/>
        </w:rPr>
        <w:t>(</w:t>
      </w:r>
      <w:proofErr w:type="spellStart"/>
      <w:r>
        <w:rPr>
          <w:rFonts w:ascii="Arial" w:hAnsi="Arial" w:cs="Arial"/>
          <w:sz w:val="22"/>
          <w:szCs w:val="22"/>
        </w:rPr>
        <w:t>MoH</w:t>
      </w:r>
      <w:proofErr w:type="spellEnd"/>
      <w:r>
        <w:rPr>
          <w:rFonts w:ascii="Arial" w:hAnsi="Arial" w:cs="Arial"/>
          <w:sz w:val="22"/>
          <w:szCs w:val="22"/>
        </w:rPr>
        <w:t xml:space="preserve">) </w:t>
      </w:r>
      <w:r w:rsidRPr="00AC1B7E">
        <w:rPr>
          <w:rFonts w:ascii="Arial" w:hAnsi="Arial" w:cs="Arial"/>
          <w:sz w:val="22"/>
          <w:szCs w:val="22"/>
        </w:rPr>
        <w:t>currently provides some services for people with a disability which are delivered by Māori providers or other organisations offering services specifically for Māori.</w:t>
      </w:r>
    </w:p>
    <w:p w:rsidR="00D744D0" w:rsidRDefault="00D744D0" w:rsidP="00D744D0">
      <w:pPr>
        <w:pStyle w:val="Default"/>
        <w:ind w:left="709"/>
        <w:jc w:val="both"/>
        <w:rPr>
          <w:rFonts w:ascii="Arial" w:eastAsiaTheme="minorEastAsia" w:hAnsi="Arial" w:cs="Arial"/>
          <w:color w:val="auto"/>
          <w:sz w:val="22"/>
          <w:szCs w:val="22"/>
        </w:rPr>
      </w:pPr>
    </w:p>
    <w:p w:rsidR="00F45C38" w:rsidRPr="00D744D0" w:rsidRDefault="00EA4C09" w:rsidP="00D744D0">
      <w:pPr>
        <w:pStyle w:val="Default"/>
        <w:numPr>
          <w:ilvl w:val="0"/>
          <w:numId w:val="1"/>
        </w:numPr>
        <w:ind w:left="709" w:hanging="709"/>
        <w:jc w:val="both"/>
        <w:rPr>
          <w:rFonts w:ascii="Arial" w:eastAsiaTheme="minorEastAsia" w:hAnsi="Arial" w:cs="Arial"/>
          <w:color w:val="auto"/>
          <w:sz w:val="22"/>
          <w:szCs w:val="22"/>
        </w:rPr>
      </w:pPr>
      <w:r w:rsidRPr="00D744D0">
        <w:rPr>
          <w:rFonts w:ascii="Arial" w:eastAsiaTheme="minorEastAsia" w:hAnsi="Arial" w:cs="Arial"/>
          <w:color w:val="auto"/>
          <w:sz w:val="22"/>
          <w:szCs w:val="22"/>
        </w:rPr>
        <w:t>‘</w:t>
      </w:r>
      <w:proofErr w:type="spellStart"/>
      <w:r w:rsidR="00F45C38" w:rsidRPr="00D744D0">
        <w:rPr>
          <w:rFonts w:ascii="Arial" w:eastAsiaTheme="minorEastAsia" w:hAnsi="Arial" w:cs="Arial"/>
          <w:color w:val="auto"/>
          <w:sz w:val="22"/>
          <w:szCs w:val="22"/>
        </w:rPr>
        <w:t>Whānau</w:t>
      </w:r>
      <w:proofErr w:type="spellEnd"/>
      <w:r w:rsidR="00F45C38" w:rsidRPr="00D744D0">
        <w:rPr>
          <w:rFonts w:ascii="Arial" w:eastAsiaTheme="minorEastAsia" w:hAnsi="Arial" w:cs="Arial"/>
          <w:color w:val="auto"/>
          <w:sz w:val="22"/>
          <w:szCs w:val="22"/>
        </w:rPr>
        <w:t xml:space="preserve"> </w:t>
      </w:r>
      <w:proofErr w:type="spellStart"/>
      <w:r w:rsidR="00F45C38" w:rsidRPr="00D744D0">
        <w:rPr>
          <w:rFonts w:ascii="Arial" w:eastAsiaTheme="minorEastAsia" w:hAnsi="Arial" w:cs="Arial"/>
          <w:color w:val="auto"/>
          <w:sz w:val="22"/>
          <w:szCs w:val="22"/>
        </w:rPr>
        <w:t>Ora</w:t>
      </w:r>
      <w:proofErr w:type="spellEnd"/>
      <w:r w:rsidRPr="00D744D0">
        <w:rPr>
          <w:rFonts w:ascii="Arial" w:eastAsiaTheme="minorEastAsia" w:hAnsi="Arial" w:cs="Arial"/>
          <w:color w:val="auto"/>
          <w:sz w:val="22"/>
          <w:szCs w:val="22"/>
        </w:rPr>
        <w:t xml:space="preserve">’ is an initiative built on Maori values which </w:t>
      </w:r>
      <w:r w:rsidR="00F45C38" w:rsidRPr="00D744D0">
        <w:rPr>
          <w:rFonts w:ascii="Arial" w:eastAsiaTheme="minorEastAsia" w:hAnsi="Arial" w:cs="Arial"/>
          <w:color w:val="auto"/>
          <w:sz w:val="22"/>
          <w:szCs w:val="22"/>
        </w:rPr>
        <w:t xml:space="preserve">puts </w:t>
      </w:r>
      <w:r w:rsidR="00554A27" w:rsidRPr="00D744D0">
        <w:rPr>
          <w:rFonts w:ascii="Arial" w:eastAsiaTheme="minorEastAsia" w:hAnsi="Arial" w:cs="Arial"/>
          <w:color w:val="auto"/>
          <w:sz w:val="22"/>
          <w:szCs w:val="22"/>
        </w:rPr>
        <w:t>whanau (family)</w:t>
      </w:r>
      <w:r w:rsidR="00F45C38" w:rsidRPr="00D744D0">
        <w:rPr>
          <w:rFonts w:ascii="Arial" w:eastAsiaTheme="minorEastAsia" w:hAnsi="Arial" w:cs="Arial"/>
          <w:color w:val="auto"/>
          <w:sz w:val="22"/>
          <w:szCs w:val="22"/>
        </w:rPr>
        <w:t xml:space="preserve"> at the centre of decision-making about the services and opportunities they need and how they access them. Community, government and iwi</w:t>
      </w:r>
      <w:r w:rsidR="00554A27" w:rsidRPr="00D744D0">
        <w:rPr>
          <w:rFonts w:ascii="Arial" w:eastAsiaTheme="minorEastAsia" w:hAnsi="Arial" w:cs="Arial"/>
          <w:color w:val="auto"/>
          <w:sz w:val="22"/>
          <w:szCs w:val="22"/>
        </w:rPr>
        <w:t xml:space="preserve"> (tribal)</w:t>
      </w:r>
      <w:r w:rsidR="00F45C38" w:rsidRPr="00D744D0">
        <w:rPr>
          <w:rFonts w:ascii="Arial" w:eastAsiaTheme="minorEastAsia" w:hAnsi="Arial" w:cs="Arial"/>
          <w:color w:val="auto"/>
          <w:sz w:val="22"/>
          <w:szCs w:val="22"/>
        </w:rPr>
        <w:t xml:space="preserve"> agencies that provide services to </w:t>
      </w:r>
      <w:proofErr w:type="spellStart"/>
      <w:r w:rsidR="00F45C38" w:rsidRPr="00D744D0">
        <w:rPr>
          <w:rFonts w:ascii="Arial" w:eastAsiaTheme="minorEastAsia" w:hAnsi="Arial" w:cs="Arial"/>
          <w:color w:val="auto"/>
          <w:sz w:val="22"/>
          <w:szCs w:val="22"/>
        </w:rPr>
        <w:t>whānau</w:t>
      </w:r>
      <w:proofErr w:type="spellEnd"/>
      <w:r w:rsidR="00F45C38" w:rsidRPr="00D744D0">
        <w:rPr>
          <w:rFonts w:ascii="Arial" w:eastAsiaTheme="minorEastAsia" w:hAnsi="Arial" w:cs="Arial"/>
          <w:color w:val="auto"/>
          <w:sz w:val="22"/>
          <w:szCs w:val="22"/>
        </w:rPr>
        <w:t xml:space="preserve"> are expected to work in a co-ordinated way that is responsive to </w:t>
      </w:r>
      <w:proofErr w:type="spellStart"/>
      <w:r w:rsidR="00F45C38" w:rsidRPr="00D744D0">
        <w:rPr>
          <w:rFonts w:ascii="Arial" w:eastAsiaTheme="minorEastAsia" w:hAnsi="Arial" w:cs="Arial"/>
          <w:color w:val="auto"/>
          <w:sz w:val="22"/>
          <w:szCs w:val="22"/>
        </w:rPr>
        <w:t>whānau</w:t>
      </w:r>
      <w:proofErr w:type="spellEnd"/>
      <w:r w:rsidR="00F45C38" w:rsidRPr="00D744D0">
        <w:rPr>
          <w:rFonts w:ascii="Arial" w:eastAsiaTheme="minorEastAsia" w:hAnsi="Arial" w:cs="Arial"/>
          <w:color w:val="auto"/>
          <w:sz w:val="22"/>
          <w:szCs w:val="22"/>
        </w:rPr>
        <w:t xml:space="preserve"> needs.</w:t>
      </w:r>
      <w:r w:rsidR="00F45C38">
        <w:rPr>
          <w:rStyle w:val="FootnoteReference"/>
          <w:rFonts w:ascii="Arial" w:eastAsiaTheme="minorEastAsia" w:hAnsi="Arial" w:cs="Arial"/>
          <w:color w:val="auto"/>
          <w:sz w:val="22"/>
          <w:szCs w:val="22"/>
        </w:rPr>
        <w:footnoteReference w:id="6"/>
      </w:r>
    </w:p>
    <w:p w:rsidR="00F45C38" w:rsidRPr="00F45C38" w:rsidRDefault="00F45C38" w:rsidP="00F45C38">
      <w:pPr>
        <w:pStyle w:val="Default"/>
        <w:ind w:left="709"/>
        <w:jc w:val="both"/>
        <w:rPr>
          <w:rFonts w:ascii="Arial" w:eastAsiaTheme="minorEastAsia" w:hAnsi="Arial" w:cs="Arial"/>
          <w:color w:val="auto"/>
          <w:sz w:val="22"/>
          <w:szCs w:val="22"/>
        </w:rPr>
      </w:pPr>
    </w:p>
    <w:p w:rsidR="00CF1A4D" w:rsidRDefault="00F45C38" w:rsidP="00E16909">
      <w:pPr>
        <w:pStyle w:val="Default"/>
        <w:numPr>
          <w:ilvl w:val="0"/>
          <w:numId w:val="1"/>
        </w:numPr>
        <w:ind w:left="709" w:hanging="709"/>
        <w:jc w:val="both"/>
        <w:rPr>
          <w:rFonts w:ascii="Arial" w:eastAsiaTheme="minorEastAsia" w:hAnsi="Arial" w:cs="Arial"/>
          <w:color w:val="auto"/>
          <w:sz w:val="22"/>
          <w:szCs w:val="22"/>
        </w:rPr>
      </w:pPr>
      <w:proofErr w:type="spellStart"/>
      <w:r w:rsidRPr="00F45C38">
        <w:rPr>
          <w:rFonts w:ascii="Arial" w:eastAsiaTheme="minorEastAsia" w:hAnsi="Arial" w:cs="Arial"/>
          <w:color w:val="auto"/>
          <w:sz w:val="22"/>
          <w:szCs w:val="22"/>
        </w:rPr>
        <w:t>Whānau</w:t>
      </w:r>
      <w:proofErr w:type="spellEnd"/>
      <w:r w:rsidRPr="00F45C38">
        <w:rPr>
          <w:rFonts w:ascii="Arial" w:eastAsiaTheme="minorEastAsia" w:hAnsi="Arial" w:cs="Arial"/>
          <w:color w:val="auto"/>
          <w:sz w:val="22"/>
          <w:szCs w:val="22"/>
        </w:rPr>
        <w:t xml:space="preserve"> may use the services of a </w:t>
      </w:r>
      <w:hyperlink r:id="rId11" w:history="1">
        <w:r w:rsidRPr="00F45C38">
          <w:rPr>
            <w:rFonts w:ascii="Arial" w:eastAsiaTheme="minorEastAsia" w:hAnsi="Arial" w:cs="Arial"/>
            <w:color w:val="auto"/>
            <w:sz w:val="22"/>
            <w:szCs w:val="22"/>
          </w:rPr>
          <w:t>navigator</w:t>
        </w:r>
      </w:hyperlink>
      <w:r w:rsidRPr="00F45C38">
        <w:rPr>
          <w:rFonts w:ascii="Arial" w:eastAsiaTheme="minorEastAsia" w:hAnsi="Arial" w:cs="Arial"/>
          <w:color w:val="auto"/>
          <w:sz w:val="22"/>
          <w:szCs w:val="22"/>
        </w:rPr>
        <w:t>, a practitioner who helps them to identify their needs and aspirations, plan for the future, and access co-ordinated services in areas such as education, primary health and employment, to carry out the plan.</w:t>
      </w:r>
      <w:r w:rsidR="00554A27">
        <w:rPr>
          <w:rFonts w:ascii="Arial" w:eastAsiaTheme="minorEastAsia" w:hAnsi="Arial" w:cs="Arial"/>
          <w:color w:val="auto"/>
          <w:sz w:val="22"/>
          <w:szCs w:val="22"/>
        </w:rPr>
        <w:t xml:space="preserve"> </w:t>
      </w:r>
      <w:r w:rsidR="00554A27" w:rsidRPr="00E16909">
        <w:rPr>
          <w:rFonts w:ascii="Arial" w:eastAsiaTheme="minorEastAsia" w:hAnsi="Arial" w:cs="Arial"/>
          <w:color w:val="auto"/>
          <w:sz w:val="22"/>
          <w:szCs w:val="22"/>
        </w:rPr>
        <w:t xml:space="preserve">This initiative, which is </w:t>
      </w:r>
      <w:r w:rsidR="00554A27" w:rsidRPr="00E16909">
        <w:rPr>
          <w:rFonts w:ascii="Arial" w:eastAsiaTheme="minorEastAsia" w:hAnsi="Arial" w:cs="Arial"/>
          <w:color w:val="auto"/>
          <w:sz w:val="22"/>
          <w:szCs w:val="22"/>
        </w:rPr>
        <w:lastRenderedPageBreak/>
        <w:t>open to people with disabilities, has a positive focus on self-determination as well as familial, cultural, indigenous ties.</w:t>
      </w:r>
    </w:p>
    <w:p w:rsidR="00CF1A4D" w:rsidRDefault="00CF1A4D" w:rsidP="00262E46">
      <w:pPr>
        <w:rPr>
          <w:rFonts w:ascii="Arial" w:hAnsi="Arial" w:cs="Arial"/>
        </w:rPr>
      </w:pPr>
    </w:p>
    <w:p w:rsidR="00262E46" w:rsidRPr="00262E46" w:rsidRDefault="00262E46" w:rsidP="00262E46">
      <w:pPr>
        <w:rPr>
          <w:rFonts w:ascii="Arial" w:hAnsi="Arial" w:cs="Arial"/>
          <w:i/>
        </w:rPr>
      </w:pPr>
      <w:r w:rsidRPr="00262E46">
        <w:rPr>
          <w:rFonts w:ascii="Arial" w:hAnsi="Arial" w:cs="Arial"/>
          <w:i/>
        </w:rPr>
        <w:t>Enabling Good Lives</w:t>
      </w:r>
    </w:p>
    <w:p w:rsidR="00262E46" w:rsidRDefault="00262E46" w:rsidP="00D744D0">
      <w:pPr>
        <w:pStyle w:val="Default"/>
        <w:numPr>
          <w:ilvl w:val="0"/>
          <w:numId w:val="1"/>
        </w:numPr>
        <w:ind w:left="709" w:hanging="709"/>
        <w:jc w:val="both"/>
        <w:rPr>
          <w:rFonts w:ascii="Arial" w:eastAsiaTheme="minorEastAsia" w:hAnsi="Arial" w:cs="Arial"/>
          <w:color w:val="auto"/>
          <w:sz w:val="22"/>
          <w:szCs w:val="22"/>
        </w:rPr>
      </w:pPr>
      <w:r>
        <w:rPr>
          <w:rFonts w:ascii="Arial" w:eastAsiaTheme="minorEastAsia" w:hAnsi="Arial" w:cs="Arial"/>
          <w:color w:val="auto"/>
          <w:sz w:val="22"/>
          <w:szCs w:val="22"/>
        </w:rPr>
        <w:t>“Enabling Good Lives’</w:t>
      </w:r>
      <w:r w:rsidR="002C0924">
        <w:rPr>
          <w:rFonts w:ascii="Arial" w:eastAsiaTheme="minorEastAsia" w:hAnsi="Arial" w:cs="Arial"/>
          <w:color w:val="auto"/>
          <w:sz w:val="22"/>
          <w:szCs w:val="22"/>
        </w:rPr>
        <w:t xml:space="preserve"> was a small</w:t>
      </w:r>
      <w:r>
        <w:rPr>
          <w:rFonts w:ascii="Arial" w:eastAsiaTheme="minorEastAsia" w:hAnsi="Arial" w:cs="Arial"/>
          <w:color w:val="auto"/>
          <w:sz w:val="22"/>
          <w:szCs w:val="22"/>
        </w:rPr>
        <w:t xml:space="preserve"> initiative commenced in 2011 to trial/pilot a person-centred approach to service delivery to people with disabilities. </w:t>
      </w:r>
      <w:r w:rsidR="002C0924">
        <w:rPr>
          <w:rFonts w:ascii="Arial" w:eastAsiaTheme="minorEastAsia" w:hAnsi="Arial" w:cs="Arial"/>
          <w:color w:val="auto"/>
          <w:sz w:val="22"/>
          <w:szCs w:val="22"/>
        </w:rPr>
        <w:t>Its approach was very consistent with the ethos of the CRPD and it may be up-scaled in future.</w:t>
      </w:r>
      <w:r w:rsidR="002C0924">
        <w:rPr>
          <w:rStyle w:val="FootnoteReference"/>
          <w:rFonts w:ascii="Arial" w:eastAsiaTheme="minorEastAsia" w:hAnsi="Arial" w:cs="Arial"/>
          <w:color w:val="auto"/>
          <w:sz w:val="22"/>
          <w:szCs w:val="22"/>
        </w:rPr>
        <w:footnoteReference w:id="7"/>
      </w:r>
    </w:p>
    <w:p w:rsidR="00D744D0" w:rsidRPr="00D744D0" w:rsidRDefault="00D744D0" w:rsidP="00D744D0">
      <w:pPr>
        <w:pStyle w:val="Default"/>
        <w:jc w:val="both"/>
        <w:rPr>
          <w:rFonts w:ascii="Arial" w:eastAsiaTheme="minorEastAsia" w:hAnsi="Arial" w:cs="Arial"/>
          <w:i/>
          <w:color w:val="auto"/>
          <w:sz w:val="22"/>
          <w:szCs w:val="22"/>
        </w:rPr>
      </w:pPr>
    </w:p>
    <w:p w:rsidR="00D744D0" w:rsidRPr="00D744D0" w:rsidRDefault="00D744D0" w:rsidP="00D744D0">
      <w:pPr>
        <w:pStyle w:val="Default"/>
        <w:jc w:val="both"/>
        <w:rPr>
          <w:rFonts w:ascii="Arial" w:eastAsiaTheme="minorEastAsia" w:hAnsi="Arial" w:cs="Arial"/>
          <w:i/>
          <w:color w:val="auto"/>
          <w:sz w:val="22"/>
          <w:szCs w:val="22"/>
        </w:rPr>
      </w:pPr>
      <w:r w:rsidRPr="00D744D0">
        <w:rPr>
          <w:rFonts w:ascii="Arial" w:eastAsiaTheme="minorEastAsia" w:hAnsi="Arial" w:cs="Arial"/>
          <w:i/>
          <w:color w:val="auto"/>
          <w:sz w:val="22"/>
          <w:szCs w:val="22"/>
        </w:rPr>
        <w:t>Family Funded Care</w:t>
      </w:r>
    </w:p>
    <w:p w:rsidR="00E16909" w:rsidRPr="00D744D0" w:rsidRDefault="00E16909" w:rsidP="00D744D0">
      <w:pPr>
        <w:rPr>
          <w:rFonts w:ascii="Arial" w:hAnsi="Arial" w:cs="Arial"/>
        </w:rPr>
      </w:pPr>
    </w:p>
    <w:p w:rsidR="00D744D0" w:rsidRDefault="00D744D0" w:rsidP="00D744D0">
      <w:pPr>
        <w:pStyle w:val="Default"/>
        <w:numPr>
          <w:ilvl w:val="0"/>
          <w:numId w:val="1"/>
        </w:numPr>
        <w:ind w:left="709" w:hanging="709"/>
        <w:jc w:val="both"/>
        <w:rPr>
          <w:rFonts w:ascii="Arial" w:eastAsiaTheme="minorEastAsia" w:hAnsi="Arial" w:cs="Arial"/>
          <w:color w:val="auto"/>
          <w:sz w:val="22"/>
          <w:szCs w:val="22"/>
        </w:rPr>
      </w:pPr>
      <w:r w:rsidRPr="00D744D0">
        <w:rPr>
          <w:rFonts w:ascii="Arial" w:eastAsiaTheme="minorEastAsia" w:hAnsi="Arial" w:cs="Arial"/>
          <w:color w:val="auto"/>
          <w:sz w:val="22"/>
          <w:szCs w:val="22"/>
        </w:rPr>
        <w:t>Until recently, government policy meant that individuals were not eligible to receive funding for the provision of care to disabled family members.</w:t>
      </w:r>
    </w:p>
    <w:p w:rsidR="00D744D0" w:rsidRDefault="00D744D0" w:rsidP="00D744D0">
      <w:pPr>
        <w:pStyle w:val="Default"/>
        <w:ind w:left="709"/>
        <w:jc w:val="both"/>
        <w:rPr>
          <w:rFonts w:ascii="Arial" w:eastAsiaTheme="minorEastAsia" w:hAnsi="Arial" w:cs="Arial"/>
          <w:color w:val="auto"/>
          <w:sz w:val="22"/>
          <w:szCs w:val="22"/>
        </w:rPr>
      </w:pPr>
    </w:p>
    <w:p w:rsidR="00D744D0" w:rsidRDefault="00D744D0" w:rsidP="00D744D0">
      <w:pPr>
        <w:pStyle w:val="Default"/>
        <w:numPr>
          <w:ilvl w:val="0"/>
          <w:numId w:val="1"/>
        </w:numPr>
        <w:ind w:left="709" w:hanging="709"/>
        <w:jc w:val="both"/>
        <w:rPr>
          <w:rFonts w:ascii="Arial" w:eastAsiaTheme="minorEastAsia" w:hAnsi="Arial" w:cs="Arial"/>
          <w:color w:val="auto"/>
          <w:sz w:val="22"/>
          <w:szCs w:val="22"/>
        </w:rPr>
      </w:pPr>
      <w:r w:rsidRPr="00D744D0">
        <w:rPr>
          <w:rFonts w:ascii="Arial" w:hAnsi="Arial" w:cs="Arial"/>
          <w:sz w:val="22"/>
          <w:szCs w:val="22"/>
        </w:rPr>
        <w:t xml:space="preserve">This policy was held to be discriminatory by the Courts and in October 2013, the </w:t>
      </w:r>
      <w:proofErr w:type="spellStart"/>
      <w:r w:rsidRPr="00D744D0">
        <w:rPr>
          <w:rFonts w:ascii="Arial" w:hAnsi="Arial" w:cs="Arial"/>
          <w:sz w:val="22"/>
          <w:szCs w:val="22"/>
        </w:rPr>
        <w:t>MoH</w:t>
      </w:r>
      <w:proofErr w:type="spellEnd"/>
      <w:r w:rsidRPr="00D744D0">
        <w:rPr>
          <w:rFonts w:ascii="Arial" w:hAnsi="Arial" w:cs="Arial"/>
          <w:sz w:val="22"/>
          <w:szCs w:val="22"/>
        </w:rPr>
        <w:t xml:space="preserve"> introduced a Funded Family Care (FFC) policy. This permitted a small number of disabled people aged over 18 wit</w:t>
      </w:r>
      <w:r w:rsidR="007E2BC1">
        <w:rPr>
          <w:rFonts w:ascii="Arial" w:hAnsi="Arial" w:cs="Arial"/>
          <w:sz w:val="22"/>
          <w:szCs w:val="22"/>
        </w:rPr>
        <w:t xml:space="preserve">h ‘high or very high needs’ to </w:t>
      </w:r>
      <w:r w:rsidRPr="00D744D0">
        <w:rPr>
          <w:rFonts w:ascii="Arial" w:hAnsi="Arial" w:cs="Arial"/>
          <w:sz w:val="22"/>
          <w:szCs w:val="22"/>
        </w:rPr>
        <w:t>receive funding to employ family members with whom they live (excluding spouses or romantic partners) to provide some disability support services.</w:t>
      </w:r>
      <w:r w:rsidRPr="00AC1B7E">
        <w:rPr>
          <w:rStyle w:val="FootnoteReference"/>
          <w:rFonts w:ascii="Arial" w:hAnsi="Arial" w:cs="Arial"/>
          <w:sz w:val="22"/>
          <w:szCs w:val="22"/>
        </w:rPr>
        <w:footnoteReference w:id="8"/>
      </w:r>
      <w:r w:rsidRPr="00D744D0">
        <w:rPr>
          <w:rFonts w:ascii="Arial" w:hAnsi="Arial" w:cs="Arial"/>
          <w:sz w:val="22"/>
          <w:szCs w:val="22"/>
        </w:rPr>
        <w:t xml:space="preserve"> </w:t>
      </w:r>
    </w:p>
    <w:p w:rsidR="00D744D0" w:rsidRDefault="00D744D0" w:rsidP="00D744D0">
      <w:pPr>
        <w:pStyle w:val="ListParagraph"/>
        <w:rPr>
          <w:rFonts w:ascii="Arial" w:hAnsi="Arial" w:cs="Arial"/>
        </w:rPr>
      </w:pPr>
    </w:p>
    <w:p w:rsidR="00D744D0" w:rsidRDefault="00D744D0" w:rsidP="00D744D0">
      <w:pPr>
        <w:pStyle w:val="Default"/>
        <w:numPr>
          <w:ilvl w:val="0"/>
          <w:numId w:val="1"/>
        </w:numPr>
        <w:ind w:left="709" w:hanging="709"/>
        <w:jc w:val="both"/>
        <w:rPr>
          <w:rFonts w:ascii="Arial" w:eastAsiaTheme="minorEastAsia" w:hAnsi="Arial" w:cs="Arial"/>
          <w:color w:val="auto"/>
          <w:sz w:val="22"/>
          <w:szCs w:val="22"/>
        </w:rPr>
      </w:pPr>
      <w:r w:rsidRPr="00D744D0">
        <w:rPr>
          <w:rFonts w:ascii="Arial" w:hAnsi="Arial" w:cs="Arial"/>
          <w:sz w:val="22"/>
          <w:szCs w:val="22"/>
        </w:rPr>
        <w:t xml:space="preserve">An evaluation commissioned by the </w:t>
      </w:r>
      <w:proofErr w:type="spellStart"/>
      <w:r w:rsidRPr="00D744D0">
        <w:rPr>
          <w:rFonts w:ascii="Arial" w:hAnsi="Arial" w:cs="Arial"/>
          <w:sz w:val="22"/>
          <w:szCs w:val="22"/>
        </w:rPr>
        <w:t>MoH</w:t>
      </w:r>
      <w:proofErr w:type="spellEnd"/>
      <w:r w:rsidRPr="00D744D0">
        <w:rPr>
          <w:rFonts w:ascii="Arial" w:hAnsi="Arial" w:cs="Arial"/>
          <w:sz w:val="22"/>
          <w:szCs w:val="22"/>
        </w:rPr>
        <w:t xml:space="preserve"> to assess the FFC policy’s impact and effectiveness at the end of its first year, found the policy had a number of positive impacts. These included improved finances for family carers, improved health for both the disabled person and their family carers, and more opportunity to get out in the community leading to a better quality of life.</w:t>
      </w:r>
      <w:r w:rsidRPr="00AC1B7E">
        <w:rPr>
          <w:rStyle w:val="FootnoteReference"/>
          <w:rFonts w:ascii="Arial" w:hAnsi="Arial" w:cs="Arial"/>
          <w:sz w:val="22"/>
          <w:szCs w:val="22"/>
        </w:rPr>
        <w:footnoteReference w:id="9"/>
      </w:r>
      <w:r w:rsidRPr="00D744D0">
        <w:rPr>
          <w:rFonts w:ascii="Arial" w:hAnsi="Arial" w:cs="Arial"/>
          <w:sz w:val="22"/>
          <w:szCs w:val="22"/>
        </w:rPr>
        <w:t xml:space="preserve"> As one parent stated:</w:t>
      </w:r>
    </w:p>
    <w:p w:rsidR="00D744D0" w:rsidRDefault="00D744D0" w:rsidP="00D744D0">
      <w:pPr>
        <w:spacing w:line="240" w:lineRule="auto"/>
        <w:ind w:right="95"/>
        <w:rPr>
          <w:rFonts w:ascii="Arial" w:hAnsi="Arial" w:cs="Arial"/>
          <w:i/>
        </w:rPr>
      </w:pPr>
    </w:p>
    <w:p w:rsidR="00D744D0" w:rsidRPr="00D744D0" w:rsidRDefault="00D744D0" w:rsidP="00D744D0">
      <w:pPr>
        <w:spacing w:line="240" w:lineRule="auto"/>
        <w:ind w:left="720" w:right="95" w:hanging="11"/>
        <w:rPr>
          <w:rFonts w:ascii="Arial" w:hAnsi="Arial" w:cs="Arial"/>
        </w:rPr>
      </w:pPr>
      <w:r w:rsidRPr="00D744D0">
        <w:rPr>
          <w:rFonts w:ascii="Arial" w:hAnsi="Arial" w:cs="Arial"/>
          <w:i/>
        </w:rPr>
        <w:t>I think for [disabled daughter] being able to get out and about, it’s a plus. We did Christmas in the Park. We’ve gone to [larger town] shopping. Days like that shows her the bigger, wider world is a reasonably friendly place for people with disabilities.</w:t>
      </w:r>
    </w:p>
    <w:p w:rsidR="00D744D0" w:rsidRDefault="00D744D0" w:rsidP="00D744D0">
      <w:pPr>
        <w:pStyle w:val="ListParagraph"/>
        <w:rPr>
          <w:rFonts w:ascii="Arial" w:hAnsi="Arial" w:cs="Arial"/>
        </w:rPr>
      </w:pPr>
    </w:p>
    <w:p w:rsidR="00D744D0" w:rsidRDefault="00D744D0" w:rsidP="00D744D0">
      <w:pPr>
        <w:pStyle w:val="Default"/>
        <w:numPr>
          <w:ilvl w:val="0"/>
          <w:numId w:val="1"/>
        </w:numPr>
        <w:ind w:left="709" w:hanging="709"/>
        <w:jc w:val="both"/>
        <w:rPr>
          <w:rFonts w:ascii="Arial" w:eastAsiaTheme="minorEastAsia" w:hAnsi="Arial" w:cs="Arial"/>
          <w:color w:val="auto"/>
          <w:sz w:val="22"/>
          <w:szCs w:val="22"/>
        </w:rPr>
      </w:pPr>
      <w:r w:rsidRPr="00D744D0">
        <w:rPr>
          <w:rFonts w:ascii="Arial" w:hAnsi="Arial" w:cs="Arial"/>
          <w:sz w:val="22"/>
          <w:szCs w:val="22"/>
        </w:rPr>
        <w:t>The evaluation did find that the FFC policy could be improved. Under the current policy, people receiving support are required to give their informed consent to take up the funding and have a number of responsibilities as an employer of their family member(s) providing care. The evaluation found that it was likely that the majority of those eligible would lack the capacity to comply with these requirements.</w:t>
      </w:r>
      <w:r w:rsidRPr="00AC1B7E">
        <w:rPr>
          <w:rStyle w:val="FootnoteReference"/>
          <w:rFonts w:ascii="Arial" w:hAnsi="Arial" w:cs="Arial"/>
          <w:sz w:val="22"/>
          <w:szCs w:val="22"/>
        </w:rPr>
        <w:footnoteReference w:id="10"/>
      </w:r>
      <w:r w:rsidRPr="00D744D0">
        <w:rPr>
          <w:rFonts w:ascii="Arial" w:hAnsi="Arial" w:cs="Arial"/>
          <w:sz w:val="22"/>
          <w:szCs w:val="22"/>
        </w:rPr>
        <w:t xml:space="preserve"> This was reported as a reason for the limited uptake.</w:t>
      </w:r>
      <w:r w:rsidRPr="00AC1B7E">
        <w:rPr>
          <w:rStyle w:val="FootnoteReference"/>
          <w:rFonts w:ascii="Arial" w:hAnsi="Arial" w:cs="Arial"/>
          <w:sz w:val="22"/>
          <w:szCs w:val="22"/>
        </w:rPr>
        <w:footnoteReference w:id="11"/>
      </w:r>
    </w:p>
    <w:p w:rsidR="00D744D0" w:rsidRDefault="00D744D0" w:rsidP="00D744D0">
      <w:pPr>
        <w:pStyle w:val="Default"/>
        <w:ind w:left="709"/>
        <w:jc w:val="both"/>
        <w:rPr>
          <w:rFonts w:ascii="Arial" w:eastAsiaTheme="minorEastAsia" w:hAnsi="Arial" w:cs="Arial"/>
          <w:color w:val="auto"/>
          <w:sz w:val="22"/>
          <w:szCs w:val="22"/>
        </w:rPr>
      </w:pPr>
    </w:p>
    <w:p w:rsidR="00D744D0" w:rsidRDefault="00D744D0" w:rsidP="00D744D0">
      <w:pPr>
        <w:pStyle w:val="Default"/>
        <w:numPr>
          <w:ilvl w:val="0"/>
          <w:numId w:val="1"/>
        </w:numPr>
        <w:ind w:left="709" w:hanging="709"/>
        <w:jc w:val="both"/>
        <w:rPr>
          <w:rFonts w:ascii="Arial" w:eastAsiaTheme="minorEastAsia" w:hAnsi="Arial" w:cs="Arial"/>
          <w:color w:val="auto"/>
          <w:sz w:val="22"/>
          <w:szCs w:val="22"/>
        </w:rPr>
      </w:pPr>
      <w:r w:rsidRPr="00D744D0">
        <w:rPr>
          <w:rFonts w:ascii="Arial" w:hAnsi="Arial" w:cs="Arial"/>
          <w:sz w:val="22"/>
          <w:szCs w:val="22"/>
        </w:rPr>
        <w:t>The level of payment was also an issue, with the majority of families viewing the minimum wage rate as unfair given non-family carers get paid a higher rate to do the same work.</w:t>
      </w:r>
      <w:r w:rsidRPr="00AC1B7E">
        <w:rPr>
          <w:rStyle w:val="FootnoteReference"/>
          <w:rFonts w:ascii="Arial" w:eastAsiaTheme="minorEastAsia" w:hAnsi="Arial" w:cs="Arial"/>
          <w:color w:val="auto"/>
          <w:sz w:val="22"/>
          <w:szCs w:val="22"/>
        </w:rPr>
        <w:footnoteReference w:id="12"/>
      </w:r>
    </w:p>
    <w:p w:rsidR="00D744D0" w:rsidRDefault="00D744D0" w:rsidP="00D744D0">
      <w:pPr>
        <w:pStyle w:val="ListParagraph"/>
        <w:rPr>
          <w:rFonts w:ascii="Arial" w:hAnsi="Arial" w:cs="Arial"/>
        </w:rPr>
      </w:pPr>
    </w:p>
    <w:p w:rsidR="00921CF7" w:rsidRPr="00D744D0" w:rsidRDefault="00D744D0" w:rsidP="00BF1EEC">
      <w:pPr>
        <w:pStyle w:val="Default"/>
        <w:numPr>
          <w:ilvl w:val="0"/>
          <w:numId w:val="1"/>
        </w:numPr>
        <w:ind w:left="709" w:hanging="709"/>
        <w:jc w:val="both"/>
        <w:rPr>
          <w:rFonts w:ascii="Arial" w:eastAsiaTheme="minorEastAsia" w:hAnsi="Arial" w:cs="Arial"/>
          <w:color w:val="auto"/>
          <w:sz w:val="22"/>
          <w:szCs w:val="22"/>
        </w:rPr>
      </w:pPr>
      <w:r w:rsidRPr="00D744D0">
        <w:rPr>
          <w:rFonts w:ascii="Arial" w:hAnsi="Arial" w:cs="Arial"/>
          <w:sz w:val="22"/>
          <w:szCs w:val="22"/>
        </w:rPr>
        <w:t xml:space="preserve">The Public Health and Disability Amendment Act (No 2) 2013, passed shortly after the court determination that the previous policy was unlawful, prevents anyone from making claims of unlawful discrimination to the HRC, Human Rights Review Tribunal, or court, in relation to the policy on a number of grounds, including disability and family status unless the complaint </w:t>
      </w:r>
      <w:r w:rsidRPr="00D744D0">
        <w:rPr>
          <w:rFonts w:ascii="Arial" w:hAnsi="Arial" w:cs="Arial"/>
          <w:sz w:val="22"/>
          <w:szCs w:val="22"/>
        </w:rPr>
        <w:lastRenderedPageBreak/>
        <w:t>was lodged before 15 May 2013.</w:t>
      </w:r>
      <w:r w:rsidRPr="00AC1B7E">
        <w:rPr>
          <w:rStyle w:val="FootnoteReference"/>
          <w:rFonts w:ascii="Arial" w:eastAsiaTheme="minorEastAsia" w:hAnsi="Arial" w:cs="Arial"/>
          <w:color w:val="auto"/>
          <w:sz w:val="22"/>
          <w:szCs w:val="22"/>
        </w:rPr>
        <w:footnoteReference w:id="13"/>
      </w:r>
      <w:r w:rsidRPr="00D744D0">
        <w:rPr>
          <w:rStyle w:val="FootnoteReference"/>
          <w:rFonts w:ascii="Arial" w:eastAsiaTheme="minorEastAsia" w:hAnsi="Arial" w:cs="Arial"/>
          <w:color w:val="auto"/>
          <w:sz w:val="22"/>
          <w:szCs w:val="22"/>
        </w:rPr>
        <w:t xml:space="preserve"> </w:t>
      </w:r>
      <w:r w:rsidRPr="00D744D0">
        <w:rPr>
          <w:rFonts w:ascii="Arial" w:eastAsiaTheme="minorEastAsia" w:hAnsi="Arial" w:cs="Arial"/>
          <w:color w:val="auto"/>
          <w:sz w:val="22"/>
          <w:szCs w:val="22"/>
        </w:rPr>
        <w:t xml:space="preserve"> </w:t>
      </w:r>
      <w:r w:rsidRPr="00D744D0">
        <w:rPr>
          <w:rFonts w:ascii="Arial" w:hAnsi="Arial" w:cs="Arial"/>
          <w:sz w:val="22"/>
          <w:szCs w:val="22"/>
        </w:rPr>
        <w:t>That the legislation currently prevents people from bringing unlawful discrimination claims is of concern.</w:t>
      </w:r>
    </w:p>
    <w:p w:rsidR="000152F3" w:rsidRDefault="000152F3" w:rsidP="00AC1B7E">
      <w:pPr>
        <w:rPr>
          <w:rFonts w:ascii="Arial" w:hAnsi="Arial" w:cs="Arial"/>
          <w:b/>
        </w:rPr>
      </w:pPr>
      <w:r w:rsidRPr="00E31946">
        <w:rPr>
          <w:rFonts w:ascii="Arial" w:hAnsi="Arial" w:cs="Arial"/>
          <w:b/>
        </w:rPr>
        <w:t>Conclusion</w:t>
      </w:r>
    </w:p>
    <w:p w:rsidR="007E2BC1" w:rsidRPr="00E31946" w:rsidRDefault="007E2BC1" w:rsidP="00AC1B7E">
      <w:pPr>
        <w:rPr>
          <w:rFonts w:ascii="Arial" w:hAnsi="Arial" w:cs="Arial"/>
          <w:b/>
        </w:rPr>
      </w:pPr>
    </w:p>
    <w:p w:rsidR="000152F3" w:rsidRDefault="00C865F3" w:rsidP="007E2BC1">
      <w:pPr>
        <w:pStyle w:val="Default"/>
        <w:numPr>
          <w:ilvl w:val="0"/>
          <w:numId w:val="1"/>
        </w:numPr>
        <w:spacing w:line="259" w:lineRule="auto"/>
        <w:ind w:left="709" w:hanging="709"/>
        <w:jc w:val="both"/>
        <w:rPr>
          <w:rFonts w:ascii="Arial" w:hAnsi="Arial" w:cs="Arial"/>
          <w:sz w:val="22"/>
          <w:szCs w:val="22"/>
        </w:rPr>
      </w:pPr>
      <w:r w:rsidRPr="00E31946">
        <w:rPr>
          <w:rFonts w:ascii="Arial" w:hAnsi="Arial" w:cs="Arial"/>
          <w:sz w:val="22"/>
          <w:szCs w:val="22"/>
        </w:rPr>
        <w:t xml:space="preserve">There is a general lack </w:t>
      </w:r>
      <w:r w:rsidR="00BF1EEC">
        <w:rPr>
          <w:rFonts w:ascii="Arial" w:hAnsi="Arial" w:cs="Arial"/>
          <w:sz w:val="22"/>
          <w:szCs w:val="22"/>
        </w:rPr>
        <w:t>of good data regarding the provision of support to people with disabilities in New Zealand. Notwithstanding that, we hope you find the suggestions in this letter useful</w:t>
      </w:r>
      <w:r w:rsidR="007E2BC1">
        <w:rPr>
          <w:rFonts w:ascii="Arial" w:hAnsi="Arial" w:cs="Arial"/>
          <w:sz w:val="22"/>
          <w:szCs w:val="22"/>
        </w:rPr>
        <w:t>.</w:t>
      </w:r>
    </w:p>
    <w:p w:rsidR="00D877F2" w:rsidRDefault="00D877F2" w:rsidP="00D877F2">
      <w:pPr>
        <w:pStyle w:val="Default"/>
        <w:spacing w:line="259" w:lineRule="auto"/>
        <w:rPr>
          <w:rFonts w:ascii="Arial" w:hAnsi="Arial" w:cs="Arial"/>
          <w:sz w:val="22"/>
          <w:szCs w:val="22"/>
        </w:rPr>
      </w:pPr>
    </w:p>
    <w:p w:rsidR="00D877F2" w:rsidRPr="00E31946" w:rsidRDefault="00D877F2" w:rsidP="00D877F2">
      <w:pPr>
        <w:pStyle w:val="Default"/>
        <w:spacing w:line="259" w:lineRule="auto"/>
        <w:rPr>
          <w:rFonts w:ascii="Arial" w:hAnsi="Arial" w:cs="Arial"/>
          <w:sz w:val="22"/>
          <w:szCs w:val="22"/>
        </w:rPr>
      </w:pPr>
    </w:p>
    <w:p w:rsidR="00DA0A2E" w:rsidRPr="00E31946" w:rsidRDefault="00DA0A2E" w:rsidP="00DA0A2E">
      <w:pPr>
        <w:pStyle w:val="Default"/>
        <w:spacing w:line="259" w:lineRule="auto"/>
        <w:rPr>
          <w:rFonts w:ascii="Arial" w:hAnsi="Arial" w:cs="Arial"/>
          <w:sz w:val="22"/>
          <w:szCs w:val="22"/>
        </w:rPr>
      </w:pPr>
    </w:p>
    <w:p w:rsidR="00DA0A2E" w:rsidRPr="00E31946" w:rsidRDefault="00DA0A2E" w:rsidP="00DA0A2E">
      <w:pPr>
        <w:pStyle w:val="Default"/>
        <w:spacing w:line="259" w:lineRule="auto"/>
        <w:rPr>
          <w:rFonts w:ascii="Arial" w:hAnsi="Arial" w:cs="Arial"/>
          <w:sz w:val="22"/>
          <w:szCs w:val="22"/>
        </w:rPr>
      </w:pPr>
      <w:r w:rsidRPr="00E31946">
        <w:rPr>
          <w:rFonts w:ascii="Arial" w:hAnsi="Arial" w:cs="Arial"/>
          <w:sz w:val="22"/>
          <w:szCs w:val="22"/>
        </w:rPr>
        <w:t>Contact</w:t>
      </w:r>
      <w:r w:rsidR="006B0FE7" w:rsidRPr="00E31946">
        <w:rPr>
          <w:rFonts w:ascii="Arial" w:hAnsi="Arial" w:cs="Arial"/>
          <w:sz w:val="22"/>
          <w:szCs w:val="22"/>
        </w:rPr>
        <w:t xml:space="preserve"> person:</w:t>
      </w:r>
    </w:p>
    <w:p w:rsidR="00DA0A2E" w:rsidRPr="00E31946" w:rsidRDefault="00DA0A2E" w:rsidP="00DA0A2E">
      <w:pPr>
        <w:pStyle w:val="Default"/>
        <w:spacing w:line="259" w:lineRule="auto"/>
        <w:rPr>
          <w:rFonts w:ascii="Arial" w:hAnsi="Arial" w:cs="Arial"/>
          <w:sz w:val="22"/>
          <w:szCs w:val="22"/>
        </w:rPr>
      </w:pPr>
    </w:p>
    <w:p w:rsidR="006B0FE7" w:rsidRPr="00E31946" w:rsidRDefault="006B0FE7" w:rsidP="00DA0A2E">
      <w:pPr>
        <w:pStyle w:val="Default"/>
        <w:spacing w:line="259" w:lineRule="auto"/>
        <w:rPr>
          <w:rFonts w:ascii="Arial" w:hAnsi="Arial" w:cs="Arial"/>
          <w:sz w:val="22"/>
          <w:szCs w:val="22"/>
        </w:rPr>
      </w:pPr>
      <w:r w:rsidRPr="00E31946">
        <w:rPr>
          <w:rFonts w:ascii="Arial" w:hAnsi="Arial" w:cs="Arial"/>
          <w:sz w:val="22"/>
          <w:szCs w:val="22"/>
        </w:rPr>
        <w:t>Douglas Hancock</w:t>
      </w:r>
      <w:r w:rsidR="00DA0A2E" w:rsidRPr="00E31946">
        <w:rPr>
          <w:rFonts w:ascii="Arial" w:hAnsi="Arial" w:cs="Arial"/>
          <w:sz w:val="22"/>
          <w:szCs w:val="22"/>
        </w:rPr>
        <w:t xml:space="preserve"> </w:t>
      </w:r>
    </w:p>
    <w:p w:rsidR="006B0FE7" w:rsidRPr="00E31946" w:rsidRDefault="006B0FE7" w:rsidP="00DA0A2E">
      <w:pPr>
        <w:pStyle w:val="Default"/>
        <w:spacing w:line="259" w:lineRule="auto"/>
        <w:rPr>
          <w:rFonts w:ascii="Arial" w:hAnsi="Arial" w:cs="Arial"/>
          <w:sz w:val="22"/>
          <w:szCs w:val="22"/>
        </w:rPr>
      </w:pPr>
      <w:r w:rsidRPr="00E31946">
        <w:rPr>
          <w:rFonts w:ascii="Arial" w:hAnsi="Arial" w:cs="Arial"/>
          <w:sz w:val="22"/>
          <w:szCs w:val="22"/>
        </w:rPr>
        <w:t>Team Lead (Disability)</w:t>
      </w:r>
    </w:p>
    <w:p w:rsidR="006B0FE7" w:rsidRPr="00E31946" w:rsidRDefault="006B0FE7" w:rsidP="00DA0A2E">
      <w:pPr>
        <w:pStyle w:val="Default"/>
        <w:spacing w:line="259" w:lineRule="auto"/>
        <w:rPr>
          <w:rFonts w:ascii="Arial" w:hAnsi="Arial" w:cs="Arial"/>
          <w:sz w:val="22"/>
          <w:szCs w:val="22"/>
        </w:rPr>
      </w:pPr>
      <w:r w:rsidRPr="00E31946">
        <w:rPr>
          <w:rFonts w:ascii="Arial" w:hAnsi="Arial" w:cs="Arial"/>
          <w:sz w:val="22"/>
          <w:szCs w:val="22"/>
        </w:rPr>
        <w:t>Ph: +64 4 471 6744</w:t>
      </w:r>
    </w:p>
    <w:p w:rsidR="00DA0A2E" w:rsidRPr="00E31946" w:rsidRDefault="006B0FE7" w:rsidP="00DA0A2E">
      <w:pPr>
        <w:pStyle w:val="Default"/>
        <w:spacing w:line="259" w:lineRule="auto"/>
        <w:rPr>
          <w:rFonts w:ascii="Arial" w:hAnsi="Arial" w:cs="Arial"/>
          <w:sz w:val="22"/>
          <w:szCs w:val="22"/>
        </w:rPr>
      </w:pPr>
      <w:r w:rsidRPr="00E31946">
        <w:rPr>
          <w:rFonts w:ascii="Arial" w:hAnsi="Arial" w:cs="Arial"/>
          <w:sz w:val="22"/>
          <w:szCs w:val="22"/>
        </w:rPr>
        <w:t>E</w:t>
      </w:r>
      <w:r w:rsidR="00DA0A2E" w:rsidRPr="00E31946">
        <w:rPr>
          <w:rFonts w:ascii="Arial" w:hAnsi="Arial" w:cs="Arial"/>
          <w:sz w:val="22"/>
          <w:szCs w:val="22"/>
        </w:rPr>
        <w:t>mail</w:t>
      </w:r>
      <w:r w:rsidRPr="00E31946">
        <w:rPr>
          <w:rFonts w:ascii="Arial" w:hAnsi="Arial" w:cs="Arial"/>
          <w:sz w:val="22"/>
          <w:szCs w:val="22"/>
        </w:rPr>
        <w:t>:</w:t>
      </w:r>
      <w:r w:rsidR="00DA0A2E" w:rsidRPr="00E31946">
        <w:rPr>
          <w:rFonts w:ascii="Arial" w:hAnsi="Arial" w:cs="Arial"/>
          <w:sz w:val="22"/>
          <w:szCs w:val="22"/>
        </w:rPr>
        <w:t xml:space="preserve"> </w:t>
      </w:r>
      <w:hyperlink r:id="rId12" w:history="1">
        <w:r w:rsidR="00DA0A2E" w:rsidRPr="00E31946">
          <w:rPr>
            <w:rStyle w:val="Hyperlink"/>
            <w:rFonts w:ascii="Arial" w:hAnsi="Arial" w:cs="Arial"/>
            <w:sz w:val="22"/>
            <w:szCs w:val="22"/>
          </w:rPr>
          <w:t>douglash@hrc.co.nz</w:t>
        </w:r>
      </w:hyperlink>
      <w:r w:rsidR="00DA0A2E" w:rsidRPr="00E31946">
        <w:rPr>
          <w:rFonts w:ascii="Arial" w:hAnsi="Arial" w:cs="Arial"/>
          <w:sz w:val="22"/>
          <w:szCs w:val="22"/>
        </w:rPr>
        <w:t xml:space="preserve"> </w:t>
      </w:r>
    </w:p>
    <w:sectPr w:rsidR="00DA0A2E" w:rsidRPr="00E31946" w:rsidSect="007F0E67">
      <w:headerReference w:type="default" r:id="rId13"/>
      <w:footerReference w:type="default" r:id="rId14"/>
      <w:headerReference w:type="first" r:id="rId15"/>
      <w:pgSz w:w="11906" w:h="16838"/>
      <w:pgMar w:top="851" w:right="1133" w:bottom="993" w:left="993" w:header="170"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3DD" w:rsidRDefault="004863DD" w:rsidP="00872A47">
      <w:pPr>
        <w:spacing w:after="0" w:line="240" w:lineRule="auto"/>
      </w:pPr>
      <w:r>
        <w:separator/>
      </w:r>
    </w:p>
  </w:endnote>
  <w:endnote w:type="continuationSeparator" w:id="0">
    <w:p w:rsidR="004863DD" w:rsidRDefault="004863DD" w:rsidP="0087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risMacron Italic">
    <w:altName w:val="Arial"/>
    <w:panose1 w:val="00000000000000000000"/>
    <w:charset w:val="00"/>
    <w:family w:val="modern"/>
    <w:notTrueType/>
    <w:pitch w:val="variable"/>
    <w:sig w:usb0="00000001" w:usb1="4000204A" w:usb2="00000000" w:usb3="00000000" w:csb0="00000111" w:csb1="00000000"/>
  </w:font>
  <w:font w:name="CorisMacron Bold">
    <w:altName w:val="Corbel"/>
    <w:panose1 w:val="00000000000000000000"/>
    <w:charset w:val="00"/>
    <w:family w:val="modern"/>
    <w:notTrueType/>
    <w:pitch w:val="variable"/>
    <w:sig w:usb0="00000003" w:usb1="40000048" w:usb2="000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420976"/>
      <w:docPartObj>
        <w:docPartGallery w:val="Page Numbers (Bottom of Page)"/>
        <w:docPartUnique/>
      </w:docPartObj>
    </w:sdtPr>
    <w:sdtEndPr/>
    <w:sdtContent>
      <w:p w:rsidR="00921CF7" w:rsidRDefault="00F56C99">
        <w:pPr>
          <w:pStyle w:val="Footer"/>
          <w:jc w:val="center"/>
        </w:pPr>
        <w:r>
          <w:fldChar w:fldCharType="begin"/>
        </w:r>
        <w:r w:rsidR="00C31490">
          <w:instrText xml:space="preserve"> PAGE   \* MERGEFORMAT </w:instrText>
        </w:r>
        <w:r>
          <w:fldChar w:fldCharType="separate"/>
        </w:r>
        <w:r w:rsidR="00203F1E">
          <w:rPr>
            <w:noProof/>
          </w:rPr>
          <w:t>4</w:t>
        </w:r>
        <w:r>
          <w:rPr>
            <w:noProof/>
          </w:rPr>
          <w:fldChar w:fldCharType="end"/>
        </w:r>
      </w:p>
    </w:sdtContent>
  </w:sdt>
  <w:p w:rsidR="00921CF7" w:rsidRDefault="00921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3DD" w:rsidRDefault="004863DD" w:rsidP="00872A47">
      <w:pPr>
        <w:spacing w:after="0" w:line="240" w:lineRule="auto"/>
      </w:pPr>
      <w:r>
        <w:separator/>
      </w:r>
    </w:p>
  </w:footnote>
  <w:footnote w:type="continuationSeparator" w:id="0">
    <w:p w:rsidR="004863DD" w:rsidRDefault="004863DD" w:rsidP="00872A47">
      <w:pPr>
        <w:spacing w:after="0" w:line="240" w:lineRule="auto"/>
      </w:pPr>
      <w:r>
        <w:continuationSeparator/>
      </w:r>
    </w:p>
  </w:footnote>
  <w:footnote w:id="1">
    <w:p w:rsidR="00F20DDE" w:rsidRPr="00F20DDE" w:rsidRDefault="00F20DDE">
      <w:pPr>
        <w:pStyle w:val="FootnoteText"/>
        <w:rPr>
          <w:lang w:val="en-US"/>
        </w:rPr>
      </w:pPr>
      <w:r>
        <w:rPr>
          <w:rStyle w:val="FootnoteReference"/>
        </w:rPr>
        <w:footnoteRef/>
      </w:r>
      <w:r>
        <w:t xml:space="preserve"> </w:t>
      </w:r>
      <w:r w:rsidRPr="00F20DDE">
        <w:rPr>
          <w:sz w:val="16"/>
          <w:szCs w:val="16"/>
        </w:rPr>
        <w:t>Independent Monitoring Mechanism</w:t>
      </w:r>
      <w:r w:rsidR="00C04188">
        <w:rPr>
          <w:sz w:val="16"/>
          <w:szCs w:val="16"/>
        </w:rPr>
        <w:t xml:space="preserve"> Report</w:t>
      </w:r>
      <w:r w:rsidRPr="00F20DDE">
        <w:rPr>
          <w:sz w:val="16"/>
          <w:szCs w:val="16"/>
        </w:rPr>
        <w:t xml:space="preserve"> ‘‘Making Disability Rights Real’ July 2012- December 2013 report p 15</w:t>
      </w:r>
    </w:p>
  </w:footnote>
  <w:footnote w:id="2">
    <w:p w:rsidR="00C04188" w:rsidRPr="00C04188" w:rsidRDefault="00C04188">
      <w:pPr>
        <w:pStyle w:val="FootnoteText"/>
        <w:rPr>
          <w:lang w:val="en-US"/>
        </w:rPr>
      </w:pPr>
      <w:r>
        <w:rPr>
          <w:rStyle w:val="FootnoteReference"/>
        </w:rPr>
        <w:footnoteRef/>
      </w:r>
      <w:r>
        <w:t xml:space="preserve"> </w:t>
      </w:r>
      <w:r w:rsidRPr="00F20DDE">
        <w:rPr>
          <w:sz w:val="16"/>
          <w:szCs w:val="16"/>
        </w:rPr>
        <w:t>Independent Monitoring Mechanism</w:t>
      </w:r>
      <w:r>
        <w:rPr>
          <w:sz w:val="16"/>
          <w:szCs w:val="16"/>
        </w:rPr>
        <w:t xml:space="preserve"> Interim Report</w:t>
      </w:r>
      <w:r w:rsidRPr="00F20DDE">
        <w:rPr>
          <w:sz w:val="16"/>
          <w:szCs w:val="16"/>
        </w:rPr>
        <w:t xml:space="preserve"> ‘</w:t>
      </w:r>
      <w:r w:rsidRPr="00C04188">
        <w:rPr>
          <w:i/>
          <w:iCs/>
          <w:sz w:val="16"/>
          <w:szCs w:val="16"/>
        </w:rPr>
        <w:t>Article 24: The Right to an Inclusive Education</w:t>
      </w:r>
      <w:r>
        <w:rPr>
          <w:sz w:val="16"/>
          <w:szCs w:val="16"/>
        </w:rPr>
        <w:t xml:space="preserve">’ June 2016 p  </w:t>
      </w:r>
    </w:p>
  </w:footnote>
  <w:footnote w:id="3">
    <w:p w:rsidR="00830729" w:rsidRPr="00F45C38" w:rsidRDefault="00830729">
      <w:pPr>
        <w:pStyle w:val="FootnoteText"/>
        <w:rPr>
          <w:sz w:val="16"/>
          <w:szCs w:val="16"/>
        </w:rPr>
      </w:pPr>
      <w:r w:rsidRPr="00F45C38">
        <w:rPr>
          <w:sz w:val="16"/>
          <w:szCs w:val="16"/>
        </w:rPr>
        <w:footnoteRef/>
      </w:r>
      <w:r w:rsidRPr="00F45C38">
        <w:rPr>
          <w:sz w:val="16"/>
          <w:szCs w:val="16"/>
        </w:rPr>
        <w:t xml:space="preserve"> </w:t>
      </w:r>
      <w:hyperlink r:id="rId1" w:history="1">
        <w:r w:rsidRPr="00F45C38">
          <w:rPr>
            <w:sz w:val="16"/>
            <w:szCs w:val="16"/>
          </w:rPr>
          <w:t>http://www.tepou.co.nz/uploads/files/resource-assets/the-new-zealand-disability-support-workforce-2015-survey-of-nzdsn-member-organisations-final-v2.pdf</w:t>
        </w:r>
      </w:hyperlink>
      <w:r w:rsidRPr="00F45C38">
        <w:rPr>
          <w:sz w:val="16"/>
          <w:szCs w:val="16"/>
        </w:rPr>
        <w:t xml:space="preserve">. </w:t>
      </w:r>
    </w:p>
  </w:footnote>
  <w:footnote w:id="4">
    <w:p w:rsidR="00A43AE6" w:rsidRPr="00F45C38" w:rsidRDefault="00A43AE6">
      <w:pPr>
        <w:pStyle w:val="FootnoteText"/>
        <w:rPr>
          <w:sz w:val="16"/>
          <w:szCs w:val="16"/>
        </w:rPr>
      </w:pPr>
      <w:r w:rsidRPr="00F45C38">
        <w:rPr>
          <w:sz w:val="16"/>
          <w:szCs w:val="16"/>
        </w:rPr>
        <w:footnoteRef/>
      </w:r>
      <w:r w:rsidRPr="00F45C38">
        <w:rPr>
          <w:sz w:val="16"/>
          <w:szCs w:val="16"/>
        </w:rPr>
        <w:t xml:space="preserve"> </w:t>
      </w:r>
      <w:hyperlink r:id="rId2" w:history="1">
        <w:r w:rsidRPr="00F45C38">
          <w:rPr>
            <w:sz w:val="16"/>
            <w:szCs w:val="16"/>
          </w:rPr>
          <w:t>http://www.nzdsn.org.nz/about/</w:t>
        </w:r>
      </w:hyperlink>
      <w:r w:rsidRPr="00F45C38">
        <w:rPr>
          <w:sz w:val="16"/>
          <w:szCs w:val="16"/>
        </w:rPr>
        <w:t xml:space="preserve"> </w:t>
      </w:r>
    </w:p>
  </w:footnote>
  <w:footnote w:id="5">
    <w:p w:rsidR="00A43AE6" w:rsidRPr="00F45C38" w:rsidRDefault="00A43AE6">
      <w:pPr>
        <w:pStyle w:val="FootnoteText"/>
        <w:rPr>
          <w:sz w:val="16"/>
          <w:szCs w:val="16"/>
        </w:rPr>
      </w:pPr>
      <w:r w:rsidRPr="00F45C38">
        <w:rPr>
          <w:sz w:val="16"/>
          <w:szCs w:val="16"/>
        </w:rPr>
        <w:footnoteRef/>
      </w:r>
      <w:r w:rsidRPr="00F45C38">
        <w:rPr>
          <w:sz w:val="16"/>
          <w:szCs w:val="16"/>
        </w:rPr>
        <w:t xml:space="preserve"> </w:t>
      </w:r>
      <w:hyperlink r:id="rId3" w:history="1">
        <w:r w:rsidRPr="00F45C38">
          <w:rPr>
            <w:sz w:val="16"/>
            <w:szCs w:val="16"/>
          </w:rPr>
          <w:t>http://www.tepou.co.nz/about</w:t>
        </w:r>
      </w:hyperlink>
      <w:r w:rsidRPr="00F45C38">
        <w:rPr>
          <w:sz w:val="16"/>
          <w:szCs w:val="16"/>
        </w:rPr>
        <w:t xml:space="preserve"> </w:t>
      </w:r>
    </w:p>
  </w:footnote>
  <w:footnote w:id="6">
    <w:p w:rsidR="00F45C38" w:rsidRPr="00F45C38" w:rsidRDefault="00F45C38" w:rsidP="00F45C38">
      <w:pPr>
        <w:pStyle w:val="FootnoteText"/>
        <w:rPr>
          <w:sz w:val="16"/>
          <w:szCs w:val="16"/>
        </w:rPr>
      </w:pPr>
      <w:r w:rsidRPr="00F45C38">
        <w:rPr>
          <w:sz w:val="16"/>
          <w:szCs w:val="16"/>
        </w:rPr>
        <w:footnoteRef/>
      </w:r>
      <w:r w:rsidRPr="00F45C38">
        <w:rPr>
          <w:sz w:val="16"/>
          <w:szCs w:val="16"/>
        </w:rPr>
        <w:t xml:space="preserve"> https://www.tpk.govt.nz/en/whakamahia/whanau-ora/</w:t>
      </w:r>
    </w:p>
    <w:p w:rsidR="00F45C38" w:rsidRPr="00F45C38" w:rsidRDefault="00F45C38">
      <w:pPr>
        <w:pStyle w:val="FootnoteText"/>
        <w:rPr>
          <w:lang w:val="en-US"/>
        </w:rPr>
      </w:pPr>
    </w:p>
  </w:footnote>
  <w:footnote w:id="7">
    <w:p w:rsidR="002C0924" w:rsidRPr="002C0924" w:rsidRDefault="002C0924" w:rsidP="002C0924">
      <w:pPr>
        <w:pStyle w:val="FootnoteText"/>
        <w:rPr>
          <w:sz w:val="16"/>
          <w:szCs w:val="16"/>
        </w:rPr>
      </w:pPr>
      <w:r w:rsidRPr="002C0924">
        <w:rPr>
          <w:sz w:val="16"/>
          <w:szCs w:val="16"/>
        </w:rPr>
        <w:footnoteRef/>
      </w:r>
      <w:r w:rsidRPr="002C0924">
        <w:rPr>
          <w:sz w:val="16"/>
          <w:szCs w:val="16"/>
        </w:rPr>
        <w:t xml:space="preserve"> </w:t>
      </w:r>
      <w:hyperlink r:id="rId4" w:history="1">
        <w:r w:rsidRPr="002C0924">
          <w:rPr>
            <w:sz w:val="16"/>
            <w:szCs w:val="16"/>
          </w:rPr>
          <w:t>http://www.enablinggoodlives.co.nz/</w:t>
        </w:r>
      </w:hyperlink>
    </w:p>
    <w:p w:rsidR="002C0924" w:rsidRPr="002C0924" w:rsidRDefault="002C0924">
      <w:pPr>
        <w:pStyle w:val="FootnoteText"/>
        <w:rPr>
          <w:lang w:val="en-US"/>
        </w:rPr>
      </w:pPr>
    </w:p>
  </w:footnote>
  <w:footnote w:id="8">
    <w:p w:rsidR="00D744D0" w:rsidRDefault="00D744D0" w:rsidP="00D744D0">
      <w:pPr>
        <w:pStyle w:val="FootnoteText"/>
      </w:pPr>
      <w:r>
        <w:rPr>
          <w:rStyle w:val="FootnoteReference"/>
        </w:rPr>
        <w:footnoteRef/>
      </w:r>
      <w:r>
        <w:t xml:space="preserve"> </w:t>
      </w:r>
      <w:r w:rsidRPr="00002E18">
        <w:rPr>
          <w:rStyle w:val="FootnoteReference"/>
          <w:sz w:val="22"/>
          <w:szCs w:val="22"/>
        </w:rPr>
        <w:t xml:space="preserve">Ministry of Health’s Funded Family Care Policy at </w:t>
      </w:r>
      <w:hyperlink r:id="rId5" w:history="1">
        <w:r w:rsidRPr="00002E18">
          <w:rPr>
            <w:rStyle w:val="FootnoteReference"/>
            <w:sz w:val="22"/>
            <w:szCs w:val="22"/>
          </w:rPr>
          <w:t>http://www.health.govt.nz/system/files/documents/publications/evaluation-funded-family-care-aug15.pdf</w:t>
        </w:r>
      </w:hyperlink>
      <w:r>
        <w:rPr>
          <w:sz w:val="16"/>
          <w:szCs w:val="16"/>
        </w:rPr>
        <w:t xml:space="preserve"> </w:t>
      </w:r>
    </w:p>
  </w:footnote>
  <w:footnote w:id="9">
    <w:p w:rsidR="00D744D0" w:rsidRPr="00002E18" w:rsidRDefault="00D744D0" w:rsidP="00D744D0">
      <w:pPr>
        <w:pStyle w:val="FootnoteText"/>
        <w:rPr>
          <w:sz w:val="22"/>
          <w:szCs w:val="22"/>
        </w:rPr>
      </w:pPr>
      <w:r w:rsidRPr="00002E18">
        <w:rPr>
          <w:rStyle w:val="FootnoteReference"/>
          <w:sz w:val="22"/>
          <w:szCs w:val="22"/>
        </w:rPr>
        <w:footnoteRef/>
      </w:r>
      <w:r w:rsidRPr="00002E18">
        <w:rPr>
          <w:rStyle w:val="FootnoteReference"/>
          <w:sz w:val="22"/>
          <w:szCs w:val="22"/>
        </w:rPr>
        <w:t xml:space="preserve"> IbidP.4-7.</w:t>
      </w:r>
      <w:r w:rsidRPr="00002E18">
        <w:rPr>
          <w:sz w:val="22"/>
          <w:szCs w:val="22"/>
        </w:rPr>
        <w:t xml:space="preserve"> </w:t>
      </w:r>
    </w:p>
  </w:footnote>
  <w:footnote w:id="10">
    <w:p w:rsidR="00D744D0" w:rsidRPr="00002E18" w:rsidRDefault="00D744D0" w:rsidP="00D744D0">
      <w:pPr>
        <w:pStyle w:val="FootnoteText"/>
        <w:rPr>
          <w:sz w:val="16"/>
          <w:szCs w:val="16"/>
        </w:rPr>
      </w:pPr>
      <w:r w:rsidRPr="00002E18">
        <w:rPr>
          <w:rStyle w:val="FootnoteReference"/>
          <w:sz w:val="16"/>
          <w:szCs w:val="16"/>
        </w:rPr>
        <w:footnoteRef/>
      </w:r>
      <w:r w:rsidRPr="00002E18">
        <w:rPr>
          <w:sz w:val="16"/>
          <w:szCs w:val="16"/>
        </w:rPr>
        <w:t xml:space="preserve"> Ibid P.20. </w:t>
      </w:r>
    </w:p>
  </w:footnote>
  <w:footnote w:id="11">
    <w:p w:rsidR="00D744D0" w:rsidRPr="00002E18" w:rsidRDefault="00D744D0" w:rsidP="00D744D0">
      <w:pPr>
        <w:pStyle w:val="FootnoteText"/>
        <w:rPr>
          <w:sz w:val="16"/>
          <w:szCs w:val="16"/>
        </w:rPr>
      </w:pPr>
      <w:r w:rsidRPr="00002E18">
        <w:rPr>
          <w:rStyle w:val="FootnoteReference"/>
          <w:sz w:val="16"/>
          <w:szCs w:val="16"/>
        </w:rPr>
        <w:footnoteRef/>
      </w:r>
      <w:r w:rsidRPr="00002E18">
        <w:rPr>
          <w:sz w:val="16"/>
          <w:szCs w:val="16"/>
        </w:rPr>
        <w:t xml:space="preserve"> Ibid P.37.</w:t>
      </w:r>
    </w:p>
  </w:footnote>
  <w:footnote w:id="12">
    <w:p w:rsidR="00D744D0" w:rsidRPr="00002E18" w:rsidRDefault="00D744D0" w:rsidP="00D744D0">
      <w:pPr>
        <w:pStyle w:val="FootnoteText"/>
        <w:rPr>
          <w:sz w:val="16"/>
          <w:szCs w:val="16"/>
        </w:rPr>
      </w:pPr>
      <w:r w:rsidRPr="00002E18">
        <w:rPr>
          <w:rStyle w:val="FootnoteReference"/>
          <w:sz w:val="16"/>
          <w:szCs w:val="16"/>
        </w:rPr>
        <w:footnoteRef/>
      </w:r>
      <w:r w:rsidRPr="00002E18">
        <w:rPr>
          <w:sz w:val="16"/>
          <w:szCs w:val="16"/>
        </w:rPr>
        <w:t xml:space="preserve"> Ibid P.25. </w:t>
      </w:r>
    </w:p>
  </w:footnote>
  <w:footnote w:id="13">
    <w:p w:rsidR="00D744D0" w:rsidRDefault="00D744D0" w:rsidP="00D744D0">
      <w:pPr>
        <w:pStyle w:val="FootnoteText"/>
      </w:pPr>
      <w:r w:rsidRPr="00002E18">
        <w:rPr>
          <w:rStyle w:val="FootnoteReference"/>
          <w:sz w:val="16"/>
          <w:szCs w:val="16"/>
        </w:rPr>
        <w:footnoteRef/>
      </w:r>
      <w:r w:rsidRPr="00002E18">
        <w:rPr>
          <w:sz w:val="16"/>
          <w:szCs w:val="16"/>
        </w:rPr>
        <w:t xml:space="preserve"> Public Health and Disability Amendment Act (No 2), s. 70E.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8B6" w:rsidRDefault="003B58B6">
    <w:pPr>
      <w:pStyle w:val="Header"/>
      <w:jc w:val="center"/>
    </w:pPr>
  </w:p>
  <w:p w:rsidR="00AC1B7E" w:rsidRDefault="00AC1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8B6" w:rsidRDefault="003B58B6">
    <w:pPr>
      <w:pStyle w:val="Header"/>
    </w:pPr>
  </w:p>
  <w:p w:rsidR="003B58B6" w:rsidRDefault="003B58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552"/>
    <w:multiLevelType w:val="hybridMultilevel"/>
    <w:tmpl w:val="D9B0D37C"/>
    <w:lvl w:ilvl="0" w:tplc="EE62CDC6">
      <w:start w:val="1"/>
      <w:numFmt w:val="decimal"/>
      <w:lvlText w:val="%1."/>
      <w:lvlJc w:val="left"/>
      <w:pPr>
        <w:ind w:left="786" w:hanging="360"/>
      </w:pPr>
      <w:rPr>
        <w:rFonts w:ascii="Times New Roman" w:hAnsi="Times New Roman" w:cs="Times New Roman" w:hint="default"/>
        <w:b w:val="0"/>
        <w:sz w:val="22"/>
        <w:szCs w:val="22"/>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6383CCD"/>
    <w:multiLevelType w:val="hybridMultilevel"/>
    <w:tmpl w:val="789A3030"/>
    <w:lvl w:ilvl="0" w:tplc="E6CCD8F2">
      <w:start w:val="1"/>
      <w:numFmt w:val="decimal"/>
      <w:lvlText w:val="%1."/>
      <w:lvlJc w:val="left"/>
      <w:pPr>
        <w:ind w:left="107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45F21E6"/>
    <w:multiLevelType w:val="hybridMultilevel"/>
    <w:tmpl w:val="7D2C68B4"/>
    <w:lvl w:ilvl="0" w:tplc="1409000F">
      <w:start w:val="1"/>
      <w:numFmt w:val="decimal"/>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nsid w:val="196F67D8"/>
    <w:multiLevelType w:val="hybridMultilevel"/>
    <w:tmpl w:val="CD945FDA"/>
    <w:lvl w:ilvl="0" w:tplc="1A7A28F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nsid w:val="1F680766"/>
    <w:multiLevelType w:val="hybridMultilevel"/>
    <w:tmpl w:val="6908B9DE"/>
    <w:lvl w:ilvl="0" w:tplc="E6CCD8F2">
      <w:start w:val="1"/>
      <w:numFmt w:val="decimal"/>
      <w:lvlText w:val="%1."/>
      <w:lvlJc w:val="left"/>
      <w:pPr>
        <w:ind w:left="1070" w:hanging="360"/>
      </w:pPr>
      <w:rPr>
        <w:rFonts w:hint="default"/>
        <w:b w:val="0"/>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9E1F66"/>
    <w:multiLevelType w:val="hybridMultilevel"/>
    <w:tmpl w:val="E1842778"/>
    <w:lvl w:ilvl="0" w:tplc="BF4EA01C">
      <w:start w:val="1"/>
      <w:numFmt w:val="lowerLetter"/>
      <w:lvlText w:val="%1."/>
      <w:lvlJc w:val="left"/>
      <w:pPr>
        <w:ind w:left="1080" w:hanging="360"/>
      </w:pPr>
      <w:rPr>
        <w:rFonts w:hint="default"/>
        <w:color w:val="000000" w:themeColor="text1"/>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3FE44AF5"/>
    <w:multiLevelType w:val="hybridMultilevel"/>
    <w:tmpl w:val="A2B219BA"/>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7">
    <w:nsid w:val="400C4D7F"/>
    <w:multiLevelType w:val="hybridMultilevel"/>
    <w:tmpl w:val="ABB6F66C"/>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8">
    <w:nsid w:val="511258E3"/>
    <w:multiLevelType w:val="hybridMultilevel"/>
    <w:tmpl w:val="74FC7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5E57C1B"/>
    <w:multiLevelType w:val="hybridMultilevel"/>
    <w:tmpl w:val="DFB4871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nsid w:val="56391230"/>
    <w:multiLevelType w:val="hybridMultilevel"/>
    <w:tmpl w:val="C7F6A760"/>
    <w:lvl w:ilvl="0" w:tplc="524ED894">
      <w:start w:val="1"/>
      <w:numFmt w:val="lowerLetter"/>
      <w:lvlText w:val="%1."/>
      <w:lvlJc w:val="left"/>
      <w:pPr>
        <w:ind w:left="1429" w:hanging="360"/>
      </w:pPr>
      <w:rPr>
        <w:rFonts w:ascii="Arial" w:hAnsi="Arial" w:cs="Arial" w:hint="default"/>
        <w:sz w:val="22"/>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11">
    <w:nsid w:val="576E6676"/>
    <w:multiLevelType w:val="hybridMultilevel"/>
    <w:tmpl w:val="77C43E6A"/>
    <w:lvl w:ilvl="0" w:tplc="31944A5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nsid w:val="5B4E06DA"/>
    <w:multiLevelType w:val="hybridMultilevel"/>
    <w:tmpl w:val="9E605BE2"/>
    <w:lvl w:ilvl="0" w:tplc="86864AEC">
      <w:start w:val="1"/>
      <w:numFmt w:val="lowerLetter"/>
      <w:lvlText w:val="%1."/>
      <w:lvlJc w:val="left"/>
      <w:pPr>
        <w:ind w:left="1080" w:hanging="360"/>
      </w:pPr>
      <w:rPr>
        <w:rFonts w:eastAsia="Times New Roman" w:cs="Times New Roman"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5CFB6536"/>
    <w:multiLevelType w:val="hybridMultilevel"/>
    <w:tmpl w:val="0FA8EB9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11"/>
  </w:num>
  <w:num w:numId="5">
    <w:abstractNumId w:val="12"/>
  </w:num>
  <w:num w:numId="6">
    <w:abstractNumId w:val="0"/>
  </w:num>
  <w:num w:numId="7">
    <w:abstractNumId w:val="6"/>
  </w:num>
  <w:num w:numId="8">
    <w:abstractNumId w:val="8"/>
  </w:num>
  <w:num w:numId="9">
    <w:abstractNumId w:val="9"/>
  </w:num>
  <w:num w:numId="10">
    <w:abstractNumId w:val="13"/>
  </w:num>
  <w:num w:numId="11">
    <w:abstractNumId w:val="7"/>
  </w:num>
  <w:num w:numId="12">
    <w:abstractNumId w:val="1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47"/>
    <w:rsid w:val="00002E18"/>
    <w:rsid w:val="0001215F"/>
    <w:rsid w:val="000152F3"/>
    <w:rsid w:val="0001659E"/>
    <w:rsid w:val="00031CED"/>
    <w:rsid w:val="00041031"/>
    <w:rsid w:val="00050DFD"/>
    <w:rsid w:val="00053D4B"/>
    <w:rsid w:val="00061D38"/>
    <w:rsid w:val="0008200D"/>
    <w:rsid w:val="000A2919"/>
    <w:rsid w:val="000C0DD1"/>
    <w:rsid w:val="000E365B"/>
    <w:rsid w:val="000F3AF7"/>
    <w:rsid w:val="00104CB0"/>
    <w:rsid w:val="00111759"/>
    <w:rsid w:val="0012157E"/>
    <w:rsid w:val="00151581"/>
    <w:rsid w:val="00156533"/>
    <w:rsid w:val="00196C0F"/>
    <w:rsid w:val="001A4424"/>
    <w:rsid w:val="001B0C53"/>
    <w:rsid w:val="001E6CE7"/>
    <w:rsid w:val="001E6D03"/>
    <w:rsid w:val="00203F1E"/>
    <w:rsid w:val="00210F43"/>
    <w:rsid w:val="0022202B"/>
    <w:rsid w:val="00246538"/>
    <w:rsid w:val="002507A0"/>
    <w:rsid w:val="00253A02"/>
    <w:rsid w:val="00262E46"/>
    <w:rsid w:val="002A5958"/>
    <w:rsid w:val="002B7852"/>
    <w:rsid w:val="002C0924"/>
    <w:rsid w:val="002D0FC8"/>
    <w:rsid w:val="002D58E4"/>
    <w:rsid w:val="00305DBC"/>
    <w:rsid w:val="00336995"/>
    <w:rsid w:val="00366534"/>
    <w:rsid w:val="00367503"/>
    <w:rsid w:val="003750F6"/>
    <w:rsid w:val="00394621"/>
    <w:rsid w:val="003960C3"/>
    <w:rsid w:val="003B017D"/>
    <w:rsid w:val="003B05E7"/>
    <w:rsid w:val="003B58B6"/>
    <w:rsid w:val="003B5F2F"/>
    <w:rsid w:val="003F2A9B"/>
    <w:rsid w:val="00400638"/>
    <w:rsid w:val="0042677F"/>
    <w:rsid w:val="00450E46"/>
    <w:rsid w:val="00451AEA"/>
    <w:rsid w:val="00480C43"/>
    <w:rsid w:val="004863DD"/>
    <w:rsid w:val="00487992"/>
    <w:rsid w:val="004B36A1"/>
    <w:rsid w:val="004B6B14"/>
    <w:rsid w:val="004C631F"/>
    <w:rsid w:val="004E3EA6"/>
    <w:rsid w:val="00505A51"/>
    <w:rsid w:val="00506413"/>
    <w:rsid w:val="00511ADA"/>
    <w:rsid w:val="00521DEB"/>
    <w:rsid w:val="00532096"/>
    <w:rsid w:val="0053211A"/>
    <w:rsid w:val="00532695"/>
    <w:rsid w:val="005462A9"/>
    <w:rsid w:val="00554A27"/>
    <w:rsid w:val="00576332"/>
    <w:rsid w:val="005855E0"/>
    <w:rsid w:val="0059065D"/>
    <w:rsid w:val="006018D3"/>
    <w:rsid w:val="006032F5"/>
    <w:rsid w:val="00604ACC"/>
    <w:rsid w:val="0068003D"/>
    <w:rsid w:val="00684376"/>
    <w:rsid w:val="00687A88"/>
    <w:rsid w:val="006A7E01"/>
    <w:rsid w:val="006B0FE7"/>
    <w:rsid w:val="006D0DB2"/>
    <w:rsid w:val="006E5D8C"/>
    <w:rsid w:val="00714A9F"/>
    <w:rsid w:val="00717A48"/>
    <w:rsid w:val="00730F25"/>
    <w:rsid w:val="007329E6"/>
    <w:rsid w:val="007442E6"/>
    <w:rsid w:val="00756D8A"/>
    <w:rsid w:val="007951B2"/>
    <w:rsid w:val="007A69F9"/>
    <w:rsid w:val="007B5512"/>
    <w:rsid w:val="007D58DE"/>
    <w:rsid w:val="007D69D9"/>
    <w:rsid w:val="007D718E"/>
    <w:rsid w:val="007E2BC1"/>
    <w:rsid w:val="007F0E67"/>
    <w:rsid w:val="00830729"/>
    <w:rsid w:val="00833B00"/>
    <w:rsid w:val="00855C46"/>
    <w:rsid w:val="008641B5"/>
    <w:rsid w:val="00866354"/>
    <w:rsid w:val="00872A47"/>
    <w:rsid w:val="0087316B"/>
    <w:rsid w:val="00881570"/>
    <w:rsid w:val="00885CCE"/>
    <w:rsid w:val="00895E08"/>
    <w:rsid w:val="008A635F"/>
    <w:rsid w:val="008B1575"/>
    <w:rsid w:val="008B2BED"/>
    <w:rsid w:val="008B5A5A"/>
    <w:rsid w:val="008C47B9"/>
    <w:rsid w:val="008C6B5A"/>
    <w:rsid w:val="008E2543"/>
    <w:rsid w:val="008F1738"/>
    <w:rsid w:val="009061D6"/>
    <w:rsid w:val="009133A5"/>
    <w:rsid w:val="00921CF7"/>
    <w:rsid w:val="0092216F"/>
    <w:rsid w:val="00930B0B"/>
    <w:rsid w:val="009546FE"/>
    <w:rsid w:val="009550B3"/>
    <w:rsid w:val="00971CC8"/>
    <w:rsid w:val="009942BA"/>
    <w:rsid w:val="009A6ED8"/>
    <w:rsid w:val="009A74C4"/>
    <w:rsid w:val="009B1958"/>
    <w:rsid w:val="009C1B91"/>
    <w:rsid w:val="009D30C0"/>
    <w:rsid w:val="009D5BF3"/>
    <w:rsid w:val="009E07B4"/>
    <w:rsid w:val="00A0448C"/>
    <w:rsid w:val="00A1619D"/>
    <w:rsid w:val="00A22AEA"/>
    <w:rsid w:val="00A26B81"/>
    <w:rsid w:val="00A33518"/>
    <w:rsid w:val="00A43AE6"/>
    <w:rsid w:val="00A8013E"/>
    <w:rsid w:val="00AA0BCD"/>
    <w:rsid w:val="00AC1B7E"/>
    <w:rsid w:val="00AF674F"/>
    <w:rsid w:val="00B03426"/>
    <w:rsid w:val="00B522D8"/>
    <w:rsid w:val="00B71D5B"/>
    <w:rsid w:val="00BA4AB2"/>
    <w:rsid w:val="00BB2EB3"/>
    <w:rsid w:val="00BB480D"/>
    <w:rsid w:val="00BD793E"/>
    <w:rsid w:val="00BE32D6"/>
    <w:rsid w:val="00BE542A"/>
    <w:rsid w:val="00BF1EEC"/>
    <w:rsid w:val="00BF67A4"/>
    <w:rsid w:val="00C04188"/>
    <w:rsid w:val="00C04BDD"/>
    <w:rsid w:val="00C22C9A"/>
    <w:rsid w:val="00C30806"/>
    <w:rsid w:val="00C31490"/>
    <w:rsid w:val="00C45698"/>
    <w:rsid w:val="00C742F2"/>
    <w:rsid w:val="00C865F3"/>
    <w:rsid w:val="00CA2C71"/>
    <w:rsid w:val="00CB4D60"/>
    <w:rsid w:val="00CD1989"/>
    <w:rsid w:val="00CD5113"/>
    <w:rsid w:val="00CF1A4D"/>
    <w:rsid w:val="00D05E14"/>
    <w:rsid w:val="00D06FD1"/>
    <w:rsid w:val="00D61356"/>
    <w:rsid w:val="00D744D0"/>
    <w:rsid w:val="00D877F2"/>
    <w:rsid w:val="00DA0A2E"/>
    <w:rsid w:val="00DA4E26"/>
    <w:rsid w:val="00DB62B4"/>
    <w:rsid w:val="00DC4406"/>
    <w:rsid w:val="00E136E9"/>
    <w:rsid w:val="00E16084"/>
    <w:rsid w:val="00E16909"/>
    <w:rsid w:val="00E21BED"/>
    <w:rsid w:val="00E31946"/>
    <w:rsid w:val="00E47F4D"/>
    <w:rsid w:val="00E65F4C"/>
    <w:rsid w:val="00E67FB8"/>
    <w:rsid w:val="00EA3C98"/>
    <w:rsid w:val="00EA4C09"/>
    <w:rsid w:val="00EB3765"/>
    <w:rsid w:val="00EC6E50"/>
    <w:rsid w:val="00ED5C8A"/>
    <w:rsid w:val="00EE04BD"/>
    <w:rsid w:val="00EF775B"/>
    <w:rsid w:val="00F039D0"/>
    <w:rsid w:val="00F20B9F"/>
    <w:rsid w:val="00F20DDE"/>
    <w:rsid w:val="00F211DE"/>
    <w:rsid w:val="00F433AE"/>
    <w:rsid w:val="00F45C38"/>
    <w:rsid w:val="00F56C99"/>
    <w:rsid w:val="00F730D4"/>
    <w:rsid w:val="00F81231"/>
    <w:rsid w:val="00F8337B"/>
    <w:rsid w:val="00F83F55"/>
    <w:rsid w:val="00FB155A"/>
    <w:rsid w:val="00FC1C15"/>
    <w:rsid w:val="00FE59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47"/>
    <w:pPr>
      <w:spacing w:after="120" w:line="36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47"/>
    <w:pPr>
      <w:ind w:left="720"/>
      <w:contextualSpacing/>
    </w:pPr>
  </w:style>
  <w:style w:type="paragraph" w:styleId="FootnoteText">
    <w:name w:val="footnote text"/>
    <w:aliases w:val="5_G,Char,Note de bas de page2,Текст сноски Знак,Footnote Text Char1 Char,Footnote Text Char Char Char,Footnote Text Char Char Char Char Char Char Char Char Char Char Char,Footnote Text Char Char Char Char Char Char Char Char, Char,FA Fu"/>
    <w:basedOn w:val="Normal"/>
    <w:link w:val="FootnoteTextChar"/>
    <w:uiPriority w:val="99"/>
    <w:unhideWhenUsed/>
    <w:qFormat/>
    <w:rsid w:val="00872A47"/>
    <w:pPr>
      <w:spacing w:after="0" w:line="240" w:lineRule="auto"/>
    </w:pPr>
    <w:rPr>
      <w:sz w:val="20"/>
      <w:szCs w:val="20"/>
    </w:rPr>
  </w:style>
  <w:style w:type="character" w:customStyle="1" w:styleId="FootnoteTextChar">
    <w:name w:val="Footnote Text Char"/>
    <w:aliases w:val="5_G Char,Char Char,Note de bas de page2 Char,Текст сноски Знак Char,Footnote Text Char1 Char Char,Footnote Text Char Char Char Char,Footnote Text Char Char Char Char Char Char Char Char Char Char Char Char, Char Char,FA Fu Char"/>
    <w:basedOn w:val="DefaultParagraphFont"/>
    <w:link w:val="FootnoteText"/>
    <w:uiPriority w:val="99"/>
    <w:rsid w:val="00872A47"/>
    <w:rPr>
      <w:rFonts w:eastAsiaTheme="minorEastAsia"/>
      <w:sz w:val="20"/>
      <w:szCs w:val="20"/>
    </w:rPr>
  </w:style>
  <w:style w:type="character" w:styleId="FootnoteReference">
    <w:name w:val="footnote reference"/>
    <w:aliases w:val="4_G,Footnote Refernece,Footnote number,Footnotes refss,16 Point,Superscript 6 Point"/>
    <w:basedOn w:val="DefaultParagraphFont"/>
    <w:unhideWhenUsed/>
    <w:qFormat/>
    <w:rsid w:val="00872A47"/>
    <w:rPr>
      <w:vertAlign w:val="superscript"/>
    </w:rPr>
  </w:style>
  <w:style w:type="paragraph" w:styleId="BalloonText">
    <w:name w:val="Balloon Text"/>
    <w:basedOn w:val="Normal"/>
    <w:link w:val="BalloonTextChar"/>
    <w:uiPriority w:val="99"/>
    <w:semiHidden/>
    <w:unhideWhenUsed/>
    <w:rsid w:val="00532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96"/>
    <w:rPr>
      <w:rFonts w:ascii="Segoe UI" w:eastAsiaTheme="minorEastAsia" w:hAnsi="Segoe UI" w:cs="Segoe UI"/>
      <w:sz w:val="18"/>
      <w:szCs w:val="18"/>
    </w:rPr>
  </w:style>
  <w:style w:type="paragraph" w:customStyle="1" w:styleId="Default">
    <w:name w:val="Default"/>
    <w:rsid w:val="004006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D58E4"/>
    <w:rPr>
      <w:i/>
      <w:iCs/>
    </w:rPr>
  </w:style>
  <w:style w:type="character" w:styleId="Hyperlink">
    <w:name w:val="Hyperlink"/>
    <w:basedOn w:val="DefaultParagraphFont"/>
    <w:uiPriority w:val="99"/>
    <w:unhideWhenUsed/>
    <w:rsid w:val="002D58E4"/>
    <w:rPr>
      <w:color w:val="0563C1" w:themeColor="hyperlink"/>
      <w:u w:val="single"/>
    </w:rPr>
  </w:style>
  <w:style w:type="character" w:styleId="CommentReference">
    <w:name w:val="annotation reference"/>
    <w:basedOn w:val="DefaultParagraphFont"/>
    <w:uiPriority w:val="99"/>
    <w:semiHidden/>
    <w:unhideWhenUsed/>
    <w:rsid w:val="003B017D"/>
    <w:rPr>
      <w:sz w:val="16"/>
      <w:szCs w:val="16"/>
    </w:rPr>
  </w:style>
  <w:style w:type="paragraph" w:styleId="CommentText">
    <w:name w:val="annotation text"/>
    <w:basedOn w:val="Normal"/>
    <w:link w:val="CommentTextChar"/>
    <w:uiPriority w:val="99"/>
    <w:semiHidden/>
    <w:unhideWhenUsed/>
    <w:rsid w:val="003B017D"/>
    <w:pPr>
      <w:spacing w:line="240" w:lineRule="auto"/>
    </w:pPr>
    <w:rPr>
      <w:sz w:val="20"/>
      <w:szCs w:val="20"/>
    </w:rPr>
  </w:style>
  <w:style w:type="character" w:customStyle="1" w:styleId="CommentTextChar">
    <w:name w:val="Comment Text Char"/>
    <w:basedOn w:val="DefaultParagraphFont"/>
    <w:link w:val="CommentText"/>
    <w:uiPriority w:val="99"/>
    <w:semiHidden/>
    <w:rsid w:val="003B017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017D"/>
    <w:rPr>
      <w:b/>
      <w:bCs/>
    </w:rPr>
  </w:style>
  <w:style w:type="character" w:customStyle="1" w:styleId="CommentSubjectChar">
    <w:name w:val="Comment Subject Char"/>
    <w:basedOn w:val="CommentTextChar"/>
    <w:link w:val="CommentSubject"/>
    <w:uiPriority w:val="99"/>
    <w:semiHidden/>
    <w:rsid w:val="003B017D"/>
    <w:rPr>
      <w:rFonts w:eastAsiaTheme="minorEastAsia"/>
      <w:b/>
      <w:bCs/>
      <w:sz w:val="20"/>
      <w:szCs w:val="20"/>
    </w:rPr>
  </w:style>
  <w:style w:type="character" w:customStyle="1" w:styleId="CorisITALIC">
    <w:name w:val="Coris ITALIC"/>
    <w:uiPriority w:val="99"/>
    <w:rsid w:val="00921CF7"/>
    <w:rPr>
      <w:rFonts w:ascii="CorisMacron Italic" w:hAnsi="CorisMacron Italic" w:cs="CorisMacron Italic"/>
      <w:i/>
      <w:iCs/>
    </w:rPr>
  </w:style>
  <w:style w:type="paragraph" w:styleId="Header">
    <w:name w:val="header"/>
    <w:basedOn w:val="Normal"/>
    <w:link w:val="HeaderChar"/>
    <w:uiPriority w:val="99"/>
    <w:unhideWhenUsed/>
    <w:rsid w:val="00921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CF7"/>
    <w:rPr>
      <w:rFonts w:eastAsiaTheme="minorEastAsia"/>
    </w:rPr>
  </w:style>
  <w:style w:type="paragraph" w:styleId="Footer">
    <w:name w:val="footer"/>
    <w:basedOn w:val="Normal"/>
    <w:link w:val="FooterChar"/>
    <w:uiPriority w:val="99"/>
    <w:unhideWhenUsed/>
    <w:rsid w:val="00921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CF7"/>
    <w:rPr>
      <w:rFonts w:eastAsiaTheme="minorEastAsia"/>
    </w:rPr>
  </w:style>
  <w:style w:type="character" w:customStyle="1" w:styleId="A1">
    <w:name w:val="A1"/>
    <w:uiPriority w:val="99"/>
    <w:rsid w:val="00151581"/>
    <w:rPr>
      <w:rFonts w:cs="CorisMacron Bold"/>
      <w:b/>
      <w:bCs/>
      <w:color w:val="000000"/>
      <w:sz w:val="59"/>
      <w:szCs w:val="59"/>
    </w:rPr>
  </w:style>
  <w:style w:type="paragraph" w:styleId="NormalWeb">
    <w:name w:val="Normal (Web)"/>
    <w:basedOn w:val="Normal"/>
    <w:uiPriority w:val="99"/>
    <w:semiHidden/>
    <w:unhideWhenUsed/>
    <w:rsid w:val="00F45C3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basedOn w:val="DefaultParagraphFont"/>
    <w:rsid w:val="00F45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47"/>
    <w:pPr>
      <w:spacing w:after="120" w:line="36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A47"/>
    <w:pPr>
      <w:ind w:left="720"/>
      <w:contextualSpacing/>
    </w:pPr>
  </w:style>
  <w:style w:type="paragraph" w:styleId="FootnoteText">
    <w:name w:val="footnote text"/>
    <w:aliases w:val="5_G,Char,Note de bas de page2,Текст сноски Знак,Footnote Text Char1 Char,Footnote Text Char Char Char,Footnote Text Char Char Char Char Char Char Char Char Char Char Char,Footnote Text Char Char Char Char Char Char Char Char, Char,FA Fu"/>
    <w:basedOn w:val="Normal"/>
    <w:link w:val="FootnoteTextChar"/>
    <w:uiPriority w:val="99"/>
    <w:unhideWhenUsed/>
    <w:qFormat/>
    <w:rsid w:val="00872A47"/>
    <w:pPr>
      <w:spacing w:after="0" w:line="240" w:lineRule="auto"/>
    </w:pPr>
    <w:rPr>
      <w:sz w:val="20"/>
      <w:szCs w:val="20"/>
    </w:rPr>
  </w:style>
  <w:style w:type="character" w:customStyle="1" w:styleId="FootnoteTextChar">
    <w:name w:val="Footnote Text Char"/>
    <w:aliases w:val="5_G Char,Char Char,Note de bas de page2 Char,Текст сноски Знак Char,Footnote Text Char1 Char Char,Footnote Text Char Char Char Char,Footnote Text Char Char Char Char Char Char Char Char Char Char Char Char, Char Char,FA Fu Char"/>
    <w:basedOn w:val="DefaultParagraphFont"/>
    <w:link w:val="FootnoteText"/>
    <w:uiPriority w:val="99"/>
    <w:rsid w:val="00872A47"/>
    <w:rPr>
      <w:rFonts w:eastAsiaTheme="minorEastAsia"/>
      <w:sz w:val="20"/>
      <w:szCs w:val="20"/>
    </w:rPr>
  </w:style>
  <w:style w:type="character" w:styleId="FootnoteReference">
    <w:name w:val="footnote reference"/>
    <w:aliases w:val="4_G,Footnote Refernece,Footnote number,Footnotes refss,16 Point,Superscript 6 Point"/>
    <w:basedOn w:val="DefaultParagraphFont"/>
    <w:unhideWhenUsed/>
    <w:qFormat/>
    <w:rsid w:val="00872A47"/>
    <w:rPr>
      <w:vertAlign w:val="superscript"/>
    </w:rPr>
  </w:style>
  <w:style w:type="paragraph" w:styleId="BalloonText">
    <w:name w:val="Balloon Text"/>
    <w:basedOn w:val="Normal"/>
    <w:link w:val="BalloonTextChar"/>
    <w:uiPriority w:val="99"/>
    <w:semiHidden/>
    <w:unhideWhenUsed/>
    <w:rsid w:val="00532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096"/>
    <w:rPr>
      <w:rFonts w:ascii="Segoe UI" w:eastAsiaTheme="minorEastAsia" w:hAnsi="Segoe UI" w:cs="Segoe UI"/>
      <w:sz w:val="18"/>
      <w:szCs w:val="18"/>
    </w:rPr>
  </w:style>
  <w:style w:type="paragraph" w:customStyle="1" w:styleId="Default">
    <w:name w:val="Default"/>
    <w:rsid w:val="00400638"/>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2D58E4"/>
    <w:rPr>
      <w:i/>
      <w:iCs/>
    </w:rPr>
  </w:style>
  <w:style w:type="character" w:styleId="Hyperlink">
    <w:name w:val="Hyperlink"/>
    <w:basedOn w:val="DefaultParagraphFont"/>
    <w:uiPriority w:val="99"/>
    <w:unhideWhenUsed/>
    <w:rsid w:val="002D58E4"/>
    <w:rPr>
      <w:color w:val="0563C1" w:themeColor="hyperlink"/>
      <w:u w:val="single"/>
    </w:rPr>
  </w:style>
  <w:style w:type="character" w:styleId="CommentReference">
    <w:name w:val="annotation reference"/>
    <w:basedOn w:val="DefaultParagraphFont"/>
    <w:uiPriority w:val="99"/>
    <w:semiHidden/>
    <w:unhideWhenUsed/>
    <w:rsid w:val="003B017D"/>
    <w:rPr>
      <w:sz w:val="16"/>
      <w:szCs w:val="16"/>
    </w:rPr>
  </w:style>
  <w:style w:type="paragraph" w:styleId="CommentText">
    <w:name w:val="annotation text"/>
    <w:basedOn w:val="Normal"/>
    <w:link w:val="CommentTextChar"/>
    <w:uiPriority w:val="99"/>
    <w:semiHidden/>
    <w:unhideWhenUsed/>
    <w:rsid w:val="003B017D"/>
    <w:pPr>
      <w:spacing w:line="240" w:lineRule="auto"/>
    </w:pPr>
    <w:rPr>
      <w:sz w:val="20"/>
      <w:szCs w:val="20"/>
    </w:rPr>
  </w:style>
  <w:style w:type="character" w:customStyle="1" w:styleId="CommentTextChar">
    <w:name w:val="Comment Text Char"/>
    <w:basedOn w:val="DefaultParagraphFont"/>
    <w:link w:val="CommentText"/>
    <w:uiPriority w:val="99"/>
    <w:semiHidden/>
    <w:rsid w:val="003B017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B017D"/>
    <w:rPr>
      <w:b/>
      <w:bCs/>
    </w:rPr>
  </w:style>
  <w:style w:type="character" w:customStyle="1" w:styleId="CommentSubjectChar">
    <w:name w:val="Comment Subject Char"/>
    <w:basedOn w:val="CommentTextChar"/>
    <w:link w:val="CommentSubject"/>
    <w:uiPriority w:val="99"/>
    <w:semiHidden/>
    <w:rsid w:val="003B017D"/>
    <w:rPr>
      <w:rFonts w:eastAsiaTheme="minorEastAsia"/>
      <w:b/>
      <w:bCs/>
      <w:sz w:val="20"/>
      <w:szCs w:val="20"/>
    </w:rPr>
  </w:style>
  <w:style w:type="character" w:customStyle="1" w:styleId="CorisITALIC">
    <w:name w:val="Coris ITALIC"/>
    <w:uiPriority w:val="99"/>
    <w:rsid w:val="00921CF7"/>
    <w:rPr>
      <w:rFonts w:ascii="CorisMacron Italic" w:hAnsi="CorisMacron Italic" w:cs="CorisMacron Italic"/>
      <w:i/>
      <w:iCs/>
    </w:rPr>
  </w:style>
  <w:style w:type="paragraph" w:styleId="Header">
    <w:name w:val="header"/>
    <w:basedOn w:val="Normal"/>
    <w:link w:val="HeaderChar"/>
    <w:uiPriority w:val="99"/>
    <w:unhideWhenUsed/>
    <w:rsid w:val="00921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CF7"/>
    <w:rPr>
      <w:rFonts w:eastAsiaTheme="minorEastAsia"/>
    </w:rPr>
  </w:style>
  <w:style w:type="paragraph" w:styleId="Footer">
    <w:name w:val="footer"/>
    <w:basedOn w:val="Normal"/>
    <w:link w:val="FooterChar"/>
    <w:uiPriority w:val="99"/>
    <w:unhideWhenUsed/>
    <w:rsid w:val="00921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CF7"/>
    <w:rPr>
      <w:rFonts w:eastAsiaTheme="minorEastAsia"/>
    </w:rPr>
  </w:style>
  <w:style w:type="character" w:customStyle="1" w:styleId="A1">
    <w:name w:val="A1"/>
    <w:uiPriority w:val="99"/>
    <w:rsid w:val="00151581"/>
    <w:rPr>
      <w:rFonts w:cs="CorisMacron Bold"/>
      <w:b/>
      <w:bCs/>
      <w:color w:val="000000"/>
      <w:sz w:val="59"/>
      <w:szCs w:val="59"/>
    </w:rPr>
  </w:style>
  <w:style w:type="paragraph" w:styleId="NormalWeb">
    <w:name w:val="Normal (Web)"/>
    <w:basedOn w:val="Normal"/>
    <w:uiPriority w:val="99"/>
    <w:semiHidden/>
    <w:unhideWhenUsed/>
    <w:rsid w:val="00F45C3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apple-converted-space">
    <w:name w:val="apple-converted-space"/>
    <w:basedOn w:val="DefaultParagraphFont"/>
    <w:rsid w:val="00F4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50337">
          <w:marLeft w:val="0"/>
          <w:marRight w:val="0"/>
          <w:marTop w:val="0"/>
          <w:marBottom w:val="0"/>
          <w:divBdr>
            <w:top w:val="none" w:sz="0" w:space="0" w:color="auto"/>
            <w:left w:val="none" w:sz="0" w:space="0" w:color="auto"/>
            <w:bottom w:val="none" w:sz="0" w:space="0" w:color="auto"/>
            <w:right w:val="none" w:sz="0" w:space="0" w:color="auto"/>
          </w:divBdr>
          <w:divsChild>
            <w:div w:id="2051958057">
              <w:marLeft w:val="0"/>
              <w:marRight w:val="0"/>
              <w:marTop w:val="0"/>
              <w:marBottom w:val="0"/>
              <w:divBdr>
                <w:top w:val="none" w:sz="0" w:space="0" w:color="auto"/>
                <w:left w:val="none" w:sz="0" w:space="0" w:color="auto"/>
                <w:bottom w:val="none" w:sz="0" w:space="0" w:color="auto"/>
                <w:right w:val="none" w:sz="0" w:space="0" w:color="auto"/>
              </w:divBdr>
            </w:div>
            <w:div w:id="1800225902">
              <w:marLeft w:val="0"/>
              <w:marRight w:val="0"/>
              <w:marTop w:val="0"/>
              <w:marBottom w:val="0"/>
              <w:divBdr>
                <w:top w:val="none" w:sz="0" w:space="0" w:color="auto"/>
                <w:left w:val="none" w:sz="0" w:space="0" w:color="auto"/>
                <w:bottom w:val="none" w:sz="0" w:space="0" w:color="auto"/>
                <w:right w:val="none" w:sz="0" w:space="0" w:color="auto"/>
              </w:divBdr>
            </w:div>
            <w:div w:id="15985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4133">
      <w:bodyDiv w:val="1"/>
      <w:marLeft w:val="0"/>
      <w:marRight w:val="0"/>
      <w:marTop w:val="0"/>
      <w:marBottom w:val="0"/>
      <w:divBdr>
        <w:top w:val="none" w:sz="0" w:space="0" w:color="auto"/>
        <w:left w:val="none" w:sz="0" w:space="0" w:color="auto"/>
        <w:bottom w:val="none" w:sz="0" w:space="0" w:color="auto"/>
        <w:right w:val="none" w:sz="0" w:space="0" w:color="auto"/>
      </w:divBdr>
    </w:div>
    <w:div w:id="857043699">
      <w:bodyDiv w:val="1"/>
      <w:marLeft w:val="0"/>
      <w:marRight w:val="0"/>
      <w:marTop w:val="0"/>
      <w:marBottom w:val="0"/>
      <w:divBdr>
        <w:top w:val="none" w:sz="0" w:space="0" w:color="auto"/>
        <w:left w:val="none" w:sz="0" w:space="0" w:color="auto"/>
        <w:bottom w:val="none" w:sz="0" w:space="0" w:color="auto"/>
        <w:right w:val="none" w:sz="0" w:space="0" w:color="auto"/>
      </w:divBdr>
    </w:div>
    <w:div w:id="1191650039">
      <w:bodyDiv w:val="1"/>
      <w:marLeft w:val="0"/>
      <w:marRight w:val="0"/>
      <w:marTop w:val="0"/>
      <w:marBottom w:val="0"/>
      <w:divBdr>
        <w:top w:val="none" w:sz="0" w:space="0" w:color="auto"/>
        <w:left w:val="none" w:sz="0" w:space="0" w:color="auto"/>
        <w:bottom w:val="none" w:sz="0" w:space="0" w:color="auto"/>
        <w:right w:val="none" w:sz="0" w:space="0" w:color="auto"/>
      </w:divBdr>
      <w:divsChild>
        <w:div w:id="1436485306">
          <w:marLeft w:val="0"/>
          <w:marRight w:val="0"/>
          <w:marTop w:val="0"/>
          <w:marBottom w:val="0"/>
          <w:divBdr>
            <w:top w:val="none" w:sz="0" w:space="0" w:color="auto"/>
            <w:left w:val="none" w:sz="0" w:space="0" w:color="auto"/>
            <w:bottom w:val="none" w:sz="0" w:space="0" w:color="auto"/>
            <w:right w:val="none" w:sz="0" w:space="0" w:color="auto"/>
          </w:divBdr>
        </w:div>
        <w:div w:id="184172183">
          <w:marLeft w:val="0"/>
          <w:marRight w:val="0"/>
          <w:marTop w:val="0"/>
          <w:marBottom w:val="0"/>
          <w:divBdr>
            <w:top w:val="none" w:sz="0" w:space="0" w:color="auto"/>
            <w:left w:val="none" w:sz="0" w:space="0" w:color="auto"/>
            <w:bottom w:val="none" w:sz="0" w:space="0" w:color="auto"/>
            <w:right w:val="none" w:sz="0" w:space="0" w:color="auto"/>
          </w:divBdr>
        </w:div>
        <w:div w:id="1240214933">
          <w:marLeft w:val="0"/>
          <w:marRight w:val="0"/>
          <w:marTop w:val="0"/>
          <w:marBottom w:val="0"/>
          <w:divBdr>
            <w:top w:val="none" w:sz="0" w:space="0" w:color="auto"/>
            <w:left w:val="none" w:sz="0" w:space="0" w:color="auto"/>
            <w:bottom w:val="none" w:sz="0" w:space="0" w:color="auto"/>
            <w:right w:val="none" w:sz="0" w:space="0" w:color="auto"/>
          </w:divBdr>
        </w:div>
      </w:divsChild>
    </w:div>
    <w:div w:id="1198204285">
      <w:bodyDiv w:val="1"/>
      <w:marLeft w:val="0"/>
      <w:marRight w:val="0"/>
      <w:marTop w:val="0"/>
      <w:marBottom w:val="0"/>
      <w:divBdr>
        <w:top w:val="none" w:sz="0" w:space="0" w:color="auto"/>
        <w:left w:val="none" w:sz="0" w:space="0" w:color="auto"/>
        <w:bottom w:val="none" w:sz="0" w:space="0" w:color="auto"/>
        <w:right w:val="none" w:sz="0" w:space="0" w:color="auto"/>
      </w:divBdr>
    </w:div>
    <w:div w:id="1228305065">
      <w:bodyDiv w:val="1"/>
      <w:marLeft w:val="0"/>
      <w:marRight w:val="0"/>
      <w:marTop w:val="0"/>
      <w:marBottom w:val="0"/>
      <w:divBdr>
        <w:top w:val="none" w:sz="0" w:space="0" w:color="auto"/>
        <w:left w:val="none" w:sz="0" w:space="0" w:color="auto"/>
        <w:bottom w:val="none" w:sz="0" w:space="0" w:color="auto"/>
        <w:right w:val="none" w:sz="0" w:space="0" w:color="auto"/>
      </w:divBdr>
    </w:div>
    <w:div w:id="1253707090">
      <w:bodyDiv w:val="1"/>
      <w:marLeft w:val="0"/>
      <w:marRight w:val="0"/>
      <w:marTop w:val="0"/>
      <w:marBottom w:val="0"/>
      <w:divBdr>
        <w:top w:val="none" w:sz="0" w:space="0" w:color="auto"/>
        <w:left w:val="none" w:sz="0" w:space="0" w:color="auto"/>
        <w:bottom w:val="none" w:sz="0" w:space="0" w:color="auto"/>
        <w:right w:val="none" w:sz="0" w:space="0" w:color="auto"/>
      </w:divBdr>
      <w:divsChild>
        <w:div w:id="1390297822">
          <w:marLeft w:val="0"/>
          <w:marRight w:val="0"/>
          <w:marTop w:val="0"/>
          <w:marBottom w:val="0"/>
          <w:divBdr>
            <w:top w:val="none" w:sz="0" w:space="0" w:color="auto"/>
            <w:left w:val="none" w:sz="0" w:space="0" w:color="auto"/>
            <w:bottom w:val="none" w:sz="0" w:space="0" w:color="auto"/>
            <w:right w:val="none" w:sz="0" w:space="0" w:color="auto"/>
          </w:divBdr>
        </w:div>
        <w:div w:id="1527719538">
          <w:marLeft w:val="0"/>
          <w:marRight w:val="0"/>
          <w:marTop w:val="0"/>
          <w:marBottom w:val="0"/>
          <w:divBdr>
            <w:top w:val="none" w:sz="0" w:space="0" w:color="auto"/>
            <w:left w:val="none" w:sz="0" w:space="0" w:color="auto"/>
            <w:bottom w:val="none" w:sz="0" w:space="0" w:color="auto"/>
            <w:right w:val="none" w:sz="0" w:space="0" w:color="auto"/>
          </w:divBdr>
        </w:div>
        <w:div w:id="2105295230">
          <w:marLeft w:val="0"/>
          <w:marRight w:val="0"/>
          <w:marTop w:val="0"/>
          <w:marBottom w:val="0"/>
          <w:divBdr>
            <w:top w:val="none" w:sz="0" w:space="0" w:color="auto"/>
            <w:left w:val="none" w:sz="0" w:space="0" w:color="auto"/>
            <w:bottom w:val="none" w:sz="0" w:space="0" w:color="auto"/>
            <w:right w:val="none" w:sz="0" w:space="0" w:color="auto"/>
          </w:divBdr>
        </w:div>
        <w:div w:id="124550531">
          <w:marLeft w:val="0"/>
          <w:marRight w:val="0"/>
          <w:marTop w:val="0"/>
          <w:marBottom w:val="0"/>
          <w:divBdr>
            <w:top w:val="none" w:sz="0" w:space="0" w:color="auto"/>
            <w:left w:val="none" w:sz="0" w:space="0" w:color="auto"/>
            <w:bottom w:val="none" w:sz="0" w:space="0" w:color="auto"/>
            <w:right w:val="none" w:sz="0" w:space="0" w:color="auto"/>
          </w:divBdr>
        </w:div>
      </w:divsChild>
    </w:div>
    <w:div w:id="1583754139">
      <w:bodyDiv w:val="1"/>
      <w:marLeft w:val="0"/>
      <w:marRight w:val="0"/>
      <w:marTop w:val="0"/>
      <w:marBottom w:val="0"/>
      <w:divBdr>
        <w:top w:val="none" w:sz="0" w:space="0" w:color="auto"/>
        <w:left w:val="none" w:sz="0" w:space="0" w:color="auto"/>
        <w:bottom w:val="none" w:sz="0" w:space="0" w:color="auto"/>
        <w:right w:val="none" w:sz="0" w:space="0" w:color="auto"/>
      </w:divBdr>
    </w:div>
    <w:div w:id="20860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ouglash@hrc.co.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pk.govt.nz/whakamahia/whanau-ora/navigato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r.disability@ohchr.org"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tepou.co.nz/about" TargetMode="External"/><Relationship Id="rId2" Type="http://schemas.openxmlformats.org/officeDocument/2006/relationships/hyperlink" Target="http://www.nzdsn.org.nz/about/" TargetMode="External"/><Relationship Id="rId1" Type="http://schemas.openxmlformats.org/officeDocument/2006/relationships/hyperlink" Target="http://www.tepou.co.nz/uploads/files/resource-assets/the-new-zealand-disability-support-workforce-2015-survey-of-nzdsn-member-organisations-final-v2.pdf" TargetMode="External"/><Relationship Id="rId5" Type="http://schemas.openxmlformats.org/officeDocument/2006/relationships/hyperlink" Target="http://www.health.govt.nz/system/files/documents/publications/evaluation-funded-family-care-aug15.pdf" TargetMode="External"/><Relationship Id="rId4" Type="http://schemas.openxmlformats.org/officeDocument/2006/relationships/hyperlink" Target="http://www.enablinggoodlives.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7A408-33BA-4567-B78C-4634E55258C8}"/>
</file>

<file path=customXml/itemProps2.xml><?xml version="1.0" encoding="utf-8"?>
<ds:datastoreItem xmlns:ds="http://schemas.openxmlformats.org/officeDocument/2006/customXml" ds:itemID="{61CF4695-2679-4F32-9258-E16F62C7E171}"/>
</file>

<file path=customXml/itemProps3.xml><?xml version="1.0" encoding="utf-8"?>
<ds:datastoreItem xmlns:ds="http://schemas.openxmlformats.org/officeDocument/2006/customXml" ds:itemID="{731B7DD7-CDEE-41A7-BD20-8D88A8809F75}"/>
</file>

<file path=customXml/itemProps4.xml><?xml version="1.0" encoding="utf-8"?>
<ds:datastoreItem xmlns:ds="http://schemas.openxmlformats.org/officeDocument/2006/customXml" ds:itemID="{06D1C546-B6A1-4A03-BFE9-0AD90ECC1FBF}"/>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Anderson-Bidois</dc:creator>
  <cp:lastModifiedBy>Alina Grigoras</cp:lastModifiedBy>
  <cp:revision>2</cp:revision>
  <cp:lastPrinted>2016-02-29T00:23:00Z</cp:lastPrinted>
  <dcterms:created xsi:type="dcterms:W3CDTF">2016-11-01T16:10:00Z</dcterms:created>
  <dcterms:modified xsi:type="dcterms:W3CDTF">2016-11-01T16:10:00Z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3854400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