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5614"/>
      </w:tblGrid>
      <w:tr w:rsidR="00001674" w:rsidRPr="00001674" w:rsidTr="002B6CDA">
        <w:trPr>
          <w:cantSplit/>
        </w:trPr>
        <w:tc>
          <w:tcPr>
            <w:tcW w:w="0" w:type="auto"/>
            <w:shd w:val="clear" w:color="auto" w:fill="E5B8B7" w:themeFill="accent2" w:themeFillTint="66"/>
          </w:tcPr>
          <w:p w:rsidR="00001674" w:rsidRPr="00001674" w:rsidRDefault="00001674" w:rsidP="002B6CDA">
            <w:pPr>
              <w:tabs>
                <w:tab w:val="left" w:pos="680"/>
                <w:tab w:val="left" w:pos="1359"/>
                <w:tab w:val="left" w:pos="1983"/>
                <w:tab w:val="left" w:pos="6349"/>
                <w:tab w:val="left" w:pos="6915"/>
                <w:tab w:val="left" w:pos="8370"/>
              </w:tabs>
              <w:spacing w:before="240"/>
              <w:rPr>
                <w:rFonts w:ascii="Verdana" w:hAnsi="Verdana"/>
                <w:b/>
                <w:kern w:val="2"/>
                <w:sz w:val="24"/>
                <w:szCs w:val="24"/>
                <w:lang w:val="en-US"/>
              </w:rPr>
            </w:pPr>
            <w:r w:rsidRPr="00001674">
              <w:rPr>
                <w:rFonts w:ascii="Verdana" w:hAnsi="Verdana"/>
                <w:b/>
                <w:kern w:val="2"/>
                <w:sz w:val="24"/>
                <w:szCs w:val="24"/>
                <w:lang w:val="en-US"/>
              </w:rPr>
              <w:t xml:space="preserve">Questionnaire on the right to sexual and reproductive health rights of girls with disabilities  </w:t>
            </w:r>
          </w:p>
          <w:p w:rsidR="00001674" w:rsidRPr="00001674" w:rsidRDefault="00001674" w:rsidP="00001674">
            <w:pPr>
              <w:pStyle w:val="ListParagraph"/>
              <w:numPr>
                <w:ilvl w:val="0"/>
                <w:numId w:val="4"/>
              </w:numPr>
              <w:tabs>
                <w:tab w:val="left" w:pos="680"/>
                <w:tab w:val="left" w:pos="1359"/>
                <w:tab w:val="left" w:pos="1983"/>
                <w:tab w:val="left" w:pos="6349"/>
                <w:tab w:val="left" w:pos="6915"/>
                <w:tab w:val="left" w:pos="8370"/>
              </w:tabs>
              <w:spacing w:before="240"/>
              <w:rPr>
                <w:rFonts w:ascii="Verdana" w:hAnsi="Verdana"/>
                <w:kern w:val="2"/>
                <w:sz w:val="22"/>
                <w:szCs w:val="22"/>
                <w:lang w:val="en-US"/>
              </w:rPr>
            </w:pPr>
            <w:r w:rsidRPr="00001674">
              <w:rPr>
                <w:rFonts w:ascii="Verdana" w:hAnsi="Verdana"/>
                <w:kern w:val="2"/>
                <w:sz w:val="22"/>
                <w:szCs w:val="22"/>
                <w:lang w:val="en-US"/>
              </w:rPr>
              <w:t xml:space="preserve">A number of government agencies in New Zealand are responsible for developing policy and delivering services that relate to the sexual and reproductive health rights of girls with disabilities. </w:t>
            </w:r>
          </w:p>
          <w:p w:rsidR="00001674" w:rsidRPr="00001674" w:rsidRDefault="00001674" w:rsidP="002B6CDA">
            <w:pPr>
              <w:pStyle w:val="ListParagraph"/>
              <w:tabs>
                <w:tab w:val="left" w:pos="680"/>
                <w:tab w:val="left" w:pos="1359"/>
                <w:tab w:val="left" w:pos="1983"/>
                <w:tab w:val="left" w:pos="6349"/>
                <w:tab w:val="left" w:pos="6915"/>
                <w:tab w:val="left" w:pos="8370"/>
              </w:tabs>
              <w:spacing w:before="240"/>
              <w:rPr>
                <w:rFonts w:ascii="Verdana" w:hAnsi="Verdana"/>
                <w:kern w:val="2"/>
                <w:sz w:val="22"/>
                <w:szCs w:val="24"/>
                <w:lang w:val="en-US"/>
              </w:rPr>
            </w:pPr>
          </w:p>
        </w:tc>
      </w:tr>
      <w:tr w:rsidR="00001674" w:rsidRPr="00001674" w:rsidTr="002B6CDA">
        <w:trPr>
          <w:cantSplit/>
        </w:trPr>
        <w:tc>
          <w:tcPr>
            <w:tcW w:w="0" w:type="auto"/>
            <w:shd w:val="clear" w:color="auto" w:fill="B6DDE8" w:themeFill="accent5" w:themeFillTint="66"/>
          </w:tcPr>
          <w:p w:rsidR="00001674" w:rsidRPr="00001674" w:rsidRDefault="00001674" w:rsidP="00001674">
            <w:pPr>
              <w:pStyle w:val="ListParagraph"/>
              <w:numPr>
                <w:ilvl w:val="0"/>
                <w:numId w:val="1"/>
              </w:numPr>
              <w:tabs>
                <w:tab w:val="left" w:pos="680"/>
                <w:tab w:val="left" w:pos="1359"/>
                <w:tab w:val="left" w:pos="1983"/>
                <w:tab w:val="left" w:pos="6349"/>
                <w:tab w:val="left" w:pos="6915"/>
                <w:tab w:val="left" w:pos="8370"/>
              </w:tabs>
              <w:spacing w:before="240"/>
              <w:rPr>
                <w:rFonts w:ascii="Verdana" w:hAnsi="Verdana"/>
                <w:b/>
                <w:kern w:val="2"/>
                <w:sz w:val="22"/>
                <w:szCs w:val="24"/>
                <w:lang w:val="en-US"/>
              </w:rPr>
            </w:pPr>
            <w:r w:rsidRPr="00001674">
              <w:rPr>
                <w:rFonts w:ascii="Verdana" w:hAnsi="Verdana"/>
                <w:b/>
                <w:kern w:val="2"/>
                <w:sz w:val="22"/>
                <w:szCs w:val="24"/>
                <w:lang w:val="en-US"/>
              </w:rPr>
              <w:t>Please provide any information and statistics (including surveys, censuses, administrative data, literature, legal and policy documents, reports, and studies) related to the exercise of sexual and reproductive health and rights of girls with disabilities, with particular focus in the following areas:</w:t>
            </w:r>
          </w:p>
          <w:p w:rsidR="00001674" w:rsidRPr="00001674" w:rsidRDefault="00001674" w:rsidP="002B6CDA">
            <w:pPr>
              <w:pStyle w:val="ListParagraph"/>
              <w:tabs>
                <w:tab w:val="left" w:pos="680"/>
                <w:tab w:val="left" w:pos="1359"/>
                <w:tab w:val="left" w:pos="1983"/>
                <w:tab w:val="left" w:pos="6349"/>
                <w:tab w:val="left" w:pos="6915"/>
                <w:tab w:val="left" w:pos="8370"/>
              </w:tabs>
              <w:rPr>
                <w:rFonts w:ascii="Verdana" w:hAnsi="Verdana"/>
                <w:kern w:val="2"/>
                <w:sz w:val="22"/>
                <w:szCs w:val="24"/>
                <w:lang w:val="en-US"/>
              </w:rPr>
            </w:pPr>
          </w:p>
        </w:tc>
      </w:tr>
      <w:tr w:rsidR="00001674" w:rsidRPr="00001674" w:rsidTr="002B6CDA">
        <w:trPr>
          <w:cantSplit/>
        </w:trPr>
        <w:tc>
          <w:tcPr>
            <w:tcW w:w="0" w:type="auto"/>
            <w:shd w:val="clear" w:color="auto" w:fill="DBE5F1" w:themeFill="accent1" w:themeFillTint="33"/>
          </w:tcPr>
          <w:p w:rsidR="00001674" w:rsidRPr="00001674" w:rsidRDefault="00001674" w:rsidP="00001674">
            <w:pPr>
              <w:pStyle w:val="Heading4"/>
              <w:numPr>
                <w:ilvl w:val="0"/>
                <w:numId w:val="2"/>
              </w:numPr>
              <w:outlineLvl w:val="3"/>
              <w:rPr>
                <w:rFonts w:ascii="Verdana" w:hAnsi="Verdana"/>
                <w:lang w:val="en-US"/>
              </w:rPr>
            </w:pPr>
            <w:r w:rsidRPr="00001674">
              <w:rPr>
                <w:rFonts w:ascii="Verdana" w:hAnsi="Verdana"/>
                <w:sz w:val="22"/>
                <w:lang w:val="en-US"/>
              </w:rPr>
              <w:t xml:space="preserve">Harmful stereotypes, norms, values, taboos, attitudes and </w:t>
            </w:r>
            <w:proofErr w:type="spellStart"/>
            <w:r w:rsidRPr="00001674">
              <w:rPr>
                <w:rFonts w:ascii="Verdana" w:hAnsi="Verdana"/>
                <w:sz w:val="22"/>
                <w:lang w:val="en-US"/>
              </w:rPr>
              <w:t>behaviours</w:t>
            </w:r>
            <w:proofErr w:type="spellEnd"/>
            <w:r w:rsidRPr="00001674">
              <w:rPr>
                <w:rFonts w:ascii="Verdana" w:hAnsi="Verdana"/>
                <w:sz w:val="22"/>
                <w:lang w:val="en-US"/>
              </w:rPr>
              <w:t xml:space="preserve"> related to the sexual and reproductive health and rights of girls with disability</w:t>
            </w:r>
          </w:p>
          <w:p w:rsidR="00001674" w:rsidRPr="00001674" w:rsidRDefault="00001674" w:rsidP="002B6CDA">
            <w:pPr>
              <w:tabs>
                <w:tab w:val="left" w:pos="680"/>
                <w:tab w:val="left" w:pos="1359"/>
                <w:tab w:val="left" w:pos="1983"/>
                <w:tab w:val="left" w:pos="6349"/>
                <w:tab w:val="left" w:pos="6915"/>
                <w:tab w:val="left" w:pos="8370"/>
              </w:tabs>
              <w:rPr>
                <w:rFonts w:ascii="Verdana" w:hAnsi="Verdana"/>
                <w:kern w:val="2"/>
                <w:sz w:val="22"/>
                <w:szCs w:val="24"/>
                <w:lang w:val="en-US"/>
              </w:rPr>
            </w:pPr>
          </w:p>
        </w:tc>
      </w:tr>
      <w:tr w:rsidR="00001674" w:rsidRPr="00001674" w:rsidTr="002B6CDA">
        <w:tc>
          <w:tcPr>
            <w:tcW w:w="0" w:type="auto"/>
          </w:tcPr>
          <w:p w:rsidR="00001674" w:rsidRPr="00001674" w:rsidRDefault="00001674" w:rsidP="002B6CDA">
            <w:pPr>
              <w:rPr>
                <w:rFonts w:ascii="Verdana" w:hAnsi="Verdana"/>
                <w:b/>
                <w:sz w:val="22"/>
                <w:szCs w:val="22"/>
                <w:lang w:val="en-US"/>
              </w:rPr>
            </w:pPr>
            <w:r w:rsidRPr="00001674">
              <w:rPr>
                <w:rFonts w:ascii="Verdana" w:hAnsi="Verdana"/>
                <w:b/>
                <w:sz w:val="22"/>
                <w:szCs w:val="22"/>
                <w:lang w:val="en-US"/>
              </w:rPr>
              <w:t>Ministry for Women</w:t>
            </w:r>
          </w:p>
          <w:p w:rsidR="00001674" w:rsidRPr="00001674" w:rsidRDefault="00001674" w:rsidP="002B6CDA">
            <w:pPr>
              <w:rPr>
                <w:rFonts w:ascii="Verdana" w:hAnsi="Verdana"/>
                <w:b/>
                <w:sz w:val="22"/>
                <w:szCs w:val="22"/>
                <w:lang w:val="en-US"/>
              </w:rPr>
            </w:pPr>
          </w:p>
          <w:p w:rsidR="00001674" w:rsidRPr="00001674" w:rsidRDefault="00001674" w:rsidP="002B6CDA">
            <w:pPr>
              <w:rPr>
                <w:rFonts w:ascii="Verdana" w:hAnsi="Verdana"/>
                <w:sz w:val="22"/>
                <w:szCs w:val="22"/>
                <w:lang w:val="en-US"/>
              </w:rPr>
            </w:pPr>
            <w:r w:rsidRPr="00001674">
              <w:rPr>
                <w:rFonts w:ascii="Verdana" w:hAnsi="Verdana"/>
                <w:sz w:val="22"/>
                <w:szCs w:val="22"/>
                <w:lang w:val="en-US"/>
              </w:rPr>
              <w:t>The Ministry for Women holds limited information, specifically, on girls with disabilities. Most of the information available relates to adults and sexual violence.</w:t>
            </w:r>
          </w:p>
          <w:p w:rsidR="00001674" w:rsidRPr="00001674" w:rsidRDefault="00001674" w:rsidP="002B6CDA">
            <w:pPr>
              <w:rPr>
                <w:rFonts w:ascii="Verdana" w:hAnsi="Verdana"/>
                <w:sz w:val="22"/>
                <w:szCs w:val="22"/>
                <w:lang w:val="en-US"/>
              </w:rPr>
            </w:pPr>
          </w:p>
          <w:p w:rsidR="00001674" w:rsidRPr="00001674" w:rsidRDefault="00001674" w:rsidP="00001674">
            <w:pPr>
              <w:pStyle w:val="Heading4"/>
              <w:numPr>
                <w:ilvl w:val="0"/>
                <w:numId w:val="3"/>
              </w:numPr>
              <w:outlineLvl w:val="3"/>
              <w:rPr>
                <w:rFonts w:ascii="Verdana" w:hAnsi="Verdana"/>
                <w:sz w:val="22"/>
                <w:lang w:val="en-US"/>
              </w:rPr>
            </w:pPr>
            <w:r w:rsidRPr="00001674">
              <w:rPr>
                <w:rFonts w:ascii="Verdana" w:hAnsi="Verdana"/>
                <w:sz w:val="22"/>
                <w:lang w:val="en-US"/>
              </w:rPr>
              <w:t>Intimate partner violence is a leading cause of preventable disability among women. (</w:t>
            </w:r>
            <w:hyperlink r:id="rId6" w:history="1">
              <w:r w:rsidRPr="00001674">
                <w:rPr>
                  <w:rStyle w:val="Hyperlink"/>
                  <w:rFonts w:ascii="Verdana" w:hAnsi="Verdana"/>
                  <w:sz w:val="22"/>
                  <w:lang w:val="en-US"/>
                </w:rPr>
                <w:t>http://women.govt.nz/sites/public_files/Final%20Current%20thinking%20on%20primary%20prevention.pdf</w:t>
              </w:r>
            </w:hyperlink>
            <w:r w:rsidRPr="00001674">
              <w:rPr>
                <w:rFonts w:ascii="Verdana" w:hAnsi="Verdana"/>
                <w:sz w:val="22"/>
                <w:lang w:val="en-US"/>
              </w:rPr>
              <w:t>)</w:t>
            </w:r>
          </w:p>
          <w:p w:rsidR="00001674" w:rsidRPr="00001674" w:rsidRDefault="00001674" w:rsidP="00001674">
            <w:pPr>
              <w:pStyle w:val="Heading4"/>
              <w:numPr>
                <w:ilvl w:val="0"/>
                <w:numId w:val="3"/>
              </w:numPr>
              <w:outlineLvl w:val="3"/>
              <w:rPr>
                <w:rFonts w:ascii="Verdana" w:hAnsi="Verdana"/>
                <w:sz w:val="22"/>
                <w:lang w:val="en-US"/>
              </w:rPr>
            </w:pPr>
            <w:r w:rsidRPr="00001674">
              <w:rPr>
                <w:rFonts w:ascii="Verdana" w:hAnsi="Verdana"/>
                <w:sz w:val="22"/>
                <w:lang w:val="en-US"/>
              </w:rPr>
              <w:t xml:space="preserve"> Exploitation on the grounds of disability is a systemic factor influencing violence against women and girls. Between 50 and 90 percent of </w:t>
            </w:r>
            <w:r w:rsidR="00B636F4">
              <w:rPr>
                <w:rFonts w:ascii="Verdana" w:hAnsi="Verdana"/>
                <w:sz w:val="22"/>
                <w:lang w:val="en-US"/>
              </w:rPr>
              <w:t>persons</w:t>
            </w:r>
            <w:r w:rsidRPr="00001674">
              <w:rPr>
                <w:rFonts w:ascii="Verdana" w:hAnsi="Verdana"/>
                <w:sz w:val="22"/>
                <w:lang w:val="en-US"/>
              </w:rPr>
              <w:t xml:space="preserve"> with disabilities experience sexual violence in their lifetimes (</w:t>
            </w:r>
            <w:hyperlink r:id="rId7" w:history="1">
              <w:r w:rsidRPr="00001674">
                <w:rPr>
                  <w:rStyle w:val="Hyperlink"/>
                  <w:rFonts w:ascii="Verdana" w:hAnsi="Verdana"/>
                  <w:sz w:val="22"/>
                  <w:lang w:val="en-US"/>
                </w:rPr>
                <w:t>http://women.govt.nz/sites/public_files/Lightning%20does%20strike%20twice_2012%20report.pdf</w:t>
              </w:r>
            </w:hyperlink>
            <w:r w:rsidRPr="00001674">
              <w:rPr>
                <w:rFonts w:ascii="Verdana" w:hAnsi="Verdana"/>
                <w:sz w:val="22"/>
                <w:u w:val="single"/>
                <w:lang w:val="en-US"/>
              </w:rPr>
              <w:t>)</w:t>
            </w:r>
          </w:p>
          <w:p w:rsidR="00001674" w:rsidRPr="00001674" w:rsidRDefault="00001674" w:rsidP="00001674">
            <w:pPr>
              <w:pStyle w:val="ListParagraph"/>
              <w:numPr>
                <w:ilvl w:val="0"/>
                <w:numId w:val="3"/>
              </w:numPr>
              <w:rPr>
                <w:rFonts w:ascii="Verdana" w:hAnsi="Verdana"/>
                <w:sz w:val="22"/>
                <w:lang w:val="en-US"/>
              </w:rPr>
            </w:pPr>
            <w:r w:rsidRPr="00001674">
              <w:rPr>
                <w:rFonts w:ascii="Verdana" w:hAnsi="Verdana"/>
                <w:sz w:val="22"/>
                <w:lang w:val="en-US"/>
              </w:rPr>
              <w:t xml:space="preserve">Sexual </w:t>
            </w:r>
            <w:proofErr w:type="spellStart"/>
            <w:r w:rsidRPr="00001674">
              <w:rPr>
                <w:rFonts w:ascii="Verdana" w:hAnsi="Verdana"/>
                <w:sz w:val="22"/>
                <w:lang w:val="en-US"/>
              </w:rPr>
              <w:t>revictimisation</w:t>
            </w:r>
            <w:proofErr w:type="spellEnd"/>
            <w:r w:rsidRPr="00001674">
              <w:rPr>
                <w:rFonts w:ascii="Verdana" w:hAnsi="Verdana"/>
                <w:sz w:val="22"/>
                <w:lang w:val="en-US"/>
              </w:rPr>
              <w:t xml:space="preserve"> is likely to be over-represented among women with disabilities. (</w:t>
            </w:r>
            <w:hyperlink r:id="rId8" w:history="1">
              <w:r w:rsidRPr="00001674">
                <w:rPr>
                  <w:rStyle w:val="Hyperlink"/>
                  <w:rFonts w:ascii="Verdana" w:hAnsi="Verdana"/>
                  <w:sz w:val="22"/>
                  <w:lang w:val="en-US"/>
                </w:rPr>
                <w:t>http://women.govt.nz/sites/public_files/Lightning%20does%20strike%20twice_2012%20report.pdf</w:t>
              </w:r>
            </w:hyperlink>
            <w:r w:rsidRPr="00001674">
              <w:rPr>
                <w:rFonts w:ascii="Verdana" w:hAnsi="Verdana"/>
                <w:sz w:val="22"/>
                <w:lang w:val="en-US"/>
              </w:rPr>
              <w:t xml:space="preserve">) </w:t>
            </w:r>
          </w:p>
          <w:p w:rsidR="00001674" w:rsidRPr="00001674" w:rsidRDefault="00001674" w:rsidP="00001674">
            <w:pPr>
              <w:pStyle w:val="ListParagraph"/>
              <w:numPr>
                <w:ilvl w:val="0"/>
                <w:numId w:val="3"/>
              </w:numPr>
              <w:rPr>
                <w:rFonts w:ascii="Verdana" w:hAnsi="Verdana"/>
                <w:sz w:val="22"/>
                <w:lang w:val="en-US"/>
              </w:rPr>
            </w:pPr>
            <w:r w:rsidRPr="00001674">
              <w:rPr>
                <w:rFonts w:ascii="Verdana" w:hAnsi="Verdana"/>
                <w:sz w:val="22"/>
                <w:lang w:val="en-US"/>
              </w:rPr>
              <w:t>Of victims who report sexual violence to police, victims with disabilities are among those whose cases are least likely to proceed through the criminal justice system. (</w:t>
            </w:r>
            <w:hyperlink r:id="rId9" w:history="1">
              <w:r w:rsidRPr="00001674">
                <w:rPr>
                  <w:rStyle w:val="Hyperlink"/>
                  <w:rFonts w:ascii="Verdana" w:hAnsi="Verdana"/>
                  <w:sz w:val="22"/>
                  <w:lang w:val="en-US"/>
                </w:rPr>
                <w:t>http://women.govt.nz/sites/public_files/cedaw-2010.pdf</w:t>
              </w:r>
            </w:hyperlink>
            <w:r w:rsidRPr="00001674">
              <w:rPr>
                <w:rFonts w:ascii="Verdana" w:hAnsi="Verdana"/>
                <w:sz w:val="22"/>
                <w:lang w:val="en-US"/>
              </w:rPr>
              <w:t>) However, of cases that proceed to prosecution, a conviction is more likely if the victim has an intellectual disability. (</w:t>
            </w:r>
            <w:hyperlink r:id="rId10" w:history="1">
              <w:r w:rsidRPr="00001674">
                <w:rPr>
                  <w:rStyle w:val="Hyperlink"/>
                  <w:rFonts w:ascii="Verdana" w:hAnsi="Verdana"/>
                  <w:sz w:val="22"/>
                  <w:lang w:val="en-US"/>
                </w:rPr>
                <w:t>http://women.govt.nz/sites/public_files/responding%20to%20sexual%20violence%20attrition-pdf.pdf</w:t>
              </w:r>
            </w:hyperlink>
            <w:r w:rsidRPr="00001674">
              <w:rPr>
                <w:rFonts w:ascii="Verdana" w:hAnsi="Verdana"/>
                <w:sz w:val="22"/>
                <w:lang w:val="en-US"/>
              </w:rPr>
              <w:t xml:space="preserve">) </w:t>
            </w:r>
          </w:p>
          <w:p w:rsidR="00001674" w:rsidRPr="00001674" w:rsidRDefault="00001674" w:rsidP="00001674">
            <w:pPr>
              <w:pStyle w:val="ListParagraph"/>
              <w:numPr>
                <w:ilvl w:val="0"/>
                <w:numId w:val="3"/>
              </w:numPr>
              <w:rPr>
                <w:rFonts w:ascii="Verdana" w:hAnsi="Verdana"/>
                <w:sz w:val="22"/>
                <w:lang w:val="en-US"/>
              </w:rPr>
            </w:pPr>
            <w:r w:rsidRPr="00001674">
              <w:rPr>
                <w:rFonts w:ascii="Verdana" w:hAnsi="Verdana"/>
                <w:sz w:val="22"/>
                <w:lang w:val="en-US"/>
              </w:rPr>
              <w:t>A 2009 Ministry for Women study showed that of sexual violation victims, a substantial minority had some type of disability – psychiatric (7 percent), intellectual (6 percent) or physical (1 percent). (</w:t>
            </w:r>
            <w:hyperlink r:id="rId11" w:history="1">
              <w:r w:rsidRPr="00001674">
                <w:rPr>
                  <w:rStyle w:val="Hyperlink"/>
                  <w:rFonts w:ascii="Verdana" w:hAnsi="Verdana"/>
                  <w:sz w:val="22"/>
                  <w:lang w:val="en-US"/>
                </w:rPr>
                <w:t>http://women.govt.nz/sites/public_files/responding%20to%20sexual%20violence%20attrition-pdf.pdf</w:t>
              </w:r>
            </w:hyperlink>
            <w:r w:rsidRPr="00001674">
              <w:rPr>
                <w:rFonts w:ascii="Verdana" w:hAnsi="Verdana"/>
                <w:sz w:val="22"/>
                <w:lang w:val="en-US"/>
              </w:rPr>
              <w:t xml:space="preserve">) </w:t>
            </w:r>
          </w:p>
          <w:p w:rsidR="00001674" w:rsidRPr="00001674" w:rsidRDefault="00001674" w:rsidP="00001674">
            <w:pPr>
              <w:pStyle w:val="ListParagraph"/>
              <w:numPr>
                <w:ilvl w:val="0"/>
                <w:numId w:val="3"/>
              </w:numPr>
              <w:rPr>
                <w:rFonts w:ascii="Verdana" w:hAnsi="Verdana"/>
                <w:sz w:val="22"/>
                <w:lang w:val="en-US"/>
              </w:rPr>
            </w:pPr>
            <w:r w:rsidRPr="00001674">
              <w:rPr>
                <w:rFonts w:ascii="Verdana" w:hAnsi="Verdana"/>
                <w:sz w:val="22"/>
                <w:lang w:val="en-US"/>
              </w:rPr>
              <w:t xml:space="preserve">There are accessibility issues for some victim support services, such as refuge accommodation. Safety within </w:t>
            </w:r>
            <w:proofErr w:type="spellStart"/>
            <w:r w:rsidRPr="00001674">
              <w:rPr>
                <w:rFonts w:ascii="Verdana" w:hAnsi="Verdana"/>
                <w:sz w:val="22"/>
                <w:lang w:val="en-US"/>
              </w:rPr>
              <w:t>organisation</w:t>
            </w:r>
            <w:proofErr w:type="spellEnd"/>
            <w:r w:rsidRPr="00001674">
              <w:rPr>
                <w:rFonts w:ascii="Verdana" w:hAnsi="Verdana"/>
                <w:sz w:val="22"/>
                <w:lang w:val="en-US"/>
              </w:rPr>
              <w:t>/institutional settings is also a concern; the perpetrator of abuse may be a caregiver or family member. (</w:t>
            </w:r>
            <w:hyperlink r:id="rId12" w:history="1">
              <w:r w:rsidRPr="00001674">
                <w:rPr>
                  <w:rStyle w:val="Hyperlink"/>
                  <w:rFonts w:ascii="Verdana" w:hAnsi="Verdana"/>
                  <w:sz w:val="22"/>
                  <w:lang w:val="en-US"/>
                </w:rPr>
                <w:t>http://women.govt.nz/sites/public_files/responding%20to%20sexual%20violence%20literature-review%20on%20best%20practice-pdf.pdf</w:t>
              </w:r>
            </w:hyperlink>
            <w:r w:rsidRPr="00001674">
              <w:rPr>
                <w:rFonts w:ascii="Verdana" w:hAnsi="Verdana"/>
                <w:sz w:val="22"/>
                <w:lang w:val="en-US"/>
              </w:rPr>
              <w:t>)</w:t>
            </w:r>
          </w:p>
          <w:p w:rsidR="00001674" w:rsidRPr="00001674" w:rsidRDefault="00001674" w:rsidP="00001674">
            <w:pPr>
              <w:pStyle w:val="ListParagraph"/>
              <w:numPr>
                <w:ilvl w:val="0"/>
                <w:numId w:val="3"/>
              </w:numPr>
              <w:rPr>
                <w:rFonts w:ascii="Verdana" w:hAnsi="Verdana"/>
                <w:sz w:val="22"/>
                <w:lang w:val="en-US"/>
              </w:rPr>
            </w:pPr>
            <w:r w:rsidRPr="00001674">
              <w:rPr>
                <w:rFonts w:ascii="Verdana" w:hAnsi="Verdana"/>
                <w:sz w:val="22"/>
                <w:lang w:val="en-US"/>
              </w:rPr>
              <w:t>Many services for survivors of sexual violence are not confident in their ability to provide for victims</w:t>
            </w:r>
            <w:r w:rsidR="009C4059">
              <w:rPr>
                <w:rFonts w:ascii="Verdana" w:hAnsi="Verdana"/>
                <w:sz w:val="22"/>
                <w:lang w:val="en-US"/>
              </w:rPr>
              <w:t xml:space="preserve"> with disabilities. In 2009, 47 percent</w:t>
            </w:r>
            <w:r w:rsidRPr="00001674">
              <w:rPr>
                <w:rFonts w:ascii="Verdana" w:hAnsi="Verdana"/>
                <w:sz w:val="22"/>
                <w:lang w:val="en-US"/>
              </w:rPr>
              <w:t xml:space="preserve"> of service providers rated their service provision to </w:t>
            </w:r>
            <w:r w:rsidR="00F81DA2">
              <w:rPr>
                <w:rFonts w:ascii="Verdana" w:hAnsi="Verdana"/>
                <w:sz w:val="22"/>
                <w:lang w:val="en-US"/>
              </w:rPr>
              <w:t>persons</w:t>
            </w:r>
            <w:r w:rsidRPr="00001674">
              <w:rPr>
                <w:rFonts w:ascii="Verdana" w:hAnsi="Verdana"/>
                <w:sz w:val="22"/>
                <w:lang w:val="en-US"/>
              </w:rPr>
              <w:t xml:space="preserve"> with disabilities as average or worse. (</w:t>
            </w:r>
            <w:hyperlink r:id="rId13" w:history="1">
              <w:r w:rsidRPr="00001674">
                <w:rPr>
                  <w:rStyle w:val="Hyperlink"/>
                  <w:rFonts w:ascii="Verdana" w:hAnsi="Verdana"/>
                  <w:sz w:val="22"/>
                  <w:lang w:val="en-US"/>
                </w:rPr>
                <w:t>http://women.govt.nz/sites/public_files/environmental-scan.pdf</w:t>
              </w:r>
            </w:hyperlink>
            <w:r w:rsidRPr="00001674">
              <w:rPr>
                <w:rFonts w:ascii="Verdana" w:hAnsi="Verdana"/>
                <w:sz w:val="22"/>
                <w:lang w:val="en-US"/>
              </w:rPr>
              <w:t>)</w:t>
            </w:r>
          </w:p>
          <w:p w:rsidR="00001674" w:rsidRPr="00001674" w:rsidRDefault="00001674" w:rsidP="00001674">
            <w:pPr>
              <w:pStyle w:val="ListParagraph"/>
              <w:numPr>
                <w:ilvl w:val="0"/>
                <w:numId w:val="3"/>
              </w:numPr>
              <w:rPr>
                <w:rFonts w:ascii="Verdana" w:hAnsi="Verdana"/>
                <w:sz w:val="22"/>
                <w:lang w:val="en-US"/>
              </w:rPr>
            </w:pPr>
            <w:r w:rsidRPr="00001674">
              <w:rPr>
                <w:rFonts w:ascii="Verdana" w:hAnsi="Verdana"/>
                <w:sz w:val="22"/>
                <w:lang w:val="en-US"/>
              </w:rPr>
              <w:t>While there is a clear link between disability and sexual violence, we don’t know how often disability precedes or is a consequence of sexual violence. (</w:t>
            </w:r>
            <w:hyperlink r:id="rId14" w:history="1">
              <w:r w:rsidRPr="00001674">
                <w:rPr>
                  <w:rStyle w:val="Hyperlink"/>
                  <w:rFonts w:ascii="Verdana" w:hAnsi="Verdana"/>
                  <w:sz w:val="22"/>
                  <w:lang w:val="en-US"/>
                </w:rPr>
                <w:t>http://women.govt.nz/sites/public_files/restoring-soul-pdf-1.pdf</w:t>
              </w:r>
            </w:hyperlink>
            <w:r w:rsidRPr="00001674">
              <w:rPr>
                <w:rFonts w:ascii="Verdana" w:hAnsi="Verdana"/>
                <w:sz w:val="22"/>
                <w:lang w:val="en-US"/>
              </w:rPr>
              <w:t xml:space="preserve">)  </w:t>
            </w:r>
          </w:p>
          <w:p w:rsidR="00001674" w:rsidRPr="00001674" w:rsidRDefault="00001674" w:rsidP="00001674">
            <w:pPr>
              <w:pStyle w:val="ListParagraph"/>
              <w:numPr>
                <w:ilvl w:val="0"/>
                <w:numId w:val="3"/>
              </w:numPr>
              <w:rPr>
                <w:rFonts w:ascii="Verdana" w:hAnsi="Verdana"/>
                <w:sz w:val="22"/>
                <w:lang w:val="en-US"/>
              </w:rPr>
            </w:pPr>
            <w:r w:rsidRPr="00001674">
              <w:rPr>
                <w:rFonts w:ascii="Verdana" w:hAnsi="Verdana"/>
                <w:sz w:val="22"/>
                <w:lang w:val="en-US"/>
              </w:rPr>
              <w:t xml:space="preserve">In a 2007 study of sexuality education, very high needs students at a special school participated in some, but not all of their school’s </w:t>
            </w:r>
            <w:proofErr w:type="spellStart"/>
            <w:r w:rsidRPr="00001674">
              <w:rPr>
                <w:rFonts w:ascii="Verdana" w:hAnsi="Verdana"/>
                <w:sz w:val="22"/>
                <w:lang w:val="en-US"/>
              </w:rPr>
              <w:t>programme</w:t>
            </w:r>
            <w:proofErr w:type="spellEnd"/>
            <w:r w:rsidRPr="00001674">
              <w:rPr>
                <w:rFonts w:ascii="Verdana" w:hAnsi="Verdana"/>
                <w:sz w:val="22"/>
                <w:lang w:val="en-US"/>
              </w:rPr>
              <w:t>. (</w:t>
            </w:r>
            <w:hyperlink r:id="rId15" w:history="1">
              <w:r w:rsidRPr="00001674">
                <w:rPr>
                  <w:rStyle w:val="Hyperlink"/>
                  <w:rFonts w:ascii="Verdana" w:hAnsi="Verdana"/>
                  <w:sz w:val="22"/>
                  <w:lang w:val="en-US"/>
                </w:rPr>
                <w:t>http://women.govt.nz/sites/public_files/The%20Teaching%20of%20Sexuality%20Education%20in%20Years%207%20to%2013.pdf</w:t>
              </w:r>
            </w:hyperlink>
            <w:r w:rsidRPr="00001674">
              <w:rPr>
                <w:rFonts w:ascii="Verdana" w:hAnsi="Verdana"/>
                <w:sz w:val="22"/>
                <w:lang w:val="en-US"/>
              </w:rPr>
              <w:t>)</w:t>
            </w:r>
          </w:p>
          <w:p w:rsidR="00001674" w:rsidRPr="00001674" w:rsidRDefault="00001674" w:rsidP="00001674">
            <w:pPr>
              <w:pStyle w:val="ListParagraph"/>
              <w:numPr>
                <w:ilvl w:val="0"/>
                <w:numId w:val="4"/>
              </w:numPr>
              <w:rPr>
                <w:rFonts w:ascii="Verdana" w:hAnsi="Verdana"/>
                <w:lang w:val="en-US"/>
              </w:rPr>
            </w:pPr>
            <w:r w:rsidRPr="00001674">
              <w:rPr>
                <w:rFonts w:ascii="Verdana" w:hAnsi="Verdana"/>
                <w:sz w:val="22"/>
                <w:lang w:val="en-US"/>
              </w:rPr>
              <w:t xml:space="preserve">In the same study, about a fifth of schools surveyed used Individual Education Plans to adapt sexuality education </w:t>
            </w:r>
            <w:proofErr w:type="spellStart"/>
            <w:r w:rsidRPr="00001674">
              <w:rPr>
                <w:rFonts w:ascii="Verdana" w:hAnsi="Verdana"/>
                <w:sz w:val="22"/>
                <w:lang w:val="en-US"/>
              </w:rPr>
              <w:t>programmes</w:t>
            </w:r>
            <w:proofErr w:type="spellEnd"/>
            <w:r w:rsidRPr="00001674">
              <w:rPr>
                <w:rFonts w:ascii="Verdana" w:hAnsi="Verdana"/>
                <w:sz w:val="22"/>
                <w:lang w:val="en-US"/>
              </w:rPr>
              <w:t xml:space="preserve"> to students with special educational needs.</w:t>
            </w:r>
          </w:p>
          <w:p w:rsidR="00001674" w:rsidRPr="00001674" w:rsidRDefault="00001674" w:rsidP="002B6CDA">
            <w:pPr>
              <w:rPr>
                <w:rFonts w:ascii="Verdana" w:hAnsi="Verdana"/>
                <w:lang w:val="en-US"/>
              </w:rPr>
            </w:pPr>
          </w:p>
        </w:tc>
      </w:tr>
      <w:tr w:rsidR="00001674" w:rsidRPr="00001674" w:rsidTr="002B6CDA">
        <w:tc>
          <w:tcPr>
            <w:tcW w:w="0" w:type="auto"/>
            <w:shd w:val="clear" w:color="auto" w:fill="DBE5F1" w:themeFill="accent1" w:themeFillTint="33"/>
          </w:tcPr>
          <w:p w:rsidR="00001674" w:rsidRPr="00B636F4" w:rsidRDefault="00001674" w:rsidP="002B6CDA">
            <w:pPr>
              <w:pStyle w:val="Heading4"/>
              <w:numPr>
                <w:ilvl w:val="0"/>
                <w:numId w:val="2"/>
              </w:numPr>
              <w:rPr>
                <w:rFonts w:ascii="Verdana" w:hAnsi="Verdana"/>
                <w:sz w:val="22"/>
                <w:lang w:val="en-US"/>
              </w:rPr>
            </w:pPr>
            <w:r w:rsidRPr="00001674">
              <w:rPr>
                <w:rFonts w:ascii="Verdana" w:hAnsi="Verdana"/>
                <w:sz w:val="22"/>
                <w:lang w:val="en-US"/>
              </w:rPr>
              <w:t>Sex education (in formal and non-formal settings) and access to sexual and reproductive health information;</w:t>
            </w:r>
          </w:p>
          <w:p w:rsidR="00001674" w:rsidRPr="00001674" w:rsidRDefault="00001674" w:rsidP="002B6CDA">
            <w:pPr>
              <w:tabs>
                <w:tab w:val="left" w:pos="680"/>
                <w:tab w:val="left" w:pos="1359"/>
                <w:tab w:val="left" w:pos="1983"/>
                <w:tab w:val="left" w:pos="6349"/>
                <w:tab w:val="left" w:pos="6915"/>
                <w:tab w:val="left" w:pos="8370"/>
              </w:tabs>
              <w:ind w:left="720"/>
              <w:rPr>
                <w:rFonts w:ascii="Verdana" w:hAnsi="Verdana"/>
                <w:sz w:val="22"/>
                <w:lang w:val="en-US"/>
              </w:rPr>
            </w:pPr>
          </w:p>
        </w:tc>
      </w:tr>
      <w:tr w:rsidR="00001674" w:rsidRPr="00001674" w:rsidTr="002B6CDA">
        <w:tc>
          <w:tcPr>
            <w:tcW w:w="0" w:type="auto"/>
          </w:tcPr>
          <w:p w:rsidR="00001674" w:rsidRPr="00001674" w:rsidRDefault="00001674" w:rsidP="002B6CDA">
            <w:pPr>
              <w:pStyle w:val="Heading4"/>
              <w:outlineLvl w:val="3"/>
              <w:rPr>
                <w:rFonts w:ascii="Verdana" w:hAnsi="Verdana"/>
                <w:b/>
                <w:sz w:val="22"/>
                <w:szCs w:val="22"/>
                <w:lang w:val="en-US"/>
              </w:rPr>
            </w:pPr>
            <w:r w:rsidRPr="00001674">
              <w:rPr>
                <w:rFonts w:ascii="Verdana" w:hAnsi="Verdana"/>
                <w:b/>
                <w:sz w:val="22"/>
                <w:szCs w:val="22"/>
                <w:lang w:val="en-US"/>
              </w:rPr>
              <w:t>Ministry of Education</w:t>
            </w:r>
          </w:p>
          <w:p w:rsidR="00001674" w:rsidRPr="00001674" w:rsidRDefault="00001674" w:rsidP="002B6CDA">
            <w:pPr>
              <w:rPr>
                <w:rFonts w:ascii="Verdana" w:hAnsi="Verdana"/>
                <w:lang w:val="en-US"/>
              </w:rPr>
            </w:pPr>
          </w:p>
          <w:p w:rsidR="00001674" w:rsidRPr="00001674" w:rsidRDefault="00001674" w:rsidP="00001674">
            <w:pPr>
              <w:pStyle w:val="Heading4"/>
              <w:numPr>
                <w:ilvl w:val="0"/>
                <w:numId w:val="3"/>
              </w:numPr>
              <w:outlineLvl w:val="3"/>
              <w:rPr>
                <w:rFonts w:ascii="Verdana" w:hAnsi="Verdana" w:cs="Arial"/>
                <w:sz w:val="22"/>
                <w:szCs w:val="22"/>
              </w:rPr>
            </w:pPr>
            <w:r w:rsidRPr="00001674">
              <w:rPr>
                <w:rFonts w:ascii="Verdana" w:hAnsi="Verdana" w:cs="Arial"/>
                <w:sz w:val="22"/>
                <w:szCs w:val="22"/>
              </w:rPr>
              <w:t xml:space="preserve">In consultation with their school community New Zealand state and state integrated schools are responsible for developing teaching and learning programmes that best meet the needs of their students, including those with disabilities, within the framework of </w:t>
            </w:r>
            <w:hyperlink r:id="rId16" w:history="1">
              <w:r w:rsidRPr="00001674">
                <w:rPr>
                  <w:rStyle w:val="Hyperlink"/>
                  <w:rFonts w:ascii="Verdana" w:hAnsi="Verdana" w:cs="Arial"/>
                  <w:i/>
                  <w:sz w:val="22"/>
                  <w:szCs w:val="22"/>
                </w:rPr>
                <w:t>The New Zealand Curriculum</w:t>
              </w:r>
            </w:hyperlink>
            <w:r w:rsidRPr="00001674">
              <w:rPr>
                <w:rFonts w:ascii="Verdana" w:hAnsi="Verdana" w:cs="Arial"/>
                <w:sz w:val="22"/>
                <w:szCs w:val="22"/>
              </w:rPr>
              <w:t xml:space="preserve"> (for English-medium teaching and learning in years 1-13) and the </w:t>
            </w:r>
            <w:hyperlink r:id="rId17" w:history="1">
              <w:proofErr w:type="spellStart"/>
              <w:r w:rsidRPr="00001674">
                <w:rPr>
                  <w:rStyle w:val="Hyperlink"/>
                  <w:rFonts w:ascii="Verdana" w:hAnsi="Verdana" w:cs="Arial"/>
                  <w:i/>
                  <w:sz w:val="22"/>
                  <w:szCs w:val="22"/>
                </w:rPr>
                <w:t>Te</w:t>
              </w:r>
              <w:proofErr w:type="spellEnd"/>
              <w:r w:rsidRPr="00001674">
                <w:rPr>
                  <w:rStyle w:val="Hyperlink"/>
                  <w:rFonts w:ascii="Verdana" w:hAnsi="Verdana" w:cs="Arial"/>
                  <w:i/>
                  <w:sz w:val="22"/>
                  <w:szCs w:val="22"/>
                </w:rPr>
                <w:t xml:space="preserve"> </w:t>
              </w:r>
              <w:proofErr w:type="spellStart"/>
              <w:r w:rsidRPr="00001674">
                <w:rPr>
                  <w:rStyle w:val="Hyperlink"/>
                  <w:rFonts w:ascii="Verdana" w:hAnsi="Verdana" w:cs="Arial"/>
                  <w:i/>
                  <w:sz w:val="22"/>
                  <w:szCs w:val="22"/>
                </w:rPr>
                <w:t>Marautanga</w:t>
              </w:r>
              <w:proofErr w:type="spellEnd"/>
              <w:r w:rsidRPr="00001674">
                <w:rPr>
                  <w:rStyle w:val="Hyperlink"/>
                  <w:rFonts w:ascii="Verdana" w:hAnsi="Verdana" w:cs="Arial"/>
                  <w:i/>
                  <w:sz w:val="22"/>
                  <w:szCs w:val="22"/>
                </w:rPr>
                <w:t xml:space="preserve"> o </w:t>
              </w:r>
              <w:proofErr w:type="spellStart"/>
              <w:r w:rsidRPr="00001674">
                <w:rPr>
                  <w:rStyle w:val="Hyperlink"/>
                  <w:rFonts w:ascii="Verdana" w:hAnsi="Verdana" w:cs="Arial"/>
                  <w:i/>
                  <w:sz w:val="22"/>
                  <w:szCs w:val="22"/>
                </w:rPr>
                <w:t>Aotearoa</w:t>
              </w:r>
              <w:proofErr w:type="spellEnd"/>
            </w:hyperlink>
            <w:r w:rsidRPr="00001674">
              <w:rPr>
                <w:rFonts w:ascii="Verdana" w:hAnsi="Verdana" w:cs="Arial"/>
                <w:sz w:val="22"/>
                <w:szCs w:val="22"/>
              </w:rPr>
              <w:t xml:space="preserve"> (for Māori-medium teaching and learning in years 1-13).</w:t>
            </w:r>
          </w:p>
          <w:p w:rsidR="00001674" w:rsidRPr="00001674" w:rsidRDefault="00001674" w:rsidP="00001674">
            <w:pPr>
              <w:pStyle w:val="Heading4"/>
              <w:numPr>
                <w:ilvl w:val="0"/>
                <w:numId w:val="3"/>
              </w:numPr>
              <w:outlineLvl w:val="3"/>
              <w:rPr>
                <w:rFonts w:ascii="Verdana" w:hAnsi="Verdana" w:cs="Arial"/>
                <w:sz w:val="22"/>
                <w:szCs w:val="22"/>
              </w:rPr>
            </w:pPr>
            <w:r w:rsidRPr="00001674">
              <w:rPr>
                <w:rFonts w:ascii="Verdana" w:hAnsi="Verdana" w:cs="Arial"/>
                <w:sz w:val="22"/>
                <w:szCs w:val="22"/>
              </w:rPr>
              <w:t>New Zealand state and state-integrated schools are required to provide a broad education that includes health and physical (HPE) education which is a compulsory subject from years 1-10 and is a formal subject at years 11-13. Sexuality education is one of the seven key areas of learning in the HPE learning area.</w:t>
            </w:r>
          </w:p>
          <w:p w:rsidR="00001674" w:rsidRPr="00001674" w:rsidRDefault="00001674" w:rsidP="00001674">
            <w:pPr>
              <w:pStyle w:val="Heading4"/>
              <w:numPr>
                <w:ilvl w:val="0"/>
                <w:numId w:val="3"/>
              </w:numPr>
              <w:outlineLvl w:val="3"/>
              <w:rPr>
                <w:rFonts w:ascii="Verdana" w:hAnsi="Verdana" w:cs="Arial"/>
                <w:sz w:val="22"/>
                <w:szCs w:val="22"/>
              </w:rPr>
            </w:pPr>
            <w:r w:rsidRPr="00001674">
              <w:rPr>
                <w:rFonts w:ascii="Verdana" w:hAnsi="Verdana" w:cs="Arial"/>
                <w:sz w:val="22"/>
                <w:szCs w:val="22"/>
              </w:rPr>
              <w:t>Every decision relating to curriculum is expected to reflect the values of the individual and the school. Students are encouraged to value diversity and equity, through fairness and social justice, and to respect themselves and others, and human rights.</w:t>
            </w:r>
          </w:p>
          <w:p w:rsidR="00001674" w:rsidRPr="00001674" w:rsidRDefault="00001674" w:rsidP="00001674">
            <w:pPr>
              <w:pStyle w:val="Heading4"/>
              <w:numPr>
                <w:ilvl w:val="0"/>
                <w:numId w:val="3"/>
              </w:numPr>
              <w:outlineLvl w:val="3"/>
              <w:rPr>
                <w:rFonts w:ascii="Verdana" w:hAnsi="Verdana" w:cs="Arial"/>
                <w:sz w:val="22"/>
                <w:szCs w:val="22"/>
              </w:rPr>
            </w:pPr>
            <w:r w:rsidRPr="00001674">
              <w:rPr>
                <w:rFonts w:ascii="Verdana" w:hAnsi="Verdana" w:cs="Arial"/>
                <w:sz w:val="22"/>
                <w:szCs w:val="22"/>
              </w:rPr>
              <w:t>All curricula should also be consistent with a set of principles, including ‘inclusion’ to ensure students’ identities, languages, abilities, and talents are recognised and affirmed and that their learning needs are addressed.</w:t>
            </w:r>
          </w:p>
          <w:p w:rsidR="00001674" w:rsidRPr="00001674" w:rsidRDefault="00001674" w:rsidP="00001674">
            <w:pPr>
              <w:pStyle w:val="Heading4"/>
              <w:numPr>
                <w:ilvl w:val="0"/>
                <w:numId w:val="3"/>
              </w:numPr>
              <w:outlineLvl w:val="3"/>
              <w:rPr>
                <w:rFonts w:ascii="Verdana" w:hAnsi="Verdana" w:cs="Arial"/>
                <w:sz w:val="22"/>
                <w:szCs w:val="22"/>
              </w:rPr>
            </w:pPr>
            <w:r w:rsidRPr="00001674">
              <w:rPr>
                <w:rFonts w:ascii="Verdana" w:hAnsi="Verdana" w:cs="Arial"/>
                <w:sz w:val="22"/>
                <w:szCs w:val="22"/>
              </w:rPr>
              <w:t xml:space="preserve">Primary school children are likely to learn about friendships, different kinds of families, respect for each other and people who are different from them. In later primary years, children may also learn about puberty, body development and image, human reproduction, and risks that can arise online and when using social media. At secondary school, young people are likely to learn about positive and supportive intimate relationships, </w:t>
            </w:r>
            <w:proofErr w:type="gramStart"/>
            <w:r w:rsidRPr="00001674">
              <w:rPr>
                <w:rFonts w:ascii="Verdana" w:hAnsi="Verdana" w:cs="Arial"/>
                <w:sz w:val="22"/>
                <w:szCs w:val="22"/>
              </w:rPr>
              <w:t>contraception,</w:t>
            </w:r>
            <w:proofErr w:type="gramEnd"/>
            <w:r w:rsidRPr="00001674">
              <w:rPr>
                <w:rFonts w:ascii="Verdana" w:hAnsi="Verdana" w:cs="Arial"/>
                <w:sz w:val="22"/>
                <w:szCs w:val="22"/>
              </w:rPr>
              <w:t xml:space="preserve"> managing their health and the influence that society has on how we view things like gender and sexuality.</w:t>
            </w:r>
          </w:p>
          <w:p w:rsidR="00001674" w:rsidRPr="00001674" w:rsidRDefault="00001674" w:rsidP="00001674">
            <w:pPr>
              <w:pStyle w:val="Heading4"/>
              <w:numPr>
                <w:ilvl w:val="0"/>
                <w:numId w:val="3"/>
              </w:numPr>
              <w:outlineLvl w:val="3"/>
              <w:rPr>
                <w:rFonts w:ascii="Verdana" w:hAnsi="Verdana" w:cs="Arial"/>
                <w:sz w:val="22"/>
                <w:szCs w:val="22"/>
              </w:rPr>
            </w:pPr>
            <w:r w:rsidRPr="00001674">
              <w:rPr>
                <w:rFonts w:ascii="Verdana" w:hAnsi="Verdana" w:cs="Arial"/>
                <w:sz w:val="22"/>
                <w:szCs w:val="22"/>
              </w:rPr>
              <w:t>These programmes aim to help all students understand their sexual development and to make healthy choices for themselves and others.</w:t>
            </w:r>
          </w:p>
          <w:p w:rsidR="00001674" w:rsidRDefault="00001674" w:rsidP="00001674">
            <w:pPr>
              <w:pStyle w:val="Heading4"/>
              <w:numPr>
                <w:ilvl w:val="0"/>
                <w:numId w:val="4"/>
              </w:numPr>
              <w:outlineLvl w:val="3"/>
              <w:rPr>
                <w:rFonts w:ascii="Verdana" w:hAnsi="Verdana" w:cs="Arial"/>
                <w:sz w:val="22"/>
                <w:szCs w:val="22"/>
              </w:rPr>
            </w:pPr>
            <w:r w:rsidRPr="00001674">
              <w:rPr>
                <w:rFonts w:ascii="Verdana" w:hAnsi="Verdana" w:cs="Arial"/>
                <w:sz w:val="22"/>
                <w:szCs w:val="22"/>
              </w:rPr>
              <w:t xml:space="preserve">Sexuality education affirms the wellbeing of students themselves, human rights and safety in relationships. </w:t>
            </w:r>
          </w:p>
          <w:p w:rsidR="00047A49" w:rsidRDefault="00047A49" w:rsidP="00047A49"/>
          <w:p w:rsidR="00047A49" w:rsidRDefault="00047A49" w:rsidP="00047A49">
            <w:pPr>
              <w:rPr>
                <w:rFonts w:ascii="Verdana" w:hAnsi="Verdana"/>
                <w:b/>
                <w:sz w:val="22"/>
                <w:szCs w:val="22"/>
              </w:rPr>
            </w:pPr>
            <w:r>
              <w:rPr>
                <w:rFonts w:ascii="Verdana" w:hAnsi="Verdana"/>
                <w:b/>
                <w:sz w:val="22"/>
                <w:szCs w:val="22"/>
              </w:rPr>
              <w:t>Ministry of Health</w:t>
            </w:r>
          </w:p>
          <w:p w:rsidR="00047A49" w:rsidRDefault="00047A49" w:rsidP="00047A49">
            <w:pPr>
              <w:rPr>
                <w:rFonts w:ascii="Verdana" w:hAnsi="Verdana"/>
                <w:b/>
                <w:sz w:val="22"/>
                <w:szCs w:val="22"/>
              </w:rPr>
            </w:pPr>
          </w:p>
          <w:p w:rsidR="00DA2F37" w:rsidRPr="00DA2F37" w:rsidRDefault="00DA2F37" w:rsidP="00DA2F37">
            <w:pPr>
              <w:pStyle w:val="ListParagraph"/>
              <w:numPr>
                <w:ilvl w:val="0"/>
                <w:numId w:val="3"/>
              </w:numPr>
              <w:ind w:hanging="357"/>
              <w:rPr>
                <w:rFonts w:ascii="Verdana" w:hAnsi="Verdana"/>
                <w:sz w:val="22"/>
                <w:szCs w:val="22"/>
              </w:rPr>
            </w:pPr>
            <w:r w:rsidRPr="00DA2F37">
              <w:rPr>
                <w:rFonts w:ascii="Verdana" w:hAnsi="Verdana"/>
                <w:sz w:val="22"/>
                <w:szCs w:val="22"/>
              </w:rPr>
              <w:t>Free sexual health information and resources are available through:</w:t>
            </w:r>
          </w:p>
          <w:p w:rsidR="00DA2F37" w:rsidRPr="00DA2F37" w:rsidRDefault="00DA2F37" w:rsidP="00DA2F37">
            <w:pPr>
              <w:pStyle w:val="ListParagraph"/>
              <w:numPr>
                <w:ilvl w:val="1"/>
                <w:numId w:val="3"/>
              </w:numPr>
              <w:ind w:hanging="357"/>
              <w:rPr>
                <w:rFonts w:ascii="Verdana" w:hAnsi="Verdana"/>
                <w:sz w:val="22"/>
                <w:szCs w:val="22"/>
              </w:rPr>
            </w:pPr>
            <w:r w:rsidRPr="00DA2F37">
              <w:rPr>
                <w:rFonts w:ascii="Verdana" w:hAnsi="Verdana"/>
                <w:sz w:val="22"/>
                <w:szCs w:val="22"/>
              </w:rPr>
              <w:t>Health Ed</w:t>
            </w:r>
            <w:r>
              <w:rPr>
                <w:rFonts w:ascii="Verdana" w:hAnsi="Verdana"/>
                <w:sz w:val="22"/>
                <w:szCs w:val="22"/>
              </w:rPr>
              <w:t>ucation funded by Health P</w:t>
            </w:r>
            <w:r w:rsidRPr="00DA2F37">
              <w:rPr>
                <w:rFonts w:ascii="Verdana" w:hAnsi="Verdana"/>
                <w:sz w:val="22"/>
                <w:szCs w:val="22"/>
              </w:rPr>
              <w:t xml:space="preserve">romotion Agency and Ministry of Health (see </w:t>
            </w:r>
            <w:hyperlink r:id="rId18" w:history="1">
              <w:r w:rsidRPr="00DA2F37">
                <w:rPr>
                  <w:rStyle w:val="Hyperlink"/>
                  <w:rFonts w:ascii="Verdana" w:hAnsi="Verdana"/>
                  <w:sz w:val="22"/>
                  <w:szCs w:val="22"/>
                </w:rPr>
                <w:t>https://www.healthed.govt.nz/</w:t>
              </w:r>
            </w:hyperlink>
            <w:r w:rsidRPr="00DA2F37">
              <w:rPr>
                <w:rFonts w:ascii="Verdana" w:hAnsi="Verdana"/>
                <w:sz w:val="22"/>
                <w:szCs w:val="22"/>
              </w:rPr>
              <w:t>)</w:t>
            </w:r>
          </w:p>
          <w:p w:rsidR="00DA2F37" w:rsidRPr="00DA2F37" w:rsidRDefault="00DA2F37" w:rsidP="00DA2F37">
            <w:pPr>
              <w:pStyle w:val="ListParagraph"/>
              <w:numPr>
                <w:ilvl w:val="1"/>
                <w:numId w:val="3"/>
              </w:numPr>
              <w:ind w:hanging="357"/>
              <w:rPr>
                <w:rFonts w:ascii="Verdana" w:hAnsi="Verdana"/>
                <w:sz w:val="22"/>
                <w:szCs w:val="22"/>
              </w:rPr>
            </w:pPr>
            <w:r w:rsidRPr="00DA2F37">
              <w:rPr>
                <w:rFonts w:ascii="Verdana" w:hAnsi="Verdana"/>
                <w:sz w:val="22"/>
                <w:szCs w:val="22"/>
              </w:rPr>
              <w:t xml:space="preserve">Ministry of Health website (see </w:t>
            </w:r>
            <w:hyperlink r:id="rId19" w:history="1">
              <w:r w:rsidRPr="00DA2F37">
                <w:rPr>
                  <w:rStyle w:val="Hyperlink"/>
                  <w:rFonts w:ascii="Verdana" w:hAnsi="Verdana"/>
                  <w:sz w:val="22"/>
                  <w:szCs w:val="22"/>
                </w:rPr>
                <w:t>http://www.health.govt.nz/our-work/preventative-health-wellness/sexual-and-reproductive-health</w:t>
              </w:r>
            </w:hyperlink>
            <w:r w:rsidRPr="00DA2F37">
              <w:rPr>
                <w:rFonts w:ascii="Verdana" w:hAnsi="Verdana"/>
                <w:sz w:val="22"/>
                <w:szCs w:val="22"/>
              </w:rPr>
              <w:t>)</w:t>
            </w:r>
            <w:r>
              <w:rPr>
                <w:rFonts w:ascii="Verdana" w:hAnsi="Verdana"/>
                <w:sz w:val="22"/>
                <w:szCs w:val="22"/>
              </w:rPr>
              <w:t>.</w:t>
            </w:r>
          </w:p>
          <w:p w:rsidR="00DA2F37" w:rsidRPr="00DA2F37" w:rsidRDefault="00DA2F37" w:rsidP="00DA2F37">
            <w:pPr>
              <w:numPr>
                <w:ilvl w:val="0"/>
                <w:numId w:val="3"/>
              </w:numPr>
              <w:tabs>
                <w:tab w:val="left" w:pos="709"/>
              </w:tabs>
              <w:jc w:val="both"/>
              <w:rPr>
                <w:rFonts w:ascii="Verdana" w:hAnsi="Verdana"/>
                <w:sz w:val="22"/>
                <w:szCs w:val="22"/>
              </w:rPr>
            </w:pPr>
            <w:r w:rsidRPr="00DA2F37">
              <w:rPr>
                <w:rFonts w:ascii="Verdana" w:hAnsi="Verdana" w:cs="Arial Mäori"/>
                <w:sz w:val="22"/>
                <w:szCs w:val="22"/>
                <w:lang w:eastAsia="en-NZ"/>
              </w:rPr>
              <w:t xml:space="preserve">The Paediatric Society has developed clinical guidelines for the management of menstrual bleeding and fertility in girls with intellectual disability (see </w:t>
            </w:r>
            <w:hyperlink r:id="rId20" w:history="1">
              <w:r w:rsidR="009C4059" w:rsidRPr="00F50781">
                <w:rPr>
                  <w:rStyle w:val="Hyperlink"/>
                  <w:rFonts w:ascii="Verdana" w:hAnsi="Verdana" w:cs="Arial Mäori"/>
                  <w:sz w:val="22"/>
                  <w:szCs w:val="22"/>
                  <w:lang w:eastAsia="en-NZ"/>
                </w:rPr>
                <w:t>http://www.paediatrics.org.nz/files/DHB%20Scorecards/standardswellbeinglongdocmay02.pdf</w:t>
              </w:r>
            </w:hyperlink>
            <w:r w:rsidR="009C4059">
              <w:rPr>
                <w:rFonts w:ascii="Verdana" w:hAnsi="Verdana" w:cs="Arial Mäori"/>
                <w:sz w:val="22"/>
                <w:szCs w:val="22"/>
                <w:lang w:eastAsia="en-NZ"/>
              </w:rPr>
              <w:t>)</w:t>
            </w:r>
            <w:r>
              <w:rPr>
                <w:rFonts w:ascii="Verdana" w:hAnsi="Verdana" w:cs="Arial Mäori"/>
                <w:sz w:val="22"/>
                <w:szCs w:val="22"/>
                <w:lang w:eastAsia="en-NZ"/>
              </w:rPr>
              <w:t>.</w:t>
            </w:r>
          </w:p>
          <w:p w:rsidR="00047A49" w:rsidRDefault="00DA2F37" w:rsidP="00047A49">
            <w:pPr>
              <w:pStyle w:val="ListParagraph"/>
              <w:numPr>
                <w:ilvl w:val="0"/>
                <w:numId w:val="3"/>
              </w:numPr>
              <w:ind w:hanging="357"/>
              <w:rPr>
                <w:rFonts w:ascii="Verdana" w:hAnsi="Verdana"/>
                <w:sz w:val="22"/>
                <w:szCs w:val="22"/>
              </w:rPr>
            </w:pPr>
            <w:r w:rsidRPr="00DA2F37">
              <w:rPr>
                <w:rFonts w:ascii="Verdana" w:hAnsi="Verdana"/>
                <w:sz w:val="22"/>
                <w:szCs w:val="22"/>
              </w:rPr>
              <w:t xml:space="preserve">Residential disability care providers are required to ‘ensure people have access to counselling, including sexuality education, gender identity counselling, relationship counselling and personal development as required’ (see Tier Two Community Residential Support Services at </w:t>
            </w:r>
            <w:hyperlink r:id="rId21" w:anchor="t2commreswinagedcare" w:history="1">
              <w:r w:rsidR="00A22C8C" w:rsidRPr="00F50781">
                <w:rPr>
                  <w:rStyle w:val="Hyperlink"/>
                  <w:rFonts w:ascii="Verdana" w:hAnsi="Verdana"/>
                  <w:sz w:val="22"/>
                  <w:szCs w:val="22"/>
                </w:rPr>
                <w:t>http://www.health.govt.nz/our-work/disability-services/contracting-and-working-disability-support-services/contracts-and-service-specifications#t2commreswinagedcare</w:t>
              </w:r>
            </w:hyperlink>
            <w:r w:rsidR="00A22C8C">
              <w:rPr>
                <w:rFonts w:ascii="Verdana" w:hAnsi="Verdana"/>
                <w:sz w:val="22"/>
                <w:szCs w:val="22"/>
              </w:rPr>
              <w:t>)</w:t>
            </w:r>
            <w:r w:rsidRPr="00DA2F37">
              <w:rPr>
                <w:rFonts w:ascii="Verdana" w:hAnsi="Verdana"/>
                <w:sz w:val="22"/>
                <w:szCs w:val="22"/>
              </w:rPr>
              <w:t>.</w:t>
            </w:r>
          </w:p>
          <w:p w:rsidR="00B636F4" w:rsidRDefault="00B636F4" w:rsidP="00B636F4">
            <w:pPr>
              <w:rPr>
                <w:rFonts w:ascii="Verdana" w:hAnsi="Verdana"/>
                <w:sz w:val="22"/>
                <w:szCs w:val="22"/>
              </w:rPr>
            </w:pPr>
          </w:p>
          <w:p w:rsidR="00B636F4" w:rsidRPr="00B636F4" w:rsidRDefault="00B636F4" w:rsidP="00B636F4">
            <w:pPr>
              <w:rPr>
                <w:rFonts w:ascii="Verdana" w:hAnsi="Verdana"/>
                <w:sz w:val="22"/>
                <w:szCs w:val="22"/>
              </w:rPr>
            </w:pPr>
          </w:p>
          <w:p w:rsidR="00001674" w:rsidRPr="00001674" w:rsidRDefault="00001674" w:rsidP="002B6CDA">
            <w:pPr>
              <w:rPr>
                <w:rFonts w:ascii="Verdana" w:hAnsi="Verdana"/>
                <w:lang w:val="en-US"/>
              </w:rPr>
            </w:pPr>
          </w:p>
        </w:tc>
      </w:tr>
      <w:tr w:rsidR="00001674" w:rsidRPr="00001674" w:rsidTr="002B6CDA">
        <w:tc>
          <w:tcPr>
            <w:tcW w:w="0" w:type="auto"/>
            <w:shd w:val="clear" w:color="auto" w:fill="DBE5F1" w:themeFill="accent1" w:themeFillTint="33"/>
          </w:tcPr>
          <w:p w:rsidR="00001674" w:rsidRPr="00001674" w:rsidRDefault="00001674" w:rsidP="00001674">
            <w:pPr>
              <w:pStyle w:val="Heading4"/>
              <w:numPr>
                <w:ilvl w:val="0"/>
                <w:numId w:val="2"/>
              </w:numPr>
              <w:outlineLvl w:val="3"/>
              <w:rPr>
                <w:rFonts w:ascii="Verdana" w:hAnsi="Verdana"/>
                <w:sz w:val="22"/>
                <w:lang w:val="en-US"/>
              </w:rPr>
            </w:pPr>
            <w:r w:rsidRPr="00001674">
              <w:rPr>
                <w:rFonts w:ascii="Verdana" w:hAnsi="Verdana"/>
                <w:sz w:val="22"/>
                <w:lang w:val="en-US"/>
              </w:rPr>
              <w:t>Access to child and youth friendly quality sexual and reproductive health services;</w:t>
            </w:r>
          </w:p>
          <w:p w:rsidR="00001674" w:rsidRPr="00001674" w:rsidRDefault="00001674" w:rsidP="002B6CDA">
            <w:pPr>
              <w:tabs>
                <w:tab w:val="left" w:pos="680"/>
                <w:tab w:val="left" w:pos="1359"/>
                <w:tab w:val="left" w:pos="1983"/>
                <w:tab w:val="left" w:pos="6349"/>
                <w:tab w:val="left" w:pos="6915"/>
                <w:tab w:val="left" w:pos="8370"/>
              </w:tabs>
              <w:ind w:left="720"/>
              <w:rPr>
                <w:rFonts w:ascii="Verdana" w:hAnsi="Verdana"/>
                <w:sz w:val="22"/>
                <w:lang w:val="en-US"/>
              </w:rPr>
            </w:pPr>
          </w:p>
        </w:tc>
      </w:tr>
      <w:tr w:rsidR="00001674" w:rsidRPr="00001674" w:rsidTr="002B6CDA">
        <w:tc>
          <w:tcPr>
            <w:tcW w:w="0" w:type="auto"/>
          </w:tcPr>
          <w:p w:rsidR="00001674" w:rsidRPr="00001674" w:rsidRDefault="00001674" w:rsidP="002B6CDA">
            <w:pPr>
              <w:pStyle w:val="Heading4"/>
              <w:outlineLvl w:val="3"/>
              <w:rPr>
                <w:rFonts w:ascii="Verdana" w:hAnsi="Verdana"/>
                <w:b/>
                <w:sz w:val="22"/>
                <w:lang w:val="en-US"/>
              </w:rPr>
            </w:pPr>
            <w:r w:rsidRPr="00001674">
              <w:rPr>
                <w:rFonts w:ascii="Verdana" w:hAnsi="Verdana"/>
                <w:b/>
                <w:sz w:val="22"/>
                <w:lang w:val="en-US"/>
              </w:rPr>
              <w:t>Ministry of Education</w:t>
            </w:r>
          </w:p>
          <w:p w:rsidR="00001674" w:rsidRPr="00001674" w:rsidRDefault="00001674" w:rsidP="002B6CDA">
            <w:pPr>
              <w:rPr>
                <w:rFonts w:ascii="Verdana" w:hAnsi="Verdana"/>
                <w:lang w:val="en-US"/>
              </w:rPr>
            </w:pPr>
          </w:p>
          <w:p w:rsidR="00001674" w:rsidRPr="00001674" w:rsidRDefault="00001674" w:rsidP="00001674">
            <w:pPr>
              <w:pStyle w:val="Heading4"/>
              <w:numPr>
                <w:ilvl w:val="0"/>
                <w:numId w:val="3"/>
              </w:numPr>
              <w:outlineLvl w:val="3"/>
              <w:rPr>
                <w:rFonts w:ascii="Verdana" w:hAnsi="Verdana" w:cs="Arial"/>
                <w:sz w:val="22"/>
                <w:szCs w:val="22"/>
              </w:rPr>
            </w:pPr>
            <w:r w:rsidRPr="00001674">
              <w:rPr>
                <w:rFonts w:ascii="Verdana" w:hAnsi="Verdana" w:cs="Arial"/>
                <w:sz w:val="22"/>
                <w:szCs w:val="22"/>
              </w:rPr>
              <w:t xml:space="preserve">Under the Contraception, Sterilisation and Abortion Act (1977), all young people, irrespective of age, have the legal right to access contraceptives and condoms from health professionals. </w:t>
            </w:r>
          </w:p>
          <w:p w:rsidR="00001674" w:rsidRPr="00001674" w:rsidRDefault="00001674" w:rsidP="00001674">
            <w:pPr>
              <w:pStyle w:val="Heading4"/>
              <w:numPr>
                <w:ilvl w:val="0"/>
                <w:numId w:val="3"/>
              </w:numPr>
              <w:outlineLvl w:val="3"/>
              <w:rPr>
                <w:rFonts w:ascii="Verdana" w:hAnsi="Verdana" w:cs="Arial"/>
                <w:sz w:val="22"/>
                <w:szCs w:val="22"/>
              </w:rPr>
            </w:pPr>
            <w:r w:rsidRPr="00001674">
              <w:rPr>
                <w:rFonts w:ascii="Verdana" w:hAnsi="Verdana" w:cs="Arial"/>
                <w:sz w:val="22"/>
                <w:szCs w:val="22"/>
              </w:rPr>
              <w:t>Health professionals have a responsibility to ensure that the provision of contraception for children under 16 is in that child's best interests.</w:t>
            </w:r>
          </w:p>
          <w:p w:rsidR="00001674" w:rsidRDefault="00001674" w:rsidP="00001674">
            <w:pPr>
              <w:pStyle w:val="Heading4"/>
              <w:numPr>
                <w:ilvl w:val="0"/>
                <w:numId w:val="3"/>
              </w:numPr>
              <w:outlineLvl w:val="3"/>
              <w:rPr>
                <w:rFonts w:ascii="Verdana" w:hAnsi="Verdana" w:cs="Arial"/>
                <w:sz w:val="22"/>
                <w:szCs w:val="22"/>
              </w:rPr>
            </w:pPr>
            <w:r w:rsidRPr="00001674">
              <w:rPr>
                <w:rFonts w:ascii="Verdana" w:hAnsi="Verdana" w:cs="Arial"/>
                <w:sz w:val="22"/>
                <w:szCs w:val="22"/>
              </w:rPr>
              <w:t>Many schools in New Zealand provide school based health services nurses. In addition, many external organisations provide resources and services to support sexuality education in schools, including Family Planning New Zealand and Rape Prevention Education.</w:t>
            </w:r>
          </w:p>
          <w:p w:rsidR="001E5265" w:rsidRDefault="001E5265" w:rsidP="001E5265"/>
          <w:p w:rsidR="001E5265" w:rsidRDefault="001E5265" w:rsidP="001E5265">
            <w:pPr>
              <w:rPr>
                <w:rFonts w:ascii="Verdana" w:hAnsi="Verdana"/>
                <w:b/>
                <w:sz w:val="22"/>
                <w:szCs w:val="22"/>
              </w:rPr>
            </w:pPr>
            <w:r>
              <w:rPr>
                <w:rFonts w:ascii="Verdana" w:hAnsi="Verdana"/>
                <w:b/>
                <w:sz w:val="22"/>
                <w:szCs w:val="22"/>
              </w:rPr>
              <w:t>Ministry of Health</w:t>
            </w:r>
          </w:p>
          <w:p w:rsidR="001E5265" w:rsidRDefault="001E5265" w:rsidP="001E5265">
            <w:pPr>
              <w:rPr>
                <w:rFonts w:ascii="Verdana" w:hAnsi="Verdana"/>
                <w:b/>
                <w:sz w:val="22"/>
                <w:szCs w:val="22"/>
              </w:rPr>
            </w:pPr>
          </w:p>
          <w:p w:rsidR="00C16584" w:rsidRPr="00C16584" w:rsidRDefault="00C16584" w:rsidP="00C16584">
            <w:pPr>
              <w:pStyle w:val="ListParagraph"/>
              <w:numPr>
                <w:ilvl w:val="0"/>
                <w:numId w:val="5"/>
              </w:numPr>
              <w:jc w:val="both"/>
              <w:rPr>
                <w:rFonts w:ascii="Verdana" w:hAnsi="Verdana" w:cs="Arial"/>
                <w:iCs/>
                <w:sz w:val="22"/>
                <w:szCs w:val="22"/>
              </w:rPr>
            </w:pPr>
            <w:r w:rsidRPr="00C16584">
              <w:rPr>
                <w:rFonts w:ascii="Verdana" w:hAnsi="Verdana" w:cs="Arial"/>
                <w:iCs/>
                <w:sz w:val="22"/>
                <w:szCs w:val="22"/>
              </w:rPr>
              <w:t>The Government’s policy is for children and youth</w:t>
            </w:r>
            <w:r w:rsidR="00B636F4">
              <w:rPr>
                <w:rFonts w:ascii="Verdana" w:hAnsi="Verdana" w:cs="Arial"/>
                <w:iCs/>
                <w:sz w:val="22"/>
                <w:szCs w:val="22"/>
              </w:rPr>
              <w:t xml:space="preserve"> with disabilities</w:t>
            </w:r>
            <w:r w:rsidRPr="00C16584">
              <w:rPr>
                <w:rFonts w:ascii="Verdana" w:hAnsi="Verdana" w:cs="Arial"/>
                <w:iCs/>
                <w:sz w:val="22"/>
                <w:szCs w:val="22"/>
              </w:rPr>
              <w:t xml:space="preserve"> to be able to access the range of mainstream universal and targeted government, medical and social welfare services available to all children in New Zealand based on need and, for some targeted services.  In situations where children require additional support because of their disability, specialist services are available (sourced from Health advice for </w:t>
            </w:r>
            <w:r w:rsidR="00977C23">
              <w:rPr>
                <w:rFonts w:ascii="Verdana" w:hAnsi="Verdana" w:cs="Arial"/>
                <w:iCs/>
                <w:sz w:val="22"/>
                <w:szCs w:val="22"/>
              </w:rPr>
              <w:t>United Convention on the Rights of the Child</w:t>
            </w:r>
            <w:r w:rsidRPr="00C16584">
              <w:rPr>
                <w:rFonts w:ascii="Verdana" w:hAnsi="Verdana" w:cs="Arial"/>
                <w:iCs/>
                <w:sz w:val="22"/>
                <w:szCs w:val="22"/>
              </w:rPr>
              <w:t>).</w:t>
            </w:r>
          </w:p>
          <w:p w:rsidR="00C16584" w:rsidRPr="00C16584" w:rsidRDefault="00C16584" w:rsidP="00C16584">
            <w:pPr>
              <w:pStyle w:val="ListParagraph"/>
              <w:numPr>
                <w:ilvl w:val="0"/>
                <w:numId w:val="5"/>
              </w:numPr>
              <w:jc w:val="both"/>
              <w:rPr>
                <w:rFonts w:ascii="Verdana" w:hAnsi="Verdana" w:cs="Arial"/>
                <w:iCs/>
                <w:sz w:val="22"/>
                <w:szCs w:val="22"/>
              </w:rPr>
            </w:pPr>
            <w:r w:rsidRPr="00C16584">
              <w:rPr>
                <w:rFonts w:ascii="Verdana" w:hAnsi="Verdana"/>
                <w:sz w:val="22"/>
                <w:szCs w:val="22"/>
                <w:lang w:val="en-US"/>
              </w:rPr>
              <w:t xml:space="preserve">Guidance is available for the child and youth community on ethical and legal requirements of consent to ensure positive and safe </w:t>
            </w:r>
            <w:r w:rsidRPr="00C16584">
              <w:rPr>
                <w:rFonts w:ascii="Verdana" w:hAnsi="Verdana"/>
                <w:sz w:val="22"/>
                <w:szCs w:val="22"/>
              </w:rPr>
              <w:t xml:space="preserve">practice (see </w:t>
            </w:r>
            <w:hyperlink r:id="rId22" w:history="1">
              <w:r w:rsidRPr="00C16584">
                <w:rPr>
                  <w:rStyle w:val="Hyperlink"/>
                  <w:rFonts w:ascii="Verdana" w:hAnsi="Verdana"/>
                  <w:sz w:val="22"/>
                  <w:szCs w:val="22"/>
                </w:rPr>
                <w:t>http://www.health.govt.nz/publication/consent-child-and-youth-health-information-practitioners</w:t>
              </w:r>
            </w:hyperlink>
            <w:r w:rsidRPr="00C16584">
              <w:rPr>
                <w:rFonts w:ascii="Verdana" w:hAnsi="Verdana"/>
                <w:sz w:val="22"/>
                <w:szCs w:val="22"/>
              </w:rPr>
              <w:t>).</w:t>
            </w:r>
          </w:p>
          <w:p w:rsidR="00C16584" w:rsidRPr="00C16584" w:rsidRDefault="00C16584" w:rsidP="00C16584">
            <w:pPr>
              <w:pStyle w:val="ListParagraph"/>
              <w:numPr>
                <w:ilvl w:val="0"/>
                <w:numId w:val="5"/>
              </w:numPr>
              <w:jc w:val="both"/>
              <w:rPr>
                <w:rFonts w:ascii="Verdana" w:hAnsi="Verdana" w:cs="Arial"/>
                <w:iCs/>
                <w:sz w:val="22"/>
                <w:szCs w:val="22"/>
              </w:rPr>
            </w:pPr>
            <w:r w:rsidRPr="00C16584">
              <w:rPr>
                <w:rFonts w:ascii="Verdana" w:hAnsi="Verdana"/>
                <w:sz w:val="22"/>
                <w:szCs w:val="22"/>
              </w:rPr>
              <w:t>Access to sexual and reproductive services is promoted through:</w:t>
            </w:r>
          </w:p>
          <w:p w:rsidR="00C16584" w:rsidRPr="00C16584" w:rsidRDefault="00C16584" w:rsidP="00C16584">
            <w:pPr>
              <w:pStyle w:val="ListParagraph"/>
              <w:numPr>
                <w:ilvl w:val="1"/>
                <w:numId w:val="5"/>
              </w:numPr>
              <w:rPr>
                <w:rFonts w:ascii="Verdana" w:hAnsi="Verdana"/>
                <w:sz w:val="22"/>
                <w:szCs w:val="22"/>
              </w:rPr>
            </w:pPr>
            <w:r w:rsidRPr="00C16584">
              <w:rPr>
                <w:rFonts w:ascii="Verdana" w:hAnsi="Verdana"/>
                <w:sz w:val="22"/>
                <w:szCs w:val="22"/>
              </w:rPr>
              <w:t>School Based Health Service</w:t>
            </w:r>
          </w:p>
          <w:p w:rsidR="00C16584" w:rsidRPr="00C16584" w:rsidRDefault="00C16584" w:rsidP="00C16584">
            <w:pPr>
              <w:pStyle w:val="ListParagraph"/>
              <w:numPr>
                <w:ilvl w:val="1"/>
                <w:numId w:val="5"/>
              </w:numPr>
              <w:rPr>
                <w:rFonts w:ascii="Verdana" w:hAnsi="Verdana"/>
                <w:sz w:val="22"/>
                <w:szCs w:val="22"/>
              </w:rPr>
            </w:pPr>
            <w:r w:rsidRPr="00C16584">
              <w:rPr>
                <w:rFonts w:ascii="Verdana" w:hAnsi="Verdana"/>
                <w:sz w:val="22"/>
                <w:szCs w:val="22"/>
              </w:rPr>
              <w:t>HEEADSSS Wellness Checks in schools and primary care settings. HEEADSSS stands for Home, Education/Employment, Eating, Activities, Drugs, Sexuality, Suicide and Depression, Safety.</w:t>
            </w:r>
          </w:p>
          <w:p w:rsidR="00C16584" w:rsidRPr="00C16584" w:rsidRDefault="00C16584" w:rsidP="00C16584">
            <w:pPr>
              <w:pStyle w:val="ListParagraph"/>
              <w:numPr>
                <w:ilvl w:val="1"/>
                <w:numId w:val="5"/>
              </w:numPr>
              <w:rPr>
                <w:rFonts w:ascii="Verdana" w:hAnsi="Verdana"/>
                <w:sz w:val="22"/>
                <w:szCs w:val="22"/>
              </w:rPr>
            </w:pPr>
            <w:r w:rsidRPr="00C16584">
              <w:rPr>
                <w:rFonts w:ascii="Verdana" w:hAnsi="Verdana"/>
                <w:sz w:val="22"/>
                <w:szCs w:val="22"/>
              </w:rPr>
              <w:t>Primary Mental Health services to all youth aged 12-18 years and their families</w:t>
            </w:r>
          </w:p>
          <w:p w:rsidR="00C16584" w:rsidRPr="00C16584" w:rsidRDefault="00C16584" w:rsidP="00C16584">
            <w:pPr>
              <w:pStyle w:val="ListParagraph"/>
              <w:numPr>
                <w:ilvl w:val="1"/>
                <w:numId w:val="5"/>
              </w:numPr>
              <w:rPr>
                <w:rFonts w:ascii="Verdana" w:hAnsi="Verdana"/>
                <w:sz w:val="22"/>
                <w:szCs w:val="22"/>
              </w:rPr>
            </w:pPr>
            <w:r w:rsidRPr="00C16584">
              <w:rPr>
                <w:rFonts w:ascii="Verdana" w:hAnsi="Verdana"/>
                <w:sz w:val="22"/>
                <w:szCs w:val="22"/>
              </w:rPr>
              <w:t>Youth One Stop Shops (YOSS) drop in services.</w:t>
            </w:r>
          </w:p>
          <w:p w:rsidR="00C16584" w:rsidRPr="00C16584" w:rsidRDefault="00C16584" w:rsidP="00C16584">
            <w:pPr>
              <w:pStyle w:val="ListParagraph"/>
              <w:numPr>
                <w:ilvl w:val="0"/>
                <w:numId w:val="5"/>
              </w:numPr>
              <w:rPr>
                <w:rFonts w:ascii="Verdana" w:hAnsi="Verdana"/>
                <w:sz w:val="22"/>
                <w:szCs w:val="22"/>
              </w:rPr>
            </w:pPr>
            <w:r w:rsidRPr="00C16584">
              <w:rPr>
                <w:rFonts w:ascii="Verdana" w:hAnsi="Verdana"/>
                <w:sz w:val="22"/>
                <w:szCs w:val="22"/>
              </w:rPr>
              <w:t>Investment in sexual health and reproductive health services and promotion of healthy lifestyles is increasing through Life Skills (Family and Community Services (FACS) (source from MOH advice re UNCROC 104 adapted from response to Article 27 (adapted from UNCRPD briefing information, linking to Article 7).</w:t>
            </w:r>
          </w:p>
          <w:p w:rsidR="001E5265" w:rsidRPr="001E5265" w:rsidRDefault="001E5265" w:rsidP="001E5265">
            <w:pPr>
              <w:rPr>
                <w:rFonts w:ascii="Verdana" w:hAnsi="Verdana"/>
                <w:b/>
                <w:sz w:val="22"/>
                <w:szCs w:val="22"/>
              </w:rPr>
            </w:pPr>
          </w:p>
        </w:tc>
      </w:tr>
      <w:tr w:rsidR="00001674" w:rsidRPr="00001674" w:rsidTr="002B6CDA">
        <w:tc>
          <w:tcPr>
            <w:tcW w:w="0" w:type="auto"/>
            <w:shd w:val="clear" w:color="auto" w:fill="DBE5F1" w:themeFill="accent1" w:themeFillTint="33"/>
          </w:tcPr>
          <w:p w:rsidR="00001674" w:rsidRPr="00001674" w:rsidRDefault="00001674" w:rsidP="00001674">
            <w:pPr>
              <w:pStyle w:val="Heading4"/>
              <w:numPr>
                <w:ilvl w:val="0"/>
                <w:numId w:val="2"/>
              </w:numPr>
              <w:outlineLvl w:val="3"/>
              <w:rPr>
                <w:rFonts w:ascii="Verdana" w:hAnsi="Verdana"/>
                <w:sz w:val="22"/>
                <w:lang w:val="en-US"/>
              </w:rPr>
            </w:pPr>
            <w:r w:rsidRPr="00001674">
              <w:rPr>
                <w:rFonts w:ascii="Verdana" w:hAnsi="Verdana"/>
                <w:sz w:val="22"/>
                <w:lang w:val="en-US"/>
              </w:rPr>
              <w:t>Prevention, care and treatment of sexually transmitted infections;</w:t>
            </w:r>
          </w:p>
          <w:p w:rsidR="00001674" w:rsidRPr="00001674" w:rsidRDefault="00001674" w:rsidP="002B6CDA">
            <w:pPr>
              <w:tabs>
                <w:tab w:val="left" w:pos="680"/>
                <w:tab w:val="left" w:pos="1359"/>
                <w:tab w:val="left" w:pos="1983"/>
                <w:tab w:val="left" w:pos="6349"/>
                <w:tab w:val="left" w:pos="6915"/>
                <w:tab w:val="left" w:pos="8370"/>
              </w:tabs>
              <w:ind w:left="720"/>
              <w:rPr>
                <w:rFonts w:ascii="Verdana" w:hAnsi="Verdana"/>
                <w:sz w:val="22"/>
                <w:lang w:val="en-US"/>
              </w:rPr>
            </w:pPr>
          </w:p>
        </w:tc>
      </w:tr>
      <w:tr w:rsidR="00001674" w:rsidRPr="00001674" w:rsidTr="002B6CDA">
        <w:tc>
          <w:tcPr>
            <w:tcW w:w="0" w:type="auto"/>
          </w:tcPr>
          <w:p w:rsidR="003E637D" w:rsidRPr="009752C5" w:rsidRDefault="003E637D" w:rsidP="003E637D">
            <w:pPr>
              <w:pStyle w:val="Heading4"/>
              <w:outlineLvl w:val="3"/>
              <w:rPr>
                <w:rFonts w:ascii="Verdana" w:hAnsi="Verdana"/>
                <w:sz w:val="22"/>
                <w:lang w:val="en-US"/>
              </w:rPr>
            </w:pPr>
            <w:r>
              <w:rPr>
                <w:rFonts w:ascii="Verdana" w:hAnsi="Verdana"/>
                <w:b/>
                <w:sz w:val="22"/>
                <w:lang w:val="en-US"/>
              </w:rPr>
              <w:t>Ministry of Health</w:t>
            </w:r>
            <w:r w:rsidR="009752C5">
              <w:rPr>
                <w:rFonts w:ascii="Verdana" w:hAnsi="Verdana"/>
                <w:b/>
                <w:sz w:val="22"/>
                <w:lang w:val="en-US"/>
              </w:rPr>
              <w:t xml:space="preserve"> </w:t>
            </w:r>
            <w:r w:rsidR="009752C5">
              <w:rPr>
                <w:rFonts w:ascii="Verdana" w:hAnsi="Verdana"/>
                <w:sz w:val="22"/>
                <w:lang w:val="en-US"/>
              </w:rPr>
              <w:t>(see also response to Question 1B above)</w:t>
            </w:r>
          </w:p>
          <w:p w:rsidR="00EC3B4E" w:rsidRPr="00EC3B4E" w:rsidRDefault="00EC3B4E" w:rsidP="00EC3B4E">
            <w:pPr>
              <w:rPr>
                <w:lang w:val="en-US"/>
              </w:rPr>
            </w:pPr>
          </w:p>
          <w:p w:rsidR="00EC3B4E" w:rsidRPr="00EC3B4E" w:rsidRDefault="00EC3B4E" w:rsidP="00EC3B4E">
            <w:pPr>
              <w:pStyle w:val="ListParagraph"/>
              <w:numPr>
                <w:ilvl w:val="0"/>
                <w:numId w:val="3"/>
              </w:numPr>
              <w:rPr>
                <w:rFonts w:ascii="Verdana" w:hAnsi="Verdana"/>
                <w:sz w:val="22"/>
                <w:szCs w:val="22"/>
                <w:lang w:val="en-US"/>
              </w:rPr>
            </w:pPr>
            <w:r w:rsidRPr="00EC3B4E">
              <w:rPr>
                <w:rFonts w:ascii="Verdana" w:hAnsi="Verdana"/>
                <w:sz w:val="22"/>
                <w:szCs w:val="22"/>
                <w:lang w:val="en-US"/>
              </w:rPr>
              <w:t>Access to sexually transmissible infection services is mainly through:</w:t>
            </w:r>
          </w:p>
          <w:p w:rsidR="00EC3B4E" w:rsidRPr="00EC3B4E" w:rsidRDefault="00A33674" w:rsidP="00EC3B4E">
            <w:pPr>
              <w:pStyle w:val="ListParagraph"/>
              <w:numPr>
                <w:ilvl w:val="1"/>
                <w:numId w:val="3"/>
              </w:numPr>
              <w:rPr>
                <w:rFonts w:ascii="Verdana" w:hAnsi="Verdana"/>
                <w:sz w:val="22"/>
                <w:szCs w:val="22"/>
                <w:lang w:val="en-US"/>
              </w:rPr>
            </w:pPr>
            <w:r>
              <w:rPr>
                <w:rFonts w:ascii="Verdana" w:hAnsi="Verdana"/>
                <w:sz w:val="22"/>
                <w:szCs w:val="22"/>
                <w:lang w:val="en-US"/>
              </w:rPr>
              <w:t>L</w:t>
            </w:r>
            <w:r w:rsidR="00EC3B4E" w:rsidRPr="00EC3B4E">
              <w:rPr>
                <w:rFonts w:ascii="Verdana" w:hAnsi="Verdana"/>
                <w:sz w:val="22"/>
                <w:szCs w:val="22"/>
                <w:lang w:val="en-US"/>
              </w:rPr>
              <w:t xml:space="preserve">ocal sexual health clinics (see </w:t>
            </w:r>
            <w:hyperlink r:id="rId23" w:history="1">
              <w:r w:rsidR="00EC3B4E" w:rsidRPr="00EC3B4E">
                <w:rPr>
                  <w:rStyle w:val="Hyperlink"/>
                  <w:rFonts w:ascii="Verdana" w:hAnsi="Verdana"/>
                  <w:sz w:val="22"/>
                  <w:szCs w:val="22"/>
                  <w:lang w:val="en-US"/>
                </w:rPr>
                <w:t>http://www.justthefacts.co.nz/get-help/find-local-sexual-health-sti-clinic-new-zealand/</w:t>
              </w:r>
            </w:hyperlink>
            <w:r w:rsidR="00EC3B4E" w:rsidRPr="00EC3B4E">
              <w:rPr>
                <w:rFonts w:ascii="Verdana" w:hAnsi="Verdana"/>
                <w:sz w:val="22"/>
                <w:szCs w:val="22"/>
                <w:lang w:val="en-US"/>
              </w:rPr>
              <w:t>)</w:t>
            </w:r>
          </w:p>
          <w:p w:rsidR="00EC3B4E" w:rsidRPr="00EC3B4E" w:rsidRDefault="00A33674" w:rsidP="00EC3B4E">
            <w:pPr>
              <w:pStyle w:val="ListParagraph"/>
              <w:numPr>
                <w:ilvl w:val="1"/>
                <w:numId w:val="3"/>
              </w:numPr>
              <w:rPr>
                <w:rFonts w:ascii="Verdana" w:hAnsi="Verdana"/>
                <w:sz w:val="22"/>
                <w:szCs w:val="22"/>
                <w:lang w:val="en-US"/>
              </w:rPr>
            </w:pPr>
            <w:r>
              <w:rPr>
                <w:rFonts w:ascii="Verdana" w:hAnsi="Verdana"/>
                <w:sz w:val="22"/>
                <w:szCs w:val="22"/>
                <w:lang w:val="en-US"/>
              </w:rPr>
              <w:t>F</w:t>
            </w:r>
            <w:r w:rsidR="00EC3B4E" w:rsidRPr="00EC3B4E">
              <w:rPr>
                <w:rFonts w:ascii="Verdana" w:hAnsi="Verdana"/>
                <w:sz w:val="22"/>
                <w:szCs w:val="22"/>
                <w:lang w:val="en-US"/>
              </w:rPr>
              <w:t>amily planning clinics (see http://www.familyplanning.org.nz/advice/sexually-transmissible-infections)</w:t>
            </w:r>
          </w:p>
          <w:p w:rsidR="00EC3B4E" w:rsidRPr="00EC3B4E" w:rsidRDefault="00EC3B4E" w:rsidP="00EC3B4E">
            <w:pPr>
              <w:pStyle w:val="ListParagraph"/>
              <w:numPr>
                <w:ilvl w:val="1"/>
                <w:numId w:val="3"/>
              </w:numPr>
              <w:rPr>
                <w:rFonts w:ascii="Verdana" w:hAnsi="Verdana"/>
                <w:sz w:val="22"/>
                <w:szCs w:val="22"/>
                <w:lang w:val="en-US"/>
              </w:rPr>
            </w:pPr>
            <w:r w:rsidRPr="00EC3B4E">
              <w:rPr>
                <w:rFonts w:ascii="Verdana" w:hAnsi="Verdana"/>
                <w:sz w:val="22"/>
                <w:szCs w:val="22"/>
                <w:lang w:val="en-US"/>
              </w:rPr>
              <w:t xml:space="preserve">HIV/AIDs clinics (see </w:t>
            </w:r>
            <w:hyperlink r:id="rId24" w:history="1">
              <w:r w:rsidRPr="00EC3B4E">
                <w:rPr>
                  <w:rStyle w:val="Hyperlink"/>
                  <w:rFonts w:ascii="Verdana" w:hAnsi="Verdana"/>
                  <w:sz w:val="22"/>
                  <w:szCs w:val="22"/>
                  <w:lang w:val="en-US"/>
                </w:rPr>
                <w:t>https://www.nzaf.org.nz/services-programmes/hiv-sti-testing/</w:t>
              </w:r>
            </w:hyperlink>
            <w:r w:rsidRPr="00EC3B4E">
              <w:rPr>
                <w:rFonts w:ascii="Verdana" w:hAnsi="Verdana"/>
                <w:sz w:val="22"/>
                <w:szCs w:val="22"/>
                <w:lang w:val="en-US"/>
              </w:rPr>
              <w:t>)</w:t>
            </w:r>
          </w:p>
          <w:p w:rsidR="00EC3B4E" w:rsidRPr="00EC3B4E" w:rsidRDefault="00EC3B4E" w:rsidP="00EC3B4E">
            <w:pPr>
              <w:pStyle w:val="ListParagraph"/>
              <w:numPr>
                <w:ilvl w:val="1"/>
                <w:numId w:val="3"/>
              </w:numPr>
              <w:rPr>
                <w:rFonts w:ascii="Verdana" w:hAnsi="Verdana"/>
                <w:sz w:val="22"/>
                <w:szCs w:val="22"/>
                <w:lang w:val="en-US"/>
              </w:rPr>
            </w:pPr>
            <w:r w:rsidRPr="00EC3B4E">
              <w:rPr>
                <w:rFonts w:ascii="Verdana" w:hAnsi="Verdana"/>
                <w:sz w:val="22"/>
                <w:szCs w:val="22"/>
                <w:lang w:val="en-US"/>
              </w:rPr>
              <w:t>Specialist hospital level clinics</w:t>
            </w:r>
            <w:r w:rsidR="00A33674">
              <w:rPr>
                <w:rFonts w:ascii="Verdana" w:hAnsi="Verdana"/>
                <w:sz w:val="22"/>
                <w:szCs w:val="22"/>
                <w:lang w:val="en-US"/>
              </w:rPr>
              <w:t>.</w:t>
            </w:r>
          </w:p>
          <w:p w:rsidR="003374E5" w:rsidRPr="003374E5" w:rsidRDefault="00EC3B4E" w:rsidP="00EC3B4E">
            <w:pPr>
              <w:pStyle w:val="ListParagraph"/>
              <w:numPr>
                <w:ilvl w:val="0"/>
                <w:numId w:val="3"/>
              </w:numPr>
              <w:rPr>
                <w:rFonts w:ascii="Verdana" w:hAnsi="Verdana"/>
                <w:sz w:val="22"/>
                <w:lang w:val="en-US"/>
              </w:rPr>
            </w:pPr>
            <w:r w:rsidRPr="00A33674">
              <w:rPr>
                <w:rFonts w:ascii="Verdana" w:hAnsi="Verdana"/>
                <w:sz w:val="22"/>
                <w:szCs w:val="22"/>
                <w:lang w:val="en-US"/>
              </w:rPr>
              <w:t xml:space="preserve">Ministry of Health website has extensive information on sexually transmitted infections (see </w:t>
            </w:r>
            <w:hyperlink r:id="rId25" w:history="1">
              <w:r w:rsidR="003374E5" w:rsidRPr="00F50781">
                <w:rPr>
                  <w:rStyle w:val="Hyperlink"/>
                  <w:rFonts w:ascii="Verdana" w:hAnsi="Verdana"/>
                  <w:sz w:val="22"/>
                  <w:szCs w:val="22"/>
                  <w:lang w:val="en-US"/>
                </w:rPr>
                <w:t>http://www.health.govt.nz/search/results/sexual%20health</w:t>
              </w:r>
            </w:hyperlink>
            <w:r w:rsidR="003374E5">
              <w:rPr>
                <w:rFonts w:ascii="Verdana" w:hAnsi="Verdana"/>
                <w:sz w:val="22"/>
                <w:szCs w:val="22"/>
                <w:lang w:val="en-US"/>
              </w:rPr>
              <w:t>).</w:t>
            </w:r>
          </w:p>
          <w:p w:rsidR="00001674" w:rsidRPr="00001674" w:rsidRDefault="00001674" w:rsidP="002B6CDA">
            <w:pPr>
              <w:rPr>
                <w:rFonts w:ascii="Verdana" w:hAnsi="Verdana"/>
                <w:lang w:val="en-US"/>
              </w:rPr>
            </w:pPr>
          </w:p>
        </w:tc>
      </w:tr>
      <w:tr w:rsidR="00001674" w:rsidRPr="00001674" w:rsidTr="002B6CDA">
        <w:tc>
          <w:tcPr>
            <w:tcW w:w="0" w:type="auto"/>
            <w:shd w:val="clear" w:color="auto" w:fill="DBE5F1" w:themeFill="accent1" w:themeFillTint="33"/>
          </w:tcPr>
          <w:p w:rsidR="00001674" w:rsidRPr="00001674" w:rsidRDefault="00001674" w:rsidP="00001674">
            <w:pPr>
              <w:pStyle w:val="Heading4"/>
              <w:numPr>
                <w:ilvl w:val="0"/>
                <w:numId w:val="2"/>
              </w:numPr>
              <w:outlineLvl w:val="3"/>
              <w:rPr>
                <w:rFonts w:ascii="Verdana" w:hAnsi="Verdana"/>
                <w:sz w:val="22"/>
                <w:lang w:val="en-US"/>
              </w:rPr>
            </w:pPr>
            <w:r w:rsidRPr="00001674">
              <w:rPr>
                <w:rFonts w:ascii="Verdana" w:hAnsi="Verdana"/>
                <w:sz w:val="22"/>
                <w:lang w:val="en-US"/>
              </w:rPr>
              <w:t xml:space="preserve">Violence against girls with disabilities impacting their enjoyment of sexual and reproductive health rights; </w:t>
            </w:r>
          </w:p>
          <w:p w:rsidR="00001674" w:rsidRPr="00001674" w:rsidRDefault="00001674" w:rsidP="002B6CDA">
            <w:pPr>
              <w:tabs>
                <w:tab w:val="left" w:pos="680"/>
                <w:tab w:val="left" w:pos="1359"/>
                <w:tab w:val="left" w:pos="1983"/>
                <w:tab w:val="left" w:pos="6349"/>
                <w:tab w:val="left" w:pos="6915"/>
                <w:tab w:val="left" w:pos="8370"/>
              </w:tabs>
              <w:ind w:left="720"/>
              <w:rPr>
                <w:rFonts w:ascii="Verdana" w:hAnsi="Verdana"/>
                <w:sz w:val="22"/>
                <w:lang w:val="en-US"/>
              </w:rPr>
            </w:pPr>
          </w:p>
        </w:tc>
      </w:tr>
      <w:tr w:rsidR="00001674" w:rsidRPr="00001674" w:rsidTr="002B6CDA">
        <w:tc>
          <w:tcPr>
            <w:tcW w:w="0" w:type="auto"/>
          </w:tcPr>
          <w:p w:rsidR="00CB68AF" w:rsidRDefault="00CB68AF" w:rsidP="00CB68AF">
            <w:pPr>
              <w:pStyle w:val="Heading4"/>
              <w:outlineLvl w:val="3"/>
              <w:rPr>
                <w:rFonts w:ascii="Verdana" w:hAnsi="Verdana"/>
                <w:b/>
                <w:sz w:val="22"/>
                <w:lang w:val="en-US"/>
              </w:rPr>
            </w:pPr>
            <w:r>
              <w:rPr>
                <w:rFonts w:ascii="Verdana" w:hAnsi="Verdana"/>
                <w:b/>
                <w:sz w:val="22"/>
                <w:lang w:val="en-US"/>
              </w:rPr>
              <w:t>Ministry of Health</w:t>
            </w:r>
          </w:p>
          <w:p w:rsidR="00825114" w:rsidRPr="00825114" w:rsidRDefault="00825114" w:rsidP="00825114">
            <w:pPr>
              <w:rPr>
                <w:lang w:val="en-US"/>
              </w:rPr>
            </w:pPr>
          </w:p>
          <w:p w:rsidR="00CB68AF" w:rsidRPr="00825114" w:rsidRDefault="00CB68AF" w:rsidP="00CB68AF">
            <w:pPr>
              <w:pStyle w:val="Heading4"/>
              <w:numPr>
                <w:ilvl w:val="0"/>
                <w:numId w:val="7"/>
              </w:numPr>
              <w:shd w:val="clear" w:color="auto" w:fill="FFFFFF" w:themeFill="background1"/>
              <w:outlineLvl w:val="3"/>
              <w:rPr>
                <w:rFonts w:ascii="Verdana" w:hAnsi="Verdana"/>
                <w:sz w:val="22"/>
                <w:szCs w:val="22"/>
                <w:lang w:val="en-US"/>
              </w:rPr>
            </w:pPr>
            <w:r w:rsidRPr="00825114">
              <w:rPr>
                <w:rFonts w:ascii="Verdana" w:hAnsi="Verdana" w:cstheme="minorHAnsi"/>
                <w:sz w:val="22"/>
                <w:szCs w:val="22"/>
                <w:lang w:eastAsia="en-NZ"/>
              </w:rPr>
              <w:t>The health sector supports a range of initiatives that contribute to reducing violence against children, including th</w:t>
            </w:r>
            <w:r w:rsidR="00825114">
              <w:rPr>
                <w:rFonts w:ascii="Verdana" w:hAnsi="Verdana" w:cstheme="minorHAnsi"/>
                <w:sz w:val="22"/>
                <w:szCs w:val="22"/>
                <w:lang w:eastAsia="en-NZ"/>
              </w:rPr>
              <w:t>ose with disabilities,</w:t>
            </w:r>
            <w:r w:rsidRPr="00825114">
              <w:rPr>
                <w:rFonts w:ascii="Verdana" w:hAnsi="Verdana" w:cstheme="minorHAnsi"/>
                <w:sz w:val="22"/>
                <w:szCs w:val="22"/>
                <w:lang w:eastAsia="en-NZ"/>
              </w:rPr>
              <w:t xml:space="preserve"> through:</w:t>
            </w:r>
          </w:p>
          <w:p w:rsidR="00CB68AF" w:rsidRPr="00825114" w:rsidRDefault="00CB68AF" w:rsidP="00CB68AF">
            <w:pPr>
              <w:pStyle w:val="Heading4"/>
              <w:numPr>
                <w:ilvl w:val="1"/>
                <w:numId w:val="7"/>
              </w:numPr>
              <w:shd w:val="clear" w:color="auto" w:fill="FFFFFF" w:themeFill="background1"/>
              <w:outlineLvl w:val="3"/>
              <w:rPr>
                <w:rFonts w:ascii="Verdana" w:hAnsi="Verdana"/>
                <w:sz w:val="22"/>
                <w:szCs w:val="22"/>
                <w:lang w:val="en-US"/>
              </w:rPr>
            </w:pPr>
            <w:r w:rsidRPr="00825114">
              <w:rPr>
                <w:rFonts w:ascii="Verdana" w:hAnsi="Verdana" w:cstheme="minorHAnsi"/>
                <w:sz w:val="22"/>
                <w:szCs w:val="22"/>
                <w:lang w:eastAsia="en-NZ"/>
              </w:rPr>
              <w:t>Primary maternity an</w:t>
            </w:r>
            <w:r w:rsidR="007C04C2">
              <w:rPr>
                <w:rFonts w:ascii="Verdana" w:hAnsi="Verdana" w:cstheme="minorHAnsi"/>
                <w:sz w:val="22"/>
                <w:szCs w:val="22"/>
                <w:lang w:eastAsia="en-NZ"/>
              </w:rPr>
              <w:t>d Well Child/</w:t>
            </w:r>
            <w:proofErr w:type="spellStart"/>
            <w:r w:rsidR="007C04C2">
              <w:rPr>
                <w:rFonts w:ascii="Verdana" w:hAnsi="Verdana" w:cstheme="minorHAnsi"/>
                <w:sz w:val="22"/>
                <w:szCs w:val="22"/>
                <w:lang w:eastAsia="en-NZ"/>
              </w:rPr>
              <w:t>Tamariki</w:t>
            </w:r>
            <w:proofErr w:type="spellEnd"/>
            <w:r w:rsidR="007C04C2">
              <w:rPr>
                <w:rFonts w:ascii="Verdana" w:hAnsi="Verdana" w:cstheme="minorHAnsi"/>
                <w:sz w:val="22"/>
                <w:szCs w:val="22"/>
                <w:lang w:eastAsia="en-NZ"/>
              </w:rPr>
              <w:t xml:space="preserve"> Ora </w:t>
            </w:r>
            <w:r w:rsidRPr="00825114">
              <w:rPr>
                <w:rFonts w:ascii="Verdana" w:hAnsi="Verdana" w:cstheme="minorHAnsi"/>
                <w:sz w:val="22"/>
                <w:szCs w:val="22"/>
                <w:lang w:eastAsia="en-NZ"/>
              </w:rPr>
              <w:t>services: contribute to reducing assaults on children through early assessment and intervention. These services have high and wide reach, as access rates are over 90% of their eligible populations (see</w:t>
            </w:r>
            <w:r w:rsidRPr="00825114">
              <w:rPr>
                <w:rFonts w:ascii="Verdana" w:hAnsi="Verdana"/>
                <w:sz w:val="22"/>
                <w:szCs w:val="22"/>
              </w:rPr>
              <w:t xml:space="preserve"> </w:t>
            </w:r>
            <w:hyperlink r:id="rId26" w:history="1">
              <w:r w:rsidRPr="00825114">
                <w:rPr>
                  <w:rStyle w:val="Hyperlink"/>
                  <w:rFonts w:ascii="Verdana" w:hAnsi="Verdana" w:cstheme="minorHAnsi"/>
                  <w:sz w:val="22"/>
                  <w:szCs w:val="22"/>
                  <w:lang w:eastAsia="en-NZ"/>
                </w:rPr>
                <w:t>http://www.health.govt.nz/publication/well-child-tamariki-ora-quality-improvement-framework</w:t>
              </w:r>
            </w:hyperlink>
            <w:r w:rsidRPr="00825114">
              <w:rPr>
                <w:rFonts w:ascii="Verdana" w:hAnsi="Verdana" w:cstheme="minorHAnsi"/>
                <w:sz w:val="22"/>
                <w:szCs w:val="22"/>
                <w:lang w:eastAsia="en-NZ"/>
              </w:rPr>
              <w:t>)</w:t>
            </w:r>
            <w:r w:rsidR="00825114">
              <w:rPr>
                <w:rFonts w:ascii="Verdana" w:hAnsi="Verdana" w:cstheme="minorHAnsi"/>
                <w:sz w:val="22"/>
                <w:szCs w:val="22"/>
                <w:lang w:eastAsia="en-NZ"/>
              </w:rPr>
              <w:t>.</w:t>
            </w:r>
          </w:p>
          <w:p w:rsidR="00CB68AF" w:rsidRPr="00825114" w:rsidRDefault="00CB68AF" w:rsidP="00CB68AF">
            <w:pPr>
              <w:pStyle w:val="Heading4"/>
              <w:numPr>
                <w:ilvl w:val="1"/>
                <w:numId w:val="7"/>
              </w:numPr>
              <w:shd w:val="clear" w:color="auto" w:fill="FFFFFF" w:themeFill="background1"/>
              <w:outlineLvl w:val="3"/>
              <w:rPr>
                <w:rFonts w:ascii="Verdana" w:hAnsi="Verdana"/>
                <w:sz w:val="22"/>
                <w:szCs w:val="22"/>
                <w:lang w:val="en-US"/>
              </w:rPr>
            </w:pPr>
            <w:r w:rsidRPr="00825114">
              <w:rPr>
                <w:rFonts w:ascii="Verdana" w:hAnsi="Verdana" w:cstheme="minorHAnsi"/>
                <w:sz w:val="22"/>
                <w:szCs w:val="22"/>
                <w:lang w:eastAsia="en-NZ"/>
              </w:rPr>
              <w:t>D</w:t>
            </w:r>
            <w:r w:rsidR="00825114">
              <w:rPr>
                <w:rFonts w:ascii="Verdana" w:hAnsi="Verdana" w:cstheme="minorHAnsi"/>
                <w:sz w:val="22"/>
                <w:szCs w:val="22"/>
                <w:lang w:eastAsia="en-NZ"/>
              </w:rPr>
              <w:t>istrict Health Boards (D</w:t>
            </w:r>
            <w:r w:rsidRPr="00825114">
              <w:rPr>
                <w:rFonts w:ascii="Verdana" w:hAnsi="Verdana" w:cstheme="minorHAnsi"/>
                <w:sz w:val="22"/>
                <w:szCs w:val="22"/>
                <w:lang w:eastAsia="en-NZ"/>
              </w:rPr>
              <w:t>HBs</w:t>
            </w:r>
            <w:r w:rsidR="00825114">
              <w:rPr>
                <w:rFonts w:ascii="Verdana" w:hAnsi="Verdana" w:cstheme="minorHAnsi"/>
                <w:sz w:val="22"/>
                <w:szCs w:val="22"/>
                <w:lang w:eastAsia="en-NZ"/>
              </w:rPr>
              <w:t>)</w:t>
            </w:r>
            <w:r w:rsidRPr="00825114">
              <w:rPr>
                <w:rFonts w:ascii="Verdana" w:hAnsi="Verdana" w:cstheme="minorHAnsi"/>
                <w:sz w:val="22"/>
                <w:szCs w:val="22"/>
                <w:lang w:eastAsia="en-NZ"/>
              </w:rPr>
              <w:t xml:space="preserve"> implement the Violence Intervention Programme (VIP) to reduce and prevent family violence and child maltreatment through early identification, assessment, and referral of victims presenting to health services. Under the VIP, all DHBs have systems and policies in place regarding the assessment, appropriate questioning and treatment of suspected abused and neglected children. DHBs also have systems in place to support the delivery of national child and partner protection training packages (see </w:t>
            </w:r>
            <w:hyperlink r:id="rId27" w:history="1">
              <w:r w:rsidR="007C04C2" w:rsidRPr="00F50781">
                <w:rPr>
                  <w:rStyle w:val="Hyperlink"/>
                  <w:rFonts w:ascii="Verdana" w:hAnsi="Verdana" w:cstheme="minorHAnsi"/>
                  <w:sz w:val="22"/>
                  <w:szCs w:val="22"/>
                  <w:lang w:eastAsia="en-NZ"/>
                </w:rPr>
                <w:t>http://www.health.govt.nz/our-work/preventative-health-wellness/family-violence</w:t>
              </w:r>
            </w:hyperlink>
            <w:r w:rsidR="007C04C2">
              <w:rPr>
                <w:rFonts w:ascii="Verdana" w:hAnsi="Verdana" w:cstheme="minorHAnsi"/>
                <w:sz w:val="22"/>
                <w:szCs w:val="22"/>
                <w:lang w:eastAsia="en-NZ"/>
              </w:rPr>
              <w:t xml:space="preserve">). </w:t>
            </w:r>
            <w:r w:rsidRPr="00825114">
              <w:rPr>
                <w:rFonts w:ascii="Verdana" w:hAnsi="Verdana" w:cstheme="minorHAnsi"/>
                <w:sz w:val="22"/>
                <w:szCs w:val="22"/>
                <w:lang w:eastAsia="en-NZ"/>
              </w:rPr>
              <w:t xml:space="preserve"> </w:t>
            </w:r>
          </w:p>
          <w:p w:rsidR="00CB68AF" w:rsidRPr="00825114" w:rsidRDefault="00CB68AF" w:rsidP="00CB68AF">
            <w:pPr>
              <w:pStyle w:val="Heading4"/>
              <w:numPr>
                <w:ilvl w:val="1"/>
                <w:numId w:val="7"/>
              </w:numPr>
              <w:shd w:val="clear" w:color="auto" w:fill="FFFFFF" w:themeFill="background1"/>
              <w:outlineLvl w:val="3"/>
              <w:rPr>
                <w:rFonts w:ascii="Verdana" w:hAnsi="Verdana" w:cstheme="minorHAnsi"/>
                <w:sz w:val="22"/>
                <w:szCs w:val="22"/>
                <w:lang w:eastAsia="en-NZ"/>
              </w:rPr>
            </w:pPr>
            <w:r w:rsidRPr="00825114">
              <w:rPr>
                <w:rFonts w:ascii="Verdana" w:hAnsi="Verdana" w:cstheme="minorHAnsi"/>
                <w:sz w:val="22"/>
                <w:szCs w:val="22"/>
                <w:lang w:eastAsia="en-NZ"/>
              </w:rPr>
              <w:t xml:space="preserve">The National Child Protection Alert </w:t>
            </w:r>
            <w:r w:rsidR="00CF7040">
              <w:rPr>
                <w:rFonts w:ascii="Verdana" w:hAnsi="Verdana" w:cstheme="minorHAnsi"/>
                <w:sz w:val="22"/>
                <w:szCs w:val="22"/>
                <w:lang w:eastAsia="en-NZ"/>
              </w:rPr>
              <w:t>System</w:t>
            </w:r>
            <w:r w:rsidRPr="00825114">
              <w:rPr>
                <w:rFonts w:ascii="Verdana" w:hAnsi="Verdana" w:cstheme="minorHAnsi"/>
                <w:sz w:val="22"/>
                <w:szCs w:val="22"/>
                <w:lang w:eastAsia="en-NZ"/>
              </w:rPr>
              <w:t xml:space="preserve"> alerts DHB health professionals to child protection concerns when children present to a hospital. The Ministry of Health is responsible for facilitating the accreditation process, ensuring the security of data once it has been entered in the system and for monitoring DHB standards of compliance. </w:t>
            </w:r>
          </w:p>
          <w:p w:rsidR="00CB68AF" w:rsidRPr="00825114" w:rsidRDefault="00CB68AF" w:rsidP="00CB68AF">
            <w:pPr>
              <w:pStyle w:val="Heading4"/>
              <w:numPr>
                <w:ilvl w:val="1"/>
                <w:numId w:val="7"/>
              </w:numPr>
              <w:shd w:val="clear" w:color="auto" w:fill="FFFFFF" w:themeFill="background1"/>
              <w:outlineLvl w:val="3"/>
              <w:rPr>
                <w:rFonts w:ascii="Verdana" w:hAnsi="Verdana" w:cstheme="minorHAnsi"/>
                <w:sz w:val="22"/>
                <w:szCs w:val="22"/>
                <w:lang w:eastAsia="en-NZ"/>
              </w:rPr>
            </w:pPr>
            <w:r w:rsidRPr="00825114">
              <w:rPr>
                <w:rFonts w:ascii="Verdana" w:hAnsi="Verdana" w:cstheme="minorHAnsi"/>
                <w:sz w:val="22"/>
                <w:szCs w:val="22"/>
                <w:lang w:eastAsia="en-NZ"/>
              </w:rPr>
              <w:t>DHBs have a M</w:t>
            </w:r>
            <w:r w:rsidR="00B636F4">
              <w:rPr>
                <w:rFonts w:ascii="Verdana" w:hAnsi="Verdana" w:cstheme="minorHAnsi"/>
                <w:sz w:val="22"/>
                <w:szCs w:val="22"/>
                <w:lang w:eastAsia="en-NZ"/>
              </w:rPr>
              <w:t xml:space="preserve">emorandum of Understanding </w:t>
            </w:r>
            <w:r w:rsidRPr="00825114">
              <w:rPr>
                <w:rFonts w:ascii="Verdana" w:hAnsi="Verdana" w:cstheme="minorHAnsi"/>
                <w:sz w:val="22"/>
                <w:szCs w:val="22"/>
                <w:lang w:eastAsia="en-NZ"/>
              </w:rPr>
              <w:t xml:space="preserve">with New Zealand Police and Ministry for Vulnerable Children </w:t>
            </w:r>
            <w:proofErr w:type="spellStart"/>
            <w:r w:rsidRPr="00825114">
              <w:rPr>
                <w:rFonts w:ascii="Verdana" w:hAnsi="Verdana" w:cstheme="minorHAnsi"/>
                <w:sz w:val="22"/>
                <w:szCs w:val="22"/>
                <w:lang w:eastAsia="en-NZ"/>
              </w:rPr>
              <w:t>Oranga</w:t>
            </w:r>
            <w:proofErr w:type="spellEnd"/>
            <w:r w:rsidRPr="00825114">
              <w:rPr>
                <w:rFonts w:ascii="Verdana" w:hAnsi="Verdana" w:cstheme="minorHAnsi"/>
                <w:sz w:val="22"/>
                <w:szCs w:val="22"/>
                <w:lang w:eastAsia="en-NZ"/>
              </w:rPr>
              <w:t xml:space="preserve"> </w:t>
            </w:r>
            <w:proofErr w:type="spellStart"/>
            <w:r w:rsidRPr="00825114">
              <w:rPr>
                <w:rFonts w:ascii="Verdana" w:hAnsi="Verdana" w:cstheme="minorHAnsi"/>
                <w:sz w:val="22"/>
                <w:szCs w:val="22"/>
                <w:lang w:eastAsia="en-NZ"/>
              </w:rPr>
              <w:t>Tamariki</w:t>
            </w:r>
            <w:proofErr w:type="spellEnd"/>
            <w:r w:rsidRPr="00825114">
              <w:rPr>
                <w:rFonts w:ascii="Verdana" w:hAnsi="Verdana" w:cstheme="minorHAnsi"/>
                <w:sz w:val="22"/>
                <w:szCs w:val="22"/>
                <w:lang w:eastAsia="en-NZ"/>
              </w:rPr>
              <w:t>, recognising child abuse prevention and neglect, ensuring health and safety outcomes for children and young people are met within each party’s legislative and funding responsibilities.</w:t>
            </w:r>
          </w:p>
          <w:p w:rsidR="00001674" w:rsidRPr="00001674" w:rsidRDefault="00001674" w:rsidP="002B6CDA">
            <w:pPr>
              <w:rPr>
                <w:rFonts w:ascii="Verdana" w:hAnsi="Verdana"/>
                <w:lang w:val="en-US"/>
              </w:rPr>
            </w:pPr>
          </w:p>
        </w:tc>
      </w:tr>
      <w:tr w:rsidR="00001674" w:rsidRPr="00001674" w:rsidTr="002B6CDA">
        <w:tc>
          <w:tcPr>
            <w:tcW w:w="0" w:type="auto"/>
            <w:shd w:val="clear" w:color="auto" w:fill="DBE5F1" w:themeFill="accent1" w:themeFillTint="33"/>
          </w:tcPr>
          <w:p w:rsidR="00001674" w:rsidRPr="00001674" w:rsidRDefault="00001674" w:rsidP="00001674">
            <w:pPr>
              <w:pStyle w:val="Heading4"/>
              <w:numPr>
                <w:ilvl w:val="0"/>
                <w:numId w:val="2"/>
              </w:numPr>
              <w:outlineLvl w:val="3"/>
              <w:rPr>
                <w:rFonts w:ascii="Verdana" w:hAnsi="Verdana"/>
                <w:sz w:val="22"/>
                <w:lang w:val="en-US"/>
              </w:rPr>
            </w:pPr>
            <w:r w:rsidRPr="00001674">
              <w:rPr>
                <w:rFonts w:ascii="Verdana" w:hAnsi="Verdana"/>
                <w:sz w:val="22"/>
                <w:lang w:val="en-US"/>
              </w:rPr>
              <w:t>Harmful practices, such as forced sterilization and child, early and forced marriage.</w:t>
            </w:r>
          </w:p>
          <w:p w:rsidR="00001674" w:rsidRPr="00001674" w:rsidRDefault="00001674" w:rsidP="002B6CDA">
            <w:pPr>
              <w:tabs>
                <w:tab w:val="left" w:pos="680"/>
                <w:tab w:val="left" w:pos="1359"/>
                <w:tab w:val="left" w:pos="1983"/>
                <w:tab w:val="left" w:pos="6349"/>
                <w:tab w:val="left" w:pos="6915"/>
                <w:tab w:val="left" w:pos="8370"/>
              </w:tabs>
              <w:ind w:left="720"/>
              <w:rPr>
                <w:rFonts w:ascii="Verdana" w:hAnsi="Verdana"/>
                <w:sz w:val="22"/>
                <w:lang w:val="en-US"/>
              </w:rPr>
            </w:pPr>
          </w:p>
        </w:tc>
      </w:tr>
      <w:tr w:rsidR="00001674" w:rsidRPr="00001674" w:rsidTr="002B6CDA">
        <w:tc>
          <w:tcPr>
            <w:tcW w:w="0" w:type="auto"/>
          </w:tcPr>
          <w:p w:rsidR="00001674" w:rsidRPr="00001674" w:rsidRDefault="00001674" w:rsidP="002B6CDA">
            <w:pPr>
              <w:pStyle w:val="Heading4"/>
              <w:outlineLvl w:val="3"/>
              <w:rPr>
                <w:rFonts w:ascii="Verdana" w:hAnsi="Verdana"/>
                <w:b/>
                <w:sz w:val="22"/>
                <w:szCs w:val="22"/>
                <w:lang w:val="en-US"/>
              </w:rPr>
            </w:pPr>
            <w:r w:rsidRPr="00001674">
              <w:rPr>
                <w:rFonts w:ascii="Verdana" w:hAnsi="Verdana"/>
                <w:b/>
                <w:sz w:val="22"/>
                <w:szCs w:val="22"/>
                <w:lang w:val="en-US"/>
              </w:rPr>
              <w:t>Ministry of Justice</w:t>
            </w:r>
          </w:p>
          <w:p w:rsidR="00001674" w:rsidRPr="00001674" w:rsidRDefault="00001674" w:rsidP="00265417">
            <w:pPr>
              <w:pStyle w:val="Heading4"/>
              <w:numPr>
                <w:ilvl w:val="0"/>
                <w:numId w:val="8"/>
              </w:numPr>
              <w:spacing w:before="240" w:after="240"/>
              <w:outlineLvl w:val="3"/>
              <w:rPr>
                <w:rFonts w:ascii="Verdana" w:hAnsi="Verdana"/>
                <w:sz w:val="22"/>
                <w:lang w:val="en-US"/>
              </w:rPr>
            </w:pPr>
            <w:r w:rsidRPr="00001674">
              <w:rPr>
                <w:rFonts w:ascii="Verdana" w:hAnsi="Verdana"/>
                <w:sz w:val="22"/>
                <w:lang w:val="en-US"/>
              </w:rPr>
              <w:t xml:space="preserve">The Marriage Act 1955 (section 17) and Civil Union Act 2004 (section 7) prohibit marriages and civil unions for all people under the age of 16. Under those Acts (sections 18-20 and 19-20, respectively) anyone aged 16 or 17 must have the consent of their parents or, in lieu of parental </w:t>
            </w:r>
            <w:proofErr w:type="spellStart"/>
            <w:r w:rsidRPr="00001674">
              <w:rPr>
                <w:rFonts w:ascii="Verdana" w:hAnsi="Verdana"/>
                <w:sz w:val="22"/>
                <w:lang w:val="en-US"/>
              </w:rPr>
              <w:t>concent</w:t>
            </w:r>
            <w:proofErr w:type="spellEnd"/>
            <w:r w:rsidRPr="00001674">
              <w:rPr>
                <w:rFonts w:ascii="Verdana" w:hAnsi="Verdana"/>
                <w:sz w:val="22"/>
                <w:lang w:val="en-US"/>
              </w:rPr>
              <w:t>, the consent of the Family Court. There are around 50-80 marriages involving 16 and 17 year olds each year.</w:t>
            </w:r>
          </w:p>
          <w:p w:rsidR="00001674" w:rsidRDefault="00001674" w:rsidP="00265417">
            <w:pPr>
              <w:pStyle w:val="Heading4"/>
              <w:numPr>
                <w:ilvl w:val="0"/>
                <w:numId w:val="8"/>
              </w:numPr>
              <w:spacing w:before="240" w:after="240"/>
              <w:outlineLvl w:val="3"/>
              <w:rPr>
                <w:rFonts w:ascii="Verdana" w:hAnsi="Verdana"/>
                <w:sz w:val="22"/>
                <w:lang w:val="en-US"/>
              </w:rPr>
            </w:pPr>
            <w:r w:rsidRPr="00001674">
              <w:rPr>
                <w:rFonts w:ascii="Verdana" w:hAnsi="Verdana"/>
                <w:sz w:val="22"/>
                <w:lang w:val="en-US"/>
              </w:rPr>
              <w:t xml:space="preserve">Under the Crimes Act 1961 there are offences for dealing in slaves (section 98), with a specific provision for giving a woman in marriage for gain or reward without consent, and abduction for marriages or sexual connection (section 208). The Family and </w:t>
            </w:r>
            <w:proofErr w:type="spellStart"/>
            <w:r w:rsidRPr="00001674">
              <w:rPr>
                <w:rFonts w:ascii="Verdana" w:hAnsi="Verdana"/>
                <w:sz w:val="22"/>
                <w:lang w:val="en-US"/>
              </w:rPr>
              <w:t>Whānau</w:t>
            </w:r>
            <w:proofErr w:type="spellEnd"/>
            <w:r w:rsidRPr="00001674">
              <w:rPr>
                <w:rFonts w:ascii="Verdana" w:hAnsi="Verdana"/>
                <w:sz w:val="22"/>
                <w:lang w:val="en-US"/>
              </w:rPr>
              <w:t xml:space="preserve"> Violence Legislation Bill, currently before Parliament, will introduce a new offence of coerced marriage or civil union to cover the act of attempting to force someone to enter a marriage. The new offence will apply when the intended ceremony does not take place, the marriage is not legally binding and the offence takes place outside of New Zealand.</w:t>
            </w:r>
          </w:p>
          <w:p w:rsidR="008F5C6D" w:rsidRDefault="008F5C6D" w:rsidP="008F5C6D">
            <w:pPr>
              <w:rPr>
                <w:lang w:val="en-US"/>
              </w:rPr>
            </w:pPr>
          </w:p>
          <w:p w:rsidR="008F5C6D" w:rsidRPr="008F5C6D" w:rsidRDefault="008F5C6D" w:rsidP="008F5C6D">
            <w:pPr>
              <w:rPr>
                <w:lang w:val="en-US"/>
              </w:rPr>
            </w:pPr>
          </w:p>
          <w:p w:rsidR="00A20C4B" w:rsidRDefault="00A20C4B" w:rsidP="00A20C4B">
            <w:pPr>
              <w:rPr>
                <w:rFonts w:ascii="Verdana" w:hAnsi="Verdana"/>
                <w:b/>
                <w:sz w:val="22"/>
                <w:szCs w:val="22"/>
                <w:lang w:val="en-US"/>
              </w:rPr>
            </w:pPr>
            <w:r>
              <w:rPr>
                <w:rFonts w:ascii="Verdana" w:hAnsi="Verdana"/>
                <w:b/>
                <w:sz w:val="22"/>
                <w:szCs w:val="22"/>
                <w:lang w:val="en-US"/>
              </w:rPr>
              <w:t>Ministry of Health</w:t>
            </w:r>
          </w:p>
          <w:p w:rsidR="00A20C4B" w:rsidRDefault="00A20C4B" w:rsidP="00A20C4B">
            <w:pPr>
              <w:rPr>
                <w:rFonts w:ascii="Verdana" w:hAnsi="Verdana"/>
                <w:b/>
                <w:sz w:val="22"/>
                <w:szCs w:val="22"/>
                <w:lang w:val="en-US"/>
              </w:rPr>
            </w:pPr>
          </w:p>
          <w:p w:rsidR="00265417" w:rsidRPr="007C07DA" w:rsidRDefault="00265417" w:rsidP="00265417">
            <w:pPr>
              <w:pStyle w:val="ListParagraph"/>
              <w:numPr>
                <w:ilvl w:val="0"/>
                <w:numId w:val="8"/>
              </w:numPr>
              <w:shd w:val="clear" w:color="auto" w:fill="FFFFFF" w:themeFill="background1"/>
              <w:rPr>
                <w:rFonts w:ascii="Verdana" w:hAnsi="Verdana"/>
                <w:sz w:val="22"/>
                <w:szCs w:val="22"/>
              </w:rPr>
            </w:pPr>
            <w:r w:rsidRPr="007C07DA">
              <w:rPr>
                <w:rFonts w:ascii="Verdana" w:hAnsi="Verdana" w:cs="Arial"/>
                <w:sz w:val="22"/>
                <w:szCs w:val="22"/>
              </w:rPr>
              <w:t xml:space="preserve">In New Zealand, </w:t>
            </w:r>
            <w:r w:rsidRPr="007C07DA">
              <w:rPr>
                <w:rFonts w:ascii="Verdana" w:hAnsi="Verdana"/>
                <w:sz w:val="22"/>
                <w:szCs w:val="22"/>
              </w:rPr>
              <w:t>sterilisation without consent is allowe</w:t>
            </w:r>
            <w:r w:rsidR="00575DD8">
              <w:rPr>
                <w:rFonts w:ascii="Verdana" w:hAnsi="Verdana"/>
                <w:sz w:val="22"/>
                <w:szCs w:val="22"/>
              </w:rPr>
              <w:t>d only in certain circumstances, that is, medical necessity when it is considered necessary and unavoidable on clinical gr</w:t>
            </w:r>
            <w:r w:rsidR="002B7465">
              <w:rPr>
                <w:rFonts w:ascii="Verdana" w:hAnsi="Verdana"/>
                <w:sz w:val="22"/>
                <w:szCs w:val="22"/>
              </w:rPr>
              <w:t>ounds (e.g. uterine tumour). Sterilisation</w:t>
            </w:r>
            <w:r w:rsidR="00575DD8">
              <w:rPr>
                <w:rFonts w:ascii="Verdana" w:hAnsi="Verdana"/>
                <w:sz w:val="22"/>
                <w:szCs w:val="22"/>
              </w:rPr>
              <w:t xml:space="preserve"> may</w:t>
            </w:r>
            <w:r w:rsidR="002B7465">
              <w:rPr>
                <w:rFonts w:ascii="Verdana" w:hAnsi="Verdana"/>
                <w:sz w:val="22"/>
                <w:szCs w:val="22"/>
              </w:rPr>
              <w:t xml:space="preserve"> also</w:t>
            </w:r>
            <w:r w:rsidR="00575DD8">
              <w:rPr>
                <w:rFonts w:ascii="Verdana" w:hAnsi="Verdana"/>
                <w:sz w:val="22"/>
                <w:szCs w:val="22"/>
              </w:rPr>
              <w:t xml:space="preserve"> occur as an unintended consequence of an essential therapeutic procedure (e.g. hysterectomy).</w:t>
            </w:r>
            <w:r w:rsidRPr="007C07DA">
              <w:rPr>
                <w:rFonts w:ascii="Verdana" w:hAnsi="Verdana" w:cs="Arial"/>
                <w:color w:val="000000"/>
                <w:sz w:val="22"/>
                <w:szCs w:val="22"/>
              </w:rPr>
              <w:t xml:space="preserve"> </w:t>
            </w:r>
          </w:p>
          <w:p w:rsidR="00265417" w:rsidRPr="007C07DA" w:rsidRDefault="00265417" w:rsidP="00265417">
            <w:pPr>
              <w:pStyle w:val="ListParagraph"/>
              <w:numPr>
                <w:ilvl w:val="1"/>
                <w:numId w:val="8"/>
              </w:numPr>
              <w:shd w:val="clear" w:color="auto" w:fill="FFFFFF" w:themeFill="background1"/>
              <w:rPr>
                <w:rFonts w:ascii="Verdana" w:hAnsi="Verdana"/>
                <w:sz w:val="22"/>
                <w:szCs w:val="22"/>
              </w:rPr>
            </w:pPr>
            <w:r w:rsidRPr="007C07DA">
              <w:rPr>
                <w:rFonts w:ascii="Verdana" w:hAnsi="Verdana" w:cs="Arial"/>
                <w:color w:val="000000"/>
                <w:sz w:val="22"/>
                <w:szCs w:val="22"/>
              </w:rPr>
              <w:t xml:space="preserve">For persons 18 years and over, sterilisation may be required </w:t>
            </w:r>
            <w:r w:rsidRPr="007C07DA">
              <w:rPr>
                <w:rFonts w:ascii="Verdana" w:hAnsi="Verdana"/>
                <w:sz w:val="22"/>
                <w:szCs w:val="22"/>
              </w:rPr>
              <w:t>where an individual is not capable of giving or communicating informed consent (e.g. severe intellectual incapacity) t</w:t>
            </w:r>
            <w:r w:rsidR="008530B6">
              <w:rPr>
                <w:rFonts w:ascii="Verdana" w:hAnsi="Verdana"/>
                <w:sz w:val="22"/>
                <w:szCs w:val="22"/>
              </w:rPr>
              <w:t>o a sterilisation procedure</w:t>
            </w:r>
            <w:r w:rsidRPr="007C07DA">
              <w:rPr>
                <w:rFonts w:ascii="Verdana" w:hAnsi="Verdana"/>
                <w:sz w:val="22"/>
                <w:szCs w:val="22"/>
              </w:rPr>
              <w:t xml:space="preserve"> they </w:t>
            </w:r>
            <w:r w:rsidR="00A92BA0">
              <w:rPr>
                <w:rFonts w:ascii="Verdana" w:hAnsi="Verdana"/>
                <w:sz w:val="22"/>
                <w:szCs w:val="22"/>
              </w:rPr>
              <w:t>may need as a medical necessity, as above.</w:t>
            </w:r>
            <w:r w:rsidRPr="007C07DA">
              <w:rPr>
                <w:rFonts w:ascii="Verdana" w:hAnsi="Verdana"/>
                <w:sz w:val="22"/>
                <w:szCs w:val="22"/>
              </w:rPr>
              <w:t xml:space="preserve"> Therefore, sterilisation may occur without the fully informed consent of the patient</w:t>
            </w:r>
            <w:r w:rsidR="00544971" w:rsidRPr="007C07DA">
              <w:rPr>
                <w:rFonts w:ascii="Verdana" w:hAnsi="Verdana"/>
                <w:sz w:val="22"/>
                <w:szCs w:val="22"/>
              </w:rPr>
              <w:t>,</w:t>
            </w:r>
            <w:r w:rsidRPr="007C07DA">
              <w:rPr>
                <w:rFonts w:ascii="Verdana" w:hAnsi="Verdana"/>
                <w:sz w:val="22"/>
                <w:szCs w:val="22"/>
              </w:rPr>
              <w:t xml:space="preserve"> if the procedure is con</w:t>
            </w:r>
            <w:r w:rsidR="00702D49">
              <w:rPr>
                <w:rFonts w:ascii="Verdana" w:hAnsi="Verdana"/>
                <w:sz w:val="22"/>
                <w:szCs w:val="22"/>
              </w:rPr>
              <w:t xml:space="preserve">sidered to be </w:t>
            </w:r>
            <w:r w:rsidRPr="007C07DA">
              <w:rPr>
                <w:rFonts w:ascii="Verdana" w:hAnsi="Verdana"/>
                <w:sz w:val="22"/>
                <w:szCs w:val="22"/>
              </w:rPr>
              <w:t xml:space="preserve">in the best interests of the patient. </w:t>
            </w:r>
          </w:p>
          <w:p w:rsidR="00265417" w:rsidRPr="007C07DA" w:rsidRDefault="00265417" w:rsidP="00265417">
            <w:pPr>
              <w:pStyle w:val="ListParagraph"/>
              <w:numPr>
                <w:ilvl w:val="1"/>
                <w:numId w:val="8"/>
              </w:numPr>
              <w:shd w:val="clear" w:color="auto" w:fill="FFFFFF" w:themeFill="background1"/>
              <w:rPr>
                <w:rFonts w:ascii="Verdana" w:hAnsi="Verdana"/>
                <w:sz w:val="22"/>
                <w:szCs w:val="22"/>
              </w:rPr>
            </w:pPr>
            <w:r w:rsidRPr="007C07DA">
              <w:rPr>
                <w:rFonts w:ascii="Verdana" w:hAnsi="Verdana"/>
                <w:sz w:val="22"/>
                <w:szCs w:val="22"/>
              </w:rPr>
              <w:t>For perso</w:t>
            </w:r>
            <w:r w:rsidR="00702D49">
              <w:rPr>
                <w:rFonts w:ascii="Verdana" w:hAnsi="Verdana"/>
                <w:sz w:val="22"/>
                <w:szCs w:val="22"/>
              </w:rPr>
              <w:t>ns under 18 years of age who have</w:t>
            </w:r>
            <w:r w:rsidRPr="007C07DA">
              <w:rPr>
                <w:rFonts w:ascii="Verdana" w:hAnsi="Verdana"/>
                <w:sz w:val="22"/>
                <w:szCs w:val="22"/>
              </w:rPr>
              <w:t xml:space="preserve"> a living parent or legal guardian, the Court does not have jurisdiction.  It </w:t>
            </w:r>
            <w:r w:rsidRPr="007C07DA">
              <w:rPr>
                <w:rFonts w:ascii="Verdana" w:hAnsi="Verdana" w:cs="Arial"/>
                <w:sz w:val="22"/>
                <w:szCs w:val="22"/>
              </w:rPr>
              <w:t>would</w:t>
            </w:r>
            <w:r w:rsidR="00544971" w:rsidRPr="007C07DA">
              <w:rPr>
                <w:rFonts w:ascii="Verdana" w:hAnsi="Verdana" w:cs="Arial"/>
                <w:sz w:val="22"/>
                <w:szCs w:val="22"/>
              </w:rPr>
              <w:t>,</w:t>
            </w:r>
            <w:r w:rsidRPr="007C07DA">
              <w:rPr>
                <w:rFonts w:ascii="Verdana" w:hAnsi="Verdana" w:cs="Arial"/>
                <w:sz w:val="22"/>
                <w:szCs w:val="22"/>
              </w:rPr>
              <w:t xml:space="preserve"> therefore</w:t>
            </w:r>
            <w:r w:rsidR="00544971" w:rsidRPr="007C07DA">
              <w:rPr>
                <w:rFonts w:ascii="Verdana" w:hAnsi="Verdana" w:cs="Arial"/>
                <w:sz w:val="22"/>
                <w:szCs w:val="22"/>
              </w:rPr>
              <w:t>,</w:t>
            </w:r>
            <w:r w:rsidRPr="007C07DA">
              <w:rPr>
                <w:rFonts w:ascii="Verdana" w:hAnsi="Verdana" w:cs="Arial"/>
                <w:sz w:val="22"/>
                <w:szCs w:val="22"/>
              </w:rPr>
              <w:t xml:space="preserve"> be the parent or legal guardian’s judgement of what is in the best interests of the person with a disability that will determine whether or not a sterilisation is authorised.</w:t>
            </w:r>
          </w:p>
          <w:p w:rsidR="00265417" w:rsidRPr="007C07DA" w:rsidRDefault="00265417" w:rsidP="00265417">
            <w:pPr>
              <w:pStyle w:val="ListParagraph"/>
              <w:numPr>
                <w:ilvl w:val="0"/>
                <w:numId w:val="8"/>
              </w:numPr>
              <w:shd w:val="clear" w:color="auto" w:fill="FFFFFF" w:themeFill="background1"/>
              <w:spacing w:after="120"/>
              <w:rPr>
                <w:rFonts w:ascii="Verdana" w:hAnsi="Verdana" w:cs="Arial"/>
                <w:sz w:val="22"/>
                <w:szCs w:val="22"/>
              </w:rPr>
            </w:pPr>
            <w:r w:rsidRPr="007C07DA">
              <w:rPr>
                <w:rFonts w:ascii="Verdana" w:hAnsi="Verdana" w:cs="Arial"/>
                <w:sz w:val="22"/>
                <w:szCs w:val="22"/>
              </w:rPr>
              <w:t>There are data limitations on the current extent of involuntary sterilisations in New Zealand.</w:t>
            </w:r>
          </w:p>
          <w:p w:rsidR="00A20C4B" w:rsidRPr="00A20C4B" w:rsidRDefault="00A20C4B" w:rsidP="00544971">
            <w:pPr>
              <w:pStyle w:val="ListParagraph"/>
              <w:rPr>
                <w:rFonts w:ascii="Verdana" w:hAnsi="Verdana"/>
                <w:b/>
                <w:sz w:val="22"/>
                <w:szCs w:val="22"/>
                <w:lang w:val="en-US"/>
              </w:rPr>
            </w:pPr>
          </w:p>
        </w:tc>
      </w:tr>
    </w:tbl>
    <w:p w:rsidR="00001674" w:rsidRPr="00001674" w:rsidRDefault="00001674" w:rsidP="00001674">
      <w:pPr>
        <w:rPr>
          <w:rFonts w:ascii="Verdana" w:hAnsi="Verdana"/>
        </w:rPr>
      </w:pPr>
    </w:p>
    <w:tbl>
      <w:tblPr>
        <w:tblStyle w:val="TableGrid"/>
        <w:tblW w:w="15701" w:type="dxa"/>
        <w:tblLook w:val="04A0" w:firstRow="1" w:lastRow="0" w:firstColumn="1" w:lastColumn="0" w:noHBand="0" w:noVBand="1"/>
      </w:tblPr>
      <w:tblGrid>
        <w:gridCol w:w="15701"/>
      </w:tblGrid>
      <w:tr w:rsidR="00001674" w:rsidRPr="00001674" w:rsidTr="002B6CDA">
        <w:tc>
          <w:tcPr>
            <w:tcW w:w="15701" w:type="dxa"/>
            <w:shd w:val="clear" w:color="auto" w:fill="B6DDE8" w:themeFill="accent5" w:themeFillTint="66"/>
          </w:tcPr>
          <w:p w:rsidR="00001674" w:rsidRPr="00001674" w:rsidRDefault="00001674" w:rsidP="00001674">
            <w:pPr>
              <w:pStyle w:val="ListParagraph"/>
              <w:numPr>
                <w:ilvl w:val="0"/>
                <w:numId w:val="1"/>
              </w:numPr>
              <w:tabs>
                <w:tab w:val="left" w:pos="680"/>
                <w:tab w:val="left" w:pos="1359"/>
                <w:tab w:val="left" w:pos="1983"/>
                <w:tab w:val="left" w:pos="6349"/>
                <w:tab w:val="left" w:pos="6915"/>
                <w:tab w:val="left" w:pos="8370"/>
              </w:tabs>
              <w:spacing w:before="240"/>
              <w:rPr>
                <w:rFonts w:ascii="Verdana" w:hAnsi="Verdana"/>
                <w:b/>
                <w:kern w:val="2"/>
                <w:sz w:val="22"/>
                <w:szCs w:val="24"/>
                <w:lang w:val="en-US"/>
              </w:rPr>
            </w:pPr>
            <w:r w:rsidRPr="00001674">
              <w:rPr>
                <w:rFonts w:ascii="Verdana" w:hAnsi="Verdana"/>
                <w:b/>
                <w:kern w:val="2"/>
                <w:sz w:val="22"/>
                <w:szCs w:val="24"/>
                <w:lang w:val="en-US"/>
              </w:rPr>
              <w:t>Please provide information in relation to any innovative initiatives that have been taken at the local, regional or national level to promote and ensure the exercise of sexual and reproductive health and rights of girls with disabilities, and identify lessons learned from these.</w:t>
            </w:r>
          </w:p>
        </w:tc>
      </w:tr>
      <w:tr w:rsidR="00001674" w:rsidRPr="00001674" w:rsidTr="002B6CDA">
        <w:tc>
          <w:tcPr>
            <w:tcW w:w="15701" w:type="dxa"/>
            <w:shd w:val="clear" w:color="auto" w:fill="FFFFFF" w:themeFill="background1"/>
          </w:tcPr>
          <w:p w:rsidR="00001674" w:rsidRPr="00001674" w:rsidRDefault="00001674" w:rsidP="002B6CDA">
            <w:pPr>
              <w:tabs>
                <w:tab w:val="left" w:pos="680"/>
                <w:tab w:val="left" w:pos="1359"/>
                <w:tab w:val="left" w:pos="1983"/>
                <w:tab w:val="left" w:pos="6349"/>
                <w:tab w:val="left" w:pos="6915"/>
                <w:tab w:val="left" w:pos="8370"/>
              </w:tabs>
              <w:spacing w:before="240"/>
              <w:rPr>
                <w:rFonts w:ascii="Verdana" w:hAnsi="Verdana"/>
                <w:b/>
                <w:kern w:val="2"/>
                <w:sz w:val="22"/>
                <w:szCs w:val="24"/>
                <w:lang w:val="en-US"/>
              </w:rPr>
            </w:pPr>
            <w:r w:rsidRPr="00001674">
              <w:rPr>
                <w:rFonts w:ascii="Verdana" w:hAnsi="Verdana"/>
                <w:b/>
                <w:kern w:val="2"/>
                <w:sz w:val="22"/>
                <w:szCs w:val="24"/>
                <w:lang w:val="en-US"/>
              </w:rPr>
              <w:t>Ministry of Education</w:t>
            </w:r>
          </w:p>
          <w:p w:rsidR="00001674" w:rsidRPr="00001674" w:rsidRDefault="00001674" w:rsidP="008F5C6D">
            <w:pPr>
              <w:pStyle w:val="ListParagraph"/>
              <w:numPr>
                <w:ilvl w:val="0"/>
                <w:numId w:val="12"/>
              </w:numPr>
              <w:tabs>
                <w:tab w:val="left" w:pos="680"/>
                <w:tab w:val="left" w:pos="1359"/>
                <w:tab w:val="left" w:pos="1983"/>
                <w:tab w:val="left" w:pos="6349"/>
                <w:tab w:val="left" w:pos="6915"/>
                <w:tab w:val="left" w:pos="8370"/>
              </w:tabs>
              <w:spacing w:before="240"/>
              <w:rPr>
                <w:rFonts w:ascii="Verdana" w:hAnsi="Verdana"/>
                <w:kern w:val="2"/>
                <w:sz w:val="22"/>
                <w:szCs w:val="22"/>
                <w:lang w:val="en-US"/>
              </w:rPr>
            </w:pPr>
            <w:r w:rsidRPr="00001674">
              <w:rPr>
                <w:rFonts w:ascii="Verdana" w:hAnsi="Verdana" w:cs="Arial"/>
                <w:sz w:val="22"/>
                <w:szCs w:val="22"/>
              </w:rPr>
              <w:t xml:space="preserve">To support schools to deliver sexuality education, the Ministry of Education in 2015 revised </w:t>
            </w:r>
            <w:r w:rsidRPr="00001674">
              <w:rPr>
                <w:rFonts w:ascii="Verdana" w:hAnsi="Verdana" w:cs="Arial"/>
                <w:i/>
                <w:sz w:val="22"/>
                <w:szCs w:val="22"/>
              </w:rPr>
              <w:t xml:space="preserve">Sexuality Education: A guide for principals, boards of trustees, and teachers </w:t>
            </w:r>
            <w:hyperlink r:id="rId28" w:history="1">
              <w:r w:rsidRPr="00001674">
                <w:rPr>
                  <w:rStyle w:val="Hyperlink"/>
                  <w:rFonts w:ascii="Verdana" w:hAnsi="Verdana"/>
                  <w:sz w:val="22"/>
                  <w:szCs w:val="22"/>
                </w:rPr>
                <w:t>http://health.tki.org.nz/Teaching-in-HPE/Policy-guidelines</w:t>
              </w:r>
            </w:hyperlink>
            <w:r w:rsidRPr="00001674">
              <w:rPr>
                <w:rFonts w:ascii="Verdana" w:hAnsi="Verdana"/>
                <w:color w:val="222222"/>
                <w:sz w:val="22"/>
                <w:szCs w:val="22"/>
              </w:rPr>
              <w:t>.</w:t>
            </w:r>
          </w:p>
          <w:p w:rsidR="00001674" w:rsidRPr="00001674" w:rsidRDefault="00001674" w:rsidP="008F5C6D">
            <w:pPr>
              <w:pStyle w:val="ListParagraph"/>
              <w:numPr>
                <w:ilvl w:val="0"/>
                <w:numId w:val="12"/>
              </w:numPr>
              <w:tabs>
                <w:tab w:val="left" w:pos="680"/>
                <w:tab w:val="left" w:pos="1359"/>
                <w:tab w:val="left" w:pos="1983"/>
                <w:tab w:val="left" w:pos="6349"/>
                <w:tab w:val="left" w:pos="6915"/>
                <w:tab w:val="left" w:pos="8370"/>
              </w:tabs>
              <w:spacing w:before="240"/>
              <w:rPr>
                <w:rFonts w:ascii="Verdana" w:hAnsi="Verdana"/>
                <w:kern w:val="2"/>
                <w:sz w:val="22"/>
                <w:szCs w:val="22"/>
                <w:lang w:val="en-US"/>
              </w:rPr>
            </w:pPr>
            <w:r w:rsidRPr="00001674">
              <w:rPr>
                <w:rFonts w:ascii="Verdana" w:hAnsi="Verdana" w:cs="Arial"/>
                <w:sz w:val="22"/>
                <w:szCs w:val="22"/>
              </w:rPr>
              <w:t>The Guide aims to support school leaders and teachers to deliver effective, quality sexuality education programmes, leading to positive and holistic development and health for all students in New Zealand.</w:t>
            </w:r>
          </w:p>
          <w:p w:rsidR="00001674" w:rsidRPr="00001674" w:rsidRDefault="00001674" w:rsidP="008F5C6D">
            <w:pPr>
              <w:pStyle w:val="ListParagraph"/>
              <w:numPr>
                <w:ilvl w:val="0"/>
                <w:numId w:val="12"/>
              </w:numPr>
              <w:tabs>
                <w:tab w:val="left" w:pos="680"/>
                <w:tab w:val="left" w:pos="1359"/>
                <w:tab w:val="left" w:pos="1983"/>
                <w:tab w:val="left" w:pos="6349"/>
                <w:tab w:val="left" w:pos="6915"/>
                <w:tab w:val="left" w:pos="8370"/>
              </w:tabs>
              <w:spacing w:before="240"/>
              <w:rPr>
                <w:rFonts w:ascii="Verdana" w:hAnsi="Verdana" w:cs="Arial"/>
                <w:sz w:val="22"/>
                <w:szCs w:val="22"/>
              </w:rPr>
            </w:pPr>
            <w:r w:rsidRPr="00001674">
              <w:rPr>
                <w:rFonts w:ascii="Verdana" w:hAnsi="Verdana" w:cs="Arial"/>
                <w:sz w:val="22"/>
                <w:szCs w:val="22"/>
              </w:rPr>
              <w:t>The revision of the Guide takes account of changing social climates, recent youth health research, and broader understandings about sexuality and sexuality education.</w:t>
            </w:r>
          </w:p>
          <w:p w:rsidR="00001674" w:rsidRPr="00001674" w:rsidRDefault="00001674" w:rsidP="008F5C6D">
            <w:pPr>
              <w:pStyle w:val="ListParagraph"/>
              <w:numPr>
                <w:ilvl w:val="0"/>
                <w:numId w:val="12"/>
              </w:numPr>
              <w:tabs>
                <w:tab w:val="left" w:pos="680"/>
                <w:tab w:val="left" w:pos="1359"/>
                <w:tab w:val="left" w:pos="1983"/>
                <w:tab w:val="left" w:pos="6349"/>
                <w:tab w:val="left" w:pos="6915"/>
                <w:tab w:val="left" w:pos="8370"/>
              </w:tabs>
              <w:spacing w:before="240"/>
              <w:rPr>
                <w:rFonts w:ascii="Verdana" w:hAnsi="Verdana" w:cs="Arial"/>
                <w:sz w:val="22"/>
                <w:szCs w:val="22"/>
              </w:rPr>
            </w:pPr>
            <w:r w:rsidRPr="00001674">
              <w:rPr>
                <w:rFonts w:ascii="Verdana" w:hAnsi="Verdana" w:cs="Arial"/>
                <w:sz w:val="22"/>
                <w:szCs w:val="22"/>
              </w:rPr>
              <w:t>In the latter half of 2015, the Ministry of Education provided a series of short workshops, nationwide, to help schools implement the Guide.  For teachers who were unable to attend webinars were also available.</w:t>
            </w:r>
          </w:p>
          <w:p w:rsidR="00001674" w:rsidRPr="00001674" w:rsidRDefault="00001674" w:rsidP="008F5C6D">
            <w:pPr>
              <w:pStyle w:val="ListParagraph"/>
              <w:numPr>
                <w:ilvl w:val="0"/>
                <w:numId w:val="12"/>
              </w:numPr>
              <w:tabs>
                <w:tab w:val="left" w:pos="680"/>
                <w:tab w:val="left" w:pos="1359"/>
                <w:tab w:val="left" w:pos="1983"/>
                <w:tab w:val="left" w:pos="6349"/>
                <w:tab w:val="left" w:pos="6915"/>
                <w:tab w:val="left" w:pos="8370"/>
              </w:tabs>
              <w:spacing w:before="240"/>
              <w:rPr>
                <w:rFonts w:ascii="Verdana" w:hAnsi="Verdana"/>
                <w:kern w:val="2"/>
                <w:sz w:val="22"/>
                <w:szCs w:val="22"/>
                <w:lang w:val="en-US"/>
              </w:rPr>
            </w:pPr>
            <w:r w:rsidRPr="00001674">
              <w:rPr>
                <w:rFonts w:ascii="Verdana" w:eastAsiaTheme="minorHAnsi" w:hAnsi="Verdana" w:cs="Arial"/>
                <w:color w:val="231F20"/>
                <w:sz w:val="22"/>
                <w:szCs w:val="22"/>
                <w:lang w:eastAsia="en-GB" w:bidi="en-US"/>
              </w:rPr>
              <w:t xml:space="preserve">This year the Education Review Office will be reviewing sexuality education in New Zealand schools and the implementation of the Sexuality Guide will form part of this. </w:t>
            </w:r>
          </w:p>
          <w:p w:rsidR="00001674" w:rsidRPr="00001674" w:rsidRDefault="00001674" w:rsidP="008F5C6D">
            <w:pPr>
              <w:pStyle w:val="ListParagraph"/>
              <w:numPr>
                <w:ilvl w:val="0"/>
                <w:numId w:val="12"/>
              </w:numPr>
              <w:tabs>
                <w:tab w:val="left" w:pos="680"/>
                <w:tab w:val="left" w:pos="1359"/>
                <w:tab w:val="left" w:pos="1983"/>
                <w:tab w:val="left" w:pos="6349"/>
                <w:tab w:val="left" w:pos="6915"/>
                <w:tab w:val="left" w:pos="8370"/>
              </w:tabs>
              <w:spacing w:before="240"/>
              <w:rPr>
                <w:rFonts w:ascii="Verdana" w:hAnsi="Verdana"/>
                <w:kern w:val="2"/>
                <w:sz w:val="22"/>
                <w:szCs w:val="22"/>
                <w:lang w:val="en-US"/>
              </w:rPr>
            </w:pPr>
            <w:r w:rsidRPr="00001674">
              <w:rPr>
                <w:rFonts w:ascii="Verdana" w:hAnsi="Verdana" w:cs="Arial"/>
                <w:sz w:val="22"/>
                <w:szCs w:val="22"/>
              </w:rPr>
              <w:t>Many secondary schools provide forums outside regular lesson times for students and teachers, where issues that are important to them such as consent, coercion and safety in intimate relationships can be debated and discussed.</w:t>
            </w:r>
          </w:p>
          <w:p w:rsidR="00001674" w:rsidRPr="008F5C6D" w:rsidRDefault="00001674" w:rsidP="008F5C6D">
            <w:pPr>
              <w:pStyle w:val="ListParagraph"/>
              <w:numPr>
                <w:ilvl w:val="0"/>
                <w:numId w:val="12"/>
              </w:numPr>
              <w:tabs>
                <w:tab w:val="left" w:pos="680"/>
                <w:tab w:val="left" w:pos="1359"/>
                <w:tab w:val="left" w:pos="1983"/>
                <w:tab w:val="left" w:pos="6349"/>
                <w:tab w:val="left" w:pos="6915"/>
                <w:tab w:val="left" w:pos="8370"/>
              </w:tabs>
              <w:spacing w:before="240"/>
              <w:rPr>
                <w:rFonts w:ascii="Verdana" w:hAnsi="Verdana"/>
                <w:kern w:val="2"/>
                <w:sz w:val="22"/>
                <w:szCs w:val="24"/>
                <w:lang w:val="en-US"/>
              </w:rPr>
            </w:pPr>
            <w:r w:rsidRPr="00001674">
              <w:rPr>
                <w:rFonts w:ascii="Verdana" w:hAnsi="Verdana" w:cs="Arial"/>
                <w:sz w:val="22"/>
                <w:szCs w:val="22"/>
              </w:rPr>
              <w:t xml:space="preserve">Young people’s education for life-long learning is most effective when it involves </w:t>
            </w:r>
            <w:proofErr w:type="gramStart"/>
            <w:r w:rsidRPr="00001674">
              <w:rPr>
                <w:rFonts w:ascii="Verdana" w:hAnsi="Verdana" w:cs="Arial"/>
                <w:sz w:val="22"/>
                <w:szCs w:val="22"/>
              </w:rPr>
              <w:t>both the</w:t>
            </w:r>
            <w:proofErr w:type="gramEnd"/>
            <w:r w:rsidRPr="00001674">
              <w:rPr>
                <w:rFonts w:ascii="Verdana" w:hAnsi="Verdana" w:cs="Arial"/>
                <w:sz w:val="22"/>
                <w:szCs w:val="22"/>
              </w:rPr>
              <w:t xml:space="preserve"> school and the wider community, parents and family.</w:t>
            </w:r>
          </w:p>
          <w:p w:rsidR="008F5C6D" w:rsidRPr="008F5C6D" w:rsidRDefault="008F5C6D" w:rsidP="008F5C6D">
            <w:pPr>
              <w:tabs>
                <w:tab w:val="left" w:pos="680"/>
                <w:tab w:val="left" w:pos="1359"/>
                <w:tab w:val="left" w:pos="1983"/>
                <w:tab w:val="left" w:pos="6349"/>
                <w:tab w:val="left" w:pos="6915"/>
                <w:tab w:val="left" w:pos="8370"/>
              </w:tabs>
              <w:spacing w:before="240"/>
              <w:rPr>
                <w:rFonts w:ascii="Verdana" w:hAnsi="Verdana"/>
                <w:kern w:val="2"/>
                <w:sz w:val="22"/>
                <w:szCs w:val="24"/>
                <w:lang w:val="en-US"/>
              </w:rPr>
            </w:pPr>
          </w:p>
          <w:p w:rsidR="009270EF" w:rsidRPr="002F35DC" w:rsidRDefault="009270EF" w:rsidP="009270EF">
            <w:pPr>
              <w:tabs>
                <w:tab w:val="left" w:pos="680"/>
                <w:tab w:val="left" w:pos="1359"/>
                <w:tab w:val="left" w:pos="1983"/>
                <w:tab w:val="left" w:pos="6349"/>
                <w:tab w:val="left" w:pos="6915"/>
                <w:tab w:val="left" w:pos="8370"/>
              </w:tabs>
              <w:spacing w:before="240"/>
              <w:rPr>
                <w:rFonts w:ascii="Verdana" w:hAnsi="Verdana"/>
                <w:kern w:val="2"/>
                <w:sz w:val="22"/>
                <w:szCs w:val="24"/>
                <w:lang w:val="en-US"/>
              </w:rPr>
            </w:pPr>
            <w:r>
              <w:rPr>
                <w:rFonts w:ascii="Verdana" w:hAnsi="Verdana"/>
                <w:b/>
                <w:kern w:val="2"/>
                <w:sz w:val="22"/>
                <w:szCs w:val="24"/>
                <w:lang w:val="en-US"/>
              </w:rPr>
              <w:t>Ministry of Health</w:t>
            </w:r>
            <w:r w:rsidR="002F35DC">
              <w:rPr>
                <w:rFonts w:ascii="Verdana" w:hAnsi="Verdana"/>
                <w:b/>
                <w:kern w:val="2"/>
                <w:sz w:val="22"/>
                <w:szCs w:val="24"/>
                <w:lang w:val="en-US"/>
              </w:rPr>
              <w:t xml:space="preserve"> </w:t>
            </w:r>
            <w:r w:rsidR="002F35DC">
              <w:rPr>
                <w:rFonts w:ascii="Verdana" w:hAnsi="Verdana"/>
                <w:kern w:val="2"/>
                <w:sz w:val="22"/>
                <w:szCs w:val="24"/>
                <w:lang w:val="en-US"/>
              </w:rPr>
              <w:t>(see also response to Question 1B)</w:t>
            </w:r>
          </w:p>
          <w:p w:rsidR="008F5C6D" w:rsidRPr="008F5C6D" w:rsidRDefault="008F5C6D" w:rsidP="008F5C6D">
            <w:pPr>
              <w:pStyle w:val="ListParagraph"/>
              <w:numPr>
                <w:ilvl w:val="0"/>
                <w:numId w:val="12"/>
              </w:numPr>
              <w:shd w:val="clear" w:color="auto" w:fill="FFFFFF" w:themeFill="background1"/>
              <w:spacing w:before="240"/>
              <w:rPr>
                <w:rFonts w:ascii="Verdana" w:hAnsi="Verdana"/>
                <w:b/>
                <w:kern w:val="2"/>
                <w:sz w:val="22"/>
                <w:szCs w:val="24"/>
                <w:lang w:val="en-US"/>
              </w:rPr>
            </w:pPr>
            <w:r w:rsidRPr="008F5C6D">
              <w:rPr>
                <w:rFonts w:ascii="Verdana" w:hAnsi="Verdana" w:cstheme="minorHAnsi"/>
                <w:sz w:val="22"/>
                <w:szCs w:val="22"/>
              </w:rPr>
              <w:t xml:space="preserve">Ministry of Health is lead government agency for Action 7b of </w:t>
            </w:r>
            <w:r w:rsidRPr="008F5C6D">
              <w:rPr>
                <w:rFonts w:ascii="Verdana" w:hAnsi="Verdana" w:cstheme="minorHAnsi"/>
                <w:i/>
                <w:sz w:val="22"/>
                <w:szCs w:val="22"/>
              </w:rPr>
              <w:t>Disability Action Plan 2014-2018</w:t>
            </w:r>
            <w:r w:rsidRPr="008F5C6D">
              <w:rPr>
                <w:rFonts w:ascii="Verdana" w:hAnsi="Verdana" w:cstheme="minorHAnsi"/>
                <w:sz w:val="22"/>
                <w:szCs w:val="22"/>
              </w:rPr>
              <w:t>.  This action involves working with Disabled People’s Organisations and others to explore the framework that protects the bodily integrity of children and adults</w:t>
            </w:r>
            <w:r w:rsidR="00B636F4">
              <w:rPr>
                <w:rFonts w:ascii="Verdana" w:hAnsi="Verdana" w:cstheme="minorHAnsi"/>
                <w:sz w:val="22"/>
                <w:szCs w:val="22"/>
              </w:rPr>
              <w:t xml:space="preserve"> with disabilities</w:t>
            </w:r>
            <w:r w:rsidRPr="008F5C6D">
              <w:rPr>
                <w:rFonts w:ascii="Verdana" w:hAnsi="Verdana" w:cstheme="minorHAnsi"/>
                <w:sz w:val="22"/>
                <w:szCs w:val="22"/>
              </w:rPr>
              <w:t xml:space="preserve"> against non-therapeutic medical procedures, including the issue of consent. This action will focus initially on options to protect persons </w:t>
            </w:r>
            <w:r w:rsidR="00B636F4">
              <w:rPr>
                <w:rFonts w:ascii="Verdana" w:hAnsi="Verdana" w:cstheme="minorHAnsi"/>
                <w:sz w:val="22"/>
                <w:szCs w:val="22"/>
              </w:rPr>
              <w:t xml:space="preserve">with disabilities </w:t>
            </w:r>
            <w:r w:rsidRPr="008F5C6D">
              <w:rPr>
                <w:rFonts w:ascii="Verdana" w:hAnsi="Verdana" w:cstheme="minorHAnsi"/>
                <w:sz w:val="22"/>
                <w:szCs w:val="22"/>
              </w:rPr>
              <w:t xml:space="preserve">against non-therapeutic sterilisation without the fully informed consent of the individual. </w:t>
            </w:r>
          </w:p>
          <w:p w:rsidR="009270EF" w:rsidRPr="009270EF" w:rsidRDefault="009270EF" w:rsidP="008F5C6D">
            <w:pPr>
              <w:pStyle w:val="ListParagraph"/>
              <w:shd w:val="clear" w:color="auto" w:fill="FFFFFF" w:themeFill="background1"/>
              <w:rPr>
                <w:rFonts w:ascii="Verdana" w:hAnsi="Verdana"/>
                <w:b/>
                <w:kern w:val="2"/>
                <w:sz w:val="22"/>
                <w:szCs w:val="24"/>
                <w:lang w:val="en-US"/>
              </w:rPr>
            </w:pPr>
          </w:p>
        </w:tc>
      </w:tr>
    </w:tbl>
    <w:p w:rsidR="00001674" w:rsidRPr="00001674" w:rsidRDefault="00001674" w:rsidP="00001674">
      <w:pPr>
        <w:tabs>
          <w:tab w:val="left" w:pos="680"/>
          <w:tab w:val="left" w:pos="1359"/>
          <w:tab w:val="left" w:pos="1983"/>
          <w:tab w:val="left" w:pos="6349"/>
          <w:tab w:val="left" w:pos="6915"/>
          <w:tab w:val="left" w:pos="8370"/>
        </w:tabs>
        <w:rPr>
          <w:rFonts w:ascii="Verdana" w:hAnsi="Verdana"/>
          <w:kern w:val="2"/>
          <w:sz w:val="22"/>
          <w:szCs w:val="24"/>
          <w:lang w:val="en-US"/>
        </w:rPr>
      </w:pPr>
    </w:p>
    <w:p w:rsidR="00001674" w:rsidRPr="00001674" w:rsidRDefault="00001674" w:rsidP="00001674">
      <w:pPr>
        <w:rPr>
          <w:rFonts w:ascii="Verdana" w:hAnsi="Verdana"/>
          <w:sz w:val="22"/>
          <w:szCs w:val="24"/>
          <w:lang w:val="en-US"/>
        </w:rPr>
      </w:pPr>
    </w:p>
    <w:p w:rsidR="00001674" w:rsidRPr="00001674" w:rsidRDefault="00001674" w:rsidP="00001674">
      <w:pPr>
        <w:rPr>
          <w:rFonts w:ascii="Verdana" w:hAnsi="Verdana"/>
          <w:sz w:val="22"/>
          <w:szCs w:val="24"/>
          <w:lang w:val="en-US"/>
        </w:rPr>
      </w:pPr>
    </w:p>
    <w:p w:rsidR="00001674" w:rsidRPr="00001674" w:rsidRDefault="00001674" w:rsidP="00001674">
      <w:pPr>
        <w:rPr>
          <w:rFonts w:ascii="Verdana" w:hAnsi="Verdana"/>
          <w:sz w:val="22"/>
          <w:szCs w:val="24"/>
          <w:lang w:val="en-US"/>
        </w:rPr>
      </w:pPr>
    </w:p>
    <w:p w:rsidR="00001674" w:rsidRPr="00001674" w:rsidRDefault="00001674" w:rsidP="00001674">
      <w:pPr>
        <w:rPr>
          <w:rFonts w:ascii="Verdana" w:hAnsi="Verdana"/>
          <w:sz w:val="22"/>
          <w:szCs w:val="24"/>
          <w:lang w:val="en-US"/>
        </w:rPr>
      </w:pPr>
    </w:p>
    <w:p w:rsidR="00001674" w:rsidRPr="00001674" w:rsidRDefault="00001674" w:rsidP="00001674">
      <w:pPr>
        <w:tabs>
          <w:tab w:val="left" w:pos="5550"/>
        </w:tabs>
        <w:rPr>
          <w:rFonts w:ascii="Verdana" w:hAnsi="Verdana"/>
          <w:sz w:val="22"/>
          <w:szCs w:val="24"/>
          <w:lang w:val="en-US"/>
        </w:rPr>
      </w:pPr>
    </w:p>
    <w:p w:rsidR="00001674" w:rsidRPr="00001674" w:rsidRDefault="00001674" w:rsidP="00001674">
      <w:pPr>
        <w:tabs>
          <w:tab w:val="left" w:pos="5550"/>
        </w:tabs>
        <w:rPr>
          <w:rFonts w:ascii="Verdana" w:hAnsi="Verdana"/>
          <w:sz w:val="22"/>
          <w:szCs w:val="24"/>
          <w:lang w:val="en-US"/>
        </w:rPr>
      </w:pPr>
    </w:p>
    <w:p w:rsidR="00001674" w:rsidRPr="00001674" w:rsidRDefault="00001674" w:rsidP="00001674">
      <w:pPr>
        <w:tabs>
          <w:tab w:val="left" w:pos="5550"/>
        </w:tabs>
        <w:rPr>
          <w:rFonts w:ascii="Verdana" w:hAnsi="Verdana"/>
          <w:sz w:val="22"/>
          <w:szCs w:val="24"/>
          <w:lang w:val="en-US"/>
        </w:rPr>
      </w:pPr>
    </w:p>
    <w:p w:rsidR="00001674" w:rsidRPr="00001674" w:rsidRDefault="00001674" w:rsidP="00001674">
      <w:pPr>
        <w:tabs>
          <w:tab w:val="left" w:pos="5550"/>
        </w:tabs>
        <w:rPr>
          <w:rFonts w:ascii="Verdana" w:hAnsi="Verdana"/>
          <w:sz w:val="22"/>
          <w:szCs w:val="24"/>
          <w:lang w:val="en-US"/>
        </w:rPr>
      </w:pPr>
    </w:p>
    <w:p w:rsidR="00001674" w:rsidRPr="00001674" w:rsidRDefault="00001674" w:rsidP="00001674">
      <w:pPr>
        <w:tabs>
          <w:tab w:val="left" w:pos="5550"/>
        </w:tabs>
        <w:rPr>
          <w:rFonts w:ascii="Verdana" w:hAnsi="Verdana"/>
          <w:sz w:val="22"/>
          <w:szCs w:val="24"/>
          <w:lang w:val="en-US"/>
        </w:rPr>
      </w:pPr>
    </w:p>
    <w:p w:rsidR="00001674" w:rsidRPr="00001674" w:rsidRDefault="00001674" w:rsidP="00001674">
      <w:pPr>
        <w:tabs>
          <w:tab w:val="left" w:pos="5550"/>
        </w:tabs>
        <w:rPr>
          <w:rFonts w:ascii="Verdana" w:hAnsi="Verdana"/>
          <w:sz w:val="22"/>
          <w:szCs w:val="24"/>
          <w:lang w:val="en-US"/>
        </w:rPr>
      </w:pPr>
    </w:p>
    <w:p w:rsidR="00001674" w:rsidRPr="00001674" w:rsidRDefault="00001674" w:rsidP="00001674">
      <w:pPr>
        <w:tabs>
          <w:tab w:val="left" w:pos="5550"/>
        </w:tabs>
        <w:rPr>
          <w:rFonts w:ascii="Verdana" w:hAnsi="Verdana"/>
          <w:sz w:val="22"/>
          <w:szCs w:val="24"/>
          <w:lang w:val="en-US"/>
        </w:rPr>
      </w:pPr>
    </w:p>
    <w:p w:rsidR="00001674" w:rsidRPr="00001674" w:rsidRDefault="00001674" w:rsidP="00001674">
      <w:pPr>
        <w:tabs>
          <w:tab w:val="left" w:pos="5550"/>
        </w:tabs>
        <w:rPr>
          <w:rFonts w:ascii="Verdana" w:hAnsi="Verdana"/>
          <w:sz w:val="22"/>
          <w:szCs w:val="24"/>
          <w:lang w:val="en-US"/>
        </w:rPr>
      </w:pPr>
    </w:p>
    <w:p w:rsidR="00001674" w:rsidRPr="00001674" w:rsidRDefault="00001674" w:rsidP="00001674">
      <w:pPr>
        <w:tabs>
          <w:tab w:val="left" w:pos="5550"/>
        </w:tabs>
        <w:rPr>
          <w:rFonts w:ascii="Verdana" w:hAnsi="Verdana"/>
          <w:sz w:val="22"/>
          <w:szCs w:val="24"/>
          <w:lang w:val="en-US"/>
        </w:rPr>
      </w:pPr>
    </w:p>
    <w:p w:rsidR="00001674" w:rsidRDefault="00001674" w:rsidP="00001674">
      <w:pPr>
        <w:tabs>
          <w:tab w:val="left" w:pos="5550"/>
        </w:tabs>
        <w:rPr>
          <w:rFonts w:ascii="Verdana" w:hAnsi="Verdana"/>
          <w:sz w:val="22"/>
          <w:szCs w:val="24"/>
          <w:lang w:val="en-US"/>
        </w:rPr>
      </w:pPr>
    </w:p>
    <w:p w:rsidR="00830764" w:rsidRDefault="00830764" w:rsidP="00001674">
      <w:pPr>
        <w:tabs>
          <w:tab w:val="left" w:pos="5550"/>
        </w:tabs>
        <w:rPr>
          <w:rFonts w:ascii="Verdana" w:hAnsi="Verdana"/>
          <w:sz w:val="22"/>
          <w:szCs w:val="24"/>
          <w:lang w:val="en-US"/>
        </w:rPr>
      </w:pPr>
    </w:p>
    <w:p w:rsidR="00830764" w:rsidRDefault="00830764" w:rsidP="00001674">
      <w:pPr>
        <w:tabs>
          <w:tab w:val="left" w:pos="5550"/>
        </w:tabs>
        <w:rPr>
          <w:rFonts w:ascii="Verdana" w:hAnsi="Verdana"/>
          <w:sz w:val="22"/>
          <w:szCs w:val="24"/>
          <w:lang w:val="en-US"/>
        </w:rPr>
      </w:pPr>
    </w:p>
    <w:p w:rsidR="00830764" w:rsidRDefault="00830764" w:rsidP="00001674">
      <w:pPr>
        <w:tabs>
          <w:tab w:val="left" w:pos="5550"/>
        </w:tabs>
        <w:rPr>
          <w:rFonts w:ascii="Verdana" w:hAnsi="Verdana"/>
          <w:sz w:val="22"/>
          <w:szCs w:val="24"/>
          <w:lang w:val="en-US"/>
        </w:rPr>
      </w:pPr>
    </w:p>
    <w:p w:rsidR="00830764" w:rsidRDefault="00830764" w:rsidP="00001674">
      <w:pPr>
        <w:tabs>
          <w:tab w:val="left" w:pos="5550"/>
        </w:tabs>
        <w:rPr>
          <w:rFonts w:ascii="Verdana" w:hAnsi="Verdana"/>
          <w:sz w:val="22"/>
          <w:szCs w:val="24"/>
          <w:lang w:val="en-US"/>
        </w:rPr>
      </w:pPr>
    </w:p>
    <w:p w:rsidR="00830764" w:rsidRDefault="00830764" w:rsidP="00001674">
      <w:pPr>
        <w:tabs>
          <w:tab w:val="left" w:pos="5550"/>
        </w:tabs>
        <w:rPr>
          <w:rFonts w:ascii="Verdana" w:hAnsi="Verdana"/>
          <w:sz w:val="22"/>
          <w:szCs w:val="24"/>
          <w:lang w:val="en-US"/>
        </w:rPr>
      </w:pPr>
    </w:p>
    <w:p w:rsidR="00830764" w:rsidRDefault="00830764" w:rsidP="00001674">
      <w:pPr>
        <w:tabs>
          <w:tab w:val="left" w:pos="5550"/>
        </w:tabs>
        <w:rPr>
          <w:rFonts w:ascii="Verdana" w:hAnsi="Verdana"/>
          <w:sz w:val="22"/>
          <w:szCs w:val="24"/>
          <w:lang w:val="en-US"/>
        </w:rPr>
      </w:pPr>
    </w:p>
    <w:p w:rsidR="00830764" w:rsidRDefault="00830764" w:rsidP="00001674">
      <w:pPr>
        <w:tabs>
          <w:tab w:val="left" w:pos="5550"/>
        </w:tabs>
        <w:rPr>
          <w:rFonts w:ascii="Verdana" w:hAnsi="Verdana"/>
          <w:sz w:val="22"/>
          <w:szCs w:val="24"/>
          <w:lang w:val="en-US"/>
        </w:rPr>
      </w:pPr>
    </w:p>
    <w:p w:rsidR="00830764" w:rsidRDefault="00830764" w:rsidP="00001674">
      <w:pPr>
        <w:tabs>
          <w:tab w:val="left" w:pos="5550"/>
        </w:tabs>
        <w:rPr>
          <w:rFonts w:ascii="Verdana" w:hAnsi="Verdana"/>
          <w:sz w:val="22"/>
          <w:szCs w:val="24"/>
          <w:lang w:val="en-US"/>
        </w:rPr>
      </w:pPr>
    </w:p>
    <w:p w:rsidR="00830764" w:rsidRDefault="00830764" w:rsidP="00001674">
      <w:pPr>
        <w:tabs>
          <w:tab w:val="left" w:pos="5550"/>
        </w:tabs>
        <w:rPr>
          <w:rFonts w:ascii="Verdana" w:hAnsi="Verdana"/>
          <w:sz w:val="22"/>
          <w:szCs w:val="24"/>
          <w:lang w:val="en-US"/>
        </w:rPr>
      </w:pPr>
    </w:p>
    <w:p w:rsidR="00830764" w:rsidRDefault="00830764" w:rsidP="00001674">
      <w:pPr>
        <w:tabs>
          <w:tab w:val="left" w:pos="5550"/>
        </w:tabs>
        <w:rPr>
          <w:rFonts w:ascii="Verdana" w:hAnsi="Verdana"/>
          <w:sz w:val="22"/>
          <w:szCs w:val="24"/>
          <w:lang w:val="en-US"/>
        </w:rPr>
      </w:pPr>
    </w:p>
    <w:p w:rsidR="00830764" w:rsidRPr="00001674" w:rsidRDefault="00830764" w:rsidP="00001674">
      <w:pPr>
        <w:tabs>
          <w:tab w:val="left" w:pos="5550"/>
        </w:tabs>
        <w:rPr>
          <w:rFonts w:ascii="Verdana" w:hAnsi="Verdana"/>
          <w:sz w:val="22"/>
          <w:szCs w:val="24"/>
          <w:lang w:val="en-US"/>
        </w:rPr>
      </w:pPr>
    </w:p>
    <w:p w:rsidR="00001674" w:rsidRPr="00001674" w:rsidRDefault="00001674" w:rsidP="00001674">
      <w:pPr>
        <w:tabs>
          <w:tab w:val="left" w:pos="5550"/>
        </w:tabs>
        <w:rPr>
          <w:rFonts w:ascii="Verdana" w:hAnsi="Verdana"/>
          <w:sz w:val="22"/>
          <w:szCs w:val="24"/>
          <w:lang w:val="en-US"/>
        </w:rPr>
      </w:pPr>
    </w:p>
    <w:p w:rsidR="00001674" w:rsidRPr="00001674" w:rsidRDefault="00001674" w:rsidP="00001674">
      <w:pPr>
        <w:tabs>
          <w:tab w:val="left" w:pos="5550"/>
        </w:tabs>
        <w:rPr>
          <w:rFonts w:ascii="Verdana" w:hAnsi="Verdana"/>
          <w:sz w:val="22"/>
          <w:szCs w:val="24"/>
          <w:lang w:val="en-US"/>
        </w:rPr>
      </w:pPr>
    </w:p>
    <w:p w:rsidR="00001674" w:rsidRPr="00001674" w:rsidRDefault="00001674" w:rsidP="00001674">
      <w:pPr>
        <w:tabs>
          <w:tab w:val="left" w:pos="5550"/>
        </w:tabs>
        <w:rPr>
          <w:rFonts w:ascii="Verdana" w:hAnsi="Verdana"/>
          <w:sz w:val="22"/>
          <w:szCs w:val="24"/>
          <w:lang w:val="en-US"/>
        </w:rPr>
      </w:pPr>
    </w:p>
    <w:p w:rsidR="00001674" w:rsidRPr="00001674" w:rsidRDefault="00001674" w:rsidP="00001674">
      <w:pPr>
        <w:tabs>
          <w:tab w:val="left" w:pos="5550"/>
        </w:tabs>
        <w:rPr>
          <w:rFonts w:ascii="Verdana" w:hAnsi="Verdana"/>
          <w:sz w:val="22"/>
          <w:szCs w:val="24"/>
          <w:lang w:val="en-US"/>
        </w:rPr>
      </w:pPr>
    </w:p>
    <w:p w:rsidR="00001674" w:rsidRPr="00001674" w:rsidRDefault="00001674" w:rsidP="00001674">
      <w:pPr>
        <w:tabs>
          <w:tab w:val="left" w:pos="5550"/>
        </w:tabs>
        <w:rPr>
          <w:rFonts w:ascii="Verdana" w:hAnsi="Verdana"/>
          <w:sz w:val="22"/>
          <w:szCs w:val="24"/>
          <w:lang w:val="en-US"/>
        </w:rPr>
      </w:pPr>
      <w:r w:rsidRPr="00001674">
        <w:rPr>
          <w:rFonts w:ascii="Verdana" w:hAnsi="Verdana"/>
          <w:sz w:val="22"/>
          <w:szCs w:val="24"/>
          <w:lang w:val="en-US"/>
        </w:rPr>
        <w:t>Ref: A9627726</w:t>
      </w:r>
      <w:r w:rsidRPr="00001674">
        <w:rPr>
          <w:rFonts w:ascii="Verdana" w:hAnsi="Verdana"/>
          <w:sz w:val="22"/>
          <w:szCs w:val="24"/>
          <w:lang w:val="en-US"/>
        </w:rPr>
        <w:tab/>
      </w:r>
    </w:p>
    <w:sectPr w:rsidR="00001674" w:rsidRPr="00001674" w:rsidSect="004E4940">
      <w:pgSz w:w="16838" w:h="11906" w:orient="landscape" w:code="9"/>
      <w:pgMar w:top="720" w:right="720" w:bottom="720" w:left="720" w:header="284" w:footer="567" w:gutter="0"/>
      <w:cols w:space="720"/>
      <w:formProt w:val="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Mäori">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0160"/>
    <w:multiLevelType w:val="hybridMultilevel"/>
    <w:tmpl w:val="C4C67B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59E7EEB"/>
    <w:multiLevelType w:val="hybridMultilevel"/>
    <w:tmpl w:val="8C9E30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9AB7739"/>
    <w:multiLevelType w:val="hybridMultilevel"/>
    <w:tmpl w:val="185A9B7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16A1579"/>
    <w:multiLevelType w:val="hybridMultilevel"/>
    <w:tmpl w:val="6D9C852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3808406F"/>
    <w:multiLevelType w:val="hybridMultilevel"/>
    <w:tmpl w:val="53ECE71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nsid w:val="3F6249F4"/>
    <w:multiLevelType w:val="hybridMultilevel"/>
    <w:tmpl w:val="1B643E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41AA528B"/>
    <w:multiLevelType w:val="hybridMultilevel"/>
    <w:tmpl w:val="B2AE33E2"/>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495750F7"/>
    <w:multiLevelType w:val="hybridMultilevel"/>
    <w:tmpl w:val="1614867C"/>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4B52407E"/>
    <w:multiLevelType w:val="hybridMultilevel"/>
    <w:tmpl w:val="A0E038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53DB3119"/>
    <w:multiLevelType w:val="hybridMultilevel"/>
    <w:tmpl w:val="8654A5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6F3E64A4"/>
    <w:multiLevelType w:val="hybridMultilevel"/>
    <w:tmpl w:val="530C5C1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748B50D4"/>
    <w:multiLevelType w:val="hybridMultilevel"/>
    <w:tmpl w:val="26F849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7"/>
  </w:num>
  <w:num w:numId="5">
    <w:abstractNumId w:val="3"/>
  </w:num>
  <w:num w:numId="6">
    <w:abstractNumId w:val="1"/>
  </w:num>
  <w:num w:numId="7">
    <w:abstractNumId w:val="2"/>
  </w:num>
  <w:num w:numId="8">
    <w:abstractNumId w:val="8"/>
  </w:num>
  <w:num w:numId="9">
    <w:abstractNumId w:val="10"/>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674"/>
    <w:rsid w:val="00001674"/>
    <w:rsid w:val="00025ACD"/>
    <w:rsid w:val="00047A49"/>
    <w:rsid w:val="001E5265"/>
    <w:rsid w:val="00265417"/>
    <w:rsid w:val="00294065"/>
    <w:rsid w:val="002B7465"/>
    <w:rsid w:val="002F35DC"/>
    <w:rsid w:val="003374E5"/>
    <w:rsid w:val="003E637D"/>
    <w:rsid w:val="00544971"/>
    <w:rsid w:val="00575DD8"/>
    <w:rsid w:val="00702D49"/>
    <w:rsid w:val="00737329"/>
    <w:rsid w:val="00787AD0"/>
    <w:rsid w:val="007C04C2"/>
    <w:rsid w:val="007C07DA"/>
    <w:rsid w:val="00825114"/>
    <w:rsid w:val="00830764"/>
    <w:rsid w:val="008530B6"/>
    <w:rsid w:val="00862BA5"/>
    <w:rsid w:val="008F5C6D"/>
    <w:rsid w:val="009270EF"/>
    <w:rsid w:val="009752C5"/>
    <w:rsid w:val="00977C23"/>
    <w:rsid w:val="009C4059"/>
    <w:rsid w:val="00A20C4B"/>
    <w:rsid w:val="00A22C8C"/>
    <w:rsid w:val="00A33674"/>
    <w:rsid w:val="00A92BA0"/>
    <w:rsid w:val="00B636F4"/>
    <w:rsid w:val="00C16584"/>
    <w:rsid w:val="00CB68AF"/>
    <w:rsid w:val="00CF7040"/>
    <w:rsid w:val="00DA2F37"/>
    <w:rsid w:val="00E630A7"/>
    <w:rsid w:val="00EA66E1"/>
    <w:rsid w:val="00EC3B4E"/>
    <w:rsid w:val="00EE0CA5"/>
    <w:rsid w:val="00F14BE5"/>
    <w:rsid w:val="00F51BCE"/>
    <w:rsid w:val="00F81DA2"/>
    <w:rsid w:val="00FA17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674"/>
    <w:pPr>
      <w:spacing w:after="0" w:line="240" w:lineRule="auto"/>
    </w:pPr>
    <w:rPr>
      <w:rFonts w:ascii="Times New Roman" w:eastAsia="Times New Roman" w:hAnsi="Times New Roman" w:cs="Times New Roman"/>
      <w:sz w:val="20"/>
      <w:szCs w:val="20"/>
      <w:lang w:val="en-GB"/>
    </w:rPr>
  </w:style>
  <w:style w:type="paragraph" w:styleId="Heading4">
    <w:name w:val="heading 4"/>
    <w:basedOn w:val="Normal"/>
    <w:next w:val="Normal"/>
    <w:link w:val="Heading4Char"/>
    <w:qFormat/>
    <w:rsid w:val="00001674"/>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01674"/>
    <w:rPr>
      <w:rFonts w:ascii="Times New Roman" w:eastAsia="Times New Roman" w:hAnsi="Times New Roman" w:cs="Times New Roman"/>
      <w:sz w:val="24"/>
      <w:szCs w:val="20"/>
      <w:lang w:val="en-GB"/>
    </w:rPr>
  </w:style>
  <w:style w:type="table" w:styleId="TableGrid">
    <w:name w:val="Table Grid"/>
    <w:basedOn w:val="TableNormal"/>
    <w:rsid w:val="00001674"/>
    <w:pPr>
      <w:spacing w:after="0" w:line="240" w:lineRule="auto"/>
    </w:pPr>
    <w:rPr>
      <w:rFonts w:ascii="Times New Roman" w:eastAsia="Times New Roma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1674"/>
    <w:rPr>
      <w:color w:val="0000FF"/>
      <w:u w:val="single"/>
    </w:rPr>
  </w:style>
  <w:style w:type="paragraph" w:styleId="ListParagraph">
    <w:name w:val="List Paragraph"/>
    <w:aliases w:val="List Paragraph1,Recommendation,List Paragraph11,Bulleted Para,NFP GP Bulleted List,FooterText,numbered,Paragraphe de liste1,Bulletr List Paragraph,列出段落,列出段落1,List Paragraph2,List Paragraph21,Listeafsnit1,Parágrafo da Lista1,リスト段落1,L,Body"/>
    <w:basedOn w:val="Normal"/>
    <w:link w:val="ListParagraphChar"/>
    <w:uiPriority w:val="34"/>
    <w:qFormat/>
    <w:rsid w:val="00001674"/>
    <w:pPr>
      <w:ind w:left="720"/>
      <w:contextualSpacing/>
    </w:pPr>
  </w:style>
  <w:style w:type="character" w:customStyle="1" w:styleId="ListParagraphChar">
    <w:name w:val="List Paragraph Char"/>
    <w:aliases w:val="List Paragraph1 Char,Recommendation Char,List Paragraph11 Char,Bulleted Para Char,NFP GP Bulleted List Char,FooterText Char,numbered Char,Paragraphe de liste1 Char,Bulletr List Paragraph Char,列出段落 Char,列出段落1 Char,List Paragraph2 Char"/>
    <w:link w:val="ListParagraph"/>
    <w:uiPriority w:val="34"/>
    <w:locked/>
    <w:rsid w:val="00DA2F37"/>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674"/>
    <w:pPr>
      <w:spacing w:after="0" w:line="240" w:lineRule="auto"/>
    </w:pPr>
    <w:rPr>
      <w:rFonts w:ascii="Times New Roman" w:eastAsia="Times New Roman" w:hAnsi="Times New Roman" w:cs="Times New Roman"/>
      <w:sz w:val="20"/>
      <w:szCs w:val="20"/>
      <w:lang w:val="en-GB"/>
    </w:rPr>
  </w:style>
  <w:style w:type="paragraph" w:styleId="Heading4">
    <w:name w:val="heading 4"/>
    <w:basedOn w:val="Normal"/>
    <w:next w:val="Normal"/>
    <w:link w:val="Heading4Char"/>
    <w:qFormat/>
    <w:rsid w:val="00001674"/>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01674"/>
    <w:rPr>
      <w:rFonts w:ascii="Times New Roman" w:eastAsia="Times New Roman" w:hAnsi="Times New Roman" w:cs="Times New Roman"/>
      <w:sz w:val="24"/>
      <w:szCs w:val="20"/>
      <w:lang w:val="en-GB"/>
    </w:rPr>
  </w:style>
  <w:style w:type="table" w:styleId="TableGrid">
    <w:name w:val="Table Grid"/>
    <w:basedOn w:val="TableNormal"/>
    <w:rsid w:val="00001674"/>
    <w:pPr>
      <w:spacing w:after="0" w:line="240" w:lineRule="auto"/>
    </w:pPr>
    <w:rPr>
      <w:rFonts w:ascii="Times New Roman" w:eastAsia="Times New Roma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1674"/>
    <w:rPr>
      <w:color w:val="0000FF"/>
      <w:u w:val="single"/>
    </w:rPr>
  </w:style>
  <w:style w:type="paragraph" w:styleId="ListParagraph">
    <w:name w:val="List Paragraph"/>
    <w:aliases w:val="List Paragraph1,Recommendation,List Paragraph11,Bulleted Para,NFP GP Bulleted List,FooterText,numbered,Paragraphe de liste1,Bulletr List Paragraph,列出段落,列出段落1,List Paragraph2,List Paragraph21,Listeafsnit1,Parágrafo da Lista1,リスト段落1,L,Body"/>
    <w:basedOn w:val="Normal"/>
    <w:link w:val="ListParagraphChar"/>
    <w:uiPriority w:val="34"/>
    <w:qFormat/>
    <w:rsid w:val="00001674"/>
    <w:pPr>
      <w:ind w:left="720"/>
      <w:contextualSpacing/>
    </w:pPr>
  </w:style>
  <w:style w:type="character" w:customStyle="1" w:styleId="ListParagraphChar">
    <w:name w:val="List Paragraph Char"/>
    <w:aliases w:val="List Paragraph1 Char,Recommendation Char,List Paragraph11 Char,Bulleted Para Char,NFP GP Bulleted List Char,FooterText Char,numbered Char,Paragraphe de liste1 Char,Bulletr List Paragraph Char,列出段落 Char,列出段落1 Char,List Paragraph2 Char"/>
    <w:link w:val="ListParagraph"/>
    <w:uiPriority w:val="34"/>
    <w:locked/>
    <w:rsid w:val="00DA2F37"/>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68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omen.govt.nz/sites/public_files/environmental-scan.pdf" TargetMode="External"/><Relationship Id="rId18" Type="http://schemas.openxmlformats.org/officeDocument/2006/relationships/hyperlink" Target="https://www.healthed.govt.nz/" TargetMode="External"/><Relationship Id="rId26" Type="http://schemas.openxmlformats.org/officeDocument/2006/relationships/hyperlink" Target="http://www.health.govt.nz/publication/well-child-tamariki-ora-quality-improvement-framework" TargetMode="External"/><Relationship Id="rId3" Type="http://schemas.microsoft.com/office/2007/relationships/stylesWithEffects" Target="stylesWithEffects.xml"/><Relationship Id="rId21" Type="http://schemas.openxmlformats.org/officeDocument/2006/relationships/hyperlink" Target="http://www.health.govt.nz/our-work/disability-services/contracting-and-working-disability-support-services/contracts-and-service-specifications" TargetMode="External"/><Relationship Id="rId7" Type="http://schemas.openxmlformats.org/officeDocument/2006/relationships/hyperlink" Target="http://women.govt.nz/sites/public_files/Lightning%20does%20strike%20twice_2012%20report.pdf" TargetMode="External"/><Relationship Id="rId12" Type="http://schemas.openxmlformats.org/officeDocument/2006/relationships/hyperlink" Target="http://women.govt.nz/sites/public_files/responding%20to%20sexual%20violence%20literature-review%20on%20best%20practice-pdf.pdf" TargetMode="External"/><Relationship Id="rId17" Type="http://schemas.openxmlformats.org/officeDocument/2006/relationships/hyperlink" Target="http://tmoa.tki.org.nz/Te-Marautanga-o-Aotearoa" TargetMode="External"/><Relationship Id="rId25" Type="http://schemas.openxmlformats.org/officeDocument/2006/relationships/hyperlink" Target="http://www.health.govt.nz/search/results/sexual%20health"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nzcurriculum.tki.org.nz/The-New-Zealand-Curriculum" TargetMode="External"/><Relationship Id="rId20" Type="http://schemas.openxmlformats.org/officeDocument/2006/relationships/hyperlink" Target="http://www.paediatrics.org.nz/files/DHB%20Scorecards/standardswellbeinglongdocmay02.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omen.govt.nz/sites/public_files/Final%20Current%20thinking%20on%20primary%20prevention.pdf" TargetMode="External"/><Relationship Id="rId11" Type="http://schemas.openxmlformats.org/officeDocument/2006/relationships/hyperlink" Target="http://women.govt.nz/sites/public_files/responding%20to%20sexual%20violence%20attrition-pdf.pdf" TargetMode="External"/><Relationship Id="rId24" Type="http://schemas.openxmlformats.org/officeDocument/2006/relationships/hyperlink" Target="https://www.nzaf.org.nz/services-programmes/hiv-sti-testing/"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omen.govt.nz/sites/public_files/The%20Teaching%20of%20Sexuality%20Education%20in%20Years%207%20to%2013.pdf" TargetMode="External"/><Relationship Id="rId23" Type="http://schemas.openxmlformats.org/officeDocument/2006/relationships/hyperlink" Target="http://www.justthefacts.co.nz/get-help/find-local-sexual-health-sti-clinic-new-zealand/" TargetMode="External"/><Relationship Id="rId28" Type="http://schemas.openxmlformats.org/officeDocument/2006/relationships/hyperlink" Target="http://health.tki.org.nz/Teaching-in-HPE/Policy-guidelines" TargetMode="External"/><Relationship Id="rId10" Type="http://schemas.openxmlformats.org/officeDocument/2006/relationships/hyperlink" Target="http://women.govt.nz/sites/public_files/responding%20to%20sexual%20violence%20attrition-pdf.pdf" TargetMode="External"/><Relationship Id="rId19" Type="http://schemas.openxmlformats.org/officeDocument/2006/relationships/hyperlink" Target="http://www.health.govt.nz/our-work/preventative-health-wellness/sexual-and-reproductive-health" TargetMode="External"/><Relationship Id="rId31"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omen.govt.nz/sites/public_files/cedaw-2010.pdf" TargetMode="External"/><Relationship Id="rId14" Type="http://schemas.openxmlformats.org/officeDocument/2006/relationships/hyperlink" Target="http://women.govt.nz/sites/public_files/restoring-soul-pdf-1.pdf" TargetMode="External"/><Relationship Id="rId22" Type="http://schemas.openxmlformats.org/officeDocument/2006/relationships/hyperlink" Target="http://www.health.govt.nz/publication/consent-child-and-youth-health-information-practitioners" TargetMode="External"/><Relationship Id="rId27" Type="http://schemas.openxmlformats.org/officeDocument/2006/relationships/hyperlink" Target="http://www.health.govt.nz/our-work/preventative-health-wellness/family-violence" TargetMode="External"/><Relationship Id="rId30" Type="http://schemas.openxmlformats.org/officeDocument/2006/relationships/theme" Target="theme/theme1.xml"/><Relationship Id="rId8" Type="http://schemas.openxmlformats.org/officeDocument/2006/relationships/hyperlink" Target="http://women.govt.nz/sites/public_files/Lightning%20does%20strike%20twice_2012%20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3308EE-479C-404D-B75E-AD81AE6871FE}"/>
</file>

<file path=customXml/itemProps2.xml><?xml version="1.0" encoding="utf-8"?>
<ds:datastoreItem xmlns:ds="http://schemas.openxmlformats.org/officeDocument/2006/customXml" ds:itemID="{FDA49AB2-370B-46D0-A06B-52D8ECE459AC}"/>
</file>

<file path=customXml/itemProps3.xml><?xml version="1.0" encoding="utf-8"?>
<ds:datastoreItem xmlns:ds="http://schemas.openxmlformats.org/officeDocument/2006/customXml" ds:itemID="{68213259-5984-4F74-B933-0E43AD9C5FA2}"/>
</file>

<file path=docProps/app.xml><?xml version="1.0" encoding="utf-8"?>
<Properties xmlns="http://schemas.openxmlformats.org/officeDocument/2006/extended-properties" xmlns:vt="http://schemas.openxmlformats.org/officeDocument/2006/docPropsVTypes">
  <Template>Normal</Template>
  <TotalTime>128</TotalTime>
  <Pages>1</Pages>
  <Words>2752</Words>
  <Characters>15692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PMNewZealand</dc:title>
  <dc:creator>Catherine Brennan</dc:creator>
  <cp:lastModifiedBy>Catherine Brennan</cp:lastModifiedBy>
  <cp:revision>41</cp:revision>
  <cp:lastPrinted>2017-05-29T00:07:00Z</cp:lastPrinted>
  <dcterms:created xsi:type="dcterms:W3CDTF">2017-05-25T22:22:00Z</dcterms:created>
  <dcterms:modified xsi:type="dcterms:W3CDTF">2017-05-29T04:02:00Z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A9627726</vt:lpwstr>
  </property>
  <property fmtid="{D5CDD505-2E9C-101B-9397-08002B2CF9AE}" pid="4" name="Objective-Title">
    <vt:lpwstr>Q1: SR Questionnaire on the right to sexual and reproductive health rights of girls with disabilities</vt:lpwstr>
  </property>
  <property fmtid="{D5CDD505-2E9C-101B-9397-08002B2CF9AE}" pid="5" name="Objective-Comment">
    <vt:lpwstr/>
  </property>
  <property fmtid="{D5CDD505-2E9C-101B-9397-08002B2CF9AE}" pid="6" name="Objective-CreationStamp">
    <vt:filetime>2017-05-09T00:13:10Z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2017-05-29T03:38:35Z</vt:filetime>
  </property>
  <property fmtid="{D5CDD505-2E9C-101B-9397-08002B2CF9AE}" pid="11" name="Objective-Owner">
    <vt:lpwstr>Amy Evanson</vt:lpwstr>
  </property>
  <property fmtid="{D5CDD505-2E9C-101B-9397-08002B2CF9AE}" pid="12" name="Objective-Path">
    <vt:lpwstr>Global Folder:MSD INFORMATION REPOSITORY:Office &amp; Ministries:Office for Disability Issues:Advice - second opinion, provided to other agencies:International:United Nations:June 2016 to July 2017:2017 05 09 Special Rapporteur questionnaires:2017 05 09 Speci</vt:lpwstr>
  </property>
  <property fmtid="{D5CDD505-2E9C-101B-9397-08002B2CF9AE}" pid="13" name="Objective-Parent">
    <vt:lpwstr>2017 05 09 Special Rapporteur Questionnaire on the right to sexual and reproductive health</vt:lpwstr>
  </property>
  <property fmtid="{D5CDD505-2E9C-101B-9397-08002B2CF9AE}" pid="14" name="Objective-State">
    <vt:lpwstr>Being Edited</vt:lpwstr>
  </property>
  <property fmtid="{D5CDD505-2E9C-101B-9397-08002B2CF9AE}" pid="15" name="Objective-Version">
    <vt:lpwstr>12.1</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OM/DI/07/17/11-20395</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ontentTypeId">
    <vt:lpwstr>0x0101008822B9E06671B54FA89F14538B9B0FEA</vt:lpwstr>
  </property>
</Properties>
</file>