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712905" w14:textId="77777777" w:rsidR="0048517E" w:rsidRPr="001C0208" w:rsidRDefault="0048517E" w:rsidP="00EB1891">
      <w:pPr>
        <w:jc w:val="center"/>
        <w:rPr>
          <w:rFonts w:ascii="Calibri" w:hAnsi="Calibri"/>
          <w:b/>
          <w:sz w:val="24"/>
          <w:szCs w:val="24"/>
          <w:lang w:val="es-ES"/>
        </w:rPr>
      </w:pPr>
      <w:bookmarkStart w:id="0" w:name="_GoBack"/>
      <w:bookmarkEnd w:id="0"/>
    </w:p>
    <w:p w14:paraId="20712906" w14:textId="77777777" w:rsidR="00EB1891" w:rsidRPr="001C0208" w:rsidRDefault="00EB1891" w:rsidP="00EB1891">
      <w:pPr>
        <w:jc w:val="center"/>
        <w:rPr>
          <w:rFonts w:ascii="Calibri" w:hAnsi="Calibri"/>
          <w:b/>
          <w:sz w:val="24"/>
          <w:szCs w:val="24"/>
          <w:lang w:val="es-ES"/>
        </w:rPr>
      </w:pPr>
      <w:r w:rsidRPr="001C0208">
        <w:rPr>
          <w:rFonts w:ascii="Calibri" w:hAnsi="Calibri"/>
          <w:b/>
          <w:sz w:val="24"/>
          <w:szCs w:val="24"/>
          <w:lang w:val="es-ES"/>
        </w:rPr>
        <w:t>INFORME SOBRE EL DERECHO DE ACCESO A LA JUSTICIA DE LAS PERSONAS CON DISCAPACIDAD EN MÉXICO.</w:t>
      </w:r>
    </w:p>
    <w:p w14:paraId="20712907" w14:textId="77777777" w:rsidR="00EB1891" w:rsidRPr="001C0208" w:rsidRDefault="00EB1891" w:rsidP="00EB1891">
      <w:pPr>
        <w:jc w:val="both"/>
        <w:rPr>
          <w:rFonts w:ascii="Calibri" w:hAnsi="Calibri"/>
          <w:sz w:val="24"/>
          <w:szCs w:val="24"/>
          <w:lang w:val="es-ES"/>
        </w:rPr>
      </w:pPr>
    </w:p>
    <w:p w14:paraId="20712908" w14:textId="77777777" w:rsidR="00EB1891" w:rsidRPr="001C0208" w:rsidRDefault="00EB1891" w:rsidP="00EB1891">
      <w:pPr>
        <w:jc w:val="both"/>
        <w:rPr>
          <w:rFonts w:ascii="Calibri" w:hAnsi="Calibri"/>
          <w:sz w:val="24"/>
          <w:szCs w:val="24"/>
          <w:lang w:val="es-ES"/>
        </w:rPr>
      </w:pPr>
    </w:p>
    <w:p w14:paraId="20712909" w14:textId="77777777" w:rsidR="00EB1891" w:rsidRPr="001C0208" w:rsidRDefault="00EB1891" w:rsidP="00EB1891">
      <w:pPr>
        <w:jc w:val="right"/>
        <w:rPr>
          <w:rFonts w:ascii="Calibri" w:hAnsi="Calibri"/>
          <w:sz w:val="24"/>
          <w:szCs w:val="24"/>
          <w:lang w:val="es-ES"/>
        </w:rPr>
      </w:pPr>
      <w:r w:rsidRPr="001C0208">
        <w:rPr>
          <w:rFonts w:ascii="Calibri" w:hAnsi="Calibri"/>
          <w:sz w:val="24"/>
          <w:szCs w:val="24"/>
          <w:lang w:val="es-ES"/>
        </w:rPr>
        <w:t>Documenta, Análisis y acción sobre la justicia social A.C.</w:t>
      </w:r>
    </w:p>
    <w:p w14:paraId="2071290A" w14:textId="77777777" w:rsidR="00EB1891" w:rsidRPr="001C0208" w:rsidRDefault="00EB1891" w:rsidP="00EB1891">
      <w:pPr>
        <w:jc w:val="right"/>
        <w:rPr>
          <w:rFonts w:ascii="Calibri" w:hAnsi="Calibri"/>
          <w:sz w:val="24"/>
          <w:szCs w:val="24"/>
          <w:lang w:val="es-ES"/>
        </w:rPr>
      </w:pPr>
      <w:r w:rsidRPr="001C0208">
        <w:rPr>
          <w:rFonts w:ascii="Calibri" w:hAnsi="Calibri"/>
          <w:sz w:val="24"/>
          <w:szCs w:val="24"/>
          <w:lang w:val="es-ES"/>
        </w:rPr>
        <w:t xml:space="preserve">Organización de la sociedad civil </w:t>
      </w:r>
    </w:p>
    <w:p w14:paraId="2071290B" w14:textId="77777777" w:rsidR="00EB1891" w:rsidRPr="001C0208" w:rsidRDefault="00EB1891" w:rsidP="00EB1891">
      <w:pPr>
        <w:jc w:val="both"/>
        <w:rPr>
          <w:rFonts w:ascii="Calibri" w:hAnsi="Calibri"/>
          <w:sz w:val="24"/>
          <w:szCs w:val="24"/>
          <w:lang w:val="es-ES"/>
        </w:rPr>
      </w:pPr>
    </w:p>
    <w:p w14:paraId="2071290C" w14:textId="77777777" w:rsidR="00EB1891" w:rsidRPr="001C0208" w:rsidRDefault="00EB1891" w:rsidP="00EB1891">
      <w:pPr>
        <w:jc w:val="both"/>
        <w:rPr>
          <w:rFonts w:ascii="Calibri" w:hAnsi="Calibri"/>
          <w:sz w:val="24"/>
          <w:szCs w:val="24"/>
          <w:lang w:val="es-ES"/>
        </w:rPr>
      </w:pPr>
    </w:p>
    <w:p w14:paraId="2071290D" w14:textId="77777777" w:rsidR="00EB1891" w:rsidRPr="001C0208" w:rsidRDefault="00EB1891" w:rsidP="00EB1891">
      <w:pPr>
        <w:jc w:val="both"/>
        <w:rPr>
          <w:rFonts w:ascii="Calibri" w:hAnsi="Calibri"/>
          <w:sz w:val="24"/>
          <w:szCs w:val="24"/>
          <w:lang w:val="es-ES"/>
        </w:rPr>
      </w:pPr>
      <w:r w:rsidRPr="001C0208">
        <w:rPr>
          <w:rFonts w:ascii="Calibri" w:hAnsi="Calibri"/>
          <w:sz w:val="24"/>
          <w:szCs w:val="24"/>
          <w:lang w:val="es-ES"/>
        </w:rPr>
        <w:t xml:space="preserve">Sirva el presente informe para dar respuesta a la solicitud emitida por la Oficina del Alto Comisionado de las Naciones Unidas para los Derechos Humanos (OACNUDH) en relación con la resolución 31/6 del Consejo de Derechos Humanos sobre los derechos de las personas con discapacidad, específicamente con respecto a la realización de un estudio sobre el artículo 13 de dicha Convención. </w:t>
      </w:r>
    </w:p>
    <w:p w14:paraId="2071290E" w14:textId="77777777" w:rsidR="00EB1891" w:rsidRPr="001C0208" w:rsidRDefault="00EB1891" w:rsidP="00EB1891">
      <w:pPr>
        <w:jc w:val="both"/>
        <w:rPr>
          <w:rFonts w:ascii="Calibri" w:hAnsi="Calibri"/>
          <w:sz w:val="24"/>
          <w:szCs w:val="24"/>
          <w:lang w:val="es-ES"/>
        </w:rPr>
      </w:pPr>
    </w:p>
    <w:p w14:paraId="2071290F" w14:textId="77777777" w:rsidR="00EB1891" w:rsidRPr="001C0208" w:rsidRDefault="00EB1891" w:rsidP="00EB1891">
      <w:pPr>
        <w:jc w:val="both"/>
        <w:rPr>
          <w:rFonts w:ascii="Calibri" w:hAnsi="Calibri"/>
          <w:sz w:val="24"/>
          <w:szCs w:val="24"/>
          <w:lang w:val="es-ES"/>
        </w:rPr>
      </w:pPr>
      <w:r w:rsidRPr="001C0208">
        <w:rPr>
          <w:rFonts w:ascii="Calibri" w:hAnsi="Calibri"/>
          <w:sz w:val="24"/>
          <w:szCs w:val="24"/>
          <w:lang w:val="es-ES"/>
        </w:rPr>
        <w:t>El presente informe es el resultado de la experiencia en el litigio, la investigación y la incidencia de Documenta, una organización de la sociedad civil mexicana dedicada a la defensa y promoción de los derechos humanos de las personas con discapacidad, particularmente el derecho al acceso a la justicia de las personas con discapacidad intelectual y psicosocial (www.documenta.org.mx)</w:t>
      </w:r>
    </w:p>
    <w:p w14:paraId="20712910" w14:textId="77777777" w:rsidR="00EB1891" w:rsidRPr="001C0208" w:rsidRDefault="00EB1891" w:rsidP="00EB1891">
      <w:pPr>
        <w:jc w:val="both"/>
        <w:rPr>
          <w:rFonts w:ascii="Calibri" w:hAnsi="Calibri"/>
          <w:sz w:val="24"/>
          <w:szCs w:val="24"/>
          <w:lang w:val="es-ES"/>
        </w:rPr>
      </w:pPr>
    </w:p>
    <w:p w14:paraId="20712911" w14:textId="77777777" w:rsidR="00EB1891" w:rsidRPr="001C0208" w:rsidRDefault="00EB1891" w:rsidP="00EB1891">
      <w:pPr>
        <w:jc w:val="both"/>
        <w:rPr>
          <w:rFonts w:ascii="Calibri" w:hAnsi="Calibri"/>
          <w:b/>
          <w:sz w:val="24"/>
          <w:szCs w:val="24"/>
          <w:lang w:val="es-ES"/>
        </w:rPr>
      </w:pPr>
      <w:r w:rsidRPr="001C0208">
        <w:rPr>
          <w:rFonts w:ascii="Calibri" w:hAnsi="Calibri"/>
          <w:b/>
          <w:sz w:val="24"/>
          <w:szCs w:val="24"/>
          <w:lang w:val="es-ES"/>
        </w:rPr>
        <w:t xml:space="preserve">INFORMACIÓN RELATIVA AL CUESTIONARIO </w:t>
      </w:r>
    </w:p>
    <w:p w14:paraId="20712912" w14:textId="77777777" w:rsidR="00EB1891" w:rsidRPr="001C0208" w:rsidRDefault="00EB1891" w:rsidP="00EB1891">
      <w:pPr>
        <w:jc w:val="both"/>
        <w:rPr>
          <w:rFonts w:ascii="Calibri" w:hAnsi="Calibri"/>
          <w:b/>
          <w:sz w:val="24"/>
          <w:szCs w:val="24"/>
          <w:lang w:val="es-ES"/>
        </w:rPr>
      </w:pPr>
    </w:p>
    <w:p w14:paraId="20712913" w14:textId="77777777" w:rsidR="00EB1891" w:rsidRPr="001C0208" w:rsidRDefault="00EB1891" w:rsidP="00EB1891">
      <w:pPr>
        <w:jc w:val="both"/>
        <w:rPr>
          <w:rFonts w:ascii="Calibri" w:hAnsi="Calibri"/>
          <w:i/>
          <w:sz w:val="24"/>
          <w:szCs w:val="24"/>
          <w:lang w:val="es-ES"/>
        </w:rPr>
      </w:pPr>
      <w:r w:rsidRPr="001C0208">
        <w:rPr>
          <w:rFonts w:ascii="Calibri" w:hAnsi="Calibri"/>
          <w:i/>
          <w:sz w:val="24"/>
          <w:szCs w:val="24"/>
          <w:lang w:val="es-ES"/>
        </w:rPr>
        <w:t xml:space="preserve">1. Leyes, políticas o guías sobre acceso a la justicia, en cualquier nivel de gobierno, que garantice el acceso a la justicia de las personas con discapacidad, particularmente mujeres y niños y niñas con discapacidad a: </w:t>
      </w:r>
    </w:p>
    <w:p w14:paraId="20712914" w14:textId="77777777" w:rsidR="00EB1891" w:rsidRPr="001C0208" w:rsidRDefault="00EB1891" w:rsidP="00EB1891">
      <w:pPr>
        <w:jc w:val="both"/>
        <w:rPr>
          <w:rFonts w:ascii="Calibri" w:hAnsi="Calibri"/>
          <w:i/>
          <w:sz w:val="24"/>
          <w:szCs w:val="24"/>
          <w:lang w:val="es-ES"/>
        </w:rPr>
      </w:pPr>
    </w:p>
    <w:p w14:paraId="20712915" w14:textId="77777777" w:rsidR="007607E4" w:rsidRPr="001C0208" w:rsidRDefault="00EB1891" w:rsidP="00EB1891">
      <w:pPr>
        <w:jc w:val="both"/>
        <w:rPr>
          <w:rFonts w:ascii="Calibri" w:hAnsi="Calibri"/>
          <w:i/>
          <w:sz w:val="24"/>
          <w:szCs w:val="24"/>
          <w:lang w:val="es-ES"/>
        </w:rPr>
      </w:pPr>
      <w:r w:rsidRPr="001C0208">
        <w:rPr>
          <w:rFonts w:ascii="Calibri" w:hAnsi="Calibri"/>
          <w:i/>
          <w:sz w:val="24"/>
          <w:szCs w:val="24"/>
          <w:lang w:val="es-ES"/>
        </w:rPr>
        <w:t>a. participar en procedimientos administrativos y judiciales en igualdad de condiciones con los demás en su rol de testigos, jurados, demandante, acusado u otro, incluso mediante ajustes de procedimiento y adecuados a la edad, (por favor identifique y comparta el texto de dichas previsiones);</w:t>
      </w:r>
    </w:p>
    <w:p w14:paraId="20712916" w14:textId="77777777" w:rsidR="00EB1891" w:rsidRPr="001C0208" w:rsidRDefault="00EB1891" w:rsidP="007607E4">
      <w:pPr>
        <w:jc w:val="both"/>
        <w:rPr>
          <w:rFonts w:ascii="Calibri" w:hAnsi="Calibri"/>
          <w:i/>
          <w:sz w:val="24"/>
          <w:szCs w:val="24"/>
          <w:lang w:val="es-ES"/>
        </w:rPr>
      </w:pPr>
    </w:p>
    <w:p w14:paraId="20712917" w14:textId="77777777" w:rsidR="00202FC0" w:rsidRPr="001C0208" w:rsidRDefault="00202FC0" w:rsidP="00202FC0">
      <w:pPr>
        <w:jc w:val="both"/>
        <w:rPr>
          <w:rFonts w:ascii="Calibri" w:hAnsi="Calibri"/>
          <w:i/>
          <w:sz w:val="24"/>
          <w:szCs w:val="24"/>
          <w:lang w:val="es-ES"/>
        </w:rPr>
      </w:pPr>
      <w:r w:rsidRPr="00202FC0">
        <w:rPr>
          <w:rFonts w:ascii="Calibri" w:hAnsi="Calibri"/>
          <w:i/>
          <w:sz w:val="24"/>
          <w:szCs w:val="24"/>
          <w:lang w:val="es-ES"/>
        </w:rPr>
        <w:t>b. tener capacidad procesal en todo procedimiento administrativo y proceso judicial, incluyendo el derecho a ser oído como parte del derecho a un juicio justo;</w:t>
      </w:r>
    </w:p>
    <w:p w14:paraId="20712918" w14:textId="77777777" w:rsidR="00EB1891" w:rsidRPr="001C0208" w:rsidRDefault="00EB1891" w:rsidP="007607E4">
      <w:pPr>
        <w:jc w:val="both"/>
        <w:rPr>
          <w:rFonts w:ascii="Calibri" w:hAnsi="Calibri"/>
          <w:sz w:val="24"/>
          <w:szCs w:val="24"/>
          <w:lang w:val="es-ES"/>
        </w:rPr>
      </w:pPr>
    </w:p>
    <w:p w14:paraId="20712919" w14:textId="77777777" w:rsidR="00A72978" w:rsidRPr="001C0208" w:rsidRDefault="00A72978" w:rsidP="0048517E">
      <w:pPr>
        <w:jc w:val="both"/>
        <w:rPr>
          <w:rFonts w:ascii="Calibri" w:hAnsi="Calibri"/>
          <w:sz w:val="24"/>
          <w:szCs w:val="24"/>
          <w:lang w:val="es-ES"/>
        </w:rPr>
      </w:pPr>
      <w:r w:rsidRPr="001C0208">
        <w:rPr>
          <w:rFonts w:ascii="Calibri" w:hAnsi="Calibri"/>
          <w:sz w:val="24"/>
          <w:szCs w:val="24"/>
          <w:lang w:val="es-ES"/>
        </w:rPr>
        <w:t>El Código Nacional de Procedimientos Penales publicado en el Diario Oficial de la Federación el 5 de marzo de 2014 contempla un cambio legislativo y procedimental en el tratamiento de las personas inimputables que se enfrentan a un proceso penal</w:t>
      </w:r>
      <w:r w:rsidR="00AF3362" w:rsidRPr="001C0208">
        <w:rPr>
          <w:rFonts w:ascii="Calibri" w:hAnsi="Calibri"/>
          <w:sz w:val="24"/>
          <w:szCs w:val="24"/>
          <w:lang w:val="es-ES"/>
        </w:rPr>
        <w:t xml:space="preserve"> en México</w:t>
      </w:r>
      <w:r w:rsidRPr="001C0208">
        <w:rPr>
          <w:rFonts w:ascii="Calibri" w:hAnsi="Calibri"/>
          <w:sz w:val="24"/>
          <w:szCs w:val="24"/>
          <w:lang w:val="es-ES"/>
        </w:rPr>
        <w:t>. De acuerdo a las disposiciones de este código las personas declaradas inimputables</w:t>
      </w:r>
      <w:r w:rsidR="00AF3362" w:rsidRPr="001C0208">
        <w:rPr>
          <w:rFonts w:ascii="Calibri" w:hAnsi="Calibri"/>
          <w:sz w:val="24"/>
          <w:szCs w:val="24"/>
          <w:lang w:val="es-ES"/>
        </w:rPr>
        <w:t xml:space="preserve"> tienen el derecho a participar de todas las etapas del proceso penal y su participación afectiva deberá garantizarse a través de ajustes razonables </w:t>
      </w:r>
      <w:r w:rsidR="00AF3362" w:rsidRPr="001C0208">
        <w:rPr>
          <w:rFonts w:ascii="Calibri" w:hAnsi="Calibri"/>
          <w:sz w:val="24"/>
          <w:szCs w:val="24"/>
          <w:lang w:val="es-ES"/>
        </w:rPr>
        <w:lastRenderedPageBreak/>
        <w:t xml:space="preserve">para garantizar el acceso a la justicia. Las disposiciones están contempladas en el capítulo único del Código: </w:t>
      </w:r>
    </w:p>
    <w:p w14:paraId="2071291A" w14:textId="77777777" w:rsidR="00A72978" w:rsidRPr="001C0208" w:rsidRDefault="00A72978" w:rsidP="0048517E">
      <w:pPr>
        <w:jc w:val="both"/>
        <w:rPr>
          <w:rFonts w:ascii="Calibri" w:hAnsi="Calibri"/>
          <w:sz w:val="24"/>
          <w:szCs w:val="24"/>
          <w:lang w:val="es-ES"/>
        </w:rPr>
      </w:pPr>
    </w:p>
    <w:p w14:paraId="2071291B" w14:textId="77777777" w:rsidR="00A72978" w:rsidRPr="001C0208" w:rsidRDefault="00A72978" w:rsidP="0048517E">
      <w:pPr>
        <w:jc w:val="both"/>
        <w:rPr>
          <w:rFonts w:ascii="Calibri" w:hAnsi="Calibri"/>
          <w:sz w:val="24"/>
          <w:szCs w:val="24"/>
          <w:lang w:val="es-ES"/>
        </w:rPr>
      </w:pPr>
    </w:p>
    <w:p w14:paraId="2071291C" w14:textId="77777777" w:rsidR="00A72978" w:rsidRPr="001C0208" w:rsidRDefault="00A72978" w:rsidP="0048517E">
      <w:pPr>
        <w:ind w:left="720"/>
        <w:jc w:val="center"/>
        <w:rPr>
          <w:rFonts w:ascii="Calibri" w:hAnsi="Calibri"/>
          <w:sz w:val="24"/>
          <w:szCs w:val="24"/>
          <w:lang w:val="es-ES"/>
        </w:rPr>
      </w:pPr>
      <w:r w:rsidRPr="001C0208">
        <w:rPr>
          <w:rFonts w:ascii="Calibri" w:hAnsi="Calibri"/>
          <w:sz w:val="24"/>
          <w:szCs w:val="24"/>
          <w:lang w:val="es-ES"/>
        </w:rPr>
        <w:t>CAPÍTULO ÚNICO</w:t>
      </w:r>
    </w:p>
    <w:p w14:paraId="2071291D" w14:textId="77777777" w:rsidR="00A72978" w:rsidRPr="001C0208" w:rsidRDefault="00A72978" w:rsidP="00AF3362">
      <w:pPr>
        <w:ind w:left="720"/>
        <w:jc w:val="center"/>
        <w:rPr>
          <w:rFonts w:ascii="Calibri" w:hAnsi="Calibri"/>
          <w:sz w:val="24"/>
          <w:szCs w:val="24"/>
          <w:lang w:val="es-ES"/>
        </w:rPr>
      </w:pPr>
      <w:r w:rsidRPr="001C0208">
        <w:rPr>
          <w:rFonts w:ascii="Calibri" w:hAnsi="Calibri"/>
          <w:sz w:val="24"/>
          <w:szCs w:val="24"/>
          <w:lang w:val="es-ES"/>
        </w:rPr>
        <w:t>PROCEDIMIENTO PARA PERSONAS INIMPUTABLES</w:t>
      </w:r>
    </w:p>
    <w:p w14:paraId="2071291E" w14:textId="77777777" w:rsidR="00A72978" w:rsidRPr="001C0208" w:rsidRDefault="00A72978" w:rsidP="00AF3362">
      <w:pPr>
        <w:ind w:left="720"/>
        <w:jc w:val="both"/>
        <w:rPr>
          <w:rFonts w:ascii="Calibri" w:hAnsi="Calibri"/>
          <w:sz w:val="24"/>
          <w:szCs w:val="24"/>
          <w:lang w:val="es-ES"/>
        </w:rPr>
      </w:pPr>
    </w:p>
    <w:p w14:paraId="2071291F" w14:textId="77777777" w:rsidR="00A72978" w:rsidRPr="001C0208" w:rsidRDefault="00A72978" w:rsidP="00AF3362">
      <w:pPr>
        <w:ind w:left="720"/>
        <w:jc w:val="both"/>
        <w:rPr>
          <w:rFonts w:ascii="Calibri" w:hAnsi="Calibri"/>
          <w:sz w:val="24"/>
          <w:szCs w:val="24"/>
          <w:lang w:val="es-ES"/>
        </w:rPr>
      </w:pPr>
      <w:r w:rsidRPr="001C0208">
        <w:rPr>
          <w:rFonts w:ascii="Calibri" w:hAnsi="Calibri"/>
          <w:sz w:val="24"/>
          <w:szCs w:val="24"/>
          <w:lang w:val="es-ES"/>
        </w:rPr>
        <w:t>Artículo 414. Procedimiento para la aplicación de ajustes razonables en la audiencia inicial</w:t>
      </w:r>
    </w:p>
    <w:p w14:paraId="20712920" w14:textId="77777777" w:rsidR="00A72978" w:rsidRPr="001C0208" w:rsidRDefault="00A72978" w:rsidP="0048517E">
      <w:pPr>
        <w:ind w:left="720"/>
        <w:jc w:val="both"/>
        <w:rPr>
          <w:rFonts w:ascii="Calibri" w:hAnsi="Calibri"/>
          <w:sz w:val="24"/>
          <w:szCs w:val="24"/>
          <w:lang w:val="es-ES"/>
        </w:rPr>
      </w:pPr>
      <w:r w:rsidRPr="001C0208">
        <w:rPr>
          <w:rFonts w:ascii="Calibri" w:hAnsi="Calibri"/>
          <w:sz w:val="24"/>
          <w:szCs w:val="24"/>
          <w:lang w:val="es-ES"/>
        </w:rPr>
        <w:t>Si en el curso de la audiencia inicial, aparecen indi</w:t>
      </w:r>
      <w:r w:rsidR="0048517E" w:rsidRPr="001C0208">
        <w:rPr>
          <w:rFonts w:ascii="Calibri" w:hAnsi="Calibri"/>
          <w:sz w:val="24"/>
          <w:szCs w:val="24"/>
          <w:lang w:val="es-ES"/>
        </w:rPr>
        <w:t xml:space="preserve">cios de que el imputado está en </w:t>
      </w:r>
      <w:r w:rsidRPr="001C0208">
        <w:rPr>
          <w:rFonts w:ascii="Calibri" w:hAnsi="Calibri"/>
          <w:sz w:val="24"/>
          <w:szCs w:val="24"/>
          <w:lang w:val="es-ES"/>
        </w:rPr>
        <w:t>alguno de los</w:t>
      </w:r>
      <w:r w:rsidR="0048517E" w:rsidRPr="001C0208">
        <w:rPr>
          <w:rFonts w:ascii="Calibri" w:hAnsi="Calibri"/>
          <w:sz w:val="24"/>
          <w:szCs w:val="24"/>
          <w:lang w:val="es-ES"/>
        </w:rPr>
        <w:t xml:space="preserve"> </w:t>
      </w:r>
      <w:r w:rsidRPr="001C0208">
        <w:rPr>
          <w:rFonts w:ascii="Calibri" w:hAnsi="Calibri"/>
          <w:sz w:val="24"/>
          <w:szCs w:val="24"/>
          <w:lang w:val="es-ES"/>
        </w:rPr>
        <w:t>supuestos de inimputabilidad previstos en la Parte General del Código Penal aplicable, cualquiera de las partes podrá solicitar al Juez de control que ordene la práctica de peritajes que determinen si efectivamente es inimputable y en caso de serlo, si la inimputabilidad es permanente o transitoria y, en su caso, si ésta fue provocada por el imputado. La audiencia continuará con las mismas reglas generales</w:t>
      </w:r>
      <w:r w:rsidR="00AF3362" w:rsidRPr="001C0208">
        <w:rPr>
          <w:rFonts w:ascii="Calibri" w:hAnsi="Calibri"/>
          <w:sz w:val="24"/>
          <w:szCs w:val="24"/>
          <w:lang w:val="es-ES"/>
        </w:rPr>
        <w:t xml:space="preserve"> </w:t>
      </w:r>
      <w:r w:rsidRPr="001C0208">
        <w:rPr>
          <w:rFonts w:ascii="Calibri" w:hAnsi="Calibri"/>
          <w:sz w:val="24"/>
          <w:szCs w:val="24"/>
          <w:lang w:val="es-ES"/>
        </w:rPr>
        <w:t>pero se proveerán los ajustes razonables que determine el Juez de control para garantizar el acceso a la</w:t>
      </w:r>
      <w:r w:rsidR="00AF3362" w:rsidRPr="001C0208">
        <w:rPr>
          <w:rFonts w:ascii="Calibri" w:hAnsi="Calibri"/>
          <w:sz w:val="24"/>
          <w:szCs w:val="24"/>
          <w:lang w:val="es-ES"/>
        </w:rPr>
        <w:t xml:space="preserve"> </w:t>
      </w:r>
      <w:r w:rsidRPr="001C0208">
        <w:rPr>
          <w:rFonts w:ascii="Calibri" w:hAnsi="Calibri"/>
          <w:sz w:val="24"/>
          <w:szCs w:val="24"/>
          <w:lang w:val="es-ES"/>
        </w:rPr>
        <w:t>justicia de la persona.</w:t>
      </w:r>
    </w:p>
    <w:p w14:paraId="20712921" w14:textId="77777777" w:rsidR="00AF3362" w:rsidRPr="001C0208" w:rsidRDefault="00AF3362" w:rsidP="00AF3362">
      <w:pPr>
        <w:ind w:left="720"/>
        <w:jc w:val="both"/>
        <w:rPr>
          <w:rFonts w:ascii="Calibri" w:hAnsi="Calibri"/>
          <w:sz w:val="24"/>
          <w:szCs w:val="24"/>
          <w:lang w:val="es-ES"/>
        </w:rPr>
      </w:pPr>
    </w:p>
    <w:p w14:paraId="20712922" w14:textId="77777777" w:rsidR="00A72978" w:rsidRPr="001C0208" w:rsidRDefault="00A72978" w:rsidP="00AF3362">
      <w:pPr>
        <w:ind w:left="720"/>
        <w:jc w:val="both"/>
        <w:rPr>
          <w:rFonts w:ascii="Calibri" w:hAnsi="Calibri"/>
          <w:sz w:val="24"/>
          <w:szCs w:val="24"/>
          <w:lang w:val="es-ES"/>
        </w:rPr>
      </w:pPr>
      <w:r w:rsidRPr="001C0208">
        <w:rPr>
          <w:rFonts w:ascii="Calibri" w:hAnsi="Calibri"/>
          <w:sz w:val="24"/>
          <w:szCs w:val="24"/>
          <w:lang w:val="es-ES"/>
        </w:rPr>
        <w:t>En los casos en que la persona se encuentre retenida, el Ministerio Público deberá aplicar ajustes</w:t>
      </w:r>
      <w:r w:rsidR="00AF3362" w:rsidRPr="001C0208">
        <w:rPr>
          <w:rFonts w:ascii="Calibri" w:hAnsi="Calibri"/>
          <w:sz w:val="24"/>
          <w:szCs w:val="24"/>
          <w:lang w:val="es-ES"/>
        </w:rPr>
        <w:t xml:space="preserve"> </w:t>
      </w:r>
      <w:r w:rsidRPr="001C0208">
        <w:rPr>
          <w:rFonts w:ascii="Calibri" w:hAnsi="Calibri"/>
          <w:sz w:val="24"/>
          <w:szCs w:val="24"/>
          <w:lang w:val="es-ES"/>
        </w:rPr>
        <w:t>razonables para evitar un mayor grado de vulnerabilidad y el respeto a su integridad personal. Para tales</w:t>
      </w:r>
      <w:r w:rsidR="00AF3362" w:rsidRPr="001C0208">
        <w:rPr>
          <w:rFonts w:ascii="Calibri" w:hAnsi="Calibri"/>
          <w:sz w:val="24"/>
          <w:szCs w:val="24"/>
          <w:lang w:val="es-ES"/>
        </w:rPr>
        <w:t xml:space="preserve"> </w:t>
      </w:r>
      <w:r w:rsidRPr="001C0208">
        <w:rPr>
          <w:rFonts w:ascii="Calibri" w:hAnsi="Calibri"/>
          <w:sz w:val="24"/>
          <w:szCs w:val="24"/>
          <w:lang w:val="es-ES"/>
        </w:rPr>
        <w:t>efectos, estará en posibilidad de solicitar la práctica de aquellos peritajes que permitan determinar el tipo</w:t>
      </w:r>
      <w:r w:rsidR="00AF3362" w:rsidRPr="001C0208">
        <w:rPr>
          <w:rFonts w:ascii="Calibri" w:hAnsi="Calibri"/>
          <w:sz w:val="24"/>
          <w:szCs w:val="24"/>
          <w:lang w:val="es-ES"/>
        </w:rPr>
        <w:t xml:space="preserve"> </w:t>
      </w:r>
      <w:r w:rsidRPr="001C0208">
        <w:rPr>
          <w:rFonts w:ascii="Calibri" w:hAnsi="Calibri"/>
          <w:sz w:val="24"/>
          <w:szCs w:val="24"/>
          <w:lang w:val="es-ES"/>
        </w:rPr>
        <w:t>de inimputabilidad que tuviere, así como si ésta es permanente o transitoria y, si es posible definir si fue</w:t>
      </w:r>
      <w:r w:rsidR="00AF3362" w:rsidRPr="001C0208">
        <w:rPr>
          <w:rFonts w:ascii="Calibri" w:hAnsi="Calibri"/>
          <w:sz w:val="24"/>
          <w:szCs w:val="24"/>
          <w:lang w:val="es-ES"/>
        </w:rPr>
        <w:t xml:space="preserve"> </w:t>
      </w:r>
      <w:r w:rsidRPr="001C0208">
        <w:rPr>
          <w:rFonts w:ascii="Calibri" w:hAnsi="Calibri"/>
          <w:sz w:val="24"/>
          <w:szCs w:val="24"/>
          <w:lang w:val="es-ES"/>
        </w:rPr>
        <w:t>provocada por el propio retenido.</w:t>
      </w:r>
    </w:p>
    <w:p w14:paraId="20712923" w14:textId="77777777" w:rsidR="00AF3362" w:rsidRPr="001C0208" w:rsidRDefault="00AF3362" w:rsidP="00AF3362">
      <w:pPr>
        <w:ind w:left="720"/>
        <w:jc w:val="both"/>
        <w:rPr>
          <w:rFonts w:ascii="Calibri" w:hAnsi="Calibri"/>
          <w:sz w:val="24"/>
          <w:szCs w:val="24"/>
          <w:lang w:val="es-ES"/>
        </w:rPr>
      </w:pPr>
    </w:p>
    <w:p w14:paraId="20712924" w14:textId="77777777" w:rsidR="00A72978" w:rsidRPr="001C0208" w:rsidRDefault="00A72978" w:rsidP="00AF3362">
      <w:pPr>
        <w:ind w:left="720"/>
        <w:jc w:val="both"/>
        <w:rPr>
          <w:rFonts w:ascii="Calibri" w:hAnsi="Calibri"/>
          <w:sz w:val="24"/>
          <w:szCs w:val="24"/>
          <w:lang w:val="es-ES"/>
        </w:rPr>
      </w:pPr>
      <w:r w:rsidRPr="001C0208">
        <w:rPr>
          <w:rFonts w:ascii="Calibri" w:hAnsi="Calibri"/>
          <w:sz w:val="24"/>
          <w:szCs w:val="24"/>
          <w:lang w:val="es-ES"/>
        </w:rPr>
        <w:t>Artículo 415. Identificación de los supuestos de inimputabilidad</w:t>
      </w:r>
    </w:p>
    <w:p w14:paraId="20712925" w14:textId="77777777" w:rsidR="00A72978" w:rsidRPr="001C0208" w:rsidRDefault="00A72978" w:rsidP="00AF3362">
      <w:pPr>
        <w:ind w:left="720"/>
        <w:jc w:val="both"/>
        <w:rPr>
          <w:rFonts w:ascii="Calibri" w:hAnsi="Calibri"/>
          <w:sz w:val="24"/>
          <w:szCs w:val="24"/>
          <w:lang w:val="es-ES"/>
        </w:rPr>
      </w:pPr>
      <w:r w:rsidRPr="001C0208">
        <w:rPr>
          <w:rFonts w:ascii="Calibri" w:hAnsi="Calibri"/>
          <w:sz w:val="24"/>
          <w:szCs w:val="24"/>
          <w:lang w:val="es-ES"/>
        </w:rPr>
        <w:t>Si el imputado ha sido vinculado a proceso y se estima que está en una situación de inimputabilidad,</w:t>
      </w:r>
      <w:r w:rsidR="00AF3362" w:rsidRPr="001C0208">
        <w:rPr>
          <w:rFonts w:ascii="Calibri" w:hAnsi="Calibri"/>
          <w:sz w:val="24"/>
          <w:szCs w:val="24"/>
          <w:lang w:val="es-ES"/>
        </w:rPr>
        <w:t xml:space="preserve"> </w:t>
      </w:r>
      <w:r w:rsidRPr="001C0208">
        <w:rPr>
          <w:rFonts w:ascii="Calibri" w:hAnsi="Calibri"/>
          <w:sz w:val="24"/>
          <w:szCs w:val="24"/>
          <w:lang w:val="es-ES"/>
        </w:rPr>
        <w:t>las partes podrán solicitar al Juez de control que se lleven a cabo los peritajes necesarios para</w:t>
      </w:r>
      <w:r w:rsidR="00AF3362" w:rsidRPr="001C0208">
        <w:rPr>
          <w:rFonts w:ascii="Calibri" w:hAnsi="Calibri"/>
          <w:sz w:val="24"/>
          <w:szCs w:val="24"/>
          <w:lang w:val="es-ES"/>
        </w:rPr>
        <w:t xml:space="preserve"> </w:t>
      </w:r>
      <w:r w:rsidRPr="001C0208">
        <w:rPr>
          <w:rFonts w:ascii="Calibri" w:hAnsi="Calibri"/>
          <w:sz w:val="24"/>
          <w:szCs w:val="24"/>
          <w:lang w:val="es-ES"/>
        </w:rPr>
        <w:t>determinar si se acredita tal extremo, así como si la inimputabilidad que presente pudo ser propiciada o</w:t>
      </w:r>
      <w:r w:rsidR="00AF3362" w:rsidRPr="001C0208">
        <w:rPr>
          <w:rFonts w:ascii="Calibri" w:hAnsi="Calibri"/>
          <w:sz w:val="24"/>
          <w:szCs w:val="24"/>
          <w:lang w:val="es-ES"/>
        </w:rPr>
        <w:t xml:space="preserve"> </w:t>
      </w:r>
      <w:r w:rsidRPr="001C0208">
        <w:rPr>
          <w:rFonts w:ascii="Calibri" w:hAnsi="Calibri"/>
          <w:sz w:val="24"/>
          <w:szCs w:val="24"/>
          <w:lang w:val="es-ES"/>
        </w:rPr>
        <w:t>no por la persona.</w:t>
      </w:r>
    </w:p>
    <w:p w14:paraId="20712926" w14:textId="77777777" w:rsidR="00AF3362" w:rsidRPr="001C0208" w:rsidRDefault="00AF3362" w:rsidP="00AF3362">
      <w:pPr>
        <w:ind w:left="720"/>
        <w:jc w:val="both"/>
        <w:rPr>
          <w:rFonts w:ascii="Calibri" w:hAnsi="Calibri"/>
          <w:sz w:val="24"/>
          <w:szCs w:val="24"/>
          <w:lang w:val="es-ES"/>
        </w:rPr>
      </w:pPr>
    </w:p>
    <w:p w14:paraId="20712927" w14:textId="77777777" w:rsidR="00AF3362" w:rsidRPr="001C0208" w:rsidRDefault="00AF3362" w:rsidP="00AF3362">
      <w:pPr>
        <w:ind w:left="720"/>
        <w:jc w:val="both"/>
        <w:rPr>
          <w:rFonts w:ascii="Calibri" w:hAnsi="Calibri"/>
          <w:sz w:val="24"/>
          <w:szCs w:val="24"/>
          <w:lang w:val="es-ES"/>
        </w:rPr>
      </w:pPr>
      <w:r w:rsidRPr="001C0208">
        <w:rPr>
          <w:rFonts w:ascii="Calibri" w:hAnsi="Calibri"/>
          <w:sz w:val="24"/>
          <w:szCs w:val="24"/>
          <w:lang w:val="es-ES"/>
        </w:rPr>
        <w:t>Artículo 416. Ajustes al procedimiento</w:t>
      </w:r>
    </w:p>
    <w:p w14:paraId="20712928" w14:textId="77777777" w:rsidR="00AF3362" w:rsidRPr="001C0208" w:rsidRDefault="00AF3362" w:rsidP="00AF3362">
      <w:pPr>
        <w:ind w:left="720"/>
        <w:jc w:val="both"/>
        <w:rPr>
          <w:rFonts w:ascii="Calibri" w:hAnsi="Calibri"/>
          <w:sz w:val="24"/>
          <w:szCs w:val="24"/>
          <w:lang w:val="es-ES"/>
        </w:rPr>
      </w:pPr>
      <w:r w:rsidRPr="001C0208">
        <w:rPr>
          <w:rFonts w:ascii="Calibri" w:hAnsi="Calibri"/>
          <w:sz w:val="24"/>
          <w:szCs w:val="24"/>
          <w:lang w:val="es-ES"/>
        </w:rPr>
        <w:t>Si se determina el estado de inimputabilidad del sujeto, el procedimiento ordinario se aplicará observando las reglas generales del debido proceso con los ajustes del procedimiento que en el caso concreto acuerde el Juez de control, escuchando al Ministerio Público y al Defensor, con el objeto de acreditar la participación de la persona inimputable en el hecho atribuido y, en su caso, determinar la aplicación de las medidas de seguridad que se estimen pertinentes.</w:t>
      </w:r>
    </w:p>
    <w:p w14:paraId="20712929" w14:textId="77777777" w:rsidR="00AF3362" w:rsidRPr="001C0208" w:rsidRDefault="00AF3362" w:rsidP="00AF3362">
      <w:pPr>
        <w:ind w:left="720"/>
        <w:jc w:val="both"/>
        <w:rPr>
          <w:rFonts w:ascii="Calibri" w:hAnsi="Calibri"/>
          <w:sz w:val="24"/>
          <w:szCs w:val="24"/>
          <w:lang w:val="es-ES"/>
        </w:rPr>
      </w:pPr>
    </w:p>
    <w:p w14:paraId="2071292A" w14:textId="77777777" w:rsidR="00AF3362" w:rsidRPr="001C0208" w:rsidRDefault="00AF3362" w:rsidP="00AF3362">
      <w:pPr>
        <w:ind w:left="720"/>
        <w:jc w:val="both"/>
        <w:rPr>
          <w:rFonts w:ascii="Calibri" w:hAnsi="Calibri"/>
          <w:sz w:val="24"/>
          <w:szCs w:val="24"/>
          <w:lang w:val="es-ES"/>
        </w:rPr>
      </w:pPr>
      <w:r w:rsidRPr="001C0208">
        <w:rPr>
          <w:rFonts w:ascii="Calibri" w:hAnsi="Calibri"/>
          <w:sz w:val="24"/>
          <w:szCs w:val="24"/>
          <w:lang w:val="es-ES"/>
        </w:rPr>
        <w:t>En caso de que el estado de inimputabilidad cese, se continuará con el procedimiento ordinario sin los ajustes respectivos.</w:t>
      </w:r>
    </w:p>
    <w:p w14:paraId="2071292B" w14:textId="77777777" w:rsidR="00AF3362" w:rsidRPr="001C0208" w:rsidRDefault="00AF3362" w:rsidP="00AF3362">
      <w:pPr>
        <w:ind w:left="720"/>
        <w:jc w:val="both"/>
        <w:rPr>
          <w:rFonts w:ascii="Calibri" w:hAnsi="Calibri"/>
          <w:sz w:val="24"/>
          <w:szCs w:val="24"/>
          <w:lang w:val="es-ES"/>
        </w:rPr>
      </w:pPr>
    </w:p>
    <w:p w14:paraId="2071292C" w14:textId="77777777" w:rsidR="00AF3362" w:rsidRPr="001C0208" w:rsidRDefault="00AF3362" w:rsidP="00AF3362">
      <w:pPr>
        <w:ind w:left="720"/>
        <w:jc w:val="both"/>
        <w:rPr>
          <w:rFonts w:ascii="Calibri" w:hAnsi="Calibri"/>
          <w:sz w:val="24"/>
          <w:szCs w:val="24"/>
          <w:lang w:val="es-ES"/>
        </w:rPr>
      </w:pPr>
      <w:r w:rsidRPr="001C0208">
        <w:rPr>
          <w:rFonts w:ascii="Calibri" w:hAnsi="Calibri"/>
          <w:sz w:val="24"/>
          <w:szCs w:val="24"/>
          <w:lang w:val="es-ES"/>
        </w:rPr>
        <w:t>Artículo 417. Medidas cautelares aplicables a inimputables</w:t>
      </w:r>
    </w:p>
    <w:p w14:paraId="2071292D" w14:textId="77777777" w:rsidR="00AF3362" w:rsidRPr="001C0208" w:rsidRDefault="00AF3362" w:rsidP="00AF3362">
      <w:pPr>
        <w:ind w:left="720"/>
        <w:jc w:val="both"/>
        <w:rPr>
          <w:rFonts w:ascii="Calibri" w:hAnsi="Calibri"/>
          <w:sz w:val="24"/>
          <w:szCs w:val="24"/>
          <w:lang w:val="es-ES"/>
        </w:rPr>
      </w:pPr>
      <w:r w:rsidRPr="001C0208">
        <w:rPr>
          <w:rFonts w:ascii="Calibri" w:hAnsi="Calibri"/>
          <w:sz w:val="24"/>
          <w:szCs w:val="24"/>
          <w:lang w:val="es-ES"/>
        </w:rPr>
        <w:lastRenderedPageBreak/>
        <w:t>Se podrán imponer medidas cautelares a personas inimputables, de conformidad con las reglas del proceso ordinario, con los ajustes del procedimiento que disponga el Juez de control para el caso en que resulte procedente. El solo hecho de ser imputable no será razón suficiente para imponer medidas cautelares.</w:t>
      </w:r>
    </w:p>
    <w:p w14:paraId="2071292E" w14:textId="77777777" w:rsidR="00AF3362" w:rsidRPr="001C0208" w:rsidRDefault="00AF3362" w:rsidP="00AF3362">
      <w:pPr>
        <w:ind w:left="720"/>
        <w:jc w:val="both"/>
        <w:rPr>
          <w:rFonts w:ascii="Calibri" w:hAnsi="Calibri"/>
          <w:sz w:val="24"/>
          <w:szCs w:val="24"/>
          <w:lang w:val="es-ES"/>
        </w:rPr>
      </w:pPr>
    </w:p>
    <w:p w14:paraId="2071292F" w14:textId="77777777" w:rsidR="00AF3362" w:rsidRPr="001C0208" w:rsidRDefault="00AF3362" w:rsidP="00AF3362">
      <w:pPr>
        <w:ind w:left="720"/>
        <w:jc w:val="both"/>
        <w:rPr>
          <w:rFonts w:ascii="Calibri" w:hAnsi="Calibri"/>
          <w:sz w:val="24"/>
          <w:szCs w:val="24"/>
          <w:lang w:val="es-ES"/>
        </w:rPr>
      </w:pPr>
      <w:r w:rsidRPr="001C0208">
        <w:rPr>
          <w:rFonts w:ascii="Calibri" w:hAnsi="Calibri"/>
          <w:sz w:val="24"/>
          <w:szCs w:val="24"/>
          <w:lang w:val="es-ES"/>
        </w:rPr>
        <w:t>Artículo 418. Prohibición de procedimiento abreviado</w:t>
      </w:r>
    </w:p>
    <w:p w14:paraId="20712930" w14:textId="77777777" w:rsidR="00AF3362" w:rsidRPr="001C0208" w:rsidRDefault="00AF3362" w:rsidP="00AF3362">
      <w:pPr>
        <w:ind w:left="720"/>
        <w:jc w:val="both"/>
        <w:rPr>
          <w:rFonts w:ascii="Calibri" w:hAnsi="Calibri"/>
          <w:sz w:val="24"/>
          <w:szCs w:val="24"/>
          <w:lang w:val="es-ES"/>
        </w:rPr>
      </w:pPr>
      <w:r w:rsidRPr="001C0208">
        <w:rPr>
          <w:rFonts w:ascii="Calibri" w:hAnsi="Calibri"/>
          <w:sz w:val="24"/>
          <w:szCs w:val="24"/>
          <w:lang w:val="es-ES"/>
        </w:rPr>
        <w:t>El procedimiento abreviado no será aplicable a personas inimputables.</w:t>
      </w:r>
    </w:p>
    <w:p w14:paraId="20712931" w14:textId="77777777" w:rsidR="00AF3362" w:rsidRPr="001C0208" w:rsidRDefault="00AF3362" w:rsidP="00AF3362">
      <w:pPr>
        <w:ind w:left="720"/>
        <w:jc w:val="both"/>
        <w:rPr>
          <w:rFonts w:ascii="Calibri" w:hAnsi="Calibri"/>
          <w:sz w:val="24"/>
          <w:szCs w:val="24"/>
          <w:lang w:val="es-ES"/>
        </w:rPr>
      </w:pPr>
    </w:p>
    <w:p w14:paraId="20712932" w14:textId="77777777" w:rsidR="00AF3362" w:rsidRPr="001C0208" w:rsidRDefault="00AF3362" w:rsidP="00AF3362">
      <w:pPr>
        <w:ind w:left="720"/>
        <w:jc w:val="both"/>
        <w:rPr>
          <w:rFonts w:ascii="Calibri" w:hAnsi="Calibri"/>
          <w:sz w:val="24"/>
          <w:szCs w:val="24"/>
          <w:lang w:val="es-ES"/>
        </w:rPr>
      </w:pPr>
      <w:r w:rsidRPr="001C0208">
        <w:rPr>
          <w:rFonts w:ascii="Calibri" w:hAnsi="Calibri"/>
          <w:sz w:val="24"/>
          <w:szCs w:val="24"/>
          <w:lang w:val="es-ES"/>
        </w:rPr>
        <w:t>Artículo 419. Resolución del caso</w:t>
      </w:r>
    </w:p>
    <w:p w14:paraId="20712933" w14:textId="77777777" w:rsidR="00AF3362" w:rsidRPr="001C0208" w:rsidRDefault="00AF3362" w:rsidP="00AF3362">
      <w:pPr>
        <w:ind w:left="720"/>
        <w:jc w:val="both"/>
        <w:rPr>
          <w:rFonts w:ascii="Calibri" w:hAnsi="Calibri"/>
          <w:sz w:val="24"/>
          <w:szCs w:val="24"/>
          <w:lang w:val="es-ES"/>
        </w:rPr>
      </w:pPr>
      <w:r w:rsidRPr="001C0208">
        <w:rPr>
          <w:rFonts w:ascii="Calibri" w:hAnsi="Calibri"/>
          <w:sz w:val="24"/>
          <w:szCs w:val="24"/>
          <w:lang w:val="es-ES"/>
        </w:rPr>
        <w:t>Comprobada la existencia del hecho que la ley señala como delito y que el inimputable intervino en su comisión, ya sea como autor o como partícipe, sin que a su favor opere alguna causa de justificación prevista en los códigos sustantivos, el Tribunal de enjuiciamiento resolverá el caso indicando que hay base suficiente para la imposición de la medida de seguridad que resulte aplicable; asimismo, le corresponderá al Órgano jurisdiccional determinar la individualización de la medida, en atención a las necesidades de prevención especial positiva, respetando los criterios de proporcionalidad y de mínima intervención. Si no se acreditan estos requisitos, el Tribunal de enjuiciamiento absolverá al inimputable.</w:t>
      </w:r>
    </w:p>
    <w:p w14:paraId="20712934" w14:textId="77777777" w:rsidR="00AF3362" w:rsidRPr="001C0208" w:rsidRDefault="00AF3362" w:rsidP="00AF3362">
      <w:pPr>
        <w:ind w:left="720"/>
        <w:jc w:val="both"/>
        <w:rPr>
          <w:rFonts w:ascii="Calibri" w:hAnsi="Calibri"/>
          <w:sz w:val="24"/>
          <w:szCs w:val="24"/>
          <w:lang w:val="es-ES"/>
        </w:rPr>
      </w:pPr>
    </w:p>
    <w:p w14:paraId="20712935" w14:textId="77777777" w:rsidR="00AF3362" w:rsidRPr="001C0208" w:rsidRDefault="00AF3362" w:rsidP="00AF3362">
      <w:pPr>
        <w:ind w:left="720"/>
        <w:jc w:val="both"/>
        <w:rPr>
          <w:rFonts w:ascii="Calibri" w:hAnsi="Calibri"/>
          <w:sz w:val="24"/>
          <w:szCs w:val="24"/>
          <w:lang w:val="es-ES"/>
        </w:rPr>
      </w:pPr>
      <w:r w:rsidRPr="001C0208">
        <w:rPr>
          <w:rFonts w:ascii="Calibri" w:hAnsi="Calibri"/>
          <w:sz w:val="24"/>
          <w:szCs w:val="24"/>
          <w:lang w:val="es-ES"/>
        </w:rPr>
        <w:t>La medida de seguridad en ningún caso podrá tener mayor duración a la pena que le pudiera corresponder en caso de que sea imputable.</w:t>
      </w:r>
    </w:p>
    <w:p w14:paraId="20712936" w14:textId="77777777" w:rsidR="00F566BD" w:rsidRPr="001C0208" w:rsidRDefault="00F566BD" w:rsidP="00F566BD">
      <w:pPr>
        <w:jc w:val="both"/>
        <w:rPr>
          <w:rFonts w:ascii="Calibri" w:hAnsi="Calibri"/>
          <w:sz w:val="24"/>
          <w:szCs w:val="24"/>
          <w:lang w:val="es-ES"/>
        </w:rPr>
      </w:pPr>
    </w:p>
    <w:p w14:paraId="20712937" w14:textId="77777777" w:rsidR="00F566BD" w:rsidRPr="001C0208" w:rsidRDefault="00F566BD" w:rsidP="00F566BD">
      <w:pPr>
        <w:jc w:val="both"/>
        <w:rPr>
          <w:rFonts w:ascii="Calibri" w:hAnsi="Calibri"/>
          <w:sz w:val="24"/>
          <w:szCs w:val="24"/>
          <w:lang w:val="es-ES"/>
        </w:rPr>
      </w:pPr>
    </w:p>
    <w:p w14:paraId="20712938" w14:textId="77777777" w:rsidR="00F566BD" w:rsidRPr="001C0208" w:rsidRDefault="00F566BD" w:rsidP="00F566BD">
      <w:pPr>
        <w:jc w:val="both"/>
        <w:rPr>
          <w:rFonts w:ascii="Calibri" w:hAnsi="Calibri"/>
          <w:sz w:val="24"/>
          <w:szCs w:val="24"/>
          <w:lang w:val="es-ES"/>
        </w:rPr>
      </w:pPr>
      <w:r w:rsidRPr="001C0208">
        <w:rPr>
          <w:rFonts w:ascii="Calibri" w:hAnsi="Calibri"/>
          <w:sz w:val="24"/>
          <w:szCs w:val="24"/>
          <w:lang w:val="es-ES"/>
        </w:rPr>
        <w:t xml:space="preserve">En el mismo sentido, el artículo 10 del mismo código al plantear el principio de igualdad ante la ley, hace énfasis en que los ajustes razonables al procedimiento deberán implementarse con el objetivo de garantizar dicha igualdad. Al respecto sostiene que: </w:t>
      </w:r>
    </w:p>
    <w:p w14:paraId="20712939" w14:textId="77777777" w:rsidR="00F566BD" w:rsidRPr="001C0208" w:rsidRDefault="00F566BD" w:rsidP="00F566BD">
      <w:pPr>
        <w:jc w:val="both"/>
        <w:rPr>
          <w:rFonts w:ascii="Calibri" w:hAnsi="Calibri"/>
          <w:sz w:val="24"/>
          <w:szCs w:val="24"/>
          <w:lang w:val="es-ES"/>
        </w:rPr>
      </w:pPr>
    </w:p>
    <w:p w14:paraId="2071293A" w14:textId="77777777" w:rsidR="00F566BD" w:rsidRPr="001C0208" w:rsidRDefault="00F566BD" w:rsidP="00F566BD">
      <w:pPr>
        <w:ind w:firstLine="720"/>
        <w:jc w:val="both"/>
        <w:rPr>
          <w:rFonts w:ascii="Calibri" w:hAnsi="Calibri"/>
          <w:sz w:val="24"/>
          <w:szCs w:val="24"/>
          <w:lang w:val="es-ES"/>
        </w:rPr>
      </w:pPr>
      <w:r w:rsidRPr="001C0208">
        <w:rPr>
          <w:rFonts w:ascii="Calibri" w:hAnsi="Calibri"/>
          <w:sz w:val="24"/>
          <w:szCs w:val="24"/>
          <w:lang w:val="es-ES"/>
        </w:rPr>
        <w:t>Artículo 10. Principio de igualdad ante la ley</w:t>
      </w:r>
    </w:p>
    <w:p w14:paraId="2071293B" w14:textId="77777777" w:rsidR="00F566BD" w:rsidRPr="001C0208" w:rsidRDefault="00F566BD" w:rsidP="00F566BD">
      <w:pPr>
        <w:ind w:left="720"/>
        <w:jc w:val="both"/>
        <w:rPr>
          <w:rFonts w:ascii="Calibri" w:hAnsi="Calibri"/>
          <w:sz w:val="24"/>
          <w:szCs w:val="24"/>
          <w:lang w:val="es-ES"/>
        </w:rPr>
      </w:pPr>
      <w:r w:rsidRPr="001C0208">
        <w:rPr>
          <w:rFonts w:ascii="Calibri" w:hAnsi="Calibri"/>
          <w:sz w:val="24"/>
          <w:szCs w:val="24"/>
          <w:lang w:val="es-ES"/>
        </w:rPr>
        <w:t>Todas las personas que intervengan en el procedimiento penal recibirán el mismo trato y tendrán las mismas oportunidades para sostener la acusación o la defensa. No se admitirá discriminación motivada por origen étnico o nacional, género, edad, discapacidad, condición social, condición de salud, religión, opinión, preferencia sexual, estado civil o cualquier otra que atente contra la dignidad humana y tenga por objeto anular o menoscabar los derechos y las libertades de las personas.</w:t>
      </w:r>
    </w:p>
    <w:p w14:paraId="2071293C" w14:textId="77777777" w:rsidR="00F566BD" w:rsidRPr="001C0208" w:rsidRDefault="00F566BD" w:rsidP="00F566BD">
      <w:pPr>
        <w:jc w:val="both"/>
        <w:rPr>
          <w:rFonts w:ascii="Calibri" w:hAnsi="Calibri"/>
          <w:sz w:val="24"/>
          <w:szCs w:val="24"/>
          <w:lang w:val="es-ES"/>
        </w:rPr>
      </w:pPr>
    </w:p>
    <w:p w14:paraId="2071293D" w14:textId="77777777" w:rsidR="00F566BD" w:rsidRPr="001C0208" w:rsidRDefault="00F566BD" w:rsidP="00F566BD">
      <w:pPr>
        <w:ind w:left="720"/>
        <w:jc w:val="both"/>
        <w:rPr>
          <w:rFonts w:ascii="Calibri" w:hAnsi="Calibri"/>
          <w:sz w:val="24"/>
          <w:szCs w:val="24"/>
          <w:lang w:val="es-ES"/>
        </w:rPr>
      </w:pPr>
      <w:r w:rsidRPr="001C0208">
        <w:rPr>
          <w:rFonts w:ascii="Calibri" w:hAnsi="Calibri"/>
          <w:sz w:val="24"/>
          <w:szCs w:val="24"/>
          <w:lang w:val="es-ES"/>
        </w:rPr>
        <w:t>Las autoridades velarán por que las personas en las condiciones o circunstancias señaladas en el párrafo anterior, sean atendidas a fin de garantizar la igualdad sobre la base de la equidad en el ejercicio de sus derechos. En el caso de las personas con discapacidad, deberán preverse ajustes razonables al procedimiento cuando se requiera.</w:t>
      </w:r>
      <w:r w:rsidRPr="001C0208">
        <w:rPr>
          <w:rFonts w:ascii="Calibri" w:hAnsi="Calibri"/>
          <w:sz w:val="24"/>
          <w:szCs w:val="24"/>
          <w:lang w:val="es-ES"/>
        </w:rPr>
        <w:cr/>
      </w:r>
    </w:p>
    <w:p w14:paraId="2071293E" w14:textId="77777777" w:rsidR="00F566BD" w:rsidRPr="001C0208" w:rsidRDefault="00F566BD" w:rsidP="00F566BD">
      <w:pPr>
        <w:jc w:val="both"/>
        <w:rPr>
          <w:rFonts w:ascii="Calibri" w:hAnsi="Calibri"/>
          <w:sz w:val="24"/>
          <w:szCs w:val="24"/>
          <w:lang w:val="es-ES"/>
        </w:rPr>
      </w:pPr>
      <w:r w:rsidRPr="001C0208">
        <w:rPr>
          <w:rFonts w:ascii="Calibri" w:hAnsi="Calibri"/>
          <w:sz w:val="24"/>
          <w:szCs w:val="24"/>
          <w:lang w:val="es-ES"/>
        </w:rPr>
        <w:t xml:space="preserve">Sobre la participación efectiva y el acceso a la justicia de las victimas u ofendidos, el Código Nacional de Procedimientos Penales contempla como uno de sus derechos la implementación </w:t>
      </w:r>
      <w:r w:rsidRPr="001C0208">
        <w:rPr>
          <w:rFonts w:ascii="Calibri" w:hAnsi="Calibri"/>
          <w:sz w:val="24"/>
          <w:szCs w:val="24"/>
          <w:lang w:val="es-ES"/>
        </w:rPr>
        <w:lastRenderedPageBreak/>
        <w:t>de ajustes al procedimiento necesarios para garantizar sus derechos y su participación en el proceso. Específicamente sostiene que:</w:t>
      </w:r>
    </w:p>
    <w:p w14:paraId="2071293F" w14:textId="77777777" w:rsidR="00F566BD" w:rsidRPr="001C0208" w:rsidRDefault="00F566BD" w:rsidP="00F566BD">
      <w:pPr>
        <w:jc w:val="both"/>
        <w:rPr>
          <w:rFonts w:ascii="Calibri" w:hAnsi="Calibri"/>
          <w:sz w:val="24"/>
          <w:szCs w:val="24"/>
          <w:lang w:val="es-ES"/>
        </w:rPr>
      </w:pPr>
    </w:p>
    <w:p w14:paraId="20712940" w14:textId="77777777" w:rsidR="00F566BD" w:rsidRPr="001C0208" w:rsidRDefault="00F566BD" w:rsidP="00F566BD">
      <w:pPr>
        <w:ind w:left="720"/>
        <w:jc w:val="both"/>
        <w:rPr>
          <w:rFonts w:ascii="Calibri" w:hAnsi="Calibri"/>
          <w:sz w:val="24"/>
          <w:szCs w:val="24"/>
          <w:lang w:val="es-ES"/>
        </w:rPr>
      </w:pPr>
      <w:r w:rsidRPr="001C0208">
        <w:rPr>
          <w:rFonts w:ascii="Calibri" w:hAnsi="Calibri"/>
          <w:sz w:val="24"/>
          <w:szCs w:val="24"/>
          <w:lang w:val="es-ES"/>
        </w:rPr>
        <w:t>Artículo 109. Derechos de la víctima u ofendido En los procedimientos previstos en este Código, la víctima u ofendido tendrán los siguientes derechos:</w:t>
      </w:r>
    </w:p>
    <w:p w14:paraId="20712941" w14:textId="77777777" w:rsidR="00F566BD" w:rsidRPr="001C0208" w:rsidRDefault="00F566BD" w:rsidP="00F566BD">
      <w:pPr>
        <w:ind w:left="720"/>
        <w:jc w:val="both"/>
        <w:rPr>
          <w:rFonts w:ascii="Calibri" w:hAnsi="Calibri"/>
          <w:sz w:val="24"/>
          <w:szCs w:val="24"/>
          <w:lang w:val="es-ES"/>
        </w:rPr>
      </w:pPr>
    </w:p>
    <w:p w14:paraId="20712942" w14:textId="77777777" w:rsidR="00F566BD" w:rsidRPr="001C0208" w:rsidRDefault="00F566BD" w:rsidP="00F566BD">
      <w:pPr>
        <w:ind w:left="720"/>
        <w:jc w:val="both"/>
        <w:rPr>
          <w:rFonts w:ascii="Calibri" w:hAnsi="Calibri"/>
          <w:sz w:val="24"/>
          <w:szCs w:val="24"/>
          <w:lang w:val="es-ES"/>
        </w:rPr>
      </w:pPr>
      <w:r w:rsidRPr="001C0208">
        <w:rPr>
          <w:rFonts w:ascii="Calibri" w:hAnsi="Calibri"/>
          <w:sz w:val="24"/>
          <w:szCs w:val="24"/>
          <w:lang w:val="es-ES"/>
        </w:rPr>
        <w:t>(…) XII. En caso de tener alguna discapacidad, a que se realicen los ajustes al procedimiento penal que sean necesarios para salvaguardar sus derechos;</w:t>
      </w:r>
    </w:p>
    <w:p w14:paraId="20712943" w14:textId="77777777" w:rsidR="0048517E" w:rsidRPr="001C0208" w:rsidRDefault="0048517E" w:rsidP="0048517E">
      <w:pPr>
        <w:jc w:val="both"/>
        <w:rPr>
          <w:rFonts w:ascii="Calibri" w:hAnsi="Calibri"/>
          <w:sz w:val="24"/>
          <w:szCs w:val="24"/>
          <w:lang w:val="es-ES"/>
        </w:rPr>
      </w:pPr>
    </w:p>
    <w:p w14:paraId="20712944" w14:textId="77777777" w:rsidR="0048517E" w:rsidRPr="001C0208" w:rsidRDefault="0048517E" w:rsidP="0048517E">
      <w:pPr>
        <w:jc w:val="both"/>
        <w:rPr>
          <w:rFonts w:ascii="Calibri" w:hAnsi="Calibri"/>
          <w:sz w:val="24"/>
          <w:szCs w:val="24"/>
          <w:lang w:val="es-ES"/>
        </w:rPr>
      </w:pPr>
    </w:p>
    <w:p w14:paraId="20712945" w14:textId="77777777" w:rsidR="0048517E" w:rsidRDefault="0048517E" w:rsidP="0048517E">
      <w:pPr>
        <w:jc w:val="both"/>
        <w:rPr>
          <w:rFonts w:ascii="Calibri" w:hAnsi="Calibri"/>
          <w:sz w:val="24"/>
          <w:szCs w:val="24"/>
          <w:lang w:val="es-ES"/>
        </w:rPr>
      </w:pPr>
      <w:r w:rsidRPr="001C0208">
        <w:rPr>
          <w:rFonts w:ascii="Calibri" w:hAnsi="Calibri"/>
          <w:sz w:val="24"/>
          <w:szCs w:val="24"/>
          <w:lang w:val="es-ES"/>
        </w:rPr>
        <w:t xml:space="preserve">Junto con el Código Nacional de Procedimientos Penales, vale la pena citar el </w:t>
      </w:r>
      <w:r w:rsidR="00202FC0" w:rsidRPr="00202FC0">
        <w:rPr>
          <w:rFonts w:ascii="Calibri" w:hAnsi="Calibri"/>
          <w:sz w:val="24"/>
          <w:szCs w:val="24"/>
          <w:lang w:val="es-ES"/>
        </w:rPr>
        <w:t>Protocolo de actuación para quienes imparten justicia en casos que involucren derechos de personas con discapacidad</w:t>
      </w:r>
      <w:r w:rsidR="00202FC0">
        <w:rPr>
          <w:rFonts w:ascii="Calibri" w:hAnsi="Calibri"/>
          <w:sz w:val="24"/>
          <w:szCs w:val="24"/>
          <w:lang w:val="es-ES"/>
        </w:rPr>
        <w:t xml:space="preserve"> publicado por la Suprema Corte de Justicia de la Nación (Ver: </w:t>
      </w:r>
      <w:hyperlink r:id="rId12" w:history="1">
        <w:r w:rsidR="00202FC0" w:rsidRPr="00B635A7">
          <w:rPr>
            <w:rStyle w:val="Hyperlink"/>
            <w:rFonts w:ascii="Calibri" w:hAnsi="Calibri"/>
            <w:sz w:val="24"/>
            <w:szCs w:val="24"/>
            <w:lang w:val="es-ES"/>
          </w:rPr>
          <w:t>https://www.sitios.scjn.gob.mx/codhap/protocolo_derechos_de_personas_con_discapacidad</w:t>
        </w:r>
      </w:hyperlink>
      <w:r w:rsidR="00202FC0">
        <w:rPr>
          <w:rFonts w:ascii="Calibri" w:hAnsi="Calibri"/>
          <w:sz w:val="24"/>
          <w:szCs w:val="24"/>
          <w:lang w:val="es-ES"/>
        </w:rPr>
        <w:t>)</w:t>
      </w:r>
    </w:p>
    <w:p w14:paraId="20712946" w14:textId="77777777" w:rsidR="00202FC0" w:rsidRPr="001C0208" w:rsidRDefault="00202FC0" w:rsidP="0048517E">
      <w:pPr>
        <w:jc w:val="both"/>
        <w:rPr>
          <w:rFonts w:ascii="Calibri" w:hAnsi="Calibri"/>
          <w:sz w:val="24"/>
          <w:szCs w:val="24"/>
          <w:lang w:val="es-ES"/>
        </w:rPr>
      </w:pPr>
    </w:p>
    <w:p w14:paraId="20712947" w14:textId="77777777" w:rsidR="00A72978" w:rsidRPr="00A72978" w:rsidRDefault="00A72978" w:rsidP="00A72978">
      <w:pPr>
        <w:jc w:val="both"/>
        <w:rPr>
          <w:b/>
          <w:i/>
          <w:sz w:val="24"/>
          <w:szCs w:val="24"/>
          <w:lang w:val="es-ES"/>
        </w:rPr>
      </w:pPr>
    </w:p>
    <w:p w14:paraId="20712948" w14:textId="77777777" w:rsidR="00A72978" w:rsidRPr="001C0208" w:rsidRDefault="00202FC0" w:rsidP="00A72978">
      <w:pPr>
        <w:jc w:val="both"/>
        <w:rPr>
          <w:rFonts w:ascii="Calibri" w:hAnsi="Calibri"/>
          <w:i/>
          <w:sz w:val="24"/>
          <w:szCs w:val="24"/>
          <w:lang w:val="es-ES"/>
        </w:rPr>
      </w:pPr>
      <w:r w:rsidRPr="001C0208">
        <w:rPr>
          <w:rFonts w:ascii="Calibri" w:hAnsi="Calibri"/>
          <w:i/>
          <w:sz w:val="24"/>
          <w:szCs w:val="24"/>
          <w:lang w:val="es-ES"/>
        </w:rPr>
        <w:t xml:space="preserve">2. Tiene su país ejemplos de: </w:t>
      </w:r>
    </w:p>
    <w:p w14:paraId="20712949" w14:textId="77777777" w:rsidR="00A72978" w:rsidRPr="001C0208" w:rsidRDefault="00A72978" w:rsidP="00A72978">
      <w:pPr>
        <w:jc w:val="both"/>
        <w:rPr>
          <w:rFonts w:ascii="Calibri" w:hAnsi="Calibri"/>
          <w:i/>
          <w:sz w:val="24"/>
          <w:szCs w:val="24"/>
          <w:lang w:val="es-ES"/>
        </w:rPr>
      </w:pPr>
      <w:r w:rsidRPr="001C0208">
        <w:rPr>
          <w:rFonts w:ascii="Calibri" w:hAnsi="Calibri"/>
          <w:i/>
          <w:sz w:val="24"/>
          <w:szCs w:val="24"/>
          <w:lang w:val="es-ES"/>
        </w:rPr>
        <w:t>a. cómo se proveen y aplican ajustes de procedimiento, incluidos aquellos adecuados a la edad, por ejemplo a través de protocolos de actuación y otras guías;</w:t>
      </w:r>
    </w:p>
    <w:p w14:paraId="2071294A" w14:textId="77777777" w:rsidR="00202FC0" w:rsidRPr="001C0208" w:rsidRDefault="00202FC0" w:rsidP="00A72978">
      <w:pPr>
        <w:jc w:val="both"/>
        <w:rPr>
          <w:rFonts w:ascii="Calibri" w:hAnsi="Calibri"/>
          <w:i/>
          <w:sz w:val="24"/>
          <w:szCs w:val="24"/>
          <w:lang w:val="es-ES"/>
        </w:rPr>
      </w:pPr>
    </w:p>
    <w:p w14:paraId="2071294B" w14:textId="77777777" w:rsidR="00A72978" w:rsidRDefault="00202FC0" w:rsidP="00C34087">
      <w:pPr>
        <w:jc w:val="both"/>
        <w:rPr>
          <w:rFonts w:ascii="Calibri" w:hAnsi="Calibri"/>
          <w:sz w:val="24"/>
          <w:szCs w:val="24"/>
          <w:lang w:val="es-ES"/>
        </w:rPr>
      </w:pPr>
      <w:r w:rsidRPr="001C0208">
        <w:rPr>
          <w:rFonts w:ascii="Calibri" w:hAnsi="Calibri"/>
          <w:sz w:val="24"/>
          <w:szCs w:val="24"/>
          <w:lang w:val="es-ES"/>
        </w:rPr>
        <w:t>A pesar de que existen instrumentos legales que obligan a la aplicación de ajustes de procedimiento, Documenta ha podido identificar una falta de comprensión de los operadores de justicia sobre el significado y alcance de dichos ajustes. En ese sentido, en enero de 2017 Documenta firmó con el Tribunal Superior de Justicia de la Ciudad de México, el Acuerdo 17-04/2017 para implementar el programa piloto denominado “Hacia una Justicia Penal Incluyente”</w:t>
      </w:r>
      <w:r w:rsidR="00C34087" w:rsidRPr="001C0208">
        <w:rPr>
          <w:rFonts w:ascii="Calibri" w:hAnsi="Calibri"/>
          <w:sz w:val="24"/>
          <w:szCs w:val="24"/>
          <w:lang w:val="es-ES"/>
        </w:rPr>
        <w:t xml:space="preserve"> </w:t>
      </w:r>
      <w:r w:rsidR="00C34087" w:rsidRPr="00C34087">
        <w:rPr>
          <w:rFonts w:ascii="Calibri" w:hAnsi="Calibri"/>
          <w:sz w:val="24"/>
          <w:szCs w:val="24"/>
          <w:lang w:val="es-ES"/>
        </w:rPr>
        <w:t xml:space="preserve">que permita poner en práctica los ajustes que </w:t>
      </w:r>
      <w:r w:rsidR="00C34087">
        <w:rPr>
          <w:rFonts w:ascii="Calibri" w:hAnsi="Calibri"/>
          <w:sz w:val="24"/>
          <w:szCs w:val="24"/>
          <w:lang w:val="es-ES"/>
        </w:rPr>
        <w:t xml:space="preserve">garanticen </w:t>
      </w:r>
      <w:r w:rsidR="00C34087" w:rsidRPr="00C34087">
        <w:rPr>
          <w:rFonts w:ascii="Calibri" w:hAnsi="Calibri"/>
          <w:sz w:val="24"/>
          <w:szCs w:val="24"/>
          <w:lang w:val="es-ES"/>
        </w:rPr>
        <w:t>la igualdad en el acceso a la justicia a las personas con discapacidad</w:t>
      </w:r>
      <w:r w:rsidR="00C34087">
        <w:rPr>
          <w:rFonts w:ascii="Calibri" w:hAnsi="Calibri"/>
          <w:sz w:val="24"/>
          <w:szCs w:val="24"/>
          <w:lang w:val="es-ES"/>
        </w:rPr>
        <w:t xml:space="preserve"> intelectual y psicosocial. </w:t>
      </w:r>
    </w:p>
    <w:p w14:paraId="2071294C" w14:textId="77777777" w:rsidR="00C34087" w:rsidRDefault="00C34087" w:rsidP="00C34087">
      <w:pPr>
        <w:jc w:val="both"/>
        <w:rPr>
          <w:rFonts w:ascii="Calibri" w:hAnsi="Calibri"/>
          <w:sz w:val="24"/>
          <w:szCs w:val="24"/>
          <w:lang w:val="es-ES"/>
        </w:rPr>
      </w:pPr>
    </w:p>
    <w:p w14:paraId="2071294D" w14:textId="77777777" w:rsidR="00C34087" w:rsidRPr="00C34087" w:rsidRDefault="00C34087" w:rsidP="00C34087">
      <w:pPr>
        <w:jc w:val="both"/>
        <w:rPr>
          <w:rFonts w:ascii="Calibri" w:hAnsi="Calibri"/>
          <w:sz w:val="24"/>
          <w:szCs w:val="24"/>
          <w:lang w:val="es-MX"/>
        </w:rPr>
      </w:pPr>
      <w:r w:rsidRPr="00C34087">
        <w:rPr>
          <w:rFonts w:ascii="Calibri" w:hAnsi="Calibri"/>
          <w:sz w:val="24"/>
          <w:szCs w:val="24"/>
          <w:lang w:val="es-MX"/>
        </w:rPr>
        <w:t>El programa piloto está basado en la conformación de un equipo multidisciplinario de individuos que puedan funcionar como facilitadores en los procesos penales que involucren a alguna persona con discapacidad, cuando así lo requieran los órganos jurisdiccionales.</w:t>
      </w:r>
    </w:p>
    <w:p w14:paraId="2071294E" w14:textId="77777777" w:rsidR="00C34087" w:rsidRPr="00C34087" w:rsidRDefault="00C34087" w:rsidP="00C34087">
      <w:pPr>
        <w:jc w:val="both"/>
        <w:rPr>
          <w:rFonts w:ascii="Calibri" w:hAnsi="Calibri"/>
          <w:sz w:val="24"/>
          <w:szCs w:val="24"/>
          <w:lang w:val="es-MX"/>
        </w:rPr>
      </w:pPr>
    </w:p>
    <w:p w14:paraId="2071294F" w14:textId="77777777" w:rsidR="00C34087" w:rsidRPr="00C34087" w:rsidRDefault="00C34087" w:rsidP="00C34087">
      <w:pPr>
        <w:jc w:val="both"/>
        <w:rPr>
          <w:rFonts w:ascii="Calibri" w:hAnsi="Calibri"/>
          <w:sz w:val="24"/>
          <w:szCs w:val="24"/>
          <w:lang w:val="es-MX"/>
        </w:rPr>
      </w:pPr>
      <w:r w:rsidRPr="00C34087">
        <w:rPr>
          <w:rFonts w:ascii="Calibri" w:hAnsi="Calibri"/>
          <w:sz w:val="24"/>
          <w:szCs w:val="24"/>
          <w:lang w:val="es-MX"/>
        </w:rPr>
        <w:t xml:space="preserve">La función de este facilitador es: </w:t>
      </w:r>
    </w:p>
    <w:p w14:paraId="20712950" w14:textId="77777777" w:rsidR="00897DA2" w:rsidRDefault="00897DA2" w:rsidP="00897DA2">
      <w:pPr>
        <w:jc w:val="both"/>
        <w:rPr>
          <w:rFonts w:ascii="Calibri" w:hAnsi="Calibri"/>
          <w:sz w:val="24"/>
          <w:szCs w:val="24"/>
          <w:lang w:val="es-MX"/>
        </w:rPr>
      </w:pPr>
    </w:p>
    <w:p w14:paraId="20712951" w14:textId="77777777" w:rsidR="00897DA2" w:rsidRDefault="00C34087" w:rsidP="00897DA2">
      <w:pPr>
        <w:numPr>
          <w:ilvl w:val="0"/>
          <w:numId w:val="17"/>
        </w:numPr>
        <w:jc w:val="both"/>
        <w:rPr>
          <w:rFonts w:ascii="Calibri" w:hAnsi="Calibri"/>
          <w:sz w:val="24"/>
          <w:szCs w:val="24"/>
          <w:lang w:val="es-MX"/>
        </w:rPr>
      </w:pPr>
      <w:r w:rsidRPr="00C34087">
        <w:rPr>
          <w:rFonts w:ascii="Calibri" w:hAnsi="Calibri"/>
          <w:sz w:val="24"/>
          <w:szCs w:val="24"/>
          <w:lang w:val="es-MX"/>
        </w:rPr>
        <w:t xml:space="preserve">Diseñar ajustes </w:t>
      </w:r>
      <w:r w:rsidR="00897DA2">
        <w:rPr>
          <w:rFonts w:ascii="Calibri" w:hAnsi="Calibri"/>
          <w:sz w:val="24"/>
          <w:szCs w:val="24"/>
          <w:lang w:val="es-MX"/>
        </w:rPr>
        <w:t xml:space="preserve">procesales adecuados a cada caso. </w:t>
      </w:r>
    </w:p>
    <w:p w14:paraId="20712952" w14:textId="77777777" w:rsidR="00897DA2" w:rsidRDefault="00C34087" w:rsidP="00C34087">
      <w:pPr>
        <w:numPr>
          <w:ilvl w:val="0"/>
          <w:numId w:val="17"/>
        </w:numPr>
        <w:jc w:val="both"/>
        <w:rPr>
          <w:rFonts w:ascii="Calibri" w:hAnsi="Calibri"/>
          <w:sz w:val="24"/>
          <w:szCs w:val="24"/>
          <w:lang w:val="es-MX"/>
        </w:rPr>
      </w:pPr>
      <w:r w:rsidRPr="00C34087">
        <w:rPr>
          <w:rFonts w:ascii="Calibri" w:hAnsi="Calibri"/>
          <w:sz w:val="24"/>
          <w:szCs w:val="24"/>
          <w:lang w:val="es-MX"/>
        </w:rPr>
        <w:t>Servir de intermediario en el proceso para garan</w:t>
      </w:r>
      <w:r>
        <w:rPr>
          <w:rFonts w:ascii="Calibri" w:hAnsi="Calibri"/>
          <w:sz w:val="24"/>
          <w:szCs w:val="24"/>
          <w:lang w:val="es-MX"/>
        </w:rPr>
        <w:t>tizar</w:t>
      </w:r>
      <w:r w:rsidR="00897DA2">
        <w:rPr>
          <w:rFonts w:ascii="Calibri" w:hAnsi="Calibri"/>
          <w:sz w:val="24"/>
          <w:szCs w:val="24"/>
          <w:lang w:val="es-MX"/>
        </w:rPr>
        <w:t xml:space="preserve"> la igualdad de trato y de </w:t>
      </w:r>
      <w:r w:rsidRPr="00C34087">
        <w:rPr>
          <w:rFonts w:ascii="Calibri" w:hAnsi="Calibri"/>
          <w:sz w:val="24"/>
          <w:szCs w:val="24"/>
          <w:lang w:val="es-MX"/>
        </w:rPr>
        <w:t xml:space="preserve">condiciones en el acceso a la justicia de las personas con discapacidad. </w:t>
      </w:r>
    </w:p>
    <w:p w14:paraId="20712953" w14:textId="77777777" w:rsidR="00C34087" w:rsidRPr="00897DA2" w:rsidRDefault="00C34087" w:rsidP="00C34087">
      <w:pPr>
        <w:numPr>
          <w:ilvl w:val="0"/>
          <w:numId w:val="17"/>
        </w:numPr>
        <w:jc w:val="both"/>
        <w:rPr>
          <w:rFonts w:ascii="Calibri" w:hAnsi="Calibri"/>
          <w:sz w:val="24"/>
          <w:szCs w:val="24"/>
          <w:lang w:val="es-MX"/>
        </w:rPr>
      </w:pPr>
      <w:r w:rsidRPr="00897DA2">
        <w:rPr>
          <w:rFonts w:ascii="Calibri" w:hAnsi="Calibri"/>
          <w:sz w:val="24"/>
          <w:szCs w:val="24"/>
          <w:lang w:val="es-MX"/>
        </w:rPr>
        <w:t xml:space="preserve">Hacer accesible el sistema de justicia como actor imparcial del mismo. </w:t>
      </w:r>
    </w:p>
    <w:p w14:paraId="20712954" w14:textId="77777777" w:rsidR="00C34087" w:rsidRPr="00C34087" w:rsidRDefault="00C34087" w:rsidP="00C34087">
      <w:pPr>
        <w:jc w:val="both"/>
        <w:rPr>
          <w:rFonts w:ascii="Calibri" w:hAnsi="Calibri"/>
          <w:sz w:val="24"/>
          <w:szCs w:val="24"/>
          <w:lang w:val="es-MX"/>
        </w:rPr>
      </w:pPr>
    </w:p>
    <w:p w14:paraId="20712955" w14:textId="77777777" w:rsidR="00202FC0" w:rsidRPr="001C0208" w:rsidRDefault="00C34087" w:rsidP="00C34087">
      <w:pPr>
        <w:jc w:val="both"/>
        <w:rPr>
          <w:rFonts w:ascii="Calibri" w:hAnsi="Calibri"/>
          <w:sz w:val="24"/>
          <w:szCs w:val="24"/>
          <w:lang w:val="es-MX"/>
        </w:rPr>
      </w:pPr>
      <w:r w:rsidRPr="00C34087">
        <w:rPr>
          <w:rFonts w:ascii="Calibri" w:hAnsi="Calibri"/>
          <w:sz w:val="24"/>
          <w:szCs w:val="24"/>
          <w:lang w:val="es-MX"/>
        </w:rPr>
        <w:t xml:space="preserve">Uno de los problemas más frecuentemente referidos por los operadores del sistema de justicia es la falta de un adecuado instrumento de verificación y de reconocimiento de la discapacidad que derive en la provisión de ajustes y apoyos específicos para dichas personas. Frente a esta </w:t>
      </w:r>
      <w:r w:rsidRPr="001C0208">
        <w:rPr>
          <w:rFonts w:ascii="Calibri" w:hAnsi="Calibri"/>
          <w:sz w:val="24"/>
          <w:szCs w:val="24"/>
          <w:lang w:val="es-MX"/>
        </w:rPr>
        <w:t xml:space="preserve">situación, el facilitador es un instrumento que permite a los operadores entender la naturaleza </w:t>
      </w:r>
      <w:r w:rsidRPr="001C0208">
        <w:rPr>
          <w:rFonts w:ascii="Calibri" w:hAnsi="Calibri"/>
          <w:sz w:val="24"/>
          <w:szCs w:val="24"/>
          <w:lang w:val="es-MX"/>
        </w:rPr>
        <w:lastRenderedPageBreak/>
        <w:t>e implicaciones de la discapacidad en el proceso penal y del mismo modo ayuda a determinar qué ajustes al procedimiento se requieren para hacer accesible el mismo.</w:t>
      </w:r>
    </w:p>
    <w:p w14:paraId="20712956" w14:textId="77777777" w:rsidR="00C34087" w:rsidRPr="001C0208" w:rsidRDefault="00C34087" w:rsidP="00C34087">
      <w:pPr>
        <w:jc w:val="both"/>
        <w:rPr>
          <w:rFonts w:ascii="Calibri" w:hAnsi="Calibri"/>
          <w:sz w:val="24"/>
          <w:szCs w:val="24"/>
          <w:lang w:val="es-MX"/>
        </w:rPr>
      </w:pPr>
    </w:p>
    <w:p w14:paraId="20712957" w14:textId="77777777" w:rsidR="00C34087" w:rsidRPr="001C0208" w:rsidRDefault="00C34087" w:rsidP="00C34087">
      <w:pPr>
        <w:jc w:val="both"/>
        <w:rPr>
          <w:rFonts w:ascii="Calibri" w:hAnsi="Calibri"/>
          <w:sz w:val="24"/>
          <w:szCs w:val="24"/>
          <w:lang w:val="es-MX"/>
        </w:rPr>
      </w:pPr>
      <w:r w:rsidRPr="001C0208">
        <w:rPr>
          <w:rFonts w:ascii="Calibri" w:hAnsi="Calibri"/>
          <w:sz w:val="24"/>
          <w:szCs w:val="24"/>
          <w:lang w:val="es-MX"/>
        </w:rPr>
        <w:t xml:space="preserve">Para mayor información sobre el Programa Piloto: </w:t>
      </w:r>
      <w:hyperlink r:id="rId13" w:history="1">
        <w:r w:rsidRPr="001C0208">
          <w:rPr>
            <w:rStyle w:val="Hyperlink"/>
            <w:rFonts w:ascii="Calibri" w:hAnsi="Calibri"/>
            <w:sz w:val="24"/>
            <w:szCs w:val="24"/>
            <w:lang w:val="es-MX"/>
          </w:rPr>
          <w:t>diana@documenta.org.mx</w:t>
        </w:r>
      </w:hyperlink>
    </w:p>
    <w:p w14:paraId="20712958" w14:textId="77777777" w:rsidR="00C34087" w:rsidRPr="001C0208" w:rsidRDefault="00C34087" w:rsidP="00C34087">
      <w:pPr>
        <w:jc w:val="both"/>
        <w:rPr>
          <w:rFonts w:ascii="Calibri" w:hAnsi="Calibri"/>
          <w:sz w:val="24"/>
          <w:szCs w:val="24"/>
          <w:lang w:val="es-MX"/>
        </w:rPr>
      </w:pPr>
    </w:p>
    <w:p w14:paraId="20712959" w14:textId="77777777" w:rsidR="00C34087" w:rsidRPr="001C0208" w:rsidRDefault="00C34087" w:rsidP="005547A3">
      <w:pPr>
        <w:rPr>
          <w:rFonts w:ascii="Calibri" w:eastAsia="Arial Unicode MS" w:hAnsi="Calibri"/>
          <w:lang w:val="es-ES"/>
        </w:rPr>
      </w:pPr>
    </w:p>
    <w:p w14:paraId="2071295A" w14:textId="77777777" w:rsidR="00A72978" w:rsidRPr="001C0208" w:rsidRDefault="00A72978" w:rsidP="00A72978">
      <w:pPr>
        <w:jc w:val="both"/>
        <w:rPr>
          <w:rFonts w:ascii="Calibri" w:hAnsi="Calibri"/>
          <w:i/>
          <w:sz w:val="24"/>
          <w:szCs w:val="24"/>
          <w:lang w:val="es-ES_tradnl"/>
        </w:rPr>
      </w:pPr>
      <w:r w:rsidRPr="001C0208">
        <w:rPr>
          <w:rFonts w:ascii="Calibri" w:hAnsi="Calibri"/>
          <w:i/>
          <w:sz w:val="24"/>
          <w:szCs w:val="24"/>
          <w:lang w:val="es-ES_tradnl"/>
        </w:rPr>
        <w:t>b. programas de capacitación sobre el derecho al acceso a la justicia de las personas con discapacidad dirigidos a jueces, abogados, fiscales, policías, trabajadores sociales, intérpretes de idiomas y de lengua de señas, centros de asistencia jurídica y otros órganos judiciales y administrativos que intervengan en instancias judiciales o cuasi judiciales;</w:t>
      </w:r>
    </w:p>
    <w:p w14:paraId="2071295B" w14:textId="77777777" w:rsidR="00A72978" w:rsidRPr="001C0208" w:rsidRDefault="00A72978" w:rsidP="00A72978">
      <w:pPr>
        <w:jc w:val="both"/>
        <w:rPr>
          <w:rFonts w:ascii="Calibri" w:hAnsi="Calibri"/>
          <w:b/>
          <w:i/>
          <w:sz w:val="24"/>
          <w:szCs w:val="24"/>
          <w:lang w:val="es-ES_tradnl"/>
        </w:rPr>
      </w:pPr>
    </w:p>
    <w:p w14:paraId="2071295C" w14:textId="77777777" w:rsidR="0035788C" w:rsidRPr="001C0208" w:rsidRDefault="00387AEF" w:rsidP="00A72978">
      <w:pPr>
        <w:jc w:val="both"/>
        <w:rPr>
          <w:rFonts w:ascii="Calibri" w:hAnsi="Calibri"/>
          <w:sz w:val="24"/>
          <w:szCs w:val="24"/>
          <w:lang w:val="es-ES_tradnl"/>
        </w:rPr>
      </w:pPr>
      <w:r w:rsidRPr="001C0208">
        <w:rPr>
          <w:rFonts w:ascii="Calibri" w:hAnsi="Calibri"/>
          <w:sz w:val="24"/>
          <w:szCs w:val="24"/>
          <w:lang w:val="es-ES_tradnl"/>
        </w:rPr>
        <w:t>Desde Documenta se han impartido los siguientes cursos de capacitación sobre el derecho al acceso a la justicia de las personas con discapacidad dirigidos a jueces y al personal que trabaja en los tribunales de justicia:</w:t>
      </w:r>
    </w:p>
    <w:p w14:paraId="2071295D" w14:textId="77777777" w:rsidR="0035788C" w:rsidRPr="001C0208" w:rsidRDefault="0035788C" w:rsidP="00A72978">
      <w:pPr>
        <w:jc w:val="both"/>
        <w:rPr>
          <w:rFonts w:ascii="Calibri" w:hAnsi="Calibri"/>
          <w:sz w:val="24"/>
          <w:szCs w:val="24"/>
          <w:lang w:val="es-ES_tradnl"/>
        </w:rPr>
      </w:pPr>
    </w:p>
    <w:p w14:paraId="2071295E" w14:textId="77777777" w:rsidR="0035788C" w:rsidRPr="001C0208" w:rsidRDefault="0035788C" w:rsidP="0035788C">
      <w:pPr>
        <w:numPr>
          <w:ilvl w:val="0"/>
          <w:numId w:val="15"/>
        </w:numPr>
        <w:jc w:val="both"/>
        <w:rPr>
          <w:rFonts w:ascii="Calibri" w:hAnsi="Calibri"/>
          <w:sz w:val="24"/>
          <w:szCs w:val="24"/>
          <w:lang w:val="es-ES_tradnl"/>
        </w:rPr>
      </w:pPr>
      <w:r w:rsidRPr="001C0208">
        <w:rPr>
          <w:rFonts w:ascii="Calibri" w:hAnsi="Calibri"/>
          <w:sz w:val="24"/>
          <w:szCs w:val="24"/>
          <w:lang w:val="es-ES_tradnl"/>
        </w:rPr>
        <w:t xml:space="preserve">Para jueces federales: CURSO DE CAPACITACIÓN </w:t>
      </w:r>
      <w:r w:rsidR="00106ED4" w:rsidRPr="001C0208">
        <w:rPr>
          <w:rFonts w:ascii="Calibri" w:hAnsi="Calibri"/>
          <w:sz w:val="24"/>
          <w:szCs w:val="24"/>
          <w:lang w:val="es-ES_tradnl"/>
        </w:rPr>
        <w:t>SOBRE LOS DERECHOS DE LAS PERSONAS CON DISCAP</w:t>
      </w:r>
      <w:r w:rsidR="00333380">
        <w:rPr>
          <w:rFonts w:ascii="Calibri" w:hAnsi="Calibri"/>
          <w:sz w:val="24"/>
          <w:szCs w:val="24"/>
          <w:lang w:val="es-ES_tradnl"/>
        </w:rPr>
        <w:t>A</w:t>
      </w:r>
      <w:r w:rsidR="00106ED4" w:rsidRPr="001C0208">
        <w:rPr>
          <w:rFonts w:ascii="Calibri" w:hAnsi="Calibri"/>
          <w:sz w:val="24"/>
          <w:szCs w:val="24"/>
          <w:lang w:val="es-ES_tradnl"/>
        </w:rPr>
        <w:t xml:space="preserve">CIDAD. </w:t>
      </w:r>
      <w:r w:rsidRPr="001C0208">
        <w:rPr>
          <w:rFonts w:ascii="Calibri" w:hAnsi="Calibri"/>
          <w:sz w:val="24"/>
          <w:szCs w:val="24"/>
          <w:lang w:val="es-ES_tradnl"/>
        </w:rPr>
        <w:t xml:space="preserve">Participaron 82 personas; 51% del poder judicial; 7% funcionarios del gobierno de otras instituciones; 32% abogados y organizaciones de la sociedad civil; 7% estudiantes y maestros. </w:t>
      </w:r>
    </w:p>
    <w:p w14:paraId="2071295F" w14:textId="77777777" w:rsidR="0035788C" w:rsidRPr="001C0208" w:rsidRDefault="00106ED4" w:rsidP="0035788C">
      <w:pPr>
        <w:numPr>
          <w:ilvl w:val="0"/>
          <w:numId w:val="15"/>
        </w:numPr>
        <w:jc w:val="both"/>
        <w:rPr>
          <w:rFonts w:ascii="Calibri" w:hAnsi="Calibri"/>
          <w:sz w:val="24"/>
          <w:szCs w:val="24"/>
          <w:lang w:val="es-ES_tradnl"/>
        </w:rPr>
      </w:pPr>
      <w:r w:rsidRPr="001C0208">
        <w:rPr>
          <w:rFonts w:ascii="Calibri" w:hAnsi="Calibri"/>
          <w:sz w:val="24"/>
          <w:szCs w:val="24"/>
          <w:lang w:val="es-ES_tradnl"/>
        </w:rPr>
        <w:t xml:space="preserve">Para jueces locales de la Ciudad de México, </w:t>
      </w:r>
      <w:r w:rsidR="0035788C" w:rsidRPr="001C0208">
        <w:rPr>
          <w:rFonts w:ascii="Calibri" w:hAnsi="Calibri"/>
          <w:sz w:val="24"/>
          <w:szCs w:val="24"/>
          <w:lang w:val="es-ES_tradnl"/>
        </w:rPr>
        <w:t>Documenta imparti</w:t>
      </w:r>
      <w:r w:rsidRPr="001C0208">
        <w:rPr>
          <w:rFonts w:ascii="Calibri" w:hAnsi="Calibri"/>
          <w:sz w:val="24"/>
          <w:szCs w:val="24"/>
          <w:lang w:val="es-ES_tradnl"/>
        </w:rPr>
        <w:t>ó el curso de capacitación: PROGRAMA DE CAPACITACIÓN SOBRE DERECHOS DE LAS PERSONAS CON DISCAPACIDAD. El Programa tuvo una duración de 3 meses. Participaron 115 personas.</w:t>
      </w:r>
    </w:p>
    <w:p w14:paraId="20712960" w14:textId="77777777" w:rsidR="00106ED4" w:rsidRPr="001C0208" w:rsidRDefault="0035788C" w:rsidP="00A72978">
      <w:pPr>
        <w:numPr>
          <w:ilvl w:val="0"/>
          <w:numId w:val="15"/>
        </w:numPr>
        <w:jc w:val="both"/>
        <w:rPr>
          <w:rFonts w:ascii="Calibri" w:hAnsi="Calibri"/>
          <w:sz w:val="24"/>
          <w:szCs w:val="24"/>
          <w:lang w:val="es-ES_tradnl"/>
        </w:rPr>
      </w:pPr>
      <w:r w:rsidRPr="001C0208">
        <w:rPr>
          <w:rFonts w:ascii="Calibri" w:hAnsi="Calibri"/>
          <w:sz w:val="24"/>
          <w:szCs w:val="24"/>
          <w:lang w:val="es-ES_tradnl"/>
        </w:rPr>
        <w:t xml:space="preserve">Para organizaciones de la sociedad civil: </w:t>
      </w:r>
      <w:r w:rsidRPr="00106ED4">
        <w:rPr>
          <w:rFonts w:ascii="Myriad Pro" w:hAnsi="Myriad Pro" w:cs="Arial"/>
          <w:sz w:val="22"/>
          <w:szCs w:val="22"/>
          <w:lang w:val="es-MX"/>
        </w:rPr>
        <w:t xml:space="preserve">CURSO DE CAPACITACIÓN SOBRE LOS DERECHOS DE LAS PERSONAS CON DISCAPACIDAD PARA ORGANIZACIONES DE LA SOCIEDAD CIVIL. </w:t>
      </w:r>
      <w:r w:rsidR="00106ED4" w:rsidRPr="00106ED4">
        <w:rPr>
          <w:rFonts w:ascii="Myriad Pro" w:hAnsi="Myriad Pro" w:cs="Arial"/>
          <w:sz w:val="22"/>
          <w:szCs w:val="22"/>
          <w:lang w:val="es-MX"/>
        </w:rPr>
        <w:t xml:space="preserve">27 al 30 de </w:t>
      </w:r>
      <w:r w:rsidRPr="00106ED4">
        <w:rPr>
          <w:rFonts w:ascii="Myriad Pro" w:hAnsi="Myriad Pro" w:cs="Arial"/>
          <w:sz w:val="22"/>
          <w:szCs w:val="22"/>
          <w:lang w:val="es-MX"/>
        </w:rPr>
        <w:t xml:space="preserve">Septiembre </w:t>
      </w:r>
      <w:r w:rsidR="00106ED4" w:rsidRPr="00106ED4">
        <w:rPr>
          <w:rFonts w:ascii="Myriad Pro" w:hAnsi="Myriad Pro" w:cs="Arial"/>
          <w:sz w:val="22"/>
          <w:szCs w:val="22"/>
          <w:lang w:val="es-MX"/>
        </w:rPr>
        <w:t xml:space="preserve">de 2016. En dicho curso participaron </w:t>
      </w:r>
      <w:r w:rsidR="00106ED4">
        <w:rPr>
          <w:rFonts w:ascii="Myriad Pro" w:hAnsi="Myriad Pro" w:cs="Arial"/>
          <w:sz w:val="22"/>
          <w:szCs w:val="22"/>
          <w:lang w:val="es-MX"/>
        </w:rPr>
        <w:t>27 personas con y sin discapacidad.</w:t>
      </w:r>
    </w:p>
    <w:p w14:paraId="20712961" w14:textId="77777777" w:rsidR="0035788C" w:rsidRPr="001C0208" w:rsidRDefault="0035788C" w:rsidP="00106ED4">
      <w:pPr>
        <w:numPr>
          <w:ilvl w:val="0"/>
          <w:numId w:val="15"/>
        </w:numPr>
        <w:jc w:val="both"/>
        <w:rPr>
          <w:rFonts w:ascii="Calibri" w:hAnsi="Calibri"/>
          <w:sz w:val="24"/>
          <w:szCs w:val="24"/>
          <w:lang w:val="es-ES_tradnl"/>
        </w:rPr>
      </w:pPr>
      <w:r w:rsidRPr="001C0208">
        <w:rPr>
          <w:rFonts w:ascii="Calibri" w:hAnsi="Calibri"/>
          <w:sz w:val="24"/>
          <w:szCs w:val="24"/>
          <w:lang w:val="es-ES_tradnl"/>
        </w:rPr>
        <w:t xml:space="preserve">Para agentes de policía, el Instituto para la Integración y el Desarrollo de las Personas con Discapacidad del Distrito Federal, invitó a Documenta a participar en una sesión del </w:t>
      </w:r>
      <w:r w:rsidR="001243B0">
        <w:rPr>
          <w:rFonts w:ascii="Calibri" w:hAnsi="Calibri"/>
          <w:sz w:val="24"/>
          <w:szCs w:val="24"/>
          <w:lang w:val="es-ES_tradnl"/>
        </w:rPr>
        <w:t xml:space="preserve">PROGRAMA DE SENSILIBILIZACIÓN SOBRE LOS DERECHOS DE LAS PERSONAS CON DISCAPACIDAD. </w:t>
      </w:r>
      <w:r w:rsidRPr="001C0208">
        <w:rPr>
          <w:rFonts w:ascii="Calibri" w:hAnsi="Calibri"/>
          <w:sz w:val="24"/>
          <w:szCs w:val="24"/>
          <w:lang w:val="es-ES_tradnl"/>
        </w:rPr>
        <w:t xml:space="preserve">Participaron </w:t>
      </w:r>
      <w:r w:rsidR="001243B0">
        <w:rPr>
          <w:rFonts w:ascii="Calibri" w:hAnsi="Calibri"/>
          <w:sz w:val="24"/>
          <w:szCs w:val="24"/>
          <w:lang w:val="es-ES_tradnl"/>
        </w:rPr>
        <w:t>352 personas.</w:t>
      </w:r>
      <w:r w:rsidRPr="001C0208">
        <w:rPr>
          <w:rFonts w:ascii="Calibri" w:hAnsi="Calibri"/>
          <w:sz w:val="24"/>
          <w:szCs w:val="24"/>
          <w:lang w:val="es-ES_tradnl"/>
        </w:rPr>
        <w:t xml:space="preserve"> </w:t>
      </w:r>
      <w:r w:rsidR="00387AEF" w:rsidRPr="001C0208">
        <w:rPr>
          <w:rFonts w:ascii="Calibri" w:hAnsi="Calibri"/>
          <w:sz w:val="24"/>
          <w:szCs w:val="24"/>
          <w:lang w:val="es-ES_tradnl"/>
        </w:rPr>
        <w:t xml:space="preserve"> </w:t>
      </w:r>
    </w:p>
    <w:p w14:paraId="20712962" w14:textId="77777777" w:rsidR="0035788C" w:rsidRPr="001C0208" w:rsidRDefault="0035788C" w:rsidP="00A72978">
      <w:pPr>
        <w:numPr>
          <w:ilvl w:val="0"/>
          <w:numId w:val="15"/>
        </w:numPr>
        <w:jc w:val="both"/>
        <w:rPr>
          <w:rFonts w:ascii="Calibri" w:hAnsi="Calibri"/>
          <w:sz w:val="24"/>
          <w:szCs w:val="24"/>
          <w:lang w:val="es-ES_tradnl"/>
        </w:rPr>
      </w:pPr>
      <w:r w:rsidRPr="001C0208">
        <w:rPr>
          <w:rFonts w:ascii="Calibri" w:hAnsi="Calibri"/>
          <w:sz w:val="24"/>
          <w:szCs w:val="24"/>
          <w:lang w:val="es-ES_tradnl"/>
        </w:rPr>
        <w:t xml:space="preserve">Para personal de la Procuraduría General de Justicia del Distrito Federal, Documenta fue invitado por la organización Miel que viene del Cielo a impartir el taller: ACCESO A LA JUSTICIA DE LAS PERSONAS CON DISCAPACIDAD. </w:t>
      </w:r>
    </w:p>
    <w:p w14:paraId="20712963" w14:textId="77777777" w:rsidR="00321F87" w:rsidRPr="001C0208" w:rsidRDefault="00321F87" w:rsidP="00897DA2">
      <w:pPr>
        <w:numPr>
          <w:ilvl w:val="0"/>
          <w:numId w:val="15"/>
        </w:numPr>
        <w:jc w:val="both"/>
        <w:rPr>
          <w:rFonts w:ascii="Calibri" w:hAnsi="Calibri"/>
          <w:sz w:val="24"/>
          <w:szCs w:val="24"/>
          <w:lang w:val="es-ES_tradnl"/>
        </w:rPr>
      </w:pPr>
      <w:r w:rsidRPr="001C0208">
        <w:rPr>
          <w:rFonts w:ascii="Calibri" w:hAnsi="Calibri"/>
          <w:sz w:val="24"/>
          <w:szCs w:val="24"/>
          <w:lang w:val="es-ES_tradnl"/>
        </w:rPr>
        <w:t xml:space="preserve">Dirigido a Intérpretes de Lengua de Señas, Documenta, junto con otras organizaciones como el Instituto de Justicia Procesal Penal, la Clínica de Derechos Humanos de la UNAM, entre otras, impartieron el taller: </w:t>
      </w:r>
      <w:r w:rsidR="00897DA2" w:rsidRPr="00897DA2">
        <w:rPr>
          <w:rFonts w:ascii="Calibri" w:hAnsi="Calibri"/>
          <w:sz w:val="24"/>
          <w:szCs w:val="24"/>
          <w:lang w:val="es-ES_tradnl"/>
        </w:rPr>
        <w:t>Primer Taller Nacional de “Profesionalización de los Servicios de Interpretación en el Ámbito Jurídico”, dirigido por especialistas internacionales, académicos, organizaciones e impartidores de justicia de la Ciudad de México.</w:t>
      </w:r>
    </w:p>
    <w:p w14:paraId="20712964" w14:textId="77777777" w:rsidR="0035788C" w:rsidRDefault="0035788C" w:rsidP="00A72978">
      <w:pPr>
        <w:jc w:val="both"/>
        <w:rPr>
          <w:sz w:val="24"/>
          <w:szCs w:val="24"/>
          <w:lang w:val="es-ES_tradnl"/>
        </w:rPr>
      </w:pPr>
    </w:p>
    <w:p w14:paraId="20712965" w14:textId="77777777" w:rsidR="0035788C" w:rsidRDefault="0035788C" w:rsidP="00A72978">
      <w:pPr>
        <w:jc w:val="both"/>
        <w:rPr>
          <w:sz w:val="24"/>
          <w:szCs w:val="24"/>
          <w:lang w:val="es-ES_tradnl"/>
        </w:rPr>
      </w:pPr>
    </w:p>
    <w:p w14:paraId="20712966" w14:textId="77777777" w:rsidR="00A72978" w:rsidRDefault="00A72978" w:rsidP="00A72978">
      <w:pPr>
        <w:jc w:val="both"/>
        <w:rPr>
          <w:rFonts w:ascii="Calibri" w:hAnsi="Calibri"/>
          <w:i/>
          <w:sz w:val="24"/>
          <w:szCs w:val="24"/>
          <w:lang w:val="es-ES_tradnl"/>
        </w:rPr>
      </w:pPr>
      <w:r w:rsidRPr="00897DA2">
        <w:rPr>
          <w:rFonts w:ascii="Calibri" w:hAnsi="Calibri"/>
          <w:i/>
          <w:sz w:val="24"/>
          <w:szCs w:val="24"/>
          <w:lang w:val="es-ES_tradnl"/>
        </w:rPr>
        <w:t>d. programas de asistencia jurídica, públicos y/o privados, que incluyan el derecho al acceso a la justicia de las personas con discapacidad en sus prácticas, incluida la disponibilidad de servicios de apoyo y enlace para tribunales u otras instancias judiciales o cuasi judiciales.</w:t>
      </w:r>
    </w:p>
    <w:p w14:paraId="20712967" w14:textId="77777777" w:rsidR="00A20B51" w:rsidRDefault="00A20B51" w:rsidP="00A72978">
      <w:pPr>
        <w:jc w:val="both"/>
        <w:rPr>
          <w:rFonts w:ascii="Calibri" w:hAnsi="Calibri"/>
          <w:i/>
          <w:sz w:val="24"/>
          <w:szCs w:val="24"/>
          <w:lang w:val="es-ES_tradnl"/>
        </w:rPr>
      </w:pPr>
    </w:p>
    <w:p w14:paraId="20712968" w14:textId="77777777" w:rsidR="00A20B51" w:rsidRPr="00333380" w:rsidRDefault="00A20B51" w:rsidP="00333380">
      <w:pPr>
        <w:jc w:val="both"/>
        <w:rPr>
          <w:rFonts w:ascii="Calibri" w:hAnsi="Calibri"/>
          <w:sz w:val="24"/>
          <w:szCs w:val="24"/>
          <w:lang w:val="es-MX"/>
        </w:rPr>
      </w:pPr>
      <w:r>
        <w:rPr>
          <w:rFonts w:ascii="Calibri" w:hAnsi="Calibri"/>
          <w:sz w:val="24"/>
          <w:szCs w:val="24"/>
          <w:lang w:val="es-MX"/>
        </w:rPr>
        <w:t xml:space="preserve">Desde el año 2011 Documenta ha </w:t>
      </w:r>
      <w:r w:rsidRPr="00A20B51">
        <w:rPr>
          <w:rFonts w:ascii="Calibri" w:hAnsi="Calibri"/>
          <w:sz w:val="24"/>
          <w:szCs w:val="24"/>
          <w:lang w:val="es-MX"/>
        </w:rPr>
        <w:t>asesorado y litigado diversos casos de personas con discapacidad</w:t>
      </w:r>
      <w:r>
        <w:rPr>
          <w:rFonts w:ascii="Calibri" w:hAnsi="Calibri"/>
          <w:sz w:val="24"/>
          <w:szCs w:val="24"/>
          <w:lang w:val="es-MX"/>
        </w:rPr>
        <w:t xml:space="preserve"> </w:t>
      </w:r>
      <w:r w:rsidRPr="00A20B51">
        <w:rPr>
          <w:rFonts w:ascii="Calibri" w:hAnsi="Calibri"/>
          <w:sz w:val="24"/>
          <w:szCs w:val="24"/>
          <w:lang w:val="es-MX"/>
        </w:rPr>
        <w:t xml:space="preserve">psicosocial en el sistema penal. </w:t>
      </w:r>
      <w:r w:rsidR="00333380" w:rsidRPr="00333380">
        <w:rPr>
          <w:rFonts w:ascii="Calibri" w:hAnsi="Calibri"/>
          <w:sz w:val="24"/>
          <w:szCs w:val="24"/>
          <w:lang w:val="es-MX"/>
        </w:rPr>
        <w:t>Documenta representa jurídicamente a personas con discapacidad en el proceso penal para garantizar que éste se lleve a cabo con arreglo a todas las salvaguardias y garantías aplicables a las personas sin disca</w:t>
      </w:r>
      <w:r w:rsidR="00333380">
        <w:rPr>
          <w:rFonts w:ascii="Calibri" w:hAnsi="Calibri"/>
          <w:sz w:val="24"/>
          <w:szCs w:val="24"/>
          <w:lang w:val="es-MX"/>
        </w:rPr>
        <w:t xml:space="preserve">pacidad.  </w:t>
      </w:r>
      <w:r w:rsidRPr="00A20B51">
        <w:rPr>
          <w:rFonts w:ascii="Calibri" w:hAnsi="Calibri"/>
          <w:sz w:val="24"/>
          <w:szCs w:val="24"/>
          <w:lang w:val="es-MX"/>
        </w:rPr>
        <w:t>Lo anterior nos ha</w:t>
      </w:r>
      <w:r>
        <w:rPr>
          <w:rFonts w:ascii="Calibri" w:hAnsi="Calibri"/>
          <w:sz w:val="24"/>
          <w:szCs w:val="24"/>
          <w:lang w:val="es-MX"/>
        </w:rPr>
        <w:t xml:space="preserve"> </w:t>
      </w:r>
      <w:r w:rsidRPr="00A20B51">
        <w:rPr>
          <w:rFonts w:ascii="Calibri" w:hAnsi="Calibri"/>
          <w:sz w:val="24"/>
          <w:szCs w:val="24"/>
          <w:lang w:val="es-MX"/>
        </w:rPr>
        <w:t>permitido contar con información de primera mano sobre</w:t>
      </w:r>
      <w:r>
        <w:rPr>
          <w:rFonts w:ascii="Calibri" w:hAnsi="Calibri"/>
          <w:sz w:val="24"/>
          <w:szCs w:val="24"/>
          <w:lang w:val="es-MX"/>
        </w:rPr>
        <w:t xml:space="preserve"> </w:t>
      </w:r>
      <w:r w:rsidRPr="00A20B51">
        <w:rPr>
          <w:rFonts w:ascii="Calibri" w:hAnsi="Calibri"/>
          <w:sz w:val="24"/>
          <w:szCs w:val="24"/>
          <w:lang w:val="es-MX"/>
        </w:rPr>
        <w:t>las barreras con las que se enfrentan estas personas para</w:t>
      </w:r>
      <w:r w:rsidR="00333380">
        <w:rPr>
          <w:rFonts w:ascii="Calibri" w:hAnsi="Calibri"/>
          <w:sz w:val="24"/>
          <w:szCs w:val="24"/>
          <w:lang w:val="es-MX"/>
        </w:rPr>
        <w:t xml:space="preserve"> </w:t>
      </w:r>
      <w:r w:rsidRPr="00A20B51">
        <w:rPr>
          <w:rFonts w:ascii="Calibri" w:hAnsi="Calibri"/>
          <w:sz w:val="24"/>
          <w:szCs w:val="24"/>
          <w:lang w:val="es-MX"/>
        </w:rPr>
        <w:t>acceder de manera efectiva a la justicia.</w:t>
      </w:r>
      <w:r w:rsidR="00333380">
        <w:rPr>
          <w:rFonts w:ascii="Calibri" w:hAnsi="Calibri"/>
          <w:sz w:val="24"/>
          <w:szCs w:val="24"/>
          <w:lang w:val="es-MX"/>
        </w:rPr>
        <w:t xml:space="preserve">  </w:t>
      </w:r>
      <w:r w:rsidR="00333380" w:rsidRPr="00333380">
        <w:rPr>
          <w:rFonts w:ascii="Calibri" w:hAnsi="Calibri"/>
          <w:sz w:val="24"/>
          <w:szCs w:val="24"/>
          <w:lang w:val="es-MX"/>
        </w:rPr>
        <w:t>La trayectoria de la organización nos ha permitido impulsar cambios sustantivos en la impartición de la justicia penal con perspectiva de discapacidad y derechos humanos. Uno de los logros más importantes a través del litigio son tres sentencias en formato accesible (lectura sencilla) dirigidas a personas con discapacidad psicosocial.</w:t>
      </w:r>
    </w:p>
    <w:p w14:paraId="20712969" w14:textId="77777777" w:rsidR="009124E8" w:rsidRDefault="009124E8" w:rsidP="00A72978">
      <w:pPr>
        <w:jc w:val="both"/>
        <w:rPr>
          <w:i/>
          <w:sz w:val="24"/>
          <w:szCs w:val="24"/>
          <w:lang w:val="es-ES_tradnl"/>
        </w:rPr>
      </w:pPr>
    </w:p>
    <w:p w14:paraId="2071296A" w14:textId="77777777" w:rsidR="00C34087" w:rsidRPr="001C0208" w:rsidRDefault="00C34087" w:rsidP="00A72978">
      <w:pPr>
        <w:jc w:val="both"/>
        <w:rPr>
          <w:rFonts w:ascii="Calibri" w:hAnsi="Calibri"/>
          <w:i/>
          <w:sz w:val="24"/>
          <w:szCs w:val="24"/>
          <w:lang w:val="es-MX"/>
        </w:rPr>
      </w:pPr>
    </w:p>
    <w:p w14:paraId="2071296B" w14:textId="77777777" w:rsidR="00A72978" w:rsidRPr="001C0208" w:rsidRDefault="001F14B4" w:rsidP="00A72978">
      <w:pPr>
        <w:jc w:val="both"/>
        <w:rPr>
          <w:rFonts w:ascii="Calibri" w:hAnsi="Calibri"/>
          <w:i/>
          <w:sz w:val="24"/>
          <w:szCs w:val="24"/>
          <w:lang w:val="es-MX"/>
        </w:rPr>
      </w:pPr>
      <w:r w:rsidRPr="001C0208">
        <w:rPr>
          <w:rFonts w:ascii="Calibri" w:hAnsi="Calibri"/>
          <w:i/>
          <w:sz w:val="24"/>
          <w:szCs w:val="24"/>
          <w:lang w:val="es-MX"/>
        </w:rPr>
        <w:t xml:space="preserve">4. </w:t>
      </w:r>
      <w:r w:rsidR="00A72978" w:rsidRPr="001C0208">
        <w:rPr>
          <w:rFonts w:ascii="Calibri" w:hAnsi="Calibri"/>
          <w:i/>
          <w:sz w:val="24"/>
          <w:szCs w:val="24"/>
          <w:lang w:val="es-MX"/>
        </w:rPr>
        <w:t>¿Su país supervisa y recopila datos desagregados con respecto al acceso a procedimientos judiciales o cuasi judiciales relativos a:</w:t>
      </w:r>
    </w:p>
    <w:p w14:paraId="2071296C" w14:textId="77777777" w:rsidR="00A979EA" w:rsidRPr="001C0208" w:rsidRDefault="00A979EA" w:rsidP="00A72978">
      <w:pPr>
        <w:jc w:val="both"/>
        <w:rPr>
          <w:rFonts w:ascii="Calibri" w:hAnsi="Calibri"/>
          <w:i/>
          <w:sz w:val="24"/>
          <w:szCs w:val="24"/>
          <w:lang w:val="es-MX"/>
        </w:rPr>
      </w:pPr>
    </w:p>
    <w:p w14:paraId="2071296D" w14:textId="77777777" w:rsidR="00A72978" w:rsidRPr="001C0208" w:rsidRDefault="00A72978" w:rsidP="00A72978">
      <w:pPr>
        <w:jc w:val="both"/>
        <w:rPr>
          <w:rFonts w:ascii="Calibri" w:hAnsi="Calibri"/>
          <w:i/>
          <w:sz w:val="24"/>
          <w:szCs w:val="24"/>
          <w:lang w:val="es-MX"/>
        </w:rPr>
      </w:pPr>
      <w:r w:rsidRPr="001C0208">
        <w:rPr>
          <w:rFonts w:ascii="Calibri" w:hAnsi="Calibri"/>
          <w:i/>
          <w:sz w:val="24"/>
          <w:szCs w:val="24"/>
          <w:lang w:val="es-MX"/>
        </w:rPr>
        <w:t>a. la participación de las personas con discapacidad en los procedimientos judiciales o cuasi judiciales, incluido el número de quejas presentadas, la naturaleza de las mismas y sus resultados;</w:t>
      </w:r>
    </w:p>
    <w:p w14:paraId="2071296E" w14:textId="77777777" w:rsidR="00A72978" w:rsidRPr="001C0208" w:rsidRDefault="00A72978" w:rsidP="00A72978">
      <w:pPr>
        <w:jc w:val="both"/>
        <w:rPr>
          <w:rFonts w:ascii="Calibri" w:hAnsi="Calibri"/>
          <w:i/>
          <w:sz w:val="24"/>
          <w:szCs w:val="24"/>
          <w:lang w:val="es-MX"/>
        </w:rPr>
      </w:pPr>
    </w:p>
    <w:p w14:paraId="2071296F" w14:textId="77777777" w:rsidR="00A72978" w:rsidRPr="001C0208" w:rsidRDefault="00A72978" w:rsidP="00A72978">
      <w:pPr>
        <w:jc w:val="both"/>
        <w:rPr>
          <w:rFonts w:ascii="Calibri" w:hAnsi="Calibri"/>
          <w:i/>
          <w:sz w:val="24"/>
          <w:szCs w:val="24"/>
          <w:lang w:val="es-MX"/>
        </w:rPr>
      </w:pPr>
      <w:r w:rsidRPr="001C0208">
        <w:rPr>
          <w:rFonts w:ascii="Calibri" w:hAnsi="Calibri"/>
          <w:i/>
          <w:sz w:val="24"/>
          <w:szCs w:val="24"/>
          <w:lang w:val="es-MX"/>
        </w:rPr>
        <w:t>b. las personas con discapacidad que logren recibir reparación y la naturaleza de esas reparaciones, si son adecuadas, eficaces, rápidas y apropiadas, respondiendo a su situación específica;</w:t>
      </w:r>
    </w:p>
    <w:p w14:paraId="20712970" w14:textId="77777777" w:rsidR="00A72978" w:rsidRPr="001C0208" w:rsidRDefault="00A72978" w:rsidP="00A72978">
      <w:pPr>
        <w:jc w:val="both"/>
        <w:rPr>
          <w:rFonts w:ascii="Calibri" w:hAnsi="Calibri"/>
          <w:i/>
          <w:sz w:val="24"/>
          <w:szCs w:val="24"/>
          <w:lang w:val="es-MX"/>
        </w:rPr>
      </w:pPr>
    </w:p>
    <w:p w14:paraId="20712971" w14:textId="77777777" w:rsidR="00A72978" w:rsidRPr="001C0208" w:rsidRDefault="00A72978" w:rsidP="00A72978">
      <w:pPr>
        <w:jc w:val="both"/>
        <w:rPr>
          <w:rFonts w:ascii="Calibri" w:hAnsi="Calibri"/>
          <w:i/>
          <w:sz w:val="24"/>
          <w:szCs w:val="24"/>
          <w:lang w:val="es-MX"/>
        </w:rPr>
      </w:pPr>
      <w:r w:rsidRPr="001C0208">
        <w:rPr>
          <w:rFonts w:ascii="Calibri" w:hAnsi="Calibri"/>
          <w:i/>
          <w:sz w:val="24"/>
          <w:szCs w:val="24"/>
          <w:lang w:val="es-MX"/>
        </w:rPr>
        <w:t>c. las personas con discapacidad que han sido condenadas, la naturaleza de su condena y si se beneficiaron de las salvaguardias del derecho a un juicio justo en igualdad de condiciones con las demás personas; y</w:t>
      </w:r>
    </w:p>
    <w:p w14:paraId="20712972" w14:textId="77777777" w:rsidR="00E177FF" w:rsidRDefault="00E177FF" w:rsidP="00A72978">
      <w:pPr>
        <w:jc w:val="both"/>
        <w:rPr>
          <w:rFonts w:ascii="Calibri" w:hAnsi="Calibri"/>
          <w:i/>
          <w:sz w:val="24"/>
          <w:szCs w:val="24"/>
          <w:lang w:val="es-MX"/>
        </w:rPr>
      </w:pPr>
    </w:p>
    <w:p w14:paraId="20712973" w14:textId="77777777" w:rsidR="00E177FF" w:rsidRPr="001C0208" w:rsidRDefault="00E177FF" w:rsidP="00A72978">
      <w:pPr>
        <w:jc w:val="both"/>
        <w:rPr>
          <w:rFonts w:ascii="Calibri" w:hAnsi="Calibri"/>
          <w:i/>
          <w:sz w:val="24"/>
          <w:szCs w:val="24"/>
          <w:lang w:val="es-MX"/>
        </w:rPr>
      </w:pPr>
    </w:p>
    <w:p w14:paraId="20712974" w14:textId="77777777" w:rsidR="00E177FF" w:rsidRPr="001C0208" w:rsidRDefault="00E177FF" w:rsidP="00E177FF">
      <w:pPr>
        <w:jc w:val="both"/>
        <w:rPr>
          <w:rFonts w:ascii="Calibri" w:hAnsi="Calibri"/>
          <w:b/>
          <w:sz w:val="24"/>
          <w:szCs w:val="24"/>
          <w:u w:val="single"/>
          <w:lang w:val="es-MX"/>
        </w:rPr>
      </w:pPr>
      <w:r w:rsidRPr="001C0208">
        <w:rPr>
          <w:rFonts w:ascii="Calibri" w:hAnsi="Calibri"/>
          <w:sz w:val="24"/>
          <w:szCs w:val="24"/>
          <w:lang w:val="es-MX"/>
        </w:rPr>
        <w:t xml:space="preserve">Al respecto, el Instituto Nacional de </w:t>
      </w:r>
      <w:r w:rsidR="00895E26">
        <w:rPr>
          <w:rFonts w:ascii="Calibri" w:hAnsi="Calibri"/>
          <w:sz w:val="24"/>
          <w:szCs w:val="24"/>
          <w:lang w:val="es-MX"/>
        </w:rPr>
        <w:t xml:space="preserve">Estadística y </w:t>
      </w:r>
      <w:r w:rsidRPr="001C0208">
        <w:rPr>
          <w:rFonts w:ascii="Calibri" w:hAnsi="Calibri"/>
          <w:sz w:val="24"/>
          <w:szCs w:val="24"/>
          <w:lang w:val="es-MX"/>
        </w:rPr>
        <w:t>Geografía</w:t>
      </w:r>
      <w:r w:rsidR="00895E26">
        <w:rPr>
          <w:rFonts w:ascii="Calibri" w:hAnsi="Calibri"/>
          <w:sz w:val="24"/>
          <w:szCs w:val="24"/>
          <w:lang w:val="es-MX"/>
        </w:rPr>
        <w:t xml:space="preserve"> </w:t>
      </w:r>
      <w:r w:rsidRPr="001C0208">
        <w:rPr>
          <w:rFonts w:ascii="Calibri" w:hAnsi="Calibri"/>
          <w:sz w:val="24"/>
          <w:szCs w:val="24"/>
          <w:lang w:val="es-MX"/>
        </w:rPr>
        <w:t xml:space="preserve">señala a través de acceso a la información que la </w:t>
      </w:r>
      <w:r w:rsidRPr="001C0208">
        <w:rPr>
          <w:rFonts w:ascii="Calibri" w:hAnsi="Calibri" w:cs="Arial"/>
          <w:sz w:val="24"/>
          <w:szCs w:val="24"/>
          <w:lang w:val="es-MX"/>
        </w:rPr>
        <w:t xml:space="preserve">Dirección General de Estadísticas de Gobierno, Seguridad Pública y Justicia genera información </w:t>
      </w:r>
      <w:r w:rsidR="00034811">
        <w:rPr>
          <w:rFonts w:ascii="Calibri" w:hAnsi="Calibri" w:cs="Arial"/>
          <w:sz w:val="24"/>
          <w:szCs w:val="24"/>
          <w:lang w:val="es-MX"/>
        </w:rPr>
        <w:t>des</w:t>
      </w:r>
      <w:r w:rsidRPr="001C0208">
        <w:rPr>
          <w:rFonts w:ascii="Calibri" w:hAnsi="Calibri" w:cs="Arial"/>
          <w:sz w:val="24"/>
          <w:szCs w:val="24"/>
          <w:lang w:val="es-MX"/>
        </w:rPr>
        <w:t>agregada sobre las características de las personas involucradas en investigaciones judiciales (carpetas de investigación o averiguaciones previas), mecanismos alternativos de solución de controversias y procedimientos judiciales (causas penales) a través de los proyectos estadísticos “</w:t>
      </w:r>
      <w:r w:rsidRPr="001C0208">
        <w:rPr>
          <w:rFonts w:ascii="Calibri" w:hAnsi="Calibri" w:cs="Arial"/>
          <w:i/>
          <w:iCs/>
          <w:sz w:val="24"/>
          <w:szCs w:val="24"/>
          <w:lang w:val="es-MX"/>
        </w:rPr>
        <w:t>Censo Nacional de Procuración de Justicia Estatal/Federal</w:t>
      </w:r>
      <w:r w:rsidRPr="001C0208">
        <w:rPr>
          <w:rFonts w:ascii="Calibri" w:hAnsi="Calibri" w:cs="Arial"/>
          <w:sz w:val="24"/>
          <w:szCs w:val="24"/>
          <w:lang w:val="es-MX"/>
        </w:rPr>
        <w:t xml:space="preserve">” y el </w:t>
      </w:r>
      <w:r w:rsidRPr="001C0208">
        <w:rPr>
          <w:rFonts w:ascii="Calibri" w:hAnsi="Calibri" w:cs="Arial"/>
          <w:i/>
          <w:iCs/>
          <w:sz w:val="24"/>
          <w:szCs w:val="24"/>
          <w:lang w:val="es-MX"/>
        </w:rPr>
        <w:t xml:space="preserve">“Censo Nacional de Impartición de Justicia Estatal/Federal”; </w:t>
      </w:r>
      <w:r w:rsidRPr="001C0208">
        <w:rPr>
          <w:rFonts w:ascii="Calibri" w:hAnsi="Calibri" w:cs="Arial"/>
          <w:sz w:val="24"/>
          <w:szCs w:val="24"/>
          <w:lang w:val="es-MX"/>
        </w:rPr>
        <w:t xml:space="preserve">sobre características de personas sentenciadas a través del </w:t>
      </w:r>
      <w:r w:rsidRPr="001C0208">
        <w:rPr>
          <w:rFonts w:ascii="Calibri" w:hAnsi="Calibri" w:cs="Arial"/>
          <w:i/>
          <w:iCs/>
          <w:sz w:val="24"/>
          <w:szCs w:val="24"/>
          <w:lang w:val="es-MX"/>
        </w:rPr>
        <w:t>“Censo Nacional de Gobierno, Seguridad Pública y Sistema Penitenciario Estatales”</w:t>
      </w:r>
      <w:r w:rsidRPr="001C0208">
        <w:rPr>
          <w:rFonts w:ascii="Calibri" w:hAnsi="Calibri" w:cs="Arial"/>
          <w:sz w:val="24"/>
          <w:szCs w:val="24"/>
          <w:lang w:val="es-MX"/>
        </w:rPr>
        <w:t xml:space="preserve"> y sobre hechos violatorios de derechos humanos a través del proyecto estadístico denominado </w:t>
      </w:r>
      <w:r w:rsidRPr="001C0208">
        <w:rPr>
          <w:rFonts w:ascii="Calibri" w:hAnsi="Calibri" w:cs="Arial"/>
          <w:i/>
          <w:iCs/>
          <w:sz w:val="24"/>
          <w:szCs w:val="24"/>
          <w:lang w:val="es-MX"/>
        </w:rPr>
        <w:t>“Recopilación de Información de los Organismos Públicos de Derechos Humanos en México</w:t>
      </w:r>
      <w:r w:rsidRPr="001C0208">
        <w:rPr>
          <w:rFonts w:ascii="Calibri" w:hAnsi="Calibri" w:cs="Arial"/>
          <w:sz w:val="24"/>
          <w:szCs w:val="24"/>
          <w:lang w:val="es-MX"/>
        </w:rPr>
        <w:t xml:space="preserve">”. Dentro de dicha información se encuentran datos acerca de las características de las personas involucradas, como son: edad, sexo, ocupación, grado de estudios, relación víctima-agresor, condición de habla de alguna lengua indígena, entre otras, misma que puede resultar de su interés, ello atendiendo al contenido de su solicitud, </w:t>
      </w:r>
      <w:r w:rsidRPr="001C0208">
        <w:rPr>
          <w:rFonts w:ascii="Calibri" w:hAnsi="Calibri" w:cs="Arial"/>
          <w:b/>
          <w:sz w:val="24"/>
          <w:szCs w:val="24"/>
          <w:u w:val="single"/>
          <w:lang w:val="es-MX"/>
        </w:rPr>
        <w:t xml:space="preserve">sin </w:t>
      </w:r>
      <w:r w:rsidRPr="001C0208">
        <w:rPr>
          <w:rFonts w:ascii="Calibri" w:hAnsi="Calibri" w:cs="Arial"/>
          <w:b/>
          <w:sz w:val="24"/>
          <w:szCs w:val="24"/>
          <w:u w:val="single"/>
          <w:lang w:val="es-MX"/>
        </w:rPr>
        <w:lastRenderedPageBreak/>
        <w:t xml:space="preserve">embargo, resulta oportuno comentarle que estos proyectos no cuentan con la descripción que requiere respecto a datos sobre variables de discapacidad. </w:t>
      </w:r>
    </w:p>
    <w:p w14:paraId="20712975" w14:textId="77777777" w:rsidR="00E177FF" w:rsidRPr="001C0208" w:rsidRDefault="00E177FF" w:rsidP="00E177FF">
      <w:pPr>
        <w:shd w:val="clear" w:color="auto" w:fill="FFFFFF"/>
        <w:spacing w:before="100" w:beforeAutospacing="1" w:after="100" w:afterAutospacing="1"/>
        <w:jc w:val="both"/>
        <w:rPr>
          <w:rFonts w:ascii="Calibri" w:hAnsi="Calibri"/>
          <w:sz w:val="24"/>
          <w:szCs w:val="24"/>
          <w:lang w:val="es-MX"/>
        </w:rPr>
      </w:pPr>
      <w:r w:rsidRPr="001C0208">
        <w:rPr>
          <w:rFonts w:ascii="Calibri" w:hAnsi="Calibri" w:cs="Arial"/>
          <w:sz w:val="24"/>
          <w:szCs w:val="24"/>
          <w:lang w:val="es-MX"/>
        </w:rPr>
        <w:t>Es así que, la información derivada de dichos proyectos es pública conforme lo establece la Ley del Sistema y se encuentra disponible para su consulta por cualquier interesado, pudiendo acceder a ella a través del portal de Instituto en internet, en las siguientes ligas:</w:t>
      </w:r>
    </w:p>
    <w:p w14:paraId="20712976" w14:textId="77777777" w:rsidR="00E177FF" w:rsidRPr="008E5995" w:rsidRDefault="00E177FF" w:rsidP="00E177FF">
      <w:pPr>
        <w:spacing w:before="100" w:beforeAutospacing="1" w:after="100" w:afterAutospacing="1"/>
        <w:rPr>
          <w:rFonts w:ascii="Calibri" w:hAnsi="Calibri" w:cs="Calibri"/>
          <w:sz w:val="24"/>
          <w:szCs w:val="24"/>
          <w:lang w:val="es-MX"/>
        </w:rPr>
      </w:pPr>
      <w:r w:rsidRPr="008E5995">
        <w:rPr>
          <w:rFonts w:ascii="Calibri" w:hAnsi="Calibri" w:cs="Calibri"/>
          <w:sz w:val="24"/>
          <w:szCs w:val="24"/>
          <w:lang w:val="es-MX"/>
        </w:rPr>
        <w:t>Para Censos Nacionales de Gobierno:</w:t>
      </w:r>
    </w:p>
    <w:p w14:paraId="20712977" w14:textId="77777777" w:rsidR="00E177FF" w:rsidRPr="00FF3EE8" w:rsidRDefault="005468D1" w:rsidP="00E177FF">
      <w:pPr>
        <w:spacing w:before="100" w:beforeAutospacing="1" w:after="100" w:afterAutospacing="1"/>
        <w:rPr>
          <w:rFonts w:ascii="Calibri" w:hAnsi="Calibri" w:cs="Calibri"/>
          <w:sz w:val="24"/>
          <w:szCs w:val="24"/>
          <w:lang w:val="es-MX"/>
        </w:rPr>
      </w:pPr>
      <w:hyperlink r:id="rId14" w:history="1">
        <w:r w:rsidR="00333380" w:rsidRPr="008E5995">
          <w:rPr>
            <w:rStyle w:val="Hyperlink"/>
            <w:rFonts w:ascii="Calibri" w:hAnsi="Calibri" w:cs="Calibri"/>
            <w:sz w:val="24"/>
            <w:szCs w:val="24"/>
            <w:lang w:val="es-MX"/>
          </w:rPr>
          <w:t>http://www.inegi.org.mx/est/contenidos/proyectos/censosgobierno/default.aspx</w:t>
        </w:r>
      </w:hyperlink>
    </w:p>
    <w:p w14:paraId="20712978" w14:textId="77777777" w:rsidR="00333380" w:rsidRDefault="00E177FF" w:rsidP="00FF3EE8">
      <w:pPr>
        <w:spacing w:before="100" w:beforeAutospacing="1" w:after="100" w:afterAutospacing="1"/>
        <w:rPr>
          <w:rFonts w:ascii="Calibri" w:hAnsi="Calibri" w:cs="Arial"/>
          <w:sz w:val="24"/>
          <w:szCs w:val="24"/>
          <w:lang w:val="es-MX"/>
        </w:rPr>
      </w:pPr>
      <w:r w:rsidRPr="001C0208">
        <w:rPr>
          <w:rFonts w:ascii="Calibri" w:hAnsi="Calibri" w:cs="Arial"/>
          <w:sz w:val="24"/>
          <w:szCs w:val="24"/>
          <w:lang w:val="es-MX"/>
        </w:rPr>
        <w:t xml:space="preserve">Para información sobre Derechos Humanos: </w:t>
      </w:r>
      <w:hyperlink r:id="rId15" w:history="1">
        <w:r w:rsidR="00333380" w:rsidRPr="003518A8">
          <w:rPr>
            <w:rStyle w:val="Hyperlink"/>
            <w:rFonts w:ascii="Calibri" w:hAnsi="Calibri" w:cs="Arial"/>
            <w:sz w:val="24"/>
            <w:szCs w:val="24"/>
            <w:lang w:val="es-MX"/>
          </w:rPr>
          <w:t>http://www.beta.inegi.org.mx/proyectos/registros/seguridad/dh/</w:t>
        </w:r>
      </w:hyperlink>
    </w:p>
    <w:p w14:paraId="20712979" w14:textId="77777777" w:rsidR="00E177FF" w:rsidRPr="001C0208" w:rsidRDefault="00E177FF" w:rsidP="00E177FF">
      <w:pPr>
        <w:shd w:val="clear" w:color="auto" w:fill="FFFFFF"/>
        <w:spacing w:before="100" w:beforeAutospacing="1" w:after="100" w:afterAutospacing="1"/>
        <w:jc w:val="both"/>
        <w:rPr>
          <w:rFonts w:ascii="Calibri" w:hAnsi="Calibri"/>
          <w:sz w:val="24"/>
          <w:szCs w:val="24"/>
          <w:lang w:val="es-MX"/>
        </w:rPr>
      </w:pPr>
      <w:r w:rsidRPr="001C0208">
        <w:rPr>
          <w:rFonts w:ascii="Calibri" w:hAnsi="Calibri" w:cs="Arial"/>
          <w:sz w:val="24"/>
          <w:szCs w:val="24"/>
          <w:lang w:val="es-MX"/>
        </w:rPr>
        <w:t>Sin perjuicio de lo anterior, atendiendo al contenido de su solicitud se le comunica que las Unidades de Estado con registros administrativos, de las cuales este Instituto obtiene la información para generar los indicadores son:</w:t>
      </w:r>
    </w:p>
    <w:tbl>
      <w:tblPr>
        <w:tblW w:w="0" w:type="auto"/>
        <w:tblInd w:w="108" w:type="dxa"/>
        <w:tblCellMar>
          <w:left w:w="0" w:type="dxa"/>
          <w:right w:w="0" w:type="dxa"/>
        </w:tblCellMar>
        <w:tblLook w:val="04A0" w:firstRow="1" w:lastRow="0" w:firstColumn="1" w:lastColumn="0" w:noHBand="0" w:noVBand="1"/>
      </w:tblPr>
      <w:tblGrid>
        <w:gridCol w:w="5554"/>
        <w:gridCol w:w="3166"/>
      </w:tblGrid>
      <w:tr w:rsidR="00E177FF" w:rsidRPr="001C0208" w14:paraId="2071297C" w14:textId="77777777" w:rsidTr="00E177FF">
        <w:tc>
          <w:tcPr>
            <w:tcW w:w="55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71297A" w14:textId="77777777" w:rsidR="00E177FF" w:rsidRPr="001C0208" w:rsidRDefault="00E177FF">
            <w:pPr>
              <w:spacing w:before="100" w:beforeAutospacing="1" w:after="100" w:afterAutospacing="1" w:line="252" w:lineRule="auto"/>
              <w:jc w:val="center"/>
              <w:rPr>
                <w:rFonts w:ascii="Calibri" w:hAnsi="Calibri"/>
                <w:sz w:val="24"/>
                <w:szCs w:val="24"/>
              </w:rPr>
            </w:pPr>
            <w:r w:rsidRPr="001C0208">
              <w:rPr>
                <w:rFonts w:ascii="Calibri" w:hAnsi="Calibri" w:cs="Arial"/>
                <w:sz w:val="24"/>
                <w:szCs w:val="24"/>
                <w:lang w:val="es-MX"/>
              </w:rPr>
              <w:t> </w:t>
            </w:r>
            <w:r w:rsidRPr="001C0208">
              <w:rPr>
                <w:rFonts w:ascii="Calibri" w:hAnsi="Calibri" w:cs="Arial"/>
                <w:b/>
                <w:bCs/>
                <w:i/>
                <w:iCs/>
                <w:color w:val="000000"/>
                <w:sz w:val="24"/>
                <w:szCs w:val="24"/>
              </w:rPr>
              <w:t>Nombre del Proyecto estadístico</w:t>
            </w:r>
          </w:p>
        </w:tc>
        <w:tc>
          <w:tcPr>
            <w:tcW w:w="31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71297B" w14:textId="77777777" w:rsidR="00E177FF" w:rsidRPr="001C0208" w:rsidRDefault="00E177FF">
            <w:pPr>
              <w:spacing w:before="100" w:beforeAutospacing="1" w:after="100" w:afterAutospacing="1" w:line="252" w:lineRule="auto"/>
              <w:jc w:val="center"/>
              <w:rPr>
                <w:rFonts w:ascii="Calibri" w:hAnsi="Calibri"/>
                <w:sz w:val="24"/>
                <w:szCs w:val="24"/>
              </w:rPr>
            </w:pPr>
            <w:r w:rsidRPr="001C0208">
              <w:rPr>
                <w:rFonts w:ascii="Calibri" w:hAnsi="Calibri" w:cs="Arial"/>
                <w:b/>
                <w:bCs/>
                <w:i/>
                <w:iCs/>
                <w:color w:val="000000"/>
                <w:sz w:val="24"/>
                <w:szCs w:val="24"/>
              </w:rPr>
              <w:t>Unidad del Estado</w:t>
            </w:r>
          </w:p>
        </w:tc>
      </w:tr>
      <w:tr w:rsidR="00E177FF" w:rsidRPr="00897DA2" w14:paraId="2071297F" w14:textId="77777777" w:rsidTr="00E177FF">
        <w:tc>
          <w:tcPr>
            <w:tcW w:w="55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71297D" w14:textId="77777777" w:rsidR="00E177FF" w:rsidRPr="001C0208" w:rsidRDefault="00E177FF">
            <w:pPr>
              <w:spacing w:before="100" w:beforeAutospacing="1" w:after="100" w:afterAutospacing="1" w:line="252" w:lineRule="auto"/>
              <w:rPr>
                <w:rFonts w:ascii="Calibri" w:hAnsi="Calibri"/>
                <w:sz w:val="24"/>
                <w:szCs w:val="24"/>
                <w:lang w:val="es-MX"/>
              </w:rPr>
            </w:pPr>
            <w:r w:rsidRPr="001C0208">
              <w:rPr>
                <w:rFonts w:ascii="Calibri" w:hAnsi="Calibri" w:cs="Arial"/>
                <w:color w:val="000000"/>
                <w:sz w:val="24"/>
                <w:szCs w:val="24"/>
                <w:lang w:val="es-MX"/>
              </w:rPr>
              <w:t>Censo Nacional de Procuración de Justicia Estatal</w:t>
            </w:r>
          </w:p>
        </w:tc>
        <w:tc>
          <w:tcPr>
            <w:tcW w:w="3166" w:type="dxa"/>
            <w:tcBorders>
              <w:top w:val="nil"/>
              <w:left w:val="nil"/>
              <w:bottom w:val="single" w:sz="8" w:space="0" w:color="auto"/>
              <w:right w:val="single" w:sz="8" w:space="0" w:color="auto"/>
            </w:tcBorders>
            <w:tcMar>
              <w:top w:w="0" w:type="dxa"/>
              <w:left w:w="108" w:type="dxa"/>
              <w:bottom w:w="0" w:type="dxa"/>
              <w:right w:w="108" w:type="dxa"/>
            </w:tcMar>
            <w:hideMark/>
          </w:tcPr>
          <w:p w14:paraId="2071297E" w14:textId="77777777" w:rsidR="00E177FF" w:rsidRPr="001C0208" w:rsidRDefault="00E177FF">
            <w:pPr>
              <w:spacing w:before="100" w:beforeAutospacing="1" w:after="100" w:afterAutospacing="1" w:line="252" w:lineRule="auto"/>
              <w:rPr>
                <w:rFonts w:ascii="Calibri" w:hAnsi="Calibri"/>
                <w:sz w:val="24"/>
                <w:szCs w:val="24"/>
                <w:lang w:val="es-MX"/>
              </w:rPr>
            </w:pPr>
            <w:r w:rsidRPr="001C0208">
              <w:rPr>
                <w:rFonts w:ascii="Calibri" w:hAnsi="Calibri" w:cs="Arial"/>
                <w:color w:val="000000"/>
                <w:sz w:val="24"/>
                <w:szCs w:val="24"/>
                <w:lang w:val="es-MX"/>
              </w:rPr>
              <w:t>Procuraduría o Fiscalía General de Justicia de cada entidad federativa del país</w:t>
            </w:r>
          </w:p>
        </w:tc>
      </w:tr>
      <w:tr w:rsidR="00E177FF" w:rsidRPr="00897DA2" w14:paraId="20712982" w14:textId="77777777" w:rsidTr="00E177FF">
        <w:tc>
          <w:tcPr>
            <w:tcW w:w="55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712980" w14:textId="77777777" w:rsidR="00E177FF" w:rsidRPr="001C0208" w:rsidRDefault="00E177FF">
            <w:pPr>
              <w:spacing w:before="100" w:beforeAutospacing="1" w:after="100" w:afterAutospacing="1" w:line="252" w:lineRule="auto"/>
              <w:rPr>
                <w:rFonts w:ascii="Calibri" w:hAnsi="Calibri"/>
                <w:sz w:val="24"/>
                <w:szCs w:val="24"/>
                <w:lang w:val="es-MX"/>
              </w:rPr>
            </w:pPr>
            <w:r w:rsidRPr="001C0208">
              <w:rPr>
                <w:rFonts w:ascii="Calibri" w:hAnsi="Calibri" w:cs="Arial"/>
                <w:color w:val="000000"/>
                <w:sz w:val="24"/>
                <w:szCs w:val="24"/>
                <w:lang w:val="es-MX"/>
              </w:rPr>
              <w:t>Censo Nacional de Procuración de Justicia Federal</w:t>
            </w:r>
          </w:p>
        </w:tc>
        <w:tc>
          <w:tcPr>
            <w:tcW w:w="3166" w:type="dxa"/>
            <w:tcBorders>
              <w:top w:val="nil"/>
              <w:left w:val="nil"/>
              <w:bottom w:val="single" w:sz="8" w:space="0" w:color="auto"/>
              <w:right w:val="single" w:sz="8" w:space="0" w:color="auto"/>
            </w:tcBorders>
            <w:tcMar>
              <w:top w:w="0" w:type="dxa"/>
              <w:left w:w="108" w:type="dxa"/>
              <w:bottom w:w="0" w:type="dxa"/>
              <w:right w:w="108" w:type="dxa"/>
            </w:tcMar>
            <w:hideMark/>
          </w:tcPr>
          <w:p w14:paraId="20712981" w14:textId="77777777" w:rsidR="00E177FF" w:rsidRPr="001C0208" w:rsidRDefault="00E177FF">
            <w:pPr>
              <w:spacing w:before="100" w:beforeAutospacing="1" w:after="100" w:afterAutospacing="1" w:line="252" w:lineRule="auto"/>
              <w:rPr>
                <w:rFonts w:ascii="Calibri" w:hAnsi="Calibri"/>
                <w:sz w:val="24"/>
                <w:szCs w:val="24"/>
                <w:lang w:val="es-MX"/>
              </w:rPr>
            </w:pPr>
            <w:r w:rsidRPr="001C0208">
              <w:rPr>
                <w:rFonts w:ascii="Calibri" w:hAnsi="Calibri" w:cs="Arial"/>
                <w:color w:val="000000"/>
                <w:sz w:val="24"/>
                <w:szCs w:val="24"/>
                <w:lang w:val="es-MX"/>
              </w:rPr>
              <w:t>Procuraduría General de la República</w:t>
            </w:r>
          </w:p>
        </w:tc>
      </w:tr>
      <w:tr w:rsidR="00E177FF" w:rsidRPr="00897DA2" w14:paraId="20712985" w14:textId="77777777" w:rsidTr="00E177FF">
        <w:tc>
          <w:tcPr>
            <w:tcW w:w="55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712983" w14:textId="77777777" w:rsidR="00E177FF" w:rsidRPr="001C0208" w:rsidRDefault="00E177FF">
            <w:pPr>
              <w:spacing w:before="100" w:beforeAutospacing="1" w:after="100" w:afterAutospacing="1" w:line="252" w:lineRule="auto"/>
              <w:rPr>
                <w:rFonts w:ascii="Calibri" w:hAnsi="Calibri"/>
                <w:sz w:val="24"/>
                <w:szCs w:val="24"/>
                <w:lang w:val="es-MX"/>
              </w:rPr>
            </w:pPr>
            <w:r w:rsidRPr="001C0208">
              <w:rPr>
                <w:rFonts w:ascii="Calibri" w:hAnsi="Calibri" w:cs="Arial"/>
                <w:color w:val="000000"/>
                <w:sz w:val="24"/>
                <w:szCs w:val="24"/>
                <w:lang w:val="es-MX"/>
              </w:rPr>
              <w:t>Censo Nacional de Impartición de Justicia Estatal</w:t>
            </w:r>
          </w:p>
        </w:tc>
        <w:tc>
          <w:tcPr>
            <w:tcW w:w="3166" w:type="dxa"/>
            <w:tcBorders>
              <w:top w:val="nil"/>
              <w:left w:val="nil"/>
              <w:bottom w:val="single" w:sz="8" w:space="0" w:color="auto"/>
              <w:right w:val="single" w:sz="8" w:space="0" w:color="auto"/>
            </w:tcBorders>
            <w:tcMar>
              <w:top w:w="0" w:type="dxa"/>
              <w:left w:w="108" w:type="dxa"/>
              <w:bottom w:w="0" w:type="dxa"/>
              <w:right w:w="108" w:type="dxa"/>
            </w:tcMar>
            <w:hideMark/>
          </w:tcPr>
          <w:p w14:paraId="20712984" w14:textId="77777777" w:rsidR="00E177FF" w:rsidRPr="001C0208" w:rsidRDefault="00E177FF">
            <w:pPr>
              <w:spacing w:before="100" w:beforeAutospacing="1" w:after="100" w:afterAutospacing="1" w:line="252" w:lineRule="auto"/>
              <w:rPr>
                <w:rFonts w:ascii="Calibri" w:hAnsi="Calibri"/>
                <w:sz w:val="24"/>
                <w:szCs w:val="24"/>
                <w:lang w:val="es-MX"/>
              </w:rPr>
            </w:pPr>
            <w:r w:rsidRPr="001C0208">
              <w:rPr>
                <w:rFonts w:ascii="Calibri" w:hAnsi="Calibri" w:cs="Arial"/>
                <w:color w:val="000000"/>
                <w:sz w:val="24"/>
                <w:szCs w:val="24"/>
                <w:lang w:val="es-MX"/>
              </w:rPr>
              <w:t>Tribunal Superior de Justicia de cada entidad federativa del país</w:t>
            </w:r>
          </w:p>
        </w:tc>
      </w:tr>
      <w:tr w:rsidR="00E177FF" w:rsidRPr="00897DA2" w14:paraId="20712988" w14:textId="77777777" w:rsidTr="00E177FF">
        <w:tc>
          <w:tcPr>
            <w:tcW w:w="55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712986" w14:textId="77777777" w:rsidR="00E177FF" w:rsidRPr="001C0208" w:rsidRDefault="00E177FF">
            <w:pPr>
              <w:spacing w:before="100" w:beforeAutospacing="1" w:after="100" w:afterAutospacing="1" w:line="252" w:lineRule="auto"/>
              <w:rPr>
                <w:rFonts w:ascii="Calibri" w:hAnsi="Calibri"/>
                <w:sz w:val="24"/>
                <w:szCs w:val="24"/>
                <w:lang w:val="es-MX"/>
              </w:rPr>
            </w:pPr>
            <w:r w:rsidRPr="001C0208">
              <w:rPr>
                <w:rFonts w:ascii="Calibri" w:hAnsi="Calibri" w:cs="Arial"/>
                <w:color w:val="000000"/>
                <w:sz w:val="24"/>
                <w:szCs w:val="24"/>
                <w:lang w:val="es-MX"/>
              </w:rPr>
              <w:t>Censo Nacional de Impartición de Justicia Federal</w:t>
            </w:r>
          </w:p>
        </w:tc>
        <w:tc>
          <w:tcPr>
            <w:tcW w:w="3166" w:type="dxa"/>
            <w:tcBorders>
              <w:top w:val="nil"/>
              <w:left w:val="nil"/>
              <w:bottom w:val="single" w:sz="8" w:space="0" w:color="auto"/>
              <w:right w:val="single" w:sz="8" w:space="0" w:color="auto"/>
            </w:tcBorders>
            <w:tcMar>
              <w:top w:w="0" w:type="dxa"/>
              <w:left w:w="108" w:type="dxa"/>
              <w:bottom w:w="0" w:type="dxa"/>
              <w:right w:w="108" w:type="dxa"/>
            </w:tcMar>
            <w:hideMark/>
          </w:tcPr>
          <w:p w14:paraId="20712987" w14:textId="77777777" w:rsidR="00E177FF" w:rsidRPr="001C0208" w:rsidRDefault="00E177FF">
            <w:pPr>
              <w:spacing w:before="100" w:beforeAutospacing="1" w:after="100" w:afterAutospacing="1" w:line="252" w:lineRule="auto"/>
              <w:rPr>
                <w:rFonts w:ascii="Calibri" w:hAnsi="Calibri"/>
                <w:sz w:val="24"/>
                <w:szCs w:val="24"/>
                <w:lang w:val="es-MX"/>
              </w:rPr>
            </w:pPr>
            <w:r w:rsidRPr="001C0208">
              <w:rPr>
                <w:rFonts w:ascii="Calibri" w:hAnsi="Calibri" w:cs="Arial"/>
                <w:color w:val="000000"/>
                <w:sz w:val="24"/>
                <w:szCs w:val="24"/>
                <w:lang w:val="es-MX"/>
              </w:rPr>
              <w:t>Suprema Corte de Justicia de la Nación/Consejo de la Judicatura Federal/</w:t>
            </w:r>
          </w:p>
        </w:tc>
      </w:tr>
      <w:tr w:rsidR="00E177FF" w:rsidRPr="00897DA2" w14:paraId="2071298B" w14:textId="77777777" w:rsidTr="00E177FF">
        <w:tc>
          <w:tcPr>
            <w:tcW w:w="55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712989" w14:textId="77777777" w:rsidR="00E177FF" w:rsidRPr="001C0208" w:rsidRDefault="00E177FF">
            <w:pPr>
              <w:spacing w:before="100" w:beforeAutospacing="1" w:after="100" w:afterAutospacing="1" w:line="252" w:lineRule="auto"/>
              <w:jc w:val="both"/>
              <w:rPr>
                <w:rFonts w:ascii="Calibri" w:hAnsi="Calibri"/>
                <w:sz w:val="24"/>
                <w:szCs w:val="24"/>
                <w:lang w:val="es-MX"/>
              </w:rPr>
            </w:pPr>
            <w:r w:rsidRPr="001C0208">
              <w:rPr>
                <w:rFonts w:ascii="Calibri" w:hAnsi="Calibri" w:cs="Arial"/>
                <w:color w:val="000000"/>
                <w:sz w:val="24"/>
                <w:szCs w:val="24"/>
                <w:lang w:val="es-MX"/>
              </w:rPr>
              <w:t>Censo Nacional de Gobierno, Seguridad Pública y Sistema Penitenciario Estatales</w:t>
            </w:r>
          </w:p>
        </w:tc>
        <w:tc>
          <w:tcPr>
            <w:tcW w:w="3166" w:type="dxa"/>
            <w:tcBorders>
              <w:top w:val="nil"/>
              <w:left w:val="nil"/>
              <w:bottom w:val="single" w:sz="8" w:space="0" w:color="auto"/>
              <w:right w:val="single" w:sz="8" w:space="0" w:color="auto"/>
            </w:tcBorders>
            <w:tcMar>
              <w:top w:w="0" w:type="dxa"/>
              <w:left w:w="108" w:type="dxa"/>
              <w:bottom w:w="0" w:type="dxa"/>
              <w:right w:w="108" w:type="dxa"/>
            </w:tcMar>
            <w:hideMark/>
          </w:tcPr>
          <w:p w14:paraId="2071298A" w14:textId="77777777" w:rsidR="00E177FF" w:rsidRPr="001C0208" w:rsidRDefault="00E177FF">
            <w:pPr>
              <w:spacing w:before="100" w:beforeAutospacing="1" w:after="100" w:afterAutospacing="1" w:line="252" w:lineRule="auto"/>
              <w:rPr>
                <w:rFonts w:ascii="Calibri" w:hAnsi="Calibri"/>
                <w:sz w:val="24"/>
                <w:szCs w:val="24"/>
                <w:lang w:val="es-MX"/>
              </w:rPr>
            </w:pPr>
            <w:r w:rsidRPr="001C0208">
              <w:rPr>
                <w:rFonts w:ascii="Calibri" w:hAnsi="Calibri" w:cs="Arial"/>
                <w:color w:val="000000"/>
                <w:sz w:val="24"/>
                <w:szCs w:val="24"/>
                <w:lang w:val="es-MX"/>
              </w:rPr>
              <w:t>Oficina del gobierno estatal encargada del Sistema Penitenciario u homólogo en cada entidad federativa del país</w:t>
            </w:r>
          </w:p>
        </w:tc>
      </w:tr>
      <w:tr w:rsidR="00E177FF" w:rsidRPr="00897DA2" w14:paraId="2071298E" w14:textId="77777777" w:rsidTr="00E177FF">
        <w:tc>
          <w:tcPr>
            <w:tcW w:w="55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71298C" w14:textId="77777777" w:rsidR="00E177FF" w:rsidRPr="001C0208" w:rsidRDefault="00E177FF">
            <w:pPr>
              <w:spacing w:before="100" w:beforeAutospacing="1" w:after="100" w:afterAutospacing="1" w:line="252" w:lineRule="auto"/>
              <w:jc w:val="both"/>
              <w:rPr>
                <w:rFonts w:ascii="Calibri" w:hAnsi="Calibri"/>
                <w:sz w:val="24"/>
                <w:szCs w:val="24"/>
                <w:lang w:val="es-MX"/>
              </w:rPr>
            </w:pPr>
            <w:r w:rsidRPr="001C0208">
              <w:rPr>
                <w:rFonts w:ascii="Calibri" w:hAnsi="Calibri" w:cs="Arial"/>
                <w:color w:val="000000"/>
                <w:sz w:val="24"/>
                <w:szCs w:val="24"/>
                <w:lang w:val="es-MX"/>
              </w:rPr>
              <w:t>Recopilación de Información de los Organismos Públicos de Derechos Humanos en México</w:t>
            </w:r>
          </w:p>
        </w:tc>
        <w:tc>
          <w:tcPr>
            <w:tcW w:w="3166" w:type="dxa"/>
            <w:tcBorders>
              <w:top w:val="nil"/>
              <w:left w:val="nil"/>
              <w:bottom w:val="single" w:sz="8" w:space="0" w:color="auto"/>
              <w:right w:val="single" w:sz="8" w:space="0" w:color="auto"/>
            </w:tcBorders>
            <w:tcMar>
              <w:top w:w="0" w:type="dxa"/>
              <w:left w:w="108" w:type="dxa"/>
              <w:bottom w:w="0" w:type="dxa"/>
              <w:right w:w="108" w:type="dxa"/>
            </w:tcMar>
            <w:hideMark/>
          </w:tcPr>
          <w:p w14:paraId="2071298D" w14:textId="77777777" w:rsidR="00E177FF" w:rsidRPr="001C0208" w:rsidRDefault="00E177FF">
            <w:pPr>
              <w:spacing w:before="100" w:beforeAutospacing="1" w:after="100" w:afterAutospacing="1" w:line="252" w:lineRule="auto"/>
              <w:rPr>
                <w:rFonts w:ascii="Calibri" w:hAnsi="Calibri"/>
                <w:sz w:val="24"/>
                <w:szCs w:val="24"/>
                <w:lang w:val="es-MX"/>
              </w:rPr>
            </w:pPr>
            <w:r w:rsidRPr="001C0208">
              <w:rPr>
                <w:rFonts w:ascii="Calibri" w:hAnsi="Calibri" w:cs="Arial"/>
                <w:color w:val="000000"/>
                <w:sz w:val="24"/>
                <w:szCs w:val="24"/>
                <w:lang w:val="es-MX"/>
              </w:rPr>
              <w:t>Organismo público de derechos humanos en cada entidad federativa del país</w:t>
            </w:r>
          </w:p>
        </w:tc>
      </w:tr>
    </w:tbl>
    <w:p w14:paraId="2071298F" w14:textId="77777777" w:rsidR="00E177FF" w:rsidRPr="001C0208" w:rsidRDefault="00E177FF" w:rsidP="00A72978">
      <w:pPr>
        <w:jc w:val="both"/>
        <w:rPr>
          <w:rFonts w:ascii="Calibri" w:hAnsi="Calibri"/>
          <w:sz w:val="24"/>
          <w:szCs w:val="24"/>
          <w:lang w:val="es-MX"/>
        </w:rPr>
      </w:pPr>
    </w:p>
    <w:p w14:paraId="20712990" w14:textId="77777777" w:rsidR="00E177FF" w:rsidRPr="001C0208" w:rsidRDefault="00E177FF" w:rsidP="00A72978">
      <w:pPr>
        <w:jc w:val="both"/>
        <w:rPr>
          <w:rFonts w:ascii="Calibri" w:hAnsi="Calibri"/>
          <w:b/>
          <w:sz w:val="24"/>
          <w:szCs w:val="24"/>
          <w:lang w:val="es-MX"/>
        </w:rPr>
      </w:pPr>
    </w:p>
    <w:p w14:paraId="20712991" w14:textId="77777777" w:rsidR="00E177FF" w:rsidRPr="001C0208" w:rsidRDefault="00E177FF" w:rsidP="00A72978">
      <w:pPr>
        <w:jc w:val="both"/>
        <w:rPr>
          <w:rFonts w:ascii="Calibri" w:hAnsi="Calibri"/>
          <w:b/>
          <w:sz w:val="24"/>
          <w:szCs w:val="24"/>
          <w:lang w:val="es-MX"/>
        </w:rPr>
      </w:pPr>
      <w:r w:rsidRPr="001C0208">
        <w:rPr>
          <w:rFonts w:ascii="Calibri" w:hAnsi="Calibri"/>
          <w:b/>
          <w:sz w:val="24"/>
          <w:szCs w:val="24"/>
          <w:lang w:val="es-MX"/>
        </w:rPr>
        <w:t xml:space="preserve">Información sobre personas con discapacidad intelectual y psicosocial en el sistema penitenciario. </w:t>
      </w:r>
    </w:p>
    <w:p w14:paraId="20712992" w14:textId="77777777" w:rsidR="00FD7A08" w:rsidRPr="001C0208" w:rsidRDefault="00FD7A08" w:rsidP="00A72978">
      <w:pPr>
        <w:jc w:val="both"/>
        <w:rPr>
          <w:rFonts w:ascii="Calibri" w:hAnsi="Calibri"/>
          <w:i/>
          <w:sz w:val="24"/>
          <w:szCs w:val="24"/>
          <w:lang w:val="es-MX"/>
        </w:rPr>
      </w:pPr>
    </w:p>
    <w:p w14:paraId="20712993" w14:textId="77777777" w:rsidR="00FD7A08" w:rsidRDefault="00FB7422" w:rsidP="00FB7422">
      <w:pPr>
        <w:jc w:val="both"/>
        <w:rPr>
          <w:rFonts w:ascii="Calibri" w:hAnsi="Calibri"/>
          <w:sz w:val="24"/>
          <w:szCs w:val="24"/>
          <w:lang w:val="es-MX"/>
        </w:rPr>
      </w:pPr>
      <w:r w:rsidRPr="001C0208">
        <w:rPr>
          <w:rFonts w:ascii="Calibri" w:hAnsi="Calibri"/>
          <w:sz w:val="24"/>
          <w:szCs w:val="24"/>
          <w:lang w:val="es-MX"/>
        </w:rPr>
        <w:lastRenderedPageBreak/>
        <w:t>De acuerdo a</w:t>
      </w:r>
      <w:r w:rsidR="00FD7A08" w:rsidRPr="001C0208">
        <w:rPr>
          <w:rFonts w:ascii="Calibri" w:hAnsi="Calibri"/>
          <w:sz w:val="24"/>
          <w:szCs w:val="24"/>
          <w:lang w:val="es-MX"/>
        </w:rPr>
        <w:t xml:space="preserve">l Pronunciamiento emitido por la Comisión Nacional de Derechos Humanos sobre la Situación de las Personas con Discapacidad Psicosocial e Inimputables en el sistema penitenciario de México, existen </w:t>
      </w:r>
      <w:r w:rsidRPr="001C0208">
        <w:rPr>
          <w:rFonts w:ascii="Calibri" w:hAnsi="Calibri"/>
          <w:sz w:val="24"/>
          <w:szCs w:val="24"/>
          <w:lang w:val="es-MX"/>
        </w:rPr>
        <w:t>4,476 internos con</w:t>
      </w:r>
      <w:r w:rsidR="00FD7A08" w:rsidRPr="001C0208">
        <w:rPr>
          <w:rFonts w:ascii="Calibri" w:hAnsi="Calibri"/>
          <w:sz w:val="24"/>
          <w:szCs w:val="24"/>
          <w:lang w:val="es-MX"/>
        </w:rPr>
        <w:t xml:space="preserve"> trastornos mentales</w:t>
      </w:r>
      <w:r w:rsidRPr="001C0208">
        <w:rPr>
          <w:rFonts w:ascii="Calibri" w:hAnsi="Calibri"/>
          <w:sz w:val="24"/>
          <w:szCs w:val="24"/>
          <w:lang w:val="es-MX"/>
        </w:rPr>
        <w:t xml:space="preserve">, </w:t>
      </w:r>
      <w:r w:rsidR="00A20B51" w:rsidRPr="00A20B51">
        <w:rPr>
          <w:rFonts w:ascii="Calibri" w:hAnsi="Calibri"/>
          <w:sz w:val="24"/>
          <w:szCs w:val="24"/>
          <w:lang w:val="es-MX"/>
        </w:rPr>
        <w:t>es decir, 1.7% del total de la población penitenciaria</w:t>
      </w:r>
      <w:r w:rsidR="00A20B51">
        <w:rPr>
          <w:rFonts w:ascii="Calibri" w:hAnsi="Calibri"/>
          <w:sz w:val="24"/>
          <w:szCs w:val="24"/>
          <w:lang w:val="es-MX"/>
        </w:rPr>
        <w:t xml:space="preserve">, </w:t>
      </w:r>
      <w:r w:rsidRPr="001C0208">
        <w:rPr>
          <w:rFonts w:ascii="Calibri" w:hAnsi="Calibri"/>
          <w:sz w:val="24"/>
          <w:szCs w:val="24"/>
          <w:lang w:val="es-MX"/>
        </w:rPr>
        <w:t xml:space="preserve">de los cuales 1,054 </w:t>
      </w:r>
      <w:r w:rsidR="00FD7A08" w:rsidRPr="001C0208">
        <w:rPr>
          <w:rFonts w:ascii="Calibri" w:hAnsi="Calibri"/>
          <w:sz w:val="24"/>
          <w:szCs w:val="24"/>
          <w:lang w:val="es-MX"/>
        </w:rPr>
        <w:t>son</w:t>
      </w:r>
      <w:r w:rsidRPr="001C0208">
        <w:rPr>
          <w:rFonts w:ascii="Calibri" w:hAnsi="Calibri"/>
          <w:sz w:val="24"/>
          <w:szCs w:val="24"/>
          <w:lang w:val="es-MX"/>
        </w:rPr>
        <w:t xml:space="preserve"> inimputables y 3,422 </w:t>
      </w:r>
      <w:r w:rsidR="00FD7A08" w:rsidRPr="001C0208">
        <w:rPr>
          <w:rFonts w:ascii="Calibri" w:hAnsi="Calibri"/>
          <w:sz w:val="24"/>
          <w:szCs w:val="24"/>
          <w:lang w:val="es-MX"/>
        </w:rPr>
        <w:t>tienen una</w:t>
      </w:r>
      <w:r w:rsidRPr="001C0208">
        <w:rPr>
          <w:rFonts w:ascii="Calibri" w:hAnsi="Calibri"/>
          <w:sz w:val="24"/>
          <w:szCs w:val="24"/>
          <w:lang w:val="es-MX"/>
        </w:rPr>
        <w:t xml:space="preserve"> discapacidad psicosocial</w:t>
      </w:r>
      <w:r w:rsidRPr="001C0208">
        <w:rPr>
          <w:rStyle w:val="FootnoteReference"/>
          <w:rFonts w:ascii="Calibri" w:hAnsi="Calibri"/>
          <w:sz w:val="24"/>
          <w:szCs w:val="24"/>
          <w:lang w:val="es-MX"/>
        </w:rPr>
        <w:footnoteReference w:id="1"/>
      </w:r>
      <w:r w:rsidR="00AA1428">
        <w:rPr>
          <w:rFonts w:ascii="Calibri" w:hAnsi="Calibri"/>
          <w:sz w:val="24"/>
          <w:szCs w:val="24"/>
          <w:lang w:val="es-MX"/>
        </w:rPr>
        <w:t xml:space="preserve">. </w:t>
      </w:r>
      <w:r w:rsidR="00AA1428" w:rsidRPr="00AA1428">
        <w:rPr>
          <w:rFonts w:ascii="Calibri" w:hAnsi="Calibri" w:cs="Calibri"/>
          <w:sz w:val="24"/>
          <w:szCs w:val="24"/>
          <w:lang w:val="es-MX"/>
        </w:rPr>
        <w:t>Del total de inimputables, el 4.9% se encuentra en centros federales y el resto en estata</w:t>
      </w:r>
      <w:r w:rsidR="00AA1428">
        <w:rPr>
          <w:rFonts w:ascii="Calibri" w:hAnsi="Calibri" w:cs="Calibri"/>
          <w:sz w:val="24"/>
          <w:szCs w:val="24"/>
          <w:lang w:val="es-MX"/>
        </w:rPr>
        <w:t>les.</w:t>
      </w:r>
      <w:r w:rsidR="00FD7A08" w:rsidRPr="001C0208">
        <w:rPr>
          <w:rFonts w:ascii="Calibri" w:hAnsi="Calibri"/>
          <w:sz w:val="24"/>
          <w:szCs w:val="24"/>
          <w:lang w:val="es-MX"/>
        </w:rPr>
        <w:t xml:space="preserve"> (Para revisar las cifras de todas las entidades de la República Mexicana: </w:t>
      </w:r>
    </w:p>
    <w:p w14:paraId="20712994" w14:textId="77777777" w:rsidR="00A20B51" w:rsidRPr="001C0208" w:rsidRDefault="00A20B51" w:rsidP="00FB7422">
      <w:pPr>
        <w:jc w:val="both"/>
        <w:rPr>
          <w:rFonts w:ascii="Calibri" w:hAnsi="Calibri"/>
          <w:sz w:val="24"/>
          <w:szCs w:val="24"/>
          <w:lang w:val="es-MX"/>
        </w:rPr>
      </w:pPr>
    </w:p>
    <w:p w14:paraId="20712995" w14:textId="77777777" w:rsidR="00FB7422" w:rsidRDefault="005468D1" w:rsidP="00FB7422">
      <w:pPr>
        <w:jc w:val="both"/>
        <w:rPr>
          <w:rStyle w:val="Hyperlink"/>
          <w:rFonts w:ascii="Calibri" w:hAnsi="Calibri"/>
          <w:sz w:val="24"/>
          <w:szCs w:val="24"/>
          <w:lang w:val="es-MX"/>
        </w:rPr>
      </w:pPr>
      <w:hyperlink r:id="rId16" w:history="1">
        <w:r w:rsidR="00FD7A08" w:rsidRPr="001C0208">
          <w:rPr>
            <w:rStyle w:val="Hyperlink"/>
            <w:rFonts w:ascii="Calibri" w:hAnsi="Calibri"/>
            <w:sz w:val="24"/>
            <w:szCs w:val="24"/>
            <w:lang w:val="es-MX"/>
          </w:rPr>
          <w:t>http://www.cndh.org.mx/sites/all/doc/Informes/Especiales/Pronunciamiento_20160210.pdf</w:t>
        </w:r>
      </w:hyperlink>
    </w:p>
    <w:p w14:paraId="20712996" w14:textId="77777777" w:rsidR="00A20B51" w:rsidRDefault="00A20B51" w:rsidP="00FB7422">
      <w:pPr>
        <w:jc w:val="both"/>
        <w:rPr>
          <w:rStyle w:val="Hyperlink"/>
          <w:rFonts w:ascii="Calibri" w:hAnsi="Calibri"/>
          <w:sz w:val="24"/>
          <w:szCs w:val="24"/>
          <w:lang w:val="es-MX"/>
        </w:rPr>
      </w:pPr>
    </w:p>
    <w:p w14:paraId="20712997" w14:textId="77777777" w:rsidR="00722A7B" w:rsidRDefault="00722A7B" w:rsidP="00FB7422">
      <w:pPr>
        <w:jc w:val="both"/>
        <w:rPr>
          <w:rStyle w:val="Hyperlink"/>
          <w:rFonts w:ascii="Calibri" w:hAnsi="Calibri"/>
          <w:sz w:val="24"/>
          <w:szCs w:val="24"/>
          <w:lang w:val="es-MX"/>
        </w:rPr>
      </w:pPr>
    </w:p>
    <w:p w14:paraId="20712998" w14:textId="77777777" w:rsidR="00A20B51" w:rsidRDefault="00A20B51" w:rsidP="00A20B51">
      <w:pPr>
        <w:jc w:val="both"/>
        <w:rPr>
          <w:rFonts w:ascii="Calibri" w:hAnsi="Calibri" w:cs="Calibri"/>
          <w:sz w:val="24"/>
          <w:szCs w:val="24"/>
          <w:lang w:val="es-MX"/>
        </w:rPr>
      </w:pPr>
      <w:r w:rsidRPr="00A20B51">
        <w:rPr>
          <w:rFonts w:ascii="Calibri" w:hAnsi="Calibri" w:cs="Calibri"/>
          <w:sz w:val="24"/>
          <w:szCs w:val="24"/>
          <w:lang w:val="es-MX"/>
        </w:rPr>
        <w:t>La población femenina representa el 8.2%, equivalente</w:t>
      </w:r>
      <w:r>
        <w:rPr>
          <w:rFonts w:ascii="Calibri" w:hAnsi="Calibri" w:cs="Calibri"/>
          <w:sz w:val="24"/>
          <w:szCs w:val="24"/>
          <w:lang w:val="es-MX"/>
        </w:rPr>
        <w:t xml:space="preserve"> </w:t>
      </w:r>
      <w:r w:rsidRPr="00A20B51">
        <w:rPr>
          <w:rFonts w:ascii="Calibri" w:hAnsi="Calibri" w:cs="Calibri"/>
          <w:sz w:val="24"/>
          <w:szCs w:val="24"/>
          <w:lang w:val="es-MX"/>
        </w:rPr>
        <w:t>a 366 mujeres con discapacidad psicosocial e inimputables,</w:t>
      </w:r>
      <w:r>
        <w:rPr>
          <w:rFonts w:ascii="Calibri" w:hAnsi="Calibri" w:cs="Calibri"/>
          <w:sz w:val="24"/>
          <w:szCs w:val="24"/>
          <w:lang w:val="es-MX"/>
        </w:rPr>
        <w:t xml:space="preserve"> </w:t>
      </w:r>
      <w:r w:rsidRPr="00A20B51">
        <w:rPr>
          <w:rFonts w:ascii="Calibri" w:hAnsi="Calibri" w:cs="Calibri"/>
          <w:sz w:val="24"/>
          <w:szCs w:val="24"/>
          <w:lang w:val="es-MX"/>
        </w:rPr>
        <w:t>de las cuales veinte están en el Centro Federal de</w:t>
      </w:r>
      <w:r>
        <w:rPr>
          <w:rFonts w:ascii="Calibri" w:hAnsi="Calibri" w:cs="Calibri"/>
          <w:sz w:val="24"/>
          <w:szCs w:val="24"/>
          <w:lang w:val="es-MX"/>
        </w:rPr>
        <w:t xml:space="preserve"> </w:t>
      </w:r>
      <w:r w:rsidRPr="00A20B51">
        <w:rPr>
          <w:rFonts w:ascii="Calibri" w:hAnsi="Calibri" w:cs="Calibri"/>
          <w:sz w:val="24"/>
          <w:szCs w:val="24"/>
          <w:lang w:val="es-MX"/>
        </w:rPr>
        <w:t>Readaptación Social No. 5 en el estado de Veracruz y las demás</w:t>
      </w:r>
      <w:r>
        <w:rPr>
          <w:rFonts w:ascii="Calibri" w:hAnsi="Calibri" w:cs="Calibri"/>
          <w:sz w:val="24"/>
          <w:szCs w:val="24"/>
          <w:lang w:val="es-MX"/>
        </w:rPr>
        <w:t xml:space="preserve"> </w:t>
      </w:r>
      <w:r w:rsidRPr="00A20B51">
        <w:rPr>
          <w:rFonts w:ascii="Calibri" w:hAnsi="Calibri" w:cs="Calibri"/>
          <w:sz w:val="24"/>
          <w:szCs w:val="24"/>
          <w:lang w:val="es-MX"/>
        </w:rPr>
        <w:t xml:space="preserve">en distintos centros estatales de todo el país. </w:t>
      </w:r>
      <w:r>
        <w:rPr>
          <w:rFonts w:ascii="Calibri" w:hAnsi="Calibri" w:cs="Calibri"/>
          <w:sz w:val="24"/>
          <w:szCs w:val="24"/>
          <w:lang w:val="es-MX"/>
        </w:rPr>
        <w:t xml:space="preserve"> </w:t>
      </w:r>
      <w:r w:rsidRPr="00A20B51">
        <w:rPr>
          <w:rFonts w:ascii="Calibri" w:hAnsi="Calibri" w:cs="Calibri"/>
          <w:sz w:val="24"/>
          <w:szCs w:val="24"/>
          <w:lang w:val="es-MX"/>
        </w:rPr>
        <w:t>Con respecto</w:t>
      </w:r>
      <w:r>
        <w:rPr>
          <w:rFonts w:ascii="Calibri" w:hAnsi="Calibri" w:cs="Calibri"/>
          <w:sz w:val="24"/>
          <w:szCs w:val="24"/>
          <w:lang w:val="es-MX"/>
        </w:rPr>
        <w:t xml:space="preserve"> </w:t>
      </w:r>
      <w:r w:rsidRPr="00A20B51">
        <w:rPr>
          <w:rFonts w:ascii="Calibri" w:hAnsi="Calibri" w:cs="Calibri"/>
          <w:sz w:val="24"/>
          <w:szCs w:val="24"/>
          <w:lang w:val="es-MX"/>
        </w:rPr>
        <w:t>a su situación jurídica, el 61% de las personas inimputables</w:t>
      </w:r>
      <w:r>
        <w:rPr>
          <w:rFonts w:ascii="Calibri" w:hAnsi="Calibri" w:cs="Calibri"/>
          <w:sz w:val="24"/>
          <w:szCs w:val="24"/>
          <w:lang w:val="es-MX"/>
        </w:rPr>
        <w:t xml:space="preserve"> </w:t>
      </w:r>
      <w:r w:rsidRPr="00A20B51">
        <w:rPr>
          <w:rFonts w:ascii="Calibri" w:hAnsi="Calibri" w:cs="Calibri"/>
          <w:sz w:val="24"/>
          <w:szCs w:val="24"/>
          <w:lang w:val="es-MX"/>
        </w:rPr>
        <w:t>y con alguna discapacidad psicosocial han sido</w:t>
      </w:r>
      <w:r>
        <w:rPr>
          <w:rFonts w:ascii="Calibri" w:hAnsi="Calibri" w:cs="Calibri"/>
          <w:sz w:val="24"/>
          <w:szCs w:val="24"/>
          <w:lang w:val="es-MX"/>
        </w:rPr>
        <w:t xml:space="preserve"> </w:t>
      </w:r>
      <w:r w:rsidRPr="00A20B51">
        <w:rPr>
          <w:rFonts w:ascii="Calibri" w:hAnsi="Calibri" w:cs="Calibri"/>
          <w:sz w:val="24"/>
          <w:szCs w:val="24"/>
          <w:lang w:val="es-MX"/>
        </w:rPr>
        <w:t>sentenciadas y 1,730 son procesadas, es decir, el 39% están</w:t>
      </w:r>
      <w:r>
        <w:rPr>
          <w:rFonts w:ascii="Calibri" w:hAnsi="Calibri" w:cs="Calibri"/>
          <w:sz w:val="24"/>
          <w:szCs w:val="24"/>
          <w:lang w:val="es-MX"/>
        </w:rPr>
        <w:t xml:space="preserve"> </w:t>
      </w:r>
      <w:r w:rsidRPr="00A20B51">
        <w:rPr>
          <w:rFonts w:ascii="Calibri" w:hAnsi="Calibri" w:cs="Calibri"/>
          <w:sz w:val="24"/>
          <w:szCs w:val="24"/>
          <w:lang w:val="es-MX"/>
        </w:rPr>
        <w:t>en esper</w:t>
      </w:r>
      <w:r>
        <w:rPr>
          <w:rFonts w:ascii="Calibri" w:hAnsi="Calibri" w:cs="Calibri"/>
          <w:sz w:val="24"/>
          <w:szCs w:val="24"/>
          <w:lang w:val="es-MX"/>
        </w:rPr>
        <w:t>a de una sentencia definitiva.</w:t>
      </w:r>
    </w:p>
    <w:p w14:paraId="20712999" w14:textId="77777777" w:rsidR="00A20B51" w:rsidRDefault="00A20B51" w:rsidP="00A20B51">
      <w:pPr>
        <w:jc w:val="both"/>
        <w:rPr>
          <w:rFonts w:ascii="Calibri" w:hAnsi="Calibri" w:cs="Calibri"/>
          <w:sz w:val="24"/>
          <w:szCs w:val="24"/>
          <w:lang w:val="es-MX"/>
        </w:rPr>
      </w:pPr>
    </w:p>
    <w:p w14:paraId="2071299A" w14:textId="77777777" w:rsidR="00A20B51" w:rsidRDefault="005468D1" w:rsidP="00A20B51">
      <w:pPr>
        <w:jc w:val="both"/>
        <w:rPr>
          <w:rFonts w:ascii="Calibri" w:hAnsi="Calibri" w:cs="Calibri"/>
          <w:sz w:val="24"/>
          <w:szCs w:val="24"/>
          <w:lang w:val="es-MX"/>
        </w:rPr>
      </w:pPr>
      <w:hyperlink r:id="rId17" w:history="1">
        <w:r w:rsidR="00A20B51" w:rsidRPr="003518A8">
          <w:rPr>
            <w:rStyle w:val="Hyperlink"/>
            <w:rFonts w:ascii="Calibri" w:hAnsi="Calibri" w:cs="Calibri"/>
            <w:sz w:val="24"/>
            <w:szCs w:val="24"/>
            <w:lang w:val="es-MX"/>
          </w:rPr>
          <w:t>http://documenta.org.mx/layout/publicaciones/informes-justicia-discapacidad-psicosocial/informe-hacia-sistema-justicia-incluyente-proceso-penal-discapacidad-psicosocial-septiembre-2016.pdf</w:t>
        </w:r>
      </w:hyperlink>
    </w:p>
    <w:p w14:paraId="2071299B" w14:textId="77777777" w:rsidR="00E4485D" w:rsidRDefault="00E4485D" w:rsidP="00A20B51">
      <w:pPr>
        <w:jc w:val="both"/>
        <w:rPr>
          <w:rFonts w:ascii="Calibri" w:hAnsi="Calibri" w:cs="Calibri"/>
          <w:sz w:val="24"/>
          <w:szCs w:val="24"/>
          <w:lang w:val="es-MX"/>
        </w:rPr>
      </w:pPr>
    </w:p>
    <w:p w14:paraId="2071299C" w14:textId="77777777" w:rsidR="00E4485D" w:rsidRPr="001C0208" w:rsidRDefault="00E4485D" w:rsidP="00E4485D">
      <w:pPr>
        <w:jc w:val="both"/>
        <w:rPr>
          <w:rFonts w:ascii="Calibri" w:hAnsi="Calibri"/>
          <w:sz w:val="24"/>
          <w:szCs w:val="24"/>
          <w:lang w:val="es-MX"/>
        </w:rPr>
      </w:pPr>
      <w:r w:rsidRPr="001C0208">
        <w:rPr>
          <w:rFonts w:ascii="Calibri" w:hAnsi="Calibri"/>
          <w:sz w:val="24"/>
          <w:szCs w:val="24"/>
          <w:lang w:val="es-MX"/>
        </w:rPr>
        <w:t xml:space="preserve">Sobre datos específicos respecto a mujeres inimputables para el año 2011, 6 de ellas se encontraban como procesadas. Para el año 2012, 25 mujeres estaban siendo procesadas como inimputables y 26 ya habían sido condenadas. En el 2013, 26 mujeres estaban siendo procesadas como inimputables y 31 ya habían sido condenadas. En 2014, 20 mujeres estaban siendo procesadas como inimputables y 21 se encontraban ya condenadas. Para el 2015, 11 mujeres estaban siendo procesadas como inimputables y 11 ya habían sido sentenciadas. Y para el 2016, 3 mujeres estaban siendo procesadas como inimputables y 6 habían sido sentenciadas. </w:t>
      </w:r>
    </w:p>
    <w:p w14:paraId="2071299D" w14:textId="77777777" w:rsidR="00E4485D" w:rsidRDefault="00E4485D" w:rsidP="00E4485D">
      <w:pPr>
        <w:rPr>
          <w:sz w:val="24"/>
          <w:szCs w:val="24"/>
          <w:lang w:val="es-MX"/>
        </w:rPr>
      </w:pPr>
    </w:p>
    <w:tbl>
      <w:tblPr>
        <w:tblW w:w="4580" w:type="dxa"/>
        <w:jc w:val="center"/>
        <w:tblInd w:w="55" w:type="dxa"/>
        <w:tblCellMar>
          <w:left w:w="70" w:type="dxa"/>
          <w:right w:w="70" w:type="dxa"/>
        </w:tblCellMar>
        <w:tblLook w:val="04A0" w:firstRow="1" w:lastRow="0" w:firstColumn="1" w:lastColumn="0" w:noHBand="0" w:noVBand="1"/>
      </w:tblPr>
      <w:tblGrid>
        <w:gridCol w:w="1200"/>
        <w:gridCol w:w="1580"/>
        <w:gridCol w:w="1800"/>
      </w:tblGrid>
      <w:tr w:rsidR="00E4485D" w:rsidRPr="00075433" w14:paraId="207129A1" w14:textId="77777777" w:rsidTr="001C7786">
        <w:trPr>
          <w:trHeight w:val="375"/>
          <w:jc w:val="center"/>
        </w:trPr>
        <w:tc>
          <w:tcPr>
            <w:tcW w:w="1200" w:type="dxa"/>
            <w:tcBorders>
              <w:top w:val="single" w:sz="8" w:space="0" w:color="auto"/>
              <w:left w:val="single" w:sz="8" w:space="0" w:color="auto"/>
              <w:bottom w:val="single" w:sz="8" w:space="0" w:color="auto"/>
              <w:right w:val="single" w:sz="8" w:space="0" w:color="auto"/>
            </w:tcBorders>
            <w:shd w:val="clear" w:color="000000" w:fill="C5D9F1"/>
            <w:noWrap/>
            <w:vAlign w:val="bottom"/>
            <w:hideMark/>
          </w:tcPr>
          <w:p w14:paraId="2071299E" w14:textId="77777777" w:rsidR="00E4485D" w:rsidRPr="00075433" w:rsidRDefault="00E4485D" w:rsidP="001C7786">
            <w:pPr>
              <w:rPr>
                <w:rFonts w:ascii="Calibri" w:hAnsi="Calibri"/>
                <w:b/>
                <w:bCs/>
                <w:color w:val="000000"/>
                <w:sz w:val="24"/>
                <w:szCs w:val="24"/>
                <w:lang w:val="es-MX" w:eastAsia="es-MX"/>
              </w:rPr>
            </w:pPr>
            <w:r w:rsidRPr="00075433">
              <w:rPr>
                <w:rFonts w:ascii="Calibri" w:hAnsi="Calibri"/>
                <w:b/>
                <w:bCs/>
                <w:color w:val="000000"/>
                <w:sz w:val="24"/>
                <w:szCs w:val="24"/>
                <w:lang w:val="es-MX" w:eastAsia="es-MX"/>
              </w:rPr>
              <w:t>Año</w:t>
            </w:r>
          </w:p>
        </w:tc>
        <w:tc>
          <w:tcPr>
            <w:tcW w:w="1580" w:type="dxa"/>
            <w:tcBorders>
              <w:top w:val="single" w:sz="8" w:space="0" w:color="auto"/>
              <w:left w:val="nil"/>
              <w:bottom w:val="single" w:sz="8" w:space="0" w:color="auto"/>
              <w:right w:val="dotted" w:sz="4" w:space="0" w:color="auto"/>
            </w:tcBorders>
            <w:shd w:val="clear" w:color="000000" w:fill="C5D9F1"/>
            <w:noWrap/>
            <w:vAlign w:val="bottom"/>
            <w:hideMark/>
          </w:tcPr>
          <w:p w14:paraId="2071299F" w14:textId="77777777" w:rsidR="00E4485D" w:rsidRPr="00075433" w:rsidRDefault="00E4485D" w:rsidP="001C7786">
            <w:pPr>
              <w:rPr>
                <w:rFonts w:ascii="Calibri" w:hAnsi="Calibri"/>
                <w:b/>
                <w:bCs/>
                <w:color w:val="000000"/>
                <w:sz w:val="24"/>
                <w:szCs w:val="24"/>
                <w:lang w:val="es-MX" w:eastAsia="es-MX"/>
              </w:rPr>
            </w:pPr>
            <w:r w:rsidRPr="00075433">
              <w:rPr>
                <w:rFonts w:ascii="Calibri" w:hAnsi="Calibri"/>
                <w:b/>
                <w:bCs/>
                <w:color w:val="000000"/>
                <w:sz w:val="24"/>
                <w:szCs w:val="24"/>
                <w:lang w:val="es-MX" w:eastAsia="es-MX"/>
              </w:rPr>
              <w:t xml:space="preserve">Procesadas </w:t>
            </w:r>
          </w:p>
        </w:tc>
        <w:tc>
          <w:tcPr>
            <w:tcW w:w="1800" w:type="dxa"/>
            <w:tcBorders>
              <w:top w:val="single" w:sz="8" w:space="0" w:color="auto"/>
              <w:left w:val="nil"/>
              <w:bottom w:val="single" w:sz="8" w:space="0" w:color="auto"/>
              <w:right w:val="single" w:sz="8" w:space="0" w:color="auto"/>
            </w:tcBorders>
            <w:shd w:val="clear" w:color="000000" w:fill="C5D9F1"/>
            <w:noWrap/>
            <w:vAlign w:val="bottom"/>
            <w:hideMark/>
          </w:tcPr>
          <w:p w14:paraId="207129A0" w14:textId="77777777" w:rsidR="00E4485D" w:rsidRPr="00075433" w:rsidRDefault="00E4485D" w:rsidP="001C7786">
            <w:pPr>
              <w:rPr>
                <w:rFonts w:ascii="Calibri" w:hAnsi="Calibri"/>
                <w:b/>
                <w:bCs/>
                <w:color w:val="000000"/>
                <w:sz w:val="24"/>
                <w:szCs w:val="24"/>
                <w:lang w:val="es-MX" w:eastAsia="es-MX"/>
              </w:rPr>
            </w:pPr>
            <w:r w:rsidRPr="00075433">
              <w:rPr>
                <w:rFonts w:ascii="Calibri" w:hAnsi="Calibri"/>
                <w:b/>
                <w:bCs/>
                <w:color w:val="000000"/>
                <w:sz w:val="24"/>
                <w:szCs w:val="24"/>
                <w:lang w:val="es-MX" w:eastAsia="es-MX"/>
              </w:rPr>
              <w:t xml:space="preserve">Sentenciadas </w:t>
            </w:r>
          </w:p>
        </w:tc>
      </w:tr>
      <w:tr w:rsidR="00E4485D" w:rsidRPr="00075433" w14:paraId="207129A5" w14:textId="77777777" w:rsidTr="001C7786">
        <w:trPr>
          <w:trHeight w:val="300"/>
          <w:jc w:val="center"/>
        </w:trPr>
        <w:tc>
          <w:tcPr>
            <w:tcW w:w="1200" w:type="dxa"/>
            <w:tcBorders>
              <w:top w:val="nil"/>
              <w:left w:val="single" w:sz="8" w:space="0" w:color="auto"/>
              <w:bottom w:val="dotted" w:sz="4" w:space="0" w:color="auto"/>
              <w:right w:val="single" w:sz="8" w:space="0" w:color="auto"/>
            </w:tcBorders>
            <w:shd w:val="clear" w:color="000000" w:fill="C5D9F1"/>
            <w:noWrap/>
            <w:vAlign w:val="bottom"/>
            <w:hideMark/>
          </w:tcPr>
          <w:p w14:paraId="207129A2" w14:textId="77777777" w:rsidR="00E4485D" w:rsidRPr="00075433" w:rsidRDefault="00E4485D" w:rsidP="001C7786">
            <w:pPr>
              <w:jc w:val="right"/>
              <w:rPr>
                <w:rFonts w:ascii="Calibri" w:hAnsi="Calibri"/>
                <w:color w:val="000000"/>
                <w:sz w:val="22"/>
                <w:szCs w:val="22"/>
                <w:lang w:val="es-MX" w:eastAsia="es-MX"/>
              </w:rPr>
            </w:pPr>
            <w:r w:rsidRPr="00075433">
              <w:rPr>
                <w:rFonts w:ascii="Calibri" w:hAnsi="Calibri"/>
                <w:color w:val="000000"/>
                <w:sz w:val="22"/>
                <w:szCs w:val="22"/>
                <w:lang w:val="es-MX" w:eastAsia="es-MX"/>
              </w:rPr>
              <w:t>2011</w:t>
            </w:r>
          </w:p>
        </w:tc>
        <w:tc>
          <w:tcPr>
            <w:tcW w:w="1580" w:type="dxa"/>
            <w:tcBorders>
              <w:top w:val="nil"/>
              <w:left w:val="nil"/>
              <w:bottom w:val="dotted" w:sz="4" w:space="0" w:color="auto"/>
              <w:right w:val="dotted" w:sz="4" w:space="0" w:color="auto"/>
            </w:tcBorders>
            <w:shd w:val="clear" w:color="auto" w:fill="auto"/>
            <w:noWrap/>
            <w:vAlign w:val="bottom"/>
            <w:hideMark/>
          </w:tcPr>
          <w:p w14:paraId="207129A3" w14:textId="77777777" w:rsidR="00E4485D" w:rsidRPr="00075433" w:rsidRDefault="00E4485D" w:rsidP="001C7786">
            <w:pPr>
              <w:jc w:val="right"/>
              <w:rPr>
                <w:rFonts w:ascii="Calibri" w:hAnsi="Calibri"/>
                <w:color w:val="000000"/>
                <w:sz w:val="22"/>
                <w:szCs w:val="22"/>
                <w:lang w:val="es-MX" w:eastAsia="es-MX"/>
              </w:rPr>
            </w:pPr>
            <w:r w:rsidRPr="00075433">
              <w:rPr>
                <w:rFonts w:ascii="Calibri" w:hAnsi="Calibri"/>
                <w:color w:val="000000"/>
                <w:sz w:val="22"/>
                <w:szCs w:val="22"/>
                <w:lang w:val="es-MX" w:eastAsia="es-MX"/>
              </w:rPr>
              <w:t>6</w:t>
            </w:r>
          </w:p>
        </w:tc>
        <w:tc>
          <w:tcPr>
            <w:tcW w:w="1800" w:type="dxa"/>
            <w:tcBorders>
              <w:top w:val="nil"/>
              <w:left w:val="nil"/>
              <w:bottom w:val="dotted" w:sz="4" w:space="0" w:color="auto"/>
              <w:right w:val="single" w:sz="8" w:space="0" w:color="auto"/>
            </w:tcBorders>
            <w:shd w:val="clear" w:color="auto" w:fill="auto"/>
            <w:noWrap/>
            <w:vAlign w:val="bottom"/>
            <w:hideMark/>
          </w:tcPr>
          <w:p w14:paraId="207129A4" w14:textId="77777777" w:rsidR="00E4485D" w:rsidRPr="00075433" w:rsidRDefault="00E4485D" w:rsidP="001C7786">
            <w:pPr>
              <w:jc w:val="right"/>
              <w:rPr>
                <w:rFonts w:ascii="Calibri" w:hAnsi="Calibri"/>
                <w:color w:val="000000"/>
                <w:sz w:val="22"/>
                <w:szCs w:val="22"/>
                <w:lang w:val="es-MX" w:eastAsia="es-MX"/>
              </w:rPr>
            </w:pPr>
            <w:r w:rsidRPr="00075433">
              <w:rPr>
                <w:rFonts w:ascii="Calibri" w:hAnsi="Calibri"/>
                <w:color w:val="000000"/>
                <w:sz w:val="22"/>
                <w:szCs w:val="22"/>
                <w:lang w:val="es-MX" w:eastAsia="es-MX"/>
              </w:rPr>
              <w:t>n.d.</w:t>
            </w:r>
          </w:p>
        </w:tc>
      </w:tr>
      <w:tr w:rsidR="00E4485D" w:rsidRPr="00075433" w14:paraId="207129A9" w14:textId="77777777" w:rsidTr="001C7786">
        <w:trPr>
          <w:trHeight w:val="300"/>
          <w:jc w:val="center"/>
        </w:trPr>
        <w:tc>
          <w:tcPr>
            <w:tcW w:w="1200" w:type="dxa"/>
            <w:tcBorders>
              <w:top w:val="nil"/>
              <w:left w:val="single" w:sz="8" w:space="0" w:color="auto"/>
              <w:bottom w:val="dotted" w:sz="4" w:space="0" w:color="auto"/>
              <w:right w:val="single" w:sz="8" w:space="0" w:color="auto"/>
            </w:tcBorders>
            <w:shd w:val="clear" w:color="000000" w:fill="C5D9F1"/>
            <w:noWrap/>
            <w:vAlign w:val="bottom"/>
            <w:hideMark/>
          </w:tcPr>
          <w:p w14:paraId="207129A6" w14:textId="77777777" w:rsidR="00E4485D" w:rsidRPr="00075433" w:rsidRDefault="00E4485D" w:rsidP="001C7786">
            <w:pPr>
              <w:jc w:val="right"/>
              <w:rPr>
                <w:rFonts w:ascii="Calibri" w:hAnsi="Calibri"/>
                <w:color w:val="000000"/>
                <w:sz w:val="22"/>
                <w:szCs w:val="22"/>
                <w:lang w:val="es-MX" w:eastAsia="es-MX"/>
              </w:rPr>
            </w:pPr>
            <w:r w:rsidRPr="00075433">
              <w:rPr>
                <w:rFonts w:ascii="Calibri" w:hAnsi="Calibri"/>
                <w:color w:val="000000"/>
                <w:sz w:val="22"/>
                <w:szCs w:val="22"/>
                <w:lang w:val="es-MX" w:eastAsia="es-MX"/>
              </w:rPr>
              <w:t>2012</w:t>
            </w:r>
          </w:p>
        </w:tc>
        <w:tc>
          <w:tcPr>
            <w:tcW w:w="1580" w:type="dxa"/>
            <w:tcBorders>
              <w:top w:val="nil"/>
              <w:left w:val="nil"/>
              <w:bottom w:val="dotted" w:sz="4" w:space="0" w:color="auto"/>
              <w:right w:val="dotted" w:sz="4" w:space="0" w:color="auto"/>
            </w:tcBorders>
            <w:shd w:val="clear" w:color="auto" w:fill="auto"/>
            <w:noWrap/>
            <w:vAlign w:val="bottom"/>
            <w:hideMark/>
          </w:tcPr>
          <w:p w14:paraId="207129A7" w14:textId="77777777" w:rsidR="00E4485D" w:rsidRPr="00075433" w:rsidRDefault="00E4485D" w:rsidP="001C7786">
            <w:pPr>
              <w:jc w:val="right"/>
              <w:rPr>
                <w:rFonts w:ascii="Calibri" w:hAnsi="Calibri"/>
                <w:color w:val="000000"/>
                <w:sz w:val="22"/>
                <w:szCs w:val="22"/>
                <w:lang w:val="es-MX" w:eastAsia="es-MX"/>
              </w:rPr>
            </w:pPr>
            <w:r w:rsidRPr="00075433">
              <w:rPr>
                <w:rFonts w:ascii="Calibri" w:hAnsi="Calibri"/>
                <w:color w:val="000000"/>
                <w:sz w:val="22"/>
                <w:szCs w:val="22"/>
                <w:lang w:val="es-MX" w:eastAsia="es-MX"/>
              </w:rPr>
              <w:t>25</w:t>
            </w:r>
          </w:p>
        </w:tc>
        <w:tc>
          <w:tcPr>
            <w:tcW w:w="1800" w:type="dxa"/>
            <w:tcBorders>
              <w:top w:val="nil"/>
              <w:left w:val="nil"/>
              <w:bottom w:val="dotted" w:sz="4" w:space="0" w:color="auto"/>
              <w:right w:val="single" w:sz="8" w:space="0" w:color="auto"/>
            </w:tcBorders>
            <w:shd w:val="clear" w:color="auto" w:fill="auto"/>
            <w:noWrap/>
            <w:vAlign w:val="bottom"/>
            <w:hideMark/>
          </w:tcPr>
          <w:p w14:paraId="207129A8" w14:textId="77777777" w:rsidR="00E4485D" w:rsidRPr="00075433" w:rsidRDefault="00E4485D" w:rsidP="001C7786">
            <w:pPr>
              <w:jc w:val="right"/>
              <w:rPr>
                <w:rFonts w:ascii="Calibri" w:hAnsi="Calibri"/>
                <w:color w:val="000000"/>
                <w:sz w:val="22"/>
                <w:szCs w:val="22"/>
                <w:lang w:val="es-MX" w:eastAsia="es-MX"/>
              </w:rPr>
            </w:pPr>
            <w:r w:rsidRPr="00075433">
              <w:rPr>
                <w:rFonts w:ascii="Calibri" w:hAnsi="Calibri"/>
                <w:color w:val="000000"/>
                <w:sz w:val="22"/>
                <w:szCs w:val="22"/>
                <w:lang w:val="es-MX" w:eastAsia="es-MX"/>
              </w:rPr>
              <w:t>26</w:t>
            </w:r>
          </w:p>
        </w:tc>
      </w:tr>
      <w:tr w:rsidR="00E4485D" w:rsidRPr="00075433" w14:paraId="207129AD" w14:textId="77777777" w:rsidTr="001C7786">
        <w:trPr>
          <w:trHeight w:val="300"/>
          <w:jc w:val="center"/>
        </w:trPr>
        <w:tc>
          <w:tcPr>
            <w:tcW w:w="1200" w:type="dxa"/>
            <w:tcBorders>
              <w:top w:val="nil"/>
              <w:left w:val="single" w:sz="8" w:space="0" w:color="auto"/>
              <w:bottom w:val="dotted" w:sz="4" w:space="0" w:color="auto"/>
              <w:right w:val="single" w:sz="8" w:space="0" w:color="auto"/>
            </w:tcBorders>
            <w:shd w:val="clear" w:color="000000" w:fill="C5D9F1"/>
            <w:noWrap/>
            <w:vAlign w:val="bottom"/>
            <w:hideMark/>
          </w:tcPr>
          <w:p w14:paraId="207129AA" w14:textId="77777777" w:rsidR="00E4485D" w:rsidRPr="00075433" w:rsidRDefault="00E4485D" w:rsidP="001C7786">
            <w:pPr>
              <w:jc w:val="right"/>
              <w:rPr>
                <w:rFonts w:ascii="Calibri" w:hAnsi="Calibri"/>
                <w:color w:val="000000"/>
                <w:sz w:val="22"/>
                <w:szCs w:val="22"/>
                <w:lang w:val="es-MX" w:eastAsia="es-MX"/>
              </w:rPr>
            </w:pPr>
            <w:r w:rsidRPr="00075433">
              <w:rPr>
                <w:rFonts w:ascii="Calibri" w:hAnsi="Calibri"/>
                <w:color w:val="000000"/>
                <w:sz w:val="22"/>
                <w:szCs w:val="22"/>
                <w:lang w:val="es-MX" w:eastAsia="es-MX"/>
              </w:rPr>
              <w:t>2013</w:t>
            </w:r>
          </w:p>
        </w:tc>
        <w:tc>
          <w:tcPr>
            <w:tcW w:w="1580" w:type="dxa"/>
            <w:tcBorders>
              <w:top w:val="nil"/>
              <w:left w:val="nil"/>
              <w:bottom w:val="dotted" w:sz="4" w:space="0" w:color="auto"/>
              <w:right w:val="dotted" w:sz="4" w:space="0" w:color="auto"/>
            </w:tcBorders>
            <w:shd w:val="clear" w:color="auto" w:fill="auto"/>
            <w:noWrap/>
            <w:vAlign w:val="bottom"/>
            <w:hideMark/>
          </w:tcPr>
          <w:p w14:paraId="207129AB" w14:textId="77777777" w:rsidR="00E4485D" w:rsidRPr="00075433" w:rsidRDefault="00E4485D" w:rsidP="001C7786">
            <w:pPr>
              <w:jc w:val="right"/>
              <w:rPr>
                <w:rFonts w:ascii="Calibri" w:hAnsi="Calibri"/>
                <w:color w:val="000000"/>
                <w:sz w:val="22"/>
                <w:szCs w:val="22"/>
                <w:lang w:val="es-MX" w:eastAsia="es-MX"/>
              </w:rPr>
            </w:pPr>
            <w:r w:rsidRPr="00075433">
              <w:rPr>
                <w:rFonts w:ascii="Calibri" w:hAnsi="Calibri"/>
                <w:color w:val="000000"/>
                <w:sz w:val="22"/>
                <w:szCs w:val="22"/>
                <w:lang w:val="es-MX" w:eastAsia="es-MX"/>
              </w:rPr>
              <w:t>26</w:t>
            </w:r>
          </w:p>
        </w:tc>
        <w:tc>
          <w:tcPr>
            <w:tcW w:w="1800" w:type="dxa"/>
            <w:tcBorders>
              <w:top w:val="nil"/>
              <w:left w:val="nil"/>
              <w:bottom w:val="dotted" w:sz="4" w:space="0" w:color="auto"/>
              <w:right w:val="single" w:sz="8" w:space="0" w:color="auto"/>
            </w:tcBorders>
            <w:shd w:val="clear" w:color="auto" w:fill="auto"/>
            <w:noWrap/>
            <w:vAlign w:val="bottom"/>
            <w:hideMark/>
          </w:tcPr>
          <w:p w14:paraId="207129AC" w14:textId="77777777" w:rsidR="00E4485D" w:rsidRPr="00075433" w:rsidRDefault="00E4485D" w:rsidP="001C7786">
            <w:pPr>
              <w:jc w:val="right"/>
              <w:rPr>
                <w:rFonts w:ascii="Calibri" w:hAnsi="Calibri"/>
                <w:color w:val="000000"/>
                <w:sz w:val="22"/>
                <w:szCs w:val="22"/>
                <w:lang w:val="es-MX" w:eastAsia="es-MX"/>
              </w:rPr>
            </w:pPr>
            <w:r w:rsidRPr="00075433">
              <w:rPr>
                <w:rFonts w:ascii="Calibri" w:hAnsi="Calibri"/>
                <w:color w:val="000000"/>
                <w:sz w:val="22"/>
                <w:szCs w:val="22"/>
                <w:lang w:val="es-MX" w:eastAsia="es-MX"/>
              </w:rPr>
              <w:t>31</w:t>
            </w:r>
          </w:p>
        </w:tc>
      </w:tr>
      <w:tr w:rsidR="00E4485D" w:rsidRPr="00075433" w14:paraId="207129B1" w14:textId="77777777" w:rsidTr="001C7786">
        <w:trPr>
          <w:trHeight w:val="300"/>
          <w:jc w:val="center"/>
        </w:trPr>
        <w:tc>
          <w:tcPr>
            <w:tcW w:w="1200" w:type="dxa"/>
            <w:tcBorders>
              <w:top w:val="nil"/>
              <w:left w:val="single" w:sz="8" w:space="0" w:color="auto"/>
              <w:bottom w:val="dotted" w:sz="4" w:space="0" w:color="auto"/>
              <w:right w:val="single" w:sz="8" w:space="0" w:color="auto"/>
            </w:tcBorders>
            <w:shd w:val="clear" w:color="000000" w:fill="C5D9F1"/>
            <w:noWrap/>
            <w:vAlign w:val="bottom"/>
            <w:hideMark/>
          </w:tcPr>
          <w:p w14:paraId="207129AE" w14:textId="77777777" w:rsidR="00E4485D" w:rsidRPr="00075433" w:rsidRDefault="00E4485D" w:rsidP="001C7786">
            <w:pPr>
              <w:jc w:val="right"/>
              <w:rPr>
                <w:rFonts w:ascii="Calibri" w:hAnsi="Calibri"/>
                <w:color w:val="000000"/>
                <w:sz w:val="22"/>
                <w:szCs w:val="22"/>
                <w:lang w:val="es-MX" w:eastAsia="es-MX"/>
              </w:rPr>
            </w:pPr>
            <w:r w:rsidRPr="00075433">
              <w:rPr>
                <w:rFonts w:ascii="Calibri" w:hAnsi="Calibri"/>
                <w:color w:val="000000"/>
                <w:sz w:val="22"/>
                <w:szCs w:val="22"/>
                <w:lang w:val="es-MX" w:eastAsia="es-MX"/>
              </w:rPr>
              <w:t>2014</w:t>
            </w:r>
          </w:p>
        </w:tc>
        <w:tc>
          <w:tcPr>
            <w:tcW w:w="1580" w:type="dxa"/>
            <w:tcBorders>
              <w:top w:val="nil"/>
              <w:left w:val="nil"/>
              <w:bottom w:val="dotted" w:sz="4" w:space="0" w:color="auto"/>
              <w:right w:val="dotted" w:sz="4" w:space="0" w:color="auto"/>
            </w:tcBorders>
            <w:shd w:val="clear" w:color="auto" w:fill="auto"/>
            <w:noWrap/>
            <w:vAlign w:val="bottom"/>
            <w:hideMark/>
          </w:tcPr>
          <w:p w14:paraId="207129AF" w14:textId="77777777" w:rsidR="00E4485D" w:rsidRPr="00075433" w:rsidRDefault="00E4485D" w:rsidP="001C7786">
            <w:pPr>
              <w:jc w:val="right"/>
              <w:rPr>
                <w:rFonts w:ascii="Calibri" w:hAnsi="Calibri"/>
                <w:color w:val="000000"/>
                <w:sz w:val="22"/>
                <w:szCs w:val="22"/>
                <w:lang w:val="es-MX" w:eastAsia="es-MX"/>
              </w:rPr>
            </w:pPr>
            <w:r w:rsidRPr="00075433">
              <w:rPr>
                <w:rFonts w:ascii="Calibri" w:hAnsi="Calibri"/>
                <w:color w:val="000000"/>
                <w:sz w:val="22"/>
                <w:szCs w:val="22"/>
                <w:lang w:val="es-MX" w:eastAsia="es-MX"/>
              </w:rPr>
              <w:t>20</w:t>
            </w:r>
          </w:p>
        </w:tc>
        <w:tc>
          <w:tcPr>
            <w:tcW w:w="1800" w:type="dxa"/>
            <w:tcBorders>
              <w:top w:val="nil"/>
              <w:left w:val="nil"/>
              <w:bottom w:val="dotted" w:sz="4" w:space="0" w:color="auto"/>
              <w:right w:val="single" w:sz="8" w:space="0" w:color="auto"/>
            </w:tcBorders>
            <w:shd w:val="clear" w:color="auto" w:fill="auto"/>
            <w:noWrap/>
            <w:vAlign w:val="bottom"/>
            <w:hideMark/>
          </w:tcPr>
          <w:p w14:paraId="207129B0" w14:textId="77777777" w:rsidR="00E4485D" w:rsidRPr="00075433" w:rsidRDefault="00E4485D" w:rsidP="001C7786">
            <w:pPr>
              <w:jc w:val="right"/>
              <w:rPr>
                <w:rFonts w:ascii="Calibri" w:hAnsi="Calibri"/>
                <w:color w:val="000000"/>
                <w:sz w:val="22"/>
                <w:szCs w:val="22"/>
                <w:lang w:val="es-MX" w:eastAsia="es-MX"/>
              </w:rPr>
            </w:pPr>
            <w:r w:rsidRPr="00075433">
              <w:rPr>
                <w:rFonts w:ascii="Calibri" w:hAnsi="Calibri"/>
                <w:color w:val="000000"/>
                <w:sz w:val="22"/>
                <w:szCs w:val="22"/>
                <w:lang w:val="es-MX" w:eastAsia="es-MX"/>
              </w:rPr>
              <w:t>21</w:t>
            </w:r>
          </w:p>
        </w:tc>
      </w:tr>
      <w:tr w:rsidR="00E4485D" w:rsidRPr="00075433" w14:paraId="207129B5" w14:textId="77777777" w:rsidTr="001C7786">
        <w:trPr>
          <w:trHeight w:val="300"/>
          <w:jc w:val="center"/>
        </w:trPr>
        <w:tc>
          <w:tcPr>
            <w:tcW w:w="1200" w:type="dxa"/>
            <w:tcBorders>
              <w:top w:val="nil"/>
              <w:left w:val="single" w:sz="8" w:space="0" w:color="auto"/>
              <w:bottom w:val="dotted" w:sz="4" w:space="0" w:color="auto"/>
              <w:right w:val="single" w:sz="8" w:space="0" w:color="auto"/>
            </w:tcBorders>
            <w:shd w:val="clear" w:color="000000" w:fill="C5D9F1"/>
            <w:noWrap/>
            <w:vAlign w:val="bottom"/>
            <w:hideMark/>
          </w:tcPr>
          <w:p w14:paraId="207129B2" w14:textId="77777777" w:rsidR="00E4485D" w:rsidRPr="00075433" w:rsidRDefault="00E4485D" w:rsidP="001C7786">
            <w:pPr>
              <w:jc w:val="right"/>
              <w:rPr>
                <w:rFonts w:ascii="Calibri" w:hAnsi="Calibri"/>
                <w:color w:val="000000"/>
                <w:sz w:val="22"/>
                <w:szCs w:val="22"/>
                <w:lang w:val="es-MX" w:eastAsia="es-MX"/>
              </w:rPr>
            </w:pPr>
            <w:r w:rsidRPr="00075433">
              <w:rPr>
                <w:rFonts w:ascii="Calibri" w:hAnsi="Calibri"/>
                <w:color w:val="000000"/>
                <w:sz w:val="22"/>
                <w:szCs w:val="22"/>
                <w:lang w:val="es-MX" w:eastAsia="es-MX"/>
              </w:rPr>
              <w:t>2015</w:t>
            </w:r>
          </w:p>
        </w:tc>
        <w:tc>
          <w:tcPr>
            <w:tcW w:w="1580" w:type="dxa"/>
            <w:tcBorders>
              <w:top w:val="nil"/>
              <w:left w:val="nil"/>
              <w:bottom w:val="dotted" w:sz="4" w:space="0" w:color="auto"/>
              <w:right w:val="dotted" w:sz="4" w:space="0" w:color="auto"/>
            </w:tcBorders>
            <w:shd w:val="clear" w:color="auto" w:fill="auto"/>
            <w:noWrap/>
            <w:vAlign w:val="bottom"/>
            <w:hideMark/>
          </w:tcPr>
          <w:p w14:paraId="207129B3" w14:textId="77777777" w:rsidR="00E4485D" w:rsidRPr="00075433" w:rsidRDefault="00E4485D" w:rsidP="001C7786">
            <w:pPr>
              <w:jc w:val="right"/>
              <w:rPr>
                <w:rFonts w:ascii="Calibri" w:hAnsi="Calibri"/>
                <w:color w:val="000000"/>
                <w:sz w:val="22"/>
                <w:szCs w:val="22"/>
                <w:lang w:val="es-MX" w:eastAsia="es-MX"/>
              </w:rPr>
            </w:pPr>
            <w:r w:rsidRPr="00075433">
              <w:rPr>
                <w:rFonts w:ascii="Calibri" w:hAnsi="Calibri"/>
                <w:color w:val="000000"/>
                <w:sz w:val="22"/>
                <w:szCs w:val="22"/>
                <w:lang w:val="es-MX" w:eastAsia="es-MX"/>
              </w:rPr>
              <w:t>11</w:t>
            </w:r>
          </w:p>
        </w:tc>
        <w:tc>
          <w:tcPr>
            <w:tcW w:w="1800" w:type="dxa"/>
            <w:tcBorders>
              <w:top w:val="nil"/>
              <w:left w:val="nil"/>
              <w:bottom w:val="dotted" w:sz="4" w:space="0" w:color="auto"/>
              <w:right w:val="single" w:sz="8" w:space="0" w:color="auto"/>
            </w:tcBorders>
            <w:shd w:val="clear" w:color="auto" w:fill="auto"/>
            <w:noWrap/>
            <w:vAlign w:val="bottom"/>
            <w:hideMark/>
          </w:tcPr>
          <w:p w14:paraId="207129B4" w14:textId="77777777" w:rsidR="00E4485D" w:rsidRPr="00075433" w:rsidRDefault="00E4485D" w:rsidP="001C7786">
            <w:pPr>
              <w:jc w:val="right"/>
              <w:rPr>
                <w:rFonts w:ascii="Calibri" w:hAnsi="Calibri"/>
                <w:color w:val="000000"/>
                <w:sz w:val="22"/>
                <w:szCs w:val="22"/>
                <w:lang w:val="es-MX" w:eastAsia="es-MX"/>
              </w:rPr>
            </w:pPr>
            <w:r w:rsidRPr="00075433">
              <w:rPr>
                <w:rFonts w:ascii="Calibri" w:hAnsi="Calibri"/>
                <w:color w:val="000000"/>
                <w:sz w:val="22"/>
                <w:szCs w:val="22"/>
                <w:lang w:val="es-MX" w:eastAsia="es-MX"/>
              </w:rPr>
              <w:t>11</w:t>
            </w:r>
          </w:p>
        </w:tc>
      </w:tr>
      <w:tr w:rsidR="00E4485D" w:rsidRPr="00075433" w14:paraId="207129B9" w14:textId="77777777" w:rsidTr="001C7786">
        <w:trPr>
          <w:trHeight w:val="315"/>
          <w:jc w:val="center"/>
        </w:trPr>
        <w:tc>
          <w:tcPr>
            <w:tcW w:w="1200" w:type="dxa"/>
            <w:tcBorders>
              <w:top w:val="nil"/>
              <w:left w:val="single" w:sz="8" w:space="0" w:color="auto"/>
              <w:bottom w:val="single" w:sz="8" w:space="0" w:color="auto"/>
              <w:right w:val="single" w:sz="8" w:space="0" w:color="auto"/>
            </w:tcBorders>
            <w:shd w:val="clear" w:color="000000" w:fill="C5D9F1"/>
            <w:noWrap/>
            <w:vAlign w:val="bottom"/>
            <w:hideMark/>
          </w:tcPr>
          <w:p w14:paraId="207129B6" w14:textId="77777777" w:rsidR="00E4485D" w:rsidRPr="00075433" w:rsidRDefault="00E4485D" w:rsidP="001C7786">
            <w:pPr>
              <w:jc w:val="right"/>
              <w:rPr>
                <w:rFonts w:ascii="Calibri" w:hAnsi="Calibri"/>
                <w:color w:val="000000"/>
                <w:sz w:val="22"/>
                <w:szCs w:val="22"/>
                <w:lang w:val="es-MX" w:eastAsia="es-MX"/>
              </w:rPr>
            </w:pPr>
            <w:r w:rsidRPr="00075433">
              <w:rPr>
                <w:rFonts w:ascii="Calibri" w:hAnsi="Calibri"/>
                <w:color w:val="000000"/>
                <w:sz w:val="22"/>
                <w:szCs w:val="22"/>
                <w:lang w:val="es-MX" w:eastAsia="es-MX"/>
              </w:rPr>
              <w:t>2016</w:t>
            </w:r>
          </w:p>
        </w:tc>
        <w:tc>
          <w:tcPr>
            <w:tcW w:w="1580" w:type="dxa"/>
            <w:tcBorders>
              <w:top w:val="nil"/>
              <w:left w:val="nil"/>
              <w:bottom w:val="single" w:sz="8" w:space="0" w:color="auto"/>
              <w:right w:val="dotted" w:sz="4" w:space="0" w:color="auto"/>
            </w:tcBorders>
            <w:shd w:val="clear" w:color="auto" w:fill="auto"/>
            <w:noWrap/>
            <w:vAlign w:val="bottom"/>
            <w:hideMark/>
          </w:tcPr>
          <w:p w14:paraId="207129B7" w14:textId="77777777" w:rsidR="00E4485D" w:rsidRPr="00075433" w:rsidRDefault="00E4485D" w:rsidP="001C7786">
            <w:pPr>
              <w:jc w:val="right"/>
              <w:rPr>
                <w:rFonts w:ascii="Calibri" w:hAnsi="Calibri"/>
                <w:color w:val="000000"/>
                <w:sz w:val="22"/>
                <w:szCs w:val="22"/>
                <w:lang w:val="es-MX" w:eastAsia="es-MX"/>
              </w:rPr>
            </w:pPr>
            <w:r w:rsidRPr="00075433">
              <w:rPr>
                <w:rFonts w:ascii="Calibri" w:hAnsi="Calibri"/>
                <w:color w:val="000000"/>
                <w:sz w:val="22"/>
                <w:szCs w:val="22"/>
                <w:lang w:val="es-MX" w:eastAsia="es-MX"/>
              </w:rPr>
              <w:t>3</w:t>
            </w:r>
          </w:p>
        </w:tc>
        <w:tc>
          <w:tcPr>
            <w:tcW w:w="1800" w:type="dxa"/>
            <w:tcBorders>
              <w:top w:val="nil"/>
              <w:left w:val="nil"/>
              <w:bottom w:val="single" w:sz="8" w:space="0" w:color="auto"/>
              <w:right w:val="single" w:sz="8" w:space="0" w:color="auto"/>
            </w:tcBorders>
            <w:shd w:val="clear" w:color="auto" w:fill="auto"/>
            <w:noWrap/>
            <w:vAlign w:val="bottom"/>
            <w:hideMark/>
          </w:tcPr>
          <w:p w14:paraId="207129B8" w14:textId="77777777" w:rsidR="00E4485D" w:rsidRPr="00075433" w:rsidRDefault="00E4485D" w:rsidP="001C7786">
            <w:pPr>
              <w:jc w:val="right"/>
              <w:rPr>
                <w:rFonts w:ascii="Calibri" w:hAnsi="Calibri"/>
                <w:color w:val="000000"/>
                <w:sz w:val="22"/>
                <w:szCs w:val="22"/>
                <w:lang w:val="es-MX" w:eastAsia="es-MX"/>
              </w:rPr>
            </w:pPr>
            <w:r w:rsidRPr="00075433">
              <w:rPr>
                <w:rFonts w:ascii="Calibri" w:hAnsi="Calibri"/>
                <w:color w:val="000000"/>
                <w:sz w:val="22"/>
                <w:szCs w:val="22"/>
                <w:lang w:val="es-MX" w:eastAsia="es-MX"/>
              </w:rPr>
              <w:t>6</w:t>
            </w:r>
          </w:p>
        </w:tc>
      </w:tr>
      <w:tr w:rsidR="00E4485D" w:rsidRPr="00075433" w14:paraId="207129BD" w14:textId="77777777" w:rsidTr="001C7786">
        <w:trPr>
          <w:trHeight w:val="330"/>
          <w:jc w:val="center"/>
        </w:trPr>
        <w:tc>
          <w:tcPr>
            <w:tcW w:w="1200" w:type="dxa"/>
            <w:tcBorders>
              <w:top w:val="nil"/>
              <w:left w:val="single" w:sz="8" w:space="0" w:color="auto"/>
              <w:bottom w:val="single" w:sz="8" w:space="0" w:color="auto"/>
              <w:right w:val="single" w:sz="8" w:space="0" w:color="auto"/>
            </w:tcBorders>
            <w:shd w:val="clear" w:color="000000" w:fill="C5D9F1"/>
            <w:noWrap/>
            <w:vAlign w:val="bottom"/>
            <w:hideMark/>
          </w:tcPr>
          <w:p w14:paraId="207129BA" w14:textId="77777777" w:rsidR="00E4485D" w:rsidRPr="00075433" w:rsidRDefault="00E4485D" w:rsidP="001C7786">
            <w:pPr>
              <w:rPr>
                <w:rFonts w:ascii="Calibri" w:hAnsi="Calibri"/>
                <w:b/>
                <w:bCs/>
                <w:color w:val="000000"/>
                <w:sz w:val="24"/>
                <w:szCs w:val="24"/>
                <w:lang w:val="es-MX" w:eastAsia="es-MX"/>
              </w:rPr>
            </w:pPr>
            <w:r w:rsidRPr="00075433">
              <w:rPr>
                <w:rFonts w:ascii="Calibri" w:hAnsi="Calibri"/>
                <w:b/>
                <w:bCs/>
                <w:color w:val="000000"/>
                <w:sz w:val="24"/>
                <w:szCs w:val="24"/>
                <w:lang w:val="es-MX" w:eastAsia="es-MX"/>
              </w:rPr>
              <w:t>Total</w:t>
            </w:r>
          </w:p>
        </w:tc>
        <w:tc>
          <w:tcPr>
            <w:tcW w:w="1580" w:type="dxa"/>
            <w:tcBorders>
              <w:top w:val="nil"/>
              <w:left w:val="nil"/>
              <w:bottom w:val="single" w:sz="8" w:space="0" w:color="auto"/>
              <w:right w:val="dotted" w:sz="4" w:space="0" w:color="auto"/>
            </w:tcBorders>
            <w:shd w:val="clear" w:color="000000" w:fill="C5D9F1"/>
            <w:noWrap/>
            <w:vAlign w:val="bottom"/>
            <w:hideMark/>
          </w:tcPr>
          <w:p w14:paraId="207129BB" w14:textId="77777777" w:rsidR="00E4485D" w:rsidRPr="00075433" w:rsidRDefault="00E4485D" w:rsidP="001C7786">
            <w:pPr>
              <w:jc w:val="right"/>
              <w:rPr>
                <w:rFonts w:ascii="Calibri" w:hAnsi="Calibri"/>
                <w:b/>
                <w:bCs/>
                <w:color w:val="000000"/>
                <w:sz w:val="24"/>
                <w:szCs w:val="24"/>
                <w:lang w:val="es-MX" w:eastAsia="es-MX"/>
              </w:rPr>
            </w:pPr>
            <w:r w:rsidRPr="00075433">
              <w:rPr>
                <w:rFonts w:ascii="Calibri" w:hAnsi="Calibri"/>
                <w:b/>
                <w:bCs/>
                <w:color w:val="000000"/>
                <w:sz w:val="24"/>
                <w:szCs w:val="24"/>
                <w:lang w:val="es-MX" w:eastAsia="es-MX"/>
              </w:rPr>
              <w:t>91</w:t>
            </w:r>
          </w:p>
        </w:tc>
        <w:tc>
          <w:tcPr>
            <w:tcW w:w="1800" w:type="dxa"/>
            <w:tcBorders>
              <w:top w:val="nil"/>
              <w:left w:val="nil"/>
              <w:bottom w:val="single" w:sz="8" w:space="0" w:color="auto"/>
              <w:right w:val="single" w:sz="8" w:space="0" w:color="auto"/>
            </w:tcBorders>
            <w:shd w:val="clear" w:color="000000" w:fill="C5D9F1"/>
            <w:noWrap/>
            <w:vAlign w:val="bottom"/>
            <w:hideMark/>
          </w:tcPr>
          <w:p w14:paraId="207129BC" w14:textId="77777777" w:rsidR="00E4485D" w:rsidRPr="00075433" w:rsidRDefault="00E4485D" w:rsidP="001C7786">
            <w:pPr>
              <w:jc w:val="right"/>
              <w:rPr>
                <w:rFonts w:ascii="Calibri" w:hAnsi="Calibri"/>
                <w:b/>
                <w:bCs/>
                <w:color w:val="000000"/>
                <w:sz w:val="24"/>
                <w:szCs w:val="24"/>
                <w:lang w:val="es-MX" w:eastAsia="es-MX"/>
              </w:rPr>
            </w:pPr>
            <w:r w:rsidRPr="00075433">
              <w:rPr>
                <w:rFonts w:ascii="Calibri" w:hAnsi="Calibri"/>
                <w:b/>
                <w:bCs/>
                <w:color w:val="000000"/>
                <w:sz w:val="24"/>
                <w:szCs w:val="24"/>
                <w:lang w:val="es-MX" w:eastAsia="es-MX"/>
              </w:rPr>
              <w:t>95</w:t>
            </w:r>
          </w:p>
        </w:tc>
      </w:tr>
    </w:tbl>
    <w:p w14:paraId="207129BE" w14:textId="77777777" w:rsidR="00E4485D" w:rsidRDefault="00E4485D" w:rsidP="00E4485D">
      <w:pPr>
        <w:rPr>
          <w:sz w:val="24"/>
          <w:szCs w:val="24"/>
          <w:lang w:val="es-MX"/>
        </w:rPr>
      </w:pPr>
    </w:p>
    <w:p w14:paraId="207129BF" w14:textId="77777777" w:rsidR="00E4485D" w:rsidRDefault="00E4485D" w:rsidP="00A20B51">
      <w:pPr>
        <w:jc w:val="both"/>
        <w:rPr>
          <w:rFonts w:ascii="Calibri" w:hAnsi="Calibri" w:cs="Calibri"/>
          <w:sz w:val="24"/>
          <w:szCs w:val="24"/>
          <w:lang w:val="es-MX"/>
        </w:rPr>
      </w:pPr>
    </w:p>
    <w:p w14:paraId="207129C0" w14:textId="77777777" w:rsidR="00B303C8" w:rsidRDefault="00FD7A08" w:rsidP="00954311">
      <w:pPr>
        <w:jc w:val="both"/>
        <w:rPr>
          <w:rFonts w:ascii="Calibri" w:hAnsi="Calibri"/>
          <w:sz w:val="24"/>
          <w:szCs w:val="24"/>
          <w:lang w:val="es-MX"/>
        </w:rPr>
      </w:pPr>
      <w:r w:rsidRPr="001C0208">
        <w:rPr>
          <w:rFonts w:ascii="Calibri" w:hAnsi="Calibri"/>
          <w:sz w:val="24"/>
          <w:szCs w:val="24"/>
          <w:lang w:val="es-MX"/>
        </w:rPr>
        <w:lastRenderedPageBreak/>
        <w:t>En el caso específico de</w:t>
      </w:r>
      <w:r w:rsidR="00141002" w:rsidRPr="001C0208">
        <w:rPr>
          <w:rFonts w:ascii="Calibri" w:hAnsi="Calibri"/>
          <w:sz w:val="24"/>
          <w:szCs w:val="24"/>
          <w:lang w:val="es-MX"/>
        </w:rPr>
        <w:t xml:space="preserve"> la Ciudad de México, </w:t>
      </w:r>
      <w:r w:rsidR="00954311" w:rsidRPr="001C0208">
        <w:rPr>
          <w:rFonts w:ascii="Calibri" w:hAnsi="Calibri"/>
          <w:sz w:val="24"/>
          <w:szCs w:val="24"/>
          <w:lang w:val="es-MX"/>
        </w:rPr>
        <w:t xml:space="preserve">existe una institución penitenciaria destinada específicamente para los hombres declaradas inimputables y para aquellos con alguna discapacidad psicosocial, el </w:t>
      </w:r>
      <w:r w:rsidR="009254A6" w:rsidRPr="001C0208">
        <w:rPr>
          <w:rFonts w:ascii="Calibri" w:hAnsi="Calibri"/>
          <w:sz w:val="24"/>
          <w:szCs w:val="24"/>
          <w:lang w:val="es-MX"/>
        </w:rPr>
        <w:t>Centro Varonil de Rehabilitación Psicosocial (CEVAREPSI)</w:t>
      </w:r>
      <w:r w:rsidR="00F7110B" w:rsidRPr="001C0208">
        <w:rPr>
          <w:rFonts w:ascii="Calibri" w:hAnsi="Calibri"/>
          <w:sz w:val="24"/>
          <w:szCs w:val="24"/>
          <w:lang w:val="es-MX"/>
        </w:rPr>
        <w:t xml:space="preserve">. Para </w:t>
      </w:r>
      <w:r w:rsidR="00B303C8" w:rsidRPr="001C0208">
        <w:rPr>
          <w:rFonts w:ascii="Calibri" w:hAnsi="Calibri"/>
          <w:sz w:val="24"/>
          <w:szCs w:val="24"/>
          <w:lang w:val="es-MX"/>
        </w:rPr>
        <w:t xml:space="preserve">abril de 2015 el CEVAREPSI contaba con una población de 353 personas, de los cuales 307 (85.55%) ya habían sido sentenciados y 56 (14.45%) se encontraban aun en el proceso. Así mismo, de </w:t>
      </w:r>
      <w:r w:rsidR="00954311" w:rsidRPr="001C0208">
        <w:rPr>
          <w:rFonts w:ascii="Calibri" w:hAnsi="Calibri"/>
          <w:sz w:val="24"/>
          <w:szCs w:val="24"/>
          <w:lang w:val="es-MX"/>
        </w:rPr>
        <w:t>los</w:t>
      </w:r>
      <w:r w:rsidR="00B303C8" w:rsidRPr="001C0208">
        <w:rPr>
          <w:rFonts w:ascii="Calibri" w:hAnsi="Calibri"/>
          <w:sz w:val="24"/>
          <w:szCs w:val="24"/>
          <w:lang w:val="es-MX"/>
        </w:rPr>
        <w:t xml:space="preserve"> 353 internos, 287 (81.30</w:t>
      </w:r>
      <w:r w:rsidRPr="001C0208">
        <w:rPr>
          <w:rFonts w:ascii="Calibri" w:hAnsi="Calibri"/>
          <w:sz w:val="24"/>
          <w:szCs w:val="24"/>
          <w:lang w:val="es-MX"/>
        </w:rPr>
        <w:t>%</w:t>
      </w:r>
      <w:r w:rsidR="00B303C8" w:rsidRPr="001C0208">
        <w:rPr>
          <w:rFonts w:ascii="Calibri" w:hAnsi="Calibri"/>
          <w:sz w:val="24"/>
          <w:szCs w:val="24"/>
          <w:lang w:val="es-MX"/>
        </w:rPr>
        <w:t>) eran considerados inimputables y 66 (18.70%) imputables.</w:t>
      </w:r>
      <w:r w:rsidR="00954311" w:rsidRPr="001C0208">
        <w:rPr>
          <w:rFonts w:ascii="Calibri" w:hAnsi="Calibri"/>
          <w:sz w:val="24"/>
          <w:szCs w:val="24"/>
          <w:lang w:val="es-MX"/>
        </w:rPr>
        <w:t xml:space="preserve"> En el caso de las mujeres, las inimputables y aquellas con “padecimientos psiquiátricos” (como les llama el sistema) se encuentra en la Torre Médica Tepepan que es parte del Centro de Reclusorio Femenil de Tepepan.  </w:t>
      </w:r>
    </w:p>
    <w:p w14:paraId="207129C1" w14:textId="77777777" w:rsidR="00AA1428" w:rsidRDefault="00AA1428" w:rsidP="00954311">
      <w:pPr>
        <w:jc w:val="both"/>
        <w:rPr>
          <w:rFonts w:ascii="Calibri" w:hAnsi="Calibri"/>
          <w:sz w:val="24"/>
          <w:szCs w:val="24"/>
          <w:lang w:val="es-MX"/>
        </w:rPr>
      </w:pPr>
    </w:p>
    <w:p w14:paraId="207129C2" w14:textId="77777777" w:rsidR="00034811" w:rsidRDefault="00954311" w:rsidP="00954311">
      <w:pPr>
        <w:jc w:val="both"/>
        <w:rPr>
          <w:rFonts w:ascii="Calibri" w:hAnsi="Calibri"/>
          <w:i/>
          <w:sz w:val="24"/>
          <w:szCs w:val="24"/>
          <w:highlight w:val="yellow"/>
          <w:lang w:val="es-MX"/>
        </w:rPr>
      </w:pPr>
      <w:r w:rsidRPr="001C0208">
        <w:rPr>
          <w:rFonts w:ascii="Calibri" w:hAnsi="Calibri"/>
          <w:sz w:val="24"/>
          <w:szCs w:val="24"/>
          <w:lang w:val="es-MX"/>
        </w:rPr>
        <w:t xml:space="preserve">De acuerdo a la información de la </w:t>
      </w:r>
      <w:r w:rsidR="00B303C8" w:rsidRPr="001C0208">
        <w:rPr>
          <w:rFonts w:ascii="Calibri" w:hAnsi="Calibri"/>
          <w:sz w:val="24"/>
          <w:szCs w:val="24"/>
          <w:lang w:val="es-MX"/>
        </w:rPr>
        <w:t>Secretaria de Salud de la Ciudad de México</w:t>
      </w:r>
      <w:r w:rsidRPr="001C0208">
        <w:rPr>
          <w:rFonts w:ascii="Calibri" w:hAnsi="Calibri"/>
          <w:sz w:val="24"/>
          <w:szCs w:val="24"/>
          <w:lang w:val="es-MX"/>
        </w:rPr>
        <w:t xml:space="preserve"> esta población tienen distintos diagnósticos, entre los que destacan: </w:t>
      </w:r>
      <w:r w:rsidRPr="00954311">
        <w:rPr>
          <w:rFonts w:ascii="Calibri" w:hAnsi="Calibri"/>
          <w:i/>
          <w:sz w:val="24"/>
          <w:szCs w:val="24"/>
          <w:lang w:val="es-MX"/>
        </w:rPr>
        <w:t>trastornos psicóticos, retraso mental, trastornos afectivos y trastornos cognitivos</w:t>
      </w:r>
      <w:r w:rsidRPr="00954311">
        <w:rPr>
          <w:rFonts w:ascii="Calibri" w:hAnsi="Calibri"/>
          <w:sz w:val="24"/>
          <w:szCs w:val="24"/>
          <w:lang w:val="es-MX"/>
        </w:rPr>
        <w:t xml:space="preserve">. </w:t>
      </w:r>
      <w:r>
        <w:rPr>
          <w:rFonts w:ascii="Calibri" w:hAnsi="Calibri"/>
          <w:sz w:val="24"/>
          <w:szCs w:val="24"/>
          <w:lang w:val="es-MX"/>
        </w:rPr>
        <w:t xml:space="preserve">Igualmente, según datos de la misma Secretaría con respecto al tratamiento psicofarmacológico señaló que: </w:t>
      </w:r>
      <w:r w:rsidRPr="00954311">
        <w:rPr>
          <w:rFonts w:ascii="Calibri" w:hAnsi="Calibri"/>
          <w:i/>
          <w:sz w:val="24"/>
          <w:szCs w:val="24"/>
          <w:lang w:val="es-MX"/>
        </w:rPr>
        <w:t xml:space="preserve">“las personas con padecimientos psiquiátricos son valorados por personal médico psiquiátrico, quienes indican el tratamiento adecuado para cada paciente según </w:t>
      </w:r>
      <w:r w:rsidRPr="00B41053">
        <w:rPr>
          <w:rFonts w:ascii="Calibri" w:hAnsi="Calibri"/>
          <w:i/>
          <w:sz w:val="24"/>
          <w:szCs w:val="24"/>
          <w:lang w:val="es-MX"/>
        </w:rPr>
        <w:t xml:space="preserve">su padecimiento”. </w:t>
      </w:r>
      <w:r w:rsidR="00034811" w:rsidRPr="00B41053">
        <w:rPr>
          <w:rFonts w:ascii="Calibri" w:hAnsi="Calibri"/>
          <w:i/>
          <w:sz w:val="24"/>
          <w:szCs w:val="24"/>
          <w:lang w:val="es-MX"/>
        </w:rPr>
        <w:t>.</w:t>
      </w:r>
      <w:r w:rsidR="00034811" w:rsidRPr="00034811">
        <w:rPr>
          <w:rFonts w:ascii="Calibri" w:hAnsi="Calibri"/>
          <w:i/>
          <w:sz w:val="24"/>
          <w:szCs w:val="24"/>
          <w:lang w:val="es-MX"/>
        </w:rPr>
        <w:t xml:space="preserve"> </w:t>
      </w:r>
      <w:r w:rsidR="00034811" w:rsidRPr="00034811">
        <w:rPr>
          <w:rFonts w:ascii="Calibri" w:hAnsi="Calibri"/>
          <w:sz w:val="24"/>
          <w:szCs w:val="24"/>
          <w:lang w:val="es-MX"/>
        </w:rPr>
        <w:t>Igualmente, cuando se le preguntó a la Secretaria de Salud cuántas personas con discapacidad /inimputabilidad que están en los centros penitenciarios del Distrito Federal están bajo un tratamiento farmacológico psiquiátrico, la Secretaria sostuvo que</w:t>
      </w:r>
      <w:r w:rsidR="003C075E">
        <w:rPr>
          <w:rFonts w:ascii="Calibri" w:hAnsi="Calibri"/>
          <w:sz w:val="24"/>
          <w:szCs w:val="24"/>
          <w:lang w:val="es-MX"/>
        </w:rPr>
        <w:t xml:space="preserve"> reciben tratamiento farmacologico</w:t>
      </w:r>
      <w:r w:rsidR="00034811" w:rsidRPr="00034811">
        <w:rPr>
          <w:rFonts w:ascii="Calibri" w:hAnsi="Calibri"/>
          <w:i/>
          <w:sz w:val="24"/>
          <w:szCs w:val="24"/>
          <w:lang w:val="es-MX"/>
        </w:rPr>
        <w:t xml:space="preserve"> “Todos los pacientes con discapacidad/inimputabilidad que se encuentran en el CEVAREPSI en el caso de los hombres y en el Centro femenil de readaptación social Tepepan en el caso de las mujeres”.</w:t>
      </w:r>
    </w:p>
    <w:p w14:paraId="207129C3" w14:textId="77777777" w:rsidR="00954311" w:rsidRDefault="00954311" w:rsidP="00954311">
      <w:pPr>
        <w:jc w:val="both"/>
        <w:rPr>
          <w:rFonts w:ascii="Calibri" w:hAnsi="Calibri"/>
          <w:i/>
          <w:sz w:val="24"/>
          <w:szCs w:val="24"/>
          <w:lang w:val="es-MX"/>
        </w:rPr>
      </w:pPr>
    </w:p>
    <w:p w14:paraId="207129C4" w14:textId="77777777" w:rsidR="00814E8B" w:rsidRPr="008E5995" w:rsidRDefault="00814E8B" w:rsidP="00814E8B">
      <w:pPr>
        <w:autoSpaceDE w:val="0"/>
        <w:autoSpaceDN w:val="0"/>
        <w:adjustRightInd w:val="0"/>
        <w:jc w:val="both"/>
        <w:rPr>
          <w:rFonts w:ascii="Calibri" w:hAnsi="Calibri" w:cs="Calibri"/>
          <w:sz w:val="24"/>
          <w:szCs w:val="24"/>
          <w:lang w:val="es-MX" w:eastAsia="es-MX"/>
        </w:rPr>
      </w:pPr>
      <w:r w:rsidRPr="008E5995">
        <w:rPr>
          <w:rFonts w:ascii="Calibri" w:hAnsi="Calibri" w:cs="Calibri"/>
          <w:sz w:val="24"/>
          <w:szCs w:val="24"/>
          <w:lang w:val="es-MX" w:eastAsia="es-MX"/>
        </w:rPr>
        <w:t>De los datos obtenidos se desprende que de 1,112 pacientes psiquiátricos que se encontraban en prisión en 2012 –término utilizado por las autoridades–, los cinco padecimientos más frecuentes son:</w:t>
      </w:r>
    </w:p>
    <w:p w14:paraId="207129C5" w14:textId="0CA0857E" w:rsidR="00814E8B" w:rsidRDefault="005468D1" w:rsidP="00954311">
      <w:pPr>
        <w:jc w:val="both"/>
        <w:rPr>
          <w:rFonts w:ascii="Calibri" w:hAnsi="Calibri"/>
          <w:i/>
          <w:sz w:val="24"/>
          <w:szCs w:val="24"/>
          <w:lang w:val="es-MX"/>
        </w:rPr>
      </w:pPr>
      <w:r>
        <w:rPr>
          <w:rFonts w:ascii="Calibri" w:hAnsi="Calibri"/>
          <w:i/>
          <w:noProof/>
          <w:sz w:val="24"/>
          <w:szCs w:val="24"/>
          <w:lang w:eastAsia="en-GB"/>
        </w:rPr>
        <w:drawing>
          <wp:inline distT="0" distB="0" distL="0" distR="0" wp14:anchorId="207129F3" wp14:editId="4FA87515">
            <wp:extent cx="5876925" cy="2257425"/>
            <wp:effectExtent l="0" t="0" r="9525" b="9525"/>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76925" cy="2257425"/>
                    </a:xfrm>
                    <a:prstGeom prst="rect">
                      <a:avLst/>
                    </a:prstGeom>
                    <a:noFill/>
                    <a:ln>
                      <a:noFill/>
                    </a:ln>
                  </pic:spPr>
                </pic:pic>
              </a:graphicData>
            </a:graphic>
          </wp:inline>
        </w:drawing>
      </w:r>
    </w:p>
    <w:p w14:paraId="207129C6" w14:textId="77777777" w:rsidR="00814E8B" w:rsidRPr="001C0208" w:rsidRDefault="00814E8B" w:rsidP="00954311">
      <w:pPr>
        <w:jc w:val="both"/>
        <w:rPr>
          <w:rFonts w:ascii="Calibri" w:hAnsi="Calibri"/>
          <w:i/>
          <w:sz w:val="24"/>
          <w:szCs w:val="24"/>
          <w:lang w:val="es-MX"/>
        </w:rPr>
      </w:pPr>
    </w:p>
    <w:p w14:paraId="207129C7" w14:textId="77777777" w:rsidR="00E4485D" w:rsidRDefault="00E4485D" w:rsidP="00054352">
      <w:pPr>
        <w:jc w:val="both"/>
        <w:rPr>
          <w:rFonts w:ascii="Calibri" w:hAnsi="Calibri"/>
          <w:sz w:val="24"/>
          <w:szCs w:val="24"/>
          <w:lang w:val="es-MX"/>
        </w:rPr>
      </w:pPr>
    </w:p>
    <w:p w14:paraId="207129C8" w14:textId="77777777" w:rsidR="00054352" w:rsidRPr="001C0208" w:rsidRDefault="00B9222A" w:rsidP="00054352">
      <w:pPr>
        <w:jc w:val="both"/>
        <w:rPr>
          <w:rFonts w:ascii="Calibri" w:hAnsi="Calibri"/>
          <w:sz w:val="24"/>
          <w:szCs w:val="24"/>
          <w:lang w:val="es-MX"/>
        </w:rPr>
      </w:pPr>
      <w:r w:rsidRPr="001C0208">
        <w:rPr>
          <w:rFonts w:ascii="Calibri" w:hAnsi="Calibri"/>
          <w:sz w:val="24"/>
          <w:szCs w:val="24"/>
          <w:lang w:val="es-MX"/>
        </w:rPr>
        <w:t>De acuerdo a datos suministrados por el Tribunal Superior de Justicia del Distrito Federal</w:t>
      </w:r>
      <w:r w:rsidR="00CB5386" w:rsidRPr="001C0208">
        <w:rPr>
          <w:rFonts w:ascii="Calibri" w:hAnsi="Calibri"/>
          <w:sz w:val="24"/>
          <w:szCs w:val="24"/>
          <w:lang w:val="es-MX"/>
        </w:rPr>
        <w:t xml:space="preserve"> durante los años 2011, 2012, 2013, 2014 (Enero- Junio) el número de procesados inimput</w:t>
      </w:r>
      <w:r w:rsidR="006D17EF" w:rsidRPr="001C0208">
        <w:rPr>
          <w:rFonts w:ascii="Calibri" w:hAnsi="Calibri"/>
          <w:sz w:val="24"/>
          <w:szCs w:val="24"/>
          <w:lang w:val="es-MX"/>
        </w:rPr>
        <w:t>ables d</w:t>
      </w:r>
      <w:r w:rsidR="00054352" w:rsidRPr="001C0208">
        <w:rPr>
          <w:rFonts w:ascii="Calibri" w:hAnsi="Calibri"/>
          <w:sz w:val="24"/>
          <w:szCs w:val="24"/>
          <w:lang w:val="es-MX"/>
        </w:rPr>
        <w:t>esagregados por sex</w:t>
      </w:r>
      <w:r w:rsidR="006D17EF" w:rsidRPr="001C0208">
        <w:rPr>
          <w:rFonts w:ascii="Calibri" w:hAnsi="Calibri"/>
          <w:sz w:val="24"/>
          <w:szCs w:val="24"/>
          <w:lang w:val="es-MX"/>
        </w:rPr>
        <w:t xml:space="preserve">o para el año de 2011 de 42 de sexo masculino y 7 de femenino; para </w:t>
      </w:r>
      <w:r w:rsidR="00054352" w:rsidRPr="001C0208">
        <w:rPr>
          <w:rFonts w:ascii="Calibri" w:hAnsi="Calibri"/>
          <w:sz w:val="24"/>
          <w:szCs w:val="24"/>
          <w:lang w:val="es-MX"/>
        </w:rPr>
        <w:t xml:space="preserve">el año 2012 de 139 de sexo masculino y 25 de femenino; para el año 2013 de 151 de sexo </w:t>
      </w:r>
      <w:r w:rsidR="00054352" w:rsidRPr="001C0208">
        <w:rPr>
          <w:rFonts w:ascii="Calibri" w:hAnsi="Calibri"/>
          <w:sz w:val="24"/>
          <w:szCs w:val="24"/>
          <w:lang w:val="es-MX"/>
        </w:rPr>
        <w:lastRenderedPageBreak/>
        <w:t xml:space="preserve">masculino y 27 de femenino; y para el año 2014 (Enero-Junio)  de 61 de sexo masculino y 9 de femenino. </w:t>
      </w:r>
    </w:p>
    <w:p w14:paraId="207129C9" w14:textId="77777777" w:rsidR="00FD7A08" w:rsidRPr="001C0208" w:rsidRDefault="00FD7A08" w:rsidP="00054352">
      <w:pPr>
        <w:jc w:val="both"/>
        <w:rPr>
          <w:rFonts w:ascii="Calibri" w:hAnsi="Calibri"/>
          <w:sz w:val="24"/>
          <w:szCs w:val="24"/>
          <w:lang w:val="es-MX"/>
        </w:rPr>
      </w:pPr>
    </w:p>
    <w:p w14:paraId="207129CA" w14:textId="77777777" w:rsidR="00B9222A" w:rsidRDefault="00B9222A" w:rsidP="00B9222A">
      <w:pPr>
        <w:jc w:val="both"/>
        <w:rPr>
          <w:sz w:val="24"/>
          <w:szCs w:val="24"/>
          <w:lang w:val="es-MX"/>
        </w:rPr>
      </w:pPr>
    </w:p>
    <w:p w14:paraId="207129CB" w14:textId="52E5FCB8" w:rsidR="00B9222A" w:rsidRDefault="005468D1" w:rsidP="00B9222A">
      <w:pPr>
        <w:jc w:val="both"/>
        <w:rPr>
          <w:sz w:val="24"/>
          <w:szCs w:val="24"/>
          <w:lang w:val="es-MX"/>
        </w:rPr>
      </w:pPr>
      <w:r>
        <w:rPr>
          <w:noProof/>
          <w:sz w:val="24"/>
          <w:szCs w:val="24"/>
          <w:lang w:eastAsia="en-GB"/>
        </w:rPr>
        <w:drawing>
          <wp:inline distT="0" distB="0" distL="0" distR="0" wp14:anchorId="207129F4" wp14:editId="3E801658">
            <wp:extent cx="5876925" cy="1590675"/>
            <wp:effectExtent l="0" t="0" r="9525" b="9525"/>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76925" cy="1590675"/>
                    </a:xfrm>
                    <a:prstGeom prst="rect">
                      <a:avLst/>
                    </a:prstGeom>
                    <a:noFill/>
                    <a:ln>
                      <a:noFill/>
                    </a:ln>
                  </pic:spPr>
                </pic:pic>
              </a:graphicData>
            </a:graphic>
          </wp:inline>
        </w:drawing>
      </w:r>
    </w:p>
    <w:p w14:paraId="207129CC" w14:textId="77777777" w:rsidR="00611277" w:rsidRDefault="00611277" w:rsidP="00611277">
      <w:pPr>
        <w:rPr>
          <w:sz w:val="24"/>
          <w:szCs w:val="24"/>
          <w:lang w:val="es-MX"/>
        </w:rPr>
      </w:pPr>
    </w:p>
    <w:p w14:paraId="207129CD" w14:textId="77777777" w:rsidR="00B9222A" w:rsidRDefault="00B9222A" w:rsidP="00B9222A">
      <w:pPr>
        <w:jc w:val="center"/>
        <w:rPr>
          <w:sz w:val="24"/>
          <w:szCs w:val="24"/>
          <w:lang w:val="es-MX"/>
        </w:rPr>
      </w:pPr>
    </w:p>
    <w:p w14:paraId="207129CE" w14:textId="77777777" w:rsidR="00B9222A" w:rsidRPr="001C0208" w:rsidRDefault="00054352" w:rsidP="00054352">
      <w:pPr>
        <w:rPr>
          <w:rFonts w:ascii="Calibri" w:hAnsi="Calibri"/>
          <w:sz w:val="24"/>
          <w:szCs w:val="24"/>
          <w:lang w:val="es-MX"/>
        </w:rPr>
      </w:pPr>
      <w:r w:rsidRPr="001C0208">
        <w:rPr>
          <w:rFonts w:ascii="Calibri" w:hAnsi="Calibri"/>
          <w:sz w:val="24"/>
          <w:szCs w:val="24"/>
          <w:lang w:val="es-MX"/>
        </w:rPr>
        <w:t xml:space="preserve">Así mismo, de acuerdo a las cifras del Tribunal los procesados inimputables cuentan en su mayoría con defensa de oficio y las cifras de abogados de confianza son bajas. </w:t>
      </w:r>
    </w:p>
    <w:p w14:paraId="207129CF" w14:textId="77777777" w:rsidR="00B9222A" w:rsidRPr="00A979EA" w:rsidRDefault="00B9222A" w:rsidP="00B9222A">
      <w:pPr>
        <w:jc w:val="center"/>
        <w:rPr>
          <w:sz w:val="24"/>
          <w:szCs w:val="24"/>
          <w:lang w:val="es-MX"/>
        </w:rPr>
      </w:pPr>
    </w:p>
    <w:p w14:paraId="207129D0" w14:textId="4B0E28F3" w:rsidR="00FB7422" w:rsidRDefault="005468D1" w:rsidP="00A72978">
      <w:pPr>
        <w:jc w:val="both"/>
        <w:rPr>
          <w:b/>
          <w:i/>
          <w:sz w:val="24"/>
          <w:szCs w:val="24"/>
          <w:lang w:val="es-MX"/>
        </w:rPr>
      </w:pPr>
      <w:r>
        <w:rPr>
          <w:b/>
          <w:i/>
          <w:noProof/>
          <w:sz w:val="24"/>
          <w:szCs w:val="24"/>
          <w:lang w:eastAsia="en-GB"/>
        </w:rPr>
        <w:drawing>
          <wp:inline distT="0" distB="0" distL="0" distR="0" wp14:anchorId="207129F5" wp14:editId="1098A567">
            <wp:extent cx="5876925" cy="1438275"/>
            <wp:effectExtent l="0" t="0" r="9525" b="9525"/>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76925" cy="1438275"/>
                    </a:xfrm>
                    <a:prstGeom prst="rect">
                      <a:avLst/>
                    </a:prstGeom>
                    <a:noFill/>
                    <a:ln>
                      <a:noFill/>
                    </a:ln>
                  </pic:spPr>
                </pic:pic>
              </a:graphicData>
            </a:graphic>
          </wp:inline>
        </w:drawing>
      </w:r>
    </w:p>
    <w:p w14:paraId="207129D1" w14:textId="77777777" w:rsidR="00B9222A" w:rsidRDefault="00B9222A" w:rsidP="00A72978">
      <w:pPr>
        <w:jc w:val="both"/>
        <w:rPr>
          <w:b/>
          <w:i/>
          <w:sz w:val="24"/>
          <w:szCs w:val="24"/>
          <w:lang w:val="es-MX"/>
        </w:rPr>
      </w:pPr>
    </w:p>
    <w:p w14:paraId="207129D2" w14:textId="77777777" w:rsidR="00B9222A" w:rsidRDefault="00B9222A" w:rsidP="00A72978">
      <w:pPr>
        <w:jc w:val="both"/>
        <w:rPr>
          <w:b/>
          <w:i/>
          <w:sz w:val="24"/>
          <w:szCs w:val="24"/>
          <w:lang w:val="es-MX"/>
        </w:rPr>
      </w:pPr>
    </w:p>
    <w:p w14:paraId="207129D3" w14:textId="77777777" w:rsidR="00814E8B" w:rsidRDefault="00814E8B" w:rsidP="00A72978">
      <w:pPr>
        <w:jc w:val="both"/>
        <w:rPr>
          <w:b/>
          <w:i/>
          <w:sz w:val="24"/>
          <w:szCs w:val="24"/>
          <w:lang w:val="es-MX"/>
        </w:rPr>
      </w:pPr>
    </w:p>
    <w:p w14:paraId="207129D4" w14:textId="77777777" w:rsidR="003C075E" w:rsidRPr="006E4130" w:rsidRDefault="003C075E" w:rsidP="006E4130">
      <w:pPr>
        <w:jc w:val="both"/>
        <w:rPr>
          <w:rFonts w:ascii="Calibri" w:hAnsi="Calibri" w:cs="Calibri"/>
          <w:sz w:val="24"/>
          <w:szCs w:val="24"/>
          <w:lang w:val="es-MX"/>
        </w:rPr>
      </w:pPr>
      <w:r w:rsidRPr="008E5995">
        <w:rPr>
          <w:rFonts w:ascii="Calibri" w:hAnsi="Calibri" w:cs="Calibri"/>
          <w:sz w:val="24"/>
          <w:szCs w:val="24"/>
          <w:lang w:val="es-MX"/>
        </w:rPr>
        <w:t xml:space="preserve">De igual manera, </w:t>
      </w:r>
      <w:r w:rsidR="006E4130" w:rsidRPr="006E4130">
        <w:rPr>
          <w:rFonts w:ascii="Calibri" w:hAnsi="Calibri" w:cs="Calibri"/>
          <w:sz w:val="24"/>
          <w:szCs w:val="24"/>
          <w:lang w:val="es-MX"/>
        </w:rPr>
        <w:t>en el caso de las personas consideradas</w:t>
      </w:r>
      <w:r w:rsidR="006E4130">
        <w:rPr>
          <w:rFonts w:ascii="Calibri" w:hAnsi="Calibri" w:cs="Calibri"/>
          <w:sz w:val="24"/>
          <w:szCs w:val="24"/>
          <w:lang w:val="es-MX"/>
        </w:rPr>
        <w:t xml:space="preserve"> </w:t>
      </w:r>
      <w:r w:rsidR="006E4130" w:rsidRPr="006E4130">
        <w:rPr>
          <w:rFonts w:ascii="Calibri" w:hAnsi="Calibri" w:cs="Calibri"/>
          <w:sz w:val="24"/>
          <w:szCs w:val="24"/>
          <w:lang w:val="es-MX"/>
        </w:rPr>
        <w:t>inimputables, un gran porcentaje de las sentencias sean</w:t>
      </w:r>
      <w:r w:rsidR="006E4130">
        <w:rPr>
          <w:rFonts w:ascii="Calibri" w:hAnsi="Calibri" w:cs="Calibri"/>
          <w:sz w:val="24"/>
          <w:szCs w:val="24"/>
          <w:lang w:val="es-MX"/>
        </w:rPr>
        <w:t xml:space="preserve"> </w:t>
      </w:r>
      <w:r w:rsidR="006E4130" w:rsidRPr="006E4130">
        <w:rPr>
          <w:rFonts w:ascii="Calibri" w:hAnsi="Calibri" w:cs="Calibri"/>
          <w:sz w:val="24"/>
          <w:szCs w:val="24"/>
          <w:lang w:val="es-MX"/>
        </w:rPr>
        <w:t>condenatorias. Como observamos en el siguiente gráfico,</w:t>
      </w:r>
      <w:r w:rsidR="006E4130">
        <w:rPr>
          <w:rFonts w:ascii="Calibri" w:hAnsi="Calibri" w:cs="Calibri"/>
          <w:sz w:val="24"/>
          <w:szCs w:val="24"/>
          <w:lang w:val="es-MX"/>
        </w:rPr>
        <w:t xml:space="preserve"> </w:t>
      </w:r>
      <w:r w:rsidR="006E4130" w:rsidRPr="006E4130">
        <w:rPr>
          <w:rFonts w:ascii="Calibri" w:hAnsi="Calibri" w:cs="Calibri"/>
          <w:sz w:val="24"/>
          <w:szCs w:val="24"/>
          <w:lang w:val="es-MX"/>
        </w:rPr>
        <w:t>96%</w:t>
      </w:r>
      <w:r w:rsidR="006E4130">
        <w:rPr>
          <w:rFonts w:ascii="Calibri" w:hAnsi="Calibri" w:cs="Calibri"/>
          <w:sz w:val="24"/>
          <w:szCs w:val="24"/>
          <w:lang w:val="es-MX"/>
        </w:rPr>
        <w:t xml:space="preserve"> </w:t>
      </w:r>
      <w:r w:rsidR="006E4130" w:rsidRPr="006E4130">
        <w:rPr>
          <w:rFonts w:ascii="Calibri" w:hAnsi="Calibri" w:cs="Calibri"/>
          <w:sz w:val="24"/>
          <w:szCs w:val="24"/>
          <w:lang w:val="es-MX"/>
        </w:rPr>
        <w:t>de</w:t>
      </w:r>
      <w:r w:rsidR="006E4130">
        <w:rPr>
          <w:rFonts w:ascii="Calibri" w:hAnsi="Calibri" w:cs="Calibri"/>
          <w:sz w:val="24"/>
          <w:szCs w:val="24"/>
          <w:lang w:val="es-MX"/>
        </w:rPr>
        <w:t xml:space="preserve"> </w:t>
      </w:r>
      <w:r w:rsidR="006E4130" w:rsidRPr="006E4130">
        <w:rPr>
          <w:rFonts w:ascii="Calibri" w:hAnsi="Calibri" w:cs="Calibri"/>
          <w:sz w:val="24"/>
          <w:szCs w:val="24"/>
          <w:lang w:val="es-MX"/>
        </w:rPr>
        <w:t>las sentencias em</w:t>
      </w:r>
      <w:r w:rsidR="006E4130">
        <w:rPr>
          <w:rFonts w:ascii="Calibri" w:hAnsi="Calibri" w:cs="Calibri"/>
          <w:sz w:val="24"/>
          <w:szCs w:val="24"/>
          <w:lang w:val="es-MX"/>
        </w:rPr>
        <w:t>itidas en un periodo de 18</w:t>
      </w:r>
      <w:r w:rsidR="006E4130" w:rsidRPr="006E4130">
        <w:rPr>
          <w:rFonts w:ascii="Calibri" w:hAnsi="Calibri" w:cs="Calibri"/>
          <w:sz w:val="24"/>
          <w:szCs w:val="24"/>
          <w:lang w:val="es-MX"/>
        </w:rPr>
        <w:t xml:space="preserve"> meses, de</w:t>
      </w:r>
      <w:r w:rsidR="006E4130">
        <w:rPr>
          <w:rFonts w:ascii="Calibri" w:hAnsi="Calibri" w:cs="Calibri"/>
          <w:sz w:val="24"/>
          <w:szCs w:val="24"/>
          <w:lang w:val="es-MX"/>
        </w:rPr>
        <w:t xml:space="preserve"> </w:t>
      </w:r>
      <w:r w:rsidR="006E4130" w:rsidRPr="006E4130">
        <w:rPr>
          <w:rFonts w:ascii="Calibri" w:hAnsi="Calibri" w:cs="Calibri"/>
          <w:sz w:val="24"/>
          <w:szCs w:val="24"/>
          <w:lang w:val="es-MX"/>
        </w:rPr>
        <w:t>enero de 2013 a junio de 2014, son condenatorias a</w:t>
      </w:r>
      <w:r w:rsidR="006E4130">
        <w:rPr>
          <w:rFonts w:ascii="Calibri" w:hAnsi="Calibri" w:cs="Calibri"/>
          <w:sz w:val="24"/>
          <w:szCs w:val="24"/>
          <w:lang w:val="es-MX"/>
        </w:rPr>
        <w:t xml:space="preserve"> </w:t>
      </w:r>
      <w:r w:rsidR="006E4130" w:rsidRPr="006E4130">
        <w:rPr>
          <w:rFonts w:ascii="Calibri" w:hAnsi="Calibri" w:cs="Calibri"/>
          <w:sz w:val="24"/>
          <w:szCs w:val="24"/>
          <w:lang w:val="es-MX"/>
        </w:rPr>
        <w:t>medidas</w:t>
      </w:r>
      <w:r w:rsidR="006E4130">
        <w:rPr>
          <w:rFonts w:ascii="Calibri" w:hAnsi="Calibri" w:cs="Calibri"/>
          <w:sz w:val="24"/>
          <w:szCs w:val="24"/>
          <w:lang w:val="es-MX"/>
        </w:rPr>
        <w:t xml:space="preserve"> </w:t>
      </w:r>
      <w:r w:rsidR="006E4130" w:rsidRPr="006E4130">
        <w:rPr>
          <w:rFonts w:ascii="Calibri" w:hAnsi="Calibri" w:cs="Calibri"/>
          <w:sz w:val="24"/>
          <w:szCs w:val="24"/>
          <w:lang w:val="es-MX"/>
        </w:rPr>
        <w:t>de seguridad en internamiento.</w:t>
      </w:r>
    </w:p>
    <w:p w14:paraId="207129D5" w14:textId="77777777" w:rsidR="003C075E" w:rsidRDefault="003C075E" w:rsidP="00A72978">
      <w:pPr>
        <w:jc w:val="both"/>
        <w:rPr>
          <w:b/>
          <w:sz w:val="24"/>
          <w:szCs w:val="24"/>
          <w:lang w:val="es-MX"/>
        </w:rPr>
      </w:pPr>
    </w:p>
    <w:p w14:paraId="207129D6" w14:textId="55884028" w:rsidR="003C075E" w:rsidRPr="003C075E" w:rsidRDefault="005468D1" w:rsidP="006E4130">
      <w:pPr>
        <w:jc w:val="center"/>
        <w:rPr>
          <w:b/>
          <w:sz w:val="24"/>
          <w:szCs w:val="24"/>
          <w:lang w:val="es-MX"/>
        </w:rPr>
      </w:pPr>
      <w:r>
        <w:rPr>
          <w:b/>
          <w:noProof/>
          <w:sz w:val="24"/>
          <w:szCs w:val="24"/>
          <w:lang w:eastAsia="en-GB"/>
        </w:rPr>
        <w:lastRenderedPageBreak/>
        <w:drawing>
          <wp:inline distT="0" distB="0" distL="0" distR="0" wp14:anchorId="207129F6" wp14:editId="37BFD62D">
            <wp:extent cx="3800475" cy="2562225"/>
            <wp:effectExtent l="0" t="0" r="9525" b="9525"/>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00475" cy="2562225"/>
                    </a:xfrm>
                    <a:prstGeom prst="rect">
                      <a:avLst/>
                    </a:prstGeom>
                    <a:noFill/>
                    <a:ln>
                      <a:noFill/>
                    </a:ln>
                  </pic:spPr>
                </pic:pic>
              </a:graphicData>
            </a:graphic>
          </wp:inline>
        </w:drawing>
      </w:r>
    </w:p>
    <w:p w14:paraId="207129D7" w14:textId="77777777" w:rsidR="003C075E" w:rsidRDefault="003C075E" w:rsidP="00A72978">
      <w:pPr>
        <w:jc w:val="both"/>
        <w:rPr>
          <w:b/>
          <w:i/>
          <w:sz w:val="24"/>
          <w:szCs w:val="24"/>
          <w:lang w:val="es-MX"/>
        </w:rPr>
      </w:pPr>
    </w:p>
    <w:p w14:paraId="207129D8" w14:textId="77777777" w:rsidR="006E4130" w:rsidRDefault="006E4130" w:rsidP="00A72978">
      <w:pPr>
        <w:jc w:val="both"/>
        <w:rPr>
          <w:b/>
          <w:i/>
          <w:sz w:val="24"/>
          <w:szCs w:val="24"/>
          <w:lang w:val="es-MX"/>
        </w:rPr>
      </w:pPr>
    </w:p>
    <w:p w14:paraId="207129D9" w14:textId="77777777" w:rsidR="006E4130" w:rsidRDefault="006E4130" w:rsidP="00A72978">
      <w:pPr>
        <w:jc w:val="both"/>
        <w:rPr>
          <w:b/>
          <w:i/>
          <w:sz w:val="24"/>
          <w:szCs w:val="24"/>
          <w:lang w:val="es-MX"/>
        </w:rPr>
      </w:pPr>
    </w:p>
    <w:p w14:paraId="207129DA" w14:textId="77777777" w:rsidR="006E4130" w:rsidRPr="008E5995" w:rsidRDefault="006E4130" w:rsidP="006E4130">
      <w:pPr>
        <w:autoSpaceDE w:val="0"/>
        <w:autoSpaceDN w:val="0"/>
        <w:adjustRightInd w:val="0"/>
        <w:rPr>
          <w:rFonts w:ascii="Calibri" w:hAnsi="Calibri" w:cs="Calibri"/>
          <w:sz w:val="24"/>
          <w:szCs w:val="24"/>
          <w:lang w:val="es-MX" w:eastAsia="es-MX"/>
        </w:rPr>
      </w:pPr>
      <w:r w:rsidRPr="008E5995">
        <w:rPr>
          <w:rFonts w:ascii="Calibri" w:hAnsi="Calibri" w:cs="Calibri"/>
          <w:sz w:val="24"/>
          <w:szCs w:val="24"/>
          <w:lang w:val="es-MX" w:eastAsia="es-MX"/>
        </w:rPr>
        <w:t>El siguiente cuadro proporciona información relativa a la duración de las medidas de seguridad dictadas de enero de 2013 a junio de 2014.</w:t>
      </w:r>
    </w:p>
    <w:p w14:paraId="207129DB" w14:textId="77777777" w:rsidR="003C075E" w:rsidRDefault="003C075E" w:rsidP="00A72978">
      <w:pPr>
        <w:jc w:val="both"/>
        <w:rPr>
          <w:b/>
          <w:i/>
          <w:sz w:val="24"/>
          <w:szCs w:val="24"/>
          <w:lang w:val="es-MX"/>
        </w:rPr>
      </w:pPr>
    </w:p>
    <w:p w14:paraId="207129DC" w14:textId="5F295390" w:rsidR="006E4130" w:rsidRPr="008E5995" w:rsidRDefault="005468D1" w:rsidP="006E4130">
      <w:pPr>
        <w:jc w:val="center"/>
        <w:rPr>
          <w:rFonts w:ascii="Calibri" w:hAnsi="Calibri" w:cs="Calibri"/>
          <w:sz w:val="24"/>
          <w:szCs w:val="24"/>
          <w:lang w:val="es-MX"/>
        </w:rPr>
      </w:pPr>
      <w:r>
        <w:rPr>
          <w:rFonts w:ascii="Calibri" w:hAnsi="Calibri" w:cs="Calibri"/>
          <w:noProof/>
          <w:sz w:val="24"/>
          <w:szCs w:val="24"/>
          <w:lang w:eastAsia="en-GB"/>
        </w:rPr>
        <w:drawing>
          <wp:inline distT="0" distB="0" distL="0" distR="0" wp14:anchorId="207129F7" wp14:editId="5D8C01AE">
            <wp:extent cx="4029075" cy="2447925"/>
            <wp:effectExtent l="0" t="0" r="9525" b="9525"/>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29075" cy="2447925"/>
                    </a:xfrm>
                    <a:prstGeom prst="rect">
                      <a:avLst/>
                    </a:prstGeom>
                    <a:noFill/>
                    <a:ln>
                      <a:noFill/>
                    </a:ln>
                  </pic:spPr>
                </pic:pic>
              </a:graphicData>
            </a:graphic>
          </wp:inline>
        </w:drawing>
      </w:r>
    </w:p>
    <w:p w14:paraId="207129DD" w14:textId="77777777" w:rsidR="006E4130" w:rsidRPr="008E5995" w:rsidRDefault="006E4130" w:rsidP="00814E8B">
      <w:pPr>
        <w:jc w:val="both"/>
        <w:rPr>
          <w:rFonts w:ascii="Calibri" w:hAnsi="Calibri" w:cs="Calibri"/>
          <w:sz w:val="24"/>
          <w:szCs w:val="24"/>
          <w:lang w:val="es-MX"/>
        </w:rPr>
      </w:pPr>
    </w:p>
    <w:p w14:paraId="207129DE" w14:textId="77777777" w:rsidR="006E4130" w:rsidRPr="008E5995" w:rsidRDefault="006E4130" w:rsidP="00814E8B">
      <w:pPr>
        <w:jc w:val="both"/>
        <w:rPr>
          <w:rFonts w:ascii="Calibri" w:hAnsi="Calibri" w:cs="Calibri"/>
          <w:sz w:val="24"/>
          <w:szCs w:val="24"/>
          <w:lang w:val="es-MX"/>
        </w:rPr>
      </w:pPr>
    </w:p>
    <w:p w14:paraId="207129DF" w14:textId="77777777" w:rsidR="006E4130" w:rsidRPr="008E5995" w:rsidRDefault="006E4130" w:rsidP="00814E8B">
      <w:pPr>
        <w:jc w:val="both"/>
        <w:rPr>
          <w:rFonts w:ascii="Calibri" w:hAnsi="Calibri" w:cs="Calibri"/>
          <w:sz w:val="24"/>
          <w:szCs w:val="24"/>
          <w:lang w:val="es-MX"/>
        </w:rPr>
      </w:pPr>
    </w:p>
    <w:p w14:paraId="207129E0" w14:textId="77777777" w:rsidR="00814E8B" w:rsidRPr="006E4130" w:rsidRDefault="006E4130" w:rsidP="00814E8B">
      <w:pPr>
        <w:jc w:val="both"/>
        <w:rPr>
          <w:rFonts w:ascii="Calibri" w:hAnsi="Calibri" w:cs="Calibri"/>
          <w:sz w:val="24"/>
          <w:szCs w:val="24"/>
          <w:lang w:val="es-MX"/>
        </w:rPr>
      </w:pPr>
      <w:r w:rsidRPr="006E4130">
        <w:rPr>
          <w:rFonts w:ascii="Calibri" w:hAnsi="Calibri" w:cs="Calibri"/>
          <w:sz w:val="24"/>
          <w:szCs w:val="24"/>
          <w:lang w:val="es-MX"/>
        </w:rPr>
        <w:t>Estos datos dan cuenta de que en la mayor parte de</w:t>
      </w:r>
      <w:r>
        <w:rPr>
          <w:rFonts w:ascii="Calibri" w:hAnsi="Calibri" w:cs="Calibri"/>
          <w:sz w:val="24"/>
          <w:szCs w:val="24"/>
          <w:lang w:val="es-MX"/>
        </w:rPr>
        <w:t xml:space="preserve"> </w:t>
      </w:r>
      <w:r w:rsidRPr="006E4130">
        <w:rPr>
          <w:rFonts w:ascii="Calibri" w:hAnsi="Calibri" w:cs="Calibri"/>
          <w:sz w:val="24"/>
          <w:szCs w:val="24"/>
          <w:lang w:val="es-MX"/>
        </w:rPr>
        <w:t>los casos las personas inimputables están en prisión por</w:t>
      </w:r>
      <w:r>
        <w:rPr>
          <w:rFonts w:ascii="Calibri" w:hAnsi="Calibri" w:cs="Calibri"/>
          <w:sz w:val="24"/>
          <w:szCs w:val="24"/>
          <w:lang w:val="es-MX"/>
        </w:rPr>
        <w:t xml:space="preserve"> </w:t>
      </w:r>
      <w:r w:rsidRPr="006E4130">
        <w:rPr>
          <w:rFonts w:ascii="Calibri" w:hAnsi="Calibri" w:cs="Calibri"/>
          <w:sz w:val="24"/>
          <w:szCs w:val="24"/>
          <w:lang w:val="es-MX"/>
        </w:rPr>
        <w:t>delitos no graves y cerca de la mitad reciben sentencias</w:t>
      </w:r>
      <w:r>
        <w:rPr>
          <w:rFonts w:ascii="Calibri" w:hAnsi="Calibri" w:cs="Calibri"/>
          <w:sz w:val="24"/>
          <w:szCs w:val="24"/>
          <w:lang w:val="es-MX"/>
        </w:rPr>
        <w:t xml:space="preserve"> </w:t>
      </w:r>
      <w:r w:rsidRPr="006E4130">
        <w:rPr>
          <w:rFonts w:ascii="Calibri" w:hAnsi="Calibri" w:cs="Calibri"/>
          <w:sz w:val="24"/>
          <w:szCs w:val="24"/>
          <w:lang w:val="es-MX"/>
        </w:rPr>
        <w:t>menores a un año.</w:t>
      </w:r>
      <w:r w:rsidRPr="008E5995">
        <w:rPr>
          <w:rFonts w:ascii="Calibri" w:hAnsi="Calibri" w:cs="Calibri"/>
          <w:sz w:val="24"/>
          <w:szCs w:val="24"/>
          <w:lang w:val="es-MX"/>
        </w:rPr>
        <w:t xml:space="preserve"> </w:t>
      </w:r>
      <w:r w:rsidR="00814E8B" w:rsidRPr="008E5995">
        <w:rPr>
          <w:rFonts w:ascii="Calibri" w:hAnsi="Calibri" w:cs="Calibri"/>
          <w:sz w:val="24"/>
          <w:szCs w:val="24"/>
          <w:lang w:val="es-MX"/>
        </w:rPr>
        <w:t>Sobre el tipo de delito por los que las personas inimputables son detenidas y sentenciadas encontramos que una proporción muy grande está en prisión por delitos no graves como el robo y, en muchas ocasiones por artículos cuyo valor es menor a seis dólares. Así lo demuestra la siguiente gráfica.</w:t>
      </w:r>
    </w:p>
    <w:p w14:paraId="207129E1" w14:textId="77777777" w:rsidR="00814E8B" w:rsidRDefault="00814E8B" w:rsidP="00A72978">
      <w:pPr>
        <w:jc w:val="both"/>
        <w:rPr>
          <w:b/>
          <w:i/>
          <w:sz w:val="24"/>
          <w:szCs w:val="24"/>
          <w:lang w:val="es-MX"/>
        </w:rPr>
      </w:pPr>
    </w:p>
    <w:p w14:paraId="207129E2" w14:textId="77777777" w:rsidR="00814E8B" w:rsidRDefault="00814E8B" w:rsidP="00A72978">
      <w:pPr>
        <w:jc w:val="both"/>
        <w:rPr>
          <w:b/>
          <w:i/>
          <w:sz w:val="24"/>
          <w:szCs w:val="24"/>
          <w:lang w:val="es-MX"/>
        </w:rPr>
      </w:pPr>
    </w:p>
    <w:p w14:paraId="207129E3" w14:textId="27D9B285" w:rsidR="00814E8B" w:rsidRPr="00814E8B" w:rsidRDefault="005468D1" w:rsidP="00A72978">
      <w:pPr>
        <w:jc w:val="both"/>
        <w:rPr>
          <w:b/>
          <w:sz w:val="24"/>
          <w:szCs w:val="24"/>
          <w:lang w:val="es-MX"/>
        </w:rPr>
      </w:pPr>
      <w:r>
        <w:rPr>
          <w:b/>
          <w:noProof/>
          <w:sz w:val="24"/>
          <w:szCs w:val="24"/>
          <w:lang w:eastAsia="en-GB"/>
        </w:rPr>
        <w:lastRenderedPageBreak/>
        <w:drawing>
          <wp:inline distT="0" distB="0" distL="0" distR="0" wp14:anchorId="207129F8" wp14:editId="0E3BD150">
            <wp:extent cx="5886450" cy="3352800"/>
            <wp:effectExtent l="0" t="0" r="0" b="0"/>
            <wp:docPr id="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86450" cy="3352800"/>
                    </a:xfrm>
                    <a:prstGeom prst="rect">
                      <a:avLst/>
                    </a:prstGeom>
                    <a:noFill/>
                    <a:ln>
                      <a:noFill/>
                    </a:ln>
                  </pic:spPr>
                </pic:pic>
              </a:graphicData>
            </a:graphic>
          </wp:inline>
        </w:drawing>
      </w:r>
    </w:p>
    <w:p w14:paraId="207129E4" w14:textId="77777777" w:rsidR="00814E8B" w:rsidRDefault="00814E8B" w:rsidP="00A72978">
      <w:pPr>
        <w:jc w:val="both"/>
        <w:rPr>
          <w:b/>
          <w:i/>
          <w:sz w:val="24"/>
          <w:szCs w:val="24"/>
          <w:lang w:val="es-MX"/>
        </w:rPr>
      </w:pPr>
    </w:p>
    <w:p w14:paraId="207129E5" w14:textId="77777777" w:rsidR="00814E8B" w:rsidRDefault="00814E8B" w:rsidP="00A72978">
      <w:pPr>
        <w:jc w:val="both"/>
        <w:rPr>
          <w:b/>
          <w:i/>
          <w:sz w:val="24"/>
          <w:szCs w:val="24"/>
          <w:lang w:val="es-MX"/>
        </w:rPr>
      </w:pPr>
    </w:p>
    <w:p w14:paraId="207129E6" w14:textId="77777777" w:rsidR="00B9222A" w:rsidRDefault="00B9222A" w:rsidP="00A72978">
      <w:pPr>
        <w:jc w:val="both"/>
        <w:rPr>
          <w:b/>
          <w:i/>
          <w:sz w:val="24"/>
          <w:szCs w:val="24"/>
          <w:lang w:val="es-MX"/>
        </w:rPr>
      </w:pPr>
    </w:p>
    <w:p w14:paraId="207129E7" w14:textId="77777777" w:rsidR="00AA1428" w:rsidRPr="008E5995" w:rsidRDefault="00AA1428" w:rsidP="00025721">
      <w:pPr>
        <w:jc w:val="both"/>
        <w:rPr>
          <w:rFonts w:ascii="Calibri" w:hAnsi="Calibri" w:cs="Calibri"/>
          <w:sz w:val="24"/>
          <w:szCs w:val="24"/>
          <w:lang w:val="es-MX"/>
        </w:rPr>
      </w:pPr>
      <w:r w:rsidRPr="008E5995">
        <w:rPr>
          <w:rFonts w:ascii="Calibri" w:hAnsi="Calibri" w:cs="Calibri"/>
          <w:sz w:val="24"/>
          <w:szCs w:val="24"/>
          <w:lang w:val="es-MX"/>
        </w:rPr>
        <w:t>Por otro lado, es importante mencionar que en los últimos años se ha visto un incremento significativo en el número de personas que han sido declaradas inimputables.</w:t>
      </w:r>
      <w:r w:rsidR="00091BAD" w:rsidRPr="00091BAD">
        <w:rPr>
          <w:lang w:val="es-MX"/>
        </w:rPr>
        <w:t xml:space="preserve"> </w:t>
      </w:r>
      <w:r w:rsidR="00091BAD">
        <w:rPr>
          <w:rFonts w:ascii="Calibri" w:hAnsi="Calibri" w:cs="Calibri"/>
          <w:sz w:val="24"/>
          <w:szCs w:val="24"/>
          <w:lang w:val="es-MX"/>
        </w:rPr>
        <w:t>De acuerdo a los datos de la</w:t>
      </w:r>
      <w:r w:rsidR="00091BAD" w:rsidRPr="00091BAD">
        <w:rPr>
          <w:rFonts w:ascii="Calibri" w:hAnsi="Calibri" w:cs="Calibri"/>
          <w:sz w:val="24"/>
          <w:szCs w:val="24"/>
          <w:lang w:val="es-MX"/>
        </w:rPr>
        <w:t xml:space="preserve"> Dirección Estadística de la Presidencia del TSJDF</w:t>
      </w:r>
      <w:r w:rsidR="00091BAD">
        <w:rPr>
          <w:rFonts w:ascii="Calibri" w:hAnsi="Calibri" w:cs="Calibri"/>
          <w:sz w:val="24"/>
          <w:szCs w:val="24"/>
          <w:lang w:val="es-MX"/>
        </w:rPr>
        <w:t xml:space="preserve"> </w:t>
      </w:r>
      <w:r w:rsidR="00091BAD" w:rsidRPr="008E5995">
        <w:rPr>
          <w:rFonts w:ascii="Calibri" w:hAnsi="Calibri" w:cs="Calibri"/>
          <w:sz w:val="24"/>
          <w:szCs w:val="24"/>
          <w:lang w:val="es-MX"/>
        </w:rPr>
        <w:t>p</w:t>
      </w:r>
      <w:r w:rsidR="00025721" w:rsidRPr="008E5995">
        <w:rPr>
          <w:rFonts w:ascii="Calibri" w:hAnsi="Calibri" w:cs="Calibri"/>
          <w:sz w:val="24"/>
          <w:szCs w:val="24"/>
          <w:lang w:val="es-MX"/>
        </w:rPr>
        <w:t xml:space="preserve">ara el año 2011 50 personas fueron declaradas inimputables, esta cifra aumentó para el 2012 a 163. Para el año 2013 la cifra fue de </w:t>
      </w:r>
      <w:r w:rsidR="00091BAD" w:rsidRPr="008E5995">
        <w:rPr>
          <w:rFonts w:ascii="Calibri" w:hAnsi="Calibri" w:cs="Calibri"/>
          <w:sz w:val="24"/>
          <w:szCs w:val="24"/>
          <w:lang w:val="es-MX"/>
        </w:rPr>
        <w:t>179 y para 2014 fue de 152</w:t>
      </w:r>
      <w:r w:rsidR="00357CE3" w:rsidRPr="008E5995">
        <w:rPr>
          <w:rFonts w:ascii="Calibri" w:hAnsi="Calibri" w:cs="Calibri"/>
          <w:sz w:val="24"/>
          <w:szCs w:val="24"/>
          <w:lang w:val="es-MX"/>
        </w:rPr>
        <w:t xml:space="preserve">. </w:t>
      </w:r>
    </w:p>
    <w:p w14:paraId="207129E8" w14:textId="77777777" w:rsidR="00AA1428" w:rsidRDefault="00AA1428" w:rsidP="00AA1428">
      <w:pPr>
        <w:rPr>
          <w:sz w:val="24"/>
          <w:szCs w:val="24"/>
          <w:lang w:val="es-MX"/>
        </w:rPr>
      </w:pPr>
    </w:p>
    <w:p w14:paraId="207129E9" w14:textId="16625D71" w:rsidR="00AA1428" w:rsidRDefault="005468D1" w:rsidP="00091BAD">
      <w:pPr>
        <w:jc w:val="center"/>
        <w:rPr>
          <w:sz w:val="24"/>
          <w:szCs w:val="24"/>
          <w:lang w:val="es-MX"/>
        </w:rPr>
      </w:pPr>
      <w:r>
        <w:rPr>
          <w:noProof/>
          <w:sz w:val="24"/>
          <w:szCs w:val="24"/>
          <w:lang w:eastAsia="en-GB"/>
        </w:rPr>
        <w:drawing>
          <wp:inline distT="0" distB="0" distL="0" distR="0" wp14:anchorId="207129F9" wp14:editId="31FEC899">
            <wp:extent cx="4286250" cy="2247900"/>
            <wp:effectExtent l="0" t="0" r="0" b="0"/>
            <wp:docPr id="15" name="Objec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07129EA" w14:textId="77777777" w:rsidR="00B41053" w:rsidRPr="008E5995" w:rsidRDefault="00B41053" w:rsidP="00091BAD">
      <w:pPr>
        <w:jc w:val="both"/>
        <w:rPr>
          <w:rFonts w:ascii="Calibri" w:hAnsi="Calibri" w:cs="Calibri"/>
          <w:sz w:val="24"/>
          <w:szCs w:val="24"/>
          <w:lang w:val="es-MX"/>
        </w:rPr>
      </w:pPr>
    </w:p>
    <w:p w14:paraId="207129EB" w14:textId="77777777" w:rsidR="00091BAD" w:rsidRPr="008E5995" w:rsidRDefault="00091BAD" w:rsidP="00091BAD">
      <w:pPr>
        <w:jc w:val="both"/>
        <w:rPr>
          <w:rFonts w:ascii="Calibri" w:hAnsi="Calibri" w:cs="Calibri"/>
          <w:sz w:val="24"/>
          <w:szCs w:val="24"/>
          <w:lang w:val="es-MX"/>
        </w:rPr>
      </w:pPr>
      <w:r w:rsidRPr="008E5995">
        <w:rPr>
          <w:rFonts w:ascii="Calibri" w:hAnsi="Calibri" w:cs="Calibri"/>
          <w:sz w:val="24"/>
          <w:szCs w:val="24"/>
          <w:lang w:val="es-MX"/>
        </w:rPr>
        <w:t xml:space="preserve">Este aumento puede deberse a múltiples factores, entre ellos, el endurecimiento del sistema penal, la ampliación del catálogo de delitos graves y la penalización excesiva de comportamientos catalogados como socialmente reprochables o contrarios al orden público. Asimismo, creemos que en el caso específico de la población con discapacidad psicosocial este </w:t>
      </w:r>
      <w:r w:rsidRPr="008E5995">
        <w:rPr>
          <w:rFonts w:ascii="Calibri" w:hAnsi="Calibri" w:cs="Calibri"/>
          <w:sz w:val="24"/>
          <w:szCs w:val="24"/>
          <w:lang w:val="es-MX"/>
        </w:rPr>
        <w:lastRenderedPageBreak/>
        <w:t>incremento se explica debido a la existencia de una política de “limpieza social” que busca criminalizar y segregar a las personas que se alejan de los parámetros de “normalidad” establecidos por la sociedad.</w:t>
      </w:r>
    </w:p>
    <w:p w14:paraId="207129EC" w14:textId="77777777" w:rsidR="00091BAD" w:rsidRPr="00AA1428" w:rsidRDefault="00091BAD" w:rsidP="00091BAD">
      <w:pPr>
        <w:rPr>
          <w:sz w:val="24"/>
          <w:szCs w:val="24"/>
          <w:lang w:val="es-MX"/>
        </w:rPr>
      </w:pPr>
    </w:p>
    <w:p w14:paraId="207129ED" w14:textId="77777777" w:rsidR="00B9222A" w:rsidRDefault="00B9222A" w:rsidP="00A72978">
      <w:pPr>
        <w:jc w:val="both"/>
        <w:rPr>
          <w:b/>
          <w:i/>
          <w:sz w:val="24"/>
          <w:szCs w:val="24"/>
          <w:lang w:val="es-MX"/>
        </w:rPr>
      </w:pPr>
    </w:p>
    <w:p w14:paraId="207129EE" w14:textId="77777777" w:rsidR="00A72978" w:rsidRPr="001C0208" w:rsidRDefault="00A72978" w:rsidP="00246040">
      <w:pPr>
        <w:jc w:val="both"/>
        <w:rPr>
          <w:rFonts w:ascii="Calibri" w:hAnsi="Calibri"/>
          <w:i/>
          <w:sz w:val="24"/>
          <w:szCs w:val="24"/>
          <w:lang w:val="es-ES_tradnl"/>
        </w:rPr>
      </w:pPr>
      <w:r w:rsidRPr="001C0208">
        <w:rPr>
          <w:rFonts w:ascii="Calibri" w:hAnsi="Calibri"/>
          <w:i/>
          <w:sz w:val="24"/>
          <w:szCs w:val="24"/>
          <w:lang w:val="es-ES_tradnl"/>
        </w:rPr>
        <w:t xml:space="preserve">d. la apertura y la realización de investigaciones imparciales e independientes sobre las violaciones de derechos humanos contra personas con discapacidad, en particular las relacionadas con el derecho a la vida, la libertad y la seguridad de la persona, el derecho a no ser víctima de violencia, abuso y explotación, y el derecho a no ser víctima de tortura o trato </w:t>
      </w:r>
      <w:r w:rsidR="00246040" w:rsidRPr="001C0208">
        <w:rPr>
          <w:rFonts w:ascii="Calibri" w:hAnsi="Calibri"/>
          <w:i/>
          <w:sz w:val="24"/>
          <w:szCs w:val="24"/>
          <w:lang w:val="es-ES_tradnl"/>
        </w:rPr>
        <w:t xml:space="preserve">o castigo inhumano o degradante. </w:t>
      </w:r>
    </w:p>
    <w:p w14:paraId="207129EF" w14:textId="77777777" w:rsidR="00246040" w:rsidRPr="001C0208" w:rsidRDefault="00246040" w:rsidP="00246040">
      <w:pPr>
        <w:jc w:val="both"/>
        <w:rPr>
          <w:rFonts w:ascii="Calibri" w:hAnsi="Calibri"/>
          <w:i/>
          <w:sz w:val="24"/>
          <w:szCs w:val="24"/>
          <w:lang w:val="es-ES_tradnl"/>
        </w:rPr>
      </w:pPr>
    </w:p>
    <w:p w14:paraId="207129F0" w14:textId="77777777" w:rsidR="00E177FF" w:rsidRPr="001C0208" w:rsidRDefault="00246040" w:rsidP="00246040">
      <w:pPr>
        <w:jc w:val="both"/>
        <w:rPr>
          <w:rFonts w:ascii="Calibri" w:hAnsi="Calibri"/>
          <w:sz w:val="24"/>
          <w:szCs w:val="24"/>
          <w:lang w:val="es-ES_tradnl"/>
        </w:rPr>
      </w:pPr>
      <w:r w:rsidRPr="001C0208">
        <w:rPr>
          <w:rFonts w:ascii="Calibri" w:hAnsi="Calibri"/>
          <w:sz w:val="24"/>
          <w:szCs w:val="24"/>
          <w:lang w:val="es-ES_tradnl"/>
        </w:rPr>
        <w:t>Para</w:t>
      </w:r>
      <w:r w:rsidR="00E177FF" w:rsidRPr="001C0208">
        <w:rPr>
          <w:rFonts w:ascii="Calibri" w:hAnsi="Calibri"/>
          <w:sz w:val="24"/>
          <w:szCs w:val="24"/>
          <w:lang w:val="es-ES_tradnl"/>
        </w:rPr>
        <w:t xml:space="preserve"> responder a esta pregunta, Documenta realizó una solicitud de acceso a la información a la Comisión de Derechos Humanos</w:t>
      </w:r>
      <w:r w:rsidR="00236E18">
        <w:rPr>
          <w:rFonts w:ascii="Calibri" w:hAnsi="Calibri"/>
          <w:sz w:val="24"/>
          <w:szCs w:val="24"/>
          <w:lang w:val="es-ES_tradnl"/>
        </w:rPr>
        <w:t xml:space="preserve"> del Distrito Federal</w:t>
      </w:r>
      <w:r w:rsidR="00E177FF" w:rsidRPr="001C0208">
        <w:rPr>
          <w:rFonts w:ascii="Calibri" w:hAnsi="Calibri"/>
          <w:sz w:val="24"/>
          <w:szCs w:val="24"/>
          <w:lang w:val="es-ES_tradnl"/>
        </w:rPr>
        <w:t xml:space="preserve">. La respuesta a la misma se puede encontrar en el Anexo 4D que está adjunto a este documento. </w:t>
      </w:r>
    </w:p>
    <w:p w14:paraId="207129F1" w14:textId="77777777" w:rsidR="00E177FF" w:rsidRPr="001C0208" w:rsidRDefault="00E177FF" w:rsidP="00246040">
      <w:pPr>
        <w:jc w:val="both"/>
        <w:rPr>
          <w:rFonts w:ascii="Calibri" w:hAnsi="Calibri"/>
          <w:sz w:val="24"/>
          <w:szCs w:val="24"/>
          <w:lang w:val="es-ES_tradnl"/>
        </w:rPr>
      </w:pPr>
    </w:p>
    <w:p w14:paraId="207129F2" w14:textId="77777777" w:rsidR="00246040" w:rsidRPr="001C0208" w:rsidRDefault="00246040" w:rsidP="00246040">
      <w:pPr>
        <w:jc w:val="both"/>
        <w:rPr>
          <w:rFonts w:ascii="Calibri" w:hAnsi="Calibri"/>
          <w:sz w:val="24"/>
          <w:szCs w:val="24"/>
          <w:lang w:val="es-ES_tradnl"/>
        </w:rPr>
      </w:pPr>
      <w:r w:rsidRPr="001C0208">
        <w:rPr>
          <w:rFonts w:ascii="Calibri" w:hAnsi="Calibri"/>
          <w:sz w:val="24"/>
          <w:szCs w:val="24"/>
          <w:lang w:val="es-ES_tradnl"/>
        </w:rPr>
        <w:t xml:space="preserve"> </w:t>
      </w:r>
    </w:p>
    <w:sectPr w:rsidR="00246040" w:rsidRPr="001C0208" w:rsidSect="00DB6DA1">
      <w:footerReference w:type="even" r:id="rId25"/>
      <w:footerReference w:type="default" r:id="rId26"/>
      <w:headerReference w:type="first" r:id="rId27"/>
      <w:footerReference w:type="first" r:id="rId28"/>
      <w:pgSz w:w="12242" w:h="15842" w:code="1"/>
      <w:pgMar w:top="1418" w:right="1701" w:bottom="1418"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7129FC" w14:textId="77777777" w:rsidR="00CB2AA5" w:rsidRPr="00427B1C" w:rsidRDefault="00CB2AA5" w:rsidP="002010AA">
      <w:pPr>
        <w:rPr>
          <w:rFonts w:ascii="Cambria" w:hAnsi="Cambria"/>
          <w:sz w:val="22"/>
          <w:szCs w:val="22"/>
          <w:lang w:val="es-MX" w:eastAsia="es-MX"/>
        </w:rPr>
      </w:pPr>
      <w:r>
        <w:separator/>
      </w:r>
    </w:p>
  </w:endnote>
  <w:endnote w:type="continuationSeparator" w:id="0">
    <w:p w14:paraId="207129FD" w14:textId="77777777" w:rsidR="00CB2AA5" w:rsidRPr="00427B1C" w:rsidRDefault="00CB2AA5" w:rsidP="002010AA">
      <w:pPr>
        <w:rPr>
          <w:rFonts w:ascii="Cambria" w:hAnsi="Cambria"/>
          <w:sz w:val="22"/>
          <w:szCs w:val="22"/>
          <w:lang w:val="es-MX" w:eastAsia="es-MX"/>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dobe Garamond Pro Bold">
    <w:altName w:val="Cambria"/>
    <w:panose1 w:val="00000000000000000000"/>
    <w:charset w:val="00"/>
    <w:family w:val="roman"/>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yriad Pro">
    <w:altName w:val="Corbel"/>
    <w:charset w:val="00"/>
    <w:family w:val="swiss"/>
    <w:pitch w:val="variable"/>
    <w:sig w:usb0="A00002AF" w:usb1="5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129FE" w14:textId="77777777" w:rsidR="002010AA" w:rsidRDefault="002010AA" w:rsidP="002010AA">
    <w:pPr>
      <w:pStyle w:val="Footer"/>
      <w:framePr w:wrap="around" w:vAnchor="text" w:hAnchor="margin" w:y="1"/>
      <w:rPr>
        <w:rStyle w:val="PageNumber"/>
      </w:rPr>
    </w:pPr>
    <w:r>
      <w:rPr>
        <w:rStyle w:val="PageNumber"/>
      </w:rPr>
      <w:fldChar w:fldCharType="begin"/>
    </w:r>
    <w:r w:rsidR="004C40FA">
      <w:rPr>
        <w:rStyle w:val="PageNumber"/>
      </w:rPr>
      <w:instrText>PAGE</w:instrText>
    </w:r>
    <w:r>
      <w:rPr>
        <w:rStyle w:val="PageNumber"/>
      </w:rPr>
      <w:instrText xml:space="preserve">  </w:instrText>
    </w:r>
    <w:r>
      <w:rPr>
        <w:rStyle w:val="PageNumber"/>
      </w:rPr>
      <w:fldChar w:fldCharType="end"/>
    </w:r>
  </w:p>
  <w:p w14:paraId="207129FF" w14:textId="77777777" w:rsidR="002010AA" w:rsidRDefault="002010AA" w:rsidP="002010AA">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12A00" w14:textId="77777777" w:rsidR="002010AA" w:rsidRDefault="002010AA" w:rsidP="002010AA">
    <w:pPr>
      <w:pStyle w:val="Footer"/>
      <w:framePr w:wrap="around" w:vAnchor="text" w:hAnchor="margin" w:y="1"/>
      <w:rPr>
        <w:rStyle w:val="PageNumber"/>
      </w:rPr>
    </w:pPr>
    <w:r>
      <w:rPr>
        <w:rStyle w:val="PageNumber"/>
      </w:rPr>
      <w:fldChar w:fldCharType="begin"/>
    </w:r>
    <w:r w:rsidR="004C40FA">
      <w:rPr>
        <w:rStyle w:val="PageNumber"/>
      </w:rPr>
      <w:instrText>PAGE</w:instrText>
    </w:r>
    <w:r>
      <w:rPr>
        <w:rStyle w:val="PageNumber"/>
      </w:rPr>
      <w:instrText xml:space="preserve">  </w:instrText>
    </w:r>
    <w:r>
      <w:rPr>
        <w:rStyle w:val="PageNumber"/>
      </w:rPr>
      <w:fldChar w:fldCharType="separate"/>
    </w:r>
    <w:r w:rsidR="005468D1">
      <w:rPr>
        <w:rStyle w:val="PageNumber"/>
        <w:noProof/>
      </w:rPr>
      <w:t>12</w:t>
    </w:r>
    <w:r>
      <w:rPr>
        <w:rStyle w:val="PageNumber"/>
      </w:rPr>
      <w:fldChar w:fldCharType="end"/>
    </w:r>
  </w:p>
  <w:p w14:paraId="20712A01" w14:textId="56493FCD" w:rsidR="002010AA" w:rsidRDefault="005468D1" w:rsidP="002010AA">
    <w:pPr>
      <w:ind w:right="360" w:firstLine="360"/>
    </w:pPr>
    <w:r>
      <w:rPr>
        <w:noProof/>
        <w:lang w:eastAsia="en-GB"/>
      </w:rPr>
      <mc:AlternateContent>
        <mc:Choice Requires="wpg">
          <w:drawing>
            <wp:anchor distT="0" distB="0" distL="114300" distR="114300" simplePos="0" relativeHeight="251657216" behindDoc="0" locked="0" layoutInCell="1" allowOverlap="1" wp14:anchorId="20712A05" wp14:editId="52DBD362">
              <wp:simplePos x="0" y="0"/>
              <wp:positionH relativeFrom="column">
                <wp:posOffset>5443855</wp:posOffset>
              </wp:positionH>
              <wp:positionV relativeFrom="paragraph">
                <wp:posOffset>-586740</wp:posOffset>
              </wp:positionV>
              <wp:extent cx="1018540" cy="1018540"/>
              <wp:effectExtent l="5080" t="3810" r="5080" b="6350"/>
              <wp:wrapNone/>
              <wp:docPr id="9" name="Group 1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018540" cy="1018540"/>
                        <a:chOff x="57693" y="79200"/>
                        <a:chExt cx="10440" cy="10452"/>
                      </a:xfrm>
                    </wpg:grpSpPr>
                    <wps:wsp>
                      <wps:cNvPr id="10" name="Rectangle 12"/>
                      <wps:cNvSpPr>
                        <a:spLocks noChangeAspect="1" noChangeArrowheads="1"/>
                      </wps:cNvSpPr>
                      <wps:spPr bwMode="auto">
                        <a:xfrm>
                          <a:off x="62913" y="84420"/>
                          <a:ext cx="5220" cy="5220"/>
                        </a:xfrm>
                        <a:prstGeom prst="rect">
                          <a:avLst/>
                        </a:prstGeom>
                        <a:solidFill>
                          <a:srgbClr val="392226"/>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0712A08" w14:textId="77777777" w:rsidR="002010AA" w:rsidRPr="009628BF" w:rsidRDefault="002010AA" w:rsidP="002010AA">
                            <w:pPr>
                              <w:autoSpaceDE w:val="0"/>
                              <w:autoSpaceDN w:val="0"/>
                              <w:adjustRightInd w:val="0"/>
                              <w:jc w:val="center"/>
                              <w:rPr>
                                <w:rFonts w:ascii="Calibri" w:hAnsi="Calibri" w:cs="Calibri"/>
                                <w:color w:val="FFFFFF"/>
                                <w:sz w:val="33"/>
                                <w:szCs w:val="36"/>
                              </w:rPr>
                            </w:pPr>
                          </w:p>
                        </w:txbxContent>
                      </wps:txbx>
                      <wps:bodyPr rot="0" vert="horz" wrap="square" lIns="83210" tIns="41605" rIns="83210" bIns="41605" anchor="ctr" anchorCtr="0">
                        <a:noAutofit/>
                      </wps:bodyPr>
                    </wps:wsp>
                    <wps:wsp>
                      <wps:cNvPr id="11" name="Rectangle 13"/>
                      <wps:cNvSpPr>
                        <a:spLocks noChangeAspect="1" noChangeArrowheads="1"/>
                      </wps:cNvSpPr>
                      <wps:spPr bwMode="auto">
                        <a:xfrm>
                          <a:off x="62906" y="79200"/>
                          <a:ext cx="5220" cy="5220"/>
                        </a:xfrm>
                        <a:prstGeom prst="rect">
                          <a:avLst/>
                        </a:prstGeom>
                        <a:solidFill>
                          <a:srgbClr val="DF4933"/>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0712A09" w14:textId="77777777" w:rsidR="002010AA" w:rsidRPr="009628BF" w:rsidRDefault="002010AA" w:rsidP="002010AA">
                            <w:pPr>
                              <w:autoSpaceDE w:val="0"/>
                              <w:autoSpaceDN w:val="0"/>
                              <w:adjustRightInd w:val="0"/>
                              <w:jc w:val="center"/>
                              <w:rPr>
                                <w:rFonts w:ascii="Calibri" w:hAnsi="Calibri" w:cs="Calibri"/>
                                <w:color w:val="FFFFFF"/>
                                <w:sz w:val="33"/>
                                <w:szCs w:val="36"/>
                              </w:rPr>
                            </w:pPr>
                          </w:p>
                        </w:txbxContent>
                      </wps:txbx>
                      <wps:bodyPr rot="0" vert="horz" wrap="square" lIns="83210" tIns="41605" rIns="83210" bIns="41605" anchor="ctr" anchorCtr="0">
                        <a:noAutofit/>
                      </wps:bodyPr>
                    </wps:wsp>
                    <wpg:grpSp>
                      <wpg:cNvPr id="12" name="Group 17"/>
                      <wpg:cNvGrpSpPr>
                        <a:grpSpLocks noChangeAspect="1"/>
                      </wpg:cNvGrpSpPr>
                      <wpg:grpSpPr bwMode="auto">
                        <a:xfrm>
                          <a:off x="57693" y="79213"/>
                          <a:ext cx="10440" cy="10440"/>
                          <a:chOff x="51933" y="79747"/>
                          <a:chExt cx="10440" cy="10440"/>
                        </a:xfrm>
                      </wpg:grpSpPr>
                      <wps:wsp>
                        <wps:cNvPr id="13" name="Oval 14"/>
                        <wps:cNvSpPr>
                          <a:spLocks noChangeAspect="1" noChangeArrowheads="1"/>
                        </wps:cNvSpPr>
                        <wps:spPr bwMode="auto">
                          <a:xfrm>
                            <a:off x="51933" y="79747"/>
                            <a:ext cx="10440" cy="10440"/>
                          </a:xfrm>
                          <a:prstGeom prst="ellipse">
                            <a:avLst/>
                          </a:prstGeom>
                          <a:solidFill>
                            <a:srgbClr val="DF4933"/>
                          </a:solidFill>
                          <a:ln>
                            <a:noFill/>
                          </a:ln>
                          <a:extLst>
                            <a:ext uri="{91240B29-F687-4F45-9708-019B960494DF}">
                              <a14:hiddenLine xmlns:a14="http://schemas.microsoft.com/office/drawing/2010/main" w="25400">
                                <a:solidFill>
                                  <a:srgbClr val="000000"/>
                                </a:solidFill>
                                <a:round/>
                                <a:headEnd/>
                                <a:tailEnd/>
                              </a14:hiddenLine>
                            </a:ext>
                          </a:extLst>
                        </wps:spPr>
                        <wps:txbx>
                          <w:txbxContent>
                            <w:p w14:paraId="20712A0A" w14:textId="77777777" w:rsidR="002010AA" w:rsidRPr="009628BF" w:rsidRDefault="002010AA" w:rsidP="002010AA">
                              <w:pPr>
                                <w:autoSpaceDE w:val="0"/>
                                <w:autoSpaceDN w:val="0"/>
                                <w:adjustRightInd w:val="0"/>
                                <w:jc w:val="center"/>
                                <w:rPr>
                                  <w:rFonts w:ascii="Calibri" w:hAnsi="Calibri" w:cs="Calibri"/>
                                  <w:color w:val="FFFFFF"/>
                                  <w:sz w:val="33"/>
                                  <w:szCs w:val="36"/>
                                </w:rPr>
                              </w:pPr>
                            </w:p>
                          </w:txbxContent>
                        </wps:txbx>
                        <wps:bodyPr rot="0" vert="horz" wrap="square" lIns="83210" tIns="41605" rIns="83210" bIns="41605" anchor="ctr" anchorCtr="0">
                          <a:noAutofit/>
                        </wps:bodyPr>
                      </wps:wsp>
                      <wps:wsp>
                        <wps:cNvPr id="14" name="Oval 15"/>
                        <wps:cNvSpPr>
                          <a:spLocks noChangeAspect="1" noChangeArrowheads="1"/>
                        </wps:cNvSpPr>
                        <wps:spPr bwMode="auto">
                          <a:xfrm>
                            <a:off x="54452" y="82295"/>
                            <a:ext cx="5400" cy="5400"/>
                          </a:xfrm>
                          <a:prstGeom prst="ellipse">
                            <a:avLst/>
                          </a:prstGeom>
                          <a:solidFill>
                            <a:srgbClr val="FFFDE9"/>
                          </a:solidFill>
                          <a:ln>
                            <a:noFill/>
                          </a:ln>
                          <a:extLst>
                            <a:ext uri="{91240B29-F687-4F45-9708-019B960494DF}">
                              <a14:hiddenLine xmlns:a14="http://schemas.microsoft.com/office/drawing/2010/main" w="25400">
                                <a:solidFill>
                                  <a:srgbClr val="000000"/>
                                </a:solidFill>
                                <a:round/>
                                <a:headEnd/>
                                <a:tailEnd/>
                              </a14:hiddenLine>
                            </a:ext>
                          </a:extLst>
                        </wps:spPr>
                        <wps:txbx>
                          <w:txbxContent>
                            <w:p w14:paraId="20712A0B" w14:textId="77777777" w:rsidR="002010AA" w:rsidRPr="009628BF" w:rsidRDefault="002010AA" w:rsidP="002010AA">
                              <w:pPr>
                                <w:autoSpaceDE w:val="0"/>
                                <w:autoSpaceDN w:val="0"/>
                                <w:adjustRightInd w:val="0"/>
                                <w:jc w:val="center"/>
                                <w:rPr>
                                  <w:rFonts w:ascii="Calibri" w:hAnsi="Calibri" w:cs="Calibri"/>
                                  <w:color w:val="FFFFFF"/>
                                  <w:sz w:val="33"/>
                                  <w:szCs w:val="36"/>
                                </w:rPr>
                              </w:pPr>
                            </w:p>
                          </w:txbxContent>
                        </wps:txbx>
                        <wps:bodyPr rot="0" vert="horz" wrap="square" lIns="83210" tIns="41605" rIns="83210" bIns="41605" anchor="ctr" anchorCtr="0">
                          <a:noAutofit/>
                        </wps:bodyPr>
                      </wps:wsp>
                    </wpg:grpSp>
                  </wpg:wgp>
                </a:graphicData>
              </a:graphic>
              <wp14:sizeRelH relativeFrom="page">
                <wp14:pctWidth>0</wp14:pctWidth>
              </wp14:sizeRelH>
              <wp14:sizeRelV relativeFrom="page">
                <wp14:pctHeight>0</wp14:pctHeight>
              </wp14:sizeRelV>
            </wp:anchor>
          </w:drawing>
        </mc:Choice>
        <mc:Fallback>
          <w:pict>
            <v:group id="Group 19" o:spid="_x0000_s1026" style="position:absolute;left:0;text-align:left;margin-left:428.65pt;margin-top:-46.2pt;width:80.2pt;height:80.2pt;z-index:251657216" coordorigin="57693,79200" coordsize="10440,10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">
              <o:lock v:ext="edit" aspectratio="t"/>
              <v:rect id="Rectangle 12" o:spid="_x0000_s1027" style="position:absolute;left:62913;top:84420;width:5220;height:52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ker8EA&#10;AADbAAAADwAAAGRycy9kb3ducmV2LnhtbESPQYvCQAyF7wv7H4YIe1uneihLdVpEcOtJWfUHhE5s&#10;i51M6Yy1/ntzWPCWR9738rIuJtepkYbQejawmCegiCtvW64NXM677x9QISJb7DyTgScFKPLPjzVm&#10;1j/4j8ZTrJWEcMjQQBNjn2kdqoYchrnviWV39YPDKHKotR3wIeGu08skSbXDluVCgz1tG6pup7uT&#10;Gv2x/D2Pabo/TFfEy648aF0a8zWbNitQkab4Nv/TeyuctJdfZACd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5Hq/BAAAA2wAAAA8AAAAAAAAAAAAAAAAAmAIAAGRycy9kb3du&#10;cmV2LnhtbFBLBQYAAAAABAAEAPUAAACGAwAAAAA=&#10;" fillcolor="#392226" stroked="f" strokeweight="2pt">
                <o:lock v:ext="edit" aspectratio="t"/>
                <v:textbox inset="2.31139mm,1.1557mm,2.31139mm,1.1557mm">
                  <w:txbxContent>
                    <w:p w14:paraId="20712A08" w14:textId="77777777" w:rsidR="002010AA" w:rsidRPr="009628BF" w:rsidRDefault="002010AA" w:rsidP="002010AA">
                      <w:pPr>
                        <w:autoSpaceDE w:val="0"/>
                        <w:autoSpaceDN w:val="0"/>
                        <w:adjustRightInd w:val="0"/>
                        <w:jc w:val="center"/>
                        <w:rPr>
                          <w:rFonts w:ascii="Calibri" w:hAnsi="Calibri" w:cs="Calibri"/>
                          <w:color w:val="FFFFFF"/>
                          <w:sz w:val="33"/>
                          <w:szCs w:val="36"/>
                        </w:rPr>
                      </w:pPr>
                    </w:p>
                  </w:txbxContent>
                </v:textbox>
              </v:rect>
              <v:rect id="Rectangle 13" o:spid="_x0000_s1028" style="position:absolute;left:62906;top:79200;width:5220;height:52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WJPb8A&#10;AADbAAAADwAAAGRycy9kb3ducmV2LnhtbERPS4vCMBC+L/gfwgje1lTBZa1GUUEQT66v89iMTbGZ&#10;lCbW9t+bhYW9zcf3nPmytaVoqPaFYwWjYQKCOHO64FzB+bT9/AbhA7LG0jEp6MjDctH7mGOq3Yt/&#10;qDmGXMQQ9ikqMCFUqZQ+M2TRD11FHLm7qy2GCOtc6hpfMdyWcpwkX9JiwbHBYEUbQ9nj+LQKNtNz&#10;116u1bo77CdJrps17m5GqUG/Xc1ABGrDv/jPvdNx/gh+f4kHyM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xYk9vwAAANsAAAAPAAAAAAAAAAAAAAAAAJgCAABkcnMvZG93bnJl&#10;di54bWxQSwUGAAAAAAQABAD1AAAAhAMAAAAA&#10;" fillcolor="#df4933" stroked="f" strokeweight="2pt">
                <o:lock v:ext="edit" aspectratio="t"/>
                <v:textbox inset="2.31139mm,1.1557mm,2.31139mm,1.1557mm">
                  <w:txbxContent>
                    <w:p w14:paraId="20712A09" w14:textId="77777777" w:rsidR="002010AA" w:rsidRPr="009628BF" w:rsidRDefault="002010AA" w:rsidP="002010AA">
                      <w:pPr>
                        <w:autoSpaceDE w:val="0"/>
                        <w:autoSpaceDN w:val="0"/>
                        <w:adjustRightInd w:val="0"/>
                        <w:jc w:val="center"/>
                        <w:rPr>
                          <w:rFonts w:ascii="Calibri" w:hAnsi="Calibri" w:cs="Calibri"/>
                          <w:color w:val="FFFFFF"/>
                          <w:sz w:val="33"/>
                          <w:szCs w:val="36"/>
                        </w:rPr>
                      </w:pPr>
                    </w:p>
                  </w:txbxContent>
                </v:textbox>
              </v:rect>
              <v:group id="Group 17" o:spid="_x0000_s1029" style="position:absolute;left:57693;top:79213;width:10440;height:10440" coordorigin="51933,79747" coordsize="10440,10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o:lock v:ext="edit" aspectratio="t"/>
                <v:oval id="Oval 14" o:spid="_x0000_s1030" style="position:absolute;left:51933;top:79747;width:10440;height:10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pYAMMA&#10;AADbAAAADwAAAGRycy9kb3ducmV2LnhtbERPS2sCMRC+F/wPYQq9abZaRLZmFy1IS/FBtZfehs3s&#10;AzeTJUnd7b83gtDbfHzPWeaDacWFnG8sK3ieJCCIC6sbrhR8nzbjBQgfkDW2lknBH3nIs9HDElNt&#10;e/6iyzFUIoawT1FBHUKXSumLmgz6ie2II1daZzBE6CqpHfYx3LRymiRzabDh2FBjR281Fefjr1Gw&#10;3rh+916+zKczV1b7w8l8/myNUk+Pw+oVRKAh/Ivv7g8d58/g9ks8QG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8pYAMMAAADbAAAADwAAAAAAAAAAAAAAAACYAgAAZHJzL2Rv&#10;d25yZXYueG1sUEsFBgAAAAAEAAQA9QAAAIgDAAAAAA==&#10;" fillcolor="#df4933" stroked="f" strokeweight="2pt">
                  <o:lock v:ext="edit" aspectratio="t"/>
                  <v:textbox inset="2.31139mm,1.1557mm,2.31139mm,1.1557mm">
                    <w:txbxContent>
                      <w:p w14:paraId="20712A0A" w14:textId="77777777" w:rsidR="002010AA" w:rsidRPr="009628BF" w:rsidRDefault="002010AA" w:rsidP="002010AA">
                        <w:pPr>
                          <w:autoSpaceDE w:val="0"/>
                          <w:autoSpaceDN w:val="0"/>
                          <w:adjustRightInd w:val="0"/>
                          <w:jc w:val="center"/>
                          <w:rPr>
                            <w:rFonts w:ascii="Calibri" w:hAnsi="Calibri" w:cs="Calibri"/>
                            <w:color w:val="FFFFFF"/>
                            <w:sz w:val="33"/>
                            <w:szCs w:val="36"/>
                          </w:rPr>
                        </w:pPr>
                      </w:p>
                    </w:txbxContent>
                  </v:textbox>
                </v:oval>
                <v:oval id="Oval 15" o:spid="_x0000_s1031" style="position:absolute;left:54452;top:82295;width:5400;height:5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RV2MAA&#10;AADbAAAADwAAAGRycy9kb3ducmV2LnhtbERPTYvCMBC9L/gfwgje1lQRWbtGWURBPRS2yp6HZmzL&#10;NpPaxLb+eyMI3ubxPme57k0lWmpcaVnBZByBIM6sLjlXcD7tPr9AOI+ssbJMCu7kYL0afCwx1rbj&#10;X2pTn4sQwi5GBYX3dSylywoy6Ma2Jg7cxTYGfYBNLnWDXQg3lZxG0VwaLDk0FFjTpqDsP70ZBdxe&#10;bn/HU7K1nCyqe7Iw1+5glBoN+59vEJ56/xa/3Hsd5s/g+Us4QK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lRV2MAAAADbAAAADwAAAAAAAAAAAAAAAACYAgAAZHJzL2Rvd25y&#10;ZXYueG1sUEsFBgAAAAAEAAQA9QAAAIUDAAAAAA==&#10;" fillcolor="#fffde9" stroked="f" strokeweight="2pt">
                  <o:lock v:ext="edit" aspectratio="t"/>
                  <v:textbox inset="2.31139mm,1.1557mm,2.31139mm,1.1557mm">
                    <w:txbxContent>
                      <w:p w14:paraId="20712A0B" w14:textId="77777777" w:rsidR="002010AA" w:rsidRPr="009628BF" w:rsidRDefault="002010AA" w:rsidP="002010AA">
                        <w:pPr>
                          <w:autoSpaceDE w:val="0"/>
                          <w:autoSpaceDN w:val="0"/>
                          <w:adjustRightInd w:val="0"/>
                          <w:jc w:val="center"/>
                          <w:rPr>
                            <w:rFonts w:ascii="Calibri" w:hAnsi="Calibri" w:cs="Calibri"/>
                            <w:color w:val="FFFFFF"/>
                            <w:sz w:val="33"/>
                            <w:szCs w:val="36"/>
                          </w:rPr>
                        </w:pPr>
                      </w:p>
                    </w:txbxContent>
                  </v:textbox>
                </v:oval>
              </v:group>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12A04" w14:textId="72945A67" w:rsidR="002010AA" w:rsidRDefault="005468D1">
    <w:pPr>
      <w:pStyle w:val="Footer"/>
    </w:pPr>
    <w:r>
      <w:rPr>
        <w:noProof/>
        <w:lang w:eastAsia="en-GB"/>
      </w:rPr>
      <mc:AlternateContent>
        <mc:Choice Requires="wpg">
          <w:drawing>
            <wp:anchor distT="0" distB="0" distL="114300" distR="114300" simplePos="0" relativeHeight="251658240" behindDoc="0" locked="0" layoutInCell="1" allowOverlap="1" wp14:anchorId="20712A06" wp14:editId="111BCD01">
              <wp:simplePos x="0" y="0"/>
              <wp:positionH relativeFrom="column">
                <wp:posOffset>4709160</wp:posOffset>
              </wp:positionH>
              <wp:positionV relativeFrom="paragraph">
                <wp:posOffset>-1158240</wp:posOffset>
              </wp:positionV>
              <wp:extent cx="1788795" cy="1569085"/>
              <wp:effectExtent l="3810" t="3810" r="0" b="8255"/>
              <wp:wrapSquare wrapText="bothSides"/>
              <wp:docPr id="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8795" cy="1569085"/>
                        <a:chOff x="9423" y="13298"/>
                        <a:chExt cx="2817" cy="2471"/>
                      </a:xfrm>
                    </wpg:grpSpPr>
                    <wps:wsp>
                      <wps:cNvPr id="2" name="TextBox 61"/>
                      <wps:cNvSpPr txBox="1">
                        <a:spLocks noChangeArrowheads="1"/>
                      </wps:cNvSpPr>
                      <wps:spPr bwMode="auto">
                        <a:xfrm>
                          <a:off x="9423" y="13298"/>
                          <a:ext cx="2817" cy="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12A0C" w14:textId="77777777" w:rsidR="002010AA" w:rsidRPr="007631DD" w:rsidRDefault="002010AA" w:rsidP="002010AA">
                            <w:pPr>
                              <w:autoSpaceDE w:val="0"/>
                              <w:autoSpaceDN w:val="0"/>
                              <w:adjustRightInd w:val="0"/>
                              <w:jc w:val="right"/>
                              <w:rPr>
                                <w:rFonts w:ascii="Myriad Pro" w:hAnsi="Myriad Pro" w:cs="Myriad Pro"/>
                                <w:color w:val="392226"/>
                                <w:sz w:val="16"/>
                                <w:szCs w:val="16"/>
                                <w:lang w:val="es-MX"/>
                              </w:rPr>
                            </w:pPr>
                            <w:r w:rsidRPr="007631DD">
                              <w:rPr>
                                <w:rFonts w:ascii="Myriad Pro" w:hAnsi="Myriad Pro" w:cs="Myriad Pro"/>
                                <w:color w:val="392226"/>
                                <w:sz w:val="16"/>
                                <w:szCs w:val="16"/>
                                <w:lang w:val="es-MX"/>
                              </w:rPr>
                              <w:t>www.documenta.org.mx</w:t>
                            </w:r>
                          </w:p>
                          <w:p w14:paraId="20712A0D" w14:textId="77777777" w:rsidR="002010AA" w:rsidRPr="007631DD" w:rsidRDefault="002010AA" w:rsidP="002010AA">
                            <w:pPr>
                              <w:autoSpaceDE w:val="0"/>
                              <w:autoSpaceDN w:val="0"/>
                              <w:adjustRightInd w:val="0"/>
                              <w:jc w:val="right"/>
                              <w:rPr>
                                <w:rFonts w:ascii="Myriad Pro" w:hAnsi="Myriad Pro" w:cs="Myriad Pro"/>
                                <w:color w:val="392226"/>
                                <w:sz w:val="16"/>
                                <w:szCs w:val="16"/>
                                <w:lang w:val="es-MX"/>
                              </w:rPr>
                            </w:pPr>
                            <w:r w:rsidRPr="007631DD">
                              <w:rPr>
                                <w:rFonts w:ascii="Myriad Pro" w:hAnsi="Myriad Pro" w:cs="Myriad Pro"/>
                                <w:color w:val="392226"/>
                                <w:sz w:val="16"/>
                                <w:szCs w:val="16"/>
                                <w:lang w:val="es-MX"/>
                              </w:rPr>
                              <w:t>Fuego 965</w:t>
                            </w:r>
                            <w:r>
                              <w:rPr>
                                <w:rFonts w:ascii="Myriad Pro" w:hAnsi="Myriad Pro" w:cs="Myriad Pro"/>
                                <w:color w:val="392226"/>
                                <w:sz w:val="16"/>
                                <w:szCs w:val="16"/>
                                <w:lang w:val="es-MX"/>
                              </w:rPr>
                              <w:t>,</w:t>
                            </w:r>
                            <w:r w:rsidRPr="007631DD">
                              <w:rPr>
                                <w:rFonts w:ascii="Myriad Pro" w:hAnsi="Myriad Pro" w:cs="Myriad Pro"/>
                                <w:color w:val="392226"/>
                                <w:sz w:val="16"/>
                                <w:szCs w:val="16"/>
                                <w:lang w:val="es-MX"/>
                              </w:rPr>
                              <w:t xml:space="preserve"> Jardines del Pedregal</w:t>
                            </w:r>
                          </w:p>
                          <w:p w14:paraId="20712A0E" w14:textId="77777777" w:rsidR="002010AA" w:rsidRPr="007631DD" w:rsidRDefault="002010AA" w:rsidP="002010AA">
                            <w:pPr>
                              <w:autoSpaceDE w:val="0"/>
                              <w:autoSpaceDN w:val="0"/>
                              <w:adjustRightInd w:val="0"/>
                              <w:jc w:val="right"/>
                              <w:rPr>
                                <w:rFonts w:ascii="Myriad Pro" w:hAnsi="Myriad Pro" w:cs="Myriad Pro"/>
                                <w:color w:val="392226"/>
                                <w:sz w:val="16"/>
                                <w:szCs w:val="16"/>
                                <w:lang w:val="es-MX"/>
                              </w:rPr>
                            </w:pPr>
                            <w:r w:rsidRPr="007631DD">
                              <w:rPr>
                                <w:rFonts w:ascii="Myriad Pro" w:hAnsi="Myriad Pro" w:cs="Myriad Pro"/>
                                <w:color w:val="392226"/>
                                <w:sz w:val="16"/>
                                <w:szCs w:val="16"/>
                                <w:lang w:val="es-MX"/>
                              </w:rPr>
                              <w:t>Álvaro Obregón, 01900</w:t>
                            </w:r>
                            <w:r>
                              <w:rPr>
                                <w:rFonts w:ascii="Myriad Pro" w:hAnsi="Myriad Pro" w:cs="Myriad Pro"/>
                                <w:color w:val="392226"/>
                                <w:sz w:val="16"/>
                                <w:szCs w:val="16"/>
                                <w:lang w:val="es-MX"/>
                              </w:rPr>
                              <w:t>,</w:t>
                            </w:r>
                            <w:r w:rsidRPr="007631DD">
                              <w:rPr>
                                <w:rFonts w:ascii="Myriad Pro" w:hAnsi="Myriad Pro" w:cs="Myriad Pro"/>
                                <w:color w:val="392226"/>
                                <w:sz w:val="16"/>
                                <w:szCs w:val="16"/>
                                <w:lang w:val="es-MX"/>
                              </w:rPr>
                              <w:t xml:space="preserve"> México, D.F.</w:t>
                            </w:r>
                          </w:p>
                          <w:p w14:paraId="20712A0F" w14:textId="77777777" w:rsidR="002010AA" w:rsidRPr="007631DD" w:rsidRDefault="002010AA" w:rsidP="002010AA">
                            <w:pPr>
                              <w:autoSpaceDE w:val="0"/>
                              <w:autoSpaceDN w:val="0"/>
                              <w:adjustRightInd w:val="0"/>
                              <w:jc w:val="right"/>
                              <w:rPr>
                                <w:rFonts w:ascii="Myriad Pro" w:hAnsi="Myriad Pro" w:cs="Myriad Pro"/>
                                <w:color w:val="392226"/>
                                <w:sz w:val="16"/>
                                <w:szCs w:val="16"/>
                              </w:rPr>
                            </w:pPr>
                            <w:r w:rsidRPr="007631DD">
                              <w:rPr>
                                <w:rFonts w:ascii="Myriad Pro" w:hAnsi="Myriad Pro" w:cs="Myriad Pro"/>
                                <w:color w:val="392226"/>
                                <w:sz w:val="16"/>
                                <w:szCs w:val="16"/>
                                <w:lang w:val="es-MX"/>
                              </w:rPr>
                              <w:t>Teléfono/fax + 52 (55) 5652 7366</w:t>
                            </w:r>
                          </w:p>
                        </w:txbxContent>
                      </wps:txbx>
                      <wps:bodyPr rot="0" vert="horz" wrap="square" lIns="83210" tIns="41605" rIns="83210" bIns="41605" anchor="t" anchorCtr="0">
                        <a:noAutofit/>
                      </wps:bodyPr>
                    </wps:wsp>
                    <wpg:grpSp>
                      <wpg:cNvPr id="3" name="Group 24"/>
                      <wpg:cNvGrpSpPr>
                        <a:grpSpLocks/>
                      </wpg:cNvGrpSpPr>
                      <wpg:grpSpPr bwMode="auto">
                        <a:xfrm>
                          <a:off x="10581" y="14198"/>
                          <a:ext cx="1606" cy="1571"/>
                          <a:chOff x="57693" y="79200"/>
                          <a:chExt cx="10440" cy="10452"/>
                        </a:xfrm>
                      </wpg:grpSpPr>
                      <wps:wsp>
                        <wps:cNvPr id="4" name="Rectangle 12"/>
                        <wps:cNvSpPr>
                          <a:spLocks noChangeArrowheads="1"/>
                        </wps:cNvSpPr>
                        <wps:spPr bwMode="auto">
                          <a:xfrm>
                            <a:off x="62913" y="84420"/>
                            <a:ext cx="5220" cy="5220"/>
                          </a:xfrm>
                          <a:prstGeom prst="rect">
                            <a:avLst/>
                          </a:prstGeom>
                          <a:solidFill>
                            <a:srgbClr val="392226"/>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0712A10" w14:textId="77777777" w:rsidR="002010AA" w:rsidRPr="009628BF" w:rsidRDefault="002010AA" w:rsidP="002010AA">
                              <w:pPr>
                                <w:autoSpaceDE w:val="0"/>
                                <w:autoSpaceDN w:val="0"/>
                                <w:adjustRightInd w:val="0"/>
                                <w:jc w:val="center"/>
                                <w:rPr>
                                  <w:rFonts w:ascii="Calibri" w:hAnsi="Calibri" w:cs="Calibri"/>
                                  <w:color w:val="FFFFFF"/>
                                  <w:sz w:val="33"/>
                                  <w:szCs w:val="36"/>
                                </w:rPr>
                              </w:pPr>
                            </w:p>
                          </w:txbxContent>
                        </wps:txbx>
                        <wps:bodyPr rot="0" vert="horz" wrap="square" lIns="83210" tIns="41605" rIns="83210" bIns="41605" anchor="ctr" anchorCtr="0">
                          <a:noAutofit/>
                        </wps:bodyPr>
                      </wps:wsp>
                      <wps:wsp>
                        <wps:cNvPr id="5" name="Rectangle 13"/>
                        <wps:cNvSpPr>
                          <a:spLocks noChangeArrowheads="1"/>
                        </wps:cNvSpPr>
                        <wps:spPr bwMode="auto">
                          <a:xfrm>
                            <a:off x="62906" y="79200"/>
                            <a:ext cx="5220" cy="5220"/>
                          </a:xfrm>
                          <a:prstGeom prst="rect">
                            <a:avLst/>
                          </a:prstGeom>
                          <a:solidFill>
                            <a:srgbClr val="DF4933"/>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0712A11" w14:textId="77777777" w:rsidR="002010AA" w:rsidRPr="009628BF" w:rsidRDefault="002010AA" w:rsidP="002010AA">
                              <w:pPr>
                                <w:autoSpaceDE w:val="0"/>
                                <w:autoSpaceDN w:val="0"/>
                                <w:adjustRightInd w:val="0"/>
                                <w:jc w:val="center"/>
                                <w:rPr>
                                  <w:rFonts w:ascii="Calibri" w:hAnsi="Calibri" w:cs="Calibri"/>
                                  <w:color w:val="FFFFFF"/>
                                  <w:sz w:val="33"/>
                                  <w:szCs w:val="36"/>
                                </w:rPr>
                              </w:pPr>
                            </w:p>
                          </w:txbxContent>
                        </wps:txbx>
                        <wps:bodyPr rot="0" vert="horz" wrap="square" lIns="83210" tIns="41605" rIns="83210" bIns="41605" anchor="ctr" anchorCtr="0">
                          <a:noAutofit/>
                        </wps:bodyPr>
                      </wps:wsp>
                      <wpg:grpSp>
                        <wpg:cNvPr id="6" name="Group 17"/>
                        <wpg:cNvGrpSpPr>
                          <a:grpSpLocks/>
                        </wpg:cNvGrpSpPr>
                        <wpg:grpSpPr bwMode="auto">
                          <a:xfrm>
                            <a:off x="57693" y="79213"/>
                            <a:ext cx="10440" cy="10440"/>
                            <a:chOff x="51933" y="79747"/>
                            <a:chExt cx="10440" cy="10440"/>
                          </a:xfrm>
                        </wpg:grpSpPr>
                        <wps:wsp>
                          <wps:cNvPr id="7" name="Oval 14"/>
                          <wps:cNvSpPr>
                            <a:spLocks noChangeArrowheads="1"/>
                          </wps:cNvSpPr>
                          <wps:spPr bwMode="auto">
                            <a:xfrm>
                              <a:off x="51933" y="79747"/>
                              <a:ext cx="10440" cy="10440"/>
                            </a:xfrm>
                            <a:prstGeom prst="ellipse">
                              <a:avLst/>
                            </a:prstGeom>
                            <a:solidFill>
                              <a:srgbClr val="DF4933"/>
                            </a:solidFill>
                            <a:ln>
                              <a:noFill/>
                            </a:ln>
                            <a:extLst>
                              <a:ext uri="{91240B29-F687-4F45-9708-019B960494DF}">
                                <a14:hiddenLine xmlns:a14="http://schemas.microsoft.com/office/drawing/2010/main" w="25400">
                                  <a:solidFill>
                                    <a:srgbClr val="000000"/>
                                  </a:solidFill>
                                  <a:round/>
                                  <a:headEnd/>
                                  <a:tailEnd/>
                                </a14:hiddenLine>
                              </a:ext>
                            </a:extLst>
                          </wps:spPr>
                          <wps:txbx>
                            <w:txbxContent>
                              <w:p w14:paraId="20712A12" w14:textId="77777777" w:rsidR="002010AA" w:rsidRPr="009628BF" w:rsidRDefault="002010AA" w:rsidP="002010AA">
                                <w:pPr>
                                  <w:autoSpaceDE w:val="0"/>
                                  <w:autoSpaceDN w:val="0"/>
                                  <w:adjustRightInd w:val="0"/>
                                  <w:jc w:val="center"/>
                                  <w:rPr>
                                    <w:rFonts w:ascii="Calibri" w:hAnsi="Calibri" w:cs="Calibri"/>
                                    <w:color w:val="FFFFFF"/>
                                    <w:sz w:val="33"/>
                                    <w:szCs w:val="36"/>
                                  </w:rPr>
                                </w:pPr>
                              </w:p>
                            </w:txbxContent>
                          </wps:txbx>
                          <wps:bodyPr rot="0" vert="horz" wrap="square" lIns="83210" tIns="41605" rIns="83210" bIns="41605" anchor="ctr" anchorCtr="0">
                            <a:noAutofit/>
                          </wps:bodyPr>
                        </wps:wsp>
                        <wps:wsp>
                          <wps:cNvPr id="8" name="Oval 15"/>
                          <wps:cNvSpPr>
                            <a:spLocks noChangeArrowheads="1"/>
                          </wps:cNvSpPr>
                          <wps:spPr bwMode="auto">
                            <a:xfrm>
                              <a:off x="54452" y="82295"/>
                              <a:ext cx="5400" cy="5400"/>
                            </a:xfrm>
                            <a:prstGeom prst="ellipse">
                              <a:avLst/>
                            </a:prstGeom>
                            <a:solidFill>
                              <a:srgbClr val="FFFDE9"/>
                            </a:solidFill>
                            <a:ln>
                              <a:noFill/>
                            </a:ln>
                            <a:extLst>
                              <a:ext uri="{91240B29-F687-4F45-9708-019B960494DF}">
                                <a14:hiddenLine xmlns:a14="http://schemas.microsoft.com/office/drawing/2010/main" w="25400">
                                  <a:solidFill>
                                    <a:srgbClr val="000000"/>
                                  </a:solidFill>
                                  <a:round/>
                                  <a:headEnd/>
                                  <a:tailEnd/>
                                </a14:hiddenLine>
                              </a:ext>
                            </a:extLst>
                          </wps:spPr>
                          <wps:txbx>
                            <w:txbxContent>
                              <w:p w14:paraId="20712A13" w14:textId="77777777" w:rsidR="002010AA" w:rsidRPr="009628BF" w:rsidRDefault="002010AA" w:rsidP="002010AA">
                                <w:pPr>
                                  <w:autoSpaceDE w:val="0"/>
                                  <w:autoSpaceDN w:val="0"/>
                                  <w:adjustRightInd w:val="0"/>
                                  <w:jc w:val="center"/>
                                  <w:rPr>
                                    <w:rFonts w:ascii="Calibri" w:hAnsi="Calibri" w:cs="Calibri"/>
                                    <w:color w:val="FFFFFF"/>
                                    <w:sz w:val="33"/>
                                    <w:szCs w:val="36"/>
                                  </w:rPr>
                                </w:pPr>
                              </w:p>
                            </w:txbxContent>
                          </wps:txbx>
                          <wps:bodyPr rot="0" vert="horz" wrap="square" lIns="83210" tIns="41605" rIns="83210" bIns="41605" anchor="ctr" anchorCtr="0">
                            <a:noAutofit/>
                          </wps:bodyPr>
                        </wps:wsp>
                      </wpg:grpSp>
                    </wpg:grpSp>
                  </wpg:wgp>
                </a:graphicData>
              </a:graphic>
              <wp14:sizeRelH relativeFrom="page">
                <wp14:pctWidth>0</wp14:pctWidth>
              </wp14:sizeRelH>
              <wp14:sizeRelV relativeFrom="page">
                <wp14:pctHeight>0</wp14:pctHeight>
              </wp14:sizeRelV>
            </wp:anchor>
          </w:drawing>
        </mc:Choice>
        <mc:Fallback>
          <w:pict>
            <v:group id="Group 38" o:spid="_x0000_s1032" style="position:absolute;margin-left:370.8pt;margin-top:-91.2pt;width:140.85pt;height:123.55pt;z-index:251658240" coordorigin="9423,13298" coordsize="2817,2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">
              <v:shapetype id="_x0000_t202" coordsize="21600,21600" o:spt="202" path="m,l,21600r21600,l21600,xe">
                <v:stroke joinstyle="miter"/>
                <v:path gradientshapeok="t" o:connecttype="rect"/>
              </v:shapetype>
              <v:shape id="TextBox 61" o:spid="_x0000_s1033" type="#_x0000_t202" style="position:absolute;left:9423;top:13298;width:2817;height: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Od8sIA&#10;AADaAAAADwAAAGRycy9kb3ducmV2LnhtbESPQWsCMRSE70L/Q3iF3jRbqdKuRiktQhEPdduDx8fm&#10;uVndvIRN1PTfG6HgcZiZb5j5MtlOnKkPrWMFz6MCBHHtdMuNgt+f1fAVRIjIGjvHpOCPAiwXD4M5&#10;ltpdeEvnKjYiQziUqMDE6EspQ23IYhg5T5y9vestxiz7RuoeLxluOzkuiqm02HJeMOjpw1B9rE5W&#10;AYeNX2+MT2lnaff2PfnUL+Gg1NNjep+BiJTiPfzf/tIKxnC7km+AX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g53ywgAAANoAAAAPAAAAAAAAAAAAAAAAAJgCAABkcnMvZG93&#10;bnJldi54bWxQSwUGAAAAAAQABAD1AAAAhwMAAAAA&#10;" filled="f" stroked="f">
                <v:textbox inset="2.31139mm,1.1557mm,2.31139mm,1.1557mm">
                  <w:txbxContent>
                    <w:p w14:paraId="20712A0C" w14:textId="77777777" w:rsidR="002010AA" w:rsidRPr="007631DD" w:rsidRDefault="002010AA" w:rsidP="002010AA">
                      <w:pPr>
                        <w:autoSpaceDE w:val="0"/>
                        <w:autoSpaceDN w:val="0"/>
                        <w:adjustRightInd w:val="0"/>
                        <w:jc w:val="right"/>
                        <w:rPr>
                          <w:rFonts w:ascii="Myriad Pro" w:hAnsi="Myriad Pro" w:cs="Myriad Pro"/>
                          <w:color w:val="392226"/>
                          <w:sz w:val="16"/>
                          <w:szCs w:val="16"/>
                          <w:lang w:val="es-MX"/>
                        </w:rPr>
                      </w:pPr>
                      <w:r w:rsidRPr="007631DD">
                        <w:rPr>
                          <w:rFonts w:ascii="Myriad Pro" w:hAnsi="Myriad Pro" w:cs="Myriad Pro"/>
                          <w:color w:val="392226"/>
                          <w:sz w:val="16"/>
                          <w:szCs w:val="16"/>
                          <w:lang w:val="es-MX"/>
                        </w:rPr>
                        <w:t>www.documenta.org.mx</w:t>
                      </w:r>
                    </w:p>
                    <w:p w14:paraId="20712A0D" w14:textId="77777777" w:rsidR="002010AA" w:rsidRPr="007631DD" w:rsidRDefault="002010AA" w:rsidP="002010AA">
                      <w:pPr>
                        <w:autoSpaceDE w:val="0"/>
                        <w:autoSpaceDN w:val="0"/>
                        <w:adjustRightInd w:val="0"/>
                        <w:jc w:val="right"/>
                        <w:rPr>
                          <w:rFonts w:ascii="Myriad Pro" w:hAnsi="Myriad Pro" w:cs="Myriad Pro"/>
                          <w:color w:val="392226"/>
                          <w:sz w:val="16"/>
                          <w:szCs w:val="16"/>
                          <w:lang w:val="es-MX"/>
                        </w:rPr>
                      </w:pPr>
                      <w:r w:rsidRPr="007631DD">
                        <w:rPr>
                          <w:rFonts w:ascii="Myriad Pro" w:hAnsi="Myriad Pro" w:cs="Myriad Pro"/>
                          <w:color w:val="392226"/>
                          <w:sz w:val="16"/>
                          <w:szCs w:val="16"/>
                          <w:lang w:val="es-MX"/>
                        </w:rPr>
                        <w:t>Fuego 965</w:t>
                      </w:r>
                      <w:r>
                        <w:rPr>
                          <w:rFonts w:ascii="Myriad Pro" w:hAnsi="Myriad Pro" w:cs="Myriad Pro"/>
                          <w:color w:val="392226"/>
                          <w:sz w:val="16"/>
                          <w:szCs w:val="16"/>
                          <w:lang w:val="es-MX"/>
                        </w:rPr>
                        <w:t>,</w:t>
                      </w:r>
                      <w:r w:rsidRPr="007631DD">
                        <w:rPr>
                          <w:rFonts w:ascii="Myriad Pro" w:hAnsi="Myriad Pro" w:cs="Myriad Pro"/>
                          <w:color w:val="392226"/>
                          <w:sz w:val="16"/>
                          <w:szCs w:val="16"/>
                          <w:lang w:val="es-MX"/>
                        </w:rPr>
                        <w:t xml:space="preserve"> Jardines del Pedregal</w:t>
                      </w:r>
                    </w:p>
                    <w:p w14:paraId="20712A0E" w14:textId="77777777" w:rsidR="002010AA" w:rsidRPr="007631DD" w:rsidRDefault="002010AA" w:rsidP="002010AA">
                      <w:pPr>
                        <w:autoSpaceDE w:val="0"/>
                        <w:autoSpaceDN w:val="0"/>
                        <w:adjustRightInd w:val="0"/>
                        <w:jc w:val="right"/>
                        <w:rPr>
                          <w:rFonts w:ascii="Myriad Pro" w:hAnsi="Myriad Pro" w:cs="Myriad Pro"/>
                          <w:color w:val="392226"/>
                          <w:sz w:val="16"/>
                          <w:szCs w:val="16"/>
                          <w:lang w:val="es-MX"/>
                        </w:rPr>
                      </w:pPr>
                      <w:r w:rsidRPr="007631DD">
                        <w:rPr>
                          <w:rFonts w:ascii="Myriad Pro" w:hAnsi="Myriad Pro" w:cs="Myriad Pro"/>
                          <w:color w:val="392226"/>
                          <w:sz w:val="16"/>
                          <w:szCs w:val="16"/>
                          <w:lang w:val="es-MX"/>
                        </w:rPr>
                        <w:t>Álvaro Obregón, 01900</w:t>
                      </w:r>
                      <w:r>
                        <w:rPr>
                          <w:rFonts w:ascii="Myriad Pro" w:hAnsi="Myriad Pro" w:cs="Myriad Pro"/>
                          <w:color w:val="392226"/>
                          <w:sz w:val="16"/>
                          <w:szCs w:val="16"/>
                          <w:lang w:val="es-MX"/>
                        </w:rPr>
                        <w:t>,</w:t>
                      </w:r>
                      <w:r w:rsidRPr="007631DD">
                        <w:rPr>
                          <w:rFonts w:ascii="Myriad Pro" w:hAnsi="Myriad Pro" w:cs="Myriad Pro"/>
                          <w:color w:val="392226"/>
                          <w:sz w:val="16"/>
                          <w:szCs w:val="16"/>
                          <w:lang w:val="es-MX"/>
                        </w:rPr>
                        <w:t xml:space="preserve"> México, D.F.</w:t>
                      </w:r>
                    </w:p>
                    <w:p w14:paraId="20712A0F" w14:textId="77777777" w:rsidR="002010AA" w:rsidRPr="007631DD" w:rsidRDefault="002010AA" w:rsidP="002010AA">
                      <w:pPr>
                        <w:autoSpaceDE w:val="0"/>
                        <w:autoSpaceDN w:val="0"/>
                        <w:adjustRightInd w:val="0"/>
                        <w:jc w:val="right"/>
                        <w:rPr>
                          <w:rFonts w:ascii="Myriad Pro" w:hAnsi="Myriad Pro" w:cs="Myriad Pro"/>
                          <w:color w:val="392226"/>
                          <w:sz w:val="16"/>
                          <w:szCs w:val="16"/>
                        </w:rPr>
                      </w:pPr>
                      <w:r w:rsidRPr="007631DD">
                        <w:rPr>
                          <w:rFonts w:ascii="Myriad Pro" w:hAnsi="Myriad Pro" w:cs="Myriad Pro"/>
                          <w:color w:val="392226"/>
                          <w:sz w:val="16"/>
                          <w:szCs w:val="16"/>
                          <w:lang w:val="es-MX"/>
                        </w:rPr>
                        <w:t>Teléfono/fax + 52 (55) 5652 7366</w:t>
                      </w:r>
                    </w:p>
                  </w:txbxContent>
                </v:textbox>
              </v:shape>
              <v:group id="Group 24" o:spid="_x0000_s1034" style="position:absolute;left:10581;top:14198;width:1606;height:1571" coordorigin="57693,79200" coordsize="10440,10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12" o:spid="_x0000_s1035" style="position:absolute;left:62913;top:84420;width:5220;height:52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ntv7oA&#10;AADaAAAADwAAAGRycy9kb3ducmV2LnhtbERPSwrCMBDdC94hjOBOU0WKVKOIoHWl+DnA0IxtsZmU&#10;JtZ6eyMILh/vv1x3phItNa60rGAyjkAQZ1aXnCu4XXejOQjnkTVWlknBmxysV/3eEhNtX3ym9uJz&#10;EULYJaig8L5OpHRZQQbd2NbEgbvbxqAPsMmlbvAVwk0lp1EUS4Mlh4YCa9oWlD0uTxNm1Kd0f23j&#10;+HDs7oi3XXqUMlVqOOg2CxCeOv8X/9wHrWAG3yvBD3L1A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7xntv7oAAADaAAAADwAAAAAAAAAAAAAAAACYAgAAZHJzL2Rvd25yZXYueG1s&#10;UEsFBgAAAAAEAAQA9QAAAH8DAAAAAA==&#10;" fillcolor="#392226" stroked="f" strokeweight="2pt">
                  <v:textbox inset="2.31139mm,1.1557mm,2.31139mm,1.1557mm">
                    <w:txbxContent>
                      <w:p w14:paraId="20712A10" w14:textId="77777777" w:rsidR="002010AA" w:rsidRPr="009628BF" w:rsidRDefault="002010AA" w:rsidP="002010AA">
                        <w:pPr>
                          <w:autoSpaceDE w:val="0"/>
                          <w:autoSpaceDN w:val="0"/>
                          <w:adjustRightInd w:val="0"/>
                          <w:jc w:val="center"/>
                          <w:rPr>
                            <w:rFonts w:ascii="Calibri" w:hAnsi="Calibri" w:cs="Calibri"/>
                            <w:color w:val="FFFFFF"/>
                            <w:sz w:val="33"/>
                            <w:szCs w:val="36"/>
                          </w:rPr>
                        </w:pPr>
                      </w:p>
                    </w:txbxContent>
                  </v:textbox>
                </v:rect>
                <v:rect id="Rectangle 13" o:spid="_x0000_s1036" style="position:absolute;left:62906;top:79200;width:5220;height:52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20oMMA&#10;AADaAAAADwAAAGRycy9kb3ducmV2LnhtbESPzWrDMBCE74W8g9hAbrWcgEvjRAlNoBByahOn5621&#10;sUytlbFU/7x9VSj0OMzMN8x2P9pG9NT52rGCZZKCIC6drrlSUFxfH59B+ICssXFMCibysN/NHraY&#10;azfwO/WXUIkIYZ+jAhNCm0vpS0MWfeJa4ujdXWcxRNlVUnc4RLht5CpNn6TFmuOCwZaOhsqvy7dV&#10;cFwX03j7aA/T2zlLK90f8PRplFrMx5cNiEBj+A//tU9aQQa/V+IN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20oMMAAADaAAAADwAAAAAAAAAAAAAAAACYAgAAZHJzL2Rv&#10;d25yZXYueG1sUEsFBgAAAAAEAAQA9QAAAIgDAAAAAA==&#10;" fillcolor="#df4933" stroked="f" strokeweight="2pt">
                  <v:textbox inset="2.31139mm,1.1557mm,2.31139mm,1.1557mm">
                    <w:txbxContent>
                      <w:p w14:paraId="20712A11" w14:textId="77777777" w:rsidR="002010AA" w:rsidRPr="009628BF" w:rsidRDefault="002010AA" w:rsidP="002010AA">
                        <w:pPr>
                          <w:autoSpaceDE w:val="0"/>
                          <w:autoSpaceDN w:val="0"/>
                          <w:adjustRightInd w:val="0"/>
                          <w:jc w:val="center"/>
                          <w:rPr>
                            <w:rFonts w:ascii="Calibri" w:hAnsi="Calibri" w:cs="Calibri"/>
                            <w:color w:val="FFFFFF"/>
                            <w:sz w:val="33"/>
                            <w:szCs w:val="36"/>
                          </w:rPr>
                        </w:pPr>
                      </w:p>
                    </w:txbxContent>
                  </v:textbox>
                </v:rect>
                <v:group id="Group 17" o:spid="_x0000_s1037" style="position:absolute;left:57693;top:79213;width:10440;height:10440" coordorigin="51933,79747" coordsize="10440,10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oval id="Oval 14" o:spid="_x0000_s1038" style="position:absolute;left:51933;top:79747;width:10440;height:10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Z5HcQA&#10;AADaAAAADwAAAGRycy9kb3ducmV2LnhtbESPT2sCMRTE70K/Q3gFb262KrZsjaKCtBRtqfbS22Pz&#10;9g/dvCxJdNdv3wiCx2FmfsPMl71pxJmcry0reEpSEMS51TWXCn6O29ELCB+QNTaWScGFPCwXD4M5&#10;Ztp2/E3nQyhFhLDPUEEVQptJ6fOKDPrEtsTRK6wzGKJ0pdQOuwg3jRyn6UwarDkuVNjSpqL873Ay&#10;CtZb1+3fiulsPHFF+fl1NB+/O6PU8LFfvYII1Id7+NZ+1wqe4Xol3g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GeR3EAAAA2gAAAA8AAAAAAAAAAAAAAAAAmAIAAGRycy9k&#10;b3ducmV2LnhtbFBLBQYAAAAABAAEAPUAAACJAwAAAAA=&#10;" fillcolor="#df4933" stroked="f" strokeweight="2pt">
                    <v:textbox inset="2.31139mm,1.1557mm,2.31139mm,1.1557mm">
                      <w:txbxContent>
                        <w:p w14:paraId="20712A12" w14:textId="77777777" w:rsidR="002010AA" w:rsidRPr="009628BF" w:rsidRDefault="002010AA" w:rsidP="002010AA">
                          <w:pPr>
                            <w:autoSpaceDE w:val="0"/>
                            <w:autoSpaceDN w:val="0"/>
                            <w:adjustRightInd w:val="0"/>
                            <w:jc w:val="center"/>
                            <w:rPr>
                              <w:rFonts w:ascii="Calibri" w:hAnsi="Calibri" w:cs="Calibri"/>
                              <w:color w:val="FFFFFF"/>
                              <w:sz w:val="33"/>
                              <w:szCs w:val="36"/>
                            </w:rPr>
                          </w:pPr>
                        </w:p>
                      </w:txbxContent>
                    </v:textbox>
                  </v:oval>
                  <v:oval id="Oval 15" o:spid="_x0000_s1039" style="position:absolute;left:54452;top:82295;width:5400;height:5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9jRr0A&#10;AADaAAAADwAAAGRycy9kb3ducmV2LnhtbERPy6rCMBDdX/AfwgjurqkuRKtRRBTURcEHrodmbIvN&#10;pDaxrX9vFoLLw3kvVp0pRUO1KywrGA0jEMSp1QVnCq6X3f8UhPPIGkvLpOBNDlbL3t8CY21bPlFz&#10;9pkIIexiVJB7X8VSujQng25oK+LA3W1t0AdYZ1LX2IZwU8pxFE2kwYJDQ44VbXJKH+eXUcDN/XU7&#10;XpKt5WRWvpOZebYHo9Sg363nIDx1/if+uvdaQdgaroQbIJ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7U9jRr0AAADaAAAADwAAAAAAAAAAAAAAAACYAgAAZHJzL2Rvd25yZXYu&#10;eG1sUEsFBgAAAAAEAAQA9QAAAIIDAAAAAA==&#10;" fillcolor="#fffde9" stroked="f" strokeweight="2pt">
                    <v:textbox inset="2.31139mm,1.1557mm,2.31139mm,1.1557mm">
                      <w:txbxContent>
                        <w:p w14:paraId="20712A13" w14:textId="77777777" w:rsidR="002010AA" w:rsidRPr="009628BF" w:rsidRDefault="002010AA" w:rsidP="002010AA">
                          <w:pPr>
                            <w:autoSpaceDE w:val="0"/>
                            <w:autoSpaceDN w:val="0"/>
                            <w:adjustRightInd w:val="0"/>
                            <w:jc w:val="center"/>
                            <w:rPr>
                              <w:rFonts w:ascii="Calibri" w:hAnsi="Calibri" w:cs="Calibri"/>
                              <w:color w:val="FFFFFF"/>
                              <w:sz w:val="33"/>
                              <w:szCs w:val="36"/>
                            </w:rPr>
                          </w:pPr>
                        </w:p>
                      </w:txbxContent>
                    </v:textbox>
                  </v:oval>
                </v:group>
              </v:group>
              <w10:wrap type="squar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7129FA" w14:textId="77777777" w:rsidR="00CB2AA5" w:rsidRPr="00427B1C" w:rsidRDefault="00CB2AA5" w:rsidP="002010AA">
      <w:pPr>
        <w:rPr>
          <w:rFonts w:ascii="Cambria" w:hAnsi="Cambria"/>
          <w:sz w:val="22"/>
          <w:szCs w:val="22"/>
          <w:lang w:val="es-MX" w:eastAsia="es-MX"/>
        </w:rPr>
      </w:pPr>
      <w:r>
        <w:separator/>
      </w:r>
    </w:p>
  </w:footnote>
  <w:footnote w:type="continuationSeparator" w:id="0">
    <w:p w14:paraId="207129FB" w14:textId="77777777" w:rsidR="00CB2AA5" w:rsidRPr="00427B1C" w:rsidRDefault="00CB2AA5" w:rsidP="002010AA">
      <w:pPr>
        <w:rPr>
          <w:rFonts w:ascii="Cambria" w:hAnsi="Cambria"/>
          <w:sz w:val="22"/>
          <w:szCs w:val="22"/>
          <w:lang w:val="es-MX" w:eastAsia="es-MX"/>
        </w:rPr>
      </w:pPr>
      <w:r>
        <w:continuationSeparator/>
      </w:r>
    </w:p>
  </w:footnote>
  <w:footnote w:id="1">
    <w:p w14:paraId="20712A07" w14:textId="77777777" w:rsidR="00FB7422" w:rsidRPr="001C0208" w:rsidRDefault="00FB7422" w:rsidP="00FB7422">
      <w:pPr>
        <w:pStyle w:val="FootnoteText"/>
        <w:rPr>
          <w:rFonts w:ascii="Calibri" w:hAnsi="Calibri"/>
          <w:lang w:val="es-MX"/>
        </w:rPr>
      </w:pPr>
      <w:r w:rsidRPr="001C0208">
        <w:rPr>
          <w:rStyle w:val="FootnoteReference"/>
          <w:rFonts w:ascii="Calibri" w:hAnsi="Calibri"/>
        </w:rPr>
        <w:footnoteRef/>
      </w:r>
      <w:r w:rsidRPr="001C0208">
        <w:rPr>
          <w:rFonts w:ascii="Calibri" w:hAnsi="Calibr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12A02" w14:textId="77777777" w:rsidR="002010AA" w:rsidRPr="00303B9F" w:rsidRDefault="002010AA" w:rsidP="002010AA">
    <w:pPr>
      <w:pStyle w:val="Header"/>
      <w:ind w:left="-567"/>
      <w:rPr>
        <w:sz w:val="72"/>
        <w:szCs w:val="72"/>
      </w:rPr>
    </w:pPr>
    <w:r w:rsidRPr="007631DD">
      <w:rPr>
        <w:rFonts w:ascii="Myriad Pro" w:hAnsi="Myriad Pro" w:cs="Myriad Pro"/>
        <w:color w:val="DF4933"/>
        <w:sz w:val="76"/>
        <w:szCs w:val="76"/>
        <w:lang w:val="es-MX"/>
      </w:rPr>
      <w:t>documenta</w:t>
    </w:r>
  </w:p>
  <w:p w14:paraId="20712A03" w14:textId="77777777" w:rsidR="002010AA" w:rsidRDefault="002010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2C4EB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F910E1"/>
    <w:multiLevelType w:val="hybridMultilevel"/>
    <w:tmpl w:val="C7465AD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151C79B6"/>
    <w:multiLevelType w:val="hybridMultilevel"/>
    <w:tmpl w:val="2F24FC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30D5041"/>
    <w:multiLevelType w:val="hybridMultilevel"/>
    <w:tmpl w:val="2C9828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C80764A"/>
    <w:multiLevelType w:val="multilevel"/>
    <w:tmpl w:val="FFFFFFFF"/>
    <w:lvl w:ilvl="0">
      <w:start w:val="1"/>
      <w:numFmt w:val="bullet"/>
      <w:lvlText w:val="●"/>
      <w:lvlJc w:val="left"/>
      <w:pPr>
        <w:ind w:left="720" w:firstLine="360"/>
      </w:pPr>
      <w:rPr>
        <w:rFonts w:ascii="Arial" w:eastAsia="Times New Roman" w:hAnsi="Arial"/>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abstractNum w:abstractNumId="5">
    <w:nsid w:val="2D8030B8"/>
    <w:multiLevelType w:val="multilevel"/>
    <w:tmpl w:val="FFFFFFFF"/>
    <w:lvl w:ilvl="0">
      <w:start w:val="1"/>
      <w:numFmt w:val="bullet"/>
      <w:lvlText w:val="●"/>
      <w:lvlJc w:val="left"/>
      <w:pPr>
        <w:ind w:left="720" w:firstLine="360"/>
      </w:pPr>
      <w:rPr>
        <w:rFonts w:ascii="Arial" w:eastAsia="Times New Roman" w:hAnsi="Arial"/>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abstractNum w:abstractNumId="6">
    <w:nsid w:val="2DB665C2"/>
    <w:multiLevelType w:val="hybridMultilevel"/>
    <w:tmpl w:val="2D1E4E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8276A47"/>
    <w:multiLevelType w:val="multilevel"/>
    <w:tmpl w:val="FFFFFFFF"/>
    <w:lvl w:ilvl="0">
      <w:start w:val="1"/>
      <w:numFmt w:val="bullet"/>
      <w:lvlText w:val="●"/>
      <w:lvlJc w:val="left"/>
      <w:pPr>
        <w:ind w:left="1854" w:firstLine="1494"/>
      </w:pPr>
      <w:rPr>
        <w:rFonts w:ascii="Arial" w:eastAsia="Times New Roman" w:hAnsi="Arial"/>
      </w:rPr>
    </w:lvl>
    <w:lvl w:ilvl="1">
      <w:start w:val="1"/>
      <w:numFmt w:val="bullet"/>
      <w:lvlText w:val="o"/>
      <w:lvlJc w:val="left"/>
      <w:pPr>
        <w:ind w:left="2574" w:firstLine="2214"/>
      </w:pPr>
      <w:rPr>
        <w:rFonts w:ascii="Arial" w:eastAsia="Times New Roman" w:hAnsi="Arial"/>
      </w:rPr>
    </w:lvl>
    <w:lvl w:ilvl="2">
      <w:start w:val="1"/>
      <w:numFmt w:val="bullet"/>
      <w:lvlText w:val="▪"/>
      <w:lvlJc w:val="left"/>
      <w:pPr>
        <w:ind w:left="3294" w:firstLine="2934"/>
      </w:pPr>
      <w:rPr>
        <w:rFonts w:ascii="Arial" w:eastAsia="Times New Roman" w:hAnsi="Arial"/>
      </w:rPr>
    </w:lvl>
    <w:lvl w:ilvl="3">
      <w:start w:val="1"/>
      <w:numFmt w:val="bullet"/>
      <w:lvlText w:val="●"/>
      <w:lvlJc w:val="left"/>
      <w:pPr>
        <w:ind w:left="4014" w:firstLine="3654"/>
      </w:pPr>
      <w:rPr>
        <w:rFonts w:ascii="Arial" w:eastAsia="Times New Roman" w:hAnsi="Arial"/>
      </w:rPr>
    </w:lvl>
    <w:lvl w:ilvl="4">
      <w:start w:val="1"/>
      <w:numFmt w:val="bullet"/>
      <w:lvlText w:val="o"/>
      <w:lvlJc w:val="left"/>
      <w:pPr>
        <w:ind w:left="4734" w:firstLine="4374"/>
      </w:pPr>
      <w:rPr>
        <w:rFonts w:ascii="Arial" w:eastAsia="Times New Roman" w:hAnsi="Arial"/>
      </w:rPr>
    </w:lvl>
    <w:lvl w:ilvl="5">
      <w:start w:val="1"/>
      <w:numFmt w:val="bullet"/>
      <w:lvlText w:val="▪"/>
      <w:lvlJc w:val="left"/>
      <w:pPr>
        <w:ind w:left="5454" w:firstLine="5094"/>
      </w:pPr>
      <w:rPr>
        <w:rFonts w:ascii="Arial" w:eastAsia="Times New Roman" w:hAnsi="Arial"/>
      </w:rPr>
    </w:lvl>
    <w:lvl w:ilvl="6">
      <w:start w:val="1"/>
      <w:numFmt w:val="bullet"/>
      <w:lvlText w:val="●"/>
      <w:lvlJc w:val="left"/>
      <w:pPr>
        <w:ind w:left="6174" w:firstLine="5814"/>
      </w:pPr>
      <w:rPr>
        <w:rFonts w:ascii="Arial" w:eastAsia="Times New Roman" w:hAnsi="Arial"/>
      </w:rPr>
    </w:lvl>
    <w:lvl w:ilvl="7">
      <w:start w:val="1"/>
      <w:numFmt w:val="bullet"/>
      <w:lvlText w:val="o"/>
      <w:lvlJc w:val="left"/>
      <w:pPr>
        <w:ind w:left="6894" w:firstLine="6534"/>
      </w:pPr>
      <w:rPr>
        <w:rFonts w:ascii="Arial" w:eastAsia="Times New Roman" w:hAnsi="Arial"/>
      </w:rPr>
    </w:lvl>
    <w:lvl w:ilvl="8">
      <w:start w:val="1"/>
      <w:numFmt w:val="bullet"/>
      <w:lvlText w:val="▪"/>
      <w:lvlJc w:val="left"/>
      <w:pPr>
        <w:ind w:left="7614" w:firstLine="7254"/>
      </w:pPr>
      <w:rPr>
        <w:rFonts w:ascii="Arial" w:eastAsia="Times New Roman" w:hAnsi="Arial"/>
      </w:rPr>
    </w:lvl>
  </w:abstractNum>
  <w:abstractNum w:abstractNumId="8">
    <w:nsid w:val="393273D0"/>
    <w:multiLevelType w:val="hybridMultilevel"/>
    <w:tmpl w:val="BA3408C4"/>
    <w:lvl w:ilvl="0" w:tplc="080A000F">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16C085C"/>
    <w:multiLevelType w:val="hybridMultilevel"/>
    <w:tmpl w:val="BFA48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C821D5"/>
    <w:multiLevelType w:val="multilevel"/>
    <w:tmpl w:val="FFFFFFFF"/>
    <w:lvl w:ilvl="0">
      <w:start w:val="1"/>
      <w:numFmt w:val="bullet"/>
      <w:lvlText w:val="●"/>
      <w:lvlJc w:val="left"/>
      <w:pPr>
        <w:ind w:left="720" w:firstLine="360"/>
      </w:pPr>
      <w:rPr>
        <w:rFonts w:ascii="Arial" w:eastAsia="Times New Roman" w:hAnsi="Arial"/>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abstractNum w:abstractNumId="11">
    <w:nsid w:val="5ECA457E"/>
    <w:multiLevelType w:val="hybridMultilevel"/>
    <w:tmpl w:val="78C0F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811392"/>
    <w:multiLevelType w:val="hybridMultilevel"/>
    <w:tmpl w:val="DBC83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292D55"/>
    <w:multiLevelType w:val="hybridMultilevel"/>
    <w:tmpl w:val="318294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8914EDE"/>
    <w:multiLevelType w:val="multilevel"/>
    <w:tmpl w:val="FFFFFFFF"/>
    <w:lvl w:ilvl="0">
      <w:start w:val="1"/>
      <w:numFmt w:val="bullet"/>
      <w:lvlText w:val="●"/>
      <w:lvlJc w:val="left"/>
      <w:pPr>
        <w:ind w:left="2136" w:firstLine="1776"/>
      </w:pPr>
      <w:rPr>
        <w:rFonts w:ascii="Arial" w:eastAsia="Times New Roman" w:hAnsi="Arial"/>
      </w:rPr>
    </w:lvl>
    <w:lvl w:ilvl="1">
      <w:start w:val="1"/>
      <w:numFmt w:val="bullet"/>
      <w:lvlText w:val="o"/>
      <w:lvlJc w:val="left"/>
      <w:pPr>
        <w:ind w:left="2856" w:firstLine="2496"/>
      </w:pPr>
      <w:rPr>
        <w:rFonts w:ascii="Arial" w:eastAsia="Times New Roman" w:hAnsi="Arial"/>
      </w:rPr>
    </w:lvl>
    <w:lvl w:ilvl="2">
      <w:start w:val="1"/>
      <w:numFmt w:val="bullet"/>
      <w:lvlText w:val="▪"/>
      <w:lvlJc w:val="left"/>
      <w:pPr>
        <w:ind w:left="3576" w:firstLine="3216"/>
      </w:pPr>
      <w:rPr>
        <w:rFonts w:ascii="Arial" w:eastAsia="Times New Roman" w:hAnsi="Arial"/>
      </w:rPr>
    </w:lvl>
    <w:lvl w:ilvl="3">
      <w:start w:val="1"/>
      <w:numFmt w:val="bullet"/>
      <w:lvlText w:val="●"/>
      <w:lvlJc w:val="left"/>
      <w:pPr>
        <w:ind w:left="4296" w:firstLine="3936"/>
      </w:pPr>
      <w:rPr>
        <w:rFonts w:ascii="Arial" w:eastAsia="Times New Roman" w:hAnsi="Arial"/>
      </w:rPr>
    </w:lvl>
    <w:lvl w:ilvl="4">
      <w:start w:val="1"/>
      <w:numFmt w:val="bullet"/>
      <w:lvlText w:val="o"/>
      <w:lvlJc w:val="left"/>
      <w:pPr>
        <w:ind w:left="5016" w:firstLine="4656"/>
      </w:pPr>
      <w:rPr>
        <w:rFonts w:ascii="Arial" w:eastAsia="Times New Roman" w:hAnsi="Arial"/>
      </w:rPr>
    </w:lvl>
    <w:lvl w:ilvl="5">
      <w:start w:val="1"/>
      <w:numFmt w:val="bullet"/>
      <w:lvlText w:val="▪"/>
      <w:lvlJc w:val="left"/>
      <w:pPr>
        <w:ind w:left="5736" w:firstLine="5376"/>
      </w:pPr>
      <w:rPr>
        <w:rFonts w:ascii="Arial" w:eastAsia="Times New Roman" w:hAnsi="Arial"/>
      </w:rPr>
    </w:lvl>
    <w:lvl w:ilvl="6">
      <w:start w:val="1"/>
      <w:numFmt w:val="bullet"/>
      <w:lvlText w:val="●"/>
      <w:lvlJc w:val="left"/>
      <w:pPr>
        <w:ind w:left="6456" w:firstLine="6096"/>
      </w:pPr>
      <w:rPr>
        <w:rFonts w:ascii="Arial" w:eastAsia="Times New Roman" w:hAnsi="Arial"/>
      </w:rPr>
    </w:lvl>
    <w:lvl w:ilvl="7">
      <w:start w:val="1"/>
      <w:numFmt w:val="bullet"/>
      <w:lvlText w:val="o"/>
      <w:lvlJc w:val="left"/>
      <w:pPr>
        <w:ind w:left="7176" w:firstLine="6816"/>
      </w:pPr>
      <w:rPr>
        <w:rFonts w:ascii="Arial" w:eastAsia="Times New Roman" w:hAnsi="Arial"/>
      </w:rPr>
    </w:lvl>
    <w:lvl w:ilvl="8">
      <w:start w:val="1"/>
      <w:numFmt w:val="bullet"/>
      <w:lvlText w:val="▪"/>
      <w:lvlJc w:val="left"/>
      <w:pPr>
        <w:ind w:left="7896" w:firstLine="7536"/>
      </w:pPr>
      <w:rPr>
        <w:rFonts w:ascii="Arial" w:eastAsia="Times New Roman" w:hAnsi="Arial"/>
      </w:rPr>
    </w:lvl>
  </w:abstractNum>
  <w:abstractNum w:abstractNumId="15">
    <w:nsid w:val="72A90619"/>
    <w:multiLevelType w:val="hybridMultilevel"/>
    <w:tmpl w:val="22A0B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ABA79A7"/>
    <w:multiLevelType w:val="hybridMultilevel"/>
    <w:tmpl w:val="7CB466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8"/>
  </w:num>
  <w:num w:numId="4">
    <w:abstractNumId w:val="6"/>
  </w:num>
  <w:num w:numId="5">
    <w:abstractNumId w:val="0"/>
  </w:num>
  <w:num w:numId="6">
    <w:abstractNumId w:val="12"/>
  </w:num>
  <w:num w:numId="7">
    <w:abstractNumId w:val="9"/>
  </w:num>
  <w:num w:numId="8">
    <w:abstractNumId w:val="11"/>
  </w:num>
  <w:num w:numId="9">
    <w:abstractNumId w:val="3"/>
  </w:num>
  <w:num w:numId="10">
    <w:abstractNumId w:val="14"/>
  </w:num>
  <w:num w:numId="11">
    <w:abstractNumId w:val="10"/>
  </w:num>
  <w:num w:numId="12">
    <w:abstractNumId w:val="5"/>
  </w:num>
  <w:num w:numId="13">
    <w:abstractNumId w:val="4"/>
  </w:num>
  <w:num w:numId="14">
    <w:abstractNumId w:val="7"/>
  </w:num>
  <w:num w:numId="15">
    <w:abstractNumId w:val="2"/>
  </w:num>
  <w:num w:numId="16">
    <w:abstractNumId w:val="16"/>
  </w:num>
  <w:num w:numId="1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8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7E4"/>
    <w:rsid w:val="00001CAF"/>
    <w:rsid w:val="00003619"/>
    <w:rsid w:val="000137F7"/>
    <w:rsid w:val="00025721"/>
    <w:rsid w:val="00034811"/>
    <w:rsid w:val="00053CDD"/>
    <w:rsid w:val="00054352"/>
    <w:rsid w:val="00064EFF"/>
    <w:rsid w:val="00075433"/>
    <w:rsid w:val="00081631"/>
    <w:rsid w:val="0009073A"/>
    <w:rsid w:val="00091BAD"/>
    <w:rsid w:val="000A1741"/>
    <w:rsid w:val="000A2FC7"/>
    <w:rsid w:val="000B256B"/>
    <w:rsid w:val="000F5732"/>
    <w:rsid w:val="00104246"/>
    <w:rsid w:val="00106ED4"/>
    <w:rsid w:val="0011197C"/>
    <w:rsid w:val="001243B0"/>
    <w:rsid w:val="001318DF"/>
    <w:rsid w:val="00141002"/>
    <w:rsid w:val="00181E15"/>
    <w:rsid w:val="001A6CFB"/>
    <w:rsid w:val="001B153E"/>
    <w:rsid w:val="001C0208"/>
    <w:rsid w:val="001C2B81"/>
    <w:rsid w:val="001C3794"/>
    <w:rsid w:val="001C6E43"/>
    <w:rsid w:val="001E58B8"/>
    <w:rsid w:val="001F14B4"/>
    <w:rsid w:val="001F367C"/>
    <w:rsid w:val="002010AA"/>
    <w:rsid w:val="00202FC0"/>
    <w:rsid w:val="002217F6"/>
    <w:rsid w:val="00236E18"/>
    <w:rsid w:val="00246040"/>
    <w:rsid w:val="00264386"/>
    <w:rsid w:val="00282CE0"/>
    <w:rsid w:val="00285B95"/>
    <w:rsid w:val="00290D66"/>
    <w:rsid w:val="00291621"/>
    <w:rsid w:val="00292B93"/>
    <w:rsid w:val="002A0CA4"/>
    <w:rsid w:val="002A6490"/>
    <w:rsid w:val="002C2FC2"/>
    <w:rsid w:val="002E15A4"/>
    <w:rsid w:val="002E1A28"/>
    <w:rsid w:val="002E1D06"/>
    <w:rsid w:val="002F06E9"/>
    <w:rsid w:val="003037C7"/>
    <w:rsid w:val="00304FFC"/>
    <w:rsid w:val="00313B45"/>
    <w:rsid w:val="00321F87"/>
    <w:rsid w:val="003267E5"/>
    <w:rsid w:val="00333380"/>
    <w:rsid w:val="00356564"/>
    <w:rsid w:val="0035772F"/>
    <w:rsid w:val="0035788C"/>
    <w:rsid w:val="00357CE3"/>
    <w:rsid w:val="003675CF"/>
    <w:rsid w:val="00387AEF"/>
    <w:rsid w:val="00393728"/>
    <w:rsid w:val="00397584"/>
    <w:rsid w:val="003C075E"/>
    <w:rsid w:val="003C0A04"/>
    <w:rsid w:val="003C3707"/>
    <w:rsid w:val="003D4C78"/>
    <w:rsid w:val="003F33F3"/>
    <w:rsid w:val="003F6854"/>
    <w:rsid w:val="00441B26"/>
    <w:rsid w:val="00467A35"/>
    <w:rsid w:val="0048517E"/>
    <w:rsid w:val="00492594"/>
    <w:rsid w:val="00493CE2"/>
    <w:rsid w:val="004A11DC"/>
    <w:rsid w:val="004A2861"/>
    <w:rsid w:val="004A65BD"/>
    <w:rsid w:val="004B41B8"/>
    <w:rsid w:val="004C0AA1"/>
    <w:rsid w:val="004C0AD2"/>
    <w:rsid w:val="004C1B51"/>
    <w:rsid w:val="004C40FA"/>
    <w:rsid w:val="004C6BE9"/>
    <w:rsid w:val="004E65C0"/>
    <w:rsid w:val="00500137"/>
    <w:rsid w:val="00503E4E"/>
    <w:rsid w:val="00507D61"/>
    <w:rsid w:val="00511649"/>
    <w:rsid w:val="00513A8C"/>
    <w:rsid w:val="0051756E"/>
    <w:rsid w:val="00534C65"/>
    <w:rsid w:val="005468D1"/>
    <w:rsid w:val="005521F2"/>
    <w:rsid w:val="005547A3"/>
    <w:rsid w:val="005703CC"/>
    <w:rsid w:val="00572199"/>
    <w:rsid w:val="00573AE0"/>
    <w:rsid w:val="00581A74"/>
    <w:rsid w:val="005B1524"/>
    <w:rsid w:val="005C364C"/>
    <w:rsid w:val="005D0139"/>
    <w:rsid w:val="005E0921"/>
    <w:rsid w:val="005E15D3"/>
    <w:rsid w:val="00603E95"/>
    <w:rsid w:val="00611277"/>
    <w:rsid w:val="00621D9F"/>
    <w:rsid w:val="0064508C"/>
    <w:rsid w:val="0065624C"/>
    <w:rsid w:val="006711C9"/>
    <w:rsid w:val="00696174"/>
    <w:rsid w:val="006A424C"/>
    <w:rsid w:val="006B4F78"/>
    <w:rsid w:val="006D17EF"/>
    <w:rsid w:val="006D3B45"/>
    <w:rsid w:val="006D6471"/>
    <w:rsid w:val="006E4130"/>
    <w:rsid w:val="006F1527"/>
    <w:rsid w:val="00722A7B"/>
    <w:rsid w:val="00731B01"/>
    <w:rsid w:val="00745CA3"/>
    <w:rsid w:val="00746040"/>
    <w:rsid w:val="00750B11"/>
    <w:rsid w:val="007607E4"/>
    <w:rsid w:val="00761FF7"/>
    <w:rsid w:val="00762350"/>
    <w:rsid w:val="007B64E8"/>
    <w:rsid w:val="007C35C2"/>
    <w:rsid w:val="007D2132"/>
    <w:rsid w:val="007F11DE"/>
    <w:rsid w:val="007F3B96"/>
    <w:rsid w:val="007F5B61"/>
    <w:rsid w:val="0080120D"/>
    <w:rsid w:val="00814E8B"/>
    <w:rsid w:val="00821520"/>
    <w:rsid w:val="00826ADF"/>
    <w:rsid w:val="00833031"/>
    <w:rsid w:val="008672BC"/>
    <w:rsid w:val="00883BD3"/>
    <w:rsid w:val="00895E26"/>
    <w:rsid w:val="00897C72"/>
    <w:rsid w:val="00897DA2"/>
    <w:rsid w:val="008A03C0"/>
    <w:rsid w:val="008B217F"/>
    <w:rsid w:val="008D6B5F"/>
    <w:rsid w:val="008E0FB4"/>
    <w:rsid w:val="008E4979"/>
    <w:rsid w:val="008E5995"/>
    <w:rsid w:val="008F33E3"/>
    <w:rsid w:val="009124E8"/>
    <w:rsid w:val="00922222"/>
    <w:rsid w:val="009254A6"/>
    <w:rsid w:val="0093422D"/>
    <w:rsid w:val="00954311"/>
    <w:rsid w:val="00954592"/>
    <w:rsid w:val="00972302"/>
    <w:rsid w:val="009750BA"/>
    <w:rsid w:val="009B3548"/>
    <w:rsid w:val="009B7AD6"/>
    <w:rsid w:val="009C02F5"/>
    <w:rsid w:val="009D4D21"/>
    <w:rsid w:val="009E1911"/>
    <w:rsid w:val="00A03A4B"/>
    <w:rsid w:val="00A15648"/>
    <w:rsid w:val="00A20B51"/>
    <w:rsid w:val="00A30EC3"/>
    <w:rsid w:val="00A47E6C"/>
    <w:rsid w:val="00A63A52"/>
    <w:rsid w:val="00A7133A"/>
    <w:rsid w:val="00A72978"/>
    <w:rsid w:val="00A979EA"/>
    <w:rsid w:val="00AA1428"/>
    <w:rsid w:val="00AA761F"/>
    <w:rsid w:val="00AB43FE"/>
    <w:rsid w:val="00AD57D6"/>
    <w:rsid w:val="00AD58D2"/>
    <w:rsid w:val="00AF3362"/>
    <w:rsid w:val="00B16D3C"/>
    <w:rsid w:val="00B303C8"/>
    <w:rsid w:val="00B37210"/>
    <w:rsid w:val="00B40FD2"/>
    <w:rsid w:val="00B41053"/>
    <w:rsid w:val="00B65E32"/>
    <w:rsid w:val="00B72599"/>
    <w:rsid w:val="00B82BE8"/>
    <w:rsid w:val="00B9222A"/>
    <w:rsid w:val="00B93510"/>
    <w:rsid w:val="00BA2CD0"/>
    <w:rsid w:val="00BB4AB7"/>
    <w:rsid w:val="00BB7BE7"/>
    <w:rsid w:val="00BC0BE0"/>
    <w:rsid w:val="00BD5353"/>
    <w:rsid w:val="00BF3A0F"/>
    <w:rsid w:val="00BF747D"/>
    <w:rsid w:val="00C0351C"/>
    <w:rsid w:val="00C22545"/>
    <w:rsid w:val="00C34087"/>
    <w:rsid w:val="00C41317"/>
    <w:rsid w:val="00C51B55"/>
    <w:rsid w:val="00C64511"/>
    <w:rsid w:val="00C96A0E"/>
    <w:rsid w:val="00CA75DB"/>
    <w:rsid w:val="00CB2AA5"/>
    <w:rsid w:val="00CB3F21"/>
    <w:rsid w:val="00CB5386"/>
    <w:rsid w:val="00D2629C"/>
    <w:rsid w:val="00D27E5C"/>
    <w:rsid w:val="00D460DD"/>
    <w:rsid w:val="00D55058"/>
    <w:rsid w:val="00D6269B"/>
    <w:rsid w:val="00D66A54"/>
    <w:rsid w:val="00D93B1C"/>
    <w:rsid w:val="00DB6DA1"/>
    <w:rsid w:val="00DC12CA"/>
    <w:rsid w:val="00DC3FA9"/>
    <w:rsid w:val="00DD5932"/>
    <w:rsid w:val="00DE13B3"/>
    <w:rsid w:val="00DE2B80"/>
    <w:rsid w:val="00DF65FC"/>
    <w:rsid w:val="00E177FF"/>
    <w:rsid w:val="00E4485D"/>
    <w:rsid w:val="00EA1FE8"/>
    <w:rsid w:val="00EB1891"/>
    <w:rsid w:val="00ED1E7B"/>
    <w:rsid w:val="00F10247"/>
    <w:rsid w:val="00F11A9B"/>
    <w:rsid w:val="00F17DD9"/>
    <w:rsid w:val="00F22A72"/>
    <w:rsid w:val="00F3705D"/>
    <w:rsid w:val="00F4465C"/>
    <w:rsid w:val="00F55EB3"/>
    <w:rsid w:val="00F566BD"/>
    <w:rsid w:val="00F60514"/>
    <w:rsid w:val="00F60FE1"/>
    <w:rsid w:val="00F7110B"/>
    <w:rsid w:val="00FA1FCE"/>
    <w:rsid w:val="00FB7422"/>
    <w:rsid w:val="00FD01CF"/>
    <w:rsid w:val="00FD7A08"/>
    <w:rsid w:val="00FE24AB"/>
    <w:rsid w:val="00FF1017"/>
    <w:rsid w:val="00FF3E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9"/>
    <o:shapelayout v:ext="edit">
      <o:idmap v:ext="edit" data="1"/>
    </o:shapelayout>
  </w:shapeDefaults>
  <w:decimalSymbol w:val="."/>
  <w:listSeparator w:val=","/>
  <w14:docId w14:val="20712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7607E4"/>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34FE"/>
    <w:pPr>
      <w:tabs>
        <w:tab w:val="center" w:pos="4320"/>
        <w:tab w:val="right" w:pos="8640"/>
      </w:tabs>
    </w:pPr>
    <w:rPr>
      <w:lang w:eastAsia="x-none"/>
    </w:rPr>
  </w:style>
  <w:style w:type="paragraph" w:styleId="Footer">
    <w:name w:val="footer"/>
    <w:basedOn w:val="Normal"/>
    <w:link w:val="FooterChar"/>
    <w:rsid w:val="005434FE"/>
    <w:pPr>
      <w:tabs>
        <w:tab w:val="center" w:pos="4320"/>
        <w:tab w:val="right" w:pos="8640"/>
      </w:tabs>
    </w:pPr>
    <w:rPr>
      <w:lang w:eastAsia="x-none"/>
    </w:rPr>
  </w:style>
  <w:style w:type="character" w:styleId="Hyperlink">
    <w:name w:val="Hyperlink"/>
    <w:uiPriority w:val="99"/>
    <w:unhideWhenUsed/>
    <w:rsid w:val="00630B0E"/>
    <w:rPr>
      <w:color w:val="0000FF"/>
      <w:u w:val="single"/>
    </w:rPr>
  </w:style>
  <w:style w:type="paragraph" w:styleId="BalloonText">
    <w:name w:val="Balloon Text"/>
    <w:basedOn w:val="Normal"/>
    <w:link w:val="BalloonTextChar"/>
    <w:semiHidden/>
    <w:rsid w:val="00133BB3"/>
    <w:rPr>
      <w:rFonts w:ascii="Tahoma" w:hAnsi="Tahoma"/>
      <w:sz w:val="16"/>
      <w:szCs w:val="16"/>
      <w:lang w:eastAsia="x-none"/>
    </w:rPr>
  </w:style>
  <w:style w:type="paragraph" w:styleId="FootnoteText">
    <w:name w:val="footnote text"/>
    <w:aliases w:val="Texto nota pie Car1 Car,Footnote Text Char Char Char Char Char Car Car,Footnote Text Char Char Char Char Car Car,Texto nota pie Car Car Car,Footnote reference Car Car,FA Fu Car Car,Footnote Text Char Char Char Car Car,FA Fu,FA Fußnotentex"/>
    <w:basedOn w:val="Normal"/>
    <w:link w:val="FootnoteTextChar"/>
    <w:uiPriority w:val="99"/>
    <w:rsid w:val="000F6D58"/>
    <w:rPr>
      <w:lang w:val="es-ES" w:eastAsia="es-ES"/>
    </w:rPr>
  </w:style>
  <w:style w:type="character" w:customStyle="1" w:styleId="FootnoteTextChar">
    <w:name w:val="Footnote Text Char"/>
    <w:aliases w:val="Texto nota pie Car1 Car Char,Footnote Text Char Char Char Char Char Car Car Char,Footnote Text Char Char Char Char Car Car Char,Texto nota pie Car Car Car Char,Footnote reference Car Car Char,FA Fu Car Car Char,FA Fu Char"/>
    <w:link w:val="FootnoteText"/>
    <w:uiPriority w:val="99"/>
    <w:rsid w:val="000F6D58"/>
    <w:rPr>
      <w:lang w:val="es-ES" w:eastAsia="es-ES"/>
    </w:rPr>
  </w:style>
  <w:style w:type="character" w:styleId="FootnoteReference">
    <w:name w:val="footnote reference"/>
    <w:aliases w:val="Appel note de bas de page,Footnotes refss,Texto de nota al pie,f,Footnote number,referencia nota al pie,BVI fnr,4_G,16 Point,Superscript 6 Point"/>
    <w:uiPriority w:val="99"/>
    <w:rsid w:val="000F6D58"/>
    <w:rPr>
      <w:vertAlign w:val="superscript"/>
    </w:rPr>
  </w:style>
  <w:style w:type="character" w:customStyle="1" w:styleId="HeaderChar">
    <w:name w:val="Header Char"/>
    <w:link w:val="Header"/>
    <w:rsid w:val="0081497E"/>
    <w:rPr>
      <w:sz w:val="24"/>
      <w:szCs w:val="24"/>
      <w:lang w:val="en-US"/>
    </w:rPr>
  </w:style>
  <w:style w:type="character" w:customStyle="1" w:styleId="FooterChar">
    <w:name w:val="Footer Char"/>
    <w:link w:val="Footer"/>
    <w:rsid w:val="0081497E"/>
    <w:rPr>
      <w:sz w:val="24"/>
      <w:szCs w:val="24"/>
      <w:lang w:val="en-US"/>
    </w:rPr>
  </w:style>
  <w:style w:type="character" w:customStyle="1" w:styleId="BalloonTextChar">
    <w:name w:val="Balloon Text Char"/>
    <w:link w:val="BalloonText"/>
    <w:semiHidden/>
    <w:rsid w:val="0081497E"/>
    <w:rPr>
      <w:rFonts w:ascii="Tahoma" w:hAnsi="Tahoma" w:cs="Tahoma"/>
      <w:sz w:val="16"/>
      <w:szCs w:val="16"/>
      <w:lang w:val="en-US"/>
    </w:rPr>
  </w:style>
  <w:style w:type="character" w:styleId="PageNumber">
    <w:name w:val="page number"/>
    <w:basedOn w:val="DefaultParagraphFont"/>
    <w:rsid w:val="00773CFE"/>
  </w:style>
  <w:style w:type="paragraph" w:customStyle="1" w:styleId="Listavistosa-nfasis11">
    <w:name w:val="Lista vistosa - Énfasis 11"/>
    <w:basedOn w:val="Normal"/>
    <w:uiPriority w:val="34"/>
    <w:qFormat/>
    <w:rsid w:val="00954592"/>
    <w:pPr>
      <w:widowControl w:val="0"/>
      <w:adjustRightInd w:val="0"/>
      <w:spacing w:line="360" w:lineRule="atLeast"/>
      <w:ind w:left="708"/>
      <w:jc w:val="both"/>
      <w:textAlignment w:val="baseline"/>
    </w:pPr>
    <w:rPr>
      <w:lang w:val="es-MX" w:eastAsia="es-MX"/>
    </w:rPr>
  </w:style>
  <w:style w:type="character" w:customStyle="1" w:styleId="st1">
    <w:name w:val="st1"/>
    <w:basedOn w:val="DefaultParagraphFont"/>
    <w:rsid w:val="00064EFF"/>
  </w:style>
  <w:style w:type="paragraph" w:customStyle="1" w:styleId="NoSpacing1">
    <w:name w:val="No Spacing1"/>
    <w:uiPriority w:val="1"/>
    <w:qFormat/>
    <w:rsid w:val="001C2B81"/>
    <w:rPr>
      <w:rFonts w:ascii="Calibri" w:eastAsia="Calibri" w:hAnsi="Calibri"/>
      <w:sz w:val="22"/>
      <w:szCs w:val="22"/>
      <w:lang w:eastAsia="en-US"/>
    </w:rPr>
  </w:style>
  <w:style w:type="paragraph" w:customStyle="1" w:styleId="Default">
    <w:name w:val="Default"/>
    <w:rsid w:val="000B256B"/>
    <w:pPr>
      <w:autoSpaceDE w:val="0"/>
      <w:autoSpaceDN w:val="0"/>
      <w:adjustRightInd w:val="0"/>
    </w:pPr>
    <w:rPr>
      <w:rFonts w:ascii="Adobe Garamond Pro Bold" w:eastAsia="Calibri" w:hAnsi="Adobe Garamond Pro Bold" w:cs="Adobe Garamond Pro Bold"/>
      <w:color w:val="000000"/>
      <w:sz w:val="24"/>
      <w:szCs w:val="24"/>
    </w:rPr>
  </w:style>
  <w:style w:type="table" w:styleId="TableGrid">
    <w:name w:val="Table Grid"/>
    <w:basedOn w:val="TableNormal"/>
    <w:uiPriority w:val="59"/>
    <w:rsid w:val="00003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F60FE1"/>
    <w:pPr>
      <w:spacing w:after="120"/>
      <w:ind w:left="360"/>
    </w:pPr>
    <w:rPr>
      <w:lang w:val="es-ES_tradnl" w:eastAsia="es-ES_tradnl"/>
    </w:rPr>
  </w:style>
  <w:style w:type="character" w:customStyle="1" w:styleId="BodyTextIndentChar">
    <w:name w:val="Body Text Indent Char"/>
    <w:link w:val="BodyTextIndent"/>
    <w:rsid w:val="00F60FE1"/>
    <w:rPr>
      <w:sz w:val="24"/>
      <w:szCs w:val="24"/>
      <w:lang w:val="es-ES_tradnl" w:eastAsia="es-ES_tradnl"/>
    </w:rPr>
  </w:style>
  <w:style w:type="paragraph" w:styleId="NormalWeb">
    <w:name w:val="Normal (Web)"/>
    <w:basedOn w:val="Normal"/>
    <w:uiPriority w:val="99"/>
    <w:unhideWhenUsed/>
    <w:rsid w:val="00696174"/>
    <w:pPr>
      <w:spacing w:before="100" w:beforeAutospacing="1" w:after="100" w:afterAutospacing="1"/>
    </w:pPr>
  </w:style>
  <w:style w:type="paragraph" w:customStyle="1" w:styleId="Sinespaciado1">
    <w:name w:val="Sin espaciado1"/>
    <w:rsid w:val="00696174"/>
    <w:rPr>
      <w:rFonts w:ascii="Lucida Grande" w:eastAsia="ヒラギノ角ゴ Pro W3" w:hAnsi="Lucida Grande"/>
      <w:color w:val="000000"/>
      <w:sz w:val="22"/>
      <w:lang w:val="es-ES_tradnl"/>
    </w:rPr>
  </w:style>
  <w:style w:type="paragraph" w:styleId="PlainText">
    <w:name w:val="Plain Text"/>
    <w:basedOn w:val="Normal"/>
    <w:link w:val="PlainTextChar"/>
    <w:uiPriority w:val="99"/>
    <w:unhideWhenUsed/>
    <w:rsid w:val="00696174"/>
    <w:rPr>
      <w:rFonts w:ascii="Calibri" w:eastAsia="Calibri" w:hAnsi="Calibri"/>
      <w:sz w:val="22"/>
      <w:szCs w:val="21"/>
      <w:lang w:val="x-none"/>
    </w:rPr>
  </w:style>
  <w:style w:type="character" w:customStyle="1" w:styleId="PlainTextChar">
    <w:name w:val="Plain Text Char"/>
    <w:link w:val="PlainText"/>
    <w:uiPriority w:val="99"/>
    <w:rsid w:val="00696174"/>
    <w:rPr>
      <w:rFonts w:ascii="Calibri" w:eastAsia="Calibri" w:hAnsi="Calibri"/>
      <w:sz w:val="22"/>
      <w:szCs w:val="21"/>
      <w:lang w:eastAsia="en-US"/>
    </w:rPr>
  </w:style>
  <w:style w:type="character" w:styleId="CommentReference">
    <w:name w:val="annotation reference"/>
    <w:rsid w:val="003F33F3"/>
    <w:rPr>
      <w:sz w:val="16"/>
      <w:szCs w:val="16"/>
    </w:rPr>
  </w:style>
  <w:style w:type="paragraph" w:styleId="CommentText">
    <w:name w:val="annotation text"/>
    <w:basedOn w:val="Normal"/>
    <w:link w:val="CommentTextChar"/>
    <w:rsid w:val="003F33F3"/>
  </w:style>
  <w:style w:type="character" w:customStyle="1" w:styleId="CommentTextChar">
    <w:name w:val="Comment Text Char"/>
    <w:link w:val="CommentText"/>
    <w:rsid w:val="003F33F3"/>
    <w:rPr>
      <w:lang w:val="en-US" w:eastAsia="en-US"/>
    </w:rPr>
  </w:style>
  <w:style w:type="paragraph" w:styleId="CommentSubject">
    <w:name w:val="annotation subject"/>
    <w:basedOn w:val="CommentText"/>
    <w:next w:val="CommentText"/>
    <w:link w:val="CommentSubjectChar"/>
    <w:rsid w:val="003F33F3"/>
    <w:rPr>
      <w:b/>
      <w:bCs/>
    </w:rPr>
  </w:style>
  <w:style w:type="character" w:customStyle="1" w:styleId="CommentSubjectChar">
    <w:name w:val="Comment Subject Char"/>
    <w:link w:val="CommentSubject"/>
    <w:rsid w:val="003F33F3"/>
    <w:rPr>
      <w:b/>
      <w:bCs/>
      <w:lang w:val="en-US" w:eastAsia="en-US"/>
    </w:rPr>
  </w:style>
  <w:style w:type="character" w:styleId="Strong">
    <w:name w:val="Strong"/>
    <w:uiPriority w:val="22"/>
    <w:qFormat/>
    <w:rsid w:val="00D6269B"/>
    <w:rPr>
      <w:b/>
      <w:bCs/>
    </w:rPr>
  </w:style>
  <w:style w:type="paragraph" w:styleId="ListParagraph">
    <w:name w:val="List Paragraph"/>
    <w:basedOn w:val="Normal"/>
    <w:uiPriority w:val="34"/>
    <w:qFormat/>
    <w:rsid w:val="00BA2CD0"/>
    <w:pPr>
      <w:spacing w:after="200" w:line="276" w:lineRule="auto"/>
      <w:ind w:left="720"/>
      <w:contextualSpacing/>
    </w:pPr>
    <w:rPr>
      <w:rFonts w:ascii="Calibri" w:eastAsia="Calibri" w:hAnsi="Calibri"/>
      <w:sz w:val="22"/>
      <w:szCs w:val="22"/>
    </w:rPr>
  </w:style>
  <w:style w:type="paragraph" w:customStyle="1" w:styleId="Normal1">
    <w:name w:val="Normal1"/>
    <w:uiPriority w:val="99"/>
    <w:rsid w:val="00F22A72"/>
    <w:rPr>
      <w:color w:val="000000"/>
      <w:sz w:val="24"/>
      <w:szCs w:val="24"/>
    </w:rPr>
  </w:style>
  <w:style w:type="paragraph" w:customStyle="1" w:styleId="default0">
    <w:name w:val="default"/>
    <w:basedOn w:val="Normal"/>
    <w:rsid w:val="00E177FF"/>
    <w:pPr>
      <w:spacing w:before="100" w:beforeAutospacing="1" w:after="100" w:afterAutospacing="1"/>
    </w:pPr>
    <w:rPr>
      <w:sz w:val="24"/>
      <w:szCs w:val="2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7607E4"/>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34FE"/>
    <w:pPr>
      <w:tabs>
        <w:tab w:val="center" w:pos="4320"/>
        <w:tab w:val="right" w:pos="8640"/>
      </w:tabs>
    </w:pPr>
    <w:rPr>
      <w:lang w:eastAsia="x-none"/>
    </w:rPr>
  </w:style>
  <w:style w:type="paragraph" w:styleId="Footer">
    <w:name w:val="footer"/>
    <w:basedOn w:val="Normal"/>
    <w:link w:val="FooterChar"/>
    <w:rsid w:val="005434FE"/>
    <w:pPr>
      <w:tabs>
        <w:tab w:val="center" w:pos="4320"/>
        <w:tab w:val="right" w:pos="8640"/>
      </w:tabs>
    </w:pPr>
    <w:rPr>
      <w:lang w:eastAsia="x-none"/>
    </w:rPr>
  </w:style>
  <w:style w:type="character" w:styleId="Hyperlink">
    <w:name w:val="Hyperlink"/>
    <w:uiPriority w:val="99"/>
    <w:unhideWhenUsed/>
    <w:rsid w:val="00630B0E"/>
    <w:rPr>
      <w:color w:val="0000FF"/>
      <w:u w:val="single"/>
    </w:rPr>
  </w:style>
  <w:style w:type="paragraph" w:styleId="BalloonText">
    <w:name w:val="Balloon Text"/>
    <w:basedOn w:val="Normal"/>
    <w:link w:val="BalloonTextChar"/>
    <w:semiHidden/>
    <w:rsid w:val="00133BB3"/>
    <w:rPr>
      <w:rFonts w:ascii="Tahoma" w:hAnsi="Tahoma"/>
      <w:sz w:val="16"/>
      <w:szCs w:val="16"/>
      <w:lang w:eastAsia="x-none"/>
    </w:rPr>
  </w:style>
  <w:style w:type="paragraph" w:styleId="FootnoteText">
    <w:name w:val="footnote text"/>
    <w:aliases w:val="Texto nota pie Car1 Car,Footnote Text Char Char Char Char Char Car Car,Footnote Text Char Char Char Char Car Car,Texto nota pie Car Car Car,Footnote reference Car Car,FA Fu Car Car,Footnote Text Char Char Char Car Car,FA Fu,FA Fußnotentex"/>
    <w:basedOn w:val="Normal"/>
    <w:link w:val="FootnoteTextChar"/>
    <w:uiPriority w:val="99"/>
    <w:rsid w:val="000F6D58"/>
    <w:rPr>
      <w:lang w:val="es-ES" w:eastAsia="es-ES"/>
    </w:rPr>
  </w:style>
  <w:style w:type="character" w:customStyle="1" w:styleId="FootnoteTextChar">
    <w:name w:val="Footnote Text Char"/>
    <w:aliases w:val="Texto nota pie Car1 Car Char,Footnote Text Char Char Char Char Char Car Car Char,Footnote Text Char Char Char Char Car Car Char,Texto nota pie Car Car Car Char,Footnote reference Car Car Char,FA Fu Car Car Char,FA Fu Char"/>
    <w:link w:val="FootnoteText"/>
    <w:uiPriority w:val="99"/>
    <w:rsid w:val="000F6D58"/>
    <w:rPr>
      <w:lang w:val="es-ES" w:eastAsia="es-ES"/>
    </w:rPr>
  </w:style>
  <w:style w:type="character" w:styleId="FootnoteReference">
    <w:name w:val="footnote reference"/>
    <w:aliases w:val="Appel note de bas de page,Footnotes refss,Texto de nota al pie,f,Footnote number,referencia nota al pie,BVI fnr,4_G,16 Point,Superscript 6 Point"/>
    <w:uiPriority w:val="99"/>
    <w:rsid w:val="000F6D58"/>
    <w:rPr>
      <w:vertAlign w:val="superscript"/>
    </w:rPr>
  </w:style>
  <w:style w:type="character" w:customStyle="1" w:styleId="HeaderChar">
    <w:name w:val="Header Char"/>
    <w:link w:val="Header"/>
    <w:rsid w:val="0081497E"/>
    <w:rPr>
      <w:sz w:val="24"/>
      <w:szCs w:val="24"/>
      <w:lang w:val="en-US"/>
    </w:rPr>
  </w:style>
  <w:style w:type="character" w:customStyle="1" w:styleId="FooterChar">
    <w:name w:val="Footer Char"/>
    <w:link w:val="Footer"/>
    <w:rsid w:val="0081497E"/>
    <w:rPr>
      <w:sz w:val="24"/>
      <w:szCs w:val="24"/>
      <w:lang w:val="en-US"/>
    </w:rPr>
  </w:style>
  <w:style w:type="character" w:customStyle="1" w:styleId="BalloonTextChar">
    <w:name w:val="Balloon Text Char"/>
    <w:link w:val="BalloonText"/>
    <w:semiHidden/>
    <w:rsid w:val="0081497E"/>
    <w:rPr>
      <w:rFonts w:ascii="Tahoma" w:hAnsi="Tahoma" w:cs="Tahoma"/>
      <w:sz w:val="16"/>
      <w:szCs w:val="16"/>
      <w:lang w:val="en-US"/>
    </w:rPr>
  </w:style>
  <w:style w:type="character" w:styleId="PageNumber">
    <w:name w:val="page number"/>
    <w:basedOn w:val="DefaultParagraphFont"/>
    <w:rsid w:val="00773CFE"/>
  </w:style>
  <w:style w:type="paragraph" w:customStyle="1" w:styleId="Listavistosa-nfasis11">
    <w:name w:val="Lista vistosa - Énfasis 11"/>
    <w:basedOn w:val="Normal"/>
    <w:uiPriority w:val="34"/>
    <w:qFormat/>
    <w:rsid w:val="00954592"/>
    <w:pPr>
      <w:widowControl w:val="0"/>
      <w:adjustRightInd w:val="0"/>
      <w:spacing w:line="360" w:lineRule="atLeast"/>
      <w:ind w:left="708"/>
      <w:jc w:val="both"/>
      <w:textAlignment w:val="baseline"/>
    </w:pPr>
    <w:rPr>
      <w:lang w:val="es-MX" w:eastAsia="es-MX"/>
    </w:rPr>
  </w:style>
  <w:style w:type="character" w:customStyle="1" w:styleId="st1">
    <w:name w:val="st1"/>
    <w:basedOn w:val="DefaultParagraphFont"/>
    <w:rsid w:val="00064EFF"/>
  </w:style>
  <w:style w:type="paragraph" w:customStyle="1" w:styleId="NoSpacing1">
    <w:name w:val="No Spacing1"/>
    <w:uiPriority w:val="1"/>
    <w:qFormat/>
    <w:rsid w:val="001C2B81"/>
    <w:rPr>
      <w:rFonts w:ascii="Calibri" w:eastAsia="Calibri" w:hAnsi="Calibri"/>
      <w:sz w:val="22"/>
      <w:szCs w:val="22"/>
      <w:lang w:eastAsia="en-US"/>
    </w:rPr>
  </w:style>
  <w:style w:type="paragraph" w:customStyle="1" w:styleId="Default">
    <w:name w:val="Default"/>
    <w:rsid w:val="000B256B"/>
    <w:pPr>
      <w:autoSpaceDE w:val="0"/>
      <w:autoSpaceDN w:val="0"/>
      <w:adjustRightInd w:val="0"/>
    </w:pPr>
    <w:rPr>
      <w:rFonts w:ascii="Adobe Garamond Pro Bold" w:eastAsia="Calibri" w:hAnsi="Adobe Garamond Pro Bold" w:cs="Adobe Garamond Pro Bold"/>
      <w:color w:val="000000"/>
      <w:sz w:val="24"/>
      <w:szCs w:val="24"/>
    </w:rPr>
  </w:style>
  <w:style w:type="table" w:styleId="TableGrid">
    <w:name w:val="Table Grid"/>
    <w:basedOn w:val="TableNormal"/>
    <w:uiPriority w:val="59"/>
    <w:rsid w:val="00003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F60FE1"/>
    <w:pPr>
      <w:spacing w:after="120"/>
      <w:ind w:left="360"/>
    </w:pPr>
    <w:rPr>
      <w:lang w:val="es-ES_tradnl" w:eastAsia="es-ES_tradnl"/>
    </w:rPr>
  </w:style>
  <w:style w:type="character" w:customStyle="1" w:styleId="BodyTextIndentChar">
    <w:name w:val="Body Text Indent Char"/>
    <w:link w:val="BodyTextIndent"/>
    <w:rsid w:val="00F60FE1"/>
    <w:rPr>
      <w:sz w:val="24"/>
      <w:szCs w:val="24"/>
      <w:lang w:val="es-ES_tradnl" w:eastAsia="es-ES_tradnl"/>
    </w:rPr>
  </w:style>
  <w:style w:type="paragraph" w:styleId="NormalWeb">
    <w:name w:val="Normal (Web)"/>
    <w:basedOn w:val="Normal"/>
    <w:uiPriority w:val="99"/>
    <w:unhideWhenUsed/>
    <w:rsid w:val="00696174"/>
    <w:pPr>
      <w:spacing w:before="100" w:beforeAutospacing="1" w:after="100" w:afterAutospacing="1"/>
    </w:pPr>
  </w:style>
  <w:style w:type="paragraph" w:customStyle="1" w:styleId="Sinespaciado1">
    <w:name w:val="Sin espaciado1"/>
    <w:rsid w:val="00696174"/>
    <w:rPr>
      <w:rFonts w:ascii="Lucida Grande" w:eastAsia="ヒラギノ角ゴ Pro W3" w:hAnsi="Lucida Grande"/>
      <w:color w:val="000000"/>
      <w:sz w:val="22"/>
      <w:lang w:val="es-ES_tradnl"/>
    </w:rPr>
  </w:style>
  <w:style w:type="paragraph" w:styleId="PlainText">
    <w:name w:val="Plain Text"/>
    <w:basedOn w:val="Normal"/>
    <w:link w:val="PlainTextChar"/>
    <w:uiPriority w:val="99"/>
    <w:unhideWhenUsed/>
    <w:rsid w:val="00696174"/>
    <w:rPr>
      <w:rFonts w:ascii="Calibri" w:eastAsia="Calibri" w:hAnsi="Calibri"/>
      <w:sz w:val="22"/>
      <w:szCs w:val="21"/>
      <w:lang w:val="x-none"/>
    </w:rPr>
  </w:style>
  <w:style w:type="character" w:customStyle="1" w:styleId="PlainTextChar">
    <w:name w:val="Plain Text Char"/>
    <w:link w:val="PlainText"/>
    <w:uiPriority w:val="99"/>
    <w:rsid w:val="00696174"/>
    <w:rPr>
      <w:rFonts w:ascii="Calibri" w:eastAsia="Calibri" w:hAnsi="Calibri"/>
      <w:sz w:val="22"/>
      <w:szCs w:val="21"/>
      <w:lang w:eastAsia="en-US"/>
    </w:rPr>
  </w:style>
  <w:style w:type="character" w:styleId="CommentReference">
    <w:name w:val="annotation reference"/>
    <w:rsid w:val="003F33F3"/>
    <w:rPr>
      <w:sz w:val="16"/>
      <w:szCs w:val="16"/>
    </w:rPr>
  </w:style>
  <w:style w:type="paragraph" w:styleId="CommentText">
    <w:name w:val="annotation text"/>
    <w:basedOn w:val="Normal"/>
    <w:link w:val="CommentTextChar"/>
    <w:rsid w:val="003F33F3"/>
  </w:style>
  <w:style w:type="character" w:customStyle="1" w:styleId="CommentTextChar">
    <w:name w:val="Comment Text Char"/>
    <w:link w:val="CommentText"/>
    <w:rsid w:val="003F33F3"/>
    <w:rPr>
      <w:lang w:val="en-US" w:eastAsia="en-US"/>
    </w:rPr>
  </w:style>
  <w:style w:type="paragraph" w:styleId="CommentSubject">
    <w:name w:val="annotation subject"/>
    <w:basedOn w:val="CommentText"/>
    <w:next w:val="CommentText"/>
    <w:link w:val="CommentSubjectChar"/>
    <w:rsid w:val="003F33F3"/>
    <w:rPr>
      <w:b/>
      <w:bCs/>
    </w:rPr>
  </w:style>
  <w:style w:type="character" w:customStyle="1" w:styleId="CommentSubjectChar">
    <w:name w:val="Comment Subject Char"/>
    <w:link w:val="CommentSubject"/>
    <w:rsid w:val="003F33F3"/>
    <w:rPr>
      <w:b/>
      <w:bCs/>
      <w:lang w:val="en-US" w:eastAsia="en-US"/>
    </w:rPr>
  </w:style>
  <w:style w:type="character" w:styleId="Strong">
    <w:name w:val="Strong"/>
    <w:uiPriority w:val="22"/>
    <w:qFormat/>
    <w:rsid w:val="00D6269B"/>
    <w:rPr>
      <w:b/>
      <w:bCs/>
    </w:rPr>
  </w:style>
  <w:style w:type="paragraph" w:styleId="ListParagraph">
    <w:name w:val="List Paragraph"/>
    <w:basedOn w:val="Normal"/>
    <w:uiPriority w:val="34"/>
    <w:qFormat/>
    <w:rsid w:val="00BA2CD0"/>
    <w:pPr>
      <w:spacing w:after="200" w:line="276" w:lineRule="auto"/>
      <w:ind w:left="720"/>
      <w:contextualSpacing/>
    </w:pPr>
    <w:rPr>
      <w:rFonts w:ascii="Calibri" w:eastAsia="Calibri" w:hAnsi="Calibri"/>
      <w:sz w:val="22"/>
      <w:szCs w:val="22"/>
    </w:rPr>
  </w:style>
  <w:style w:type="paragraph" w:customStyle="1" w:styleId="Normal1">
    <w:name w:val="Normal1"/>
    <w:uiPriority w:val="99"/>
    <w:rsid w:val="00F22A72"/>
    <w:rPr>
      <w:color w:val="000000"/>
      <w:sz w:val="24"/>
      <w:szCs w:val="24"/>
    </w:rPr>
  </w:style>
  <w:style w:type="paragraph" w:customStyle="1" w:styleId="default0">
    <w:name w:val="default"/>
    <w:basedOn w:val="Normal"/>
    <w:rsid w:val="00E177FF"/>
    <w:pPr>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609246">
      <w:bodyDiv w:val="1"/>
      <w:marLeft w:val="0"/>
      <w:marRight w:val="0"/>
      <w:marTop w:val="0"/>
      <w:marBottom w:val="0"/>
      <w:divBdr>
        <w:top w:val="none" w:sz="0" w:space="0" w:color="auto"/>
        <w:left w:val="none" w:sz="0" w:space="0" w:color="auto"/>
        <w:bottom w:val="none" w:sz="0" w:space="0" w:color="auto"/>
        <w:right w:val="none" w:sz="0" w:space="0" w:color="auto"/>
      </w:divBdr>
    </w:div>
    <w:div w:id="540869934">
      <w:bodyDiv w:val="1"/>
      <w:marLeft w:val="0"/>
      <w:marRight w:val="0"/>
      <w:marTop w:val="0"/>
      <w:marBottom w:val="0"/>
      <w:divBdr>
        <w:top w:val="none" w:sz="0" w:space="0" w:color="auto"/>
        <w:left w:val="none" w:sz="0" w:space="0" w:color="auto"/>
        <w:bottom w:val="none" w:sz="0" w:space="0" w:color="auto"/>
        <w:right w:val="none" w:sz="0" w:space="0" w:color="auto"/>
      </w:divBdr>
    </w:div>
    <w:div w:id="895746554">
      <w:bodyDiv w:val="1"/>
      <w:marLeft w:val="0"/>
      <w:marRight w:val="0"/>
      <w:marTop w:val="0"/>
      <w:marBottom w:val="0"/>
      <w:divBdr>
        <w:top w:val="none" w:sz="0" w:space="0" w:color="auto"/>
        <w:left w:val="none" w:sz="0" w:space="0" w:color="auto"/>
        <w:bottom w:val="none" w:sz="0" w:space="0" w:color="auto"/>
        <w:right w:val="none" w:sz="0" w:space="0" w:color="auto"/>
      </w:divBdr>
    </w:div>
    <w:div w:id="923341113">
      <w:bodyDiv w:val="1"/>
      <w:marLeft w:val="0"/>
      <w:marRight w:val="0"/>
      <w:marTop w:val="0"/>
      <w:marBottom w:val="0"/>
      <w:divBdr>
        <w:top w:val="none" w:sz="0" w:space="0" w:color="auto"/>
        <w:left w:val="none" w:sz="0" w:space="0" w:color="auto"/>
        <w:bottom w:val="none" w:sz="0" w:space="0" w:color="auto"/>
        <w:right w:val="none" w:sz="0" w:space="0" w:color="auto"/>
      </w:divBdr>
    </w:div>
    <w:div w:id="993487275">
      <w:bodyDiv w:val="1"/>
      <w:marLeft w:val="0"/>
      <w:marRight w:val="0"/>
      <w:marTop w:val="0"/>
      <w:marBottom w:val="0"/>
      <w:divBdr>
        <w:top w:val="none" w:sz="0" w:space="0" w:color="auto"/>
        <w:left w:val="none" w:sz="0" w:space="0" w:color="auto"/>
        <w:bottom w:val="none" w:sz="0" w:space="0" w:color="auto"/>
        <w:right w:val="none" w:sz="0" w:space="0" w:color="auto"/>
      </w:divBdr>
    </w:div>
    <w:div w:id="1012105164">
      <w:bodyDiv w:val="1"/>
      <w:marLeft w:val="0"/>
      <w:marRight w:val="0"/>
      <w:marTop w:val="0"/>
      <w:marBottom w:val="0"/>
      <w:divBdr>
        <w:top w:val="none" w:sz="0" w:space="0" w:color="auto"/>
        <w:left w:val="none" w:sz="0" w:space="0" w:color="auto"/>
        <w:bottom w:val="none" w:sz="0" w:space="0" w:color="auto"/>
        <w:right w:val="none" w:sz="0" w:space="0" w:color="auto"/>
      </w:divBdr>
    </w:div>
    <w:div w:id="1192381071">
      <w:bodyDiv w:val="1"/>
      <w:marLeft w:val="0"/>
      <w:marRight w:val="0"/>
      <w:marTop w:val="0"/>
      <w:marBottom w:val="0"/>
      <w:divBdr>
        <w:top w:val="none" w:sz="0" w:space="0" w:color="auto"/>
        <w:left w:val="none" w:sz="0" w:space="0" w:color="auto"/>
        <w:bottom w:val="none" w:sz="0" w:space="0" w:color="auto"/>
        <w:right w:val="none" w:sz="0" w:space="0" w:color="auto"/>
      </w:divBdr>
    </w:div>
    <w:div w:id="2126997736">
      <w:bodyDiv w:val="1"/>
      <w:marLeft w:val="0"/>
      <w:marRight w:val="0"/>
      <w:marTop w:val="0"/>
      <w:marBottom w:val="0"/>
      <w:divBdr>
        <w:top w:val="none" w:sz="0" w:space="0" w:color="auto"/>
        <w:left w:val="none" w:sz="0" w:space="0" w:color="auto"/>
        <w:bottom w:val="none" w:sz="0" w:space="0" w:color="auto"/>
        <w:right w:val="none" w:sz="0" w:space="0" w:color="auto"/>
      </w:divBdr>
      <w:divsChild>
        <w:div w:id="2042431652">
          <w:marLeft w:val="0"/>
          <w:marRight w:val="0"/>
          <w:marTop w:val="0"/>
          <w:marBottom w:val="0"/>
          <w:divBdr>
            <w:top w:val="none" w:sz="0" w:space="0" w:color="auto"/>
            <w:left w:val="none" w:sz="0" w:space="0" w:color="auto"/>
            <w:bottom w:val="none" w:sz="0" w:space="0" w:color="auto"/>
            <w:right w:val="none" w:sz="0" w:space="0" w:color="auto"/>
          </w:divBdr>
          <w:divsChild>
            <w:div w:id="576476052">
              <w:marLeft w:val="3900"/>
              <w:marRight w:val="0"/>
              <w:marTop w:val="0"/>
              <w:marBottom w:val="0"/>
              <w:divBdr>
                <w:top w:val="none" w:sz="0" w:space="0" w:color="auto"/>
                <w:left w:val="single" w:sz="6" w:space="0" w:color="B2B2B2"/>
                <w:bottom w:val="none" w:sz="0" w:space="0" w:color="auto"/>
                <w:right w:val="none" w:sz="0" w:space="0" w:color="auto"/>
              </w:divBdr>
              <w:divsChild>
                <w:div w:id="2115510265">
                  <w:marLeft w:val="0"/>
                  <w:marRight w:val="0"/>
                  <w:marTop w:val="0"/>
                  <w:marBottom w:val="0"/>
                  <w:divBdr>
                    <w:top w:val="none" w:sz="0" w:space="0" w:color="auto"/>
                    <w:left w:val="none" w:sz="0" w:space="0" w:color="auto"/>
                    <w:bottom w:val="none" w:sz="0" w:space="0" w:color="auto"/>
                    <w:right w:val="none" w:sz="0" w:space="0" w:color="auto"/>
                  </w:divBdr>
                  <w:divsChild>
                    <w:div w:id="1947544299">
                      <w:marLeft w:val="0"/>
                      <w:marRight w:val="0"/>
                      <w:marTop w:val="0"/>
                      <w:marBottom w:val="0"/>
                      <w:divBdr>
                        <w:top w:val="none" w:sz="0" w:space="0" w:color="auto"/>
                        <w:left w:val="none" w:sz="0" w:space="0" w:color="auto"/>
                        <w:bottom w:val="none" w:sz="0" w:space="0" w:color="auto"/>
                        <w:right w:val="none" w:sz="0" w:space="0" w:color="auto"/>
                      </w:divBdr>
                      <w:divsChild>
                        <w:div w:id="426538105">
                          <w:marLeft w:val="0"/>
                          <w:marRight w:val="0"/>
                          <w:marTop w:val="0"/>
                          <w:marBottom w:val="0"/>
                          <w:divBdr>
                            <w:top w:val="none" w:sz="0" w:space="0" w:color="auto"/>
                            <w:left w:val="none" w:sz="0" w:space="0" w:color="auto"/>
                            <w:bottom w:val="none" w:sz="0" w:space="0" w:color="auto"/>
                            <w:right w:val="none" w:sz="0" w:space="0" w:color="auto"/>
                          </w:divBdr>
                          <w:divsChild>
                            <w:div w:id="2080059042">
                              <w:marLeft w:val="0"/>
                              <w:marRight w:val="0"/>
                              <w:marTop w:val="0"/>
                              <w:marBottom w:val="0"/>
                              <w:divBdr>
                                <w:top w:val="none" w:sz="0" w:space="0" w:color="auto"/>
                                <w:left w:val="none" w:sz="0" w:space="0" w:color="auto"/>
                                <w:bottom w:val="none" w:sz="0" w:space="0" w:color="auto"/>
                                <w:right w:val="none" w:sz="0" w:space="0" w:color="auto"/>
                              </w:divBdr>
                              <w:divsChild>
                                <w:div w:id="544025843">
                                  <w:marLeft w:val="0"/>
                                  <w:marRight w:val="0"/>
                                  <w:marTop w:val="0"/>
                                  <w:marBottom w:val="0"/>
                                  <w:divBdr>
                                    <w:top w:val="none" w:sz="0" w:space="0" w:color="auto"/>
                                    <w:left w:val="none" w:sz="0" w:space="0" w:color="auto"/>
                                    <w:bottom w:val="none" w:sz="0" w:space="0" w:color="auto"/>
                                    <w:right w:val="none" w:sz="0" w:space="0" w:color="auto"/>
                                  </w:divBdr>
                                  <w:divsChild>
                                    <w:div w:id="2949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iana@documenta.org.mx" TargetMode="External"/><Relationship Id="rId18" Type="http://schemas.openxmlformats.org/officeDocument/2006/relationships/image" Target="media/image1.e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emf"/><Relationship Id="rId7" Type="http://schemas.microsoft.com/office/2007/relationships/stylesWithEffects" Target="stylesWithEffects.xml"/><Relationship Id="rId12" Type="http://schemas.openxmlformats.org/officeDocument/2006/relationships/hyperlink" Target="https://www.sitios.scjn.gob.mx/codhap/protocolo_derechos_de_personas_con_discapacidad" TargetMode="External"/><Relationship Id="rId17" Type="http://schemas.openxmlformats.org/officeDocument/2006/relationships/hyperlink" Target="http://documenta.org.mx/layout/publicaciones/informes-justicia-discapacidad-psicosocial/informe-hacia-sistema-justicia-incluyente-proceso-penal-discapacidad-psicosocial-septiembre-2016.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ndh.org.mx/sites/all/doc/Informes/Especiales/Pronunciamiento_20160210.pdf" TargetMode="External"/><Relationship Id="rId20" Type="http://schemas.openxmlformats.org/officeDocument/2006/relationships/image" Target="media/image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yperlink" Target="http://www.beta.inegi.org.mx/proyectos/registros/seguridad/dh/" TargetMode="External"/><Relationship Id="rId23" Type="http://schemas.openxmlformats.org/officeDocument/2006/relationships/image" Target="media/image6.emf"/><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negi.org.mx/est/contenidos/proyectos/censosgobierno/default.aspx" TargetMode="External"/><Relationship Id="rId22" Type="http://schemas.openxmlformats.org/officeDocument/2006/relationships/image" Target="media/image5.emf"/><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cumenta%20HP-02\Documents\Laura\Plantilla%20Documenta.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773242630385492E-2"/>
          <c:y val="9.7345132743362831E-2"/>
          <c:w val="0.53514739229024944"/>
          <c:h val="0.72566371681415931"/>
        </c:manualLayout>
      </c:layout>
      <c:barChart>
        <c:barDir val="col"/>
        <c:grouping val="clustered"/>
        <c:varyColors val="0"/>
        <c:ser>
          <c:idx val="0"/>
          <c:order val="0"/>
          <c:tx>
            <c:strRef>
              <c:f>Sheet1!$A$2</c:f>
              <c:strCache>
                <c:ptCount val="1"/>
                <c:pt idx="0">
                  <c:v>Autos de sujeción a procedimiento especial para inimputables</c:v>
                </c:pt>
              </c:strCache>
            </c:strRef>
          </c:tx>
          <c:spPr>
            <a:solidFill>
              <a:srgbClr val="800000"/>
            </a:solidFill>
            <a:ln w="14822">
              <a:solidFill>
                <a:srgbClr val="000000"/>
              </a:solidFill>
              <a:prstDash val="solid"/>
            </a:ln>
          </c:spPr>
          <c:invertIfNegative val="0"/>
          <c:cat>
            <c:numRef>
              <c:f>Sheet1!$B$1:$E$1</c:f>
              <c:numCache>
                <c:formatCode>General</c:formatCode>
                <c:ptCount val="4"/>
                <c:pt idx="0">
                  <c:v>2011</c:v>
                </c:pt>
                <c:pt idx="1">
                  <c:v>2012</c:v>
                </c:pt>
                <c:pt idx="2">
                  <c:v>2013</c:v>
                </c:pt>
                <c:pt idx="3">
                  <c:v>2014</c:v>
                </c:pt>
              </c:numCache>
            </c:numRef>
          </c:cat>
          <c:val>
            <c:numRef>
              <c:f>Sheet1!$B$2:$E$2</c:f>
              <c:numCache>
                <c:formatCode>General</c:formatCode>
                <c:ptCount val="4"/>
                <c:pt idx="0">
                  <c:v>50</c:v>
                </c:pt>
                <c:pt idx="1">
                  <c:v>163</c:v>
                </c:pt>
                <c:pt idx="2">
                  <c:v>179</c:v>
                </c:pt>
                <c:pt idx="3">
                  <c:v>152</c:v>
                </c:pt>
              </c:numCache>
            </c:numRef>
          </c:val>
        </c:ser>
        <c:dLbls>
          <c:showLegendKey val="0"/>
          <c:showVal val="0"/>
          <c:showCatName val="0"/>
          <c:showSerName val="0"/>
          <c:showPercent val="0"/>
          <c:showBubbleSize val="0"/>
        </c:dLbls>
        <c:gapWidth val="150"/>
        <c:axId val="143647872"/>
        <c:axId val="143649408"/>
      </c:barChart>
      <c:catAx>
        <c:axId val="143647872"/>
        <c:scaling>
          <c:orientation val="minMax"/>
        </c:scaling>
        <c:delete val="0"/>
        <c:axPos val="b"/>
        <c:numFmt formatCode="General" sourceLinked="1"/>
        <c:majorTickMark val="out"/>
        <c:minorTickMark val="none"/>
        <c:tickLblPos val="nextTo"/>
        <c:spPr>
          <a:ln w="3705">
            <a:solidFill>
              <a:srgbClr val="000000"/>
            </a:solidFill>
            <a:prstDash val="solid"/>
          </a:ln>
        </c:spPr>
        <c:txPr>
          <a:bodyPr rot="0" vert="horz"/>
          <a:lstStyle/>
          <a:p>
            <a:pPr>
              <a:defRPr sz="1167" b="1" i="0" u="none" strike="noStrike" baseline="0">
                <a:solidFill>
                  <a:srgbClr val="000000"/>
                </a:solidFill>
                <a:latin typeface="Calibri"/>
                <a:ea typeface="Calibri"/>
                <a:cs typeface="Calibri"/>
              </a:defRPr>
            </a:pPr>
            <a:endParaRPr lang="en-US"/>
          </a:p>
        </c:txPr>
        <c:crossAx val="143649408"/>
        <c:crosses val="autoZero"/>
        <c:auto val="1"/>
        <c:lblAlgn val="ctr"/>
        <c:lblOffset val="100"/>
        <c:tickLblSkip val="1"/>
        <c:tickMarkSkip val="1"/>
        <c:noMultiLvlLbl val="0"/>
      </c:catAx>
      <c:valAx>
        <c:axId val="143649408"/>
        <c:scaling>
          <c:orientation val="minMax"/>
        </c:scaling>
        <c:delete val="0"/>
        <c:axPos val="l"/>
        <c:numFmt formatCode="General" sourceLinked="1"/>
        <c:majorTickMark val="out"/>
        <c:minorTickMark val="none"/>
        <c:tickLblPos val="nextTo"/>
        <c:spPr>
          <a:ln w="3705">
            <a:solidFill>
              <a:srgbClr val="000000"/>
            </a:solidFill>
            <a:prstDash val="solid"/>
          </a:ln>
        </c:spPr>
        <c:txPr>
          <a:bodyPr rot="0" vert="horz"/>
          <a:lstStyle/>
          <a:p>
            <a:pPr>
              <a:defRPr sz="1167" b="1" i="0" u="none" strike="noStrike" baseline="0">
                <a:solidFill>
                  <a:srgbClr val="000000"/>
                </a:solidFill>
                <a:latin typeface="Calibri"/>
                <a:ea typeface="Calibri"/>
                <a:cs typeface="Calibri"/>
              </a:defRPr>
            </a:pPr>
            <a:endParaRPr lang="en-US"/>
          </a:p>
        </c:txPr>
        <c:crossAx val="143647872"/>
        <c:crosses val="autoZero"/>
        <c:crossBetween val="between"/>
      </c:valAx>
      <c:spPr>
        <a:solidFill>
          <a:srgbClr val="FFFFFF"/>
        </a:solidFill>
        <a:ln w="14822">
          <a:solidFill>
            <a:srgbClr val="808080"/>
          </a:solidFill>
          <a:prstDash val="solid"/>
        </a:ln>
      </c:spPr>
    </c:plotArea>
    <c:legend>
      <c:legendPos val="r"/>
      <c:layout>
        <c:manualLayout>
          <c:xMode val="edge"/>
          <c:yMode val="edge"/>
          <c:x val="0.65759637188208619"/>
          <c:y val="0.33628318584070799"/>
          <c:w val="0.33333333333333331"/>
          <c:h val="0.23893805309734514"/>
        </c:manualLayout>
      </c:layout>
      <c:overlay val="0"/>
      <c:spPr>
        <a:solidFill>
          <a:srgbClr val="FFFFFF"/>
        </a:solidFill>
        <a:ln w="3705">
          <a:solidFill>
            <a:srgbClr val="000000"/>
          </a:solidFill>
          <a:prstDash val="solid"/>
        </a:ln>
      </c:spPr>
      <c:txPr>
        <a:bodyPr/>
        <a:lstStyle/>
        <a:p>
          <a:pPr>
            <a:defRPr sz="1074"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167" b="1"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45B16-CF60-4D3A-AD92-B0557C2FC62A}"/>
</file>

<file path=customXml/itemProps2.xml><?xml version="1.0" encoding="utf-8"?>
<ds:datastoreItem xmlns:ds="http://schemas.openxmlformats.org/officeDocument/2006/customXml" ds:itemID="{B1F762E0-190A-45F1-83BB-BD16D9566D34}">
  <ds:schemaRefs>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6746572-1E8C-40C8-A052-8BDD3CB6A21F}">
  <ds:schemaRefs>
    <ds:schemaRef ds:uri="http://schemas.microsoft.com/sharepoint/v3/contenttype/forms"/>
  </ds:schemaRefs>
</ds:datastoreItem>
</file>

<file path=customXml/itemProps4.xml><?xml version="1.0" encoding="utf-8"?>
<ds:datastoreItem xmlns:ds="http://schemas.openxmlformats.org/officeDocument/2006/customXml" ds:itemID="{F172C24A-1870-4EF7-A194-F9424C20E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Documenta.dotx</Template>
  <TotalTime>0</TotalTime>
  <Pages>13</Pages>
  <Words>3765</Words>
  <Characters>21462</Characters>
  <Application>Microsoft Office Word</Application>
  <DocSecurity>0</DocSecurity>
  <Lines>178</Lines>
  <Paragraphs>50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Licenciado Miguel Pulido</vt:lpstr>
      <vt:lpstr>Licenciado Miguel Pulido</vt:lpstr>
    </vt:vector>
  </TitlesOfParts>
  <Company>Particular</Company>
  <LinksUpToDate>false</LinksUpToDate>
  <CharactersWithSpaces>25177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Licenciado Miguel Pulido</dc:title>
  <dc:creator>Documenta HP-02</dc:creator>
  <cp:lastModifiedBy>Facundo Chavez Penillas</cp:lastModifiedBy>
  <cp:revision>2</cp:revision>
  <cp:lastPrinted>2016-06-13T23:21:00Z</cp:lastPrinted>
  <dcterms:created xsi:type="dcterms:W3CDTF">2017-05-16T16:16:00Z</dcterms:created>
  <dcterms:modified xsi:type="dcterms:W3CDTF">2017-05-16T16:16:00Z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