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667F9" w14:textId="77777777" w:rsidR="0052665C" w:rsidRPr="004F52EB" w:rsidRDefault="0052665C" w:rsidP="0052665C">
      <w:pPr>
        <w:keepNext/>
        <w:ind w:left="2880" w:firstLine="720"/>
        <w:jc w:val="right"/>
        <w:outlineLvl w:val="2"/>
        <w:rPr>
          <w:rFonts w:ascii="Times New Roman" w:eastAsia="Arial Unicode MS" w:hAnsi="Times New Roman" w:cs="Times New Roman"/>
          <w:color w:val="000000"/>
          <w:szCs w:val="28"/>
        </w:rPr>
      </w:pPr>
      <w:r w:rsidRPr="004F52EB">
        <w:rPr>
          <w:rFonts w:ascii="Times New Roman" w:eastAsia="Arial Unicode MS" w:hAnsi="Times New Roman" w:cs="Times New Roman"/>
          <w:color w:val="000000"/>
          <w:szCs w:val="28"/>
        </w:rPr>
        <w:t>Check against delivery</w:t>
      </w:r>
    </w:p>
    <w:p w14:paraId="46AFA15C" w14:textId="77777777" w:rsidR="0052665C" w:rsidRPr="004F52EB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65A4599" wp14:editId="102CCCE3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D4954" w14:textId="77777777" w:rsidR="0052665C" w:rsidRDefault="0052665C" w:rsidP="0052665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65838C3" wp14:editId="11867C97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A4599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70CD4954" w14:textId="77777777" w:rsidR="0052665C" w:rsidRDefault="0052665C" w:rsidP="0052665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65838C3" wp14:editId="11867C97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ACE2175" w14:textId="77777777" w:rsidR="0052665C" w:rsidRPr="004F52EB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E679F2" w14:textId="77777777" w:rsidR="0052665C" w:rsidRPr="004F52EB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E0F6BC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5663828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D85104E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4CF3589" w14:textId="77777777" w:rsidR="0052665C" w:rsidRPr="004F52EB" w:rsidRDefault="0052665C" w:rsidP="005266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5C45A142" w14:textId="5AC10248" w:rsidR="0052665C" w:rsidRPr="004F52EB" w:rsidRDefault="0052665C" w:rsidP="0052665C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Statement by MS. CATALINA DEVANDAS</w:t>
      </w:r>
      <w:r w:rsidR="00C6729A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-AGUILAR</w:t>
      </w: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,</w:t>
      </w:r>
    </w:p>
    <w:p w14:paraId="76484EAB" w14:textId="77777777" w:rsidR="0052665C" w:rsidRPr="004F52EB" w:rsidRDefault="0052665C" w:rsidP="005266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UN Special Rapporteur on THE RIGHTS OF PERSONS WITH DISABILITIES</w:t>
      </w:r>
    </w:p>
    <w:p w14:paraId="4EFEF353" w14:textId="1701D7B9" w:rsidR="0052665C" w:rsidRPr="004F52EB" w:rsidRDefault="0065661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(Spanish only)</w:t>
      </w:r>
    </w:p>
    <w:p w14:paraId="25C9A513" w14:textId="024DF41B" w:rsidR="0052665C" w:rsidRPr="002D7FC6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665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Annual Interactive Debate on the Rights of Persons with Disabilities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43CE8F49" w14:textId="66FBC920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Article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 </w:t>
      </w:r>
      <w:r w:rsidRPr="002D7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of the Convention on the Rights of Persons with Disabilities on </w:t>
      </w:r>
      <w:proofErr w:type="spellStart"/>
      <w:r w:rsidR="002A376A">
        <w:rPr>
          <w:rFonts w:ascii="Times New Roman" w:eastAsia="Calibri" w:hAnsi="Times New Roman" w:cs="Times New Roman"/>
          <w:color w:val="000000"/>
          <w:sz w:val="28"/>
          <w:szCs w:val="28"/>
        </w:rPr>
        <w:t>habilitation</w:t>
      </w:r>
      <w:proofErr w:type="spellEnd"/>
      <w:r w:rsidR="002A37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rehabilitation</w:t>
      </w:r>
    </w:p>
    <w:p w14:paraId="665BC500" w14:textId="77777777" w:rsidR="0052665C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A176E6" w14:textId="77777777" w:rsidR="0052665C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5B56F4" w14:textId="77777777" w:rsidR="0052665C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23C315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GENEVA</w:t>
      </w:r>
    </w:p>
    <w:p w14:paraId="37FFBA98" w14:textId="5EF93C1B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6</w:t>
      </w:r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</w:t>
      </w:r>
      <w:proofErr w:type="spellStart"/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March</w:t>
      </w:r>
      <w:proofErr w:type="spellEnd"/>
      <w:r w:rsidRPr="004F52EB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201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9</w:t>
      </w:r>
    </w:p>
    <w:p w14:paraId="68A63B5F" w14:textId="77777777" w:rsidR="0052665C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4C40A9C4" w14:textId="77777777" w:rsidR="0052665C" w:rsidRPr="004F52EB" w:rsidRDefault="0052665C" w:rsidP="0052665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67BDA083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21BCCCD3" wp14:editId="630A8282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B966" w14:textId="77777777" w:rsidR="0052665C" w:rsidRPr="004F52EB" w:rsidRDefault="0052665C" w:rsidP="0052665C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466E99A4" w14:textId="77777777" w:rsidR="002A376A" w:rsidRPr="00E57291" w:rsidRDefault="002A376A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lastRenderedPageBreak/>
        <w:t>Señor presidente,</w:t>
      </w:r>
    </w:p>
    <w:p w14:paraId="32F92305" w14:textId="77777777" w:rsidR="002A376A" w:rsidRPr="00E57291" w:rsidRDefault="002A376A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Señoras delegadas, señores delegados,</w:t>
      </w:r>
    </w:p>
    <w:p w14:paraId="3FD7F2ED" w14:textId="5B4EF29F" w:rsidR="00793744" w:rsidRPr="00E57291" w:rsidRDefault="00793744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6BDD38BA" w14:textId="378907DA" w:rsidR="00D425C6" w:rsidRPr="00E57291" w:rsidRDefault="004B49D3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Quisiera</w:t>
      </w:r>
      <w:r w:rsidR="004316B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empezar </w:t>
      </w:r>
      <w:r w:rsidR="00D425C6" w:rsidRPr="00E57291">
        <w:rPr>
          <w:rFonts w:asciiTheme="majorHAnsi" w:hAnsiTheme="majorHAnsi" w:cstheme="majorHAnsi"/>
          <w:sz w:val="32"/>
          <w:szCs w:val="32"/>
          <w:lang w:val="es-ES"/>
        </w:rPr>
        <w:t>saludando el informe de la Oficina del Alto Comisionado para los Derechos Humanos sobre el artículo 26 de la Convención sobre los Derechos de las Personas con Discapacidad.</w:t>
      </w:r>
    </w:p>
    <w:p w14:paraId="552C386B" w14:textId="77777777" w:rsidR="00D425C6" w:rsidRPr="00E57291" w:rsidRDefault="00D425C6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1B6DB442" w14:textId="129CFE37" w:rsidR="0023172B" w:rsidRPr="00E57291" w:rsidRDefault="00D425C6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Es importante recordar</w:t>
      </w:r>
      <w:r w:rsidR="004B49D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que el acceso </w:t>
      </w:r>
      <w:r w:rsidR="00837669" w:rsidRPr="00E57291">
        <w:rPr>
          <w:rFonts w:asciiTheme="majorHAnsi" w:hAnsiTheme="majorHAnsi" w:cstheme="majorHAnsi"/>
          <w:sz w:val="32"/>
          <w:szCs w:val="32"/>
          <w:lang w:val="es-ES"/>
        </w:rPr>
        <w:t>a la</w:t>
      </w:r>
      <w:r w:rsidR="004B49D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habilitación y rehabilitación es un</w:t>
      </w:r>
      <w:r w:rsidR="004316B1" w:rsidRPr="00E57291">
        <w:rPr>
          <w:rFonts w:asciiTheme="majorHAnsi" w:hAnsiTheme="majorHAnsi" w:cstheme="majorHAnsi"/>
          <w:sz w:val="32"/>
          <w:szCs w:val="32"/>
          <w:lang w:val="es-ES"/>
        </w:rPr>
        <w:t>a obligación de los Estados en materia de derechos humanos</w:t>
      </w:r>
      <w:r w:rsidR="004B49D3" w:rsidRPr="00E57291">
        <w:rPr>
          <w:rFonts w:asciiTheme="majorHAnsi" w:hAnsiTheme="majorHAnsi" w:cstheme="majorHAnsi"/>
          <w:sz w:val="32"/>
          <w:szCs w:val="32"/>
          <w:lang w:val="es-ES"/>
        </w:rPr>
        <w:t>.</w:t>
      </w:r>
    </w:p>
    <w:p w14:paraId="6D3D57BB" w14:textId="77777777" w:rsidR="0023172B" w:rsidRPr="00E57291" w:rsidRDefault="0023172B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3204A9D7" w14:textId="71FA2EA8" w:rsidR="0023172B" w:rsidRPr="00E57291" w:rsidRDefault="004316B1" w:rsidP="00E57291">
      <w:pPr>
        <w:spacing w:line="276" w:lineRule="auto"/>
        <w:ind w:firstLine="720"/>
        <w:jc w:val="both"/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Se trata de</w:t>
      </w:r>
      <w:r w:rsidR="0023172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una obligación que se desprende de varios d</w:t>
      </w:r>
      <w:r w:rsidR="00D425C6" w:rsidRPr="00E57291">
        <w:rPr>
          <w:rFonts w:asciiTheme="majorHAnsi" w:hAnsiTheme="majorHAnsi" w:cstheme="majorHAnsi"/>
          <w:sz w:val="32"/>
          <w:szCs w:val="32"/>
          <w:lang w:val="es-ES"/>
        </w:rPr>
        <w:t>erechos,</w:t>
      </w:r>
      <w:r w:rsidR="0023172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como el derecho </w:t>
      </w:r>
      <w:r w:rsidR="00837669" w:rsidRPr="00E57291">
        <w:rPr>
          <w:rFonts w:asciiTheme="majorHAnsi" w:hAnsiTheme="majorHAnsi" w:cstheme="majorHAnsi"/>
          <w:sz w:val="32"/>
          <w:szCs w:val="32"/>
          <w:lang w:val="es-ES"/>
        </w:rPr>
        <w:t>a la salud</w:t>
      </w:r>
      <w:r w:rsidR="0023172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, el derecho a la educación, el derecho al trabajo y el derecho 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>a la participación</w:t>
      </w:r>
      <w:r w:rsidR="0023172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. </w:t>
      </w:r>
    </w:p>
    <w:p w14:paraId="429598E2" w14:textId="77777777" w:rsidR="004316B1" w:rsidRPr="00E57291" w:rsidRDefault="004316B1" w:rsidP="00E57291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</w:pPr>
    </w:p>
    <w:p w14:paraId="5732714C" w14:textId="77777777" w:rsidR="009B1EB0" w:rsidRPr="00E57291" w:rsidRDefault="004316B1" w:rsidP="00E57291">
      <w:pPr>
        <w:spacing w:line="276" w:lineRule="auto"/>
        <w:ind w:firstLine="720"/>
        <w:jc w:val="both"/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</w:pP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>Si las personas con discapacidad no tienen acceso a servicios</w:t>
      </w:r>
      <w:r w:rsidR="00D425C6"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 de</w:t>
      </w: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 </w:t>
      </w:r>
      <w:r w:rsidR="00D425C6" w:rsidRPr="00E57291">
        <w:rPr>
          <w:rFonts w:asciiTheme="majorHAnsi" w:hAnsiTheme="majorHAnsi" w:cstheme="majorHAnsi"/>
          <w:sz w:val="32"/>
          <w:szCs w:val="32"/>
          <w:lang w:val="es-ES"/>
        </w:rPr>
        <w:t>habilitación y rehabilitación</w:t>
      </w: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, </w:t>
      </w:r>
      <w:r w:rsidR="00D425C6"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muchas </w:t>
      </w: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>no p</w:t>
      </w:r>
      <w:r w:rsidR="00837669"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>odrán</w:t>
      </w: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 </w:t>
      </w:r>
      <w:r w:rsidR="00D425C6"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desarrollar plenamente su potencial: </w:t>
      </w:r>
      <w:r w:rsidRPr="00E57291">
        <w:rPr>
          <w:rFonts w:asciiTheme="majorHAnsi" w:hAnsiTheme="majorHAnsi" w:cstheme="majorHAnsi"/>
          <w:color w:val="000000" w:themeColor="text1"/>
          <w:sz w:val="32"/>
          <w:szCs w:val="32"/>
          <w:lang w:val="es-ES_tradnl"/>
        </w:rPr>
        <w:t xml:space="preserve">asistir a la escuela, mantener un empleo o participar activamente en el desarrollo de sus comunidades. </w:t>
      </w:r>
    </w:p>
    <w:p w14:paraId="4AD5325E" w14:textId="77777777" w:rsidR="0023172B" w:rsidRPr="00E57291" w:rsidRDefault="0023172B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7AB2E876" w14:textId="3ECB8082" w:rsidR="007072DA" w:rsidRPr="00E57291" w:rsidRDefault="00D425C6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El hecho de que los principales tratados internacionales de derechos humanos no hicieran referencia expresa a </w:t>
      </w:r>
      <w:r w:rsidR="009B1EB0" w:rsidRPr="00E57291">
        <w:rPr>
          <w:rFonts w:asciiTheme="majorHAnsi" w:hAnsiTheme="majorHAnsi" w:cstheme="majorHAnsi"/>
          <w:sz w:val="32"/>
          <w:szCs w:val="32"/>
          <w:lang w:val="es-ES"/>
        </w:rPr>
        <w:t>la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habilitación y rehabilitación, no significa que</w:t>
      </w:r>
      <w:r w:rsidR="009B1EB0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dicha obligación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no existiera antes de la adopción de la Convención </w:t>
      </w:r>
      <w:r w:rsidR="0073130C" w:rsidRPr="00E57291">
        <w:rPr>
          <w:rFonts w:asciiTheme="majorHAnsi" w:hAnsiTheme="majorHAnsi" w:cstheme="majorHAnsi"/>
          <w:sz w:val="32"/>
          <w:szCs w:val="32"/>
          <w:lang w:val="es-ES"/>
        </w:rPr>
        <w:t>sobre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los Derechos de las Personas con Discapacidad. </w:t>
      </w:r>
    </w:p>
    <w:p w14:paraId="0320CB0E" w14:textId="77777777" w:rsidR="007072DA" w:rsidRPr="00E57291" w:rsidRDefault="007072DA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2C2DE80A" w14:textId="1908150E" w:rsidR="00D425C6" w:rsidRPr="00E57291" w:rsidRDefault="00604F03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En efecto</w:t>
      </w:r>
      <w:r w:rsidR="00D425C6" w:rsidRPr="00E57291">
        <w:rPr>
          <w:rFonts w:asciiTheme="majorHAnsi" w:hAnsiTheme="majorHAnsi" w:cstheme="majorHAnsi"/>
          <w:sz w:val="32"/>
          <w:szCs w:val="32"/>
          <w:lang w:val="es-ES"/>
        </w:rPr>
        <w:t>, como nos recuerda el informe de la Oficina del Alto Comisionado para los Derechos Humanos, desde hace mucho tiempo se entiende que el acceso a la rehabilitación es un elemento intrínseco del derecho a la salud.</w:t>
      </w:r>
    </w:p>
    <w:p w14:paraId="372F6A47" w14:textId="3C46D83C" w:rsidR="004B49D3" w:rsidRPr="00E57291" w:rsidRDefault="00284618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lastRenderedPageBreak/>
        <w:t>El gran aporte de</w:t>
      </w:r>
      <w:r w:rsidR="007072D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</w:t>
      </w:r>
      <w:r w:rsidR="004316B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a Convención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es hacer</w:t>
      </w:r>
      <w:r w:rsidR="007072D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explícita</w:t>
      </w:r>
      <w:r w:rsidR="004316B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esta obligación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y clarificar su contenido</w:t>
      </w:r>
      <w:r w:rsidR="0043394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417927" w:rsidRPr="00E57291">
        <w:rPr>
          <w:rFonts w:asciiTheme="majorHAnsi" w:hAnsiTheme="majorHAnsi" w:cstheme="majorHAnsi"/>
          <w:sz w:val="32"/>
          <w:szCs w:val="32"/>
          <w:lang w:val="es-ES"/>
        </w:rPr>
        <w:t>desde un enfoque de derechos humanos</w:t>
      </w:r>
      <w:r w:rsidR="007072DA" w:rsidRPr="00E57291">
        <w:rPr>
          <w:rFonts w:asciiTheme="majorHAnsi" w:hAnsiTheme="majorHAnsi" w:cstheme="majorHAnsi"/>
          <w:sz w:val="32"/>
          <w:szCs w:val="32"/>
          <w:lang w:val="es-ES"/>
        </w:rPr>
        <w:t>.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</w:p>
    <w:p w14:paraId="0FC2F695" w14:textId="77777777" w:rsidR="0043394B" w:rsidRPr="00E57291" w:rsidRDefault="0043394B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3B5DBA31" w14:textId="59A07724" w:rsidR="004D42CA" w:rsidRPr="00E57291" w:rsidRDefault="00837669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Como sabemos, d</w:t>
      </w:r>
      <w:r w:rsidR="0043394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urante </w:t>
      </w:r>
      <w:r w:rsidR="003276DD" w:rsidRPr="00E57291">
        <w:rPr>
          <w:rFonts w:asciiTheme="majorHAnsi" w:hAnsiTheme="majorHAnsi" w:cstheme="majorHAnsi"/>
          <w:sz w:val="32"/>
          <w:szCs w:val="32"/>
          <w:lang w:val="es-ES"/>
        </w:rPr>
        <w:t>muchos años</w:t>
      </w:r>
      <w:r w:rsidR="0043394B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el abordaje de la rehabilitación se dio únicamente </w:t>
      </w:r>
      <w:r w:rsidR="00FC6EE8" w:rsidRPr="00E57291">
        <w:rPr>
          <w:rFonts w:asciiTheme="majorHAnsi" w:hAnsiTheme="majorHAnsi" w:cstheme="majorHAnsi"/>
          <w:sz w:val="32"/>
          <w:szCs w:val="32"/>
          <w:lang w:val="es-ES"/>
        </w:rPr>
        <w:t>en el ámbito de la salud, bajo un paradigma médico y paternalista que buscaba "curar" y "arreglar" a</w:t>
      </w:r>
      <w:r w:rsidR="00604F0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las personas con discapacidad antes que promover su independencia o participación. </w:t>
      </w:r>
    </w:p>
    <w:p w14:paraId="049EE848" w14:textId="77777777" w:rsidR="004D42CA" w:rsidRPr="00E57291" w:rsidRDefault="004D42CA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457A5A24" w14:textId="453DFACC" w:rsidR="0043394B" w:rsidRPr="00E57291" w:rsidRDefault="00837669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Acá hay un pasado que no podemos olvidar. G</w:t>
      </w:r>
      <w:r w:rsidR="003276DD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raves violaciones de derechos humanos 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se 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>cometieron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-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y se siguen cometiendo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-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3276DD" w:rsidRPr="00E57291">
        <w:rPr>
          <w:rFonts w:asciiTheme="majorHAnsi" w:hAnsiTheme="majorHAnsi" w:cstheme="majorHAnsi"/>
          <w:sz w:val="32"/>
          <w:szCs w:val="32"/>
          <w:lang w:val="es-ES"/>
        </w:rPr>
        <w:t>e</w:t>
      </w:r>
      <w:r w:rsidR="00604F03" w:rsidRPr="00E57291">
        <w:rPr>
          <w:rFonts w:asciiTheme="majorHAnsi" w:hAnsiTheme="majorHAnsi" w:cstheme="majorHAnsi"/>
          <w:sz w:val="32"/>
          <w:szCs w:val="32"/>
          <w:lang w:val="es-ES"/>
        </w:rPr>
        <w:t>n nombre de la rehabilitación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>:</w:t>
      </w:r>
      <w:r w:rsidR="003276DD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cientos de miles de 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personas</w:t>
      </w:r>
      <w:r w:rsidR="003276DD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con discapacidad 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separada</w:t>
      </w:r>
      <w:r w:rsidR="00604F03" w:rsidRPr="00E57291">
        <w:rPr>
          <w:rFonts w:asciiTheme="majorHAnsi" w:hAnsiTheme="majorHAnsi" w:cstheme="majorHAnsi"/>
          <w:sz w:val="32"/>
          <w:szCs w:val="32"/>
          <w:lang w:val="es-ES"/>
        </w:rPr>
        <w:t>s de sus familias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y comunidades; institucionalizada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s en contra de su voluntad; 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sometida</w:t>
      </w:r>
      <w:r w:rsidR="00604F0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s a 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innecesarios</w:t>
      </w:r>
      <w:r w:rsidR="003F6256" w:rsidRPr="00E57291">
        <w:rPr>
          <w:rFonts w:asciiTheme="majorHAnsi" w:hAnsiTheme="majorHAnsi" w:cstheme="majorHAnsi"/>
          <w:sz w:val="32"/>
          <w:szCs w:val="32"/>
          <w:lang w:val="es-ES"/>
        </w:rPr>
        <w:t>,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invasivos y dolorosos</w:t>
      </w:r>
      <w:r w:rsidR="00603898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procedimientos médicos</w:t>
      </w:r>
      <w:r w:rsidR="00604F03" w:rsidRPr="00E57291">
        <w:rPr>
          <w:rFonts w:asciiTheme="majorHAnsi" w:hAnsiTheme="majorHAnsi" w:cstheme="majorHAnsi"/>
          <w:sz w:val="32"/>
          <w:szCs w:val="32"/>
          <w:lang w:val="es-ES"/>
        </w:rPr>
        <w:t>.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</w:p>
    <w:p w14:paraId="21041F62" w14:textId="77777777" w:rsidR="00FC6EE8" w:rsidRPr="00E57291" w:rsidRDefault="00FC6EE8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081F4A7B" w14:textId="6D7D5BF9" w:rsidR="004D42CA" w:rsidRPr="00E57291" w:rsidRDefault="00604F03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De ahí </w:t>
      </w:r>
      <w:r w:rsidR="00417927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que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el </w:t>
      </w:r>
      <w:r w:rsidR="004B49D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consenso general </w:t>
      </w:r>
      <w:r w:rsidR="00417927" w:rsidRPr="00E57291">
        <w:rPr>
          <w:rFonts w:asciiTheme="majorHAnsi" w:hAnsiTheme="majorHAnsi" w:cstheme="majorHAnsi"/>
          <w:sz w:val="32"/>
          <w:szCs w:val="32"/>
          <w:lang w:val="es-ES"/>
        </w:rPr>
        <w:t>durante la negociación de la Convención haya sido</w:t>
      </w:r>
      <w:r w:rsidR="004D42CA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asegurar un abordaje inte</w:t>
      </w:r>
      <w:r w:rsidR="00417927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rsectorial de la rehabilitación 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>desde</w:t>
      </w:r>
      <w:r w:rsidR="00417927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una perspectiva de derechos humanos.</w:t>
      </w:r>
    </w:p>
    <w:p w14:paraId="55A4F3D9" w14:textId="77777777" w:rsidR="004B49D3" w:rsidRPr="00E57291" w:rsidRDefault="004B49D3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2766DC78" w14:textId="16EA4217" w:rsidR="00C9475F" w:rsidRPr="00E57291" w:rsidRDefault="00417927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Así, </w:t>
      </w:r>
      <w:r w:rsidR="0074397E" w:rsidRPr="00E57291">
        <w:rPr>
          <w:rFonts w:asciiTheme="majorHAnsi" w:hAnsiTheme="majorHAnsi" w:cstheme="majorHAnsi"/>
          <w:sz w:val="32"/>
          <w:szCs w:val="32"/>
          <w:lang w:val="es-ES"/>
        </w:rPr>
        <w:t>e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l artículo 26 de la Convención aborda</w:t>
      </w:r>
      <w:r w:rsidR="00C9475F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la habilitación y la rehabilitación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C9475F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de </w:t>
      </w:r>
      <w:r w:rsidR="004D2F4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las personas con discapacidad de una </w:t>
      </w:r>
      <w:r w:rsidR="009C5B14" w:rsidRPr="00E57291">
        <w:rPr>
          <w:rFonts w:asciiTheme="majorHAnsi" w:hAnsiTheme="majorHAnsi" w:cstheme="majorHAnsi"/>
          <w:sz w:val="32"/>
          <w:szCs w:val="32"/>
          <w:lang w:val="es-ES"/>
        </w:rPr>
        <w:t>manera integral,</w:t>
      </w:r>
      <w:r w:rsidR="00C9475F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>enunciando</w:t>
      </w:r>
      <w:r w:rsidR="00C9475F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expresa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>mente</w:t>
      </w:r>
      <w:r w:rsidR="00C9475F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a 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los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servicios y programas en los ámbitos de la salud, el empleo, la educa</w:t>
      </w:r>
      <w:r w:rsidR="009C5B14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ción y los servicios sociales. </w:t>
      </w:r>
    </w:p>
    <w:p w14:paraId="340C7994" w14:textId="77777777" w:rsidR="009C5B14" w:rsidRPr="00E57291" w:rsidRDefault="009C5B14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7F9B0AEE" w14:textId="23F8C08D" w:rsidR="009C5B14" w:rsidRPr="00E57291" w:rsidRDefault="00C9475F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Estos servicios y programas deben comenzar en la etapa más temprana posible, basarse en una evaluación multidisciplinar, apoyar la participación y la inclusión, ser voluntarios, y estar a disposición de las personas con discapacidad lo más cerca posible de su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propia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comunidad</w:t>
      </w:r>
      <w:r w:rsidR="00E06060" w:rsidRPr="00E57291">
        <w:rPr>
          <w:rFonts w:asciiTheme="majorHAnsi" w:hAnsiTheme="majorHAnsi" w:cstheme="majorHAnsi"/>
          <w:sz w:val="32"/>
          <w:szCs w:val="32"/>
          <w:lang w:val="es-ES"/>
        </w:rPr>
        <w:t>es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. </w:t>
      </w:r>
    </w:p>
    <w:p w14:paraId="79FF58A6" w14:textId="439B36EF" w:rsidR="009C5B14" w:rsidRPr="00E57291" w:rsidRDefault="009C5B14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lastRenderedPageBreak/>
        <w:t>Debe notarse, además, que la Convención hace referencia expresa a los servicios y programas de "habilitación"; es decir, a los servicios y apoyos necesarios para desarrollar al máximo la independencia de aquellos niños y niñas que nacen con discapacidad congénita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o las adquieren en la primera infancia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. Se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ref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>uerza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, de este modo, la noción de integralidad en los servicios de rehabilitación.</w:t>
      </w:r>
    </w:p>
    <w:p w14:paraId="15AA71B3" w14:textId="77777777" w:rsidR="00C9475F" w:rsidRPr="00E57291" w:rsidRDefault="00C9475F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5937A158" w14:textId="77777777" w:rsidR="00C9475F" w:rsidRPr="00E57291" w:rsidRDefault="00C9475F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Señoras delegadas, señores delegados,</w:t>
      </w:r>
    </w:p>
    <w:p w14:paraId="1DE0EED8" w14:textId="77777777" w:rsidR="00C9475F" w:rsidRPr="00E57291" w:rsidRDefault="00C9475F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1E4CE2B3" w14:textId="77777777" w:rsidR="00803504" w:rsidRPr="00E57291" w:rsidRDefault="00F54B56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El </w:t>
      </w:r>
      <w:r w:rsidR="006E514F" w:rsidRPr="00E57291">
        <w:rPr>
          <w:rFonts w:asciiTheme="majorHAnsi" w:hAnsiTheme="majorHAnsi" w:cstheme="majorHAnsi"/>
          <w:sz w:val="32"/>
          <w:szCs w:val="32"/>
          <w:lang w:val="es-ES"/>
        </w:rPr>
        <w:t>mandato de la Convención de abordar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la habilitación y rehabilitación desde una perspectiva de derechos humanos </w:t>
      </w:r>
      <w:r w:rsidR="006E514F" w:rsidRPr="00E57291">
        <w:rPr>
          <w:rFonts w:asciiTheme="majorHAnsi" w:hAnsiTheme="majorHAnsi" w:cstheme="majorHAnsi"/>
          <w:sz w:val="32"/>
          <w:szCs w:val="32"/>
          <w:lang w:val="es-ES"/>
        </w:rPr>
        <w:t>tiene que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>materializarse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en cambios concretos en la manera en que los Estados vienen desarrollando sus servicios</w:t>
      </w:r>
      <w:r w:rsidR="009606D8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y programas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.</w:t>
      </w:r>
      <w:r w:rsidR="00803504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</w:p>
    <w:p w14:paraId="03AB0E9D" w14:textId="77777777" w:rsidR="00803504" w:rsidRPr="00E57291" w:rsidRDefault="00803504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5D22100E" w14:textId="4A8F5639" w:rsidR="00F54B56" w:rsidRPr="00E57291" w:rsidRDefault="00803504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No basta con ampliar los servicios y programas de habilitación y rehabilitación, se</w:t>
      </w:r>
      <w:r w:rsidR="009B1EB0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necesita asegurar que se pres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ten desde un enfoque de derechos humanos.</w:t>
      </w:r>
    </w:p>
    <w:p w14:paraId="5FE5F5FD" w14:textId="77777777" w:rsidR="009606D8" w:rsidRPr="00E57291" w:rsidRDefault="009606D8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141ACE1E" w14:textId="0E261959" w:rsidR="009606D8" w:rsidRPr="00E57291" w:rsidRDefault="00803504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Esto supone, en primer lugar, cambiar el enfoque: habilitación y rehabilitación para la </w:t>
      </w:r>
      <w:r w:rsidR="00A117F1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facilitar la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vida independiente y la participación, no para "subsanar" las deficiencias. </w:t>
      </w:r>
    </w:p>
    <w:p w14:paraId="77EBAC0F" w14:textId="77777777" w:rsidR="009B1EB0" w:rsidRPr="00E57291" w:rsidRDefault="009B1EB0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2734B61C" w14:textId="2B7EEFC2" w:rsidR="009B1EB0" w:rsidRPr="00E57291" w:rsidRDefault="009B1EB0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En muchos casos, los programas de habilitación y rehabilitación pueden ser inadecuados para una persona, ya sea porque esa persona n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>o percibe algo negativo en su discapacidad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, o porque la eliminación de barrera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>s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sería una respuesta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más efectiva a sus necesidades. </w:t>
      </w:r>
    </w:p>
    <w:p w14:paraId="7F544B58" w14:textId="77777777" w:rsidR="009B1EB0" w:rsidRPr="00E57291" w:rsidRDefault="009B1EB0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5FDB753D" w14:textId="6098F5F9" w:rsidR="009B1EB0" w:rsidRPr="00E57291" w:rsidRDefault="009B1EB0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Por ello mismo, la rehabilitación debe basarse en las demandas, necesidades y capacidades de la propia persona, no sobre la base de las expectativas de los servicios.</w:t>
      </w:r>
    </w:p>
    <w:p w14:paraId="3B9ECD7A" w14:textId="77777777" w:rsidR="00803504" w:rsidRPr="00E57291" w:rsidRDefault="00803504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20AC63E9" w14:textId="77777777" w:rsidR="00590CD6" w:rsidRPr="00E57291" w:rsidRDefault="00803504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lastRenderedPageBreak/>
        <w:t xml:space="preserve">En segundo lugar, se requiere asegurar la </w:t>
      </w:r>
      <w:r w:rsidR="00590CD6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disponibilidad, accesibilidad, aceptabilidad y calidad de los servicios y programas de habilitación y rehabilitación. </w:t>
      </w:r>
    </w:p>
    <w:p w14:paraId="5AAF24FA" w14:textId="77777777" w:rsidR="00590CD6" w:rsidRPr="00E57291" w:rsidRDefault="00590CD6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28E97FCE" w14:textId="7A03B26A" w:rsidR="00590CD6" w:rsidRPr="00E57291" w:rsidRDefault="00590CD6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Para ello, los Estados debieran considerar poner en marcha un sistema integral, intersectorial, para coordinar el acceso efectivo de las personas con discapacidad a la habilitación</w:t>
      </w:r>
      <w:r w:rsidR="00837669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y rehabilitación, incluyendo el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acceso </w:t>
      </w:r>
      <w:r w:rsidR="00837669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a servicios especializados y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ayudas técnicas. </w:t>
      </w:r>
      <w:r w:rsidR="00517C95" w:rsidRPr="00E57291">
        <w:rPr>
          <w:rFonts w:asciiTheme="majorHAnsi" w:hAnsiTheme="majorHAnsi" w:cstheme="majorHAnsi"/>
          <w:sz w:val="32"/>
          <w:szCs w:val="32"/>
          <w:lang w:val="es-ES"/>
        </w:rPr>
        <w:t>Creo que sería un error volver a colocar todos los servicios de habilitación y rehabilitación bajo los Ministerios de Salud.</w:t>
      </w:r>
    </w:p>
    <w:p w14:paraId="58D0CB40" w14:textId="77777777" w:rsidR="00590CD6" w:rsidRPr="00E57291" w:rsidRDefault="00590CD6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5D124B83" w14:textId="48994864" w:rsidR="00590CD6" w:rsidRPr="00E57291" w:rsidRDefault="00517C95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>Además, e</w:t>
      </w:r>
      <w:r w:rsidR="00590CD6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n la práctica, los servicios de habilitación y rehabilitación suelen ser prestados por una serie de proveedores, entre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distintos sectores y niveles </w:t>
      </w:r>
      <w:r w:rsidR="00C11052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de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gobierno</w:t>
      </w:r>
      <w:r w:rsidR="00590CD6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, organizaciones privadas, organizaciones sin fines de lucro y entidades benéficas. </w:t>
      </w:r>
      <w:r w:rsidRPr="00E57291">
        <w:rPr>
          <w:rFonts w:asciiTheme="majorHAnsi" w:hAnsiTheme="majorHAnsi" w:cstheme="majorHAnsi"/>
          <w:sz w:val="32"/>
          <w:szCs w:val="32"/>
          <w:lang w:val="es-ES"/>
        </w:rPr>
        <w:t>De ahí que sea importante contar con un sistema integral que un marco claro de políticas y supervisión.</w:t>
      </w:r>
    </w:p>
    <w:p w14:paraId="3A173187" w14:textId="77777777" w:rsidR="00590CD6" w:rsidRPr="00E57291" w:rsidRDefault="00590CD6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6DF8C83E" w14:textId="77777777" w:rsidR="00837669" w:rsidRPr="00E57291" w:rsidRDefault="00517C95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Finalmente, es necesario asegurar que las personas con discapacidad y las organizaciones que las representan participen en todos los procesos de adopción de decisiones relativos al diseño, la implementación, la supervisión y la evaluación de los programas y servicios de habilitación y rehabilitación. </w:t>
      </w:r>
    </w:p>
    <w:p w14:paraId="7A26FEC0" w14:textId="77777777" w:rsidR="00837669" w:rsidRPr="00E57291" w:rsidRDefault="00837669" w:rsidP="00E57291">
      <w:pPr>
        <w:spacing w:line="276" w:lineRule="auto"/>
        <w:jc w:val="both"/>
        <w:rPr>
          <w:rFonts w:asciiTheme="majorHAnsi" w:hAnsiTheme="majorHAnsi" w:cstheme="majorHAnsi"/>
          <w:sz w:val="32"/>
          <w:szCs w:val="32"/>
          <w:lang w:val="es-ES"/>
        </w:rPr>
      </w:pPr>
    </w:p>
    <w:p w14:paraId="6AF786BE" w14:textId="34F9117F" w:rsidR="00E57291" w:rsidRPr="00E57291" w:rsidRDefault="00517C95" w:rsidP="00E57291">
      <w:pPr>
        <w:spacing w:line="276" w:lineRule="auto"/>
        <w:ind w:firstLine="720"/>
        <w:jc w:val="both"/>
        <w:rPr>
          <w:rFonts w:asciiTheme="majorHAnsi" w:hAnsiTheme="majorHAnsi" w:cstheme="majorHAnsi"/>
          <w:sz w:val="32"/>
          <w:szCs w:val="32"/>
          <w:lang w:val="es-ES"/>
        </w:rPr>
      </w:pPr>
      <w:r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Aunque no solo las personas con discapacidad pueden necesitar servicios de rehabilitación, </w:t>
      </w:r>
      <w:r w:rsidR="00837669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para muchas personas con discapacidad dichos servicios son indispensables para poder participar en la sociedad. </w:t>
      </w:r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Que la demanda por más servicios de rehabilitación de la población en general no </w:t>
      </w:r>
      <w:proofErr w:type="spellStart"/>
      <w:r w:rsidR="00967FF3" w:rsidRPr="00E57291">
        <w:rPr>
          <w:rFonts w:asciiTheme="majorHAnsi" w:hAnsiTheme="majorHAnsi" w:cstheme="majorHAnsi"/>
          <w:sz w:val="32"/>
          <w:szCs w:val="32"/>
          <w:lang w:val="es-ES"/>
        </w:rPr>
        <w:t>invisibilice</w:t>
      </w:r>
      <w:proofErr w:type="spellEnd"/>
      <w:r w:rsidR="00207E15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las demandas por servicios especializados de las personas con discapacidad.</w:t>
      </w:r>
      <w:r w:rsidR="00967FF3" w:rsidRPr="00E57291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</w:p>
    <w:p w14:paraId="65A1A468" w14:textId="796E3012" w:rsidR="00284618" w:rsidRPr="00E57291" w:rsidRDefault="00284618" w:rsidP="00E57291">
      <w:pPr>
        <w:spacing w:line="276" w:lineRule="auto"/>
        <w:ind w:firstLine="720"/>
        <w:jc w:val="center"/>
        <w:rPr>
          <w:rFonts w:asciiTheme="majorHAnsi" w:hAnsiTheme="majorHAnsi" w:cstheme="majorHAnsi"/>
          <w:sz w:val="32"/>
          <w:szCs w:val="32"/>
          <w:lang w:val="es-ES_tradnl"/>
        </w:rPr>
      </w:pPr>
      <w:bookmarkStart w:id="0" w:name="_GoBack"/>
      <w:bookmarkEnd w:id="0"/>
    </w:p>
    <w:sectPr w:rsidR="00284618" w:rsidRPr="00E57291" w:rsidSect="00967FF3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E81E" w14:textId="77777777" w:rsidR="00603898" w:rsidRDefault="00603898" w:rsidP="00967FF3">
      <w:r>
        <w:separator/>
      </w:r>
    </w:p>
  </w:endnote>
  <w:endnote w:type="continuationSeparator" w:id="0">
    <w:p w14:paraId="1DE11771" w14:textId="77777777" w:rsidR="00603898" w:rsidRDefault="00603898" w:rsidP="0096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EA9B9" w14:textId="77777777" w:rsidR="00603898" w:rsidRDefault="00603898" w:rsidP="00603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A45A6" w14:textId="77777777" w:rsidR="00603898" w:rsidRDefault="00603898" w:rsidP="00967F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760F8" w14:textId="77777777" w:rsidR="00603898" w:rsidRDefault="00603898" w:rsidP="00603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2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0AE2B1" w14:textId="77777777" w:rsidR="00603898" w:rsidRDefault="00603898" w:rsidP="00967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32CAB" w14:textId="77777777" w:rsidR="00603898" w:rsidRDefault="00603898" w:rsidP="00967FF3">
      <w:r>
        <w:separator/>
      </w:r>
    </w:p>
  </w:footnote>
  <w:footnote w:type="continuationSeparator" w:id="0">
    <w:p w14:paraId="54145477" w14:textId="77777777" w:rsidR="00603898" w:rsidRDefault="00603898" w:rsidP="0096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759AF"/>
    <w:multiLevelType w:val="hybridMultilevel"/>
    <w:tmpl w:val="2FC8860C"/>
    <w:lvl w:ilvl="0" w:tplc="15C8E2F0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99"/>
    <w:rsid w:val="00065A3A"/>
    <w:rsid w:val="000B2534"/>
    <w:rsid w:val="000D4325"/>
    <w:rsid w:val="00123EB6"/>
    <w:rsid w:val="00207E15"/>
    <w:rsid w:val="0023172B"/>
    <w:rsid w:val="00284618"/>
    <w:rsid w:val="0028641C"/>
    <w:rsid w:val="002A376A"/>
    <w:rsid w:val="002B0F72"/>
    <w:rsid w:val="00312591"/>
    <w:rsid w:val="00323C8D"/>
    <w:rsid w:val="003276DD"/>
    <w:rsid w:val="003879D9"/>
    <w:rsid w:val="003F5199"/>
    <w:rsid w:val="003F6256"/>
    <w:rsid w:val="00417927"/>
    <w:rsid w:val="004316B1"/>
    <w:rsid w:val="0043394B"/>
    <w:rsid w:val="004B49D3"/>
    <w:rsid w:val="004D2F41"/>
    <w:rsid w:val="004D42CA"/>
    <w:rsid w:val="00517C95"/>
    <w:rsid w:val="0052665C"/>
    <w:rsid w:val="0056568C"/>
    <w:rsid w:val="00590CD6"/>
    <w:rsid w:val="005A4326"/>
    <w:rsid w:val="005C68C2"/>
    <w:rsid w:val="00603898"/>
    <w:rsid w:val="00604F03"/>
    <w:rsid w:val="0065661C"/>
    <w:rsid w:val="006E514F"/>
    <w:rsid w:val="007072DA"/>
    <w:rsid w:val="0073130C"/>
    <w:rsid w:val="0074397E"/>
    <w:rsid w:val="00793744"/>
    <w:rsid w:val="00803504"/>
    <w:rsid w:val="00837669"/>
    <w:rsid w:val="0084279F"/>
    <w:rsid w:val="00864E91"/>
    <w:rsid w:val="009606D8"/>
    <w:rsid w:val="00967FF3"/>
    <w:rsid w:val="009B1EB0"/>
    <w:rsid w:val="009C5B14"/>
    <w:rsid w:val="00A117F1"/>
    <w:rsid w:val="00BF2A09"/>
    <w:rsid w:val="00C11052"/>
    <w:rsid w:val="00C6729A"/>
    <w:rsid w:val="00C9475F"/>
    <w:rsid w:val="00CC724B"/>
    <w:rsid w:val="00CD52D2"/>
    <w:rsid w:val="00CE6138"/>
    <w:rsid w:val="00D01DDD"/>
    <w:rsid w:val="00D425C6"/>
    <w:rsid w:val="00E06060"/>
    <w:rsid w:val="00E57291"/>
    <w:rsid w:val="00E572F0"/>
    <w:rsid w:val="00EE6DA8"/>
    <w:rsid w:val="00F54B56"/>
    <w:rsid w:val="00FA5A65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3ED61"/>
  <w14:defaultImageDpi w14:val="300"/>
  <w15:docId w15:val="{31A74290-46C0-4EBB-8F05-09033B36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76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1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7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F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67FF3"/>
  </w:style>
  <w:style w:type="paragraph" w:styleId="BalloonText">
    <w:name w:val="Balloon Text"/>
    <w:basedOn w:val="Normal"/>
    <w:link w:val="BalloonTextChar"/>
    <w:uiPriority w:val="99"/>
    <w:semiHidden/>
    <w:unhideWhenUsed/>
    <w:rsid w:val="00CD5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D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F3FE3F-7DAE-4264-B3AA-081A07AEC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DA74E-563C-454C-B50E-6C967E049C26}"/>
</file>

<file path=customXml/itemProps3.xml><?xml version="1.0" encoding="utf-8"?>
<ds:datastoreItem xmlns:ds="http://schemas.openxmlformats.org/officeDocument/2006/customXml" ds:itemID="{5B530E64-AD8D-4054-B2B4-5B257B44D3A8}"/>
</file>

<file path=customXml/itemProps4.xml><?xml version="1.0" encoding="utf-8"?>
<ds:datastoreItem xmlns:ds="http://schemas.openxmlformats.org/officeDocument/2006/customXml" ds:itemID="{08405E02-1D6C-4DF2-AC88-B19B0BC89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20190305-SR_Disability-Statement_Panel_PWD</dc:title>
  <dc:subject/>
  <dc:creator>Alberto Vasquez</dc:creator>
  <cp:keywords/>
  <dc:description/>
  <cp:lastModifiedBy>MICHELS Cristina</cp:lastModifiedBy>
  <cp:revision>24</cp:revision>
  <cp:lastPrinted>2019-03-05T12:58:00Z</cp:lastPrinted>
  <dcterms:created xsi:type="dcterms:W3CDTF">2019-03-05T09:07:00Z</dcterms:created>
  <dcterms:modified xsi:type="dcterms:W3CDTF">2019-03-05T13:00:00Z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