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E5E813" w14:textId="77777777" w:rsidR="006802A0" w:rsidRPr="00071547" w:rsidRDefault="006802A0" w:rsidP="006802A0">
      <w:pPr>
        <w:jc w:val="center"/>
        <w:rPr>
          <w:rFonts w:ascii="Book Antiqua" w:eastAsiaTheme="minorHAnsi" w:hAnsi="Book Antiqua" w:cs="Arial"/>
          <w:b/>
          <w:sz w:val="22"/>
          <w:szCs w:val="22"/>
          <w:lang w:val="en-US"/>
        </w:rPr>
      </w:pPr>
      <w:r w:rsidRPr="00071547">
        <w:rPr>
          <w:rFonts w:ascii="Book Antiqua" w:eastAsiaTheme="minorHAnsi" w:hAnsi="Book Antiqua" w:cs="Arial"/>
          <w:b/>
          <w:sz w:val="22"/>
          <w:szCs w:val="22"/>
          <w:lang w:val="en-US"/>
        </w:rPr>
        <w:t>INPUTS FROM THE PROTECTOR OF CITIZENS OF THE REPUBLIC OF SERBIA</w:t>
      </w:r>
    </w:p>
    <w:p w14:paraId="6304FAF7" w14:textId="77777777" w:rsidR="006802A0" w:rsidRPr="00071547" w:rsidRDefault="006802A0" w:rsidP="006802A0">
      <w:pPr>
        <w:jc w:val="center"/>
        <w:rPr>
          <w:rFonts w:ascii="Book Antiqua" w:eastAsiaTheme="minorHAnsi" w:hAnsi="Book Antiqua" w:cs="Arial"/>
          <w:b/>
          <w:sz w:val="22"/>
          <w:szCs w:val="22"/>
          <w:lang w:val="en-US"/>
        </w:rPr>
      </w:pPr>
      <w:r w:rsidRPr="00071547">
        <w:rPr>
          <w:rFonts w:ascii="Book Antiqua" w:eastAsiaTheme="minorHAnsi" w:hAnsi="Book Antiqua" w:cs="Arial"/>
          <w:b/>
          <w:sz w:val="22"/>
          <w:szCs w:val="22"/>
          <w:lang w:val="en-US"/>
        </w:rPr>
        <w:t xml:space="preserve">FOR THE SPECIAL RAPPORTEUR ON THE RIGHTS OF PERSONS WITH DISABILITIES CONCERNING GOOD PRACTICES TO ENSURE EFFECTIVE ACCESS TO JUSTICE FOR PERSONS WITH DISABILITIES </w:t>
      </w:r>
    </w:p>
    <w:p w14:paraId="511CBC4E" w14:textId="77777777" w:rsidR="006802A0" w:rsidRPr="00071547" w:rsidRDefault="006802A0" w:rsidP="006802A0">
      <w:pPr>
        <w:jc w:val="center"/>
        <w:rPr>
          <w:rFonts w:ascii="Book Antiqua" w:eastAsiaTheme="minorHAnsi" w:hAnsi="Book Antiqua" w:cs="Arial"/>
          <w:b/>
          <w:sz w:val="22"/>
          <w:szCs w:val="22"/>
          <w:lang w:val="en-US"/>
        </w:rPr>
      </w:pPr>
    </w:p>
    <w:p w14:paraId="5670EFB9" w14:textId="77777777" w:rsidR="006802A0" w:rsidRPr="00071547" w:rsidRDefault="006802A0" w:rsidP="006802A0">
      <w:pPr>
        <w:spacing w:after="120"/>
        <w:jc w:val="both"/>
        <w:rPr>
          <w:rFonts w:ascii="Book Antiqua" w:eastAsiaTheme="minorHAnsi" w:hAnsi="Book Antiqua" w:cs="TimesNewRoman"/>
          <w:sz w:val="22"/>
          <w:szCs w:val="22"/>
        </w:rPr>
      </w:pPr>
      <w:r w:rsidRPr="00071547">
        <w:rPr>
          <w:rFonts w:ascii="Book Antiqua" w:eastAsiaTheme="minorHAnsi" w:hAnsi="Book Antiqua" w:cs="TimesNewRoman"/>
          <w:b/>
          <w:sz w:val="22"/>
          <w:szCs w:val="22"/>
          <w:lang w:val="en-US"/>
        </w:rPr>
        <w:t xml:space="preserve">Please provide information on any existing good practices in legislation, policies and/or institutional measures taken in your country to ensure effective access </w:t>
      </w:r>
      <w:proofErr w:type="gramStart"/>
      <w:r w:rsidRPr="00071547">
        <w:rPr>
          <w:rFonts w:ascii="Book Antiqua" w:eastAsiaTheme="minorHAnsi" w:hAnsi="Book Antiqua" w:cs="TimesNewRoman"/>
          <w:b/>
          <w:sz w:val="22"/>
          <w:szCs w:val="22"/>
          <w:lang w:val="en-US"/>
        </w:rPr>
        <w:t>to justice for persons with disabilities on an equal basis with others, as required by article 13 of Convention of the Rights of Persons with Disabilities</w:t>
      </w:r>
      <w:proofErr w:type="gramEnd"/>
      <w:r w:rsidRPr="00071547">
        <w:rPr>
          <w:rFonts w:ascii="Book Antiqua" w:eastAsiaTheme="minorHAnsi" w:hAnsi="Book Antiqua" w:cs="TimesNewRoman"/>
          <w:sz w:val="22"/>
          <w:szCs w:val="22"/>
        </w:rPr>
        <w:t xml:space="preserve">. </w:t>
      </w:r>
    </w:p>
    <w:p w14:paraId="45A981EB" w14:textId="77777777" w:rsidR="006802A0" w:rsidRPr="00071547" w:rsidRDefault="006802A0" w:rsidP="00482111">
      <w:pPr>
        <w:pStyle w:val="ListParagraph"/>
        <w:numPr>
          <w:ilvl w:val="0"/>
          <w:numId w:val="24"/>
        </w:numPr>
        <w:ind w:left="648"/>
        <w:jc w:val="both"/>
        <w:rPr>
          <w:rFonts w:ascii="Book Antiqua" w:hAnsi="Book Antiqua"/>
        </w:rPr>
      </w:pPr>
      <w:r w:rsidRPr="00071547">
        <w:rPr>
          <w:rFonts w:ascii="Book Antiqua" w:hAnsi="Book Antiqua"/>
        </w:rPr>
        <w:t>The Law on the Prohibition of Discrimination against Persons with Disabilities</w:t>
      </w:r>
      <w:r w:rsidRPr="00071547">
        <w:rPr>
          <w:rStyle w:val="FootnoteReference"/>
          <w:rFonts w:ascii="Book Antiqua" w:hAnsi="Book Antiqua"/>
        </w:rPr>
        <w:footnoteReference w:id="1"/>
      </w:r>
      <w:r w:rsidRPr="00071547">
        <w:rPr>
          <w:rFonts w:ascii="Book Antiqua" w:hAnsi="Book Antiqua"/>
        </w:rPr>
        <w:t>, among the provisions introducing the prohibition of discrimination in different areas of life, stipulated the obligations of the administrative bodies to ensure the equality of persons with disabilities. Thus, the following obligations are stipulated:</w:t>
      </w:r>
    </w:p>
    <w:p w14:paraId="12E9FBED" w14:textId="77777777" w:rsidR="006802A0" w:rsidRPr="00071547" w:rsidRDefault="006802A0" w:rsidP="00482111">
      <w:pPr>
        <w:pStyle w:val="ListParagraph"/>
        <w:numPr>
          <w:ilvl w:val="0"/>
          <w:numId w:val="25"/>
        </w:numPr>
        <w:ind w:left="1080"/>
        <w:jc w:val="both"/>
        <w:rPr>
          <w:rFonts w:ascii="Book Antiqua" w:hAnsi="Book Antiqua"/>
        </w:rPr>
      </w:pPr>
      <w:r w:rsidRPr="00071547">
        <w:rPr>
          <w:rFonts w:ascii="Book Antiqua" w:hAnsi="Book Antiqua"/>
        </w:rPr>
        <w:t>Local self-government units are obliged to encourage the establishment of support services for persons with disabilities in order to increase the level of independence of persons with disabilities in everyday life and in order for them to exercise their rights.</w:t>
      </w:r>
    </w:p>
    <w:p w14:paraId="357267A0" w14:textId="77777777" w:rsidR="006802A0" w:rsidRPr="00071547" w:rsidRDefault="006802A0" w:rsidP="00482111">
      <w:pPr>
        <w:pStyle w:val="ListParagraph"/>
        <w:numPr>
          <w:ilvl w:val="0"/>
          <w:numId w:val="25"/>
        </w:numPr>
        <w:ind w:left="1080"/>
        <w:jc w:val="both"/>
        <w:rPr>
          <w:rFonts w:ascii="Book Antiqua" w:hAnsi="Book Antiqua"/>
        </w:rPr>
      </w:pPr>
      <w:r w:rsidRPr="00071547">
        <w:rPr>
          <w:rFonts w:ascii="Book Antiqua" w:hAnsi="Book Antiqua"/>
        </w:rPr>
        <w:t>Local self-government units are obliged to take measures making physical environment, buildings, public areas and transport accessible to persons with disabilities.</w:t>
      </w:r>
    </w:p>
    <w:p w14:paraId="00FE2545" w14:textId="77777777" w:rsidR="006802A0" w:rsidRPr="00071547" w:rsidRDefault="006802A0" w:rsidP="00482111">
      <w:pPr>
        <w:pStyle w:val="ListParagraph"/>
        <w:numPr>
          <w:ilvl w:val="0"/>
          <w:numId w:val="25"/>
        </w:numPr>
        <w:ind w:left="1080"/>
        <w:jc w:val="both"/>
        <w:rPr>
          <w:rFonts w:ascii="Book Antiqua" w:hAnsi="Book Antiqua"/>
        </w:rPr>
      </w:pPr>
      <w:r w:rsidRPr="00071547">
        <w:rPr>
          <w:rFonts w:ascii="Book Antiqua" w:hAnsi="Book Antiqua"/>
        </w:rPr>
        <w:t>Public administration bodies are obliged to take measures to ensure the equality of persons with disabilities in the proceedings before these bodies.</w:t>
      </w:r>
    </w:p>
    <w:p w14:paraId="30E867C3" w14:textId="77777777" w:rsidR="006802A0" w:rsidRPr="00071547" w:rsidRDefault="006802A0" w:rsidP="00482111">
      <w:pPr>
        <w:pStyle w:val="ListParagraph"/>
        <w:numPr>
          <w:ilvl w:val="0"/>
          <w:numId w:val="25"/>
        </w:numPr>
        <w:ind w:left="1080"/>
        <w:jc w:val="both"/>
        <w:rPr>
          <w:rFonts w:ascii="Book Antiqua" w:hAnsi="Book Antiqua"/>
        </w:rPr>
      </w:pPr>
      <w:proofErr w:type="gramStart"/>
      <w:r w:rsidRPr="00071547">
        <w:rPr>
          <w:rFonts w:ascii="Book Antiqua" w:hAnsi="Book Antiqua"/>
        </w:rPr>
        <w:t>In the proceedings before public administration bodies, these bodies are obliged, in addition to signing the documents in a manner specified by a special regulation, to enable a person with disabilities with permanent consequences of physical or sensory impairment or illness to sign a document by means of a stamp containing personal identity data or by means of a signature name stamp.</w:t>
      </w:r>
      <w:proofErr w:type="gramEnd"/>
    </w:p>
    <w:p w14:paraId="5EE1774F" w14:textId="77777777" w:rsidR="006802A0" w:rsidRPr="00071547" w:rsidRDefault="006802A0" w:rsidP="00482111">
      <w:pPr>
        <w:pStyle w:val="ListParagraph"/>
        <w:numPr>
          <w:ilvl w:val="0"/>
          <w:numId w:val="25"/>
        </w:numPr>
        <w:ind w:left="1080"/>
        <w:jc w:val="both"/>
        <w:rPr>
          <w:rFonts w:ascii="Book Antiqua" w:hAnsi="Book Antiqua"/>
        </w:rPr>
      </w:pPr>
      <w:r w:rsidRPr="00071547">
        <w:rPr>
          <w:rFonts w:ascii="Book Antiqua" w:hAnsi="Book Antiqua"/>
        </w:rPr>
        <w:t>Public administration bodies, territorial autonomy bodies and local self-government bodies competent for culture and media operations are obliged to take measures to make information and communication accessible to persons with disabilities by using appropriate technologies.</w:t>
      </w:r>
    </w:p>
    <w:p w14:paraId="0AAB0461" w14:textId="77777777" w:rsidR="006802A0" w:rsidRPr="00071547" w:rsidRDefault="006802A0" w:rsidP="00482111">
      <w:pPr>
        <w:pStyle w:val="ListParagraph"/>
        <w:numPr>
          <w:ilvl w:val="0"/>
          <w:numId w:val="25"/>
        </w:numPr>
        <w:ind w:left="1080"/>
        <w:jc w:val="both"/>
        <w:rPr>
          <w:rFonts w:ascii="Book Antiqua" w:hAnsi="Book Antiqua"/>
        </w:rPr>
      </w:pPr>
      <w:r w:rsidRPr="00071547">
        <w:rPr>
          <w:rFonts w:ascii="Book Antiqua" w:hAnsi="Book Antiqua"/>
        </w:rPr>
        <w:t>Public administration bodies, territorial autonomy bodies and local self-government bodies competent for the education affairs are obliged to take measures to make the education of persons with disabilities an integral part of the general education system.</w:t>
      </w:r>
    </w:p>
    <w:p w14:paraId="5DD3C3F8" w14:textId="77777777" w:rsidR="006802A0" w:rsidRPr="00071547" w:rsidRDefault="006802A0" w:rsidP="00482111">
      <w:pPr>
        <w:pStyle w:val="ListParagraph"/>
        <w:numPr>
          <w:ilvl w:val="0"/>
          <w:numId w:val="25"/>
        </w:numPr>
        <w:ind w:left="1080"/>
        <w:jc w:val="both"/>
        <w:rPr>
          <w:rFonts w:ascii="Book Antiqua" w:hAnsi="Book Antiqua"/>
        </w:rPr>
      </w:pPr>
      <w:r w:rsidRPr="00071547">
        <w:rPr>
          <w:rFonts w:ascii="Book Antiqua" w:hAnsi="Book Antiqua"/>
        </w:rPr>
        <w:lastRenderedPageBreak/>
        <w:t>Local self-government units are obliged to take measures to ensure equal participation of persons with disabilities in cultural, sports and religious life of the community.</w:t>
      </w:r>
    </w:p>
    <w:p w14:paraId="057C7E35" w14:textId="0B202956" w:rsidR="006802A0" w:rsidRDefault="006802A0" w:rsidP="00482111">
      <w:pPr>
        <w:pStyle w:val="ListParagraph"/>
        <w:numPr>
          <w:ilvl w:val="0"/>
          <w:numId w:val="25"/>
        </w:numPr>
        <w:ind w:left="1080"/>
        <w:jc w:val="both"/>
        <w:rPr>
          <w:rFonts w:ascii="Book Antiqua" w:hAnsi="Book Antiqua"/>
        </w:rPr>
      </w:pPr>
      <w:r w:rsidRPr="00071547">
        <w:rPr>
          <w:rFonts w:ascii="Book Antiqua" w:hAnsi="Book Antiqua"/>
        </w:rPr>
        <w:t>Every public administration body, territorial autonomy body and local self-government body is obliged to take activities to create equal possibilities with persons with disabilities and to ensure the participation of persons with disabilities and their associations in these activities.</w:t>
      </w:r>
    </w:p>
    <w:p w14:paraId="6BDE88C1" w14:textId="77777777" w:rsidR="00482111" w:rsidRPr="00482111" w:rsidRDefault="00482111" w:rsidP="00482111">
      <w:pPr>
        <w:pStyle w:val="ListParagraph"/>
        <w:ind w:left="1080"/>
        <w:jc w:val="both"/>
        <w:rPr>
          <w:rFonts w:ascii="Book Antiqua" w:hAnsi="Book Antiqua"/>
        </w:rPr>
      </w:pPr>
    </w:p>
    <w:p w14:paraId="6ABAB575" w14:textId="77777777" w:rsidR="006802A0" w:rsidRPr="00071547" w:rsidRDefault="006802A0" w:rsidP="00482111">
      <w:pPr>
        <w:pStyle w:val="ListParagraph"/>
        <w:numPr>
          <w:ilvl w:val="0"/>
          <w:numId w:val="24"/>
        </w:numPr>
        <w:ind w:left="648"/>
        <w:jc w:val="both"/>
        <w:rPr>
          <w:rFonts w:ascii="Book Antiqua" w:hAnsi="Book Antiqua"/>
        </w:rPr>
      </w:pPr>
      <w:r w:rsidRPr="00071547">
        <w:rPr>
          <w:rFonts w:ascii="Book Antiqua" w:hAnsi="Book Antiqua"/>
        </w:rPr>
        <w:t>The Law on the Prohibition of Discrimination</w:t>
      </w:r>
      <w:r w:rsidRPr="00071547">
        <w:rPr>
          <w:rStyle w:val="FootnoteReference"/>
          <w:rFonts w:ascii="Book Antiqua" w:hAnsi="Book Antiqua"/>
        </w:rPr>
        <w:footnoteReference w:id="2"/>
      </w:r>
      <w:r w:rsidRPr="00071547">
        <w:rPr>
          <w:rFonts w:ascii="Book Antiqua" w:hAnsi="Book Antiqua"/>
        </w:rPr>
        <w:t xml:space="preserve"> stipulated that every person </w:t>
      </w:r>
      <w:proofErr w:type="gramStart"/>
      <w:r w:rsidRPr="00071547">
        <w:rPr>
          <w:rFonts w:ascii="Book Antiqua" w:hAnsi="Book Antiqua"/>
        </w:rPr>
        <w:t>is</w:t>
      </w:r>
      <w:proofErr w:type="gramEnd"/>
      <w:r w:rsidRPr="00071547">
        <w:rPr>
          <w:rFonts w:ascii="Book Antiqua" w:hAnsi="Book Antiqua"/>
        </w:rPr>
        <w:t xml:space="preserve"> entitled to the equal access and equal protection of their rights before the courts and public administration bodies. Discriminatory actions by an official or a person in charge in a public authority body </w:t>
      </w:r>
      <w:proofErr w:type="gramStart"/>
      <w:r w:rsidRPr="00071547">
        <w:rPr>
          <w:rFonts w:ascii="Book Antiqua" w:hAnsi="Book Antiqua"/>
        </w:rPr>
        <w:t>are considered</w:t>
      </w:r>
      <w:proofErr w:type="gramEnd"/>
      <w:r w:rsidRPr="00071547">
        <w:rPr>
          <w:rFonts w:ascii="Book Antiqua" w:hAnsi="Book Antiqua"/>
        </w:rPr>
        <w:t xml:space="preserve"> a grave breach of duty. The Law explicitly defines the discrimination as any unwarranted difference making or unequal treatment, i.e. omission (exclusion, limitation or preferential treatment), in relation to individuals or groups as well as members of their families or persons close to them, be it overt or covert, on the grounds of genetic characteristics, health and disability inter alia.</w:t>
      </w:r>
    </w:p>
    <w:p w14:paraId="17D02B4A" w14:textId="77777777" w:rsidR="006802A0" w:rsidRPr="00071547" w:rsidRDefault="006802A0" w:rsidP="00482111">
      <w:pPr>
        <w:pStyle w:val="ListParagraph"/>
        <w:numPr>
          <w:ilvl w:val="0"/>
          <w:numId w:val="24"/>
        </w:numPr>
        <w:ind w:left="648"/>
        <w:jc w:val="both"/>
        <w:rPr>
          <w:rFonts w:ascii="Book Antiqua" w:hAnsi="Book Antiqua"/>
        </w:rPr>
      </w:pPr>
      <w:r w:rsidRPr="00071547">
        <w:rPr>
          <w:rFonts w:ascii="Book Antiqua" w:hAnsi="Book Antiqua"/>
        </w:rPr>
        <w:t>The Law on Free Legal Aid</w:t>
      </w:r>
      <w:r w:rsidRPr="00071547">
        <w:rPr>
          <w:rStyle w:val="FootnoteReference"/>
          <w:rFonts w:ascii="Book Antiqua" w:hAnsi="Book Antiqua"/>
        </w:rPr>
        <w:footnoteReference w:id="3"/>
      </w:r>
      <w:r w:rsidRPr="00071547">
        <w:rPr>
          <w:rFonts w:ascii="Book Antiqua" w:hAnsi="Book Antiqua"/>
        </w:rPr>
        <w:t xml:space="preserve"> stipulated that the free legal aid </w:t>
      </w:r>
      <w:proofErr w:type="gramStart"/>
      <w:r w:rsidRPr="00071547">
        <w:rPr>
          <w:rFonts w:ascii="Book Antiqua" w:hAnsi="Book Antiqua"/>
        </w:rPr>
        <w:t>can</w:t>
      </w:r>
      <w:proofErr w:type="gramEnd"/>
      <w:r w:rsidRPr="00071547">
        <w:rPr>
          <w:rFonts w:ascii="Book Antiqua" w:hAnsi="Book Antiqua"/>
        </w:rPr>
        <w:t xml:space="preserve"> be provided to a person with disabilities, as well as to the person in respect to whom the process of partial or complete deprivation or restoration of the legal capacity is conducted. Free legal aid comprises provision of free legal advice, representation, writing submissions and defence. </w:t>
      </w:r>
      <w:proofErr w:type="gramStart"/>
      <w:r w:rsidRPr="00071547">
        <w:rPr>
          <w:rFonts w:ascii="Book Antiqua" w:hAnsi="Book Antiqua"/>
        </w:rPr>
        <w:t>Free legal aid is provided by lawyers and services of legal aid in local self-government units</w:t>
      </w:r>
      <w:proofErr w:type="gramEnd"/>
      <w:r w:rsidRPr="00071547">
        <w:rPr>
          <w:rFonts w:ascii="Book Antiqua" w:hAnsi="Book Antiqua"/>
        </w:rPr>
        <w:t>, and free legal support is provided by notaries, mediators and law schools.</w:t>
      </w:r>
    </w:p>
    <w:p w14:paraId="28196AEF" w14:textId="77777777" w:rsidR="006802A0" w:rsidRPr="00071547" w:rsidRDefault="006802A0" w:rsidP="00482111">
      <w:pPr>
        <w:pStyle w:val="ListParagraph"/>
        <w:numPr>
          <w:ilvl w:val="0"/>
          <w:numId w:val="24"/>
        </w:numPr>
        <w:ind w:left="648"/>
        <w:jc w:val="both"/>
        <w:rPr>
          <w:rFonts w:ascii="Book Antiqua" w:hAnsi="Book Antiqua"/>
        </w:rPr>
      </w:pPr>
      <w:r w:rsidRPr="00071547">
        <w:rPr>
          <w:rFonts w:ascii="Book Antiqua" w:hAnsi="Book Antiqua"/>
        </w:rPr>
        <w:t>The Law on the Protector of Citizens</w:t>
      </w:r>
      <w:r w:rsidRPr="00071547">
        <w:rPr>
          <w:rStyle w:val="FootnoteReference"/>
          <w:rFonts w:ascii="Book Antiqua" w:hAnsi="Book Antiqua"/>
        </w:rPr>
        <w:footnoteReference w:id="4"/>
      </w:r>
      <w:r w:rsidRPr="00071547">
        <w:rPr>
          <w:rFonts w:ascii="Book Antiqua" w:hAnsi="Book Antiqua"/>
        </w:rPr>
        <w:t xml:space="preserve"> stipulates that the Protector of Citizens </w:t>
      </w:r>
      <w:proofErr w:type="gramStart"/>
      <w:r w:rsidRPr="00071547">
        <w:rPr>
          <w:rFonts w:ascii="Book Antiqua" w:hAnsi="Book Antiqua"/>
        </w:rPr>
        <w:t>takes</w:t>
      </w:r>
      <w:proofErr w:type="gramEnd"/>
      <w:r w:rsidRPr="00071547">
        <w:rPr>
          <w:rFonts w:ascii="Book Antiqua" w:hAnsi="Book Antiqua"/>
        </w:rPr>
        <w:t xml:space="preserve"> special care on providing certain specialization for performing activities under the competence of the Protector of Citizens, particularly in the area of protecting the rights of persons with disabilities, gender equality, child rights, the rights of national minorities and the rights of persons deprived of liberty. The Protector of Citizens </w:t>
      </w:r>
      <w:proofErr w:type="gramStart"/>
      <w:r w:rsidRPr="00071547">
        <w:rPr>
          <w:rFonts w:ascii="Book Antiqua" w:hAnsi="Book Antiqua"/>
        </w:rPr>
        <w:t>is authorized</w:t>
      </w:r>
      <w:proofErr w:type="gramEnd"/>
      <w:r w:rsidRPr="00071547">
        <w:rPr>
          <w:rFonts w:ascii="Book Antiqua" w:hAnsi="Book Antiqua"/>
        </w:rPr>
        <w:t xml:space="preserve"> to monitor the observance of citizens’ rights, to identify the violations committed by documents, actions or failure to act by the administrative authorities, when it comes to the violations of the state laws, other regulations and general acts.  The Protector of Citizens </w:t>
      </w:r>
      <w:proofErr w:type="gramStart"/>
      <w:r w:rsidRPr="00071547">
        <w:rPr>
          <w:rFonts w:ascii="Book Antiqua" w:hAnsi="Book Antiqua"/>
        </w:rPr>
        <w:t>is authorized</w:t>
      </w:r>
      <w:proofErr w:type="gramEnd"/>
      <w:r w:rsidRPr="00071547">
        <w:rPr>
          <w:rFonts w:ascii="Book Antiqua" w:hAnsi="Book Antiqua"/>
        </w:rPr>
        <w:t xml:space="preserve"> to monitor the legality and regularity of administrative authorities operation, which is done upon citizens’ complaints or by own-initiative procedure. The Protector of Citizens identifies the omissions in the operations of administrative authorities and issues recommendations to rectify them. Furthermore, the Protector of Citizens issues Opinions, offers good services and advice, mediates and promotes the exercise and the protection of human rights. The Protector of Citizens may propose laws, submit amendments to the draft laws and initiate the enactment or the amendment of the laws or bylaws. </w:t>
      </w:r>
    </w:p>
    <w:p w14:paraId="72281D60" w14:textId="77777777" w:rsidR="006802A0" w:rsidRPr="00071547" w:rsidRDefault="006802A0" w:rsidP="00482111">
      <w:pPr>
        <w:pStyle w:val="ListParagraph"/>
        <w:numPr>
          <w:ilvl w:val="0"/>
          <w:numId w:val="24"/>
        </w:numPr>
        <w:ind w:left="648"/>
        <w:jc w:val="both"/>
        <w:rPr>
          <w:rFonts w:ascii="Book Antiqua" w:hAnsi="Book Antiqua"/>
        </w:rPr>
      </w:pPr>
      <w:proofErr w:type="gramStart"/>
      <w:r w:rsidRPr="00071547">
        <w:rPr>
          <w:rFonts w:ascii="Book Antiqua" w:hAnsi="Book Antiqua"/>
        </w:rPr>
        <w:t xml:space="preserve">The Law on the Prohibition of Discrimination introduced the Commissioner for the Protection of Equality into the legal system who is competent for receiving and investigating complaints on the violation of the discrimination prohibition, issuing opinions and recommendations in particular cases, pronouncing measures, filing a lawsuit due to the violation of the right to equality, filing misdemeanour charges for </w:t>
      </w:r>
      <w:r w:rsidRPr="00071547">
        <w:rPr>
          <w:rFonts w:ascii="Book Antiqua" w:hAnsi="Book Antiqua"/>
        </w:rPr>
        <w:lastRenderedPageBreak/>
        <w:t>violation of discrimination prohibition and recommending measures for achieving equality to administrative authorities and other persons.</w:t>
      </w:r>
      <w:proofErr w:type="gramEnd"/>
    </w:p>
    <w:p w14:paraId="07FBE1D1" w14:textId="77777777" w:rsidR="006802A0" w:rsidRPr="00071547" w:rsidRDefault="006802A0" w:rsidP="00482111">
      <w:pPr>
        <w:pStyle w:val="ListParagraph"/>
        <w:numPr>
          <w:ilvl w:val="0"/>
          <w:numId w:val="24"/>
        </w:numPr>
        <w:ind w:left="648"/>
        <w:jc w:val="both"/>
        <w:rPr>
          <w:rFonts w:ascii="Book Antiqua" w:hAnsi="Book Antiqua"/>
        </w:rPr>
      </w:pPr>
      <w:r w:rsidRPr="00071547">
        <w:rPr>
          <w:rFonts w:ascii="Book Antiqua" w:hAnsi="Book Antiqua"/>
          <w:b/>
        </w:rPr>
        <w:t>Criminal Procedure Code</w:t>
      </w:r>
      <w:r w:rsidRPr="00071547">
        <w:rPr>
          <w:rStyle w:val="FootnoteReference"/>
          <w:rFonts w:ascii="Book Antiqua" w:hAnsi="Book Antiqua"/>
          <w:b/>
        </w:rPr>
        <w:footnoteReference w:id="5"/>
      </w:r>
      <w:r w:rsidRPr="00071547">
        <w:rPr>
          <w:rFonts w:ascii="Book Antiqua" w:hAnsi="Book Antiqua"/>
          <w:b/>
        </w:rPr>
        <w:t xml:space="preserve">  under the criminal act Racial and Other Discrimination criminalizes</w:t>
      </w:r>
      <w:r w:rsidRPr="00071547">
        <w:rPr>
          <w:rFonts w:ascii="Book Antiqua" w:hAnsi="Book Antiqua"/>
        </w:rPr>
        <w:t xml:space="preserve"> the violation of fundamental human rights and freedoms guaranteed by the commonly accepted rules of international rights and ratified international contracts by the Republic of Serbia on the grounds of differences in race, colour, religion, nationality, ethnic origin or other personal characteristic. Within the criminal act Violation of equality the denial or limitation of human and citizen’s rights </w:t>
      </w:r>
      <w:proofErr w:type="gramStart"/>
      <w:r w:rsidRPr="00071547">
        <w:rPr>
          <w:rFonts w:ascii="Book Antiqua" w:hAnsi="Book Antiqua"/>
        </w:rPr>
        <w:t>on the basis of</w:t>
      </w:r>
      <w:proofErr w:type="gramEnd"/>
      <w:r w:rsidRPr="00071547">
        <w:rPr>
          <w:rFonts w:ascii="Book Antiqua" w:hAnsi="Book Antiqua"/>
        </w:rPr>
        <w:t xml:space="preserve"> disability, inter alia, has been criminalized.</w:t>
      </w:r>
    </w:p>
    <w:p w14:paraId="6512BECE" w14:textId="77777777" w:rsidR="006802A0" w:rsidRPr="00071547" w:rsidRDefault="006802A0" w:rsidP="006802A0">
      <w:pPr>
        <w:jc w:val="both"/>
        <w:rPr>
          <w:rFonts w:ascii="Book Antiqua" w:hAnsi="Book Antiqua"/>
        </w:rPr>
      </w:pPr>
    </w:p>
    <w:p w14:paraId="1B2EC14D" w14:textId="77777777" w:rsidR="006802A0" w:rsidRPr="00071547" w:rsidRDefault="006802A0" w:rsidP="006802A0">
      <w:pPr>
        <w:spacing w:after="120"/>
        <w:jc w:val="both"/>
        <w:rPr>
          <w:rFonts w:ascii="Book Antiqua" w:eastAsiaTheme="minorHAnsi" w:hAnsi="Book Antiqua" w:cs="TimesNewRoman"/>
          <w:b/>
          <w:sz w:val="22"/>
          <w:szCs w:val="22"/>
          <w:lang w:val="en-US"/>
        </w:rPr>
      </w:pPr>
      <w:r w:rsidRPr="00071547">
        <w:rPr>
          <w:rFonts w:ascii="Book Antiqua" w:eastAsia="Arial Unicode MS" w:hAnsi="Book Antiqua"/>
          <w:b/>
          <w:sz w:val="22"/>
          <w:szCs w:val="22"/>
          <w:lang w:val="en-US"/>
        </w:rPr>
        <w:t xml:space="preserve">Please provide information on any innovative initiatives that </w:t>
      </w:r>
      <w:proofErr w:type="gramStart"/>
      <w:r w:rsidRPr="00071547">
        <w:rPr>
          <w:rFonts w:ascii="Book Antiqua" w:eastAsia="Arial Unicode MS" w:hAnsi="Book Antiqua"/>
          <w:b/>
          <w:sz w:val="22"/>
          <w:szCs w:val="22"/>
          <w:lang w:val="en-US"/>
        </w:rPr>
        <w:t>have been taken</w:t>
      </w:r>
      <w:proofErr w:type="gramEnd"/>
      <w:r w:rsidRPr="00071547">
        <w:rPr>
          <w:rFonts w:ascii="Book Antiqua" w:eastAsia="Arial Unicode MS" w:hAnsi="Book Antiqua"/>
          <w:b/>
          <w:sz w:val="22"/>
          <w:szCs w:val="22"/>
          <w:lang w:val="en-US"/>
        </w:rPr>
        <w:t xml:space="preserve"> in your country to promote and ensure access to justice for persons with disabilities. </w:t>
      </w:r>
    </w:p>
    <w:p w14:paraId="6BBA5FFE" w14:textId="77777777" w:rsidR="006802A0" w:rsidRPr="00071547" w:rsidRDefault="006802A0" w:rsidP="00482111">
      <w:pPr>
        <w:pStyle w:val="ListParagraph"/>
        <w:numPr>
          <w:ilvl w:val="0"/>
          <w:numId w:val="26"/>
        </w:numPr>
        <w:ind w:left="648"/>
        <w:jc w:val="both"/>
        <w:rPr>
          <w:rFonts w:ascii="Book Antiqua" w:hAnsi="Book Antiqua"/>
        </w:rPr>
      </w:pPr>
      <w:r w:rsidRPr="00071547">
        <w:rPr>
          <w:rFonts w:ascii="Book Antiqua" w:hAnsi="Book Antiqua"/>
        </w:rPr>
        <w:t>The Protector of Citizens conducts educational and promotional activities on human rights and freedoms, child rights, gender equality and the rights of persons with disabilities. Thus, the representatives of this authority have conducted trainings for the employees in the public authority bodies, inter alia, on the position of citizens in a vulnerable position such as, inter alia, the persons with disabilities.</w:t>
      </w:r>
    </w:p>
    <w:p w14:paraId="680175E0" w14:textId="77777777" w:rsidR="006802A0" w:rsidRPr="00071547" w:rsidRDefault="006802A0" w:rsidP="00482111">
      <w:pPr>
        <w:pStyle w:val="ListParagraph"/>
        <w:numPr>
          <w:ilvl w:val="0"/>
          <w:numId w:val="26"/>
        </w:numPr>
        <w:ind w:left="648"/>
        <w:jc w:val="both"/>
        <w:rPr>
          <w:rFonts w:ascii="Book Antiqua" w:hAnsi="Book Antiqua"/>
        </w:rPr>
      </w:pPr>
      <w:r w:rsidRPr="00071547">
        <w:rPr>
          <w:rFonts w:ascii="Book Antiqua" w:hAnsi="Book Antiqua"/>
        </w:rPr>
        <w:t>During 2018, the Protector of Citizens, in cooperation with the Accessibility</w:t>
      </w:r>
      <w:r w:rsidRPr="002E7A6A">
        <w:rPr>
          <w:rFonts w:ascii="Book Antiqua" w:hAnsi="Book Antiqua"/>
        </w:rPr>
        <w:t xml:space="preserve"> </w:t>
      </w:r>
      <w:r>
        <w:rPr>
          <w:rFonts w:ascii="Book Antiqua" w:hAnsi="Book Antiqua"/>
        </w:rPr>
        <w:t xml:space="preserve">Audit </w:t>
      </w:r>
      <w:r w:rsidRPr="00071547">
        <w:rPr>
          <w:rFonts w:ascii="Book Antiqua" w:hAnsi="Book Antiqua"/>
        </w:rPr>
        <w:t xml:space="preserve">Association, conducted the project Accessibility for All, the aim of which was to contribute to the improved implementation of local regulations on the accessibility of facilities of public purpose for the persons with disabilities. Furthermore, the project contributed to strengthening the capacities of this Institution as the National Institution for Human Rights Protection for monitoring and reporting in the area of accessibility. During five months, the data </w:t>
      </w:r>
      <w:proofErr w:type="gramStart"/>
      <w:r w:rsidRPr="00071547">
        <w:rPr>
          <w:rFonts w:ascii="Book Antiqua" w:hAnsi="Book Antiqua"/>
        </w:rPr>
        <w:t>was collected</w:t>
      </w:r>
      <w:proofErr w:type="gramEnd"/>
      <w:r w:rsidRPr="00071547">
        <w:rPr>
          <w:rFonts w:ascii="Book Antiqua" w:hAnsi="Book Antiqua"/>
        </w:rPr>
        <w:t xml:space="preserve"> from relevant stakeholders on implementing accessibility on the local level in 26 selected towns and municipalities. </w:t>
      </w:r>
      <w:proofErr w:type="gramStart"/>
      <w:r w:rsidRPr="00071547">
        <w:rPr>
          <w:rFonts w:ascii="Book Antiqua" w:hAnsi="Book Antiqua"/>
        </w:rPr>
        <w:t>On the basis of</w:t>
      </w:r>
      <w:proofErr w:type="gramEnd"/>
      <w:r w:rsidRPr="00071547">
        <w:rPr>
          <w:rFonts w:ascii="Book Antiqua" w:hAnsi="Book Antiqua"/>
        </w:rPr>
        <w:t xml:space="preserve"> the analysis of the collected data, a Special Report of the Protector of Citizens with Recommendations for improving the Accessibility</w:t>
      </w:r>
      <w:r w:rsidRPr="00071547">
        <w:rPr>
          <w:rStyle w:val="FootnoteReference"/>
          <w:rFonts w:ascii="Book Antiqua" w:hAnsi="Book Antiqua"/>
        </w:rPr>
        <w:footnoteReference w:id="6"/>
      </w:r>
      <w:r w:rsidRPr="00071547">
        <w:rPr>
          <w:rFonts w:ascii="Book Antiqua" w:hAnsi="Book Antiqua"/>
        </w:rPr>
        <w:t xml:space="preserve"> which was referred to the competent authorities was written.</w:t>
      </w:r>
    </w:p>
    <w:p w14:paraId="1B141414" w14:textId="77777777" w:rsidR="006802A0" w:rsidRPr="00071547" w:rsidRDefault="006802A0" w:rsidP="00482111">
      <w:pPr>
        <w:pStyle w:val="ListParagraph"/>
        <w:numPr>
          <w:ilvl w:val="0"/>
          <w:numId w:val="26"/>
        </w:numPr>
        <w:ind w:left="648"/>
        <w:jc w:val="both"/>
        <w:rPr>
          <w:rFonts w:ascii="Book Antiqua" w:hAnsi="Book Antiqua"/>
        </w:rPr>
      </w:pPr>
      <w:proofErr w:type="gramStart"/>
      <w:r w:rsidRPr="00071547">
        <w:rPr>
          <w:rFonts w:ascii="Book Antiqua" w:hAnsi="Book Antiqua"/>
        </w:rPr>
        <w:t>Within the survey on the representation of women in decision making positions in municipalities and in towns, the Protector of Citizens established that there is an extremely small number of persons with disabilities who can be found at decision making places (mayors, speakers of municipal assemblies, members of city councils, nominated or appointed persons), and a substantially small number of them is employed in city or municipal administrations.</w:t>
      </w:r>
      <w:proofErr w:type="gramEnd"/>
      <w:r w:rsidRPr="00071547">
        <w:rPr>
          <w:rFonts w:ascii="Book Antiqua" w:hAnsi="Book Antiqua"/>
        </w:rPr>
        <w:t xml:space="preserve"> A special Report on the representation of women in </w:t>
      </w:r>
      <w:proofErr w:type="gramStart"/>
      <w:r w:rsidRPr="00071547">
        <w:rPr>
          <w:rFonts w:ascii="Book Antiqua" w:hAnsi="Book Antiqua"/>
        </w:rPr>
        <w:t>decision making</w:t>
      </w:r>
      <w:proofErr w:type="gramEnd"/>
      <w:r w:rsidRPr="00071547">
        <w:rPr>
          <w:rFonts w:ascii="Book Antiqua" w:hAnsi="Book Antiqua"/>
        </w:rPr>
        <w:t xml:space="preserve"> positions</w:t>
      </w:r>
      <w:r w:rsidRPr="00071547">
        <w:rPr>
          <w:rStyle w:val="FootnoteReference"/>
          <w:rFonts w:ascii="Book Antiqua" w:hAnsi="Book Antiqua"/>
        </w:rPr>
        <w:footnoteReference w:id="7"/>
      </w:r>
      <w:r w:rsidRPr="00071547">
        <w:rPr>
          <w:rFonts w:ascii="Book Antiqua" w:hAnsi="Book Antiqua"/>
        </w:rPr>
        <w:t xml:space="preserve"> was publically presented on a wide scope during 2017 and 2018.</w:t>
      </w:r>
    </w:p>
    <w:p w14:paraId="6C5306D9" w14:textId="77777777" w:rsidR="006802A0" w:rsidRPr="00071547" w:rsidRDefault="006802A0" w:rsidP="00482111">
      <w:pPr>
        <w:pStyle w:val="ListParagraph"/>
        <w:numPr>
          <w:ilvl w:val="0"/>
          <w:numId w:val="26"/>
        </w:numPr>
        <w:ind w:left="648"/>
        <w:jc w:val="both"/>
        <w:rPr>
          <w:rFonts w:ascii="Book Antiqua" w:hAnsi="Book Antiqua"/>
        </w:rPr>
      </w:pPr>
      <w:r w:rsidRPr="00071547">
        <w:rPr>
          <w:rFonts w:ascii="Book Antiqua" w:hAnsi="Book Antiqua"/>
        </w:rPr>
        <w:t xml:space="preserve">Every year, the Protector of Citizens in cooperation with the Social Inclusion and Poverty Reduction </w:t>
      </w:r>
      <w:r>
        <w:rPr>
          <w:rFonts w:ascii="Book Antiqua" w:hAnsi="Book Antiqua"/>
        </w:rPr>
        <w:t>Unit of the Republic of Serbia</w:t>
      </w:r>
      <w:r w:rsidRPr="00071547">
        <w:rPr>
          <w:rFonts w:ascii="Book Antiqua" w:hAnsi="Book Antiqua"/>
        </w:rPr>
        <w:t xml:space="preserve"> and the Standing Conference of Municipalities and Cities organizes a contest for </w:t>
      </w:r>
      <w:r>
        <w:rPr>
          <w:rFonts w:ascii="Book Antiqua" w:hAnsi="Book Antiqua"/>
        </w:rPr>
        <w:t>s</w:t>
      </w:r>
      <w:r w:rsidRPr="00071547">
        <w:rPr>
          <w:rFonts w:ascii="Book Antiqua" w:hAnsi="Book Antiqua"/>
        </w:rPr>
        <w:t xml:space="preserve">electing the initiatives of local self-government </w:t>
      </w:r>
      <w:proofErr w:type="gramStart"/>
      <w:r w:rsidRPr="00071547">
        <w:rPr>
          <w:rFonts w:ascii="Book Antiqua" w:hAnsi="Book Antiqua"/>
        </w:rPr>
        <w:t>units which</w:t>
      </w:r>
      <w:proofErr w:type="gramEnd"/>
      <w:r w:rsidRPr="00071547">
        <w:rPr>
          <w:rFonts w:ascii="Book Antiqua" w:hAnsi="Book Antiqua"/>
        </w:rPr>
        <w:t xml:space="preserve"> contributed the most to the accessibility development during the previous year.</w:t>
      </w:r>
    </w:p>
    <w:p w14:paraId="483AACE4" w14:textId="77777777" w:rsidR="006802A0" w:rsidRPr="00071547" w:rsidRDefault="006802A0" w:rsidP="00482111">
      <w:pPr>
        <w:pStyle w:val="ListParagraph"/>
        <w:numPr>
          <w:ilvl w:val="0"/>
          <w:numId w:val="26"/>
        </w:numPr>
        <w:ind w:left="648"/>
        <w:jc w:val="both"/>
        <w:rPr>
          <w:rFonts w:ascii="Book Antiqua" w:hAnsi="Book Antiqua"/>
        </w:rPr>
      </w:pPr>
      <w:r w:rsidRPr="00071547">
        <w:rPr>
          <w:rFonts w:ascii="Book Antiqua" w:hAnsi="Book Antiqua"/>
        </w:rPr>
        <w:lastRenderedPageBreak/>
        <w:t xml:space="preserve">The Protector of </w:t>
      </w:r>
      <w:r>
        <w:rPr>
          <w:rFonts w:ascii="Book Antiqua" w:hAnsi="Book Antiqua"/>
        </w:rPr>
        <w:t>Citizens designed a Map of the P</w:t>
      </w:r>
      <w:r w:rsidRPr="00071547">
        <w:rPr>
          <w:rFonts w:ascii="Book Antiqua" w:hAnsi="Book Antiqua"/>
        </w:rPr>
        <w:t>ath to Deinstitutionalization in the Republic of Serbia, the Interactive Accessibility Map, a Special Report on Inclusive Education and a Special Report on the situation of Child Rights in the Republic of Serbia the first chapter of which is devoted to chil</w:t>
      </w:r>
      <w:r>
        <w:rPr>
          <w:rFonts w:ascii="Book Antiqua" w:hAnsi="Book Antiqua"/>
        </w:rPr>
        <w:t>dren with developmental disabilitie</w:t>
      </w:r>
      <w:r w:rsidRPr="00071547">
        <w:rPr>
          <w:rFonts w:ascii="Book Antiqua" w:hAnsi="Book Antiqua"/>
        </w:rPr>
        <w:t>s.</w:t>
      </w:r>
    </w:p>
    <w:p w14:paraId="0E077CA0" w14:textId="77777777" w:rsidR="006802A0" w:rsidRPr="00071547" w:rsidRDefault="006802A0" w:rsidP="00482111">
      <w:pPr>
        <w:pStyle w:val="ListParagraph"/>
        <w:numPr>
          <w:ilvl w:val="0"/>
          <w:numId w:val="26"/>
        </w:numPr>
        <w:ind w:left="648"/>
        <w:jc w:val="both"/>
        <w:rPr>
          <w:rFonts w:ascii="Book Antiqua" w:hAnsi="Book Antiqua"/>
        </w:rPr>
      </w:pPr>
      <w:r w:rsidRPr="00071547">
        <w:rPr>
          <w:rFonts w:ascii="Book Antiqua" w:hAnsi="Book Antiqua"/>
        </w:rPr>
        <w:t xml:space="preserve">UN Agency for Gender Equality, within the project </w:t>
      </w:r>
      <w:r w:rsidRPr="00071547">
        <w:rPr>
          <w:rFonts w:ascii="Book Antiqua" w:hAnsi="Book Antiqua"/>
          <w:b/>
        </w:rPr>
        <w:t xml:space="preserve">Autonomy, Voice and Participation of Persons with Disabilities </w:t>
      </w:r>
      <w:r w:rsidRPr="00071547">
        <w:rPr>
          <w:rFonts w:ascii="Book Antiqua" w:hAnsi="Book Antiqua"/>
        </w:rPr>
        <w:t xml:space="preserve">in Serbia, supported and aided the girls and the women with disabilities to exercise their rights in 2018, encouraged them and motivated them to improve their daily life and supported them by means of mentorship in pursuing their career and </w:t>
      </w:r>
      <w:r>
        <w:rPr>
          <w:rFonts w:ascii="Book Antiqua" w:hAnsi="Book Antiqua"/>
        </w:rPr>
        <w:t>in professional development</w:t>
      </w:r>
      <w:r w:rsidRPr="00071547">
        <w:rPr>
          <w:rFonts w:ascii="Book Antiqua" w:hAnsi="Book Antiqua"/>
        </w:rPr>
        <w:t>.</w:t>
      </w:r>
    </w:p>
    <w:p w14:paraId="22EDCD71" w14:textId="77777777" w:rsidR="003906B7" w:rsidRPr="006802A0" w:rsidRDefault="003906B7" w:rsidP="00482111">
      <w:pPr>
        <w:spacing w:after="120"/>
        <w:ind w:left="720"/>
        <w:jc w:val="center"/>
        <w:rPr>
          <w:rFonts w:ascii="Book Antiqua" w:eastAsiaTheme="minorHAnsi" w:hAnsi="Book Antiqua" w:cs="Arial"/>
          <w:b/>
          <w:sz w:val="22"/>
          <w:szCs w:val="22"/>
        </w:rPr>
      </w:pPr>
    </w:p>
    <w:sectPr w:rsidR="003906B7" w:rsidRPr="006802A0" w:rsidSect="00E8471B">
      <w:headerReference w:type="default" r:id="rId8"/>
      <w:footerReference w:type="default" r:id="rId9"/>
      <w:headerReference w:type="first" r:id="rId10"/>
      <w:footerReference w:type="first" r:id="rId11"/>
      <w:pgSz w:w="11909" w:h="16834" w:code="9"/>
      <w:pgMar w:top="1080" w:right="1109" w:bottom="1253" w:left="1109" w:header="533" w:footer="41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544C96" w14:textId="77777777" w:rsidR="00284D18" w:rsidRDefault="00284D18">
      <w:r>
        <w:separator/>
      </w:r>
    </w:p>
  </w:endnote>
  <w:endnote w:type="continuationSeparator" w:id="0">
    <w:p w14:paraId="276DED2B" w14:textId="77777777" w:rsidR="00284D18" w:rsidRDefault="00284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9201428"/>
      <w:docPartObj>
        <w:docPartGallery w:val="Page Numbers (Bottom of Page)"/>
        <w:docPartUnique/>
      </w:docPartObj>
    </w:sdtPr>
    <w:sdtEndPr>
      <w:rPr>
        <w:noProof/>
      </w:rPr>
    </w:sdtEndPr>
    <w:sdtContent>
      <w:p w14:paraId="5F15CFF4" w14:textId="77777777" w:rsidR="00846989" w:rsidRDefault="00846989">
        <w:pPr>
          <w:pStyle w:val="Footer"/>
          <w:jc w:val="center"/>
        </w:pPr>
        <w:r>
          <w:fldChar w:fldCharType="begin"/>
        </w:r>
        <w:r>
          <w:instrText xml:space="preserve"> PAGE   \* MERGEFORMAT </w:instrText>
        </w:r>
        <w:r>
          <w:fldChar w:fldCharType="separate"/>
        </w:r>
        <w:r w:rsidR="00531837">
          <w:rPr>
            <w:noProof/>
          </w:rPr>
          <w:t>4</w:t>
        </w:r>
        <w:r>
          <w:rPr>
            <w:noProof/>
          </w:rPr>
          <w:fldChar w:fldCharType="end"/>
        </w:r>
      </w:p>
    </w:sdtContent>
  </w:sdt>
  <w:p w14:paraId="62D79CCE" w14:textId="77777777" w:rsidR="00846989" w:rsidRPr="00F93DCA" w:rsidRDefault="00846989" w:rsidP="00F93DCA">
    <w:pPr>
      <w:pStyle w:val="Footer"/>
      <w:jc w:val="center"/>
      <w:rPr>
        <w:rFonts w:ascii="Arial" w:hAnsi="Arial" w:cs="Arial"/>
        <w:color w:val="4D4D4D"/>
        <w:lang w:val="sr-Latn-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0EB4A" w14:textId="77777777" w:rsidR="00846989" w:rsidRPr="00592A0A" w:rsidRDefault="00846989" w:rsidP="00B6789D">
    <w:pPr>
      <w:pBdr>
        <w:top w:val="single" w:sz="4" w:space="1" w:color="auto"/>
      </w:pBdr>
      <w:jc w:val="center"/>
      <w:rPr>
        <w:rFonts w:ascii="Arial" w:hAnsi="Arial" w:cs="Arial"/>
        <w:color w:val="4D4D4D"/>
        <w:sz w:val="20"/>
        <w:szCs w:val="20"/>
        <w:lang w:val="en-US"/>
      </w:rPr>
    </w:pPr>
    <w:r>
      <w:rPr>
        <w:rFonts w:ascii="Arial" w:hAnsi="Arial" w:cs="Arial"/>
        <w:color w:val="4D4D4D"/>
        <w:sz w:val="20"/>
        <w:szCs w:val="20"/>
        <w:lang w:val="en-US"/>
      </w:rPr>
      <w:t>Address</w:t>
    </w:r>
    <w:r w:rsidRPr="006E1454">
      <w:rPr>
        <w:rFonts w:ascii="Arial" w:hAnsi="Arial" w:cs="Arial"/>
        <w:color w:val="4D4D4D"/>
        <w:sz w:val="20"/>
        <w:szCs w:val="20"/>
        <w:lang w:val="sr-Cyrl-CS"/>
      </w:rPr>
      <w:t xml:space="preserve">: </w:t>
    </w:r>
    <w:proofErr w:type="spellStart"/>
    <w:r>
      <w:rPr>
        <w:rFonts w:ascii="Arial" w:hAnsi="Arial" w:cs="Arial"/>
        <w:color w:val="4D4D4D"/>
        <w:sz w:val="20"/>
        <w:szCs w:val="20"/>
        <w:lang w:val="en-US"/>
      </w:rPr>
      <w:t>Deligradska</w:t>
    </w:r>
    <w:proofErr w:type="spellEnd"/>
    <w:r w:rsidRPr="006E1454">
      <w:rPr>
        <w:rFonts w:ascii="Arial" w:hAnsi="Arial" w:cs="Arial"/>
        <w:color w:val="4D4D4D"/>
        <w:sz w:val="20"/>
        <w:szCs w:val="20"/>
        <w:lang w:val="sr-Cyrl-CS"/>
      </w:rPr>
      <w:t xml:space="preserve"> 16, </w:t>
    </w:r>
    <w:proofErr w:type="gramStart"/>
    <w:r w:rsidRPr="006E1454">
      <w:rPr>
        <w:rFonts w:ascii="Arial" w:hAnsi="Arial" w:cs="Arial"/>
        <w:color w:val="4D4D4D"/>
        <w:sz w:val="20"/>
        <w:szCs w:val="20"/>
        <w:lang w:val="sr-Cyrl-CS"/>
      </w:rPr>
      <w:t>110</w:t>
    </w:r>
    <w:r>
      <w:rPr>
        <w:rFonts w:ascii="Arial" w:hAnsi="Arial" w:cs="Arial"/>
        <w:color w:val="4D4D4D"/>
        <w:sz w:val="20"/>
        <w:szCs w:val="20"/>
        <w:lang w:val="sr-Latn-CS"/>
      </w:rPr>
      <w:t>0</w:t>
    </w:r>
    <w:r w:rsidRPr="006E1454">
      <w:rPr>
        <w:rFonts w:ascii="Arial" w:hAnsi="Arial" w:cs="Arial"/>
        <w:color w:val="4D4D4D"/>
        <w:sz w:val="20"/>
        <w:szCs w:val="20"/>
        <w:lang w:val="sr-Cyrl-CS"/>
      </w:rPr>
      <w:t xml:space="preserve">0  </w:t>
    </w:r>
    <w:r>
      <w:rPr>
        <w:rFonts w:ascii="Arial" w:hAnsi="Arial" w:cs="Arial"/>
        <w:color w:val="4D4D4D"/>
        <w:sz w:val="20"/>
        <w:szCs w:val="20"/>
        <w:lang w:val="en-US"/>
      </w:rPr>
      <w:t>Belgrade</w:t>
    </w:r>
    <w:proofErr w:type="gramEnd"/>
  </w:p>
  <w:p w14:paraId="1EEF2C48" w14:textId="77777777" w:rsidR="00846989" w:rsidRPr="00D62235" w:rsidRDefault="00846989" w:rsidP="00D62235">
    <w:pPr>
      <w:pStyle w:val="Footer"/>
      <w:jc w:val="center"/>
      <w:rPr>
        <w:rFonts w:ascii="Arial" w:hAnsi="Arial" w:cs="Arial"/>
        <w:color w:val="4D4D4D"/>
        <w:lang w:val="sr-Cyrl-CS"/>
      </w:rPr>
    </w:pPr>
    <w:r>
      <w:rPr>
        <w:rFonts w:ascii="Arial" w:hAnsi="Arial" w:cs="Arial"/>
        <w:color w:val="4D4D4D"/>
        <w:sz w:val="20"/>
        <w:szCs w:val="20"/>
        <w:lang w:val="en-US"/>
      </w:rPr>
      <w:t>Tel</w:t>
    </w:r>
    <w:r>
      <w:rPr>
        <w:rFonts w:ascii="Arial" w:hAnsi="Arial" w:cs="Arial"/>
        <w:color w:val="4D4D4D"/>
        <w:sz w:val="20"/>
        <w:szCs w:val="20"/>
        <w:lang w:val="sr-Cyrl-CS"/>
      </w:rPr>
      <w:t>: (+38111)</w:t>
    </w:r>
    <w:r w:rsidRPr="006E1454">
      <w:rPr>
        <w:rFonts w:ascii="Arial" w:hAnsi="Arial" w:cs="Arial"/>
        <w:color w:val="4D4D4D"/>
        <w:sz w:val="20"/>
        <w:szCs w:val="20"/>
        <w:lang w:val="sr-Cyrl-CS"/>
      </w:rPr>
      <w:t xml:space="preserve"> 2</w:t>
    </w:r>
    <w:r>
      <w:rPr>
        <w:rFonts w:ascii="Arial" w:hAnsi="Arial" w:cs="Arial"/>
        <w:color w:val="4D4D4D"/>
        <w:sz w:val="20"/>
        <w:szCs w:val="20"/>
        <w:lang w:val="sr-Latn-CS"/>
      </w:rPr>
      <w:t>068</w:t>
    </w:r>
    <w:r w:rsidRPr="006E1454">
      <w:rPr>
        <w:rFonts w:ascii="Arial" w:hAnsi="Arial" w:cs="Arial"/>
        <w:color w:val="4D4D4D"/>
        <w:sz w:val="20"/>
        <w:szCs w:val="20"/>
        <w:lang w:val="sr-Cyrl-CS"/>
      </w:rPr>
      <w:t xml:space="preserve"> -</w:t>
    </w:r>
    <w:r>
      <w:rPr>
        <w:rFonts w:ascii="Arial" w:hAnsi="Arial" w:cs="Arial"/>
        <w:color w:val="4D4D4D"/>
        <w:sz w:val="20"/>
        <w:szCs w:val="20"/>
        <w:lang w:val="sr-Latn-CS"/>
      </w:rPr>
      <w:t>100</w:t>
    </w:r>
    <w:r w:rsidRPr="006E1454">
      <w:rPr>
        <w:rFonts w:ascii="Arial" w:hAnsi="Arial" w:cs="Arial"/>
        <w:color w:val="4D4D4D"/>
        <w:sz w:val="20"/>
        <w:szCs w:val="20"/>
        <w:lang w:val="sr-Cyrl-CS"/>
      </w:rPr>
      <w:t xml:space="preserve"> </w:t>
    </w:r>
    <w:r w:rsidRPr="006E1454">
      <w:rPr>
        <w:rFonts w:ascii="Arial" w:hAnsi="Arial" w:cs="Arial"/>
        <w:color w:val="4D4D4D"/>
        <w:sz w:val="20"/>
        <w:szCs w:val="20"/>
        <w:lang w:val="sr-Latn-CS"/>
      </w:rPr>
      <w:t xml:space="preserve">      www.</w:t>
    </w:r>
    <w:r>
      <w:rPr>
        <w:rFonts w:ascii="Arial" w:hAnsi="Arial" w:cs="Arial"/>
        <w:color w:val="4D4D4D"/>
        <w:sz w:val="20"/>
        <w:szCs w:val="20"/>
        <w:lang w:val="sr-Latn-CS"/>
      </w:rPr>
      <w:t>ombudsman</w:t>
    </w:r>
    <w:r w:rsidRPr="006E1454">
      <w:rPr>
        <w:rFonts w:ascii="Arial" w:hAnsi="Arial" w:cs="Arial"/>
        <w:color w:val="4D4D4D"/>
        <w:sz w:val="20"/>
        <w:szCs w:val="20"/>
        <w:lang w:val="sr-Latn-CS"/>
      </w:rPr>
      <w:t>.rs</w:t>
    </w:r>
    <w:r w:rsidRPr="006E1454">
      <w:rPr>
        <w:rFonts w:ascii="Arial" w:hAnsi="Arial" w:cs="Arial"/>
        <w:color w:val="4D4D4D"/>
        <w:sz w:val="20"/>
        <w:szCs w:val="20"/>
        <w:lang w:val="sr-Cyrl-CS"/>
      </w:rPr>
      <w:t xml:space="preserve"> </w:t>
    </w:r>
    <w:r w:rsidRPr="006E1454">
      <w:rPr>
        <w:rFonts w:ascii="Arial" w:hAnsi="Arial" w:cs="Arial"/>
        <w:color w:val="4D4D4D"/>
        <w:sz w:val="20"/>
        <w:szCs w:val="20"/>
        <w:lang w:val="sr-Latn-CS"/>
      </w:rPr>
      <w:t xml:space="preserve">       </w:t>
    </w:r>
    <w:r w:rsidRPr="006E1454">
      <w:rPr>
        <w:rFonts w:ascii="Arial" w:hAnsi="Arial" w:cs="Arial"/>
        <w:color w:val="4D4D4D"/>
        <w:sz w:val="20"/>
        <w:szCs w:val="20"/>
        <w:lang w:val="sr-Cyrl-CS"/>
      </w:rPr>
      <w:t>e-</w:t>
    </w:r>
    <w:proofErr w:type="spellStart"/>
    <w:r w:rsidRPr="006E1454">
      <w:rPr>
        <w:rFonts w:ascii="Arial" w:hAnsi="Arial" w:cs="Arial"/>
        <w:color w:val="4D4D4D"/>
        <w:sz w:val="20"/>
        <w:szCs w:val="20"/>
        <w:lang w:val="sr-Cyrl-CS"/>
      </w:rPr>
      <w:t>mail</w:t>
    </w:r>
    <w:proofErr w:type="spellEnd"/>
    <w:r w:rsidRPr="006E1454">
      <w:rPr>
        <w:rFonts w:ascii="Arial" w:hAnsi="Arial" w:cs="Arial"/>
        <w:color w:val="4D4D4D"/>
        <w:sz w:val="20"/>
        <w:szCs w:val="20"/>
        <w:lang w:val="sr-Cyrl-CS"/>
      </w:rPr>
      <w:t xml:space="preserve">: </w:t>
    </w:r>
    <w:r>
      <w:rPr>
        <w:rFonts w:ascii="Arial" w:hAnsi="Arial" w:cs="Arial"/>
        <w:color w:val="4D4D4D"/>
        <w:sz w:val="20"/>
        <w:szCs w:val="20"/>
        <w:lang w:val="en-US"/>
      </w:rPr>
      <w:t>zastitnik</w:t>
    </w:r>
    <w:r w:rsidRPr="006E1454">
      <w:rPr>
        <w:rFonts w:ascii="Arial" w:hAnsi="Arial" w:cs="Arial"/>
        <w:color w:val="4D4D4D"/>
        <w:sz w:val="20"/>
        <w:szCs w:val="20"/>
        <w:lang w:val="sr-Cyrl-CS"/>
      </w:rPr>
      <w:t>@</w:t>
    </w:r>
    <w:r>
      <w:rPr>
        <w:rFonts w:ascii="Arial" w:hAnsi="Arial" w:cs="Arial"/>
        <w:color w:val="4D4D4D"/>
        <w:sz w:val="20"/>
        <w:szCs w:val="20"/>
        <w:lang w:val="en-US"/>
      </w:rPr>
      <w:t>ombudsman</w:t>
    </w:r>
    <w:r w:rsidRPr="006E1454">
      <w:rPr>
        <w:rFonts w:ascii="Arial" w:hAnsi="Arial" w:cs="Arial"/>
        <w:color w:val="4D4D4D"/>
        <w:sz w:val="20"/>
        <w:szCs w:val="20"/>
        <w:lang w:val="sr-Cyrl-CS"/>
      </w:rPr>
      <w:t>.</w:t>
    </w:r>
    <w:proofErr w:type="spellStart"/>
    <w:r w:rsidRPr="006E1454">
      <w:rPr>
        <w:rFonts w:ascii="Arial" w:hAnsi="Arial" w:cs="Arial"/>
        <w:color w:val="4D4D4D"/>
        <w:sz w:val="20"/>
        <w:szCs w:val="20"/>
        <w:lang w:val="sr-Cyrl-CS"/>
      </w:rPr>
      <w:t>rs</w:t>
    </w:r>
    <w:proofErr w:type="spellEnd"/>
    <w:r w:rsidRPr="006E1454">
      <w:rPr>
        <w:rFonts w:ascii="Arial" w:hAnsi="Arial" w:cs="Arial"/>
        <w:color w:val="4D4D4D"/>
        <w:sz w:val="20"/>
        <w:szCs w:val="20"/>
        <w:lang w:val="sr-Cyrl-C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D03B8E" w14:textId="77777777" w:rsidR="00284D18" w:rsidRDefault="00284D18">
      <w:r>
        <w:separator/>
      </w:r>
    </w:p>
  </w:footnote>
  <w:footnote w:type="continuationSeparator" w:id="0">
    <w:p w14:paraId="3ADD9B98" w14:textId="77777777" w:rsidR="00284D18" w:rsidRDefault="00284D18">
      <w:r>
        <w:continuationSeparator/>
      </w:r>
    </w:p>
  </w:footnote>
  <w:footnote w:id="1">
    <w:p w14:paraId="5044B8C7" w14:textId="6F6D9EAB" w:rsidR="006802A0" w:rsidRPr="00FB5333" w:rsidRDefault="006802A0" w:rsidP="006802A0">
      <w:pPr>
        <w:pStyle w:val="FootnoteText"/>
        <w:rPr>
          <w:lang w:val="en-US"/>
        </w:rPr>
      </w:pPr>
      <w:r>
        <w:rPr>
          <w:rStyle w:val="FootnoteReference"/>
        </w:rPr>
        <w:footnoteRef/>
      </w:r>
      <w:r>
        <w:t xml:space="preserve"> </w:t>
      </w:r>
      <w:r>
        <w:rPr>
          <w:lang w:val="en-US"/>
        </w:rPr>
        <w:t>Official Gazette of the RS No. 33/06, 13/16</w:t>
      </w:r>
      <w:r w:rsidR="00531837">
        <w:rPr>
          <w:lang w:val="en-US"/>
        </w:rPr>
        <w:t>.</w:t>
      </w:r>
      <w:bookmarkStart w:id="0" w:name="_GoBack"/>
      <w:bookmarkEnd w:id="0"/>
    </w:p>
  </w:footnote>
  <w:footnote w:id="2">
    <w:p w14:paraId="77717C09" w14:textId="77777777" w:rsidR="006802A0" w:rsidRPr="008158EB" w:rsidRDefault="006802A0" w:rsidP="006802A0">
      <w:pPr>
        <w:pStyle w:val="FootnoteText"/>
        <w:rPr>
          <w:lang w:val="en-US"/>
        </w:rPr>
      </w:pPr>
      <w:r>
        <w:rPr>
          <w:rStyle w:val="FootnoteReference"/>
        </w:rPr>
        <w:footnoteRef/>
      </w:r>
      <w:r>
        <w:t xml:space="preserve"> Official Gazette of the RS, No. 22/09.</w:t>
      </w:r>
    </w:p>
  </w:footnote>
  <w:footnote w:id="3">
    <w:p w14:paraId="57B06BFD" w14:textId="77777777" w:rsidR="006802A0" w:rsidRPr="00046741" w:rsidRDefault="006802A0" w:rsidP="006802A0">
      <w:pPr>
        <w:pStyle w:val="FootnoteText"/>
        <w:rPr>
          <w:lang w:val="en-US"/>
        </w:rPr>
      </w:pPr>
      <w:r>
        <w:rPr>
          <w:rStyle w:val="FootnoteReference"/>
        </w:rPr>
        <w:footnoteRef/>
      </w:r>
      <w:r>
        <w:t xml:space="preserve"> Official Gazette of the RS, No. 87/18.</w:t>
      </w:r>
    </w:p>
  </w:footnote>
  <w:footnote w:id="4">
    <w:p w14:paraId="262BB987" w14:textId="77777777" w:rsidR="006802A0" w:rsidRPr="004157D3" w:rsidRDefault="006802A0" w:rsidP="006802A0">
      <w:pPr>
        <w:pStyle w:val="FootnoteText"/>
        <w:rPr>
          <w:lang w:val="en-US"/>
        </w:rPr>
      </w:pPr>
      <w:r>
        <w:rPr>
          <w:rStyle w:val="FootnoteReference"/>
        </w:rPr>
        <w:footnoteRef/>
      </w:r>
      <w:r>
        <w:t xml:space="preserve"> Official Gazette of the RS, No. 79/05, 54/07.</w:t>
      </w:r>
    </w:p>
  </w:footnote>
  <w:footnote w:id="5">
    <w:p w14:paraId="76794A1B" w14:textId="77777777" w:rsidR="006802A0" w:rsidRPr="00341DFE" w:rsidRDefault="006802A0" w:rsidP="006802A0">
      <w:pPr>
        <w:pStyle w:val="FootnoteText"/>
        <w:rPr>
          <w:lang w:val="en-US"/>
        </w:rPr>
      </w:pPr>
      <w:r>
        <w:rPr>
          <w:rStyle w:val="FootnoteReference"/>
        </w:rPr>
        <w:footnoteRef/>
      </w:r>
      <w:r>
        <w:t xml:space="preserve"> Official Gazette of the RS, No. </w:t>
      </w:r>
      <w:r w:rsidRPr="00341DFE">
        <w:t xml:space="preserve">85/05,88/05 – </w:t>
      </w:r>
      <w:r>
        <w:t>corr</w:t>
      </w:r>
      <w:r w:rsidRPr="00341DFE">
        <w:t>., 107/05, 72/09, 111/09, 121/12, 104/13, 108/14, 94/16, 35/19</w:t>
      </w:r>
    </w:p>
  </w:footnote>
  <w:footnote w:id="6">
    <w:p w14:paraId="3B0CA711" w14:textId="14026C3B" w:rsidR="006802A0" w:rsidRPr="006802A0" w:rsidRDefault="006802A0" w:rsidP="006802A0">
      <w:pPr>
        <w:pStyle w:val="FootnoteText"/>
        <w:rPr>
          <w:rFonts w:ascii="Book Antiqua" w:hAnsi="Book Antiqua"/>
          <w:sz w:val="18"/>
          <w:szCs w:val="18"/>
          <w:lang w:val="sr-Cyrl-RS"/>
        </w:rPr>
      </w:pPr>
      <w:r>
        <w:rPr>
          <w:rStyle w:val="FootnoteReference"/>
        </w:rPr>
        <w:footnoteRef/>
      </w:r>
      <w:r>
        <w:t xml:space="preserve"> </w:t>
      </w:r>
      <w:r>
        <w:rPr>
          <w:lang w:val="en-US"/>
        </w:rPr>
        <w:t xml:space="preserve">Available at: </w:t>
      </w:r>
      <w:hyperlink r:id="rId1" w:history="1">
        <w:r w:rsidRPr="007D0B91">
          <w:rPr>
            <w:rFonts w:ascii="Book Antiqua" w:hAnsi="Book Antiqua"/>
            <w:color w:val="0000FF"/>
            <w:sz w:val="18"/>
            <w:szCs w:val="18"/>
            <w:u w:val="single"/>
          </w:rPr>
          <w:t>https</w:t>
        </w:r>
        <w:r w:rsidRPr="006802A0">
          <w:rPr>
            <w:rFonts w:ascii="Book Antiqua" w:hAnsi="Book Antiqua"/>
            <w:color w:val="0000FF"/>
            <w:sz w:val="18"/>
            <w:szCs w:val="18"/>
            <w:u w:val="single"/>
            <w:lang w:val="en-US"/>
          </w:rPr>
          <w:t>://</w:t>
        </w:r>
        <w:r w:rsidRPr="007D0B91">
          <w:rPr>
            <w:rFonts w:ascii="Book Antiqua" w:hAnsi="Book Antiqua"/>
            <w:color w:val="0000FF"/>
            <w:sz w:val="18"/>
            <w:szCs w:val="18"/>
            <w:u w:val="single"/>
          </w:rPr>
          <w:t>www</w:t>
        </w:r>
        <w:r w:rsidRPr="006802A0">
          <w:rPr>
            <w:rFonts w:ascii="Book Antiqua" w:hAnsi="Book Antiqua"/>
            <w:color w:val="0000FF"/>
            <w:sz w:val="18"/>
            <w:szCs w:val="18"/>
            <w:u w:val="single"/>
            <w:lang w:val="en-US"/>
          </w:rPr>
          <w:t>.</w:t>
        </w:r>
        <w:r w:rsidRPr="007D0B91">
          <w:rPr>
            <w:rFonts w:ascii="Book Antiqua" w:hAnsi="Book Antiqua"/>
            <w:color w:val="0000FF"/>
            <w:sz w:val="18"/>
            <w:szCs w:val="18"/>
            <w:u w:val="single"/>
          </w:rPr>
          <w:t>ombudsman</w:t>
        </w:r>
        <w:r w:rsidRPr="006802A0">
          <w:rPr>
            <w:rFonts w:ascii="Book Antiqua" w:hAnsi="Book Antiqua"/>
            <w:color w:val="0000FF"/>
            <w:sz w:val="18"/>
            <w:szCs w:val="18"/>
            <w:u w:val="single"/>
            <w:lang w:val="en-US"/>
          </w:rPr>
          <w:t>.</w:t>
        </w:r>
        <w:proofErr w:type="spellStart"/>
        <w:r w:rsidRPr="007D0B91">
          <w:rPr>
            <w:rFonts w:ascii="Book Antiqua" w:hAnsi="Book Antiqua"/>
            <w:color w:val="0000FF"/>
            <w:sz w:val="18"/>
            <w:szCs w:val="18"/>
            <w:u w:val="single"/>
          </w:rPr>
          <w:t>rs</w:t>
        </w:r>
        <w:proofErr w:type="spellEnd"/>
        <w:r w:rsidRPr="006802A0">
          <w:rPr>
            <w:rFonts w:ascii="Book Antiqua" w:hAnsi="Book Antiqua"/>
            <w:color w:val="0000FF"/>
            <w:sz w:val="18"/>
            <w:szCs w:val="18"/>
            <w:u w:val="single"/>
            <w:lang w:val="en-US"/>
          </w:rPr>
          <w:t>/</w:t>
        </w:r>
        <w:r w:rsidRPr="007D0B91">
          <w:rPr>
            <w:rFonts w:ascii="Book Antiqua" w:hAnsi="Book Antiqua"/>
            <w:color w:val="0000FF"/>
            <w:sz w:val="18"/>
            <w:szCs w:val="18"/>
            <w:u w:val="single"/>
          </w:rPr>
          <w:t>index</w:t>
        </w:r>
        <w:r w:rsidRPr="006802A0">
          <w:rPr>
            <w:rFonts w:ascii="Book Antiqua" w:hAnsi="Book Antiqua"/>
            <w:color w:val="0000FF"/>
            <w:sz w:val="18"/>
            <w:szCs w:val="18"/>
            <w:u w:val="single"/>
            <w:lang w:val="en-US"/>
          </w:rPr>
          <w:t>.</w:t>
        </w:r>
        <w:proofErr w:type="spellStart"/>
        <w:r w:rsidRPr="007D0B91">
          <w:rPr>
            <w:rFonts w:ascii="Book Antiqua" w:hAnsi="Book Antiqua"/>
            <w:color w:val="0000FF"/>
            <w:sz w:val="18"/>
            <w:szCs w:val="18"/>
            <w:u w:val="single"/>
          </w:rPr>
          <w:t>php</w:t>
        </w:r>
        <w:proofErr w:type="spellEnd"/>
        <w:r w:rsidRPr="006802A0">
          <w:rPr>
            <w:rFonts w:ascii="Book Antiqua" w:hAnsi="Book Antiqua"/>
            <w:color w:val="0000FF"/>
            <w:sz w:val="18"/>
            <w:szCs w:val="18"/>
            <w:u w:val="single"/>
            <w:lang w:val="en-US"/>
          </w:rPr>
          <w:t>/</w:t>
        </w:r>
        <w:proofErr w:type="spellStart"/>
        <w:r w:rsidRPr="007D0B91">
          <w:rPr>
            <w:rFonts w:ascii="Book Antiqua" w:hAnsi="Book Antiqua"/>
            <w:color w:val="0000FF"/>
            <w:sz w:val="18"/>
            <w:szCs w:val="18"/>
            <w:u w:val="single"/>
          </w:rPr>
          <w:t>izvestaji</w:t>
        </w:r>
        <w:proofErr w:type="spellEnd"/>
        <w:r w:rsidRPr="006802A0">
          <w:rPr>
            <w:rFonts w:ascii="Book Antiqua" w:hAnsi="Book Antiqua"/>
            <w:color w:val="0000FF"/>
            <w:sz w:val="18"/>
            <w:szCs w:val="18"/>
            <w:u w:val="single"/>
            <w:lang w:val="en-US"/>
          </w:rPr>
          <w:t>/</w:t>
        </w:r>
        <w:proofErr w:type="spellStart"/>
        <w:r w:rsidRPr="007D0B91">
          <w:rPr>
            <w:rFonts w:ascii="Book Antiqua" w:hAnsi="Book Antiqua"/>
            <w:color w:val="0000FF"/>
            <w:sz w:val="18"/>
            <w:szCs w:val="18"/>
            <w:u w:val="single"/>
          </w:rPr>
          <w:t>posebnii</w:t>
        </w:r>
        <w:proofErr w:type="spellEnd"/>
        <w:r w:rsidRPr="006802A0">
          <w:rPr>
            <w:rFonts w:ascii="Book Antiqua" w:hAnsi="Book Antiqua"/>
            <w:color w:val="0000FF"/>
            <w:sz w:val="18"/>
            <w:szCs w:val="18"/>
            <w:u w:val="single"/>
            <w:lang w:val="en-US"/>
          </w:rPr>
          <w:t>-</w:t>
        </w:r>
        <w:proofErr w:type="spellStart"/>
        <w:r w:rsidRPr="007D0B91">
          <w:rPr>
            <w:rFonts w:ascii="Book Antiqua" w:hAnsi="Book Antiqua"/>
            <w:color w:val="0000FF"/>
            <w:sz w:val="18"/>
            <w:szCs w:val="18"/>
            <w:u w:val="single"/>
          </w:rPr>
          <w:t>izvestaji</w:t>
        </w:r>
        <w:proofErr w:type="spellEnd"/>
        <w:r w:rsidRPr="006802A0">
          <w:rPr>
            <w:rFonts w:ascii="Book Antiqua" w:hAnsi="Book Antiqua"/>
            <w:color w:val="0000FF"/>
            <w:sz w:val="18"/>
            <w:szCs w:val="18"/>
            <w:u w:val="single"/>
            <w:lang w:val="en-US"/>
          </w:rPr>
          <w:t>/5908-</w:t>
        </w:r>
        <w:r w:rsidRPr="007D0B91">
          <w:rPr>
            <w:rFonts w:ascii="Book Antiqua" w:hAnsi="Book Antiqua"/>
            <w:color w:val="0000FF"/>
            <w:sz w:val="18"/>
            <w:szCs w:val="18"/>
            <w:u w:val="single"/>
          </w:rPr>
          <w:t>special</w:t>
        </w:r>
        <w:r w:rsidRPr="006802A0">
          <w:rPr>
            <w:rFonts w:ascii="Book Antiqua" w:hAnsi="Book Antiqua"/>
            <w:color w:val="0000FF"/>
            <w:sz w:val="18"/>
            <w:szCs w:val="18"/>
            <w:u w:val="single"/>
            <w:lang w:val="en-US"/>
          </w:rPr>
          <w:t>-</w:t>
        </w:r>
        <w:r w:rsidRPr="007D0B91">
          <w:rPr>
            <w:rFonts w:ascii="Book Antiqua" w:hAnsi="Book Antiqua"/>
            <w:color w:val="0000FF"/>
            <w:sz w:val="18"/>
            <w:szCs w:val="18"/>
            <w:u w:val="single"/>
          </w:rPr>
          <w:t>report</w:t>
        </w:r>
        <w:r w:rsidRPr="006802A0">
          <w:rPr>
            <w:rFonts w:ascii="Book Antiqua" w:hAnsi="Book Antiqua"/>
            <w:color w:val="0000FF"/>
            <w:sz w:val="18"/>
            <w:szCs w:val="18"/>
            <w:u w:val="single"/>
            <w:lang w:val="en-US"/>
          </w:rPr>
          <w:t>-</w:t>
        </w:r>
        <w:r w:rsidRPr="007D0B91">
          <w:rPr>
            <w:rFonts w:ascii="Book Antiqua" w:hAnsi="Book Antiqua"/>
            <w:color w:val="0000FF"/>
            <w:sz w:val="18"/>
            <w:szCs w:val="18"/>
            <w:u w:val="single"/>
          </w:rPr>
          <w:t>of</w:t>
        </w:r>
        <w:r w:rsidRPr="006802A0">
          <w:rPr>
            <w:rFonts w:ascii="Book Antiqua" w:hAnsi="Book Antiqua"/>
            <w:color w:val="0000FF"/>
            <w:sz w:val="18"/>
            <w:szCs w:val="18"/>
            <w:u w:val="single"/>
            <w:lang w:val="en-US"/>
          </w:rPr>
          <w:t>-</w:t>
        </w:r>
        <w:r w:rsidRPr="007D0B91">
          <w:rPr>
            <w:rFonts w:ascii="Book Antiqua" w:hAnsi="Book Antiqua"/>
            <w:color w:val="0000FF"/>
            <w:sz w:val="18"/>
            <w:szCs w:val="18"/>
            <w:u w:val="single"/>
          </w:rPr>
          <w:t>the</w:t>
        </w:r>
        <w:r w:rsidRPr="006802A0">
          <w:rPr>
            <w:rFonts w:ascii="Book Antiqua" w:hAnsi="Book Antiqua"/>
            <w:color w:val="0000FF"/>
            <w:sz w:val="18"/>
            <w:szCs w:val="18"/>
            <w:u w:val="single"/>
            <w:lang w:val="en-US"/>
          </w:rPr>
          <w:t>-</w:t>
        </w:r>
        <w:r w:rsidRPr="007D0B91">
          <w:rPr>
            <w:rFonts w:ascii="Book Antiqua" w:hAnsi="Book Antiqua"/>
            <w:color w:val="0000FF"/>
            <w:sz w:val="18"/>
            <w:szCs w:val="18"/>
            <w:u w:val="single"/>
          </w:rPr>
          <w:t>protector</w:t>
        </w:r>
        <w:r w:rsidRPr="006802A0">
          <w:rPr>
            <w:rFonts w:ascii="Book Antiqua" w:hAnsi="Book Antiqua"/>
            <w:color w:val="0000FF"/>
            <w:sz w:val="18"/>
            <w:szCs w:val="18"/>
            <w:u w:val="single"/>
            <w:lang w:val="en-US"/>
          </w:rPr>
          <w:t>-</w:t>
        </w:r>
        <w:r w:rsidRPr="007D0B91">
          <w:rPr>
            <w:rFonts w:ascii="Book Antiqua" w:hAnsi="Book Antiqua"/>
            <w:color w:val="0000FF"/>
            <w:sz w:val="18"/>
            <w:szCs w:val="18"/>
            <w:u w:val="single"/>
          </w:rPr>
          <w:t>of</w:t>
        </w:r>
        <w:r w:rsidRPr="006802A0">
          <w:rPr>
            <w:rFonts w:ascii="Book Antiqua" w:hAnsi="Book Antiqua"/>
            <w:color w:val="0000FF"/>
            <w:sz w:val="18"/>
            <w:szCs w:val="18"/>
            <w:u w:val="single"/>
            <w:lang w:val="en-US"/>
          </w:rPr>
          <w:t>-</w:t>
        </w:r>
        <w:r w:rsidRPr="007D0B91">
          <w:rPr>
            <w:rFonts w:ascii="Book Antiqua" w:hAnsi="Book Antiqua"/>
            <w:color w:val="0000FF"/>
            <w:sz w:val="18"/>
            <w:szCs w:val="18"/>
            <w:u w:val="single"/>
          </w:rPr>
          <w:t>citizens</w:t>
        </w:r>
        <w:r w:rsidRPr="006802A0">
          <w:rPr>
            <w:rFonts w:ascii="Book Antiqua" w:hAnsi="Book Antiqua"/>
            <w:color w:val="0000FF"/>
            <w:sz w:val="18"/>
            <w:szCs w:val="18"/>
            <w:u w:val="single"/>
            <w:lang w:val="en-US"/>
          </w:rPr>
          <w:t>-</w:t>
        </w:r>
        <w:r w:rsidRPr="007D0B91">
          <w:rPr>
            <w:rFonts w:ascii="Book Antiqua" w:hAnsi="Book Antiqua"/>
            <w:color w:val="0000FF"/>
            <w:sz w:val="18"/>
            <w:szCs w:val="18"/>
            <w:u w:val="single"/>
          </w:rPr>
          <w:t>accessibility</w:t>
        </w:r>
        <w:r w:rsidRPr="006802A0">
          <w:rPr>
            <w:rFonts w:ascii="Book Antiqua" w:hAnsi="Book Antiqua"/>
            <w:color w:val="0000FF"/>
            <w:sz w:val="18"/>
            <w:szCs w:val="18"/>
            <w:u w:val="single"/>
            <w:lang w:val="en-US"/>
          </w:rPr>
          <w:t>-</w:t>
        </w:r>
        <w:r w:rsidRPr="007D0B91">
          <w:rPr>
            <w:rFonts w:ascii="Book Antiqua" w:hAnsi="Book Antiqua"/>
            <w:color w:val="0000FF"/>
            <w:sz w:val="18"/>
            <w:szCs w:val="18"/>
            <w:u w:val="single"/>
          </w:rPr>
          <w:t>for</w:t>
        </w:r>
        <w:r w:rsidRPr="006802A0">
          <w:rPr>
            <w:rFonts w:ascii="Book Antiqua" w:hAnsi="Book Antiqua"/>
            <w:color w:val="0000FF"/>
            <w:sz w:val="18"/>
            <w:szCs w:val="18"/>
            <w:u w:val="single"/>
            <w:lang w:val="en-US"/>
          </w:rPr>
          <w:t>-</w:t>
        </w:r>
        <w:r w:rsidRPr="007D0B91">
          <w:rPr>
            <w:rFonts w:ascii="Book Antiqua" w:hAnsi="Book Antiqua"/>
            <w:color w:val="0000FF"/>
            <w:sz w:val="18"/>
            <w:szCs w:val="18"/>
            <w:u w:val="single"/>
          </w:rPr>
          <w:t>all</w:t>
        </w:r>
      </w:hyperlink>
      <w:r w:rsidRPr="007D0B91">
        <w:rPr>
          <w:rFonts w:ascii="Book Antiqua" w:hAnsi="Book Antiqua"/>
          <w:sz w:val="18"/>
          <w:szCs w:val="18"/>
          <w:lang w:val="sr-Cyrl-RS"/>
        </w:rPr>
        <w:t>.</w:t>
      </w:r>
    </w:p>
  </w:footnote>
  <w:footnote w:id="7">
    <w:p w14:paraId="6F720D7E" w14:textId="77777777" w:rsidR="006802A0" w:rsidRPr="009C0E80" w:rsidRDefault="006802A0" w:rsidP="006802A0">
      <w:pPr>
        <w:pStyle w:val="FootnoteText"/>
        <w:rPr>
          <w:lang w:val="en-US"/>
        </w:rPr>
      </w:pPr>
      <w:r>
        <w:rPr>
          <w:rStyle w:val="FootnoteReference"/>
        </w:rPr>
        <w:footnoteRef/>
      </w:r>
      <w:r>
        <w:t xml:space="preserve"> </w:t>
      </w:r>
      <w:r>
        <w:rPr>
          <w:lang w:val="en-US"/>
        </w:rPr>
        <w:t xml:space="preserve">Available at: </w:t>
      </w:r>
      <w:hyperlink r:id="rId2" w:history="1">
        <w:r w:rsidRPr="002D1B9C">
          <w:rPr>
            <w:rStyle w:val="Hyperlink"/>
            <w:lang w:val="en-US"/>
          </w:rPr>
          <w:t>https://www.ombudsman.rs/index.php/izvestaji/posebnii-izvestaji/5902-special-report-of-the-protector-of-citizens-representation-of-women-in-decision-making-positions-and-the-position-and-activities-of-local-gender-equality-mechanisms-in-local-self-government-units-in-serbia</w:t>
        </w:r>
      </w:hyperlink>
      <w:r w:rsidRPr="009C0E80">
        <w:rPr>
          <w:lang w:val="en-US"/>
        </w:rPr>
        <w:t>.</w:t>
      </w:r>
      <w:r>
        <w:rPr>
          <w:lang w:val="en-U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EB25F" w14:textId="77777777" w:rsidR="00846989" w:rsidRDefault="00846989" w:rsidP="00E8471B">
    <w:pPr>
      <w:pStyle w:val="Header"/>
      <w:tabs>
        <w:tab w:val="clear" w:pos="8640"/>
        <w:tab w:val="right" w:pos="9720"/>
      </w:tabs>
      <w:rPr>
        <w:rStyle w:val="PageNumber"/>
      </w:rPr>
    </w:pPr>
    <w:r>
      <w:rPr>
        <w:rStyle w:val="PageNumber"/>
      </w:rPr>
      <w:tab/>
    </w:r>
    <w:r>
      <w:rPr>
        <w:rStyle w:val="PageNumber"/>
      </w:rPr>
      <w:tab/>
      <w:t xml:space="preserve"> </w:t>
    </w:r>
    <w:r>
      <w:rPr>
        <w:rStyle w:val="PageNumber"/>
      </w:rPr>
      <w:fldChar w:fldCharType="begin"/>
    </w:r>
    <w:r>
      <w:rPr>
        <w:rStyle w:val="PageNumber"/>
      </w:rPr>
      <w:instrText xml:space="preserve"> PAGE </w:instrText>
    </w:r>
    <w:r>
      <w:rPr>
        <w:rStyle w:val="PageNumber"/>
      </w:rPr>
      <w:fldChar w:fldCharType="separate"/>
    </w:r>
    <w:r w:rsidR="00531837">
      <w:rPr>
        <w:rStyle w:val="PageNumber"/>
        <w:noProof/>
      </w:rPr>
      <w:t>4</w:t>
    </w:r>
    <w:r>
      <w:rPr>
        <w:rStyle w:val="PageNumber"/>
      </w:rPr>
      <w:fldChar w:fldCharType="end"/>
    </w:r>
  </w:p>
  <w:p w14:paraId="4E7DD1E2" w14:textId="77777777" w:rsidR="00846989" w:rsidRPr="00AA62CD" w:rsidRDefault="00846989">
    <w:pPr>
      <w:pStyle w:val="Header"/>
      <w:rPr>
        <w:lang w:val="en-US"/>
      </w:rPr>
    </w:pPr>
    <w:r>
      <w:rPr>
        <w:lang w:val="en-US"/>
      </w:rPr>
      <w:t>______________________________________________________________________________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108" w:type="dxa"/>
      <w:tblLook w:val="00A0" w:firstRow="1" w:lastRow="0" w:firstColumn="1" w:lastColumn="0" w:noHBand="0" w:noVBand="0"/>
    </w:tblPr>
    <w:tblGrid>
      <w:gridCol w:w="3600"/>
      <w:gridCol w:w="2520"/>
      <w:gridCol w:w="3240"/>
    </w:tblGrid>
    <w:tr w:rsidR="00846989" w:rsidRPr="00A0248D" w14:paraId="040197DF" w14:textId="77777777">
      <w:tc>
        <w:tcPr>
          <w:tcW w:w="3600" w:type="dxa"/>
        </w:tcPr>
        <w:p w14:paraId="25AE486F" w14:textId="77777777" w:rsidR="00846989" w:rsidRPr="00A0248D" w:rsidRDefault="00846989" w:rsidP="00DE33FD">
          <w:pPr>
            <w:pStyle w:val="BodyTextIndent"/>
            <w:tabs>
              <w:tab w:val="left" w:pos="552"/>
              <w:tab w:val="center" w:pos="1368"/>
            </w:tabs>
            <w:ind w:firstLine="0"/>
            <w:jc w:val="center"/>
            <w:rPr>
              <w:rFonts w:ascii="Book Antiqua" w:hAnsi="Book Antiqua"/>
              <w:spacing w:val="6"/>
              <w:sz w:val="22"/>
              <w:szCs w:val="22"/>
            </w:rPr>
          </w:pPr>
          <w:r>
            <w:rPr>
              <w:noProof/>
              <w:lang w:val="en-US"/>
            </w:rPr>
            <w:drawing>
              <wp:inline distT="0" distB="0" distL="0" distR="0" wp14:anchorId="309D224E" wp14:editId="1739E633">
                <wp:extent cx="471170" cy="947420"/>
                <wp:effectExtent l="0" t="0" r="5080" b="5080"/>
                <wp:docPr id="1" name="Picture 1" descr="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170" cy="947420"/>
                        </a:xfrm>
                        <a:prstGeom prst="rect">
                          <a:avLst/>
                        </a:prstGeom>
                        <a:noFill/>
                        <a:ln>
                          <a:noFill/>
                        </a:ln>
                      </pic:spPr>
                    </pic:pic>
                  </a:graphicData>
                </a:graphic>
              </wp:inline>
            </w:drawing>
          </w:r>
        </w:p>
      </w:tc>
      <w:tc>
        <w:tcPr>
          <w:tcW w:w="2520" w:type="dxa"/>
        </w:tcPr>
        <w:p w14:paraId="2A1D952E" w14:textId="77777777" w:rsidR="00846989" w:rsidRPr="00A0248D" w:rsidRDefault="00846989" w:rsidP="00DE33FD">
          <w:pPr>
            <w:pStyle w:val="BodyTextIndent"/>
            <w:ind w:firstLine="0"/>
            <w:jc w:val="left"/>
            <w:rPr>
              <w:rFonts w:ascii="Book Antiqua" w:hAnsi="Book Antiqua"/>
              <w:spacing w:val="6"/>
              <w:sz w:val="22"/>
              <w:szCs w:val="22"/>
            </w:rPr>
          </w:pPr>
        </w:p>
      </w:tc>
      <w:tc>
        <w:tcPr>
          <w:tcW w:w="3240" w:type="dxa"/>
          <w:vMerge w:val="restart"/>
        </w:tcPr>
        <w:p w14:paraId="4BF0CACB" w14:textId="77777777" w:rsidR="00846989" w:rsidRDefault="00846989" w:rsidP="00CA022A">
          <w:pPr>
            <w:pStyle w:val="BodyTextIndent"/>
            <w:ind w:firstLine="0"/>
            <w:jc w:val="center"/>
            <w:rPr>
              <w:rFonts w:ascii="Book Antiqua" w:hAnsi="Book Antiqua"/>
              <w:spacing w:val="6"/>
              <w:sz w:val="22"/>
              <w:szCs w:val="22"/>
              <w:lang w:val="en-US"/>
            </w:rPr>
          </w:pPr>
        </w:p>
        <w:p w14:paraId="6FA0B9B7" w14:textId="77777777" w:rsidR="00846989" w:rsidRPr="00CA022A" w:rsidRDefault="00846989" w:rsidP="00CA022A">
          <w:pPr>
            <w:pStyle w:val="BodyTextIndent"/>
            <w:ind w:firstLine="0"/>
            <w:jc w:val="center"/>
            <w:rPr>
              <w:rFonts w:ascii="Book Antiqua" w:hAnsi="Book Antiqua"/>
              <w:spacing w:val="6"/>
              <w:sz w:val="22"/>
              <w:szCs w:val="22"/>
              <w:lang w:val="en-US"/>
            </w:rPr>
          </w:pPr>
          <w:r w:rsidRPr="00841D3E">
            <w:rPr>
              <w:rFonts w:ascii="Book Antiqua" w:hAnsi="Book Antiqua"/>
              <w:noProof/>
              <w:spacing w:val="6"/>
              <w:sz w:val="22"/>
              <w:szCs w:val="22"/>
              <w:lang w:val="en-US"/>
            </w:rPr>
            <w:drawing>
              <wp:inline distT="0" distB="0" distL="0" distR="0" wp14:anchorId="23410088" wp14:editId="0FBE1842">
                <wp:extent cx="1884045" cy="1601470"/>
                <wp:effectExtent l="0" t="0" r="1905" b="0"/>
                <wp:docPr id="2" name="Picture 2" descr="logo ombudsman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ombudsman cop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4045" cy="1601470"/>
                        </a:xfrm>
                        <a:prstGeom prst="rect">
                          <a:avLst/>
                        </a:prstGeom>
                        <a:noFill/>
                        <a:ln>
                          <a:noFill/>
                        </a:ln>
                      </pic:spPr>
                    </pic:pic>
                  </a:graphicData>
                </a:graphic>
              </wp:inline>
            </w:drawing>
          </w:r>
        </w:p>
      </w:tc>
    </w:tr>
    <w:tr w:rsidR="00846989" w:rsidRPr="00A0248D" w14:paraId="42CA83F8" w14:textId="77777777">
      <w:tc>
        <w:tcPr>
          <w:tcW w:w="3600" w:type="dxa"/>
          <w:tcBorders>
            <w:bottom w:val="single" w:sz="4" w:space="0" w:color="auto"/>
          </w:tcBorders>
        </w:tcPr>
        <w:p w14:paraId="4C2BF930" w14:textId="77777777" w:rsidR="00846989" w:rsidRPr="005546CF" w:rsidRDefault="00846989" w:rsidP="00DE33FD">
          <w:pPr>
            <w:pStyle w:val="BodyTextIndent"/>
            <w:ind w:firstLine="0"/>
            <w:jc w:val="center"/>
            <w:rPr>
              <w:rFonts w:ascii="Georgia" w:eastAsia="Arial Unicode MS" w:hAnsi="Georgia" w:cs="Arial Unicode MS"/>
              <w:b/>
              <w:bCs/>
              <w:sz w:val="22"/>
              <w:szCs w:val="22"/>
              <w:lang w:val="sr-Latn-CS"/>
            </w:rPr>
          </w:pPr>
        </w:p>
        <w:p w14:paraId="4E038299" w14:textId="5B72A767" w:rsidR="00846989" w:rsidRPr="005546CF" w:rsidRDefault="004A459A" w:rsidP="00DE33FD">
          <w:pPr>
            <w:pStyle w:val="BodyTextIndent"/>
            <w:ind w:firstLine="0"/>
            <w:jc w:val="center"/>
            <w:rPr>
              <w:rFonts w:ascii="Georgia" w:eastAsia="Arial Unicode MS" w:hAnsi="Georgia" w:cs="Arial Unicode MS"/>
              <w:b/>
              <w:bCs/>
              <w:sz w:val="22"/>
              <w:szCs w:val="22"/>
              <w:lang w:val="en-US"/>
            </w:rPr>
          </w:pPr>
          <w:r w:rsidRPr="005546CF">
            <w:rPr>
              <w:rFonts w:ascii="Georgia" w:eastAsia="Arial Unicode MS" w:hAnsi="Georgia" w:cs="Arial Unicode MS"/>
              <w:b/>
              <w:bCs/>
              <w:sz w:val="22"/>
              <w:szCs w:val="22"/>
              <w:lang w:val="en-US"/>
            </w:rPr>
            <w:t>REPUBLIC OF</w:t>
          </w:r>
          <w:r w:rsidR="00846989" w:rsidRPr="005546CF">
            <w:rPr>
              <w:rFonts w:ascii="Georgia" w:eastAsia="Arial Unicode MS" w:hAnsi="Georgia" w:cs="Arial Unicode MS"/>
              <w:b/>
              <w:bCs/>
              <w:sz w:val="22"/>
              <w:szCs w:val="22"/>
              <w:lang w:val="en-US"/>
            </w:rPr>
            <w:t xml:space="preserve"> SERBIA</w:t>
          </w:r>
        </w:p>
        <w:p w14:paraId="77B61174" w14:textId="53B5ED1F" w:rsidR="00846989" w:rsidRPr="00075AF5" w:rsidRDefault="009356F0" w:rsidP="00DE33FD">
          <w:pPr>
            <w:pStyle w:val="BodyTextIndent"/>
            <w:ind w:firstLine="0"/>
            <w:jc w:val="center"/>
            <w:rPr>
              <w:rFonts w:ascii="Georgia" w:eastAsia="Arial Unicode MS" w:hAnsi="Georgia" w:cs="Arial Unicode MS"/>
              <w:bCs/>
              <w:sz w:val="22"/>
              <w:szCs w:val="22"/>
              <w:lang w:val="sr-Cyrl-RS"/>
            </w:rPr>
          </w:pPr>
          <w:r>
            <w:rPr>
              <w:rFonts w:ascii="Georgia" w:eastAsia="Arial Unicode MS" w:hAnsi="Georgia" w:cs="Arial Unicode MS"/>
              <w:bCs/>
              <w:sz w:val="22"/>
              <w:szCs w:val="22"/>
              <w:lang w:val="sr-Cyrl-RS"/>
            </w:rPr>
            <w:t>346-159</w:t>
          </w:r>
          <w:r w:rsidR="00846989">
            <w:rPr>
              <w:rFonts w:ascii="Georgia" w:eastAsia="Arial Unicode MS" w:hAnsi="Georgia" w:cs="Arial Unicode MS"/>
              <w:bCs/>
              <w:sz w:val="22"/>
              <w:szCs w:val="22"/>
              <w:lang w:val="sr-Cyrl-RS"/>
            </w:rPr>
            <w:t>/19</w:t>
          </w:r>
        </w:p>
        <w:p w14:paraId="1EC8823C" w14:textId="77777777" w:rsidR="00846989" w:rsidRPr="005546CF" w:rsidRDefault="00846989" w:rsidP="00DE33FD">
          <w:pPr>
            <w:pStyle w:val="BodyTextIndent"/>
            <w:ind w:firstLine="0"/>
            <w:jc w:val="center"/>
            <w:rPr>
              <w:rFonts w:ascii="Georgia" w:eastAsia="Arial Unicode MS" w:hAnsi="Georgia" w:cs="Arial Unicode MS"/>
              <w:bCs/>
              <w:sz w:val="22"/>
              <w:szCs w:val="22"/>
              <w:lang w:val="en-US"/>
            </w:rPr>
          </w:pPr>
          <w:r w:rsidRPr="005546CF">
            <w:rPr>
              <w:rFonts w:ascii="Georgia" w:eastAsia="Arial Unicode MS" w:hAnsi="Georgia" w:cs="Arial Unicode MS"/>
              <w:bCs/>
              <w:sz w:val="22"/>
              <w:szCs w:val="22"/>
              <w:lang w:val="en-US"/>
            </w:rPr>
            <w:t>B e l g r a d e</w:t>
          </w:r>
        </w:p>
        <w:p w14:paraId="0D38EB47" w14:textId="77777777" w:rsidR="00846989" w:rsidRPr="005546CF" w:rsidRDefault="00846989" w:rsidP="00DE33FD">
          <w:pPr>
            <w:pStyle w:val="BodyTextIndent"/>
            <w:ind w:firstLine="0"/>
            <w:jc w:val="center"/>
            <w:rPr>
              <w:rFonts w:ascii="Book Antiqua" w:hAnsi="Book Antiqua"/>
              <w:spacing w:val="6"/>
              <w:sz w:val="22"/>
              <w:szCs w:val="22"/>
            </w:rPr>
          </w:pPr>
        </w:p>
      </w:tc>
      <w:tc>
        <w:tcPr>
          <w:tcW w:w="2520" w:type="dxa"/>
          <w:tcBorders>
            <w:bottom w:val="single" w:sz="4" w:space="0" w:color="auto"/>
          </w:tcBorders>
        </w:tcPr>
        <w:p w14:paraId="5BA6AE1A" w14:textId="77777777" w:rsidR="00846989" w:rsidRPr="005546CF" w:rsidRDefault="00846989" w:rsidP="00DE33FD">
          <w:pPr>
            <w:pStyle w:val="BodyTextIndent"/>
            <w:ind w:firstLine="0"/>
            <w:jc w:val="left"/>
            <w:rPr>
              <w:rFonts w:ascii="Book Antiqua" w:hAnsi="Book Antiqua"/>
              <w:spacing w:val="6"/>
              <w:sz w:val="22"/>
              <w:szCs w:val="22"/>
            </w:rPr>
          </w:pPr>
        </w:p>
      </w:tc>
      <w:tc>
        <w:tcPr>
          <w:tcW w:w="3240" w:type="dxa"/>
          <w:vMerge/>
          <w:tcBorders>
            <w:bottom w:val="single" w:sz="4" w:space="0" w:color="auto"/>
          </w:tcBorders>
        </w:tcPr>
        <w:p w14:paraId="2471F4D6" w14:textId="77777777" w:rsidR="00846989" w:rsidRPr="00A0248D" w:rsidRDefault="00846989" w:rsidP="00DE33FD">
          <w:pPr>
            <w:pStyle w:val="BodyTextIndent"/>
            <w:ind w:firstLine="0"/>
            <w:jc w:val="left"/>
            <w:rPr>
              <w:rFonts w:ascii="Book Antiqua" w:hAnsi="Book Antiqua"/>
              <w:spacing w:val="6"/>
              <w:sz w:val="22"/>
              <w:szCs w:val="22"/>
            </w:rPr>
          </w:pPr>
        </w:p>
      </w:tc>
    </w:tr>
    <w:tr w:rsidR="00846989" w:rsidRPr="00A0248D" w14:paraId="593BD3E3" w14:textId="77777777">
      <w:tc>
        <w:tcPr>
          <w:tcW w:w="3600" w:type="dxa"/>
          <w:tcBorders>
            <w:top w:val="single" w:sz="4" w:space="0" w:color="auto"/>
          </w:tcBorders>
        </w:tcPr>
        <w:p w14:paraId="6E358CD8" w14:textId="6B65F3DC" w:rsidR="00846989" w:rsidRPr="007012C5" w:rsidRDefault="00846989" w:rsidP="009356F0">
          <w:pPr>
            <w:pStyle w:val="BodyTextIndent"/>
            <w:ind w:firstLine="0"/>
            <w:jc w:val="left"/>
            <w:rPr>
              <w:rFonts w:ascii="Georgia" w:eastAsia="Arial Unicode MS" w:hAnsi="Georgia" w:cs="Arial Unicode MS"/>
              <w:b/>
              <w:bCs/>
              <w:sz w:val="20"/>
              <w:szCs w:val="20"/>
              <w:lang w:val="en-US"/>
            </w:rPr>
          </w:pPr>
          <w:r w:rsidRPr="007012C5">
            <w:rPr>
              <w:rFonts w:ascii="Georgia" w:hAnsi="Georgia"/>
              <w:sz w:val="20"/>
              <w:szCs w:val="20"/>
              <w:lang w:val="en-US"/>
            </w:rPr>
            <w:t>Ref</w:t>
          </w:r>
          <w:r w:rsidRPr="007012C5">
            <w:rPr>
              <w:rFonts w:ascii="Georgia" w:hAnsi="Georgia"/>
              <w:sz w:val="20"/>
              <w:szCs w:val="20"/>
            </w:rPr>
            <w:t>.</w:t>
          </w:r>
          <w:r w:rsidRPr="007012C5">
            <w:rPr>
              <w:rFonts w:ascii="Georgia" w:hAnsi="Georgia"/>
              <w:sz w:val="20"/>
              <w:szCs w:val="20"/>
              <w:lang w:val="en-US"/>
            </w:rPr>
            <w:t>No</w:t>
          </w:r>
          <w:r w:rsidRPr="007012C5">
            <w:rPr>
              <w:rFonts w:ascii="Georgia" w:hAnsi="Georgia"/>
              <w:sz w:val="20"/>
              <w:szCs w:val="20"/>
            </w:rPr>
            <w:t>.</w:t>
          </w:r>
          <w:r w:rsidRPr="007012C5">
            <w:rPr>
              <w:rFonts w:ascii="Georgia" w:hAnsi="Georgia"/>
              <w:sz w:val="20"/>
              <w:szCs w:val="20"/>
              <w:lang w:val="en-US"/>
            </w:rPr>
            <w:t xml:space="preserve"> </w:t>
          </w:r>
          <w:r w:rsidR="009356F0">
            <w:rPr>
              <w:rFonts w:ascii="Georgia" w:hAnsi="Georgia"/>
              <w:sz w:val="20"/>
              <w:szCs w:val="20"/>
              <w:lang w:val="sr-Latn-RS"/>
            </w:rPr>
            <w:t xml:space="preserve">23472 </w:t>
          </w:r>
          <w:r w:rsidRPr="007012C5">
            <w:rPr>
              <w:rFonts w:ascii="Georgia" w:hAnsi="Georgia"/>
              <w:sz w:val="20"/>
              <w:szCs w:val="20"/>
              <w:lang w:val="en-US"/>
            </w:rPr>
            <w:t xml:space="preserve">Date: </w:t>
          </w:r>
          <w:r w:rsidR="009356F0">
            <w:rPr>
              <w:rFonts w:ascii="Georgia" w:hAnsi="Georgia"/>
              <w:sz w:val="20"/>
              <w:szCs w:val="20"/>
              <w:lang w:val="en-US"/>
            </w:rPr>
            <w:t>15</w:t>
          </w:r>
          <w:r w:rsidRPr="007012C5">
            <w:rPr>
              <w:rFonts w:ascii="Georgia" w:hAnsi="Georgia"/>
              <w:sz w:val="20"/>
              <w:szCs w:val="20"/>
              <w:lang w:val="sr-Cyrl-RS"/>
            </w:rPr>
            <w:t>.</w:t>
          </w:r>
          <w:r w:rsidRPr="007012C5">
            <w:rPr>
              <w:rFonts w:ascii="Georgia" w:hAnsi="Georgia"/>
              <w:sz w:val="20"/>
              <w:szCs w:val="20"/>
              <w:lang w:val="en-US"/>
            </w:rPr>
            <w:t xml:space="preserve"> </w:t>
          </w:r>
          <w:r w:rsidR="009356F0">
            <w:rPr>
              <w:rFonts w:ascii="Georgia" w:hAnsi="Georgia"/>
              <w:sz w:val="20"/>
              <w:szCs w:val="20"/>
              <w:lang w:val="en-US"/>
            </w:rPr>
            <w:t>August</w:t>
          </w:r>
          <w:r w:rsidRPr="007012C5">
            <w:rPr>
              <w:rFonts w:ascii="Georgia" w:hAnsi="Georgia"/>
              <w:sz w:val="20"/>
              <w:szCs w:val="20"/>
              <w:lang w:val="en-US"/>
            </w:rPr>
            <w:t xml:space="preserve"> 2019.</w:t>
          </w:r>
        </w:p>
      </w:tc>
      <w:tc>
        <w:tcPr>
          <w:tcW w:w="2520" w:type="dxa"/>
          <w:tcBorders>
            <w:top w:val="single" w:sz="4" w:space="0" w:color="auto"/>
          </w:tcBorders>
        </w:tcPr>
        <w:p w14:paraId="17692CD0" w14:textId="77777777" w:rsidR="00846989" w:rsidRPr="005546CF" w:rsidRDefault="00846989" w:rsidP="00DE33FD">
          <w:pPr>
            <w:pStyle w:val="BodyTextIndent"/>
            <w:ind w:firstLine="0"/>
            <w:jc w:val="left"/>
            <w:rPr>
              <w:rFonts w:ascii="Book Antiqua" w:hAnsi="Book Antiqua"/>
              <w:spacing w:val="6"/>
              <w:sz w:val="22"/>
              <w:szCs w:val="22"/>
            </w:rPr>
          </w:pPr>
        </w:p>
      </w:tc>
      <w:tc>
        <w:tcPr>
          <w:tcW w:w="3240" w:type="dxa"/>
          <w:tcBorders>
            <w:top w:val="single" w:sz="4" w:space="0" w:color="auto"/>
          </w:tcBorders>
        </w:tcPr>
        <w:p w14:paraId="38E8E23B" w14:textId="77777777" w:rsidR="00846989" w:rsidRPr="00A0248D" w:rsidRDefault="00846989" w:rsidP="00DE33FD">
          <w:pPr>
            <w:pStyle w:val="BodyTextIndent"/>
            <w:ind w:firstLine="0"/>
            <w:jc w:val="left"/>
            <w:rPr>
              <w:rFonts w:ascii="Book Antiqua" w:hAnsi="Book Antiqua"/>
              <w:spacing w:val="6"/>
              <w:sz w:val="22"/>
              <w:szCs w:val="22"/>
            </w:rPr>
          </w:pPr>
        </w:p>
      </w:tc>
    </w:tr>
  </w:tbl>
  <w:p w14:paraId="673C9F3A" w14:textId="77777777" w:rsidR="00846989" w:rsidRDefault="008469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23C8E"/>
    <w:multiLevelType w:val="hybridMultilevel"/>
    <w:tmpl w:val="B14C36F2"/>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nsid w:val="0AAE5543"/>
    <w:multiLevelType w:val="hybridMultilevel"/>
    <w:tmpl w:val="43D250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501AFE"/>
    <w:multiLevelType w:val="hybridMultilevel"/>
    <w:tmpl w:val="3178352A"/>
    <w:lvl w:ilvl="0" w:tplc="C908AC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C3C6A59"/>
    <w:multiLevelType w:val="hybridMultilevel"/>
    <w:tmpl w:val="466AA5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79949AF"/>
    <w:multiLevelType w:val="hybridMultilevel"/>
    <w:tmpl w:val="28FA8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061C57"/>
    <w:multiLevelType w:val="hybridMultilevel"/>
    <w:tmpl w:val="7554746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2C724EA1"/>
    <w:multiLevelType w:val="hybridMultilevel"/>
    <w:tmpl w:val="7D6AD9E0"/>
    <w:lvl w:ilvl="0" w:tplc="04090001">
      <w:start w:val="1"/>
      <w:numFmt w:val="bullet"/>
      <w:lvlText w:val=""/>
      <w:lvlJc w:val="left"/>
      <w:pPr>
        <w:ind w:left="1714" w:hanging="360"/>
      </w:pPr>
      <w:rPr>
        <w:rFonts w:ascii="Symbol" w:hAnsi="Symbol"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7">
    <w:nsid w:val="2DE56594"/>
    <w:multiLevelType w:val="hybridMultilevel"/>
    <w:tmpl w:val="60065360"/>
    <w:lvl w:ilvl="0" w:tplc="0409000F">
      <w:start w:val="1"/>
      <w:numFmt w:val="decimal"/>
      <w:lvlText w:val="%1."/>
      <w:lvlJc w:val="left"/>
      <w:pPr>
        <w:ind w:left="1714" w:hanging="360"/>
      </w:pPr>
      <w:rPr>
        <w:rFonts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8">
    <w:nsid w:val="378A72BA"/>
    <w:multiLevelType w:val="hybridMultilevel"/>
    <w:tmpl w:val="45E26E10"/>
    <w:lvl w:ilvl="0" w:tplc="DA64CC00">
      <w:start w:val="1"/>
      <w:numFmt w:val="decimal"/>
      <w:lvlText w:val="%1."/>
      <w:lvlJc w:val="left"/>
      <w:pPr>
        <w:ind w:left="765"/>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9342EABE">
      <w:start w:val="1"/>
      <w:numFmt w:val="bullet"/>
      <w:lvlText w:val="•"/>
      <w:lvlJc w:val="left"/>
      <w:pPr>
        <w:ind w:left="148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2" w:tplc="3262358E">
      <w:start w:val="1"/>
      <w:numFmt w:val="bullet"/>
      <w:lvlText w:val="▪"/>
      <w:lvlJc w:val="left"/>
      <w:pPr>
        <w:ind w:left="14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186082AE">
      <w:start w:val="1"/>
      <w:numFmt w:val="bullet"/>
      <w:lvlText w:val="•"/>
      <w:lvlJc w:val="left"/>
      <w:pPr>
        <w:ind w:left="214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EDE6F14">
      <w:start w:val="1"/>
      <w:numFmt w:val="bullet"/>
      <w:lvlText w:val="o"/>
      <w:lvlJc w:val="left"/>
      <w:pPr>
        <w:ind w:left="286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C4B61DA8">
      <w:start w:val="1"/>
      <w:numFmt w:val="bullet"/>
      <w:lvlText w:val="▪"/>
      <w:lvlJc w:val="left"/>
      <w:pPr>
        <w:ind w:left="358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3DB01818">
      <w:start w:val="1"/>
      <w:numFmt w:val="bullet"/>
      <w:lvlText w:val="•"/>
      <w:lvlJc w:val="left"/>
      <w:pPr>
        <w:ind w:left="430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95BAAC30">
      <w:start w:val="1"/>
      <w:numFmt w:val="bullet"/>
      <w:lvlText w:val="o"/>
      <w:lvlJc w:val="left"/>
      <w:pPr>
        <w:ind w:left="502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1EA03B98">
      <w:start w:val="1"/>
      <w:numFmt w:val="bullet"/>
      <w:lvlText w:val="▪"/>
      <w:lvlJc w:val="left"/>
      <w:pPr>
        <w:ind w:left="574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9">
    <w:nsid w:val="38611DC9"/>
    <w:multiLevelType w:val="hybridMultilevel"/>
    <w:tmpl w:val="D1C29F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3B7667CC"/>
    <w:multiLevelType w:val="hybridMultilevel"/>
    <w:tmpl w:val="7BF85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EF7068"/>
    <w:multiLevelType w:val="hybridMultilevel"/>
    <w:tmpl w:val="0AFE23F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nsid w:val="4620064D"/>
    <w:multiLevelType w:val="hybridMultilevel"/>
    <w:tmpl w:val="BE7885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B3051A"/>
    <w:multiLevelType w:val="multilevel"/>
    <w:tmpl w:val="0A48AF2A"/>
    <w:styleLink w:val="Rimska"/>
    <w:lvl w:ilvl="0">
      <w:start w:val="1"/>
      <w:numFmt w:val="upperRoman"/>
      <w:pStyle w:val="NasloviRimski"/>
      <w:lvlText w:val="%1"/>
      <w:lvlJc w:val="left"/>
      <w:pPr>
        <w:ind w:left="397" w:hanging="397"/>
      </w:pPr>
      <w:rPr>
        <w:rFonts w:ascii="Book Antiqua" w:hAnsi="Book Antiqua" w:cs="Times New Roman" w:hint="default"/>
      </w:rPr>
    </w:lvl>
    <w:lvl w:ilvl="1">
      <w:start w:val="1"/>
      <w:numFmt w:val="decimal"/>
      <w:pStyle w:val="Podnaslovi"/>
      <w:isLgl/>
      <w:lvlText w:val="%2."/>
      <w:lvlJc w:val="left"/>
      <w:pPr>
        <w:ind w:left="397" w:hanging="397"/>
      </w:pPr>
      <w:rPr>
        <w:rFonts w:cs="Times New Roman" w:hint="default"/>
      </w:rPr>
    </w:lvl>
    <w:lvl w:ilvl="2">
      <w:start w:val="1"/>
      <w:numFmt w:val="decimal"/>
      <w:pStyle w:val="Numeracija1"/>
      <w:isLgl/>
      <w:lvlText w:val="%2.%3."/>
      <w:lvlJc w:val="left"/>
      <w:pPr>
        <w:ind w:left="284" w:hanging="284"/>
      </w:pPr>
      <w:rPr>
        <w:rFonts w:cs="Times New Roman" w:hint="default"/>
      </w:rPr>
    </w:lvl>
    <w:lvl w:ilvl="3">
      <w:start w:val="1"/>
      <w:numFmt w:val="decimal"/>
      <w:pStyle w:val="Numeracija4"/>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abstractNum w:abstractNumId="14">
    <w:nsid w:val="503A120B"/>
    <w:multiLevelType w:val="hybridMultilevel"/>
    <w:tmpl w:val="D6808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E2321A"/>
    <w:multiLevelType w:val="hybridMultilevel"/>
    <w:tmpl w:val="A2169722"/>
    <w:lvl w:ilvl="0" w:tplc="0409000B">
      <w:start w:val="1"/>
      <w:numFmt w:val="bullet"/>
      <w:lvlText w:val=""/>
      <w:lvlJc w:val="left"/>
      <w:pPr>
        <w:ind w:left="1714" w:hanging="360"/>
      </w:pPr>
      <w:rPr>
        <w:rFonts w:ascii="Wingdings" w:hAnsi="Wingdings"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abstractNum w:abstractNumId="16">
    <w:nsid w:val="559B6FB3"/>
    <w:multiLevelType w:val="hybridMultilevel"/>
    <w:tmpl w:val="F612C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BD0144"/>
    <w:multiLevelType w:val="hybridMultilevel"/>
    <w:tmpl w:val="E6C6F98C"/>
    <w:lvl w:ilvl="0" w:tplc="017A0EBE">
      <w:start w:val="27"/>
      <w:numFmt w:val="bullet"/>
      <w:lvlText w:val="-"/>
      <w:lvlJc w:val="left"/>
      <w:pPr>
        <w:tabs>
          <w:tab w:val="num" w:pos="720"/>
        </w:tabs>
        <w:ind w:left="720" w:hanging="360"/>
      </w:pPr>
      <w:rPr>
        <w:rFonts w:ascii="Book Antiqua" w:eastAsia="Times New Roman" w:hAnsi="Book Antiqua"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B411CBA"/>
    <w:multiLevelType w:val="hybridMultilevel"/>
    <w:tmpl w:val="2246241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nsid w:val="5EEB1803"/>
    <w:multiLevelType w:val="hybridMultilevel"/>
    <w:tmpl w:val="C9E294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4A6D14"/>
    <w:multiLevelType w:val="hybridMultilevel"/>
    <w:tmpl w:val="CB6CAC8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1">
    <w:nsid w:val="6CB06703"/>
    <w:multiLevelType w:val="hybridMultilevel"/>
    <w:tmpl w:val="22462410"/>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2">
    <w:nsid w:val="6FEC02F3"/>
    <w:multiLevelType w:val="hybridMultilevel"/>
    <w:tmpl w:val="FAF8A36A"/>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713D789D"/>
    <w:multiLevelType w:val="hybridMultilevel"/>
    <w:tmpl w:val="E310979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nsid w:val="7B7D4AD0"/>
    <w:multiLevelType w:val="hybridMultilevel"/>
    <w:tmpl w:val="B14A03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
  </w:num>
  <w:num w:numId="3">
    <w:abstractNumId w:val="11"/>
  </w:num>
  <w:num w:numId="4">
    <w:abstractNumId w:val="6"/>
  </w:num>
  <w:num w:numId="5">
    <w:abstractNumId w:val="7"/>
  </w:num>
  <w:num w:numId="6">
    <w:abstractNumId w:val="15"/>
  </w:num>
  <w:num w:numId="7">
    <w:abstractNumId w:val="12"/>
  </w:num>
  <w:num w:numId="8">
    <w:abstractNumId w:val="2"/>
  </w:num>
  <w:num w:numId="9">
    <w:abstractNumId w:val="10"/>
  </w:num>
  <w:num w:numId="10">
    <w:abstractNumId w:val="19"/>
  </w:num>
  <w:num w:numId="11">
    <w:abstractNumId w:val="13"/>
    <w:lvlOverride w:ilvl="0">
      <w:lvl w:ilvl="0">
        <w:start w:val="1"/>
        <w:numFmt w:val="upperRoman"/>
        <w:pStyle w:val="NasloviRimski"/>
        <w:lvlText w:val="%1"/>
        <w:lvlJc w:val="left"/>
        <w:pPr>
          <w:ind w:left="397" w:hanging="397"/>
        </w:pPr>
        <w:rPr>
          <w:rFonts w:ascii="Book Antiqua" w:hAnsi="Book Antiqua" w:cs="Times New Roman" w:hint="default"/>
        </w:rPr>
      </w:lvl>
    </w:lvlOverride>
    <w:lvlOverride w:ilvl="1">
      <w:lvl w:ilvl="1">
        <w:start w:val="1"/>
        <w:numFmt w:val="decimal"/>
        <w:pStyle w:val="Podnaslovi"/>
        <w:isLgl/>
        <w:lvlText w:val="%2."/>
        <w:lvlJc w:val="left"/>
        <w:pPr>
          <w:ind w:left="397" w:hanging="397"/>
        </w:pPr>
        <w:rPr>
          <w:rFonts w:cs="Times New Roman" w:hint="default"/>
        </w:rPr>
      </w:lvl>
    </w:lvlOverride>
    <w:lvlOverride w:ilvl="2">
      <w:lvl w:ilvl="2">
        <w:start w:val="1"/>
        <w:numFmt w:val="decimal"/>
        <w:pStyle w:val="Numeracija1"/>
        <w:isLgl/>
        <w:lvlText w:val="%2.%3."/>
        <w:lvlJc w:val="left"/>
        <w:pPr>
          <w:ind w:left="284" w:hanging="284"/>
        </w:pPr>
        <w:rPr>
          <w:rFonts w:cs="Times New Roman" w:hint="default"/>
          <w:b w:val="0"/>
        </w:rPr>
      </w:lvl>
    </w:lvlOverride>
    <w:lvlOverride w:ilvl="3">
      <w:lvl w:ilvl="3">
        <w:start w:val="1"/>
        <w:numFmt w:val="decimal"/>
        <w:pStyle w:val="Numeracija4"/>
        <w:lvlText w:val="(%4)"/>
        <w:lvlJc w:val="left"/>
        <w:pPr>
          <w:ind w:left="2160" w:hanging="360"/>
        </w:pPr>
        <w:rPr>
          <w:rFonts w:cs="Times New Roman" w:hint="default"/>
        </w:rPr>
      </w:lvl>
    </w:lvlOverride>
    <w:lvlOverride w:ilvl="4">
      <w:lvl w:ilvl="4">
        <w:start w:val="1"/>
        <w:numFmt w:val="lowerLetter"/>
        <w:lvlText w:val="(%5)"/>
        <w:lvlJc w:val="left"/>
        <w:pPr>
          <w:ind w:left="2520" w:hanging="360"/>
        </w:pPr>
        <w:rPr>
          <w:rFonts w:cs="Times New Roman" w:hint="default"/>
        </w:rPr>
      </w:lvl>
    </w:lvlOverride>
    <w:lvlOverride w:ilvl="5">
      <w:lvl w:ilvl="5">
        <w:start w:val="1"/>
        <w:numFmt w:val="lowerRoman"/>
        <w:lvlText w:val="(%6)"/>
        <w:lvlJc w:val="left"/>
        <w:pPr>
          <w:ind w:left="2880" w:hanging="360"/>
        </w:pPr>
        <w:rPr>
          <w:rFonts w:cs="Times New Roman" w:hint="default"/>
        </w:rPr>
      </w:lvl>
    </w:lvlOverride>
    <w:lvlOverride w:ilvl="6">
      <w:lvl w:ilvl="6">
        <w:start w:val="1"/>
        <w:numFmt w:val="decimal"/>
        <w:lvlText w:val="%7."/>
        <w:lvlJc w:val="left"/>
        <w:pPr>
          <w:ind w:left="3240" w:hanging="360"/>
        </w:pPr>
        <w:rPr>
          <w:rFonts w:cs="Times New Roman" w:hint="default"/>
        </w:rPr>
      </w:lvl>
    </w:lvlOverride>
    <w:lvlOverride w:ilvl="7">
      <w:lvl w:ilvl="7">
        <w:start w:val="1"/>
        <w:numFmt w:val="lowerLetter"/>
        <w:lvlText w:val="%8."/>
        <w:lvlJc w:val="left"/>
        <w:pPr>
          <w:ind w:left="3600" w:hanging="360"/>
        </w:pPr>
        <w:rPr>
          <w:rFonts w:cs="Times New Roman" w:hint="default"/>
        </w:rPr>
      </w:lvl>
    </w:lvlOverride>
    <w:lvlOverride w:ilvl="8">
      <w:lvl w:ilvl="8">
        <w:start w:val="1"/>
        <w:numFmt w:val="lowerRoman"/>
        <w:lvlText w:val="%9."/>
        <w:lvlJc w:val="left"/>
        <w:pPr>
          <w:ind w:left="3960" w:hanging="360"/>
        </w:pPr>
        <w:rPr>
          <w:rFonts w:cs="Times New Roman" w:hint="default"/>
        </w:rPr>
      </w:lvl>
    </w:lvlOverride>
  </w:num>
  <w:num w:numId="12">
    <w:abstractNumId w:val="13"/>
  </w:num>
  <w:num w:numId="13">
    <w:abstractNumId w:val="8"/>
  </w:num>
  <w:num w:numId="14">
    <w:abstractNumId w:val="0"/>
  </w:num>
  <w:num w:numId="15">
    <w:abstractNumId w:val="20"/>
  </w:num>
  <w:num w:numId="16">
    <w:abstractNumId w:val="14"/>
  </w:num>
  <w:num w:numId="17">
    <w:abstractNumId w:val="4"/>
  </w:num>
  <w:num w:numId="18">
    <w:abstractNumId w:val="23"/>
  </w:num>
  <w:num w:numId="19">
    <w:abstractNumId w:val="21"/>
  </w:num>
  <w:num w:numId="20">
    <w:abstractNumId w:val="18"/>
  </w:num>
  <w:num w:numId="21">
    <w:abstractNumId w:val="1"/>
  </w:num>
  <w:num w:numId="22">
    <w:abstractNumId w:val="16"/>
  </w:num>
  <w:num w:numId="23">
    <w:abstractNumId w:val="24"/>
  </w:num>
  <w:num w:numId="24">
    <w:abstractNumId w:val="22"/>
  </w:num>
  <w:num w:numId="25">
    <w:abstractNumId w:val="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5AC"/>
    <w:rsid w:val="000154F0"/>
    <w:rsid w:val="00023127"/>
    <w:rsid w:val="00024FC9"/>
    <w:rsid w:val="0002551E"/>
    <w:rsid w:val="00025DA2"/>
    <w:rsid w:val="0003553B"/>
    <w:rsid w:val="0004038A"/>
    <w:rsid w:val="000421A9"/>
    <w:rsid w:val="0005556C"/>
    <w:rsid w:val="00063533"/>
    <w:rsid w:val="000659BE"/>
    <w:rsid w:val="00070A50"/>
    <w:rsid w:val="00075AF5"/>
    <w:rsid w:val="0008426B"/>
    <w:rsid w:val="00087B98"/>
    <w:rsid w:val="00087D06"/>
    <w:rsid w:val="0009036B"/>
    <w:rsid w:val="000A18C1"/>
    <w:rsid w:val="000C471E"/>
    <w:rsid w:val="000D1CF2"/>
    <w:rsid w:val="000D2F45"/>
    <w:rsid w:val="000D5127"/>
    <w:rsid w:val="000D5F59"/>
    <w:rsid w:val="000D7C97"/>
    <w:rsid w:val="000D7D3C"/>
    <w:rsid w:val="000E122B"/>
    <w:rsid w:val="000E3653"/>
    <w:rsid w:val="000E4955"/>
    <w:rsid w:val="000E5D85"/>
    <w:rsid w:val="000F4D91"/>
    <w:rsid w:val="00103CBA"/>
    <w:rsid w:val="00104E27"/>
    <w:rsid w:val="0015454D"/>
    <w:rsid w:val="001575C1"/>
    <w:rsid w:val="001615AD"/>
    <w:rsid w:val="00181FD1"/>
    <w:rsid w:val="001859E1"/>
    <w:rsid w:val="00194E5A"/>
    <w:rsid w:val="001A2357"/>
    <w:rsid w:val="001A2F4A"/>
    <w:rsid w:val="001B4E85"/>
    <w:rsid w:val="001B5561"/>
    <w:rsid w:val="001C4334"/>
    <w:rsid w:val="001C7C7C"/>
    <w:rsid w:val="001D7BC7"/>
    <w:rsid w:val="001E0E0A"/>
    <w:rsid w:val="001E231C"/>
    <w:rsid w:val="001E2A50"/>
    <w:rsid w:val="001E5B25"/>
    <w:rsid w:val="001F1308"/>
    <w:rsid w:val="001F7E07"/>
    <w:rsid w:val="00206318"/>
    <w:rsid w:val="00217604"/>
    <w:rsid w:val="00222186"/>
    <w:rsid w:val="00226B8E"/>
    <w:rsid w:val="00231A50"/>
    <w:rsid w:val="002323B4"/>
    <w:rsid w:val="00245AB1"/>
    <w:rsid w:val="002554CF"/>
    <w:rsid w:val="002556FF"/>
    <w:rsid w:val="00271E5F"/>
    <w:rsid w:val="0027213A"/>
    <w:rsid w:val="00274BE5"/>
    <w:rsid w:val="0027730C"/>
    <w:rsid w:val="00284BD4"/>
    <w:rsid w:val="00284D18"/>
    <w:rsid w:val="002A4137"/>
    <w:rsid w:val="002B6AC5"/>
    <w:rsid w:val="002E3628"/>
    <w:rsid w:val="002F085A"/>
    <w:rsid w:val="002F4825"/>
    <w:rsid w:val="002F7F5A"/>
    <w:rsid w:val="003027D3"/>
    <w:rsid w:val="00305387"/>
    <w:rsid w:val="0031722D"/>
    <w:rsid w:val="00317A04"/>
    <w:rsid w:val="00323F45"/>
    <w:rsid w:val="0034179D"/>
    <w:rsid w:val="00342CA0"/>
    <w:rsid w:val="003436DE"/>
    <w:rsid w:val="003443D3"/>
    <w:rsid w:val="00376300"/>
    <w:rsid w:val="003906B7"/>
    <w:rsid w:val="00396CBE"/>
    <w:rsid w:val="00397780"/>
    <w:rsid w:val="003A7B44"/>
    <w:rsid w:val="003C2746"/>
    <w:rsid w:val="003F0C0F"/>
    <w:rsid w:val="003F0C73"/>
    <w:rsid w:val="003F52B6"/>
    <w:rsid w:val="0043450F"/>
    <w:rsid w:val="00436277"/>
    <w:rsid w:val="00444B65"/>
    <w:rsid w:val="00460005"/>
    <w:rsid w:val="004668C6"/>
    <w:rsid w:val="00470E56"/>
    <w:rsid w:val="004721D4"/>
    <w:rsid w:val="00482111"/>
    <w:rsid w:val="00484549"/>
    <w:rsid w:val="004905B6"/>
    <w:rsid w:val="00493F47"/>
    <w:rsid w:val="00497BE8"/>
    <w:rsid w:val="004A459A"/>
    <w:rsid w:val="004A4CA8"/>
    <w:rsid w:val="004A6659"/>
    <w:rsid w:val="004A79D7"/>
    <w:rsid w:val="004B2C68"/>
    <w:rsid w:val="004D117A"/>
    <w:rsid w:val="004D533D"/>
    <w:rsid w:val="004D7997"/>
    <w:rsid w:val="004E274F"/>
    <w:rsid w:val="004E4611"/>
    <w:rsid w:val="004F4711"/>
    <w:rsid w:val="00503762"/>
    <w:rsid w:val="00504FC1"/>
    <w:rsid w:val="00505187"/>
    <w:rsid w:val="005228CD"/>
    <w:rsid w:val="00523720"/>
    <w:rsid w:val="00531837"/>
    <w:rsid w:val="005325BA"/>
    <w:rsid w:val="00534887"/>
    <w:rsid w:val="005364FA"/>
    <w:rsid w:val="00544AF3"/>
    <w:rsid w:val="00545791"/>
    <w:rsid w:val="00553A7F"/>
    <w:rsid w:val="005546CF"/>
    <w:rsid w:val="00561257"/>
    <w:rsid w:val="00566FDE"/>
    <w:rsid w:val="00572262"/>
    <w:rsid w:val="00575582"/>
    <w:rsid w:val="005765F6"/>
    <w:rsid w:val="00586A9C"/>
    <w:rsid w:val="00587EDC"/>
    <w:rsid w:val="0059067E"/>
    <w:rsid w:val="00592A0A"/>
    <w:rsid w:val="005A598F"/>
    <w:rsid w:val="005B7C28"/>
    <w:rsid w:val="005D7C33"/>
    <w:rsid w:val="005E1A5E"/>
    <w:rsid w:val="005E38B1"/>
    <w:rsid w:val="005F7D9C"/>
    <w:rsid w:val="00601D3A"/>
    <w:rsid w:val="0060438F"/>
    <w:rsid w:val="00616648"/>
    <w:rsid w:val="006327D3"/>
    <w:rsid w:val="00632834"/>
    <w:rsid w:val="00632DD6"/>
    <w:rsid w:val="00636C9B"/>
    <w:rsid w:val="006371CA"/>
    <w:rsid w:val="0064034C"/>
    <w:rsid w:val="00640FC2"/>
    <w:rsid w:val="0064530E"/>
    <w:rsid w:val="00665794"/>
    <w:rsid w:val="006755F6"/>
    <w:rsid w:val="006802A0"/>
    <w:rsid w:val="0068243C"/>
    <w:rsid w:val="00685261"/>
    <w:rsid w:val="006879AD"/>
    <w:rsid w:val="006A0775"/>
    <w:rsid w:val="006A54CC"/>
    <w:rsid w:val="006A7BF2"/>
    <w:rsid w:val="006B40DD"/>
    <w:rsid w:val="006E0932"/>
    <w:rsid w:val="006E1D9F"/>
    <w:rsid w:val="006E5066"/>
    <w:rsid w:val="006E6821"/>
    <w:rsid w:val="006F22CF"/>
    <w:rsid w:val="006F5FCD"/>
    <w:rsid w:val="007012C5"/>
    <w:rsid w:val="007133F7"/>
    <w:rsid w:val="00713D7C"/>
    <w:rsid w:val="00722461"/>
    <w:rsid w:val="00733805"/>
    <w:rsid w:val="00746655"/>
    <w:rsid w:val="00751378"/>
    <w:rsid w:val="00756CC1"/>
    <w:rsid w:val="007620E7"/>
    <w:rsid w:val="00763B5F"/>
    <w:rsid w:val="0077738E"/>
    <w:rsid w:val="00785086"/>
    <w:rsid w:val="007B2BB5"/>
    <w:rsid w:val="007B2CBB"/>
    <w:rsid w:val="007B375A"/>
    <w:rsid w:val="007D0A0C"/>
    <w:rsid w:val="007D0B91"/>
    <w:rsid w:val="007D3BFA"/>
    <w:rsid w:val="007D587E"/>
    <w:rsid w:val="007D6B78"/>
    <w:rsid w:val="007E597E"/>
    <w:rsid w:val="007E737D"/>
    <w:rsid w:val="007F65BF"/>
    <w:rsid w:val="007F65CE"/>
    <w:rsid w:val="007F72E8"/>
    <w:rsid w:val="007F7426"/>
    <w:rsid w:val="00804BCC"/>
    <w:rsid w:val="00814B62"/>
    <w:rsid w:val="00837407"/>
    <w:rsid w:val="008405E4"/>
    <w:rsid w:val="0084079E"/>
    <w:rsid w:val="00841D3E"/>
    <w:rsid w:val="00843D9E"/>
    <w:rsid w:val="00846989"/>
    <w:rsid w:val="00862A05"/>
    <w:rsid w:val="008640FA"/>
    <w:rsid w:val="00873B3E"/>
    <w:rsid w:val="008827EB"/>
    <w:rsid w:val="0088520B"/>
    <w:rsid w:val="008862A2"/>
    <w:rsid w:val="00886919"/>
    <w:rsid w:val="00886D11"/>
    <w:rsid w:val="008872D1"/>
    <w:rsid w:val="0089063B"/>
    <w:rsid w:val="008907F7"/>
    <w:rsid w:val="00891A7E"/>
    <w:rsid w:val="00895F95"/>
    <w:rsid w:val="008A0D9C"/>
    <w:rsid w:val="008A4586"/>
    <w:rsid w:val="008A7079"/>
    <w:rsid w:val="008A7D48"/>
    <w:rsid w:val="008B0C68"/>
    <w:rsid w:val="008B4AF6"/>
    <w:rsid w:val="008D67A6"/>
    <w:rsid w:val="008D78CD"/>
    <w:rsid w:val="008E3210"/>
    <w:rsid w:val="008F1730"/>
    <w:rsid w:val="008F7E84"/>
    <w:rsid w:val="00901471"/>
    <w:rsid w:val="00904B0D"/>
    <w:rsid w:val="00910DEA"/>
    <w:rsid w:val="00913318"/>
    <w:rsid w:val="00913EE4"/>
    <w:rsid w:val="00923F3F"/>
    <w:rsid w:val="009304B0"/>
    <w:rsid w:val="00930D03"/>
    <w:rsid w:val="00933FCE"/>
    <w:rsid w:val="009356F0"/>
    <w:rsid w:val="009461CD"/>
    <w:rsid w:val="009515BF"/>
    <w:rsid w:val="00961C61"/>
    <w:rsid w:val="00962C71"/>
    <w:rsid w:val="00966527"/>
    <w:rsid w:val="00970364"/>
    <w:rsid w:val="0097234C"/>
    <w:rsid w:val="00974695"/>
    <w:rsid w:val="0097768A"/>
    <w:rsid w:val="00984267"/>
    <w:rsid w:val="009843F6"/>
    <w:rsid w:val="00996C09"/>
    <w:rsid w:val="009A0541"/>
    <w:rsid w:val="009A2258"/>
    <w:rsid w:val="009A2E87"/>
    <w:rsid w:val="009B3903"/>
    <w:rsid w:val="009D0BCE"/>
    <w:rsid w:val="009F0637"/>
    <w:rsid w:val="00A11D3A"/>
    <w:rsid w:val="00A159F7"/>
    <w:rsid w:val="00A16F33"/>
    <w:rsid w:val="00A359C1"/>
    <w:rsid w:val="00A45ACE"/>
    <w:rsid w:val="00A473B7"/>
    <w:rsid w:val="00A52B76"/>
    <w:rsid w:val="00A607A3"/>
    <w:rsid w:val="00A613A3"/>
    <w:rsid w:val="00A76A10"/>
    <w:rsid w:val="00A8043E"/>
    <w:rsid w:val="00A84C18"/>
    <w:rsid w:val="00A907B1"/>
    <w:rsid w:val="00A91912"/>
    <w:rsid w:val="00AA112A"/>
    <w:rsid w:val="00AA1553"/>
    <w:rsid w:val="00AA62CD"/>
    <w:rsid w:val="00AC0292"/>
    <w:rsid w:val="00AC4178"/>
    <w:rsid w:val="00AE4FAB"/>
    <w:rsid w:val="00AE7651"/>
    <w:rsid w:val="00AF4E32"/>
    <w:rsid w:val="00AF79F9"/>
    <w:rsid w:val="00AF7B13"/>
    <w:rsid w:val="00B1759C"/>
    <w:rsid w:val="00B251F6"/>
    <w:rsid w:val="00B35AC5"/>
    <w:rsid w:val="00B4398E"/>
    <w:rsid w:val="00B609D1"/>
    <w:rsid w:val="00B663BF"/>
    <w:rsid w:val="00B6789D"/>
    <w:rsid w:val="00B70B30"/>
    <w:rsid w:val="00B85B9B"/>
    <w:rsid w:val="00B977F0"/>
    <w:rsid w:val="00BA4CC8"/>
    <w:rsid w:val="00BA552A"/>
    <w:rsid w:val="00BB28DB"/>
    <w:rsid w:val="00BB3228"/>
    <w:rsid w:val="00BB6C12"/>
    <w:rsid w:val="00BC481A"/>
    <w:rsid w:val="00BD54E6"/>
    <w:rsid w:val="00BE11B7"/>
    <w:rsid w:val="00BE52E6"/>
    <w:rsid w:val="00BF79CF"/>
    <w:rsid w:val="00C047D1"/>
    <w:rsid w:val="00C12FEF"/>
    <w:rsid w:val="00C26F82"/>
    <w:rsid w:val="00C27DED"/>
    <w:rsid w:val="00C32C3A"/>
    <w:rsid w:val="00C428DB"/>
    <w:rsid w:val="00C505CA"/>
    <w:rsid w:val="00C51A42"/>
    <w:rsid w:val="00C52D59"/>
    <w:rsid w:val="00C55378"/>
    <w:rsid w:val="00C5560F"/>
    <w:rsid w:val="00C5780E"/>
    <w:rsid w:val="00C63AAD"/>
    <w:rsid w:val="00C64B13"/>
    <w:rsid w:val="00C80037"/>
    <w:rsid w:val="00C84F50"/>
    <w:rsid w:val="00C9057D"/>
    <w:rsid w:val="00C95EAE"/>
    <w:rsid w:val="00CA022A"/>
    <w:rsid w:val="00CA06A7"/>
    <w:rsid w:val="00CA4A8F"/>
    <w:rsid w:val="00CA4BF6"/>
    <w:rsid w:val="00CB0B95"/>
    <w:rsid w:val="00CB522E"/>
    <w:rsid w:val="00CC09BB"/>
    <w:rsid w:val="00CC542B"/>
    <w:rsid w:val="00CC5E97"/>
    <w:rsid w:val="00CD1D6D"/>
    <w:rsid w:val="00CD45A5"/>
    <w:rsid w:val="00CD645C"/>
    <w:rsid w:val="00CE042E"/>
    <w:rsid w:val="00CE388F"/>
    <w:rsid w:val="00CE465D"/>
    <w:rsid w:val="00D00DAC"/>
    <w:rsid w:val="00D0181F"/>
    <w:rsid w:val="00D02D0E"/>
    <w:rsid w:val="00D135AC"/>
    <w:rsid w:val="00D13E92"/>
    <w:rsid w:val="00D1605B"/>
    <w:rsid w:val="00D206B6"/>
    <w:rsid w:val="00D269FC"/>
    <w:rsid w:val="00D44FF4"/>
    <w:rsid w:val="00D56707"/>
    <w:rsid w:val="00D57D61"/>
    <w:rsid w:val="00D62235"/>
    <w:rsid w:val="00D6390D"/>
    <w:rsid w:val="00D64168"/>
    <w:rsid w:val="00D6795E"/>
    <w:rsid w:val="00D7366D"/>
    <w:rsid w:val="00D91292"/>
    <w:rsid w:val="00D93F0F"/>
    <w:rsid w:val="00D943F9"/>
    <w:rsid w:val="00D960FA"/>
    <w:rsid w:val="00D96E57"/>
    <w:rsid w:val="00D97175"/>
    <w:rsid w:val="00D97272"/>
    <w:rsid w:val="00DA0B22"/>
    <w:rsid w:val="00DA0DBC"/>
    <w:rsid w:val="00DA49C5"/>
    <w:rsid w:val="00DA55C0"/>
    <w:rsid w:val="00DA770C"/>
    <w:rsid w:val="00DB027A"/>
    <w:rsid w:val="00DD3BE0"/>
    <w:rsid w:val="00DE33FD"/>
    <w:rsid w:val="00DF6CB8"/>
    <w:rsid w:val="00E0038A"/>
    <w:rsid w:val="00E005C6"/>
    <w:rsid w:val="00E0269D"/>
    <w:rsid w:val="00E040A2"/>
    <w:rsid w:val="00E06DB5"/>
    <w:rsid w:val="00E20A65"/>
    <w:rsid w:val="00E263F3"/>
    <w:rsid w:val="00E309CE"/>
    <w:rsid w:val="00E35437"/>
    <w:rsid w:val="00E4560C"/>
    <w:rsid w:val="00E46133"/>
    <w:rsid w:val="00E51058"/>
    <w:rsid w:val="00E54CF6"/>
    <w:rsid w:val="00E566AA"/>
    <w:rsid w:val="00E57EE0"/>
    <w:rsid w:val="00E6077B"/>
    <w:rsid w:val="00E719CC"/>
    <w:rsid w:val="00E81A2A"/>
    <w:rsid w:val="00E82E5D"/>
    <w:rsid w:val="00E8471B"/>
    <w:rsid w:val="00E86C5F"/>
    <w:rsid w:val="00E95040"/>
    <w:rsid w:val="00EB1606"/>
    <w:rsid w:val="00EB6423"/>
    <w:rsid w:val="00EC3794"/>
    <w:rsid w:val="00ED7174"/>
    <w:rsid w:val="00EE0F20"/>
    <w:rsid w:val="00EE22EE"/>
    <w:rsid w:val="00EE49F2"/>
    <w:rsid w:val="00EE4FFB"/>
    <w:rsid w:val="00EE5CEE"/>
    <w:rsid w:val="00EF24C2"/>
    <w:rsid w:val="00F15E24"/>
    <w:rsid w:val="00F16523"/>
    <w:rsid w:val="00F25485"/>
    <w:rsid w:val="00F265D2"/>
    <w:rsid w:val="00F32918"/>
    <w:rsid w:val="00F34238"/>
    <w:rsid w:val="00F35682"/>
    <w:rsid w:val="00F44C03"/>
    <w:rsid w:val="00F47C0B"/>
    <w:rsid w:val="00F530CE"/>
    <w:rsid w:val="00F60D8A"/>
    <w:rsid w:val="00F6160A"/>
    <w:rsid w:val="00F66A86"/>
    <w:rsid w:val="00F722B9"/>
    <w:rsid w:val="00F7235C"/>
    <w:rsid w:val="00F81C45"/>
    <w:rsid w:val="00F82C59"/>
    <w:rsid w:val="00F84AFB"/>
    <w:rsid w:val="00F87FF8"/>
    <w:rsid w:val="00F93DCA"/>
    <w:rsid w:val="00F95FE5"/>
    <w:rsid w:val="00FA0E7E"/>
    <w:rsid w:val="00FB1B76"/>
    <w:rsid w:val="00FC269E"/>
    <w:rsid w:val="00FC7FD3"/>
    <w:rsid w:val="00FD2B5D"/>
    <w:rsid w:val="00FE2BD0"/>
    <w:rsid w:val="00FF25CB"/>
    <w:rsid w:val="00FF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DB373BD"/>
  <w15:docId w15:val="{D8ABA3B0-474B-45F7-AF36-8FA510D75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0CE"/>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01471"/>
    <w:pPr>
      <w:tabs>
        <w:tab w:val="center" w:pos="4320"/>
        <w:tab w:val="right" w:pos="8640"/>
      </w:tabs>
    </w:pPr>
  </w:style>
  <w:style w:type="paragraph" w:styleId="Footer">
    <w:name w:val="footer"/>
    <w:basedOn w:val="Normal"/>
    <w:link w:val="FooterChar"/>
    <w:uiPriority w:val="99"/>
    <w:rsid w:val="00901471"/>
    <w:pPr>
      <w:tabs>
        <w:tab w:val="center" w:pos="4320"/>
        <w:tab w:val="right" w:pos="8640"/>
      </w:tabs>
    </w:pPr>
  </w:style>
  <w:style w:type="paragraph" w:styleId="BodyTextIndent">
    <w:name w:val="Body Text Indent"/>
    <w:basedOn w:val="Normal"/>
    <w:rsid w:val="00901471"/>
    <w:pPr>
      <w:ind w:firstLine="720"/>
      <w:jc w:val="both"/>
    </w:pPr>
    <w:rPr>
      <w:rFonts w:ascii="Verdana" w:hAnsi="Verdana"/>
      <w:lang w:val="sr-Cyrl-CS"/>
    </w:rPr>
  </w:style>
  <w:style w:type="character" w:styleId="PageNumber">
    <w:name w:val="page number"/>
    <w:basedOn w:val="DefaultParagraphFont"/>
    <w:rsid w:val="00F530CE"/>
  </w:style>
  <w:style w:type="paragraph" w:customStyle="1" w:styleId="NormalBookAntiqua">
    <w:name w:val="Normal + Book Antiqua"/>
    <w:aliases w:val="11 pt,Right,Right:  0.05&quot;"/>
    <w:basedOn w:val="Normal"/>
    <w:rsid w:val="00CA4A8F"/>
  </w:style>
  <w:style w:type="paragraph" w:customStyle="1" w:styleId="CharCharChar2Char">
    <w:name w:val="Char Char Char2 Char"/>
    <w:basedOn w:val="NormalBookAntiqua"/>
    <w:rsid w:val="00FD2B5D"/>
  </w:style>
  <w:style w:type="paragraph" w:styleId="BalloonText">
    <w:name w:val="Balloon Text"/>
    <w:basedOn w:val="Normal"/>
    <w:link w:val="BalloonTextChar"/>
    <w:uiPriority w:val="99"/>
    <w:semiHidden/>
    <w:rsid w:val="00D62235"/>
    <w:rPr>
      <w:rFonts w:ascii="Tahoma" w:hAnsi="Tahoma" w:cs="Tahoma"/>
      <w:sz w:val="16"/>
      <w:szCs w:val="16"/>
    </w:rPr>
  </w:style>
  <w:style w:type="paragraph" w:customStyle="1" w:styleId="CharCharChar2Char0">
    <w:name w:val="Char Char Char2 Char"/>
    <w:basedOn w:val="Normal"/>
    <w:rsid w:val="00BD54E6"/>
    <w:pPr>
      <w:spacing w:after="160" w:line="240" w:lineRule="exact"/>
    </w:pPr>
    <w:rPr>
      <w:rFonts w:ascii="Tahoma" w:hAnsi="Tahoma"/>
      <w:sz w:val="20"/>
      <w:szCs w:val="20"/>
      <w:lang w:val="en-US"/>
    </w:rPr>
  </w:style>
  <w:style w:type="paragraph" w:styleId="NormalWeb">
    <w:name w:val="Normal (Web)"/>
    <w:basedOn w:val="Normal"/>
    <w:uiPriority w:val="99"/>
    <w:rsid w:val="008A7079"/>
  </w:style>
  <w:style w:type="paragraph" w:styleId="FootnoteText">
    <w:name w:val="footnote text"/>
    <w:aliases w:val="Footnote Text Char Char Char,Footnote Text Char Char,single space Char,ft Char,single space,ft,Footnote Text Char Char Char Char Char Char Char Char,Footnote Text Char Char Char Char1 Char,fn,Fußnote,ft Char Char Char,f"/>
    <w:basedOn w:val="Normal"/>
    <w:link w:val="FootnoteTextChar"/>
    <w:uiPriority w:val="99"/>
    <w:unhideWhenUsed/>
    <w:qFormat/>
    <w:rsid w:val="008A7079"/>
    <w:rPr>
      <w:sz w:val="20"/>
      <w:szCs w:val="20"/>
    </w:rPr>
  </w:style>
  <w:style w:type="character" w:customStyle="1" w:styleId="FootnoteTextChar">
    <w:name w:val="Footnote Text Char"/>
    <w:aliases w:val="Footnote Text Char Char Char Char,Footnote Text Char Char Char1,single space Char Char,ft Char Char,single space Char1,ft Char1,Footnote Text Char Char Char Char Char Char Char Char Char,Footnote Text Char Char Char Char1 Char Char"/>
    <w:basedOn w:val="DefaultParagraphFont"/>
    <w:link w:val="FootnoteText"/>
    <w:uiPriority w:val="99"/>
    <w:rsid w:val="008A7079"/>
    <w:rPr>
      <w:lang w:val="en-GB"/>
    </w:rPr>
  </w:style>
  <w:style w:type="character" w:styleId="FootnoteReference">
    <w:name w:val="footnote reference"/>
    <w:aliases w:val="ftref,4_G,BVI fnr,ftref Char1 Char,4_G Char Char,BVI fnr Char1 Char,ftref Char Char Char Char,BVI fnr Char Char Char Char,BVI fnr Car Car Char Char Char Char,BVI fnr Car Char Char Char Char,callout,ftref Char,4_G Char1,BVI fnr Char,F"/>
    <w:basedOn w:val="DefaultParagraphFont"/>
    <w:link w:val="ftrefChar1"/>
    <w:uiPriority w:val="99"/>
    <w:unhideWhenUsed/>
    <w:qFormat/>
    <w:rsid w:val="008A7079"/>
    <w:rPr>
      <w:vertAlign w:val="superscript"/>
    </w:rPr>
  </w:style>
  <w:style w:type="paragraph" w:styleId="ListParagraph">
    <w:name w:val="List Paragraph"/>
    <w:basedOn w:val="Normal"/>
    <w:uiPriority w:val="34"/>
    <w:qFormat/>
    <w:rsid w:val="008A7079"/>
    <w:pPr>
      <w:ind w:left="720"/>
      <w:contextualSpacing/>
    </w:pPr>
  </w:style>
  <w:style w:type="character" w:styleId="Hyperlink">
    <w:name w:val="Hyperlink"/>
    <w:basedOn w:val="DefaultParagraphFont"/>
    <w:uiPriority w:val="99"/>
    <w:rsid w:val="001859E1"/>
    <w:rPr>
      <w:color w:val="0563C1" w:themeColor="hyperlink"/>
      <w:u w:val="single"/>
    </w:rPr>
  </w:style>
  <w:style w:type="character" w:customStyle="1" w:styleId="FooterChar">
    <w:name w:val="Footer Char"/>
    <w:basedOn w:val="DefaultParagraphFont"/>
    <w:link w:val="Footer"/>
    <w:uiPriority w:val="99"/>
    <w:rsid w:val="00913318"/>
    <w:rPr>
      <w:sz w:val="24"/>
      <w:szCs w:val="24"/>
      <w:lang w:val="en-GB"/>
    </w:rPr>
  </w:style>
  <w:style w:type="paragraph" w:customStyle="1" w:styleId="xmsonormal">
    <w:name w:val="x_msonormal"/>
    <w:basedOn w:val="Normal"/>
    <w:rsid w:val="005546CF"/>
    <w:rPr>
      <w:rFonts w:ascii="Calibri" w:eastAsiaTheme="minorHAnsi" w:hAnsi="Calibri" w:cs="Calibri"/>
      <w:sz w:val="22"/>
      <w:szCs w:val="22"/>
      <w:lang w:eastAsia="en-GB"/>
    </w:rPr>
  </w:style>
  <w:style w:type="character" w:customStyle="1" w:styleId="xapple-converted-space">
    <w:name w:val="x_apple-converted-space"/>
    <w:basedOn w:val="DefaultParagraphFont"/>
    <w:rsid w:val="005546CF"/>
  </w:style>
  <w:style w:type="paragraph" w:customStyle="1" w:styleId="ftrefChar1">
    <w:name w:val="ftref Char1"/>
    <w:aliases w:val="4_G Char,BVI fnr Char1,ftref Char Char Char,BVI fnr Char Char Char,BVI fnr Car Car Char Char Char,BVI fnr Car Char Char Char,BVI fnr Car Car Car Car Char Char Char,ftref Char Char,4_G Char Char Char,Footnotes refss Char Char Char"/>
    <w:basedOn w:val="Normal"/>
    <w:link w:val="FootnoteReference"/>
    <w:uiPriority w:val="99"/>
    <w:rsid w:val="00C5560F"/>
    <w:pPr>
      <w:spacing w:after="160" w:line="240" w:lineRule="exact"/>
    </w:pPr>
    <w:rPr>
      <w:sz w:val="20"/>
      <w:szCs w:val="20"/>
      <w:vertAlign w:val="superscript"/>
      <w:lang w:val="en-US"/>
    </w:rPr>
  </w:style>
  <w:style w:type="character" w:styleId="CommentReference">
    <w:name w:val="annotation reference"/>
    <w:basedOn w:val="DefaultParagraphFont"/>
    <w:uiPriority w:val="99"/>
    <w:unhideWhenUsed/>
    <w:rsid w:val="00C5560F"/>
    <w:rPr>
      <w:sz w:val="16"/>
      <w:szCs w:val="16"/>
    </w:rPr>
  </w:style>
  <w:style w:type="paragraph" w:styleId="CommentText">
    <w:name w:val="annotation text"/>
    <w:basedOn w:val="Normal"/>
    <w:link w:val="CommentTextChar"/>
    <w:uiPriority w:val="99"/>
    <w:unhideWhenUsed/>
    <w:rsid w:val="00C5560F"/>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C5560F"/>
    <w:rPr>
      <w:rFonts w:asciiTheme="minorHAnsi" w:eastAsiaTheme="minorHAnsi" w:hAnsiTheme="minorHAnsi" w:cstheme="minorBidi"/>
      <w:lang w:val="en-GB"/>
    </w:rPr>
  </w:style>
  <w:style w:type="paragraph" w:styleId="CommentSubject">
    <w:name w:val="annotation subject"/>
    <w:basedOn w:val="CommentText"/>
    <w:next w:val="CommentText"/>
    <w:link w:val="CommentSubjectChar"/>
    <w:uiPriority w:val="99"/>
    <w:semiHidden/>
    <w:unhideWhenUsed/>
    <w:rsid w:val="00632DD6"/>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632DD6"/>
    <w:rPr>
      <w:rFonts w:asciiTheme="minorHAnsi" w:eastAsiaTheme="minorHAnsi" w:hAnsiTheme="minorHAnsi" w:cstheme="minorBidi"/>
      <w:b/>
      <w:bCs/>
      <w:lang w:val="en-GB"/>
    </w:rPr>
  </w:style>
  <w:style w:type="paragraph" w:customStyle="1" w:styleId="NasloviRimski">
    <w:name w:val="Naslovi Rimski"/>
    <w:basedOn w:val="Normal"/>
    <w:uiPriority w:val="99"/>
    <w:rsid w:val="00910DEA"/>
    <w:pPr>
      <w:numPr>
        <w:numId w:val="11"/>
      </w:numPr>
      <w:spacing w:before="160" w:after="160"/>
      <w:jc w:val="center"/>
    </w:pPr>
    <w:rPr>
      <w:rFonts w:ascii="Book Antiqua" w:eastAsia="Calibri" w:hAnsi="Book Antiqua"/>
      <w:b/>
      <w:sz w:val="22"/>
      <w:szCs w:val="22"/>
    </w:rPr>
  </w:style>
  <w:style w:type="paragraph" w:customStyle="1" w:styleId="Podnaslovi">
    <w:name w:val="Podnaslovi"/>
    <w:basedOn w:val="Normal"/>
    <w:uiPriority w:val="99"/>
    <w:rsid w:val="00910DEA"/>
    <w:pPr>
      <w:numPr>
        <w:ilvl w:val="1"/>
        <w:numId w:val="11"/>
      </w:numPr>
      <w:spacing w:before="120" w:after="120"/>
      <w:jc w:val="center"/>
    </w:pPr>
    <w:rPr>
      <w:rFonts w:ascii="Book Antiqua" w:eastAsia="Calibri" w:hAnsi="Book Antiqua"/>
      <w:b/>
      <w:sz w:val="22"/>
      <w:szCs w:val="22"/>
      <w:lang w:val="en-US"/>
    </w:rPr>
  </w:style>
  <w:style w:type="paragraph" w:customStyle="1" w:styleId="Numeracija1">
    <w:name w:val="Numeracija 1"/>
    <w:basedOn w:val="Normal"/>
    <w:uiPriority w:val="99"/>
    <w:qFormat/>
    <w:rsid w:val="00910DEA"/>
    <w:pPr>
      <w:numPr>
        <w:ilvl w:val="2"/>
        <w:numId w:val="11"/>
      </w:numPr>
      <w:spacing w:after="120"/>
      <w:ind w:left="0" w:firstLine="0"/>
      <w:jc w:val="both"/>
    </w:pPr>
    <w:rPr>
      <w:rFonts w:ascii="Book Antiqua" w:eastAsia="Calibri" w:hAnsi="Book Antiqua"/>
      <w:sz w:val="22"/>
      <w:szCs w:val="22"/>
      <w:lang w:val="sr-Cyrl-CS"/>
    </w:rPr>
  </w:style>
  <w:style w:type="paragraph" w:customStyle="1" w:styleId="Numeracija4">
    <w:name w:val="Numeracija 4"/>
    <w:basedOn w:val="Numeracija1"/>
    <w:uiPriority w:val="99"/>
    <w:rsid w:val="00910DEA"/>
    <w:pPr>
      <w:numPr>
        <w:ilvl w:val="3"/>
      </w:numPr>
      <w:ind w:firstLine="567"/>
    </w:pPr>
  </w:style>
  <w:style w:type="numbering" w:customStyle="1" w:styleId="Rimska">
    <w:name w:val="Rimska"/>
    <w:rsid w:val="00910DEA"/>
    <w:pPr>
      <w:numPr>
        <w:numId w:val="12"/>
      </w:numPr>
    </w:pPr>
  </w:style>
  <w:style w:type="numbering" w:customStyle="1" w:styleId="NoList1">
    <w:name w:val="No List1"/>
    <w:next w:val="NoList"/>
    <w:uiPriority w:val="99"/>
    <w:semiHidden/>
    <w:unhideWhenUsed/>
    <w:rsid w:val="00A52B76"/>
  </w:style>
  <w:style w:type="paragraph" w:styleId="NoSpacing">
    <w:name w:val="No Spacing"/>
    <w:basedOn w:val="Normal"/>
    <w:qFormat/>
    <w:rsid w:val="00A52B76"/>
    <w:rPr>
      <w:rFonts w:ascii="Calibri" w:hAnsi="Calibri"/>
      <w:sz w:val="22"/>
      <w:szCs w:val="22"/>
      <w:lang w:val="en-US"/>
    </w:rPr>
  </w:style>
  <w:style w:type="character" w:customStyle="1" w:styleId="BalloonTextChar">
    <w:name w:val="Balloon Text Char"/>
    <w:basedOn w:val="DefaultParagraphFont"/>
    <w:link w:val="BalloonText"/>
    <w:uiPriority w:val="99"/>
    <w:semiHidden/>
    <w:rsid w:val="00A52B76"/>
    <w:rPr>
      <w:rFonts w:ascii="Tahoma" w:hAnsi="Tahoma" w:cs="Tahoma"/>
      <w:sz w:val="16"/>
      <w:szCs w:val="16"/>
      <w:lang w:val="en-GB"/>
    </w:rPr>
  </w:style>
  <w:style w:type="paragraph" w:customStyle="1" w:styleId="Normal1">
    <w:name w:val="Normal1"/>
    <w:basedOn w:val="Normal"/>
    <w:uiPriority w:val="99"/>
    <w:rsid w:val="00A52B76"/>
    <w:pPr>
      <w:spacing w:before="100" w:beforeAutospacing="1" w:after="100" w:afterAutospacing="1"/>
    </w:pPr>
    <w:rPr>
      <w:rFonts w:eastAsia="Calibri"/>
      <w:lang w:val="sr-Latn-CS" w:eastAsia="sr-Latn-CS"/>
    </w:rPr>
  </w:style>
  <w:style w:type="character" w:styleId="Strong">
    <w:name w:val="Strong"/>
    <w:basedOn w:val="DefaultParagraphFont"/>
    <w:uiPriority w:val="22"/>
    <w:qFormat/>
    <w:rsid w:val="00A52B76"/>
    <w:rPr>
      <w:b/>
      <w:bCs/>
    </w:rPr>
  </w:style>
  <w:style w:type="paragraph" w:styleId="Revision">
    <w:name w:val="Revision"/>
    <w:hidden/>
    <w:uiPriority w:val="99"/>
    <w:semiHidden/>
    <w:rsid w:val="004A79D7"/>
    <w:rPr>
      <w:sz w:val="24"/>
      <w:szCs w:val="24"/>
      <w:lang w:val="en-GB"/>
    </w:rPr>
  </w:style>
  <w:style w:type="character" w:styleId="FollowedHyperlink">
    <w:name w:val="FollowedHyperlink"/>
    <w:basedOn w:val="DefaultParagraphFont"/>
    <w:semiHidden/>
    <w:unhideWhenUsed/>
    <w:rsid w:val="004A459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2" Type="http://schemas.openxmlformats.org/officeDocument/2006/relationships/hyperlink" Target="https://www.ombudsman.rs/index.php/izvestaji/posebnii-izvestaji/5902-special-report-of-the-protector-of-citizens-representation-of-women-in-decision-making-positions-and-the-position-and-activities-of-local-gender-equality-mechanisms-in-local-self-government-units-in-serbia" TargetMode="External"/><Relationship Id="rId1" Type="http://schemas.openxmlformats.org/officeDocument/2006/relationships/hyperlink" Target="https://www.ombudsman.rs/index.php/izvestaji/posebnii-izvestaji/5908-special-report-of-the-protector-of-citizens-accessibility-for-al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eksandar\Documents\Custom%20Office%20Templates\&#1041;&#1045;&#1054;&#1043;&#1056;&#1040;&#1044;%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5B8F626-6076-4D29-8076-7540AA7537AB}">
  <ds:schemaRefs>
    <ds:schemaRef ds:uri="http://schemas.openxmlformats.org/officeDocument/2006/bibliography"/>
  </ds:schemaRefs>
</ds:datastoreItem>
</file>

<file path=customXml/itemProps2.xml><?xml version="1.0" encoding="utf-8"?>
<ds:datastoreItem xmlns:ds="http://schemas.openxmlformats.org/officeDocument/2006/customXml" ds:itemID="{FE17F72D-62C7-438C-84D9-2D56073829EE}"/>
</file>

<file path=customXml/itemProps3.xml><?xml version="1.0" encoding="utf-8"?>
<ds:datastoreItem xmlns:ds="http://schemas.openxmlformats.org/officeDocument/2006/customXml" ds:itemID="{F311CD3B-BF2F-4E89-9085-2A54170C99FF}"/>
</file>

<file path=customXml/itemProps4.xml><?xml version="1.0" encoding="utf-8"?>
<ds:datastoreItem xmlns:ds="http://schemas.openxmlformats.org/officeDocument/2006/customXml" ds:itemID="{EE83D878-6453-44B0-8CD2-38F3CFC3F198}"/>
</file>

<file path=docProps/app.xml><?xml version="1.0" encoding="utf-8"?>
<Properties xmlns="http://schemas.openxmlformats.org/officeDocument/2006/extended-properties" xmlns:vt="http://schemas.openxmlformats.org/officeDocument/2006/docPropsVTypes">
  <Template>БЕОГРАД 1</Template>
  <TotalTime>9</TotalTime>
  <Pages>4</Pages>
  <Words>1439</Words>
  <Characters>8222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БЕОГРАД</vt:lpstr>
    </vt:vector>
  </TitlesOfParts>
  <Company>UZZPRO/ERC</Company>
  <LinksUpToDate>false</LinksUpToDate>
  <CharactersWithSpaces>9642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БЕОГРАД</dc:title>
  <dc:subject/>
  <dc:creator>Aleksandar Tasić</dc:creator>
  <cp:keywords/>
  <cp:lastModifiedBy>Jovana Milovanović</cp:lastModifiedBy>
  <cp:revision>5</cp:revision>
  <cp:lastPrinted>2019-08-12T08:01:00Z</cp:lastPrinted>
  <dcterms:created xsi:type="dcterms:W3CDTF">2019-08-12T10:14:00Z</dcterms:created>
  <dcterms:modified xsi:type="dcterms:W3CDTF">2019-08-15T07:15:00Z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