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BB" w:rsidRPr="008105AB" w:rsidRDefault="00A1620D" w:rsidP="00A1620D">
      <w:pPr>
        <w:spacing w:before="100" w:beforeAutospacing="1" w:after="100" w:afterAutospacing="1" w:line="240" w:lineRule="auto"/>
        <w:jc w:val="center"/>
        <w:rPr>
          <w:rFonts w:ascii="Times New Roman" w:eastAsia="Times New Roman" w:hAnsi="Times New Roman" w:cs="Times New Roman"/>
          <w:b/>
          <w:sz w:val="24"/>
          <w:szCs w:val="24"/>
          <w:lang w:val="en-GB" w:eastAsia="hu-HU"/>
        </w:rPr>
      </w:pPr>
      <w:bookmarkStart w:id="0" w:name="_GoBack"/>
      <w:bookmarkEnd w:id="0"/>
      <w:r w:rsidRPr="008105AB">
        <w:rPr>
          <w:rFonts w:ascii="Times New Roman" w:eastAsia="Times New Roman" w:hAnsi="Times New Roman" w:cs="Times New Roman"/>
          <w:b/>
          <w:sz w:val="24"/>
          <w:szCs w:val="24"/>
          <w:lang w:val="en-GB" w:eastAsia="hu-HU"/>
        </w:rPr>
        <w:t>The right of persons with disabilities to social protection in Hungary</w:t>
      </w:r>
    </w:p>
    <w:p w:rsidR="0058732D" w:rsidRPr="008105AB" w:rsidRDefault="0058732D" w:rsidP="00A1620D">
      <w:pPr>
        <w:spacing w:before="100" w:beforeAutospacing="1" w:after="100" w:afterAutospacing="1" w:line="240" w:lineRule="auto"/>
        <w:jc w:val="center"/>
        <w:rPr>
          <w:rFonts w:ascii="Times New Roman" w:eastAsia="Times New Roman" w:hAnsi="Times New Roman" w:cs="Times New Roman"/>
          <w:b/>
          <w:sz w:val="24"/>
          <w:szCs w:val="24"/>
          <w:lang w:val="en-GB" w:eastAsia="hu-HU"/>
        </w:rPr>
      </w:pPr>
    </w:p>
    <w:p w:rsidR="0058732D" w:rsidRPr="008105AB" w:rsidRDefault="0058732D" w:rsidP="0058732D">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The main acts promoting social inclusion of people with disabilities in Hungary are: </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The Fundamental Law of Hungary</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CXXV of 2003 on Equal Treatment and Promotion of Equal Opportunities (Equal Treatment Act)</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XXVI of 1998 on the Rights and Ensuring the Equal Opportunities of People with Disabilities (Disabled Persons Act)</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CLIV of 1997 on Health Care (Act on Health Care)</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LXXX of 1997 on the Eligibility for Social Security Benefits and Private Pensions and the Funding of These Services</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LXXXI of 1997 on social insurance pensions</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LXXXIII of 1997 on mandatory health insurance</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III. of 1993 on Social Administration and Social Services</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XCIII of 1993 on Work Safety (Work Safety Act)</w:t>
      </w:r>
    </w:p>
    <w:p w:rsidR="0058732D" w:rsidRPr="008105AB" w:rsidRDefault="0058732D" w:rsidP="0058732D">
      <w:pPr>
        <w:pStyle w:val="Listaszerbekezds"/>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Act IV of 1991 on Job Assistance and Unemployment Benefits</w:t>
      </w:r>
    </w:p>
    <w:p w:rsidR="00AD6A53" w:rsidRPr="008105AB" w:rsidRDefault="00AD6A53" w:rsidP="00AD6A53">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With regard to human rights, the key </w:t>
      </w:r>
      <w:r w:rsidRPr="008105AB">
        <w:rPr>
          <w:rFonts w:ascii="Times New Roman" w:eastAsia="Times New Roman" w:hAnsi="Times New Roman" w:cs="Times New Roman"/>
          <w:b/>
          <w:bCs/>
          <w:sz w:val="24"/>
          <w:szCs w:val="24"/>
          <w:lang w:val="en-GB" w:eastAsia="hu-HU"/>
        </w:rPr>
        <w:t>international document</w:t>
      </w:r>
      <w:r w:rsidRPr="008105AB">
        <w:rPr>
          <w:rFonts w:ascii="Times New Roman" w:eastAsia="Times New Roman" w:hAnsi="Times New Roman" w:cs="Times New Roman"/>
          <w:sz w:val="24"/>
          <w:szCs w:val="24"/>
          <w:lang w:val="en-GB" w:eastAsia="hu-HU"/>
        </w:rPr>
        <w:t xml:space="preserve"> is undoubtedly the United Nations Convention on the Rights of Persons with Disabilities. Hungary was among the first countries to ratify the document. The Convention brought a paradigm shift in Hungarian and international disability strategies inasmuch as it introduced a human rights-based approach. The principal human rights notion is that people with disabilities are not subject to charitable acts but holders of rights who need to be supported principally through the creation of opportunities for autonomy and for independent living and through equal access to employment and services, rather than through allowances and benefits. </w:t>
      </w:r>
    </w:p>
    <w:p w:rsidR="00AD6A53" w:rsidRPr="008105AB" w:rsidRDefault="00AD6A53" w:rsidP="00AD6A53">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Hungary ratified the Optional Protocol to the Convention as well, which makes the individual complaints mechanism accessible for those concerned. When individuals or groups feel that the Hungarian state breached the Convention and they have already used all legal remedies available in Hungary, they may file a notice to the Committee on the Rights of Persons with Disabilities. </w:t>
      </w:r>
    </w:p>
    <w:p w:rsidR="0058732D" w:rsidRPr="008105AB" w:rsidRDefault="0058732D" w:rsidP="0058732D">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Hung</w:t>
      </w:r>
      <w:r w:rsidR="00995D24" w:rsidRPr="008105AB">
        <w:rPr>
          <w:rFonts w:ascii="Times New Roman" w:eastAsia="Times New Roman" w:hAnsi="Times New Roman" w:cs="Times New Roman"/>
          <w:sz w:val="24"/>
          <w:szCs w:val="24"/>
          <w:lang w:val="en-GB" w:eastAsia="hu-HU"/>
        </w:rPr>
        <w:t xml:space="preserve">ary also ratified </w:t>
      </w:r>
      <w:r w:rsidRPr="008105AB">
        <w:rPr>
          <w:rFonts w:ascii="Times New Roman" w:eastAsia="Times New Roman" w:hAnsi="Times New Roman" w:cs="Times New Roman"/>
          <w:sz w:val="24"/>
          <w:szCs w:val="24"/>
          <w:lang w:val="en-GB" w:eastAsia="hu-HU"/>
        </w:rPr>
        <w:t>ILO Convention No. 111 concerning Discrimination in Respect of Em</w:t>
      </w:r>
      <w:r w:rsidR="00995D24" w:rsidRPr="008105AB">
        <w:rPr>
          <w:rFonts w:ascii="Times New Roman" w:eastAsia="Times New Roman" w:hAnsi="Times New Roman" w:cs="Times New Roman"/>
          <w:sz w:val="24"/>
          <w:szCs w:val="24"/>
          <w:lang w:val="en-GB" w:eastAsia="hu-HU"/>
        </w:rPr>
        <w:t xml:space="preserve">ployment and Occupation and </w:t>
      </w:r>
      <w:r w:rsidRPr="008105AB">
        <w:rPr>
          <w:rFonts w:ascii="Times New Roman" w:eastAsia="Times New Roman" w:hAnsi="Times New Roman" w:cs="Times New Roman"/>
          <w:sz w:val="24"/>
          <w:szCs w:val="24"/>
          <w:lang w:val="en-GB" w:eastAsia="hu-HU"/>
        </w:rPr>
        <w:t>ILO Convention No. 159 Concerning Vocational Rehabilitation and Employment. Human Rights documents like the Europe</w:t>
      </w:r>
      <w:r w:rsidR="008105AB">
        <w:rPr>
          <w:rFonts w:ascii="Times New Roman" w:eastAsia="Times New Roman" w:hAnsi="Times New Roman" w:cs="Times New Roman"/>
          <w:sz w:val="24"/>
          <w:szCs w:val="24"/>
          <w:lang w:val="en-GB" w:eastAsia="hu-HU"/>
        </w:rPr>
        <w:t>a</w:t>
      </w:r>
      <w:r w:rsidRPr="008105AB">
        <w:rPr>
          <w:rFonts w:ascii="Times New Roman" w:eastAsia="Times New Roman" w:hAnsi="Times New Roman" w:cs="Times New Roman"/>
          <w:sz w:val="24"/>
          <w:szCs w:val="24"/>
          <w:lang w:val="en-GB" w:eastAsia="hu-HU"/>
        </w:rPr>
        <w:t>n Convention on Human Rights, the International Covenant on Civil and Political Rights, and International Covenant on Economic, Social and Cultural Rights have become part of the domes</w:t>
      </w:r>
      <w:r w:rsidR="00995D24" w:rsidRPr="008105AB">
        <w:rPr>
          <w:rFonts w:ascii="Times New Roman" w:eastAsia="Times New Roman" w:hAnsi="Times New Roman" w:cs="Times New Roman"/>
          <w:sz w:val="24"/>
          <w:szCs w:val="24"/>
          <w:lang w:val="en-GB" w:eastAsia="hu-HU"/>
        </w:rPr>
        <w:t>tic legal system therefore these</w:t>
      </w:r>
      <w:r w:rsidRPr="008105AB">
        <w:rPr>
          <w:rFonts w:ascii="Times New Roman" w:eastAsia="Times New Roman" w:hAnsi="Times New Roman" w:cs="Times New Roman"/>
          <w:sz w:val="24"/>
          <w:szCs w:val="24"/>
          <w:lang w:val="en-GB" w:eastAsia="hu-HU"/>
        </w:rPr>
        <w:t xml:space="preserve"> regulations are also directly applicable.</w:t>
      </w:r>
    </w:p>
    <w:p w:rsidR="00F65ADC" w:rsidRPr="008105AB" w:rsidRDefault="00F65ADC" w:rsidP="00F65ADC">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With regard to the rights of persons with disabilities, the key </w:t>
      </w:r>
      <w:r w:rsidR="003B054C" w:rsidRPr="008105AB">
        <w:rPr>
          <w:rFonts w:ascii="Times New Roman" w:eastAsia="Times New Roman" w:hAnsi="Times New Roman" w:cs="Times New Roman"/>
          <w:sz w:val="24"/>
          <w:szCs w:val="24"/>
          <w:lang w:val="en-GB" w:eastAsia="hu-HU"/>
        </w:rPr>
        <w:t>leg</w:t>
      </w:r>
      <w:r w:rsidR="00445434" w:rsidRPr="008105AB">
        <w:rPr>
          <w:rFonts w:ascii="Times New Roman" w:eastAsia="Times New Roman" w:hAnsi="Times New Roman" w:cs="Times New Roman"/>
          <w:sz w:val="24"/>
          <w:szCs w:val="24"/>
          <w:lang w:val="en-GB" w:eastAsia="hu-HU"/>
        </w:rPr>
        <w:t>a</w:t>
      </w:r>
      <w:r w:rsidR="003B054C" w:rsidRPr="008105AB">
        <w:rPr>
          <w:rFonts w:ascii="Times New Roman" w:eastAsia="Times New Roman" w:hAnsi="Times New Roman" w:cs="Times New Roman"/>
          <w:sz w:val="24"/>
          <w:szCs w:val="24"/>
          <w:lang w:val="en-GB" w:eastAsia="hu-HU"/>
        </w:rPr>
        <w:t>l document in</w:t>
      </w:r>
      <w:r w:rsidRPr="008105AB">
        <w:rPr>
          <w:rFonts w:ascii="Times New Roman" w:eastAsia="Times New Roman" w:hAnsi="Times New Roman" w:cs="Times New Roman"/>
          <w:sz w:val="24"/>
          <w:szCs w:val="24"/>
          <w:lang w:val="en-GB" w:eastAsia="hu-HU"/>
        </w:rPr>
        <w:t xml:space="preserve"> </w:t>
      </w:r>
      <w:r w:rsidRPr="008105AB">
        <w:rPr>
          <w:rFonts w:ascii="Times New Roman" w:eastAsia="Times New Roman" w:hAnsi="Times New Roman" w:cs="Times New Roman"/>
          <w:b/>
          <w:bCs/>
          <w:sz w:val="24"/>
          <w:szCs w:val="24"/>
          <w:lang w:val="en-GB" w:eastAsia="hu-HU"/>
        </w:rPr>
        <w:t>Hungarian legislation</w:t>
      </w:r>
      <w:r w:rsidRPr="008105AB">
        <w:rPr>
          <w:rFonts w:ascii="Times New Roman" w:eastAsia="Times New Roman" w:hAnsi="Times New Roman" w:cs="Times New Roman"/>
          <w:sz w:val="24"/>
          <w:szCs w:val="24"/>
          <w:lang w:val="en-GB" w:eastAsia="hu-HU"/>
        </w:rPr>
        <w:t xml:space="preserve"> is </w:t>
      </w:r>
      <w:r w:rsidRPr="008105AB">
        <w:rPr>
          <w:rFonts w:ascii="Times New Roman" w:eastAsia="Times New Roman" w:hAnsi="Times New Roman" w:cs="Times New Roman"/>
          <w:b/>
          <w:sz w:val="24"/>
          <w:szCs w:val="24"/>
          <w:lang w:val="en-GB" w:eastAsia="hu-HU"/>
        </w:rPr>
        <w:t>Act XXVI of 1998 on the Rights and Equal Opportunities of Persons with Disabilities</w:t>
      </w:r>
      <w:r w:rsidRPr="008105AB">
        <w:rPr>
          <w:rFonts w:ascii="Times New Roman" w:eastAsia="Times New Roman" w:hAnsi="Times New Roman" w:cs="Times New Roman"/>
          <w:sz w:val="24"/>
          <w:szCs w:val="24"/>
          <w:lang w:val="en-GB" w:eastAsia="hu-HU"/>
        </w:rPr>
        <w:t xml:space="preserve"> (Act on the Rights of Persons with Disabilities). It can be said that at the time of its adoption, this act was a unique piece of legislation and was one of the principal reasons why the UN honoured Hungary with the Roosevelt International Disability Award in 2000. </w:t>
      </w:r>
    </w:p>
    <w:p w:rsidR="00F65ADC" w:rsidRPr="008105AB" w:rsidRDefault="00F65ADC" w:rsidP="00F65ADC">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The primary objective of the act is to guarantee the rights of persons with disabilities, and thus to promote their equal opportunities, independent living and active involvement in social life.</w:t>
      </w:r>
    </w:p>
    <w:p w:rsidR="0060469F" w:rsidRPr="008105AB" w:rsidRDefault="00F65ADC" w:rsidP="00F65ADC">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lastRenderedPageBreak/>
        <w:t xml:space="preserve">The Act on the Rights of Persons with Disabilities contains – among other provisions – the major fields of measures to be implemented for the achievement of these objectives, and prescribes the obligation of accessibility for maintainers of governmental and self-governmental services. </w:t>
      </w:r>
    </w:p>
    <w:p w:rsidR="00F65ADC" w:rsidRPr="008105AB" w:rsidRDefault="00F65ADC" w:rsidP="00F65ADC">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Moreover, the Act on the Rights of Persons with Disabilities provides for specific rights of people with disabilities, such as – to give but a few examples – the rights to rehabilitation, to aid, to assistance services, to early development and </w:t>
      </w:r>
      <w:r w:rsidR="00995D24" w:rsidRPr="008105AB">
        <w:rPr>
          <w:rFonts w:ascii="Times New Roman" w:eastAsia="Times New Roman" w:hAnsi="Times New Roman" w:cs="Times New Roman"/>
          <w:sz w:val="24"/>
          <w:szCs w:val="24"/>
          <w:lang w:val="en-GB" w:eastAsia="hu-HU"/>
        </w:rPr>
        <w:t xml:space="preserve">the </w:t>
      </w:r>
      <w:r w:rsidR="00064FBC" w:rsidRPr="008105AB">
        <w:rPr>
          <w:rFonts w:ascii="Times New Roman" w:eastAsia="Times New Roman" w:hAnsi="Times New Roman" w:cs="Times New Roman"/>
          <w:sz w:val="24"/>
          <w:szCs w:val="24"/>
          <w:lang w:val="en-GB" w:eastAsia="hu-HU"/>
        </w:rPr>
        <w:t xml:space="preserve">right </w:t>
      </w:r>
      <w:r w:rsidRPr="008105AB">
        <w:rPr>
          <w:rFonts w:ascii="Times New Roman" w:eastAsia="Times New Roman" w:hAnsi="Times New Roman" w:cs="Times New Roman"/>
          <w:sz w:val="24"/>
          <w:szCs w:val="24"/>
          <w:lang w:val="en-GB" w:eastAsia="hu-HU"/>
        </w:rPr>
        <w:t xml:space="preserve">to </w:t>
      </w:r>
      <w:r w:rsidR="00064FBC" w:rsidRPr="008105AB">
        <w:rPr>
          <w:rFonts w:ascii="Times New Roman" w:eastAsia="Times New Roman" w:hAnsi="Times New Roman" w:cs="Times New Roman"/>
          <w:sz w:val="24"/>
          <w:szCs w:val="24"/>
          <w:lang w:val="en-GB" w:eastAsia="hu-HU"/>
        </w:rPr>
        <w:t xml:space="preserve">have </w:t>
      </w:r>
      <w:r w:rsidRPr="008105AB">
        <w:rPr>
          <w:rFonts w:ascii="Times New Roman" w:eastAsia="Times New Roman" w:hAnsi="Times New Roman" w:cs="Times New Roman"/>
          <w:sz w:val="24"/>
          <w:szCs w:val="24"/>
          <w:lang w:val="en-GB" w:eastAsia="hu-HU"/>
        </w:rPr>
        <w:t>integrated or protected access to the labour market.</w:t>
      </w:r>
    </w:p>
    <w:p w:rsidR="00F65ADC" w:rsidRPr="008105AB" w:rsidRDefault="00064FBC" w:rsidP="00F65ADC">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The principal</w:t>
      </w:r>
      <w:r w:rsidR="00F65ADC" w:rsidRPr="008105AB">
        <w:rPr>
          <w:rFonts w:ascii="Times New Roman" w:eastAsia="Times New Roman" w:hAnsi="Times New Roman" w:cs="Times New Roman"/>
          <w:sz w:val="24"/>
          <w:szCs w:val="24"/>
          <w:lang w:val="en-GB" w:eastAsia="hu-HU"/>
        </w:rPr>
        <w:t xml:space="preserve"> </w:t>
      </w:r>
      <w:r w:rsidRPr="008105AB">
        <w:rPr>
          <w:rFonts w:ascii="Times New Roman" w:eastAsia="Times New Roman" w:hAnsi="Times New Roman" w:cs="Times New Roman"/>
          <w:sz w:val="24"/>
          <w:szCs w:val="24"/>
          <w:lang w:val="en-GB" w:eastAsia="hu-HU"/>
        </w:rPr>
        <w:t>cash benefit (social benefit)</w:t>
      </w:r>
      <w:r w:rsidR="00F65ADC" w:rsidRPr="008105AB">
        <w:rPr>
          <w:rFonts w:ascii="Times New Roman" w:eastAsia="Times New Roman" w:hAnsi="Times New Roman" w:cs="Times New Roman"/>
          <w:sz w:val="24"/>
          <w:szCs w:val="24"/>
          <w:lang w:val="en-GB" w:eastAsia="hu-HU"/>
        </w:rPr>
        <w:t xml:space="preserve"> is </w:t>
      </w:r>
      <w:r w:rsidRPr="008105AB">
        <w:rPr>
          <w:rFonts w:ascii="Times New Roman" w:eastAsia="Times New Roman" w:hAnsi="Times New Roman" w:cs="Times New Roman"/>
          <w:sz w:val="24"/>
          <w:szCs w:val="24"/>
          <w:lang w:val="en-GB" w:eastAsia="hu-HU"/>
        </w:rPr>
        <w:t xml:space="preserve">the </w:t>
      </w:r>
      <w:r w:rsidR="00F65ADC" w:rsidRPr="008105AB">
        <w:rPr>
          <w:rFonts w:ascii="Times New Roman" w:eastAsia="Times New Roman" w:hAnsi="Times New Roman" w:cs="Times New Roman"/>
          <w:sz w:val="24"/>
          <w:szCs w:val="24"/>
          <w:lang w:val="en-GB" w:eastAsia="hu-HU"/>
        </w:rPr>
        <w:t xml:space="preserve">disability allowance. </w:t>
      </w:r>
      <w:r w:rsidRPr="008105AB">
        <w:rPr>
          <w:rFonts w:ascii="Times New Roman" w:eastAsia="Times New Roman" w:hAnsi="Times New Roman" w:cs="Times New Roman"/>
          <w:sz w:val="24"/>
          <w:szCs w:val="24"/>
          <w:lang w:val="en-GB" w:eastAsia="hu-HU"/>
        </w:rPr>
        <w:t>T</w:t>
      </w:r>
      <w:r w:rsidR="00F65ADC" w:rsidRPr="008105AB">
        <w:rPr>
          <w:rFonts w:ascii="Times New Roman" w:eastAsia="Times New Roman" w:hAnsi="Times New Roman" w:cs="Times New Roman"/>
          <w:sz w:val="24"/>
          <w:szCs w:val="24"/>
          <w:lang w:val="en-GB" w:eastAsia="hu-HU"/>
        </w:rPr>
        <w:t xml:space="preserve">hose severely disabled people are entitled to this </w:t>
      </w:r>
      <w:r w:rsidR="0058732D" w:rsidRPr="008105AB">
        <w:rPr>
          <w:rFonts w:ascii="Times New Roman" w:eastAsia="Times New Roman" w:hAnsi="Times New Roman" w:cs="Times New Roman"/>
          <w:sz w:val="24"/>
          <w:szCs w:val="24"/>
          <w:lang w:val="en-GB" w:eastAsia="hu-HU"/>
        </w:rPr>
        <w:t xml:space="preserve">monthly </w:t>
      </w:r>
      <w:r w:rsidR="00F65ADC" w:rsidRPr="008105AB">
        <w:rPr>
          <w:rFonts w:ascii="Times New Roman" w:eastAsia="Times New Roman" w:hAnsi="Times New Roman" w:cs="Times New Roman"/>
          <w:sz w:val="24"/>
          <w:szCs w:val="24"/>
          <w:lang w:val="en-GB" w:eastAsia="hu-HU"/>
        </w:rPr>
        <w:t xml:space="preserve">cash benefit </w:t>
      </w:r>
      <w:proofErr w:type="gramStart"/>
      <w:r w:rsidR="00F65ADC" w:rsidRPr="008105AB">
        <w:rPr>
          <w:rFonts w:ascii="Times New Roman" w:eastAsia="Times New Roman" w:hAnsi="Times New Roman" w:cs="Times New Roman"/>
          <w:sz w:val="24"/>
          <w:szCs w:val="24"/>
          <w:lang w:val="en-GB" w:eastAsia="hu-HU"/>
        </w:rPr>
        <w:t>who</w:t>
      </w:r>
      <w:proofErr w:type="gramEnd"/>
      <w:r w:rsidR="00F65ADC" w:rsidRPr="008105AB">
        <w:rPr>
          <w:rFonts w:ascii="Times New Roman" w:eastAsia="Times New Roman" w:hAnsi="Times New Roman" w:cs="Times New Roman"/>
          <w:sz w:val="24"/>
          <w:szCs w:val="24"/>
          <w:lang w:val="en-GB" w:eastAsia="hu-HU"/>
        </w:rPr>
        <w:t xml:space="preserve"> are not capable of independent living or need permanent assistance. The objective of the allowance is to provide financial contribution to the mitigation of the social disadvantages resulting from severe disabilities. The allowance is provided regardless of the income of the person with severe disability.</w:t>
      </w:r>
      <w:r w:rsidRPr="008105AB">
        <w:rPr>
          <w:rFonts w:ascii="Times New Roman" w:eastAsia="Times New Roman" w:hAnsi="Times New Roman" w:cs="Times New Roman"/>
          <w:sz w:val="24"/>
          <w:szCs w:val="24"/>
          <w:lang w:val="en-GB" w:eastAsia="hu-HU"/>
        </w:rPr>
        <w:t xml:space="preserve"> </w:t>
      </w:r>
      <w:r w:rsidR="0058732D" w:rsidRPr="008105AB">
        <w:rPr>
          <w:rFonts w:ascii="Times New Roman" w:eastAsia="Times New Roman" w:hAnsi="Times New Roman" w:cs="Times New Roman"/>
          <w:sz w:val="24"/>
          <w:szCs w:val="24"/>
          <w:lang w:val="en-GB" w:eastAsia="hu-HU"/>
        </w:rPr>
        <w:t xml:space="preserve">Additionally, </w:t>
      </w:r>
      <w:r w:rsidR="0058732D" w:rsidRPr="008105AB">
        <w:rPr>
          <w:rFonts w:ascii="Times New Roman" w:hAnsi="Times New Roman" w:cs="Times New Roman"/>
          <w:b/>
          <w:sz w:val="24"/>
          <w:szCs w:val="24"/>
          <w:lang w:val="en-GB"/>
        </w:rPr>
        <w:t>Government Decree No 102/2011 of 29 June 2011 on mobility concessions for people with severely reduced mobility</w:t>
      </w:r>
      <w:r w:rsidR="0058732D" w:rsidRPr="008105AB">
        <w:rPr>
          <w:rFonts w:ascii="Times New Roman" w:hAnsi="Times New Roman" w:cs="Times New Roman"/>
          <w:sz w:val="24"/>
          <w:szCs w:val="24"/>
          <w:lang w:val="en-GB"/>
        </w:rPr>
        <w:t xml:space="preserve"> provides for car purchase and adaptation allowances. These are also financed from taxes, not dependent on payment of contributions, in order to facilitate the social integration and participation of people with disabilities. Eligible persons are persons with severely reduced mobility or other disabilities (reduced mental capacity, autism, impaired vision, </w:t>
      </w:r>
      <w:proofErr w:type="gramStart"/>
      <w:r w:rsidR="0058732D" w:rsidRPr="008105AB">
        <w:rPr>
          <w:rFonts w:ascii="Times New Roman" w:hAnsi="Times New Roman" w:cs="Times New Roman"/>
          <w:sz w:val="24"/>
          <w:szCs w:val="24"/>
          <w:lang w:val="en-GB"/>
        </w:rPr>
        <w:t>impaired</w:t>
      </w:r>
      <w:proofErr w:type="gramEnd"/>
      <w:r w:rsidR="0058732D" w:rsidRPr="008105AB">
        <w:rPr>
          <w:rFonts w:ascii="Times New Roman" w:hAnsi="Times New Roman" w:cs="Times New Roman"/>
          <w:sz w:val="24"/>
          <w:szCs w:val="24"/>
          <w:lang w:val="en-GB"/>
        </w:rPr>
        <w:t xml:space="preserve"> hearing). </w:t>
      </w:r>
    </w:p>
    <w:p w:rsidR="00995D24" w:rsidRPr="008105AB" w:rsidRDefault="00F65ADC" w:rsidP="00995D24">
      <w:pPr>
        <w:spacing w:after="0" w:line="240" w:lineRule="auto"/>
        <w:jc w:val="both"/>
        <w:rPr>
          <w:rFonts w:ascii="Times New Roman" w:eastAsia="Times New Roman" w:hAnsi="Times New Roman" w:cs="Times New Roman"/>
          <w:b/>
          <w:sz w:val="24"/>
          <w:szCs w:val="24"/>
          <w:lang w:val="en-GB" w:eastAsia="hu-HU"/>
        </w:rPr>
      </w:pPr>
      <w:r w:rsidRPr="008105AB">
        <w:rPr>
          <w:rFonts w:ascii="Times New Roman" w:eastAsia="Times New Roman" w:hAnsi="Times New Roman" w:cs="Times New Roman"/>
          <w:sz w:val="24"/>
          <w:szCs w:val="24"/>
          <w:lang w:val="en-GB" w:eastAsia="hu-HU"/>
        </w:rPr>
        <w:t xml:space="preserve">Another point </w:t>
      </w:r>
      <w:r w:rsidR="0058732D" w:rsidRPr="008105AB">
        <w:rPr>
          <w:rFonts w:ascii="Times New Roman" w:eastAsia="Times New Roman" w:hAnsi="Times New Roman" w:cs="Times New Roman"/>
          <w:sz w:val="24"/>
          <w:szCs w:val="24"/>
          <w:lang w:val="en-GB" w:eastAsia="hu-HU"/>
        </w:rPr>
        <w:t xml:space="preserve">worth mentioning </w:t>
      </w:r>
      <w:r w:rsidRPr="008105AB">
        <w:rPr>
          <w:rFonts w:ascii="Times New Roman" w:eastAsia="Times New Roman" w:hAnsi="Times New Roman" w:cs="Times New Roman"/>
          <w:sz w:val="24"/>
          <w:szCs w:val="24"/>
          <w:lang w:val="en-GB" w:eastAsia="hu-HU"/>
        </w:rPr>
        <w:t xml:space="preserve">is that the Act on the Rights of Persons with Disabilities created a basis for the organisation of disability policies as it stipulates that the Parliament is </w:t>
      </w:r>
      <w:r w:rsidR="0058732D" w:rsidRPr="008105AB">
        <w:rPr>
          <w:rFonts w:ascii="Times New Roman" w:eastAsia="Times New Roman" w:hAnsi="Times New Roman" w:cs="Times New Roman"/>
          <w:sz w:val="24"/>
          <w:szCs w:val="24"/>
          <w:lang w:val="en-GB" w:eastAsia="hu-HU"/>
        </w:rPr>
        <w:t>invited</w:t>
      </w:r>
      <w:r w:rsidRPr="008105AB">
        <w:rPr>
          <w:rFonts w:ascii="Times New Roman" w:eastAsia="Times New Roman" w:hAnsi="Times New Roman" w:cs="Times New Roman"/>
          <w:sz w:val="24"/>
          <w:szCs w:val="24"/>
          <w:lang w:val="en-GB" w:eastAsia="hu-HU"/>
        </w:rPr>
        <w:t xml:space="preserve"> to </w:t>
      </w:r>
      <w:proofErr w:type="gramStart"/>
      <w:r w:rsidR="0058732D" w:rsidRPr="008105AB">
        <w:rPr>
          <w:rFonts w:ascii="Times New Roman" w:eastAsia="Times New Roman" w:hAnsi="Times New Roman" w:cs="Times New Roman"/>
          <w:sz w:val="24"/>
          <w:szCs w:val="24"/>
          <w:lang w:val="en-GB" w:eastAsia="hu-HU"/>
        </w:rPr>
        <w:t>approve</w:t>
      </w:r>
      <w:r w:rsidR="00995D24" w:rsidRPr="008105AB">
        <w:rPr>
          <w:rFonts w:ascii="Times New Roman" w:eastAsia="Times New Roman" w:hAnsi="Times New Roman" w:cs="Times New Roman"/>
          <w:sz w:val="24"/>
          <w:szCs w:val="24"/>
          <w:lang w:val="en-GB" w:eastAsia="hu-HU"/>
        </w:rPr>
        <w:t>d</w:t>
      </w:r>
      <w:proofErr w:type="gramEnd"/>
      <w:r w:rsidRPr="008105AB">
        <w:rPr>
          <w:rFonts w:ascii="Times New Roman" w:eastAsia="Times New Roman" w:hAnsi="Times New Roman" w:cs="Times New Roman"/>
          <w:sz w:val="24"/>
          <w:szCs w:val="24"/>
          <w:lang w:val="en-GB" w:eastAsia="hu-HU"/>
        </w:rPr>
        <w:t xml:space="preserve"> a long-term strategy</w:t>
      </w:r>
      <w:r w:rsidR="0058732D" w:rsidRPr="008105AB">
        <w:rPr>
          <w:rFonts w:ascii="Times New Roman" w:eastAsia="Times New Roman" w:hAnsi="Times New Roman" w:cs="Times New Roman"/>
          <w:sz w:val="24"/>
          <w:szCs w:val="24"/>
          <w:lang w:val="en-GB" w:eastAsia="hu-HU"/>
        </w:rPr>
        <w:t xml:space="preserve">, </w:t>
      </w:r>
      <w:r w:rsidRPr="008105AB">
        <w:rPr>
          <w:rFonts w:ascii="Times New Roman" w:eastAsia="Times New Roman" w:hAnsi="Times New Roman" w:cs="Times New Roman"/>
          <w:sz w:val="24"/>
          <w:szCs w:val="24"/>
          <w:lang w:val="en-GB" w:eastAsia="hu-HU"/>
        </w:rPr>
        <w:t xml:space="preserve">a </w:t>
      </w:r>
      <w:r w:rsidRPr="008105AB">
        <w:rPr>
          <w:rFonts w:ascii="Times New Roman" w:eastAsia="Times New Roman" w:hAnsi="Times New Roman" w:cs="Times New Roman"/>
          <w:b/>
          <w:bCs/>
          <w:sz w:val="24"/>
          <w:szCs w:val="24"/>
          <w:lang w:val="en-GB" w:eastAsia="hu-HU"/>
        </w:rPr>
        <w:t>National Disability Programme</w:t>
      </w:r>
      <w:r w:rsidR="004746C2" w:rsidRPr="008105AB">
        <w:rPr>
          <w:rFonts w:ascii="Times New Roman" w:eastAsia="Times New Roman" w:hAnsi="Times New Roman" w:cs="Times New Roman"/>
          <w:b/>
          <w:bCs/>
          <w:sz w:val="24"/>
          <w:szCs w:val="24"/>
          <w:lang w:val="en-GB" w:eastAsia="hu-HU"/>
        </w:rPr>
        <w:t xml:space="preserve"> </w:t>
      </w:r>
      <w:r w:rsidR="004746C2" w:rsidRPr="008105AB">
        <w:rPr>
          <w:rFonts w:ascii="Times New Roman" w:eastAsia="Times New Roman" w:hAnsi="Times New Roman" w:cs="Times New Roman"/>
          <w:bCs/>
          <w:sz w:val="24"/>
          <w:szCs w:val="24"/>
          <w:lang w:val="en-GB" w:eastAsia="hu-HU"/>
        </w:rPr>
        <w:t>which have been implemented as follows:</w:t>
      </w:r>
      <w:r w:rsidRPr="008105AB">
        <w:rPr>
          <w:rFonts w:ascii="Times New Roman" w:eastAsia="Times New Roman" w:hAnsi="Times New Roman" w:cs="Times New Roman"/>
          <w:b/>
          <w:sz w:val="24"/>
          <w:szCs w:val="24"/>
          <w:lang w:val="en-GB" w:eastAsia="hu-HU"/>
        </w:rPr>
        <w:t xml:space="preserve"> </w:t>
      </w:r>
    </w:p>
    <w:p w:rsidR="00995D24" w:rsidRPr="008105AB" w:rsidRDefault="00995D24" w:rsidP="00995D24">
      <w:pPr>
        <w:pStyle w:val="Listaszerbekezds"/>
        <w:numPr>
          <w:ilvl w:val="0"/>
          <w:numId w:val="6"/>
        </w:numPr>
        <w:spacing w:after="0" w:line="240" w:lineRule="auto"/>
        <w:jc w:val="both"/>
        <w:rPr>
          <w:rFonts w:ascii="Times New Roman" w:hAnsi="Times New Roman" w:cs="Times New Roman"/>
          <w:b/>
          <w:sz w:val="24"/>
          <w:szCs w:val="24"/>
          <w:lang w:val="en-GB" w:eastAsia="en-GB" w:bidi="en-GB"/>
        </w:rPr>
      </w:pPr>
      <w:r w:rsidRPr="008105AB">
        <w:rPr>
          <w:rFonts w:ascii="Times New Roman" w:eastAsia="Times New Roman" w:hAnsi="Times New Roman" w:cs="Times New Roman"/>
          <w:b/>
          <w:sz w:val="24"/>
          <w:szCs w:val="24"/>
          <w:lang w:val="en-GB" w:eastAsia="hu-HU"/>
        </w:rPr>
        <w:t>100/1999. (</w:t>
      </w:r>
      <w:proofErr w:type="gramStart"/>
      <w:r w:rsidRPr="008105AB">
        <w:rPr>
          <w:rFonts w:ascii="Times New Roman" w:eastAsia="Times New Roman" w:hAnsi="Times New Roman" w:cs="Times New Roman"/>
          <w:b/>
          <w:sz w:val="24"/>
          <w:szCs w:val="24"/>
          <w:lang w:val="en-GB" w:eastAsia="hu-HU"/>
        </w:rPr>
        <w:t>of</w:t>
      </w:r>
      <w:proofErr w:type="gramEnd"/>
      <w:r w:rsidRPr="008105AB">
        <w:rPr>
          <w:rFonts w:ascii="Times New Roman" w:eastAsia="Times New Roman" w:hAnsi="Times New Roman" w:cs="Times New Roman"/>
          <w:b/>
          <w:sz w:val="24"/>
          <w:szCs w:val="24"/>
          <w:lang w:val="en-GB" w:eastAsia="hu-HU"/>
        </w:rPr>
        <w:t xml:space="preserve"> 10.12.) OGY on</w:t>
      </w:r>
      <w:r w:rsidRPr="008105AB">
        <w:rPr>
          <w:rFonts w:ascii="Times New Roman" w:eastAsia="Times New Roman" w:hAnsi="Times New Roman" w:cs="Times New Roman"/>
          <w:sz w:val="24"/>
          <w:szCs w:val="24"/>
          <w:lang w:val="en-GB" w:eastAsia="hu-HU"/>
        </w:rPr>
        <w:t xml:space="preserve"> </w:t>
      </w:r>
      <w:r w:rsidRPr="008105AB">
        <w:rPr>
          <w:rFonts w:ascii="Times New Roman" w:hAnsi="Times New Roman" w:cs="Times New Roman"/>
          <w:b/>
          <w:sz w:val="24"/>
          <w:szCs w:val="24"/>
          <w:lang w:val="en-GB" w:eastAsia="en-GB" w:bidi="en-GB"/>
        </w:rPr>
        <w:t>the National Disability Program</w:t>
      </w:r>
    </w:p>
    <w:p w:rsidR="00995D24" w:rsidRPr="008105AB" w:rsidRDefault="00995D24" w:rsidP="00995D24">
      <w:pPr>
        <w:pStyle w:val="Listaszerbekezds"/>
        <w:numPr>
          <w:ilvl w:val="0"/>
          <w:numId w:val="6"/>
        </w:numPr>
        <w:spacing w:after="0" w:line="240" w:lineRule="auto"/>
        <w:jc w:val="both"/>
        <w:rPr>
          <w:rFonts w:ascii="Times New Roman" w:eastAsia="Times New Roman" w:hAnsi="Times New Roman" w:cs="Times New Roman"/>
          <w:sz w:val="24"/>
          <w:szCs w:val="24"/>
          <w:lang w:val="en-GB" w:eastAsia="hu-HU"/>
        </w:rPr>
      </w:pPr>
      <w:r w:rsidRPr="008105AB">
        <w:rPr>
          <w:rFonts w:ascii="Times New Roman" w:hAnsi="Times New Roman" w:cs="Times New Roman"/>
          <w:b/>
          <w:sz w:val="24"/>
          <w:szCs w:val="24"/>
          <w:lang w:val="en-GB" w:eastAsia="en-GB" w:bidi="en-GB"/>
        </w:rPr>
        <w:t>10/2006. (</w:t>
      </w:r>
      <w:proofErr w:type="gramStart"/>
      <w:r w:rsidRPr="008105AB">
        <w:rPr>
          <w:rFonts w:ascii="Times New Roman" w:hAnsi="Times New Roman" w:cs="Times New Roman"/>
          <w:b/>
          <w:sz w:val="24"/>
          <w:szCs w:val="24"/>
          <w:lang w:val="en-GB" w:eastAsia="en-GB" w:bidi="en-GB"/>
        </w:rPr>
        <w:t>of</w:t>
      </w:r>
      <w:proofErr w:type="gramEnd"/>
      <w:r w:rsidRPr="008105AB">
        <w:rPr>
          <w:rFonts w:ascii="Times New Roman" w:hAnsi="Times New Roman" w:cs="Times New Roman"/>
          <w:b/>
          <w:sz w:val="24"/>
          <w:szCs w:val="24"/>
          <w:lang w:val="en-GB" w:eastAsia="en-GB" w:bidi="en-GB"/>
        </w:rPr>
        <w:t xml:space="preserve"> 16.02.) OGY on the National Disability Program</w:t>
      </w:r>
    </w:p>
    <w:p w:rsidR="007E4807" w:rsidRPr="008105AB" w:rsidRDefault="007E4807" w:rsidP="007E4807">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Both documents have to be renewed periodically; therefore, the system provides a framework for the Hungarian disability policy for a long period of time. </w:t>
      </w:r>
      <w:proofErr w:type="gramStart"/>
      <w:r w:rsidRPr="008105AB">
        <w:rPr>
          <w:rFonts w:ascii="Times New Roman" w:eastAsia="Times New Roman" w:hAnsi="Times New Roman" w:cs="Times New Roman"/>
          <w:sz w:val="24"/>
          <w:szCs w:val="24"/>
          <w:lang w:val="en-GB" w:eastAsia="hu-HU"/>
        </w:rPr>
        <w:t>The concerning mid-term plans contain the exact definition of task, the persons responsible, the required financial resources and the deadline of completion.</w:t>
      </w:r>
      <w:proofErr w:type="gramEnd"/>
    </w:p>
    <w:p w:rsidR="0058732D" w:rsidRPr="008105AB" w:rsidRDefault="00445434" w:rsidP="0058732D">
      <w:pPr>
        <w:jc w:val="both"/>
        <w:rPr>
          <w:rFonts w:ascii="Times New Roman" w:eastAsia="Times New Roman" w:hAnsi="Times New Roman" w:cs="Times New Roman"/>
          <w:bCs/>
          <w:sz w:val="24"/>
          <w:szCs w:val="24"/>
          <w:lang w:val="en-GB" w:eastAsia="en-GB" w:bidi="en-GB"/>
        </w:rPr>
      </w:pPr>
      <w:r w:rsidRPr="008105AB">
        <w:rPr>
          <w:rFonts w:ascii="Times New Roman" w:eastAsia="Times New Roman" w:hAnsi="Times New Roman" w:cs="Times New Roman"/>
          <w:sz w:val="24"/>
          <w:szCs w:val="24"/>
          <w:lang w:val="en-GB" w:eastAsia="hu-HU"/>
        </w:rPr>
        <w:t>T</w:t>
      </w:r>
      <w:r w:rsidR="0058732D" w:rsidRPr="008105AB">
        <w:rPr>
          <w:rFonts w:ascii="Times New Roman" w:eastAsia="Times New Roman" w:hAnsi="Times New Roman" w:cs="Times New Roman"/>
          <w:sz w:val="24"/>
          <w:szCs w:val="24"/>
          <w:lang w:val="en-GB" w:eastAsia="hu-HU"/>
        </w:rPr>
        <w:t xml:space="preserve">he Hungarian Parliament </w:t>
      </w:r>
      <w:r w:rsidR="00995D24" w:rsidRPr="008105AB">
        <w:rPr>
          <w:rFonts w:ascii="Times New Roman" w:eastAsia="Times New Roman" w:hAnsi="Times New Roman" w:cs="Times New Roman"/>
          <w:sz w:val="24"/>
          <w:szCs w:val="24"/>
          <w:lang w:val="en-GB" w:eastAsia="hu-HU"/>
        </w:rPr>
        <w:t xml:space="preserve">this year </w:t>
      </w:r>
      <w:r w:rsidR="0058732D" w:rsidRPr="008105AB">
        <w:rPr>
          <w:rFonts w:ascii="Times New Roman" w:eastAsia="Times New Roman" w:hAnsi="Times New Roman" w:cs="Times New Roman"/>
          <w:sz w:val="24"/>
          <w:szCs w:val="24"/>
          <w:lang w:val="en-GB" w:eastAsia="hu-HU"/>
        </w:rPr>
        <w:t xml:space="preserve">adopted its </w:t>
      </w:r>
      <w:r w:rsidR="00995D24" w:rsidRPr="008105AB">
        <w:rPr>
          <w:rFonts w:ascii="Times New Roman" w:eastAsia="Times New Roman" w:hAnsi="Times New Roman" w:cs="Times New Roman"/>
          <w:sz w:val="24"/>
          <w:szCs w:val="24"/>
          <w:lang w:val="en-GB" w:eastAsia="hu-HU"/>
        </w:rPr>
        <w:t xml:space="preserve">third </w:t>
      </w:r>
      <w:r w:rsidR="0058732D" w:rsidRPr="008105AB">
        <w:rPr>
          <w:rFonts w:ascii="Times New Roman" w:eastAsia="Times New Roman" w:hAnsi="Times New Roman" w:cs="Times New Roman"/>
          <w:sz w:val="24"/>
          <w:szCs w:val="24"/>
          <w:lang w:val="en-GB" w:eastAsia="hu-HU"/>
        </w:rPr>
        <w:t xml:space="preserve">decision </w:t>
      </w:r>
      <w:r w:rsidR="0058732D" w:rsidRPr="008105AB">
        <w:rPr>
          <w:rFonts w:ascii="Times New Roman" w:hAnsi="Times New Roman" w:cs="Times New Roman"/>
          <w:b/>
          <w:kern w:val="28"/>
          <w:sz w:val="24"/>
          <w:szCs w:val="24"/>
          <w:lang w:val="en-GB" w:eastAsia="en-GB" w:bidi="en-GB"/>
        </w:rPr>
        <w:t>15/2015 (of 07.04</w:t>
      </w:r>
      <w:proofErr w:type="gramStart"/>
      <w:r w:rsidR="0058732D" w:rsidRPr="008105AB">
        <w:rPr>
          <w:rFonts w:ascii="Times New Roman" w:hAnsi="Times New Roman" w:cs="Times New Roman"/>
          <w:b/>
          <w:kern w:val="28"/>
          <w:sz w:val="24"/>
          <w:szCs w:val="24"/>
          <w:lang w:val="en-GB" w:eastAsia="en-GB" w:bidi="en-GB"/>
        </w:rPr>
        <w:t>. )</w:t>
      </w:r>
      <w:proofErr w:type="gramEnd"/>
      <w:r w:rsidR="0058732D" w:rsidRPr="008105AB">
        <w:rPr>
          <w:rFonts w:ascii="Times New Roman" w:hAnsi="Times New Roman" w:cs="Times New Roman"/>
          <w:b/>
          <w:kern w:val="28"/>
          <w:sz w:val="24"/>
          <w:szCs w:val="24"/>
          <w:lang w:val="en-GB" w:eastAsia="en-GB" w:bidi="en-GB"/>
        </w:rPr>
        <w:t xml:space="preserve"> </w:t>
      </w:r>
      <w:proofErr w:type="gramStart"/>
      <w:r w:rsidR="0058732D" w:rsidRPr="008105AB">
        <w:rPr>
          <w:rFonts w:ascii="Times New Roman" w:hAnsi="Times New Roman" w:cs="Times New Roman"/>
          <w:b/>
          <w:kern w:val="28"/>
          <w:sz w:val="24"/>
          <w:szCs w:val="24"/>
          <w:lang w:val="en-GB" w:eastAsia="en-GB" w:bidi="en-GB"/>
        </w:rPr>
        <w:t xml:space="preserve">OGY </w:t>
      </w:r>
      <w:r w:rsidR="0058732D" w:rsidRPr="008105AB">
        <w:rPr>
          <w:rFonts w:ascii="Times New Roman" w:hAnsi="Times New Roman" w:cs="Times New Roman"/>
          <w:b/>
          <w:sz w:val="24"/>
          <w:szCs w:val="24"/>
          <w:lang w:val="en-GB" w:eastAsia="en-GB" w:bidi="en-GB"/>
        </w:rPr>
        <w:t>on the National Disability Program (2015–2025)</w:t>
      </w:r>
      <w:r w:rsidR="0058732D" w:rsidRPr="008105AB">
        <w:rPr>
          <w:rFonts w:ascii="Times New Roman" w:hAnsi="Times New Roman" w:cs="Times New Roman"/>
          <w:sz w:val="24"/>
          <w:szCs w:val="24"/>
          <w:lang w:val="en-GB" w:eastAsia="en-GB" w:bidi="en-GB"/>
        </w:rPr>
        <w:t>.</w:t>
      </w:r>
      <w:proofErr w:type="gramEnd"/>
      <w:r w:rsidR="0058732D" w:rsidRPr="008105AB">
        <w:rPr>
          <w:rFonts w:ascii="Times New Roman" w:hAnsi="Times New Roman" w:cs="Times New Roman"/>
          <w:sz w:val="24"/>
          <w:szCs w:val="24"/>
          <w:lang w:val="en-GB" w:eastAsia="en-GB" w:bidi="en-GB"/>
        </w:rPr>
        <w:t xml:space="preserve"> </w:t>
      </w:r>
      <w:r w:rsidRPr="008105AB">
        <w:rPr>
          <w:rFonts w:ascii="Times New Roman" w:hAnsi="Times New Roman" w:cs="Times New Roman"/>
          <w:sz w:val="24"/>
          <w:szCs w:val="24"/>
          <w:lang w:val="en-GB" w:eastAsia="en-GB" w:bidi="en-GB"/>
        </w:rPr>
        <w:t xml:space="preserve">We attach this decision in full (English translation). </w:t>
      </w:r>
    </w:p>
    <w:p w:rsidR="00AB50B5" w:rsidRPr="008105AB" w:rsidRDefault="00445434" w:rsidP="00B4301C">
      <w:p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Important is also </w:t>
      </w:r>
      <w:r w:rsidR="00AB50B5" w:rsidRPr="008105AB">
        <w:rPr>
          <w:rFonts w:ascii="Times New Roman" w:eastAsia="Times New Roman" w:hAnsi="Times New Roman" w:cs="Times New Roman"/>
          <w:sz w:val="24"/>
          <w:szCs w:val="24"/>
          <w:lang w:val="en-GB" w:eastAsia="hu-HU"/>
        </w:rPr>
        <w:t xml:space="preserve">the </w:t>
      </w:r>
      <w:r w:rsidR="00AB50B5" w:rsidRPr="008105AB">
        <w:rPr>
          <w:rFonts w:ascii="Times New Roman" w:eastAsia="Times New Roman" w:hAnsi="Times New Roman" w:cs="Times New Roman"/>
          <w:b/>
          <w:sz w:val="24"/>
          <w:szCs w:val="24"/>
          <w:lang w:val="en-GB" w:eastAsia="hu-HU"/>
        </w:rPr>
        <w:t>Equal Treatment Act</w:t>
      </w:r>
      <w:r w:rsidR="00AB50B5" w:rsidRPr="008105AB">
        <w:rPr>
          <w:rFonts w:ascii="Times New Roman" w:eastAsia="Times New Roman" w:hAnsi="Times New Roman" w:cs="Times New Roman"/>
          <w:sz w:val="24"/>
          <w:szCs w:val="24"/>
          <w:lang w:val="en-GB" w:eastAsia="hu-HU"/>
        </w:rPr>
        <w:t xml:space="preserve"> (hereinafter: ETA)</w:t>
      </w:r>
      <w:r w:rsidR="000C7340" w:rsidRPr="008105AB">
        <w:rPr>
          <w:rFonts w:ascii="Times New Roman" w:eastAsia="Times New Roman" w:hAnsi="Times New Roman" w:cs="Times New Roman"/>
          <w:sz w:val="24"/>
          <w:szCs w:val="24"/>
          <w:lang w:val="en-GB" w:eastAsia="hu-HU"/>
        </w:rPr>
        <w:t xml:space="preserve"> </w:t>
      </w:r>
      <w:r w:rsidRPr="008105AB">
        <w:rPr>
          <w:rFonts w:ascii="Times New Roman" w:eastAsia="Times New Roman" w:hAnsi="Times New Roman" w:cs="Times New Roman"/>
          <w:sz w:val="24"/>
          <w:szCs w:val="24"/>
          <w:lang w:val="en-GB" w:eastAsia="hu-HU"/>
        </w:rPr>
        <w:t xml:space="preserve">The Preamble of the ETA </w:t>
      </w:r>
      <w:r w:rsidR="000C7340" w:rsidRPr="008105AB">
        <w:rPr>
          <w:rFonts w:ascii="Times New Roman" w:eastAsia="Times New Roman" w:hAnsi="Times New Roman" w:cs="Times New Roman"/>
          <w:sz w:val="24"/>
          <w:szCs w:val="24"/>
          <w:lang w:val="en-GB" w:eastAsia="hu-HU"/>
        </w:rPr>
        <w:t>refers to every person’s right to live as a person of equal dignity and declares that the promotion of equal opportunities is principally duty of the State. The Preamble also states that the goal is to provide effective legal aid to those suffering from negative discrimination.</w:t>
      </w:r>
      <w:r w:rsidR="00E645E2" w:rsidRPr="008105AB">
        <w:rPr>
          <w:rFonts w:ascii="Times New Roman" w:eastAsia="Times New Roman" w:hAnsi="Times New Roman" w:cs="Times New Roman"/>
          <w:sz w:val="24"/>
          <w:szCs w:val="24"/>
          <w:lang w:val="en-GB" w:eastAsia="hu-HU"/>
        </w:rPr>
        <w:t xml:space="preserve"> Based on</w:t>
      </w:r>
      <w:r w:rsidR="00713CBC" w:rsidRPr="008105AB">
        <w:rPr>
          <w:rFonts w:ascii="Times New Roman" w:eastAsia="Times New Roman" w:hAnsi="Times New Roman" w:cs="Times New Roman"/>
          <w:sz w:val="24"/>
          <w:szCs w:val="24"/>
          <w:lang w:val="en-GB" w:eastAsia="hu-HU"/>
        </w:rPr>
        <w:t xml:space="preserve"> t</w:t>
      </w:r>
      <w:r w:rsidR="00E645E2" w:rsidRPr="008105AB">
        <w:rPr>
          <w:rFonts w:ascii="Times New Roman" w:eastAsia="Times New Roman" w:hAnsi="Times New Roman" w:cs="Times New Roman"/>
          <w:sz w:val="24"/>
          <w:szCs w:val="24"/>
          <w:lang w:val="en-GB" w:eastAsia="hu-HU"/>
        </w:rPr>
        <w:t>he ETA plaintiffs whose rights have been infringed enjoy appropriate lega</w:t>
      </w:r>
      <w:r w:rsidR="00BC23B3" w:rsidRPr="008105AB">
        <w:rPr>
          <w:rFonts w:ascii="Times New Roman" w:eastAsia="Times New Roman" w:hAnsi="Times New Roman" w:cs="Times New Roman"/>
          <w:sz w:val="24"/>
          <w:szCs w:val="24"/>
          <w:lang w:val="en-GB" w:eastAsia="hu-HU"/>
        </w:rPr>
        <w:t>l remedies provided by administrative</w:t>
      </w:r>
      <w:r w:rsidR="00E645E2" w:rsidRPr="008105AB">
        <w:rPr>
          <w:rFonts w:ascii="Times New Roman" w:eastAsia="Times New Roman" w:hAnsi="Times New Roman" w:cs="Times New Roman"/>
          <w:sz w:val="24"/>
          <w:szCs w:val="24"/>
          <w:lang w:val="en-GB" w:eastAsia="hu-HU"/>
        </w:rPr>
        <w:t xml:space="preserve"> law against those violating the</w:t>
      </w:r>
      <w:r w:rsidR="00BC23B3" w:rsidRPr="008105AB">
        <w:rPr>
          <w:rFonts w:ascii="Times New Roman" w:eastAsia="Times New Roman" w:hAnsi="Times New Roman" w:cs="Times New Roman"/>
          <w:sz w:val="24"/>
          <w:szCs w:val="24"/>
          <w:lang w:val="en-GB" w:eastAsia="hu-HU"/>
        </w:rPr>
        <w:t xml:space="preserve">ir rights. The ETA as a general </w:t>
      </w:r>
      <w:r w:rsidR="00E645E2" w:rsidRPr="008105AB">
        <w:rPr>
          <w:rFonts w:ascii="Times New Roman" w:eastAsia="Times New Roman" w:hAnsi="Times New Roman" w:cs="Times New Roman"/>
          <w:sz w:val="24"/>
          <w:szCs w:val="24"/>
          <w:lang w:val="en-GB" w:eastAsia="hu-HU"/>
        </w:rPr>
        <w:t>anti-discrimination act forbids the violation of equal treatment b</w:t>
      </w:r>
      <w:r w:rsidR="00BC23B3" w:rsidRPr="008105AB">
        <w:rPr>
          <w:rFonts w:ascii="Times New Roman" w:eastAsia="Times New Roman" w:hAnsi="Times New Roman" w:cs="Times New Roman"/>
          <w:sz w:val="24"/>
          <w:szCs w:val="24"/>
          <w:lang w:val="en-GB" w:eastAsia="hu-HU"/>
        </w:rPr>
        <w:t>ased on various grounds. The li</w:t>
      </w:r>
      <w:r w:rsidR="00E645E2" w:rsidRPr="008105AB">
        <w:rPr>
          <w:rFonts w:ascii="Times New Roman" w:eastAsia="Times New Roman" w:hAnsi="Times New Roman" w:cs="Times New Roman"/>
          <w:sz w:val="24"/>
          <w:szCs w:val="24"/>
          <w:lang w:val="en-GB" w:eastAsia="hu-HU"/>
        </w:rPr>
        <w:t>st of more than 25 items (protected charact</w:t>
      </w:r>
      <w:r w:rsidR="00B4301C" w:rsidRPr="008105AB">
        <w:rPr>
          <w:rFonts w:ascii="Times New Roman" w:eastAsia="Times New Roman" w:hAnsi="Times New Roman" w:cs="Times New Roman"/>
          <w:sz w:val="24"/>
          <w:szCs w:val="24"/>
          <w:lang w:val="en-GB" w:eastAsia="hu-HU"/>
        </w:rPr>
        <w:t>eristics, circumstances and situations) includes discrimination based on disability as well. The ETA deals with discrimination in</w:t>
      </w:r>
      <w:r w:rsidR="00BC23B3" w:rsidRPr="008105AB">
        <w:rPr>
          <w:rFonts w:ascii="Times New Roman" w:eastAsia="Times New Roman" w:hAnsi="Times New Roman" w:cs="Times New Roman"/>
          <w:sz w:val="24"/>
          <w:szCs w:val="24"/>
          <w:lang w:val="en-GB" w:eastAsia="hu-HU"/>
        </w:rPr>
        <w:t xml:space="preserve"> the</w:t>
      </w:r>
      <w:r w:rsidR="00B4301C" w:rsidRPr="008105AB">
        <w:rPr>
          <w:rFonts w:ascii="Times New Roman" w:eastAsia="Times New Roman" w:hAnsi="Times New Roman" w:cs="Times New Roman"/>
          <w:sz w:val="24"/>
          <w:szCs w:val="24"/>
          <w:lang w:val="en-GB" w:eastAsia="hu-HU"/>
        </w:rPr>
        <w:t xml:space="preserve"> fields of employment, social security and health care, education, housing as well as sale of goods and use of services. The Act describes the personal scope, those who have to observe the principle of equal treatment: institutions which provide public task in a </w:t>
      </w:r>
      <w:r w:rsidR="00B4301C" w:rsidRPr="008105AB">
        <w:rPr>
          <w:rFonts w:ascii="Times New Roman" w:eastAsia="Times New Roman" w:hAnsi="Times New Roman" w:cs="Times New Roman"/>
          <w:sz w:val="24"/>
          <w:szCs w:val="24"/>
          <w:lang w:val="en-GB" w:eastAsia="hu-HU"/>
        </w:rPr>
        <w:lastRenderedPageBreak/>
        <w:t>broad sense, like the Hungarian State, local and minority governments, armed forces, public foundations, elementary educational institutions, private pension funds, etc.</w:t>
      </w:r>
    </w:p>
    <w:p w:rsidR="00445434" w:rsidRPr="008105AB" w:rsidRDefault="00445434" w:rsidP="00B4301C">
      <w:pPr>
        <w:spacing w:after="0" w:line="240" w:lineRule="auto"/>
        <w:jc w:val="both"/>
        <w:rPr>
          <w:rFonts w:ascii="Times New Roman" w:eastAsia="Times New Roman" w:hAnsi="Times New Roman" w:cs="Times New Roman"/>
          <w:sz w:val="24"/>
          <w:szCs w:val="24"/>
          <w:lang w:val="en-GB" w:eastAsia="hu-HU"/>
        </w:rPr>
      </w:pPr>
    </w:p>
    <w:p w:rsidR="00B4301C" w:rsidRPr="008105AB" w:rsidRDefault="00B4301C" w:rsidP="00B4301C">
      <w:p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A breach of the principle of equal treatment means</w:t>
      </w:r>
    </w:p>
    <w:p w:rsidR="00B4301C" w:rsidRPr="008105AB" w:rsidRDefault="00B4301C" w:rsidP="00B4301C">
      <w:pPr>
        <w:pStyle w:val="Listaszerbekezds"/>
        <w:numPr>
          <w:ilvl w:val="0"/>
          <w:numId w:val="5"/>
        </w:num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direct negative discrimination,</w:t>
      </w:r>
    </w:p>
    <w:p w:rsidR="00B4301C" w:rsidRPr="008105AB" w:rsidRDefault="00B4301C" w:rsidP="00B4301C">
      <w:pPr>
        <w:pStyle w:val="Listaszerbekezds"/>
        <w:numPr>
          <w:ilvl w:val="0"/>
          <w:numId w:val="5"/>
        </w:num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indirect negative discrimination,</w:t>
      </w:r>
    </w:p>
    <w:p w:rsidR="00B4301C" w:rsidRPr="008105AB" w:rsidRDefault="00B4301C" w:rsidP="00B4301C">
      <w:pPr>
        <w:pStyle w:val="Listaszerbekezds"/>
        <w:numPr>
          <w:ilvl w:val="0"/>
          <w:numId w:val="5"/>
        </w:num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harassment,</w:t>
      </w:r>
    </w:p>
    <w:p w:rsidR="00B4301C" w:rsidRPr="008105AB" w:rsidRDefault="00B4301C" w:rsidP="00B4301C">
      <w:pPr>
        <w:pStyle w:val="Listaszerbekezds"/>
        <w:numPr>
          <w:ilvl w:val="0"/>
          <w:numId w:val="5"/>
        </w:num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unlawful segregation,</w:t>
      </w:r>
    </w:p>
    <w:p w:rsidR="00B4301C" w:rsidRPr="008105AB" w:rsidRDefault="00B4301C" w:rsidP="00B4301C">
      <w:pPr>
        <w:pStyle w:val="Listaszerbekezds"/>
        <w:numPr>
          <w:ilvl w:val="0"/>
          <w:numId w:val="5"/>
        </w:numPr>
        <w:spacing w:after="0"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retribution and</w:t>
      </w:r>
    </w:p>
    <w:p w:rsidR="00B4301C" w:rsidRPr="008105AB" w:rsidRDefault="00B4301C" w:rsidP="00B4301C">
      <w:pPr>
        <w:pStyle w:val="Listaszerbekezds"/>
        <w:numPr>
          <w:ilvl w:val="0"/>
          <w:numId w:val="5"/>
        </w:numPr>
        <w:spacing w:after="0" w:line="240" w:lineRule="auto"/>
        <w:jc w:val="both"/>
        <w:rPr>
          <w:rFonts w:ascii="Times New Roman" w:eastAsia="Times New Roman" w:hAnsi="Times New Roman" w:cs="Times New Roman"/>
          <w:sz w:val="24"/>
          <w:szCs w:val="24"/>
          <w:lang w:val="en-GB" w:eastAsia="hu-HU"/>
        </w:rPr>
      </w:pPr>
      <w:proofErr w:type="gramStart"/>
      <w:r w:rsidRPr="008105AB">
        <w:rPr>
          <w:rFonts w:ascii="Times New Roman" w:eastAsia="Times New Roman" w:hAnsi="Times New Roman" w:cs="Times New Roman"/>
          <w:sz w:val="24"/>
          <w:szCs w:val="24"/>
          <w:lang w:val="en-GB" w:eastAsia="hu-HU"/>
        </w:rPr>
        <w:t>instruction</w:t>
      </w:r>
      <w:proofErr w:type="gramEnd"/>
      <w:r w:rsidRPr="008105AB">
        <w:rPr>
          <w:rFonts w:ascii="Times New Roman" w:eastAsia="Times New Roman" w:hAnsi="Times New Roman" w:cs="Times New Roman"/>
          <w:sz w:val="24"/>
          <w:szCs w:val="24"/>
          <w:lang w:val="en-GB" w:eastAsia="hu-HU"/>
        </w:rPr>
        <w:t xml:space="preserve"> to discriminate.</w:t>
      </w:r>
    </w:p>
    <w:p w:rsidR="00F65ADC" w:rsidRPr="008105AB" w:rsidRDefault="00F65ADC" w:rsidP="00F65ADC">
      <w:pPr>
        <w:spacing w:before="100" w:beforeAutospacing="1" w:after="100" w:afterAutospacing="1" w:line="240" w:lineRule="auto"/>
        <w:jc w:val="both"/>
        <w:rPr>
          <w:rFonts w:ascii="Times New Roman" w:eastAsia="Times New Roman" w:hAnsi="Times New Roman" w:cs="Times New Roman"/>
          <w:sz w:val="24"/>
          <w:szCs w:val="24"/>
          <w:lang w:val="en-GB" w:eastAsia="hu-HU"/>
        </w:rPr>
      </w:pPr>
      <w:r w:rsidRPr="008105AB">
        <w:rPr>
          <w:rFonts w:ascii="Times New Roman" w:eastAsia="Times New Roman" w:hAnsi="Times New Roman" w:cs="Times New Roman"/>
          <w:sz w:val="24"/>
          <w:szCs w:val="24"/>
          <w:lang w:val="en-GB" w:eastAsia="hu-HU"/>
        </w:rPr>
        <w:t xml:space="preserve">In terms of human rights, the creation of </w:t>
      </w:r>
      <w:r w:rsidRPr="008105AB">
        <w:rPr>
          <w:rFonts w:ascii="Times New Roman" w:eastAsia="Times New Roman" w:hAnsi="Times New Roman" w:cs="Times New Roman"/>
          <w:b/>
          <w:sz w:val="24"/>
          <w:szCs w:val="24"/>
          <w:lang w:val="en-GB" w:eastAsia="hu-HU"/>
        </w:rPr>
        <w:t>Act CXXV of 2009 on</w:t>
      </w:r>
      <w:r w:rsidRPr="008105AB">
        <w:rPr>
          <w:rFonts w:ascii="Times New Roman" w:eastAsia="Times New Roman" w:hAnsi="Times New Roman" w:cs="Times New Roman"/>
          <w:sz w:val="24"/>
          <w:szCs w:val="24"/>
          <w:lang w:val="en-GB" w:eastAsia="hu-HU"/>
        </w:rPr>
        <w:t xml:space="preserve"> </w:t>
      </w:r>
      <w:r w:rsidRPr="008105AB">
        <w:rPr>
          <w:rFonts w:ascii="Times New Roman" w:eastAsia="Times New Roman" w:hAnsi="Times New Roman" w:cs="Times New Roman"/>
          <w:b/>
          <w:bCs/>
          <w:sz w:val="24"/>
          <w:szCs w:val="24"/>
          <w:lang w:val="en-GB" w:eastAsia="hu-HU"/>
        </w:rPr>
        <w:t>Hungarian Sign Language</w:t>
      </w:r>
      <w:r w:rsidRPr="008105AB">
        <w:rPr>
          <w:rFonts w:ascii="Times New Roman" w:eastAsia="Times New Roman" w:hAnsi="Times New Roman" w:cs="Times New Roman"/>
          <w:sz w:val="24"/>
          <w:szCs w:val="24"/>
          <w:lang w:val="en-GB" w:eastAsia="hu-HU"/>
        </w:rPr>
        <w:t xml:space="preserve"> and the use of Hungarian Sign L</w:t>
      </w:r>
      <w:r w:rsidR="00DE5402" w:rsidRPr="008105AB">
        <w:rPr>
          <w:rFonts w:ascii="Times New Roman" w:eastAsia="Times New Roman" w:hAnsi="Times New Roman" w:cs="Times New Roman"/>
          <w:sz w:val="24"/>
          <w:szCs w:val="24"/>
          <w:lang w:val="en-GB" w:eastAsia="hu-HU"/>
        </w:rPr>
        <w:t>anguage has to be mentioned</w:t>
      </w:r>
      <w:r w:rsidRPr="008105AB">
        <w:rPr>
          <w:rFonts w:ascii="Times New Roman" w:eastAsia="Times New Roman" w:hAnsi="Times New Roman" w:cs="Times New Roman"/>
          <w:sz w:val="24"/>
          <w:szCs w:val="24"/>
          <w:lang w:val="en-GB" w:eastAsia="hu-HU"/>
        </w:rPr>
        <w:t>. The Parliament adopted the bill without dissenting votes or abstentions. The adoption of the act marked the introduction of a regulation on sign language whose content may be regarded as outstanding even at the international level, since it recognises sign language as an independent, natural language and people with hearing disabilities as a language mi</w:t>
      </w:r>
      <w:r w:rsidR="00E4205A" w:rsidRPr="008105AB">
        <w:rPr>
          <w:rFonts w:ascii="Times New Roman" w:eastAsia="Times New Roman" w:hAnsi="Times New Roman" w:cs="Times New Roman"/>
          <w:sz w:val="24"/>
          <w:szCs w:val="24"/>
          <w:lang w:val="en-GB" w:eastAsia="hu-HU"/>
        </w:rPr>
        <w:t>nority community. Moreover, the</w:t>
      </w:r>
      <w:r w:rsidRPr="008105AB">
        <w:rPr>
          <w:rFonts w:ascii="Times New Roman" w:eastAsia="Times New Roman" w:hAnsi="Times New Roman" w:cs="Times New Roman"/>
          <w:sz w:val="24"/>
          <w:szCs w:val="24"/>
          <w:lang w:val="en-GB" w:eastAsia="hu-HU"/>
        </w:rPr>
        <w:t xml:space="preserve"> act specifies that it is the obligation of the state to operate a national network of sign language interpretation services, and guarantees free sign language interpretation services for people with hearing disabilities and for the deaf blind. It also makes the opportunity of bilingual primary education available (the main language of instruction being sign language) as of 2017, and makes it obligatory for television channels to provide subtitles for their programmes</w:t>
      </w:r>
      <w:r w:rsidR="0060469F" w:rsidRPr="008105AB">
        <w:rPr>
          <w:rFonts w:ascii="Times New Roman" w:eastAsia="Times New Roman" w:hAnsi="Times New Roman" w:cs="Times New Roman"/>
          <w:sz w:val="24"/>
          <w:szCs w:val="24"/>
          <w:lang w:val="en-GB" w:eastAsia="hu-HU"/>
        </w:rPr>
        <w:t>.</w:t>
      </w:r>
    </w:p>
    <w:p w:rsidR="00834FD0" w:rsidRPr="008105AB" w:rsidRDefault="00936A07" w:rsidP="00834FD0">
      <w:pPr>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The XV.</w:t>
      </w:r>
      <w:proofErr w:type="gramEnd"/>
      <w:r>
        <w:rPr>
          <w:rFonts w:ascii="Times New Roman" w:hAnsi="Times New Roman" w:cs="Times New Roman"/>
          <w:sz w:val="24"/>
          <w:szCs w:val="24"/>
          <w:lang w:val="en-GB"/>
        </w:rPr>
        <w:t xml:space="preserve"> </w:t>
      </w:r>
      <w:proofErr w:type="gramStart"/>
      <w:r w:rsidR="00834FD0" w:rsidRPr="008105AB">
        <w:rPr>
          <w:rFonts w:ascii="Times New Roman" w:hAnsi="Times New Roman" w:cs="Times New Roman"/>
          <w:sz w:val="24"/>
          <w:szCs w:val="24"/>
          <w:lang w:val="en-GB"/>
        </w:rPr>
        <w:t>article</w:t>
      </w:r>
      <w:proofErr w:type="gramEnd"/>
      <w:r w:rsidR="00834FD0" w:rsidRPr="008105AB">
        <w:rPr>
          <w:rFonts w:ascii="Times New Roman" w:hAnsi="Times New Roman" w:cs="Times New Roman"/>
          <w:sz w:val="24"/>
          <w:szCs w:val="24"/>
          <w:lang w:val="en-GB"/>
        </w:rPr>
        <w:t xml:space="preserve"> of the Fundamental Law of Hungary declares: “By means of separate measures, Hungary shall promote the achievement of equality of opportunity and social inclusion”. Besides that, the Act CXXV of 2003 on Equal Treatment and Promotion of Equal Opportunities states in its preamble that the promotion of equal opportunities is principally the duty of the State. In terms of this obligation the Network of Family, Equal Opportunity and Volunteer Houses is operating throughout the country. The Network of Family, Equal Opportunity and Volunteer Houses is a nation-wide series of county centres which represents social policy goals of the Government at the local level, helps the cooperation and networking among local NGOs and other stakeholders of disadvantaged social groups, enhance the consideration of social policy goals and the work of these organizations at the local decision-making processes,  battle against the existing prejudices in the wider society concerning disadvantaged social groups, and push to strengthen the spirit of tolerance in general. The Network consists of 19 county offices and one in the capital, Budapest. At the centre of the offices’ work the following discriminatory dimensions, factors causing disadvantaged position stand: disabilities, gender, age (with special focus on youth and the elderly), deep poverty (especially the Roma, children, and ones live in deprived regions). Besides that there is a strong emphasis on families. The most important mission of the offices is to take actions against segregation and discrimination, to lower the level of opportunity differences, and to shape public discourse to combat prevailing prejudices in society and enforce social solidarity.</w:t>
      </w:r>
    </w:p>
    <w:p w:rsidR="00834FD0" w:rsidRPr="008105AB" w:rsidRDefault="00834FD0" w:rsidP="00834FD0">
      <w:pPr>
        <w:spacing w:before="100" w:beforeAutospacing="1" w:after="100" w:afterAutospacing="1" w:line="240" w:lineRule="auto"/>
        <w:jc w:val="both"/>
        <w:rPr>
          <w:rFonts w:ascii="Times New Roman" w:hAnsi="Times New Roman" w:cs="Times New Roman"/>
          <w:sz w:val="24"/>
          <w:szCs w:val="24"/>
          <w:lang w:val="en-GB"/>
        </w:rPr>
      </w:pPr>
      <w:r w:rsidRPr="008105AB">
        <w:rPr>
          <w:rFonts w:ascii="Times New Roman" w:eastAsia="Times New Roman" w:hAnsi="Times New Roman" w:cs="Times New Roman"/>
          <w:sz w:val="24"/>
          <w:szCs w:val="24"/>
          <w:lang w:val="en-GB" w:eastAsia="hu-HU"/>
        </w:rPr>
        <w:t xml:space="preserve">In Hungary the main body with overall responsibility to ensure the compliance with the principle of equal treatment is the </w:t>
      </w:r>
      <w:r w:rsidRPr="008105AB">
        <w:rPr>
          <w:rFonts w:ascii="Times New Roman" w:eastAsia="Times New Roman" w:hAnsi="Times New Roman" w:cs="Times New Roman"/>
          <w:b/>
          <w:sz w:val="24"/>
          <w:szCs w:val="24"/>
          <w:lang w:val="en-GB" w:eastAsia="hu-HU"/>
        </w:rPr>
        <w:t>Equal Treatment Authority</w:t>
      </w:r>
      <w:r w:rsidR="00285F95" w:rsidRPr="008105AB">
        <w:rPr>
          <w:rFonts w:ascii="Times New Roman" w:eastAsia="Times New Roman" w:hAnsi="Times New Roman" w:cs="Times New Roman"/>
          <w:b/>
          <w:sz w:val="24"/>
          <w:szCs w:val="24"/>
          <w:lang w:val="en-GB" w:eastAsia="hu-HU"/>
        </w:rPr>
        <w:t xml:space="preserve"> </w:t>
      </w:r>
      <w:r w:rsidR="00285F95" w:rsidRPr="008105AB">
        <w:rPr>
          <w:rFonts w:ascii="Times New Roman" w:eastAsia="Times New Roman" w:hAnsi="Times New Roman" w:cs="Times New Roman"/>
          <w:sz w:val="24"/>
          <w:szCs w:val="24"/>
          <w:lang w:val="en-GB" w:eastAsia="hu-HU"/>
        </w:rPr>
        <w:t>(hereinafter: Authority)</w:t>
      </w:r>
      <w:r w:rsidRPr="008105AB">
        <w:rPr>
          <w:rFonts w:ascii="Times New Roman" w:eastAsia="Times New Roman" w:hAnsi="Times New Roman" w:cs="Times New Roman"/>
          <w:sz w:val="24"/>
          <w:szCs w:val="24"/>
          <w:lang w:val="en-GB" w:eastAsia="hu-HU"/>
        </w:rPr>
        <w:t xml:space="preserve">. </w:t>
      </w:r>
      <w:r w:rsidR="00DF0D00" w:rsidRPr="008105AB">
        <w:rPr>
          <w:rFonts w:ascii="Times New Roman" w:hAnsi="Times New Roman" w:cs="Times New Roman"/>
          <w:sz w:val="24"/>
          <w:szCs w:val="24"/>
          <w:lang w:val="en-GB"/>
        </w:rPr>
        <w:t xml:space="preserve">The </w:t>
      </w:r>
      <w:r w:rsidR="00DF0D00" w:rsidRPr="008105AB">
        <w:rPr>
          <w:rFonts w:ascii="Times New Roman" w:hAnsi="Times New Roman" w:cs="Times New Roman"/>
          <w:sz w:val="24"/>
          <w:szCs w:val="24"/>
          <w:lang w:val="en-GB"/>
        </w:rPr>
        <w:lastRenderedPageBreak/>
        <w:t>Authority is responsible for invest</w:t>
      </w:r>
      <w:r w:rsidR="003E7DB1" w:rsidRPr="008105AB">
        <w:rPr>
          <w:rFonts w:ascii="Times New Roman" w:hAnsi="Times New Roman" w:cs="Times New Roman"/>
          <w:sz w:val="24"/>
          <w:szCs w:val="24"/>
          <w:lang w:val="en-GB"/>
        </w:rPr>
        <w:t>igating the complaints filed because of</w:t>
      </w:r>
      <w:r w:rsidR="00DF0D00" w:rsidRPr="008105AB">
        <w:rPr>
          <w:rFonts w:ascii="Times New Roman" w:hAnsi="Times New Roman" w:cs="Times New Roman"/>
          <w:sz w:val="24"/>
          <w:szCs w:val="24"/>
          <w:lang w:val="en-GB"/>
        </w:rPr>
        <w:t xml:space="preserve"> the violation of the principle of equal treatment and enforcing that principle.</w:t>
      </w:r>
      <w:r w:rsidR="00285F95" w:rsidRPr="008105AB">
        <w:rPr>
          <w:rFonts w:ascii="Times New Roman" w:hAnsi="Times New Roman" w:cs="Times New Roman"/>
          <w:sz w:val="24"/>
          <w:szCs w:val="24"/>
          <w:lang w:val="en-GB"/>
        </w:rPr>
        <w:t xml:space="preserve"> </w:t>
      </w:r>
      <w:r w:rsidR="00DF0D00" w:rsidRPr="008105AB">
        <w:rPr>
          <w:rFonts w:ascii="Times New Roman" w:hAnsi="Times New Roman" w:cs="Times New Roman"/>
          <w:sz w:val="24"/>
          <w:szCs w:val="24"/>
          <w:lang w:val="en-GB"/>
        </w:rPr>
        <w:t xml:space="preserve">The procedure may be initiated by natural persons who suffered disadvantage (in person or through their representatives), heads or representatives of legal persons, interest representation organizations or bodies submitting a complaint as </w:t>
      </w:r>
      <w:proofErr w:type="spellStart"/>
      <w:r w:rsidR="00DF0D00" w:rsidRPr="008105AB">
        <w:rPr>
          <w:rFonts w:ascii="Times New Roman" w:hAnsi="Times New Roman" w:cs="Times New Roman"/>
          <w:sz w:val="24"/>
          <w:szCs w:val="24"/>
          <w:lang w:val="en-GB"/>
        </w:rPr>
        <w:t>actio</w:t>
      </w:r>
      <w:proofErr w:type="spellEnd"/>
      <w:r w:rsidR="00DF0D00" w:rsidRPr="008105AB">
        <w:rPr>
          <w:rFonts w:ascii="Times New Roman" w:hAnsi="Times New Roman" w:cs="Times New Roman"/>
          <w:sz w:val="24"/>
          <w:szCs w:val="24"/>
          <w:lang w:val="en-GB"/>
        </w:rPr>
        <w:t xml:space="preserve"> </w:t>
      </w:r>
      <w:proofErr w:type="spellStart"/>
      <w:r w:rsidR="00DF0D00" w:rsidRPr="008105AB">
        <w:rPr>
          <w:rFonts w:ascii="Times New Roman" w:hAnsi="Times New Roman" w:cs="Times New Roman"/>
          <w:sz w:val="24"/>
          <w:szCs w:val="24"/>
          <w:lang w:val="en-GB"/>
        </w:rPr>
        <w:t>popularis</w:t>
      </w:r>
      <w:proofErr w:type="spellEnd"/>
      <w:r w:rsidR="00DF0D00" w:rsidRPr="008105AB">
        <w:rPr>
          <w:rFonts w:ascii="Times New Roman" w:hAnsi="Times New Roman" w:cs="Times New Roman"/>
          <w:sz w:val="24"/>
          <w:szCs w:val="24"/>
          <w:lang w:val="en-GB"/>
        </w:rPr>
        <w:t>, in a complaint submitted to the Authority.</w:t>
      </w:r>
    </w:p>
    <w:p w:rsidR="00AB721C" w:rsidRPr="008105AB" w:rsidRDefault="00AB721C" w:rsidP="00AB721C">
      <w:pPr>
        <w:pStyle w:val="Default"/>
        <w:jc w:val="both"/>
        <w:rPr>
          <w:rFonts w:ascii="Times New Roman" w:hAnsi="Times New Roman" w:cs="Times New Roman"/>
          <w:color w:val="auto"/>
          <w:lang w:val="en-GB"/>
        </w:rPr>
      </w:pPr>
      <w:r w:rsidRPr="008105AB">
        <w:rPr>
          <w:rFonts w:ascii="Times New Roman" w:eastAsia="Times New Roman" w:hAnsi="Times New Roman" w:cs="Times New Roman"/>
          <w:color w:val="auto"/>
          <w:lang w:val="en-GB" w:eastAsia="hu-HU"/>
        </w:rPr>
        <w:t xml:space="preserve">Since 2006 </w:t>
      </w:r>
      <w:r w:rsidRPr="008105AB">
        <w:rPr>
          <w:rFonts w:ascii="Times New Roman" w:eastAsia="Times New Roman" w:hAnsi="Times New Roman" w:cs="Times New Roman"/>
          <w:b/>
          <w:color w:val="auto"/>
          <w:lang w:val="en-GB" w:eastAsia="hu-HU"/>
        </w:rPr>
        <w:t>equal opportunity secretariat</w:t>
      </w:r>
      <w:r w:rsidRPr="008105AB">
        <w:rPr>
          <w:rFonts w:ascii="Times New Roman" w:eastAsia="Times New Roman" w:hAnsi="Times New Roman" w:cs="Times New Roman"/>
          <w:color w:val="auto"/>
          <w:lang w:val="en-GB" w:eastAsia="hu-HU"/>
        </w:rPr>
        <w:t xml:space="preserve"> has been operating, nowadays in the Ministry of Human Capacities. The </w:t>
      </w:r>
      <w:r w:rsidR="008105AB">
        <w:rPr>
          <w:rFonts w:ascii="Times New Roman" w:eastAsia="Times New Roman" w:hAnsi="Times New Roman" w:cs="Times New Roman"/>
          <w:b/>
          <w:color w:val="auto"/>
          <w:lang w:val="en-GB" w:eastAsia="hu-HU"/>
        </w:rPr>
        <w:t>Commissioner for Funda</w:t>
      </w:r>
      <w:r w:rsidRPr="008105AB">
        <w:rPr>
          <w:rFonts w:ascii="Times New Roman" w:eastAsia="Times New Roman" w:hAnsi="Times New Roman" w:cs="Times New Roman"/>
          <w:b/>
          <w:color w:val="auto"/>
          <w:lang w:val="en-GB" w:eastAsia="hu-HU"/>
        </w:rPr>
        <w:t>mental Rights</w:t>
      </w:r>
      <w:r w:rsidRPr="008105AB">
        <w:rPr>
          <w:rFonts w:ascii="Times New Roman" w:eastAsia="Times New Roman" w:hAnsi="Times New Roman" w:cs="Times New Roman"/>
          <w:color w:val="auto"/>
          <w:lang w:val="en-GB" w:eastAsia="hu-HU"/>
        </w:rPr>
        <w:t xml:space="preserve"> is also a safeguard of people with disabilities.</w:t>
      </w:r>
      <w:r w:rsidRPr="008105AB">
        <w:rPr>
          <w:rFonts w:ascii="Times New Roman" w:hAnsi="Times New Roman" w:cs="Times New Roman"/>
          <w:color w:val="auto"/>
          <w:lang w:val="en-GB"/>
        </w:rPr>
        <w:t xml:space="preserve"> </w:t>
      </w:r>
      <w:r w:rsidRPr="008105AB">
        <w:rPr>
          <w:rFonts w:ascii="Times New Roman" w:hAnsi="Times New Roman" w:cs="Times New Roman"/>
          <w:bCs/>
          <w:color w:val="auto"/>
          <w:lang w:val="en-GB"/>
        </w:rPr>
        <w:t xml:space="preserve">His office </w:t>
      </w:r>
      <w:proofErr w:type="gramStart"/>
      <w:r w:rsidRPr="008105AB">
        <w:rPr>
          <w:rFonts w:ascii="Times New Roman" w:hAnsi="Times New Roman" w:cs="Times New Roman"/>
          <w:bCs/>
          <w:color w:val="auto"/>
          <w:lang w:val="en-GB"/>
        </w:rPr>
        <w:t>deals with the disability issue with high priority</w:t>
      </w:r>
      <w:r w:rsidRPr="008105AB">
        <w:rPr>
          <w:rFonts w:ascii="Times New Roman" w:hAnsi="Times New Roman" w:cs="Times New Roman"/>
          <w:b/>
          <w:bCs/>
          <w:color w:val="auto"/>
          <w:lang w:val="en-GB"/>
        </w:rPr>
        <w:t xml:space="preserve">, </w:t>
      </w:r>
      <w:r w:rsidRPr="008105AB">
        <w:rPr>
          <w:rFonts w:ascii="Times New Roman" w:hAnsi="Times New Roman" w:cs="Times New Roman"/>
          <w:bCs/>
          <w:color w:val="auto"/>
          <w:lang w:val="en-GB"/>
        </w:rPr>
        <w:t xml:space="preserve">and upon request </w:t>
      </w:r>
      <w:r w:rsidRPr="008105AB">
        <w:rPr>
          <w:rFonts w:ascii="Times New Roman" w:eastAsia="Times New Roman" w:hAnsi="Times New Roman" w:cs="Times New Roman"/>
          <w:color w:val="auto"/>
          <w:lang w:val="en-GB" w:eastAsia="hu-HU"/>
        </w:rPr>
        <w:t>investigates</w:t>
      </w:r>
      <w:proofErr w:type="gramEnd"/>
      <w:r w:rsidRPr="008105AB">
        <w:rPr>
          <w:rFonts w:ascii="Times New Roman" w:eastAsia="Times New Roman" w:hAnsi="Times New Roman" w:cs="Times New Roman"/>
          <w:color w:val="auto"/>
          <w:lang w:val="en-GB" w:eastAsia="hu-HU"/>
        </w:rPr>
        <w:t xml:space="preserve"> cases.</w:t>
      </w:r>
      <w:r w:rsidRPr="008105AB">
        <w:rPr>
          <w:rFonts w:ascii="Times New Roman" w:hAnsi="Times New Roman" w:cs="Times New Roman"/>
          <w:color w:val="auto"/>
          <w:lang w:val="en-GB"/>
        </w:rPr>
        <w:t xml:space="preserve"> </w:t>
      </w:r>
    </w:p>
    <w:p w:rsidR="00AB721C" w:rsidRPr="008105AB" w:rsidRDefault="00AB721C" w:rsidP="00AB721C">
      <w:pPr>
        <w:spacing w:before="100" w:beforeAutospacing="1" w:after="100" w:afterAutospacing="1" w:line="240" w:lineRule="auto"/>
        <w:jc w:val="both"/>
        <w:rPr>
          <w:rFonts w:ascii="Times New Roman" w:hAnsi="Times New Roman" w:cs="Times New Roman"/>
          <w:sz w:val="24"/>
          <w:szCs w:val="24"/>
          <w:lang w:val="en-GB"/>
        </w:rPr>
      </w:pPr>
      <w:r w:rsidRPr="008105AB">
        <w:rPr>
          <w:rFonts w:ascii="Times New Roman" w:hAnsi="Times New Roman" w:cs="Times New Roman"/>
          <w:sz w:val="24"/>
          <w:szCs w:val="24"/>
          <w:lang w:val="en-GB"/>
        </w:rPr>
        <w:t xml:space="preserve">Also </w:t>
      </w:r>
      <w:r w:rsidRPr="008105AB">
        <w:rPr>
          <w:rFonts w:ascii="Times New Roman" w:hAnsi="Times New Roman" w:cs="Times New Roman"/>
          <w:b/>
          <w:sz w:val="24"/>
          <w:szCs w:val="24"/>
          <w:lang w:val="en-GB"/>
        </w:rPr>
        <w:t>civil organisations</w:t>
      </w:r>
      <w:r w:rsidRPr="008105AB">
        <w:rPr>
          <w:rFonts w:ascii="Times New Roman" w:hAnsi="Times New Roman" w:cs="Times New Roman"/>
          <w:sz w:val="24"/>
          <w:szCs w:val="24"/>
          <w:lang w:val="en-GB"/>
        </w:rPr>
        <w:t xml:space="preserve"> are active participants in this </w:t>
      </w:r>
      <w:proofErr w:type="gramStart"/>
      <w:r w:rsidRPr="008105AB">
        <w:rPr>
          <w:rFonts w:ascii="Times New Roman" w:hAnsi="Times New Roman" w:cs="Times New Roman"/>
          <w:sz w:val="24"/>
          <w:szCs w:val="24"/>
          <w:lang w:val="en-GB"/>
        </w:rPr>
        <w:t>field,</w:t>
      </w:r>
      <w:proofErr w:type="gramEnd"/>
      <w:r w:rsidRPr="008105AB">
        <w:rPr>
          <w:rFonts w:ascii="Times New Roman" w:hAnsi="Times New Roman" w:cs="Times New Roman"/>
          <w:sz w:val="24"/>
          <w:szCs w:val="24"/>
          <w:lang w:val="en-GB"/>
        </w:rPr>
        <w:t xml:space="preserve"> Hungary presents all the representative organizations’ opinion in decision making and in the disability-related legislation. The Hungarian Decree-Law 1330/2013 rules the rights of National Disability Council (hereinafter: Council) to be involved in disability-related legislation. The Council can take amendments, suggestions for the Minister, responsible for equal rights. The Council participate in the preparation process of National Disability Programme.</w:t>
      </w:r>
    </w:p>
    <w:p w:rsidR="00A42BCC" w:rsidRPr="008105AB" w:rsidRDefault="00DF5C0E" w:rsidP="000D4F14">
      <w:pPr>
        <w:shd w:val="clear" w:color="auto" w:fill="FFFFFF"/>
        <w:spacing w:after="0" w:line="240" w:lineRule="auto"/>
        <w:jc w:val="both"/>
        <w:outlineLvl w:val="1"/>
        <w:rPr>
          <w:rFonts w:ascii="Times New Roman" w:hAnsi="Times New Roman" w:cs="Times New Roman"/>
          <w:kern w:val="36"/>
          <w:sz w:val="24"/>
          <w:szCs w:val="24"/>
          <w:lang w:val="en-GB"/>
        </w:rPr>
      </w:pPr>
      <w:r w:rsidRPr="008105AB">
        <w:rPr>
          <w:rFonts w:ascii="Times New Roman" w:hAnsi="Times New Roman" w:cs="Times New Roman"/>
          <w:kern w:val="36"/>
          <w:sz w:val="24"/>
          <w:szCs w:val="24"/>
          <w:lang w:val="en-GB"/>
        </w:rPr>
        <w:t xml:space="preserve">You are kindly informed that, for the time being, no statistics are available upon which information could be withdrawn as regards disability statistics, especially concerning poverty and income inequalities. </w:t>
      </w:r>
    </w:p>
    <w:p w:rsidR="000D4F14" w:rsidRPr="008105AB" w:rsidRDefault="000D4F14" w:rsidP="000D4F14">
      <w:pPr>
        <w:shd w:val="clear" w:color="auto" w:fill="FFFFFF"/>
        <w:spacing w:after="0" w:line="240" w:lineRule="auto"/>
        <w:jc w:val="both"/>
        <w:outlineLvl w:val="1"/>
        <w:rPr>
          <w:rFonts w:ascii="Times New Roman" w:hAnsi="Times New Roman" w:cs="Times New Roman"/>
          <w:kern w:val="36"/>
          <w:sz w:val="24"/>
          <w:szCs w:val="24"/>
          <w:lang w:val="en-GB"/>
        </w:rPr>
      </w:pPr>
    </w:p>
    <w:p w:rsidR="005711A5" w:rsidRPr="008105AB" w:rsidRDefault="00393D1C" w:rsidP="000D4F14">
      <w:pPr>
        <w:shd w:val="clear" w:color="auto" w:fill="FFFFFF"/>
        <w:spacing w:after="0" w:line="240" w:lineRule="auto"/>
        <w:jc w:val="both"/>
        <w:outlineLvl w:val="1"/>
        <w:rPr>
          <w:rFonts w:ascii="Times New Roman" w:hAnsi="Times New Roman" w:cs="Times New Roman"/>
          <w:kern w:val="36"/>
          <w:sz w:val="24"/>
          <w:szCs w:val="24"/>
          <w:lang w:val="en-GB"/>
        </w:rPr>
      </w:pPr>
      <w:r w:rsidRPr="008105AB">
        <w:rPr>
          <w:rFonts w:ascii="Times New Roman" w:hAnsi="Times New Roman" w:cs="Times New Roman"/>
          <w:kern w:val="36"/>
          <w:sz w:val="24"/>
          <w:szCs w:val="24"/>
          <w:lang w:val="en-GB"/>
        </w:rPr>
        <w:t>Alth</w:t>
      </w:r>
      <w:r w:rsidR="00C64887" w:rsidRPr="008105AB">
        <w:rPr>
          <w:rFonts w:ascii="Times New Roman" w:hAnsi="Times New Roman" w:cs="Times New Roman"/>
          <w:kern w:val="36"/>
          <w:sz w:val="24"/>
          <w:szCs w:val="24"/>
          <w:lang w:val="en-GB"/>
        </w:rPr>
        <w:t xml:space="preserve">ough </w:t>
      </w:r>
      <w:proofErr w:type="gramStart"/>
      <w:r w:rsidR="00C64887" w:rsidRPr="008105AB">
        <w:rPr>
          <w:rFonts w:ascii="Times New Roman" w:hAnsi="Times New Roman" w:cs="Times New Roman"/>
          <w:kern w:val="36"/>
          <w:sz w:val="24"/>
          <w:szCs w:val="24"/>
          <w:lang w:val="en-GB"/>
        </w:rPr>
        <w:t>these</w:t>
      </w:r>
      <w:proofErr w:type="gramEnd"/>
      <w:r w:rsidR="00C64887" w:rsidRPr="008105AB">
        <w:rPr>
          <w:rFonts w:ascii="Times New Roman" w:hAnsi="Times New Roman" w:cs="Times New Roman"/>
          <w:kern w:val="36"/>
          <w:sz w:val="24"/>
          <w:szCs w:val="24"/>
          <w:lang w:val="en-GB"/>
        </w:rPr>
        <w:t xml:space="preserve"> information</w:t>
      </w:r>
      <w:r w:rsidRPr="008105AB">
        <w:rPr>
          <w:rFonts w:ascii="Times New Roman" w:hAnsi="Times New Roman" w:cs="Times New Roman"/>
          <w:kern w:val="36"/>
          <w:sz w:val="24"/>
          <w:szCs w:val="24"/>
          <w:lang w:val="en-GB"/>
        </w:rPr>
        <w:t xml:space="preserve"> are very important indicators, we only have data available on </w:t>
      </w:r>
      <w:hyperlink r:id="rId9" w:history="1">
        <w:r w:rsidRPr="008105AB">
          <w:rPr>
            <w:rStyle w:val="Hiperhivatkozs"/>
            <w:rFonts w:ascii="Times New Roman" w:hAnsi="Times New Roman" w:cs="Times New Roman"/>
            <w:i/>
            <w:color w:val="auto"/>
            <w:kern w:val="36"/>
            <w:sz w:val="24"/>
            <w:szCs w:val="24"/>
            <w:u w:val="none"/>
            <w:lang w:val="en-GB"/>
          </w:rPr>
          <w:t>http://ec.europa.eu/eurostat/statistics-explained/index.php/Disability_statistics</w:t>
        </w:r>
      </w:hyperlink>
      <w:r w:rsidRPr="008105AB">
        <w:rPr>
          <w:rFonts w:ascii="Times New Roman" w:hAnsi="Times New Roman" w:cs="Times New Roman"/>
          <w:i/>
          <w:kern w:val="36"/>
          <w:sz w:val="24"/>
          <w:szCs w:val="24"/>
          <w:lang w:val="en-GB"/>
        </w:rPr>
        <w:t xml:space="preserve"> </w:t>
      </w:r>
      <w:r w:rsidRPr="008105AB">
        <w:rPr>
          <w:rFonts w:ascii="Times New Roman" w:hAnsi="Times New Roman" w:cs="Times New Roman"/>
          <w:kern w:val="36"/>
          <w:sz w:val="24"/>
          <w:szCs w:val="24"/>
          <w:lang w:val="en-GB"/>
        </w:rPr>
        <w:t>website.</w:t>
      </w:r>
    </w:p>
    <w:p w:rsidR="000D4F14" w:rsidRPr="008105AB" w:rsidRDefault="000D4F14" w:rsidP="000D4F14">
      <w:pPr>
        <w:shd w:val="clear" w:color="auto" w:fill="FFFFFF"/>
        <w:spacing w:after="0" w:line="240" w:lineRule="auto"/>
        <w:jc w:val="both"/>
        <w:outlineLvl w:val="1"/>
        <w:rPr>
          <w:rFonts w:ascii="Times New Roman" w:hAnsi="Times New Roman" w:cs="Times New Roman"/>
          <w:kern w:val="36"/>
          <w:sz w:val="24"/>
          <w:szCs w:val="24"/>
          <w:lang w:val="en-GB"/>
        </w:rPr>
      </w:pPr>
    </w:p>
    <w:p w:rsidR="00A42BCC" w:rsidRPr="008105AB" w:rsidRDefault="00C64887" w:rsidP="000D4F14">
      <w:pPr>
        <w:pStyle w:val="NormlWeb"/>
        <w:shd w:val="clear" w:color="auto" w:fill="FFFFFF"/>
        <w:spacing w:before="0" w:beforeAutospacing="0" w:after="0" w:afterAutospacing="0"/>
        <w:jc w:val="both"/>
        <w:rPr>
          <w:lang w:val="en-GB"/>
        </w:rPr>
      </w:pPr>
      <w:r w:rsidRPr="008105AB">
        <w:rPr>
          <w:lang w:val="en-GB"/>
        </w:rPr>
        <w:t>At EUROSTAT i</w:t>
      </w:r>
      <w:r w:rsidR="00A42BCC" w:rsidRPr="008105AB">
        <w:rPr>
          <w:lang w:val="en-GB"/>
        </w:rPr>
        <w:t xml:space="preserve">ncome is a key measure of the economic well-being of individuals. Calculations are based on the </w:t>
      </w:r>
      <w:hyperlink r:id="rId10" w:tooltip="Glossary:EU statistics on income and living conditions (EU-SILC)" w:history="1">
        <w:r w:rsidR="00A42BCC" w:rsidRPr="008105AB">
          <w:rPr>
            <w:rStyle w:val="Hiperhivatkozs"/>
            <w:color w:val="auto"/>
            <w:u w:val="none"/>
            <w:lang w:val="en-GB"/>
          </w:rPr>
          <w:t>European statistics on income and living conditions (EU-SILC</w:t>
        </w:r>
        <w:r w:rsidR="00A42BCC" w:rsidRPr="008105AB">
          <w:rPr>
            <w:rStyle w:val="Hiperhivatkozs"/>
            <w:color w:val="auto"/>
            <w:lang w:val="en-GB"/>
          </w:rPr>
          <w:t>)</w:t>
        </w:r>
      </w:hyperlink>
      <w:r w:rsidR="00A42BCC" w:rsidRPr="008105AB">
        <w:rPr>
          <w:lang w:val="en-GB"/>
        </w:rPr>
        <w:t xml:space="preserve">, which is the reference source for statistics on income, poverty and living conditions in the </w:t>
      </w:r>
      <w:hyperlink r:id="rId11" w:tooltip="Glossary:European Union (EU)" w:history="1">
        <w:r w:rsidR="00A42BCC" w:rsidRPr="008105AB">
          <w:rPr>
            <w:rStyle w:val="Hiperhivatkozs"/>
            <w:color w:val="auto"/>
            <w:u w:val="none"/>
            <w:lang w:val="en-GB"/>
          </w:rPr>
          <w:t>European Union (EU</w:t>
        </w:r>
        <w:r w:rsidR="00A42BCC" w:rsidRPr="008105AB">
          <w:rPr>
            <w:rStyle w:val="Hiperhivatkozs"/>
            <w:color w:val="auto"/>
            <w:lang w:val="en-GB"/>
          </w:rPr>
          <w:t>)</w:t>
        </w:r>
      </w:hyperlink>
      <w:r w:rsidR="00A42BCC" w:rsidRPr="008105AB">
        <w:rPr>
          <w:lang w:val="en-GB"/>
        </w:rPr>
        <w:t xml:space="preserve">. </w:t>
      </w:r>
    </w:p>
    <w:p w:rsidR="000D4F14" w:rsidRPr="008105AB" w:rsidRDefault="000D4F14" w:rsidP="000D4F14">
      <w:pPr>
        <w:pStyle w:val="NormlWeb"/>
        <w:shd w:val="clear" w:color="auto" w:fill="FFFFFF"/>
        <w:spacing w:before="0" w:beforeAutospacing="0" w:after="0" w:afterAutospacing="0"/>
        <w:jc w:val="both"/>
        <w:rPr>
          <w:lang w:val="en-GB"/>
        </w:rPr>
      </w:pPr>
    </w:p>
    <w:p w:rsidR="00A42BCC" w:rsidRPr="008105AB" w:rsidRDefault="00A42BCC" w:rsidP="000D4F14">
      <w:pPr>
        <w:pStyle w:val="NormlWeb"/>
        <w:shd w:val="clear" w:color="auto" w:fill="FFFFFF"/>
        <w:spacing w:before="0" w:beforeAutospacing="0" w:after="0" w:afterAutospacing="0"/>
        <w:rPr>
          <w:lang w:val="en-GB"/>
        </w:rPr>
      </w:pPr>
      <w:r w:rsidRPr="008105AB">
        <w:rPr>
          <w:lang w:val="en-GB"/>
        </w:rPr>
        <w:t>In EU-SILC, disability is approximated according to the concept of global activity limitation, which is defined as a “limitation in activities people usually do for at least the past six months because of health problems”. This is considered to be an adequate proxy for disability, both by the scientific communi</w:t>
      </w:r>
      <w:r w:rsidR="00713CBC" w:rsidRPr="008105AB">
        <w:rPr>
          <w:lang w:val="en-GB"/>
        </w:rPr>
        <w:t>ty and disabled persons' organiz</w:t>
      </w:r>
      <w:r w:rsidRPr="008105AB">
        <w:rPr>
          <w:lang w:val="en-GB"/>
        </w:rPr>
        <w:t xml:space="preserve">ations. </w:t>
      </w:r>
    </w:p>
    <w:p w:rsidR="00A42BCC" w:rsidRPr="008105AB" w:rsidRDefault="00A42BCC" w:rsidP="000D4F14">
      <w:pPr>
        <w:shd w:val="clear" w:color="auto" w:fill="FFFFFF"/>
        <w:spacing w:after="0" w:line="240" w:lineRule="auto"/>
        <w:rPr>
          <w:rFonts w:ascii="Times New Roman" w:hAnsi="Times New Roman" w:cs="Times New Roman"/>
          <w:sz w:val="24"/>
          <w:szCs w:val="24"/>
          <w:lang w:val="en-GB"/>
        </w:rPr>
      </w:pPr>
      <w:r w:rsidRPr="008105AB">
        <w:rPr>
          <w:rFonts w:ascii="Times New Roman" w:hAnsi="Times New Roman" w:cs="Times New Roman"/>
          <w:noProof/>
          <w:sz w:val="24"/>
          <w:szCs w:val="24"/>
          <w:lang w:eastAsia="hu-HU"/>
        </w:rPr>
        <w:drawing>
          <wp:inline distT="0" distB="0" distL="0" distR="0" wp14:anchorId="0FF84E98" wp14:editId="43EBC8E7">
            <wp:extent cx="3331845" cy="2743200"/>
            <wp:effectExtent l="0" t="0" r="1905" b="0"/>
            <wp:docPr id="6" name="Kép 6" descr="http://ec.europa.eu/eurostat/statistics-explained/images/thumb/0/0a/The_Europe_2020_indicator_of_at-risk-of-poverty_or_social_exclusion_AROPE_new.png/350px-The_Europe_2020_indicator_of_at-risk-of-poverty_or_social_exclusion_AROPE_new.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eurostat/statistics-explained/images/thumb/0/0a/The_Europe_2020_indicator_of_at-risk-of-poverty_or_social_exclusion_AROPE_new.png/350px-The_Europe_2020_indicator_of_at-risk-of-poverty_or_social_exclusion_AROPE_new.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845" cy="2743200"/>
                    </a:xfrm>
                    <a:prstGeom prst="rect">
                      <a:avLst/>
                    </a:prstGeom>
                    <a:noFill/>
                    <a:ln>
                      <a:noFill/>
                    </a:ln>
                  </pic:spPr>
                </pic:pic>
              </a:graphicData>
            </a:graphic>
          </wp:inline>
        </w:drawing>
      </w:r>
    </w:p>
    <w:p w:rsidR="00A42BCC" w:rsidRPr="008105AB" w:rsidRDefault="00A42BCC" w:rsidP="00A42BCC">
      <w:pPr>
        <w:shd w:val="clear" w:color="auto" w:fill="FFFFFF"/>
        <w:rPr>
          <w:rFonts w:ascii="Times New Roman" w:hAnsi="Times New Roman" w:cs="Times New Roman"/>
          <w:sz w:val="24"/>
          <w:szCs w:val="24"/>
          <w:lang w:val="en-GB"/>
        </w:rPr>
      </w:pPr>
      <w:r w:rsidRPr="008105AB">
        <w:rPr>
          <w:rFonts w:ascii="Times New Roman" w:hAnsi="Times New Roman" w:cs="Times New Roman"/>
          <w:noProof/>
          <w:sz w:val="24"/>
          <w:szCs w:val="24"/>
          <w:lang w:eastAsia="hu-HU"/>
        </w:rPr>
        <w:drawing>
          <wp:inline distT="0" distB="0" distL="0" distR="0" wp14:anchorId="47871BC9" wp14:editId="2541CE01">
            <wp:extent cx="142875" cy="103505"/>
            <wp:effectExtent l="0" t="0" r="9525" b="0"/>
            <wp:docPr id="5" name="Kép 5" descr="http://ec.europa.eu/eurostat/statistics-explained/skins/common/images/magnify-clip.png">
              <a:hlinkClick xmlns:a="http://schemas.openxmlformats.org/drawingml/2006/main" r:id="rId1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europa.eu/eurostat/statistics-explained/skins/common/images/magnify-clip.png">
                      <a:hlinkClick r:id="rId12" tooltip="&quot;Enlarg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A42BCC" w:rsidRPr="008105AB" w:rsidRDefault="00A42BCC" w:rsidP="00A42BCC">
      <w:pPr>
        <w:shd w:val="clear" w:color="auto" w:fill="FFFFFF"/>
        <w:rPr>
          <w:rFonts w:ascii="Times New Roman" w:hAnsi="Times New Roman" w:cs="Times New Roman"/>
          <w:sz w:val="24"/>
          <w:szCs w:val="24"/>
          <w:lang w:val="en-GB"/>
        </w:rPr>
      </w:pPr>
      <w:r w:rsidRPr="008105AB">
        <w:rPr>
          <w:rFonts w:ascii="Times New Roman" w:hAnsi="Times New Roman" w:cs="Times New Roman"/>
          <w:sz w:val="24"/>
          <w:szCs w:val="24"/>
          <w:lang w:val="en-GB"/>
        </w:rPr>
        <w:lastRenderedPageBreak/>
        <w:t>Figure 1: The Europe-2020 indicator of at-risk-of-poverty or social exclusion (AROPE</w:t>
      </w:r>
      <w:proofErr w:type="gramStart"/>
      <w:r w:rsidRPr="008105AB">
        <w:rPr>
          <w:rFonts w:ascii="Times New Roman" w:hAnsi="Times New Roman" w:cs="Times New Roman"/>
          <w:sz w:val="24"/>
          <w:szCs w:val="24"/>
          <w:lang w:val="en-GB"/>
        </w:rPr>
        <w:t>)</w:t>
      </w:r>
      <w:proofErr w:type="gramEnd"/>
      <w:r w:rsidRPr="008105AB">
        <w:rPr>
          <w:rFonts w:ascii="Times New Roman" w:hAnsi="Times New Roman" w:cs="Times New Roman"/>
          <w:sz w:val="24"/>
          <w:szCs w:val="24"/>
          <w:lang w:val="en-GB"/>
        </w:rPr>
        <w:br/>
      </w:r>
      <w:r w:rsidRPr="008105AB">
        <w:rPr>
          <w:rFonts w:ascii="Times New Roman" w:hAnsi="Times New Roman" w:cs="Times New Roman"/>
          <w:i/>
          <w:iCs/>
          <w:sz w:val="24"/>
          <w:szCs w:val="24"/>
          <w:lang w:val="en-GB"/>
        </w:rPr>
        <w:t>Source:</w:t>
      </w:r>
      <w:r w:rsidRPr="008105AB">
        <w:rPr>
          <w:rFonts w:ascii="Times New Roman" w:hAnsi="Times New Roman" w:cs="Times New Roman"/>
          <w:sz w:val="24"/>
          <w:szCs w:val="24"/>
          <w:lang w:val="en-GB"/>
        </w:rPr>
        <w:t xml:space="preserve"> Eurostat</w:t>
      </w:r>
    </w:p>
    <w:p w:rsidR="00A42BCC" w:rsidRDefault="00A42BCC" w:rsidP="00A42BCC">
      <w:pPr>
        <w:shd w:val="clear" w:color="auto" w:fill="FFFFFF"/>
        <w:rPr>
          <w:rFonts w:ascii="open_sansregular" w:hAnsi="open_sansregular" w:cs="Helvetica"/>
          <w:color w:val="333333"/>
          <w:sz w:val="21"/>
          <w:szCs w:val="21"/>
          <w:lang w:val="en"/>
        </w:rPr>
      </w:pPr>
      <w:r>
        <w:rPr>
          <w:rFonts w:ascii="open_sansregular" w:hAnsi="open_sansregular" w:cs="Helvetica"/>
          <w:noProof/>
          <w:color w:val="2873E6"/>
          <w:sz w:val="21"/>
          <w:szCs w:val="21"/>
          <w:lang w:eastAsia="hu-HU"/>
        </w:rPr>
        <w:drawing>
          <wp:inline distT="0" distB="0" distL="0" distR="0">
            <wp:extent cx="3331845" cy="4102735"/>
            <wp:effectExtent l="0" t="0" r="1905" b="0"/>
            <wp:docPr id="4" name="Kép 4" descr="http://ec.europa.eu/eurostat/statistics-explained/images/thumb/f/f4/People_at-risk-of-poverty%2C_severely_materially_deprived.png/350px-People_at-risk-of-poverty%2C_severely_materially_deprived.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europa.eu/eurostat/statistics-explained/images/thumb/f/f4/People_at-risk-of-poverty%2C_severely_materially_deprived.png/350px-People_at-risk-of-poverty%2C_severely_materially_deprived.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1845" cy="4102735"/>
                    </a:xfrm>
                    <a:prstGeom prst="rect">
                      <a:avLst/>
                    </a:prstGeom>
                    <a:noFill/>
                    <a:ln>
                      <a:noFill/>
                    </a:ln>
                  </pic:spPr>
                </pic:pic>
              </a:graphicData>
            </a:graphic>
          </wp:inline>
        </w:drawing>
      </w:r>
    </w:p>
    <w:p w:rsidR="00A42BCC" w:rsidRDefault="00A42BCC" w:rsidP="00A42BCC">
      <w:pPr>
        <w:shd w:val="clear" w:color="auto" w:fill="FFFFFF"/>
        <w:rPr>
          <w:rFonts w:ascii="open_sansregular" w:hAnsi="open_sansregular" w:cs="Helvetica"/>
          <w:color w:val="333333"/>
          <w:sz w:val="21"/>
          <w:szCs w:val="21"/>
          <w:lang w:val="en"/>
        </w:rPr>
      </w:pPr>
    </w:p>
    <w:p w:rsidR="00A42BCC" w:rsidRDefault="00A42BCC" w:rsidP="00A42BCC">
      <w:pPr>
        <w:shd w:val="clear" w:color="auto" w:fill="FFFFFF"/>
        <w:rPr>
          <w:rFonts w:ascii="open_sansregular" w:hAnsi="open_sansregular" w:cs="Helvetica"/>
          <w:color w:val="333333"/>
          <w:sz w:val="21"/>
          <w:szCs w:val="21"/>
          <w:lang w:val="en"/>
        </w:rPr>
      </w:pPr>
      <w:r>
        <w:rPr>
          <w:rFonts w:ascii="open_sansregular" w:hAnsi="open_sansregular" w:cs="Helvetica"/>
          <w:color w:val="333333"/>
          <w:sz w:val="21"/>
          <w:szCs w:val="21"/>
          <w:lang w:val="en"/>
        </w:rPr>
        <w:t xml:space="preserve">Table 1: People at-risk-of-poverty, severely materially deprived, living in households with very low work intensity, and at-risk-of-poverty and social exclusion (Percentage of the eligible population), by country and level of activity limitation, 2011 - Source: Eurostat </w:t>
      </w:r>
      <w:r>
        <w:rPr>
          <w:rFonts w:ascii="open_sansregular" w:hAnsi="open_sansregular" w:cs="Helvetica"/>
          <w:noProof/>
          <w:color w:val="2873E6"/>
          <w:sz w:val="21"/>
          <w:szCs w:val="21"/>
          <w:lang w:eastAsia="hu-HU"/>
        </w:rPr>
        <w:drawing>
          <wp:inline distT="0" distB="0" distL="0" distR="0">
            <wp:extent cx="142875" cy="103505"/>
            <wp:effectExtent l="0" t="0" r="9525" b="0"/>
            <wp:docPr id="2" name="Kép 2" descr="http://ec.europa.eu/eurostat/statistics-explained/skins/common/images/magnify-clip.png">
              <a:hlinkClick xmlns:a="http://schemas.openxmlformats.org/drawingml/2006/main" r:id="rId1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europa.eu/eurostat/statistics-explained/skins/common/images/magnify-clip.png">
                      <a:hlinkClick r:id="rId17" tooltip="&quot;Enlarg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A42BCC" w:rsidRDefault="00A42BCC" w:rsidP="00A42BCC">
      <w:pPr>
        <w:shd w:val="clear" w:color="auto" w:fill="FFFFFF"/>
        <w:rPr>
          <w:rFonts w:ascii="open_sansregular" w:hAnsi="open_sansregular" w:cs="Helvetica"/>
          <w:color w:val="333333"/>
          <w:sz w:val="21"/>
          <w:szCs w:val="21"/>
          <w:lang w:val="en"/>
        </w:rPr>
      </w:pPr>
      <w:r>
        <w:rPr>
          <w:rFonts w:ascii="open_sansregular" w:hAnsi="open_sansregular" w:cs="Helvetica"/>
          <w:color w:val="333333"/>
          <w:sz w:val="21"/>
          <w:szCs w:val="21"/>
          <w:lang w:val="en"/>
        </w:rPr>
        <w:t xml:space="preserve">Figure 2: At-risk-of-poverty rate (%) for the population aged 16 or more with activity limitation, before and after social transfers, by country, 2011 - Source: Eurostat </w:t>
      </w:r>
    </w:p>
    <w:p w:rsidR="00A42BCC" w:rsidRDefault="00A42BCC" w:rsidP="00A42BCC">
      <w:pPr>
        <w:shd w:val="clear" w:color="auto" w:fill="FFFFFF"/>
        <w:rPr>
          <w:rFonts w:ascii="open_sansregular" w:hAnsi="open_sansregular" w:cs="Helvetica"/>
          <w:color w:val="333333"/>
          <w:sz w:val="21"/>
          <w:szCs w:val="21"/>
          <w:lang w:val="en"/>
        </w:rPr>
      </w:pPr>
      <w:r>
        <w:rPr>
          <w:rFonts w:ascii="open_sansregular" w:hAnsi="open_sansregular" w:cs="Helvetica"/>
          <w:color w:val="333333"/>
          <w:sz w:val="21"/>
          <w:szCs w:val="21"/>
          <w:lang w:val="en"/>
        </w:rPr>
        <w:t xml:space="preserve">Figure 3: Percentage of the employed population aged 16 or more who are at-risk-of-poverty, by country and level of activity limitation, 2011 - Source: Eurostat </w:t>
      </w:r>
    </w:p>
    <w:p w:rsidR="00A42BCC" w:rsidRPr="005D2ABB" w:rsidRDefault="00A42BCC" w:rsidP="000D4F14">
      <w:pPr>
        <w:shd w:val="clear" w:color="auto" w:fill="FFFFFF"/>
        <w:spacing w:after="0" w:line="240" w:lineRule="auto"/>
        <w:jc w:val="both"/>
        <w:outlineLvl w:val="2"/>
        <w:rPr>
          <w:rFonts w:ascii="Times New Roman" w:hAnsi="Times New Roman" w:cs="Times New Roman"/>
          <w:sz w:val="24"/>
          <w:szCs w:val="24"/>
          <w:lang w:val="en"/>
        </w:rPr>
      </w:pPr>
      <w:r w:rsidRPr="005D2ABB">
        <w:rPr>
          <w:rStyle w:val="mw-headline"/>
          <w:rFonts w:ascii="Times New Roman" w:hAnsi="Times New Roman" w:cs="Times New Roman"/>
          <w:sz w:val="24"/>
          <w:szCs w:val="24"/>
          <w:lang w:val="en"/>
        </w:rPr>
        <w:t>Main statistical findings</w:t>
      </w:r>
    </w:p>
    <w:p w:rsidR="000D4F14" w:rsidRDefault="000D4F14" w:rsidP="000D4F14">
      <w:pPr>
        <w:shd w:val="clear" w:color="auto" w:fill="FFFFFF"/>
        <w:spacing w:after="0" w:line="240" w:lineRule="auto"/>
        <w:jc w:val="both"/>
        <w:outlineLvl w:val="3"/>
        <w:rPr>
          <w:rStyle w:val="mw-headline"/>
          <w:rFonts w:ascii="Times New Roman" w:hAnsi="Times New Roman" w:cs="Times New Roman"/>
          <w:sz w:val="24"/>
          <w:szCs w:val="24"/>
          <w:lang w:val="en"/>
        </w:rPr>
      </w:pPr>
    </w:p>
    <w:p w:rsidR="00A42BCC" w:rsidRPr="005D2ABB" w:rsidRDefault="00A42BCC" w:rsidP="000D4F14">
      <w:pPr>
        <w:shd w:val="clear" w:color="auto" w:fill="FFFFFF"/>
        <w:spacing w:after="0" w:line="240" w:lineRule="auto"/>
        <w:jc w:val="both"/>
        <w:outlineLvl w:val="3"/>
        <w:rPr>
          <w:rFonts w:ascii="Times New Roman" w:hAnsi="Times New Roman" w:cs="Times New Roman"/>
          <w:sz w:val="24"/>
          <w:szCs w:val="24"/>
          <w:lang w:val="en"/>
        </w:rPr>
      </w:pPr>
      <w:r w:rsidRPr="005D2ABB">
        <w:rPr>
          <w:rStyle w:val="mw-headline"/>
          <w:rFonts w:ascii="Times New Roman" w:hAnsi="Times New Roman" w:cs="Times New Roman"/>
          <w:sz w:val="24"/>
          <w:szCs w:val="24"/>
          <w:lang w:val="en"/>
        </w:rPr>
        <w:t>Being at-risk-of-poverty or social exclusion (AROPE): higher prevalence among the population with activity limitation</w:t>
      </w:r>
    </w:p>
    <w:p w:rsidR="000D4F14" w:rsidRDefault="000D4F14" w:rsidP="000D4F14">
      <w:pPr>
        <w:pStyle w:val="NormlWeb"/>
        <w:shd w:val="clear" w:color="auto" w:fill="FFFFFF"/>
        <w:spacing w:before="0" w:beforeAutospacing="0" w:after="0" w:afterAutospacing="0"/>
        <w:jc w:val="both"/>
        <w:rPr>
          <w:lang w:val="en"/>
        </w:rPr>
      </w:pPr>
    </w:p>
    <w:p w:rsidR="00A42BCC" w:rsidRPr="005D2ABB" w:rsidRDefault="00A42BCC" w:rsidP="000D4F14">
      <w:pPr>
        <w:pStyle w:val="NormlWeb"/>
        <w:shd w:val="clear" w:color="auto" w:fill="FFFFFF"/>
        <w:spacing w:before="0" w:beforeAutospacing="0" w:after="0" w:afterAutospacing="0"/>
        <w:jc w:val="both"/>
        <w:rPr>
          <w:lang w:val="en"/>
        </w:rPr>
      </w:pPr>
      <w:r w:rsidRPr="005D2ABB">
        <w:rPr>
          <w:lang w:val="en"/>
        </w:rPr>
        <w:t xml:space="preserve">The indicator "at risk of poverty or social exclusion", abbreviated as </w:t>
      </w:r>
      <w:hyperlink r:id="rId18" w:tooltip="Glossary:At risk of poverty or social exclusion (AROPE)" w:history="1">
        <w:r w:rsidRPr="005D2ABB">
          <w:rPr>
            <w:rStyle w:val="Hiperhivatkozs"/>
            <w:color w:val="auto"/>
            <w:u w:val="none"/>
            <w:lang w:val="en"/>
          </w:rPr>
          <w:t>AROPE</w:t>
        </w:r>
      </w:hyperlink>
      <w:r w:rsidRPr="005D2ABB">
        <w:rPr>
          <w:lang w:val="en"/>
        </w:rPr>
        <w:t xml:space="preserve">, measures the percentage of people who are either at risk of poverty, or severely materially deprived or living in a household with a very low work intensity. The AROPE is the headline indicator to monitor the </w:t>
      </w:r>
      <w:hyperlink r:id="rId19" w:tooltip="Glossary:EU 2020 Strategy" w:history="1">
        <w:r w:rsidRPr="005D2ABB">
          <w:rPr>
            <w:rStyle w:val="Hiperhivatkozs"/>
            <w:color w:val="auto"/>
            <w:u w:val="none"/>
            <w:lang w:val="en"/>
          </w:rPr>
          <w:t>Europe 2020 Strategy</w:t>
        </w:r>
      </w:hyperlink>
      <w:r w:rsidRPr="005D2ABB">
        <w:rPr>
          <w:lang w:val="en"/>
        </w:rPr>
        <w:t xml:space="preserve"> poverty target. </w:t>
      </w:r>
    </w:p>
    <w:p w:rsidR="000D4F14" w:rsidRDefault="000D4F14" w:rsidP="000D4F14">
      <w:pPr>
        <w:pStyle w:val="NormlWeb"/>
        <w:shd w:val="clear" w:color="auto" w:fill="FFFFFF"/>
        <w:spacing w:before="0" w:beforeAutospacing="0" w:after="0" w:afterAutospacing="0"/>
        <w:jc w:val="both"/>
        <w:rPr>
          <w:lang w:val="en"/>
        </w:rPr>
      </w:pPr>
    </w:p>
    <w:p w:rsidR="00A42BCC" w:rsidRPr="005D2ABB" w:rsidRDefault="00A42BCC" w:rsidP="000D4F14">
      <w:pPr>
        <w:pStyle w:val="NormlWeb"/>
        <w:shd w:val="clear" w:color="auto" w:fill="FFFFFF"/>
        <w:spacing w:before="0" w:beforeAutospacing="0" w:after="0" w:afterAutospacing="0"/>
        <w:jc w:val="both"/>
        <w:rPr>
          <w:lang w:val="en"/>
        </w:rPr>
      </w:pPr>
      <w:r w:rsidRPr="005D2ABB">
        <w:rPr>
          <w:lang w:val="en"/>
        </w:rPr>
        <w:t xml:space="preserve">In 2011, about 31 % of the population aged 16 or more in the </w:t>
      </w:r>
      <w:hyperlink r:id="rId20" w:tooltip="Glossary:EU-28" w:history="1">
        <w:r w:rsidRPr="005D2ABB">
          <w:rPr>
            <w:rStyle w:val="Hiperhivatkozs"/>
            <w:color w:val="auto"/>
            <w:u w:val="none"/>
            <w:lang w:val="en"/>
          </w:rPr>
          <w:t>EU-28</w:t>
        </w:r>
      </w:hyperlink>
      <w:r w:rsidRPr="005D2ABB">
        <w:rPr>
          <w:lang w:val="en"/>
        </w:rPr>
        <w:t xml:space="preserve"> and having an activity limitation was at risk of poverty or social exclusion, compared with 21 % of those with no </w:t>
      </w:r>
      <w:r w:rsidRPr="005D2ABB">
        <w:rPr>
          <w:lang w:val="en"/>
        </w:rPr>
        <w:lastRenderedPageBreak/>
        <w:t xml:space="preserve">limitation. Similar results were obtained for the </w:t>
      </w:r>
      <w:hyperlink r:id="rId21" w:tooltip="Glossary:At-risk-of-poverty rate" w:history="1">
        <w:r w:rsidRPr="005D2ABB">
          <w:rPr>
            <w:rStyle w:val="Hiperhivatkozs"/>
            <w:color w:val="auto"/>
            <w:u w:val="none"/>
            <w:lang w:val="en"/>
          </w:rPr>
          <w:t>at-risk-of-poverty rate</w:t>
        </w:r>
      </w:hyperlink>
      <w:r w:rsidRPr="005D2ABB">
        <w:rPr>
          <w:lang w:val="en"/>
        </w:rPr>
        <w:t xml:space="preserve"> (19 % vs. 15 %), </w:t>
      </w:r>
      <w:hyperlink r:id="rId22" w:tooltip="Glossary:Severe material deprivation rate" w:history="1">
        <w:r w:rsidRPr="005D2ABB">
          <w:rPr>
            <w:rStyle w:val="Hiperhivatkozs"/>
            <w:color w:val="auto"/>
            <w:u w:val="none"/>
            <w:lang w:val="en"/>
          </w:rPr>
          <w:t>severe material deprivation rate</w:t>
        </w:r>
      </w:hyperlink>
      <w:r w:rsidRPr="005D2ABB">
        <w:rPr>
          <w:lang w:val="en"/>
        </w:rPr>
        <w:t xml:space="preserve"> (12 % vs. 7 %) and the share of individuals aged less than 60 and living in households with very low work intensity (25 % vs. 8 %). The latter result reflects a mo</w:t>
      </w:r>
      <w:r w:rsidR="00936A07">
        <w:rPr>
          <w:lang w:val="en"/>
        </w:rPr>
        <w:t>re difficult access to the labo</w:t>
      </w:r>
      <w:r w:rsidRPr="005D2ABB">
        <w:rPr>
          <w:lang w:val="en"/>
        </w:rPr>
        <w:t xml:space="preserve">r market for people with activity limitation. </w:t>
      </w:r>
    </w:p>
    <w:p w:rsidR="000D4F14" w:rsidRDefault="000D4F14" w:rsidP="000D4F14">
      <w:pPr>
        <w:pStyle w:val="NormlWeb"/>
        <w:shd w:val="clear" w:color="auto" w:fill="FFFFFF"/>
        <w:spacing w:before="0" w:beforeAutospacing="0" w:after="0" w:afterAutospacing="0"/>
        <w:jc w:val="both"/>
        <w:rPr>
          <w:lang w:val="en"/>
        </w:rPr>
      </w:pPr>
    </w:p>
    <w:p w:rsidR="00A42BCC" w:rsidRPr="005D2ABB" w:rsidRDefault="00A42BCC" w:rsidP="000D4F14">
      <w:pPr>
        <w:pStyle w:val="NormlWeb"/>
        <w:shd w:val="clear" w:color="auto" w:fill="FFFFFF"/>
        <w:spacing w:before="0" w:beforeAutospacing="0" w:after="0" w:afterAutospacing="0"/>
        <w:jc w:val="both"/>
        <w:rPr>
          <w:lang w:val="en"/>
        </w:rPr>
      </w:pPr>
      <w:r w:rsidRPr="005D2ABB">
        <w:rPr>
          <w:lang w:val="en"/>
        </w:rPr>
        <w:t xml:space="preserve">There are significant differences across countries, yet in all of them people without activity limitation are on average less exposed to the risk of poverty and social exclusion than those with some activity limitation. Severe material deprivation is more frequent in Eastern European countries. For instance, more than half of those with an activity limitation in Bulgaria (59 %) are also severely materially deprived, while the share is 2 % in Luxembourg and Switzerland. With regard to the two other components of AROPE (being at-risk-of-poverty and living in a household with low work intensity), the gaps between countries are less significant. For instance, the at-risk-of-poverty rate after </w:t>
      </w:r>
      <w:hyperlink r:id="rId23" w:tooltip="Glossary:Social transfers" w:history="1">
        <w:r w:rsidRPr="005D2ABB">
          <w:rPr>
            <w:rStyle w:val="Hiperhivatkozs"/>
            <w:color w:val="auto"/>
            <w:u w:val="none"/>
            <w:lang w:val="en"/>
          </w:rPr>
          <w:t>social transfers</w:t>
        </w:r>
      </w:hyperlink>
      <w:r w:rsidRPr="005D2ABB">
        <w:rPr>
          <w:lang w:val="en"/>
        </w:rPr>
        <w:t xml:space="preserve"> for people with activity limitation varies from 8 % in Iceland and 10 % in the Netherlands up to 26 % in Cyprus, 27 % in Greece and 30 % in Bulgaria. </w:t>
      </w:r>
    </w:p>
    <w:p w:rsidR="000D4F14" w:rsidRDefault="000D4F14" w:rsidP="000D4F14">
      <w:pPr>
        <w:shd w:val="clear" w:color="auto" w:fill="FFFFFF"/>
        <w:spacing w:after="0" w:line="240" w:lineRule="auto"/>
        <w:jc w:val="both"/>
        <w:outlineLvl w:val="3"/>
        <w:rPr>
          <w:rStyle w:val="mw-headline"/>
          <w:rFonts w:ascii="Times New Roman" w:hAnsi="Times New Roman" w:cs="Times New Roman"/>
          <w:sz w:val="24"/>
          <w:szCs w:val="24"/>
          <w:lang w:val="en"/>
        </w:rPr>
      </w:pPr>
    </w:p>
    <w:p w:rsidR="00A42BCC" w:rsidRPr="005D2ABB" w:rsidRDefault="00A42BCC" w:rsidP="000D4F14">
      <w:pPr>
        <w:shd w:val="clear" w:color="auto" w:fill="FFFFFF"/>
        <w:spacing w:after="0" w:line="240" w:lineRule="auto"/>
        <w:jc w:val="both"/>
        <w:outlineLvl w:val="3"/>
        <w:rPr>
          <w:rFonts w:ascii="Times New Roman" w:hAnsi="Times New Roman" w:cs="Times New Roman"/>
          <w:sz w:val="24"/>
          <w:szCs w:val="24"/>
          <w:lang w:val="en"/>
        </w:rPr>
      </w:pPr>
      <w:r w:rsidRPr="005D2ABB">
        <w:rPr>
          <w:rStyle w:val="mw-headline"/>
          <w:rFonts w:ascii="Times New Roman" w:hAnsi="Times New Roman" w:cs="Times New Roman"/>
          <w:sz w:val="24"/>
          <w:szCs w:val="24"/>
          <w:lang w:val="en"/>
        </w:rPr>
        <w:t>The decisive importance of social transfers for people with activity limitation</w:t>
      </w:r>
    </w:p>
    <w:p w:rsidR="000D4F14" w:rsidRDefault="000D4F14" w:rsidP="000D4F14">
      <w:pPr>
        <w:pStyle w:val="NormlWeb"/>
        <w:shd w:val="clear" w:color="auto" w:fill="FFFFFF"/>
        <w:spacing w:before="0" w:beforeAutospacing="0" w:after="0" w:afterAutospacing="0"/>
        <w:jc w:val="both"/>
        <w:rPr>
          <w:lang w:val="en"/>
        </w:rPr>
      </w:pPr>
    </w:p>
    <w:p w:rsidR="00A42BCC" w:rsidRPr="005D2ABB" w:rsidRDefault="00A42BCC" w:rsidP="000D4F14">
      <w:pPr>
        <w:pStyle w:val="NormlWeb"/>
        <w:shd w:val="clear" w:color="auto" w:fill="FFFFFF"/>
        <w:spacing w:before="0" w:beforeAutospacing="0" w:after="0" w:afterAutospacing="0"/>
        <w:jc w:val="both"/>
        <w:rPr>
          <w:lang w:val="en"/>
        </w:rPr>
      </w:pPr>
      <w:r w:rsidRPr="005D2ABB">
        <w:rPr>
          <w:lang w:val="en"/>
        </w:rPr>
        <w:t xml:space="preserve">People with activity limitation rely heavily on social transfers. In 2011, almost 70 % of the EU-28 population aged 16 or more and having some activity limitation would have been at risk of poverty if social transfers (social benefits, allowances and pensions) had not taken place. In comparison, 38 % of the population with no activity limitation would have been at-risk-of-poverty. The </w:t>
      </w:r>
      <w:hyperlink r:id="rId24" w:tooltip="Glossary:At-risk-of-poverty rate before social transfers" w:history="1">
        <w:r w:rsidRPr="005D2ABB">
          <w:rPr>
            <w:rStyle w:val="Hiperhivatkozs"/>
            <w:color w:val="auto"/>
            <w:u w:val="none"/>
            <w:lang w:val="en"/>
          </w:rPr>
          <w:t>rate before social transfers</w:t>
        </w:r>
      </w:hyperlink>
      <w:r w:rsidRPr="005D2ABB">
        <w:rPr>
          <w:lang w:val="en"/>
        </w:rPr>
        <w:t xml:space="preserve"> for those with an activity limitation ranged from 54 % in Switzerland and 55 % in Denmark to 78 % in Greece and 79 % in Lithuania. The at-risk-of-poverty rate for the population with an activity limitation fell to 19 % of the EU-28 population after taking social transfers into account. Similar impacts were observed in all countries. </w:t>
      </w:r>
    </w:p>
    <w:p w:rsidR="000D4F14" w:rsidRDefault="000D4F14" w:rsidP="000D4F14">
      <w:pPr>
        <w:shd w:val="clear" w:color="auto" w:fill="FFFFFF"/>
        <w:spacing w:after="0" w:line="240" w:lineRule="auto"/>
        <w:jc w:val="both"/>
        <w:outlineLvl w:val="3"/>
        <w:rPr>
          <w:rStyle w:val="mw-headline"/>
          <w:rFonts w:ascii="Times New Roman" w:hAnsi="Times New Roman" w:cs="Times New Roman"/>
          <w:sz w:val="24"/>
          <w:szCs w:val="24"/>
          <w:lang w:val="en"/>
        </w:rPr>
      </w:pPr>
    </w:p>
    <w:p w:rsidR="00A42BCC" w:rsidRPr="005D2ABB" w:rsidRDefault="00A42BCC" w:rsidP="000D4F14">
      <w:pPr>
        <w:shd w:val="clear" w:color="auto" w:fill="FFFFFF"/>
        <w:spacing w:after="0" w:line="240" w:lineRule="auto"/>
        <w:jc w:val="both"/>
        <w:outlineLvl w:val="3"/>
        <w:rPr>
          <w:rFonts w:ascii="Times New Roman" w:hAnsi="Times New Roman" w:cs="Times New Roman"/>
          <w:sz w:val="24"/>
          <w:szCs w:val="24"/>
          <w:lang w:val="en"/>
        </w:rPr>
      </w:pPr>
      <w:r w:rsidRPr="005D2ABB">
        <w:rPr>
          <w:rStyle w:val="mw-headline"/>
          <w:rFonts w:ascii="Times New Roman" w:hAnsi="Times New Roman" w:cs="Times New Roman"/>
          <w:sz w:val="24"/>
          <w:szCs w:val="24"/>
          <w:lang w:val="en"/>
        </w:rPr>
        <w:t>In-work poverty: people with activity limitation more exposed than people with no limitation</w:t>
      </w:r>
    </w:p>
    <w:p w:rsidR="00A42BCC" w:rsidRPr="005D2ABB" w:rsidRDefault="00A42BCC" w:rsidP="000D4F14">
      <w:pPr>
        <w:pStyle w:val="NormlWeb"/>
        <w:shd w:val="clear" w:color="auto" w:fill="FFFFFF"/>
        <w:spacing w:before="0" w:beforeAutospacing="0" w:after="0" w:afterAutospacing="0"/>
        <w:jc w:val="both"/>
        <w:rPr>
          <w:lang w:val="en"/>
        </w:rPr>
      </w:pPr>
      <w:r w:rsidRPr="005D2ABB">
        <w:rPr>
          <w:lang w:val="en"/>
        </w:rPr>
        <w:t xml:space="preserve">Regardless of whether an activity limitation exists or not, being in employment reduces the risk of poverty. In 2011, 9 % of the employed population aged 18 or more in the EU-28 was at-risk-of-poverty, while the share was 16 % for all persons of </w:t>
      </w:r>
      <w:r w:rsidR="005D2ABB">
        <w:rPr>
          <w:lang w:val="en"/>
        </w:rPr>
        <w:t>the same age group</w:t>
      </w:r>
      <w:r w:rsidRPr="005D2ABB">
        <w:rPr>
          <w:lang w:val="en"/>
        </w:rPr>
        <w:t>. Nevertheless, employment does not make the risk of poverty disappear. In-work poverty, that is poverty among the employed population, is a key indicato</w:t>
      </w:r>
      <w:r w:rsidR="00936A07">
        <w:rPr>
          <w:lang w:val="en"/>
        </w:rPr>
        <w:t>r of the labo</w:t>
      </w:r>
      <w:r w:rsidRPr="005D2ABB">
        <w:rPr>
          <w:lang w:val="en"/>
        </w:rPr>
        <w:t>r marke</w:t>
      </w:r>
      <w:r w:rsidR="00936A07">
        <w:rPr>
          <w:lang w:val="en"/>
        </w:rPr>
        <w:t xml:space="preserve">t integration of people having </w:t>
      </w:r>
      <w:r w:rsidRPr="005D2ABB">
        <w:rPr>
          <w:lang w:val="en"/>
        </w:rPr>
        <w:t xml:space="preserve">an activity limitation. In the EU-28, 11 % of those in employment and having an activity limitation were at-risk-of-poverty. The highest values were observed in Spain (15 %), Portugal (16%), Greece (22 %) and Romania (25 %), and the lowest in Finland (3 %) and the Netherlands (5 %). Not having an activity limitation reduced the poverty risk to 9 %. </w:t>
      </w:r>
    </w:p>
    <w:p w:rsidR="00A42BCC" w:rsidRDefault="00A42BCC" w:rsidP="000D4F14">
      <w:pPr>
        <w:shd w:val="clear" w:color="auto" w:fill="FFFFFF"/>
        <w:spacing w:after="0" w:line="240" w:lineRule="auto"/>
        <w:rPr>
          <w:rFonts w:ascii="open_sansregular" w:hAnsi="open_sansregular" w:cs="Helvetica"/>
          <w:color w:val="333333"/>
          <w:sz w:val="21"/>
          <w:szCs w:val="21"/>
          <w:lang w:val="en"/>
        </w:rPr>
      </w:pPr>
    </w:p>
    <w:sectPr w:rsidR="00A42B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AD" w:rsidRDefault="00C34CAD" w:rsidP="00AB721C">
      <w:pPr>
        <w:spacing w:after="0" w:line="240" w:lineRule="auto"/>
      </w:pPr>
      <w:r>
        <w:separator/>
      </w:r>
    </w:p>
  </w:endnote>
  <w:endnote w:type="continuationSeparator" w:id="0">
    <w:p w:rsidR="00C34CAD" w:rsidRDefault="00C34CAD" w:rsidP="00AB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_sans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AD" w:rsidRDefault="00C34CAD" w:rsidP="00AB721C">
      <w:pPr>
        <w:spacing w:after="0" w:line="240" w:lineRule="auto"/>
      </w:pPr>
      <w:r>
        <w:separator/>
      </w:r>
    </w:p>
  </w:footnote>
  <w:footnote w:type="continuationSeparator" w:id="0">
    <w:p w:rsidR="00C34CAD" w:rsidRDefault="00C34CAD" w:rsidP="00AB7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3DD8"/>
    <w:multiLevelType w:val="multilevel"/>
    <w:tmpl w:val="9E825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7E14F93"/>
    <w:multiLevelType w:val="multilevel"/>
    <w:tmpl w:val="EB54A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36B26"/>
    <w:multiLevelType w:val="hybridMultilevel"/>
    <w:tmpl w:val="EAA2E142"/>
    <w:lvl w:ilvl="0" w:tplc="1A72D43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79F3DF7"/>
    <w:multiLevelType w:val="hybridMultilevel"/>
    <w:tmpl w:val="824295BA"/>
    <w:lvl w:ilvl="0" w:tplc="797895AA">
      <w:start w:val="1"/>
      <w:numFmt w:val="decimal"/>
      <w:lvlText w:val="%1."/>
      <w:lvlJc w:val="left"/>
      <w:pPr>
        <w:ind w:left="720" w:hanging="360"/>
      </w:pPr>
      <w:rPr>
        <w:rFonts w:eastAsia="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4904287"/>
    <w:multiLevelType w:val="multilevel"/>
    <w:tmpl w:val="0486DC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BF377E2"/>
    <w:multiLevelType w:val="multilevel"/>
    <w:tmpl w:val="E94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EC"/>
    <w:rsid w:val="00027945"/>
    <w:rsid w:val="00064FBC"/>
    <w:rsid w:val="000A4755"/>
    <w:rsid w:val="000C7340"/>
    <w:rsid w:val="000D4F14"/>
    <w:rsid w:val="00103552"/>
    <w:rsid w:val="00111315"/>
    <w:rsid w:val="0024679B"/>
    <w:rsid w:val="00264639"/>
    <w:rsid w:val="00285F95"/>
    <w:rsid w:val="002D49EC"/>
    <w:rsid w:val="00393D1C"/>
    <w:rsid w:val="003B054C"/>
    <w:rsid w:val="003E7DB1"/>
    <w:rsid w:val="00445434"/>
    <w:rsid w:val="004746C2"/>
    <w:rsid w:val="00481453"/>
    <w:rsid w:val="00557C03"/>
    <w:rsid w:val="005711A5"/>
    <w:rsid w:val="0058732D"/>
    <w:rsid w:val="005C5451"/>
    <w:rsid w:val="005D2ABB"/>
    <w:rsid w:val="0060469F"/>
    <w:rsid w:val="00655C31"/>
    <w:rsid w:val="006672BC"/>
    <w:rsid w:val="00713CBC"/>
    <w:rsid w:val="00771E76"/>
    <w:rsid w:val="007E4807"/>
    <w:rsid w:val="008105AB"/>
    <w:rsid w:val="00834FD0"/>
    <w:rsid w:val="00857A25"/>
    <w:rsid w:val="008B6627"/>
    <w:rsid w:val="008C7332"/>
    <w:rsid w:val="008F66BA"/>
    <w:rsid w:val="00936A07"/>
    <w:rsid w:val="0094604E"/>
    <w:rsid w:val="00995D24"/>
    <w:rsid w:val="009C7E77"/>
    <w:rsid w:val="00A1620D"/>
    <w:rsid w:val="00A42BCC"/>
    <w:rsid w:val="00A73E24"/>
    <w:rsid w:val="00AB50B5"/>
    <w:rsid w:val="00AB721C"/>
    <w:rsid w:val="00AD6A53"/>
    <w:rsid w:val="00B4301C"/>
    <w:rsid w:val="00BC23B3"/>
    <w:rsid w:val="00BC525D"/>
    <w:rsid w:val="00C34CAD"/>
    <w:rsid w:val="00C64887"/>
    <w:rsid w:val="00D211A6"/>
    <w:rsid w:val="00D648AA"/>
    <w:rsid w:val="00D97CDA"/>
    <w:rsid w:val="00DE5402"/>
    <w:rsid w:val="00DF0D00"/>
    <w:rsid w:val="00DF5C0E"/>
    <w:rsid w:val="00E4205A"/>
    <w:rsid w:val="00E56731"/>
    <w:rsid w:val="00E645E2"/>
    <w:rsid w:val="00E6673F"/>
    <w:rsid w:val="00EF1D6B"/>
    <w:rsid w:val="00F21632"/>
    <w:rsid w:val="00F64DDE"/>
    <w:rsid w:val="00F65ADC"/>
    <w:rsid w:val="00F713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5">
    <w:name w:val="heading 5"/>
    <w:basedOn w:val="Norml"/>
    <w:link w:val="Cmsor5Char"/>
    <w:uiPriority w:val="9"/>
    <w:qFormat/>
    <w:rsid w:val="002D49EC"/>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2D49EC"/>
    <w:rPr>
      <w:rFonts w:ascii="Times New Roman" w:eastAsia="Times New Roman" w:hAnsi="Times New Roman" w:cs="Times New Roman"/>
      <w:b/>
      <w:bCs/>
      <w:sz w:val="20"/>
      <w:szCs w:val="20"/>
      <w:lang w:eastAsia="hu-HU"/>
    </w:rPr>
  </w:style>
  <w:style w:type="paragraph" w:styleId="NormlWeb">
    <w:name w:val="Normal (Web)"/>
    <w:basedOn w:val="Norml"/>
    <w:uiPriority w:val="99"/>
    <w:semiHidden/>
    <w:unhideWhenUsed/>
    <w:rsid w:val="002D49E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D49EC"/>
    <w:rPr>
      <w:b/>
      <w:bCs/>
    </w:rPr>
  </w:style>
  <w:style w:type="character" w:styleId="Hiperhivatkozs">
    <w:name w:val="Hyperlink"/>
    <w:basedOn w:val="Bekezdsalapbettpusa"/>
    <w:uiPriority w:val="99"/>
    <w:unhideWhenUsed/>
    <w:rsid w:val="002D49EC"/>
    <w:rPr>
      <w:color w:val="0000FF"/>
      <w:u w:val="single"/>
    </w:rPr>
  </w:style>
  <w:style w:type="character" w:customStyle="1" w:styleId="toctoggle">
    <w:name w:val="toctoggle"/>
    <w:basedOn w:val="Bekezdsalapbettpusa"/>
    <w:rsid w:val="00A42BCC"/>
  </w:style>
  <w:style w:type="character" w:customStyle="1" w:styleId="tocnumber">
    <w:name w:val="tocnumber"/>
    <w:basedOn w:val="Bekezdsalapbettpusa"/>
    <w:rsid w:val="00A42BCC"/>
  </w:style>
  <w:style w:type="character" w:customStyle="1" w:styleId="toctext">
    <w:name w:val="toctext"/>
    <w:basedOn w:val="Bekezdsalapbettpusa"/>
    <w:rsid w:val="00A42BCC"/>
  </w:style>
  <w:style w:type="character" w:customStyle="1" w:styleId="mw-headline">
    <w:name w:val="mw-headline"/>
    <w:basedOn w:val="Bekezdsalapbettpusa"/>
    <w:rsid w:val="00A42BCC"/>
  </w:style>
  <w:style w:type="paragraph" w:styleId="Buborkszveg">
    <w:name w:val="Balloon Text"/>
    <w:basedOn w:val="Norml"/>
    <w:link w:val="BuborkszvegChar"/>
    <w:uiPriority w:val="99"/>
    <w:semiHidden/>
    <w:unhideWhenUsed/>
    <w:rsid w:val="00A42BC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2BCC"/>
    <w:rPr>
      <w:rFonts w:ascii="Tahoma" w:hAnsi="Tahoma" w:cs="Tahoma"/>
      <w:sz w:val="16"/>
      <w:szCs w:val="16"/>
    </w:rPr>
  </w:style>
  <w:style w:type="paragraph" w:styleId="Listaszerbekezds">
    <w:name w:val="List Paragraph"/>
    <w:basedOn w:val="Norml"/>
    <w:uiPriority w:val="34"/>
    <w:qFormat/>
    <w:rsid w:val="00857A25"/>
    <w:pPr>
      <w:ind w:left="720"/>
      <w:contextualSpacing/>
    </w:pPr>
  </w:style>
  <w:style w:type="paragraph" w:customStyle="1" w:styleId="Default">
    <w:name w:val="Default"/>
    <w:rsid w:val="0024679B"/>
    <w:pPr>
      <w:autoSpaceDE w:val="0"/>
      <w:autoSpaceDN w:val="0"/>
      <w:adjustRightInd w:val="0"/>
      <w:spacing w:after="0" w:line="240" w:lineRule="auto"/>
    </w:pPr>
    <w:rPr>
      <w:rFonts w:ascii="Garamond" w:hAnsi="Garamond" w:cs="Garamond"/>
      <w:color w:val="000000"/>
      <w:sz w:val="24"/>
      <w:szCs w:val="24"/>
    </w:rPr>
  </w:style>
  <w:style w:type="character" w:styleId="Lbjegyzet-hivatkozs">
    <w:name w:val="footnote reference"/>
    <w:aliases w:val="Footnote Refernece,callout,Footnotes refss,Appel note de bas de p.,Fn Ref,Footnote Reference Superscript,BVI fnr,Footnote Reference Number,Footnote Refernece + (Latein) Arial,10 pt,Blau,Fußnotenzeichen_Raxen,Footnote Refe,FR,..."/>
    <w:link w:val="FootnoteReferneceChar"/>
    <w:uiPriority w:val="99"/>
    <w:unhideWhenUsed/>
    <w:qFormat/>
    <w:rsid w:val="00AB721C"/>
    <w:rPr>
      <w:vertAlign w:val="superscript"/>
    </w:rPr>
  </w:style>
  <w:style w:type="paragraph" w:styleId="Lbjegyzetszveg">
    <w:name w:val="footnote text"/>
    <w:aliases w:val="footnotes,Footnote Text Char2 Char,Footnote Text Char Char1 Char,Footnote Text Char2 Char Char Char,Footnote Text Char1 Char Char Char Char,Footnote Text Char Char Char Char Char Char,Footnotes,Note de bas de page2,Footnote Text Char1"/>
    <w:basedOn w:val="Norml"/>
    <w:link w:val="LbjegyzetszvegChar"/>
    <w:uiPriority w:val="99"/>
    <w:unhideWhenUsed/>
    <w:qFormat/>
    <w:rsid w:val="00AB721C"/>
    <w:pPr>
      <w:tabs>
        <w:tab w:val="left" w:pos="284"/>
      </w:tabs>
      <w:spacing w:after="0" w:line="240" w:lineRule="auto"/>
      <w:ind w:left="284" w:hanging="284"/>
      <w:jc w:val="both"/>
    </w:pPr>
    <w:rPr>
      <w:rFonts w:ascii="Times New Roman" w:eastAsia="Calibri" w:hAnsi="Times New Roman" w:cs="Times New Roman"/>
      <w:sz w:val="18"/>
      <w:szCs w:val="20"/>
      <w:lang w:val="en-IE" w:bidi="en-US"/>
    </w:rPr>
  </w:style>
  <w:style w:type="character" w:customStyle="1" w:styleId="LbjegyzetszvegChar">
    <w:name w:val="Lábjegyzetszöveg Char"/>
    <w:aliases w:val="footnotes Char,Footnote Text Char2 Char Char,Footnote Text Char Char1 Char Char,Footnote Text Char2 Char Char Char Char,Footnote Text Char1 Char Char Char Char Char,Footnote Text Char Char Char Char Char Char Char,Footnotes Char"/>
    <w:basedOn w:val="Bekezdsalapbettpusa"/>
    <w:link w:val="Lbjegyzetszveg"/>
    <w:uiPriority w:val="99"/>
    <w:rsid w:val="00AB721C"/>
    <w:rPr>
      <w:rFonts w:ascii="Times New Roman" w:eastAsia="Calibri" w:hAnsi="Times New Roman" w:cs="Times New Roman"/>
      <w:sz w:val="18"/>
      <w:szCs w:val="20"/>
      <w:lang w:val="en-IE" w:bidi="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
    <w:link w:val="Lbjegyzet-hivatkozs"/>
    <w:uiPriority w:val="99"/>
    <w:rsid w:val="00AB721C"/>
    <w:pPr>
      <w:spacing w:before="240"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5">
    <w:name w:val="heading 5"/>
    <w:basedOn w:val="Norml"/>
    <w:link w:val="Cmsor5Char"/>
    <w:uiPriority w:val="9"/>
    <w:qFormat/>
    <w:rsid w:val="002D49EC"/>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2D49EC"/>
    <w:rPr>
      <w:rFonts w:ascii="Times New Roman" w:eastAsia="Times New Roman" w:hAnsi="Times New Roman" w:cs="Times New Roman"/>
      <w:b/>
      <w:bCs/>
      <w:sz w:val="20"/>
      <w:szCs w:val="20"/>
      <w:lang w:eastAsia="hu-HU"/>
    </w:rPr>
  </w:style>
  <w:style w:type="paragraph" w:styleId="NormlWeb">
    <w:name w:val="Normal (Web)"/>
    <w:basedOn w:val="Norml"/>
    <w:uiPriority w:val="99"/>
    <w:semiHidden/>
    <w:unhideWhenUsed/>
    <w:rsid w:val="002D49E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D49EC"/>
    <w:rPr>
      <w:b/>
      <w:bCs/>
    </w:rPr>
  </w:style>
  <w:style w:type="character" w:styleId="Hiperhivatkozs">
    <w:name w:val="Hyperlink"/>
    <w:basedOn w:val="Bekezdsalapbettpusa"/>
    <w:uiPriority w:val="99"/>
    <w:unhideWhenUsed/>
    <w:rsid w:val="002D49EC"/>
    <w:rPr>
      <w:color w:val="0000FF"/>
      <w:u w:val="single"/>
    </w:rPr>
  </w:style>
  <w:style w:type="character" w:customStyle="1" w:styleId="toctoggle">
    <w:name w:val="toctoggle"/>
    <w:basedOn w:val="Bekezdsalapbettpusa"/>
    <w:rsid w:val="00A42BCC"/>
  </w:style>
  <w:style w:type="character" w:customStyle="1" w:styleId="tocnumber">
    <w:name w:val="tocnumber"/>
    <w:basedOn w:val="Bekezdsalapbettpusa"/>
    <w:rsid w:val="00A42BCC"/>
  </w:style>
  <w:style w:type="character" w:customStyle="1" w:styleId="toctext">
    <w:name w:val="toctext"/>
    <w:basedOn w:val="Bekezdsalapbettpusa"/>
    <w:rsid w:val="00A42BCC"/>
  </w:style>
  <w:style w:type="character" w:customStyle="1" w:styleId="mw-headline">
    <w:name w:val="mw-headline"/>
    <w:basedOn w:val="Bekezdsalapbettpusa"/>
    <w:rsid w:val="00A42BCC"/>
  </w:style>
  <w:style w:type="paragraph" w:styleId="Buborkszveg">
    <w:name w:val="Balloon Text"/>
    <w:basedOn w:val="Norml"/>
    <w:link w:val="BuborkszvegChar"/>
    <w:uiPriority w:val="99"/>
    <w:semiHidden/>
    <w:unhideWhenUsed/>
    <w:rsid w:val="00A42BC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2BCC"/>
    <w:rPr>
      <w:rFonts w:ascii="Tahoma" w:hAnsi="Tahoma" w:cs="Tahoma"/>
      <w:sz w:val="16"/>
      <w:szCs w:val="16"/>
    </w:rPr>
  </w:style>
  <w:style w:type="paragraph" w:styleId="Listaszerbekezds">
    <w:name w:val="List Paragraph"/>
    <w:basedOn w:val="Norml"/>
    <w:uiPriority w:val="34"/>
    <w:qFormat/>
    <w:rsid w:val="00857A25"/>
    <w:pPr>
      <w:ind w:left="720"/>
      <w:contextualSpacing/>
    </w:pPr>
  </w:style>
  <w:style w:type="paragraph" w:customStyle="1" w:styleId="Default">
    <w:name w:val="Default"/>
    <w:rsid w:val="0024679B"/>
    <w:pPr>
      <w:autoSpaceDE w:val="0"/>
      <w:autoSpaceDN w:val="0"/>
      <w:adjustRightInd w:val="0"/>
      <w:spacing w:after="0" w:line="240" w:lineRule="auto"/>
    </w:pPr>
    <w:rPr>
      <w:rFonts w:ascii="Garamond" w:hAnsi="Garamond" w:cs="Garamond"/>
      <w:color w:val="000000"/>
      <w:sz w:val="24"/>
      <w:szCs w:val="24"/>
    </w:rPr>
  </w:style>
  <w:style w:type="character" w:styleId="Lbjegyzet-hivatkozs">
    <w:name w:val="footnote reference"/>
    <w:aliases w:val="Footnote Refernece,callout,Footnotes refss,Appel note de bas de p.,Fn Ref,Footnote Reference Superscript,BVI fnr,Footnote Reference Number,Footnote Refernece + (Latein) Arial,10 pt,Blau,Fußnotenzeichen_Raxen,Footnote Refe,FR,..."/>
    <w:link w:val="FootnoteReferneceChar"/>
    <w:uiPriority w:val="99"/>
    <w:unhideWhenUsed/>
    <w:qFormat/>
    <w:rsid w:val="00AB721C"/>
    <w:rPr>
      <w:vertAlign w:val="superscript"/>
    </w:rPr>
  </w:style>
  <w:style w:type="paragraph" w:styleId="Lbjegyzetszveg">
    <w:name w:val="footnote text"/>
    <w:aliases w:val="footnotes,Footnote Text Char2 Char,Footnote Text Char Char1 Char,Footnote Text Char2 Char Char Char,Footnote Text Char1 Char Char Char Char,Footnote Text Char Char Char Char Char Char,Footnotes,Note de bas de page2,Footnote Text Char1"/>
    <w:basedOn w:val="Norml"/>
    <w:link w:val="LbjegyzetszvegChar"/>
    <w:uiPriority w:val="99"/>
    <w:unhideWhenUsed/>
    <w:qFormat/>
    <w:rsid w:val="00AB721C"/>
    <w:pPr>
      <w:tabs>
        <w:tab w:val="left" w:pos="284"/>
      </w:tabs>
      <w:spacing w:after="0" w:line="240" w:lineRule="auto"/>
      <w:ind w:left="284" w:hanging="284"/>
      <w:jc w:val="both"/>
    </w:pPr>
    <w:rPr>
      <w:rFonts w:ascii="Times New Roman" w:eastAsia="Calibri" w:hAnsi="Times New Roman" w:cs="Times New Roman"/>
      <w:sz w:val="18"/>
      <w:szCs w:val="20"/>
      <w:lang w:val="en-IE" w:bidi="en-US"/>
    </w:rPr>
  </w:style>
  <w:style w:type="character" w:customStyle="1" w:styleId="LbjegyzetszvegChar">
    <w:name w:val="Lábjegyzetszöveg Char"/>
    <w:aliases w:val="footnotes Char,Footnote Text Char2 Char Char,Footnote Text Char Char1 Char Char,Footnote Text Char2 Char Char Char Char,Footnote Text Char1 Char Char Char Char Char,Footnote Text Char Char Char Char Char Char Char,Footnotes Char"/>
    <w:basedOn w:val="Bekezdsalapbettpusa"/>
    <w:link w:val="Lbjegyzetszveg"/>
    <w:uiPriority w:val="99"/>
    <w:rsid w:val="00AB721C"/>
    <w:rPr>
      <w:rFonts w:ascii="Times New Roman" w:eastAsia="Calibri" w:hAnsi="Times New Roman" w:cs="Times New Roman"/>
      <w:sz w:val="18"/>
      <w:szCs w:val="20"/>
      <w:lang w:val="en-IE" w:bidi="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
    <w:link w:val="Lbjegyzet-hivatkozs"/>
    <w:uiPriority w:val="99"/>
    <w:rsid w:val="00AB721C"/>
    <w:pPr>
      <w:spacing w:before="240"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297">
      <w:bodyDiv w:val="1"/>
      <w:marLeft w:val="0"/>
      <w:marRight w:val="0"/>
      <w:marTop w:val="0"/>
      <w:marBottom w:val="0"/>
      <w:divBdr>
        <w:top w:val="none" w:sz="0" w:space="0" w:color="auto"/>
        <w:left w:val="none" w:sz="0" w:space="0" w:color="auto"/>
        <w:bottom w:val="none" w:sz="0" w:space="0" w:color="auto"/>
        <w:right w:val="none" w:sz="0" w:space="0" w:color="auto"/>
      </w:divBdr>
      <w:divsChild>
        <w:div w:id="1352993559">
          <w:marLeft w:val="0"/>
          <w:marRight w:val="0"/>
          <w:marTop w:val="0"/>
          <w:marBottom w:val="0"/>
          <w:divBdr>
            <w:top w:val="none" w:sz="0" w:space="0" w:color="auto"/>
            <w:left w:val="none" w:sz="0" w:space="0" w:color="auto"/>
            <w:bottom w:val="none" w:sz="0" w:space="0" w:color="auto"/>
            <w:right w:val="none" w:sz="0" w:space="0" w:color="auto"/>
          </w:divBdr>
          <w:divsChild>
            <w:div w:id="1761873900">
              <w:marLeft w:val="3465"/>
              <w:marRight w:val="0"/>
              <w:marTop w:val="0"/>
              <w:marBottom w:val="0"/>
              <w:divBdr>
                <w:top w:val="none" w:sz="0" w:space="0" w:color="auto"/>
                <w:left w:val="none" w:sz="0" w:space="0" w:color="auto"/>
                <w:bottom w:val="none" w:sz="0" w:space="0" w:color="auto"/>
                <w:right w:val="none" w:sz="0" w:space="0" w:color="auto"/>
              </w:divBdr>
              <w:divsChild>
                <w:div w:id="186256257">
                  <w:marLeft w:val="-225"/>
                  <w:marRight w:val="-225"/>
                  <w:marTop w:val="0"/>
                  <w:marBottom w:val="0"/>
                  <w:divBdr>
                    <w:top w:val="none" w:sz="0" w:space="0" w:color="auto"/>
                    <w:left w:val="none" w:sz="0" w:space="0" w:color="auto"/>
                    <w:bottom w:val="none" w:sz="0" w:space="0" w:color="auto"/>
                    <w:right w:val="none" w:sz="0" w:space="0" w:color="auto"/>
                  </w:divBdr>
                  <w:divsChild>
                    <w:div w:id="495191301">
                      <w:marLeft w:val="0"/>
                      <w:marRight w:val="0"/>
                      <w:marTop w:val="0"/>
                      <w:marBottom w:val="0"/>
                      <w:divBdr>
                        <w:top w:val="none" w:sz="0" w:space="0" w:color="auto"/>
                        <w:left w:val="none" w:sz="0" w:space="0" w:color="auto"/>
                        <w:bottom w:val="none" w:sz="0" w:space="0" w:color="auto"/>
                        <w:right w:val="none" w:sz="0" w:space="0" w:color="auto"/>
                      </w:divBdr>
                      <w:divsChild>
                        <w:div w:id="611086758">
                          <w:marLeft w:val="0"/>
                          <w:marRight w:val="0"/>
                          <w:marTop w:val="0"/>
                          <w:marBottom w:val="0"/>
                          <w:divBdr>
                            <w:top w:val="none" w:sz="0" w:space="0" w:color="auto"/>
                            <w:left w:val="none" w:sz="0" w:space="0" w:color="auto"/>
                            <w:bottom w:val="none" w:sz="0" w:space="0" w:color="auto"/>
                            <w:right w:val="none" w:sz="0" w:space="0" w:color="auto"/>
                          </w:divBdr>
                          <w:divsChild>
                            <w:div w:id="9421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033456">
      <w:bodyDiv w:val="1"/>
      <w:marLeft w:val="0"/>
      <w:marRight w:val="0"/>
      <w:marTop w:val="0"/>
      <w:marBottom w:val="0"/>
      <w:divBdr>
        <w:top w:val="none" w:sz="0" w:space="0" w:color="auto"/>
        <w:left w:val="none" w:sz="0" w:space="0" w:color="auto"/>
        <w:bottom w:val="none" w:sz="0" w:space="0" w:color="auto"/>
        <w:right w:val="none" w:sz="0" w:space="0" w:color="auto"/>
      </w:divBdr>
    </w:div>
    <w:div w:id="339506533">
      <w:bodyDiv w:val="1"/>
      <w:marLeft w:val="0"/>
      <w:marRight w:val="0"/>
      <w:marTop w:val="0"/>
      <w:marBottom w:val="0"/>
      <w:divBdr>
        <w:top w:val="none" w:sz="0" w:space="0" w:color="auto"/>
        <w:left w:val="none" w:sz="0" w:space="0" w:color="auto"/>
        <w:bottom w:val="none" w:sz="0" w:space="0" w:color="auto"/>
        <w:right w:val="none" w:sz="0" w:space="0" w:color="auto"/>
      </w:divBdr>
      <w:divsChild>
        <w:div w:id="588006395">
          <w:marLeft w:val="0"/>
          <w:marRight w:val="0"/>
          <w:marTop w:val="150"/>
          <w:marBottom w:val="150"/>
          <w:divBdr>
            <w:top w:val="none" w:sz="0" w:space="0" w:color="auto"/>
            <w:left w:val="none" w:sz="0" w:space="0" w:color="auto"/>
            <w:bottom w:val="none" w:sz="0" w:space="0" w:color="auto"/>
            <w:right w:val="none" w:sz="0" w:space="0" w:color="auto"/>
          </w:divBdr>
          <w:divsChild>
            <w:div w:id="1978491151">
              <w:marLeft w:val="-225"/>
              <w:marRight w:val="-225"/>
              <w:marTop w:val="0"/>
              <w:marBottom w:val="0"/>
              <w:divBdr>
                <w:top w:val="none" w:sz="0" w:space="0" w:color="auto"/>
                <w:left w:val="none" w:sz="0" w:space="0" w:color="auto"/>
                <w:bottom w:val="none" w:sz="0" w:space="0" w:color="auto"/>
                <w:right w:val="none" w:sz="0" w:space="0" w:color="auto"/>
              </w:divBdr>
              <w:divsChild>
                <w:div w:id="796800997">
                  <w:marLeft w:val="0"/>
                  <w:marRight w:val="0"/>
                  <w:marTop w:val="0"/>
                  <w:marBottom w:val="0"/>
                  <w:divBdr>
                    <w:top w:val="none" w:sz="0" w:space="0" w:color="auto"/>
                    <w:left w:val="none" w:sz="0" w:space="0" w:color="auto"/>
                    <w:bottom w:val="none" w:sz="0" w:space="0" w:color="auto"/>
                    <w:right w:val="none" w:sz="0" w:space="0" w:color="auto"/>
                  </w:divBdr>
                  <w:divsChild>
                    <w:div w:id="1251507120">
                      <w:marLeft w:val="0"/>
                      <w:marRight w:val="0"/>
                      <w:marTop w:val="0"/>
                      <w:marBottom w:val="0"/>
                      <w:divBdr>
                        <w:top w:val="none" w:sz="0" w:space="0" w:color="auto"/>
                        <w:left w:val="none" w:sz="0" w:space="0" w:color="auto"/>
                        <w:bottom w:val="none" w:sz="0" w:space="0" w:color="auto"/>
                        <w:right w:val="none" w:sz="0" w:space="0" w:color="auto"/>
                      </w:divBdr>
                      <w:divsChild>
                        <w:div w:id="537546135">
                          <w:marLeft w:val="0"/>
                          <w:marRight w:val="0"/>
                          <w:marTop w:val="0"/>
                          <w:marBottom w:val="0"/>
                          <w:divBdr>
                            <w:top w:val="none" w:sz="0" w:space="0" w:color="auto"/>
                            <w:left w:val="none" w:sz="0" w:space="0" w:color="auto"/>
                            <w:bottom w:val="none" w:sz="0" w:space="0" w:color="auto"/>
                            <w:right w:val="none" w:sz="0" w:space="0" w:color="auto"/>
                          </w:divBdr>
                          <w:divsChild>
                            <w:div w:id="1375807624">
                              <w:marLeft w:val="0"/>
                              <w:marRight w:val="0"/>
                              <w:marTop w:val="0"/>
                              <w:marBottom w:val="0"/>
                              <w:divBdr>
                                <w:top w:val="none" w:sz="0" w:space="0" w:color="auto"/>
                                <w:left w:val="none" w:sz="0" w:space="0" w:color="auto"/>
                                <w:bottom w:val="none" w:sz="0" w:space="0" w:color="auto"/>
                                <w:right w:val="none" w:sz="0" w:space="0" w:color="auto"/>
                              </w:divBdr>
                            </w:div>
                            <w:div w:id="1032339364">
                              <w:marLeft w:val="0"/>
                              <w:marRight w:val="0"/>
                              <w:marTop w:val="0"/>
                              <w:marBottom w:val="0"/>
                              <w:divBdr>
                                <w:top w:val="none" w:sz="0" w:space="0" w:color="auto"/>
                                <w:left w:val="none" w:sz="0" w:space="0" w:color="auto"/>
                                <w:bottom w:val="none" w:sz="0" w:space="0" w:color="auto"/>
                                <w:right w:val="none" w:sz="0" w:space="0" w:color="auto"/>
                              </w:divBdr>
                              <w:divsChild>
                                <w:div w:id="1278098589">
                                  <w:marLeft w:val="0"/>
                                  <w:marRight w:val="0"/>
                                  <w:marTop w:val="0"/>
                                  <w:marBottom w:val="0"/>
                                  <w:divBdr>
                                    <w:top w:val="none" w:sz="0" w:space="0" w:color="auto"/>
                                    <w:left w:val="none" w:sz="0" w:space="0" w:color="auto"/>
                                    <w:bottom w:val="none" w:sz="0" w:space="0" w:color="auto"/>
                                    <w:right w:val="none" w:sz="0" w:space="0" w:color="auto"/>
                                  </w:divBdr>
                                  <w:divsChild>
                                    <w:div w:id="1536847348">
                                      <w:marLeft w:val="0"/>
                                      <w:marRight w:val="0"/>
                                      <w:marTop w:val="0"/>
                                      <w:marBottom w:val="0"/>
                                      <w:divBdr>
                                        <w:top w:val="none" w:sz="0" w:space="0" w:color="auto"/>
                                        <w:left w:val="none" w:sz="0" w:space="0" w:color="auto"/>
                                        <w:bottom w:val="none" w:sz="0" w:space="0" w:color="auto"/>
                                        <w:right w:val="none" w:sz="0" w:space="0" w:color="auto"/>
                                      </w:divBdr>
                                      <w:divsChild>
                                        <w:div w:id="1939167727">
                                          <w:marLeft w:val="0"/>
                                          <w:marRight w:val="0"/>
                                          <w:marTop w:val="0"/>
                                          <w:marBottom w:val="0"/>
                                          <w:divBdr>
                                            <w:top w:val="none" w:sz="0" w:space="0" w:color="auto"/>
                                            <w:left w:val="none" w:sz="0" w:space="0" w:color="auto"/>
                                            <w:bottom w:val="none" w:sz="0" w:space="0" w:color="auto"/>
                                            <w:right w:val="none" w:sz="0" w:space="0" w:color="auto"/>
                                          </w:divBdr>
                                          <w:divsChild>
                                            <w:div w:id="2280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0096">
                                  <w:marLeft w:val="0"/>
                                  <w:marRight w:val="0"/>
                                  <w:marTop w:val="0"/>
                                  <w:marBottom w:val="0"/>
                                  <w:divBdr>
                                    <w:top w:val="none" w:sz="0" w:space="0" w:color="auto"/>
                                    <w:left w:val="none" w:sz="0" w:space="0" w:color="auto"/>
                                    <w:bottom w:val="none" w:sz="0" w:space="0" w:color="auto"/>
                                    <w:right w:val="none" w:sz="0" w:space="0" w:color="auto"/>
                                  </w:divBdr>
                                  <w:divsChild>
                                    <w:div w:id="1123617196">
                                      <w:marLeft w:val="0"/>
                                      <w:marRight w:val="0"/>
                                      <w:marTop w:val="0"/>
                                      <w:marBottom w:val="0"/>
                                      <w:divBdr>
                                        <w:top w:val="none" w:sz="0" w:space="0" w:color="auto"/>
                                        <w:left w:val="none" w:sz="0" w:space="0" w:color="auto"/>
                                        <w:bottom w:val="none" w:sz="0" w:space="0" w:color="auto"/>
                                        <w:right w:val="none" w:sz="0" w:space="0" w:color="auto"/>
                                      </w:divBdr>
                                      <w:divsChild>
                                        <w:div w:id="1181048056">
                                          <w:marLeft w:val="0"/>
                                          <w:marRight w:val="0"/>
                                          <w:marTop w:val="0"/>
                                          <w:marBottom w:val="0"/>
                                          <w:divBdr>
                                            <w:top w:val="none" w:sz="0" w:space="0" w:color="auto"/>
                                            <w:left w:val="none" w:sz="0" w:space="0" w:color="auto"/>
                                            <w:bottom w:val="none" w:sz="0" w:space="0" w:color="auto"/>
                                            <w:right w:val="none" w:sz="0" w:space="0" w:color="auto"/>
                                          </w:divBdr>
                                          <w:divsChild>
                                            <w:div w:id="19447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9821">
                                  <w:marLeft w:val="0"/>
                                  <w:marRight w:val="0"/>
                                  <w:marTop w:val="0"/>
                                  <w:marBottom w:val="0"/>
                                  <w:divBdr>
                                    <w:top w:val="none" w:sz="0" w:space="0" w:color="auto"/>
                                    <w:left w:val="none" w:sz="0" w:space="0" w:color="auto"/>
                                    <w:bottom w:val="none" w:sz="0" w:space="0" w:color="auto"/>
                                    <w:right w:val="none" w:sz="0" w:space="0" w:color="auto"/>
                                  </w:divBdr>
                                  <w:divsChild>
                                    <w:div w:id="983850782">
                                      <w:marLeft w:val="0"/>
                                      <w:marRight w:val="0"/>
                                      <w:marTop w:val="0"/>
                                      <w:marBottom w:val="0"/>
                                      <w:divBdr>
                                        <w:top w:val="none" w:sz="0" w:space="0" w:color="auto"/>
                                        <w:left w:val="none" w:sz="0" w:space="0" w:color="auto"/>
                                        <w:bottom w:val="none" w:sz="0" w:space="0" w:color="auto"/>
                                        <w:right w:val="none" w:sz="0" w:space="0" w:color="auto"/>
                                      </w:divBdr>
                                      <w:divsChild>
                                        <w:div w:id="712270940">
                                          <w:marLeft w:val="0"/>
                                          <w:marRight w:val="0"/>
                                          <w:marTop w:val="0"/>
                                          <w:marBottom w:val="0"/>
                                          <w:divBdr>
                                            <w:top w:val="none" w:sz="0" w:space="0" w:color="auto"/>
                                            <w:left w:val="none" w:sz="0" w:space="0" w:color="auto"/>
                                            <w:bottom w:val="none" w:sz="0" w:space="0" w:color="auto"/>
                                            <w:right w:val="none" w:sz="0" w:space="0" w:color="auto"/>
                                          </w:divBdr>
                                          <w:divsChild>
                                            <w:div w:id="14335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9948">
                                  <w:marLeft w:val="0"/>
                                  <w:marRight w:val="0"/>
                                  <w:marTop w:val="0"/>
                                  <w:marBottom w:val="0"/>
                                  <w:divBdr>
                                    <w:top w:val="none" w:sz="0" w:space="0" w:color="auto"/>
                                    <w:left w:val="none" w:sz="0" w:space="0" w:color="auto"/>
                                    <w:bottom w:val="none" w:sz="0" w:space="0" w:color="auto"/>
                                    <w:right w:val="none" w:sz="0" w:space="0" w:color="auto"/>
                                  </w:divBdr>
                                  <w:divsChild>
                                    <w:div w:id="1969315109">
                                      <w:marLeft w:val="0"/>
                                      <w:marRight w:val="0"/>
                                      <w:marTop w:val="0"/>
                                      <w:marBottom w:val="0"/>
                                      <w:divBdr>
                                        <w:top w:val="none" w:sz="0" w:space="0" w:color="auto"/>
                                        <w:left w:val="none" w:sz="0" w:space="0" w:color="auto"/>
                                        <w:bottom w:val="none" w:sz="0" w:space="0" w:color="auto"/>
                                        <w:right w:val="none" w:sz="0" w:space="0" w:color="auto"/>
                                      </w:divBdr>
                                      <w:divsChild>
                                        <w:div w:id="1713729183">
                                          <w:marLeft w:val="0"/>
                                          <w:marRight w:val="0"/>
                                          <w:marTop w:val="0"/>
                                          <w:marBottom w:val="0"/>
                                          <w:divBdr>
                                            <w:top w:val="none" w:sz="0" w:space="0" w:color="auto"/>
                                            <w:left w:val="none" w:sz="0" w:space="0" w:color="auto"/>
                                            <w:bottom w:val="none" w:sz="0" w:space="0" w:color="auto"/>
                                            <w:right w:val="none" w:sz="0" w:space="0" w:color="auto"/>
                                          </w:divBdr>
                                          <w:divsChild>
                                            <w:div w:id="18090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6939">
                                  <w:marLeft w:val="0"/>
                                  <w:marRight w:val="0"/>
                                  <w:marTop w:val="0"/>
                                  <w:marBottom w:val="0"/>
                                  <w:divBdr>
                                    <w:top w:val="none" w:sz="0" w:space="0" w:color="auto"/>
                                    <w:left w:val="none" w:sz="0" w:space="0" w:color="auto"/>
                                    <w:bottom w:val="none" w:sz="0" w:space="0" w:color="auto"/>
                                    <w:right w:val="none" w:sz="0" w:space="0" w:color="auto"/>
                                  </w:divBdr>
                                  <w:divsChild>
                                    <w:div w:id="130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023109">
      <w:bodyDiv w:val="1"/>
      <w:marLeft w:val="0"/>
      <w:marRight w:val="0"/>
      <w:marTop w:val="0"/>
      <w:marBottom w:val="0"/>
      <w:divBdr>
        <w:top w:val="none" w:sz="0" w:space="0" w:color="auto"/>
        <w:left w:val="none" w:sz="0" w:space="0" w:color="auto"/>
        <w:bottom w:val="none" w:sz="0" w:space="0" w:color="auto"/>
        <w:right w:val="none" w:sz="0" w:space="0" w:color="auto"/>
      </w:divBdr>
      <w:divsChild>
        <w:div w:id="1082876734">
          <w:marLeft w:val="0"/>
          <w:marRight w:val="0"/>
          <w:marTop w:val="150"/>
          <w:marBottom w:val="150"/>
          <w:divBdr>
            <w:top w:val="none" w:sz="0" w:space="0" w:color="auto"/>
            <w:left w:val="none" w:sz="0" w:space="0" w:color="auto"/>
            <w:bottom w:val="none" w:sz="0" w:space="0" w:color="auto"/>
            <w:right w:val="none" w:sz="0" w:space="0" w:color="auto"/>
          </w:divBdr>
          <w:divsChild>
            <w:div w:id="999425590">
              <w:marLeft w:val="-225"/>
              <w:marRight w:val="-225"/>
              <w:marTop w:val="0"/>
              <w:marBottom w:val="0"/>
              <w:divBdr>
                <w:top w:val="none" w:sz="0" w:space="0" w:color="auto"/>
                <w:left w:val="none" w:sz="0" w:space="0" w:color="auto"/>
                <w:bottom w:val="none" w:sz="0" w:space="0" w:color="auto"/>
                <w:right w:val="none" w:sz="0" w:space="0" w:color="auto"/>
              </w:divBdr>
              <w:divsChild>
                <w:div w:id="929385726">
                  <w:marLeft w:val="0"/>
                  <w:marRight w:val="0"/>
                  <w:marTop w:val="0"/>
                  <w:marBottom w:val="0"/>
                  <w:divBdr>
                    <w:top w:val="none" w:sz="0" w:space="0" w:color="auto"/>
                    <w:left w:val="none" w:sz="0" w:space="0" w:color="auto"/>
                    <w:bottom w:val="none" w:sz="0" w:space="0" w:color="auto"/>
                    <w:right w:val="none" w:sz="0" w:space="0" w:color="auto"/>
                  </w:divBdr>
                  <w:divsChild>
                    <w:div w:id="550776560">
                      <w:marLeft w:val="0"/>
                      <w:marRight w:val="0"/>
                      <w:marTop w:val="0"/>
                      <w:marBottom w:val="0"/>
                      <w:divBdr>
                        <w:top w:val="none" w:sz="0" w:space="0" w:color="auto"/>
                        <w:left w:val="none" w:sz="0" w:space="0" w:color="auto"/>
                        <w:bottom w:val="none" w:sz="0" w:space="0" w:color="auto"/>
                        <w:right w:val="none" w:sz="0" w:space="0" w:color="auto"/>
                      </w:divBdr>
                      <w:divsChild>
                        <w:div w:id="936518849">
                          <w:marLeft w:val="0"/>
                          <w:marRight w:val="0"/>
                          <w:marTop w:val="0"/>
                          <w:marBottom w:val="0"/>
                          <w:divBdr>
                            <w:top w:val="none" w:sz="0" w:space="0" w:color="auto"/>
                            <w:left w:val="none" w:sz="0" w:space="0" w:color="auto"/>
                            <w:bottom w:val="none" w:sz="0" w:space="0" w:color="auto"/>
                            <w:right w:val="none" w:sz="0" w:space="0" w:color="auto"/>
                          </w:divBdr>
                          <w:divsChild>
                            <w:div w:id="183129443">
                              <w:marLeft w:val="0"/>
                              <w:marRight w:val="0"/>
                              <w:marTop w:val="0"/>
                              <w:marBottom w:val="0"/>
                              <w:divBdr>
                                <w:top w:val="none" w:sz="0" w:space="0" w:color="auto"/>
                                <w:left w:val="none" w:sz="0" w:space="0" w:color="auto"/>
                                <w:bottom w:val="none" w:sz="0" w:space="0" w:color="auto"/>
                                <w:right w:val="none" w:sz="0" w:space="0" w:color="auto"/>
                              </w:divBdr>
                            </w:div>
                            <w:div w:id="222521399">
                              <w:marLeft w:val="0"/>
                              <w:marRight w:val="0"/>
                              <w:marTop w:val="0"/>
                              <w:marBottom w:val="0"/>
                              <w:divBdr>
                                <w:top w:val="none" w:sz="0" w:space="0" w:color="auto"/>
                                <w:left w:val="none" w:sz="0" w:space="0" w:color="auto"/>
                                <w:bottom w:val="none" w:sz="0" w:space="0" w:color="auto"/>
                                <w:right w:val="none" w:sz="0" w:space="0" w:color="auto"/>
                              </w:divBdr>
                              <w:divsChild>
                                <w:div w:id="353116382">
                                  <w:marLeft w:val="0"/>
                                  <w:marRight w:val="0"/>
                                  <w:marTop w:val="0"/>
                                  <w:marBottom w:val="0"/>
                                  <w:divBdr>
                                    <w:top w:val="none" w:sz="0" w:space="0" w:color="auto"/>
                                    <w:left w:val="none" w:sz="0" w:space="0" w:color="auto"/>
                                    <w:bottom w:val="none" w:sz="0" w:space="0" w:color="auto"/>
                                    <w:right w:val="none" w:sz="0" w:space="0" w:color="auto"/>
                                  </w:divBdr>
                                  <w:divsChild>
                                    <w:div w:id="1734158383">
                                      <w:marLeft w:val="0"/>
                                      <w:marRight w:val="0"/>
                                      <w:marTop w:val="0"/>
                                      <w:marBottom w:val="0"/>
                                      <w:divBdr>
                                        <w:top w:val="none" w:sz="0" w:space="0" w:color="auto"/>
                                        <w:left w:val="none" w:sz="0" w:space="0" w:color="auto"/>
                                        <w:bottom w:val="none" w:sz="0" w:space="0" w:color="auto"/>
                                        <w:right w:val="none" w:sz="0" w:space="0" w:color="auto"/>
                                      </w:divBdr>
                                      <w:divsChild>
                                        <w:div w:id="1911188617">
                                          <w:marLeft w:val="0"/>
                                          <w:marRight w:val="0"/>
                                          <w:marTop w:val="0"/>
                                          <w:marBottom w:val="0"/>
                                          <w:divBdr>
                                            <w:top w:val="none" w:sz="0" w:space="0" w:color="auto"/>
                                            <w:left w:val="none" w:sz="0" w:space="0" w:color="auto"/>
                                            <w:bottom w:val="none" w:sz="0" w:space="0" w:color="auto"/>
                                            <w:right w:val="none" w:sz="0" w:space="0" w:color="auto"/>
                                          </w:divBdr>
                                          <w:divsChild>
                                            <w:div w:id="1527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87753">
                                  <w:marLeft w:val="0"/>
                                  <w:marRight w:val="0"/>
                                  <w:marTop w:val="0"/>
                                  <w:marBottom w:val="0"/>
                                  <w:divBdr>
                                    <w:top w:val="none" w:sz="0" w:space="0" w:color="auto"/>
                                    <w:left w:val="none" w:sz="0" w:space="0" w:color="auto"/>
                                    <w:bottom w:val="none" w:sz="0" w:space="0" w:color="auto"/>
                                    <w:right w:val="none" w:sz="0" w:space="0" w:color="auto"/>
                                  </w:divBdr>
                                  <w:divsChild>
                                    <w:div w:id="1940942683">
                                      <w:marLeft w:val="0"/>
                                      <w:marRight w:val="0"/>
                                      <w:marTop w:val="0"/>
                                      <w:marBottom w:val="0"/>
                                      <w:divBdr>
                                        <w:top w:val="none" w:sz="0" w:space="0" w:color="auto"/>
                                        <w:left w:val="none" w:sz="0" w:space="0" w:color="auto"/>
                                        <w:bottom w:val="none" w:sz="0" w:space="0" w:color="auto"/>
                                        <w:right w:val="none" w:sz="0" w:space="0" w:color="auto"/>
                                      </w:divBdr>
                                      <w:divsChild>
                                        <w:div w:id="501167928">
                                          <w:marLeft w:val="0"/>
                                          <w:marRight w:val="0"/>
                                          <w:marTop w:val="0"/>
                                          <w:marBottom w:val="0"/>
                                          <w:divBdr>
                                            <w:top w:val="none" w:sz="0" w:space="0" w:color="auto"/>
                                            <w:left w:val="none" w:sz="0" w:space="0" w:color="auto"/>
                                            <w:bottom w:val="none" w:sz="0" w:space="0" w:color="auto"/>
                                            <w:right w:val="none" w:sz="0" w:space="0" w:color="auto"/>
                                          </w:divBdr>
                                          <w:divsChild>
                                            <w:div w:id="1677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364">
                                  <w:marLeft w:val="0"/>
                                  <w:marRight w:val="0"/>
                                  <w:marTop w:val="0"/>
                                  <w:marBottom w:val="0"/>
                                  <w:divBdr>
                                    <w:top w:val="none" w:sz="0" w:space="0" w:color="auto"/>
                                    <w:left w:val="none" w:sz="0" w:space="0" w:color="auto"/>
                                    <w:bottom w:val="none" w:sz="0" w:space="0" w:color="auto"/>
                                    <w:right w:val="none" w:sz="0" w:space="0" w:color="auto"/>
                                  </w:divBdr>
                                  <w:divsChild>
                                    <w:div w:id="505751268">
                                      <w:marLeft w:val="0"/>
                                      <w:marRight w:val="0"/>
                                      <w:marTop w:val="0"/>
                                      <w:marBottom w:val="0"/>
                                      <w:divBdr>
                                        <w:top w:val="none" w:sz="0" w:space="0" w:color="auto"/>
                                        <w:left w:val="none" w:sz="0" w:space="0" w:color="auto"/>
                                        <w:bottom w:val="none" w:sz="0" w:space="0" w:color="auto"/>
                                        <w:right w:val="none" w:sz="0" w:space="0" w:color="auto"/>
                                      </w:divBdr>
                                      <w:divsChild>
                                        <w:div w:id="2011834642">
                                          <w:marLeft w:val="0"/>
                                          <w:marRight w:val="0"/>
                                          <w:marTop w:val="0"/>
                                          <w:marBottom w:val="0"/>
                                          <w:divBdr>
                                            <w:top w:val="none" w:sz="0" w:space="0" w:color="auto"/>
                                            <w:left w:val="none" w:sz="0" w:space="0" w:color="auto"/>
                                            <w:bottom w:val="none" w:sz="0" w:space="0" w:color="auto"/>
                                            <w:right w:val="none" w:sz="0" w:space="0" w:color="auto"/>
                                          </w:divBdr>
                                          <w:divsChild>
                                            <w:div w:id="15441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68333">
                                  <w:marLeft w:val="0"/>
                                  <w:marRight w:val="0"/>
                                  <w:marTop w:val="0"/>
                                  <w:marBottom w:val="0"/>
                                  <w:divBdr>
                                    <w:top w:val="none" w:sz="0" w:space="0" w:color="auto"/>
                                    <w:left w:val="none" w:sz="0" w:space="0" w:color="auto"/>
                                    <w:bottom w:val="none" w:sz="0" w:space="0" w:color="auto"/>
                                    <w:right w:val="none" w:sz="0" w:space="0" w:color="auto"/>
                                  </w:divBdr>
                                  <w:divsChild>
                                    <w:div w:id="1574388699">
                                      <w:marLeft w:val="0"/>
                                      <w:marRight w:val="0"/>
                                      <w:marTop w:val="0"/>
                                      <w:marBottom w:val="0"/>
                                      <w:divBdr>
                                        <w:top w:val="none" w:sz="0" w:space="0" w:color="auto"/>
                                        <w:left w:val="none" w:sz="0" w:space="0" w:color="auto"/>
                                        <w:bottom w:val="none" w:sz="0" w:space="0" w:color="auto"/>
                                        <w:right w:val="none" w:sz="0" w:space="0" w:color="auto"/>
                                      </w:divBdr>
                                      <w:divsChild>
                                        <w:div w:id="1846431545">
                                          <w:marLeft w:val="0"/>
                                          <w:marRight w:val="0"/>
                                          <w:marTop w:val="0"/>
                                          <w:marBottom w:val="0"/>
                                          <w:divBdr>
                                            <w:top w:val="none" w:sz="0" w:space="0" w:color="auto"/>
                                            <w:left w:val="none" w:sz="0" w:space="0" w:color="auto"/>
                                            <w:bottom w:val="none" w:sz="0" w:space="0" w:color="auto"/>
                                            <w:right w:val="none" w:sz="0" w:space="0" w:color="auto"/>
                                          </w:divBdr>
                                          <w:divsChild>
                                            <w:div w:id="10397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7628">
                                  <w:marLeft w:val="0"/>
                                  <w:marRight w:val="0"/>
                                  <w:marTop w:val="0"/>
                                  <w:marBottom w:val="0"/>
                                  <w:divBdr>
                                    <w:top w:val="none" w:sz="0" w:space="0" w:color="auto"/>
                                    <w:left w:val="none" w:sz="0" w:space="0" w:color="auto"/>
                                    <w:bottom w:val="none" w:sz="0" w:space="0" w:color="auto"/>
                                    <w:right w:val="none" w:sz="0" w:space="0" w:color="auto"/>
                                  </w:divBdr>
                                  <w:divsChild>
                                    <w:div w:id="14698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531806">
      <w:bodyDiv w:val="1"/>
      <w:marLeft w:val="0"/>
      <w:marRight w:val="0"/>
      <w:marTop w:val="0"/>
      <w:marBottom w:val="0"/>
      <w:divBdr>
        <w:top w:val="none" w:sz="0" w:space="0" w:color="auto"/>
        <w:left w:val="none" w:sz="0" w:space="0" w:color="auto"/>
        <w:bottom w:val="none" w:sz="0" w:space="0" w:color="auto"/>
        <w:right w:val="none" w:sz="0" w:space="0" w:color="auto"/>
      </w:divBdr>
      <w:divsChild>
        <w:div w:id="548762625">
          <w:marLeft w:val="0"/>
          <w:marRight w:val="0"/>
          <w:marTop w:val="0"/>
          <w:marBottom w:val="0"/>
          <w:divBdr>
            <w:top w:val="none" w:sz="0" w:space="0" w:color="auto"/>
            <w:left w:val="none" w:sz="0" w:space="0" w:color="auto"/>
            <w:bottom w:val="none" w:sz="0" w:space="0" w:color="auto"/>
            <w:right w:val="none" w:sz="0" w:space="0" w:color="auto"/>
          </w:divBdr>
          <w:divsChild>
            <w:div w:id="1881936057">
              <w:marLeft w:val="0"/>
              <w:marRight w:val="0"/>
              <w:marTop w:val="0"/>
              <w:marBottom w:val="0"/>
              <w:divBdr>
                <w:top w:val="none" w:sz="0" w:space="0" w:color="auto"/>
                <w:left w:val="none" w:sz="0" w:space="0" w:color="auto"/>
                <w:bottom w:val="none" w:sz="0" w:space="0" w:color="auto"/>
                <w:right w:val="none" w:sz="0" w:space="0" w:color="auto"/>
              </w:divBdr>
              <w:divsChild>
                <w:div w:id="2098548614">
                  <w:marLeft w:val="0"/>
                  <w:marRight w:val="0"/>
                  <w:marTop w:val="0"/>
                  <w:marBottom w:val="0"/>
                  <w:divBdr>
                    <w:top w:val="none" w:sz="0" w:space="0" w:color="auto"/>
                    <w:left w:val="none" w:sz="0" w:space="0" w:color="auto"/>
                    <w:bottom w:val="none" w:sz="0" w:space="0" w:color="auto"/>
                    <w:right w:val="none" w:sz="0" w:space="0" w:color="auto"/>
                  </w:divBdr>
                  <w:divsChild>
                    <w:div w:id="1416829033">
                      <w:marLeft w:val="0"/>
                      <w:marRight w:val="0"/>
                      <w:marTop w:val="0"/>
                      <w:marBottom w:val="0"/>
                      <w:divBdr>
                        <w:top w:val="none" w:sz="0" w:space="0" w:color="auto"/>
                        <w:left w:val="none" w:sz="0" w:space="0" w:color="auto"/>
                        <w:bottom w:val="none" w:sz="0" w:space="0" w:color="auto"/>
                        <w:right w:val="none" w:sz="0" w:space="0" w:color="auto"/>
                      </w:divBdr>
                      <w:divsChild>
                        <w:div w:id="17749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2379">
      <w:bodyDiv w:val="1"/>
      <w:marLeft w:val="0"/>
      <w:marRight w:val="0"/>
      <w:marTop w:val="0"/>
      <w:marBottom w:val="0"/>
      <w:divBdr>
        <w:top w:val="none" w:sz="0" w:space="0" w:color="auto"/>
        <w:left w:val="none" w:sz="0" w:space="0" w:color="auto"/>
        <w:bottom w:val="none" w:sz="0" w:space="0" w:color="auto"/>
        <w:right w:val="none" w:sz="0" w:space="0" w:color="auto"/>
      </w:divBdr>
      <w:divsChild>
        <w:div w:id="721485850">
          <w:marLeft w:val="0"/>
          <w:marRight w:val="0"/>
          <w:marTop w:val="0"/>
          <w:marBottom w:val="0"/>
          <w:divBdr>
            <w:top w:val="none" w:sz="0" w:space="0" w:color="auto"/>
            <w:left w:val="none" w:sz="0" w:space="0" w:color="auto"/>
            <w:bottom w:val="none" w:sz="0" w:space="0" w:color="auto"/>
            <w:right w:val="none" w:sz="0" w:space="0" w:color="auto"/>
          </w:divBdr>
          <w:divsChild>
            <w:div w:id="1800757916">
              <w:marLeft w:val="0"/>
              <w:marRight w:val="0"/>
              <w:marTop w:val="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ec.europa.eu/eurostat/statistics-explained/index.php/Glossary:At_risk_of_poverty_or_social_exclusion_(ARO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c.europa.eu/eurostat/statistics-explained/index.php/Glossary:At-risk-of-poverty_rate" TargetMode="External"/><Relationship Id="rId7" Type="http://schemas.openxmlformats.org/officeDocument/2006/relationships/footnotes" Target="footnotes.xml"/><Relationship Id="rId12" Type="http://schemas.openxmlformats.org/officeDocument/2006/relationships/hyperlink" Target="http://ec.europa.eu/eurostat/statistics-explained/index.php/File:The_Europe_2020_indicator_of_at-risk-of-poverty_or_social_exclusion_AROPE_new.png" TargetMode="External"/><Relationship Id="rId17" Type="http://schemas.openxmlformats.org/officeDocument/2006/relationships/hyperlink" Target="http://ec.europa.eu/eurostat/statistics-explained/index.php/File:At-risk-of-poverty_rate_(%25)_for_the_population_aged_16_or_more_with_activity_limitation,_before_and_after_social_transfers,_by_country,_2011.p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ec.europa.eu/eurostat/statistics-explained/index.php/Glossary:EU-28"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stat/statistics-explained/index.php/Glossary:European_Union_(EU)" TargetMode="External"/><Relationship Id="rId24" Type="http://schemas.openxmlformats.org/officeDocument/2006/relationships/hyperlink" Target="http://ec.europa.eu/eurostat/statistics-explained/index.php/Glossary:At-risk-of-poverty_rate_before_social_transfers" TargetMode="External"/><Relationship Id="rId5" Type="http://schemas.openxmlformats.org/officeDocument/2006/relationships/settings" Target="settings.xml"/><Relationship Id="rId15" Type="http://schemas.openxmlformats.org/officeDocument/2006/relationships/hyperlink" Target="http://ec.europa.eu/eurostat/statistics-explained/index.php/File:People_at-risk-of-poverty,_severely_materially_deprived.png" TargetMode="External"/><Relationship Id="rId23" Type="http://schemas.openxmlformats.org/officeDocument/2006/relationships/hyperlink" Target="http://ec.europa.eu/eurostat/statistics-explained/index.php/Glossary:Social_transfers" TargetMode="External"/><Relationship Id="rId28" Type="http://schemas.openxmlformats.org/officeDocument/2006/relationships/customXml" Target="../customXml/item3.xml"/><Relationship Id="rId10" Type="http://schemas.openxmlformats.org/officeDocument/2006/relationships/hyperlink" Target="http://ec.europa.eu/eurostat/statistics-explained/index.php/Glossary:EU_statistics_on_income_and_living_conditions_(EU-SILC)" TargetMode="External"/><Relationship Id="rId19" Type="http://schemas.openxmlformats.org/officeDocument/2006/relationships/hyperlink" Target="http://ec.europa.eu/eurostat/statistics-explained/index.php/Glossary:EU_2020_Strategy" TargetMode="External"/><Relationship Id="rId4" Type="http://schemas.microsoft.com/office/2007/relationships/stylesWithEffects" Target="stylesWithEffects.xml"/><Relationship Id="rId9" Type="http://schemas.openxmlformats.org/officeDocument/2006/relationships/hyperlink" Target="http://ec.europa.eu/eurostat/statistics-explained/index.php/Disability_statistics" TargetMode="External"/><Relationship Id="rId14" Type="http://schemas.openxmlformats.org/officeDocument/2006/relationships/image" Target="media/image2.png"/><Relationship Id="rId22" Type="http://schemas.openxmlformats.org/officeDocument/2006/relationships/hyperlink" Target="http://ec.europa.eu/eurostat/statistics-explained/index.php/Glossary:Severe_material_deprivation_rate" TargetMode="External"/><Relationship Id="rId27" Type="http://schemas.openxmlformats.org/officeDocument/2006/relationships/customXml" Target="../customXml/item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0DBE10-772D-4513-B2E3-BF53EB430A07}"/>
</file>

<file path=customXml/itemProps2.xml><?xml version="1.0" encoding="utf-8"?>
<ds:datastoreItem xmlns:ds="http://schemas.openxmlformats.org/officeDocument/2006/customXml" ds:itemID="{1A6A877E-150B-4B0B-8115-81F3DE17EA1E}"/>
</file>

<file path=customXml/itemProps3.xml><?xml version="1.0" encoding="utf-8"?>
<ds:datastoreItem xmlns:ds="http://schemas.openxmlformats.org/officeDocument/2006/customXml" ds:itemID="{9F72B7ED-4BB0-4A99-A5F2-9C2A1A45FC2C}"/>
</file>

<file path=customXml/itemProps4.xml><?xml version="1.0" encoding="utf-8"?>
<ds:datastoreItem xmlns:ds="http://schemas.openxmlformats.org/officeDocument/2006/customXml" ds:itemID="{260FCF1E-2045-4E39-B2FB-B485ADAF96AA}"/>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15817</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Soós Andrea</dc:creator>
  <cp:lastModifiedBy>Szilagyi Anita</cp:lastModifiedBy>
  <cp:revision>2</cp:revision>
  <cp:lastPrinted>2015-05-27T07:33:00Z</cp:lastPrinted>
  <dcterms:created xsi:type="dcterms:W3CDTF">2015-06-17T09:17:00Z</dcterms:created>
  <dcterms:modified xsi:type="dcterms:W3CDTF">2015-06-17T09:17:00Z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2902500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