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1D" w:rsidRPr="007F131D" w:rsidRDefault="007F131D" w:rsidP="007F131D">
      <w:pPr>
        <w:spacing w:after="0" w:line="240" w:lineRule="auto"/>
        <w:jc w:val="both"/>
        <w:rPr>
          <w:rFonts w:eastAsia="Calibri" w:cstheme="minorHAnsi"/>
        </w:rPr>
      </w:pPr>
      <w:r w:rsidRPr="007F131D">
        <w:rPr>
          <w:rFonts w:eastAsia="Calibri" w:cstheme="minorHAnsi"/>
        </w:rPr>
        <w:t>El Sistema Nacio</w:t>
      </w:r>
      <w:bookmarkStart w:id="0" w:name="_GoBack"/>
      <w:bookmarkEnd w:id="0"/>
      <w:r w:rsidRPr="007F131D">
        <w:rPr>
          <w:rFonts w:eastAsia="Calibri" w:cstheme="minorHAnsi"/>
        </w:rPr>
        <w:t xml:space="preserve">nal de Bienestar Social (SNBS) es la instancia que coordina la implementación de todas las políticas sociales del </w:t>
      </w:r>
      <w:r w:rsidR="00A46C53">
        <w:rPr>
          <w:rFonts w:eastAsia="Calibri" w:cstheme="minorHAnsi"/>
        </w:rPr>
        <w:t xml:space="preserve">Gobierno de Reconciliación y Unidad Nacional, </w:t>
      </w:r>
      <w:r w:rsidRPr="007F131D">
        <w:rPr>
          <w:rFonts w:eastAsia="Calibri" w:cstheme="minorHAnsi"/>
        </w:rPr>
        <w:t>GRUN. Las acciones desarrolladas por SNSB tienen un enfoque familiar y comunitario y se orientan a las siguientes áreas: salud, educación, alimentos, seguridad social, trabajo, servicios, transporte e infraestructura, vivienda e infraestructura social, producción, mujer, niñez, juventud, tercera edad, personas con capacidades diferentes y seguridad ciudadana.</w:t>
      </w:r>
    </w:p>
    <w:p w:rsidR="007F131D" w:rsidRPr="007F131D" w:rsidRDefault="007F131D" w:rsidP="007F131D">
      <w:pPr>
        <w:spacing w:after="0" w:line="240" w:lineRule="auto"/>
        <w:jc w:val="both"/>
        <w:rPr>
          <w:rFonts w:eastAsia="Calibri" w:cstheme="minorHAnsi"/>
        </w:rPr>
      </w:pPr>
    </w:p>
    <w:p w:rsidR="007F131D" w:rsidRPr="007F131D" w:rsidRDefault="007F131D" w:rsidP="007F131D">
      <w:pPr>
        <w:spacing w:after="0" w:line="240" w:lineRule="auto"/>
        <w:jc w:val="both"/>
        <w:rPr>
          <w:rFonts w:eastAsia="Calibri" w:cstheme="minorHAnsi"/>
        </w:rPr>
      </w:pPr>
      <w:r w:rsidRPr="007F131D">
        <w:rPr>
          <w:rFonts w:eastAsia="Calibri" w:cstheme="minorHAnsi"/>
        </w:rPr>
        <w:t xml:space="preserve">El SNBS está conformado por todas las instituciones del Poder Ejecutivo que forman parte del Gabinete Social y Económico con la misión de restituir los derechos de los nicaragüenses, redescubriendo y revitalizando su naturaleza humana y potenciando sus cualidades y caudales; la visión es trabajar con un sentido de totalidad integradora, a fin de que el Gobierno desempeñe el rol rector de las políticas sociales, pero en alianza con la sociedad dejando atrás el sometimiento y asumiendo de manera conjunta el desafío de la libertad y el desarrollo. </w:t>
      </w:r>
    </w:p>
    <w:p w:rsidR="007F131D" w:rsidRPr="007F131D" w:rsidRDefault="007F131D" w:rsidP="007F131D">
      <w:pPr>
        <w:spacing w:after="0" w:line="240" w:lineRule="auto"/>
        <w:jc w:val="both"/>
        <w:rPr>
          <w:rFonts w:eastAsia="Calibri" w:cstheme="minorHAnsi"/>
        </w:rPr>
      </w:pPr>
    </w:p>
    <w:p w:rsidR="007F131D" w:rsidRPr="007F131D" w:rsidRDefault="007F131D" w:rsidP="007F131D">
      <w:pPr>
        <w:spacing w:after="0" w:line="240" w:lineRule="auto"/>
        <w:jc w:val="both"/>
        <w:rPr>
          <w:rFonts w:eastAsia="Calibri" w:cstheme="minorHAnsi"/>
        </w:rPr>
      </w:pPr>
      <w:r w:rsidRPr="007F131D">
        <w:rPr>
          <w:rFonts w:eastAsia="Calibri" w:cstheme="minorHAnsi"/>
        </w:rPr>
        <w:t>El SNBS se centra en los grupos humanos históricamente excluidos de la sociedad promoviendo su rol de sujetos históricos del desarrollo. La familia, es concebida como el corazón de la sociedad, la niñez,  las mujeres, la juventud, los pueblos indígenas y</w:t>
      </w:r>
      <w:r w:rsidR="00A46C53">
        <w:rPr>
          <w:rFonts w:eastAsia="Calibri" w:cstheme="minorHAnsi"/>
        </w:rPr>
        <w:t xml:space="preserve"> </w:t>
      </w:r>
      <w:r w:rsidRPr="007F131D">
        <w:rPr>
          <w:rFonts w:eastAsia="Calibri" w:cstheme="minorHAnsi"/>
        </w:rPr>
        <w:t xml:space="preserve"> afrodescendientes, las personas adultas mayores y las personas con discapacidad; sin embargo la deuda social acumulada constituye un verdadero rezago, que no es fácil superar en esta primera etapa de profunda transformación social y de restitución de derechos de la niñez. </w:t>
      </w:r>
    </w:p>
    <w:p w:rsidR="007F131D" w:rsidRPr="007F131D" w:rsidRDefault="007F131D" w:rsidP="007F131D">
      <w:pPr>
        <w:spacing w:after="0" w:line="240" w:lineRule="auto"/>
        <w:jc w:val="both"/>
        <w:rPr>
          <w:rFonts w:eastAsia="Calibri" w:cstheme="minorHAnsi"/>
        </w:rPr>
      </w:pPr>
    </w:p>
    <w:p w:rsidR="007F131D" w:rsidRPr="007F131D" w:rsidRDefault="007F131D" w:rsidP="007F131D">
      <w:pPr>
        <w:spacing w:after="0" w:line="240" w:lineRule="auto"/>
        <w:jc w:val="both"/>
        <w:rPr>
          <w:rFonts w:eastAsia="Calibri" w:cstheme="minorHAnsi"/>
        </w:rPr>
      </w:pPr>
      <w:r w:rsidRPr="007F131D">
        <w:rPr>
          <w:rFonts w:eastAsia="Calibri" w:cstheme="minorHAnsi"/>
        </w:rPr>
        <w:t>El SNBS, al estar integrado por todas las instituciones sociales y económicas permite implementar programas y proyectos a nivel nacional, regional, departamental, municipal, territorial y comunal, incluyendo las regiones de la Costa Caribe</w:t>
      </w:r>
      <w:r w:rsidRPr="007F131D">
        <w:rPr>
          <w:rFonts w:eastAsia="Calibri" w:cstheme="minorHAnsi"/>
        </w:rPr>
        <w:footnoteReference w:id="2"/>
      </w:r>
      <w:r w:rsidRPr="007F131D">
        <w:rPr>
          <w:rFonts w:eastAsia="Calibri" w:cstheme="minorHAnsi"/>
        </w:rPr>
        <w:t>. Este Sistema (SNBS) avanza en el diseño e implementación de programas y proyectos, con una fuerte coordinación inter-institucional y social; entre estos se destacan el Programa Amor, Programa Primera Infancia (Estrategia de Amor por los Más Chiquitos), el Programa Nutricional Escolar PINE, los Programas Hambre Cero, Usura Cero y otras Políticas y Programas Nacionales del GRUN.</w:t>
      </w:r>
    </w:p>
    <w:p w:rsidR="007F131D" w:rsidRPr="007F131D" w:rsidRDefault="007F131D" w:rsidP="007F131D">
      <w:pPr>
        <w:spacing w:after="0" w:line="240" w:lineRule="auto"/>
        <w:jc w:val="both"/>
        <w:rPr>
          <w:rFonts w:eastAsia="Calibri" w:cstheme="minorHAnsi"/>
        </w:rPr>
      </w:pPr>
    </w:p>
    <w:p w:rsidR="007F131D" w:rsidRPr="007F131D" w:rsidRDefault="007F131D" w:rsidP="007F131D">
      <w:pPr>
        <w:spacing w:after="0" w:line="240" w:lineRule="auto"/>
        <w:jc w:val="both"/>
        <w:rPr>
          <w:rFonts w:eastAsia="Calibri" w:cstheme="minorHAnsi"/>
        </w:rPr>
      </w:pPr>
      <w:r w:rsidRPr="007F131D">
        <w:rPr>
          <w:rFonts w:eastAsia="Calibri" w:cstheme="minorHAnsi"/>
        </w:rPr>
        <w:t xml:space="preserve">Todos ellos se basan en un nuevo enfoque y práctica de participación de la población organizada en los Gabinetes del Poder Ciudadano ciudadana se articulan con las organizaciones sociales. Las instituciones integradas en el sistema en los territorios en el marco de un modelo donde la ciudadanía tiene poder real, integrando las estructuras sociales, comunitarias y familiares del país. </w:t>
      </w:r>
    </w:p>
    <w:p w:rsidR="007F131D" w:rsidRPr="007F131D" w:rsidRDefault="007F131D" w:rsidP="007F131D">
      <w:pPr>
        <w:spacing w:after="0" w:line="240" w:lineRule="auto"/>
        <w:jc w:val="both"/>
        <w:rPr>
          <w:rFonts w:eastAsia="Calibri" w:cstheme="minorHAnsi"/>
        </w:rPr>
      </w:pPr>
    </w:p>
    <w:p w:rsidR="007F131D" w:rsidRPr="007F131D" w:rsidRDefault="007F131D" w:rsidP="007F131D">
      <w:pPr>
        <w:spacing w:after="0" w:line="240" w:lineRule="auto"/>
        <w:jc w:val="both"/>
        <w:rPr>
          <w:rFonts w:eastAsia="Calibri" w:cstheme="minorHAnsi"/>
        </w:rPr>
      </w:pPr>
      <w:r w:rsidRPr="007F131D">
        <w:rPr>
          <w:rFonts w:eastAsia="Calibri" w:cstheme="minorHAnsi"/>
        </w:rPr>
        <w:t xml:space="preserve">La niñez y la adolescencia deja de ser el objeto de programas y proyectos para convertirse en sujetos y el centro de la restitución de sus derechos, los que están presentes de forma transversal en el que hacer de toda la trama social e institucional, promoviendo la participación activa de las organizaciones sociales, infantiles y juveniles lo que facilita que en esta gran alianza Estado – Sociedad, también se desarrolle el modelo de democracia directa, propiciando la toma de decisiones efectiva en la cuestión pública. </w:t>
      </w:r>
    </w:p>
    <w:p w:rsidR="007F131D" w:rsidRPr="007F131D" w:rsidRDefault="007F131D" w:rsidP="007F131D">
      <w:pPr>
        <w:spacing w:after="0" w:line="240" w:lineRule="auto"/>
        <w:jc w:val="both"/>
        <w:rPr>
          <w:rFonts w:eastAsia="Calibri" w:cstheme="minorHAnsi"/>
        </w:rPr>
      </w:pPr>
    </w:p>
    <w:p w:rsidR="007F131D" w:rsidRPr="007F131D" w:rsidRDefault="007F131D" w:rsidP="007F131D">
      <w:pPr>
        <w:spacing w:after="0" w:line="240" w:lineRule="auto"/>
        <w:jc w:val="both"/>
        <w:rPr>
          <w:rFonts w:eastAsia="Calibri" w:cstheme="minorHAnsi"/>
        </w:rPr>
      </w:pPr>
      <w:r w:rsidRPr="007F131D">
        <w:rPr>
          <w:rFonts w:eastAsia="Calibri" w:cstheme="minorHAnsi"/>
        </w:rPr>
        <w:t xml:space="preserve">El programa Amor es una respuesta a la restitución de derechos civiles, políticos, económicos, sociales y culturales de la niñez y la adolescencia establecidas en </w:t>
      </w:r>
      <w:smartTag w:uri="urn:schemas-microsoft-com:office:smarttags" w:element="PersonName">
        <w:smartTagPr>
          <w:attr w:name="ProductID" w:val="la Convenci￳n"/>
        </w:smartTagPr>
        <w:r w:rsidRPr="007F131D">
          <w:rPr>
            <w:rFonts w:eastAsia="Calibri" w:cstheme="minorHAnsi"/>
          </w:rPr>
          <w:t>la Convención</w:t>
        </w:r>
      </w:smartTag>
      <w:r w:rsidRPr="007F131D">
        <w:rPr>
          <w:rFonts w:eastAsia="Calibri" w:cstheme="minorHAnsi"/>
        </w:rPr>
        <w:t xml:space="preserve"> sobre los Derechos del Niño y </w:t>
      </w:r>
      <w:smartTag w:uri="urn:schemas-microsoft-com:office:smarttags" w:element="PersonName">
        <w:smartTagPr>
          <w:attr w:name="ProductID" w:val="la Ni￱a"/>
        </w:smartTagPr>
        <w:r w:rsidRPr="007F131D">
          <w:rPr>
            <w:rFonts w:eastAsia="Calibri" w:cstheme="minorHAnsi"/>
          </w:rPr>
          <w:t>la Niña</w:t>
        </w:r>
      </w:smartTag>
      <w:r w:rsidRPr="007F131D">
        <w:rPr>
          <w:rFonts w:eastAsia="Calibri" w:cstheme="minorHAnsi"/>
        </w:rPr>
        <w:t xml:space="preserve">, sus dos Protocolos Facultativos y el Código de </w:t>
      </w:r>
      <w:smartTag w:uri="urn:schemas-microsoft-com:office:smarttags" w:element="PersonName">
        <w:smartTagPr>
          <w:attr w:name="ProductID" w:val="la Ni￱ez"/>
        </w:smartTagPr>
        <w:r w:rsidRPr="007F131D">
          <w:rPr>
            <w:rFonts w:eastAsia="Calibri" w:cstheme="minorHAnsi"/>
          </w:rPr>
          <w:t>la Niñez</w:t>
        </w:r>
      </w:smartTag>
      <w:r w:rsidRPr="007F131D">
        <w:rPr>
          <w:rFonts w:eastAsia="Calibri" w:cstheme="minorHAnsi"/>
        </w:rPr>
        <w:t xml:space="preserve"> y </w:t>
      </w:r>
      <w:smartTag w:uri="urn:schemas-microsoft-com:office:smarttags" w:element="PersonName">
        <w:smartTagPr>
          <w:attr w:name="ProductID" w:val="la Adolescencia"/>
        </w:smartTagPr>
        <w:r w:rsidRPr="007F131D">
          <w:rPr>
            <w:rFonts w:eastAsia="Calibri" w:cstheme="minorHAnsi"/>
          </w:rPr>
          <w:t>la Adolescencia</w:t>
        </w:r>
      </w:smartTag>
      <w:r w:rsidRPr="007F131D">
        <w:rPr>
          <w:rFonts w:eastAsia="Calibri" w:cstheme="minorHAnsi"/>
        </w:rPr>
        <w:t xml:space="preserve"> (CNA). Al crearse el Programa Amor y </w:t>
      </w:r>
      <w:smartTag w:uri="urn:schemas-microsoft-com:office:smarttags" w:element="PersonName">
        <w:smartTagPr>
          <w:attr w:name="ProductID" w:val="la Estrategia Educativa"/>
        </w:smartTagPr>
        <w:r w:rsidRPr="007F131D">
          <w:rPr>
            <w:rFonts w:eastAsia="Calibri" w:cstheme="minorHAnsi"/>
          </w:rPr>
          <w:t>la Estrategia Educativa</w:t>
        </w:r>
      </w:smartTag>
      <w:r w:rsidRPr="007F131D">
        <w:rPr>
          <w:rFonts w:eastAsia="Calibri" w:cstheme="minorHAnsi"/>
        </w:rPr>
        <w:t xml:space="preserve"> Amor para los más Chiquitos y chiquitas, entre otros, como parte del SNBS en coherencia con el Plan Nacional de Desarrollo Humano y el </w:t>
      </w:r>
      <w:r w:rsidRPr="007F131D">
        <w:rPr>
          <w:rFonts w:eastAsia="Calibri" w:cstheme="minorHAnsi"/>
        </w:rPr>
        <w:lastRenderedPageBreak/>
        <w:t xml:space="preserve">CNA, se establecen medidas de acción positivas que van a contribuir a la integración familiar, incorporación a la escuela y/o centros educativos, mayor acceso a servicios de salud y de protección. </w:t>
      </w:r>
    </w:p>
    <w:p w:rsidR="007F131D" w:rsidRPr="007F131D" w:rsidRDefault="007F131D" w:rsidP="007F131D">
      <w:pPr>
        <w:spacing w:after="0" w:line="240" w:lineRule="auto"/>
        <w:jc w:val="both"/>
        <w:rPr>
          <w:rFonts w:eastAsia="Calibri" w:cstheme="minorHAnsi"/>
        </w:rPr>
      </w:pPr>
      <w:r w:rsidRPr="007F131D">
        <w:rPr>
          <w:rFonts w:eastAsia="Calibri" w:cstheme="minorHAnsi"/>
        </w:rPr>
        <w:br/>
      </w:r>
    </w:p>
    <w:p w:rsidR="007F131D" w:rsidRPr="007F131D" w:rsidRDefault="007F131D" w:rsidP="007F131D">
      <w:pPr>
        <w:spacing w:after="0" w:line="240" w:lineRule="auto"/>
        <w:jc w:val="both"/>
        <w:rPr>
          <w:rFonts w:eastAsia="Calibri" w:cstheme="minorHAnsi"/>
        </w:rPr>
      </w:pPr>
      <w:r w:rsidRPr="007F131D">
        <w:rPr>
          <w:rFonts w:eastAsia="Calibri" w:cstheme="minorHAnsi"/>
        </w:rPr>
        <w:br w:type="page"/>
      </w:r>
    </w:p>
    <w:p w:rsidR="007F131D" w:rsidRPr="007F131D" w:rsidRDefault="007F131D" w:rsidP="007F131D">
      <w:pPr>
        <w:spacing w:after="0" w:line="240" w:lineRule="auto"/>
        <w:jc w:val="both"/>
        <w:rPr>
          <w:rFonts w:eastAsia="Calibri" w:cstheme="minorHAnsi"/>
        </w:rPr>
      </w:pPr>
      <w:r w:rsidRPr="007F131D">
        <w:rPr>
          <w:rFonts w:eastAsia="Calibri" w:cstheme="minorHAnsi"/>
        </w:rPr>
        <w:lastRenderedPageBreak/>
        <w:t>El siguiente cuadro detalla las instituciones que integran el SNBS.</w:t>
      </w:r>
    </w:p>
    <w:tbl>
      <w:tblPr>
        <w:tblpPr w:leftFromText="141" w:rightFromText="141" w:vertAnchor="text" w:horzAnchor="margin" w:tblpXSpec="center" w:tblpY="35"/>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96"/>
        <w:gridCol w:w="5477"/>
      </w:tblGrid>
      <w:tr w:rsidR="007F131D" w:rsidRPr="007F131D" w:rsidTr="00C10467">
        <w:tc>
          <w:tcPr>
            <w:tcW w:w="10773" w:type="dxa"/>
            <w:gridSpan w:val="2"/>
            <w:shd w:val="clear" w:color="auto" w:fill="FFFFFF"/>
          </w:tcPr>
          <w:p w:rsidR="007F131D" w:rsidRPr="007F131D" w:rsidRDefault="007F131D" w:rsidP="007F131D">
            <w:pPr>
              <w:shd w:val="clear" w:color="auto" w:fill="548DD4"/>
              <w:tabs>
                <w:tab w:val="left" w:pos="4111"/>
              </w:tabs>
              <w:spacing w:after="0" w:line="240" w:lineRule="auto"/>
              <w:jc w:val="both"/>
              <w:rPr>
                <w:rFonts w:eastAsia="Calibri" w:cstheme="minorHAnsi"/>
                <w:lang w:val="es-ES"/>
              </w:rPr>
            </w:pPr>
          </w:p>
          <w:p w:rsidR="007F131D" w:rsidRPr="007F131D" w:rsidRDefault="007F131D" w:rsidP="007F131D">
            <w:pPr>
              <w:shd w:val="clear" w:color="auto" w:fill="548DD4"/>
              <w:spacing w:after="0" w:line="240" w:lineRule="auto"/>
              <w:jc w:val="both"/>
              <w:rPr>
                <w:rFonts w:eastAsia="Calibri" w:cstheme="minorHAnsi"/>
                <w:lang w:val="es-ES"/>
              </w:rPr>
            </w:pPr>
            <w:r w:rsidRPr="007F131D">
              <w:rPr>
                <w:rFonts w:eastAsia="Calibri" w:cstheme="minorHAnsi"/>
                <w:lang w:val="es-ES"/>
              </w:rPr>
              <w:t>Cuadro No. 1: Sistema Nacional de Bienestar Social</w:t>
            </w:r>
          </w:p>
        </w:tc>
      </w:tr>
      <w:tr w:rsidR="007F131D" w:rsidRPr="007F131D" w:rsidTr="00C10467">
        <w:trPr>
          <w:trHeight w:val="5532"/>
        </w:trPr>
        <w:tc>
          <w:tcPr>
            <w:tcW w:w="5296" w:type="dxa"/>
            <w:shd w:val="clear" w:color="auto" w:fill="FFFFFF"/>
          </w:tcPr>
          <w:p w:rsidR="007F131D" w:rsidRPr="007F131D" w:rsidRDefault="007F131D" w:rsidP="007F131D">
            <w:pPr>
              <w:tabs>
                <w:tab w:val="left" w:pos="4111"/>
              </w:tabs>
              <w:spacing w:after="0" w:line="240" w:lineRule="auto"/>
              <w:jc w:val="both"/>
              <w:rPr>
                <w:rFonts w:eastAsia="Calibri" w:cstheme="minorHAnsi"/>
              </w:rPr>
            </w:pP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Gobiernos locales del Poder Ciudadano.</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Ministerio de Educación (MINED).</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Nuevo </w:t>
            </w:r>
            <w:r w:rsidRPr="007F131D">
              <w:rPr>
                <w:rFonts w:eastAsia="+mn-ea" w:cstheme="minorHAnsi"/>
                <w:i/>
                <w:iCs/>
              </w:rPr>
              <w:t>FISE.</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Ministerio de Salud (MINSA).</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Ministerio del Trabajo (MITRAB).</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Ministerio de </w:t>
            </w:r>
            <w:smartTag w:uri="urn:schemas-microsoft-com:office:smarttags" w:element="PersonName">
              <w:smartTagPr>
                <w:attr w:name="ProductID" w:val="LA FAMILIA"/>
              </w:smartTagPr>
              <w:r w:rsidRPr="007F131D">
                <w:rPr>
                  <w:rFonts w:eastAsia="+mn-ea" w:cstheme="minorHAnsi"/>
                </w:rPr>
                <w:t>la Familia</w:t>
              </w:r>
            </w:smartTag>
            <w:r w:rsidRPr="007F131D">
              <w:rPr>
                <w:rFonts w:eastAsia="+mn-ea" w:cstheme="minorHAnsi"/>
              </w:rPr>
              <w:t>, Adolescencia y  Niñez(MIFAN).</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Ministerio de Fomento, Industria y Comercio (MIFIC).</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Nacional Tecnológico (INATEC).</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Nacional de Información y  Desarrollo(INIDE).</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Nicaragüense de Fomento Municipal(INIFOM).</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Instituto Nicaragüense de </w:t>
            </w:r>
            <w:smartTag w:uri="urn:schemas-microsoft-com:office:smarttags" w:element="PersonName">
              <w:smartTagPr>
                <w:attr w:name="ProductID" w:val="la Juventud"/>
              </w:smartTagPr>
              <w:r w:rsidRPr="007F131D">
                <w:rPr>
                  <w:rFonts w:eastAsia="+mn-ea" w:cstheme="minorHAnsi"/>
                </w:rPr>
                <w:t>la Juventud</w:t>
              </w:r>
            </w:smartTag>
            <w:r w:rsidRPr="007F131D">
              <w:rPr>
                <w:rFonts w:eastAsia="Times New Roman" w:cstheme="minorHAnsi"/>
              </w:rPr>
              <w:t>(</w:t>
            </w:r>
            <w:r w:rsidRPr="007F131D">
              <w:rPr>
                <w:rFonts w:eastAsia="+mn-ea" w:cstheme="minorHAnsi"/>
              </w:rPr>
              <w:t>INJUVE).</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Instituto Nicaragüense de Deporte (IND). </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Policía Nacional.</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Lotería Nacional.</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Instituto Nicaragüense de </w:t>
            </w:r>
            <w:smartTag w:uri="urn:schemas-microsoft-com:office:smarttags" w:element="PersonName">
              <w:smartTagPr>
                <w:attr w:name="ProductID" w:val="la Mujer"/>
              </w:smartTagPr>
              <w:r w:rsidRPr="007F131D">
                <w:rPr>
                  <w:rFonts w:eastAsia="+mn-ea" w:cstheme="minorHAnsi"/>
                </w:rPr>
                <w:t>la Mujer</w:t>
              </w:r>
            </w:smartTag>
            <w:r w:rsidRPr="007F131D">
              <w:rPr>
                <w:rFonts w:eastAsia="+mn-ea" w:cstheme="minorHAnsi"/>
              </w:rPr>
              <w:t xml:space="preserve"> (INIM).</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Ministerio de Gobernación (MINGOB).</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Nicaragüense de Turismo (INTUR).</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Nacional Forestal (INAFOR).</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Ministerio Agropecuario y Forestal (MAGFOR).</w:t>
            </w:r>
          </w:p>
          <w:p w:rsidR="007F131D" w:rsidRPr="007F131D" w:rsidRDefault="007F131D" w:rsidP="007F131D">
            <w:pPr>
              <w:tabs>
                <w:tab w:val="left" w:pos="4111"/>
              </w:tabs>
              <w:spacing w:after="0" w:line="240" w:lineRule="auto"/>
              <w:jc w:val="both"/>
              <w:rPr>
                <w:rFonts w:eastAsia="Times New Roman" w:cstheme="minorHAnsi"/>
              </w:rPr>
            </w:pPr>
          </w:p>
        </w:tc>
        <w:tc>
          <w:tcPr>
            <w:tcW w:w="5477" w:type="dxa"/>
            <w:shd w:val="clear" w:color="auto" w:fill="FFFFFF"/>
          </w:tcPr>
          <w:p w:rsidR="007F131D" w:rsidRPr="007F131D" w:rsidRDefault="007F131D" w:rsidP="007F131D">
            <w:pPr>
              <w:tabs>
                <w:tab w:val="left" w:pos="4111"/>
              </w:tabs>
              <w:spacing w:after="0" w:line="240" w:lineRule="auto"/>
              <w:jc w:val="both"/>
              <w:rPr>
                <w:rFonts w:eastAsia="Calibri" w:cstheme="minorHAnsi"/>
              </w:rPr>
            </w:pP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Instituto Nicaragüense de Apoyo a </w:t>
            </w:r>
            <w:smartTag w:uri="urn:schemas-microsoft-com:office:smarttags" w:element="PersonName">
              <w:smartTagPr>
                <w:attr w:name="ProductID" w:val="la Peque￱a"/>
              </w:smartTagPr>
              <w:r w:rsidRPr="007F131D">
                <w:rPr>
                  <w:rFonts w:eastAsia="+mn-ea" w:cstheme="minorHAnsi"/>
                </w:rPr>
                <w:t>la Pequeña</w:t>
              </w:r>
            </w:smartTag>
            <w:r w:rsidRPr="007F131D">
              <w:rPr>
                <w:rFonts w:eastAsia="+mn-ea" w:cstheme="minorHAnsi"/>
              </w:rPr>
              <w:t xml:space="preserve"> y Mediana Empresa (INPYME).</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Nacional de Cultura (INC).</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Nicaragüense de Fomento</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Cooperativo (INFOCOOP).</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Instituto Nicaragüense de </w:t>
            </w:r>
            <w:smartTag w:uri="urn:schemas-microsoft-com:office:smarttags" w:element="PersonName">
              <w:smartTagPr>
                <w:attr w:name="ProductID" w:val="la Vivienda Urbana"/>
              </w:smartTagPr>
              <w:r w:rsidRPr="007F131D">
                <w:rPr>
                  <w:rFonts w:eastAsia="+mn-ea" w:cstheme="minorHAnsi"/>
                </w:rPr>
                <w:t>la Vivienda Urbana</w:t>
              </w:r>
            </w:smartTag>
            <w:r w:rsidRPr="007F131D">
              <w:rPr>
                <w:rFonts w:eastAsia="+mn-ea" w:cstheme="minorHAnsi"/>
              </w:rPr>
              <w:t xml:space="preserve"> y Rural (INVUR).</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Ministerio del Ambiente y Recursos Naturales (MARENA). </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Nacional Forestal (INAFOR).</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Nicaragüense de Tecnología</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Agropecuaria (INTA).</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Instituto de Desarrollo Rural (IDR).</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Fondo de Crédito Rural (FCR). </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Empresa Nicaragüense de Alimentos Básicos (ENABAS).</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SEPRES.</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CONPES.</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Secretaría de </w:t>
            </w:r>
            <w:smartTag w:uri="urn:schemas-microsoft-com:office:smarttags" w:element="PersonName">
              <w:smartTagPr>
                <w:attr w:name="ProductID" w:val="la Costa Caribe."/>
              </w:smartTagPr>
              <w:r w:rsidRPr="007F131D">
                <w:rPr>
                  <w:rFonts w:eastAsia="+mn-ea" w:cstheme="minorHAnsi"/>
                </w:rPr>
                <w:t>la Costa Caribe.</w:t>
              </w:r>
            </w:smartTag>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Programas de Alfabetización, Hambre Cero, Usura Cero.</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 xml:space="preserve">Consejo de Comunicación y Ciudadanía para el Desarrollo Social. </w:t>
            </w:r>
          </w:p>
          <w:p w:rsidR="007F131D" w:rsidRPr="007F131D" w:rsidRDefault="007F131D" w:rsidP="007F131D">
            <w:pPr>
              <w:tabs>
                <w:tab w:val="left" w:pos="4111"/>
              </w:tabs>
              <w:spacing w:after="0" w:line="240" w:lineRule="auto"/>
              <w:jc w:val="both"/>
              <w:rPr>
                <w:rFonts w:eastAsia="Times New Roman" w:cstheme="minorHAnsi"/>
              </w:rPr>
            </w:pPr>
            <w:r w:rsidRPr="007F131D">
              <w:rPr>
                <w:rFonts w:eastAsia="+mn-ea" w:cstheme="minorHAnsi"/>
              </w:rPr>
              <w:t>Movimientos Sociales.</w:t>
            </w:r>
          </w:p>
          <w:p w:rsidR="007F131D" w:rsidRPr="007F131D" w:rsidRDefault="007F131D" w:rsidP="007F131D">
            <w:pPr>
              <w:tabs>
                <w:tab w:val="left" w:pos="4111"/>
              </w:tabs>
              <w:spacing w:after="0" w:line="240" w:lineRule="auto"/>
              <w:jc w:val="both"/>
              <w:rPr>
                <w:rFonts w:eastAsia="Calibri" w:cstheme="minorHAnsi"/>
              </w:rPr>
            </w:pPr>
          </w:p>
        </w:tc>
      </w:tr>
    </w:tbl>
    <w:p w:rsidR="007F131D" w:rsidRPr="007F131D" w:rsidRDefault="007F131D" w:rsidP="007F131D">
      <w:pPr>
        <w:shd w:val="clear" w:color="auto" w:fill="548DD4"/>
        <w:spacing w:after="0" w:line="240" w:lineRule="auto"/>
        <w:jc w:val="both"/>
        <w:rPr>
          <w:rFonts w:eastAsia="Calibri" w:cstheme="minorHAnsi"/>
          <w:lang w:val="es-ES"/>
        </w:rPr>
      </w:pPr>
      <w:r w:rsidRPr="007F131D">
        <w:rPr>
          <w:rFonts w:eastAsia="Calibri" w:cstheme="minorHAnsi"/>
          <w:lang w:val="es-ES"/>
        </w:rPr>
        <w:t>Fuente: Gobierno de Reconciliación y Unidad Nacional.</w:t>
      </w:r>
    </w:p>
    <w:p w:rsidR="007F131D" w:rsidRPr="007F131D" w:rsidRDefault="007F131D" w:rsidP="007F131D">
      <w:pPr>
        <w:tabs>
          <w:tab w:val="left" w:pos="4111"/>
        </w:tabs>
        <w:spacing w:after="0" w:line="240" w:lineRule="auto"/>
        <w:jc w:val="both"/>
        <w:rPr>
          <w:rFonts w:eastAsia="Calibri" w:cstheme="minorHAnsi"/>
        </w:rPr>
      </w:pPr>
    </w:p>
    <w:p w:rsidR="00AB7325" w:rsidRPr="007F131D" w:rsidRDefault="007F131D" w:rsidP="007F131D">
      <w:pPr>
        <w:rPr>
          <w:rFonts w:cstheme="minorHAnsi"/>
        </w:rPr>
      </w:pPr>
      <w:r w:rsidRPr="007F131D">
        <w:rPr>
          <w:rFonts w:eastAsia="Calibri" w:cstheme="minorHAnsi"/>
        </w:rPr>
        <w:br w:type="page"/>
      </w:r>
    </w:p>
    <w:sectPr w:rsidR="00AB7325" w:rsidRPr="007F131D" w:rsidSect="003F050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483" w:rsidRDefault="00A57483" w:rsidP="007F131D">
      <w:pPr>
        <w:spacing w:after="0" w:line="240" w:lineRule="auto"/>
      </w:pPr>
      <w:r>
        <w:separator/>
      </w:r>
    </w:p>
  </w:endnote>
  <w:endnote w:type="continuationSeparator" w:id="1">
    <w:p w:rsidR="00A57483" w:rsidRDefault="00A57483" w:rsidP="007F1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483" w:rsidRDefault="00A57483" w:rsidP="007F131D">
      <w:pPr>
        <w:spacing w:after="0" w:line="240" w:lineRule="auto"/>
      </w:pPr>
      <w:r>
        <w:separator/>
      </w:r>
    </w:p>
  </w:footnote>
  <w:footnote w:type="continuationSeparator" w:id="1">
    <w:p w:rsidR="00A57483" w:rsidRDefault="00A57483" w:rsidP="007F131D">
      <w:pPr>
        <w:spacing w:after="0" w:line="240" w:lineRule="auto"/>
      </w:pPr>
      <w:r>
        <w:continuationSeparator/>
      </w:r>
    </w:p>
  </w:footnote>
  <w:footnote w:id="2">
    <w:p w:rsidR="007F131D" w:rsidRPr="005725A6" w:rsidRDefault="007F131D" w:rsidP="007F131D">
      <w:pPr>
        <w:pStyle w:val="Textonotapie"/>
        <w:rPr>
          <w:rFonts w:ascii="Courier New" w:hAnsi="Courier New" w:cs="Courier New"/>
          <w:sz w:val="16"/>
          <w:szCs w:val="16"/>
          <w:lang w:val="es-ES"/>
        </w:rPr>
      </w:pPr>
      <w:r w:rsidRPr="00F85AAA">
        <w:rPr>
          <w:rStyle w:val="Refdenotaalpie"/>
          <w:sz w:val="16"/>
          <w:szCs w:val="16"/>
        </w:rPr>
        <w:footnoteRef/>
      </w:r>
      <w:r w:rsidRPr="005725A6">
        <w:rPr>
          <w:rFonts w:ascii="Courier New" w:hAnsi="Courier New" w:cs="Courier New"/>
          <w:sz w:val="16"/>
          <w:szCs w:val="16"/>
          <w:lang w:val="es-ES"/>
        </w:rPr>
        <w:t>Ver anexo quienes integran el Sistema</w:t>
      </w:r>
      <w:r>
        <w:rPr>
          <w:rFonts w:ascii="Courier New" w:hAnsi="Courier New" w:cs="Courier New"/>
          <w:sz w:val="16"/>
          <w:szCs w:val="16"/>
          <w:lang w:val="es-ES"/>
        </w:rPr>
        <w:t xml:space="preserve"> y el Sistema y el Modelo en graficas.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7F131D"/>
    <w:rsid w:val="001670A1"/>
    <w:rsid w:val="001C49FA"/>
    <w:rsid w:val="003F0507"/>
    <w:rsid w:val="0048743D"/>
    <w:rsid w:val="0051084F"/>
    <w:rsid w:val="00742F25"/>
    <w:rsid w:val="007F131D"/>
    <w:rsid w:val="00964496"/>
    <w:rsid w:val="009C189A"/>
    <w:rsid w:val="009D7327"/>
    <w:rsid w:val="00A46C53"/>
    <w:rsid w:val="00A57483"/>
    <w:rsid w:val="00AB7325"/>
    <w:rsid w:val="00C55DB2"/>
    <w:rsid w:val="00FC043B"/>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F13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31D"/>
    <w:rPr>
      <w:sz w:val="20"/>
      <w:szCs w:val="20"/>
    </w:rPr>
  </w:style>
  <w:style w:type="character" w:styleId="Refdenotaalpie">
    <w:name w:val="footnote reference"/>
    <w:basedOn w:val="Fuentedeprrafopredeter"/>
    <w:semiHidden/>
    <w:unhideWhenUsed/>
    <w:rsid w:val="007F13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F13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31D"/>
    <w:rPr>
      <w:sz w:val="20"/>
      <w:szCs w:val="20"/>
    </w:rPr>
  </w:style>
  <w:style w:type="character" w:styleId="Refdenotaalpie">
    <w:name w:val="footnote reference"/>
    <w:basedOn w:val="Fuentedeprrafopredeter"/>
    <w:semiHidden/>
    <w:unhideWhenUsed/>
    <w:rsid w:val="007F131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6221A1-C147-4C18-9661-DB4FC2032012}"/>
</file>

<file path=customXml/itemProps2.xml><?xml version="1.0" encoding="utf-8"?>
<ds:datastoreItem xmlns:ds="http://schemas.openxmlformats.org/officeDocument/2006/customXml" ds:itemID="{C5B02E66-3877-4C58-A737-5E181099B81D}"/>
</file>

<file path=customXml/itemProps3.xml><?xml version="1.0" encoding="utf-8"?>
<ds:datastoreItem xmlns:ds="http://schemas.openxmlformats.org/officeDocument/2006/customXml" ds:itemID="{E95FF001-4D51-4200-85BE-EBD84B4CEA78}"/>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4618</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Rivera</dc:creator>
  <cp:lastModifiedBy>Asnic</cp:lastModifiedBy>
  <cp:revision>3</cp:revision>
  <dcterms:created xsi:type="dcterms:W3CDTF">2012-09-04T04:03:00Z</dcterms:created>
  <dcterms:modified xsi:type="dcterms:W3CDTF">2015-05-19T03:21:00Z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