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58" w:rsidRPr="00BB3B27" w:rsidRDefault="00004958" w:rsidP="00CE1A5D">
      <w:pPr>
        <w:spacing w:line="360" w:lineRule="auto"/>
        <w:jc w:val="center"/>
        <w:rPr>
          <w:b/>
          <w:kern w:val="2"/>
          <w:sz w:val="28"/>
          <w:szCs w:val="28"/>
        </w:rPr>
      </w:pPr>
    </w:p>
    <w:p w:rsidR="001010F5" w:rsidRPr="00A72125" w:rsidRDefault="00BB3B27" w:rsidP="00C54925">
      <w:pPr>
        <w:spacing w:line="360" w:lineRule="auto"/>
        <w:jc w:val="center"/>
        <w:rPr>
          <w:b/>
          <w:kern w:val="2"/>
          <w:sz w:val="32"/>
          <w:szCs w:val="32"/>
        </w:rPr>
      </w:pPr>
      <w:r w:rsidRPr="00A72125">
        <w:rPr>
          <w:b/>
          <w:kern w:val="2"/>
          <w:sz w:val="32"/>
          <w:szCs w:val="32"/>
        </w:rPr>
        <w:t>REPORT</w:t>
      </w:r>
    </w:p>
    <w:p w:rsidR="00A72125" w:rsidRDefault="00A72125" w:rsidP="00CE1A5D">
      <w:pPr>
        <w:spacing w:line="360" w:lineRule="auto"/>
        <w:jc w:val="center"/>
        <w:rPr>
          <w:b/>
          <w:kern w:val="2"/>
          <w:sz w:val="28"/>
          <w:szCs w:val="28"/>
        </w:rPr>
      </w:pPr>
    </w:p>
    <w:p w:rsidR="00BB3B27" w:rsidRDefault="00CE1A5D" w:rsidP="00CE1A5D">
      <w:pPr>
        <w:spacing w:line="360" w:lineRule="auto"/>
        <w:jc w:val="center"/>
        <w:rPr>
          <w:b/>
          <w:kern w:val="2"/>
          <w:sz w:val="28"/>
          <w:szCs w:val="28"/>
        </w:rPr>
      </w:pPr>
      <w:r w:rsidRPr="00BB3B27">
        <w:rPr>
          <w:b/>
          <w:kern w:val="2"/>
          <w:sz w:val="28"/>
          <w:szCs w:val="28"/>
        </w:rPr>
        <w:t xml:space="preserve">TO THE SPECIAL RAPPORTEUR ON </w:t>
      </w:r>
    </w:p>
    <w:p w:rsidR="00CE1A5D" w:rsidRPr="00BB3B27" w:rsidRDefault="00CE1A5D" w:rsidP="00CE1A5D">
      <w:pPr>
        <w:spacing w:line="360" w:lineRule="auto"/>
        <w:jc w:val="center"/>
        <w:rPr>
          <w:b/>
          <w:kern w:val="2"/>
          <w:sz w:val="28"/>
          <w:szCs w:val="28"/>
        </w:rPr>
      </w:pPr>
      <w:r w:rsidRPr="00BB3B27">
        <w:rPr>
          <w:b/>
          <w:kern w:val="2"/>
          <w:sz w:val="28"/>
          <w:szCs w:val="28"/>
        </w:rPr>
        <w:t xml:space="preserve">THE RIGHTS OF PERSONS WITH DISABILITIES </w:t>
      </w:r>
    </w:p>
    <w:p w:rsidR="00CE1A5D" w:rsidRDefault="00CE1A5D" w:rsidP="00CE1A5D">
      <w:pPr>
        <w:spacing w:line="360" w:lineRule="auto"/>
        <w:jc w:val="center"/>
        <w:rPr>
          <w:b/>
          <w:kern w:val="2"/>
          <w:sz w:val="28"/>
          <w:szCs w:val="28"/>
        </w:rPr>
      </w:pPr>
      <w:r w:rsidRPr="00BB3B27">
        <w:rPr>
          <w:b/>
          <w:kern w:val="2"/>
          <w:sz w:val="28"/>
          <w:szCs w:val="28"/>
        </w:rPr>
        <w:t>UNITED NATIONS, GENEVA</w:t>
      </w:r>
    </w:p>
    <w:p w:rsidR="00FC7FA3" w:rsidRDefault="00FC7FA3" w:rsidP="00CE1A5D">
      <w:pPr>
        <w:spacing w:line="360" w:lineRule="auto"/>
        <w:jc w:val="center"/>
        <w:rPr>
          <w:b/>
          <w:kern w:val="2"/>
          <w:sz w:val="28"/>
          <w:szCs w:val="28"/>
        </w:rPr>
      </w:pPr>
    </w:p>
    <w:p w:rsidR="00FC7FA3" w:rsidRDefault="00FC7FA3" w:rsidP="00CE1A5D">
      <w:pPr>
        <w:spacing w:line="360" w:lineRule="auto"/>
        <w:jc w:val="center"/>
        <w:rPr>
          <w:b/>
          <w:kern w:val="2"/>
          <w:sz w:val="28"/>
          <w:szCs w:val="28"/>
        </w:rPr>
      </w:pPr>
    </w:p>
    <w:p w:rsidR="00FC7FA3" w:rsidRPr="00BB3B27" w:rsidRDefault="00FC7FA3" w:rsidP="00FC7FA3">
      <w:pPr>
        <w:spacing w:line="360" w:lineRule="auto"/>
        <w:jc w:val="center"/>
        <w:rPr>
          <w:b/>
          <w:kern w:val="2"/>
          <w:sz w:val="28"/>
          <w:szCs w:val="28"/>
        </w:rPr>
      </w:pPr>
      <w:r w:rsidRPr="00BB3B27">
        <w:rPr>
          <w:b/>
          <w:kern w:val="2"/>
          <w:sz w:val="28"/>
          <w:szCs w:val="28"/>
        </w:rPr>
        <w:t>MAY 2015</w:t>
      </w:r>
    </w:p>
    <w:p w:rsidR="00FC7FA3" w:rsidRDefault="00FC7FA3" w:rsidP="00CE1A5D">
      <w:pPr>
        <w:spacing w:line="360" w:lineRule="auto"/>
        <w:jc w:val="center"/>
        <w:rPr>
          <w:b/>
          <w:kern w:val="2"/>
          <w:sz w:val="28"/>
          <w:szCs w:val="28"/>
        </w:rPr>
      </w:pPr>
    </w:p>
    <w:p w:rsidR="00FC7FA3" w:rsidRDefault="00FC7FA3" w:rsidP="00CE1A5D">
      <w:pPr>
        <w:spacing w:line="360" w:lineRule="auto"/>
        <w:jc w:val="center"/>
        <w:rPr>
          <w:b/>
          <w:kern w:val="2"/>
          <w:sz w:val="28"/>
          <w:szCs w:val="28"/>
        </w:rPr>
      </w:pPr>
    </w:p>
    <w:p w:rsidR="00FC7FA3" w:rsidRPr="00BB3B27" w:rsidRDefault="00FC7FA3" w:rsidP="00CE1A5D">
      <w:pPr>
        <w:spacing w:line="360" w:lineRule="auto"/>
        <w:jc w:val="center"/>
        <w:rPr>
          <w:b/>
          <w:kern w:val="2"/>
          <w:sz w:val="28"/>
          <w:szCs w:val="28"/>
        </w:rPr>
      </w:pPr>
    </w:p>
    <w:p w:rsidR="00FC7FA3" w:rsidRDefault="00FC7FA3" w:rsidP="00FC7FA3">
      <w:pPr>
        <w:spacing w:line="360" w:lineRule="auto"/>
        <w:jc w:val="center"/>
        <w:rPr>
          <w:b/>
          <w:kern w:val="2"/>
          <w:sz w:val="28"/>
          <w:szCs w:val="28"/>
        </w:rPr>
      </w:pPr>
      <w:r>
        <w:rPr>
          <w:b/>
          <w:kern w:val="2"/>
          <w:sz w:val="28"/>
          <w:szCs w:val="28"/>
        </w:rPr>
        <w:t xml:space="preserve">FROM THE </w:t>
      </w:r>
    </w:p>
    <w:p w:rsidR="00FC7FA3" w:rsidRPr="00BB3B27" w:rsidRDefault="00FC7FA3" w:rsidP="00FC7FA3">
      <w:pPr>
        <w:spacing w:line="360" w:lineRule="auto"/>
        <w:jc w:val="center"/>
        <w:rPr>
          <w:b/>
          <w:kern w:val="2"/>
          <w:sz w:val="28"/>
          <w:szCs w:val="28"/>
        </w:rPr>
      </w:pPr>
      <w:r w:rsidRPr="00BB3B27">
        <w:rPr>
          <w:b/>
          <w:kern w:val="2"/>
          <w:sz w:val="28"/>
          <w:szCs w:val="28"/>
        </w:rPr>
        <w:t xml:space="preserve">DISABLED PERSONS ASSEMBLY </w:t>
      </w:r>
      <w:r w:rsidR="00D66A11">
        <w:rPr>
          <w:b/>
          <w:kern w:val="2"/>
          <w:sz w:val="28"/>
          <w:szCs w:val="28"/>
        </w:rPr>
        <w:t xml:space="preserve">(NZ) </w:t>
      </w:r>
      <w:r w:rsidRPr="00BB3B27">
        <w:rPr>
          <w:b/>
          <w:kern w:val="2"/>
          <w:sz w:val="28"/>
          <w:szCs w:val="28"/>
        </w:rPr>
        <w:t>INCORPORATED</w:t>
      </w:r>
    </w:p>
    <w:p w:rsidR="00FC7FA3" w:rsidRPr="00BB3B27" w:rsidRDefault="00FC7FA3" w:rsidP="00FC7FA3">
      <w:pPr>
        <w:spacing w:line="360" w:lineRule="auto"/>
        <w:jc w:val="center"/>
        <w:rPr>
          <w:b/>
          <w:kern w:val="2"/>
          <w:sz w:val="28"/>
          <w:szCs w:val="28"/>
        </w:rPr>
      </w:pPr>
      <w:r w:rsidRPr="00BB3B27">
        <w:rPr>
          <w:b/>
          <w:kern w:val="2"/>
          <w:sz w:val="28"/>
          <w:szCs w:val="28"/>
        </w:rPr>
        <w:t>NEW ZEALAND</w:t>
      </w:r>
    </w:p>
    <w:p w:rsidR="00833DC4" w:rsidRPr="00BB3B27" w:rsidRDefault="00833DC4" w:rsidP="00CE1A5D">
      <w:pPr>
        <w:spacing w:line="360" w:lineRule="auto"/>
        <w:jc w:val="center"/>
        <w:rPr>
          <w:b/>
          <w:kern w:val="2"/>
          <w:sz w:val="28"/>
          <w:szCs w:val="28"/>
        </w:rPr>
      </w:pPr>
    </w:p>
    <w:p w:rsidR="00CE1A5D" w:rsidRPr="00BB3B27" w:rsidRDefault="00CE1A5D" w:rsidP="00CE1A5D">
      <w:pPr>
        <w:spacing w:line="360" w:lineRule="auto"/>
        <w:jc w:val="center"/>
        <w:rPr>
          <w:b/>
          <w:kern w:val="2"/>
          <w:sz w:val="28"/>
          <w:szCs w:val="28"/>
        </w:rPr>
      </w:pPr>
    </w:p>
    <w:p w:rsidR="00CE1A5D" w:rsidRPr="00BB3B27" w:rsidRDefault="00CE1A5D" w:rsidP="00CE1A5D">
      <w:pPr>
        <w:spacing w:line="360" w:lineRule="auto"/>
        <w:jc w:val="center"/>
        <w:rPr>
          <w:b/>
          <w:kern w:val="2"/>
          <w:sz w:val="28"/>
          <w:szCs w:val="28"/>
        </w:rPr>
      </w:pPr>
    </w:p>
    <w:p w:rsidR="00CE1A5D" w:rsidRPr="00BB3B27" w:rsidRDefault="00CE1A5D" w:rsidP="00CE1A5D">
      <w:pPr>
        <w:spacing w:line="360" w:lineRule="auto"/>
        <w:jc w:val="center"/>
        <w:rPr>
          <w:b/>
          <w:kern w:val="2"/>
          <w:sz w:val="28"/>
          <w:szCs w:val="28"/>
        </w:rPr>
      </w:pPr>
    </w:p>
    <w:p w:rsidR="00CE1A5D" w:rsidRPr="00BB3B27" w:rsidRDefault="00CE1A5D" w:rsidP="00CE1A5D">
      <w:pPr>
        <w:spacing w:line="360" w:lineRule="auto"/>
        <w:jc w:val="center"/>
        <w:rPr>
          <w:b/>
          <w:kern w:val="2"/>
          <w:sz w:val="28"/>
          <w:szCs w:val="28"/>
        </w:rPr>
      </w:pPr>
    </w:p>
    <w:p w:rsidR="00CE1A5D" w:rsidRPr="00BB3B27" w:rsidRDefault="00CE1A5D" w:rsidP="00CE1A5D">
      <w:pPr>
        <w:spacing w:line="360" w:lineRule="auto"/>
        <w:jc w:val="center"/>
        <w:rPr>
          <w:b/>
          <w:kern w:val="2"/>
          <w:sz w:val="28"/>
          <w:szCs w:val="28"/>
        </w:rPr>
      </w:pPr>
    </w:p>
    <w:p w:rsidR="00CE1A5D" w:rsidRPr="00BB3B27" w:rsidRDefault="00CE1A5D" w:rsidP="00CE1A5D">
      <w:pPr>
        <w:spacing w:line="360" w:lineRule="auto"/>
        <w:jc w:val="center"/>
        <w:rPr>
          <w:b/>
          <w:kern w:val="2"/>
          <w:sz w:val="28"/>
          <w:szCs w:val="28"/>
        </w:rPr>
      </w:pPr>
    </w:p>
    <w:p w:rsidR="00CE1A5D" w:rsidRPr="00BB3B27" w:rsidRDefault="00CE1A5D" w:rsidP="00CE1A5D">
      <w:pPr>
        <w:spacing w:line="360" w:lineRule="auto"/>
        <w:jc w:val="center"/>
        <w:rPr>
          <w:b/>
          <w:kern w:val="2"/>
          <w:sz w:val="28"/>
          <w:szCs w:val="28"/>
        </w:rPr>
      </w:pPr>
    </w:p>
    <w:p w:rsidR="00BB3B27" w:rsidRPr="00D66A11" w:rsidRDefault="00CE1A5D" w:rsidP="00CE1A5D">
      <w:pPr>
        <w:spacing w:line="360" w:lineRule="auto"/>
        <w:jc w:val="center"/>
        <w:rPr>
          <w:b/>
          <w:kern w:val="2"/>
          <w:sz w:val="28"/>
          <w:szCs w:val="28"/>
        </w:rPr>
      </w:pPr>
      <w:r w:rsidRPr="00D66A11">
        <w:rPr>
          <w:b/>
          <w:kern w:val="2"/>
          <w:sz w:val="28"/>
          <w:szCs w:val="28"/>
        </w:rPr>
        <w:t>Report prepared</w:t>
      </w:r>
      <w:r w:rsidR="00BB3B27" w:rsidRPr="00D66A11">
        <w:rPr>
          <w:b/>
          <w:kern w:val="2"/>
          <w:sz w:val="28"/>
          <w:szCs w:val="28"/>
        </w:rPr>
        <w:t xml:space="preserve"> for the Disabled Persons Assembly </w:t>
      </w:r>
      <w:r w:rsidR="00D66A11" w:rsidRPr="00D66A11">
        <w:rPr>
          <w:b/>
          <w:kern w:val="2"/>
          <w:sz w:val="28"/>
          <w:szCs w:val="28"/>
        </w:rPr>
        <w:t>(</w:t>
      </w:r>
      <w:r w:rsidR="00BB3B27" w:rsidRPr="00D66A11">
        <w:rPr>
          <w:b/>
          <w:kern w:val="2"/>
          <w:sz w:val="28"/>
          <w:szCs w:val="28"/>
        </w:rPr>
        <w:t>NZ</w:t>
      </w:r>
      <w:r w:rsidR="00D66A11" w:rsidRPr="00D66A11">
        <w:rPr>
          <w:b/>
          <w:kern w:val="2"/>
          <w:sz w:val="28"/>
          <w:szCs w:val="28"/>
        </w:rPr>
        <w:t>) Inc</w:t>
      </w:r>
    </w:p>
    <w:p w:rsidR="00CE1A5D" w:rsidRPr="00D66A11" w:rsidRDefault="00CE1A5D" w:rsidP="00CE1A5D">
      <w:pPr>
        <w:spacing w:line="360" w:lineRule="auto"/>
        <w:jc w:val="center"/>
        <w:rPr>
          <w:b/>
          <w:kern w:val="2"/>
          <w:sz w:val="28"/>
          <w:szCs w:val="28"/>
        </w:rPr>
      </w:pPr>
      <w:proofErr w:type="gramStart"/>
      <w:r w:rsidRPr="00D66A11">
        <w:rPr>
          <w:b/>
          <w:kern w:val="2"/>
          <w:sz w:val="28"/>
          <w:szCs w:val="28"/>
        </w:rPr>
        <w:t>by</w:t>
      </w:r>
      <w:proofErr w:type="gramEnd"/>
      <w:r w:rsidRPr="00D66A11">
        <w:rPr>
          <w:b/>
          <w:kern w:val="2"/>
          <w:sz w:val="28"/>
          <w:szCs w:val="28"/>
        </w:rPr>
        <w:t xml:space="preserve"> Dr Heather Barnett</w:t>
      </w:r>
    </w:p>
    <w:p w:rsidR="00001B0D" w:rsidRDefault="00001B0D" w:rsidP="00CE1A5D">
      <w:pPr>
        <w:spacing w:line="360" w:lineRule="auto"/>
        <w:rPr>
          <w:b/>
          <w:kern w:val="2"/>
          <w:sz w:val="24"/>
          <w:szCs w:val="24"/>
        </w:rPr>
      </w:pPr>
    </w:p>
    <w:p w:rsidR="00001B0D" w:rsidRDefault="00001B0D" w:rsidP="00CE1A5D">
      <w:pPr>
        <w:spacing w:line="360" w:lineRule="auto"/>
        <w:rPr>
          <w:b/>
          <w:kern w:val="2"/>
          <w:sz w:val="24"/>
          <w:szCs w:val="24"/>
        </w:rPr>
      </w:pPr>
    </w:p>
    <w:p w:rsidR="00001B0D" w:rsidRDefault="00001B0D" w:rsidP="00CE1A5D">
      <w:pPr>
        <w:spacing w:line="360" w:lineRule="auto"/>
        <w:rPr>
          <w:b/>
          <w:kern w:val="2"/>
          <w:sz w:val="24"/>
          <w:szCs w:val="24"/>
        </w:rPr>
      </w:pPr>
    </w:p>
    <w:p w:rsidR="00783B5B" w:rsidRDefault="00783B5B" w:rsidP="00CE1A5D">
      <w:pPr>
        <w:spacing w:line="360" w:lineRule="auto"/>
        <w:rPr>
          <w:b/>
          <w:kern w:val="2"/>
          <w:sz w:val="24"/>
          <w:szCs w:val="24"/>
        </w:rPr>
      </w:pPr>
    </w:p>
    <w:p w:rsidR="00783B5B" w:rsidRDefault="00783B5B" w:rsidP="00CE1A5D">
      <w:pPr>
        <w:spacing w:line="360" w:lineRule="auto"/>
        <w:rPr>
          <w:b/>
          <w:kern w:val="2"/>
          <w:sz w:val="24"/>
          <w:szCs w:val="24"/>
        </w:rPr>
      </w:pPr>
    </w:p>
    <w:sdt>
      <w:sdtPr>
        <w:rPr>
          <w:caps w:val="0"/>
          <w:color w:val="auto"/>
          <w:spacing w:val="0"/>
          <w:sz w:val="20"/>
          <w:szCs w:val="20"/>
        </w:rPr>
        <w:id w:val="47011339"/>
        <w:docPartObj>
          <w:docPartGallery w:val="Table of Contents"/>
          <w:docPartUnique/>
        </w:docPartObj>
      </w:sdtPr>
      <w:sdtContent>
        <w:p w:rsidR="00832154" w:rsidRDefault="00832154">
          <w:pPr>
            <w:pStyle w:val="TOCHeading"/>
          </w:pPr>
          <w:r>
            <w:t>Contents</w:t>
          </w:r>
        </w:p>
        <w:p w:rsidR="00D23878" w:rsidRDefault="00620E3F">
          <w:pPr>
            <w:pStyle w:val="TOC1"/>
            <w:tabs>
              <w:tab w:val="right" w:leader="dot" w:pos="8494"/>
            </w:tabs>
            <w:rPr>
              <w:rFonts w:asciiTheme="minorHAnsi" w:eastAsiaTheme="minorEastAsia" w:hAnsiTheme="minorHAnsi" w:cstheme="minorBidi"/>
              <w:noProof/>
              <w:sz w:val="22"/>
              <w:szCs w:val="22"/>
              <w:lang w:val="en-NZ" w:eastAsia="en-NZ"/>
            </w:rPr>
          </w:pPr>
          <w:r>
            <w:fldChar w:fldCharType="begin"/>
          </w:r>
          <w:r w:rsidR="00832154">
            <w:instrText xml:space="preserve"> TOC \o "1-3" \h \z \u </w:instrText>
          </w:r>
          <w:r>
            <w:fldChar w:fldCharType="separate"/>
          </w:r>
          <w:hyperlink w:anchor="_Toc420885824" w:history="1">
            <w:r w:rsidR="00D23878" w:rsidRPr="00852194">
              <w:rPr>
                <w:rStyle w:val="Hyperlink"/>
                <w:noProof/>
              </w:rPr>
              <w:t>Introduction</w:t>
            </w:r>
            <w:r w:rsidR="00D23878">
              <w:rPr>
                <w:noProof/>
                <w:webHidden/>
              </w:rPr>
              <w:tab/>
            </w:r>
            <w:r w:rsidR="00D23878">
              <w:rPr>
                <w:noProof/>
                <w:webHidden/>
              </w:rPr>
              <w:fldChar w:fldCharType="begin"/>
            </w:r>
            <w:r w:rsidR="00D23878">
              <w:rPr>
                <w:noProof/>
                <w:webHidden/>
              </w:rPr>
              <w:instrText xml:space="preserve"> PAGEREF _Toc420885824 \h </w:instrText>
            </w:r>
            <w:r w:rsidR="00D23878">
              <w:rPr>
                <w:noProof/>
                <w:webHidden/>
              </w:rPr>
            </w:r>
            <w:r w:rsidR="00D23878">
              <w:rPr>
                <w:noProof/>
                <w:webHidden/>
              </w:rPr>
              <w:fldChar w:fldCharType="separate"/>
            </w:r>
            <w:r w:rsidR="00146E6B">
              <w:rPr>
                <w:noProof/>
                <w:webHidden/>
              </w:rPr>
              <w:t>4</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25" w:history="1">
            <w:r w:rsidR="00D23878" w:rsidRPr="00852194">
              <w:rPr>
                <w:rStyle w:val="Hyperlink"/>
                <w:noProof/>
              </w:rPr>
              <w:t>Disability statistics</w:t>
            </w:r>
            <w:r w:rsidR="00D23878">
              <w:rPr>
                <w:noProof/>
                <w:webHidden/>
              </w:rPr>
              <w:tab/>
            </w:r>
            <w:r w:rsidR="00D23878">
              <w:rPr>
                <w:noProof/>
                <w:webHidden/>
              </w:rPr>
              <w:fldChar w:fldCharType="begin"/>
            </w:r>
            <w:r w:rsidR="00D23878">
              <w:rPr>
                <w:noProof/>
                <w:webHidden/>
              </w:rPr>
              <w:instrText xml:space="preserve"> PAGEREF _Toc420885825 \h </w:instrText>
            </w:r>
            <w:r w:rsidR="00D23878">
              <w:rPr>
                <w:noProof/>
                <w:webHidden/>
              </w:rPr>
            </w:r>
            <w:r w:rsidR="00D23878">
              <w:rPr>
                <w:noProof/>
                <w:webHidden/>
              </w:rPr>
              <w:fldChar w:fldCharType="separate"/>
            </w:r>
            <w:r w:rsidR="00146E6B">
              <w:rPr>
                <w:noProof/>
                <w:webHidden/>
              </w:rPr>
              <w:t>5</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26" w:history="1">
            <w:r w:rsidR="00D23878" w:rsidRPr="00852194">
              <w:rPr>
                <w:rStyle w:val="Hyperlink"/>
                <w:noProof/>
                <w:kern w:val="2"/>
              </w:rPr>
              <w:t>Disability related health statistics</w:t>
            </w:r>
            <w:r w:rsidR="00D23878">
              <w:rPr>
                <w:noProof/>
                <w:webHidden/>
              </w:rPr>
              <w:tab/>
            </w:r>
            <w:r w:rsidR="00D23878">
              <w:rPr>
                <w:noProof/>
                <w:webHidden/>
              </w:rPr>
              <w:fldChar w:fldCharType="begin"/>
            </w:r>
            <w:r w:rsidR="00D23878">
              <w:rPr>
                <w:noProof/>
                <w:webHidden/>
              </w:rPr>
              <w:instrText xml:space="preserve"> PAGEREF _Toc420885826 \h </w:instrText>
            </w:r>
            <w:r w:rsidR="00D23878">
              <w:rPr>
                <w:noProof/>
                <w:webHidden/>
              </w:rPr>
            </w:r>
            <w:r w:rsidR="00D23878">
              <w:rPr>
                <w:noProof/>
                <w:webHidden/>
              </w:rPr>
              <w:fldChar w:fldCharType="separate"/>
            </w:r>
            <w:r w:rsidR="00146E6B">
              <w:rPr>
                <w:noProof/>
                <w:webHidden/>
              </w:rPr>
              <w:t>6</w:t>
            </w:r>
            <w:r w:rsidR="00D23878">
              <w:rPr>
                <w:noProof/>
                <w:webHidden/>
              </w:rPr>
              <w:fldChar w:fldCharType="end"/>
            </w:r>
          </w:hyperlink>
        </w:p>
        <w:p w:rsidR="00D23878" w:rsidRDefault="00C54925">
          <w:pPr>
            <w:pStyle w:val="TOC1"/>
            <w:tabs>
              <w:tab w:val="right" w:leader="dot" w:pos="8494"/>
            </w:tabs>
            <w:rPr>
              <w:rFonts w:asciiTheme="minorHAnsi" w:eastAsiaTheme="minorEastAsia" w:hAnsiTheme="minorHAnsi" w:cstheme="minorBidi"/>
              <w:noProof/>
              <w:sz w:val="22"/>
              <w:szCs w:val="22"/>
              <w:lang w:val="en-NZ" w:eastAsia="en-NZ"/>
            </w:rPr>
          </w:pPr>
          <w:hyperlink w:anchor="_Toc420885827" w:history="1">
            <w:r w:rsidR="00D23878" w:rsidRPr="00852194">
              <w:rPr>
                <w:rStyle w:val="Hyperlink"/>
                <w:noProof/>
              </w:rPr>
              <w:t>Institutional framework in charge of implementation</w:t>
            </w:r>
            <w:r w:rsidR="00D23878">
              <w:rPr>
                <w:noProof/>
                <w:webHidden/>
              </w:rPr>
              <w:tab/>
            </w:r>
            <w:r w:rsidR="00D23878">
              <w:rPr>
                <w:noProof/>
                <w:webHidden/>
              </w:rPr>
              <w:fldChar w:fldCharType="begin"/>
            </w:r>
            <w:r w:rsidR="00D23878">
              <w:rPr>
                <w:noProof/>
                <w:webHidden/>
              </w:rPr>
              <w:instrText xml:space="preserve"> PAGEREF _Toc420885827 \h </w:instrText>
            </w:r>
            <w:r w:rsidR="00D23878">
              <w:rPr>
                <w:noProof/>
                <w:webHidden/>
              </w:rPr>
            </w:r>
            <w:r w:rsidR="00D23878">
              <w:rPr>
                <w:noProof/>
                <w:webHidden/>
              </w:rPr>
              <w:fldChar w:fldCharType="separate"/>
            </w:r>
            <w:r w:rsidR="00146E6B">
              <w:rPr>
                <w:noProof/>
                <w:webHidden/>
              </w:rPr>
              <w:t>7</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28" w:history="1">
            <w:r w:rsidR="00D23878" w:rsidRPr="00852194">
              <w:rPr>
                <w:rStyle w:val="Hyperlink"/>
                <w:noProof/>
              </w:rPr>
              <w:t>Ministerial Committee on Disability Issues</w:t>
            </w:r>
            <w:r w:rsidR="00D23878">
              <w:rPr>
                <w:noProof/>
                <w:webHidden/>
              </w:rPr>
              <w:tab/>
            </w:r>
            <w:r w:rsidR="00D23878">
              <w:rPr>
                <w:noProof/>
                <w:webHidden/>
              </w:rPr>
              <w:fldChar w:fldCharType="begin"/>
            </w:r>
            <w:r w:rsidR="00D23878">
              <w:rPr>
                <w:noProof/>
                <w:webHidden/>
              </w:rPr>
              <w:instrText xml:space="preserve"> PAGEREF _Toc420885828 \h </w:instrText>
            </w:r>
            <w:r w:rsidR="00D23878">
              <w:rPr>
                <w:noProof/>
                <w:webHidden/>
              </w:rPr>
            </w:r>
            <w:r w:rsidR="00D23878">
              <w:rPr>
                <w:noProof/>
                <w:webHidden/>
              </w:rPr>
              <w:fldChar w:fldCharType="separate"/>
            </w:r>
            <w:r w:rsidR="00146E6B">
              <w:rPr>
                <w:noProof/>
                <w:webHidden/>
              </w:rPr>
              <w:t>7</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29" w:history="1">
            <w:r w:rsidR="00D23878" w:rsidRPr="00852194">
              <w:rPr>
                <w:rStyle w:val="Hyperlink"/>
                <w:noProof/>
              </w:rPr>
              <w:t>Chief Executives Group on Disability Issues</w:t>
            </w:r>
            <w:r w:rsidR="00D23878">
              <w:rPr>
                <w:noProof/>
                <w:webHidden/>
              </w:rPr>
              <w:tab/>
            </w:r>
            <w:r w:rsidR="00D23878">
              <w:rPr>
                <w:noProof/>
                <w:webHidden/>
              </w:rPr>
              <w:fldChar w:fldCharType="begin"/>
            </w:r>
            <w:r w:rsidR="00D23878">
              <w:rPr>
                <w:noProof/>
                <w:webHidden/>
              </w:rPr>
              <w:instrText xml:space="preserve"> PAGEREF _Toc420885829 \h </w:instrText>
            </w:r>
            <w:r w:rsidR="00D23878">
              <w:rPr>
                <w:noProof/>
                <w:webHidden/>
              </w:rPr>
            </w:r>
            <w:r w:rsidR="00D23878">
              <w:rPr>
                <w:noProof/>
                <w:webHidden/>
              </w:rPr>
              <w:fldChar w:fldCharType="separate"/>
            </w:r>
            <w:r w:rsidR="00146E6B">
              <w:rPr>
                <w:noProof/>
                <w:webHidden/>
              </w:rPr>
              <w:t>8</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30" w:history="1">
            <w:r w:rsidR="00D23878" w:rsidRPr="00852194">
              <w:rPr>
                <w:rStyle w:val="Hyperlink"/>
                <w:noProof/>
              </w:rPr>
              <w:t>The Office for Disability Issues</w:t>
            </w:r>
            <w:r w:rsidR="00D23878">
              <w:rPr>
                <w:noProof/>
                <w:webHidden/>
              </w:rPr>
              <w:tab/>
            </w:r>
            <w:r w:rsidR="00D23878">
              <w:rPr>
                <w:noProof/>
                <w:webHidden/>
              </w:rPr>
              <w:fldChar w:fldCharType="begin"/>
            </w:r>
            <w:r w:rsidR="00D23878">
              <w:rPr>
                <w:noProof/>
                <w:webHidden/>
              </w:rPr>
              <w:instrText xml:space="preserve"> PAGEREF _Toc420885830 \h </w:instrText>
            </w:r>
            <w:r w:rsidR="00D23878">
              <w:rPr>
                <w:noProof/>
                <w:webHidden/>
              </w:rPr>
            </w:r>
            <w:r w:rsidR="00D23878">
              <w:rPr>
                <w:noProof/>
                <w:webHidden/>
              </w:rPr>
              <w:fldChar w:fldCharType="separate"/>
            </w:r>
            <w:r w:rsidR="00146E6B">
              <w:rPr>
                <w:noProof/>
                <w:webHidden/>
              </w:rPr>
              <w:t>8</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31" w:history="1">
            <w:r w:rsidR="00D23878" w:rsidRPr="00852194">
              <w:rPr>
                <w:rStyle w:val="Hyperlink"/>
                <w:noProof/>
              </w:rPr>
              <w:t>Disabled Persons Organisations</w:t>
            </w:r>
            <w:r w:rsidR="00D23878">
              <w:rPr>
                <w:noProof/>
                <w:webHidden/>
              </w:rPr>
              <w:tab/>
            </w:r>
            <w:r w:rsidR="00D23878">
              <w:rPr>
                <w:noProof/>
                <w:webHidden/>
              </w:rPr>
              <w:fldChar w:fldCharType="begin"/>
            </w:r>
            <w:r w:rsidR="00D23878">
              <w:rPr>
                <w:noProof/>
                <w:webHidden/>
              </w:rPr>
              <w:instrText xml:space="preserve"> PAGEREF _Toc420885831 \h </w:instrText>
            </w:r>
            <w:r w:rsidR="00D23878">
              <w:rPr>
                <w:noProof/>
                <w:webHidden/>
              </w:rPr>
            </w:r>
            <w:r w:rsidR="00D23878">
              <w:rPr>
                <w:noProof/>
                <w:webHidden/>
              </w:rPr>
              <w:fldChar w:fldCharType="separate"/>
            </w:r>
            <w:r w:rsidR="00146E6B">
              <w:rPr>
                <w:noProof/>
                <w:webHidden/>
              </w:rPr>
              <w:t>9</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32" w:history="1">
            <w:r w:rsidR="00D23878" w:rsidRPr="00852194">
              <w:rPr>
                <w:rStyle w:val="Hyperlink"/>
                <w:noProof/>
              </w:rPr>
              <w:t>New Zealand Convention Coalition Monitoring Group</w:t>
            </w:r>
            <w:r w:rsidR="00D23878">
              <w:rPr>
                <w:noProof/>
                <w:webHidden/>
              </w:rPr>
              <w:tab/>
            </w:r>
            <w:r w:rsidR="00D23878">
              <w:rPr>
                <w:noProof/>
                <w:webHidden/>
              </w:rPr>
              <w:fldChar w:fldCharType="begin"/>
            </w:r>
            <w:r w:rsidR="00D23878">
              <w:rPr>
                <w:noProof/>
                <w:webHidden/>
              </w:rPr>
              <w:instrText xml:space="preserve"> PAGEREF _Toc420885832 \h </w:instrText>
            </w:r>
            <w:r w:rsidR="00D23878">
              <w:rPr>
                <w:noProof/>
                <w:webHidden/>
              </w:rPr>
            </w:r>
            <w:r w:rsidR="00D23878">
              <w:rPr>
                <w:noProof/>
                <w:webHidden/>
              </w:rPr>
              <w:fldChar w:fldCharType="separate"/>
            </w:r>
            <w:r w:rsidR="00146E6B">
              <w:rPr>
                <w:noProof/>
                <w:webHidden/>
              </w:rPr>
              <w:t>11</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33" w:history="1">
            <w:r w:rsidR="00D23878" w:rsidRPr="00852194">
              <w:rPr>
                <w:rStyle w:val="Hyperlink"/>
                <w:noProof/>
              </w:rPr>
              <w:t>Independent Monitoring Mechanism</w:t>
            </w:r>
            <w:r w:rsidR="00D23878">
              <w:rPr>
                <w:noProof/>
                <w:webHidden/>
              </w:rPr>
              <w:tab/>
            </w:r>
            <w:r w:rsidR="00D23878">
              <w:rPr>
                <w:noProof/>
                <w:webHidden/>
              </w:rPr>
              <w:fldChar w:fldCharType="begin"/>
            </w:r>
            <w:r w:rsidR="00D23878">
              <w:rPr>
                <w:noProof/>
                <w:webHidden/>
              </w:rPr>
              <w:instrText xml:space="preserve"> PAGEREF _Toc420885833 \h </w:instrText>
            </w:r>
            <w:r w:rsidR="00D23878">
              <w:rPr>
                <w:noProof/>
                <w:webHidden/>
              </w:rPr>
            </w:r>
            <w:r w:rsidR="00D23878">
              <w:rPr>
                <w:noProof/>
                <w:webHidden/>
              </w:rPr>
              <w:fldChar w:fldCharType="separate"/>
            </w:r>
            <w:r w:rsidR="00146E6B">
              <w:rPr>
                <w:noProof/>
                <w:webHidden/>
              </w:rPr>
              <w:t>11</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34" w:history="1">
            <w:r w:rsidR="00D23878" w:rsidRPr="00852194">
              <w:rPr>
                <w:rStyle w:val="Hyperlink"/>
                <w:noProof/>
              </w:rPr>
              <w:t>Māori Disability Leadership Group</w:t>
            </w:r>
            <w:r w:rsidR="00D23878">
              <w:rPr>
                <w:noProof/>
                <w:webHidden/>
              </w:rPr>
              <w:tab/>
            </w:r>
            <w:r w:rsidR="00D23878">
              <w:rPr>
                <w:noProof/>
                <w:webHidden/>
              </w:rPr>
              <w:fldChar w:fldCharType="begin"/>
            </w:r>
            <w:r w:rsidR="00D23878">
              <w:rPr>
                <w:noProof/>
                <w:webHidden/>
              </w:rPr>
              <w:instrText xml:space="preserve"> PAGEREF _Toc420885834 \h </w:instrText>
            </w:r>
            <w:r w:rsidR="00D23878">
              <w:rPr>
                <w:noProof/>
                <w:webHidden/>
              </w:rPr>
            </w:r>
            <w:r w:rsidR="00D23878">
              <w:rPr>
                <w:noProof/>
                <w:webHidden/>
              </w:rPr>
              <w:fldChar w:fldCharType="separate"/>
            </w:r>
            <w:r w:rsidR="00146E6B">
              <w:rPr>
                <w:noProof/>
                <w:webHidden/>
              </w:rPr>
              <w:t>12</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35" w:history="1">
            <w:r w:rsidR="00D23878" w:rsidRPr="00852194">
              <w:rPr>
                <w:rStyle w:val="Hyperlink"/>
                <w:noProof/>
              </w:rPr>
              <w:t>Faiva Ora National Leadership Group</w:t>
            </w:r>
            <w:r w:rsidR="00D23878">
              <w:rPr>
                <w:noProof/>
                <w:webHidden/>
              </w:rPr>
              <w:tab/>
            </w:r>
            <w:r w:rsidR="00D23878">
              <w:rPr>
                <w:noProof/>
                <w:webHidden/>
              </w:rPr>
              <w:fldChar w:fldCharType="begin"/>
            </w:r>
            <w:r w:rsidR="00D23878">
              <w:rPr>
                <w:noProof/>
                <w:webHidden/>
              </w:rPr>
              <w:instrText xml:space="preserve"> PAGEREF _Toc420885835 \h </w:instrText>
            </w:r>
            <w:r w:rsidR="00D23878">
              <w:rPr>
                <w:noProof/>
                <w:webHidden/>
              </w:rPr>
            </w:r>
            <w:r w:rsidR="00D23878">
              <w:rPr>
                <w:noProof/>
                <w:webHidden/>
              </w:rPr>
              <w:fldChar w:fldCharType="separate"/>
            </w:r>
            <w:r w:rsidR="00146E6B">
              <w:rPr>
                <w:noProof/>
                <w:webHidden/>
              </w:rPr>
              <w:t>12</w:t>
            </w:r>
            <w:r w:rsidR="00D23878">
              <w:rPr>
                <w:noProof/>
                <w:webHidden/>
              </w:rPr>
              <w:fldChar w:fldCharType="end"/>
            </w:r>
          </w:hyperlink>
        </w:p>
        <w:p w:rsidR="00D23878" w:rsidRDefault="00C54925">
          <w:pPr>
            <w:pStyle w:val="TOC1"/>
            <w:tabs>
              <w:tab w:val="right" w:leader="dot" w:pos="8494"/>
            </w:tabs>
            <w:rPr>
              <w:rFonts w:asciiTheme="minorHAnsi" w:eastAsiaTheme="minorEastAsia" w:hAnsiTheme="minorHAnsi" w:cstheme="minorBidi"/>
              <w:noProof/>
              <w:sz w:val="22"/>
              <w:szCs w:val="22"/>
              <w:lang w:val="en-NZ" w:eastAsia="en-NZ"/>
            </w:rPr>
          </w:pPr>
          <w:hyperlink w:anchor="_Toc420885836" w:history="1">
            <w:r w:rsidR="00D23878" w:rsidRPr="00852194">
              <w:rPr>
                <w:rStyle w:val="Hyperlink"/>
                <w:noProof/>
              </w:rPr>
              <w:t>Consultation and involvement - design, implementation &amp; monitoring social protection programmes</w:t>
            </w:r>
            <w:r w:rsidR="00D23878">
              <w:rPr>
                <w:noProof/>
                <w:webHidden/>
              </w:rPr>
              <w:tab/>
            </w:r>
            <w:r w:rsidR="00D23878">
              <w:rPr>
                <w:noProof/>
                <w:webHidden/>
              </w:rPr>
              <w:fldChar w:fldCharType="begin"/>
            </w:r>
            <w:r w:rsidR="00D23878">
              <w:rPr>
                <w:noProof/>
                <w:webHidden/>
              </w:rPr>
              <w:instrText xml:space="preserve"> PAGEREF _Toc420885836 \h </w:instrText>
            </w:r>
            <w:r w:rsidR="00D23878">
              <w:rPr>
                <w:noProof/>
                <w:webHidden/>
              </w:rPr>
            </w:r>
            <w:r w:rsidR="00D23878">
              <w:rPr>
                <w:noProof/>
                <w:webHidden/>
              </w:rPr>
              <w:fldChar w:fldCharType="separate"/>
            </w:r>
            <w:r w:rsidR="00146E6B">
              <w:rPr>
                <w:noProof/>
                <w:webHidden/>
              </w:rPr>
              <w:t>13</w:t>
            </w:r>
            <w:r w:rsidR="00D23878">
              <w:rPr>
                <w:noProof/>
                <w:webHidden/>
              </w:rPr>
              <w:fldChar w:fldCharType="end"/>
            </w:r>
          </w:hyperlink>
        </w:p>
        <w:p w:rsidR="00D23878" w:rsidRDefault="00C54925">
          <w:pPr>
            <w:pStyle w:val="TOC1"/>
            <w:tabs>
              <w:tab w:val="right" w:leader="dot" w:pos="8494"/>
            </w:tabs>
            <w:rPr>
              <w:rFonts w:asciiTheme="minorHAnsi" w:eastAsiaTheme="minorEastAsia" w:hAnsiTheme="minorHAnsi" w:cstheme="minorBidi"/>
              <w:noProof/>
              <w:sz w:val="22"/>
              <w:szCs w:val="22"/>
              <w:lang w:val="en-NZ" w:eastAsia="en-NZ"/>
            </w:rPr>
          </w:pPr>
          <w:hyperlink w:anchor="_Toc420885837" w:history="1">
            <w:r w:rsidR="00D23878" w:rsidRPr="00852194">
              <w:rPr>
                <w:rStyle w:val="Hyperlink"/>
                <w:noProof/>
              </w:rPr>
              <w:t>Institutional framework - areas for improvement</w:t>
            </w:r>
            <w:r w:rsidR="00D23878">
              <w:rPr>
                <w:noProof/>
                <w:webHidden/>
              </w:rPr>
              <w:tab/>
            </w:r>
            <w:r w:rsidR="00D23878">
              <w:rPr>
                <w:noProof/>
                <w:webHidden/>
              </w:rPr>
              <w:fldChar w:fldCharType="begin"/>
            </w:r>
            <w:r w:rsidR="00D23878">
              <w:rPr>
                <w:noProof/>
                <w:webHidden/>
              </w:rPr>
              <w:instrText xml:space="preserve"> PAGEREF _Toc420885837 \h </w:instrText>
            </w:r>
            <w:r w:rsidR="00D23878">
              <w:rPr>
                <w:noProof/>
                <w:webHidden/>
              </w:rPr>
            </w:r>
            <w:r w:rsidR="00D23878">
              <w:rPr>
                <w:noProof/>
                <w:webHidden/>
              </w:rPr>
              <w:fldChar w:fldCharType="separate"/>
            </w:r>
            <w:r w:rsidR="00146E6B">
              <w:rPr>
                <w:noProof/>
                <w:webHidden/>
              </w:rPr>
              <w:t>14</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38" w:history="1">
            <w:r w:rsidR="00D23878" w:rsidRPr="00852194">
              <w:rPr>
                <w:rStyle w:val="Hyperlink"/>
                <w:noProof/>
              </w:rPr>
              <w:t>Government Ministers and Chief Executives - knowledge and commitment</w:t>
            </w:r>
            <w:r w:rsidR="00D23878">
              <w:rPr>
                <w:noProof/>
                <w:webHidden/>
              </w:rPr>
              <w:tab/>
            </w:r>
            <w:r w:rsidR="00D23878">
              <w:rPr>
                <w:noProof/>
                <w:webHidden/>
              </w:rPr>
              <w:fldChar w:fldCharType="begin"/>
            </w:r>
            <w:r w:rsidR="00D23878">
              <w:rPr>
                <w:noProof/>
                <w:webHidden/>
              </w:rPr>
              <w:instrText xml:space="preserve"> PAGEREF _Toc420885838 \h </w:instrText>
            </w:r>
            <w:r w:rsidR="00D23878">
              <w:rPr>
                <w:noProof/>
                <w:webHidden/>
              </w:rPr>
            </w:r>
            <w:r w:rsidR="00D23878">
              <w:rPr>
                <w:noProof/>
                <w:webHidden/>
              </w:rPr>
              <w:fldChar w:fldCharType="separate"/>
            </w:r>
            <w:r w:rsidR="00146E6B">
              <w:rPr>
                <w:noProof/>
                <w:webHidden/>
              </w:rPr>
              <w:t>14</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39" w:history="1">
            <w:r w:rsidR="00D23878" w:rsidRPr="00852194">
              <w:rPr>
                <w:rStyle w:val="Hyperlink"/>
                <w:noProof/>
              </w:rPr>
              <w:t>Funding insecurity and inadequacy</w:t>
            </w:r>
            <w:r w:rsidR="00D23878">
              <w:rPr>
                <w:noProof/>
                <w:webHidden/>
              </w:rPr>
              <w:tab/>
            </w:r>
            <w:r w:rsidR="00D23878">
              <w:rPr>
                <w:noProof/>
                <w:webHidden/>
              </w:rPr>
              <w:fldChar w:fldCharType="begin"/>
            </w:r>
            <w:r w:rsidR="00D23878">
              <w:rPr>
                <w:noProof/>
                <w:webHidden/>
              </w:rPr>
              <w:instrText xml:space="preserve"> PAGEREF _Toc420885839 \h </w:instrText>
            </w:r>
            <w:r w:rsidR="00D23878">
              <w:rPr>
                <w:noProof/>
                <w:webHidden/>
              </w:rPr>
            </w:r>
            <w:r w:rsidR="00D23878">
              <w:rPr>
                <w:noProof/>
                <w:webHidden/>
              </w:rPr>
              <w:fldChar w:fldCharType="separate"/>
            </w:r>
            <w:r w:rsidR="00146E6B">
              <w:rPr>
                <w:noProof/>
                <w:webHidden/>
              </w:rPr>
              <w:t>14</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40" w:history="1">
            <w:r w:rsidR="00D23878" w:rsidRPr="00852194">
              <w:rPr>
                <w:rStyle w:val="Hyperlink"/>
                <w:noProof/>
              </w:rPr>
              <w:t>Independent Commissions - insecurity</w:t>
            </w:r>
            <w:r w:rsidR="00D23878">
              <w:rPr>
                <w:noProof/>
                <w:webHidden/>
              </w:rPr>
              <w:tab/>
            </w:r>
            <w:r w:rsidR="00D23878">
              <w:rPr>
                <w:noProof/>
                <w:webHidden/>
              </w:rPr>
              <w:fldChar w:fldCharType="begin"/>
            </w:r>
            <w:r w:rsidR="00D23878">
              <w:rPr>
                <w:noProof/>
                <w:webHidden/>
              </w:rPr>
              <w:instrText xml:space="preserve"> PAGEREF _Toc420885840 \h </w:instrText>
            </w:r>
            <w:r w:rsidR="00D23878">
              <w:rPr>
                <w:noProof/>
                <w:webHidden/>
              </w:rPr>
            </w:r>
            <w:r w:rsidR="00D23878">
              <w:rPr>
                <w:noProof/>
                <w:webHidden/>
              </w:rPr>
              <w:fldChar w:fldCharType="separate"/>
            </w:r>
            <w:r w:rsidR="00146E6B">
              <w:rPr>
                <w:noProof/>
                <w:webHidden/>
              </w:rPr>
              <w:t>15</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41" w:history="1">
            <w:r w:rsidR="00D23878" w:rsidRPr="00852194">
              <w:rPr>
                <w:rStyle w:val="Hyperlink"/>
                <w:noProof/>
              </w:rPr>
              <w:t xml:space="preserve">The </w:t>
            </w:r>
            <w:r w:rsidR="00D23878" w:rsidRPr="00852194">
              <w:rPr>
                <w:rStyle w:val="Hyperlink"/>
                <w:noProof/>
              </w:rPr>
              <w:t>U</w:t>
            </w:r>
            <w:r w:rsidR="00D23878" w:rsidRPr="00852194">
              <w:rPr>
                <w:rStyle w:val="Hyperlink"/>
                <w:noProof/>
              </w:rPr>
              <w:t>nited Nations Declaration on the Rights of Indigenous Peoples and the Treaty of Waitangi</w:t>
            </w:r>
            <w:r w:rsidR="00D23878">
              <w:rPr>
                <w:noProof/>
                <w:webHidden/>
              </w:rPr>
              <w:tab/>
            </w:r>
            <w:r w:rsidR="00D23878">
              <w:rPr>
                <w:noProof/>
                <w:webHidden/>
              </w:rPr>
              <w:fldChar w:fldCharType="begin"/>
            </w:r>
            <w:r w:rsidR="00D23878">
              <w:rPr>
                <w:noProof/>
                <w:webHidden/>
              </w:rPr>
              <w:instrText xml:space="preserve"> PAGEREF _Toc420885841 \h </w:instrText>
            </w:r>
            <w:r w:rsidR="00D23878">
              <w:rPr>
                <w:noProof/>
                <w:webHidden/>
              </w:rPr>
            </w:r>
            <w:r w:rsidR="00D23878">
              <w:rPr>
                <w:noProof/>
                <w:webHidden/>
              </w:rPr>
              <w:fldChar w:fldCharType="separate"/>
            </w:r>
            <w:r w:rsidR="00146E6B">
              <w:rPr>
                <w:noProof/>
                <w:webHidden/>
              </w:rPr>
              <w:t>16</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42" w:history="1">
            <w:r w:rsidR="00D23878" w:rsidRPr="00852194">
              <w:rPr>
                <w:rStyle w:val="Hyperlink"/>
                <w:noProof/>
              </w:rPr>
              <w:t>Māori specific strategies and action plans</w:t>
            </w:r>
            <w:r w:rsidR="00D23878">
              <w:rPr>
                <w:noProof/>
                <w:webHidden/>
              </w:rPr>
              <w:tab/>
            </w:r>
            <w:r w:rsidR="00D23878">
              <w:rPr>
                <w:noProof/>
                <w:webHidden/>
              </w:rPr>
              <w:fldChar w:fldCharType="begin"/>
            </w:r>
            <w:r w:rsidR="00D23878">
              <w:rPr>
                <w:noProof/>
                <w:webHidden/>
              </w:rPr>
              <w:instrText xml:space="preserve"> PAGEREF _Toc420885842 \h </w:instrText>
            </w:r>
            <w:r w:rsidR="00D23878">
              <w:rPr>
                <w:noProof/>
                <w:webHidden/>
              </w:rPr>
            </w:r>
            <w:r w:rsidR="00D23878">
              <w:rPr>
                <w:noProof/>
                <w:webHidden/>
              </w:rPr>
              <w:fldChar w:fldCharType="separate"/>
            </w:r>
            <w:r w:rsidR="00146E6B">
              <w:rPr>
                <w:noProof/>
                <w:webHidden/>
              </w:rPr>
              <w:t>16</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43" w:history="1">
            <w:r w:rsidR="00D23878" w:rsidRPr="00852194">
              <w:rPr>
                <w:rStyle w:val="Hyperlink"/>
                <w:noProof/>
              </w:rPr>
              <w:t>Pasifika specific Disability Action Plan</w:t>
            </w:r>
            <w:r w:rsidR="00D23878">
              <w:rPr>
                <w:noProof/>
                <w:webHidden/>
              </w:rPr>
              <w:tab/>
            </w:r>
            <w:r w:rsidR="00D23878">
              <w:rPr>
                <w:noProof/>
                <w:webHidden/>
              </w:rPr>
              <w:fldChar w:fldCharType="begin"/>
            </w:r>
            <w:r w:rsidR="00D23878">
              <w:rPr>
                <w:noProof/>
                <w:webHidden/>
              </w:rPr>
              <w:instrText xml:space="preserve"> PAGEREF _Toc420885843 \h </w:instrText>
            </w:r>
            <w:r w:rsidR="00D23878">
              <w:rPr>
                <w:noProof/>
                <w:webHidden/>
              </w:rPr>
            </w:r>
            <w:r w:rsidR="00D23878">
              <w:rPr>
                <w:noProof/>
                <w:webHidden/>
              </w:rPr>
              <w:fldChar w:fldCharType="separate"/>
            </w:r>
            <w:r w:rsidR="00146E6B">
              <w:rPr>
                <w:noProof/>
                <w:webHidden/>
              </w:rPr>
              <w:t>17</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44" w:history="1">
            <w:r w:rsidR="00D23878" w:rsidRPr="00852194">
              <w:rPr>
                <w:rStyle w:val="Hyperlink"/>
                <w:noProof/>
              </w:rPr>
              <w:t>Government-DPO structure</w:t>
            </w:r>
            <w:r w:rsidR="00D23878">
              <w:rPr>
                <w:noProof/>
                <w:webHidden/>
              </w:rPr>
              <w:tab/>
            </w:r>
            <w:r w:rsidR="00D23878">
              <w:rPr>
                <w:noProof/>
                <w:webHidden/>
              </w:rPr>
              <w:fldChar w:fldCharType="begin"/>
            </w:r>
            <w:r w:rsidR="00D23878">
              <w:rPr>
                <w:noProof/>
                <w:webHidden/>
              </w:rPr>
              <w:instrText xml:space="preserve"> PAGEREF _Toc420885844 \h </w:instrText>
            </w:r>
            <w:r w:rsidR="00D23878">
              <w:rPr>
                <w:noProof/>
                <w:webHidden/>
              </w:rPr>
            </w:r>
            <w:r w:rsidR="00D23878">
              <w:rPr>
                <w:noProof/>
                <w:webHidden/>
              </w:rPr>
              <w:fldChar w:fldCharType="separate"/>
            </w:r>
            <w:r w:rsidR="00146E6B">
              <w:rPr>
                <w:noProof/>
                <w:webHidden/>
              </w:rPr>
              <w:t>18</w:t>
            </w:r>
            <w:r w:rsidR="00D23878">
              <w:rPr>
                <w:noProof/>
                <w:webHidden/>
              </w:rPr>
              <w:fldChar w:fldCharType="end"/>
            </w:r>
          </w:hyperlink>
        </w:p>
        <w:p w:rsidR="00D23878" w:rsidRDefault="00C54925">
          <w:pPr>
            <w:pStyle w:val="TOC1"/>
            <w:tabs>
              <w:tab w:val="right" w:leader="dot" w:pos="8494"/>
            </w:tabs>
            <w:rPr>
              <w:rFonts w:asciiTheme="minorHAnsi" w:eastAsiaTheme="minorEastAsia" w:hAnsiTheme="minorHAnsi" w:cstheme="minorBidi"/>
              <w:noProof/>
              <w:sz w:val="22"/>
              <w:szCs w:val="22"/>
              <w:lang w:val="en-NZ" w:eastAsia="en-NZ"/>
            </w:rPr>
          </w:pPr>
          <w:hyperlink w:anchor="_Toc420885845" w:history="1">
            <w:r w:rsidR="00D23878" w:rsidRPr="00852194">
              <w:rPr>
                <w:rStyle w:val="Hyperlink"/>
                <w:noProof/>
              </w:rPr>
              <w:t>Disability specific social protections - good practice</w:t>
            </w:r>
            <w:r w:rsidR="00D23878">
              <w:rPr>
                <w:noProof/>
                <w:webHidden/>
              </w:rPr>
              <w:tab/>
            </w:r>
            <w:r w:rsidR="00D23878">
              <w:rPr>
                <w:noProof/>
                <w:webHidden/>
              </w:rPr>
              <w:fldChar w:fldCharType="begin"/>
            </w:r>
            <w:r w:rsidR="00D23878">
              <w:rPr>
                <w:noProof/>
                <w:webHidden/>
              </w:rPr>
              <w:instrText xml:space="preserve"> PAGEREF _Toc420885845 \h </w:instrText>
            </w:r>
            <w:r w:rsidR="00D23878">
              <w:rPr>
                <w:noProof/>
                <w:webHidden/>
              </w:rPr>
            </w:r>
            <w:r w:rsidR="00D23878">
              <w:rPr>
                <w:noProof/>
                <w:webHidden/>
              </w:rPr>
              <w:fldChar w:fldCharType="separate"/>
            </w:r>
            <w:r w:rsidR="00146E6B">
              <w:rPr>
                <w:noProof/>
                <w:webHidden/>
              </w:rPr>
              <w:t>19</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46" w:history="1">
            <w:r w:rsidR="00D23878" w:rsidRPr="00852194">
              <w:rPr>
                <w:rStyle w:val="Hyperlink"/>
                <w:noProof/>
              </w:rPr>
              <w:t>Enabling Good Lives</w:t>
            </w:r>
            <w:r w:rsidR="00D23878">
              <w:rPr>
                <w:noProof/>
                <w:webHidden/>
              </w:rPr>
              <w:tab/>
            </w:r>
            <w:r w:rsidR="00D23878">
              <w:rPr>
                <w:noProof/>
                <w:webHidden/>
              </w:rPr>
              <w:fldChar w:fldCharType="begin"/>
            </w:r>
            <w:r w:rsidR="00D23878">
              <w:rPr>
                <w:noProof/>
                <w:webHidden/>
              </w:rPr>
              <w:instrText xml:space="preserve"> PAGEREF _Toc420885846 \h </w:instrText>
            </w:r>
            <w:r w:rsidR="00D23878">
              <w:rPr>
                <w:noProof/>
                <w:webHidden/>
              </w:rPr>
            </w:r>
            <w:r w:rsidR="00D23878">
              <w:rPr>
                <w:noProof/>
                <w:webHidden/>
              </w:rPr>
              <w:fldChar w:fldCharType="separate"/>
            </w:r>
            <w:r w:rsidR="00146E6B">
              <w:rPr>
                <w:noProof/>
                <w:webHidden/>
              </w:rPr>
              <w:t>20</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47" w:history="1">
            <w:r w:rsidR="00D23878" w:rsidRPr="00852194">
              <w:rPr>
                <w:rStyle w:val="Hyperlink"/>
                <w:noProof/>
              </w:rPr>
              <w:t>The New Model</w:t>
            </w:r>
            <w:r w:rsidR="00D23878">
              <w:rPr>
                <w:noProof/>
                <w:webHidden/>
              </w:rPr>
              <w:tab/>
            </w:r>
            <w:r w:rsidR="00D23878">
              <w:rPr>
                <w:noProof/>
                <w:webHidden/>
              </w:rPr>
              <w:fldChar w:fldCharType="begin"/>
            </w:r>
            <w:r w:rsidR="00D23878">
              <w:rPr>
                <w:noProof/>
                <w:webHidden/>
              </w:rPr>
              <w:instrText xml:space="preserve"> PAGEREF _Toc420885847 \h </w:instrText>
            </w:r>
            <w:r w:rsidR="00D23878">
              <w:rPr>
                <w:noProof/>
                <w:webHidden/>
              </w:rPr>
            </w:r>
            <w:r w:rsidR="00D23878">
              <w:rPr>
                <w:noProof/>
                <w:webHidden/>
              </w:rPr>
              <w:fldChar w:fldCharType="separate"/>
            </w:r>
            <w:r w:rsidR="00146E6B">
              <w:rPr>
                <w:noProof/>
                <w:webHidden/>
              </w:rPr>
              <w:t>20</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48" w:history="1">
            <w:r w:rsidR="00D23878" w:rsidRPr="00852194">
              <w:rPr>
                <w:rStyle w:val="Hyperlink"/>
                <w:noProof/>
                <w:shd w:val="clear" w:color="auto" w:fill="FFFFFF"/>
              </w:rPr>
              <w:t>Enhanced Individualised Funding</w:t>
            </w:r>
            <w:r w:rsidR="00D23878">
              <w:rPr>
                <w:noProof/>
                <w:webHidden/>
              </w:rPr>
              <w:tab/>
            </w:r>
            <w:r w:rsidR="00D23878">
              <w:rPr>
                <w:noProof/>
                <w:webHidden/>
              </w:rPr>
              <w:fldChar w:fldCharType="begin"/>
            </w:r>
            <w:r w:rsidR="00D23878">
              <w:rPr>
                <w:noProof/>
                <w:webHidden/>
              </w:rPr>
              <w:instrText xml:space="preserve"> PAGEREF _Toc420885848 \h </w:instrText>
            </w:r>
            <w:r w:rsidR="00D23878">
              <w:rPr>
                <w:noProof/>
                <w:webHidden/>
              </w:rPr>
            </w:r>
            <w:r w:rsidR="00D23878">
              <w:rPr>
                <w:noProof/>
                <w:webHidden/>
              </w:rPr>
              <w:fldChar w:fldCharType="separate"/>
            </w:r>
            <w:r w:rsidR="00146E6B">
              <w:rPr>
                <w:noProof/>
                <w:webHidden/>
              </w:rPr>
              <w:t>20</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49" w:history="1">
            <w:r w:rsidR="00D23878" w:rsidRPr="00852194">
              <w:rPr>
                <w:rStyle w:val="Hyperlink"/>
                <w:noProof/>
              </w:rPr>
              <w:t>Individualised Funding</w:t>
            </w:r>
            <w:r w:rsidR="00D23878">
              <w:rPr>
                <w:noProof/>
                <w:webHidden/>
              </w:rPr>
              <w:tab/>
            </w:r>
            <w:r w:rsidR="00D23878">
              <w:rPr>
                <w:noProof/>
                <w:webHidden/>
              </w:rPr>
              <w:fldChar w:fldCharType="begin"/>
            </w:r>
            <w:r w:rsidR="00D23878">
              <w:rPr>
                <w:noProof/>
                <w:webHidden/>
              </w:rPr>
              <w:instrText xml:space="preserve"> PAGEREF _Toc420885849 \h </w:instrText>
            </w:r>
            <w:r w:rsidR="00D23878">
              <w:rPr>
                <w:noProof/>
                <w:webHidden/>
              </w:rPr>
            </w:r>
            <w:r w:rsidR="00D23878">
              <w:rPr>
                <w:noProof/>
                <w:webHidden/>
              </w:rPr>
              <w:fldChar w:fldCharType="separate"/>
            </w:r>
            <w:r w:rsidR="00146E6B">
              <w:rPr>
                <w:noProof/>
                <w:webHidden/>
              </w:rPr>
              <w:t>21</w:t>
            </w:r>
            <w:r w:rsidR="00D23878">
              <w:rPr>
                <w:noProof/>
                <w:webHidden/>
              </w:rPr>
              <w:fldChar w:fldCharType="end"/>
            </w:r>
          </w:hyperlink>
        </w:p>
        <w:p w:rsidR="00D23878" w:rsidRDefault="00C54925">
          <w:pPr>
            <w:pStyle w:val="TOC1"/>
            <w:tabs>
              <w:tab w:val="right" w:leader="dot" w:pos="8494"/>
            </w:tabs>
            <w:rPr>
              <w:rFonts w:asciiTheme="minorHAnsi" w:eastAsiaTheme="minorEastAsia" w:hAnsiTheme="minorHAnsi" w:cstheme="minorBidi"/>
              <w:noProof/>
              <w:sz w:val="22"/>
              <w:szCs w:val="22"/>
              <w:lang w:val="en-NZ" w:eastAsia="en-NZ"/>
            </w:rPr>
          </w:pPr>
          <w:hyperlink w:anchor="_Toc420885850" w:history="1">
            <w:r w:rsidR="00D23878" w:rsidRPr="00852194">
              <w:rPr>
                <w:rStyle w:val="Hyperlink"/>
                <w:noProof/>
              </w:rPr>
              <w:t>Social Protections - areas for improvement</w:t>
            </w:r>
            <w:r w:rsidR="00D23878">
              <w:rPr>
                <w:noProof/>
                <w:webHidden/>
              </w:rPr>
              <w:tab/>
            </w:r>
            <w:r w:rsidR="00D23878">
              <w:rPr>
                <w:noProof/>
                <w:webHidden/>
              </w:rPr>
              <w:fldChar w:fldCharType="begin"/>
            </w:r>
            <w:r w:rsidR="00D23878">
              <w:rPr>
                <w:noProof/>
                <w:webHidden/>
              </w:rPr>
              <w:instrText xml:space="preserve"> PAGEREF _Toc420885850 \h </w:instrText>
            </w:r>
            <w:r w:rsidR="00D23878">
              <w:rPr>
                <w:noProof/>
                <w:webHidden/>
              </w:rPr>
            </w:r>
            <w:r w:rsidR="00D23878">
              <w:rPr>
                <w:noProof/>
                <w:webHidden/>
              </w:rPr>
              <w:fldChar w:fldCharType="separate"/>
            </w:r>
            <w:r w:rsidR="00146E6B">
              <w:rPr>
                <w:noProof/>
                <w:webHidden/>
              </w:rPr>
              <w:t>21</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51" w:history="1">
            <w:r w:rsidR="00D23878" w:rsidRPr="00852194">
              <w:rPr>
                <w:rStyle w:val="Hyperlink"/>
                <w:noProof/>
              </w:rPr>
              <w:t>Statistics and data collection</w:t>
            </w:r>
            <w:r w:rsidR="00D23878">
              <w:rPr>
                <w:noProof/>
                <w:webHidden/>
              </w:rPr>
              <w:tab/>
            </w:r>
            <w:r w:rsidR="00D23878">
              <w:rPr>
                <w:noProof/>
                <w:webHidden/>
              </w:rPr>
              <w:fldChar w:fldCharType="begin"/>
            </w:r>
            <w:r w:rsidR="00D23878">
              <w:rPr>
                <w:noProof/>
                <w:webHidden/>
              </w:rPr>
              <w:instrText xml:space="preserve"> PAGEREF _Toc420885851 \h </w:instrText>
            </w:r>
            <w:r w:rsidR="00D23878">
              <w:rPr>
                <w:noProof/>
                <w:webHidden/>
              </w:rPr>
            </w:r>
            <w:r w:rsidR="00D23878">
              <w:rPr>
                <w:noProof/>
                <w:webHidden/>
              </w:rPr>
              <w:fldChar w:fldCharType="separate"/>
            </w:r>
            <w:r w:rsidR="00146E6B">
              <w:rPr>
                <w:noProof/>
                <w:webHidden/>
              </w:rPr>
              <w:t>21</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52" w:history="1">
            <w:r w:rsidR="00D23878" w:rsidRPr="00852194">
              <w:rPr>
                <w:rStyle w:val="Hyperlink"/>
                <w:noProof/>
              </w:rPr>
              <w:t>Disability sector and Mental Health sector</w:t>
            </w:r>
            <w:r w:rsidR="00D23878">
              <w:rPr>
                <w:noProof/>
                <w:webHidden/>
              </w:rPr>
              <w:tab/>
            </w:r>
            <w:r w:rsidR="00D23878">
              <w:rPr>
                <w:noProof/>
                <w:webHidden/>
              </w:rPr>
              <w:fldChar w:fldCharType="begin"/>
            </w:r>
            <w:r w:rsidR="00D23878">
              <w:rPr>
                <w:noProof/>
                <w:webHidden/>
              </w:rPr>
              <w:instrText xml:space="preserve"> PAGEREF _Toc420885852 \h </w:instrText>
            </w:r>
            <w:r w:rsidR="00D23878">
              <w:rPr>
                <w:noProof/>
                <w:webHidden/>
              </w:rPr>
            </w:r>
            <w:r w:rsidR="00D23878">
              <w:rPr>
                <w:noProof/>
                <w:webHidden/>
              </w:rPr>
              <w:fldChar w:fldCharType="separate"/>
            </w:r>
            <w:r w:rsidR="00146E6B">
              <w:rPr>
                <w:noProof/>
                <w:webHidden/>
              </w:rPr>
              <w:t>22</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53" w:history="1">
            <w:r w:rsidR="00D23878" w:rsidRPr="00852194">
              <w:rPr>
                <w:rStyle w:val="Hyperlink"/>
                <w:noProof/>
                <w:lang w:val="en-NZ"/>
              </w:rPr>
              <w:t>Mental Health (Compulsory Assessment and Treatment) Act 1993</w:t>
            </w:r>
            <w:r w:rsidR="00D23878">
              <w:rPr>
                <w:noProof/>
                <w:webHidden/>
              </w:rPr>
              <w:tab/>
            </w:r>
            <w:r w:rsidR="00D23878">
              <w:rPr>
                <w:noProof/>
                <w:webHidden/>
              </w:rPr>
              <w:fldChar w:fldCharType="begin"/>
            </w:r>
            <w:r w:rsidR="00D23878">
              <w:rPr>
                <w:noProof/>
                <w:webHidden/>
              </w:rPr>
              <w:instrText xml:space="preserve"> PAGEREF _Toc420885853 \h </w:instrText>
            </w:r>
            <w:r w:rsidR="00D23878">
              <w:rPr>
                <w:noProof/>
                <w:webHidden/>
              </w:rPr>
            </w:r>
            <w:r w:rsidR="00D23878">
              <w:rPr>
                <w:noProof/>
                <w:webHidden/>
              </w:rPr>
              <w:fldChar w:fldCharType="separate"/>
            </w:r>
            <w:r w:rsidR="00146E6B">
              <w:rPr>
                <w:noProof/>
                <w:webHidden/>
              </w:rPr>
              <w:t>22</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54" w:history="1">
            <w:r w:rsidR="00D23878" w:rsidRPr="00852194">
              <w:rPr>
                <w:rStyle w:val="Hyperlink"/>
                <w:noProof/>
              </w:rPr>
              <w:t>The Intellectual Disability (Compulsory Care and Rehabilitation) Act 2003</w:t>
            </w:r>
            <w:r w:rsidR="00D23878">
              <w:rPr>
                <w:noProof/>
                <w:webHidden/>
              </w:rPr>
              <w:tab/>
            </w:r>
            <w:r w:rsidR="00D23878">
              <w:rPr>
                <w:noProof/>
                <w:webHidden/>
              </w:rPr>
              <w:fldChar w:fldCharType="begin"/>
            </w:r>
            <w:r w:rsidR="00D23878">
              <w:rPr>
                <w:noProof/>
                <w:webHidden/>
              </w:rPr>
              <w:instrText xml:space="preserve"> PAGEREF _Toc420885854 \h </w:instrText>
            </w:r>
            <w:r w:rsidR="00D23878">
              <w:rPr>
                <w:noProof/>
                <w:webHidden/>
              </w:rPr>
            </w:r>
            <w:r w:rsidR="00D23878">
              <w:rPr>
                <w:noProof/>
                <w:webHidden/>
              </w:rPr>
              <w:fldChar w:fldCharType="separate"/>
            </w:r>
            <w:r w:rsidR="00146E6B">
              <w:rPr>
                <w:noProof/>
                <w:webHidden/>
              </w:rPr>
              <w:t>24</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55" w:history="1">
            <w:r w:rsidR="00D23878" w:rsidRPr="00852194">
              <w:rPr>
                <w:rStyle w:val="Hyperlink"/>
                <w:noProof/>
              </w:rPr>
              <w:t>Shorter life expectancy and poorer physical health outcomes</w:t>
            </w:r>
            <w:r w:rsidR="00D23878">
              <w:rPr>
                <w:noProof/>
                <w:webHidden/>
              </w:rPr>
              <w:tab/>
            </w:r>
            <w:r w:rsidR="00D23878">
              <w:rPr>
                <w:noProof/>
                <w:webHidden/>
              </w:rPr>
              <w:fldChar w:fldCharType="begin"/>
            </w:r>
            <w:r w:rsidR="00D23878">
              <w:rPr>
                <w:noProof/>
                <w:webHidden/>
              </w:rPr>
              <w:instrText xml:space="preserve"> PAGEREF _Toc420885855 \h </w:instrText>
            </w:r>
            <w:r w:rsidR="00D23878">
              <w:rPr>
                <w:noProof/>
                <w:webHidden/>
              </w:rPr>
            </w:r>
            <w:r w:rsidR="00D23878">
              <w:rPr>
                <w:noProof/>
                <w:webHidden/>
              </w:rPr>
              <w:fldChar w:fldCharType="separate"/>
            </w:r>
            <w:r w:rsidR="00146E6B">
              <w:rPr>
                <w:noProof/>
                <w:webHidden/>
              </w:rPr>
              <w:t>24</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56" w:history="1">
            <w:r w:rsidR="00D23878" w:rsidRPr="00852194">
              <w:rPr>
                <w:rStyle w:val="Hyperlink"/>
                <w:noProof/>
              </w:rPr>
              <w:t>Learning/intellectually disabled people’s access to justice</w:t>
            </w:r>
            <w:r w:rsidR="00D23878">
              <w:rPr>
                <w:noProof/>
                <w:webHidden/>
              </w:rPr>
              <w:tab/>
            </w:r>
            <w:r w:rsidR="00D23878">
              <w:rPr>
                <w:noProof/>
                <w:webHidden/>
              </w:rPr>
              <w:fldChar w:fldCharType="begin"/>
            </w:r>
            <w:r w:rsidR="00D23878">
              <w:rPr>
                <w:noProof/>
                <w:webHidden/>
              </w:rPr>
              <w:instrText xml:space="preserve"> PAGEREF _Toc420885856 \h </w:instrText>
            </w:r>
            <w:r w:rsidR="00D23878">
              <w:rPr>
                <w:noProof/>
                <w:webHidden/>
              </w:rPr>
            </w:r>
            <w:r w:rsidR="00D23878">
              <w:rPr>
                <w:noProof/>
                <w:webHidden/>
              </w:rPr>
              <w:fldChar w:fldCharType="separate"/>
            </w:r>
            <w:r w:rsidR="00146E6B">
              <w:rPr>
                <w:noProof/>
                <w:webHidden/>
              </w:rPr>
              <w:t>25</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57" w:history="1">
            <w:r w:rsidR="00D23878" w:rsidRPr="00852194">
              <w:rPr>
                <w:rStyle w:val="Hyperlink"/>
                <w:noProof/>
              </w:rPr>
              <w:t>Complaints and appeals mechanisms</w:t>
            </w:r>
            <w:r w:rsidR="00D23878">
              <w:rPr>
                <w:noProof/>
                <w:webHidden/>
              </w:rPr>
              <w:tab/>
            </w:r>
            <w:r w:rsidR="00D23878">
              <w:rPr>
                <w:noProof/>
                <w:webHidden/>
              </w:rPr>
              <w:fldChar w:fldCharType="begin"/>
            </w:r>
            <w:r w:rsidR="00D23878">
              <w:rPr>
                <w:noProof/>
                <w:webHidden/>
              </w:rPr>
              <w:instrText xml:space="preserve"> PAGEREF _Toc420885857 \h </w:instrText>
            </w:r>
            <w:r w:rsidR="00D23878">
              <w:rPr>
                <w:noProof/>
                <w:webHidden/>
              </w:rPr>
            </w:r>
            <w:r w:rsidR="00D23878">
              <w:rPr>
                <w:noProof/>
                <w:webHidden/>
              </w:rPr>
              <w:fldChar w:fldCharType="separate"/>
            </w:r>
            <w:r w:rsidR="00146E6B">
              <w:rPr>
                <w:noProof/>
                <w:webHidden/>
              </w:rPr>
              <w:t>25</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58" w:history="1">
            <w:r w:rsidR="00D23878" w:rsidRPr="00852194">
              <w:rPr>
                <w:rStyle w:val="Hyperlink"/>
                <w:noProof/>
              </w:rPr>
              <w:t>Reasonable Accommodation</w:t>
            </w:r>
            <w:r w:rsidR="00D23878">
              <w:rPr>
                <w:noProof/>
                <w:webHidden/>
              </w:rPr>
              <w:tab/>
            </w:r>
            <w:r w:rsidR="00D23878">
              <w:rPr>
                <w:noProof/>
                <w:webHidden/>
              </w:rPr>
              <w:fldChar w:fldCharType="begin"/>
            </w:r>
            <w:r w:rsidR="00D23878">
              <w:rPr>
                <w:noProof/>
                <w:webHidden/>
              </w:rPr>
              <w:instrText xml:space="preserve"> PAGEREF _Toc420885858 \h </w:instrText>
            </w:r>
            <w:r w:rsidR="00D23878">
              <w:rPr>
                <w:noProof/>
                <w:webHidden/>
              </w:rPr>
            </w:r>
            <w:r w:rsidR="00D23878">
              <w:rPr>
                <w:noProof/>
                <w:webHidden/>
              </w:rPr>
              <w:fldChar w:fldCharType="separate"/>
            </w:r>
            <w:r w:rsidR="00146E6B">
              <w:rPr>
                <w:noProof/>
                <w:webHidden/>
              </w:rPr>
              <w:t>26</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59" w:history="1">
            <w:r w:rsidR="00D23878" w:rsidRPr="00852194">
              <w:rPr>
                <w:rStyle w:val="Hyperlink"/>
                <w:noProof/>
              </w:rPr>
              <w:t>Housing insecurity, lack of affordability and inaccessibility</w:t>
            </w:r>
            <w:r w:rsidR="00D23878">
              <w:rPr>
                <w:noProof/>
                <w:webHidden/>
              </w:rPr>
              <w:tab/>
            </w:r>
            <w:r w:rsidR="00D23878">
              <w:rPr>
                <w:noProof/>
                <w:webHidden/>
              </w:rPr>
              <w:fldChar w:fldCharType="begin"/>
            </w:r>
            <w:r w:rsidR="00D23878">
              <w:rPr>
                <w:noProof/>
                <w:webHidden/>
              </w:rPr>
              <w:instrText xml:space="preserve"> PAGEREF _Toc420885859 \h </w:instrText>
            </w:r>
            <w:r w:rsidR="00D23878">
              <w:rPr>
                <w:noProof/>
                <w:webHidden/>
              </w:rPr>
            </w:r>
            <w:r w:rsidR="00D23878">
              <w:rPr>
                <w:noProof/>
                <w:webHidden/>
              </w:rPr>
              <w:fldChar w:fldCharType="separate"/>
            </w:r>
            <w:r w:rsidR="00146E6B">
              <w:rPr>
                <w:noProof/>
                <w:webHidden/>
              </w:rPr>
              <w:t>27</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60" w:history="1">
            <w:r w:rsidR="00D23878" w:rsidRPr="00852194">
              <w:rPr>
                <w:rStyle w:val="Hyperlink"/>
                <w:noProof/>
              </w:rPr>
              <w:t>Social and emergency housing</w:t>
            </w:r>
            <w:r w:rsidR="00D23878">
              <w:rPr>
                <w:noProof/>
                <w:webHidden/>
              </w:rPr>
              <w:tab/>
            </w:r>
            <w:r w:rsidR="00D23878">
              <w:rPr>
                <w:noProof/>
                <w:webHidden/>
              </w:rPr>
              <w:fldChar w:fldCharType="begin"/>
            </w:r>
            <w:r w:rsidR="00D23878">
              <w:rPr>
                <w:noProof/>
                <w:webHidden/>
              </w:rPr>
              <w:instrText xml:space="preserve"> PAGEREF _Toc420885860 \h </w:instrText>
            </w:r>
            <w:r w:rsidR="00D23878">
              <w:rPr>
                <w:noProof/>
                <w:webHidden/>
              </w:rPr>
            </w:r>
            <w:r w:rsidR="00D23878">
              <w:rPr>
                <w:noProof/>
                <w:webHidden/>
              </w:rPr>
              <w:fldChar w:fldCharType="separate"/>
            </w:r>
            <w:r w:rsidR="00146E6B">
              <w:rPr>
                <w:noProof/>
                <w:webHidden/>
              </w:rPr>
              <w:t>28</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61" w:history="1">
            <w:r w:rsidR="00D23878" w:rsidRPr="00852194">
              <w:rPr>
                <w:rStyle w:val="Hyperlink"/>
                <w:noProof/>
              </w:rPr>
              <w:t>Poverty</w:t>
            </w:r>
            <w:r w:rsidR="00D23878">
              <w:rPr>
                <w:noProof/>
                <w:webHidden/>
              </w:rPr>
              <w:tab/>
            </w:r>
            <w:r w:rsidR="00D23878">
              <w:rPr>
                <w:noProof/>
                <w:webHidden/>
              </w:rPr>
              <w:fldChar w:fldCharType="begin"/>
            </w:r>
            <w:r w:rsidR="00D23878">
              <w:rPr>
                <w:noProof/>
                <w:webHidden/>
              </w:rPr>
              <w:instrText xml:space="preserve"> PAGEREF _Toc420885861 \h </w:instrText>
            </w:r>
            <w:r w:rsidR="00D23878">
              <w:rPr>
                <w:noProof/>
                <w:webHidden/>
              </w:rPr>
            </w:r>
            <w:r w:rsidR="00D23878">
              <w:rPr>
                <w:noProof/>
                <w:webHidden/>
              </w:rPr>
              <w:fldChar w:fldCharType="separate"/>
            </w:r>
            <w:r w:rsidR="00146E6B">
              <w:rPr>
                <w:noProof/>
                <w:webHidden/>
              </w:rPr>
              <w:t>29</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62" w:history="1">
            <w:r w:rsidR="00D23878" w:rsidRPr="00852194">
              <w:rPr>
                <w:rStyle w:val="Hyperlink"/>
                <w:noProof/>
              </w:rPr>
              <w:t>Children and young people – poverty, abuse, family violence, violence at school</w:t>
            </w:r>
            <w:r w:rsidR="00D23878">
              <w:rPr>
                <w:noProof/>
                <w:webHidden/>
              </w:rPr>
              <w:tab/>
            </w:r>
            <w:r w:rsidR="00D23878">
              <w:rPr>
                <w:noProof/>
                <w:webHidden/>
              </w:rPr>
              <w:fldChar w:fldCharType="begin"/>
            </w:r>
            <w:r w:rsidR="00D23878">
              <w:rPr>
                <w:noProof/>
                <w:webHidden/>
              </w:rPr>
              <w:instrText xml:space="preserve"> PAGEREF _Toc420885862 \h </w:instrText>
            </w:r>
            <w:r w:rsidR="00D23878">
              <w:rPr>
                <w:noProof/>
                <w:webHidden/>
              </w:rPr>
            </w:r>
            <w:r w:rsidR="00D23878">
              <w:rPr>
                <w:noProof/>
                <w:webHidden/>
              </w:rPr>
              <w:fldChar w:fldCharType="separate"/>
            </w:r>
            <w:r w:rsidR="00146E6B">
              <w:rPr>
                <w:noProof/>
                <w:webHidden/>
              </w:rPr>
              <w:t>29</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63" w:history="1">
            <w:r w:rsidR="00D23878" w:rsidRPr="00852194">
              <w:rPr>
                <w:rStyle w:val="Hyperlink"/>
                <w:noProof/>
              </w:rPr>
              <w:t>Employment</w:t>
            </w:r>
            <w:r w:rsidR="00D23878">
              <w:rPr>
                <w:noProof/>
                <w:webHidden/>
              </w:rPr>
              <w:tab/>
            </w:r>
            <w:r w:rsidR="00D23878">
              <w:rPr>
                <w:noProof/>
                <w:webHidden/>
              </w:rPr>
              <w:fldChar w:fldCharType="begin"/>
            </w:r>
            <w:r w:rsidR="00D23878">
              <w:rPr>
                <w:noProof/>
                <w:webHidden/>
              </w:rPr>
              <w:instrText xml:space="preserve"> PAGEREF _Toc420885863 \h </w:instrText>
            </w:r>
            <w:r w:rsidR="00D23878">
              <w:rPr>
                <w:noProof/>
                <w:webHidden/>
              </w:rPr>
            </w:r>
            <w:r w:rsidR="00D23878">
              <w:rPr>
                <w:noProof/>
                <w:webHidden/>
              </w:rPr>
              <w:fldChar w:fldCharType="separate"/>
            </w:r>
            <w:r w:rsidR="00146E6B">
              <w:rPr>
                <w:noProof/>
                <w:webHidden/>
              </w:rPr>
              <w:t>30</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64" w:history="1">
            <w:r w:rsidR="00D23878" w:rsidRPr="00852194">
              <w:rPr>
                <w:rStyle w:val="Hyperlink"/>
                <w:noProof/>
              </w:rPr>
              <w:t>Education</w:t>
            </w:r>
            <w:r w:rsidR="00D23878">
              <w:rPr>
                <w:noProof/>
                <w:webHidden/>
              </w:rPr>
              <w:tab/>
            </w:r>
            <w:r w:rsidR="00D23878">
              <w:rPr>
                <w:noProof/>
                <w:webHidden/>
              </w:rPr>
              <w:fldChar w:fldCharType="begin"/>
            </w:r>
            <w:r w:rsidR="00D23878">
              <w:rPr>
                <w:noProof/>
                <w:webHidden/>
              </w:rPr>
              <w:instrText xml:space="preserve"> PAGEREF _Toc420885864 \h </w:instrText>
            </w:r>
            <w:r w:rsidR="00D23878">
              <w:rPr>
                <w:noProof/>
                <w:webHidden/>
              </w:rPr>
            </w:r>
            <w:r w:rsidR="00D23878">
              <w:rPr>
                <w:noProof/>
                <w:webHidden/>
              </w:rPr>
              <w:fldChar w:fldCharType="separate"/>
            </w:r>
            <w:r w:rsidR="00146E6B">
              <w:rPr>
                <w:noProof/>
                <w:webHidden/>
              </w:rPr>
              <w:t>31</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65" w:history="1">
            <w:r w:rsidR="00D23878" w:rsidRPr="00852194">
              <w:rPr>
                <w:rStyle w:val="Hyperlink"/>
                <w:noProof/>
              </w:rPr>
              <w:t>Accessibility</w:t>
            </w:r>
            <w:r w:rsidR="00D23878">
              <w:rPr>
                <w:noProof/>
                <w:webHidden/>
              </w:rPr>
              <w:tab/>
            </w:r>
            <w:r w:rsidR="00D23878">
              <w:rPr>
                <w:noProof/>
                <w:webHidden/>
              </w:rPr>
              <w:fldChar w:fldCharType="begin"/>
            </w:r>
            <w:r w:rsidR="00D23878">
              <w:rPr>
                <w:noProof/>
                <w:webHidden/>
              </w:rPr>
              <w:instrText xml:space="preserve"> PAGEREF _Toc420885865 \h </w:instrText>
            </w:r>
            <w:r w:rsidR="00D23878">
              <w:rPr>
                <w:noProof/>
                <w:webHidden/>
              </w:rPr>
            </w:r>
            <w:r w:rsidR="00D23878">
              <w:rPr>
                <w:noProof/>
                <w:webHidden/>
              </w:rPr>
              <w:fldChar w:fldCharType="separate"/>
            </w:r>
            <w:r w:rsidR="00146E6B">
              <w:rPr>
                <w:noProof/>
                <w:webHidden/>
              </w:rPr>
              <w:t>32</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66" w:history="1">
            <w:r w:rsidR="00D23878" w:rsidRPr="00852194">
              <w:rPr>
                <w:rStyle w:val="Hyperlink"/>
                <w:noProof/>
              </w:rPr>
              <w:t>Reducing stigma and discrimination</w:t>
            </w:r>
            <w:r w:rsidR="00D23878">
              <w:rPr>
                <w:noProof/>
                <w:webHidden/>
              </w:rPr>
              <w:tab/>
            </w:r>
            <w:r w:rsidR="00D23878">
              <w:rPr>
                <w:noProof/>
                <w:webHidden/>
              </w:rPr>
              <w:fldChar w:fldCharType="begin"/>
            </w:r>
            <w:r w:rsidR="00D23878">
              <w:rPr>
                <w:noProof/>
                <w:webHidden/>
              </w:rPr>
              <w:instrText xml:space="preserve"> PAGEREF _Toc420885866 \h </w:instrText>
            </w:r>
            <w:r w:rsidR="00D23878">
              <w:rPr>
                <w:noProof/>
                <w:webHidden/>
              </w:rPr>
            </w:r>
            <w:r w:rsidR="00D23878">
              <w:rPr>
                <w:noProof/>
                <w:webHidden/>
              </w:rPr>
              <w:fldChar w:fldCharType="separate"/>
            </w:r>
            <w:r w:rsidR="00146E6B">
              <w:rPr>
                <w:noProof/>
                <w:webHidden/>
              </w:rPr>
              <w:t>33</w:t>
            </w:r>
            <w:r w:rsidR="00D23878">
              <w:rPr>
                <w:noProof/>
                <w:webHidden/>
              </w:rPr>
              <w:fldChar w:fldCharType="end"/>
            </w:r>
          </w:hyperlink>
        </w:p>
        <w:p w:rsidR="00D23878" w:rsidRDefault="00C54925">
          <w:pPr>
            <w:pStyle w:val="TOC1"/>
            <w:tabs>
              <w:tab w:val="right" w:leader="dot" w:pos="8494"/>
            </w:tabs>
            <w:rPr>
              <w:rFonts w:asciiTheme="minorHAnsi" w:eastAsiaTheme="minorEastAsia" w:hAnsiTheme="minorHAnsi" w:cstheme="minorBidi"/>
              <w:noProof/>
              <w:sz w:val="22"/>
              <w:szCs w:val="22"/>
              <w:lang w:val="en-NZ" w:eastAsia="en-NZ"/>
            </w:rPr>
          </w:pPr>
          <w:hyperlink w:anchor="_Toc420885867" w:history="1">
            <w:r w:rsidR="00D23878" w:rsidRPr="00852194">
              <w:rPr>
                <w:rStyle w:val="Hyperlink"/>
                <w:noProof/>
              </w:rPr>
              <w:t>Disability-specific programmes</w:t>
            </w:r>
            <w:r w:rsidR="00D23878">
              <w:rPr>
                <w:noProof/>
                <w:webHidden/>
              </w:rPr>
              <w:tab/>
            </w:r>
            <w:r w:rsidR="00D23878">
              <w:rPr>
                <w:noProof/>
                <w:webHidden/>
              </w:rPr>
              <w:fldChar w:fldCharType="begin"/>
            </w:r>
            <w:r w:rsidR="00D23878">
              <w:rPr>
                <w:noProof/>
                <w:webHidden/>
              </w:rPr>
              <w:instrText xml:space="preserve"> PAGEREF _Toc420885867 \h </w:instrText>
            </w:r>
            <w:r w:rsidR="00D23878">
              <w:rPr>
                <w:noProof/>
                <w:webHidden/>
              </w:rPr>
            </w:r>
            <w:r w:rsidR="00D23878">
              <w:rPr>
                <w:noProof/>
                <w:webHidden/>
              </w:rPr>
              <w:fldChar w:fldCharType="separate"/>
            </w:r>
            <w:r w:rsidR="00146E6B">
              <w:rPr>
                <w:noProof/>
                <w:webHidden/>
              </w:rPr>
              <w:t>34</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68" w:history="1">
            <w:r w:rsidR="00D23878" w:rsidRPr="00852194">
              <w:rPr>
                <w:rStyle w:val="Hyperlink"/>
                <w:noProof/>
              </w:rPr>
              <w:t>Inequitable provisions</w:t>
            </w:r>
            <w:r w:rsidR="00D23878">
              <w:rPr>
                <w:noProof/>
                <w:webHidden/>
              </w:rPr>
              <w:tab/>
            </w:r>
            <w:r w:rsidR="00D23878">
              <w:rPr>
                <w:noProof/>
                <w:webHidden/>
              </w:rPr>
              <w:fldChar w:fldCharType="begin"/>
            </w:r>
            <w:r w:rsidR="00D23878">
              <w:rPr>
                <w:noProof/>
                <w:webHidden/>
              </w:rPr>
              <w:instrText xml:space="preserve"> PAGEREF _Toc420885868 \h </w:instrText>
            </w:r>
            <w:r w:rsidR="00D23878">
              <w:rPr>
                <w:noProof/>
                <w:webHidden/>
              </w:rPr>
            </w:r>
            <w:r w:rsidR="00D23878">
              <w:rPr>
                <w:noProof/>
                <w:webHidden/>
              </w:rPr>
              <w:fldChar w:fldCharType="separate"/>
            </w:r>
            <w:r w:rsidR="00146E6B">
              <w:rPr>
                <w:noProof/>
                <w:webHidden/>
              </w:rPr>
              <w:t>35</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69" w:history="1">
            <w:r w:rsidR="00D23878" w:rsidRPr="00852194">
              <w:rPr>
                <w:rStyle w:val="Hyperlink"/>
                <w:noProof/>
              </w:rPr>
              <w:t>Disability-sensitive training and awareness-raising for civil servants and/or external partners</w:t>
            </w:r>
            <w:r w:rsidR="00D23878">
              <w:rPr>
                <w:noProof/>
                <w:webHidden/>
              </w:rPr>
              <w:tab/>
            </w:r>
            <w:r w:rsidR="00D23878">
              <w:rPr>
                <w:noProof/>
                <w:webHidden/>
              </w:rPr>
              <w:fldChar w:fldCharType="begin"/>
            </w:r>
            <w:r w:rsidR="00D23878">
              <w:rPr>
                <w:noProof/>
                <w:webHidden/>
              </w:rPr>
              <w:instrText xml:space="preserve"> PAGEREF _Toc420885869 \h </w:instrText>
            </w:r>
            <w:r w:rsidR="00D23878">
              <w:rPr>
                <w:noProof/>
                <w:webHidden/>
              </w:rPr>
            </w:r>
            <w:r w:rsidR="00D23878">
              <w:rPr>
                <w:noProof/>
                <w:webHidden/>
              </w:rPr>
              <w:fldChar w:fldCharType="separate"/>
            </w:r>
            <w:r w:rsidR="00146E6B">
              <w:rPr>
                <w:noProof/>
                <w:webHidden/>
              </w:rPr>
              <w:t>36</w:t>
            </w:r>
            <w:r w:rsidR="00D23878">
              <w:rPr>
                <w:noProof/>
                <w:webHidden/>
              </w:rPr>
              <w:fldChar w:fldCharType="end"/>
            </w:r>
          </w:hyperlink>
        </w:p>
        <w:p w:rsidR="00D23878" w:rsidRDefault="00C54925">
          <w:pPr>
            <w:pStyle w:val="TOC2"/>
            <w:tabs>
              <w:tab w:val="right" w:leader="dot" w:pos="8494"/>
            </w:tabs>
            <w:rPr>
              <w:rFonts w:asciiTheme="minorHAnsi" w:eastAsiaTheme="minorEastAsia" w:hAnsiTheme="minorHAnsi" w:cstheme="minorBidi"/>
              <w:noProof/>
              <w:sz w:val="22"/>
              <w:szCs w:val="22"/>
              <w:lang w:val="en-NZ" w:eastAsia="en-NZ"/>
            </w:rPr>
          </w:pPr>
          <w:hyperlink w:anchor="_Toc420885870" w:history="1">
            <w:r w:rsidR="00D23878" w:rsidRPr="00852194">
              <w:rPr>
                <w:rStyle w:val="Hyperlink"/>
                <w:noProof/>
                <w:shd w:val="clear" w:color="auto" w:fill="FFFFFF"/>
              </w:rPr>
              <w:t>Definition of disability</w:t>
            </w:r>
            <w:r w:rsidR="00D23878">
              <w:rPr>
                <w:noProof/>
                <w:webHidden/>
              </w:rPr>
              <w:tab/>
            </w:r>
            <w:r w:rsidR="00D23878">
              <w:rPr>
                <w:noProof/>
                <w:webHidden/>
              </w:rPr>
              <w:fldChar w:fldCharType="begin"/>
            </w:r>
            <w:r w:rsidR="00D23878">
              <w:rPr>
                <w:noProof/>
                <w:webHidden/>
              </w:rPr>
              <w:instrText xml:space="preserve"> PAGEREF _Toc420885870 \h </w:instrText>
            </w:r>
            <w:r w:rsidR="00D23878">
              <w:rPr>
                <w:noProof/>
                <w:webHidden/>
              </w:rPr>
            </w:r>
            <w:r w:rsidR="00D23878">
              <w:rPr>
                <w:noProof/>
                <w:webHidden/>
              </w:rPr>
              <w:fldChar w:fldCharType="separate"/>
            </w:r>
            <w:r w:rsidR="00146E6B">
              <w:rPr>
                <w:noProof/>
                <w:webHidden/>
              </w:rPr>
              <w:t>37</w:t>
            </w:r>
            <w:r w:rsidR="00D23878">
              <w:rPr>
                <w:noProof/>
                <w:webHidden/>
              </w:rPr>
              <w:fldChar w:fldCharType="end"/>
            </w:r>
          </w:hyperlink>
        </w:p>
        <w:p w:rsidR="00D23878" w:rsidRDefault="00C54925">
          <w:pPr>
            <w:pStyle w:val="TOC1"/>
            <w:tabs>
              <w:tab w:val="right" w:leader="dot" w:pos="8494"/>
            </w:tabs>
            <w:rPr>
              <w:rFonts w:asciiTheme="minorHAnsi" w:eastAsiaTheme="minorEastAsia" w:hAnsiTheme="minorHAnsi" w:cstheme="minorBidi"/>
              <w:noProof/>
              <w:sz w:val="22"/>
              <w:szCs w:val="22"/>
              <w:lang w:val="en-NZ" w:eastAsia="en-NZ"/>
            </w:rPr>
          </w:pPr>
          <w:hyperlink w:anchor="_Toc420885871" w:history="1">
            <w:r w:rsidR="00D23878" w:rsidRPr="00852194">
              <w:rPr>
                <w:rStyle w:val="Hyperlink"/>
                <w:noProof/>
              </w:rPr>
              <w:t>Appendix 1 New Zealand legislation</w:t>
            </w:r>
            <w:r w:rsidR="00D23878">
              <w:rPr>
                <w:noProof/>
                <w:webHidden/>
              </w:rPr>
              <w:tab/>
            </w:r>
            <w:r w:rsidR="00D23878">
              <w:rPr>
                <w:noProof/>
                <w:webHidden/>
              </w:rPr>
              <w:fldChar w:fldCharType="begin"/>
            </w:r>
            <w:r w:rsidR="00D23878">
              <w:rPr>
                <w:noProof/>
                <w:webHidden/>
              </w:rPr>
              <w:instrText xml:space="preserve"> PAGEREF _Toc420885871 \h </w:instrText>
            </w:r>
            <w:r w:rsidR="00D23878">
              <w:rPr>
                <w:noProof/>
                <w:webHidden/>
              </w:rPr>
            </w:r>
            <w:r w:rsidR="00D23878">
              <w:rPr>
                <w:noProof/>
                <w:webHidden/>
              </w:rPr>
              <w:fldChar w:fldCharType="separate"/>
            </w:r>
            <w:r w:rsidR="00146E6B">
              <w:rPr>
                <w:noProof/>
                <w:webHidden/>
              </w:rPr>
              <w:t>39</w:t>
            </w:r>
            <w:r w:rsidR="00D23878">
              <w:rPr>
                <w:noProof/>
                <w:webHidden/>
              </w:rPr>
              <w:fldChar w:fldCharType="end"/>
            </w:r>
          </w:hyperlink>
        </w:p>
        <w:p w:rsidR="00D23878" w:rsidRDefault="00C54925">
          <w:pPr>
            <w:pStyle w:val="TOC1"/>
            <w:tabs>
              <w:tab w:val="right" w:leader="dot" w:pos="8494"/>
            </w:tabs>
            <w:rPr>
              <w:rFonts w:asciiTheme="minorHAnsi" w:eastAsiaTheme="minorEastAsia" w:hAnsiTheme="minorHAnsi" w:cstheme="minorBidi"/>
              <w:noProof/>
              <w:sz w:val="22"/>
              <w:szCs w:val="22"/>
              <w:lang w:val="en-NZ" w:eastAsia="en-NZ"/>
            </w:rPr>
          </w:pPr>
          <w:hyperlink w:anchor="_Toc420885872" w:history="1">
            <w:r w:rsidR="00D23878" w:rsidRPr="00852194">
              <w:rPr>
                <w:rStyle w:val="Hyperlink"/>
                <w:noProof/>
              </w:rPr>
              <w:t>Appendix 2 Social protections</w:t>
            </w:r>
            <w:r w:rsidR="00D23878">
              <w:rPr>
                <w:noProof/>
                <w:webHidden/>
              </w:rPr>
              <w:tab/>
            </w:r>
            <w:r w:rsidR="00D23878">
              <w:rPr>
                <w:noProof/>
                <w:webHidden/>
              </w:rPr>
              <w:fldChar w:fldCharType="begin"/>
            </w:r>
            <w:r w:rsidR="00D23878">
              <w:rPr>
                <w:noProof/>
                <w:webHidden/>
              </w:rPr>
              <w:instrText xml:space="preserve"> PAGEREF _Toc420885872 \h </w:instrText>
            </w:r>
            <w:r w:rsidR="00D23878">
              <w:rPr>
                <w:noProof/>
                <w:webHidden/>
              </w:rPr>
            </w:r>
            <w:r w:rsidR="00D23878">
              <w:rPr>
                <w:noProof/>
                <w:webHidden/>
              </w:rPr>
              <w:fldChar w:fldCharType="separate"/>
            </w:r>
            <w:r w:rsidR="00146E6B">
              <w:rPr>
                <w:noProof/>
                <w:webHidden/>
              </w:rPr>
              <w:t>40</w:t>
            </w:r>
            <w:r w:rsidR="00D23878">
              <w:rPr>
                <w:noProof/>
                <w:webHidden/>
              </w:rPr>
              <w:fldChar w:fldCharType="end"/>
            </w:r>
          </w:hyperlink>
        </w:p>
        <w:p w:rsidR="00832154" w:rsidRDefault="00620E3F">
          <w:r>
            <w:fldChar w:fldCharType="end"/>
          </w:r>
        </w:p>
      </w:sdtContent>
    </w:sdt>
    <w:p w:rsidR="00D379F4" w:rsidRDefault="00D379F4">
      <w:pPr>
        <w:spacing w:line="360" w:lineRule="auto"/>
        <w:rPr>
          <w:b/>
          <w:sz w:val="24"/>
          <w:szCs w:val="24"/>
        </w:rPr>
      </w:pPr>
      <w:r>
        <w:rPr>
          <w:b/>
          <w:sz w:val="24"/>
          <w:szCs w:val="24"/>
        </w:rPr>
        <w:br w:type="page"/>
      </w:r>
    </w:p>
    <w:p w:rsidR="00833DC4" w:rsidRPr="00833DC4" w:rsidRDefault="00833DC4" w:rsidP="001E366B">
      <w:pPr>
        <w:pStyle w:val="Heading1"/>
      </w:pPr>
      <w:bookmarkStart w:id="0" w:name="_Toc420885824"/>
      <w:r w:rsidRPr="00833DC4">
        <w:lastRenderedPageBreak/>
        <w:t>Introduction</w:t>
      </w:r>
      <w:bookmarkEnd w:id="0"/>
      <w:r w:rsidRPr="00833DC4">
        <w:t xml:space="preserve"> </w:t>
      </w:r>
    </w:p>
    <w:p w:rsidR="00833DC4" w:rsidRDefault="00833DC4" w:rsidP="00833DC4">
      <w:pPr>
        <w:rPr>
          <w:sz w:val="24"/>
          <w:szCs w:val="24"/>
        </w:rPr>
      </w:pPr>
    </w:p>
    <w:p w:rsidR="009863F0" w:rsidRDefault="009863F0" w:rsidP="00833DC4">
      <w:pPr>
        <w:rPr>
          <w:sz w:val="24"/>
          <w:szCs w:val="24"/>
        </w:rPr>
      </w:pPr>
    </w:p>
    <w:p w:rsidR="009863F0" w:rsidRPr="00561BAE" w:rsidRDefault="009863F0" w:rsidP="009863F0">
      <w:pPr>
        <w:pStyle w:val="ListParagraph"/>
        <w:ind w:left="993" w:right="1416"/>
        <w:jc w:val="both"/>
        <w:rPr>
          <w:b/>
          <w:sz w:val="24"/>
          <w:szCs w:val="24"/>
        </w:rPr>
      </w:pPr>
      <w:r w:rsidRPr="00CA01FC">
        <w:rPr>
          <w:b/>
          <w:sz w:val="24"/>
          <w:szCs w:val="24"/>
        </w:rPr>
        <w:t>New Zealand has a wide ran</w:t>
      </w:r>
      <w:r w:rsidR="00D66A11">
        <w:rPr>
          <w:b/>
          <w:sz w:val="24"/>
          <w:szCs w:val="24"/>
        </w:rPr>
        <w:t>ge of legislation and policies governing</w:t>
      </w:r>
      <w:r w:rsidRPr="00CA01FC">
        <w:rPr>
          <w:b/>
          <w:sz w:val="24"/>
          <w:szCs w:val="24"/>
        </w:rPr>
        <w:t xml:space="preserve"> mainstream and specific social protection programmes </w:t>
      </w:r>
      <w:r w:rsidR="00D66A11">
        <w:rPr>
          <w:b/>
          <w:sz w:val="24"/>
          <w:szCs w:val="24"/>
        </w:rPr>
        <w:t xml:space="preserve">for </w:t>
      </w:r>
      <w:r w:rsidRPr="00CA01FC">
        <w:rPr>
          <w:b/>
          <w:sz w:val="24"/>
          <w:szCs w:val="24"/>
        </w:rPr>
        <w:t>disabled people. There is, however, a significant disconnection between legislation and government policies, and resultant funding and practice.</w:t>
      </w:r>
      <w:r w:rsidRPr="00782B5E">
        <w:rPr>
          <w:sz w:val="24"/>
          <w:szCs w:val="24"/>
        </w:rPr>
        <w:t xml:space="preserve"> </w:t>
      </w:r>
      <w:r w:rsidRPr="00561BAE">
        <w:rPr>
          <w:b/>
          <w:sz w:val="24"/>
          <w:szCs w:val="24"/>
        </w:rPr>
        <w:t xml:space="preserve">New Zealand </w:t>
      </w:r>
      <w:r>
        <w:rPr>
          <w:b/>
          <w:sz w:val="24"/>
          <w:szCs w:val="24"/>
        </w:rPr>
        <w:t xml:space="preserve">also </w:t>
      </w:r>
      <w:r w:rsidRPr="00561BAE">
        <w:rPr>
          <w:b/>
          <w:sz w:val="24"/>
          <w:szCs w:val="24"/>
        </w:rPr>
        <w:t xml:space="preserve">has </w:t>
      </w:r>
      <w:r>
        <w:rPr>
          <w:b/>
          <w:sz w:val="24"/>
          <w:szCs w:val="24"/>
        </w:rPr>
        <w:t xml:space="preserve">specific </w:t>
      </w:r>
      <w:r w:rsidRPr="00561BAE">
        <w:rPr>
          <w:b/>
          <w:sz w:val="24"/>
          <w:szCs w:val="24"/>
        </w:rPr>
        <w:t>legislation</w:t>
      </w:r>
      <w:r>
        <w:rPr>
          <w:b/>
          <w:sz w:val="24"/>
          <w:szCs w:val="24"/>
        </w:rPr>
        <w:t>, policies and practices that violate</w:t>
      </w:r>
      <w:r w:rsidRPr="00561BAE">
        <w:rPr>
          <w:b/>
          <w:sz w:val="24"/>
          <w:szCs w:val="24"/>
        </w:rPr>
        <w:t xml:space="preserve"> the UNCRPD.</w:t>
      </w:r>
    </w:p>
    <w:p w:rsidR="009863F0" w:rsidRDefault="009863F0" w:rsidP="00833DC4">
      <w:pPr>
        <w:rPr>
          <w:sz w:val="24"/>
          <w:szCs w:val="24"/>
        </w:rPr>
      </w:pPr>
    </w:p>
    <w:p w:rsidR="009863F0" w:rsidRPr="00833DC4" w:rsidRDefault="009863F0" w:rsidP="00833DC4">
      <w:pPr>
        <w:rPr>
          <w:sz w:val="24"/>
          <w:szCs w:val="24"/>
        </w:rPr>
      </w:pPr>
    </w:p>
    <w:p w:rsidR="00833DC4" w:rsidRPr="00833DC4" w:rsidRDefault="00833DC4" w:rsidP="00BB3B27">
      <w:pPr>
        <w:jc w:val="both"/>
        <w:rPr>
          <w:sz w:val="24"/>
          <w:szCs w:val="24"/>
        </w:rPr>
      </w:pPr>
      <w:r w:rsidRPr="00833DC4">
        <w:rPr>
          <w:sz w:val="24"/>
          <w:szCs w:val="24"/>
        </w:rPr>
        <w:t>The Disabled Persons Assembly is New Zealand’s (DPA) national, pan-disability, disabled persons</w:t>
      </w:r>
      <w:r w:rsidR="00D379F4">
        <w:rPr>
          <w:sz w:val="24"/>
          <w:szCs w:val="24"/>
        </w:rPr>
        <w:t>’</w:t>
      </w:r>
      <w:r w:rsidRPr="00833DC4">
        <w:rPr>
          <w:sz w:val="24"/>
          <w:szCs w:val="24"/>
        </w:rPr>
        <w:t xml:space="preserve"> led organisation. The Disabled Persons Assembly has a membership of approximately 900 disabled people</w:t>
      </w:r>
      <w:r w:rsidR="00D379F4">
        <w:rPr>
          <w:sz w:val="24"/>
          <w:szCs w:val="24"/>
        </w:rPr>
        <w:t>,</w:t>
      </w:r>
      <w:r w:rsidRPr="00833DC4">
        <w:rPr>
          <w:sz w:val="24"/>
          <w:szCs w:val="24"/>
        </w:rPr>
        <w:t xml:space="preserve"> and parents or guardians of disabled people. We also have some 200 corporate members who represent or deliver services to disabled people. The DPA operates at a national level and has a network of regional assemblies throughout </w:t>
      </w:r>
      <w:proofErr w:type="spellStart"/>
      <w:r w:rsidRPr="00833DC4">
        <w:rPr>
          <w:sz w:val="24"/>
          <w:szCs w:val="24"/>
        </w:rPr>
        <w:t>Aotearoa</w:t>
      </w:r>
      <w:proofErr w:type="spellEnd"/>
      <w:r w:rsidRPr="00833DC4">
        <w:rPr>
          <w:sz w:val="24"/>
          <w:szCs w:val="24"/>
        </w:rPr>
        <w:t xml:space="preserve"> New Zealand. </w:t>
      </w:r>
    </w:p>
    <w:p w:rsidR="00833DC4" w:rsidRPr="00833DC4" w:rsidRDefault="00833DC4" w:rsidP="00BB3B27">
      <w:pPr>
        <w:jc w:val="both"/>
        <w:rPr>
          <w:sz w:val="24"/>
          <w:szCs w:val="24"/>
        </w:rPr>
      </w:pPr>
    </w:p>
    <w:p w:rsidR="00833DC4" w:rsidRPr="00833DC4" w:rsidRDefault="00833DC4" w:rsidP="00BB3B27">
      <w:pPr>
        <w:jc w:val="both"/>
        <w:rPr>
          <w:sz w:val="24"/>
          <w:szCs w:val="24"/>
        </w:rPr>
      </w:pPr>
      <w:r w:rsidRPr="00833DC4">
        <w:rPr>
          <w:sz w:val="24"/>
          <w:szCs w:val="24"/>
        </w:rPr>
        <w:t>The DPA</w:t>
      </w:r>
      <w:r w:rsidR="00D379F4">
        <w:rPr>
          <w:sz w:val="24"/>
          <w:szCs w:val="24"/>
        </w:rPr>
        <w:t xml:space="preserve"> works closely with </w:t>
      </w:r>
      <w:r w:rsidRPr="00833DC4">
        <w:rPr>
          <w:sz w:val="24"/>
          <w:szCs w:val="24"/>
        </w:rPr>
        <w:t>six other Disabled Persons Organisations (DPOs).</w:t>
      </w:r>
      <w:r w:rsidRPr="00833DC4">
        <w:rPr>
          <w:rStyle w:val="FootnoteReference"/>
          <w:sz w:val="24"/>
          <w:szCs w:val="24"/>
        </w:rPr>
        <w:footnoteReference w:id="1"/>
      </w:r>
      <w:r w:rsidRPr="00833DC4">
        <w:rPr>
          <w:sz w:val="24"/>
          <w:szCs w:val="24"/>
        </w:rPr>
        <w:t xml:space="preserve">The six </w:t>
      </w:r>
      <w:r w:rsidR="00D379F4">
        <w:rPr>
          <w:sz w:val="24"/>
          <w:szCs w:val="24"/>
        </w:rPr>
        <w:t xml:space="preserve">other </w:t>
      </w:r>
      <w:r w:rsidRPr="00833DC4">
        <w:rPr>
          <w:sz w:val="24"/>
          <w:szCs w:val="24"/>
        </w:rPr>
        <w:t xml:space="preserve">DPOs are disability-specific and include both </w:t>
      </w:r>
      <w:r w:rsidR="005F4A59">
        <w:rPr>
          <w:sz w:val="24"/>
          <w:szCs w:val="24"/>
        </w:rPr>
        <w:t>disabled and non-disabled members</w:t>
      </w:r>
      <w:r w:rsidRPr="00833DC4">
        <w:rPr>
          <w:sz w:val="24"/>
          <w:szCs w:val="24"/>
        </w:rPr>
        <w:t xml:space="preserve">. Altogether, the seven DPOs are represented on New </w:t>
      </w:r>
      <w:r w:rsidR="005F4A59">
        <w:rPr>
          <w:sz w:val="24"/>
          <w:szCs w:val="24"/>
        </w:rPr>
        <w:t>Zealand’s Convention Coalition Monitoring G</w:t>
      </w:r>
      <w:r w:rsidRPr="00833DC4">
        <w:rPr>
          <w:sz w:val="24"/>
          <w:szCs w:val="24"/>
        </w:rPr>
        <w:t>roup and work systemically to promote and monitor the implementation of the United Nations Convention on the Rights of Persons with Disabilities (UNCRPD).</w:t>
      </w:r>
    </w:p>
    <w:p w:rsidR="00833DC4" w:rsidRPr="00833DC4" w:rsidRDefault="00833DC4" w:rsidP="00BB3B27">
      <w:pPr>
        <w:jc w:val="both"/>
        <w:rPr>
          <w:sz w:val="24"/>
          <w:szCs w:val="24"/>
        </w:rPr>
      </w:pPr>
    </w:p>
    <w:p w:rsidR="00833DC4" w:rsidRPr="00833DC4" w:rsidRDefault="00833DC4" w:rsidP="00BB3B27">
      <w:pPr>
        <w:jc w:val="both"/>
        <w:rPr>
          <w:sz w:val="24"/>
          <w:szCs w:val="24"/>
        </w:rPr>
      </w:pPr>
      <w:r w:rsidRPr="00833DC4">
        <w:rPr>
          <w:sz w:val="24"/>
          <w:szCs w:val="24"/>
        </w:rPr>
        <w:t xml:space="preserve">The Disabled Persons Assembly acknowledges the immense and complex work </w:t>
      </w:r>
      <w:r w:rsidR="00D379F4">
        <w:rPr>
          <w:sz w:val="24"/>
          <w:szCs w:val="24"/>
        </w:rPr>
        <w:t xml:space="preserve">associated with the oversight of social protections for disabled people </w:t>
      </w:r>
      <w:r w:rsidRPr="00833DC4">
        <w:rPr>
          <w:sz w:val="24"/>
          <w:szCs w:val="24"/>
        </w:rPr>
        <w:t xml:space="preserve">and </w:t>
      </w:r>
      <w:r w:rsidR="00D379F4">
        <w:rPr>
          <w:sz w:val="24"/>
          <w:szCs w:val="24"/>
        </w:rPr>
        <w:t xml:space="preserve">implementation of </w:t>
      </w:r>
      <w:r w:rsidRPr="00833DC4">
        <w:rPr>
          <w:sz w:val="24"/>
          <w:szCs w:val="24"/>
        </w:rPr>
        <w:t>UNCRPD</w:t>
      </w:r>
      <w:r w:rsidR="001573C4">
        <w:rPr>
          <w:sz w:val="24"/>
          <w:szCs w:val="24"/>
        </w:rPr>
        <w:t>. This work is</w:t>
      </w:r>
      <w:r w:rsidRPr="00833DC4">
        <w:rPr>
          <w:sz w:val="24"/>
          <w:szCs w:val="24"/>
        </w:rPr>
        <w:t xml:space="preserve"> being led by the Ministerial Committee on Disability Issues</w:t>
      </w:r>
      <w:r w:rsidR="005F4A59">
        <w:rPr>
          <w:sz w:val="24"/>
          <w:szCs w:val="24"/>
        </w:rPr>
        <w:t>,</w:t>
      </w:r>
      <w:r w:rsidR="00AB001C">
        <w:rPr>
          <w:sz w:val="24"/>
          <w:szCs w:val="24"/>
        </w:rPr>
        <w:t xml:space="preserve"> with suppor</w:t>
      </w:r>
      <w:r w:rsidR="001573C4">
        <w:rPr>
          <w:sz w:val="24"/>
          <w:szCs w:val="24"/>
        </w:rPr>
        <w:t>t from the Chief Executives G</w:t>
      </w:r>
      <w:r w:rsidR="00AB001C">
        <w:rPr>
          <w:sz w:val="24"/>
          <w:szCs w:val="24"/>
        </w:rPr>
        <w:t>roup</w:t>
      </w:r>
      <w:r w:rsidR="001573C4">
        <w:rPr>
          <w:sz w:val="24"/>
          <w:szCs w:val="24"/>
        </w:rPr>
        <w:t xml:space="preserve"> on Disability Issues</w:t>
      </w:r>
      <w:r w:rsidRPr="00833DC4">
        <w:rPr>
          <w:sz w:val="24"/>
          <w:szCs w:val="24"/>
        </w:rPr>
        <w:t>. We also acknowledge the importance of having a Minister of Disability Issues and the pivotal role of the Office for Disability Issues</w:t>
      </w:r>
      <w:r w:rsidR="001573C4">
        <w:rPr>
          <w:sz w:val="24"/>
          <w:szCs w:val="24"/>
        </w:rPr>
        <w:t>. The Office</w:t>
      </w:r>
      <w:r w:rsidRPr="00833DC4">
        <w:rPr>
          <w:sz w:val="24"/>
          <w:szCs w:val="24"/>
        </w:rPr>
        <w:t xml:space="preserve"> </w:t>
      </w:r>
      <w:r w:rsidR="001573C4">
        <w:rPr>
          <w:sz w:val="24"/>
          <w:szCs w:val="24"/>
        </w:rPr>
        <w:t xml:space="preserve">works </w:t>
      </w:r>
      <w:r w:rsidRPr="00833DC4">
        <w:rPr>
          <w:sz w:val="24"/>
          <w:szCs w:val="24"/>
        </w:rPr>
        <w:t>across diverse portfolios</w:t>
      </w:r>
      <w:r w:rsidR="001573C4">
        <w:rPr>
          <w:sz w:val="24"/>
          <w:szCs w:val="24"/>
        </w:rPr>
        <w:t xml:space="preserve">. </w:t>
      </w:r>
      <w:r w:rsidRPr="00833DC4">
        <w:rPr>
          <w:sz w:val="24"/>
          <w:szCs w:val="24"/>
        </w:rPr>
        <w:t xml:space="preserve"> </w:t>
      </w:r>
      <w:r w:rsidR="001573C4">
        <w:rPr>
          <w:sz w:val="24"/>
          <w:szCs w:val="24"/>
        </w:rPr>
        <w:t xml:space="preserve">In conjunction with </w:t>
      </w:r>
      <w:r w:rsidRPr="00833DC4">
        <w:rPr>
          <w:sz w:val="24"/>
          <w:szCs w:val="24"/>
        </w:rPr>
        <w:t xml:space="preserve">a range of government agencies </w:t>
      </w:r>
      <w:r w:rsidR="001573C4">
        <w:rPr>
          <w:sz w:val="24"/>
          <w:szCs w:val="24"/>
        </w:rPr>
        <w:t xml:space="preserve">it </w:t>
      </w:r>
      <w:r w:rsidRPr="00833DC4">
        <w:rPr>
          <w:sz w:val="24"/>
          <w:szCs w:val="24"/>
        </w:rPr>
        <w:t>support</w:t>
      </w:r>
      <w:r w:rsidR="001573C4">
        <w:rPr>
          <w:sz w:val="24"/>
          <w:szCs w:val="24"/>
        </w:rPr>
        <w:t>s</w:t>
      </w:r>
      <w:r w:rsidRPr="00833DC4">
        <w:rPr>
          <w:sz w:val="24"/>
          <w:szCs w:val="24"/>
        </w:rPr>
        <w:t xml:space="preserve"> the social protections system </w:t>
      </w:r>
      <w:r w:rsidR="00DA1206">
        <w:rPr>
          <w:sz w:val="24"/>
          <w:szCs w:val="24"/>
        </w:rPr>
        <w:t xml:space="preserve">for disabled people and </w:t>
      </w:r>
      <w:r w:rsidR="005F4A59">
        <w:rPr>
          <w:sz w:val="24"/>
          <w:szCs w:val="24"/>
        </w:rPr>
        <w:t xml:space="preserve">the </w:t>
      </w:r>
      <w:r w:rsidR="00DA1206">
        <w:rPr>
          <w:sz w:val="24"/>
          <w:szCs w:val="24"/>
        </w:rPr>
        <w:t>implementation of the UNC</w:t>
      </w:r>
      <w:r w:rsidRPr="00833DC4">
        <w:rPr>
          <w:sz w:val="24"/>
          <w:szCs w:val="24"/>
        </w:rPr>
        <w:t xml:space="preserve">RPD. </w:t>
      </w:r>
      <w:r w:rsidR="00D379F4">
        <w:rPr>
          <w:sz w:val="24"/>
          <w:szCs w:val="24"/>
        </w:rPr>
        <w:t xml:space="preserve">We </w:t>
      </w:r>
      <w:r w:rsidR="00DA1206">
        <w:rPr>
          <w:sz w:val="24"/>
          <w:szCs w:val="24"/>
        </w:rPr>
        <w:t xml:space="preserve">also </w:t>
      </w:r>
      <w:r w:rsidR="00D379F4">
        <w:rPr>
          <w:sz w:val="24"/>
          <w:szCs w:val="24"/>
        </w:rPr>
        <w:t xml:space="preserve">highlight the </w:t>
      </w:r>
      <w:r w:rsidR="00D018DF">
        <w:rPr>
          <w:sz w:val="24"/>
          <w:szCs w:val="24"/>
        </w:rPr>
        <w:t>importance</w:t>
      </w:r>
      <w:r w:rsidR="00D379F4">
        <w:rPr>
          <w:sz w:val="24"/>
          <w:szCs w:val="24"/>
        </w:rPr>
        <w:t xml:space="preserve"> of the Human Rights Commission’</w:t>
      </w:r>
      <w:r w:rsidR="00DA1206">
        <w:rPr>
          <w:sz w:val="24"/>
          <w:szCs w:val="24"/>
        </w:rPr>
        <w:t>s</w:t>
      </w:r>
      <w:r w:rsidR="00D018DF">
        <w:rPr>
          <w:sz w:val="24"/>
          <w:szCs w:val="24"/>
        </w:rPr>
        <w:t>,</w:t>
      </w:r>
      <w:r w:rsidR="00DA1206">
        <w:rPr>
          <w:sz w:val="24"/>
          <w:szCs w:val="24"/>
        </w:rPr>
        <w:t xml:space="preserve"> </w:t>
      </w:r>
      <w:r w:rsidR="001573C4">
        <w:rPr>
          <w:sz w:val="24"/>
          <w:szCs w:val="24"/>
        </w:rPr>
        <w:t>Disability Commissioner</w:t>
      </w:r>
      <w:r w:rsidR="00DA1206">
        <w:rPr>
          <w:sz w:val="24"/>
          <w:szCs w:val="24"/>
        </w:rPr>
        <w:t>,</w:t>
      </w:r>
      <w:r w:rsidR="00D379F4">
        <w:rPr>
          <w:sz w:val="24"/>
          <w:szCs w:val="24"/>
        </w:rPr>
        <w:t xml:space="preserve"> and </w:t>
      </w:r>
      <w:r w:rsidR="00DA1206">
        <w:rPr>
          <w:sz w:val="24"/>
          <w:szCs w:val="24"/>
        </w:rPr>
        <w:t xml:space="preserve">the </w:t>
      </w:r>
      <w:r w:rsidR="00D379F4">
        <w:rPr>
          <w:sz w:val="24"/>
          <w:szCs w:val="24"/>
        </w:rPr>
        <w:t>importance of</w:t>
      </w:r>
      <w:r w:rsidR="00DA1206">
        <w:rPr>
          <w:sz w:val="24"/>
          <w:szCs w:val="24"/>
        </w:rPr>
        <w:t xml:space="preserve"> retaining</w:t>
      </w:r>
      <w:r w:rsidR="00D379F4">
        <w:rPr>
          <w:sz w:val="24"/>
          <w:szCs w:val="24"/>
        </w:rPr>
        <w:t xml:space="preserve"> this dedicated </w:t>
      </w:r>
      <w:r w:rsidR="00453DBB">
        <w:rPr>
          <w:sz w:val="24"/>
          <w:szCs w:val="24"/>
        </w:rPr>
        <w:t xml:space="preserve">disabled person led </w:t>
      </w:r>
      <w:r w:rsidR="00D379F4">
        <w:rPr>
          <w:sz w:val="24"/>
          <w:szCs w:val="24"/>
        </w:rPr>
        <w:t>position in future.</w:t>
      </w:r>
      <w:r w:rsidR="00DA1206">
        <w:rPr>
          <w:rStyle w:val="FootnoteReference"/>
          <w:sz w:val="24"/>
          <w:szCs w:val="24"/>
        </w:rPr>
        <w:footnoteReference w:id="2"/>
      </w:r>
      <w:r w:rsidR="00D379F4">
        <w:rPr>
          <w:sz w:val="24"/>
          <w:szCs w:val="24"/>
        </w:rPr>
        <w:t xml:space="preserve">  </w:t>
      </w:r>
    </w:p>
    <w:p w:rsidR="00CA01FC" w:rsidRDefault="00CA01FC" w:rsidP="00D018DF">
      <w:pPr>
        <w:pStyle w:val="ListParagraph"/>
        <w:ind w:left="0"/>
        <w:jc w:val="both"/>
        <w:rPr>
          <w:sz w:val="24"/>
          <w:szCs w:val="24"/>
        </w:rPr>
      </w:pPr>
    </w:p>
    <w:p w:rsidR="00D018DF" w:rsidRDefault="00561BAE" w:rsidP="00D018DF">
      <w:pPr>
        <w:pStyle w:val="ListParagraph"/>
        <w:ind w:left="0"/>
        <w:jc w:val="both"/>
        <w:rPr>
          <w:sz w:val="24"/>
          <w:szCs w:val="24"/>
        </w:rPr>
      </w:pPr>
      <w:r>
        <w:rPr>
          <w:sz w:val="24"/>
          <w:szCs w:val="24"/>
        </w:rPr>
        <w:t>While i</w:t>
      </w:r>
      <w:r w:rsidR="00D018DF">
        <w:rPr>
          <w:sz w:val="24"/>
          <w:szCs w:val="24"/>
        </w:rPr>
        <w:t xml:space="preserve">t is often the case that legislation </w:t>
      </w:r>
      <w:r>
        <w:rPr>
          <w:sz w:val="24"/>
          <w:szCs w:val="24"/>
        </w:rPr>
        <w:t xml:space="preserve">and policies are fairly sound, </w:t>
      </w:r>
      <w:r w:rsidR="00D018DF">
        <w:rPr>
          <w:sz w:val="24"/>
          <w:szCs w:val="24"/>
        </w:rPr>
        <w:t xml:space="preserve">funding is inadequate and insecure, and practice is </w:t>
      </w:r>
      <w:r>
        <w:rPr>
          <w:sz w:val="24"/>
          <w:szCs w:val="24"/>
        </w:rPr>
        <w:t xml:space="preserve">often </w:t>
      </w:r>
      <w:r w:rsidR="00D018DF">
        <w:rPr>
          <w:sz w:val="24"/>
          <w:szCs w:val="24"/>
        </w:rPr>
        <w:t xml:space="preserve">poor. The lack of funding and good practice has led to significant disparities in </w:t>
      </w:r>
      <w:r w:rsidR="00D018DF" w:rsidRPr="00782B5E">
        <w:rPr>
          <w:sz w:val="24"/>
          <w:szCs w:val="24"/>
        </w:rPr>
        <w:t>the social, economic and health outcomes of disabled people</w:t>
      </w:r>
      <w:r w:rsidR="00D018DF">
        <w:rPr>
          <w:sz w:val="24"/>
          <w:szCs w:val="24"/>
        </w:rPr>
        <w:t xml:space="preserve"> com</w:t>
      </w:r>
      <w:r>
        <w:rPr>
          <w:sz w:val="24"/>
          <w:szCs w:val="24"/>
        </w:rPr>
        <w:t xml:space="preserve">pared with non-disabled people. These adverse outcomes are </w:t>
      </w:r>
      <w:r w:rsidR="00D018DF">
        <w:rPr>
          <w:sz w:val="24"/>
          <w:szCs w:val="24"/>
        </w:rPr>
        <w:t xml:space="preserve">accentuated for indigenous and </w:t>
      </w:r>
      <w:proofErr w:type="spellStart"/>
      <w:r w:rsidR="00D018DF">
        <w:rPr>
          <w:sz w:val="24"/>
          <w:szCs w:val="24"/>
        </w:rPr>
        <w:t>Pasifika</w:t>
      </w:r>
      <w:proofErr w:type="spellEnd"/>
      <w:r w:rsidR="00D018DF">
        <w:rPr>
          <w:sz w:val="24"/>
          <w:szCs w:val="24"/>
        </w:rPr>
        <w:t xml:space="preserve"> disabled people, and disabled people living in high deprivation areas.</w:t>
      </w:r>
    </w:p>
    <w:p w:rsidR="00D018DF" w:rsidRPr="00833DC4" w:rsidRDefault="00D018DF" w:rsidP="00BB3B27">
      <w:pPr>
        <w:jc w:val="both"/>
        <w:rPr>
          <w:sz w:val="24"/>
          <w:szCs w:val="24"/>
        </w:rPr>
      </w:pPr>
    </w:p>
    <w:p w:rsidR="00B72196" w:rsidRDefault="00833DC4" w:rsidP="00BB3B27">
      <w:pPr>
        <w:jc w:val="both"/>
        <w:rPr>
          <w:sz w:val="24"/>
          <w:szCs w:val="24"/>
        </w:rPr>
      </w:pPr>
      <w:r w:rsidRPr="00833DC4">
        <w:rPr>
          <w:sz w:val="24"/>
          <w:szCs w:val="24"/>
        </w:rPr>
        <w:lastRenderedPageBreak/>
        <w:t>Our response to the</w:t>
      </w:r>
      <w:r w:rsidR="00453DBB">
        <w:rPr>
          <w:sz w:val="24"/>
          <w:szCs w:val="24"/>
        </w:rPr>
        <w:t xml:space="preserve"> request from the special rapporteur</w:t>
      </w:r>
      <w:r w:rsidRPr="00833DC4">
        <w:rPr>
          <w:sz w:val="24"/>
          <w:szCs w:val="24"/>
        </w:rPr>
        <w:t xml:space="preserve"> </w:t>
      </w:r>
      <w:r w:rsidR="00D018DF">
        <w:rPr>
          <w:sz w:val="24"/>
          <w:szCs w:val="24"/>
        </w:rPr>
        <w:t xml:space="preserve">reflects some of this disjuncture. </w:t>
      </w:r>
      <w:r w:rsidRPr="00833DC4">
        <w:rPr>
          <w:sz w:val="24"/>
          <w:szCs w:val="24"/>
        </w:rPr>
        <w:t xml:space="preserve">It also reflects the complex relationships between social, economic and cultural factors that adversely affect disabled people’s quality of life, our ability to participate as equal members of society, and our full citizenship. We acknowledge that these issues are complex.  </w:t>
      </w:r>
    </w:p>
    <w:p w:rsidR="00B72196" w:rsidRDefault="00B72196" w:rsidP="00BB3B27">
      <w:pPr>
        <w:jc w:val="both"/>
        <w:rPr>
          <w:sz w:val="24"/>
          <w:szCs w:val="24"/>
        </w:rPr>
      </w:pPr>
    </w:p>
    <w:p w:rsidR="00833DC4" w:rsidRPr="00CA01FC" w:rsidRDefault="00833DC4" w:rsidP="00BB3B27">
      <w:pPr>
        <w:jc w:val="both"/>
        <w:rPr>
          <w:sz w:val="24"/>
          <w:szCs w:val="24"/>
        </w:rPr>
      </w:pPr>
      <w:r w:rsidRPr="00CA01FC">
        <w:rPr>
          <w:sz w:val="24"/>
          <w:szCs w:val="24"/>
        </w:rPr>
        <w:t>Nonetheless, we draw your attention to the</w:t>
      </w:r>
      <w:r w:rsidR="00D018DF" w:rsidRPr="00CA01FC">
        <w:rPr>
          <w:sz w:val="24"/>
          <w:szCs w:val="24"/>
        </w:rPr>
        <w:t xml:space="preserve"> importance of ensuring a whole-</w:t>
      </w:r>
      <w:r w:rsidRPr="00CA01FC">
        <w:rPr>
          <w:sz w:val="24"/>
          <w:szCs w:val="24"/>
        </w:rPr>
        <w:t>of</w:t>
      </w:r>
      <w:r w:rsidR="00D018DF" w:rsidRPr="00CA01FC">
        <w:rPr>
          <w:sz w:val="24"/>
          <w:szCs w:val="24"/>
        </w:rPr>
        <w:t>-</w:t>
      </w:r>
      <w:r w:rsidRPr="00CA01FC">
        <w:rPr>
          <w:sz w:val="24"/>
          <w:szCs w:val="24"/>
        </w:rPr>
        <w:t xml:space="preserve">government approach to effectively </w:t>
      </w:r>
      <w:r w:rsidR="00A37DE6" w:rsidRPr="00CA01FC">
        <w:rPr>
          <w:sz w:val="24"/>
          <w:szCs w:val="24"/>
        </w:rPr>
        <w:t xml:space="preserve">ensure </w:t>
      </w:r>
      <w:r w:rsidRPr="00CA01FC">
        <w:rPr>
          <w:sz w:val="24"/>
          <w:szCs w:val="24"/>
        </w:rPr>
        <w:t>a social protections system</w:t>
      </w:r>
      <w:r w:rsidR="00D379F4" w:rsidRPr="00CA01FC">
        <w:rPr>
          <w:sz w:val="24"/>
          <w:szCs w:val="24"/>
        </w:rPr>
        <w:t xml:space="preserve"> that </w:t>
      </w:r>
      <w:r w:rsidR="00A37DE6" w:rsidRPr="00CA01FC">
        <w:rPr>
          <w:sz w:val="24"/>
          <w:szCs w:val="24"/>
        </w:rPr>
        <w:t>is ab</w:t>
      </w:r>
      <w:r w:rsidR="005F4A59" w:rsidRPr="00CA01FC">
        <w:rPr>
          <w:sz w:val="24"/>
          <w:szCs w:val="24"/>
        </w:rPr>
        <w:t xml:space="preserve">le to deliver on </w:t>
      </w:r>
      <w:r w:rsidR="00227C70" w:rsidRPr="00CA01FC">
        <w:rPr>
          <w:sz w:val="24"/>
          <w:szCs w:val="24"/>
        </w:rPr>
        <w:t xml:space="preserve">the </w:t>
      </w:r>
      <w:r w:rsidR="005F4A59" w:rsidRPr="00CA01FC">
        <w:rPr>
          <w:sz w:val="24"/>
          <w:szCs w:val="24"/>
        </w:rPr>
        <w:t xml:space="preserve">implementation of </w:t>
      </w:r>
      <w:r w:rsidR="00A37DE6" w:rsidRPr="00CA01FC">
        <w:rPr>
          <w:sz w:val="24"/>
          <w:szCs w:val="24"/>
        </w:rPr>
        <w:t xml:space="preserve">the </w:t>
      </w:r>
      <w:r w:rsidRPr="00CA01FC">
        <w:rPr>
          <w:sz w:val="24"/>
          <w:szCs w:val="24"/>
        </w:rPr>
        <w:t>UNCRPD</w:t>
      </w:r>
      <w:r w:rsidR="00A37DE6" w:rsidRPr="00CA01FC">
        <w:rPr>
          <w:sz w:val="24"/>
          <w:szCs w:val="24"/>
        </w:rPr>
        <w:t xml:space="preserve">. </w:t>
      </w:r>
    </w:p>
    <w:p w:rsidR="00BB3B27" w:rsidRDefault="00BB3B27" w:rsidP="00BB3B27">
      <w:pPr>
        <w:jc w:val="both"/>
        <w:rPr>
          <w:sz w:val="24"/>
          <w:szCs w:val="24"/>
        </w:rPr>
      </w:pPr>
    </w:p>
    <w:p w:rsidR="00A37DE6" w:rsidRDefault="00BB3B27" w:rsidP="00BB3B27">
      <w:pPr>
        <w:jc w:val="both"/>
        <w:rPr>
          <w:sz w:val="24"/>
          <w:szCs w:val="24"/>
        </w:rPr>
      </w:pPr>
      <w:r>
        <w:rPr>
          <w:sz w:val="24"/>
          <w:szCs w:val="24"/>
        </w:rPr>
        <w:t xml:space="preserve">The questionnaire sent to New Zealand </w:t>
      </w:r>
      <w:r w:rsidR="00D05036">
        <w:rPr>
          <w:sz w:val="24"/>
          <w:szCs w:val="24"/>
        </w:rPr>
        <w:t xml:space="preserve">stakeholders by the special rapporteur </w:t>
      </w:r>
      <w:r>
        <w:rPr>
          <w:sz w:val="24"/>
          <w:szCs w:val="24"/>
        </w:rPr>
        <w:t>is comprehensive</w:t>
      </w:r>
      <w:r w:rsidR="005F4A59">
        <w:rPr>
          <w:sz w:val="24"/>
          <w:szCs w:val="24"/>
        </w:rPr>
        <w:t>. It</w:t>
      </w:r>
      <w:r>
        <w:rPr>
          <w:sz w:val="24"/>
          <w:szCs w:val="24"/>
        </w:rPr>
        <w:t xml:space="preserve"> </w:t>
      </w:r>
      <w:r w:rsidR="005F4A59">
        <w:rPr>
          <w:sz w:val="24"/>
          <w:szCs w:val="24"/>
        </w:rPr>
        <w:t>potentially covers an extensive body of information that is well beyond our capacity to provide</w:t>
      </w:r>
      <w:r>
        <w:rPr>
          <w:sz w:val="24"/>
          <w:szCs w:val="24"/>
        </w:rPr>
        <w:t>. We note that the government’s Office for Disability Issues would be best placed to provide information on the range of mainstream and disability-specific social protectio</w:t>
      </w:r>
      <w:r w:rsidR="005F4A59">
        <w:rPr>
          <w:sz w:val="24"/>
          <w:szCs w:val="24"/>
        </w:rPr>
        <w:t>ns available to disabled people.</w:t>
      </w:r>
      <w:r>
        <w:rPr>
          <w:sz w:val="24"/>
          <w:szCs w:val="24"/>
        </w:rPr>
        <w:t xml:space="preserve"> However, we understand that the Office does not have suffici</w:t>
      </w:r>
      <w:r w:rsidR="00A37DE6">
        <w:rPr>
          <w:sz w:val="24"/>
          <w:szCs w:val="24"/>
        </w:rPr>
        <w:t>ent resources</w:t>
      </w:r>
      <w:r>
        <w:rPr>
          <w:sz w:val="24"/>
          <w:szCs w:val="24"/>
        </w:rPr>
        <w:t xml:space="preserve"> to respond.  </w:t>
      </w:r>
    </w:p>
    <w:p w:rsidR="00A37DE6" w:rsidRDefault="00A37DE6" w:rsidP="00BB3B27">
      <w:pPr>
        <w:jc w:val="both"/>
        <w:rPr>
          <w:sz w:val="24"/>
          <w:szCs w:val="24"/>
        </w:rPr>
      </w:pPr>
    </w:p>
    <w:p w:rsidR="005C4C24" w:rsidRPr="00E74B7C" w:rsidRDefault="005F4A59" w:rsidP="00E74B7C">
      <w:pPr>
        <w:jc w:val="both"/>
        <w:rPr>
          <w:sz w:val="24"/>
          <w:szCs w:val="24"/>
        </w:rPr>
      </w:pPr>
      <w:r>
        <w:rPr>
          <w:sz w:val="24"/>
          <w:szCs w:val="24"/>
        </w:rPr>
        <w:t>The resource and time necessary</w:t>
      </w:r>
      <w:r w:rsidR="001A1842">
        <w:rPr>
          <w:sz w:val="24"/>
          <w:szCs w:val="24"/>
        </w:rPr>
        <w:t xml:space="preserve"> to provide a response to all questions</w:t>
      </w:r>
      <w:r>
        <w:rPr>
          <w:sz w:val="24"/>
          <w:szCs w:val="24"/>
        </w:rPr>
        <w:t xml:space="preserve"> contained in the questionnaire is prohibitive for our organisation</w:t>
      </w:r>
      <w:r w:rsidR="001A1842">
        <w:rPr>
          <w:sz w:val="24"/>
          <w:szCs w:val="24"/>
        </w:rPr>
        <w:t xml:space="preserve">. </w:t>
      </w:r>
      <w:r>
        <w:rPr>
          <w:sz w:val="24"/>
          <w:szCs w:val="24"/>
        </w:rPr>
        <w:t xml:space="preserve">We note that </w:t>
      </w:r>
      <w:r w:rsidR="00227C70">
        <w:rPr>
          <w:sz w:val="24"/>
          <w:szCs w:val="24"/>
        </w:rPr>
        <w:t xml:space="preserve">there </w:t>
      </w:r>
      <w:r w:rsidR="001A1842">
        <w:rPr>
          <w:sz w:val="24"/>
          <w:szCs w:val="24"/>
        </w:rPr>
        <w:t xml:space="preserve">is no centralised </w:t>
      </w:r>
      <w:r w:rsidR="00BB3B27">
        <w:rPr>
          <w:sz w:val="24"/>
          <w:szCs w:val="24"/>
        </w:rPr>
        <w:t xml:space="preserve">list of </w:t>
      </w:r>
      <w:r>
        <w:rPr>
          <w:sz w:val="24"/>
          <w:szCs w:val="24"/>
        </w:rPr>
        <w:t>all forms of social protection available</w:t>
      </w:r>
      <w:r w:rsidR="00A37DE6">
        <w:rPr>
          <w:sz w:val="24"/>
          <w:szCs w:val="24"/>
        </w:rPr>
        <w:t>,</w:t>
      </w:r>
      <w:r w:rsidR="00BB3B27">
        <w:rPr>
          <w:sz w:val="24"/>
          <w:szCs w:val="24"/>
        </w:rPr>
        <w:t xml:space="preserve"> </w:t>
      </w:r>
      <w:r w:rsidR="001A1842">
        <w:rPr>
          <w:sz w:val="24"/>
          <w:szCs w:val="24"/>
        </w:rPr>
        <w:t>mainstream or disability-specific,</w:t>
      </w:r>
      <w:r>
        <w:rPr>
          <w:sz w:val="24"/>
          <w:szCs w:val="24"/>
        </w:rPr>
        <w:t xml:space="preserve"> </w:t>
      </w:r>
      <w:r w:rsidR="00BB3B27">
        <w:rPr>
          <w:sz w:val="24"/>
          <w:szCs w:val="24"/>
        </w:rPr>
        <w:t xml:space="preserve">as these are </w:t>
      </w:r>
      <w:r w:rsidR="00A37DE6">
        <w:rPr>
          <w:sz w:val="24"/>
          <w:szCs w:val="24"/>
        </w:rPr>
        <w:t xml:space="preserve">highly </w:t>
      </w:r>
      <w:r w:rsidR="00BB3B27">
        <w:rPr>
          <w:sz w:val="24"/>
          <w:szCs w:val="24"/>
        </w:rPr>
        <w:t>fragmented</w:t>
      </w:r>
      <w:r w:rsidR="001A1842">
        <w:rPr>
          <w:sz w:val="24"/>
          <w:szCs w:val="24"/>
        </w:rPr>
        <w:t xml:space="preserve"> and sit across different government agencies and local bodies</w:t>
      </w:r>
      <w:r w:rsidR="00A37DE6">
        <w:rPr>
          <w:sz w:val="24"/>
          <w:szCs w:val="24"/>
        </w:rPr>
        <w:t>.</w:t>
      </w:r>
      <w:r w:rsidR="001A1842">
        <w:rPr>
          <w:rStyle w:val="FootnoteReference"/>
          <w:sz w:val="24"/>
          <w:szCs w:val="24"/>
        </w:rPr>
        <w:footnoteReference w:id="3"/>
      </w:r>
      <w:r w:rsidR="00A37DE6">
        <w:rPr>
          <w:sz w:val="24"/>
          <w:szCs w:val="24"/>
        </w:rPr>
        <w:t xml:space="preserve"> We have therefore </w:t>
      </w:r>
      <w:r>
        <w:rPr>
          <w:sz w:val="24"/>
          <w:szCs w:val="24"/>
        </w:rPr>
        <w:t>noted various places this information can be found and instead focused our attention on h</w:t>
      </w:r>
      <w:r w:rsidR="00A37DE6">
        <w:rPr>
          <w:sz w:val="24"/>
          <w:szCs w:val="24"/>
        </w:rPr>
        <w:t>ighlight</w:t>
      </w:r>
      <w:r>
        <w:rPr>
          <w:sz w:val="24"/>
          <w:szCs w:val="24"/>
        </w:rPr>
        <w:t>ing</w:t>
      </w:r>
      <w:r w:rsidR="00A37DE6">
        <w:rPr>
          <w:sz w:val="24"/>
          <w:szCs w:val="24"/>
        </w:rPr>
        <w:t xml:space="preserve"> </w:t>
      </w:r>
      <w:r w:rsidR="00F33FF2">
        <w:rPr>
          <w:sz w:val="24"/>
          <w:szCs w:val="24"/>
        </w:rPr>
        <w:t xml:space="preserve">the </w:t>
      </w:r>
      <w:r w:rsidR="00BB3B27">
        <w:rPr>
          <w:sz w:val="24"/>
          <w:szCs w:val="24"/>
        </w:rPr>
        <w:t>key</w:t>
      </w:r>
      <w:r>
        <w:rPr>
          <w:sz w:val="24"/>
          <w:szCs w:val="24"/>
        </w:rPr>
        <w:t xml:space="preserve"> issues</w:t>
      </w:r>
      <w:r w:rsidR="00A37DE6">
        <w:rPr>
          <w:sz w:val="24"/>
          <w:szCs w:val="24"/>
        </w:rPr>
        <w:t>, concerns</w:t>
      </w:r>
      <w:r w:rsidR="00BB3B27">
        <w:rPr>
          <w:sz w:val="24"/>
          <w:szCs w:val="24"/>
        </w:rPr>
        <w:t xml:space="preserve"> and difficulties that exist in relation to social protections for disabled people</w:t>
      </w:r>
      <w:r w:rsidR="00A37DE6">
        <w:rPr>
          <w:sz w:val="24"/>
          <w:szCs w:val="24"/>
        </w:rPr>
        <w:t xml:space="preserve"> and implementation of the UNCRPD</w:t>
      </w:r>
      <w:r w:rsidR="00BB3B27">
        <w:rPr>
          <w:sz w:val="24"/>
          <w:szCs w:val="24"/>
        </w:rPr>
        <w:t>.</w:t>
      </w:r>
    </w:p>
    <w:p w:rsidR="00433FC4" w:rsidRPr="00FE0E82" w:rsidRDefault="00FE0E82" w:rsidP="00FE0E82">
      <w:pPr>
        <w:pStyle w:val="Heading2"/>
        <w:rPr>
          <w:szCs w:val="24"/>
        </w:rPr>
      </w:pPr>
      <w:bookmarkStart w:id="1" w:name="_Toc420885825"/>
      <w:r w:rsidRPr="00FE0E82">
        <w:t>Disability s</w:t>
      </w:r>
      <w:r w:rsidRPr="00FE0E82">
        <w:rPr>
          <w:szCs w:val="24"/>
        </w:rPr>
        <w:t>tatistics</w:t>
      </w:r>
      <w:bookmarkEnd w:id="1"/>
    </w:p>
    <w:p w:rsidR="00FE0E82" w:rsidRDefault="00FE0E82" w:rsidP="00750149">
      <w:pPr>
        <w:jc w:val="both"/>
        <w:rPr>
          <w:kern w:val="2"/>
          <w:sz w:val="24"/>
          <w:szCs w:val="24"/>
        </w:rPr>
      </w:pPr>
    </w:p>
    <w:p w:rsidR="00561BAE" w:rsidRPr="00A5097F" w:rsidRDefault="00B91AD5" w:rsidP="00750149">
      <w:pPr>
        <w:jc w:val="both"/>
        <w:rPr>
          <w:kern w:val="2"/>
          <w:sz w:val="24"/>
          <w:szCs w:val="24"/>
        </w:rPr>
      </w:pPr>
      <w:r w:rsidRPr="00A5097F">
        <w:rPr>
          <w:kern w:val="2"/>
          <w:sz w:val="24"/>
          <w:szCs w:val="24"/>
        </w:rPr>
        <w:t>Approximately 24</w:t>
      </w:r>
      <w:r w:rsidR="00227C70" w:rsidRPr="00A5097F">
        <w:rPr>
          <w:kern w:val="2"/>
          <w:sz w:val="24"/>
          <w:szCs w:val="24"/>
        </w:rPr>
        <w:t xml:space="preserve"> </w:t>
      </w:r>
      <w:r w:rsidR="003D6EE2" w:rsidRPr="00A5097F">
        <w:rPr>
          <w:kern w:val="2"/>
          <w:sz w:val="24"/>
          <w:szCs w:val="24"/>
        </w:rPr>
        <w:t>percent</w:t>
      </w:r>
      <w:r w:rsidRPr="00A5097F">
        <w:rPr>
          <w:kern w:val="2"/>
          <w:sz w:val="24"/>
          <w:szCs w:val="24"/>
        </w:rPr>
        <w:t xml:space="preserve"> or 1.1 million New Zeal</w:t>
      </w:r>
      <w:r w:rsidR="00433FC4" w:rsidRPr="00A5097F">
        <w:rPr>
          <w:kern w:val="2"/>
          <w:sz w:val="24"/>
          <w:szCs w:val="24"/>
        </w:rPr>
        <w:t>anders identify as having one or more</w:t>
      </w:r>
      <w:r w:rsidRPr="00A5097F">
        <w:rPr>
          <w:kern w:val="2"/>
          <w:sz w:val="24"/>
          <w:szCs w:val="24"/>
        </w:rPr>
        <w:t xml:space="preserve"> disabil</w:t>
      </w:r>
      <w:r w:rsidR="00433FC4" w:rsidRPr="00A5097F">
        <w:rPr>
          <w:kern w:val="2"/>
          <w:sz w:val="24"/>
          <w:szCs w:val="24"/>
        </w:rPr>
        <w:t>ities</w:t>
      </w:r>
      <w:r w:rsidRPr="00A5097F">
        <w:rPr>
          <w:kern w:val="2"/>
          <w:sz w:val="24"/>
          <w:szCs w:val="24"/>
        </w:rPr>
        <w:t xml:space="preserve">. </w:t>
      </w:r>
      <w:r w:rsidR="00750149" w:rsidRPr="00A5097F">
        <w:rPr>
          <w:kern w:val="2"/>
          <w:sz w:val="24"/>
          <w:szCs w:val="24"/>
        </w:rPr>
        <w:t xml:space="preserve">The latest Statistics New Zealand Disability Survey 2013 highlights key disparities between disabled and non-disabled citizens. </w:t>
      </w:r>
    </w:p>
    <w:p w:rsidR="00561BAE" w:rsidRDefault="00561BAE" w:rsidP="00750149">
      <w:pPr>
        <w:jc w:val="both"/>
        <w:rPr>
          <w:kern w:val="2"/>
          <w:sz w:val="24"/>
          <w:szCs w:val="24"/>
        </w:rPr>
      </w:pPr>
    </w:p>
    <w:p w:rsidR="00BB3B27" w:rsidRDefault="00B91AD5" w:rsidP="00750149">
      <w:pPr>
        <w:jc w:val="both"/>
        <w:rPr>
          <w:kern w:val="2"/>
          <w:sz w:val="24"/>
          <w:szCs w:val="24"/>
        </w:rPr>
      </w:pPr>
      <w:r>
        <w:rPr>
          <w:kern w:val="2"/>
          <w:sz w:val="24"/>
          <w:szCs w:val="24"/>
        </w:rPr>
        <w:t>Disabled people’s social and economic outcomes</w:t>
      </w:r>
      <w:r w:rsidR="00750149">
        <w:rPr>
          <w:kern w:val="2"/>
          <w:sz w:val="24"/>
          <w:szCs w:val="24"/>
        </w:rPr>
        <w:t xml:space="preserve"> </w:t>
      </w:r>
      <w:r>
        <w:rPr>
          <w:kern w:val="2"/>
          <w:sz w:val="24"/>
          <w:szCs w:val="24"/>
        </w:rPr>
        <w:t>are less favourable than non-disabled people’s outcomes across every indicator (i.e. labour force status and paid employment; income; education; safety, crime and discrimination; social contact and community participation, and overall wellbeing</w:t>
      </w:r>
      <w:r w:rsidR="00750149">
        <w:rPr>
          <w:kern w:val="2"/>
          <w:sz w:val="24"/>
          <w:szCs w:val="24"/>
        </w:rPr>
        <w:t>)</w:t>
      </w:r>
      <w:r>
        <w:rPr>
          <w:kern w:val="2"/>
          <w:sz w:val="24"/>
          <w:szCs w:val="24"/>
        </w:rPr>
        <w:t>.</w:t>
      </w:r>
      <w:r>
        <w:rPr>
          <w:rStyle w:val="FootnoteReference"/>
          <w:kern w:val="2"/>
          <w:sz w:val="24"/>
          <w:szCs w:val="24"/>
        </w:rPr>
        <w:footnoteReference w:id="4"/>
      </w:r>
      <w:r w:rsidR="00750149">
        <w:rPr>
          <w:kern w:val="2"/>
          <w:sz w:val="24"/>
          <w:szCs w:val="24"/>
        </w:rPr>
        <w:t xml:space="preserve"> </w:t>
      </w:r>
      <w:r w:rsidR="00453DBB">
        <w:rPr>
          <w:kern w:val="2"/>
          <w:sz w:val="24"/>
          <w:szCs w:val="24"/>
        </w:rPr>
        <w:t xml:space="preserve">The following statistical data from the New Zealand Disability Survey 2013 highlights the position of disabled people in </w:t>
      </w:r>
      <w:proofErr w:type="spellStart"/>
      <w:r w:rsidR="00453DBB">
        <w:rPr>
          <w:kern w:val="2"/>
          <w:sz w:val="24"/>
          <w:szCs w:val="24"/>
        </w:rPr>
        <w:t>Aotearoa</w:t>
      </w:r>
      <w:proofErr w:type="spellEnd"/>
      <w:r w:rsidR="00453DBB">
        <w:rPr>
          <w:kern w:val="2"/>
          <w:sz w:val="24"/>
          <w:szCs w:val="24"/>
        </w:rPr>
        <w:t>.</w:t>
      </w:r>
      <w:r w:rsidR="00453DBB" w:rsidRPr="00453DBB">
        <w:rPr>
          <w:rStyle w:val="FootnoteReference"/>
          <w:kern w:val="2"/>
          <w:sz w:val="24"/>
          <w:szCs w:val="24"/>
        </w:rPr>
        <w:t xml:space="preserve"> </w:t>
      </w:r>
    </w:p>
    <w:p w:rsidR="00750149" w:rsidRDefault="00750149" w:rsidP="00750149">
      <w:pPr>
        <w:jc w:val="both"/>
        <w:rPr>
          <w:kern w:val="2"/>
          <w:sz w:val="24"/>
          <w:szCs w:val="24"/>
        </w:rPr>
      </w:pPr>
    </w:p>
    <w:p w:rsidR="00750149" w:rsidRDefault="00227C70" w:rsidP="007B7173">
      <w:pPr>
        <w:pStyle w:val="ListParagraph"/>
        <w:numPr>
          <w:ilvl w:val="0"/>
          <w:numId w:val="7"/>
        </w:numPr>
        <w:jc w:val="both"/>
        <w:rPr>
          <w:kern w:val="2"/>
          <w:sz w:val="24"/>
          <w:szCs w:val="24"/>
        </w:rPr>
      </w:pPr>
      <w:r>
        <w:rPr>
          <w:kern w:val="2"/>
          <w:sz w:val="24"/>
          <w:szCs w:val="24"/>
        </w:rPr>
        <w:t>T</w:t>
      </w:r>
      <w:r w:rsidR="00750149">
        <w:rPr>
          <w:kern w:val="2"/>
          <w:sz w:val="24"/>
          <w:szCs w:val="24"/>
        </w:rPr>
        <w:t>he labour force participation rate for disabled people was 50</w:t>
      </w:r>
      <w:r w:rsidR="007B7173">
        <w:rPr>
          <w:kern w:val="2"/>
          <w:sz w:val="24"/>
          <w:szCs w:val="24"/>
        </w:rPr>
        <w:t xml:space="preserve"> </w:t>
      </w:r>
      <w:r w:rsidR="003D6EE2">
        <w:rPr>
          <w:kern w:val="2"/>
          <w:sz w:val="24"/>
          <w:szCs w:val="24"/>
        </w:rPr>
        <w:t>percent</w:t>
      </w:r>
      <w:r w:rsidR="00750149">
        <w:rPr>
          <w:kern w:val="2"/>
          <w:sz w:val="24"/>
          <w:szCs w:val="24"/>
        </w:rPr>
        <w:t xml:space="preserve"> (compared with 76</w:t>
      </w:r>
      <w:r w:rsidR="003D6EE2">
        <w:rPr>
          <w:kern w:val="2"/>
          <w:sz w:val="24"/>
          <w:szCs w:val="24"/>
        </w:rPr>
        <w:t>percent</w:t>
      </w:r>
      <w:r w:rsidR="00750149">
        <w:rPr>
          <w:kern w:val="2"/>
          <w:sz w:val="24"/>
          <w:szCs w:val="24"/>
        </w:rPr>
        <w:t xml:space="preserve"> for non-disabled people)</w:t>
      </w:r>
      <w:r w:rsidR="00630E6E">
        <w:rPr>
          <w:kern w:val="2"/>
          <w:sz w:val="24"/>
          <w:szCs w:val="24"/>
        </w:rPr>
        <w:t>.</w:t>
      </w:r>
    </w:p>
    <w:p w:rsidR="00750149" w:rsidRDefault="00750149" w:rsidP="007B7173">
      <w:pPr>
        <w:pStyle w:val="ListParagraph"/>
        <w:numPr>
          <w:ilvl w:val="0"/>
          <w:numId w:val="7"/>
        </w:numPr>
        <w:jc w:val="both"/>
        <w:rPr>
          <w:kern w:val="2"/>
          <w:sz w:val="24"/>
          <w:szCs w:val="24"/>
        </w:rPr>
      </w:pPr>
      <w:r>
        <w:rPr>
          <w:kern w:val="2"/>
          <w:sz w:val="24"/>
          <w:szCs w:val="24"/>
        </w:rPr>
        <w:t>55</w:t>
      </w:r>
      <w:r w:rsidR="003D6EE2">
        <w:rPr>
          <w:kern w:val="2"/>
          <w:sz w:val="24"/>
          <w:szCs w:val="24"/>
        </w:rPr>
        <w:t>percent</w:t>
      </w:r>
      <w:r>
        <w:rPr>
          <w:kern w:val="2"/>
          <w:sz w:val="24"/>
          <w:szCs w:val="24"/>
        </w:rPr>
        <w:t xml:space="preserve"> of disabled adults were unemployed compared with 28</w:t>
      </w:r>
      <w:r w:rsidR="007B7173">
        <w:rPr>
          <w:kern w:val="2"/>
          <w:sz w:val="24"/>
          <w:szCs w:val="24"/>
        </w:rPr>
        <w:t xml:space="preserve"> </w:t>
      </w:r>
      <w:r w:rsidR="00453DBB">
        <w:rPr>
          <w:kern w:val="2"/>
          <w:sz w:val="24"/>
          <w:szCs w:val="24"/>
        </w:rPr>
        <w:t>percent of</w:t>
      </w:r>
      <w:r>
        <w:rPr>
          <w:kern w:val="2"/>
          <w:sz w:val="24"/>
          <w:szCs w:val="24"/>
        </w:rPr>
        <w:t xml:space="preserve"> non-disabled adults</w:t>
      </w:r>
      <w:r w:rsidR="00630E6E">
        <w:rPr>
          <w:kern w:val="2"/>
          <w:sz w:val="24"/>
          <w:szCs w:val="24"/>
        </w:rPr>
        <w:t>.</w:t>
      </w:r>
    </w:p>
    <w:p w:rsidR="00750149" w:rsidRDefault="00750149" w:rsidP="007B7173">
      <w:pPr>
        <w:pStyle w:val="ListParagraph"/>
        <w:numPr>
          <w:ilvl w:val="0"/>
          <w:numId w:val="7"/>
        </w:numPr>
        <w:jc w:val="both"/>
        <w:rPr>
          <w:kern w:val="2"/>
          <w:sz w:val="24"/>
          <w:szCs w:val="24"/>
        </w:rPr>
      </w:pPr>
      <w:r>
        <w:rPr>
          <w:kern w:val="2"/>
          <w:sz w:val="24"/>
          <w:szCs w:val="24"/>
        </w:rPr>
        <w:t>64</w:t>
      </w:r>
      <w:r w:rsidR="00630E6E">
        <w:rPr>
          <w:kern w:val="2"/>
          <w:sz w:val="24"/>
          <w:szCs w:val="24"/>
        </w:rPr>
        <w:t xml:space="preserve"> </w:t>
      </w:r>
      <w:r w:rsidR="003D6EE2">
        <w:rPr>
          <w:kern w:val="2"/>
          <w:sz w:val="24"/>
          <w:szCs w:val="24"/>
        </w:rPr>
        <w:t>percent</w:t>
      </w:r>
      <w:r>
        <w:rPr>
          <w:kern w:val="2"/>
          <w:sz w:val="24"/>
          <w:szCs w:val="24"/>
        </w:rPr>
        <w:t xml:space="preserve"> of disabled adults had an annual gross income of $30,000 or less</w:t>
      </w:r>
      <w:r w:rsidR="00630E6E">
        <w:rPr>
          <w:kern w:val="2"/>
          <w:sz w:val="24"/>
          <w:szCs w:val="24"/>
        </w:rPr>
        <w:t>.</w:t>
      </w:r>
    </w:p>
    <w:p w:rsidR="00750149" w:rsidRDefault="00750149" w:rsidP="007B7173">
      <w:pPr>
        <w:pStyle w:val="ListParagraph"/>
        <w:numPr>
          <w:ilvl w:val="0"/>
          <w:numId w:val="7"/>
        </w:numPr>
        <w:jc w:val="both"/>
        <w:rPr>
          <w:kern w:val="2"/>
          <w:sz w:val="24"/>
          <w:szCs w:val="24"/>
        </w:rPr>
      </w:pPr>
      <w:r>
        <w:rPr>
          <w:kern w:val="2"/>
          <w:sz w:val="24"/>
          <w:szCs w:val="24"/>
        </w:rPr>
        <w:t>67</w:t>
      </w:r>
      <w:r w:rsidR="00630E6E">
        <w:rPr>
          <w:kern w:val="2"/>
          <w:sz w:val="24"/>
          <w:szCs w:val="24"/>
        </w:rPr>
        <w:t xml:space="preserve"> </w:t>
      </w:r>
      <w:r w:rsidR="003D6EE2">
        <w:rPr>
          <w:kern w:val="2"/>
          <w:sz w:val="24"/>
          <w:szCs w:val="24"/>
        </w:rPr>
        <w:t>percent</w:t>
      </w:r>
      <w:r w:rsidR="00453DBB">
        <w:rPr>
          <w:kern w:val="2"/>
          <w:sz w:val="24"/>
          <w:szCs w:val="24"/>
        </w:rPr>
        <w:t xml:space="preserve"> of disabled adults he</w:t>
      </w:r>
      <w:r>
        <w:rPr>
          <w:kern w:val="2"/>
          <w:sz w:val="24"/>
          <w:szCs w:val="24"/>
        </w:rPr>
        <w:t>ld a school or tertiary qualification compared with 85</w:t>
      </w:r>
      <w:r w:rsidR="00630E6E">
        <w:rPr>
          <w:kern w:val="2"/>
          <w:sz w:val="24"/>
          <w:szCs w:val="24"/>
        </w:rPr>
        <w:t xml:space="preserve"> </w:t>
      </w:r>
      <w:r w:rsidR="003D6EE2">
        <w:rPr>
          <w:kern w:val="2"/>
          <w:sz w:val="24"/>
          <w:szCs w:val="24"/>
        </w:rPr>
        <w:t>percent</w:t>
      </w:r>
      <w:r>
        <w:rPr>
          <w:kern w:val="2"/>
          <w:sz w:val="24"/>
          <w:szCs w:val="24"/>
        </w:rPr>
        <w:t xml:space="preserve"> of non-disabled people</w:t>
      </w:r>
      <w:r w:rsidR="00630E6E">
        <w:rPr>
          <w:kern w:val="2"/>
          <w:sz w:val="24"/>
          <w:szCs w:val="24"/>
        </w:rPr>
        <w:t>.</w:t>
      </w:r>
    </w:p>
    <w:p w:rsidR="00750149" w:rsidRDefault="00750149" w:rsidP="007B7173">
      <w:pPr>
        <w:pStyle w:val="ListParagraph"/>
        <w:numPr>
          <w:ilvl w:val="0"/>
          <w:numId w:val="7"/>
        </w:numPr>
        <w:jc w:val="both"/>
        <w:rPr>
          <w:kern w:val="2"/>
          <w:sz w:val="24"/>
          <w:szCs w:val="24"/>
        </w:rPr>
      </w:pPr>
      <w:r>
        <w:rPr>
          <w:kern w:val="2"/>
          <w:sz w:val="24"/>
          <w:szCs w:val="24"/>
        </w:rPr>
        <w:t>38</w:t>
      </w:r>
      <w:r w:rsidR="00630E6E">
        <w:rPr>
          <w:kern w:val="2"/>
          <w:sz w:val="24"/>
          <w:szCs w:val="24"/>
        </w:rPr>
        <w:t xml:space="preserve"> </w:t>
      </w:r>
      <w:r w:rsidR="003D6EE2">
        <w:rPr>
          <w:kern w:val="2"/>
          <w:sz w:val="24"/>
          <w:szCs w:val="24"/>
        </w:rPr>
        <w:t>percent</w:t>
      </w:r>
      <w:r>
        <w:rPr>
          <w:kern w:val="2"/>
          <w:sz w:val="24"/>
          <w:szCs w:val="24"/>
        </w:rPr>
        <w:t xml:space="preserve"> of disabled adults reported feeling lonely compared with 29</w:t>
      </w:r>
      <w:r w:rsidR="00630E6E">
        <w:rPr>
          <w:kern w:val="2"/>
          <w:sz w:val="24"/>
          <w:szCs w:val="24"/>
        </w:rPr>
        <w:t xml:space="preserve"> </w:t>
      </w:r>
      <w:r w:rsidR="003D6EE2">
        <w:rPr>
          <w:kern w:val="2"/>
          <w:sz w:val="24"/>
          <w:szCs w:val="24"/>
        </w:rPr>
        <w:t>percent</w:t>
      </w:r>
      <w:r>
        <w:rPr>
          <w:kern w:val="2"/>
          <w:sz w:val="24"/>
          <w:szCs w:val="24"/>
        </w:rPr>
        <w:t xml:space="preserve"> of non-disabled adults</w:t>
      </w:r>
      <w:r w:rsidR="00630E6E">
        <w:rPr>
          <w:kern w:val="2"/>
          <w:sz w:val="24"/>
          <w:szCs w:val="24"/>
        </w:rPr>
        <w:t>.</w:t>
      </w:r>
    </w:p>
    <w:p w:rsidR="00433FC4" w:rsidRPr="00433FC4" w:rsidRDefault="00227C70" w:rsidP="007B7173">
      <w:pPr>
        <w:pStyle w:val="ListParagraph"/>
        <w:numPr>
          <w:ilvl w:val="0"/>
          <w:numId w:val="7"/>
        </w:numPr>
        <w:jc w:val="both"/>
        <w:rPr>
          <w:kern w:val="2"/>
          <w:sz w:val="24"/>
          <w:szCs w:val="24"/>
        </w:rPr>
      </w:pPr>
      <w:r>
        <w:rPr>
          <w:kern w:val="2"/>
          <w:sz w:val="24"/>
          <w:szCs w:val="24"/>
        </w:rPr>
        <w:t>D</w:t>
      </w:r>
      <w:r w:rsidR="00433FC4">
        <w:rPr>
          <w:kern w:val="2"/>
          <w:sz w:val="24"/>
          <w:szCs w:val="24"/>
        </w:rPr>
        <w:t>isabled ad</w:t>
      </w:r>
      <w:r w:rsidR="00453DBB">
        <w:rPr>
          <w:kern w:val="2"/>
          <w:sz w:val="24"/>
          <w:szCs w:val="24"/>
        </w:rPr>
        <w:t>ults felt much less safe and</w:t>
      </w:r>
      <w:r w:rsidR="00433FC4">
        <w:rPr>
          <w:kern w:val="2"/>
          <w:sz w:val="24"/>
          <w:szCs w:val="24"/>
        </w:rPr>
        <w:t xml:space="preserve"> </w:t>
      </w:r>
      <w:r w:rsidR="00453DBB">
        <w:rPr>
          <w:kern w:val="2"/>
          <w:sz w:val="24"/>
          <w:szCs w:val="24"/>
        </w:rPr>
        <w:t xml:space="preserve">were </w:t>
      </w:r>
      <w:r w:rsidR="00433FC4">
        <w:rPr>
          <w:kern w:val="2"/>
          <w:sz w:val="24"/>
          <w:szCs w:val="24"/>
        </w:rPr>
        <w:t>discriminated against more than non-disabled adults</w:t>
      </w:r>
      <w:r w:rsidR="00630E6E">
        <w:rPr>
          <w:kern w:val="2"/>
          <w:sz w:val="24"/>
          <w:szCs w:val="24"/>
        </w:rPr>
        <w:t>.</w:t>
      </w:r>
    </w:p>
    <w:p w:rsidR="00750149" w:rsidRDefault="00750149" w:rsidP="007B7173">
      <w:pPr>
        <w:pStyle w:val="ListParagraph"/>
        <w:numPr>
          <w:ilvl w:val="0"/>
          <w:numId w:val="7"/>
        </w:numPr>
        <w:jc w:val="both"/>
        <w:rPr>
          <w:kern w:val="2"/>
          <w:sz w:val="24"/>
          <w:szCs w:val="24"/>
        </w:rPr>
      </w:pPr>
      <w:r>
        <w:rPr>
          <w:kern w:val="2"/>
          <w:sz w:val="24"/>
          <w:szCs w:val="24"/>
        </w:rPr>
        <w:lastRenderedPageBreak/>
        <w:t>Disabled adults and children were less likely to participate in many popular leisure activities than non-disabled people</w:t>
      </w:r>
      <w:r w:rsidR="00630E6E">
        <w:rPr>
          <w:kern w:val="2"/>
          <w:sz w:val="24"/>
          <w:szCs w:val="24"/>
        </w:rPr>
        <w:t>.</w:t>
      </w:r>
    </w:p>
    <w:p w:rsidR="00750149" w:rsidRDefault="00750149" w:rsidP="007B7173">
      <w:pPr>
        <w:pStyle w:val="ListParagraph"/>
        <w:numPr>
          <w:ilvl w:val="0"/>
          <w:numId w:val="7"/>
        </w:numPr>
        <w:jc w:val="both"/>
        <w:rPr>
          <w:kern w:val="2"/>
          <w:sz w:val="24"/>
          <w:szCs w:val="24"/>
        </w:rPr>
      </w:pPr>
      <w:r>
        <w:rPr>
          <w:kern w:val="2"/>
          <w:sz w:val="24"/>
          <w:szCs w:val="24"/>
        </w:rPr>
        <w:t>Most disabled adults report a life satisfaction score that is considerably</w:t>
      </w:r>
      <w:r w:rsidR="005C4C24">
        <w:rPr>
          <w:kern w:val="2"/>
          <w:sz w:val="24"/>
          <w:szCs w:val="24"/>
        </w:rPr>
        <w:t xml:space="preserve"> lower than non-disabled adults</w:t>
      </w:r>
      <w:r w:rsidR="00630E6E">
        <w:rPr>
          <w:kern w:val="2"/>
          <w:sz w:val="24"/>
          <w:szCs w:val="24"/>
        </w:rPr>
        <w:t>.</w:t>
      </w:r>
    </w:p>
    <w:p w:rsidR="005C4C24" w:rsidRDefault="005C4C24" w:rsidP="007B7173">
      <w:pPr>
        <w:pStyle w:val="ListParagraph"/>
        <w:numPr>
          <w:ilvl w:val="0"/>
          <w:numId w:val="7"/>
        </w:numPr>
        <w:jc w:val="both"/>
        <w:rPr>
          <w:kern w:val="2"/>
          <w:sz w:val="24"/>
          <w:szCs w:val="24"/>
        </w:rPr>
      </w:pPr>
      <w:r>
        <w:rPr>
          <w:kern w:val="2"/>
          <w:sz w:val="24"/>
          <w:szCs w:val="24"/>
        </w:rPr>
        <w:t>Poverty is directly linked to disability</w:t>
      </w:r>
      <w:r w:rsidR="00630E6E">
        <w:rPr>
          <w:kern w:val="2"/>
          <w:sz w:val="24"/>
          <w:szCs w:val="24"/>
        </w:rPr>
        <w:t>.</w:t>
      </w:r>
    </w:p>
    <w:p w:rsidR="005C4C24" w:rsidRDefault="005C4C24" w:rsidP="007B7173">
      <w:pPr>
        <w:pStyle w:val="ListParagraph"/>
        <w:numPr>
          <w:ilvl w:val="0"/>
          <w:numId w:val="7"/>
        </w:numPr>
        <w:jc w:val="both"/>
        <w:rPr>
          <w:kern w:val="2"/>
          <w:sz w:val="24"/>
          <w:szCs w:val="24"/>
        </w:rPr>
      </w:pPr>
      <w:r>
        <w:rPr>
          <w:kern w:val="2"/>
          <w:sz w:val="24"/>
          <w:szCs w:val="24"/>
        </w:rPr>
        <w:t xml:space="preserve">Poverty is directly linked to ethnicity </w:t>
      </w:r>
      <w:r w:rsidR="00630E6E">
        <w:rPr>
          <w:kern w:val="2"/>
          <w:sz w:val="24"/>
          <w:szCs w:val="24"/>
        </w:rPr>
        <w:t>(</w:t>
      </w:r>
      <w:r>
        <w:rPr>
          <w:kern w:val="2"/>
          <w:sz w:val="24"/>
          <w:szCs w:val="24"/>
        </w:rPr>
        <w:t xml:space="preserve">i.e. Māori and </w:t>
      </w:r>
      <w:proofErr w:type="spellStart"/>
      <w:r>
        <w:rPr>
          <w:kern w:val="2"/>
          <w:sz w:val="24"/>
          <w:szCs w:val="24"/>
        </w:rPr>
        <w:t>Pasifika</w:t>
      </w:r>
      <w:proofErr w:type="spellEnd"/>
      <w:r w:rsidR="00630E6E">
        <w:rPr>
          <w:kern w:val="2"/>
          <w:sz w:val="24"/>
          <w:szCs w:val="24"/>
        </w:rPr>
        <w:t>).</w:t>
      </w:r>
      <w:r w:rsidR="00A36B13">
        <w:rPr>
          <w:rStyle w:val="FootnoteReference"/>
          <w:kern w:val="2"/>
          <w:sz w:val="24"/>
          <w:szCs w:val="24"/>
        </w:rPr>
        <w:footnoteReference w:id="5"/>
      </w:r>
    </w:p>
    <w:p w:rsidR="005C4C24" w:rsidRDefault="005C4C24" w:rsidP="007B7173">
      <w:pPr>
        <w:pStyle w:val="ListParagraph"/>
        <w:numPr>
          <w:ilvl w:val="0"/>
          <w:numId w:val="7"/>
        </w:numPr>
        <w:jc w:val="both"/>
        <w:rPr>
          <w:kern w:val="2"/>
          <w:sz w:val="24"/>
          <w:szCs w:val="24"/>
        </w:rPr>
      </w:pPr>
      <w:r>
        <w:rPr>
          <w:kern w:val="2"/>
          <w:sz w:val="24"/>
          <w:szCs w:val="24"/>
        </w:rPr>
        <w:t xml:space="preserve">250,000 New Zealand children live in poverty; most of these children live </w:t>
      </w:r>
      <w:proofErr w:type="gramStart"/>
      <w:r>
        <w:rPr>
          <w:kern w:val="2"/>
          <w:sz w:val="24"/>
          <w:szCs w:val="24"/>
        </w:rPr>
        <w:t>in  one</w:t>
      </w:r>
      <w:proofErr w:type="gramEnd"/>
      <w:r>
        <w:rPr>
          <w:kern w:val="2"/>
          <w:sz w:val="24"/>
          <w:szCs w:val="24"/>
        </w:rPr>
        <w:t xml:space="preserve">-parent households </w:t>
      </w:r>
      <w:r w:rsidR="00453DBB">
        <w:rPr>
          <w:kern w:val="2"/>
          <w:sz w:val="24"/>
          <w:szCs w:val="24"/>
        </w:rPr>
        <w:t xml:space="preserve">that rely on </w:t>
      </w:r>
      <w:r>
        <w:rPr>
          <w:kern w:val="2"/>
          <w:sz w:val="24"/>
          <w:szCs w:val="24"/>
        </w:rPr>
        <w:t>state income support; disabled children are overrepresented in poverty statistics</w:t>
      </w:r>
      <w:r w:rsidR="00630E6E">
        <w:rPr>
          <w:kern w:val="2"/>
          <w:sz w:val="24"/>
          <w:szCs w:val="24"/>
        </w:rPr>
        <w:t>.</w:t>
      </w:r>
      <w:r>
        <w:rPr>
          <w:rStyle w:val="FootnoteReference"/>
          <w:kern w:val="2"/>
          <w:sz w:val="24"/>
          <w:szCs w:val="24"/>
        </w:rPr>
        <w:footnoteReference w:id="6"/>
      </w:r>
    </w:p>
    <w:p w:rsidR="005C4C24" w:rsidRPr="00750149" w:rsidRDefault="00227C70" w:rsidP="007B7173">
      <w:pPr>
        <w:pStyle w:val="ListParagraph"/>
        <w:numPr>
          <w:ilvl w:val="0"/>
          <w:numId w:val="7"/>
        </w:numPr>
        <w:jc w:val="both"/>
        <w:rPr>
          <w:kern w:val="2"/>
          <w:sz w:val="24"/>
          <w:szCs w:val="24"/>
        </w:rPr>
      </w:pPr>
      <w:r>
        <w:rPr>
          <w:kern w:val="2"/>
          <w:sz w:val="24"/>
          <w:szCs w:val="24"/>
        </w:rPr>
        <w:t xml:space="preserve">Children </w:t>
      </w:r>
      <w:r w:rsidR="007B7173">
        <w:rPr>
          <w:kern w:val="2"/>
          <w:sz w:val="24"/>
          <w:szCs w:val="24"/>
        </w:rPr>
        <w:t>are</w:t>
      </w:r>
      <w:r w:rsidR="005C4C24">
        <w:rPr>
          <w:kern w:val="2"/>
          <w:sz w:val="24"/>
          <w:szCs w:val="24"/>
        </w:rPr>
        <w:t xml:space="preserve"> invisible in child poverty and abuse; for disabled children this situation is heightened</w:t>
      </w:r>
      <w:r>
        <w:rPr>
          <w:kern w:val="2"/>
          <w:sz w:val="24"/>
          <w:szCs w:val="24"/>
        </w:rPr>
        <w:t>.</w:t>
      </w:r>
      <w:r w:rsidR="005C4C24">
        <w:rPr>
          <w:rStyle w:val="FootnoteReference"/>
          <w:kern w:val="2"/>
          <w:sz w:val="24"/>
          <w:szCs w:val="24"/>
        </w:rPr>
        <w:footnoteReference w:id="7"/>
      </w:r>
      <w:r w:rsidR="00F75D29">
        <w:rPr>
          <w:kern w:val="2"/>
          <w:sz w:val="24"/>
          <w:szCs w:val="24"/>
        </w:rPr>
        <w:t xml:space="preserve"> </w:t>
      </w:r>
    </w:p>
    <w:p w:rsidR="00B91AD5" w:rsidRDefault="00B91AD5" w:rsidP="00BB3B27">
      <w:pPr>
        <w:spacing w:line="360" w:lineRule="auto"/>
        <w:jc w:val="both"/>
        <w:rPr>
          <w:b/>
          <w:kern w:val="2"/>
          <w:sz w:val="24"/>
          <w:szCs w:val="24"/>
        </w:rPr>
      </w:pPr>
    </w:p>
    <w:p w:rsidR="00B91AD5" w:rsidRPr="008E568A" w:rsidRDefault="00433FC4" w:rsidP="007B7173">
      <w:pPr>
        <w:pStyle w:val="ListParagraph"/>
        <w:numPr>
          <w:ilvl w:val="0"/>
          <w:numId w:val="8"/>
        </w:numPr>
        <w:jc w:val="both"/>
        <w:rPr>
          <w:kern w:val="2"/>
          <w:sz w:val="24"/>
          <w:szCs w:val="24"/>
        </w:rPr>
      </w:pPr>
      <w:r w:rsidRPr="008E568A">
        <w:rPr>
          <w:kern w:val="2"/>
          <w:sz w:val="24"/>
          <w:szCs w:val="24"/>
        </w:rPr>
        <w:t>11</w:t>
      </w:r>
      <w:r w:rsidR="003D6EE2">
        <w:rPr>
          <w:kern w:val="2"/>
          <w:sz w:val="24"/>
          <w:szCs w:val="24"/>
        </w:rPr>
        <w:t>percent</w:t>
      </w:r>
      <w:r w:rsidRPr="008E568A">
        <w:rPr>
          <w:kern w:val="2"/>
          <w:sz w:val="24"/>
          <w:szCs w:val="24"/>
        </w:rPr>
        <w:t xml:space="preserve"> of childr</w:t>
      </w:r>
      <w:r w:rsidR="00630E6E">
        <w:rPr>
          <w:kern w:val="2"/>
          <w:sz w:val="24"/>
          <w:szCs w:val="24"/>
        </w:rPr>
        <w:t>en under age 15 were</w:t>
      </w:r>
      <w:r w:rsidRPr="008E568A">
        <w:rPr>
          <w:kern w:val="2"/>
          <w:sz w:val="24"/>
          <w:szCs w:val="24"/>
        </w:rPr>
        <w:t xml:space="preserve"> disabled</w:t>
      </w:r>
      <w:r w:rsidR="00630E6E">
        <w:rPr>
          <w:kern w:val="2"/>
          <w:sz w:val="24"/>
          <w:szCs w:val="24"/>
        </w:rPr>
        <w:t>.</w:t>
      </w:r>
    </w:p>
    <w:p w:rsidR="00590C80" w:rsidRPr="00590C80" w:rsidRDefault="00433FC4" w:rsidP="007B7173">
      <w:pPr>
        <w:pStyle w:val="ListParagraph"/>
        <w:numPr>
          <w:ilvl w:val="0"/>
          <w:numId w:val="8"/>
        </w:numPr>
        <w:jc w:val="both"/>
        <w:rPr>
          <w:b/>
          <w:kern w:val="2"/>
          <w:sz w:val="24"/>
          <w:szCs w:val="24"/>
        </w:rPr>
      </w:pPr>
      <w:r w:rsidRPr="00590C80">
        <w:rPr>
          <w:sz w:val="24"/>
          <w:szCs w:val="24"/>
        </w:rPr>
        <w:t>52 percent of disabled children had difficulty learning</w:t>
      </w:r>
      <w:r w:rsidR="00630E6E">
        <w:rPr>
          <w:sz w:val="24"/>
          <w:szCs w:val="24"/>
        </w:rPr>
        <w:t>.</w:t>
      </w:r>
    </w:p>
    <w:p w:rsidR="008E568A" w:rsidRPr="00590C80" w:rsidRDefault="00630E6E" w:rsidP="007B7173">
      <w:pPr>
        <w:pStyle w:val="ListParagraph"/>
        <w:numPr>
          <w:ilvl w:val="0"/>
          <w:numId w:val="8"/>
        </w:numPr>
        <w:jc w:val="both"/>
        <w:rPr>
          <w:b/>
          <w:kern w:val="2"/>
          <w:sz w:val="24"/>
          <w:szCs w:val="24"/>
        </w:rPr>
      </w:pPr>
      <w:r>
        <w:rPr>
          <w:sz w:val="24"/>
          <w:szCs w:val="24"/>
        </w:rPr>
        <w:t>Māori had</w:t>
      </w:r>
      <w:r w:rsidR="00433FC4" w:rsidRPr="00590C80">
        <w:rPr>
          <w:sz w:val="24"/>
          <w:szCs w:val="24"/>
        </w:rPr>
        <w:t xml:space="preserve"> </w:t>
      </w:r>
      <w:r w:rsidR="008E568A" w:rsidRPr="00590C80">
        <w:rPr>
          <w:sz w:val="24"/>
          <w:szCs w:val="24"/>
        </w:rPr>
        <w:t xml:space="preserve">a </w:t>
      </w:r>
      <w:r w:rsidR="00433FC4" w:rsidRPr="00590C80">
        <w:rPr>
          <w:sz w:val="24"/>
          <w:szCs w:val="24"/>
        </w:rPr>
        <w:t>higher-than-average disability rate</w:t>
      </w:r>
      <w:r w:rsidR="008E568A" w:rsidRPr="00590C80">
        <w:rPr>
          <w:sz w:val="24"/>
          <w:szCs w:val="24"/>
        </w:rPr>
        <w:t xml:space="preserve"> (26</w:t>
      </w:r>
      <w:r>
        <w:rPr>
          <w:sz w:val="24"/>
          <w:szCs w:val="24"/>
        </w:rPr>
        <w:t xml:space="preserve"> </w:t>
      </w:r>
      <w:r w:rsidR="003D6EE2">
        <w:rPr>
          <w:sz w:val="24"/>
          <w:szCs w:val="24"/>
        </w:rPr>
        <w:t>percent</w:t>
      </w:r>
      <w:r w:rsidR="008E568A" w:rsidRPr="00590C80">
        <w:rPr>
          <w:sz w:val="24"/>
          <w:szCs w:val="24"/>
        </w:rPr>
        <w:t>)</w:t>
      </w:r>
      <w:r w:rsidR="00590C80">
        <w:rPr>
          <w:sz w:val="24"/>
          <w:szCs w:val="24"/>
        </w:rPr>
        <w:t xml:space="preserve"> </w:t>
      </w:r>
      <w:r w:rsidR="008E568A" w:rsidRPr="00590C80">
        <w:rPr>
          <w:sz w:val="24"/>
          <w:szCs w:val="24"/>
        </w:rPr>
        <w:t xml:space="preserve">that is disproportionate to the total </w:t>
      </w:r>
      <w:r w:rsidR="00590C80" w:rsidRPr="00590C80">
        <w:rPr>
          <w:sz w:val="24"/>
          <w:szCs w:val="24"/>
        </w:rPr>
        <w:t>Māori</w:t>
      </w:r>
      <w:r w:rsidR="00590C80">
        <w:rPr>
          <w:sz w:val="24"/>
          <w:szCs w:val="24"/>
        </w:rPr>
        <w:t xml:space="preserve"> </w:t>
      </w:r>
      <w:r w:rsidR="008E568A" w:rsidRPr="00590C80">
        <w:rPr>
          <w:sz w:val="24"/>
          <w:szCs w:val="24"/>
        </w:rPr>
        <w:t xml:space="preserve">population </w:t>
      </w:r>
      <w:r w:rsidR="00590C80">
        <w:rPr>
          <w:sz w:val="24"/>
          <w:szCs w:val="24"/>
        </w:rPr>
        <w:t>(15</w:t>
      </w:r>
      <w:r w:rsidR="003D6EE2">
        <w:rPr>
          <w:sz w:val="24"/>
          <w:szCs w:val="24"/>
        </w:rPr>
        <w:t>percent</w:t>
      </w:r>
      <w:r w:rsidR="00590C80">
        <w:rPr>
          <w:sz w:val="24"/>
          <w:szCs w:val="24"/>
        </w:rPr>
        <w:t xml:space="preserve">) and </w:t>
      </w:r>
      <w:r>
        <w:rPr>
          <w:sz w:val="24"/>
          <w:szCs w:val="24"/>
        </w:rPr>
        <w:t xml:space="preserve">the </w:t>
      </w:r>
      <w:r w:rsidR="00590C80">
        <w:rPr>
          <w:sz w:val="24"/>
          <w:szCs w:val="24"/>
        </w:rPr>
        <w:t>younger median age</w:t>
      </w:r>
      <w:r w:rsidR="00D018DF">
        <w:rPr>
          <w:sz w:val="24"/>
          <w:szCs w:val="24"/>
        </w:rPr>
        <w:t xml:space="preserve"> of the Māori population</w:t>
      </w:r>
      <w:r>
        <w:rPr>
          <w:sz w:val="24"/>
          <w:szCs w:val="24"/>
        </w:rPr>
        <w:t>.</w:t>
      </w:r>
    </w:p>
    <w:p w:rsidR="008E568A" w:rsidRPr="008E568A" w:rsidRDefault="00453DBB" w:rsidP="007B7173">
      <w:pPr>
        <w:pStyle w:val="ListParagraph"/>
        <w:numPr>
          <w:ilvl w:val="0"/>
          <w:numId w:val="8"/>
        </w:numPr>
        <w:jc w:val="both"/>
        <w:rPr>
          <w:b/>
          <w:kern w:val="2"/>
          <w:sz w:val="24"/>
          <w:szCs w:val="24"/>
        </w:rPr>
      </w:pPr>
      <w:proofErr w:type="spellStart"/>
      <w:r>
        <w:rPr>
          <w:sz w:val="24"/>
        </w:rPr>
        <w:t>Pasifika</w:t>
      </w:r>
      <w:proofErr w:type="spellEnd"/>
      <w:r>
        <w:rPr>
          <w:sz w:val="24"/>
        </w:rPr>
        <w:t xml:space="preserve"> had</w:t>
      </w:r>
      <w:r w:rsidR="008E568A" w:rsidRPr="008E568A">
        <w:rPr>
          <w:sz w:val="24"/>
        </w:rPr>
        <w:t xml:space="preserve"> a higher than average disability rate (19</w:t>
      </w:r>
      <w:r w:rsidR="00630E6E">
        <w:rPr>
          <w:sz w:val="24"/>
        </w:rPr>
        <w:t xml:space="preserve"> </w:t>
      </w:r>
      <w:r w:rsidR="003D6EE2">
        <w:rPr>
          <w:sz w:val="24"/>
        </w:rPr>
        <w:t>percent</w:t>
      </w:r>
      <w:r w:rsidR="008E568A" w:rsidRPr="008E568A">
        <w:rPr>
          <w:sz w:val="24"/>
        </w:rPr>
        <w:t xml:space="preserve">) that is </w:t>
      </w:r>
      <w:r w:rsidR="00590C80">
        <w:rPr>
          <w:sz w:val="24"/>
        </w:rPr>
        <w:t xml:space="preserve">disproportionate to the total </w:t>
      </w:r>
      <w:proofErr w:type="spellStart"/>
      <w:r w:rsidR="00590C80">
        <w:rPr>
          <w:sz w:val="24"/>
        </w:rPr>
        <w:t>Pasifika</w:t>
      </w:r>
      <w:proofErr w:type="spellEnd"/>
      <w:r w:rsidR="008E568A" w:rsidRPr="008E568A">
        <w:rPr>
          <w:sz w:val="24"/>
        </w:rPr>
        <w:t xml:space="preserve"> population</w:t>
      </w:r>
      <w:r w:rsidR="00590C80">
        <w:rPr>
          <w:sz w:val="24"/>
        </w:rPr>
        <w:t xml:space="preserve"> (7</w:t>
      </w:r>
      <w:r w:rsidR="00630E6E">
        <w:rPr>
          <w:sz w:val="24"/>
        </w:rPr>
        <w:t xml:space="preserve"> </w:t>
      </w:r>
      <w:proofErr w:type="spellStart"/>
      <w:r w:rsidR="003D6EE2">
        <w:rPr>
          <w:sz w:val="24"/>
        </w:rPr>
        <w:t>percent</w:t>
      </w:r>
      <w:proofErr w:type="spellEnd"/>
      <w:r w:rsidR="00590C80">
        <w:rPr>
          <w:sz w:val="24"/>
        </w:rPr>
        <w:t xml:space="preserve">) and </w:t>
      </w:r>
      <w:r w:rsidR="00630E6E">
        <w:rPr>
          <w:sz w:val="24"/>
        </w:rPr>
        <w:t xml:space="preserve">the </w:t>
      </w:r>
      <w:r w:rsidR="00590C80">
        <w:rPr>
          <w:sz w:val="24"/>
        </w:rPr>
        <w:t>younger median age</w:t>
      </w:r>
      <w:r w:rsidR="00D018DF">
        <w:rPr>
          <w:sz w:val="24"/>
        </w:rPr>
        <w:t xml:space="preserve"> of the total </w:t>
      </w:r>
      <w:proofErr w:type="spellStart"/>
      <w:r w:rsidR="00D018DF">
        <w:rPr>
          <w:sz w:val="24"/>
        </w:rPr>
        <w:t>Pasifika</w:t>
      </w:r>
      <w:proofErr w:type="spellEnd"/>
      <w:r w:rsidR="00D018DF">
        <w:rPr>
          <w:sz w:val="24"/>
        </w:rPr>
        <w:t xml:space="preserve"> population</w:t>
      </w:r>
      <w:r w:rsidR="00630E6E">
        <w:rPr>
          <w:sz w:val="24"/>
        </w:rPr>
        <w:t>.</w:t>
      </w:r>
    </w:p>
    <w:p w:rsidR="00433FC4" w:rsidRPr="008E568A" w:rsidRDefault="008E568A" w:rsidP="007B7173">
      <w:pPr>
        <w:pStyle w:val="ListParagraph"/>
        <w:numPr>
          <w:ilvl w:val="0"/>
          <w:numId w:val="8"/>
        </w:numPr>
        <w:jc w:val="both"/>
        <w:rPr>
          <w:b/>
          <w:kern w:val="2"/>
          <w:sz w:val="24"/>
          <w:szCs w:val="24"/>
        </w:rPr>
      </w:pPr>
      <w:r w:rsidRPr="008E568A">
        <w:rPr>
          <w:sz w:val="24"/>
        </w:rPr>
        <w:t>The disabil</w:t>
      </w:r>
      <w:r w:rsidR="00453DBB">
        <w:rPr>
          <w:sz w:val="24"/>
        </w:rPr>
        <w:t>ity rate for people who identified</w:t>
      </w:r>
      <w:r w:rsidRPr="008E568A">
        <w:rPr>
          <w:sz w:val="24"/>
        </w:rPr>
        <w:t xml:space="preserve"> as European was 25 percent</w:t>
      </w:r>
      <w:r>
        <w:rPr>
          <w:sz w:val="24"/>
        </w:rPr>
        <w:t>,</w:t>
      </w:r>
      <w:r w:rsidRPr="008E568A">
        <w:rPr>
          <w:sz w:val="24"/>
        </w:rPr>
        <w:t xml:space="preserve"> despite </w:t>
      </w:r>
      <w:r w:rsidR="00590C80">
        <w:rPr>
          <w:sz w:val="24"/>
        </w:rPr>
        <w:t xml:space="preserve">this group </w:t>
      </w:r>
      <w:r w:rsidRPr="008E568A">
        <w:rPr>
          <w:sz w:val="24"/>
        </w:rPr>
        <w:t xml:space="preserve">making up </w:t>
      </w:r>
      <w:r w:rsidR="00590C80">
        <w:rPr>
          <w:sz w:val="24"/>
        </w:rPr>
        <w:t>74</w:t>
      </w:r>
      <w:r w:rsidR="00453DBB">
        <w:rPr>
          <w:sz w:val="24"/>
        </w:rPr>
        <w:t xml:space="preserve"> </w:t>
      </w:r>
      <w:r w:rsidR="003D6EE2">
        <w:rPr>
          <w:sz w:val="24"/>
        </w:rPr>
        <w:t>percent</w:t>
      </w:r>
      <w:r w:rsidR="00590C80">
        <w:rPr>
          <w:sz w:val="24"/>
        </w:rPr>
        <w:t xml:space="preserve"> of </w:t>
      </w:r>
      <w:r w:rsidRPr="008E568A">
        <w:rPr>
          <w:sz w:val="24"/>
        </w:rPr>
        <w:t>New Zealand’s population</w:t>
      </w:r>
      <w:r w:rsidR="00630E6E">
        <w:rPr>
          <w:sz w:val="24"/>
        </w:rPr>
        <w:t>.</w:t>
      </w:r>
    </w:p>
    <w:p w:rsidR="00433FC4" w:rsidRPr="00433FC4" w:rsidRDefault="00433FC4" w:rsidP="007B7173">
      <w:pPr>
        <w:pStyle w:val="ListParagraph"/>
        <w:numPr>
          <w:ilvl w:val="0"/>
          <w:numId w:val="8"/>
        </w:numPr>
        <w:jc w:val="both"/>
        <w:rPr>
          <w:b/>
          <w:kern w:val="2"/>
          <w:sz w:val="24"/>
          <w:szCs w:val="24"/>
        </w:rPr>
      </w:pPr>
      <w:r w:rsidRPr="00433FC4">
        <w:rPr>
          <w:sz w:val="24"/>
          <w:szCs w:val="24"/>
        </w:rPr>
        <w:t>64 percent of disabled adults report</w:t>
      </w:r>
      <w:r w:rsidR="00453DBB">
        <w:rPr>
          <w:sz w:val="24"/>
          <w:szCs w:val="24"/>
        </w:rPr>
        <w:t>ed</w:t>
      </w:r>
      <w:r w:rsidRPr="00433FC4">
        <w:rPr>
          <w:sz w:val="24"/>
          <w:szCs w:val="24"/>
        </w:rPr>
        <w:t xml:space="preserve"> physical impairments</w:t>
      </w:r>
      <w:r w:rsidR="00630E6E">
        <w:rPr>
          <w:sz w:val="24"/>
          <w:szCs w:val="24"/>
        </w:rPr>
        <w:t>.</w:t>
      </w:r>
    </w:p>
    <w:p w:rsidR="00433FC4" w:rsidRPr="00433FC4" w:rsidRDefault="00433FC4" w:rsidP="007B7173">
      <w:pPr>
        <w:pStyle w:val="ListParagraph"/>
        <w:numPr>
          <w:ilvl w:val="0"/>
          <w:numId w:val="8"/>
        </w:numPr>
        <w:jc w:val="both"/>
        <w:rPr>
          <w:b/>
          <w:kern w:val="2"/>
          <w:sz w:val="24"/>
          <w:szCs w:val="24"/>
        </w:rPr>
      </w:pPr>
      <w:r>
        <w:rPr>
          <w:sz w:val="24"/>
          <w:szCs w:val="24"/>
        </w:rPr>
        <w:t>53</w:t>
      </w:r>
      <w:r w:rsidR="00453DBB">
        <w:rPr>
          <w:sz w:val="24"/>
          <w:szCs w:val="24"/>
        </w:rPr>
        <w:t xml:space="preserve"> </w:t>
      </w:r>
      <w:r w:rsidR="003D6EE2">
        <w:rPr>
          <w:sz w:val="24"/>
          <w:szCs w:val="24"/>
        </w:rPr>
        <w:t>percent</w:t>
      </w:r>
      <w:r>
        <w:rPr>
          <w:sz w:val="24"/>
          <w:szCs w:val="24"/>
        </w:rPr>
        <w:t xml:space="preserve"> of disabled people </w:t>
      </w:r>
      <w:r w:rsidRPr="00433FC4">
        <w:rPr>
          <w:sz w:val="24"/>
          <w:szCs w:val="24"/>
        </w:rPr>
        <w:t>had more than one type of impairment</w:t>
      </w:r>
      <w:r w:rsidR="00630E6E">
        <w:rPr>
          <w:sz w:val="24"/>
          <w:szCs w:val="24"/>
        </w:rPr>
        <w:t>.</w:t>
      </w:r>
    </w:p>
    <w:p w:rsidR="00AA0B54" w:rsidRPr="00AA0B54" w:rsidRDefault="00453DBB" w:rsidP="007B7173">
      <w:pPr>
        <w:pStyle w:val="ListParagraph"/>
        <w:numPr>
          <w:ilvl w:val="0"/>
          <w:numId w:val="8"/>
        </w:numPr>
        <w:jc w:val="both"/>
        <w:rPr>
          <w:b/>
          <w:kern w:val="2"/>
          <w:sz w:val="24"/>
          <w:szCs w:val="24"/>
        </w:rPr>
      </w:pPr>
      <w:r>
        <w:rPr>
          <w:sz w:val="24"/>
          <w:szCs w:val="24"/>
        </w:rPr>
        <w:t>T</w:t>
      </w:r>
      <w:r w:rsidR="00AA0B54" w:rsidRPr="00AA0B54">
        <w:rPr>
          <w:sz w:val="24"/>
          <w:szCs w:val="24"/>
        </w:rPr>
        <w:t>he most common cause of disability for adults was disease or illness (42 percent)</w:t>
      </w:r>
      <w:r w:rsidR="00630E6E">
        <w:rPr>
          <w:sz w:val="24"/>
          <w:szCs w:val="24"/>
        </w:rPr>
        <w:t>.</w:t>
      </w:r>
      <w:r w:rsidR="008E568A">
        <w:rPr>
          <w:rStyle w:val="FootnoteReference"/>
          <w:sz w:val="24"/>
          <w:szCs w:val="24"/>
        </w:rPr>
        <w:footnoteReference w:id="8"/>
      </w:r>
    </w:p>
    <w:p w:rsidR="00433FC4" w:rsidRPr="00AA0B54" w:rsidRDefault="00AA0B54" w:rsidP="007B7173">
      <w:pPr>
        <w:pStyle w:val="ListParagraph"/>
        <w:numPr>
          <w:ilvl w:val="0"/>
          <w:numId w:val="8"/>
        </w:numPr>
        <w:ind w:left="714" w:hanging="357"/>
        <w:jc w:val="both"/>
        <w:rPr>
          <w:b/>
          <w:kern w:val="2"/>
          <w:sz w:val="24"/>
          <w:szCs w:val="24"/>
        </w:rPr>
      </w:pPr>
      <w:r w:rsidRPr="00AA0B54">
        <w:rPr>
          <w:sz w:val="24"/>
          <w:szCs w:val="24"/>
        </w:rPr>
        <w:t>The most common cause of disability for children was a condition that existed at birth (49 percent)</w:t>
      </w:r>
      <w:r w:rsidR="00630E6E">
        <w:rPr>
          <w:sz w:val="24"/>
          <w:szCs w:val="24"/>
        </w:rPr>
        <w:t>.</w:t>
      </w:r>
    </w:p>
    <w:p w:rsidR="00AA0B54" w:rsidRPr="00CE75D5" w:rsidRDefault="00453DBB" w:rsidP="007B7173">
      <w:pPr>
        <w:pStyle w:val="ListParagraph"/>
        <w:numPr>
          <w:ilvl w:val="0"/>
          <w:numId w:val="8"/>
        </w:numPr>
        <w:ind w:left="714" w:hanging="357"/>
        <w:jc w:val="both"/>
        <w:rPr>
          <w:b/>
          <w:kern w:val="2"/>
          <w:sz w:val="24"/>
          <w:szCs w:val="24"/>
        </w:rPr>
      </w:pPr>
      <w:r>
        <w:rPr>
          <w:sz w:val="24"/>
          <w:szCs w:val="24"/>
        </w:rPr>
        <w:t>T</w:t>
      </w:r>
      <w:r w:rsidR="00AA0B54" w:rsidRPr="00AA0B54">
        <w:rPr>
          <w:sz w:val="24"/>
          <w:szCs w:val="24"/>
        </w:rPr>
        <w:t xml:space="preserve">he following </w:t>
      </w:r>
      <w:r w:rsidR="00AA0B54">
        <w:rPr>
          <w:sz w:val="24"/>
          <w:szCs w:val="24"/>
        </w:rPr>
        <w:t xml:space="preserve">geographic </w:t>
      </w:r>
      <w:r w:rsidR="00AA0B54" w:rsidRPr="00AA0B54">
        <w:rPr>
          <w:sz w:val="24"/>
          <w:szCs w:val="24"/>
        </w:rPr>
        <w:t xml:space="preserve">regions have a higher than average rate of disability: Bay of Plenty; </w:t>
      </w:r>
      <w:proofErr w:type="spellStart"/>
      <w:r w:rsidR="00AA0B54" w:rsidRPr="00AA0B54">
        <w:rPr>
          <w:sz w:val="24"/>
          <w:szCs w:val="24"/>
        </w:rPr>
        <w:t>Manawatu-W</w:t>
      </w:r>
      <w:r w:rsidR="0023450E">
        <w:rPr>
          <w:sz w:val="24"/>
          <w:szCs w:val="24"/>
        </w:rPr>
        <w:t>h</w:t>
      </w:r>
      <w:r w:rsidR="00AA0B54" w:rsidRPr="00AA0B54">
        <w:rPr>
          <w:sz w:val="24"/>
          <w:szCs w:val="24"/>
        </w:rPr>
        <w:t>anganui</w:t>
      </w:r>
      <w:proofErr w:type="spellEnd"/>
      <w:r w:rsidR="00AA0B54" w:rsidRPr="00AA0B54">
        <w:rPr>
          <w:sz w:val="24"/>
          <w:szCs w:val="24"/>
        </w:rPr>
        <w:t xml:space="preserve">; Northland; </w:t>
      </w:r>
      <w:proofErr w:type="spellStart"/>
      <w:r w:rsidR="00AA0B54" w:rsidRPr="00AA0B54">
        <w:rPr>
          <w:sz w:val="24"/>
          <w:szCs w:val="24"/>
        </w:rPr>
        <w:t>Taranaki</w:t>
      </w:r>
      <w:proofErr w:type="spellEnd"/>
      <w:r w:rsidR="00AF6F9E">
        <w:rPr>
          <w:sz w:val="24"/>
          <w:szCs w:val="24"/>
        </w:rPr>
        <w:t>.</w:t>
      </w:r>
      <w:r>
        <w:rPr>
          <w:rStyle w:val="FootnoteReference"/>
          <w:sz w:val="24"/>
          <w:szCs w:val="24"/>
        </w:rPr>
        <w:footnoteReference w:id="9"/>
      </w:r>
    </w:p>
    <w:p w:rsidR="00F54E89" w:rsidRDefault="00F54E89" w:rsidP="00CE75D5">
      <w:pPr>
        <w:pStyle w:val="ListParagraph"/>
        <w:ind w:left="714"/>
        <w:jc w:val="both"/>
        <w:rPr>
          <w:b/>
          <w:kern w:val="2"/>
          <w:sz w:val="24"/>
          <w:szCs w:val="24"/>
        </w:rPr>
      </w:pPr>
    </w:p>
    <w:p w:rsidR="005D385B" w:rsidRDefault="005D385B" w:rsidP="001E366B">
      <w:pPr>
        <w:pStyle w:val="Heading2"/>
        <w:rPr>
          <w:kern w:val="2"/>
        </w:rPr>
      </w:pPr>
      <w:bookmarkStart w:id="2" w:name="_Toc420885826"/>
      <w:r>
        <w:rPr>
          <w:kern w:val="2"/>
        </w:rPr>
        <w:t>Disability related health statistics</w:t>
      </w:r>
      <w:bookmarkEnd w:id="2"/>
    </w:p>
    <w:p w:rsidR="005D385B" w:rsidRPr="00CE75D5" w:rsidRDefault="005D385B" w:rsidP="00CE75D5">
      <w:pPr>
        <w:pStyle w:val="ListParagraph"/>
        <w:ind w:left="714"/>
        <w:jc w:val="both"/>
        <w:rPr>
          <w:b/>
          <w:kern w:val="2"/>
          <w:sz w:val="24"/>
          <w:szCs w:val="24"/>
        </w:rPr>
      </w:pPr>
    </w:p>
    <w:p w:rsidR="00630E6E" w:rsidRDefault="00464A4F" w:rsidP="007B7173">
      <w:pPr>
        <w:pStyle w:val="ListParagraph"/>
        <w:numPr>
          <w:ilvl w:val="0"/>
          <w:numId w:val="11"/>
        </w:numPr>
        <w:ind w:left="426" w:firstLine="0"/>
        <w:jc w:val="both"/>
        <w:rPr>
          <w:kern w:val="2"/>
          <w:sz w:val="24"/>
          <w:szCs w:val="24"/>
        </w:rPr>
      </w:pPr>
      <w:r w:rsidRPr="00586D10">
        <w:rPr>
          <w:kern w:val="2"/>
          <w:sz w:val="24"/>
          <w:szCs w:val="24"/>
        </w:rPr>
        <w:t xml:space="preserve">New Zealanders have </w:t>
      </w:r>
      <w:r w:rsidR="00CA01FC">
        <w:rPr>
          <w:kern w:val="2"/>
          <w:sz w:val="24"/>
          <w:szCs w:val="24"/>
        </w:rPr>
        <w:t xml:space="preserve">a high </w:t>
      </w:r>
      <w:r w:rsidRPr="00586D10">
        <w:rPr>
          <w:kern w:val="2"/>
          <w:sz w:val="24"/>
          <w:szCs w:val="24"/>
        </w:rPr>
        <w:t xml:space="preserve">rate </w:t>
      </w:r>
      <w:r w:rsidR="007B7173">
        <w:rPr>
          <w:kern w:val="2"/>
          <w:sz w:val="24"/>
          <w:szCs w:val="24"/>
        </w:rPr>
        <w:t xml:space="preserve">of </w:t>
      </w:r>
      <w:r w:rsidRPr="00586D10">
        <w:rPr>
          <w:kern w:val="2"/>
          <w:sz w:val="24"/>
          <w:szCs w:val="24"/>
        </w:rPr>
        <w:t>psychosocial disability</w:t>
      </w:r>
      <w:r w:rsidR="00630E6E">
        <w:rPr>
          <w:kern w:val="2"/>
          <w:sz w:val="24"/>
          <w:szCs w:val="24"/>
        </w:rPr>
        <w:t>.</w:t>
      </w:r>
      <w:r w:rsidRPr="00586D10">
        <w:rPr>
          <w:rStyle w:val="FootnoteReference"/>
          <w:kern w:val="2"/>
          <w:sz w:val="24"/>
          <w:szCs w:val="24"/>
        </w:rPr>
        <w:footnoteReference w:id="10"/>
      </w:r>
      <w:r w:rsidR="007B7173">
        <w:rPr>
          <w:kern w:val="2"/>
          <w:sz w:val="24"/>
          <w:szCs w:val="24"/>
        </w:rPr>
        <w:t xml:space="preserve"> </w:t>
      </w:r>
      <w:r w:rsidR="007B7173">
        <w:rPr>
          <w:rStyle w:val="FootnoteReference"/>
          <w:kern w:val="2"/>
          <w:sz w:val="24"/>
          <w:szCs w:val="24"/>
        </w:rPr>
        <w:footnoteReference w:id="11"/>
      </w:r>
    </w:p>
    <w:p w:rsidR="00630E6E" w:rsidRDefault="00586D10" w:rsidP="00CA01FC">
      <w:pPr>
        <w:pStyle w:val="ListParagraph"/>
        <w:numPr>
          <w:ilvl w:val="0"/>
          <w:numId w:val="11"/>
        </w:numPr>
        <w:ind w:left="426" w:firstLine="0"/>
        <w:rPr>
          <w:kern w:val="2"/>
          <w:sz w:val="24"/>
          <w:szCs w:val="24"/>
        </w:rPr>
      </w:pPr>
      <w:r w:rsidRPr="00630E6E">
        <w:rPr>
          <w:sz w:val="24"/>
          <w:szCs w:val="24"/>
        </w:rPr>
        <w:t>One in six New Zealand adults (16</w:t>
      </w:r>
      <w:r w:rsidR="00722A50">
        <w:rPr>
          <w:sz w:val="24"/>
          <w:szCs w:val="24"/>
        </w:rPr>
        <w:t xml:space="preserve"> </w:t>
      </w:r>
      <w:r w:rsidR="003D6EE2" w:rsidRPr="00630E6E">
        <w:rPr>
          <w:sz w:val="24"/>
          <w:szCs w:val="24"/>
        </w:rPr>
        <w:t>percent</w:t>
      </w:r>
      <w:r w:rsidRPr="00630E6E">
        <w:rPr>
          <w:sz w:val="24"/>
          <w:szCs w:val="24"/>
        </w:rPr>
        <w:t xml:space="preserve">) had been diagnosed with a </w:t>
      </w:r>
      <w:r w:rsidR="007B7173">
        <w:rPr>
          <w:sz w:val="24"/>
          <w:szCs w:val="24"/>
        </w:rPr>
        <w:tab/>
      </w:r>
      <w:r w:rsidRPr="00630E6E">
        <w:rPr>
          <w:sz w:val="24"/>
          <w:szCs w:val="24"/>
        </w:rPr>
        <w:t>common psychological disorder at some time in their lives</w:t>
      </w:r>
      <w:r w:rsidR="00630E6E">
        <w:rPr>
          <w:sz w:val="24"/>
          <w:szCs w:val="24"/>
        </w:rPr>
        <w:t>.</w:t>
      </w:r>
      <w:r w:rsidRPr="00586D10">
        <w:rPr>
          <w:rStyle w:val="FootnoteReference"/>
          <w:sz w:val="24"/>
          <w:szCs w:val="24"/>
        </w:rPr>
        <w:footnoteReference w:id="12"/>
      </w:r>
      <w:r w:rsidRPr="00630E6E">
        <w:rPr>
          <w:sz w:val="24"/>
          <w:szCs w:val="24"/>
        </w:rPr>
        <w:t xml:space="preserve"> </w:t>
      </w:r>
    </w:p>
    <w:p w:rsidR="00630E6E" w:rsidRDefault="00CE75D5" w:rsidP="007B7173">
      <w:pPr>
        <w:pStyle w:val="ListParagraph"/>
        <w:numPr>
          <w:ilvl w:val="0"/>
          <w:numId w:val="11"/>
        </w:numPr>
        <w:ind w:left="426" w:firstLine="0"/>
        <w:jc w:val="both"/>
        <w:rPr>
          <w:kern w:val="2"/>
          <w:sz w:val="24"/>
          <w:szCs w:val="24"/>
        </w:rPr>
      </w:pPr>
      <w:r w:rsidRPr="00630E6E">
        <w:rPr>
          <w:sz w:val="24"/>
          <w:szCs w:val="24"/>
        </w:rPr>
        <w:t>Rates of diagnosed mental health conditions are rising</w:t>
      </w:r>
      <w:r w:rsidR="00630E6E">
        <w:rPr>
          <w:sz w:val="24"/>
          <w:szCs w:val="24"/>
        </w:rPr>
        <w:t>.</w:t>
      </w:r>
      <w:r>
        <w:rPr>
          <w:rStyle w:val="FootnoteReference"/>
          <w:sz w:val="24"/>
          <w:szCs w:val="24"/>
        </w:rPr>
        <w:footnoteReference w:id="13"/>
      </w:r>
    </w:p>
    <w:p w:rsidR="00630E6E" w:rsidRDefault="00CE75D5" w:rsidP="00CA01FC">
      <w:pPr>
        <w:pStyle w:val="ListParagraph"/>
        <w:numPr>
          <w:ilvl w:val="0"/>
          <w:numId w:val="11"/>
        </w:numPr>
        <w:ind w:left="426" w:firstLine="0"/>
        <w:rPr>
          <w:kern w:val="2"/>
          <w:sz w:val="24"/>
          <w:szCs w:val="24"/>
        </w:rPr>
      </w:pPr>
      <w:r w:rsidRPr="00630E6E">
        <w:rPr>
          <w:sz w:val="24"/>
          <w:szCs w:val="24"/>
        </w:rPr>
        <w:t xml:space="preserve">Rates of psychological distress are high among Māori and </w:t>
      </w:r>
      <w:proofErr w:type="spellStart"/>
      <w:r w:rsidRPr="00630E6E">
        <w:rPr>
          <w:sz w:val="24"/>
          <w:szCs w:val="24"/>
        </w:rPr>
        <w:t>Pasifika</w:t>
      </w:r>
      <w:proofErr w:type="spellEnd"/>
      <w:r w:rsidRPr="00630E6E">
        <w:rPr>
          <w:sz w:val="24"/>
          <w:szCs w:val="24"/>
        </w:rPr>
        <w:t xml:space="preserve"> </w:t>
      </w:r>
      <w:r w:rsidR="007B7173">
        <w:rPr>
          <w:sz w:val="24"/>
          <w:szCs w:val="24"/>
        </w:rPr>
        <w:tab/>
      </w:r>
      <w:r w:rsidR="00CA01FC">
        <w:rPr>
          <w:sz w:val="24"/>
          <w:szCs w:val="24"/>
        </w:rPr>
        <w:t xml:space="preserve">adults, </w:t>
      </w:r>
      <w:r w:rsidRPr="00630E6E">
        <w:rPr>
          <w:sz w:val="24"/>
          <w:szCs w:val="24"/>
        </w:rPr>
        <w:t xml:space="preserve">and </w:t>
      </w:r>
      <w:r w:rsidR="007B7173">
        <w:rPr>
          <w:sz w:val="24"/>
          <w:szCs w:val="24"/>
        </w:rPr>
        <w:tab/>
      </w:r>
      <w:r w:rsidRPr="00630E6E">
        <w:rPr>
          <w:sz w:val="24"/>
          <w:szCs w:val="24"/>
        </w:rPr>
        <w:t>adults living in the most deprived areas</w:t>
      </w:r>
      <w:r w:rsidR="00630E6E">
        <w:rPr>
          <w:sz w:val="24"/>
          <w:szCs w:val="24"/>
        </w:rPr>
        <w:t>.</w:t>
      </w:r>
      <w:r w:rsidR="00722A50">
        <w:rPr>
          <w:rStyle w:val="FootnoteReference"/>
          <w:sz w:val="24"/>
          <w:szCs w:val="24"/>
        </w:rPr>
        <w:footnoteReference w:id="14"/>
      </w:r>
    </w:p>
    <w:p w:rsidR="00015693" w:rsidRDefault="00586D10" w:rsidP="00015693">
      <w:pPr>
        <w:pStyle w:val="ListParagraph"/>
        <w:numPr>
          <w:ilvl w:val="0"/>
          <w:numId w:val="11"/>
        </w:numPr>
        <w:ind w:left="426" w:firstLine="0"/>
        <w:jc w:val="both"/>
        <w:rPr>
          <w:kern w:val="2"/>
          <w:sz w:val="24"/>
          <w:szCs w:val="24"/>
        </w:rPr>
      </w:pPr>
      <w:r w:rsidRPr="00630E6E">
        <w:rPr>
          <w:sz w:val="24"/>
          <w:szCs w:val="24"/>
        </w:rPr>
        <w:lastRenderedPageBreak/>
        <w:t>13</w:t>
      </w:r>
      <w:r w:rsidR="00015693">
        <w:rPr>
          <w:sz w:val="24"/>
          <w:szCs w:val="24"/>
        </w:rPr>
        <w:t xml:space="preserve"> </w:t>
      </w:r>
      <w:r w:rsidR="003D6EE2" w:rsidRPr="00630E6E">
        <w:rPr>
          <w:sz w:val="24"/>
          <w:szCs w:val="24"/>
        </w:rPr>
        <w:t>percent</w:t>
      </w:r>
      <w:r w:rsidRPr="00630E6E">
        <w:rPr>
          <w:sz w:val="24"/>
          <w:szCs w:val="24"/>
        </w:rPr>
        <w:t xml:space="preserve"> of the disabled </w:t>
      </w:r>
      <w:proofErr w:type="gramStart"/>
      <w:r w:rsidRPr="00630E6E">
        <w:rPr>
          <w:sz w:val="24"/>
          <w:szCs w:val="24"/>
        </w:rPr>
        <w:t>population</w:t>
      </w:r>
      <w:proofErr w:type="gramEnd"/>
      <w:r w:rsidRPr="00630E6E">
        <w:rPr>
          <w:sz w:val="24"/>
          <w:szCs w:val="24"/>
        </w:rPr>
        <w:t xml:space="preserve"> </w:t>
      </w:r>
      <w:r w:rsidR="00AF6F9E" w:rsidRPr="00630E6E">
        <w:rPr>
          <w:sz w:val="24"/>
          <w:szCs w:val="24"/>
        </w:rPr>
        <w:t xml:space="preserve">who participated in the New </w:t>
      </w:r>
      <w:r w:rsidR="007B7173">
        <w:rPr>
          <w:sz w:val="24"/>
          <w:szCs w:val="24"/>
        </w:rPr>
        <w:tab/>
      </w:r>
      <w:r w:rsidR="00AF6F9E" w:rsidRPr="00630E6E">
        <w:rPr>
          <w:sz w:val="24"/>
          <w:szCs w:val="24"/>
        </w:rPr>
        <w:t xml:space="preserve">Zealand </w:t>
      </w:r>
      <w:r w:rsidR="007B7173">
        <w:rPr>
          <w:sz w:val="24"/>
          <w:szCs w:val="24"/>
        </w:rPr>
        <w:tab/>
      </w:r>
      <w:r w:rsidR="00AF6F9E" w:rsidRPr="00630E6E">
        <w:rPr>
          <w:sz w:val="24"/>
          <w:szCs w:val="24"/>
        </w:rPr>
        <w:t xml:space="preserve">Health Survey, </w:t>
      </w:r>
      <w:r w:rsidRPr="00630E6E">
        <w:rPr>
          <w:sz w:val="24"/>
          <w:szCs w:val="24"/>
        </w:rPr>
        <w:t>report</w:t>
      </w:r>
      <w:r w:rsidR="00AF6F9E" w:rsidRPr="00630E6E">
        <w:rPr>
          <w:sz w:val="24"/>
          <w:szCs w:val="24"/>
        </w:rPr>
        <w:t>ed</w:t>
      </w:r>
      <w:r w:rsidRPr="00630E6E">
        <w:rPr>
          <w:sz w:val="24"/>
          <w:szCs w:val="24"/>
        </w:rPr>
        <w:t xml:space="preserve"> psychological/psychiatric disability as either their </w:t>
      </w:r>
      <w:r w:rsidR="007B7173">
        <w:rPr>
          <w:sz w:val="24"/>
          <w:szCs w:val="24"/>
        </w:rPr>
        <w:tab/>
      </w:r>
      <w:r w:rsidRPr="00630E6E">
        <w:rPr>
          <w:sz w:val="24"/>
          <w:szCs w:val="24"/>
        </w:rPr>
        <w:t xml:space="preserve">only </w:t>
      </w:r>
      <w:r w:rsidR="007B7173">
        <w:rPr>
          <w:sz w:val="24"/>
          <w:szCs w:val="24"/>
        </w:rPr>
        <w:tab/>
      </w:r>
      <w:r w:rsidRPr="00630E6E">
        <w:rPr>
          <w:sz w:val="24"/>
          <w:szCs w:val="24"/>
        </w:rPr>
        <w:t>impairment or the most limiting of their impairments</w:t>
      </w:r>
      <w:r w:rsidR="00630E6E">
        <w:rPr>
          <w:sz w:val="24"/>
          <w:szCs w:val="24"/>
        </w:rPr>
        <w:t>.</w:t>
      </w:r>
      <w:r>
        <w:rPr>
          <w:rStyle w:val="FootnoteReference"/>
          <w:sz w:val="24"/>
          <w:szCs w:val="24"/>
        </w:rPr>
        <w:footnoteReference w:id="15"/>
      </w:r>
    </w:p>
    <w:p w:rsidR="00015693" w:rsidRDefault="00BB6708" w:rsidP="00015693">
      <w:pPr>
        <w:pStyle w:val="ListParagraph"/>
        <w:numPr>
          <w:ilvl w:val="0"/>
          <w:numId w:val="11"/>
        </w:numPr>
        <w:ind w:left="426" w:firstLine="0"/>
        <w:jc w:val="both"/>
        <w:rPr>
          <w:kern w:val="2"/>
          <w:sz w:val="24"/>
          <w:szCs w:val="24"/>
        </w:rPr>
      </w:pPr>
      <w:r w:rsidRPr="00015693">
        <w:rPr>
          <w:sz w:val="24"/>
          <w:szCs w:val="24"/>
          <w:shd w:val="clear" w:color="auto" w:fill="FFFFFF"/>
        </w:rPr>
        <w:t>A total of 549 people died by suicide in 2012</w:t>
      </w:r>
      <w:r w:rsidR="00630E6E" w:rsidRPr="00015693">
        <w:rPr>
          <w:sz w:val="24"/>
          <w:szCs w:val="24"/>
          <w:shd w:val="clear" w:color="auto" w:fill="FFFFFF"/>
        </w:rPr>
        <w:t>.</w:t>
      </w:r>
      <w:r w:rsidRPr="007B7173">
        <w:rPr>
          <w:rStyle w:val="FootnoteReference"/>
          <w:kern w:val="2"/>
          <w:sz w:val="24"/>
          <w:szCs w:val="24"/>
          <w:shd w:val="clear" w:color="auto" w:fill="FFFFFF"/>
        </w:rPr>
        <w:footnoteReference w:id="16"/>
      </w:r>
    </w:p>
    <w:p w:rsidR="00015693" w:rsidRDefault="00AC61BD" w:rsidP="00015693">
      <w:pPr>
        <w:pStyle w:val="ListParagraph"/>
        <w:numPr>
          <w:ilvl w:val="0"/>
          <w:numId w:val="11"/>
        </w:numPr>
        <w:ind w:left="426" w:firstLine="0"/>
        <w:jc w:val="both"/>
        <w:rPr>
          <w:kern w:val="2"/>
          <w:sz w:val="24"/>
          <w:szCs w:val="24"/>
        </w:rPr>
      </w:pPr>
      <w:r w:rsidRPr="00015693">
        <w:rPr>
          <w:sz w:val="24"/>
          <w:szCs w:val="24"/>
        </w:rPr>
        <w:t xml:space="preserve">There at least 2500 admissions to hospital for intentional self-harm injuries </w:t>
      </w:r>
      <w:r w:rsidR="00015693">
        <w:rPr>
          <w:sz w:val="24"/>
          <w:szCs w:val="24"/>
        </w:rPr>
        <w:tab/>
      </w:r>
      <w:r w:rsidRPr="00015693">
        <w:rPr>
          <w:sz w:val="24"/>
          <w:szCs w:val="24"/>
        </w:rPr>
        <w:t>every year</w:t>
      </w:r>
      <w:r w:rsidR="00630E6E" w:rsidRPr="00015693">
        <w:rPr>
          <w:sz w:val="24"/>
          <w:szCs w:val="24"/>
        </w:rPr>
        <w:t>.</w:t>
      </w:r>
      <w:r>
        <w:rPr>
          <w:rStyle w:val="FootnoteReference"/>
          <w:sz w:val="24"/>
          <w:szCs w:val="24"/>
        </w:rPr>
        <w:footnoteReference w:id="17"/>
      </w:r>
    </w:p>
    <w:p w:rsidR="00015693" w:rsidRDefault="001B4040" w:rsidP="00015693">
      <w:pPr>
        <w:pStyle w:val="ListParagraph"/>
        <w:numPr>
          <w:ilvl w:val="0"/>
          <w:numId w:val="11"/>
        </w:numPr>
        <w:ind w:left="426" w:firstLine="0"/>
        <w:jc w:val="both"/>
        <w:rPr>
          <w:kern w:val="2"/>
          <w:sz w:val="24"/>
          <w:szCs w:val="24"/>
        </w:rPr>
      </w:pPr>
      <w:r w:rsidRPr="00015693">
        <w:rPr>
          <w:sz w:val="24"/>
          <w:szCs w:val="24"/>
        </w:rPr>
        <w:t>Māori report higher rates of most health conditions</w:t>
      </w:r>
      <w:r w:rsidR="00630E6E" w:rsidRPr="00015693">
        <w:rPr>
          <w:sz w:val="24"/>
          <w:szCs w:val="24"/>
        </w:rPr>
        <w:t>.</w:t>
      </w:r>
      <w:r w:rsidR="00873487">
        <w:rPr>
          <w:rStyle w:val="FootnoteReference"/>
          <w:sz w:val="24"/>
          <w:szCs w:val="24"/>
        </w:rPr>
        <w:footnoteReference w:id="18"/>
      </w:r>
    </w:p>
    <w:p w:rsidR="00015693" w:rsidRDefault="00E41E2D" w:rsidP="00015693">
      <w:pPr>
        <w:pStyle w:val="ListParagraph"/>
        <w:numPr>
          <w:ilvl w:val="0"/>
          <w:numId w:val="11"/>
        </w:numPr>
        <w:ind w:left="426" w:firstLine="0"/>
        <w:jc w:val="both"/>
        <w:rPr>
          <w:kern w:val="2"/>
          <w:sz w:val="24"/>
          <w:szCs w:val="24"/>
        </w:rPr>
      </w:pPr>
      <w:proofErr w:type="spellStart"/>
      <w:r w:rsidRPr="00015693">
        <w:rPr>
          <w:sz w:val="24"/>
          <w:szCs w:val="24"/>
        </w:rPr>
        <w:t>Pasifika</w:t>
      </w:r>
      <w:proofErr w:type="spellEnd"/>
      <w:r w:rsidRPr="00015693">
        <w:rPr>
          <w:sz w:val="24"/>
          <w:szCs w:val="24"/>
        </w:rPr>
        <w:t xml:space="preserve"> have many health conditions that result in disability</w:t>
      </w:r>
      <w:r w:rsidR="00630E6E" w:rsidRPr="00015693">
        <w:rPr>
          <w:sz w:val="24"/>
          <w:szCs w:val="24"/>
        </w:rPr>
        <w:t>.</w:t>
      </w:r>
      <w:r w:rsidR="0093461E">
        <w:rPr>
          <w:rStyle w:val="FootnoteReference"/>
          <w:sz w:val="24"/>
          <w:szCs w:val="24"/>
        </w:rPr>
        <w:footnoteReference w:id="19"/>
      </w:r>
    </w:p>
    <w:p w:rsidR="00015693" w:rsidRDefault="001B4040" w:rsidP="00015693">
      <w:pPr>
        <w:pStyle w:val="ListParagraph"/>
        <w:numPr>
          <w:ilvl w:val="0"/>
          <w:numId w:val="11"/>
        </w:numPr>
        <w:ind w:left="426" w:firstLine="0"/>
        <w:jc w:val="both"/>
        <w:rPr>
          <w:kern w:val="2"/>
          <w:sz w:val="24"/>
          <w:szCs w:val="24"/>
        </w:rPr>
      </w:pPr>
      <w:r w:rsidRPr="00015693">
        <w:rPr>
          <w:sz w:val="24"/>
          <w:szCs w:val="24"/>
        </w:rPr>
        <w:t xml:space="preserve">Unmet need for health care is more common among Māori and </w:t>
      </w:r>
      <w:proofErr w:type="spellStart"/>
      <w:r w:rsidRPr="00015693">
        <w:rPr>
          <w:sz w:val="24"/>
          <w:szCs w:val="24"/>
        </w:rPr>
        <w:t>Pasifika</w:t>
      </w:r>
      <w:proofErr w:type="spellEnd"/>
      <w:r w:rsidRPr="00015693">
        <w:rPr>
          <w:sz w:val="24"/>
          <w:szCs w:val="24"/>
        </w:rPr>
        <w:t xml:space="preserve"> adults </w:t>
      </w:r>
      <w:r w:rsidR="00015693">
        <w:rPr>
          <w:sz w:val="24"/>
          <w:szCs w:val="24"/>
        </w:rPr>
        <w:tab/>
      </w:r>
      <w:r w:rsidRPr="00015693">
        <w:rPr>
          <w:sz w:val="24"/>
          <w:szCs w:val="24"/>
        </w:rPr>
        <w:t>and children, and those living in the most deprived areas</w:t>
      </w:r>
      <w:r w:rsidR="00630E6E" w:rsidRPr="00015693">
        <w:rPr>
          <w:sz w:val="24"/>
          <w:szCs w:val="24"/>
        </w:rPr>
        <w:t>.</w:t>
      </w:r>
      <w:r w:rsidR="00722A50">
        <w:rPr>
          <w:rStyle w:val="FootnoteReference"/>
          <w:sz w:val="24"/>
          <w:szCs w:val="24"/>
        </w:rPr>
        <w:footnoteReference w:id="20"/>
      </w:r>
    </w:p>
    <w:p w:rsidR="00EA64FD" w:rsidRPr="00015693" w:rsidRDefault="00EA64FD" w:rsidP="00015693">
      <w:pPr>
        <w:pStyle w:val="ListParagraph"/>
        <w:numPr>
          <w:ilvl w:val="0"/>
          <w:numId w:val="11"/>
        </w:numPr>
        <w:ind w:left="426" w:firstLine="0"/>
        <w:jc w:val="both"/>
        <w:rPr>
          <w:kern w:val="2"/>
          <w:sz w:val="24"/>
          <w:szCs w:val="24"/>
        </w:rPr>
      </w:pPr>
      <w:r w:rsidRPr="00015693">
        <w:rPr>
          <w:kern w:val="2"/>
          <w:sz w:val="24"/>
          <w:szCs w:val="24"/>
        </w:rPr>
        <w:t xml:space="preserve">People who experience </w:t>
      </w:r>
      <w:r w:rsidR="00B26507" w:rsidRPr="00015693">
        <w:rPr>
          <w:kern w:val="2"/>
          <w:sz w:val="24"/>
          <w:szCs w:val="24"/>
        </w:rPr>
        <w:t xml:space="preserve">learning/intellectual </w:t>
      </w:r>
      <w:r w:rsidRPr="00015693">
        <w:rPr>
          <w:kern w:val="2"/>
          <w:sz w:val="24"/>
          <w:szCs w:val="24"/>
        </w:rPr>
        <w:t xml:space="preserve"> disability, and people who </w:t>
      </w:r>
      <w:r w:rsidR="00015693">
        <w:rPr>
          <w:kern w:val="2"/>
          <w:sz w:val="24"/>
          <w:szCs w:val="24"/>
        </w:rPr>
        <w:tab/>
      </w:r>
      <w:r w:rsidRPr="00015693">
        <w:rPr>
          <w:kern w:val="2"/>
          <w:sz w:val="24"/>
          <w:szCs w:val="24"/>
        </w:rPr>
        <w:t xml:space="preserve">experience psychosocial disability have poorer health outcomes than any other </w:t>
      </w:r>
      <w:r w:rsidR="00015693">
        <w:rPr>
          <w:kern w:val="2"/>
          <w:sz w:val="24"/>
          <w:szCs w:val="24"/>
        </w:rPr>
        <w:tab/>
        <w:t>group, and have</w:t>
      </w:r>
      <w:r w:rsidRPr="00015693">
        <w:rPr>
          <w:kern w:val="2"/>
          <w:sz w:val="24"/>
          <w:szCs w:val="24"/>
        </w:rPr>
        <w:t xml:space="preserve"> up to </w:t>
      </w:r>
      <w:r w:rsidR="004F4083" w:rsidRPr="00015693">
        <w:rPr>
          <w:kern w:val="2"/>
          <w:sz w:val="24"/>
          <w:szCs w:val="24"/>
        </w:rPr>
        <w:t xml:space="preserve">a </w:t>
      </w:r>
      <w:r w:rsidRPr="00015693">
        <w:rPr>
          <w:kern w:val="2"/>
          <w:sz w:val="24"/>
          <w:szCs w:val="24"/>
        </w:rPr>
        <w:t>23 years shorter life expectancy.</w:t>
      </w:r>
      <w:r w:rsidR="00722A50" w:rsidRPr="00015693">
        <w:rPr>
          <w:kern w:val="2"/>
          <w:sz w:val="24"/>
          <w:szCs w:val="24"/>
        </w:rPr>
        <w:t xml:space="preserve"> </w:t>
      </w:r>
      <w:r w:rsidR="00722A50">
        <w:rPr>
          <w:rStyle w:val="FootnoteReference"/>
          <w:kern w:val="2"/>
          <w:sz w:val="24"/>
          <w:szCs w:val="24"/>
        </w:rPr>
        <w:footnoteReference w:id="21"/>
      </w:r>
      <w:r w:rsidR="00722A50" w:rsidRPr="00015693">
        <w:rPr>
          <w:kern w:val="2"/>
          <w:sz w:val="24"/>
          <w:szCs w:val="24"/>
        </w:rPr>
        <w:t xml:space="preserve"> </w:t>
      </w:r>
      <w:r w:rsidR="00722A50">
        <w:rPr>
          <w:rStyle w:val="FootnoteReference"/>
          <w:kern w:val="2"/>
          <w:sz w:val="24"/>
          <w:szCs w:val="24"/>
        </w:rPr>
        <w:footnoteReference w:id="22"/>
      </w:r>
    </w:p>
    <w:p w:rsidR="001A0E66" w:rsidRDefault="001A0E66" w:rsidP="001E366B">
      <w:pPr>
        <w:pStyle w:val="ListParagraph"/>
        <w:ind w:left="714"/>
        <w:jc w:val="both"/>
        <w:rPr>
          <w:kern w:val="2"/>
          <w:sz w:val="24"/>
          <w:szCs w:val="24"/>
        </w:rPr>
      </w:pPr>
    </w:p>
    <w:p w:rsidR="0087394F" w:rsidRPr="001E366B" w:rsidRDefault="0087394F" w:rsidP="001E366B">
      <w:pPr>
        <w:pStyle w:val="Heading1"/>
      </w:pPr>
      <w:bookmarkStart w:id="3" w:name="_Toc420885827"/>
      <w:r w:rsidRPr="001E366B">
        <w:t>Institutional framework in charge of implementation</w:t>
      </w:r>
      <w:bookmarkEnd w:id="3"/>
    </w:p>
    <w:p w:rsidR="0087394F" w:rsidRDefault="0087394F" w:rsidP="00071041">
      <w:pPr>
        <w:pStyle w:val="ListParagraph"/>
        <w:ind w:left="567"/>
        <w:jc w:val="both"/>
        <w:rPr>
          <w:sz w:val="24"/>
          <w:szCs w:val="24"/>
        </w:rPr>
      </w:pPr>
    </w:p>
    <w:p w:rsidR="00561BAE" w:rsidRPr="00C06BA6" w:rsidRDefault="006024AC" w:rsidP="00B325B9">
      <w:pPr>
        <w:pStyle w:val="ListParagraph"/>
        <w:ind w:left="0"/>
        <w:jc w:val="both"/>
        <w:rPr>
          <w:sz w:val="24"/>
          <w:szCs w:val="24"/>
        </w:rPr>
      </w:pPr>
      <w:r>
        <w:rPr>
          <w:sz w:val="24"/>
          <w:szCs w:val="24"/>
        </w:rPr>
        <w:t>An overview of t</w:t>
      </w:r>
      <w:r w:rsidR="0087394F">
        <w:rPr>
          <w:sz w:val="24"/>
          <w:szCs w:val="24"/>
        </w:rPr>
        <w:t xml:space="preserve">he </w:t>
      </w:r>
      <w:r>
        <w:rPr>
          <w:sz w:val="24"/>
          <w:szCs w:val="24"/>
        </w:rPr>
        <w:t xml:space="preserve">New Zealand </w:t>
      </w:r>
      <w:r w:rsidR="0087394F">
        <w:rPr>
          <w:sz w:val="24"/>
          <w:szCs w:val="24"/>
        </w:rPr>
        <w:t xml:space="preserve">institutional framework </w:t>
      </w:r>
      <w:r w:rsidR="00346B15">
        <w:rPr>
          <w:sz w:val="24"/>
          <w:szCs w:val="24"/>
        </w:rPr>
        <w:t>for the implementation of</w:t>
      </w:r>
      <w:r w:rsidR="0087394F">
        <w:rPr>
          <w:sz w:val="24"/>
          <w:szCs w:val="24"/>
        </w:rPr>
        <w:t xml:space="preserve"> the United Nations Convention on the Rights of Disabled People</w:t>
      </w:r>
      <w:r w:rsidR="00AB001C">
        <w:rPr>
          <w:sz w:val="24"/>
          <w:szCs w:val="24"/>
        </w:rPr>
        <w:t>, New Zealand’s Disability Strategy 2001,</w:t>
      </w:r>
      <w:r w:rsidR="00AB001C">
        <w:rPr>
          <w:rStyle w:val="FootnoteReference"/>
          <w:sz w:val="24"/>
          <w:szCs w:val="24"/>
        </w:rPr>
        <w:footnoteReference w:id="23"/>
      </w:r>
      <w:r>
        <w:rPr>
          <w:sz w:val="24"/>
          <w:szCs w:val="24"/>
        </w:rPr>
        <w:t xml:space="preserve"> </w:t>
      </w:r>
      <w:r w:rsidR="002C119D">
        <w:rPr>
          <w:sz w:val="24"/>
          <w:szCs w:val="24"/>
        </w:rPr>
        <w:t>and the Disability Action Plan</w:t>
      </w:r>
      <w:r w:rsidR="00C61BD1">
        <w:rPr>
          <w:sz w:val="24"/>
          <w:szCs w:val="24"/>
        </w:rPr>
        <w:t xml:space="preserve"> 2014-2018</w:t>
      </w:r>
      <w:r w:rsidR="00C61BD1">
        <w:rPr>
          <w:rStyle w:val="FootnoteReference"/>
          <w:sz w:val="24"/>
          <w:szCs w:val="24"/>
        </w:rPr>
        <w:footnoteReference w:id="24"/>
      </w:r>
      <w:r w:rsidR="002C119D">
        <w:rPr>
          <w:sz w:val="24"/>
          <w:szCs w:val="24"/>
        </w:rPr>
        <w:t xml:space="preserve"> </w:t>
      </w:r>
      <w:r>
        <w:rPr>
          <w:sz w:val="24"/>
          <w:szCs w:val="24"/>
        </w:rPr>
        <w:t xml:space="preserve">is </w:t>
      </w:r>
      <w:r w:rsidR="002C119D">
        <w:rPr>
          <w:sz w:val="24"/>
          <w:szCs w:val="24"/>
        </w:rPr>
        <w:t>provided below</w:t>
      </w:r>
      <w:r w:rsidR="002C119D" w:rsidRPr="00C06BA6">
        <w:rPr>
          <w:sz w:val="24"/>
          <w:szCs w:val="24"/>
        </w:rPr>
        <w:t>.</w:t>
      </w:r>
      <w:r w:rsidR="00B325B9" w:rsidRPr="00C06BA6">
        <w:rPr>
          <w:rStyle w:val="FootnoteReference"/>
          <w:sz w:val="24"/>
          <w:szCs w:val="24"/>
        </w:rPr>
        <w:footnoteReference w:id="25"/>
      </w:r>
      <w:r w:rsidR="00015693">
        <w:rPr>
          <w:sz w:val="24"/>
          <w:szCs w:val="24"/>
        </w:rPr>
        <w:t xml:space="preserve">These documents set out the strategic context of social protections for disabled people. </w:t>
      </w:r>
    </w:p>
    <w:p w:rsidR="00561BAE" w:rsidRDefault="00561BAE" w:rsidP="00B325B9">
      <w:pPr>
        <w:pStyle w:val="ListParagraph"/>
        <w:ind w:left="0"/>
        <w:jc w:val="both"/>
        <w:rPr>
          <w:sz w:val="24"/>
          <w:szCs w:val="24"/>
          <w:highlight w:val="yellow"/>
        </w:rPr>
      </w:pPr>
    </w:p>
    <w:p w:rsidR="00B325B9" w:rsidRPr="00015693" w:rsidRDefault="00C06BA6" w:rsidP="00B325B9">
      <w:pPr>
        <w:pStyle w:val="ListParagraph"/>
        <w:ind w:left="0"/>
        <w:jc w:val="both"/>
        <w:rPr>
          <w:sz w:val="24"/>
          <w:szCs w:val="24"/>
        </w:rPr>
      </w:pPr>
      <w:r>
        <w:rPr>
          <w:sz w:val="24"/>
          <w:szCs w:val="24"/>
        </w:rPr>
        <w:t xml:space="preserve">To date </w:t>
      </w:r>
      <w:r w:rsidR="00A13EEC" w:rsidRPr="00C06BA6">
        <w:rPr>
          <w:sz w:val="24"/>
          <w:szCs w:val="24"/>
        </w:rPr>
        <w:t xml:space="preserve">the government has </w:t>
      </w:r>
      <w:r w:rsidR="00170B59" w:rsidRPr="00C06BA6">
        <w:rPr>
          <w:sz w:val="24"/>
          <w:szCs w:val="24"/>
        </w:rPr>
        <w:t>not ratified</w:t>
      </w:r>
      <w:r w:rsidR="00A13EEC" w:rsidRPr="00C06BA6">
        <w:rPr>
          <w:sz w:val="24"/>
          <w:szCs w:val="24"/>
        </w:rPr>
        <w:t xml:space="preserve"> the Optional Protocol on the UNCRPD</w:t>
      </w:r>
      <w:r w:rsidR="007F793F">
        <w:rPr>
          <w:sz w:val="24"/>
          <w:szCs w:val="24"/>
        </w:rPr>
        <w:t>.</w:t>
      </w:r>
      <w:r w:rsidR="00170B59" w:rsidRPr="00C06BA6">
        <w:rPr>
          <w:sz w:val="24"/>
          <w:szCs w:val="24"/>
        </w:rPr>
        <w:t xml:space="preserve"> </w:t>
      </w:r>
      <w:r w:rsidR="007F793F">
        <w:rPr>
          <w:sz w:val="24"/>
          <w:szCs w:val="24"/>
        </w:rPr>
        <w:t xml:space="preserve">Although it </w:t>
      </w:r>
      <w:r w:rsidR="00561BAE" w:rsidRPr="00C06BA6">
        <w:rPr>
          <w:sz w:val="24"/>
          <w:szCs w:val="24"/>
        </w:rPr>
        <w:t xml:space="preserve">has intimated that the Protocol </w:t>
      </w:r>
      <w:r w:rsidR="006A1C1A" w:rsidRPr="00C06BA6">
        <w:rPr>
          <w:sz w:val="24"/>
          <w:szCs w:val="24"/>
        </w:rPr>
        <w:t xml:space="preserve">will </w:t>
      </w:r>
      <w:r w:rsidR="00561BAE" w:rsidRPr="00C06BA6">
        <w:rPr>
          <w:sz w:val="24"/>
          <w:szCs w:val="24"/>
        </w:rPr>
        <w:t>be ratified</w:t>
      </w:r>
      <w:r w:rsidR="006A1C1A" w:rsidRPr="00C06BA6">
        <w:rPr>
          <w:sz w:val="24"/>
          <w:szCs w:val="24"/>
        </w:rPr>
        <w:t xml:space="preserve"> in future, the government </w:t>
      </w:r>
      <w:r w:rsidR="00170B59" w:rsidRPr="00C06BA6">
        <w:rPr>
          <w:sz w:val="24"/>
          <w:szCs w:val="24"/>
        </w:rPr>
        <w:t xml:space="preserve">has no </w:t>
      </w:r>
      <w:r w:rsidR="001258FB">
        <w:rPr>
          <w:sz w:val="24"/>
          <w:szCs w:val="24"/>
        </w:rPr>
        <w:t xml:space="preserve">current </w:t>
      </w:r>
      <w:r>
        <w:rPr>
          <w:sz w:val="24"/>
          <w:szCs w:val="24"/>
        </w:rPr>
        <w:t>plan</w:t>
      </w:r>
      <w:r w:rsidR="001258FB">
        <w:rPr>
          <w:sz w:val="24"/>
          <w:szCs w:val="24"/>
        </w:rPr>
        <w:t>s</w:t>
      </w:r>
      <w:r>
        <w:rPr>
          <w:sz w:val="24"/>
          <w:szCs w:val="24"/>
        </w:rPr>
        <w:t xml:space="preserve"> </w:t>
      </w:r>
      <w:r w:rsidR="001258FB">
        <w:rPr>
          <w:sz w:val="24"/>
          <w:szCs w:val="24"/>
        </w:rPr>
        <w:t>to ensure this occurs</w:t>
      </w:r>
      <w:r w:rsidR="00A13EEC" w:rsidRPr="00C06BA6">
        <w:rPr>
          <w:sz w:val="24"/>
          <w:szCs w:val="24"/>
        </w:rPr>
        <w:t>.</w:t>
      </w:r>
      <w:r w:rsidR="00015693">
        <w:rPr>
          <w:sz w:val="24"/>
          <w:szCs w:val="24"/>
        </w:rPr>
        <w:t xml:space="preserve"> </w:t>
      </w:r>
      <w:r w:rsidR="00015693" w:rsidRPr="00015693">
        <w:rPr>
          <w:sz w:val="24"/>
          <w:szCs w:val="24"/>
        </w:rPr>
        <w:t xml:space="preserve">Until the Optional Protocol is ratified, New Zealand individuals and groups have no international mechanism through which to lodge complaints relating to violations of UNCRPD, nor the option of having the Committee </w:t>
      </w:r>
      <w:proofErr w:type="gramStart"/>
      <w:r w:rsidR="00015693" w:rsidRPr="00015693">
        <w:rPr>
          <w:sz w:val="24"/>
          <w:szCs w:val="24"/>
        </w:rPr>
        <w:t>investigate,</w:t>
      </w:r>
      <w:proofErr w:type="gramEnd"/>
      <w:r w:rsidR="00015693" w:rsidRPr="00015693">
        <w:rPr>
          <w:sz w:val="24"/>
          <w:szCs w:val="24"/>
        </w:rPr>
        <w:t xml:space="preserve"> report on and make recommendations about violations of the UNCRPD.</w:t>
      </w:r>
      <w:r w:rsidR="00015693" w:rsidRPr="00015693">
        <w:rPr>
          <w:rFonts w:ascii="Arial" w:hAnsi="Arial" w:cs="Arial"/>
          <w:color w:val="252525"/>
          <w:sz w:val="24"/>
          <w:szCs w:val="24"/>
        </w:rPr>
        <w:t xml:space="preserve"> </w:t>
      </w:r>
    </w:p>
    <w:p w:rsidR="002C119D" w:rsidRDefault="00FE0E82" w:rsidP="00FE0E82">
      <w:pPr>
        <w:pStyle w:val="Heading2"/>
      </w:pPr>
      <w:bookmarkStart w:id="4" w:name="_Toc420885828"/>
      <w:r>
        <w:t>Ministerial Committee on Disability Issues</w:t>
      </w:r>
      <w:bookmarkEnd w:id="4"/>
    </w:p>
    <w:p w:rsidR="00FE0E82" w:rsidRPr="00FE0E82" w:rsidRDefault="00FE0E82" w:rsidP="00FE0E82"/>
    <w:p w:rsidR="002C119D" w:rsidRDefault="00782B5E" w:rsidP="00277AB3">
      <w:pPr>
        <w:pStyle w:val="ListParagraph"/>
        <w:ind w:left="0"/>
        <w:jc w:val="both"/>
        <w:rPr>
          <w:sz w:val="24"/>
          <w:szCs w:val="24"/>
        </w:rPr>
      </w:pPr>
      <w:r w:rsidRPr="00782B5E">
        <w:rPr>
          <w:sz w:val="24"/>
          <w:szCs w:val="24"/>
        </w:rPr>
        <w:t xml:space="preserve">The New Zealand government ratified the </w:t>
      </w:r>
      <w:r w:rsidR="00015693">
        <w:rPr>
          <w:sz w:val="24"/>
          <w:szCs w:val="24"/>
        </w:rPr>
        <w:t>UNCRPD</w:t>
      </w:r>
      <w:r w:rsidR="004429D8">
        <w:rPr>
          <w:sz w:val="24"/>
          <w:szCs w:val="24"/>
        </w:rPr>
        <w:t xml:space="preserve"> </w:t>
      </w:r>
      <w:r w:rsidRPr="00782B5E">
        <w:rPr>
          <w:sz w:val="24"/>
          <w:szCs w:val="24"/>
        </w:rPr>
        <w:t>in 2008.</w:t>
      </w:r>
      <w:r w:rsidR="00320B92">
        <w:rPr>
          <w:sz w:val="24"/>
          <w:szCs w:val="24"/>
        </w:rPr>
        <w:t xml:space="preserve"> </w:t>
      </w:r>
      <w:r w:rsidR="00B62606">
        <w:rPr>
          <w:sz w:val="24"/>
          <w:szCs w:val="24"/>
        </w:rPr>
        <w:t>In 2009 t</w:t>
      </w:r>
      <w:r w:rsidR="00B82038">
        <w:rPr>
          <w:sz w:val="24"/>
          <w:szCs w:val="24"/>
        </w:rPr>
        <w:t xml:space="preserve">he government established the Ministerial Committee on Disability Issues </w:t>
      </w:r>
      <w:r w:rsidR="00437B72">
        <w:rPr>
          <w:sz w:val="24"/>
          <w:szCs w:val="24"/>
        </w:rPr>
        <w:t>(the Committee)</w:t>
      </w:r>
      <w:r w:rsidR="00B62606">
        <w:rPr>
          <w:sz w:val="24"/>
          <w:szCs w:val="24"/>
        </w:rPr>
        <w:t xml:space="preserve"> led by </w:t>
      </w:r>
      <w:r w:rsidR="00561BAE">
        <w:rPr>
          <w:sz w:val="24"/>
          <w:szCs w:val="24"/>
        </w:rPr>
        <w:t xml:space="preserve">an </w:t>
      </w:r>
      <w:r w:rsidR="00561BAE">
        <w:rPr>
          <w:sz w:val="24"/>
          <w:szCs w:val="24"/>
        </w:rPr>
        <w:lastRenderedPageBreak/>
        <w:t>exceptional</w:t>
      </w:r>
      <w:r w:rsidR="00015693">
        <w:rPr>
          <w:sz w:val="24"/>
          <w:szCs w:val="24"/>
        </w:rPr>
        <w:t>ly progressive</w:t>
      </w:r>
      <w:r w:rsidR="00561BAE">
        <w:rPr>
          <w:sz w:val="24"/>
          <w:szCs w:val="24"/>
        </w:rPr>
        <w:t xml:space="preserve"> </w:t>
      </w:r>
      <w:r w:rsidR="00B62606">
        <w:rPr>
          <w:sz w:val="24"/>
          <w:szCs w:val="24"/>
        </w:rPr>
        <w:t>former</w:t>
      </w:r>
      <w:r w:rsidR="00561BAE">
        <w:rPr>
          <w:sz w:val="24"/>
          <w:szCs w:val="24"/>
        </w:rPr>
        <w:t xml:space="preserve"> </w:t>
      </w:r>
      <w:r w:rsidR="00B62606">
        <w:rPr>
          <w:sz w:val="24"/>
          <w:szCs w:val="24"/>
        </w:rPr>
        <w:t xml:space="preserve">Minister for Disability Issues, </w:t>
      </w:r>
      <w:r w:rsidR="00561BAE">
        <w:rPr>
          <w:sz w:val="24"/>
          <w:szCs w:val="24"/>
        </w:rPr>
        <w:t xml:space="preserve">Dame </w:t>
      </w:r>
      <w:proofErr w:type="spellStart"/>
      <w:r w:rsidR="00B62606">
        <w:rPr>
          <w:sz w:val="24"/>
          <w:szCs w:val="24"/>
        </w:rPr>
        <w:t>Tariana</w:t>
      </w:r>
      <w:proofErr w:type="spellEnd"/>
      <w:r w:rsidR="00B62606">
        <w:rPr>
          <w:sz w:val="24"/>
          <w:szCs w:val="24"/>
        </w:rPr>
        <w:t xml:space="preserve"> </w:t>
      </w:r>
      <w:proofErr w:type="spellStart"/>
      <w:r w:rsidR="00B62606">
        <w:rPr>
          <w:sz w:val="24"/>
          <w:szCs w:val="24"/>
        </w:rPr>
        <w:t>Turia</w:t>
      </w:r>
      <w:proofErr w:type="spellEnd"/>
      <w:r w:rsidR="00B82038">
        <w:rPr>
          <w:sz w:val="24"/>
          <w:szCs w:val="24"/>
        </w:rPr>
        <w:t>. The Committee</w:t>
      </w:r>
      <w:r w:rsidR="00D83871">
        <w:rPr>
          <w:sz w:val="24"/>
          <w:szCs w:val="24"/>
        </w:rPr>
        <w:t xml:space="preserve"> i</w:t>
      </w:r>
      <w:r w:rsidR="002C119D">
        <w:rPr>
          <w:sz w:val="24"/>
          <w:szCs w:val="24"/>
        </w:rPr>
        <w:t xml:space="preserve">s </w:t>
      </w:r>
      <w:r w:rsidR="00B62606">
        <w:rPr>
          <w:sz w:val="24"/>
          <w:szCs w:val="24"/>
        </w:rPr>
        <w:t>now led by a new</w:t>
      </w:r>
      <w:r w:rsidR="002C119D">
        <w:rPr>
          <w:sz w:val="24"/>
          <w:szCs w:val="24"/>
        </w:rPr>
        <w:t xml:space="preserve"> Minister for</w:t>
      </w:r>
      <w:r w:rsidR="001D781C">
        <w:rPr>
          <w:sz w:val="24"/>
          <w:szCs w:val="24"/>
        </w:rPr>
        <w:t xml:space="preserve"> Disa</w:t>
      </w:r>
      <w:r w:rsidR="002C119D">
        <w:rPr>
          <w:sz w:val="24"/>
          <w:szCs w:val="24"/>
        </w:rPr>
        <w:t>bility Issue</w:t>
      </w:r>
      <w:r w:rsidR="00C61BD1">
        <w:rPr>
          <w:sz w:val="24"/>
          <w:szCs w:val="24"/>
        </w:rPr>
        <w:t>s</w:t>
      </w:r>
      <w:r w:rsidR="001D781C">
        <w:rPr>
          <w:sz w:val="24"/>
          <w:szCs w:val="24"/>
        </w:rPr>
        <w:t xml:space="preserve"> and </w:t>
      </w:r>
      <w:r w:rsidR="00C61BD1">
        <w:rPr>
          <w:sz w:val="24"/>
          <w:szCs w:val="24"/>
        </w:rPr>
        <w:t xml:space="preserve">consists </w:t>
      </w:r>
      <w:r w:rsidR="001D781C">
        <w:rPr>
          <w:sz w:val="24"/>
          <w:szCs w:val="24"/>
        </w:rPr>
        <w:t xml:space="preserve">of ministers who have diverse portfolio areas. The Committee </w:t>
      </w:r>
      <w:r w:rsidR="00B82038">
        <w:rPr>
          <w:sz w:val="24"/>
          <w:szCs w:val="24"/>
        </w:rPr>
        <w:t xml:space="preserve">provides leadership and accountability for </w:t>
      </w:r>
      <w:r w:rsidR="004429D8">
        <w:rPr>
          <w:sz w:val="24"/>
          <w:szCs w:val="24"/>
        </w:rPr>
        <w:t xml:space="preserve">the government’s implementation of </w:t>
      </w:r>
      <w:r w:rsidR="00B82038">
        <w:rPr>
          <w:sz w:val="24"/>
          <w:szCs w:val="24"/>
        </w:rPr>
        <w:t>New Zealand’s Disability Strategy 2001</w:t>
      </w:r>
      <w:r w:rsidR="0066462E">
        <w:rPr>
          <w:sz w:val="24"/>
          <w:szCs w:val="24"/>
        </w:rPr>
        <w:t>,</w:t>
      </w:r>
      <w:r w:rsidR="00C61BD1">
        <w:rPr>
          <w:rStyle w:val="FootnoteReference"/>
          <w:sz w:val="24"/>
          <w:szCs w:val="24"/>
        </w:rPr>
        <w:footnoteReference w:id="26"/>
      </w:r>
      <w:r w:rsidR="00B82038">
        <w:rPr>
          <w:sz w:val="24"/>
          <w:szCs w:val="24"/>
        </w:rPr>
        <w:t xml:space="preserve"> </w:t>
      </w:r>
      <w:r w:rsidR="0066462E">
        <w:rPr>
          <w:sz w:val="24"/>
          <w:szCs w:val="24"/>
        </w:rPr>
        <w:t>the Disability Action Plan</w:t>
      </w:r>
      <w:r w:rsidR="00346B15">
        <w:rPr>
          <w:sz w:val="24"/>
          <w:szCs w:val="24"/>
        </w:rPr>
        <w:t xml:space="preserve"> 2014-2018</w:t>
      </w:r>
      <w:r w:rsidR="0066462E">
        <w:rPr>
          <w:sz w:val="24"/>
          <w:szCs w:val="24"/>
        </w:rPr>
        <w:t>,</w:t>
      </w:r>
      <w:r w:rsidR="00DE75E3">
        <w:rPr>
          <w:rStyle w:val="FootnoteReference"/>
          <w:sz w:val="24"/>
          <w:szCs w:val="24"/>
        </w:rPr>
        <w:footnoteReference w:id="27"/>
      </w:r>
      <w:r w:rsidR="0066462E">
        <w:rPr>
          <w:sz w:val="24"/>
          <w:szCs w:val="24"/>
        </w:rPr>
        <w:t xml:space="preserve"> </w:t>
      </w:r>
      <w:r w:rsidR="00B82038">
        <w:rPr>
          <w:sz w:val="24"/>
          <w:szCs w:val="24"/>
        </w:rPr>
        <w:t xml:space="preserve">and the UNCRPD. </w:t>
      </w:r>
      <w:r w:rsidR="002C119D">
        <w:rPr>
          <w:sz w:val="24"/>
          <w:szCs w:val="24"/>
        </w:rPr>
        <w:t>The Committee</w:t>
      </w:r>
      <w:r w:rsidR="006024AC">
        <w:rPr>
          <w:sz w:val="24"/>
          <w:szCs w:val="24"/>
        </w:rPr>
        <w:t xml:space="preserve"> </w:t>
      </w:r>
      <w:r w:rsidR="002C119D">
        <w:rPr>
          <w:sz w:val="24"/>
          <w:szCs w:val="24"/>
        </w:rPr>
        <w:t xml:space="preserve">is </w:t>
      </w:r>
      <w:r w:rsidR="004429D8">
        <w:rPr>
          <w:sz w:val="24"/>
          <w:szCs w:val="24"/>
        </w:rPr>
        <w:t xml:space="preserve">ultimately </w:t>
      </w:r>
      <w:r w:rsidR="002C119D">
        <w:rPr>
          <w:sz w:val="24"/>
          <w:szCs w:val="24"/>
        </w:rPr>
        <w:t xml:space="preserve">responsible for the </w:t>
      </w:r>
      <w:r w:rsidR="00346B15">
        <w:rPr>
          <w:sz w:val="24"/>
          <w:szCs w:val="24"/>
        </w:rPr>
        <w:t xml:space="preserve">institutional framework relating to </w:t>
      </w:r>
      <w:r w:rsidR="002C119D" w:rsidRPr="00D40CB3">
        <w:rPr>
          <w:sz w:val="24"/>
          <w:szCs w:val="24"/>
        </w:rPr>
        <w:t>social protection</w:t>
      </w:r>
      <w:r w:rsidR="00346B15">
        <w:rPr>
          <w:sz w:val="24"/>
          <w:szCs w:val="24"/>
        </w:rPr>
        <w:t>s for</w:t>
      </w:r>
      <w:r w:rsidR="002C119D" w:rsidRPr="00D40CB3">
        <w:rPr>
          <w:sz w:val="24"/>
          <w:szCs w:val="24"/>
        </w:rPr>
        <w:t xml:space="preserve"> disabled people</w:t>
      </w:r>
      <w:r w:rsidR="00BD7B7C">
        <w:rPr>
          <w:sz w:val="24"/>
          <w:szCs w:val="24"/>
        </w:rPr>
        <w:t>.</w:t>
      </w:r>
      <w:r w:rsidR="006024AC" w:rsidRPr="006024AC">
        <w:rPr>
          <w:sz w:val="24"/>
          <w:szCs w:val="24"/>
        </w:rPr>
        <w:t xml:space="preserve"> </w:t>
      </w:r>
      <w:r w:rsidR="006024AC">
        <w:rPr>
          <w:sz w:val="24"/>
          <w:szCs w:val="24"/>
        </w:rPr>
        <w:t>The intention is that the Committee takes</w:t>
      </w:r>
      <w:r w:rsidR="00BD7B7C">
        <w:rPr>
          <w:sz w:val="24"/>
          <w:szCs w:val="24"/>
        </w:rPr>
        <w:t xml:space="preserve"> a whole-of-government approach and works with disabled people’s organisations, the disability sector, </w:t>
      </w:r>
      <w:r w:rsidR="00346B15">
        <w:rPr>
          <w:sz w:val="24"/>
          <w:szCs w:val="24"/>
        </w:rPr>
        <w:t>providers of health and disability services, and other stakeholders that have an integral role in upholding disabled people’s human rights.</w:t>
      </w:r>
    </w:p>
    <w:p w:rsidR="00E74B7C" w:rsidRDefault="00E74B7C" w:rsidP="00DE75E3">
      <w:pPr>
        <w:pStyle w:val="ListParagraph"/>
        <w:ind w:left="0"/>
        <w:jc w:val="both"/>
        <w:rPr>
          <w:sz w:val="24"/>
          <w:szCs w:val="24"/>
        </w:rPr>
      </w:pPr>
    </w:p>
    <w:p w:rsidR="00350695" w:rsidRPr="005372D6" w:rsidRDefault="00350695" w:rsidP="001E366B">
      <w:pPr>
        <w:pStyle w:val="Heading2"/>
      </w:pPr>
      <w:bookmarkStart w:id="5" w:name="_Toc420885829"/>
      <w:r w:rsidRPr="005372D6">
        <w:t>Chief Executives Group</w:t>
      </w:r>
      <w:r w:rsidR="0074451E">
        <w:t xml:space="preserve"> on Disability I</w:t>
      </w:r>
      <w:r w:rsidR="0076774B">
        <w:t>ssues</w:t>
      </w:r>
      <w:bookmarkEnd w:id="5"/>
    </w:p>
    <w:p w:rsidR="00350695" w:rsidRDefault="00350695" w:rsidP="00277AB3">
      <w:pPr>
        <w:pStyle w:val="ListParagraph"/>
        <w:ind w:left="0"/>
        <w:jc w:val="both"/>
        <w:rPr>
          <w:sz w:val="24"/>
          <w:szCs w:val="24"/>
        </w:rPr>
      </w:pPr>
    </w:p>
    <w:p w:rsidR="00350695" w:rsidRDefault="00350695" w:rsidP="002C119D">
      <w:pPr>
        <w:pStyle w:val="ListParagraph"/>
        <w:ind w:left="0"/>
        <w:jc w:val="both"/>
        <w:rPr>
          <w:sz w:val="24"/>
          <w:szCs w:val="24"/>
        </w:rPr>
      </w:pPr>
      <w:r>
        <w:rPr>
          <w:sz w:val="24"/>
          <w:szCs w:val="24"/>
        </w:rPr>
        <w:t xml:space="preserve">The Ministerial </w:t>
      </w:r>
      <w:r w:rsidR="006024AC">
        <w:rPr>
          <w:sz w:val="24"/>
          <w:szCs w:val="24"/>
        </w:rPr>
        <w:t>C</w:t>
      </w:r>
      <w:r w:rsidR="00437B72">
        <w:rPr>
          <w:sz w:val="24"/>
          <w:szCs w:val="24"/>
        </w:rPr>
        <w:t xml:space="preserve">ommittee </w:t>
      </w:r>
      <w:r>
        <w:rPr>
          <w:sz w:val="24"/>
          <w:szCs w:val="24"/>
        </w:rPr>
        <w:t xml:space="preserve">on Disability Issues </w:t>
      </w:r>
      <w:r w:rsidR="00104800">
        <w:rPr>
          <w:sz w:val="24"/>
          <w:szCs w:val="24"/>
        </w:rPr>
        <w:t xml:space="preserve">is </w:t>
      </w:r>
      <w:r w:rsidR="0003322D">
        <w:rPr>
          <w:sz w:val="24"/>
          <w:szCs w:val="24"/>
        </w:rPr>
        <w:t xml:space="preserve">supported by </w:t>
      </w:r>
      <w:r w:rsidR="006024AC">
        <w:rPr>
          <w:sz w:val="24"/>
          <w:szCs w:val="24"/>
        </w:rPr>
        <w:t>the Chief Executives Group</w:t>
      </w:r>
      <w:r w:rsidR="00A5097F">
        <w:rPr>
          <w:sz w:val="24"/>
          <w:szCs w:val="24"/>
        </w:rPr>
        <w:t xml:space="preserve"> for Disability Issues</w:t>
      </w:r>
      <w:r w:rsidR="00A92C5E">
        <w:rPr>
          <w:sz w:val="24"/>
          <w:szCs w:val="24"/>
        </w:rPr>
        <w:t xml:space="preserve"> (the Group) </w:t>
      </w:r>
      <w:r>
        <w:rPr>
          <w:sz w:val="24"/>
          <w:szCs w:val="24"/>
        </w:rPr>
        <w:t>which is chaired by the Minister of Social Development</w:t>
      </w:r>
      <w:r w:rsidR="00346B15">
        <w:rPr>
          <w:sz w:val="24"/>
          <w:szCs w:val="24"/>
        </w:rPr>
        <w:t>.</w:t>
      </w:r>
      <w:r w:rsidR="00346B15">
        <w:rPr>
          <w:rStyle w:val="FootnoteReference"/>
          <w:sz w:val="24"/>
          <w:szCs w:val="24"/>
        </w:rPr>
        <w:footnoteReference w:id="28"/>
      </w:r>
      <w:r w:rsidR="006024AC">
        <w:rPr>
          <w:sz w:val="24"/>
          <w:szCs w:val="24"/>
        </w:rPr>
        <w:t xml:space="preserve"> </w:t>
      </w:r>
      <w:r>
        <w:rPr>
          <w:sz w:val="24"/>
          <w:szCs w:val="24"/>
        </w:rPr>
        <w:t>This Group is tasked with leading and coordinating government agencies’ implementation of the Ministerial Committee’s priorities on disability issues.</w:t>
      </w:r>
      <w:r>
        <w:rPr>
          <w:rStyle w:val="FootnoteReference"/>
          <w:sz w:val="24"/>
          <w:szCs w:val="24"/>
        </w:rPr>
        <w:footnoteReference w:id="29"/>
      </w:r>
      <w:r w:rsidR="00015693">
        <w:rPr>
          <w:sz w:val="24"/>
          <w:szCs w:val="24"/>
        </w:rPr>
        <w:t xml:space="preserve"> </w:t>
      </w:r>
      <w:r w:rsidR="007074CB">
        <w:rPr>
          <w:sz w:val="24"/>
          <w:szCs w:val="24"/>
        </w:rPr>
        <w:t>The DPOs</w:t>
      </w:r>
      <w:r w:rsidR="00B87182">
        <w:rPr>
          <w:sz w:val="24"/>
          <w:szCs w:val="24"/>
        </w:rPr>
        <w:t xml:space="preserve"> </w:t>
      </w:r>
      <w:r w:rsidR="007074CB">
        <w:rPr>
          <w:sz w:val="24"/>
          <w:szCs w:val="24"/>
        </w:rPr>
        <w:t xml:space="preserve">meet regularly </w:t>
      </w:r>
      <w:r w:rsidR="00B87182">
        <w:rPr>
          <w:sz w:val="24"/>
          <w:szCs w:val="24"/>
        </w:rPr>
        <w:t>with the Chief Executives Group. The Chief Executives’ Group also meets regularly with the Independent Monitoring Mechanism (discussed later in this section).</w:t>
      </w:r>
    </w:p>
    <w:p w:rsidR="00810567" w:rsidRDefault="00810567" w:rsidP="002C119D">
      <w:pPr>
        <w:pStyle w:val="ListParagraph"/>
        <w:ind w:left="0"/>
        <w:jc w:val="both"/>
        <w:rPr>
          <w:sz w:val="24"/>
          <w:szCs w:val="24"/>
        </w:rPr>
      </w:pPr>
    </w:p>
    <w:p w:rsidR="003A5953" w:rsidRPr="004E778C" w:rsidRDefault="00810567" w:rsidP="00277AB3">
      <w:pPr>
        <w:pStyle w:val="ListParagraph"/>
        <w:ind w:left="0"/>
        <w:jc w:val="both"/>
        <w:rPr>
          <w:sz w:val="24"/>
          <w:szCs w:val="24"/>
        </w:rPr>
      </w:pPr>
      <w:r w:rsidRPr="004E778C">
        <w:rPr>
          <w:sz w:val="24"/>
          <w:szCs w:val="24"/>
        </w:rPr>
        <w:t xml:space="preserve">At an operational </w:t>
      </w:r>
      <w:r w:rsidR="00663E79" w:rsidRPr="004E778C">
        <w:rPr>
          <w:sz w:val="24"/>
          <w:szCs w:val="24"/>
        </w:rPr>
        <w:t>level, t</w:t>
      </w:r>
      <w:r w:rsidR="006024AC" w:rsidRPr="004E778C">
        <w:rPr>
          <w:sz w:val="24"/>
          <w:szCs w:val="24"/>
        </w:rPr>
        <w:t xml:space="preserve">he </w:t>
      </w:r>
      <w:r w:rsidR="009F2079" w:rsidRPr="004E778C">
        <w:rPr>
          <w:sz w:val="24"/>
          <w:szCs w:val="24"/>
        </w:rPr>
        <w:t>Ministry</w:t>
      </w:r>
      <w:r w:rsidR="002C119D" w:rsidRPr="004E778C">
        <w:rPr>
          <w:sz w:val="24"/>
          <w:szCs w:val="24"/>
        </w:rPr>
        <w:t xml:space="preserve"> of Social Development and </w:t>
      </w:r>
      <w:r w:rsidR="009F2079" w:rsidRPr="004E778C">
        <w:rPr>
          <w:sz w:val="24"/>
          <w:szCs w:val="24"/>
        </w:rPr>
        <w:t xml:space="preserve">the </w:t>
      </w:r>
      <w:r w:rsidR="002C119D" w:rsidRPr="004E778C">
        <w:rPr>
          <w:sz w:val="24"/>
          <w:szCs w:val="24"/>
        </w:rPr>
        <w:t xml:space="preserve">Ministry of Health </w:t>
      </w:r>
      <w:r w:rsidR="00FA2F6B" w:rsidRPr="004E778C">
        <w:rPr>
          <w:sz w:val="24"/>
          <w:szCs w:val="24"/>
        </w:rPr>
        <w:t xml:space="preserve">have a primary role </w:t>
      </w:r>
      <w:r w:rsidR="002C119D" w:rsidRPr="004E778C">
        <w:rPr>
          <w:sz w:val="24"/>
          <w:szCs w:val="24"/>
        </w:rPr>
        <w:t>in terms of decisions about the provisi</w:t>
      </w:r>
      <w:r w:rsidR="004429D8" w:rsidRPr="004E778C">
        <w:rPr>
          <w:sz w:val="24"/>
          <w:szCs w:val="24"/>
        </w:rPr>
        <w:t>on</w:t>
      </w:r>
      <w:r w:rsidR="00FA2F6B" w:rsidRPr="004E778C">
        <w:rPr>
          <w:sz w:val="24"/>
          <w:szCs w:val="24"/>
        </w:rPr>
        <w:t xml:space="preserve"> of</w:t>
      </w:r>
      <w:r w:rsidR="003A5953" w:rsidRPr="004E778C">
        <w:rPr>
          <w:sz w:val="24"/>
          <w:szCs w:val="24"/>
        </w:rPr>
        <w:t>,</w:t>
      </w:r>
      <w:r w:rsidR="004429D8" w:rsidRPr="004E778C">
        <w:rPr>
          <w:sz w:val="24"/>
          <w:szCs w:val="24"/>
        </w:rPr>
        <w:t xml:space="preserve"> and funding for</w:t>
      </w:r>
      <w:r w:rsidR="003A5953" w:rsidRPr="004E778C">
        <w:rPr>
          <w:sz w:val="24"/>
          <w:szCs w:val="24"/>
        </w:rPr>
        <w:t>,</w:t>
      </w:r>
      <w:r w:rsidR="004429D8" w:rsidRPr="004E778C">
        <w:rPr>
          <w:sz w:val="24"/>
          <w:szCs w:val="24"/>
        </w:rPr>
        <w:t xml:space="preserve"> </w:t>
      </w:r>
      <w:r w:rsidR="002C119D" w:rsidRPr="004E778C">
        <w:rPr>
          <w:sz w:val="24"/>
          <w:szCs w:val="24"/>
        </w:rPr>
        <w:t>disability and mental health services</w:t>
      </w:r>
      <w:r w:rsidR="004429D8" w:rsidRPr="004E778C">
        <w:rPr>
          <w:sz w:val="24"/>
          <w:szCs w:val="24"/>
        </w:rPr>
        <w:t>, and various forms of social protection for disabled people</w:t>
      </w:r>
      <w:r w:rsidR="002C119D" w:rsidRPr="004E778C">
        <w:rPr>
          <w:sz w:val="24"/>
          <w:szCs w:val="24"/>
        </w:rPr>
        <w:t>.</w:t>
      </w:r>
    </w:p>
    <w:p w:rsidR="003A5953" w:rsidRDefault="003A5953" w:rsidP="00277AB3">
      <w:pPr>
        <w:pStyle w:val="ListParagraph"/>
        <w:ind w:left="0"/>
        <w:jc w:val="both"/>
        <w:rPr>
          <w:sz w:val="24"/>
          <w:szCs w:val="24"/>
        </w:rPr>
      </w:pPr>
    </w:p>
    <w:p w:rsidR="006024AC" w:rsidRDefault="006024AC" w:rsidP="00277AB3">
      <w:pPr>
        <w:pStyle w:val="ListParagraph"/>
        <w:ind w:left="0"/>
        <w:jc w:val="both"/>
        <w:rPr>
          <w:sz w:val="24"/>
          <w:szCs w:val="24"/>
        </w:rPr>
      </w:pPr>
      <w:r>
        <w:rPr>
          <w:sz w:val="24"/>
          <w:szCs w:val="24"/>
        </w:rPr>
        <w:t>O</w:t>
      </w:r>
      <w:r w:rsidR="002C119D">
        <w:rPr>
          <w:sz w:val="24"/>
          <w:szCs w:val="24"/>
        </w:rPr>
        <w:t xml:space="preserve">ther ministries </w:t>
      </w:r>
      <w:r>
        <w:rPr>
          <w:sz w:val="24"/>
          <w:szCs w:val="24"/>
        </w:rPr>
        <w:t xml:space="preserve">(such as </w:t>
      </w:r>
      <w:r w:rsidR="004429D8">
        <w:rPr>
          <w:sz w:val="24"/>
          <w:szCs w:val="24"/>
        </w:rPr>
        <w:t xml:space="preserve">the ministries of </w:t>
      </w:r>
      <w:r w:rsidR="00A921D6">
        <w:rPr>
          <w:sz w:val="24"/>
          <w:szCs w:val="24"/>
        </w:rPr>
        <w:t xml:space="preserve">Labour, Education, </w:t>
      </w:r>
      <w:r>
        <w:rPr>
          <w:sz w:val="24"/>
          <w:szCs w:val="24"/>
        </w:rPr>
        <w:t>Justice</w:t>
      </w:r>
      <w:r w:rsidR="00A921D6">
        <w:rPr>
          <w:sz w:val="24"/>
          <w:szCs w:val="24"/>
        </w:rPr>
        <w:t>, Transport</w:t>
      </w:r>
      <w:r w:rsidR="00FA2F6B">
        <w:rPr>
          <w:sz w:val="24"/>
          <w:szCs w:val="24"/>
        </w:rPr>
        <w:t>) have</w:t>
      </w:r>
      <w:r>
        <w:rPr>
          <w:sz w:val="24"/>
          <w:szCs w:val="24"/>
        </w:rPr>
        <w:t xml:space="preserve"> a less influential role, despite having an important part to play in implementing a whole-of-government approach to the </w:t>
      </w:r>
      <w:r w:rsidR="00A921D6">
        <w:rPr>
          <w:sz w:val="24"/>
          <w:szCs w:val="24"/>
        </w:rPr>
        <w:t xml:space="preserve">implementation of the </w:t>
      </w:r>
      <w:r w:rsidR="004429D8">
        <w:rPr>
          <w:sz w:val="24"/>
          <w:szCs w:val="24"/>
        </w:rPr>
        <w:t xml:space="preserve">UNCRPD, the Disability Strategy 2001, and the </w:t>
      </w:r>
      <w:r>
        <w:rPr>
          <w:sz w:val="24"/>
          <w:szCs w:val="24"/>
        </w:rPr>
        <w:t>Disability Action Plan</w:t>
      </w:r>
      <w:r w:rsidR="004429D8">
        <w:rPr>
          <w:sz w:val="24"/>
          <w:szCs w:val="24"/>
        </w:rPr>
        <w:t xml:space="preserve"> 2014-2018</w:t>
      </w:r>
      <w:r w:rsidR="002C119D">
        <w:rPr>
          <w:sz w:val="24"/>
          <w:szCs w:val="24"/>
        </w:rPr>
        <w:t xml:space="preserve">. </w:t>
      </w:r>
      <w:r>
        <w:rPr>
          <w:sz w:val="24"/>
          <w:szCs w:val="24"/>
        </w:rPr>
        <w:t xml:space="preserve">This </w:t>
      </w:r>
      <w:r w:rsidR="00663E79">
        <w:rPr>
          <w:sz w:val="24"/>
          <w:szCs w:val="24"/>
        </w:rPr>
        <w:t xml:space="preserve">also </w:t>
      </w:r>
      <w:r>
        <w:rPr>
          <w:sz w:val="24"/>
          <w:szCs w:val="24"/>
        </w:rPr>
        <w:t>means that funding from these ministries is limited.</w:t>
      </w:r>
    </w:p>
    <w:p w:rsidR="002C119D" w:rsidRPr="002C119D" w:rsidRDefault="002C119D" w:rsidP="001E366B">
      <w:pPr>
        <w:pStyle w:val="Heading2"/>
      </w:pPr>
      <w:bookmarkStart w:id="6" w:name="_Toc420885830"/>
      <w:r w:rsidRPr="002C119D">
        <w:t>The Office for Disability Issues</w:t>
      </w:r>
      <w:bookmarkEnd w:id="6"/>
    </w:p>
    <w:p w:rsidR="002C119D" w:rsidRDefault="002C119D" w:rsidP="00277AB3">
      <w:pPr>
        <w:pStyle w:val="ListParagraph"/>
        <w:ind w:left="0"/>
        <w:jc w:val="both"/>
        <w:rPr>
          <w:sz w:val="24"/>
          <w:szCs w:val="24"/>
        </w:rPr>
      </w:pPr>
    </w:p>
    <w:p w:rsidR="002C119D" w:rsidRDefault="002C119D" w:rsidP="002C119D">
      <w:pPr>
        <w:jc w:val="both"/>
        <w:rPr>
          <w:sz w:val="24"/>
          <w:szCs w:val="24"/>
        </w:rPr>
      </w:pPr>
      <w:r>
        <w:rPr>
          <w:sz w:val="24"/>
          <w:szCs w:val="24"/>
        </w:rPr>
        <w:t>The Office for</w:t>
      </w:r>
      <w:r w:rsidRPr="00D40CB3">
        <w:rPr>
          <w:sz w:val="24"/>
          <w:szCs w:val="24"/>
        </w:rPr>
        <w:t xml:space="preserve"> Disability Issues </w:t>
      </w:r>
      <w:r>
        <w:rPr>
          <w:sz w:val="24"/>
          <w:szCs w:val="24"/>
        </w:rPr>
        <w:t xml:space="preserve">(the Office) </w:t>
      </w:r>
      <w:r w:rsidRPr="00D40CB3">
        <w:rPr>
          <w:sz w:val="24"/>
          <w:szCs w:val="24"/>
        </w:rPr>
        <w:t xml:space="preserve">is a government agency </w:t>
      </w:r>
      <w:r w:rsidR="004429D8">
        <w:rPr>
          <w:sz w:val="24"/>
          <w:szCs w:val="24"/>
        </w:rPr>
        <w:t xml:space="preserve">and </w:t>
      </w:r>
      <w:r w:rsidRPr="00D40CB3">
        <w:rPr>
          <w:sz w:val="24"/>
          <w:szCs w:val="24"/>
        </w:rPr>
        <w:t>subsidiary of the Ministry of Social Development</w:t>
      </w:r>
      <w:r>
        <w:rPr>
          <w:sz w:val="24"/>
          <w:szCs w:val="24"/>
        </w:rPr>
        <w:t xml:space="preserve">. </w:t>
      </w:r>
      <w:r w:rsidR="004429D8">
        <w:rPr>
          <w:sz w:val="24"/>
          <w:szCs w:val="24"/>
        </w:rPr>
        <w:t xml:space="preserve">The Office reports to the Minister for Disability </w:t>
      </w:r>
      <w:r w:rsidR="004429D8">
        <w:rPr>
          <w:sz w:val="24"/>
          <w:szCs w:val="24"/>
        </w:rPr>
        <w:lastRenderedPageBreak/>
        <w:t xml:space="preserve">Issues and </w:t>
      </w:r>
      <w:r w:rsidR="004429D8" w:rsidRPr="00D40CB3">
        <w:rPr>
          <w:sz w:val="24"/>
          <w:szCs w:val="24"/>
        </w:rPr>
        <w:t>supports the Ministerial Committee on Disability Issues.</w:t>
      </w:r>
      <w:r w:rsidR="004429D8">
        <w:rPr>
          <w:sz w:val="24"/>
          <w:szCs w:val="24"/>
        </w:rPr>
        <w:t xml:space="preserve"> </w:t>
      </w:r>
      <w:r w:rsidRPr="00D40CB3">
        <w:rPr>
          <w:sz w:val="24"/>
          <w:szCs w:val="24"/>
        </w:rPr>
        <w:t xml:space="preserve">The Office is charged with </w:t>
      </w:r>
      <w:r w:rsidR="001803DC">
        <w:rPr>
          <w:sz w:val="24"/>
          <w:szCs w:val="24"/>
        </w:rPr>
        <w:t>‘</w:t>
      </w:r>
      <w:r w:rsidRPr="00D40CB3">
        <w:rPr>
          <w:sz w:val="24"/>
          <w:szCs w:val="24"/>
        </w:rPr>
        <w:t>promoting</w:t>
      </w:r>
      <w:r>
        <w:rPr>
          <w:sz w:val="24"/>
          <w:szCs w:val="24"/>
        </w:rPr>
        <w:t>, guiding, leading, informing and advising on disability issues</w:t>
      </w:r>
      <w:r w:rsidR="001803DC">
        <w:rPr>
          <w:sz w:val="24"/>
          <w:szCs w:val="24"/>
        </w:rPr>
        <w:t>’</w:t>
      </w:r>
      <w:r>
        <w:rPr>
          <w:sz w:val="24"/>
          <w:szCs w:val="24"/>
        </w:rPr>
        <w:t>.</w:t>
      </w:r>
      <w:r w:rsidR="001803DC">
        <w:rPr>
          <w:rStyle w:val="FootnoteReference"/>
          <w:sz w:val="24"/>
          <w:szCs w:val="24"/>
        </w:rPr>
        <w:footnoteReference w:id="30"/>
      </w:r>
      <w:r>
        <w:rPr>
          <w:sz w:val="24"/>
          <w:szCs w:val="24"/>
        </w:rPr>
        <w:t xml:space="preserve"> </w:t>
      </w:r>
      <w:r w:rsidR="000763A5">
        <w:rPr>
          <w:sz w:val="24"/>
          <w:szCs w:val="24"/>
        </w:rPr>
        <w:t xml:space="preserve">The Office also coordinates functions in relation to the implementation of the Disability Action Plan 2014-2018. </w:t>
      </w:r>
      <w:r w:rsidRPr="00D40CB3">
        <w:rPr>
          <w:sz w:val="24"/>
          <w:szCs w:val="24"/>
        </w:rPr>
        <w:t xml:space="preserve">However, the Office is not responsible </w:t>
      </w:r>
      <w:r>
        <w:rPr>
          <w:sz w:val="24"/>
          <w:szCs w:val="24"/>
        </w:rPr>
        <w:t xml:space="preserve">for </w:t>
      </w:r>
      <w:r w:rsidRPr="00D40CB3">
        <w:rPr>
          <w:sz w:val="24"/>
          <w:szCs w:val="24"/>
        </w:rPr>
        <w:t xml:space="preserve">monitoring </w:t>
      </w:r>
      <w:r>
        <w:rPr>
          <w:sz w:val="24"/>
          <w:szCs w:val="24"/>
        </w:rPr>
        <w:t xml:space="preserve">or </w:t>
      </w:r>
      <w:r w:rsidRPr="00D40CB3">
        <w:rPr>
          <w:sz w:val="24"/>
          <w:szCs w:val="24"/>
        </w:rPr>
        <w:t>implementation of the New Zeal</w:t>
      </w:r>
      <w:r>
        <w:rPr>
          <w:sz w:val="24"/>
          <w:szCs w:val="24"/>
        </w:rPr>
        <w:t>and Disability Strategy 2001 or</w:t>
      </w:r>
      <w:r w:rsidRPr="00D40CB3">
        <w:rPr>
          <w:sz w:val="24"/>
          <w:szCs w:val="24"/>
        </w:rPr>
        <w:t xml:space="preserve"> the UNCRPD.</w:t>
      </w:r>
      <w:r w:rsidR="005653FA">
        <w:rPr>
          <w:rStyle w:val="FootnoteReference"/>
          <w:sz w:val="24"/>
          <w:szCs w:val="24"/>
        </w:rPr>
        <w:footnoteReference w:id="31"/>
      </w:r>
      <w:r w:rsidR="001F372F">
        <w:rPr>
          <w:sz w:val="24"/>
          <w:szCs w:val="24"/>
        </w:rPr>
        <w:t xml:space="preserve"> </w:t>
      </w:r>
    </w:p>
    <w:p w:rsidR="000763A5" w:rsidRDefault="000763A5" w:rsidP="002C119D">
      <w:pPr>
        <w:jc w:val="both"/>
        <w:rPr>
          <w:sz w:val="24"/>
          <w:szCs w:val="24"/>
        </w:rPr>
      </w:pPr>
    </w:p>
    <w:p w:rsidR="001E00D2" w:rsidRPr="001803DC" w:rsidRDefault="00A921D6" w:rsidP="001803DC">
      <w:pPr>
        <w:pStyle w:val="ListParagraph"/>
        <w:ind w:left="0"/>
        <w:jc w:val="both"/>
        <w:rPr>
          <w:color w:val="000000" w:themeColor="text1"/>
          <w:sz w:val="24"/>
          <w:szCs w:val="24"/>
        </w:rPr>
      </w:pPr>
      <w:r w:rsidRPr="001803DC">
        <w:rPr>
          <w:color w:val="000000" w:themeColor="text1"/>
          <w:sz w:val="24"/>
          <w:szCs w:val="24"/>
        </w:rPr>
        <w:t>An overview of the roles of central government, local governm</w:t>
      </w:r>
      <w:r w:rsidR="00FA2F6B" w:rsidRPr="001803DC">
        <w:rPr>
          <w:color w:val="000000" w:themeColor="text1"/>
          <w:sz w:val="24"/>
          <w:szCs w:val="24"/>
        </w:rPr>
        <w:t xml:space="preserve">ent and independent commissions, as they relate to disabled people and UNCRPD, </w:t>
      </w:r>
      <w:r w:rsidRPr="001803DC">
        <w:rPr>
          <w:color w:val="000000" w:themeColor="text1"/>
          <w:sz w:val="24"/>
          <w:szCs w:val="24"/>
        </w:rPr>
        <w:t>can be found</w:t>
      </w:r>
      <w:r w:rsidR="00EE5F1B">
        <w:rPr>
          <w:color w:val="000000" w:themeColor="text1"/>
          <w:sz w:val="24"/>
          <w:szCs w:val="24"/>
        </w:rPr>
        <w:t xml:space="preserve"> on the website of the Office for</w:t>
      </w:r>
      <w:r w:rsidRPr="001803DC">
        <w:rPr>
          <w:color w:val="000000" w:themeColor="text1"/>
          <w:sz w:val="24"/>
          <w:szCs w:val="24"/>
        </w:rPr>
        <w:t xml:space="preserve"> Disability Issues </w:t>
      </w:r>
      <w:hyperlink r:id="rId9" w:history="1">
        <w:r w:rsidRPr="001803DC">
          <w:rPr>
            <w:rStyle w:val="Hyperlink"/>
            <w:color w:val="000000" w:themeColor="text1"/>
            <w:sz w:val="24"/>
            <w:szCs w:val="24"/>
          </w:rPr>
          <w:t>http://www.odi.govt.nz/about-us/government.html</w:t>
        </w:r>
      </w:hyperlink>
      <w:r w:rsidRPr="001803DC">
        <w:rPr>
          <w:color w:val="000000" w:themeColor="text1"/>
          <w:sz w:val="24"/>
          <w:szCs w:val="24"/>
        </w:rPr>
        <w:t>.</w:t>
      </w:r>
    </w:p>
    <w:p w:rsidR="002C119D" w:rsidRPr="002C119D" w:rsidRDefault="002C119D" w:rsidP="001E366B">
      <w:pPr>
        <w:pStyle w:val="Heading2"/>
      </w:pPr>
      <w:bookmarkStart w:id="7" w:name="_Toc420885831"/>
      <w:r w:rsidRPr="002C119D">
        <w:t>Disabled Persons Organisations</w:t>
      </w:r>
      <w:bookmarkEnd w:id="7"/>
    </w:p>
    <w:p w:rsidR="006849AD" w:rsidRDefault="006849AD" w:rsidP="006849AD">
      <w:pPr>
        <w:pStyle w:val="NormalWeb"/>
        <w:shd w:val="clear" w:color="auto" w:fill="FFFFFF"/>
        <w:spacing w:before="0" w:beforeAutospacing="0" w:after="76" w:afterAutospacing="0"/>
        <w:rPr>
          <w:color w:val="000000"/>
        </w:rPr>
      </w:pPr>
    </w:p>
    <w:p w:rsidR="006849AD" w:rsidRPr="006849AD" w:rsidRDefault="006849AD" w:rsidP="006849AD">
      <w:pPr>
        <w:pStyle w:val="NormalWeb"/>
        <w:shd w:val="clear" w:color="auto" w:fill="FFFFFF"/>
        <w:spacing w:before="0" w:beforeAutospacing="0" w:after="76" w:afterAutospacing="0"/>
        <w:rPr>
          <w:color w:val="000000"/>
        </w:rPr>
      </w:pPr>
      <w:r w:rsidRPr="006849AD">
        <w:rPr>
          <w:color w:val="000000"/>
        </w:rPr>
        <w:t>Article 4(3) of the UNCRPD obliges States to ensure that the authentic voice of disabled people can be present alongside government agencies developing legislation, policy and services impacting on disabled people. This is achieved through involving D</w:t>
      </w:r>
      <w:r>
        <w:rPr>
          <w:color w:val="000000"/>
        </w:rPr>
        <w:t xml:space="preserve">isabled </w:t>
      </w:r>
      <w:r w:rsidRPr="006849AD">
        <w:rPr>
          <w:color w:val="000000"/>
        </w:rPr>
        <w:t>P</w:t>
      </w:r>
      <w:r>
        <w:rPr>
          <w:color w:val="000000"/>
        </w:rPr>
        <w:t>erson</w:t>
      </w:r>
      <w:r w:rsidR="00BF4952">
        <w:rPr>
          <w:color w:val="000000"/>
        </w:rPr>
        <w:t>s</w:t>
      </w:r>
      <w:r>
        <w:rPr>
          <w:color w:val="000000"/>
        </w:rPr>
        <w:t xml:space="preserve"> </w:t>
      </w:r>
      <w:r w:rsidRPr="006849AD">
        <w:rPr>
          <w:color w:val="000000"/>
        </w:rPr>
        <w:t>O</w:t>
      </w:r>
      <w:r>
        <w:rPr>
          <w:color w:val="000000"/>
        </w:rPr>
        <w:t>rganisation</w:t>
      </w:r>
      <w:r w:rsidRPr="006849AD">
        <w:rPr>
          <w:color w:val="000000"/>
        </w:rPr>
        <w:t>s</w:t>
      </w:r>
      <w:r>
        <w:rPr>
          <w:color w:val="000000"/>
        </w:rPr>
        <w:t xml:space="preserve"> (DPOs)</w:t>
      </w:r>
      <w:r w:rsidRPr="006849AD">
        <w:rPr>
          <w:color w:val="000000"/>
        </w:rPr>
        <w:t>.</w:t>
      </w:r>
      <w:r>
        <w:rPr>
          <w:rStyle w:val="FootnoteReference"/>
          <w:color w:val="000000"/>
        </w:rPr>
        <w:footnoteReference w:id="32"/>
      </w:r>
    </w:p>
    <w:p w:rsidR="00FA2F6B" w:rsidRDefault="00FA2F6B" w:rsidP="00277AB3">
      <w:pPr>
        <w:pStyle w:val="ListParagraph"/>
        <w:ind w:left="0"/>
        <w:jc w:val="both"/>
        <w:rPr>
          <w:b/>
          <w:sz w:val="24"/>
          <w:szCs w:val="24"/>
        </w:rPr>
      </w:pPr>
    </w:p>
    <w:p w:rsidR="006849AD" w:rsidRDefault="006849AD" w:rsidP="006849AD">
      <w:pPr>
        <w:pStyle w:val="NormalWeb"/>
        <w:shd w:val="clear" w:color="auto" w:fill="FFFFFF"/>
        <w:spacing w:before="0" w:beforeAutospacing="0" w:after="76" w:afterAutospacing="0"/>
        <w:rPr>
          <w:color w:val="000000"/>
        </w:rPr>
      </w:pPr>
      <w:r w:rsidRPr="006849AD">
        <w:t xml:space="preserve">There are seven DPOs which are </w:t>
      </w:r>
      <w:r w:rsidRPr="006849AD">
        <w:rPr>
          <w:color w:val="000000"/>
        </w:rPr>
        <w:t>defined as organisations that:</w:t>
      </w:r>
    </w:p>
    <w:p w:rsidR="0080683B" w:rsidRPr="006849AD" w:rsidRDefault="0080683B" w:rsidP="006849AD">
      <w:pPr>
        <w:pStyle w:val="NormalWeb"/>
        <w:shd w:val="clear" w:color="auto" w:fill="FFFFFF"/>
        <w:spacing w:before="0" w:beforeAutospacing="0" w:after="76" w:afterAutospacing="0"/>
        <w:rPr>
          <w:color w:val="000000"/>
        </w:rPr>
      </w:pPr>
    </w:p>
    <w:p w:rsidR="006849AD" w:rsidRPr="006849AD" w:rsidRDefault="006849AD" w:rsidP="007B7173">
      <w:pPr>
        <w:numPr>
          <w:ilvl w:val="0"/>
          <w:numId w:val="2"/>
        </w:numPr>
        <w:shd w:val="clear" w:color="auto" w:fill="FFFFFF"/>
        <w:spacing w:after="38"/>
        <w:ind w:left="993" w:firstLine="0"/>
        <w:rPr>
          <w:color w:val="000000"/>
          <w:sz w:val="24"/>
          <w:szCs w:val="24"/>
        </w:rPr>
      </w:pPr>
      <w:r w:rsidRPr="006849AD">
        <w:rPr>
          <w:color w:val="000000"/>
          <w:sz w:val="24"/>
          <w:szCs w:val="24"/>
        </w:rPr>
        <w:t>are governed and led by disabled people</w:t>
      </w:r>
    </w:p>
    <w:p w:rsidR="006849AD" w:rsidRPr="006849AD" w:rsidRDefault="006849AD" w:rsidP="007B7173">
      <w:pPr>
        <w:numPr>
          <w:ilvl w:val="0"/>
          <w:numId w:val="2"/>
        </w:numPr>
        <w:shd w:val="clear" w:color="auto" w:fill="FFFFFF"/>
        <w:spacing w:after="38"/>
        <w:ind w:left="993" w:firstLine="0"/>
        <w:rPr>
          <w:color w:val="000000"/>
          <w:sz w:val="24"/>
          <w:szCs w:val="24"/>
        </w:rPr>
      </w:pPr>
      <w:r w:rsidRPr="006849AD">
        <w:rPr>
          <w:color w:val="000000"/>
          <w:sz w:val="24"/>
          <w:szCs w:val="24"/>
        </w:rPr>
        <w:t xml:space="preserve">focus on representing the lived experience of disability in one or more </w:t>
      </w:r>
      <w:r>
        <w:rPr>
          <w:color w:val="000000"/>
          <w:sz w:val="24"/>
          <w:szCs w:val="24"/>
        </w:rPr>
        <w:tab/>
      </w:r>
      <w:r w:rsidRPr="006849AD">
        <w:rPr>
          <w:color w:val="000000"/>
          <w:sz w:val="24"/>
          <w:szCs w:val="24"/>
        </w:rPr>
        <w:t>impairment areas</w:t>
      </w:r>
    </w:p>
    <w:p w:rsidR="006849AD" w:rsidRPr="006849AD" w:rsidRDefault="006849AD" w:rsidP="007B7173">
      <w:pPr>
        <w:numPr>
          <w:ilvl w:val="0"/>
          <w:numId w:val="2"/>
        </w:numPr>
        <w:shd w:val="clear" w:color="auto" w:fill="FFFFFF"/>
        <w:spacing w:after="38"/>
        <w:ind w:left="993" w:firstLine="0"/>
        <w:rPr>
          <w:color w:val="000000"/>
          <w:sz w:val="24"/>
          <w:szCs w:val="24"/>
        </w:rPr>
      </w:pPr>
      <w:proofErr w:type="gramStart"/>
      <w:r w:rsidRPr="006849AD">
        <w:rPr>
          <w:color w:val="000000"/>
          <w:sz w:val="24"/>
          <w:szCs w:val="24"/>
        </w:rPr>
        <w:t>have</w:t>
      </w:r>
      <w:proofErr w:type="gramEnd"/>
      <w:r w:rsidRPr="006849AD">
        <w:rPr>
          <w:color w:val="000000"/>
          <w:sz w:val="24"/>
          <w:szCs w:val="24"/>
        </w:rPr>
        <w:t xml:space="preserve"> members who are disabled people.</w:t>
      </w:r>
      <w:r w:rsidR="00FA2F6B">
        <w:rPr>
          <w:rStyle w:val="FootnoteReference"/>
          <w:color w:val="000000"/>
          <w:sz w:val="24"/>
          <w:szCs w:val="24"/>
        </w:rPr>
        <w:footnoteReference w:id="33"/>
      </w:r>
    </w:p>
    <w:p w:rsidR="006849AD" w:rsidRPr="006849AD" w:rsidRDefault="006849AD" w:rsidP="006849AD">
      <w:pPr>
        <w:pStyle w:val="NormalWeb"/>
        <w:shd w:val="clear" w:color="auto" w:fill="FFFFFF"/>
        <w:spacing w:before="0" w:beforeAutospacing="0" w:after="76" w:afterAutospacing="0"/>
        <w:rPr>
          <w:color w:val="000000"/>
        </w:rPr>
      </w:pPr>
    </w:p>
    <w:p w:rsidR="006849AD" w:rsidRPr="006849AD" w:rsidRDefault="00FA2F6B" w:rsidP="006849AD">
      <w:pPr>
        <w:pStyle w:val="NormalWeb"/>
        <w:shd w:val="clear" w:color="auto" w:fill="FFFFFF"/>
        <w:spacing w:before="0" w:beforeAutospacing="0" w:after="76" w:afterAutospacing="0"/>
        <w:rPr>
          <w:color w:val="000000"/>
        </w:rPr>
      </w:pPr>
      <w:r>
        <w:rPr>
          <w:color w:val="000000"/>
        </w:rPr>
        <w:t>Disabled Persons Organis</w:t>
      </w:r>
      <w:r w:rsidR="0080683B">
        <w:rPr>
          <w:color w:val="000000"/>
        </w:rPr>
        <w:t>a</w:t>
      </w:r>
      <w:r>
        <w:rPr>
          <w:color w:val="000000"/>
        </w:rPr>
        <w:t xml:space="preserve">tions </w:t>
      </w:r>
      <w:r w:rsidR="0080683B">
        <w:rPr>
          <w:color w:val="000000"/>
        </w:rPr>
        <w:t xml:space="preserve">have distinct criteria for membership. They </w:t>
      </w:r>
      <w:r>
        <w:rPr>
          <w:color w:val="000000"/>
        </w:rPr>
        <w:t>differ from</w:t>
      </w:r>
      <w:r w:rsidR="0080683B">
        <w:rPr>
          <w:color w:val="000000"/>
        </w:rPr>
        <w:t xml:space="preserve"> other</w:t>
      </w:r>
      <w:r>
        <w:rPr>
          <w:color w:val="000000"/>
        </w:rPr>
        <w:t xml:space="preserve"> </w:t>
      </w:r>
      <w:r w:rsidR="0080683B">
        <w:rPr>
          <w:color w:val="000000"/>
        </w:rPr>
        <w:t xml:space="preserve">disability organisations that provide </w:t>
      </w:r>
      <w:r w:rsidR="006849AD" w:rsidRPr="006849AD">
        <w:rPr>
          <w:color w:val="000000"/>
        </w:rPr>
        <w:t xml:space="preserve">specific services and/or are led </w:t>
      </w:r>
      <w:r>
        <w:rPr>
          <w:color w:val="000000"/>
        </w:rPr>
        <w:t xml:space="preserve">and governed </w:t>
      </w:r>
      <w:r w:rsidR="006849AD" w:rsidRPr="006849AD">
        <w:rPr>
          <w:color w:val="000000"/>
        </w:rPr>
        <w:t>by non-disabled people.</w:t>
      </w:r>
      <w:r w:rsidR="0080683B">
        <w:rPr>
          <w:color w:val="000000"/>
        </w:rPr>
        <w:t xml:space="preserve"> </w:t>
      </w:r>
      <w:proofErr w:type="gramStart"/>
      <w:r w:rsidR="0080683B">
        <w:rPr>
          <w:color w:val="000000"/>
        </w:rPr>
        <w:t>For example, NZDSN,</w:t>
      </w:r>
      <w:r w:rsidR="0080683B">
        <w:rPr>
          <w:rStyle w:val="FootnoteReference"/>
          <w:color w:val="000000"/>
        </w:rPr>
        <w:footnoteReference w:id="34"/>
      </w:r>
      <w:r w:rsidR="0080683B">
        <w:rPr>
          <w:color w:val="000000"/>
        </w:rPr>
        <w:t xml:space="preserve"> IHC,</w:t>
      </w:r>
      <w:r w:rsidR="0080683B">
        <w:rPr>
          <w:rStyle w:val="FootnoteReference"/>
          <w:color w:val="000000"/>
        </w:rPr>
        <w:footnoteReference w:id="35"/>
      </w:r>
      <w:r w:rsidR="0080683B">
        <w:rPr>
          <w:color w:val="000000"/>
        </w:rPr>
        <w:t xml:space="preserve"> </w:t>
      </w:r>
      <w:proofErr w:type="spellStart"/>
      <w:r w:rsidR="0080683B">
        <w:rPr>
          <w:color w:val="000000"/>
        </w:rPr>
        <w:t>CCSDisabilty</w:t>
      </w:r>
      <w:proofErr w:type="spellEnd"/>
      <w:r w:rsidR="0080683B">
        <w:rPr>
          <w:color w:val="000000"/>
        </w:rPr>
        <w:t xml:space="preserve"> Action,</w:t>
      </w:r>
      <w:r w:rsidR="0080683B">
        <w:rPr>
          <w:rStyle w:val="FootnoteReference"/>
          <w:color w:val="000000"/>
        </w:rPr>
        <w:footnoteReference w:id="36"/>
      </w:r>
      <w:r w:rsidR="0080683B">
        <w:rPr>
          <w:color w:val="000000"/>
        </w:rPr>
        <w:t xml:space="preserve"> </w:t>
      </w:r>
      <w:proofErr w:type="spellStart"/>
      <w:r w:rsidR="0080683B">
        <w:rPr>
          <w:color w:val="000000"/>
        </w:rPr>
        <w:t>HealthCareNZ</w:t>
      </w:r>
      <w:proofErr w:type="spellEnd"/>
      <w:r w:rsidR="0080683B">
        <w:rPr>
          <w:color w:val="000000"/>
        </w:rPr>
        <w:t>,</w:t>
      </w:r>
      <w:r w:rsidR="0080683B">
        <w:rPr>
          <w:rStyle w:val="FootnoteReference"/>
          <w:color w:val="000000"/>
        </w:rPr>
        <w:footnoteReference w:id="37"/>
      </w:r>
      <w:r w:rsidR="0080683B">
        <w:rPr>
          <w:color w:val="000000"/>
        </w:rPr>
        <w:t xml:space="preserve"> Mash Trust.</w:t>
      </w:r>
      <w:proofErr w:type="gramEnd"/>
      <w:r w:rsidR="0080683B">
        <w:rPr>
          <w:rStyle w:val="FootnoteReference"/>
          <w:color w:val="000000"/>
        </w:rPr>
        <w:footnoteReference w:id="38"/>
      </w:r>
      <w:r w:rsidR="006849AD" w:rsidRPr="006849AD">
        <w:rPr>
          <w:color w:val="000000"/>
        </w:rPr>
        <w:t xml:space="preserve"> </w:t>
      </w:r>
      <w:r w:rsidR="00351350">
        <w:rPr>
          <w:color w:val="000000"/>
        </w:rPr>
        <w:t xml:space="preserve">While these </w:t>
      </w:r>
      <w:r w:rsidR="0080683B">
        <w:rPr>
          <w:color w:val="000000"/>
        </w:rPr>
        <w:t xml:space="preserve">organisations </w:t>
      </w:r>
      <w:r w:rsidR="00351350">
        <w:rPr>
          <w:color w:val="000000"/>
        </w:rPr>
        <w:t xml:space="preserve">are not DPOs they </w:t>
      </w:r>
      <w:r w:rsidR="0080683B">
        <w:rPr>
          <w:color w:val="000000"/>
        </w:rPr>
        <w:t xml:space="preserve">are </w:t>
      </w:r>
      <w:r w:rsidR="00351350">
        <w:rPr>
          <w:color w:val="000000"/>
        </w:rPr>
        <w:t xml:space="preserve">vitally </w:t>
      </w:r>
      <w:r w:rsidR="0080683B">
        <w:rPr>
          <w:color w:val="000000"/>
        </w:rPr>
        <w:t>important to ensuring a robust social protections system for disabled people</w:t>
      </w:r>
      <w:r w:rsidR="00351350">
        <w:rPr>
          <w:color w:val="000000"/>
        </w:rPr>
        <w:t>. They</w:t>
      </w:r>
      <w:r w:rsidR="0080683B">
        <w:rPr>
          <w:color w:val="000000"/>
        </w:rPr>
        <w:t xml:space="preserve"> have </w:t>
      </w:r>
      <w:r w:rsidR="00351350">
        <w:rPr>
          <w:color w:val="000000"/>
        </w:rPr>
        <w:t xml:space="preserve">a primary role, </w:t>
      </w:r>
      <w:r w:rsidR="00EE5F1B">
        <w:rPr>
          <w:color w:val="000000"/>
        </w:rPr>
        <w:t xml:space="preserve">from the </w:t>
      </w:r>
      <w:r w:rsidR="00351350">
        <w:rPr>
          <w:color w:val="000000"/>
        </w:rPr>
        <w:t>front-line</w:t>
      </w:r>
      <w:r w:rsidR="00EE5F1B">
        <w:rPr>
          <w:color w:val="000000"/>
        </w:rPr>
        <w:t xml:space="preserve"> to a strategic level</w:t>
      </w:r>
      <w:r w:rsidR="00351350">
        <w:rPr>
          <w:color w:val="000000"/>
        </w:rPr>
        <w:t>,</w:t>
      </w:r>
      <w:r w:rsidR="0080683B">
        <w:rPr>
          <w:color w:val="000000"/>
        </w:rPr>
        <w:t xml:space="preserve"> for implementing the </w:t>
      </w:r>
      <w:r w:rsidR="00351350">
        <w:rPr>
          <w:color w:val="000000"/>
        </w:rPr>
        <w:t>UNCRPD, the D</w:t>
      </w:r>
      <w:r w:rsidR="00EE5F1B">
        <w:rPr>
          <w:color w:val="000000"/>
        </w:rPr>
        <w:t>isability Action Plan 2014-2018</w:t>
      </w:r>
      <w:r w:rsidR="00351350">
        <w:rPr>
          <w:color w:val="000000"/>
        </w:rPr>
        <w:t xml:space="preserve"> and the </w:t>
      </w:r>
      <w:r w:rsidR="0080683B">
        <w:rPr>
          <w:color w:val="000000"/>
        </w:rPr>
        <w:t>Disability Workforce Action Plan 2013-2016.</w:t>
      </w:r>
      <w:r w:rsidR="0080683B">
        <w:rPr>
          <w:rStyle w:val="FootnoteReference"/>
          <w:color w:val="000000"/>
        </w:rPr>
        <w:footnoteReference w:id="39"/>
      </w:r>
    </w:p>
    <w:p w:rsidR="00EE5F1B" w:rsidRPr="006849AD" w:rsidRDefault="00EE5F1B" w:rsidP="006B1B9C">
      <w:pPr>
        <w:rPr>
          <w:sz w:val="24"/>
          <w:szCs w:val="24"/>
        </w:rPr>
      </w:pPr>
    </w:p>
    <w:p w:rsidR="006B1B9C" w:rsidRDefault="006B1B9C" w:rsidP="006B1B9C">
      <w:pPr>
        <w:rPr>
          <w:sz w:val="24"/>
          <w:szCs w:val="24"/>
        </w:rPr>
      </w:pPr>
      <w:r>
        <w:rPr>
          <w:sz w:val="24"/>
          <w:szCs w:val="24"/>
        </w:rPr>
        <w:t>The DPOs include:</w:t>
      </w:r>
    </w:p>
    <w:p w:rsidR="006B1B9C" w:rsidRDefault="006B1B9C" w:rsidP="006B1B9C">
      <w:pPr>
        <w:rPr>
          <w:sz w:val="24"/>
          <w:szCs w:val="24"/>
        </w:rPr>
      </w:pPr>
    </w:p>
    <w:p w:rsidR="006B1B9C" w:rsidRPr="006B1B9C" w:rsidRDefault="006B1B9C" w:rsidP="007B7173">
      <w:pPr>
        <w:pStyle w:val="MediumGrid1-Accent21"/>
        <w:numPr>
          <w:ilvl w:val="0"/>
          <w:numId w:val="4"/>
        </w:numPr>
        <w:rPr>
          <w:rFonts w:ascii="Times New Roman" w:hAnsi="Times New Roman"/>
          <w:szCs w:val="24"/>
          <w:lang w:val="en-GB"/>
        </w:rPr>
      </w:pPr>
      <w:r w:rsidRPr="006B1B9C">
        <w:rPr>
          <w:rFonts w:ascii="Times New Roman" w:hAnsi="Times New Roman"/>
          <w:szCs w:val="24"/>
          <w:lang w:val="en-GB"/>
        </w:rPr>
        <w:t xml:space="preserve">Association of Blind Citizens of New Zealand Incorporated </w:t>
      </w:r>
    </w:p>
    <w:p w:rsidR="006B1B9C" w:rsidRPr="006B1B9C" w:rsidRDefault="006B1B9C" w:rsidP="007B7173">
      <w:pPr>
        <w:pStyle w:val="MediumGrid1-Accent21"/>
        <w:numPr>
          <w:ilvl w:val="0"/>
          <w:numId w:val="4"/>
        </w:numPr>
        <w:rPr>
          <w:rFonts w:ascii="Times New Roman" w:hAnsi="Times New Roman"/>
          <w:szCs w:val="24"/>
          <w:lang w:val="en-GB"/>
        </w:rPr>
      </w:pPr>
      <w:r w:rsidRPr="006B1B9C">
        <w:rPr>
          <w:rFonts w:ascii="Times New Roman" w:hAnsi="Times New Roman"/>
          <w:szCs w:val="24"/>
          <w:lang w:val="en-GB"/>
        </w:rPr>
        <w:t>Balance NZ</w:t>
      </w:r>
      <w:r w:rsidR="00D15DC5">
        <w:rPr>
          <w:rFonts w:ascii="Times New Roman" w:hAnsi="Times New Roman"/>
          <w:szCs w:val="24"/>
          <w:lang w:val="en-GB"/>
        </w:rPr>
        <w:t xml:space="preserve"> Incorporated</w:t>
      </w:r>
    </w:p>
    <w:p w:rsidR="006B1B9C" w:rsidRPr="006B1B9C" w:rsidRDefault="006B1B9C" w:rsidP="007B7173">
      <w:pPr>
        <w:pStyle w:val="MediumGrid1-Accent21"/>
        <w:numPr>
          <w:ilvl w:val="0"/>
          <w:numId w:val="4"/>
        </w:numPr>
        <w:rPr>
          <w:rFonts w:ascii="Times New Roman" w:hAnsi="Times New Roman"/>
          <w:szCs w:val="24"/>
          <w:lang w:val="en-GB"/>
        </w:rPr>
      </w:pPr>
      <w:r w:rsidRPr="006B1B9C">
        <w:rPr>
          <w:rFonts w:ascii="Times New Roman" w:hAnsi="Times New Roman"/>
          <w:szCs w:val="24"/>
          <w:lang w:val="en-GB"/>
        </w:rPr>
        <w:t xml:space="preserve">Deaf </w:t>
      </w:r>
      <w:proofErr w:type="spellStart"/>
      <w:r w:rsidRPr="006B1B9C">
        <w:rPr>
          <w:rFonts w:ascii="Times New Roman" w:hAnsi="Times New Roman"/>
          <w:szCs w:val="24"/>
          <w:lang w:val="en-GB"/>
        </w:rPr>
        <w:t>Aotearoa</w:t>
      </w:r>
      <w:proofErr w:type="spellEnd"/>
      <w:r w:rsidRPr="006B1B9C">
        <w:rPr>
          <w:rFonts w:ascii="Times New Roman" w:hAnsi="Times New Roman"/>
          <w:szCs w:val="24"/>
          <w:lang w:val="en-GB"/>
        </w:rPr>
        <w:t xml:space="preserve"> New Zealand Incorporated</w:t>
      </w:r>
    </w:p>
    <w:p w:rsidR="006B1B9C" w:rsidRPr="006B1B9C" w:rsidRDefault="006B1B9C" w:rsidP="007B7173">
      <w:pPr>
        <w:pStyle w:val="MediumGrid1-Accent21"/>
        <w:numPr>
          <w:ilvl w:val="0"/>
          <w:numId w:val="4"/>
        </w:numPr>
        <w:rPr>
          <w:rFonts w:ascii="Times New Roman" w:hAnsi="Times New Roman"/>
          <w:szCs w:val="24"/>
          <w:lang w:val="en-GB"/>
        </w:rPr>
      </w:pPr>
      <w:proofErr w:type="spellStart"/>
      <w:r w:rsidRPr="006B1B9C">
        <w:rPr>
          <w:rFonts w:ascii="Times New Roman" w:hAnsi="Times New Roman"/>
          <w:szCs w:val="24"/>
          <w:lang w:val="en-GB"/>
        </w:rPr>
        <w:t>Deafblind</w:t>
      </w:r>
      <w:proofErr w:type="spellEnd"/>
      <w:r w:rsidRPr="006B1B9C">
        <w:rPr>
          <w:rFonts w:ascii="Times New Roman" w:hAnsi="Times New Roman"/>
          <w:szCs w:val="24"/>
          <w:lang w:val="en-GB"/>
        </w:rPr>
        <w:t xml:space="preserve"> (NZ) Incorporated </w:t>
      </w:r>
    </w:p>
    <w:p w:rsidR="006B1B9C" w:rsidRPr="006B1B9C" w:rsidRDefault="006B1B9C" w:rsidP="007B7173">
      <w:pPr>
        <w:pStyle w:val="MediumGrid1-Accent21"/>
        <w:numPr>
          <w:ilvl w:val="0"/>
          <w:numId w:val="4"/>
        </w:numPr>
        <w:rPr>
          <w:rFonts w:ascii="Times New Roman" w:hAnsi="Times New Roman"/>
          <w:szCs w:val="24"/>
          <w:lang w:val="en-GB"/>
        </w:rPr>
      </w:pPr>
      <w:r w:rsidRPr="006B1B9C">
        <w:rPr>
          <w:rFonts w:ascii="Times New Roman" w:hAnsi="Times New Roman"/>
          <w:szCs w:val="24"/>
          <w:lang w:val="en-GB"/>
        </w:rPr>
        <w:t>Disabled Persons Assembly (New Zealand) Inc</w:t>
      </w:r>
      <w:r w:rsidR="00D15DC5">
        <w:rPr>
          <w:rFonts w:ascii="Times New Roman" w:hAnsi="Times New Roman"/>
          <w:szCs w:val="24"/>
          <w:lang w:val="en-GB"/>
        </w:rPr>
        <w:t>orporated</w:t>
      </w:r>
    </w:p>
    <w:p w:rsidR="006B1B9C" w:rsidRPr="006B1B9C" w:rsidRDefault="006B1B9C" w:rsidP="007B7173">
      <w:pPr>
        <w:pStyle w:val="MediumGrid1-Accent21"/>
        <w:numPr>
          <w:ilvl w:val="0"/>
          <w:numId w:val="4"/>
        </w:numPr>
        <w:rPr>
          <w:rFonts w:ascii="Times New Roman" w:hAnsi="Times New Roman"/>
          <w:szCs w:val="24"/>
          <w:lang w:val="en-GB"/>
        </w:rPr>
      </w:pPr>
      <w:proofErr w:type="spellStart"/>
      <w:r w:rsidRPr="006B1B9C">
        <w:rPr>
          <w:rFonts w:ascii="Times New Roman" w:hAnsi="Times New Roman"/>
          <w:szCs w:val="24"/>
          <w:lang w:val="en-GB"/>
        </w:rPr>
        <w:t>Kāpo</w:t>
      </w:r>
      <w:proofErr w:type="spellEnd"/>
      <w:r>
        <w:rPr>
          <w:rFonts w:ascii="Times New Roman" w:hAnsi="Times New Roman"/>
          <w:szCs w:val="24"/>
          <w:lang w:val="en-GB"/>
        </w:rPr>
        <w:t xml:space="preserve"> Māori</w:t>
      </w:r>
      <w:r w:rsidRPr="006B1B9C">
        <w:rPr>
          <w:rFonts w:ascii="Times New Roman" w:hAnsi="Times New Roman"/>
          <w:szCs w:val="24"/>
          <w:lang w:val="en-GB"/>
        </w:rPr>
        <w:t xml:space="preserve"> </w:t>
      </w:r>
      <w:r w:rsidR="00AF76F0">
        <w:rPr>
          <w:rFonts w:ascii="Times New Roman" w:hAnsi="Times New Roman"/>
          <w:szCs w:val="24"/>
          <w:lang w:val="en-GB"/>
        </w:rPr>
        <w:t xml:space="preserve">Incorporated </w:t>
      </w:r>
      <w:r>
        <w:rPr>
          <w:rFonts w:ascii="Times New Roman" w:hAnsi="Times New Roman"/>
          <w:szCs w:val="24"/>
          <w:lang w:val="en-GB"/>
        </w:rPr>
        <w:t>(</w:t>
      </w:r>
      <w:r w:rsidR="00AF76F0">
        <w:rPr>
          <w:rFonts w:ascii="Times New Roman" w:hAnsi="Times New Roman"/>
          <w:szCs w:val="24"/>
          <w:lang w:val="en-GB"/>
        </w:rPr>
        <w:t xml:space="preserve">see </w:t>
      </w:r>
      <w:proofErr w:type="spellStart"/>
      <w:r w:rsidRPr="006B1B9C">
        <w:rPr>
          <w:rFonts w:ascii="Times New Roman" w:hAnsi="Times New Roman"/>
          <w:color w:val="auto"/>
          <w:szCs w:val="24"/>
          <w:shd w:val="clear" w:color="auto" w:fill="FFFFFF"/>
        </w:rPr>
        <w:t>Ngāti</w:t>
      </w:r>
      <w:proofErr w:type="spellEnd"/>
      <w:r w:rsidRPr="006B1B9C">
        <w:rPr>
          <w:rFonts w:ascii="Times New Roman" w:hAnsi="Times New Roman"/>
          <w:color w:val="auto"/>
          <w:szCs w:val="24"/>
          <w:shd w:val="clear" w:color="auto" w:fill="FFFFFF"/>
        </w:rPr>
        <w:t xml:space="preserve"> </w:t>
      </w:r>
      <w:proofErr w:type="spellStart"/>
      <w:r w:rsidRPr="006B1B9C">
        <w:rPr>
          <w:rFonts w:ascii="Times New Roman" w:hAnsi="Times New Roman"/>
          <w:color w:val="auto"/>
          <w:szCs w:val="24"/>
          <w:shd w:val="clear" w:color="auto" w:fill="FFFFFF"/>
        </w:rPr>
        <w:t>Kāpo</w:t>
      </w:r>
      <w:proofErr w:type="spellEnd"/>
      <w:r>
        <w:rPr>
          <w:rFonts w:ascii="Times New Roman" w:hAnsi="Times New Roman"/>
          <w:color w:val="auto"/>
          <w:szCs w:val="24"/>
          <w:shd w:val="clear" w:color="auto" w:fill="FFFFFF"/>
        </w:rPr>
        <w:t xml:space="preserve"> o </w:t>
      </w:r>
      <w:proofErr w:type="spellStart"/>
      <w:r>
        <w:rPr>
          <w:rFonts w:ascii="Times New Roman" w:hAnsi="Times New Roman"/>
          <w:color w:val="auto"/>
          <w:szCs w:val="24"/>
          <w:shd w:val="clear" w:color="auto" w:fill="FFFFFF"/>
        </w:rPr>
        <w:t>Aotearoa</w:t>
      </w:r>
      <w:proofErr w:type="spellEnd"/>
      <w:r>
        <w:rPr>
          <w:rFonts w:ascii="Times New Roman" w:hAnsi="Times New Roman"/>
          <w:color w:val="auto"/>
          <w:szCs w:val="24"/>
          <w:shd w:val="clear" w:color="auto" w:fill="FFFFFF"/>
        </w:rPr>
        <w:t xml:space="preserve"> Incorporated)</w:t>
      </w:r>
    </w:p>
    <w:p w:rsidR="006B1B9C" w:rsidRDefault="006B1B9C" w:rsidP="007B7173">
      <w:pPr>
        <w:pStyle w:val="MediumGrid1-Accent21"/>
        <w:numPr>
          <w:ilvl w:val="0"/>
          <w:numId w:val="4"/>
        </w:numPr>
        <w:rPr>
          <w:rFonts w:ascii="Times New Roman" w:hAnsi="Times New Roman"/>
          <w:szCs w:val="24"/>
          <w:lang w:val="en-GB"/>
        </w:rPr>
      </w:pPr>
      <w:r w:rsidRPr="006B1B9C">
        <w:rPr>
          <w:rFonts w:ascii="Times New Roman" w:hAnsi="Times New Roman"/>
          <w:szCs w:val="24"/>
          <w:lang w:val="en-GB"/>
        </w:rPr>
        <w:t xml:space="preserve">People First New Zealand Incorporated </w:t>
      </w:r>
      <w:proofErr w:type="spellStart"/>
      <w:r w:rsidRPr="006B1B9C">
        <w:rPr>
          <w:rFonts w:ascii="Times New Roman" w:hAnsi="Times New Roman"/>
          <w:szCs w:val="24"/>
          <w:lang w:val="en-GB"/>
        </w:rPr>
        <w:t>Nga</w:t>
      </w:r>
      <w:proofErr w:type="spellEnd"/>
      <w:r w:rsidRPr="006B1B9C">
        <w:rPr>
          <w:rFonts w:ascii="Times New Roman" w:hAnsi="Times New Roman"/>
          <w:szCs w:val="24"/>
          <w:lang w:val="en-GB"/>
        </w:rPr>
        <w:t xml:space="preserve"> </w:t>
      </w:r>
      <w:proofErr w:type="spellStart"/>
      <w:r w:rsidRPr="006B1B9C">
        <w:rPr>
          <w:rFonts w:ascii="Times New Roman" w:hAnsi="Times New Roman"/>
          <w:szCs w:val="24"/>
          <w:lang w:val="en-GB"/>
        </w:rPr>
        <w:t>Tangata</w:t>
      </w:r>
      <w:proofErr w:type="spellEnd"/>
      <w:r w:rsidRPr="006B1B9C">
        <w:rPr>
          <w:rFonts w:ascii="Times New Roman" w:hAnsi="Times New Roman"/>
          <w:szCs w:val="24"/>
          <w:lang w:val="en-GB"/>
        </w:rPr>
        <w:t xml:space="preserve"> </w:t>
      </w:r>
      <w:proofErr w:type="spellStart"/>
      <w:r w:rsidRPr="006B1B9C">
        <w:rPr>
          <w:rFonts w:ascii="Times New Roman" w:hAnsi="Times New Roman"/>
          <w:szCs w:val="24"/>
          <w:lang w:val="en-GB"/>
        </w:rPr>
        <w:t>Tuatahi</w:t>
      </w:r>
      <w:proofErr w:type="spellEnd"/>
    </w:p>
    <w:p w:rsidR="006B1B9C" w:rsidRPr="006B1B9C" w:rsidRDefault="006B1B9C" w:rsidP="006B1B9C">
      <w:pPr>
        <w:pStyle w:val="MediumGrid1-Accent21"/>
        <w:ind w:left="357"/>
        <w:rPr>
          <w:rFonts w:ascii="Times New Roman" w:hAnsi="Times New Roman"/>
          <w:szCs w:val="24"/>
          <w:lang w:val="en-GB"/>
        </w:rPr>
      </w:pPr>
    </w:p>
    <w:p w:rsidR="00AF76F0" w:rsidRPr="00C06BA6" w:rsidRDefault="006B1B9C" w:rsidP="003A5953">
      <w:pPr>
        <w:rPr>
          <w:sz w:val="24"/>
          <w:szCs w:val="24"/>
        </w:rPr>
      </w:pPr>
      <w:r w:rsidRPr="006B1B9C">
        <w:rPr>
          <w:sz w:val="24"/>
          <w:szCs w:val="24"/>
        </w:rPr>
        <w:t>All of these organisations are governed by disabled people</w:t>
      </w:r>
      <w:r w:rsidR="006849AD">
        <w:rPr>
          <w:sz w:val="24"/>
          <w:szCs w:val="24"/>
        </w:rPr>
        <w:t>,</w:t>
      </w:r>
      <w:r>
        <w:rPr>
          <w:sz w:val="24"/>
          <w:szCs w:val="24"/>
        </w:rPr>
        <w:t xml:space="preserve"> although some also include non-disabled people in leadership roles</w:t>
      </w:r>
      <w:r w:rsidRPr="006B1B9C">
        <w:rPr>
          <w:sz w:val="24"/>
          <w:szCs w:val="24"/>
        </w:rPr>
        <w:t xml:space="preserve">. </w:t>
      </w:r>
      <w:r w:rsidR="006849AD">
        <w:rPr>
          <w:sz w:val="24"/>
          <w:szCs w:val="24"/>
        </w:rPr>
        <w:t>The Disabled Persons Assembly is a pan-disability organisation. The other DPOs are impairment-specific organisations.</w:t>
      </w:r>
      <w:r w:rsidR="003A5953">
        <w:rPr>
          <w:sz w:val="24"/>
          <w:szCs w:val="24"/>
        </w:rPr>
        <w:t xml:space="preserve"> </w:t>
      </w:r>
      <w:r w:rsidR="003A5953" w:rsidRPr="00C06BA6">
        <w:rPr>
          <w:sz w:val="24"/>
          <w:szCs w:val="24"/>
        </w:rPr>
        <w:t xml:space="preserve">We note that the seven DPOs include a psychosocial disability specific organisation called Balance NZ. The inclusion of this organisation in the UNCRPD institutional framework is an important </w:t>
      </w:r>
      <w:r w:rsidR="00EE5F1B">
        <w:rPr>
          <w:sz w:val="24"/>
          <w:szCs w:val="24"/>
        </w:rPr>
        <w:t xml:space="preserve">more recent </w:t>
      </w:r>
      <w:r w:rsidR="003A5953" w:rsidRPr="00C06BA6">
        <w:rPr>
          <w:sz w:val="24"/>
          <w:szCs w:val="24"/>
        </w:rPr>
        <w:t>development</w:t>
      </w:r>
      <w:r w:rsidR="00EE5F1B">
        <w:rPr>
          <w:sz w:val="24"/>
          <w:szCs w:val="24"/>
        </w:rPr>
        <w:t>,</w:t>
      </w:r>
      <w:r w:rsidR="003A5953" w:rsidRPr="00C06BA6">
        <w:rPr>
          <w:sz w:val="24"/>
          <w:szCs w:val="24"/>
        </w:rPr>
        <w:t xml:space="preserve"> as it represents a structural shift in terms of ensuring the inclusion of psychosocial disability within the disability framework. </w:t>
      </w:r>
    </w:p>
    <w:p w:rsidR="00AF76F0" w:rsidRDefault="00AF76F0" w:rsidP="006B1B9C">
      <w:pPr>
        <w:rPr>
          <w:sz w:val="24"/>
          <w:szCs w:val="24"/>
        </w:rPr>
      </w:pPr>
    </w:p>
    <w:p w:rsidR="00AF76F0" w:rsidRDefault="00AF76F0" w:rsidP="00AF76F0">
      <w:pPr>
        <w:pStyle w:val="ListParagraph"/>
        <w:ind w:left="0"/>
        <w:jc w:val="both"/>
        <w:rPr>
          <w:b/>
          <w:sz w:val="24"/>
          <w:szCs w:val="24"/>
        </w:rPr>
      </w:pPr>
      <w:r>
        <w:rPr>
          <w:b/>
          <w:sz w:val="24"/>
          <w:szCs w:val="24"/>
        </w:rPr>
        <w:t>Disability Action Plan 2014-2018</w:t>
      </w:r>
    </w:p>
    <w:p w:rsidR="00BF4952" w:rsidRDefault="00BF4952" w:rsidP="006B1B9C">
      <w:pPr>
        <w:rPr>
          <w:sz w:val="24"/>
          <w:szCs w:val="24"/>
        </w:rPr>
      </w:pPr>
    </w:p>
    <w:p w:rsidR="00011BD3" w:rsidRDefault="00011BD3" w:rsidP="006B1B9C">
      <w:pPr>
        <w:pStyle w:val="ListParagraph"/>
        <w:ind w:left="0"/>
        <w:jc w:val="both"/>
        <w:rPr>
          <w:sz w:val="24"/>
          <w:szCs w:val="24"/>
        </w:rPr>
      </w:pPr>
      <w:r w:rsidRPr="00011BD3">
        <w:rPr>
          <w:sz w:val="24"/>
          <w:szCs w:val="24"/>
        </w:rPr>
        <w:t xml:space="preserve">The DPOs </w:t>
      </w:r>
      <w:r w:rsidR="00AF76F0">
        <w:rPr>
          <w:sz w:val="24"/>
          <w:szCs w:val="24"/>
        </w:rPr>
        <w:t xml:space="preserve">meet regularly with the </w:t>
      </w:r>
      <w:r w:rsidRPr="00011BD3">
        <w:rPr>
          <w:sz w:val="24"/>
          <w:szCs w:val="24"/>
        </w:rPr>
        <w:t>government’s Chief Executives</w:t>
      </w:r>
      <w:r>
        <w:rPr>
          <w:sz w:val="24"/>
          <w:szCs w:val="24"/>
        </w:rPr>
        <w:t>’</w:t>
      </w:r>
      <w:r w:rsidRPr="00011BD3">
        <w:rPr>
          <w:sz w:val="24"/>
          <w:szCs w:val="24"/>
        </w:rPr>
        <w:t xml:space="preserve"> group</w:t>
      </w:r>
      <w:r>
        <w:rPr>
          <w:sz w:val="24"/>
          <w:szCs w:val="24"/>
        </w:rPr>
        <w:t>,</w:t>
      </w:r>
      <w:r w:rsidRPr="00011BD3">
        <w:rPr>
          <w:sz w:val="24"/>
          <w:szCs w:val="24"/>
        </w:rPr>
        <w:t xml:space="preserve"> and </w:t>
      </w:r>
      <w:r w:rsidR="00AF76F0">
        <w:rPr>
          <w:sz w:val="24"/>
          <w:szCs w:val="24"/>
        </w:rPr>
        <w:t xml:space="preserve">work together with </w:t>
      </w:r>
      <w:r w:rsidRPr="00011BD3">
        <w:rPr>
          <w:sz w:val="24"/>
          <w:szCs w:val="24"/>
        </w:rPr>
        <w:t>the government</w:t>
      </w:r>
      <w:r w:rsidR="00AF76F0">
        <w:rPr>
          <w:sz w:val="24"/>
          <w:szCs w:val="24"/>
        </w:rPr>
        <w:t xml:space="preserve"> on the </w:t>
      </w:r>
      <w:r w:rsidRPr="00011BD3">
        <w:rPr>
          <w:sz w:val="24"/>
          <w:szCs w:val="24"/>
        </w:rPr>
        <w:t xml:space="preserve">Disability Action Plan </w:t>
      </w:r>
      <w:r w:rsidR="00AF76F0">
        <w:rPr>
          <w:sz w:val="24"/>
          <w:szCs w:val="24"/>
        </w:rPr>
        <w:t xml:space="preserve">2014-2018 </w:t>
      </w:r>
      <w:r w:rsidR="001258FB">
        <w:rPr>
          <w:sz w:val="24"/>
          <w:szCs w:val="24"/>
        </w:rPr>
        <w:t>Working G</w:t>
      </w:r>
      <w:r w:rsidRPr="00011BD3">
        <w:rPr>
          <w:sz w:val="24"/>
          <w:szCs w:val="24"/>
        </w:rPr>
        <w:t>roup</w:t>
      </w:r>
      <w:r>
        <w:rPr>
          <w:sz w:val="24"/>
          <w:szCs w:val="24"/>
        </w:rPr>
        <w:t>,</w:t>
      </w:r>
      <w:r w:rsidRPr="00011BD3">
        <w:rPr>
          <w:sz w:val="24"/>
          <w:szCs w:val="24"/>
        </w:rPr>
        <w:t xml:space="preserve"> via its four </w:t>
      </w:r>
      <w:r w:rsidR="00E108C3" w:rsidRPr="00011BD3">
        <w:rPr>
          <w:sz w:val="24"/>
          <w:szCs w:val="24"/>
        </w:rPr>
        <w:t>work streams</w:t>
      </w:r>
      <w:r w:rsidR="00AF76F0">
        <w:rPr>
          <w:sz w:val="24"/>
          <w:szCs w:val="24"/>
        </w:rPr>
        <w:t>. These include:</w:t>
      </w:r>
      <w:r>
        <w:rPr>
          <w:sz w:val="24"/>
          <w:szCs w:val="24"/>
        </w:rPr>
        <w:t xml:space="preserve"> </w:t>
      </w:r>
    </w:p>
    <w:p w:rsidR="00011BD3" w:rsidRDefault="00011BD3" w:rsidP="006B1B9C">
      <w:pPr>
        <w:pStyle w:val="ListParagraph"/>
        <w:ind w:left="0"/>
        <w:jc w:val="both"/>
        <w:rPr>
          <w:sz w:val="24"/>
          <w:szCs w:val="24"/>
        </w:rPr>
      </w:pPr>
    </w:p>
    <w:p w:rsidR="00011BD3" w:rsidRDefault="00011BD3" w:rsidP="00011BD3">
      <w:pPr>
        <w:pStyle w:val="ListParagraph"/>
        <w:numPr>
          <w:ilvl w:val="3"/>
          <w:numId w:val="1"/>
        </w:numPr>
        <w:jc w:val="both"/>
        <w:rPr>
          <w:sz w:val="24"/>
          <w:szCs w:val="24"/>
        </w:rPr>
      </w:pPr>
      <w:r>
        <w:rPr>
          <w:sz w:val="24"/>
          <w:szCs w:val="24"/>
        </w:rPr>
        <w:t>Increasing employment and economic opportunities</w:t>
      </w:r>
    </w:p>
    <w:p w:rsidR="00011BD3" w:rsidRDefault="00011BD3" w:rsidP="00011BD3">
      <w:pPr>
        <w:pStyle w:val="ListParagraph"/>
        <w:numPr>
          <w:ilvl w:val="3"/>
          <w:numId w:val="1"/>
        </w:numPr>
        <w:jc w:val="both"/>
        <w:rPr>
          <w:sz w:val="24"/>
          <w:szCs w:val="24"/>
        </w:rPr>
      </w:pPr>
      <w:r>
        <w:rPr>
          <w:sz w:val="24"/>
          <w:szCs w:val="24"/>
        </w:rPr>
        <w:t>Ensuring personal safety</w:t>
      </w:r>
    </w:p>
    <w:p w:rsidR="00011BD3" w:rsidRDefault="00011BD3" w:rsidP="00011BD3">
      <w:pPr>
        <w:pStyle w:val="ListParagraph"/>
        <w:numPr>
          <w:ilvl w:val="3"/>
          <w:numId w:val="1"/>
        </w:numPr>
        <w:jc w:val="both"/>
        <w:rPr>
          <w:sz w:val="24"/>
          <w:szCs w:val="24"/>
        </w:rPr>
      </w:pPr>
      <w:r>
        <w:rPr>
          <w:sz w:val="24"/>
          <w:szCs w:val="24"/>
        </w:rPr>
        <w:t>Transforming the disability support system</w:t>
      </w:r>
    </w:p>
    <w:p w:rsidR="00011BD3" w:rsidRPr="00011BD3" w:rsidRDefault="00011BD3" w:rsidP="00011BD3">
      <w:pPr>
        <w:pStyle w:val="ListParagraph"/>
        <w:numPr>
          <w:ilvl w:val="3"/>
          <w:numId w:val="1"/>
        </w:numPr>
        <w:jc w:val="both"/>
        <w:rPr>
          <w:sz w:val="24"/>
          <w:szCs w:val="24"/>
        </w:rPr>
      </w:pPr>
      <w:r>
        <w:rPr>
          <w:sz w:val="24"/>
          <w:szCs w:val="24"/>
        </w:rPr>
        <w:t>Promoting access in the community.</w:t>
      </w:r>
    </w:p>
    <w:p w:rsidR="00FF182D" w:rsidRDefault="00FF182D" w:rsidP="006B1B9C">
      <w:pPr>
        <w:pStyle w:val="ListParagraph"/>
        <w:ind w:left="0"/>
        <w:jc w:val="both"/>
        <w:rPr>
          <w:b/>
          <w:sz w:val="24"/>
          <w:szCs w:val="24"/>
        </w:rPr>
      </w:pPr>
    </w:p>
    <w:p w:rsidR="00FF182D" w:rsidRDefault="00FF182D" w:rsidP="00FF182D">
      <w:pPr>
        <w:pStyle w:val="ListParagraph"/>
        <w:ind w:left="0"/>
        <w:jc w:val="both"/>
        <w:rPr>
          <w:sz w:val="24"/>
          <w:szCs w:val="24"/>
        </w:rPr>
      </w:pPr>
      <w:r>
        <w:rPr>
          <w:sz w:val="24"/>
          <w:szCs w:val="24"/>
        </w:rPr>
        <w:t>Building a genuinely people-driven system requires disabled peoples participation at every level of decision making throughout government and non-government organisations. It al</w:t>
      </w:r>
      <w:r w:rsidR="00EE5F1B">
        <w:rPr>
          <w:sz w:val="24"/>
          <w:szCs w:val="24"/>
        </w:rPr>
        <w:t xml:space="preserve">so requires a range of </w:t>
      </w:r>
      <w:proofErr w:type="gramStart"/>
      <w:r w:rsidR="00EE5F1B">
        <w:rPr>
          <w:sz w:val="24"/>
          <w:szCs w:val="24"/>
        </w:rPr>
        <w:t>supports,</w:t>
      </w:r>
      <w:proofErr w:type="gramEnd"/>
      <w:r>
        <w:rPr>
          <w:sz w:val="24"/>
          <w:szCs w:val="24"/>
        </w:rPr>
        <w:t xml:space="preserve"> services and adequate funding that promote</w:t>
      </w:r>
      <w:r w:rsidR="00EE5F1B">
        <w:rPr>
          <w:sz w:val="24"/>
          <w:szCs w:val="24"/>
        </w:rPr>
        <w:t xml:space="preserve"> </w:t>
      </w:r>
      <w:r>
        <w:rPr>
          <w:sz w:val="24"/>
          <w:szCs w:val="24"/>
        </w:rPr>
        <w:t xml:space="preserve">and </w:t>
      </w:r>
      <w:r w:rsidR="00A04051">
        <w:rPr>
          <w:sz w:val="24"/>
          <w:szCs w:val="24"/>
        </w:rPr>
        <w:t>can ensure</w:t>
      </w:r>
      <w:r>
        <w:rPr>
          <w:sz w:val="24"/>
          <w:szCs w:val="24"/>
        </w:rPr>
        <w:t xml:space="preserve"> disabled </w:t>
      </w:r>
      <w:r w:rsidR="00E108C3">
        <w:rPr>
          <w:sz w:val="24"/>
          <w:szCs w:val="24"/>
        </w:rPr>
        <w:t>people’s self</w:t>
      </w:r>
      <w:r>
        <w:rPr>
          <w:sz w:val="24"/>
          <w:szCs w:val="24"/>
        </w:rPr>
        <w:t xml:space="preserve">-determination, autonomy, choice, and control. </w:t>
      </w:r>
    </w:p>
    <w:p w:rsidR="00FF182D" w:rsidRDefault="00FF182D" w:rsidP="006B1B9C">
      <w:pPr>
        <w:pStyle w:val="ListParagraph"/>
        <w:ind w:left="0"/>
        <w:jc w:val="both"/>
        <w:rPr>
          <w:b/>
          <w:sz w:val="24"/>
          <w:szCs w:val="24"/>
        </w:rPr>
      </w:pPr>
    </w:p>
    <w:p w:rsidR="007074CB" w:rsidRPr="007074CB" w:rsidRDefault="007074CB" w:rsidP="006B1B9C">
      <w:pPr>
        <w:pStyle w:val="ListParagraph"/>
        <w:ind w:left="0"/>
        <w:jc w:val="both"/>
        <w:rPr>
          <w:sz w:val="24"/>
          <w:szCs w:val="24"/>
        </w:rPr>
      </w:pPr>
      <w:r w:rsidRPr="007074CB">
        <w:rPr>
          <w:sz w:val="24"/>
          <w:szCs w:val="24"/>
        </w:rPr>
        <w:t xml:space="preserve">To date the government has developed </w:t>
      </w:r>
      <w:r>
        <w:rPr>
          <w:sz w:val="24"/>
          <w:szCs w:val="24"/>
        </w:rPr>
        <w:t xml:space="preserve">three </w:t>
      </w:r>
      <w:r w:rsidR="00053583">
        <w:rPr>
          <w:sz w:val="24"/>
          <w:szCs w:val="24"/>
        </w:rPr>
        <w:t xml:space="preserve">prior </w:t>
      </w:r>
      <w:r w:rsidRPr="007074CB">
        <w:rPr>
          <w:sz w:val="24"/>
          <w:szCs w:val="24"/>
        </w:rPr>
        <w:t xml:space="preserve">Disability Action plans. However, </w:t>
      </w:r>
      <w:r>
        <w:rPr>
          <w:sz w:val="24"/>
          <w:szCs w:val="24"/>
        </w:rPr>
        <w:t xml:space="preserve">for the first time, the </w:t>
      </w:r>
      <w:r w:rsidR="00053583">
        <w:rPr>
          <w:sz w:val="24"/>
          <w:szCs w:val="24"/>
        </w:rPr>
        <w:t xml:space="preserve">current </w:t>
      </w:r>
      <w:r w:rsidRPr="007074CB">
        <w:rPr>
          <w:sz w:val="24"/>
          <w:szCs w:val="24"/>
        </w:rPr>
        <w:t>disability Action Plan 2014-2018</w:t>
      </w:r>
      <w:r>
        <w:rPr>
          <w:sz w:val="24"/>
          <w:szCs w:val="24"/>
        </w:rPr>
        <w:t xml:space="preserve"> has been developed by the government in consultation with DPOs. Disabled Persons Organisations have therefore had a central role in identifying priorities, outcome areas and shared results.</w:t>
      </w:r>
    </w:p>
    <w:p w:rsidR="00013843" w:rsidRDefault="007074CB" w:rsidP="006B1B9C">
      <w:pPr>
        <w:pStyle w:val="ListParagraph"/>
        <w:ind w:left="0"/>
        <w:jc w:val="both"/>
        <w:rPr>
          <w:b/>
          <w:sz w:val="24"/>
          <w:szCs w:val="24"/>
        </w:rPr>
      </w:pPr>
      <w:r>
        <w:rPr>
          <w:b/>
          <w:sz w:val="24"/>
          <w:szCs w:val="24"/>
        </w:rPr>
        <w:t xml:space="preserve"> </w:t>
      </w:r>
    </w:p>
    <w:p w:rsidR="00013843" w:rsidRDefault="00013843" w:rsidP="00013843">
      <w:pPr>
        <w:pStyle w:val="ListParagraph"/>
        <w:ind w:left="0"/>
        <w:jc w:val="both"/>
        <w:rPr>
          <w:sz w:val="24"/>
          <w:szCs w:val="24"/>
        </w:rPr>
      </w:pPr>
      <w:r>
        <w:rPr>
          <w:sz w:val="24"/>
          <w:szCs w:val="24"/>
        </w:rPr>
        <w:t>The government’s Disability Action Plan 2014-2018 has five clearly articulated person-directed outcomes. These include:</w:t>
      </w:r>
    </w:p>
    <w:p w:rsidR="00013843" w:rsidRDefault="00013843" w:rsidP="00013843">
      <w:pPr>
        <w:pStyle w:val="ListParagraph"/>
        <w:ind w:left="0"/>
        <w:jc w:val="both"/>
        <w:rPr>
          <w:sz w:val="24"/>
          <w:szCs w:val="24"/>
        </w:rPr>
      </w:pPr>
    </w:p>
    <w:p w:rsidR="00013843" w:rsidRDefault="00013843" w:rsidP="00013843">
      <w:pPr>
        <w:pStyle w:val="ListParagraph"/>
        <w:numPr>
          <w:ilvl w:val="0"/>
          <w:numId w:val="5"/>
        </w:numPr>
        <w:ind w:hanging="110"/>
        <w:jc w:val="both"/>
        <w:rPr>
          <w:sz w:val="24"/>
          <w:szCs w:val="24"/>
        </w:rPr>
      </w:pPr>
      <w:r>
        <w:rPr>
          <w:sz w:val="24"/>
          <w:szCs w:val="24"/>
        </w:rPr>
        <w:t>safety and autonomy</w:t>
      </w:r>
    </w:p>
    <w:p w:rsidR="00013843" w:rsidRDefault="00013843" w:rsidP="00013843">
      <w:pPr>
        <w:pStyle w:val="ListParagraph"/>
        <w:numPr>
          <w:ilvl w:val="0"/>
          <w:numId w:val="5"/>
        </w:numPr>
        <w:ind w:hanging="110"/>
        <w:jc w:val="both"/>
        <w:rPr>
          <w:sz w:val="24"/>
          <w:szCs w:val="24"/>
        </w:rPr>
      </w:pPr>
      <w:r>
        <w:rPr>
          <w:sz w:val="24"/>
          <w:szCs w:val="24"/>
        </w:rPr>
        <w:t>wellbeing</w:t>
      </w:r>
    </w:p>
    <w:p w:rsidR="00013843" w:rsidRDefault="00013843" w:rsidP="00013843">
      <w:pPr>
        <w:pStyle w:val="ListParagraph"/>
        <w:numPr>
          <w:ilvl w:val="0"/>
          <w:numId w:val="5"/>
        </w:numPr>
        <w:ind w:hanging="110"/>
        <w:jc w:val="both"/>
        <w:rPr>
          <w:sz w:val="24"/>
          <w:szCs w:val="24"/>
        </w:rPr>
      </w:pPr>
      <w:r>
        <w:rPr>
          <w:sz w:val="24"/>
          <w:szCs w:val="24"/>
        </w:rPr>
        <w:t>self-determination</w:t>
      </w:r>
    </w:p>
    <w:p w:rsidR="00013843" w:rsidRDefault="00013843" w:rsidP="00013843">
      <w:pPr>
        <w:pStyle w:val="ListParagraph"/>
        <w:numPr>
          <w:ilvl w:val="0"/>
          <w:numId w:val="5"/>
        </w:numPr>
        <w:ind w:hanging="110"/>
        <w:jc w:val="both"/>
        <w:rPr>
          <w:sz w:val="24"/>
          <w:szCs w:val="24"/>
        </w:rPr>
      </w:pPr>
      <w:r>
        <w:rPr>
          <w:sz w:val="24"/>
          <w:szCs w:val="24"/>
        </w:rPr>
        <w:t>community, and</w:t>
      </w:r>
    </w:p>
    <w:p w:rsidR="00013843" w:rsidRDefault="00013843" w:rsidP="00013843">
      <w:pPr>
        <w:pStyle w:val="ListParagraph"/>
        <w:numPr>
          <w:ilvl w:val="0"/>
          <w:numId w:val="5"/>
        </w:numPr>
        <w:ind w:hanging="110"/>
        <w:jc w:val="both"/>
        <w:rPr>
          <w:sz w:val="24"/>
          <w:szCs w:val="24"/>
        </w:rPr>
      </w:pPr>
      <w:proofErr w:type="gramStart"/>
      <w:r>
        <w:rPr>
          <w:sz w:val="24"/>
          <w:szCs w:val="24"/>
        </w:rPr>
        <w:t>representation</w:t>
      </w:r>
      <w:proofErr w:type="gramEnd"/>
      <w:r>
        <w:rPr>
          <w:sz w:val="24"/>
          <w:szCs w:val="24"/>
        </w:rPr>
        <w:t>.</w:t>
      </w:r>
    </w:p>
    <w:p w:rsidR="00013843" w:rsidRDefault="00013843" w:rsidP="00013843">
      <w:pPr>
        <w:pStyle w:val="ListParagraph"/>
        <w:ind w:left="2520"/>
        <w:jc w:val="both"/>
        <w:rPr>
          <w:sz w:val="24"/>
          <w:szCs w:val="24"/>
        </w:rPr>
      </w:pPr>
    </w:p>
    <w:p w:rsidR="0059462A" w:rsidRDefault="0059462A" w:rsidP="00013843">
      <w:pPr>
        <w:pStyle w:val="ListParagraph"/>
        <w:ind w:left="0"/>
        <w:jc w:val="both"/>
        <w:rPr>
          <w:sz w:val="24"/>
          <w:szCs w:val="24"/>
        </w:rPr>
      </w:pPr>
    </w:p>
    <w:p w:rsidR="00013843" w:rsidRDefault="00EE5F1B" w:rsidP="00013843">
      <w:pPr>
        <w:pStyle w:val="ListParagraph"/>
        <w:ind w:left="0"/>
        <w:jc w:val="both"/>
        <w:rPr>
          <w:sz w:val="24"/>
          <w:szCs w:val="24"/>
        </w:rPr>
      </w:pPr>
      <w:r>
        <w:rPr>
          <w:sz w:val="24"/>
          <w:szCs w:val="24"/>
        </w:rPr>
        <w:t xml:space="preserve">The Plan also has </w:t>
      </w:r>
      <w:r w:rsidR="00013843">
        <w:rPr>
          <w:sz w:val="24"/>
          <w:szCs w:val="24"/>
        </w:rPr>
        <w:t>four shared results areas. These include:</w:t>
      </w:r>
    </w:p>
    <w:p w:rsidR="00013843" w:rsidRDefault="00013843" w:rsidP="00013843">
      <w:pPr>
        <w:pStyle w:val="ListParagraph"/>
        <w:ind w:left="0"/>
        <w:jc w:val="both"/>
        <w:rPr>
          <w:sz w:val="24"/>
          <w:szCs w:val="24"/>
        </w:rPr>
      </w:pPr>
    </w:p>
    <w:p w:rsidR="00013843" w:rsidRDefault="00013843" w:rsidP="00013843">
      <w:pPr>
        <w:pStyle w:val="ListParagraph"/>
        <w:numPr>
          <w:ilvl w:val="0"/>
          <w:numId w:val="6"/>
        </w:numPr>
        <w:ind w:left="2127" w:firstLine="279"/>
        <w:jc w:val="both"/>
        <w:rPr>
          <w:sz w:val="24"/>
          <w:szCs w:val="24"/>
        </w:rPr>
      </w:pPr>
      <w:r>
        <w:rPr>
          <w:sz w:val="24"/>
          <w:szCs w:val="24"/>
        </w:rPr>
        <w:t>employment and economic participation</w:t>
      </w:r>
    </w:p>
    <w:p w:rsidR="00013843" w:rsidRDefault="00013843" w:rsidP="00013843">
      <w:pPr>
        <w:pStyle w:val="ListParagraph"/>
        <w:numPr>
          <w:ilvl w:val="0"/>
          <w:numId w:val="6"/>
        </w:numPr>
        <w:ind w:left="2127" w:firstLine="279"/>
        <w:jc w:val="both"/>
        <w:rPr>
          <w:sz w:val="24"/>
          <w:szCs w:val="24"/>
        </w:rPr>
      </w:pPr>
      <w:r>
        <w:rPr>
          <w:sz w:val="24"/>
          <w:szCs w:val="24"/>
        </w:rPr>
        <w:t>personal safety</w:t>
      </w:r>
    </w:p>
    <w:p w:rsidR="00013843" w:rsidRDefault="00013843" w:rsidP="00013843">
      <w:pPr>
        <w:pStyle w:val="ListParagraph"/>
        <w:numPr>
          <w:ilvl w:val="0"/>
          <w:numId w:val="6"/>
        </w:numPr>
        <w:ind w:left="2127" w:firstLine="279"/>
        <w:jc w:val="both"/>
        <w:rPr>
          <w:sz w:val="24"/>
          <w:szCs w:val="24"/>
        </w:rPr>
      </w:pPr>
      <w:r>
        <w:rPr>
          <w:sz w:val="24"/>
          <w:szCs w:val="24"/>
        </w:rPr>
        <w:t>transforming the disability support system</w:t>
      </w:r>
      <w:r w:rsidR="00EE5F1B">
        <w:rPr>
          <w:sz w:val="24"/>
          <w:szCs w:val="24"/>
        </w:rPr>
        <w:t>, and</w:t>
      </w:r>
    </w:p>
    <w:p w:rsidR="00E74B7C" w:rsidRPr="007074CB" w:rsidRDefault="00013843" w:rsidP="007074CB">
      <w:pPr>
        <w:pStyle w:val="ListParagraph"/>
        <w:numPr>
          <w:ilvl w:val="0"/>
          <w:numId w:val="6"/>
        </w:numPr>
        <w:ind w:left="2127" w:firstLine="279"/>
        <w:jc w:val="both"/>
        <w:rPr>
          <w:sz w:val="24"/>
          <w:szCs w:val="24"/>
        </w:rPr>
      </w:pPr>
      <w:proofErr w:type="gramStart"/>
      <w:r>
        <w:rPr>
          <w:sz w:val="24"/>
          <w:szCs w:val="24"/>
        </w:rPr>
        <w:t>promoting</w:t>
      </w:r>
      <w:proofErr w:type="gramEnd"/>
      <w:r>
        <w:rPr>
          <w:sz w:val="24"/>
          <w:szCs w:val="24"/>
        </w:rPr>
        <w:t xml:space="preserve"> access in the community.</w:t>
      </w:r>
      <w:r>
        <w:rPr>
          <w:rStyle w:val="FootnoteReference"/>
          <w:sz w:val="24"/>
          <w:szCs w:val="24"/>
        </w:rPr>
        <w:footnoteReference w:id="40"/>
      </w:r>
      <w:r>
        <w:rPr>
          <w:sz w:val="24"/>
          <w:szCs w:val="24"/>
        </w:rPr>
        <w:t xml:space="preserve"> </w:t>
      </w:r>
    </w:p>
    <w:p w:rsidR="006849AD" w:rsidRPr="002C119D" w:rsidRDefault="006849AD" w:rsidP="001E366B">
      <w:pPr>
        <w:pStyle w:val="Heading2"/>
      </w:pPr>
      <w:bookmarkStart w:id="8" w:name="_Toc420885832"/>
      <w:r>
        <w:t>New Zealand Convention Coalition Monitoring Group</w:t>
      </w:r>
      <w:bookmarkEnd w:id="8"/>
    </w:p>
    <w:p w:rsidR="006849AD" w:rsidRDefault="006849AD" w:rsidP="006849AD">
      <w:pPr>
        <w:pStyle w:val="NormalWeb"/>
        <w:shd w:val="clear" w:color="auto" w:fill="FFFFFF"/>
        <w:spacing w:before="0" w:beforeAutospacing="0" w:after="76" w:afterAutospacing="0"/>
        <w:rPr>
          <w:rFonts w:ascii="Arial" w:hAnsi="Arial" w:cs="Arial"/>
          <w:color w:val="000000"/>
          <w:sz w:val="17"/>
          <w:szCs w:val="17"/>
        </w:rPr>
      </w:pPr>
    </w:p>
    <w:p w:rsidR="00BF4952" w:rsidRPr="00BF4952" w:rsidRDefault="00CA7AB9" w:rsidP="00BF4952">
      <w:pPr>
        <w:rPr>
          <w:sz w:val="24"/>
          <w:szCs w:val="24"/>
        </w:rPr>
      </w:pPr>
      <w:r>
        <w:rPr>
          <w:sz w:val="24"/>
          <w:szCs w:val="24"/>
        </w:rPr>
        <w:t xml:space="preserve">The </w:t>
      </w:r>
      <w:r w:rsidR="00A93857">
        <w:rPr>
          <w:sz w:val="24"/>
          <w:szCs w:val="24"/>
        </w:rPr>
        <w:t xml:space="preserve">New Zealand </w:t>
      </w:r>
      <w:r>
        <w:rPr>
          <w:sz w:val="24"/>
          <w:szCs w:val="24"/>
        </w:rPr>
        <w:t xml:space="preserve">Convention Coalition </w:t>
      </w:r>
      <w:r w:rsidR="00EE5F1B">
        <w:rPr>
          <w:sz w:val="24"/>
          <w:szCs w:val="24"/>
        </w:rPr>
        <w:t>Monitoring G</w:t>
      </w:r>
      <w:r w:rsidR="00A93857">
        <w:rPr>
          <w:sz w:val="24"/>
          <w:szCs w:val="24"/>
        </w:rPr>
        <w:t xml:space="preserve">roup </w:t>
      </w:r>
      <w:r w:rsidR="00EE5F1B">
        <w:rPr>
          <w:sz w:val="24"/>
          <w:szCs w:val="24"/>
        </w:rPr>
        <w:t xml:space="preserve">(the Convention Coalition) </w:t>
      </w:r>
      <w:r>
        <w:rPr>
          <w:sz w:val="24"/>
          <w:szCs w:val="24"/>
        </w:rPr>
        <w:t>co</w:t>
      </w:r>
      <w:r w:rsidR="00A93857">
        <w:rPr>
          <w:sz w:val="24"/>
          <w:szCs w:val="24"/>
        </w:rPr>
        <w:t>nsists of representatives of all</w:t>
      </w:r>
      <w:r>
        <w:rPr>
          <w:sz w:val="24"/>
          <w:szCs w:val="24"/>
        </w:rPr>
        <w:t xml:space="preserve"> seven DPOs. </w:t>
      </w:r>
      <w:r w:rsidR="00BF4952">
        <w:rPr>
          <w:sz w:val="24"/>
          <w:szCs w:val="24"/>
        </w:rPr>
        <w:t>The DPOs</w:t>
      </w:r>
      <w:r w:rsidR="00BF4952" w:rsidRPr="006B1B9C">
        <w:rPr>
          <w:sz w:val="24"/>
          <w:szCs w:val="24"/>
        </w:rPr>
        <w:t xml:space="preserve"> work together </w:t>
      </w:r>
      <w:r w:rsidR="00A93857">
        <w:rPr>
          <w:sz w:val="24"/>
          <w:szCs w:val="24"/>
        </w:rPr>
        <w:t xml:space="preserve">on the Convention Coalition </w:t>
      </w:r>
      <w:r w:rsidR="00BF4952" w:rsidRPr="006B1B9C">
        <w:rPr>
          <w:sz w:val="24"/>
          <w:szCs w:val="24"/>
        </w:rPr>
        <w:t>to monitor New Zealand</w:t>
      </w:r>
      <w:r w:rsidR="00BF4952">
        <w:rPr>
          <w:sz w:val="24"/>
          <w:szCs w:val="24"/>
        </w:rPr>
        <w:t>’s implementation of</w:t>
      </w:r>
      <w:r w:rsidR="00BF4952" w:rsidRPr="006B1B9C">
        <w:rPr>
          <w:sz w:val="24"/>
          <w:szCs w:val="24"/>
        </w:rPr>
        <w:t xml:space="preserve"> the</w:t>
      </w:r>
      <w:r w:rsidR="00BF4952">
        <w:rPr>
          <w:sz w:val="24"/>
          <w:szCs w:val="24"/>
        </w:rPr>
        <w:t xml:space="preserve"> UNCRPD and the Disability Action Plan 2014-2018</w:t>
      </w:r>
      <w:r w:rsidR="00BF4952" w:rsidRPr="006B1B9C">
        <w:rPr>
          <w:sz w:val="24"/>
          <w:szCs w:val="24"/>
        </w:rPr>
        <w:t xml:space="preserve">. As </w:t>
      </w:r>
      <w:r w:rsidR="00BF4952">
        <w:rPr>
          <w:sz w:val="24"/>
          <w:szCs w:val="24"/>
        </w:rPr>
        <w:t>monitors of the Convention, the DPOs</w:t>
      </w:r>
      <w:r w:rsidR="00BF4952" w:rsidRPr="006B1B9C">
        <w:rPr>
          <w:sz w:val="24"/>
          <w:szCs w:val="24"/>
        </w:rPr>
        <w:t xml:space="preserve"> collect information to see how well the Convention is being implemented and if it is making a difference to the everyday lives of disabled people. </w:t>
      </w:r>
    </w:p>
    <w:p w:rsidR="00BF4952" w:rsidRDefault="00BF4952" w:rsidP="00CE1A5D">
      <w:pPr>
        <w:pStyle w:val="ListParagraph"/>
        <w:ind w:left="0"/>
        <w:jc w:val="both"/>
        <w:rPr>
          <w:sz w:val="24"/>
          <w:szCs w:val="24"/>
        </w:rPr>
      </w:pPr>
    </w:p>
    <w:p w:rsidR="00641EED" w:rsidRDefault="00783B5B" w:rsidP="00CE1A5D">
      <w:pPr>
        <w:pStyle w:val="ListParagraph"/>
        <w:ind w:left="0"/>
        <w:jc w:val="both"/>
        <w:rPr>
          <w:sz w:val="24"/>
          <w:szCs w:val="24"/>
        </w:rPr>
      </w:pPr>
      <w:r>
        <w:rPr>
          <w:sz w:val="24"/>
          <w:szCs w:val="24"/>
        </w:rPr>
        <w:t xml:space="preserve">This group operates in accordance with Disability Rights Promotion International (DRPI) guidelines. The DRPI is an international collaboration working towards developing </w:t>
      </w:r>
      <w:r w:rsidR="00EE5F1B">
        <w:rPr>
          <w:sz w:val="24"/>
          <w:szCs w:val="24"/>
        </w:rPr>
        <w:t xml:space="preserve">a </w:t>
      </w:r>
      <w:r>
        <w:rPr>
          <w:sz w:val="24"/>
          <w:szCs w:val="24"/>
        </w:rPr>
        <w:t>global disability rights monitoring system</w:t>
      </w:r>
      <w:r w:rsidR="00314650">
        <w:rPr>
          <w:sz w:val="24"/>
          <w:szCs w:val="24"/>
        </w:rPr>
        <w:t>. The approach to monitoring is based on the following system</w:t>
      </w:r>
      <w:r>
        <w:rPr>
          <w:sz w:val="24"/>
          <w:szCs w:val="24"/>
        </w:rPr>
        <w:t>:</w:t>
      </w:r>
    </w:p>
    <w:p w:rsidR="00783B5B" w:rsidRDefault="00783B5B" w:rsidP="00CE1A5D">
      <w:pPr>
        <w:pStyle w:val="ListParagraph"/>
        <w:ind w:left="0"/>
        <w:jc w:val="both"/>
        <w:rPr>
          <w:sz w:val="24"/>
          <w:szCs w:val="24"/>
        </w:rPr>
      </w:pPr>
    </w:p>
    <w:p w:rsidR="00783B5B" w:rsidRDefault="00314650" w:rsidP="007B7173">
      <w:pPr>
        <w:pStyle w:val="ListParagraph"/>
        <w:numPr>
          <w:ilvl w:val="0"/>
          <w:numId w:val="9"/>
        </w:numPr>
        <w:jc w:val="both"/>
        <w:rPr>
          <w:color w:val="000000"/>
          <w:sz w:val="24"/>
          <w:szCs w:val="24"/>
          <w:shd w:val="clear" w:color="auto" w:fill="FFFFFF"/>
        </w:rPr>
      </w:pPr>
      <w:r>
        <w:rPr>
          <w:color w:val="000000"/>
          <w:sz w:val="24"/>
          <w:szCs w:val="24"/>
          <w:shd w:val="clear" w:color="auto" w:fill="FFFFFF"/>
        </w:rPr>
        <w:t>a</w:t>
      </w:r>
      <w:r w:rsidR="00783B5B">
        <w:rPr>
          <w:color w:val="000000"/>
          <w:sz w:val="24"/>
          <w:szCs w:val="24"/>
          <w:shd w:val="clear" w:color="auto" w:fill="FFFFFF"/>
        </w:rPr>
        <w:t>ll monitoring activity is led by disabled people</w:t>
      </w:r>
    </w:p>
    <w:p w:rsidR="00783B5B" w:rsidRDefault="00314650" w:rsidP="007B7173">
      <w:pPr>
        <w:pStyle w:val="ListParagraph"/>
        <w:numPr>
          <w:ilvl w:val="0"/>
          <w:numId w:val="9"/>
        </w:numPr>
        <w:jc w:val="both"/>
        <w:rPr>
          <w:color w:val="000000"/>
          <w:sz w:val="24"/>
          <w:szCs w:val="24"/>
          <w:shd w:val="clear" w:color="auto" w:fill="FFFFFF"/>
        </w:rPr>
      </w:pPr>
      <w:r>
        <w:rPr>
          <w:color w:val="000000"/>
          <w:sz w:val="24"/>
          <w:szCs w:val="24"/>
          <w:shd w:val="clear" w:color="auto" w:fill="FFFFFF"/>
        </w:rPr>
        <w:t>h</w:t>
      </w:r>
      <w:r w:rsidR="00783B5B">
        <w:rPr>
          <w:color w:val="000000"/>
          <w:sz w:val="24"/>
          <w:szCs w:val="24"/>
          <w:shd w:val="clear" w:color="auto" w:fill="FFFFFF"/>
        </w:rPr>
        <w:t>uman rights principles are considered when monitoring specific human rights</w:t>
      </w:r>
    </w:p>
    <w:p w:rsidR="00783B5B" w:rsidRDefault="00314650" w:rsidP="007B7173">
      <w:pPr>
        <w:pStyle w:val="ListParagraph"/>
        <w:numPr>
          <w:ilvl w:val="0"/>
          <w:numId w:val="9"/>
        </w:numPr>
        <w:jc w:val="both"/>
        <w:rPr>
          <w:color w:val="000000"/>
          <w:sz w:val="24"/>
          <w:szCs w:val="24"/>
          <w:shd w:val="clear" w:color="auto" w:fill="FFFFFF"/>
        </w:rPr>
      </w:pPr>
      <w:proofErr w:type="gramStart"/>
      <w:r>
        <w:rPr>
          <w:color w:val="000000"/>
          <w:sz w:val="24"/>
          <w:szCs w:val="24"/>
          <w:shd w:val="clear" w:color="auto" w:fill="FFFFFF"/>
        </w:rPr>
        <w:t>a</w:t>
      </w:r>
      <w:proofErr w:type="gramEnd"/>
      <w:r w:rsidR="00783B5B">
        <w:rPr>
          <w:color w:val="000000"/>
          <w:sz w:val="24"/>
          <w:szCs w:val="24"/>
          <w:shd w:val="clear" w:color="auto" w:fill="FFFFFF"/>
        </w:rPr>
        <w:t xml:space="preserve"> holistic approach is used that monitors individual experiences, systems, and societal attitudes.</w:t>
      </w:r>
      <w:r w:rsidR="000C2EF5">
        <w:rPr>
          <w:rStyle w:val="FootnoteReference"/>
          <w:color w:val="000000"/>
          <w:sz w:val="24"/>
          <w:szCs w:val="24"/>
          <w:shd w:val="clear" w:color="auto" w:fill="FFFFFF"/>
        </w:rPr>
        <w:footnoteReference w:id="41"/>
      </w:r>
      <w:r w:rsidR="00783B5B">
        <w:rPr>
          <w:color w:val="000000"/>
          <w:sz w:val="24"/>
          <w:szCs w:val="24"/>
          <w:shd w:val="clear" w:color="auto" w:fill="FFFFFF"/>
        </w:rPr>
        <w:t xml:space="preserve"> </w:t>
      </w:r>
    </w:p>
    <w:p w:rsidR="00783B5B" w:rsidRDefault="00783B5B" w:rsidP="00CE1A5D">
      <w:pPr>
        <w:pStyle w:val="ListParagraph"/>
        <w:ind w:left="0"/>
        <w:jc w:val="both"/>
        <w:rPr>
          <w:sz w:val="24"/>
          <w:szCs w:val="24"/>
        </w:rPr>
      </w:pPr>
    </w:p>
    <w:p w:rsidR="003A6BF1" w:rsidRDefault="003205F5" w:rsidP="00277AB3">
      <w:pPr>
        <w:pStyle w:val="ListParagraph"/>
        <w:ind w:left="0"/>
        <w:jc w:val="both"/>
        <w:rPr>
          <w:sz w:val="24"/>
          <w:szCs w:val="24"/>
        </w:rPr>
      </w:pPr>
      <w:r>
        <w:rPr>
          <w:sz w:val="24"/>
          <w:szCs w:val="24"/>
        </w:rPr>
        <w:t>The Convention Coalition</w:t>
      </w:r>
      <w:r w:rsidR="00CA7AB9">
        <w:rPr>
          <w:sz w:val="24"/>
          <w:szCs w:val="24"/>
        </w:rPr>
        <w:t xml:space="preserve"> is responsible for undertaking research each year about various aspects of life relating to the individual experiences of disabled people (e.g. </w:t>
      </w:r>
      <w:r w:rsidR="003A6BF1">
        <w:rPr>
          <w:sz w:val="24"/>
          <w:szCs w:val="24"/>
        </w:rPr>
        <w:t xml:space="preserve">youth, media, </w:t>
      </w:r>
      <w:r w:rsidR="00CA7AB9">
        <w:rPr>
          <w:sz w:val="24"/>
          <w:szCs w:val="24"/>
        </w:rPr>
        <w:t>poverty, participat</w:t>
      </w:r>
      <w:r>
        <w:rPr>
          <w:sz w:val="24"/>
          <w:szCs w:val="24"/>
        </w:rPr>
        <w:t>ion, acceptance in society).</w:t>
      </w:r>
      <w:r w:rsidR="003A6BF1">
        <w:rPr>
          <w:rStyle w:val="FootnoteReference"/>
          <w:sz w:val="24"/>
          <w:szCs w:val="24"/>
        </w:rPr>
        <w:footnoteReference w:id="42"/>
      </w:r>
      <w:r>
        <w:rPr>
          <w:sz w:val="24"/>
          <w:szCs w:val="24"/>
        </w:rPr>
        <w:t xml:space="preserve"> This</w:t>
      </w:r>
      <w:r w:rsidR="00CA7AB9">
        <w:rPr>
          <w:sz w:val="24"/>
          <w:szCs w:val="24"/>
        </w:rPr>
        <w:t xml:space="preserve"> research</w:t>
      </w:r>
      <w:r w:rsidR="003A6BF1">
        <w:rPr>
          <w:sz w:val="24"/>
          <w:szCs w:val="24"/>
        </w:rPr>
        <w:t xml:space="preserve">, which is published annually, </w:t>
      </w:r>
      <w:r w:rsidR="00CA7AB9">
        <w:rPr>
          <w:sz w:val="24"/>
          <w:szCs w:val="24"/>
        </w:rPr>
        <w:t>informs the Convention Coalition’s monitoring of how well the New Zealand government is implementing the UNCRPD</w:t>
      </w:r>
      <w:r w:rsidR="003A6BF1">
        <w:rPr>
          <w:sz w:val="24"/>
          <w:szCs w:val="24"/>
        </w:rPr>
        <w:t xml:space="preserve"> and </w:t>
      </w:r>
      <w:r w:rsidR="00B26507">
        <w:rPr>
          <w:sz w:val="24"/>
          <w:szCs w:val="24"/>
        </w:rPr>
        <w:t xml:space="preserve">the </w:t>
      </w:r>
      <w:r w:rsidR="003A6BF1">
        <w:rPr>
          <w:sz w:val="24"/>
          <w:szCs w:val="24"/>
        </w:rPr>
        <w:t>Disability Action Plan 2014-2018</w:t>
      </w:r>
      <w:r>
        <w:rPr>
          <w:sz w:val="24"/>
          <w:szCs w:val="24"/>
        </w:rPr>
        <w:t>.</w:t>
      </w:r>
      <w:r w:rsidR="003A6BF1">
        <w:rPr>
          <w:sz w:val="24"/>
          <w:szCs w:val="24"/>
        </w:rPr>
        <w:t xml:space="preserve"> </w:t>
      </w:r>
    </w:p>
    <w:p w:rsidR="000C2EF5" w:rsidRDefault="000C2EF5" w:rsidP="00277AB3">
      <w:pPr>
        <w:pStyle w:val="ListParagraph"/>
        <w:ind w:left="0"/>
        <w:jc w:val="both"/>
        <w:rPr>
          <w:sz w:val="24"/>
          <w:szCs w:val="24"/>
        </w:rPr>
      </w:pPr>
    </w:p>
    <w:p w:rsidR="003A6BF1" w:rsidRDefault="00CE1A5D" w:rsidP="003A6BF1">
      <w:pPr>
        <w:pStyle w:val="ListParagraph"/>
        <w:ind w:left="0"/>
        <w:jc w:val="both"/>
        <w:rPr>
          <w:sz w:val="24"/>
          <w:szCs w:val="24"/>
        </w:rPr>
      </w:pPr>
      <w:r w:rsidRPr="00CE1A5D">
        <w:rPr>
          <w:sz w:val="24"/>
          <w:szCs w:val="24"/>
        </w:rPr>
        <w:t xml:space="preserve">The </w:t>
      </w:r>
      <w:r>
        <w:rPr>
          <w:sz w:val="24"/>
          <w:szCs w:val="24"/>
        </w:rPr>
        <w:t>government has committed $27</w:t>
      </w:r>
      <w:r w:rsidR="000A0B4B">
        <w:rPr>
          <w:sz w:val="24"/>
          <w:szCs w:val="24"/>
        </w:rPr>
        <w:t xml:space="preserve">5,000 annually for three years </w:t>
      </w:r>
      <w:r>
        <w:rPr>
          <w:sz w:val="24"/>
          <w:szCs w:val="24"/>
        </w:rPr>
        <w:t xml:space="preserve">to enable the </w:t>
      </w:r>
      <w:r w:rsidRPr="00CE1A5D">
        <w:rPr>
          <w:sz w:val="24"/>
          <w:szCs w:val="24"/>
        </w:rPr>
        <w:t xml:space="preserve">Convention Coalition </w:t>
      </w:r>
      <w:r>
        <w:rPr>
          <w:sz w:val="24"/>
          <w:szCs w:val="24"/>
        </w:rPr>
        <w:t>to undertake research, participate in monitoring, attend the IMM meetings</w:t>
      </w:r>
      <w:r w:rsidR="003205F5">
        <w:rPr>
          <w:sz w:val="24"/>
          <w:szCs w:val="24"/>
        </w:rPr>
        <w:t xml:space="preserve"> and contribute to the IMM’s monitoring reports</w:t>
      </w:r>
      <w:r>
        <w:rPr>
          <w:sz w:val="24"/>
          <w:szCs w:val="24"/>
        </w:rPr>
        <w:t>.</w:t>
      </w:r>
      <w:r w:rsidRPr="00CE1A5D">
        <w:rPr>
          <w:sz w:val="24"/>
          <w:szCs w:val="24"/>
        </w:rPr>
        <w:t xml:space="preserve"> </w:t>
      </w:r>
      <w:r w:rsidR="000A0B4B">
        <w:rPr>
          <w:sz w:val="24"/>
          <w:szCs w:val="24"/>
        </w:rPr>
        <w:t xml:space="preserve">This funding will finish in June 2016. Further, the government directed the Convention Coalition to no longer focus on systemic monitoring or the media, two of the three stages in the DRPI process. Rather, only to focus on undertaking research with individuals. </w:t>
      </w:r>
      <w:r w:rsidR="003A6BF1">
        <w:rPr>
          <w:sz w:val="24"/>
          <w:szCs w:val="24"/>
        </w:rPr>
        <w:t>The Convention Coalition is a member of the Independent Monitoring Mechanism.</w:t>
      </w:r>
    </w:p>
    <w:p w:rsidR="003A6BF1" w:rsidRPr="00CA7AB9" w:rsidRDefault="003A6BF1" w:rsidP="00277AB3">
      <w:pPr>
        <w:pStyle w:val="ListParagraph"/>
        <w:ind w:left="0"/>
        <w:jc w:val="both"/>
        <w:rPr>
          <w:sz w:val="24"/>
          <w:szCs w:val="24"/>
        </w:rPr>
      </w:pPr>
    </w:p>
    <w:p w:rsidR="002C119D" w:rsidRPr="002C119D" w:rsidRDefault="002C119D" w:rsidP="001E366B">
      <w:pPr>
        <w:pStyle w:val="Heading2"/>
      </w:pPr>
      <w:bookmarkStart w:id="9" w:name="_Toc420885833"/>
      <w:r w:rsidRPr="002C119D">
        <w:t>Independent Monitoring Mechanism</w:t>
      </w:r>
      <w:bookmarkEnd w:id="9"/>
    </w:p>
    <w:p w:rsidR="002C119D" w:rsidRDefault="002C119D" w:rsidP="00277AB3">
      <w:pPr>
        <w:pStyle w:val="ListParagraph"/>
        <w:ind w:left="0"/>
        <w:jc w:val="both"/>
        <w:rPr>
          <w:sz w:val="24"/>
          <w:szCs w:val="24"/>
        </w:rPr>
      </w:pPr>
    </w:p>
    <w:p w:rsidR="00CE1A5D" w:rsidRDefault="006B1B9C" w:rsidP="00277AB3">
      <w:pPr>
        <w:pStyle w:val="ListParagraph"/>
        <w:ind w:left="0"/>
        <w:jc w:val="both"/>
        <w:rPr>
          <w:sz w:val="24"/>
          <w:szCs w:val="24"/>
        </w:rPr>
      </w:pPr>
      <w:r w:rsidRPr="00D3573F">
        <w:rPr>
          <w:sz w:val="24"/>
          <w:szCs w:val="24"/>
        </w:rPr>
        <w:t>New Zealand has an Independent Monitoring Mechanism (IMM) developed in accordance with Article 33 of the</w:t>
      </w:r>
      <w:r w:rsidR="00D3573F" w:rsidRPr="00D3573F">
        <w:rPr>
          <w:sz w:val="24"/>
          <w:szCs w:val="24"/>
        </w:rPr>
        <w:t xml:space="preserve"> UNCRPD</w:t>
      </w:r>
      <w:r w:rsidRPr="00D3573F">
        <w:rPr>
          <w:sz w:val="24"/>
          <w:szCs w:val="24"/>
        </w:rPr>
        <w:t>. It c</w:t>
      </w:r>
      <w:r w:rsidR="00EE5F1B">
        <w:rPr>
          <w:sz w:val="24"/>
          <w:szCs w:val="24"/>
        </w:rPr>
        <w:t xml:space="preserve">onsists of </w:t>
      </w:r>
      <w:r w:rsidRPr="00D3573F">
        <w:rPr>
          <w:sz w:val="24"/>
          <w:szCs w:val="24"/>
        </w:rPr>
        <w:t>New Zealand’s Human Rights Commission, the Ombudsman</w:t>
      </w:r>
      <w:r w:rsidR="00CF6FDD">
        <w:rPr>
          <w:sz w:val="24"/>
          <w:szCs w:val="24"/>
        </w:rPr>
        <w:t>,</w:t>
      </w:r>
      <w:r w:rsidRPr="00D3573F">
        <w:rPr>
          <w:sz w:val="24"/>
          <w:szCs w:val="24"/>
        </w:rPr>
        <w:t xml:space="preserve"> and the Conven</w:t>
      </w:r>
      <w:r w:rsidR="00D3573F" w:rsidRPr="00D3573F">
        <w:rPr>
          <w:sz w:val="24"/>
          <w:szCs w:val="24"/>
        </w:rPr>
        <w:t xml:space="preserve">tion Coalition Monitoring Group. </w:t>
      </w:r>
      <w:r w:rsidR="00D3573F">
        <w:rPr>
          <w:sz w:val="24"/>
          <w:szCs w:val="24"/>
        </w:rPr>
        <w:t xml:space="preserve">The group is independent from government. However, </w:t>
      </w:r>
      <w:r w:rsidR="00CE1A5D">
        <w:rPr>
          <w:sz w:val="24"/>
          <w:szCs w:val="24"/>
        </w:rPr>
        <w:t xml:space="preserve">the IMM is dependent </w:t>
      </w:r>
      <w:r w:rsidR="00850E6C">
        <w:rPr>
          <w:sz w:val="24"/>
          <w:szCs w:val="24"/>
        </w:rPr>
        <w:t>on continued government funding which is not secure.</w:t>
      </w:r>
      <w:r w:rsidR="00CE1A5D">
        <w:rPr>
          <w:sz w:val="24"/>
          <w:szCs w:val="24"/>
        </w:rPr>
        <w:t xml:space="preserve"> </w:t>
      </w:r>
    </w:p>
    <w:p w:rsidR="00B26507" w:rsidRDefault="00B26507" w:rsidP="00277AB3">
      <w:pPr>
        <w:pStyle w:val="ListParagraph"/>
        <w:ind w:left="0"/>
        <w:jc w:val="both"/>
        <w:rPr>
          <w:sz w:val="24"/>
          <w:szCs w:val="24"/>
        </w:rPr>
      </w:pPr>
    </w:p>
    <w:p w:rsidR="003205F5" w:rsidRDefault="003205F5" w:rsidP="00277AB3">
      <w:pPr>
        <w:pStyle w:val="ListParagraph"/>
        <w:ind w:left="0"/>
        <w:jc w:val="both"/>
        <w:rPr>
          <w:sz w:val="24"/>
          <w:szCs w:val="24"/>
        </w:rPr>
      </w:pPr>
      <w:r>
        <w:rPr>
          <w:sz w:val="24"/>
          <w:szCs w:val="24"/>
        </w:rPr>
        <w:t xml:space="preserve">The IMM is responsible for: </w:t>
      </w:r>
    </w:p>
    <w:p w:rsidR="003205F5" w:rsidRDefault="003205F5" w:rsidP="00277AB3">
      <w:pPr>
        <w:pStyle w:val="ListParagraph"/>
        <w:ind w:left="0"/>
        <w:jc w:val="both"/>
      </w:pPr>
    </w:p>
    <w:p w:rsidR="003205F5" w:rsidRDefault="003205F5" w:rsidP="007B7173">
      <w:pPr>
        <w:pStyle w:val="ListParagraph"/>
        <w:numPr>
          <w:ilvl w:val="0"/>
          <w:numId w:val="3"/>
        </w:numPr>
        <w:rPr>
          <w:sz w:val="24"/>
          <w:szCs w:val="24"/>
        </w:rPr>
      </w:pPr>
      <w:r w:rsidRPr="003205F5">
        <w:rPr>
          <w:sz w:val="24"/>
          <w:szCs w:val="24"/>
        </w:rPr>
        <w:t xml:space="preserve">developing a framework for monitoring and reporting on the implementation of the Disability Convention  </w:t>
      </w:r>
    </w:p>
    <w:p w:rsidR="003205F5" w:rsidRDefault="003205F5" w:rsidP="007B7173">
      <w:pPr>
        <w:pStyle w:val="ListParagraph"/>
        <w:numPr>
          <w:ilvl w:val="0"/>
          <w:numId w:val="3"/>
        </w:numPr>
        <w:rPr>
          <w:sz w:val="24"/>
          <w:szCs w:val="24"/>
        </w:rPr>
      </w:pPr>
      <w:r w:rsidRPr="003205F5">
        <w:rPr>
          <w:sz w:val="24"/>
          <w:szCs w:val="24"/>
        </w:rPr>
        <w:t>reporting  to the United Nations on the overall implementation of the Disability Convention and on specific issues</w:t>
      </w:r>
    </w:p>
    <w:p w:rsidR="003205F5" w:rsidRPr="003205F5" w:rsidRDefault="003205F5" w:rsidP="007B7173">
      <w:pPr>
        <w:pStyle w:val="ListParagraph"/>
        <w:numPr>
          <w:ilvl w:val="0"/>
          <w:numId w:val="3"/>
        </w:numPr>
        <w:rPr>
          <w:sz w:val="24"/>
          <w:szCs w:val="24"/>
        </w:rPr>
      </w:pPr>
      <w:r w:rsidRPr="003205F5">
        <w:rPr>
          <w:sz w:val="24"/>
          <w:szCs w:val="24"/>
        </w:rPr>
        <w:t>advocating for specific issues important to disabled people</w:t>
      </w:r>
    </w:p>
    <w:p w:rsidR="00EE5F1B" w:rsidRDefault="003205F5" w:rsidP="000C2EF5">
      <w:pPr>
        <w:pStyle w:val="ListParagraph"/>
        <w:ind w:left="0"/>
        <w:rPr>
          <w:sz w:val="24"/>
          <w:szCs w:val="24"/>
        </w:rPr>
      </w:pPr>
      <w:r w:rsidRPr="003205F5">
        <w:rPr>
          <w:sz w:val="24"/>
          <w:szCs w:val="24"/>
        </w:rPr>
        <w:tab/>
      </w:r>
      <w:r w:rsidRPr="003205F5">
        <w:rPr>
          <w:sz w:val="24"/>
          <w:szCs w:val="24"/>
        </w:rPr>
        <w:tab/>
      </w:r>
      <w:r>
        <w:rPr>
          <w:sz w:val="24"/>
          <w:szCs w:val="24"/>
        </w:rPr>
        <w:tab/>
      </w:r>
      <w:proofErr w:type="gramStart"/>
      <w:r w:rsidRPr="003205F5">
        <w:rPr>
          <w:sz w:val="24"/>
          <w:szCs w:val="24"/>
        </w:rPr>
        <w:t>providing</w:t>
      </w:r>
      <w:proofErr w:type="gramEnd"/>
      <w:r w:rsidRPr="003205F5">
        <w:rPr>
          <w:sz w:val="24"/>
          <w:szCs w:val="24"/>
        </w:rPr>
        <w:t xml:space="preserve"> advice on legislation</w:t>
      </w:r>
      <w:r w:rsidR="00EE5F1B">
        <w:rPr>
          <w:sz w:val="24"/>
          <w:szCs w:val="24"/>
        </w:rPr>
        <w:t>,</w:t>
      </w:r>
      <w:r w:rsidRPr="003205F5">
        <w:rPr>
          <w:sz w:val="24"/>
          <w:szCs w:val="24"/>
        </w:rPr>
        <w:t xml:space="preserve"> policy and practice affecting </w:t>
      </w:r>
      <w:r>
        <w:rPr>
          <w:sz w:val="24"/>
          <w:szCs w:val="24"/>
        </w:rPr>
        <w:tab/>
      </w:r>
      <w:r>
        <w:rPr>
          <w:sz w:val="24"/>
          <w:szCs w:val="24"/>
        </w:rPr>
        <w:tab/>
      </w:r>
      <w:r>
        <w:rPr>
          <w:sz w:val="24"/>
          <w:szCs w:val="24"/>
        </w:rPr>
        <w:tab/>
      </w:r>
      <w:r w:rsidRPr="003205F5">
        <w:rPr>
          <w:sz w:val="24"/>
          <w:szCs w:val="24"/>
        </w:rPr>
        <w:t>disabled people</w:t>
      </w:r>
      <w:r w:rsidR="00927890">
        <w:rPr>
          <w:sz w:val="24"/>
          <w:szCs w:val="24"/>
        </w:rPr>
        <w:t>, and</w:t>
      </w:r>
    </w:p>
    <w:p w:rsidR="00D3573F" w:rsidRPr="003205F5" w:rsidRDefault="003205F5" w:rsidP="00927890">
      <w:pPr>
        <w:pStyle w:val="ListParagraph"/>
        <w:numPr>
          <w:ilvl w:val="0"/>
          <w:numId w:val="12"/>
        </w:numPr>
        <w:ind w:firstLine="1123"/>
        <w:rPr>
          <w:sz w:val="24"/>
          <w:szCs w:val="24"/>
        </w:rPr>
      </w:pPr>
      <w:proofErr w:type="gramStart"/>
      <w:r w:rsidRPr="003205F5">
        <w:rPr>
          <w:sz w:val="24"/>
          <w:szCs w:val="24"/>
        </w:rPr>
        <w:t>producing</w:t>
      </w:r>
      <w:proofErr w:type="gramEnd"/>
      <w:r w:rsidRPr="003205F5">
        <w:rPr>
          <w:sz w:val="24"/>
          <w:szCs w:val="24"/>
        </w:rPr>
        <w:t xml:space="preserve"> an annual report to Parliament</w:t>
      </w:r>
      <w:r>
        <w:rPr>
          <w:sz w:val="24"/>
          <w:szCs w:val="24"/>
        </w:rPr>
        <w:t>.</w:t>
      </w:r>
      <w:r w:rsidR="000C2EF5" w:rsidRPr="000C2EF5">
        <w:rPr>
          <w:rStyle w:val="FootnoteReference"/>
          <w:sz w:val="24"/>
          <w:szCs w:val="24"/>
        </w:rPr>
        <w:t xml:space="preserve"> </w:t>
      </w:r>
      <w:r w:rsidR="000C2EF5">
        <w:rPr>
          <w:rStyle w:val="FootnoteReference"/>
          <w:sz w:val="24"/>
          <w:szCs w:val="24"/>
        </w:rPr>
        <w:footnoteReference w:id="43"/>
      </w:r>
    </w:p>
    <w:p w:rsidR="003205F5" w:rsidRPr="003205F5" w:rsidRDefault="003205F5" w:rsidP="003205F5">
      <w:pPr>
        <w:pStyle w:val="ListParagraph"/>
        <w:ind w:left="0"/>
        <w:rPr>
          <w:sz w:val="24"/>
          <w:szCs w:val="24"/>
        </w:rPr>
      </w:pPr>
    </w:p>
    <w:p w:rsidR="00927890" w:rsidRDefault="0090037A" w:rsidP="00F41203">
      <w:pPr>
        <w:pStyle w:val="ListParagraph"/>
        <w:ind w:left="0"/>
        <w:jc w:val="both"/>
        <w:rPr>
          <w:sz w:val="24"/>
          <w:szCs w:val="24"/>
        </w:rPr>
      </w:pPr>
      <w:r>
        <w:rPr>
          <w:sz w:val="24"/>
          <w:szCs w:val="24"/>
        </w:rPr>
        <w:t>The IMM has identified five broad areas that require particular attention to promote social protection</w:t>
      </w:r>
      <w:r w:rsidR="00927890">
        <w:rPr>
          <w:sz w:val="24"/>
          <w:szCs w:val="24"/>
        </w:rPr>
        <w:t xml:space="preserve">s for </w:t>
      </w:r>
      <w:r>
        <w:rPr>
          <w:sz w:val="24"/>
          <w:szCs w:val="24"/>
        </w:rPr>
        <w:t xml:space="preserve">disabled people and </w:t>
      </w:r>
      <w:r w:rsidR="00927890">
        <w:rPr>
          <w:sz w:val="24"/>
          <w:szCs w:val="24"/>
        </w:rPr>
        <w:t xml:space="preserve">the </w:t>
      </w:r>
      <w:r>
        <w:rPr>
          <w:sz w:val="24"/>
          <w:szCs w:val="24"/>
        </w:rPr>
        <w:t>implementation of the UNCRPD. These include:</w:t>
      </w:r>
      <w:r w:rsidR="00F41203">
        <w:rPr>
          <w:sz w:val="24"/>
          <w:szCs w:val="24"/>
        </w:rPr>
        <w:t xml:space="preserve"> </w:t>
      </w:r>
    </w:p>
    <w:p w:rsidR="00927890" w:rsidRDefault="00927890" w:rsidP="00F41203">
      <w:pPr>
        <w:pStyle w:val="ListParagraph"/>
        <w:ind w:left="0"/>
        <w:jc w:val="both"/>
        <w:rPr>
          <w:sz w:val="24"/>
          <w:szCs w:val="24"/>
        </w:rPr>
      </w:pPr>
    </w:p>
    <w:p w:rsidR="00927890" w:rsidRDefault="00927890" w:rsidP="00927890">
      <w:pPr>
        <w:pStyle w:val="ListParagraph"/>
        <w:numPr>
          <w:ilvl w:val="2"/>
          <w:numId w:val="14"/>
        </w:numPr>
        <w:ind w:hanging="317"/>
        <w:jc w:val="both"/>
        <w:rPr>
          <w:sz w:val="24"/>
          <w:szCs w:val="24"/>
        </w:rPr>
      </w:pPr>
      <w:r>
        <w:rPr>
          <w:sz w:val="24"/>
          <w:szCs w:val="24"/>
        </w:rPr>
        <w:t>data</w:t>
      </w:r>
    </w:p>
    <w:p w:rsidR="00927890" w:rsidRDefault="00927890" w:rsidP="00927890">
      <w:pPr>
        <w:pStyle w:val="ListParagraph"/>
        <w:numPr>
          <w:ilvl w:val="2"/>
          <w:numId w:val="14"/>
        </w:numPr>
        <w:ind w:hanging="317"/>
        <w:jc w:val="both"/>
        <w:rPr>
          <w:sz w:val="24"/>
          <w:szCs w:val="24"/>
        </w:rPr>
      </w:pPr>
      <w:r>
        <w:rPr>
          <w:sz w:val="24"/>
          <w:szCs w:val="24"/>
        </w:rPr>
        <w:t>accessibility</w:t>
      </w:r>
    </w:p>
    <w:p w:rsidR="00927890" w:rsidRDefault="00F41203" w:rsidP="00927890">
      <w:pPr>
        <w:pStyle w:val="ListParagraph"/>
        <w:numPr>
          <w:ilvl w:val="2"/>
          <w:numId w:val="14"/>
        </w:numPr>
        <w:ind w:hanging="317"/>
        <w:jc w:val="both"/>
        <w:rPr>
          <w:sz w:val="24"/>
          <w:szCs w:val="24"/>
        </w:rPr>
      </w:pPr>
      <w:r>
        <w:rPr>
          <w:sz w:val="24"/>
          <w:szCs w:val="24"/>
        </w:rPr>
        <w:t>b</w:t>
      </w:r>
      <w:r w:rsidR="00927890">
        <w:rPr>
          <w:sz w:val="24"/>
          <w:szCs w:val="24"/>
        </w:rPr>
        <w:t>uilding a people-driven system</w:t>
      </w:r>
    </w:p>
    <w:p w:rsidR="00F41203" w:rsidRDefault="00927890" w:rsidP="00927890">
      <w:pPr>
        <w:pStyle w:val="ListParagraph"/>
        <w:numPr>
          <w:ilvl w:val="2"/>
          <w:numId w:val="14"/>
        </w:numPr>
        <w:ind w:hanging="317"/>
        <w:jc w:val="both"/>
        <w:rPr>
          <w:sz w:val="24"/>
          <w:szCs w:val="24"/>
        </w:rPr>
      </w:pPr>
      <w:r>
        <w:rPr>
          <w:sz w:val="24"/>
          <w:szCs w:val="24"/>
        </w:rPr>
        <w:t>violence and abuse,</w:t>
      </w:r>
      <w:r w:rsidR="00F41203">
        <w:rPr>
          <w:sz w:val="24"/>
          <w:szCs w:val="24"/>
        </w:rPr>
        <w:t xml:space="preserve"> and </w:t>
      </w:r>
    </w:p>
    <w:p w:rsidR="00927890" w:rsidRDefault="00F41203" w:rsidP="00927890">
      <w:pPr>
        <w:pStyle w:val="ListParagraph"/>
        <w:numPr>
          <w:ilvl w:val="2"/>
          <w:numId w:val="14"/>
        </w:numPr>
        <w:ind w:hanging="317"/>
        <w:jc w:val="both"/>
        <w:rPr>
          <w:sz w:val="24"/>
          <w:szCs w:val="24"/>
        </w:rPr>
      </w:pPr>
      <w:proofErr w:type="gramStart"/>
      <w:r>
        <w:rPr>
          <w:sz w:val="24"/>
          <w:szCs w:val="24"/>
        </w:rPr>
        <w:t>education</w:t>
      </w:r>
      <w:proofErr w:type="gramEnd"/>
      <w:r>
        <w:rPr>
          <w:sz w:val="24"/>
          <w:szCs w:val="24"/>
        </w:rPr>
        <w:t>.</w:t>
      </w:r>
      <w:r>
        <w:rPr>
          <w:rStyle w:val="FootnoteReference"/>
          <w:sz w:val="24"/>
          <w:szCs w:val="24"/>
        </w:rPr>
        <w:footnoteReference w:id="44"/>
      </w:r>
      <w:r>
        <w:rPr>
          <w:sz w:val="24"/>
          <w:szCs w:val="24"/>
        </w:rPr>
        <w:t xml:space="preserve"> </w:t>
      </w:r>
    </w:p>
    <w:p w:rsidR="00927890" w:rsidRDefault="00927890" w:rsidP="00F41203">
      <w:pPr>
        <w:pStyle w:val="ListParagraph"/>
        <w:ind w:left="0"/>
        <w:jc w:val="both"/>
        <w:rPr>
          <w:sz w:val="24"/>
          <w:szCs w:val="24"/>
        </w:rPr>
      </w:pPr>
    </w:p>
    <w:p w:rsidR="0090037A" w:rsidRDefault="00F41203" w:rsidP="00F41203">
      <w:pPr>
        <w:pStyle w:val="ListParagraph"/>
        <w:ind w:left="0"/>
        <w:jc w:val="both"/>
        <w:rPr>
          <w:sz w:val="24"/>
          <w:szCs w:val="24"/>
        </w:rPr>
      </w:pPr>
      <w:r>
        <w:rPr>
          <w:sz w:val="24"/>
          <w:szCs w:val="24"/>
        </w:rPr>
        <w:t xml:space="preserve">These </w:t>
      </w:r>
      <w:r w:rsidR="00927890">
        <w:rPr>
          <w:sz w:val="24"/>
          <w:szCs w:val="24"/>
        </w:rPr>
        <w:t xml:space="preserve">areas </w:t>
      </w:r>
      <w:r>
        <w:rPr>
          <w:sz w:val="24"/>
          <w:szCs w:val="24"/>
        </w:rPr>
        <w:t>are discussed later in this report in conjunction with a range of other issues ide</w:t>
      </w:r>
      <w:r w:rsidR="00276CC1">
        <w:rPr>
          <w:sz w:val="24"/>
          <w:szCs w:val="24"/>
        </w:rPr>
        <w:t>ntified as significant gaps in available</w:t>
      </w:r>
      <w:r>
        <w:rPr>
          <w:sz w:val="24"/>
          <w:szCs w:val="24"/>
        </w:rPr>
        <w:t xml:space="preserve"> social protection</w:t>
      </w:r>
      <w:r w:rsidR="00276CC1">
        <w:rPr>
          <w:sz w:val="24"/>
          <w:szCs w:val="24"/>
        </w:rPr>
        <w:t>s for</w:t>
      </w:r>
      <w:r>
        <w:rPr>
          <w:sz w:val="24"/>
          <w:szCs w:val="24"/>
        </w:rPr>
        <w:t xml:space="preserve"> disabled people, the implementation of the New Zealand Disability Strategy </w:t>
      </w:r>
      <w:r w:rsidR="00661A1D">
        <w:rPr>
          <w:sz w:val="24"/>
          <w:szCs w:val="24"/>
        </w:rPr>
        <w:t>2001, the Di</w:t>
      </w:r>
      <w:r w:rsidR="00927890">
        <w:rPr>
          <w:sz w:val="24"/>
          <w:szCs w:val="24"/>
        </w:rPr>
        <w:t>sability Action Plan 2014-2018</w:t>
      </w:r>
      <w:r w:rsidR="00B26507">
        <w:rPr>
          <w:sz w:val="24"/>
          <w:szCs w:val="24"/>
        </w:rPr>
        <w:t xml:space="preserve"> </w:t>
      </w:r>
      <w:r>
        <w:rPr>
          <w:sz w:val="24"/>
          <w:szCs w:val="24"/>
        </w:rPr>
        <w:t>and the UNCRPD.</w:t>
      </w:r>
    </w:p>
    <w:p w:rsidR="00FE0E82" w:rsidRPr="0074174F" w:rsidRDefault="00FE0E82" w:rsidP="00FE0E82">
      <w:pPr>
        <w:pStyle w:val="Heading2"/>
      </w:pPr>
      <w:bookmarkStart w:id="10" w:name="_Toc420885834"/>
      <w:r w:rsidRPr="0074174F">
        <w:t>Māori Disability Leadership Group</w:t>
      </w:r>
      <w:bookmarkEnd w:id="10"/>
    </w:p>
    <w:p w:rsidR="00927890" w:rsidRDefault="00FE0E82" w:rsidP="00FE0E82">
      <w:pPr>
        <w:shd w:val="clear" w:color="auto" w:fill="FFFFFF"/>
        <w:spacing w:before="100" w:beforeAutospacing="1" w:after="100" w:afterAutospacing="1" w:line="186" w:lineRule="atLeast"/>
        <w:rPr>
          <w:sz w:val="24"/>
          <w:szCs w:val="24"/>
        </w:rPr>
      </w:pPr>
      <w:r>
        <w:rPr>
          <w:sz w:val="24"/>
          <w:szCs w:val="24"/>
        </w:rPr>
        <w:t xml:space="preserve">A </w:t>
      </w:r>
      <w:r w:rsidRPr="00856971">
        <w:rPr>
          <w:sz w:val="24"/>
          <w:szCs w:val="24"/>
        </w:rPr>
        <w:t xml:space="preserve">Māori </w:t>
      </w:r>
      <w:r>
        <w:rPr>
          <w:sz w:val="24"/>
          <w:szCs w:val="24"/>
        </w:rPr>
        <w:t xml:space="preserve">Disability </w:t>
      </w:r>
      <w:r w:rsidRPr="00856971">
        <w:rPr>
          <w:sz w:val="24"/>
          <w:szCs w:val="24"/>
        </w:rPr>
        <w:t>Leadership Group was established as part of the</w:t>
      </w:r>
      <w:r>
        <w:rPr>
          <w:sz w:val="24"/>
          <w:szCs w:val="24"/>
        </w:rPr>
        <w:t xml:space="preserve"> process of developing the Māori Disability Action Plan 2012-2017</w:t>
      </w:r>
      <w:r w:rsidR="006F1E4F">
        <w:rPr>
          <w:sz w:val="24"/>
          <w:szCs w:val="24"/>
        </w:rPr>
        <w:t xml:space="preserve"> within the Ministry of Health</w:t>
      </w:r>
      <w:r>
        <w:rPr>
          <w:sz w:val="24"/>
          <w:szCs w:val="24"/>
        </w:rPr>
        <w:t>. However, this group does n</w:t>
      </w:r>
      <w:r w:rsidR="006F1E4F">
        <w:rPr>
          <w:sz w:val="24"/>
          <w:szCs w:val="24"/>
        </w:rPr>
        <w:t>ot appear to have a key role on disability i</w:t>
      </w:r>
      <w:r>
        <w:rPr>
          <w:sz w:val="24"/>
          <w:szCs w:val="24"/>
        </w:rPr>
        <w:t>ssues nor has it been involved in shaping or identifying priorities in the Disability Action Plan 2014-2018</w:t>
      </w:r>
    </w:p>
    <w:p w:rsidR="00FE0E82" w:rsidRPr="0074174F" w:rsidRDefault="00FE0E82" w:rsidP="00FE0E82">
      <w:pPr>
        <w:pStyle w:val="Heading2"/>
      </w:pPr>
      <w:bookmarkStart w:id="11" w:name="_Toc420885835"/>
      <w:r w:rsidRPr="0074174F">
        <w:t>Faiva Ora National Leadership Group</w:t>
      </w:r>
      <w:bookmarkEnd w:id="11"/>
    </w:p>
    <w:p w:rsidR="00FE0E82" w:rsidRDefault="00FE0E82" w:rsidP="00FE0E82">
      <w:pPr>
        <w:pStyle w:val="ListParagraph"/>
        <w:ind w:left="0"/>
        <w:jc w:val="both"/>
        <w:rPr>
          <w:b/>
          <w:sz w:val="24"/>
          <w:szCs w:val="24"/>
        </w:rPr>
      </w:pPr>
    </w:p>
    <w:p w:rsidR="00FE0E82" w:rsidRDefault="00FE0E82" w:rsidP="00FE0E82">
      <w:pPr>
        <w:pStyle w:val="ListParagraph"/>
        <w:ind w:left="0"/>
        <w:jc w:val="both"/>
        <w:rPr>
          <w:sz w:val="24"/>
          <w:szCs w:val="24"/>
        </w:rPr>
      </w:pPr>
      <w:proofErr w:type="spellStart"/>
      <w:r w:rsidRPr="0074174F">
        <w:rPr>
          <w:sz w:val="24"/>
          <w:szCs w:val="24"/>
        </w:rPr>
        <w:t>Faiva</w:t>
      </w:r>
      <w:proofErr w:type="spellEnd"/>
      <w:r w:rsidRPr="0074174F">
        <w:rPr>
          <w:sz w:val="24"/>
          <w:szCs w:val="24"/>
        </w:rPr>
        <w:t xml:space="preserve"> </w:t>
      </w:r>
      <w:proofErr w:type="spellStart"/>
      <w:r w:rsidRPr="0074174F">
        <w:rPr>
          <w:sz w:val="24"/>
          <w:szCs w:val="24"/>
        </w:rPr>
        <w:t>Ora</w:t>
      </w:r>
      <w:proofErr w:type="spellEnd"/>
      <w:r w:rsidRPr="0074174F">
        <w:rPr>
          <w:sz w:val="24"/>
          <w:szCs w:val="24"/>
        </w:rPr>
        <w:t xml:space="preserve"> is a national group</w:t>
      </w:r>
      <w:r w:rsidR="006F1E4F">
        <w:rPr>
          <w:sz w:val="24"/>
          <w:szCs w:val="24"/>
        </w:rPr>
        <w:t xml:space="preserve"> under the auspices of the Ministry of Health,</w:t>
      </w:r>
      <w:r w:rsidRPr="0074174F">
        <w:rPr>
          <w:sz w:val="24"/>
          <w:szCs w:val="24"/>
        </w:rPr>
        <w:t xml:space="preserve"> consisting of influential </w:t>
      </w:r>
      <w:proofErr w:type="spellStart"/>
      <w:r w:rsidRPr="0074174F">
        <w:rPr>
          <w:sz w:val="24"/>
          <w:szCs w:val="24"/>
        </w:rPr>
        <w:t>Pasifika</w:t>
      </w:r>
      <w:proofErr w:type="spellEnd"/>
      <w:r w:rsidRPr="0074174F">
        <w:rPr>
          <w:sz w:val="24"/>
          <w:szCs w:val="24"/>
        </w:rPr>
        <w:t xml:space="preserve"> leaders who </w:t>
      </w:r>
      <w:r>
        <w:rPr>
          <w:sz w:val="24"/>
          <w:szCs w:val="24"/>
        </w:rPr>
        <w:t xml:space="preserve">represent </w:t>
      </w:r>
      <w:proofErr w:type="spellStart"/>
      <w:r w:rsidR="00E108C3" w:rsidRPr="0074174F">
        <w:rPr>
          <w:sz w:val="24"/>
          <w:szCs w:val="24"/>
        </w:rPr>
        <w:t>Pas</w:t>
      </w:r>
      <w:r w:rsidR="00E108C3">
        <w:rPr>
          <w:sz w:val="24"/>
          <w:szCs w:val="24"/>
        </w:rPr>
        <w:t>i</w:t>
      </w:r>
      <w:r w:rsidR="00E108C3" w:rsidRPr="0074174F">
        <w:rPr>
          <w:sz w:val="24"/>
          <w:szCs w:val="24"/>
        </w:rPr>
        <w:t>fika</w:t>
      </w:r>
      <w:proofErr w:type="spellEnd"/>
      <w:r w:rsidRPr="0074174F">
        <w:rPr>
          <w:sz w:val="24"/>
          <w:szCs w:val="24"/>
        </w:rPr>
        <w:t xml:space="preserve"> disability issues on behalf of </w:t>
      </w:r>
      <w:proofErr w:type="spellStart"/>
      <w:r w:rsidRPr="0074174F">
        <w:rPr>
          <w:sz w:val="24"/>
          <w:szCs w:val="24"/>
        </w:rPr>
        <w:t>Pasifika</w:t>
      </w:r>
      <w:proofErr w:type="spellEnd"/>
      <w:r w:rsidRPr="0074174F">
        <w:rPr>
          <w:sz w:val="24"/>
          <w:szCs w:val="24"/>
        </w:rPr>
        <w:t xml:space="preserve"> disabled people.</w:t>
      </w:r>
      <w:r>
        <w:rPr>
          <w:sz w:val="24"/>
          <w:szCs w:val="24"/>
        </w:rPr>
        <w:t xml:space="preserve"> The </w:t>
      </w:r>
      <w:r w:rsidR="00E108C3">
        <w:rPr>
          <w:sz w:val="24"/>
          <w:szCs w:val="24"/>
        </w:rPr>
        <w:t>group</w:t>
      </w:r>
      <w:r>
        <w:rPr>
          <w:sz w:val="24"/>
          <w:szCs w:val="24"/>
        </w:rPr>
        <w:t xml:space="preserve"> advises on the implementation of </w:t>
      </w:r>
      <w:r w:rsidR="006F1E4F">
        <w:rPr>
          <w:sz w:val="24"/>
          <w:szCs w:val="24"/>
        </w:rPr>
        <w:t xml:space="preserve">the </w:t>
      </w:r>
      <w:proofErr w:type="spellStart"/>
      <w:r>
        <w:rPr>
          <w:sz w:val="24"/>
          <w:szCs w:val="24"/>
        </w:rPr>
        <w:t>Faiva</w:t>
      </w:r>
      <w:proofErr w:type="spellEnd"/>
      <w:r>
        <w:rPr>
          <w:sz w:val="24"/>
          <w:szCs w:val="24"/>
        </w:rPr>
        <w:t xml:space="preserve"> </w:t>
      </w:r>
      <w:proofErr w:type="spellStart"/>
      <w:r>
        <w:rPr>
          <w:sz w:val="24"/>
          <w:szCs w:val="24"/>
        </w:rPr>
        <w:t>Ora</w:t>
      </w:r>
      <w:proofErr w:type="spellEnd"/>
      <w:r>
        <w:rPr>
          <w:sz w:val="24"/>
          <w:szCs w:val="24"/>
        </w:rPr>
        <w:t xml:space="preserve"> National Disability Plan</w:t>
      </w:r>
      <w:r w:rsidR="006F1E4F">
        <w:rPr>
          <w:sz w:val="24"/>
          <w:szCs w:val="24"/>
        </w:rPr>
        <w:t xml:space="preserve"> 2014-2016,</w:t>
      </w:r>
      <w:r>
        <w:rPr>
          <w:sz w:val="24"/>
          <w:szCs w:val="24"/>
        </w:rPr>
        <w:t xml:space="preserve"> provides advice to the Ministry of Health and its Disability Support Services (DSS), and supports community initiatives to reduce stigma and negative attitudes towards </w:t>
      </w:r>
      <w:proofErr w:type="spellStart"/>
      <w:r>
        <w:rPr>
          <w:sz w:val="24"/>
          <w:szCs w:val="24"/>
        </w:rPr>
        <w:t>Pasifika</w:t>
      </w:r>
      <w:proofErr w:type="spellEnd"/>
      <w:r>
        <w:rPr>
          <w:sz w:val="24"/>
          <w:szCs w:val="24"/>
        </w:rPr>
        <w:t xml:space="preserve"> disabled people.</w:t>
      </w:r>
      <w:r>
        <w:rPr>
          <w:rStyle w:val="FootnoteReference"/>
          <w:sz w:val="24"/>
          <w:szCs w:val="24"/>
        </w:rPr>
        <w:footnoteReference w:id="45"/>
      </w:r>
      <w:r>
        <w:rPr>
          <w:sz w:val="24"/>
          <w:szCs w:val="24"/>
        </w:rPr>
        <w:t xml:space="preserve">  </w:t>
      </w:r>
    </w:p>
    <w:p w:rsidR="003B0C27" w:rsidRDefault="003B0C27" w:rsidP="003B0C27">
      <w:pPr>
        <w:pStyle w:val="ListParagraph"/>
        <w:ind w:left="975"/>
        <w:rPr>
          <w:sz w:val="24"/>
          <w:szCs w:val="24"/>
        </w:rPr>
      </w:pPr>
    </w:p>
    <w:p w:rsidR="001E366B" w:rsidRDefault="00832154" w:rsidP="00832154">
      <w:pPr>
        <w:pStyle w:val="Heading1"/>
      </w:pPr>
      <w:bookmarkStart w:id="12" w:name="_Toc420885836"/>
      <w:r>
        <w:t xml:space="preserve">Consultation and </w:t>
      </w:r>
      <w:r w:rsidR="001E366B">
        <w:t xml:space="preserve">involvement </w:t>
      </w:r>
      <w:r>
        <w:t xml:space="preserve">- </w:t>
      </w:r>
      <w:r w:rsidR="001E366B">
        <w:t>design</w:t>
      </w:r>
      <w:r>
        <w:t xml:space="preserve">, implementation &amp; </w:t>
      </w:r>
      <w:r w:rsidR="001E366B">
        <w:t>monitoring social protection programmes</w:t>
      </w:r>
      <w:bookmarkEnd w:id="12"/>
    </w:p>
    <w:p w:rsidR="001E366B" w:rsidRDefault="001E366B" w:rsidP="00832154">
      <w:pPr>
        <w:pStyle w:val="Heading1"/>
        <w:rPr>
          <w:b/>
          <w:sz w:val="24"/>
          <w:szCs w:val="24"/>
        </w:rPr>
      </w:pPr>
    </w:p>
    <w:p w:rsidR="00832154" w:rsidRDefault="00832154" w:rsidP="00DA1B59">
      <w:pPr>
        <w:jc w:val="both"/>
        <w:rPr>
          <w:sz w:val="24"/>
          <w:szCs w:val="24"/>
        </w:rPr>
      </w:pPr>
    </w:p>
    <w:p w:rsidR="00DA1B59" w:rsidRPr="008F60B7" w:rsidRDefault="00DA1B59" w:rsidP="00DA1B59">
      <w:pPr>
        <w:jc w:val="both"/>
        <w:rPr>
          <w:sz w:val="24"/>
          <w:szCs w:val="24"/>
        </w:rPr>
      </w:pPr>
      <w:r w:rsidRPr="008F60B7">
        <w:rPr>
          <w:sz w:val="24"/>
          <w:szCs w:val="24"/>
        </w:rPr>
        <w:t>In 2012 the I</w:t>
      </w:r>
      <w:r>
        <w:rPr>
          <w:sz w:val="24"/>
          <w:szCs w:val="24"/>
        </w:rPr>
        <w:t xml:space="preserve">ndependent </w:t>
      </w:r>
      <w:r w:rsidRPr="008F60B7">
        <w:rPr>
          <w:sz w:val="24"/>
          <w:szCs w:val="24"/>
        </w:rPr>
        <w:t>M</w:t>
      </w:r>
      <w:r>
        <w:rPr>
          <w:sz w:val="24"/>
          <w:szCs w:val="24"/>
        </w:rPr>
        <w:t xml:space="preserve">onitoring </w:t>
      </w:r>
      <w:r w:rsidRPr="008F60B7">
        <w:rPr>
          <w:sz w:val="24"/>
          <w:szCs w:val="24"/>
        </w:rPr>
        <w:t>M</w:t>
      </w:r>
      <w:r>
        <w:rPr>
          <w:sz w:val="24"/>
          <w:szCs w:val="24"/>
        </w:rPr>
        <w:t>echanism</w:t>
      </w:r>
      <w:r w:rsidRPr="008F60B7">
        <w:rPr>
          <w:sz w:val="24"/>
          <w:szCs w:val="24"/>
        </w:rPr>
        <w:t xml:space="preserve"> advised the Chief Executives Group on Disability Issues of the need to work more closely with DPOs, pursuant to Article 4(3). This led to the development of an agreement signed between DPOs and the Chief Ex</w:t>
      </w:r>
      <w:r>
        <w:rPr>
          <w:sz w:val="24"/>
          <w:szCs w:val="24"/>
        </w:rPr>
        <w:t>ecutives’ group</w:t>
      </w:r>
      <w:r w:rsidR="00E11EB4">
        <w:rPr>
          <w:sz w:val="24"/>
          <w:szCs w:val="24"/>
        </w:rPr>
        <w:t>.</w:t>
      </w:r>
      <w:r w:rsidR="006F1E4F">
        <w:rPr>
          <w:sz w:val="24"/>
          <w:szCs w:val="24"/>
        </w:rPr>
        <w:t xml:space="preserve"> </w:t>
      </w:r>
      <w:r w:rsidR="00E11EB4">
        <w:rPr>
          <w:sz w:val="24"/>
          <w:szCs w:val="24"/>
        </w:rPr>
        <w:t xml:space="preserve">A </w:t>
      </w:r>
      <w:r w:rsidR="006F1E4F">
        <w:rPr>
          <w:sz w:val="24"/>
          <w:szCs w:val="24"/>
        </w:rPr>
        <w:t xml:space="preserve">collaborative </w:t>
      </w:r>
      <w:r w:rsidRPr="008F60B7">
        <w:rPr>
          <w:sz w:val="24"/>
          <w:szCs w:val="24"/>
        </w:rPr>
        <w:t>model has since been applied for the first time in the development of the Disability Action Plan 2014-2018. In addition, four separate working groups, consistin</w:t>
      </w:r>
      <w:r w:rsidR="00E11EB4">
        <w:rPr>
          <w:sz w:val="24"/>
          <w:szCs w:val="24"/>
        </w:rPr>
        <w:t>g of government officials, DPOs</w:t>
      </w:r>
      <w:r w:rsidRPr="008F60B7">
        <w:rPr>
          <w:sz w:val="24"/>
          <w:szCs w:val="24"/>
        </w:rPr>
        <w:t xml:space="preserve"> and allied organis</w:t>
      </w:r>
      <w:r>
        <w:rPr>
          <w:sz w:val="24"/>
          <w:szCs w:val="24"/>
        </w:rPr>
        <w:t>ations, have been established to</w:t>
      </w:r>
      <w:r w:rsidRPr="008F60B7">
        <w:rPr>
          <w:sz w:val="24"/>
          <w:szCs w:val="24"/>
        </w:rPr>
        <w:t xml:space="preserve"> provide gov</w:t>
      </w:r>
      <w:r>
        <w:rPr>
          <w:sz w:val="24"/>
          <w:szCs w:val="24"/>
        </w:rPr>
        <w:t>ernance in relation to the four</w:t>
      </w:r>
      <w:r w:rsidRPr="008F60B7">
        <w:rPr>
          <w:sz w:val="24"/>
          <w:szCs w:val="24"/>
        </w:rPr>
        <w:t xml:space="preserve"> shared results in the Disability Action Plan 2014-2018. </w:t>
      </w:r>
    </w:p>
    <w:p w:rsidR="00DA1B59" w:rsidRPr="008F60B7" w:rsidRDefault="00DA1B59" w:rsidP="00DA1B59">
      <w:pPr>
        <w:jc w:val="both"/>
        <w:rPr>
          <w:sz w:val="24"/>
          <w:szCs w:val="24"/>
        </w:rPr>
      </w:pPr>
    </w:p>
    <w:p w:rsidR="00DA1B59" w:rsidRPr="008F60B7" w:rsidRDefault="00DA1B59" w:rsidP="00DA1B59">
      <w:pPr>
        <w:jc w:val="both"/>
        <w:rPr>
          <w:sz w:val="24"/>
          <w:szCs w:val="24"/>
        </w:rPr>
      </w:pPr>
      <w:r w:rsidRPr="008F60B7">
        <w:rPr>
          <w:sz w:val="24"/>
          <w:szCs w:val="24"/>
        </w:rPr>
        <w:t>While the new system is, overall, working well, traditional ‘top down’ models continue in other areas of the health and disability sector. For example, Councils and District Health Boards</w:t>
      </w:r>
      <w:r>
        <w:rPr>
          <w:sz w:val="24"/>
          <w:szCs w:val="24"/>
        </w:rPr>
        <w:t>, have</w:t>
      </w:r>
      <w:r w:rsidRPr="008F60B7">
        <w:rPr>
          <w:sz w:val="24"/>
          <w:szCs w:val="24"/>
        </w:rPr>
        <w:t xml:space="preserve"> ‘</w:t>
      </w:r>
      <w:r>
        <w:rPr>
          <w:sz w:val="24"/>
          <w:szCs w:val="24"/>
        </w:rPr>
        <w:t xml:space="preserve">consumer </w:t>
      </w:r>
      <w:r w:rsidRPr="008F60B7">
        <w:rPr>
          <w:sz w:val="24"/>
          <w:szCs w:val="24"/>
        </w:rPr>
        <w:t>advisory groups’</w:t>
      </w:r>
      <w:r>
        <w:rPr>
          <w:sz w:val="24"/>
          <w:szCs w:val="24"/>
        </w:rPr>
        <w:t>,</w:t>
      </w:r>
      <w:r w:rsidRPr="008F60B7">
        <w:rPr>
          <w:sz w:val="24"/>
          <w:szCs w:val="24"/>
        </w:rPr>
        <w:t xml:space="preserve"> but not co-leadership. </w:t>
      </w:r>
      <w:r>
        <w:rPr>
          <w:sz w:val="24"/>
          <w:szCs w:val="24"/>
        </w:rPr>
        <w:t>M</w:t>
      </w:r>
      <w:r w:rsidRPr="008F60B7">
        <w:rPr>
          <w:sz w:val="24"/>
          <w:szCs w:val="24"/>
        </w:rPr>
        <w:t xml:space="preserve">embers of the advisory groups </w:t>
      </w:r>
      <w:r>
        <w:rPr>
          <w:sz w:val="24"/>
          <w:szCs w:val="24"/>
        </w:rPr>
        <w:t xml:space="preserve">are often not members of </w:t>
      </w:r>
      <w:r w:rsidRPr="008F60B7">
        <w:rPr>
          <w:sz w:val="24"/>
          <w:szCs w:val="24"/>
        </w:rPr>
        <w:t>a DPO or an organised disability group.</w:t>
      </w:r>
    </w:p>
    <w:p w:rsidR="00DA1B59" w:rsidRPr="008F60B7" w:rsidRDefault="00DA1B59" w:rsidP="00DA1B59">
      <w:pPr>
        <w:jc w:val="both"/>
        <w:rPr>
          <w:sz w:val="24"/>
          <w:szCs w:val="24"/>
        </w:rPr>
      </w:pPr>
    </w:p>
    <w:p w:rsidR="00DA1B59" w:rsidRPr="008F60B7" w:rsidRDefault="00DA1B59" w:rsidP="00DA1B59">
      <w:pPr>
        <w:jc w:val="both"/>
        <w:rPr>
          <w:sz w:val="24"/>
          <w:szCs w:val="24"/>
        </w:rPr>
      </w:pPr>
      <w:r w:rsidRPr="008F60B7">
        <w:rPr>
          <w:sz w:val="24"/>
          <w:szCs w:val="24"/>
        </w:rPr>
        <w:t>The Ministry of Social Development currently ha</w:t>
      </w:r>
      <w:r w:rsidR="00E11EB4">
        <w:rPr>
          <w:sz w:val="24"/>
          <w:szCs w:val="24"/>
        </w:rPr>
        <w:t>s a Health and Disability Long-Term Reference Group</w:t>
      </w:r>
      <w:r w:rsidRPr="008F60B7">
        <w:rPr>
          <w:sz w:val="24"/>
          <w:szCs w:val="24"/>
        </w:rPr>
        <w:t xml:space="preserve"> which includes DPOs, disability service providers, </w:t>
      </w:r>
      <w:proofErr w:type="gramStart"/>
      <w:r w:rsidRPr="008F60B7">
        <w:rPr>
          <w:sz w:val="24"/>
          <w:szCs w:val="24"/>
        </w:rPr>
        <w:t>a</w:t>
      </w:r>
      <w:proofErr w:type="gramEnd"/>
      <w:r w:rsidRPr="008F60B7">
        <w:rPr>
          <w:sz w:val="24"/>
          <w:szCs w:val="24"/>
        </w:rPr>
        <w:t xml:space="preserve"> range of government agencies, medical practitioners, and a beneficiary action group.  </w:t>
      </w:r>
      <w:r>
        <w:rPr>
          <w:sz w:val="24"/>
          <w:szCs w:val="24"/>
        </w:rPr>
        <w:t>This group</w:t>
      </w:r>
      <w:r w:rsidRPr="008F60B7">
        <w:rPr>
          <w:sz w:val="24"/>
          <w:szCs w:val="24"/>
        </w:rPr>
        <w:t xml:space="preserve"> focus</w:t>
      </w:r>
      <w:r>
        <w:rPr>
          <w:sz w:val="24"/>
          <w:szCs w:val="24"/>
        </w:rPr>
        <w:t>es</w:t>
      </w:r>
      <w:r w:rsidRPr="008F60B7">
        <w:rPr>
          <w:sz w:val="24"/>
          <w:szCs w:val="24"/>
        </w:rPr>
        <w:t xml:space="preserve"> </w:t>
      </w:r>
      <w:r>
        <w:rPr>
          <w:sz w:val="24"/>
          <w:szCs w:val="24"/>
        </w:rPr>
        <w:t xml:space="preserve">on </w:t>
      </w:r>
      <w:r w:rsidRPr="008F60B7">
        <w:rPr>
          <w:sz w:val="24"/>
          <w:szCs w:val="24"/>
        </w:rPr>
        <w:t>improvements to the social protection</w:t>
      </w:r>
      <w:r w:rsidR="009C6CE8">
        <w:rPr>
          <w:sz w:val="24"/>
          <w:szCs w:val="24"/>
        </w:rPr>
        <w:t>s</w:t>
      </w:r>
      <w:r w:rsidRPr="008F60B7">
        <w:rPr>
          <w:sz w:val="24"/>
          <w:szCs w:val="24"/>
        </w:rPr>
        <w:t xml:space="preserve"> programme.</w:t>
      </w:r>
      <w:r>
        <w:rPr>
          <w:sz w:val="24"/>
          <w:szCs w:val="24"/>
        </w:rPr>
        <w:t xml:space="preserve"> </w:t>
      </w:r>
    </w:p>
    <w:p w:rsidR="00DA1B59" w:rsidRPr="008F60B7" w:rsidRDefault="00DA1B59" w:rsidP="00DA1B59">
      <w:pPr>
        <w:jc w:val="both"/>
        <w:rPr>
          <w:sz w:val="24"/>
          <w:szCs w:val="24"/>
        </w:rPr>
      </w:pPr>
    </w:p>
    <w:p w:rsidR="00DA1B59" w:rsidRPr="009C6CE8" w:rsidRDefault="00DA1B59" w:rsidP="00DA1B59">
      <w:pPr>
        <w:jc w:val="both"/>
        <w:rPr>
          <w:sz w:val="24"/>
          <w:szCs w:val="24"/>
        </w:rPr>
      </w:pPr>
      <w:r w:rsidRPr="008F60B7">
        <w:rPr>
          <w:sz w:val="24"/>
          <w:szCs w:val="24"/>
        </w:rPr>
        <w:t xml:space="preserve">The Ministry of Health has a Consumer Consortium </w:t>
      </w:r>
      <w:r w:rsidR="00E11EB4">
        <w:rPr>
          <w:sz w:val="24"/>
          <w:szCs w:val="24"/>
        </w:rPr>
        <w:t xml:space="preserve">that </w:t>
      </w:r>
      <w:r w:rsidR="009C6CE8">
        <w:rPr>
          <w:sz w:val="24"/>
          <w:szCs w:val="24"/>
        </w:rPr>
        <w:t xml:space="preserve">consists of </w:t>
      </w:r>
      <w:r w:rsidRPr="008F60B7">
        <w:rPr>
          <w:sz w:val="24"/>
          <w:szCs w:val="24"/>
        </w:rPr>
        <w:t>representatives from a variety of disability sector organisations.</w:t>
      </w:r>
      <w:r w:rsidRPr="008F60B7">
        <w:rPr>
          <w:rStyle w:val="FootnoteReference"/>
          <w:sz w:val="24"/>
          <w:szCs w:val="24"/>
        </w:rPr>
        <w:footnoteReference w:id="46"/>
      </w:r>
      <w:r w:rsidR="009C6CE8" w:rsidRPr="009C6CE8">
        <w:rPr>
          <w:rFonts w:ascii="Georgia" w:hAnsi="Georgia"/>
          <w:color w:val="002639"/>
          <w:sz w:val="17"/>
          <w:szCs w:val="17"/>
          <w:shd w:val="clear" w:color="auto" w:fill="FFFFFF"/>
        </w:rPr>
        <w:t xml:space="preserve"> </w:t>
      </w:r>
      <w:r w:rsidR="009C6CE8" w:rsidRPr="00E11EB4">
        <w:rPr>
          <w:color w:val="000000" w:themeColor="text1"/>
          <w:sz w:val="24"/>
          <w:szCs w:val="24"/>
          <w:shd w:val="clear" w:color="auto" w:fill="FFFFFF"/>
        </w:rPr>
        <w:t>The Consortium provides input and advice to Di</w:t>
      </w:r>
      <w:r w:rsidR="00E11EB4">
        <w:rPr>
          <w:color w:val="000000" w:themeColor="text1"/>
          <w:sz w:val="24"/>
          <w:szCs w:val="24"/>
          <w:shd w:val="clear" w:color="auto" w:fill="FFFFFF"/>
        </w:rPr>
        <w:t xml:space="preserve">sability Support Services </w:t>
      </w:r>
      <w:proofErr w:type="gramStart"/>
      <w:r w:rsidR="00E11EB4">
        <w:rPr>
          <w:color w:val="000000" w:themeColor="text1"/>
          <w:sz w:val="24"/>
          <w:szCs w:val="24"/>
          <w:shd w:val="clear" w:color="auto" w:fill="FFFFFF"/>
        </w:rPr>
        <w:t xml:space="preserve">on </w:t>
      </w:r>
      <w:r w:rsidR="009C6CE8" w:rsidRPr="00E11EB4">
        <w:rPr>
          <w:color w:val="000000" w:themeColor="text1"/>
          <w:sz w:val="24"/>
          <w:szCs w:val="24"/>
          <w:shd w:val="clear" w:color="auto" w:fill="FFFFFF"/>
        </w:rPr>
        <w:t xml:space="preserve"> planning</w:t>
      </w:r>
      <w:proofErr w:type="gramEnd"/>
      <w:r w:rsidR="009C6CE8" w:rsidRPr="00E11EB4">
        <w:rPr>
          <w:color w:val="000000" w:themeColor="text1"/>
          <w:sz w:val="24"/>
          <w:szCs w:val="24"/>
          <w:shd w:val="clear" w:color="auto" w:fill="FFFFFF"/>
        </w:rPr>
        <w:t>, policy and service development.</w:t>
      </w:r>
      <w:r w:rsidR="009C6CE8" w:rsidRPr="00E11EB4">
        <w:rPr>
          <w:rStyle w:val="FootnoteReference"/>
          <w:color w:val="000000" w:themeColor="text1"/>
          <w:sz w:val="24"/>
          <w:szCs w:val="24"/>
          <w:shd w:val="clear" w:color="auto" w:fill="FFFFFF"/>
        </w:rPr>
        <w:footnoteReference w:id="47"/>
      </w:r>
    </w:p>
    <w:p w:rsidR="00E11EB4" w:rsidRDefault="00E11EB4" w:rsidP="003B0C27">
      <w:pPr>
        <w:pStyle w:val="ListParagraph"/>
        <w:ind w:left="975"/>
        <w:rPr>
          <w:sz w:val="24"/>
          <w:szCs w:val="24"/>
        </w:rPr>
      </w:pPr>
      <w:bookmarkStart w:id="13" w:name="content"/>
      <w:bookmarkEnd w:id="13"/>
    </w:p>
    <w:p w:rsidR="0076367B" w:rsidRPr="0076367B" w:rsidRDefault="0076367B" w:rsidP="0076367B">
      <w:pPr>
        <w:pStyle w:val="ListParagraph"/>
        <w:ind w:left="0"/>
        <w:jc w:val="both"/>
        <w:rPr>
          <w:b/>
          <w:sz w:val="24"/>
          <w:szCs w:val="24"/>
        </w:rPr>
      </w:pPr>
      <w:r w:rsidRPr="0076367B">
        <w:rPr>
          <w:b/>
          <w:sz w:val="24"/>
          <w:szCs w:val="24"/>
        </w:rPr>
        <w:t>Legislation</w:t>
      </w:r>
    </w:p>
    <w:p w:rsidR="0076367B" w:rsidRDefault="0076367B" w:rsidP="0076367B">
      <w:pPr>
        <w:pStyle w:val="ListParagraph"/>
        <w:ind w:left="0"/>
        <w:jc w:val="both"/>
        <w:rPr>
          <w:sz w:val="24"/>
          <w:szCs w:val="24"/>
        </w:rPr>
      </w:pPr>
    </w:p>
    <w:p w:rsidR="00DA1B59" w:rsidRDefault="00864667" w:rsidP="00A5097F">
      <w:pPr>
        <w:pStyle w:val="ListParagraph"/>
        <w:ind w:left="0"/>
        <w:jc w:val="both"/>
        <w:rPr>
          <w:sz w:val="24"/>
          <w:szCs w:val="24"/>
        </w:rPr>
      </w:pPr>
      <w:r>
        <w:rPr>
          <w:sz w:val="24"/>
          <w:szCs w:val="24"/>
        </w:rPr>
        <w:t>There are 1</w:t>
      </w:r>
      <w:r w:rsidR="00D2686B">
        <w:rPr>
          <w:sz w:val="24"/>
          <w:szCs w:val="24"/>
        </w:rPr>
        <w:t>5</w:t>
      </w:r>
      <w:r w:rsidR="0076367B">
        <w:rPr>
          <w:sz w:val="24"/>
          <w:szCs w:val="24"/>
        </w:rPr>
        <w:t xml:space="preserve"> key Acts that </w:t>
      </w:r>
      <w:r w:rsidR="00D2686B">
        <w:rPr>
          <w:sz w:val="24"/>
          <w:szCs w:val="24"/>
        </w:rPr>
        <w:t xml:space="preserve">have a direct </w:t>
      </w:r>
      <w:r w:rsidR="0076367B">
        <w:rPr>
          <w:sz w:val="24"/>
          <w:szCs w:val="24"/>
        </w:rPr>
        <w:t xml:space="preserve">impact on disabled people’s human </w:t>
      </w:r>
      <w:r w:rsidR="009A3898">
        <w:rPr>
          <w:sz w:val="24"/>
          <w:szCs w:val="24"/>
        </w:rPr>
        <w:t xml:space="preserve">rights and access to </w:t>
      </w:r>
      <w:r w:rsidR="00557A60">
        <w:rPr>
          <w:sz w:val="24"/>
          <w:szCs w:val="24"/>
        </w:rPr>
        <w:t>social protection programmes (s</w:t>
      </w:r>
      <w:r w:rsidR="009A3898" w:rsidRPr="00557A60">
        <w:rPr>
          <w:sz w:val="24"/>
          <w:szCs w:val="24"/>
        </w:rPr>
        <w:t xml:space="preserve">ee Appendix </w:t>
      </w:r>
      <w:r w:rsidR="00557A60" w:rsidRPr="00557A60">
        <w:rPr>
          <w:sz w:val="24"/>
          <w:szCs w:val="24"/>
        </w:rPr>
        <w:t>1</w:t>
      </w:r>
      <w:r w:rsidR="00557A60">
        <w:rPr>
          <w:sz w:val="24"/>
          <w:szCs w:val="24"/>
        </w:rPr>
        <w:t>)</w:t>
      </w:r>
      <w:r w:rsidR="009A3898" w:rsidRPr="00557A60">
        <w:rPr>
          <w:sz w:val="24"/>
          <w:szCs w:val="24"/>
        </w:rPr>
        <w:t>.</w:t>
      </w:r>
      <w:r w:rsidR="009A3898">
        <w:rPr>
          <w:sz w:val="24"/>
          <w:szCs w:val="24"/>
        </w:rPr>
        <w:t xml:space="preserve"> </w:t>
      </w:r>
      <w:r w:rsidR="0076367B">
        <w:rPr>
          <w:sz w:val="24"/>
          <w:szCs w:val="24"/>
        </w:rPr>
        <w:t xml:space="preserve">Some </w:t>
      </w:r>
      <w:r w:rsidR="00246549">
        <w:rPr>
          <w:sz w:val="24"/>
          <w:szCs w:val="24"/>
        </w:rPr>
        <w:t xml:space="preserve">of New Zealand’s legislation grossly breeches </w:t>
      </w:r>
      <w:r w:rsidR="009A3898">
        <w:rPr>
          <w:sz w:val="24"/>
          <w:szCs w:val="24"/>
        </w:rPr>
        <w:t xml:space="preserve">the </w:t>
      </w:r>
      <w:r>
        <w:rPr>
          <w:sz w:val="24"/>
          <w:szCs w:val="24"/>
        </w:rPr>
        <w:t xml:space="preserve">UNCRPD </w:t>
      </w:r>
      <w:r w:rsidR="0076367B">
        <w:rPr>
          <w:sz w:val="24"/>
          <w:szCs w:val="24"/>
        </w:rPr>
        <w:t xml:space="preserve">(e.g. Mental Health Act 1992; </w:t>
      </w:r>
      <w:r w:rsidR="0076367B" w:rsidRPr="00FF0CC0">
        <w:rPr>
          <w:sz w:val="24"/>
          <w:szCs w:val="24"/>
        </w:rPr>
        <w:t xml:space="preserve">Intellectual </w:t>
      </w:r>
      <w:r w:rsidR="0076367B" w:rsidRPr="00FF0CC0">
        <w:rPr>
          <w:sz w:val="24"/>
          <w:szCs w:val="24"/>
        </w:rPr>
        <w:lastRenderedPageBreak/>
        <w:t>Disability Act 2003)</w:t>
      </w:r>
      <w:r w:rsidR="00246549">
        <w:rPr>
          <w:sz w:val="24"/>
          <w:szCs w:val="24"/>
        </w:rPr>
        <w:t xml:space="preserve"> and there are urgent calls from DPOs for the government to review legislation</w:t>
      </w:r>
      <w:r>
        <w:rPr>
          <w:sz w:val="24"/>
          <w:szCs w:val="24"/>
        </w:rPr>
        <w:t xml:space="preserve"> so that disabled people’s human rights – irrespective of impairment type – are upheld</w:t>
      </w:r>
      <w:r w:rsidR="0076367B" w:rsidRPr="00FF0CC0">
        <w:rPr>
          <w:sz w:val="24"/>
          <w:szCs w:val="24"/>
        </w:rPr>
        <w:t>.</w:t>
      </w:r>
      <w:r w:rsidR="0076367B">
        <w:rPr>
          <w:sz w:val="24"/>
          <w:szCs w:val="24"/>
        </w:rPr>
        <w:t xml:space="preserve"> </w:t>
      </w:r>
      <w:r w:rsidR="008D4497">
        <w:rPr>
          <w:sz w:val="24"/>
          <w:szCs w:val="24"/>
        </w:rPr>
        <w:t>While some legislation</w:t>
      </w:r>
      <w:r w:rsidR="00E11EB4">
        <w:rPr>
          <w:sz w:val="24"/>
          <w:szCs w:val="24"/>
        </w:rPr>
        <w:t xml:space="preserve"> requiring review or amendment</w:t>
      </w:r>
      <w:r w:rsidR="008D4497">
        <w:rPr>
          <w:sz w:val="24"/>
          <w:szCs w:val="24"/>
        </w:rPr>
        <w:t xml:space="preserve"> is included in the Disability Action Plan 2014-2018, other legislation warranting attention is yet to be included.</w:t>
      </w:r>
    </w:p>
    <w:p w:rsidR="0087394F" w:rsidRDefault="00F21E48" w:rsidP="00832154">
      <w:pPr>
        <w:pStyle w:val="Heading1"/>
      </w:pPr>
      <w:bookmarkStart w:id="14" w:name="_Toc420885837"/>
      <w:r w:rsidRPr="00F21E48">
        <w:t xml:space="preserve">Institutional framework </w:t>
      </w:r>
      <w:r w:rsidR="00925408">
        <w:t>-</w:t>
      </w:r>
      <w:r w:rsidR="008D65C5" w:rsidRPr="00F21E48">
        <w:t xml:space="preserve"> </w:t>
      </w:r>
      <w:r w:rsidR="009E2F95">
        <w:t>areas for i</w:t>
      </w:r>
      <w:r w:rsidR="00864667">
        <w:t>mprovement</w:t>
      </w:r>
      <w:bookmarkEnd w:id="14"/>
    </w:p>
    <w:p w:rsidR="00C75244" w:rsidRDefault="00C75244" w:rsidP="00D632C4">
      <w:pPr>
        <w:rPr>
          <w:b/>
          <w:sz w:val="28"/>
          <w:szCs w:val="28"/>
        </w:rPr>
      </w:pPr>
    </w:p>
    <w:p w:rsidR="00832154" w:rsidRDefault="00832154" w:rsidP="000A76E1">
      <w:pPr>
        <w:pStyle w:val="ListParagraph"/>
        <w:ind w:left="0"/>
        <w:jc w:val="both"/>
        <w:rPr>
          <w:b/>
          <w:sz w:val="24"/>
          <w:szCs w:val="24"/>
        </w:rPr>
      </w:pPr>
    </w:p>
    <w:p w:rsidR="000A76E1" w:rsidRPr="00325FB8" w:rsidRDefault="000A76E1" w:rsidP="00832154">
      <w:pPr>
        <w:pStyle w:val="Heading2"/>
      </w:pPr>
      <w:bookmarkStart w:id="15" w:name="_Toc420885838"/>
      <w:r>
        <w:t>Government Ministers and Chief Executives</w:t>
      </w:r>
      <w:r w:rsidR="00740387">
        <w:t xml:space="preserve"> -</w:t>
      </w:r>
      <w:r w:rsidR="009E2F95">
        <w:t xml:space="preserve"> k</w:t>
      </w:r>
      <w:r w:rsidR="002F0B21">
        <w:t xml:space="preserve">nowledge and </w:t>
      </w:r>
      <w:r w:rsidRPr="00325FB8">
        <w:t>commitment</w:t>
      </w:r>
      <w:bookmarkEnd w:id="15"/>
      <w:r w:rsidRPr="00325FB8">
        <w:t xml:space="preserve"> </w:t>
      </w:r>
    </w:p>
    <w:p w:rsidR="000A76E1" w:rsidRDefault="000A76E1" w:rsidP="000A76E1">
      <w:pPr>
        <w:pStyle w:val="ListParagraph"/>
        <w:ind w:left="0"/>
        <w:jc w:val="both"/>
        <w:rPr>
          <w:sz w:val="24"/>
          <w:szCs w:val="24"/>
        </w:rPr>
      </w:pPr>
    </w:p>
    <w:p w:rsidR="006C349C" w:rsidRDefault="0042234D" w:rsidP="006C349C">
      <w:pPr>
        <w:pStyle w:val="ListParagraph"/>
        <w:ind w:left="0"/>
        <w:jc w:val="both"/>
        <w:rPr>
          <w:sz w:val="24"/>
          <w:szCs w:val="24"/>
        </w:rPr>
      </w:pPr>
      <w:r>
        <w:rPr>
          <w:sz w:val="24"/>
          <w:szCs w:val="24"/>
        </w:rPr>
        <w:t xml:space="preserve">Government </w:t>
      </w:r>
      <w:r w:rsidR="004351C1">
        <w:rPr>
          <w:sz w:val="24"/>
          <w:szCs w:val="24"/>
        </w:rPr>
        <w:t xml:space="preserve">ministers </w:t>
      </w:r>
      <w:r>
        <w:rPr>
          <w:sz w:val="24"/>
          <w:szCs w:val="24"/>
        </w:rPr>
        <w:t xml:space="preserve">and chief executives </w:t>
      </w:r>
      <w:r w:rsidR="000A76E1">
        <w:rPr>
          <w:sz w:val="24"/>
          <w:szCs w:val="24"/>
        </w:rPr>
        <w:t>knowledge and understanding of disability, the h</w:t>
      </w:r>
      <w:r w:rsidR="00E11EB4">
        <w:rPr>
          <w:sz w:val="24"/>
          <w:szCs w:val="24"/>
        </w:rPr>
        <w:t>uman rights approach and UNCRPD</w:t>
      </w:r>
      <w:r w:rsidR="000A76E1">
        <w:rPr>
          <w:sz w:val="24"/>
          <w:szCs w:val="24"/>
        </w:rPr>
        <w:t xml:space="preserve"> is typically limited. </w:t>
      </w:r>
      <w:r>
        <w:rPr>
          <w:sz w:val="24"/>
          <w:szCs w:val="24"/>
        </w:rPr>
        <w:t>Each time the government changes, or there is a cabinet reshuffle</w:t>
      </w:r>
      <w:r w:rsidR="004351C1">
        <w:rPr>
          <w:sz w:val="24"/>
          <w:szCs w:val="24"/>
        </w:rPr>
        <w:t xml:space="preserve"> (as occurred in 2014)</w:t>
      </w:r>
      <w:r>
        <w:rPr>
          <w:sz w:val="24"/>
          <w:szCs w:val="24"/>
        </w:rPr>
        <w:t xml:space="preserve">, a new Minister of Disability issues and Minister of Social Development </w:t>
      </w:r>
      <w:r w:rsidR="008C256C">
        <w:rPr>
          <w:sz w:val="24"/>
          <w:szCs w:val="24"/>
        </w:rPr>
        <w:t xml:space="preserve">is </w:t>
      </w:r>
      <w:r w:rsidR="004351C1">
        <w:rPr>
          <w:sz w:val="24"/>
          <w:szCs w:val="24"/>
        </w:rPr>
        <w:t xml:space="preserve">appointed; likewise, other </w:t>
      </w:r>
      <w:r w:rsidR="008C256C">
        <w:rPr>
          <w:sz w:val="24"/>
          <w:szCs w:val="24"/>
        </w:rPr>
        <w:t xml:space="preserve">cabinet </w:t>
      </w:r>
      <w:r w:rsidR="004351C1">
        <w:rPr>
          <w:sz w:val="24"/>
          <w:szCs w:val="24"/>
        </w:rPr>
        <w:t>Ministers are</w:t>
      </w:r>
      <w:r w:rsidR="008C256C">
        <w:rPr>
          <w:sz w:val="24"/>
          <w:szCs w:val="24"/>
        </w:rPr>
        <w:t xml:space="preserve"> also changed</w:t>
      </w:r>
      <w:r w:rsidR="004351C1">
        <w:rPr>
          <w:sz w:val="24"/>
          <w:szCs w:val="24"/>
        </w:rPr>
        <w:t>.</w:t>
      </w:r>
      <w:r>
        <w:rPr>
          <w:sz w:val="24"/>
          <w:szCs w:val="24"/>
        </w:rPr>
        <w:t xml:space="preserve"> Ministers typically have little or no knowledge of disability and</w:t>
      </w:r>
      <w:r w:rsidR="00EA3898">
        <w:rPr>
          <w:sz w:val="24"/>
          <w:szCs w:val="24"/>
        </w:rPr>
        <w:t xml:space="preserve"> UNCRPD</w:t>
      </w:r>
      <w:r>
        <w:rPr>
          <w:sz w:val="24"/>
          <w:szCs w:val="24"/>
        </w:rPr>
        <w:t>. This means the responsibility for educating e</w:t>
      </w:r>
      <w:r w:rsidR="00B87182">
        <w:rPr>
          <w:sz w:val="24"/>
          <w:szCs w:val="24"/>
        </w:rPr>
        <w:t xml:space="preserve">ach new Minister rests with the Office for Disability Issues. The protection and promotion of disabled peoples human rights, and the provision of an adequate social protections system, is ultimately </w:t>
      </w:r>
      <w:r>
        <w:rPr>
          <w:sz w:val="24"/>
          <w:szCs w:val="24"/>
        </w:rPr>
        <w:t>relia</w:t>
      </w:r>
      <w:r w:rsidR="00B87182">
        <w:rPr>
          <w:sz w:val="24"/>
          <w:szCs w:val="24"/>
        </w:rPr>
        <w:t>nt on willing ministers</w:t>
      </w:r>
      <w:r>
        <w:rPr>
          <w:sz w:val="24"/>
          <w:szCs w:val="24"/>
        </w:rPr>
        <w:t xml:space="preserve">.  </w:t>
      </w:r>
      <w:r w:rsidR="006C349C">
        <w:rPr>
          <w:sz w:val="24"/>
          <w:szCs w:val="24"/>
        </w:rPr>
        <w:t>It also means that</w:t>
      </w:r>
      <w:r w:rsidR="008C256C">
        <w:rPr>
          <w:sz w:val="24"/>
          <w:szCs w:val="24"/>
        </w:rPr>
        <w:t xml:space="preserve"> </w:t>
      </w:r>
      <w:r w:rsidR="006C349C">
        <w:rPr>
          <w:sz w:val="24"/>
          <w:szCs w:val="24"/>
        </w:rPr>
        <w:t xml:space="preserve">government officials’ commitment to, and the prioritisation of, social protections for disabled people, and the implementation of UNCRPD, is always precarious. </w:t>
      </w:r>
    </w:p>
    <w:p w:rsidR="004351C1" w:rsidRDefault="004351C1" w:rsidP="000A76E1">
      <w:pPr>
        <w:pStyle w:val="ListParagraph"/>
        <w:ind w:left="0"/>
        <w:jc w:val="both"/>
        <w:rPr>
          <w:sz w:val="24"/>
          <w:szCs w:val="24"/>
        </w:rPr>
      </w:pPr>
    </w:p>
    <w:p w:rsidR="000A76E1" w:rsidRPr="00DC79F4" w:rsidRDefault="000A76E1" w:rsidP="000A76E1">
      <w:pPr>
        <w:pStyle w:val="ListParagraph"/>
        <w:ind w:left="0"/>
        <w:jc w:val="both"/>
        <w:rPr>
          <w:b/>
          <w:sz w:val="24"/>
          <w:szCs w:val="24"/>
        </w:rPr>
      </w:pPr>
      <w:r w:rsidRPr="00DC79F4">
        <w:rPr>
          <w:b/>
          <w:sz w:val="24"/>
          <w:szCs w:val="24"/>
        </w:rPr>
        <w:t>Example</w:t>
      </w:r>
    </w:p>
    <w:p w:rsidR="000A76E1" w:rsidRDefault="000A76E1" w:rsidP="000A76E1">
      <w:pPr>
        <w:pStyle w:val="ListParagraph"/>
        <w:ind w:left="0"/>
        <w:jc w:val="both"/>
        <w:rPr>
          <w:sz w:val="24"/>
          <w:szCs w:val="24"/>
        </w:rPr>
      </w:pPr>
    </w:p>
    <w:p w:rsidR="00E11EB4" w:rsidRPr="00A5097F" w:rsidRDefault="000A76E1" w:rsidP="00A5097F">
      <w:pPr>
        <w:pStyle w:val="ListParagraph"/>
        <w:ind w:left="0"/>
        <w:jc w:val="both"/>
        <w:rPr>
          <w:sz w:val="24"/>
          <w:szCs w:val="24"/>
        </w:rPr>
      </w:pPr>
      <w:r>
        <w:rPr>
          <w:sz w:val="24"/>
          <w:szCs w:val="24"/>
        </w:rPr>
        <w:t>The Disabled Persons Assembly</w:t>
      </w:r>
      <w:r w:rsidR="00E11EB4">
        <w:rPr>
          <w:sz w:val="24"/>
          <w:szCs w:val="24"/>
        </w:rPr>
        <w:t xml:space="preserve">, with support from Te </w:t>
      </w:r>
      <w:proofErr w:type="spellStart"/>
      <w:r w:rsidR="00E11EB4">
        <w:rPr>
          <w:sz w:val="24"/>
          <w:szCs w:val="24"/>
        </w:rPr>
        <w:t>Pou</w:t>
      </w:r>
      <w:proofErr w:type="spellEnd"/>
      <w:r w:rsidR="00E11EB4">
        <w:rPr>
          <w:sz w:val="24"/>
          <w:szCs w:val="24"/>
        </w:rPr>
        <w:t>,</w:t>
      </w:r>
      <w:r>
        <w:rPr>
          <w:sz w:val="24"/>
          <w:szCs w:val="24"/>
        </w:rPr>
        <w:t xml:space="preserve"> recently </w:t>
      </w:r>
      <w:r w:rsidR="00087461">
        <w:rPr>
          <w:sz w:val="24"/>
          <w:szCs w:val="24"/>
        </w:rPr>
        <w:t xml:space="preserve">designed and </w:t>
      </w:r>
      <w:r>
        <w:rPr>
          <w:sz w:val="24"/>
          <w:szCs w:val="24"/>
        </w:rPr>
        <w:t>developed a UNCRPD education programme for the disability support workforce (DSS) and disabled people.</w:t>
      </w:r>
      <w:r w:rsidR="00087461">
        <w:rPr>
          <w:rStyle w:val="FootnoteReference"/>
          <w:sz w:val="24"/>
          <w:szCs w:val="24"/>
        </w:rPr>
        <w:footnoteReference w:id="48"/>
      </w:r>
      <w:r>
        <w:rPr>
          <w:sz w:val="24"/>
          <w:szCs w:val="24"/>
        </w:rPr>
        <w:t xml:space="preserve"> </w:t>
      </w:r>
      <w:r w:rsidR="00087461">
        <w:rPr>
          <w:sz w:val="24"/>
          <w:szCs w:val="24"/>
        </w:rPr>
        <w:t>UNCRPD e</w:t>
      </w:r>
      <w:r>
        <w:rPr>
          <w:sz w:val="24"/>
          <w:szCs w:val="24"/>
        </w:rPr>
        <w:t xml:space="preserve">ducation of the DSS workforce and disabled people are stated objectives </w:t>
      </w:r>
      <w:r w:rsidR="00087461">
        <w:rPr>
          <w:sz w:val="24"/>
          <w:szCs w:val="24"/>
        </w:rPr>
        <w:t xml:space="preserve">in </w:t>
      </w:r>
      <w:r>
        <w:rPr>
          <w:sz w:val="24"/>
          <w:szCs w:val="24"/>
        </w:rPr>
        <w:t xml:space="preserve">the Disability Workforce Action Plan 2013-2016. </w:t>
      </w:r>
      <w:r w:rsidR="00E11EB4">
        <w:rPr>
          <w:sz w:val="24"/>
          <w:szCs w:val="24"/>
        </w:rPr>
        <w:t xml:space="preserve">Although </w:t>
      </w:r>
      <w:r w:rsidR="007E30EB">
        <w:rPr>
          <w:sz w:val="24"/>
          <w:szCs w:val="24"/>
        </w:rPr>
        <w:t xml:space="preserve">a series of </w:t>
      </w:r>
      <w:r>
        <w:rPr>
          <w:sz w:val="24"/>
          <w:szCs w:val="24"/>
        </w:rPr>
        <w:t>pilot workshops</w:t>
      </w:r>
      <w:r w:rsidR="00E11EB4">
        <w:rPr>
          <w:sz w:val="24"/>
          <w:szCs w:val="24"/>
        </w:rPr>
        <w:t xml:space="preserve"> were highly successful and resulted in a </w:t>
      </w:r>
      <w:r w:rsidR="007E30EB">
        <w:rPr>
          <w:sz w:val="24"/>
          <w:szCs w:val="24"/>
        </w:rPr>
        <w:t xml:space="preserve">positive </w:t>
      </w:r>
      <w:r>
        <w:rPr>
          <w:sz w:val="24"/>
          <w:szCs w:val="24"/>
        </w:rPr>
        <w:t>evaluation of this programme</w:t>
      </w:r>
      <w:r w:rsidR="00E11EB4">
        <w:rPr>
          <w:sz w:val="24"/>
          <w:szCs w:val="24"/>
        </w:rPr>
        <w:t xml:space="preserve"> by the disability sector</w:t>
      </w:r>
      <w:r>
        <w:rPr>
          <w:sz w:val="24"/>
          <w:szCs w:val="24"/>
        </w:rPr>
        <w:t xml:space="preserve">, funding for UNCRPD education </w:t>
      </w:r>
      <w:r w:rsidR="008C256C">
        <w:rPr>
          <w:sz w:val="24"/>
          <w:szCs w:val="24"/>
        </w:rPr>
        <w:t xml:space="preserve">is not currently available. </w:t>
      </w:r>
      <w:r w:rsidR="00955C1D">
        <w:rPr>
          <w:sz w:val="24"/>
          <w:szCs w:val="24"/>
        </w:rPr>
        <w:t xml:space="preserve">This insecurity of funding, and the political pressures that influence funding decisions, </w:t>
      </w:r>
      <w:r w:rsidR="00E11EB4">
        <w:rPr>
          <w:sz w:val="24"/>
          <w:szCs w:val="24"/>
        </w:rPr>
        <w:t>means there is an absence of adequate UNCRPD education for</w:t>
      </w:r>
      <w:r w:rsidR="008C256C">
        <w:rPr>
          <w:sz w:val="24"/>
          <w:szCs w:val="24"/>
        </w:rPr>
        <w:t xml:space="preserve"> the government and non-government workforce</w:t>
      </w:r>
      <w:r w:rsidR="00E11EB4">
        <w:rPr>
          <w:sz w:val="24"/>
          <w:szCs w:val="24"/>
        </w:rPr>
        <w:t>.</w:t>
      </w:r>
      <w:r w:rsidR="008C256C">
        <w:rPr>
          <w:sz w:val="24"/>
          <w:szCs w:val="24"/>
        </w:rPr>
        <w:t xml:space="preserve"> </w:t>
      </w:r>
      <w:r w:rsidR="00DC79F4">
        <w:rPr>
          <w:sz w:val="24"/>
          <w:szCs w:val="24"/>
        </w:rPr>
        <w:t xml:space="preserve">There is an urgent need to effectively fund the </w:t>
      </w:r>
      <w:r w:rsidR="00E11EB4">
        <w:rPr>
          <w:sz w:val="24"/>
          <w:szCs w:val="24"/>
        </w:rPr>
        <w:t>nation-wide implementation of this UNCRPD e</w:t>
      </w:r>
      <w:r w:rsidR="00DC79F4">
        <w:rPr>
          <w:sz w:val="24"/>
          <w:szCs w:val="24"/>
        </w:rPr>
        <w:t>ducation programme.</w:t>
      </w:r>
    </w:p>
    <w:p w:rsidR="002F0B21" w:rsidRPr="00030E60" w:rsidRDefault="002F0B21" w:rsidP="00832154">
      <w:pPr>
        <w:pStyle w:val="Heading2"/>
      </w:pPr>
      <w:bookmarkStart w:id="16" w:name="_Toc420885839"/>
      <w:r w:rsidRPr="00030E60">
        <w:t xml:space="preserve">Funding </w:t>
      </w:r>
      <w:r>
        <w:t>insecurity and inadequacy</w:t>
      </w:r>
      <w:bookmarkEnd w:id="16"/>
    </w:p>
    <w:p w:rsidR="002F0B21" w:rsidRDefault="002F0B21" w:rsidP="002F0B21">
      <w:pPr>
        <w:pStyle w:val="ListParagraph"/>
        <w:ind w:left="0"/>
        <w:jc w:val="both"/>
        <w:rPr>
          <w:sz w:val="24"/>
          <w:szCs w:val="24"/>
        </w:rPr>
      </w:pPr>
    </w:p>
    <w:p w:rsidR="002F0B21" w:rsidRDefault="002F0B21" w:rsidP="002F0B21">
      <w:pPr>
        <w:pStyle w:val="ListParagraph"/>
        <w:ind w:left="0"/>
        <w:jc w:val="both"/>
        <w:rPr>
          <w:sz w:val="24"/>
          <w:szCs w:val="24"/>
        </w:rPr>
      </w:pPr>
      <w:r>
        <w:rPr>
          <w:sz w:val="24"/>
          <w:szCs w:val="24"/>
        </w:rPr>
        <w:t xml:space="preserve">The process of government funding, and contracting with providers and non-government agencies, means that each Ministry (e.g. Health, Social Development, Education, </w:t>
      </w:r>
      <w:proofErr w:type="gramStart"/>
      <w:r>
        <w:rPr>
          <w:sz w:val="24"/>
          <w:szCs w:val="24"/>
        </w:rPr>
        <w:t>Justice</w:t>
      </w:r>
      <w:proofErr w:type="gramEnd"/>
      <w:r>
        <w:rPr>
          <w:sz w:val="24"/>
          <w:szCs w:val="24"/>
        </w:rPr>
        <w:t xml:space="preserve">) contests funding. The tenuous commitment by government officials also means that funding to enable a whole of government approach to the implementation of the UNCRPD, social protections for disabled people, and the transformation of the disability support system, is insecure. Further, funding for </w:t>
      </w:r>
      <w:r>
        <w:rPr>
          <w:sz w:val="24"/>
          <w:szCs w:val="24"/>
        </w:rPr>
        <w:lastRenderedPageBreak/>
        <w:t xml:space="preserve">disabled people, like </w:t>
      </w:r>
      <w:proofErr w:type="spellStart"/>
      <w:r>
        <w:rPr>
          <w:sz w:val="24"/>
          <w:szCs w:val="24"/>
        </w:rPr>
        <w:t>tangata</w:t>
      </w:r>
      <w:proofErr w:type="spellEnd"/>
      <w:r>
        <w:rPr>
          <w:sz w:val="24"/>
          <w:szCs w:val="24"/>
        </w:rPr>
        <w:t xml:space="preserve"> </w:t>
      </w:r>
      <w:proofErr w:type="spellStart"/>
      <w:r>
        <w:rPr>
          <w:sz w:val="24"/>
          <w:szCs w:val="24"/>
        </w:rPr>
        <w:t>whenua</w:t>
      </w:r>
      <w:proofErr w:type="spellEnd"/>
      <w:r>
        <w:rPr>
          <w:sz w:val="24"/>
          <w:szCs w:val="24"/>
        </w:rPr>
        <w:t xml:space="preserve"> and </w:t>
      </w:r>
      <w:proofErr w:type="spellStart"/>
      <w:r>
        <w:rPr>
          <w:sz w:val="24"/>
          <w:szCs w:val="24"/>
        </w:rPr>
        <w:t>Pasifika</w:t>
      </w:r>
      <w:proofErr w:type="spellEnd"/>
      <w:r>
        <w:rPr>
          <w:sz w:val="24"/>
          <w:szCs w:val="24"/>
        </w:rPr>
        <w:t xml:space="preserve">, is always discretionary. This means that the existence of programmes and projects are subject to termination at any time. </w:t>
      </w:r>
    </w:p>
    <w:p w:rsidR="00DC79F4" w:rsidRDefault="00DC79F4" w:rsidP="002F0B21">
      <w:pPr>
        <w:pStyle w:val="ListParagraph"/>
        <w:ind w:left="0"/>
        <w:jc w:val="both"/>
        <w:rPr>
          <w:sz w:val="24"/>
          <w:szCs w:val="24"/>
        </w:rPr>
      </w:pPr>
    </w:p>
    <w:p w:rsidR="002F0B21" w:rsidRPr="00E74B7C" w:rsidRDefault="002F0B21" w:rsidP="002F0B21">
      <w:pPr>
        <w:pStyle w:val="ListParagraph"/>
        <w:ind w:left="0"/>
        <w:jc w:val="both"/>
        <w:rPr>
          <w:b/>
          <w:sz w:val="24"/>
          <w:szCs w:val="24"/>
        </w:rPr>
      </w:pPr>
      <w:r w:rsidRPr="00E74B7C">
        <w:rPr>
          <w:b/>
          <w:sz w:val="24"/>
          <w:szCs w:val="24"/>
        </w:rPr>
        <w:t>Examples</w:t>
      </w:r>
    </w:p>
    <w:p w:rsidR="002F0B21" w:rsidRDefault="002F0B21" w:rsidP="002F0B21">
      <w:pPr>
        <w:pStyle w:val="ListParagraph"/>
        <w:ind w:left="0"/>
        <w:jc w:val="both"/>
        <w:rPr>
          <w:sz w:val="24"/>
          <w:szCs w:val="24"/>
        </w:rPr>
      </w:pPr>
    </w:p>
    <w:p w:rsidR="002F0B21" w:rsidRDefault="002F0B21" w:rsidP="002F0B21">
      <w:pPr>
        <w:pStyle w:val="ListParagraph"/>
        <w:ind w:left="0"/>
        <w:jc w:val="both"/>
        <w:rPr>
          <w:sz w:val="24"/>
          <w:szCs w:val="24"/>
        </w:rPr>
      </w:pPr>
      <w:r>
        <w:rPr>
          <w:sz w:val="24"/>
          <w:szCs w:val="24"/>
        </w:rPr>
        <w:t xml:space="preserve">Te </w:t>
      </w:r>
      <w:proofErr w:type="spellStart"/>
      <w:r>
        <w:rPr>
          <w:sz w:val="24"/>
          <w:szCs w:val="24"/>
        </w:rPr>
        <w:t>Pou</w:t>
      </w:r>
      <w:proofErr w:type="spellEnd"/>
      <w:r>
        <w:rPr>
          <w:sz w:val="24"/>
          <w:szCs w:val="24"/>
        </w:rPr>
        <w:t xml:space="preserve">, the national non-government organisation responsible for workforce development across the disability and mental health sectors, is currently required to retender to secure </w:t>
      </w:r>
      <w:r w:rsidR="00E108C3">
        <w:rPr>
          <w:sz w:val="24"/>
          <w:szCs w:val="24"/>
        </w:rPr>
        <w:t>ongoing</w:t>
      </w:r>
      <w:r w:rsidR="00E11EB4">
        <w:rPr>
          <w:sz w:val="24"/>
          <w:szCs w:val="24"/>
        </w:rPr>
        <w:t xml:space="preserve"> government</w:t>
      </w:r>
      <w:r>
        <w:rPr>
          <w:sz w:val="24"/>
          <w:szCs w:val="24"/>
        </w:rPr>
        <w:t xml:space="preserve"> funding. This organisation is well established, well respected by the mental health and disability sectors, and has a proven track record of delivering to a high standard. However, the entire organisation is currently unsure whether it will be funded in future</w:t>
      </w:r>
      <w:r w:rsidR="00E11EB4">
        <w:rPr>
          <w:sz w:val="24"/>
          <w:szCs w:val="24"/>
        </w:rPr>
        <w:t xml:space="preserve"> and in turn means that non-government organisations that depend on Te </w:t>
      </w:r>
      <w:proofErr w:type="spellStart"/>
      <w:r w:rsidR="00E11EB4">
        <w:rPr>
          <w:sz w:val="24"/>
          <w:szCs w:val="24"/>
        </w:rPr>
        <w:t>Pou</w:t>
      </w:r>
      <w:proofErr w:type="spellEnd"/>
      <w:r w:rsidR="00E11EB4">
        <w:rPr>
          <w:sz w:val="24"/>
          <w:szCs w:val="24"/>
        </w:rPr>
        <w:t xml:space="preserve"> for contracts also have an uncertain future</w:t>
      </w:r>
      <w:r>
        <w:rPr>
          <w:sz w:val="24"/>
          <w:szCs w:val="24"/>
        </w:rPr>
        <w:t xml:space="preserve">. </w:t>
      </w:r>
    </w:p>
    <w:p w:rsidR="002F0B21" w:rsidRDefault="002F0B21" w:rsidP="002F0B21">
      <w:pPr>
        <w:pStyle w:val="ListParagraph"/>
        <w:ind w:left="0"/>
        <w:jc w:val="both"/>
        <w:rPr>
          <w:sz w:val="24"/>
          <w:szCs w:val="24"/>
        </w:rPr>
      </w:pPr>
    </w:p>
    <w:p w:rsidR="002F0B21" w:rsidRPr="006C5B1A" w:rsidRDefault="002F0B21" w:rsidP="002F0B21">
      <w:pPr>
        <w:pStyle w:val="ListParagraph"/>
        <w:ind w:left="0"/>
        <w:jc w:val="both"/>
        <w:rPr>
          <w:color w:val="000000"/>
          <w:sz w:val="24"/>
          <w:szCs w:val="24"/>
          <w:shd w:val="clear" w:color="auto" w:fill="FFFFFF"/>
        </w:rPr>
      </w:pPr>
      <w:r>
        <w:rPr>
          <w:sz w:val="24"/>
          <w:szCs w:val="24"/>
        </w:rPr>
        <w:t>The ‘Think Differently’ campaign</w:t>
      </w:r>
      <w:r w:rsidR="00A306D8">
        <w:rPr>
          <w:sz w:val="24"/>
          <w:szCs w:val="24"/>
        </w:rPr>
        <w:t xml:space="preserve"> is </w:t>
      </w:r>
      <w:r>
        <w:rPr>
          <w:sz w:val="24"/>
          <w:szCs w:val="24"/>
        </w:rPr>
        <w:t xml:space="preserve">a relatively recent initiative designed to </w:t>
      </w:r>
      <w:r w:rsidRPr="006C5B1A">
        <w:rPr>
          <w:color w:val="000000"/>
          <w:sz w:val="24"/>
          <w:szCs w:val="24"/>
          <w:shd w:val="clear" w:color="auto" w:fill="FFFFFF"/>
        </w:rPr>
        <w:t xml:space="preserve">promote positive attitudes and behaviours towards disabled people nationwide. </w:t>
      </w:r>
      <w:r>
        <w:rPr>
          <w:color w:val="000000"/>
          <w:sz w:val="24"/>
          <w:szCs w:val="24"/>
          <w:shd w:val="clear" w:color="auto" w:fill="FFFFFF"/>
        </w:rPr>
        <w:t xml:space="preserve"> However, </w:t>
      </w:r>
      <w:r w:rsidR="00A306D8">
        <w:rPr>
          <w:color w:val="000000"/>
          <w:sz w:val="24"/>
          <w:szCs w:val="24"/>
          <w:shd w:val="clear" w:color="auto" w:fill="FFFFFF"/>
        </w:rPr>
        <w:t xml:space="preserve">in the May </w:t>
      </w:r>
      <w:r w:rsidR="00E11EB4">
        <w:rPr>
          <w:color w:val="000000"/>
          <w:sz w:val="24"/>
          <w:szCs w:val="24"/>
          <w:shd w:val="clear" w:color="auto" w:fill="FFFFFF"/>
        </w:rPr>
        <w:t xml:space="preserve">2015 </w:t>
      </w:r>
      <w:r w:rsidR="00A306D8">
        <w:rPr>
          <w:color w:val="000000"/>
          <w:sz w:val="24"/>
          <w:szCs w:val="24"/>
          <w:shd w:val="clear" w:color="auto" w:fill="FFFFFF"/>
        </w:rPr>
        <w:t>budget the government announced</w:t>
      </w:r>
      <w:r>
        <w:rPr>
          <w:color w:val="000000"/>
          <w:sz w:val="24"/>
          <w:szCs w:val="24"/>
          <w:shd w:val="clear" w:color="auto" w:fill="FFFFFF"/>
        </w:rPr>
        <w:t xml:space="preserve"> that </w:t>
      </w:r>
      <w:r>
        <w:rPr>
          <w:sz w:val="24"/>
          <w:szCs w:val="24"/>
        </w:rPr>
        <w:t xml:space="preserve">funding would no longer be available for this campaign. </w:t>
      </w:r>
    </w:p>
    <w:p w:rsidR="00DF62F2" w:rsidRDefault="00DF62F2" w:rsidP="002F0B21">
      <w:pPr>
        <w:pStyle w:val="ListParagraph"/>
        <w:ind w:left="0"/>
        <w:jc w:val="both"/>
        <w:rPr>
          <w:sz w:val="24"/>
          <w:szCs w:val="24"/>
        </w:rPr>
      </w:pPr>
    </w:p>
    <w:p w:rsidR="00956FF1" w:rsidRPr="00956FF1" w:rsidRDefault="00956FF1" w:rsidP="00956FF1">
      <w:pPr>
        <w:pStyle w:val="FootnoteText"/>
        <w:rPr>
          <w:sz w:val="24"/>
          <w:szCs w:val="24"/>
          <w:lang w:val="en-NZ"/>
        </w:rPr>
      </w:pPr>
      <w:r>
        <w:rPr>
          <w:sz w:val="24"/>
          <w:szCs w:val="24"/>
          <w:lang w:val="en-NZ"/>
        </w:rPr>
        <w:t>In May 2015</w:t>
      </w:r>
      <w:r w:rsidRPr="00956FF1">
        <w:rPr>
          <w:sz w:val="24"/>
          <w:szCs w:val="24"/>
          <w:lang w:val="en-NZ"/>
        </w:rPr>
        <w:t>, the</w:t>
      </w:r>
      <w:r>
        <w:rPr>
          <w:sz w:val="24"/>
          <w:szCs w:val="24"/>
          <w:lang w:val="en-NZ"/>
        </w:rPr>
        <w:t xml:space="preserve"> </w:t>
      </w:r>
      <w:r w:rsidR="003661E0">
        <w:rPr>
          <w:sz w:val="24"/>
          <w:szCs w:val="24"/>
          <w:lang w:val="en-NZ"/>
        </w:rPr>
        <w:t xml:space="preserve">government </w:t>
      </w:r>
      <w:r w:rsidR="00B9652B">
        <w:rPr>
          <w:sz w:val="24"/>
          <w:szCs w:val="24"/>
          <w:lang w:val="en-NZ"/>
        </w:rPr>
        <w:t xml:space="preserve">also </w:t>
      </w:r>
      <w:r w:rsidRPr="00956FF1">
        <w:rPr>
          <w:sz w:val="24"/>
          <w:szCs w:val="24"/>
          <w:lang w:val="en-NZ"/>
        </w:rPr>
        <w:t>suddenly terminated funding of Relationship Services</w:t>
      </w:r>
      <w:r>
        <w:rPr>
          <w:sz w:val="24"/>
          <w:szCs w:val="24"/>
          <w:lang w:val="en-NZ"/>
        </w:rPr>
        <w:t xml:space="preserve">; </w:t>
      </w:r>
      <w:r w:rsidRPr="00956FF1">
        <w:rPr>
          <w:sz w:val="24"/>
          <w:szCs w:val="24"/>
          <w:lang w:val="en-NZ"/>
        </w:rPr>
        <w:t xml:space="preserve">a long standing, national service for people experiencing relationship difficulties. No transition time was permitted to </w:t>
      </w:r>
      <w:r>
        <w:rPr>
          <w:sz w:val="24"/>
          <w:szCs w:val="24"/>
          <w:lang w:val="en-NZ"/>
        </w:rPr>
        <w:t xml:space="preserve">enable the service to </w:t>
      </w:r>
      <w:r w:rsidRPr="00956FF1">
        <w:rPr>
          <w:sz w:val="24"/>
          <w:szCs w:val="24"/>
          <w:lang w:val="en-NZ"/>
        </w:rPr>
        <w:t xml:space="preserve">find clients alternative support.  </w:t>
      </w:r>
    </w:p>
    <w:p w:rsidR="00956FF1" w:rsidRDefault="00956FF1" w:rsidP="002F0B21">
      <w:pPr>
        <w:pStyle w:val="ListParagraph"/>
        <w:ind w:left="0"/>
        <w:jc w:val="both"/>
        <w:rPr>
          <w:sz w:val="24"/>
          <w:szCs w:val="24"/>
        </w:rPr>
      </w:pPr>
    </w:p>
    <w:p w:rsidR="002F0B21" w:rsidRDefault="002F0B21" w:rsidP="002F0B21">
      <w:pPr>
        <w:pStyle w:val="ListParagraph"/>
        <w:ind w:left="0"/>
        <w:jc w:val="both"/>
        <w:rPr>
          <w:sz w:val="24"/>
          <w:szCs w:val="24"/>
        </w:rPr>
      </w:pPr>
      <w:r>
        <w:rPr>
          <w:sz w:val="24"/>
          <w:szCs w:val="24"/>
        </w:rPr>
        <w:t xml:space="preserve">The New Zealand budget announcements in May this year are an example of the way </w:t>
      </w:r>
      <w:r w:rsidR="003661E0">
        <w:rPr>
          <w:sz w:val="24"/>
          <w:szCs w:val="24"/>
        </w:rPr>
        <w:t xml:space="preserve">government </w:t>
      </w:r>
      <w:r>
        <w:rPr>
          <w:sz w:val="24"/>
          <w:szCs w:val="24"/>
        </w:rPr>
        <w:t>fundin</w:t>
      </w:r>
      <w:r w:rsidR="003661E0">
        <w:rPr>
          <w:sz w:val="24"/>
          <w:szCs w:val="24"/>
        </w:rPr>
        <w:t>g can be allocated or withdrawn</w:t>
      </w:r>
      <w:r>
        <w:rPr>
          <w:sz w:val="24"/>
          <w:szCs w:val="24"/>
        </w:rPr>
        <w:t xml:space="preserve"> depending on the political interests and priorities of those in power at any given time. The social protections of disabled people are always at heightened risk under governments that favour a free-market economic ideology.</w:t>
      </w:r>
    </w:p>
    <w:p w:rsidR="00832154" w:rsidRDefault="00832154" w:rsidP="00D632C4">
      <w:pPr>
        <w:rPr>
          <w:b/>
          <w:sz w:val="28"/>
          <w:szCs w:val="28"/>
        </w:rPr>
      </w:pPr>
    </w:p>
    <w:p w:rsidR="003833D3" w:rsidRPr="00D632C4" w:rsidRDefault="003833D3" w:rsidP="00D632C4">
      <w:pPr>
        <w:rPr>
          <w:b/>
          <w:sz w:val="28"/>
          <w:szCs w:val="28"/>
        </w:rPr>
      </w:pPr>
    </w:p>
    <w:p w:rsidR="002423EA" w:rsidRPr="00F21E48" w:rsidRDefault="00925408" w:rsidP="00925408">
      <w:pPr>
        <w:pStyle w:val="ListParagraph"/>
        <w:ind w:left="0"/>
        <w:jc w:val="center"/>
        <w:rPr>
          <w:b/>
          <w:sz w:val="24"/>
          <w:szCs w:val="24"/>
        </w:rPr>
      </w:pPr>
      <w:bookmarkStart w:id="17" w:name="_Toc420885840"/>
      <w:r w:rsidRPr="00925408">
        <w:rPr>
          <w:rStyle w:val="Heading2Char"/>
        </w:rPr>
        <w:t>Independent C</w:t>
      </w:r>
      <w:r w:rsidR="002423EA" w:rsidRPr="00925408">
        <w:rPr>
          <w:rStyle w:val="Heading2Char"/>
        </w:rPr>
        <w:t>ommissions</w:t>
      </w:r>
      <w:r w:rsidR="009E2F95" w:rsidRPr="00925408">
        <w:rPr>
          <w:rStyle w:val="Heading2Char"/>
        </w:rPr>
        <w:t xml:space="preserve"> </w:t>
      </w:r>
      <w:r w:rsidR="001573C4">
        <w:rPr>
          <w:rStyle w:val="Heading2Char"/>
        </w:rPr>
        <w:t xml:space="preserve">- </w:t>
      </w:r>
      <w:r w:rsidR="009E2F95" w:rsidRPr="00925408">
        <w:rPr>
          <w:rStyle w:val="Heading2Char"/>
        </w:rPr>
        <w:t>insecurity</w:t>
      </w:r>
      <w:bookmarkEnd w:id="17"/>
      <w:r w:rsidR="009E2F95">
        <w:rPr>
          <w:rStyle w:val="Heading2Char"/>
        </w:rPr>
        <w:t xml:space="preserve"> </w:t>
      </w:r>
    </w:p>
    <w:p w:rsidR="002423EA" w:rsidRDefault="002423EA" w:rsidP="002423EA">
      <w:pPr>
        <w:pStyle w:val="ListParagraph"/>
        <w:ind w:left="0"/>
        <w:jc w:val="both"/>
        <w:rPr>
          <w:sz w:val="24"/>
          <w:szCs w:val="24"/>
        </w:rPr>
      </w:pPr>
    </w:p>
    <w:p w:rsidR="002423EA" w:rsidRDefault="002423EA" w:rsidP="002423EA">
      <w:pPr>
        <w:pStyle w:val="ListParagraph"/>
        <w:ind w:left="0"/>
        <w:jc w:val="both"/>
        <w:rPr>
          <w:sz w:val="24"/>
          <w:szCs w:val="24"/>
        </w:rPr>
      </w:pPr>
      <w:r>
        <w:rPr>
          <w:sz w:val="24"/>
          <w:szCs w:val="24"/>
        </w:rPr>
        <w:t>The existence and continuation of independent commissions responsible for the monitoring of disabled people’s human rights (such as the Human Rights Commission, and the now defunct Mental Health Commission) is precarious</w:t>
      </w:r>
      <w:r w:rsidRPr="00956FF1">
        <w:rPr>
          <w:sz w:val="24"/>
          <w:szCs w:val="24"/>
        </w:rPr>
        <w:t>.</w:t>
      </w:r>
      <w:r w:rsidR="00956FF1" w:rsidRPr="00956FF1">
        <w:rPr>
          <w:rStyle w:val="FootnoteReference"/>
          <w:sz w:val="24"/>
          <w:szCs w:val="24"/>
        </w:rPr>
        <w:footnoteReference w:id="49"/>
      </w:r>
    </w:p>
    <w:p w:rsidR="002423EA" w:rsidRDefault="002423EA" w:rsidP="002423EA">
      <w:pPr>
        <w:pStyle w:val="ListParagraph"/>
        <w:ind w:left="0"/>
        <w:jc w:val="both"/>
        <w:rPr>
          <w:sz w:val="24"/>
          <w:szCs w:val="24"/>
        </w:rPr>
      </w:pPr>
    </w:p>
    <w:p w:rsidR="00956FF1" w:rsidRDefault="00956FF1" w:rsidP="002423EA">
      <w:pPr>
        <w:pStyle w:val="ListParagraph"/>
        <w:ind w:left="0"/>
        <w:jc w:val="both"/>
        <w:rPr>
          <w:sz w:val="24"/>
          <w:szCs w:val="24"/>
        </w:rPr>
      </w:pPr>
      <w:r>
        <w:rPr>
          <w:sz w:val="24"/>
          <w:szCs w:val="24"/>
        </w:rPr>
        <w:t>In 2014</w:t>
      </w:r>
      <w:r w:rsidR="002423EA">
        <w:rPr>
          <w:sz w:val="24"/>
          <w:szCs w:val="24"/>
        </w:rPr>
        <w:t xml:space="preserve"> the New Zealand Prime Minister publicly threatened the Human Rights Commission with withdrawal of funding</w:t>
      </w:r>
      <w:r w:rsidR="00D47EC8">
        <w:rPr>
          <w:sz w:val="24"/>
          <w:szCs w:val="24"/>
        </w:rPr>
        <w:t>. This followed</w:t>
      </w:r>
      <w:r w:rsidR="002423EA">
        <w:rPr>
          <w:sz w:val="24"/>
          <w:szCs w:val="24"/>
        </w:rPr>
        <w:t xml:space="preserve"> the Commission’s </w:t>
      </w:r>
      <w:r w:rsidR="00D47EC8">
        <w:rPr>
          <w:sz w:val="24"/>
          <w:szCs w:val="24"/>
        </w:rPr>
        <w:t xml:space="preserve">public stance </w:t>
      </w:r>
      <w:r w:rsidR="002423EA">
        <w:rPr>
          <w:sz w:val="24"/>
          <w:szCs w:val="24"/>
        </w:rPr>
        <w:t xml:space="preserve">against </w:t>
      </w:r>
      <w:r w:rsidR="00D47EC8">
        <w:rPr>
          <w:sz w:val="24"/>
          <w:szCs w:val="24"/>
        </w:rPr>
        <w:t>proposed legislative changes</w:t>
      </w:r>
      <w:r w:rsidR="002423EA">
        <w:rPr>
          <w:sz w:val="24"/>
          <w:szCs w:val="24"/>
        </w:rPr>
        <w:t xml:space="preserve"> </w:t>
      </w:r>
      <w:r w:rsidR="00D47EC8">
        <w:rPr>
          <w:sz w:val="24"/>
          <w:szCs w:val="24"/>
        </w:rPr>
        <w:t xml:space="preserve">that would </w:t>
      </w:r>
      <w:r w:rsidR="002423EA">
        <w:rPr>
          <w:sz w:val="24"/>
          <w:szCs w:val="24"/>
        </w:rPr>
        <w:t xml:space="preserve">increase </w:t>
      </w:r>
      <w:r w:rsidR="00D47EC8">
        <w:rPr>
          <w:sz w:val="24"/>
          <w:szCs w:val="24"/>
        </w:rPr>
        <w:t>the government’s powers of surveillance and impinge citizens’ rights</w:t>
      </w:r>
      <w:r w:rsidR="002423EA">
        <w:rPr>
          <w:sz w:val="24"/>
          <w:szCs w:val="24"/>
        </w:rPr>
        <w:t>.</w:t>
      </w:r>
      <w:r w:rsidR="002423EA">
        <w:rPr>
          <w:rStyle w:val="FootnoteReference"/>
          <w:sz w:val="24"/>
          <w:szCs w:val="24"/>
        </w:rPr>
        <w:footnoteReference w:id="50"/>
      </w:r>
      <w:r w:rsidR="00D47EC8">
        <w:rPr>
          <w:sz w:val="24"/>
          <w:szCs w:val="24"/>
        </w:rPr>
        <w:t xml:space="preserve">This legislation has since come into force. </w:t>
      </w:r>
      <w:r w:rsidR="002423EA">
        <w:rPr>
          <w:sz w:val="24"/>
          <w:szCs w:val="24"/>
        </w:rPr>
        <w:t xml:space="preserve"> </w:t>
      </w:r>
    </w:p>
    <w:p w:rsidR="002423EA" w:rsidRDefault="002423EA" w:rsidP="002423EA">
      <w:pPr>
        <w:pStyle w:val="ListParagraph"/>
        <w:ind w:left="0"/>
        <w:jc w:val="both"/>
        <w:rPr>
          <w:sz w:val="24"/>
          <w:szCs w:val="24"/>
        </w:rPr>
      </w:pPr>
      <w:r>
        <w:rPr>
          <w:sz w:val="24"/>
          <w:szCs w:val="24"/>
        </w:rPr>
        <w:t xml:space="preserve"> </w:t>
      </w:r>
    </w:p>
    <w:p w:rsidR="003661E0" w:rsidRPr="00A306D8" w:rsidRDefault="003661E0" w:rsidP="003661E0">
      <w:pPr>
        <w:pStyle w:val="FootnoteText"/>
        <w:rPr>
          <w:sz w:val="24"/>
          <w:szCs w:val="24"/>
          <w:lang w:val="en-NZ"/>
        </w:rPr>
      </w:pPr>
      <w:r w:rsidRPr="00A306D8">
        <w:rPr>
          <w:sz w:val="24"/>
          <w:szCs w:val="24"/>
          <w:lang w:val="en-NZ"/>
        </w:rPr>
        <w:t xml:space="preserve">In 2014, the government </w:t>
      </w:r>
      <w:r>
        <w:rPr>
          <w:sz w:val="24"/>
          <w:szCs w:val="24"/>
          <w:lang w:val="en-NZ"/>
        </w:rPr>
        <w:t xml:space="preserve">also </w:t>
      </w:r>
      <w:r w:rsidRPr="00A306D8">
        <w:rPr>
          <w:sz w:val="24"/>
          <w:szCs w:val="24"/>
          <w:lang w:val="en-NZ"/>
        </w:rPr>
        <w:t xml:space="preserve">terminated funding for the Problem Gambling Foundation, following the Foundation’s public stand against the government’s industry-centred stance in support of gambling and casinos. </w:t>
      </w:r>
    </w:p>
    <w:p w:rsidR="003661E0" w:rsidRDefault="003661E0" w:rsidP="002423EA">
      <w:pPr>
        <w:pStyle w:val="ListParagraph"/>
        <w:ind w:left="0"/>
        <w:jc w:val="both"/>
        <w:rPr>
          <w:sz w:val="24"/>
          <w:szCs w:val="24"/>
        </w:rPr>
      </w:pPr>
    </w:p>
    <w:p w:rsidR="002423EA" w:rsidRDefault="009B55EB" w:rsidP="002423EA">
      <w:pPr>
        <w:pStyle w:val="ListParagraph"/>
        <w:ind w:left="0"/>
        <w:jc w:val="both"/>
        <w:rPr>
          <w:sz w:val="24"/>
          <w:szCs w:val="24"/>
        </w:rPr>
      </w:pPr>
      <w:r>
        <w:rPr>
          <w:sz w:val="24"/>
          <w:szCs w:val="24"/>
        </w:rPr>
        <w:t>In 2012</w:t>
      </w:r>
      <w:r w:rsidR="00D47EC8">
        <w:rPr>
          <w:sz w:val="24"/>
          <w:szCs w:val="24"/>
        </w:rPr>
        <w:t xml:space="preserve"> t</w:t>
      </w:r>
      <w:r w:rsidR="002423EA">
        <w:rPr>
          <w:sz w:val="24"/>
          <w:szCs w:val="24"/>
        </w:rPr>
        <w:t xml:space="preserve">he current </w:t>
      </w:r>
      <w:r w:rsidR="003661E0">
        <w:rPr>
          <w:sz w:val="24"/>
          <w:szCs w:val="24"/>
        </w:rPr>
        <w:t xml:space="preserve">government </w:t>
      </w:r>
      <w:r w:rsidR="002423EA">
        <w:rPr>
          <w:sz w:val="24"/>
          <w:szCs w:val="24"/>
        </w:rPr>
        <w:t>disestablished</w:t>
      </w:r>
      <w:r>
        <w:rPr>
          <w:sz w:val="24"/>
          <w:szCs w:val="24"/>
        </w:rPr>
        <w:t xml:space="preserve"> the Mental Health Commission.</w:t>
      </w:r>
      <w:r w:rsidR="002423EA">
        <w:rPr>
          <w:sz w:val="24"/>
          <w:szCs w:val="24"/>
        </w:rPr>
        <w:t xml:space="preserve"> The Commission had approximately 30 staff and considerable influence in protecting and </w:t>
      </w:r>
      <w:r w:rsidR="002423EA">
        <w:rPr>
          <w:sz w:val="24"/>
          <w:szCs w:val="24"/>
        </w:rPr>
        <w:lastRenderedPageBreak/>
        <w:t xml:space="preserve">promoting the human rights of people who experience psychosocial disability. Although one mental health commissioner (from the former Mental Health Commission) is now employed within the Health and Disability Commission, this role has a narrow mandate and </w:t>
      </w:r>
      <w:r>
        <w:rPr>
          <w:sz w:val="24"/>
          <w:szCs w:val="24"/>
        </w:rPr>
        <w:t xml:space="preserve">(as would be expected) has much less </w:t>
      </w:r>
      <w:r w:rsidR="002423EA">
        <w:rPr>
          <w:sz w:val="24"/>
          <w:szCs w:val="24"/>
        </w:rPr>
        <w:t xml:space="preserve">impact in terms of promoting and protecting the human rights of people who experience psychosocial </w:t>
      </w:r>
      <w:r w:rsidR="00E108C3">
        <w:rPr>
          <w:sz w:val="24"/>
          <w:szCs w:val="24"/>
        </w:rPr>
        <w:t>disability</w:t>
      </w:r>
      <w:r w:rsidR="002423EA">
        <w:rPr>
          <w:sz w:val="24"/>
          <w:szCs w:val="24"/>
        </w:rPr>
        <w:t xml:space="preserve">. </w:t>
      </w:r>
    </w:p>
    <w:p w:rsidR="002423EA" w:rsidRDefault="002423EA" w:rsidP="002423EA">
      <w:pPr>
        <w:pStyle w:val="ListParagraph"/>
        <w:ind w:left="0"/>
        <w:jc w:val="both"/>
        <w:rPr>
          <w:sz w:val="24"/>
          <w:szCs w:val="24"/>
        </w:rPr>
      </w:pPr>
    </w:p>
    <w:p w:rsidR="002423EA" w:rsidRDefault="002423EA" w:rsidP="002423EA">
      <w:pPr>
        <w:pStyle w:val="ListParagraph"/>
        <w:ind w:left="0"/>
        <w:jc w:val="both"/>
        <w:rPr>
          <w:sz w:val="24"/>
          <w:szCs w:val="24"/>
        </w:rPr>
      </w:pPr>
      <w:r>
        <w:rPr>
          <w:sz w:val="24"/>
          <w:szCs w:val="24"/>
        </w:rPr>
        <w:t xml:space="preserve">Commissioners </w:t>
      </w:r>
      <w:r w:rsidR="009B55EB">
        <w:rPr>
          <w:sz w:val="24"/>
          <w:szCs w:val="24"/>
        </w:rPr>
        <w:t xml:space="preserve">in any commission </w:t>
      </w:r>
      <w:r>
        <w:rPr>
          <w:sz w:val="24"/>
          <w:szCs w:val="24"/>
        </w:rPr>
        <w:t>are ap</w:t>
      </w:r>
      <w:r w:rsidR="003661E0">
        <w:rPr>
          <w:sz w:val="24"/>
          <w:szCs w:val="24"/>
        </w:rPr>
        <w:t>pointed by government ministers</w:t>
      </w:r>
      <w:r>
        <w:rPr>
          <w:sz w:val="24"/>
          <w:szCs w:val="24"/>
        </w:rPr>
        <w:t xml:space="preserve"> who may</w:t>
      </w:r>
      <w:r w:rsidR="003661E0">
        <w:rPr>
          <w:sz w:val="24"/>
          <w:szCs w:val="24"/>
        </w:rPr>
        <w:t>,</w:t>
      </w:r>
      <w:r>
        <w:rPr>
          <w:sz w:val="24"/>
          <w:szCs w:val="24"/>
        </w:rPr>
        <w:t xml:space="preserve"> or may </w:t>
      </w:r>
      <w:proofErr w:type="gramStart"/>
      <w:r>
        <w:rPr>
          <w:sz w:val="24"/>
          <w:szCs w:val="24"/>
        </w:rPr>
        <w:t>not</w:t>
      </w:r>
      <w:r w:rsidR="003661E0">
        <w:rPr>
          <w:sz w:val="24"/>
          <w:szCs w:val="24"/>
        </w:rPr>
        <w:t>,</w:t>
      </w:r>
      <w:proofErr w:type="gramEnd"/>
      <w:r>
        <w:rPr>
          <w:sz w:val="24"/>
          <w:szCs w:val="24"/>
        </w:rPr>
        <w:t xml:space="preserve"> understand a huma</w:t>
      </w:r>
      <w:r w:rsidR="003661E0">
        <w:rPr>
          <w:sz w:val="24"/>
          <w:szCs w:val="24"/>
        </w:rPr>
        <w:t>n rights approach to disability</w:t>
      </w:r>
      <w:r>
        <w:rPr>
          <w:sz w:val="24"/>
          <w:szCs w:val="24"/>
        </w:rPr>
        <w:t xml:space="preserve"> or the complexity of</w:t>
      </w:r>
      <w:r w:rsidR="009B55EB">
        <w:rPr>
          <w:sz w:val="24"/>
          <w:szCs w:val="24"/>
        </w:rPr>
        <w:t xml:space="preserve"> social, economic and cultural factors</w:t>
      </w:r>
      <w:r>
        <w:rPr>
          <w:sz w:val="24"/>
          <w:szCs w:val="24"/>
        </w:rPr>
        <w:t xml:space="preserve"> that impact on disabled people’s par</w:t>
      </w:r>
      <w:r w:rsidR="009B55EB">
        <w:rPr>
          <w:sz w:val="24"/>
          <w:szCs w:val="24"/>
        </w:rPr>
        <w:t>ticipation, quality of life and</w:t>
      </w:r>
      <w:r>
        <w:rPr>
          <w:sz w:val="24"/>
          <w:szCs w:val="24"/>
        </w:rPr>
        <w:t xml:space="preserve"> citizenship. </w:t>
      </w:r>
    </w:p>
    <w:p w:rsidR="002423EA" w:rsidRDefault="002423EA" w:rsidP="00277AB3">
      <w:pPr>
        <w:pStyle w:val="ListParagraph"/>
        <w:ind w:left="0"/>
        <w:jc w:val="both"/>
        <w:rPr>
          <w:b/>
          <w:sz w:val="24"/>
          <w:szCs w:val="24"/>
        </w:rPr>
      </w:pPr>
    </w:p>
    <w:p w:rsidR="00364AF5" w:rsidRPr="00277AB3" w:rsidRDefault="00277AB3" w:rsidP="003661E0">
      <w:pPr>
        <w:pStyle w:val="Heading2"/>
      </w:pPr>
      <w:bookmarkStart w:id="18" w:name="_Toc420885841"/>
      <w:r>
        <w:t xml:space="preserve">The </w:t>
      </w:r>
      <w:r w:rsidR="00CC1B09" w:rsidRPr="00277AB3">
        <w:t>United Nations Declaration on the Rights of Indigenous Peoples</w:t>
      </w:r>
      <w:r w:rsidR="001573C4">
        <w:t xml:space="preserve"> and</w:t>
      </w:r>
      <w:r>
        <w:t xml:space="preserve"> the Treaty of Waitangi</w:t>
      </w:r>
      <w:bookmarkEnd w:id="18"/>
    </w:p>
    <w:p w:rsidR="001E00D2" w:rsidRDefault="00001060" w:rsidP="00055A26">
      <w:pPr>
        <w:shd w:val="clear" w:color="auto" w:fill="FFFFFF"/>
        <w:spacing w:before="100" w:beforeAutospacing="1" w:after="100" w:afterAutospacing="1" w:line="186" w:lineRule="atLeast"/>
        <w:rPr>
          <w:sz w:val="24"/>
          <w:szCs w:val="24"/>
        </w:rPr>
      </w:pPr>
      <w:r>
        <w:rPr>
          <w:sz w:val="24"/>
          <w:szCs w:val="24"/>
        </w:rPr>
        <w:t>New Zealand ratified the United Nations Declaration on the Rights of Indigenous Peoples</w:t>
      </w:r>
      <w:r w:rsidR="00802ECE">
        <w:rPr>
          <w:sz w:val="24"/>
          <w:szCs w:val="24"/>
        </w:rPr>
        <w:t xml:space="preserve"> (the Declaration)</w:t>
      </w:r>
      <w:r>
        <w:rPr>
          <w:sz w:val="24"/>
          <w:szCs w:val="24"/>
        </w:rPr>
        <w:t xml:space="preserve"> in 2010. The Treaty of Waitangi is New Zealand’s founding document and first human rights agreement. The Treaty sets out a partnership between the </w:t>
      </w:r>
      <w:r w:rsidR="00EF7DBF">
        <w:rPr>
          <w:sz w:val="24"/>
          <w:szCs w:val="24"/>
        </w:rPr>
        <w:t>government</w:t>
      </w:r>
      <w:r w:rsidR="00EF7DBF">
        <w:rPr>
          <w:rStyle w:val="FootnoteReference"/>
          <w:sz w:val="24"/>
          <w:szCs w:val="24"/>
        </w:rPr>
        <w:footnoteReference w:id="51"/>
      </w:r>
      <w:r w:rsidR="00EF7DBF">
        <w:rPr>
          <w:sz w:val="24"/>
          <w:szCs w:val="24"/>
        </w:rPr>
        <w:t xml:space="preserve"> </w:t>
      </w:r>
      <w:r>
        <w:rPr>
          <w:sz w:val="24"/>
          <w:szCs w:val="24"/>
        </w:rPr>
        <w:t>and</w:t>
      </w:r>
      <w:r w:rsidR="00B901A7">
        <w:rPr>
          <w:sz w:val="24"/>
          <w:szCs w:val="24"/>
        </w:rPr>
        <w:t xml:space="preserve"> </w:t>
      </w:r>
      <w:proofErr w:type="spellStart"/>
      <w:r w:rsidR="00B901A7">
        <w:rPr>
          <w:sz w:val="24"/>
          <w:szCs w:val="24"/>
        </w:rPr>
        <w:t>tangata</w:t>
      </w:r>
      <w:proofErr w:type="spellEnd"/>
      <w:r w:rsidR="00B901A7">
        <w:rPr>
          <w:sz w:val="24"/>
          <w:szCs w:val="24"/>
        </w:rPr>
        <w:t xml:space="preserve"> </w:t>
      </w:r>
      <w:proofErr w:type="spellStart"/>
      <w:r w:rsidR="00B901A7">
        <w:rPr>
          <w:sz w:val="24"/>
          <w:szCs w:val="24"/>
        </w:rPr>
        <w:t>whenua</w:t>
      </w:r>
      <w:proofErr w:type="spellEnd"/>
      <w:r>
        <w:rPr>
          <w:sz w:val="24"/>
          <w:szCs w:val="24"/>
        </w:rPr>
        <w:t>.</w:t>
      </w:r>
      <w:r>
        <w:rPr>
          <w:rStyle w:val="FootnoteReference"/>
          <w:sz w:val="24"/>
          <w:szCs w:val="24"/>
        </w:rPr>
        <w:footnoteReference w:id="52"/>
      </w:r>
      <w:r w:rsidR="00055A26" w:rsidRPr="00055A26">
        <w:rPr>
          <w:sz w:val="24"/>
          <w:szCs w:val="24"/>
        </w:rPr>
        <w:t xml:space="preserve"> </w:t>
      </w:r>
      <w:r w:rsidR="00055A26">
        <w:rPr>
          <w:sz w:val="24"/>
          <w:szCs w:val="24"/>
        </w:rPr>
        <w:t xml:space="preserve">Under the Treaty and Declaration, the government and its agents (including non-government organisations that receive funding from the State) are required to work in partnership with indigenous leaders. </w:t>
      </w:r>
      <w:r w:rsidR="00B05830">
        <w:rPr>
          <w:sz w:val="24"/>
          <w:szCs w:val="24"/>
        </w:rPr>
        <w:t>This means that the Ministerial Committee on Disability Issues, the Chief Executives’ group, the IMM</w:t>
      </w:r>
      <w:r w:rsidR="00DE7712">
        <w:rPr>
          <w:sz w:val="24"/>
          <w:szCs w:val="24"/>
        </w:rPr>
        <w:t>, the Convention Coalition,</w:t>
      </w:r>
      <w:r w:rsidR="00B05830">
        <w:rPr>
          <w:sz w:val="24"/>
          <w:szCs w:val="24"/>
        </w:rPr>
        <w:t xml:space="preserve"> and the DPOs should be operating in partnership with indigenous leaders and </w:t>
      </w:r>
      <w:proofErr w:type="spellStart"/>
      <w:r w:rsidR="00B05830">
        <w:rPr>
          <w:sz w:val="24"/>
          <w:szCs w:val="24"/>
        </w:rPr>
        <w:t>organistions</w:t>
      </w:r>
      <w:proofErr w:type="spellEnd"/>
      <w:r w:rsidR="00B05830">
        <w:rPr>
          <w:sz w:val="24"/>
          <w:szCs w:val="24"/>
        </w:rPr>
        <w:t xml:space="preserve">. </w:t>
      </w:r>
      <w:r w:rsidR="0059462A">
        <w:rPr>
          <w:sz w:val="24"/>
          <w:szCs w:val="24"/>
        </w:rPr>
        <w:t xml:space="preserve">This </w:t>
      </w:r>
      <w:r w:rsidR="00055A26">
        <w:rPr>
          <w:sz w:val="24"/>
          <w:szCs w:val="24"/>
        </w:rPr>
        <w:t>is not</w:t>
      </w:r>
      <w:r w:rsidR="00B05830">
        <w:rPr>
          <w:sz w:val="24"/>
          <w:szCs w:val="24"/>
        </w:rPr>
        <w:t xml:space="preserve"> the case</w:t>
      </w:r>
      <w:r w:rsidR="00055A26">
        <w:rPr>
          <w:sz w:val="24"/>
          <w:szCs w:val="24"/>
        </w:rPr>
        <w:t>.</w:t>
      </w:r>
      <w:r w:rsidR="00802ECE">
        <w:rPr>
          <w:rStyle w:val="FootnoteReference"/>
          <w:sz w:val="24"/>
          <w:szCs w:val="24"/>
        </w:rPr>
        <w:footnoteReference w:id="53"/>
      </w:r>
      <w:r w:rsidR="00055A26">
        <w:rPr>
          <w:sz w:val="24"/>
          <w:szCs w:val="24"/>
        </w:rPr>
        <w:t xml:space="preserve"> </w:t>
      </w:r>
    </w:p>
    <w:p w:rsidR="00055A26" w:rsidRPr="00230A34" w:rsidRDefault="00055A26" w:rsidP="00055A26">
      <w:pPr>
        <w:shd w:val="clear" w:color="auto" w:fill="FFFFFF"/>
        <w:spacing w:before="100" w:beforeAutospacing="1" w:after="100" w:afterAutospacing="1" w:line="186" w:lineRule="atLeast"/>
        <w:rPr>
          <w:sz w:val="24"/>
          <w:szCs w:val="24"/>
        </w:rPr>
      </w:pPr>
      <w:r>
        <w:rPr>
          <w:sz w:val="24"/>
          <w:szCs w:val="24"/>
        </w:rPr>
        <w:t>There are longstanding and significant disparities between the health, social, educational and economic outcomes of the indigenous population (especially indigenous disabled people) compared with non-i</w:t>
      </w:r>
      <w:r w:rsidR="0059462A">
        <w:rPr>
          <w:sz w:val="24"/>
          <w:szCs w:val="24"/>
        </w:rPr>
        <w:t>ndigenous people</w:t>
      </w:r>
      <w:r>
        <w:rPr>
          <w:sz w:val="24"/>
          <w:szCs w:val="24"/>
        </w:rPr>
        <w:t xml:space="preserve">. </w:t>
      </w:r>
      <w:r w:rsidR="00B05830">
        <w:rPr>
          <w:sz w:val="24"/>
          <w:szCs w:val="24"/>
        </w:rPr>
        <w:t>These dis</w:t>
      </w:r>
      <w:r w:rsidR="006D0349">
        <w:rPr>
          <w:sz w:val="24"/>
          <w:szCs w:val="24"/>
        </w:rPr>
        <w:t xml:space="preserve">parities </w:t>
      </w:r>
      <w:r w:rsidR="00B05830">
        <w:rPr>
          <w:sz w:val="24"/>
          <w:szCs w:val="24"/>
        </w:rPr>
        <w:t xml:space="preserve">are of such </w:t>
      </w:r>
      <w:r w:rsidR="006D0349">
        <w:rPr>
          <w:sz w:val="24"/>
          <w:szCs w:val="24"/>
        </w:rPr>
        <w:t>signi</w:t>
      </w:r>
      <w:r w:rsidR="00B05830">
        <w:rPr>
          <w:sz w:val="24"/>
          <w:szCs w:val="24"/>
        </w:rPr>
        <w:t>ficance that</w:t>
      </w:r>
      <w:r w:rsidR="006D0349">
        <w:rPr>
          <w:sz w:val="24"/>
          <w:szCs w:val="24"/>
        </w:rPr>
        <w:t xml:space="preserve"> they are </w:t>
      </w:r>
      <w:r w:rsidR="00B05830">
        <w:rPr>
          <w:sz w:val="24"/>
          <w:szCs w:val="24"/>
        </w:rPr>
        <w:t>now addressed on</w:t>
      </w:r>
      <w:r w:rsidR="006D0349">
        <w:rPr>
          <w:sz w:val="24"/>
          <w:szCs w:val="24"/>
        </w:rPr>
        <w:t xml:space="preserve"> the international </w:t>
      </w:r>
      <w:r w:rsidR="00B05830">
        <w:rPr>
          <w:sz w:val="24"/>
          <w:szCs w:val="24"/>
        </w:rPr>
        <w:t xml:space="preserve">stage, </w:t>
      </w:r>
      <w:r w:rsidR="006D0349">
        <w:rPr>
          <w:sz w:val="24"/>
          <w:szCs w:val="24"/>
        </w:rPr>
        <w:t>at the United Nations</w:t>
      </w:r>
      <w:r w:rsidR="003661E0">
        <w:rPr>
          <w:sz w:val="24"/>
          <w:szCs w:val="24"/>
        </w:rPr>
        <w:t xml:space="preserve">, </w:t>
      </w:r>
      <w:r w:rsidR="006D0349">
        <w:rPr>
          <w:sz w:val="24"/>
          <w:szCs w:val="24"/>
        </w:rPr>
        <w:t>the World Health Organisation</w:t>
      </w:r>
      <w:r w:rsidR="00B05830">
        <w:rPr>
          <w:sz w:val="24"/>
          <w:szCs w:val="24"/>
        </w:rPr>
        <w:t>,</w:t>
      </w:r>
      <w:r w:rsidR="006D0349">
        <w:rPr>
          <w:sz w:val="24"/>
          <w:szCs w:val="24"/>
        </w:rPr>
        <w:t xml:space="preserve"> and </w:t>
      </w:r>
      <w:r w:rsidR="00B05830">
        <w:rPr>
          <w:sz w:val="24"/>
          <w:szCs w:val="24"/>
        </w:rPr>
        <w:t xml:space="preserve">at </w:t>
      </w:r>
      <w:r w:rsidR="006D0349">
        <w:rPr>
          <w:sz w:val="24"/>
          <w:szCs w:val="24"/>
        </w:rPr>
        <w:t xml:space="preserve">the World Conference on Indigenous Peoples. </w:t>
      </w:r>
    </w:p>
    <w:p w:rsidR="00547D51" w:rsidRPr="00832154" w:rsidRDefault="00B05830" w:rsidP="00832154">
      <w:pPr>
        <w:pStyle w:val="ListParagraph"/>
        <w:ind w:left="0"/>
        <w:jc w:val="both"/>
        <w:rPr>
          <w:sz w:val="24"/>
          <w:szCs w:val="24"/>
        </w:rPr>
      </w:pPr>
      <w:r>
        <w:rPr>
          <w:sz w:val="24"/>
          <w:szCs w:val="24"/>
        </w:rPr>
        <w:t>G</w:t>
      </w:r>
      <w:r w:rsidR="003879AC">
        <w:rPr>
          <w:sz w:val="24"/>
          <w:szCs w:val="24"/>
        </w:rPr>
        <w:t>overnment initiative</w:t>
      </w:r>
      <w:r>
        <w:rPr>
          <w:sz w:val="24"/>
          <w:szCs w:val="24"/>
        </w:rPr>
        <w:t xml:space="preserve">s relating to </w:t>
      </w:r>
      <w:r w:rsidR="00DE7712">
        <w:rPr>
          <w:sz w:val="24"/>
          <w:szCs w:val="24"/>
        </w:rPr>
        <w:t xml:space="preserve">the implementation of UNCRPD and </w:t>
      </w:r>
      <w:r>
        <w:rPr>
          <w:sz w:val="24"/>
          <w:szCs w:val="24"/>
        </w:rPr>
        <w:t xml:space="preserve">social protections affecting </w:t>
      </w:r>
      <w:r w:rsidR="003879AC">
        <w:rPr>
          <w:sz w:val="24"/>
          <w:szCs w:val="24"/>
        </w:rPr>
        <w:t xml:space="preserve">disabled people </w:t>
      </w:r>
      <w:r>
        <w:rPr>
          <w:sz w:val="24"/>
          <w:szCs w:val="24"/>
        </w:rPr>
        <w:t>need</w:t>
      </w:r>
      <w:r w:rsidR="00001060">
        <w:rPr>
          <w:sz w:val="24"/>
          <w:szCs w:val="24"/>
        </w:rPr>
        <w:t xml:space="preserve"> </w:t>
      </w:r>
      <w:r w:rsidR="00515639">
        <w:rPr>
          <w:sz w:val="24"/>
          <w:szCs w:val="24"/>
        </w:rPr>
        <w:t xml:space="preserve">to urgently </w:t>
      </w:r>
      <w:r w:rsidR="00FF182D">
        <w:rPr>
          <w:sz w:val="24"/>
          <w:szCs w:val="24"/>
        </w:rPr>
        <w:t xml:space="preserve">adopt </w:t>
      </w:r>
      <w:proofErr w:type="gramStart"/>
      <w:r w:rsidR="00B901A7">
        <w:rPr>
          <w:sz w:val="24"/>
          <w:szCs w:val="24"/>
        </w:rPr>
        <w:t>a government</w:t>
      </w:r>
      <w:r w:rsidR="00DE7712">
        <w:rPr>
          <w:sz w:val="24"/>
          <w:szCs w:val="24"/>
        </w:rPr>
        <w:t>-</w:t>
      </w:r>
      <w:r w:rsidR="00515639">
        <w:rPr>
          <w:sz w:val="24"/>
          <w:szCs w:val="24"/>
        </w:rPr>
        <w:t>indigenous leaders</w:t>
      </w:r>
      <w:proofErr w:type="gramEnd"/>
      <w:r w:rsidR="00DE7712">
        <w:rPr>
          <w:sz w:val="24"/>
          <w:szCs w:val="24"/>
        </w:rPr>
        <w:t xml:space="preserve"> partnership</w:t>
      </w:r>
      <w:r w:rsidR="00BA221E">
        <w:rPr>
          <w:sz w:val="24"/>
          <w:szCs w:val="24"/>
        </w:rPr>
        <w:t xml:space="preserve"> at all levels of the institutional framework</w:t>
      </w:r>
      <w:r w:rsidR="00515639">
        <w:rPr>
          <w:sz w:val="24"/>
          <w:szCs w:val="24"/>
        </w:rPr>
        <w:t xml:space="preserve">. This </w:t>
      </w:r>
      <w:r w:rsidR="00B901A7">
        <w:rPr>
          <w:sz w:val="24"/>
          <w:szCs w:val="24"/>
        </w:rPr>
        <w:t xml:space="preserve">would give </w:t>
      </w:r>
      <w:r w:rsidR="00DE7712">
        <w:rPr>
          <w:sz w:val="24"/>
          <w:szCs w:val="24"/>
        </w:rPr>
        <w:t xml:space="preserve">genuine effect to the </w:t>
      </w:r>
      <w:r w:rsidR="00001060">
        <w:rPr>
          <w:sz w:val="24"/>
          <w:szCs w:val="24"/>
        </w:rPr>
        <w:t>human rights of disabled</w:t>
      </w:r>
      <w:r w:rsidR="00B901A7">
        <w:rPr>
          <w:sz w:val="24"/>
          <w:szCs w:val="24"/>
        </w:rPr>
        <w:t xml:space="preserve"> </w:t>
      </w:r>
      <w:proofErr w:type="spellStart"/>
      <w:r w:rsidR="00B901A7">
        <w:rPr>
          <w:sz w:val="24"/>
          <w:szCs w:val="24"/>
        </w:rPr>
        <w:t>tangata</w:t>
      </w:r>
      <w:proofErr w:type="spellEnd"/>
      <w:r w:rsidR="00B901A7">
        <w:rPr>
          <w:sz w:val="24"/>
          <w:szCs w:val="24"/>
        </w:rPr>
        <w:t xml:space="preserve"> </w:t>
      </w:r>
      <w:proofErr w:type="spellStart"/>
      <w:r w:rsidR="00B901A7">
        <w:rPr>
          <w:sz w:val="24"/>
          <w:szCs w:val="24"/>
        </w:rPr>
        <w:t>whenua</w:t>
      </w:r>
      <w:proofErr w:type="spellEnd"/>
      <w:r w:rsidR="00515639">
        <w:rPr>
          <w:sz w:val="24"/>
          <w:szCs w:val="24"/>
        </w:rPr>
        <w:t>, as well as</w:t>
      </w:r>
      <w:r w:rsidR="00001060">
        <w:rPr>
          <w:sz w:val="24"/>
          <w:szCs w:val="24"/>
        </w:rPr>
        <w:t xml:space="preserve"> </w:t>
      </w:r>
      <w:proofErr w:type="spellStart"/>
      <w:r w:rsidR="00001060">
        <w:rPr>
          <w:sz w:val="24"/>
          <w:szCs w:val="24"/>
        </w:rPr>
        <w:t>whānau</w:t>
      </w:r>
      <w:proofErr w:type="spellEnd"/>
      <w:proofErr w:type="gramStart"/>
      <w:r w:rsidR="00BA221E">
        <w:rPr>
          <w:sz w:val="24"/>
          <w:szCs w:val="24"/>
        </w:rPr>
        <w:t>,</w:t>
      </w:r>
      <w:proofErr w:type="gramEnd"/>
      <w:r w:rsidR="00001060">
        <w:rPr>
          <w:rStyle w:val="FootnoteReference"/>
          <w:sz w:val="24"/>
          <w:szCs w:val="24"/>
        </w:rPr>
        <w:footnoteReference w:id="54"/>
      </w:r>
      <w:proofErr w:type="spellStart"/>
      <w:r w:rsidR="00BA221E">
        <w:rPr>
          <w:sz w:val="24"/>
          <w:szCs w:val="24"/>
        </w:rPr>
        <w:t>hapu</w:t>
      </w:r>
      <w:proofErr w:type="spellEnd"/>
      <w:r w:rsidR="00BA221E">
        <w:rPr>
          <w:sz w:val="24"/>
          <w:szCs w:val="24"/>
        </w:rPr>
        <w:t>,</w:t>
      </w:r>
      <w:r w:rsidR="00BA221E">
        <w:rPr>
          <w:rStyle w:val="FootnoteReference"/>
          <w:sz w:val="24"/>
          <w:szCs w:val="24"/>
        </w:rPr>
        <w:footnoteReference w:id="55"/>
      </w:r>
      <w:r w:rsidR="00BA221E">
        <w:rPr>
          <w:sz w:val="24"/>
          <w:szCs w:val="24"/>
        </w:rPr>
        <w:t xml:space="preserve"> and </w:t>
      </w:r>
      <w:proofErr w:type="spellStart"/>
      <w:r w:rsidR="00BA221E">
        <w:rPr>
          <w:sz w:val="24"/>
          <w:szCs w:val="24"/>
        </w:rPr>
        <w:t>iwi</w:t>
      </w:r>
      <w:proofErr w:type="spellEnd"/>
      <w:r w:rsidR="00BA221E">
        <w:rPr>
          <w:sz w:val="24"/>
          <w:szCs w:val="24"/>
        </w:rPr>
        <w:t>,</w:t>
      </w:r>
      <w:r w:rsidR="008706EE">
        <w:rPr>
          <w:rStyle w:val="FootnoteReference"/>
          <w:sz w:val="24"/>
          <w:szCs w:val="24"/>
        </w:rPr>
        <w:footnoteReference w:id="56"/>
      </w:r>
      <w:r w:rsidR="006D0349">
        <w:rPr>
          <w:sz w:val="24"/>
          <w:szCs w:val="24"/>
        </w:rPr>
        <w:t xml:space="preserve"> in accordance with</w:t>
      </w:r>
      <w:r w:rsidR="00001060">
        <w:rPr>
          <w:sz w:val="24"/>
          <w:szCs w:val="24"/>
        </w:rPr>
        <w:t xml:space="preserve"> </w:t>
      </w:r>
      <w:r w:rsidR="006D0349">
        <w:rPr>
          <w:sz w:val="24"/>
          <w:szCs w:val="24"/>
        </w:rPr>
        <w:t xml:space="preserve">the United Nations </w:t>
      </w:r>
      <w:r w:rsidR="00001060">
        <w:rPr>
          <w:sz w:val="24"/>
          <w:szCs w:val="24"/>
        </w:rPr>
        <w:t xml:space="preserve">and </w:t>
      </w:r>
      <w:r w:rsidR="006D0349">
        <w:rPr>
          <w:sz w:val="24"/>
          <w:szCs w:val="24"/>
        </w:rPr>
        <w:t xml:space="preserve">New Zealand </w:t>
      </w:r>
      <w:r w:rsidR="00001060">
        <w:rPr>
          <w:sz w:val="24"/>
          <w:szCs w:val="24"/>
        </w:rPr>
        <w:t>human rights instruments.</w:t>
      </w:r>
    </w:p>
    <w:p w:rsidR="006D0349" w:rsidRPr="003B0C27" w:rsidRDefault="006D0349" w:rsidP="00832154">
      <w:pPr>
        <w:pStyle w:val="Heading2"/>
      </w:pPr>
      <w:bookmarkStart w:id="19" w:name="_Toc420885842"/>
      <w:r w:rsidRPr="003B0C27">
        <w:t>Māori specific strategies and action plans</w:t>
      </w:r>
      <w:bookmarkEnd w:id="19"/>
    </w:p>
    <w:p w:rsidR="00055A26" w:rsidRDefault="00364AF5" w:rsidP="00277AB3">
      <w:pPr>
        <w:pStyle w:val="NormalWeb"/>
        <w:shd w:val="clear" w:color="auto" w:fill="FFFFFF"/>
        <w:spacing w:before="360" w:beforeAutospacing="0" w:after="360" w:afterAutospacing="0" w:line="186" w:lineRule="atLeast"/>
      </w:pPr>
      <w:r>
        <w:lastRenderedPageBreak/>
        <w:t xml:space="preserve">The New Zealand Disability Strategy 2001 </w:t>
      </w:r>
      <w:r w:rsidR="00277AB3">
        <w:t xml:space="preserve">is a high level strategy that is supposed </w:t>
      </w:r>
      <w:r>
        <w:t xml:space="preserve">to be used in conjunction with </w:t>
      </w:r>
      <w:proofErr w:type="spellStart"/>
      <w:r w:rsidR="00230A34">
        <w:t>Whāia</w:t>
      </w:r>
      <w:proofErr w:type="spellEnd"/>
      <w:r w:rsidR="00230A34">
        <w:t xml:space="preserve"> Te </w:t>
      </w:r>
      <w:proofErr w:type="spellStart"/>
      <w:r w:rsidR="00230A34">
        <w:t>Ao</w:t>
      </w:r>
      <w:proofErr w:type="spellEnd"/>
      <w:r w:rsidR="00230A34">
        <w:t xml:space="preserve"> </w:t>
      </w:r>
      <w:proofErr w:type="spellStart"/>
      <w:r w:rsidR="00230A34">
        <w:t>Mārama</w:t>
      </w:r>
      <w:proofErr w:type="spellEnd"/>
      <w:r w:rsidR="00230A34">
        <w:t>: The Māori Disability Action Plan 2012-2017,</w:t>
      </w:r>
      <w:r w:rsidR="00230A34">
        <w:rPr>
          <w:rStyle w:val="FootnoteReference"/>
        </w:rPr>
        <w:footnoteReference w:id="57"/>
      </w:r>
      <w:r w:rsidR="00230A34">
        <w:t xml:space="preserve"> and </w:t>
      </w:r>
      <w:r w:rsidR="00CC1B09">
        <w:t xml:space="preserve">He Korowai </w:t>
      </w:r>
      <w:r w:rsidR="00E108C3">
        <w:t>Oranga</w:t>
      </w:r>
      <w:r w:rsidR="00CC1B09">
        <w:t xml:space="preserve">, a </w:t>
      </w:r>
      <w:r>
        <w:t>Mā</w:t>
      </w:r>
      <w:r w:rsidR="00277AB3">
        <w:t>ori-</w:t>
      </w:r>
      <w:r w:rsidR="00CC1B09">
        <w:t xml:space="preserve">specific </w:t>
      </w:r>
      <w:r w:rsidR="00277AB3">
        <w:t xml:space="preserve">health and disability </w:t>
      </w:r>
      <w:r w:rsidR="00CC1B09">
        <w:t xml:space="preserve">strategy </w:t>
      </w:r>
      <w:r>
        <w:t>reflecting the worldviews, values, a</w:t>
      </w:r>
      <w:r w:rsidR="00CC1B09">
        <w:t>nd priorities of tangata whenu</w:t>
      </w:r>
      <w:r w:rsidR="00277AB3">
        <w:t>a</w:t>
      </w:r>
      <w:r>
        <w:t>.</w:t>
      </w:r>
      <w:r w:rsidR="00810567">
        <w:rPr>
          <w:rStyle w:val="FootnoteReference"/>
        </w:rPr>
        <w:footnoteReference w:id="58"/>
      </w:r>
      <w:r w:rsidR="00230A34">
        <w:t xml:space="preserve"> </w:t>
      </w:r>
      <w:r w:rsidR="00A41E00">
        <w:rPr>
          <w:rStyle w:val="FootnoteReference"/>
        </w:rPr>
        <w:footnoteReference w:id="59"/>
      </w:r>
      <w:r w:rsidR="00055A26">
        <w:t xml:space="preserve"> The Disability Action Plan 2014-2018</w:t>
      </w:r>
      <w:proofErr w:type="gramStart"/>
      <w:r w:rsidR="00055A26">
        <w:t xml:space="preserve">,  </w:t>
      </w:r>
      <w:proofErr w:type="spellStart"/>
      <w:r w:rsidR="00055A26">
        <w:t>Whāia</w:t>
      </w:r>
      <w:proofErr w:type="spellEnd"/>
      <w:proofErr w:type="gramEnd"/>
      <w:r w:rsidR="00055A26">
        <w:t xml:space="preserve"> Te </w:t>
      </w:r>
      <w:proofErr w:type="spellStart"/>
      <w:r w:rsidR="00055A26">
        <w:t>Ao</w:t>
      </w:r>
      <w:proofErr w:type="spellEnd"/>
      <w:r w:rsidR="00055A26">
        <w:t xml:space="preserve"> </w:t>
      </w:r>
      <w:proofErr w:type="spellStart"/>
      <w:r w:rsidR="00055A26">
        <w:t>Mārama</w:t>
      </w:r>
      <w:proofErr w:type="spellEnd"/>
      <w:r w:rsidR="00055A26">
        <w:t>, and</w:t>
      </w:r>
      <w:r w:rsidR="00055A26" w:rsidRPr="00277AB3">
        <w:rPr>
          <w:rStyle w:val="apple-converted-space"/>
          <w:rFonts w:eastAsiaTheme="majorEastAsia"/>
        </w:rPr>
        <w:t> </w:t>
      </w:r>
      <w:r w:rsidR="00055A26" w:rsidRPr="00277AB3">
        <w:t>He Korowai Oranga</w:t>
      </w:r>
      <w:r w:rsidR="00055A26" w:rsidRPr="00277AB3">
        <w:rPr>
          <w:rStyle w:val="apple-converted-space"/>
          <w:rFonts w:eastAsiaTheme="majorEastAsia"/>
        </w:rPr>
        <w:t> </w:t>
      </w:r>
      <w:r w:rsidR="00055A26">
        <w:t>are</w:t>
      </w:r>
      <w:r w:rsidR="00055A26" w:rsidRPr="00277AB3">
        <w:t xml:space="preserve"> </w:t>
      </w:r>
      <w:r w:rsidR="00055A26">
        <w:t xml:space="preserve">supposed to be </w:t>
      </w:r>
      <w:r w:rsidR="00055A26" w:rsidRPr="00277AB3">
        <w:t>the responsibility of the whole of th</w:t>
      </w:r>
      <w:r w:rsidR="00055A26">
        <w:t>e health and disability sector, as well as other sectors across government.</w:t>
      </w:r>
    </w:p>
    <w:p w:rsidR="002F713A" w:rsidRDefault="002F713A" w:rsidP="00277AB3">
      <w:pPr>
        <w:pStyle w:val="NormalWeb"/>
        <w:shd w:val="clear" w:color="auto" w:fill="FFFFFF"/>
        <w:spacing w:before="360" w:beforeAutospacing="0" w:after="360" w:afterAutospacing="0" w:line="186" w:lineRule="atLeast"/>
        <w:rPr>
          <w:shd w:val="clear" w:color="auto" w:fill="FFFFFF"/>
        </w:rPr>
      </w:pPr>
      <w:proofErr w:type="spellStart"/>
      <w:r>
        <w:t>Whāia</w:t>
      </w:r>
      <w:proofErr w:type="spellEnd"/>
      <w:r>
        <w:t xml:space="preserve"> Te </w:t>
      </w:r>
      <w:proofErr w:type="spellStart"/>
      <w:r>
        <w:t>Ao</w:t>
      </w:r>
      <w:proofErr w:type="spellEnd"/>
      <w:r>
        <w:t xml:space="preserve"> </w:t>
      </w:r>
      <w:proofErr w:type="spellStart"/>
      <w:r>
        <w:t>Mārama</w:t>
      </w:r>
      <w:proofErr w:type="spellEnd"/>
      <w:r>
        <w:t>: The Māori Disability Action Plan</w:t>
      </w:r>
      <w:r w:rsidR="00856971">
        <w:t xml:space="preserve"> 2012-2017</w:t>
      </w:r>
      <w:r>
        <w:rPr>
          <w:rStyle w:val="FootnoteReference"/>
        </w:rPr>
        <w:footnoteReference w:id="60"/>
      </w:r>
      <w:r>
        <w:t xml:space="preserve"> aims to establish priority areas of action to enable indigenous disabled people to achieve self-defined aspirations</w:t>
      </w:r>
      <w:r w:rsidR="00856971">
        <w:t xml:space="preserve">. It also aims </w:t>
      </w:r>
      <w:r>
        <w:t xml:space="preserve">to reduce barriers that impede </w:t>
      </w:r>
      <w:r w:rsidRPr="002F713A">
        <w:rPr>
          <w:shd w:val="clear" w:color="auto" w:fill="FFFFFF"/>
        </w:rPr>
        <w:t>Māori</w:t>
      </w:r>
      <w:r w:rsidRPr="002F713A">
        <w:rPr>
          <w:rStyle w:val="apple-converted-space"/>
          <w:rFonts w:eastAsiaTheme="majorEastAsia"/>
          <w:shd w:val="clear" w:color="auto" w:fill="FFFFFF"/>
        </w:rPr>
        <w:t> </w:t>
      </w:r>
      <w:r w:rsidRPr="002F713A">
        <w:rPr>
          <w:shd w:val="clear" w:color="auto" w:fill="FFFFFF"/>
        </w:rPr>
        <w:t>disabled</w:t>
      </w:r>
      <w:r>
        <w:rPr>
          <w:shd w:val="clear" w:color="auto" w:fill="FFFFFF"/>
        </w:rPr>
        <w:t xml:space="preserve"> people</w:t>
      </w:r>
      <w:r w:rsidRPr="002F713A">
        <w:rPr>
          <w:shd w:val="clear" w:color="auto" w:fill="FFFFFF"/>
        </w:rPr>
        <w:t xml:space="preserve"> and whānau</w:t>
      </w:r>
      <w:r w:rsidR="003661E0">
        <w:rPr>
          <w:shd w:val="clear" w:color="auto" w:fill="FFFFFF"/>
        </w:rPr>
        <w:t xml:space="preserve"> </w:t>
      </w:r>
      <w:r w:rsidRPr="002F713A">
        <w:rPr>
          <w:shd w:val="clear" w:color="auto" w:fill="FFFFFF"/>
        </w:rPr>
        <w:t>from gaining better outcomes</w:t>
      </w:r>
      <w:r w:rsidR="00856971">
        <w:rPr>
          <w:shd w:val="clear" w:color="auto" w:fill="FFFFFF"/>
        </w:rPr>
        <w:t>. The four priority areas include:</w:t>
      </w:r>
    </w:p>
    <w:p w:rsidR="00856971" w:rsidRPr="00856971" w:rsidRDefault="00856971" w:rsidP="001E00D2">
      <w:pPr>
        <w:shd w:val="clear" w:color="auto" w:fill="FFFFFF"/>
        <w:ind w:left="1701"/>
        <w:rPr>
          <w:sz w:val="24"/>
          <w:szCs w:val="24"/>
          <w:lang w:val="en-NZ" w:eastAsia="en-NZ"/>
        </w:rPr>
      </w:pPr>
      <w:r w:rsidRPr="00856971">
        <w:rPr>
          <w:bCs/>
          <w:sz w:val="24"/>
          <w:szCs w:val="24"/>
          <w:lang w:val="en-NZ" w:eastAsia="en-NZ"/>
        </w:rPr>
        <w:t>1: Improved outcomes for Māori disabled</w:t>
      </w:r>
    </w:p>
    <w:p w:rsidR="00856971" w:rsidRPr="00856971" w:rsidRDefault="00856971" w:rsidP="001E00D2">
      <w:pPr>
        <w:shd w:val="clear" w:color="auto" w:fill="FFFFFF"/>
        <w:ind w:left="1701"/>
        <w:rPr>
          <w:sz w:val="24"/>
          <w:szCs w:val="24"/>
          <w:lang w:val="en-NZ" w:eastAsia="en-NZ"/>
        </w:rPr>
      </w:pPr>
      <w:r w:rsidRPr="00856971">
        <w:rPr>
          <w:bCs/>
          <w:sz w:val="24"/>
          <w:szCs w:val="24"/>
          <w:lang w:val="en-NZ" w:eastAsia="en-NZ"/>
        </w:rPr>
        <w:t>2: Better support for whānau</w:t>
      </w:r>
    </w:p>
    <w:p w:rsidR="00856971" w:rsidRPr="00856971" w:rsidRDefault="00856971" w:rsidP="001E00D2">
      <w:pPr>
        <w:shd w:val="clear" w:color="auto" w:fill="FFFFFF"/>
        <w:ind w:left="1701"/>
        <w:rPr>
          <w:sz w:val="24"/>
          <w:szCs w:val="24"/>
          <w:lang w:val="en-NZ" w:eastAsia="en-NZ"/>
        </w:rPr>
      </w:pPr>
      <w:r w:rsidRPr="00856971">
        <w:rPr>
          <w:bCs/>
          <w:sz w:val="24"/>
          <w:szCs w:val="24"/>
          <w:lang w:val="en-NZ" w:eastAsia="en-NZ"/>
        </w:rPr>
        <w:t>3: Good partnerships with Māori</w:t>
      </w:r>
    </w:p>
    <w:p w:rsidR="001E00D2" w:rsidRDefault="00856971" w:rsidP="001E00D2">
      <w:pPr>
        <w:shd w:val="clear" w:color="auto" w:fill="FFFFFF"/>
        <w:ind w:left="1701"/>
        <w:rPr>
          <w:bCs/>
          <w:sz w:val="24"/>
          <w:szCs w:val="24"/>
          <w:lang w:val="en-NZ" w:eastAsia="en-NZ"/>
        </w:rPr>
      </w:pPr>
      <w:r w:rsidRPr="00856971">
        <w:rPr>
          <w:bCs/>
          <w:sz w:val="24"/>
          <w:szCs w:val="24"/>
          <w:lang w:val="en-NZ" w:eastAsia="en-NZ"/>
        </w:rPr>
        <w:t>4: Monitoring and rep</w:t>
      </w:r>
      <w:r w:rsidR="001E00D2">
        <w:rPr>
          <w:bCs/>
          <w:sz w:val="24"/>
          <w:szCs w:val="24"/>
          <w:lang w:val="en-NZ" w:eastAsia="en-NZ"/>
        </w:rPr>
        <w:t xml:space="preserve">orting on the implementation </w:t>
      </w:r>
      <w:r w:rsidR="001E00D2">
        <w:rPr>
          <w:bCs/>
          <w:sz w:val="24"/>
          <w:szCs w:val="24"/>
          <w:lang w:val="en-NZ" w:eastAsia="en-NZ"/>
        </w:rPr>
        <w:tab/>
      </w:r>
      <w:r w:rsidR="001E00D2">
        <w:rPr>
          <w:bCs/>
          <w:sz w:val="24"/>
          <w:szCs w:val="24"/>
          <w:lang w:val="en-NZ" w:eastAsia="en-NZ"/>
        </w:rPr>
        <w:tab/>
      </w:r>
    </w:p>
    <w:p w:rsidR="00856971" w:rsidRPr="00856971" w:rsidRDefault="001E00D2" w:rsidP="001E00D2">
      <w:pPr>
        <w:shd w:val="clear" w:color="auto" w:fill="FFFFFF"/>
        <w:ind w:left="1701"/>
        <w:rPr>
          <w:sz w:val="24"/>
          <w:szCs w:val="24"/>
          <w:lang w:val="en-NZ" w:eastAsia="en-NZ"/>
        </w:rPr>
      </w:pPr>
      <w:r>
        <w:rPr>
          <w:bCs/>
          <w:sz w:val="24"/>
          <w:szCs w:val="24"/>
          <w:lang w:val="en-NZ" w:eastAsia="en-NZ"/>
        </w:rPr>
        <w:t xml:space="preserve">    </w:t>
      </w:r>
      <w:proofErr w:type="gramStart"/>
      <w:r w:rsidR="00856971" w:rsidRPr="00856971">
        <w:rPr>
          <w:bCs/>
          <w:sz w:val="24"/>
          <w:szCs w:val="24"/>
          <w:lang w:val="en-NZ" w:eastAsia="en-NZ"/>
        </w:rPr>
        <w:t>of</w:t>
      </w:r>
      <w:proofErr w:type="gramEnd"/>
      <w:r w:rsidR="00856971" w:rsidRPr="00856971">
        <w:rPr>
          <w:bCs/>
          <w:sz w:val="24"/>
          <w:szCs w:val="24"/>
          <w:lang w:val="en-NZ" w:eastAsia="en-NZ"/>
        </w:rPr>
        <w:t xml:space="preserve"> Whaia Te Ao Marama</w:t>
      </w:r>
      <w:r w:rsidR="00856971">
        <w:rPr>
          <w:bCs/>
          <w:sz w:val="24"/>
          <w:szCs w:val="24"/>
          <w:lang w:val="en-NZ" w:eastAsia="en-NZ"/>
        </w:rPr>
        <w:t>.</w:t>
      </w:r>
      <w:r w:rsidR="00856971">
        <w:rPr>
          <w:rStyle w:val="FootnoteReference"/>
          <w:bCs/>
          <w:sz w:val="24"/>
          <w:szCs w:val="24"/>
          <w:lang w:val="en-NZ" w:eastAsia="en-NZ"/>
        </w:rPr>
        <w:footnoteReference w:id="61"/>
      </w:r>
    </w:p>
    <w:p w:rsidR="003661E0" w:rsidRDefault="002F713A" w:rsidP="00832154">
      <w:pPr>
        <w:pStyle w:val="NormalWeb"/>
        <w:shd w:val="clear" w:color="auto" w:fill="FFFFFF"/>
        <w:spacing w:before="360" w:beforeAutospacing="0" w:after="360" w:afterAutospacing="0" w:line="186" w:lineRule="atLeast"/>
      </w:pPr>
      <w:r>
        <w:t xml:space="preserve">Further, </w:t>
      </w:r>
      <w:r w:rsidR="00810567" w:rsidRPr="00277AB3">
        <w:t>He Korowai Oranga</w:t>
      </w:r>
      <w:r>
        <w:t xml:space="preserve">, </w:t>
      </w:r>
      <w:r w:rsidRPr="00810567">
        <w:rPr>
          <w:color w:val="000000" w:themeColor="text1"/>
          <w:shd w:val="clear" w:color="auto" w:fill="FFFFFF"/>
        </w:rPr>
        <w:t>New Zealand’s Māori Health Strategy</w:t>
      </w:r>
      <w:r>
        <w:rPr>
          <w:color w:val="000000" w:themeColor="text1"/>
          <w:shd w:val="clear" w:color="auto" w:fill="FFFFFF"/>
        </w:rPr>
        <w:t>,</w:t>
      </w:r>
      <w:r>
        <w:t xml:space="preserve"> was</w:t>
      </w:r>
      <w:r w:rsidR="00810567">
        <w:t xml:space="preserve"> intended to support</w:t>
      </w:r>
      <w:r w:rsidR="00810567" w:rsidRPr="00277AB3">
        <w:t xml:space="preserve"> the Ministry of Health and district health boards (DHBs) to improve Māori health by </w:t>
      </w:r>
      <w:r w:rsidR="003661E0">
        <w:t xml:space="preserve">being used alongside </w:t>
      </w:r>
      <w:r w:rsidR="00810567" w:rsidRPr="00277AB3">
        <w:t>the</w:t>
      </w:r>
      <w:r w:rsidR="00810567">
        <w:t xml:space="preserve"> New Zealand Health Strategy, the New Zealand Disability Strategy, and the New Zealand Public Health and Disability Act 2000.  </w:t>
      </w:r>
      <w:r>
        <w:t xml:space="preserve"> </w:t>
      </w:r>
    </w:p>
    <w:p w:rsidR="00C60856" w:rsidRDefault="00810567" w:rsidP="00832154">
      <w:pPr>
        <w:pStyle w:val="NormalWeb"/>
        <w:shd w:val="clear" w:color="auto" w:fill="FFFFFF"/>
        <w:spacing w:before="360" w:beforeAutospacing="0" w:after="360" w:afterAutospacing="0" w:line="186" w:lineRule="atLeast"/>
        <w:rPr>
          <w:color w:val="000000" w:themeColor="text1"/>
        </w:rPr>
      </w:pPr>
      <w:r w:rsidRPr="00810567">
        <w:rPr>
          <w:color w:val="000000" w:themeColor="text1"/>
          <w:shd w:val="clear" w:color="auto" w:fill="FFFFFF"/>
        </w:rPr>
        <w:t>As New Zealand’s Māori Health Strategy, He Korowai Oranga sets the overarching framework that guides the Government and the health and disability sector to achieve the be</w:t>
      </w:r>
      <w:r w:rsidR="003661E0">
        <w:rPr>
          <w:color w:val="000000" w:themeColor="text1"/>
          <w:shd w:val="clear" w:color="auto" w:fill="FFFFFF"/>
        </w:rPr>
        <w:t>st health outcomes for Māori. The strategy</w:t>
      </w:r>
      <w:r w:rsidRPr="00810567">
        <w:rPr>
          <w:color w:val="000000" w:themeColor="text1"/>
          <w:shd w:val="clear" w:color="auto" w:fill="FFFFFF"/>
        </w:rPr>
        <w:t xml:space="preserve"> has been updated to reflect increasing moves towards </w:t>
      </w:r>
      <w:r w:rsidRPr="00810567">
        <w:rPr>
          <w:color w:val="000000" w:themeColor="text1"/>
        </w:rPr>
        <w:t>supporting whānau, hapū,</w:t>
      </w:r>
      <w:r w:rsidR="00547D51">
        <w:rPr>
          <w:color w:val="000000" w:themeColor="text1"/>
        </w:rPr>
        <w:t xml:space="preserve"> iwi and community development; supporting </w:t>
      </w:r>
      <w:r w:rsidRPr="00810567">
        <w:rPr>
          <w:color w:val="000000" w:themeColor="text1"/>
        </w:rPr>
        <w:t xml:space="preserve">Māori participation at all levels of the health and disability sector; </w:t>
      </w:r>
      <w:r w:rsidR="003661E0">
        <w:rPr>
          <w:color w:val="000000" w:themeColor="text1"/>
        </w:rPr>
        <w:t xml:space="preserve">and </w:t>
      </w:r>
      <w:r w:rsidRPr="00810567">
        <w:rPr>
          <w:color w:val="000000" w:themeColor="text1"/>
        </w:rPr>
        <w:t>ensuring effective health service delivery and working across sectors.</w:t>
      </w:r>
      <w:r w:rsidRPr="00810567">
        <w:rPr>
          <w:rStyle w:val="FootnoteReference"/>
          <w:color w:val="000000" w:themeColor="text1"/>
        </w:rPr>
        <w:footnoteReference w:id="62"/>
      </w:r>
    </w:p>
    <w:p w:rsidR="006E238D" w:rsidRPr="006E238D" w:rsidRDefault="006E238D" w:rsidP="00832154">
      <w:pPr>
        <w:pStyle w:val="Heading2"/>
      </w:pPr>
      <w:bookmarkStart w:id="20" w:name="_Toc420885843"/>
      <w:r w:rsidRPr="006E238D">
        <w:t>Pasifika</w:t>
      </w:r>
      <w:r w:rsidR="003B0C27">
        <w:t xml:space="preserve"> </w:t>
      </w:r>
      <w:r w:rsidR="00925408">
        <w:t>specific Disability Action Plan</w:t>
      </w:r>
      <w:bookmarkEnd w:id="20"/>
    </w:p>
    <w:p w:rsidR="006E238D" w:rsidRDefault="006E238D" w:rsidP="00277AB3">
      <w:pPr>
        <w:pStyle w:val="ListParagraph"/>
        <w:ind w:left="0"/>
        <w:jc w:val="both"/>
        <w:rPr>
          <w:sz w:val="24"/>
          <w:szCs w:val="24"/>
        </w:rPr>
      </w:pPr>
    </w:p>
    <w:p w:rsidR="006841D0" w:rsidRDefault="006841D0" w:rsidP="00277AB3">
      <w:pPr>
        <w:pStyle w:val="ListParagraph"/>
        <w:ind w:left="0"/>
        <w:jc w:val="both"/>
        <w:rPr>
          <w:sz w:val="24"/>
          <w:szCs w:val="24"/>
        </w:rPr>
      </w:pPr>
      <w:r>
        <w:rPr>
          <w:sz w:val="24"/>
          <w:szCs w:val="24"/>
        </w:rPr>
        <w:t>Many of the issue</w:t>
      </w:r>
      <w:r w:rsidR="00DB7644">
        <w:rPr>
          <w:sz w:val="24"/>
          <w:szCs w:val="24"/>
        </w:rPr>
        <w:t xml:space="preserve">s identified in relation to </w:t>
      </w:r>
      <w:r>
        <w:rPr>
          <w:sz w:val="24"/>
          <w:szCs w:val="24"/>
        </w:rPr>
        <w:t>ind</w:t>
      </w:r>
      <w:r w:rsidR="00860BDE">
        <w:rPr>
          <w:sz w:val="24"/>
          <w:szCs w:val="24"/>
        </w:rPr>
        <w:t>i</w:t>
      </w:r>
      <w:r>
        <w:rPr>
          <w:sz w:val="24"/>
          <w:szCs w:val="24"/>
        </w:rPr>
        <w:t xml:space="preserve">genous </w:t>
      </w:r>
      <w:r w:rsidR="00DB7644">
        <w:rPr>
          <w:sz w:val="24"/>
          <w:szCs w:val="24"/>
        </w:rPr>
        <w:t xml:space="preserve">people </w:t>
      </w:r>
      <w:r w:rsidR="005D6735">
        <w:rPr>
          <w:sz w:val="24"/>
          <w:szCs w:val="24"/>
        </w:rPr>
        <w:t xml:space="preserve">are applicable to </w:t>
      </w:r>
      <w:proofErr w:type="spellStart"/>
      <w:r w:rsidR="005D6735">
        <w:rPr>
          <w:sz w:val="24"/>
          <w:szCs w:val="24"/>
        </w:rPr>
        <w:t>Pasifika</w:t>
      </w:r>
      <w:proofErr w:type="spellEnd"/>
      <w:r w:rsidR="005D6735">
        <w:rPr>
          <w:sz w:val="24"/>
          <w:szCs w:val="24"/>
        </w:rPr>
        <w:t xml:space="preserve"> peoples</w:t>
      </w:r>
      <w:r w:rsidR="00860BDE">
        <w:rPr>
          <w:sz w:val="24"/>
          <w:szCs w:val="24"/>
        </w:rPr>
        <w:t xml:space="preserve">. </w:t>
      </w:r>
      <w:proofErr w:type="spellStart"/>
      <w:r w:rsidR="00860BDE">
        <w:rPr>
          <w:sz w:val="24"/>
          <w:szCs w:val="24"/>
        </w:rPr>
        <w:t>Pasifika</w:t>
      </w:r>
      <w:proofErr w:type="spellEnd"/>
      <w:r w:rsidR="00860BDE">
        <w:rPr>
          <w:sz w:val="24"/>
          <w:szCs w:val="24"/>
        </w:rPr>
        <w:t xml:space="preserve"> hold </w:t>
      </w:r>
      <w:r>
        <w:rPr>
          <w:sz w:val="24"/>
          <w:szCs w:val="24"/>
        </w:rPr>
        <w:t>a unique position in</w:t>
      </w:r>
      <w:r w:rsidR="00860BDE">
        <w:rPr>
          <w:sz w:val="24"/>
          <w:szCs w:val="24"/>
        </w:rPr>
        <w:t xml:space="preserve"> New Zealand</w:t>
      </w:r>
      <w:r w:rsidR="00931D1A">
        <w:rPr>
          <w:sz w:val="24"/>
          <w:szCs w:val="24"/>
        </w:rPr>
        <w:t xml:space="preserve">’s </w:t>
      </w:r>
      <w:r w:rsidR="00E108C3">
        <w:rPr>
          <w:sz w:val="24"/>
          <w:szCs w:val="24"/>
        </w:rPr>
        <w:t>history</w:t>
      </w:r>
      <w:r w:rsidR="00860BDE">
        <w:rPr>
          <w:sz w:val="24"/>
          <w:szCs w:val="24"/>
        </w:rPr>
        <w:t xml:space="preserve"> and </w:t>
      </w:r>
      <w:r w:rsidR="00D95987">
        <w:rPr>
          <w:sz w:val="24"/>
          <w:szCs w:val="24"/>
        </w:rPr>
        <w:t xml:space="preserve">in relation to </w:t>
      </w:r>
      <w:r w:rsidR="00860BDE">
        <w:rPr>
          <w:sz w:val="24"/>
          <w:szCs w:val="24"/>
        </w:rPr>
        <w:t>the government’s relationships with</w:t>
      </w:r>
      <w:r w:rsidR="00931D1A">
        <w:rPr>
          <w:sz w:val="24"/>
          <w:szCs w:val="24"/>
        </w:rPr>
        <w:t xml:space="preserve"> </w:t>
      </w:r>
      <w:r>
        <w:rPr>
          <w:sz w:val="24"/>
          <w:szCs w:val="24"/>
        </w:rPr>
        <w:t>Pacific nations and territories.</w:t>
      </w:r>
      <w:r w:rsidR="00931D1A">
        <w:rPr>
          <w:sz w:val="24"/>
          <w:szCs w:val="24"/>
        </w:rPr>
        <w:t xml:space="preserve"> This means that </w:t>
      </w:r>
      <w:proofErr w:type="spellStart"/>
      <w:r w:rsidR="00931D1A">
        <w:rPr>
          <w:sz w:val="24"/>
          <w:szCs w:val="24"/>
        </w:rPr>
        <w:t>Pasifika</w:t>
      </w:r>
      <w:proofErr w:type="spellEnd"/>
      <w:r w:rsidR="00931D1A">
        <w:rPr>
          <w:sz w:val="24"/>
          <w:szCs w:val="24"/>
        </w:rPr>
        <w:t xml:space="preserve"> have a position in </w:t>
      </w:r>
      <w:proofErr w:type="spellStart"/>
      <w:r w:rsidR="00931D1A">
        <w:rPr>
          <w:sz w:val="24"/>
          <w:szCs w:val="24"/>
        </w:rPr>
        <w:t>Aotearoa</w:t>
      </w:r>
      <w:proofErr w:type="spellEnd"/>
      <w:r w:rsidR="00931D1A">
        <w:rPr>
          <w:sz w:val="24"/>
          <w:szCs w:val="24"/>
        </w:rPr>
        <w:t xml:space="preserve"> that is dif</w:t>
      </w:r>
      <w:r w:rsidR="00FC6836">
        <w:rPr>
          <w:sz w:val="24"/>
          <w:szCs w:val="24"/>
        </w:rPr>
        <w:t>ferent from all other migrant groups.</w:t>
      </w:r>
    </w:p>
    <w:p w:rsidR="006841D0" w:rsidRDefault="006841D0" w:rsidP="00277AB3">
      <w:pPr>
        <w:pStyle w:val="ListParagraph"/>
        <w:ind w:left="0"/>
        <w:jc w:val="both"/>
        <w:rPr>
          <w:sz w:val="24"/>
          <w:szCs w:val="24"/>
        </w:rPr>
      </w:pPr>
    </w:p>
    <w:p w:rsidR="00507D1A" w:rsidRDefault="00507D1A" w:rsidP="00931D1A">
      <w:pPr>
        <w:pStyle w:val="ListParagraph"/>
        <w:ind w:left="0"/>
        <w:jc w:val="both"/>
        <w:rPr>
          <w:sz w:val="24"/>
          <w:szCs w:val="24"/>
        </w:rPr>
      </w:pPr>
      <w:proofErr w:type="spellStart"/>
      <w:r>
        <w:rPr>
          <w:sz w:val="24"/>
          <w:szCs w:val="24"/>
        </w:rPr>
        <w:lastRenderedPageBreak/>
        <w:t>Faiva</w:t>
      </w:r>
      <w:proofErr w:type="spellEnd"/>
      <w:r>
        <w:rPr>
          <w:sz w:val="24"/>
          <w:szCs w:val="24"/>
        </w:rPr>
        <w:t xml:space="preserve"> </w:t>
      </w:r>
      <w:proofErr w:type="spellStart"/>
      <w:r>
        <w:rPr>
          <w:sz w:val="24"/>
          <w:szCs w:val="24"/>
        </w:rPr>
        <w:t>Ora</w:t>
      </w:r>
      <w:proofErr w:type="spellEnd"/>
      <w:r>
        <w:rPr>
          <w:sz w:val="24"/>
          <w:szCs w:val="24"/>
        </w:rPr>
        <w:t xml:space="preserve">, the </w:t>
      </w:r>
      <w:r w:rsidR="00931D1A">
        <w:rPr>
          <w:sz w:val="24"/>
          <w:szCs w:val="24"/>
        </w:rPr>
        <w:t xml:space="preserve">National </w:t>
      </w:r>
      <w:proofErr w:type="spellStart"/>
      <w:r w:rsidR="00931D1A">
        <w:rPr>
          <w:sz w:val="24"/>
          <w:szCs w:val="24"/>
        </w:rPr>
        <w:t>Pasifika</w:t>
      </w:r>
      <w:proofErr w:type="spellEnd"/>
      <w:r w:rsidR="00931D1A">
        <w:rPr>
          <w:sz w:val="24"/>
          <w:szCs w:val="24"/>
        </w:rPr>
        <w:t xml:space="preserve"> Disability Action Plan 2010-2013</w:t>
      </w:r>
      <w:r w:rsidR="00931D1A">
        <w:rPr>
          <w:rStyle w:val="FootnoteReference"/>
          <w:sz w:val="24"/>
          <w:szCs w:val="24"/>
        </w:rPr>
        <w:footnoteReference w:id="63"/>
      </w:r>
      <w:r w:rsidR="00931D1A">
        <w:rPr>
          <w:sz w:val="24"/>
          <w:szCs w:val="24"/>
        </w:rPr>
        <w:t xml:space="preserve"> </w:t>
      </w:r>
      <w:r w:rsidR="00547D51">
        <w:rPr>
          <w:sz w:val="24"/>
          <w:szCs w:val="24"/>
        </w:rPr>
        <w:t>is a Ministry</w:t>
      </w:r>
      <w:r w:rsidR="003A3D06">
        <w:rPr>
          <w:sz w:val="24"/>
          <w:szCs w:val="24"/>
        </w:rPr>
        <w:t xml:space="preserve"> </w:t>
      </w:r>
      <w:r w:rsidR="00547D51">
        <w:rPr>
          <w:sz w:val="24"/>
          <w:szCs w:val="24"/>
        </w:rPr>
        <w:t xml:space="preserve">of Health plan that </w:t>
      </w:r>
      <w:r w:rsidR="00931D1A">
        <w:rPr>
          <w:sz w:val="24"/>
          <w:szCs w:val="24"/>
        </w:rPr>
        <w:t>set</w:t>
      </w:r>
      <w:r w:rsidR="00547D51">
        <w:rPr>
          <w:sz w:val="24"/>
          <w:szCs w:val="24"/>
        </w:rPr>
        <w:t>s</w:t>
      </w:r>
      <w:r w:rsidR="00931D1A">
        <w:rPr>
          <w:sz w:val="24"/>
          <w:szCs w:val="24"/>
        </w:rPr>
        <w:t xml:space="preserve"> out priorities for improving the training and career path for </w:t>
      </w:r>
      <w:proofErr w:type="spellStart"/>
      <w:r w:rsidR="00931D1A">
        <w:rPr>
          <w:sz w:val="24"/>
          <w:szCs w:val="24"/>
        </w:rPr>
        <w:t>Pasifika</w:t>
      </w:r>
      <w:proofErr w:type="spellEnd"/>
      <w:r w:rsidR="00931D1A">
        <w:rPr>
          <w:sz w:val="24"/>
          <w:szCs w:val="24"/>
        </w:rPr>
        <w:t xml:space="preserve"> disability workers, ensuring support services meet the needs of </w:t>
      </w:r>
      <w:proofErr w:type="spellStart"/>
      <w:r w:rsidR="00931D1A">
        <w:rPr>
          <w:sz w:val="24"/>
          <w:szCs w:val="24"/>
        </w:rPr>
        <w:t>Pasifika</w:t>
      </w:r>
      <w:proofErr w:type="spellEnd"/>
      <w:r w:rsidR="00931D1A">
        <w:rPr>
          <w:sz w:val="24"/>
          <w:szCs w:val="24"/>
        </w:rPr>
        <w:t xml:space="preserve"> disabled people and their families, and increasing the number of services delivered locally in the community. A </w:t>
      </w:r>
      <w:r w:rsidR="00547D51">
        <w:rPr>
          <w:sz w:val="24"/>
          <w:szCs w:val="24"/>
        </w:rPr>
        <w:t xml:space="preserve">Ministry of Health </w:t>
      </w:r>
      <w:proofErr w:type="spellStart"/>
      <w:r w:rsidR="00931D1A">
        <w:rPr>
          <w:sz w:val="24"/>
          <w:szCs w:val="24"/>
        </w:rPr>
        <w:t>Pasifika</w:t>
      </w:r>
      <w:proofErr w:type="spellEnd"/>
      <w:r w:rsidR="00931D1A">
        <w:rPr>
          <w:sz w:val="24"/>
          <w:szCs w:val="24"/>
        </w:rPr>
        <w:t xml:space="preserve"> leadership group was established to lead the implementation of this Plan. </w:t>
      </w:r>
    </w:p>
    <w:p w:rsidR="00507D1A" w:rsidRDefault="00507D1A" w:rsidP="00931D1A">
      <w:pPr>
        <w:pStyle w:val="ListParagraph"/>
        <w:ind w:left="0"/>
        <w:jc w:val="both"/>
        <w:rPr>
          <w:sz w:val="24"/>
          <w:szCs w:val="24"/>
        </w:rPr>
      </w:pPr>
    </w:p>
    <w:p w:rsidR="00931D1A" w:rsidRPr="004937CF" w:rsidRDefault="00931D1A" w:rsidP="00931D1A">
      <w:pPr>
        <w:pStyle w:val="ListParagraph"/>
        <w:ind w:left="0"/>
        <w:jc w:val="both"/>
        <w:rPr>
          <w:sz w:val="24"/>
          <w:szCs w:val="24"/>
        </w:rPr>
      </w:pPr>
      <w:r>
        <w:rPr>
          <w:sz w:val="24"/>
          <w:szCs w:val="24"/>
        </w:rPr>
        <w:t xml:space="preserve">The Plan was a response to widespread recognition that </w:t>
      </w:r>
      <w:proofErr w:type="spellStart"/>
      <w:r>
        <w:rPr>
          <w:sz w:val="24"/>
          <w:szCs w:val="24"/>
        </w:rPr>
        <w:t>Pasifika</w:t>
      </w:r>
      <w:proofErr w:type="spellEnd"/>
      <w:r>
        <w:rPr>
          <w:sz w:val="24"/>
          <w:szCs w:val="24"/>
        </w:rPr>
        <w:t xml:space="preserve"> </w:t>
      </w:r>
      <w:r w:rsidR="00547D51">
        <w:rPr>
          <w:sz w:val="24"/>
          <w:szCs w:val="24"/>
        </w:rPr>
        <w:t xml:space="preserve">have a low uptake </w:t>
      </w:r>
      <w:r w:rsidR="00507D1A">
        <w:rPr>
          <w:sz w:val="24"/>
          <w:szCs w:val="24"/>
        </w:rPr>
        <w:t>of disability support services</w:t>
      </w:r>
      <w:r w:rsidR="004937CF">
        <w:rPr>
          <w:sz w:val="24"/>
          <w:szCs w:val="24"/>
        </w:rPr>
        <w:t xml:space="preserve"> due to a range of barriers to access</w:t>
      </w:r>
      <w:r>
        <w:rPr>
          <w:sz w:val="24"/>
          <w:szCs w:val="24"/>
        </w:rPr>
        <w:t xml:space="preserve">. </w:t>
      </w:r>
      <w:r w:rsidR="004937CF">
        <w:rPr>
          <w:sz w:val="24"/>
          <w:szCs w:val="24"/>
        </w:rPr>
        <w:t xml:space="preserve">The most important issue is a </w:t>
      </w:r>
      <w:r>
        <w:rPr>
          <w:sz w:val="24"/>
          <w:szCs w:val="24"/>
        </w:rPr>
        <w:t>lack of culturally responsive and appropriate disability services</w:t>
      </w:r>
      <w:r w:rsidR="004937CF">
        <w:rPr>
          <w:sz w:val="24"/>
          <w:szCs w:val="24"/>
        </w:rPr>
        <w:t>,</w:t>
      </w:r>
      <w:r>
        <w:rPr>
          <w:sz w:val="24"/>
          <w:szCs w:val="24"/>
        </w:rPr>
        <w:t xml:space="preserve"> and accessible information</w:t>
      </w:r>
      <w:r w:rsidR="004937CF">
        <w:rPr>
          <w:sz w:val="24"/>
          <w:szCs w:val="24"/>
        </w:rPr>
        <w:t xml:space="preserve"> in diverse </w:t>
      </w:r>
      <w:proofErr w:type="spellStart"/>
      <w:r w:rsidR="004937CF">
        <w:rPr>
          <w:sz w:val="24"/>
          <w:szCs w:val="24"/>
        </w:rPr>
        <w:t>Pasifika</w:t>
      </w:r>
      <w:proofErr w:type="spellEnd"/>
      <w:r w:rsidR="004937CF">
        <w:rPr>
          <w:sz w:val="24"/>
          <w:szCs w:val="24"/>
        </w:rPr>
        <w:t xml:space="preserve"> languages</w:t>
      </w:r>
      <w:r>
        <w:rPr>
          <w:sz w:val="24"/>
          <w:szCs w:val="24"/>
        </w:rPr>
        <w:t>.</w:t>
      </w:r>
      <w:r>
        <w:rPr>
          <w:rStyle w:val="FootnoteReference"/>
          <w:sz w:val="24"/>
          <w:szCs w:val="24"/>
        </w:rPr>
        <w:footnoteReference w:id="64"/>
      </w:r>
      <w:r>
        <w:rPr>
          <w:sz w:val="24"/>
          <w:szCs w:val="24"/>
        </w:rPr>
        <w:t xml:space="preserve"> </w:t>
      </w:r>
      <w:proofErr w:type="spellStart"/>
      <w:r w:rsidR="004937CF" w:rsidRPr="004937CF">
        <w:rPr>
          <w:sz w:val="24"/>
          <w:szCs w:val="24"/>
        </w:rPr>
        <w:t>Pasifika</w:t>
      </w:r>
      <w:proofErr w:type="spellEnd"/>
      <w:r w:rsidR="004937CF" w:rsidRPr="004937CF">
        <w:rPr>
          <w:sz w:val="24"/>
          <w:szCs w:val="24"/>
        </w:rPr>
        <w:t xml:space="preserve"> people’s views about </w:t>
      </w:r>
      <w:r w:rsidR="00E108C3" w:rsidRPr="004937CF">
        <w:rPr>
          <w:sz w:val="24"/>
          <w:szCs w:val="24"/>
        </w:rPr>
        <w:t>di</w:t>
      </w:r>
      <w:r w:rsidR="00E108C3">
        <w:rPr>
          <w:sz w:val="24"/>
          <w:szCs w:val="24"/>
        </w:rPr>
        <w:t>s</w:t>
      </w:r>
      <w:r w:rsidR="00E108C3" w:rsidRPr="004937CF">
        <w:rPr>
          <w:sz w:val="24"/>
          <w:szCs w:val="24"/>
        </w:rPr>
        <w:t>ability</w:t>
      </w:r>
      <w:r w:rsidR="004937CF">
        <w:rPr>
          <w:sz w:val="24"/>
          <w:szCs w:val="24"/>
        </w:rPr>
        <w:t xml:space="preserve"> and psychosocial disability in particular,</w:t>
      </w:r>
      <w:r w:rsidR="004937CF" w:rsidRPr="004937CF">
        <w:rPr>
          <w:sz w:val="24"/>
          <w:szCs w:val="24"/>
        </w:rPr>
        <w:t xml:space="preserve"> can also be </w:t>
      </w:r>
      <w:r w:rsidR="00E108C3" w:rsidRPr="004937CF">
        <w:rPr>
          <w:sz w:val="24"/>
          <w:szCs w:val="24"/>
        </w:rPr>
        <w:t>a barrier that prevents</w:t>
      </w:r>
      <w:r w:rsidRPr="004937CF">
        <w:rPr>
          <w:sz w:val="24"/>
          <w:szCs w:val="24"/>
        </w:rPr>
        <w:t xml:space="preserve"> </w:t>
      </w:r>
      <w:r w:rsidR="004937CF" w:rsidRPr="004937CF">
        <w:rPr>
          <w:sz w:val="24"/>
          <w:szCs w:val="24"/>
        </w:rPr>
        <w:t xml:space="preserve">the use of </w:t>
      </w:r>
      <w:r w:rsidRPr="004937CF">
        <w:rPr>
          <w:sz w:val="24"/>
          <w:szCs w:val="24"/>
        </w:rPr>
        <w:t>disability support services</w:t>
      </w:r>
      <w:r w:rsidR="006A46A6">
        <w:rPr>
          <w:sz w:val="24"/>
          <w:szCs w:val="24"/>
        </w:rPr>
        <w:t xml:space="preserve">. There do not appear to be any current initiatives to update the </w:t>
      </w:r>
      <w:proofErr w:type="spellStart"/>
      <w:r w:rsidR="006A46A6">
        <w:rPr>
          <w:sz w:val="24"/>
          <w:szCs w:val="24"/>
        </w:rPr>
        <w:t>Pasifika</w:t>
      </w:r>
      <w:proofErr w:type="spellEnd"/>
      <w:r w:rsidR="006A46A6">
        <w:rPr>
          <w:sz w:val="24"/>
          <w:szCs w:val="24"/>
        </w:rPr>
        <w:t xml:space="preserve"> Action Plan or to ensure </w:t>
      </w:r>
      <w:proofErr w:type="spellStart"/>
      <w:r w:rsidR="006A46A6">
        <w:rPr>
          <w:sz w:val="24"/>
          <w:szCs w:val="24"/>
        </w:rPr>
        <w:t>Pasifika</w:t>
      </w:r>
      <w:proofErr w:type="spellEnd"/>
      <w:r w:rsidR="006A46A6">
        <w:rPr>
          <w:sz w:val="24"/>
          <w:szCs w:val="24"/>
        </w:rPr>
        <w:t xml:space="preserve"> voices at every level of decision making throughout the institutional framework.</w:t>
      </w:r>
    </w:p>
    <w:p w:rsidR="005D6735" w:rsidRDefault="005D6735" w:rsidP="00277AB3">
      <w:pPr>
        <w:pStyle w:val="ListParagraph"/>
        <w:ind w:left="0"/>
        <w:jc w:val="both"/>
        <w:rPr>
          <w:sz w:val="24"/>
          <w:szCs w:val="24"/>
        </w:rPr>
      </w:pPr>
    </w:p>
    <w:p w:rsidR="002F0B21" w:rsidRDefault="006841D0" w:rsidP="00277AB3">
      <w:pPr>
        <w:pStyle w:val="ListParagraph"/>
        <w:ind w:left="0"/>
        <w:jc w:val="both"/>
        <w:rPr>
          <w:sz w:val="24"/>
          <w:szCs w:val="24"/>
        </w:rPr>
      </w:pPr>
      <w:r>
        <w:rPr>
          <w:sz w:val="24"/>
          <w:szCs w:val="24"/>
        </w:rPr>
        <w:t>While</w:t>
      </w:r>
      <w:r w:rsidR="006E238D">
        <w:rPr>
          <w:sz w:val="24"/>
          <w:szCs w:val="24"/>
        </w:rPr>
        <w:t xml:space="preserve"> the Disabled Persons Assembly is in the early stages of establishing a </w:t>
      </w:r>
      <w:proofErr w:type="spellStart"/>
      <w:r w:rsidR="006E238D">
        <w:rPr>
          <w:sz w:val="24"/>
          <w:szCs w:val="24"/>
        </w:rPr>
        <w:t>Pasifika</w:t>
      </w:r>
      <w:proofErr w:type="spellEnd"/>
      <w:r w:rsidR="006E238D">
        <w:rPr>
          <w:sz w:val="24"/>
          <w:szCs w:val="24"/>
        </w:rPr>
        <w:t xml:space="preserve"> caucus</w:t>
      </w:r>
      <w:r w:rsidR="00094128">
        <w:rPr>
          <w:sz w:val="24"/>
          <w:szCs w:val="24"/>
        </w:rPr>
        <w:t>,</w:t>
      </w:r>
      <w:r w:rsidR="006E238D">
        <w:rPr>
          <w:sz w:val="24"/>
          <w:szCs w:val="24"/>
        </w:rPr>
        <w:t xml:space="preserve"> this is likely to have </w:t>
      </w:r>
      <w:r w:rsidR="00547D51">
        <w:rPr>
          <w:sz w:val="24"/>
          <w:szCs w:val="24"/>
        </w:rPr>
        <w:t xml:space="preserve">limited </w:t>
      </w:r>
      <w:r w:rsidR="006E238D">
        <w:rPr>
          <w:sz w:val="24"/>
          <w:szCs w:val="24"/>
        </w:rPr>
        <w:t xml:space="preserve">impact </w:t>
      </w:r>
      <w:r w:rsidR="00094128">
        <w:rPr>
          <w:sz w:val="24"/>
          <w:szCs w:val="24"/>
        </w:rPr>
        <w:t xml:space="preserve">on the </w:t>
      </w:r>
      <w:r w:rsidR="00225650">
        <w:rPr>
          <w:sz w:val="24"/>
          <w:szCs w:val="24"/>
        </w:rPr>
        <w:t xml:space="preserve">pending revision of the </w:t>
      </w:r>
      <w:r w:rsidR="00094128">
        <w:rPr>
          <w:sz w:val="24"/>
          <w:szCs w:val="24"/>
        </w:rPr>
        <w:t xml:space="preserve">Disability Strategy </w:t>
      </w:r>
      <w:r>
        <w:rPr>
          <w:sz w:val="24"/>
          <w:szCs w:val="24"/>
        </w:rPr>
        <w:t xml:space="preserve">2001 </w:t>
      </w:r>
      <w:r w:rsidR="00094128">
        <w:rPr>
          <w:sz w:val="24"/>
          <w:szCs w:val="24"/>
        </w:rPr>
        <w:t>or update of the Disability Action Plan 2014-20</w:t>
      </w:r>
      <w:r w:rsidR="009E2F95">
        <w:rPr>
          <w:sz w:val="24"/>
          <w:szCs w:val="24"/>
        </w:rPr>
        <w:t>18.</w:t>
      </w:r>
    </w:p>
    <w:p w:rsidR="000A506E" w:rsidRDefault="000A506E" w:rsidP="00277AB3">
      <w:pPr>
        <w:pStyle w:val="ListParagraph"/>
        <w:ind w:left="0"/>
        <w:jc w:val="both"/>
        <w:rPr>
          <w:sz w:val="24"/>
          <w:szCs w:val="24"/>
        </w:rPr>
      </w:pPr>
    </w:p>
    <w:p w:rsidR="003A3D06" w:rsidRDefault="00CA7FEE" w:rsidP="009E2F95">
      <w:pPr>
        <w:pStyle w:val="ListParagraph"/>
        <w:ind w:left="0"/>
        <w:jc w:val="both"/>
        <w:rPr>
          <w:sz w:val="24"/>
          <w:szCs w:val="24"/>
        </w:rPr>
      </w:pPr>
      <w:r>
        <w:rPr>
          <w:sz w:val="24"/>
          <w:szCs w:val="24"/>
        </w:rPr>
        <w:t xml:space="preserve">A change </w:t>
      </w:r>
      <w:r w:rsidR="008378F5">
        <w:rPr>
          <w:sz w:val="24"/>
          <w:szCs w:val="24"/>
        </w:rPr>
        <w:t xml:space="preserve">at the DPO level to </w:t>
      </w:r>
      <w:r>
        <w:rPr>
          <w:sz w:val="24"/>
          <w:szCs w:val="24"/>
        </w:rPr>
        <w:t>enable t</w:t>
      </w:r>
      <w:r w:rsidR="00547D51">
        <w:rPr>
          <w:sz w:val="24"/>
          <w:szCs w:val="24"/>
        </w:rPr>
        <w:t xml:space="preserve">he inclusion of </w:t>
      </w:r>
      <w:proofErr w:type="spellStart"/>
      <w:r w:rsidR="006841D0">
        <w:rPr>
          <w:sz w:val="24"/>
          <w:szCs w:val="24"/>
        </w:rPr>
        <w:t>Pasifika</w:t>
      </w:r>
      <w:proofErr w:type="spellEnd"/>
      <w:r w:rsidR="00547D51">
        <w:rPr>
          <w:sz w:val="24"/>
          <w:szCs w:val="24"/>
        </w:rPr>
        <w:t xml:space="preserve"> disabled people </w:t>
      </w:r>
      <w:r w:rsidR="006841D0">
        <w:rPr>
          <w:sz w:val="24"/>
          <w:szCs w:val="24"/>
        </w:rPr>
        <w:t xml:space="preserve">is urgently needed to ensure </w:t>
      </w:r>
      <w:proofErr w:type="spellStart"/>
      <w:r>
        <w:rPr>
          <w:sz w:val="24"/>
          <w:szCs w:val="24"/>
        </w:rPr>
        <w:t>P</w:t>
      </w:r>
      <w:r w:rsidR="006841D0">
        <w:rPr>
          <w:sz w:val="24"/>
          <w:szCs w:val="24"/>
        </w:rPr>
        <w:t>asifika</w:t>
      </w:r>
      <w:proofErr w:type="spellEnd"/>
      <w:r w:rsidR="006841D0">
        <w:rPr>
          <w:sz w:val="24"/>
          <w:szCs w:val="24"/>
        </w:rPr>
        <w:t xml:space="preserve"> voices are well represented at </w:t>
      </w:r>
      <w:r w:rsidR="00EA1227">
        <w:rPr>
          <w:sz w:val="24"/>
          <w:szCs w:val="24"/>
        </w:rPr>
        <w:t xml:space="preserve">every level of the </w:t>
      </w:r>
      <w:r w:rsidR="003A3D06">
        <w:rPr>
          <w:sz w:val="24"/>
          <w:szCs w:val="24"/>
        </w:rPr>
        <w:t xml:space="preserve">social protections </w:t>
      </w:r>
      <w:r w:rsidR="00EA1227">
        <w:rPr>
          <w:sz w:val="24"/>
          <w:szCs w:val="24"/>
        </w:rPr>
        <w:t xml:space="preserve">institutional framework and </w:t>
      </w:r>
      <w:r>
        <w:rPr>
          <w:sz w:val="24"/>
          <w:szCs w:val="24"/>
        </w:rPr>
        <w:t xml:space="preserve">are </w:t>
      </w:r>
      <w:r w:rsidR="00EA1227">
        <w:rPr>
          <w:sz w:val="24"/>
          <w:szCs w:val="24"/>
        </w:rPr>
        <w:t xml:space="preserve">adequately conveyed to </w:t>
      </w:r>
      <w:r w:rsidR="006841D0">
        <w:rPr>
          <w:sz w:val="24"/>
          <w:szCs w:val="24"/>
        </w:rPr>
        <w:t xml:space="preserve">the United </w:t>
      </w:r>
      <w:r w:rsidR="00860BDE">
        <w:rPr>
          <w:sz w:val="24"/>
          <w:szCs w:val="24"/>
        </w:rPr>
        <w:t xml:space="preserve">Nations </w:t>
      </w:r>
      <w:r w:rsidR="006841D0">
        <w:rPr>
          <w:sz w:val="24"/>
          <w:szCs w:val="24"/>
        </w:rPr>
        <w:t>Committee on the Righ</w:t>
      </w:r>
      <w:r w:rsidR="001E647F">
        <w:rPr>
          <w:sz w:val="24"/>
          <w:szCs w:val="24"/>
        </w:rPr>
        <w:t>ts of Persons with Disabilities through the IMM</w:t>
      </w:r>
      <w:r w:rsidR="00103A86">
        <w:rPr>
          <w:sz w:val="24"/>
          <w:szCs w:val="24"/>
        </w:rPr>
        <w:t xml:space="preserve"> and</w:t>
      </w:r>
      <w:r w:rsidR="00363B30">
        <w:rPr>
          <w:sz w:val="24"/>
          <w:szCs w:val="24"/>
        </w:rPr>
        <w:t xml:space="preserve"> Convention Coalition</w:t>
      </w:r>
      <w:r w:rsidR="001E647F">
        <w:rPr>
          <w:sz w:val="24"/>
          <w:szCs w:val="24"/>
        </w:rPr>
        <w:t>.</w:t>
      </w:r>
      <w:r w:rsidR="003A3D06">
        <w:rPr>
          <w:sz w:val="24"/>
          <w:szCs w:val="24"/>
        </w:rPr>
        <w:t xml:space="preserve"> There is also an onus on the New Zealand government to fulfil its obligations to Pacific nation states and territories in relation to </w:t>
      </w:r>
      <w:proofErr w:type="spellStart"/>
      <w:r w:rsidR="003A3D06">
        <w:rPr>
          <w:sz w:val="24"/>
          <w:szCs w:val="24"/>
        </w:rPr>
        <w:t>Pasifika</w:t>
      </w:r>
      <w:proofErr w:type="spellEnd"/>
      <w:r w:rsidR="003A3D06">
        <w:rPr>
          <w:sz w:val="24"/>
          <w:szCs w:val="24"/>
        </w:rPr>
        <w:t xml:space="preserve"> disability and development across the Pacific region.</w:t>
      </w:r>
    </w:p>
    <w:p w:rsidR="0059462A" w:rsidRDefault="00735518" w:rsidP="00735518">
      <w:pPr>
        <w:pStyle w:val="Heading2"/>
      </w:pPr>
      <w:bookmarkStart w:id="21" w:name="_Toc420885844"/>
      <w:r>
        <w:t>Government-DPO structure</w:t>
      </w:r>
      <w:bookmarkEnd w:id="21"/>
      <w:r>
        <w:t xml:space="preserve"> </w:t>
      </w:r>
    </w:p>
    <w:p w:rsidR="0059462A" w:rsidRDefault="0059462A" w:rsidP="00735518">
      <w:pPr>
        <w:pStyle w:val="Heading2"/>
        <w:rPr>
          <w:sz w:val="24"/>
          <w:szCs w:val="24"/>
        </w:rPr>
      </w:pPr>
    </w:p>
    <w:p w:rsidR="0059462A" w:rsidRDefault="00C51D03" w:rsidP="009E2F95">
      <w:pPr>
        <w:pStyle w:val="ListParagraph"/>
        <w:ind w:left="0"/>
        <w:jc w:val="both"/>
        <w:rPr>
          <w:sz w:val="24"/>
          <w:szCs w:val="24"/>
        </w:rPr>
      </w:pPr>
      <w:r>
        <w:rPr>
          <w:sz w:val="24"/>
          <w:szCs w:val="24"/>
        </w:rPr>
        <w:t xml:space="preserve">The government-DPO system </w:t>
      </w:r>
      <w:r w:rsidR="009E2F95">
        <w:rPr>
          <w:sz w:val="24"/>
          <w:szCs w:val="24"/>
        </w:rPr>
        <w:t>is mono-cultural and currently margin</w:t>
      </w:r>
      <w:r w:rsidR="00550DF2">
        <w:rPr>
          <w:sz w:val="24"/>
          <w:szCs w:val="24"/>
        </w:rPr>
        <w:t>alises</w:t>
      </w:r>
      <w:bookmarkStart w:id="22" w:name="_GoBack"/>
      <w:bookmarkEnd w:id="22"/>
      <w:r w:rsidR="009E2F95">
        <w:rPr>
          <w:sz w:val="24"/>
          <w:szCs w:val="24"/>
        </w:rPr>
        <w:t xml:space="preserve"> indigenous worldviews, values, interests and priorities, as well as a </w:t>
      </w:r>
      <w:proofErr w:type="spellStart"/>
      <w:r w:rsidR="009E2F95">
        <w:rPr>
          <w:sz w:val="24"/>
          <w:szCs w:val="24"/>
        </w:rPr>
        <w:t>whānau</w:t>
      </w:r>
      <w:proofErr w:type="spellEnd"/>
      <w:r w:rsidR="009E2F95">
        <w:rPr>
          <w:sz w:val="24"/>
          <w:szCs w:val="24"/>
        </w:rPr>
        <w:t xml:space="preserve"> </w:t>
      </w:r>
      <w:proofErr w:type="spellStart"/>
      <w:r w:rsidR="009E2F95">
        <w:rPr>
          <w:sz w:val="24"/>
          <w:szCs w:val="24"/>
        </w:rPr>
        <w:t>ora</w:t>
      </w:r>
      <w:proofErr w:type="spellEnd"/>
      <w:r w:rsidR="009E2F95">
        <w:rPr>
          <w:sz w:val="24"/>
          <w:szCs w:val="24"/>
        </w:rPr>
        <w:t xml:space="preserve"> approach.</w:t>
      </w:r>
      <w:r w:rsidR="009E2F95">
        <w:rPr>
          <w:rStyle w:val="FootnoteReference"/>
          <w:sz w:val="24"/>
          <w:szCs w:val="24"/>
        </w:rPr>
        <w:footnoteReference w:id="65"/>
      </w:r>
      <w:r w:rsidR="009E2F95">
        <w:rPr>
          <w:sz w:val="24"/>
          <w:szCs w:val="24"/>
        </w:rPr>
        <w:t xml:space="preserve"> </w:t>
      </w:r>
    </w:p>
    <w:p w:rsidR="0059462A" w:rsidRDefault="0059462A" w:rsidP="009E2F95">
      <w:pPr>
        <w:pStyle w:val="ListParagraph"/>
        <w:ind w:left="0"/>
        <w:jc w:val="both"/>
        <w:rPr>
          <w:sz w:val="24"/>
          <w:szCs w:val="24"/>
        </w:rPr>
      </w:pPr>
    </w:p>
    <w:p w:rsidR="009E2F95" w:rsidRDefault="009E2F95" w:rsidP="009E2F95">
      <w:pPr>
        <w:pStyle w:val="ListParagraph"/>
        <w:ind w:left="0"/>
        <w:jc w:val="both"/>
        <w:rPr>
          <w:sz w:val="24"/>
          <w:szCs w:val="24"/>
        </w:rPr>
      </w:pPr>
      <w:r>
        <w:rPr>
          <w:sz w:val="24"/>
          <w:szCs w:val="24"/>
        </w:rPr>
        <w:t xml:space="preserve">During the process of developing and implementing the New Zealand Disability Action Plan 2014-2018 and UNCRPD there has been a dominance of </w:t>
      </w:r>
      <w:proofErr w:type="spellStart"/>
      <w:r>
        <w:rPr>
          <w:sz w:val="24"/>
          <w:szCs w:val="24"/>
        </w:rPr>
        <w:t>Pākehā</w:t>
      </w:r>
      <w:proofErr w:type="spellEnd"/>
      <w:r w:rsidR="003661E0">
        <w:rPr>
          <w:rStyle w:val="FootnoteReference"/>
          <w:sz w:val="24"/>
          <w:szCs w:val="24"/>
        </w:rPr>
        <w:footnoteReference w:id="66"/>
      </w:r>
      <w:r>
        <w:rPr>
          <w:sz w:val="24"/>
          <w:szCs w:val="24"/>
        </w:rPr>
        <w:t xml:space="preserve"> at every level of decision making. The Ministerial Committee on Disability Issues, the Chief Executives’ Group, the Convention Coalition, the IMM, and all DPOs except one, are </w:t>
      </w:r>
      <w:proofErr w:type="spellStart"/>
      <w:r>
        <w:rPr>
          <w:sz w:val="24"/>
          <w:szCs w:val="24"/>
        </w:rPr>
        <w:t>Pākehā</w:t>
      </w:r>
      <w:proofErr w:type="spellEnd"/>
      <w:r>
        <w:rPr>
          <w:sz w:val="24"/>
          <w:szCs w:val="24"/>
        </w:rPr>
        <w:t xml:space="preserve"> led and dominated. </w:t>
      </w:r>
    </w:p>
    <w:p w:rsidR="009E2F95" w:rsidRDefault="009E2F95" w:rsidP="009E2F95">
      <w:pPr>
        <w:pStyle w:val="ListParagraph"/>
        <w:ind w:left="0"/>
        <w:jc w:val="both"/>
        <w:rPr>
          <w:sz w:val="24"/>
          <w:szCs w:val="24"/>
        </w:rPr>
      </w:pPr>
    </w:p>
    <w:p w:rsidR="00B72196" w:rsidRDefault="009E2F95" w:rsidP="009E2F95">
      <w:pPr>
        <w:pStyle w:val="ListParagraph"/>
        <w:ind w:left="0"/>
        <w:jc w:val="both"/>
        <w:rPr>
          <w:sz w:val="24"/>
          <w:szCs w:val="24"/>
        </w:rPr>
      </w:pPr>
      <w:r>
        <w:rPr>
          <w:sz w:val="24"/>
          <w:szCs w:val="24"/>
        </w:rPr>
        <w:lastRenderedPageBreak/>
        <w:t xml:space="preserve">The </w:t>
      </w:r>
      <w:r w:rsidR="007376A7">
        <w:rPr>
          <w:sz w:val="24"/>
          <w:szCs w:val="24"/>
        </w:rPr>
        <w:t xml:space="preserve">current </w:t>
      </w:r>
      <w:r>
        <w:rPr>
          <w:sz w:val="24"/>
          <w:szCs w:val="24"/>
        </w:rPr>
        <w:t xml:space="preserve">DPO structure means </w:t>
      </w:r>
      <w:r w:rsidR="00B72196">
        <w:rPr>
          <w:sz w:val="24"/>
          <w:szCs w:val="24"/>
        </w:rPr>
        <w:t xml:space="preserve">that </w:t>
      </w:r>
      <w:r>
        <w:rPr>
          <w:sz w:val="24"/>
          <w:szCs w:val="24"/>
        </w:rPr>
        <w:t xml:space="preserve">only organisations governed by disabled people can participate. </w:t>
      </w:r>
      <w:r w:rsidR="007376A7">
        <w:rPr>
          <w:sz w:val="24"/>
          <w:szCs w:val="24"/>
        </w:rPr>
        <w:t xml:space="preserve">This approach aims to ensure </w:t>
      </w:r>
      <w:r>
        <w:rPr>
          <w:sz w:val="24"/>
          <w:szCs w:val="24"/>
        </w:rPr>
        <w:t>disabled people’s le</w:t>
      </w:r>
      <w:r w:rsidR="007376A7">
        <w:rPr>
          <w:sz w:val="24"/>
          <w:szCs w:val="24"/>
        </w:rPr>
        <w:t>adership and self-determination. However,</w:t>
      </w:r>
      <w:r>
        <w:rPr>
          <w:sz w:val="24"/>
          <w:szCs w:val="24"/>
        </w:rPr>
        <w:t xml:space="preserve"> it does not </w:t>
      </w:r>
      <w:r w:rsidR="00B72196">
        <w:rPr>
          <w:sz w:val="24"/>
          <w:szCs w:val="24"/>
        </w:rPr>
        <w:t xml:space="preserve">necessarily </w:t>
      </w:r>
      <w:r>
        <w:rPr>
          <w:sz w:val="24"/>
          <w:szCs w:val="24"/>
        </w:rPr>
        <w:t>ensure indigenous leadership and self-determination</w:t>
      </w:r>
      <w:r w:rsidR="007376A7">
        <w:rPr>
          <w:sz w:val="24"/>
          <w:szCs w:val="24"/>
        </w:rPr>
        <w:t>,</w:t>
      </w:r>
      <w:r w:rsidR="0059462A">
        <w:rPr>
          <w:sz w:val="24"/>
          <w:szCs w:val="24"/>
        </w:rPr>
        <w:t xml:space="preserve"> or </w:t>
      </w:r>
      <w:r w:rsidR="007376A7">
        <w:rPr>
          <w:sz w:val="24"/>
          <w:szCs w:val="24"/>
        </w:rPr>
        <w:t xml:space="preserve">an indigenous - non-indigenous </w:t>
      </w:r>
      <w:r w:rsidR="0059462A">
        <w:rPr>
          <w:sz w:val="24"/>
          <w:szCs w:val="24"/>
        </w:rPr>
        <w:t>partnership model of practice</w:t>
      </w:r>
      <w:r w:rsidR="0078635E">
        <w:rPr>
          <w:sz w:val="24"/>
          <w:szCs w:val="24"/>
        </w:rPr>
        <w:t xml:space="preserve"> afforded under the</w:t>
      </w:r>
      <w:r w:rsidR="0078635E" w:rsidRPr="0078635E">
        <w:rPr>
          <w:sz w:val="24"/>
          <w:szCs w:val="24"/>
        </w:rPr>
        <w:t xml:space="preserve"> </w:t>
      </w:r>
      <w:r w:rsidR="0078635E">
        <w:rPr>
          <w:sz w:val="24"/>
          <w:szCs w:val="24"/>
        </w:rPr>
        <w:t>Treaty of Waitangi</w:t>
      </w:r>
      <w:r>
        <w:rPr>
          <w:sz w:val="24"/>
          <w:szCs w:val="24"/>
        </w:rPr>
        <w:t xml:space="preserve">.  </w:t>
      </w:r>
    </w:p>
    <w:p w:rsidR="00D03D46" w:rsidRDefault="00D03D46" w:rsidP="009E2F95">
      <w:pPr>
        <w:pStyle w:val="ListParagraph"/>
        <w:ind w:left="0"/>
        <w:jc w:val="both"/>
        <w:rPr>
          <w:sz w:val="24"/>
          <w:szCs w:val="24"/>
        </w:rPr>
      </w:pPr>
    </w:p>
    <w:p w:rsidR="007F3702" w:rsidRDefault="009E2F95" w:rsidP="007F3702">
      <w:pPr>
        <w:pStyle w:val="ListParagraph"/>
        <w:ind w:left="0"/>
        <w:jc w:val="both"/>
        <w:rPr>
          <w:sz w:val="24"/>
          <w:szCs w:val="24"/>
        </w:rPr>
      </w:pPr>
      <w:r>
        <w:rPr>
          <w:sz w:val="24"/>
          <w:szCs w:val="24"/>
        </w:rPr>
        <w:t xml:space="preserve">At present there is one Māori-specific disabled persons’ organisation, </w:t>
      </w:r>
      <w:proofErr w:type="spellStart"/>
      <w:r>
        <w:rPr>
          <w:sz w:val="24"/>
          <w:szCs w:val="24"/>
        </w:rPr>
        <w:t>Kāpo</w:t>
      </w:r>
      <w:proofErr w:type="spellEnd"/>
      <w:r>
        <w:rPr>
          <w:sz w:val="24"/>
          <w:szCs w:val="24"/>
        </w:rPr>
        <w:t xml:space="preserve"> </w:t>
      </w:r>
      <w:proofErr w:type="gramStart"/>
      <w:r>
        <w:rPr>
          <w:sz w:val="24"/>
          <w:szCs w:val="24"/>
        </w:rPr>
        <w:t>Māori,</w:t>
      </w:r>
      <w:r w:rsidR="00F1058C">
        <w:rPr>
          <w:sz w:val="24"/>
          <w:szCs w:val="24"/>
        </w:rPr>
        <w:t xml:space="preserve"> </w:t>
      </w:r>
      <w:r>
        <w:rPr>
          <w:sz w:val="24"/>
          <w:szCs w:val="24"/>
        </w:rPr>
        <w:t>that</w:t>
      </w:r>
      <w:proofErr w:type="gramEnd"/>
      <w:r>
        <w:rPr>
          <w:sz w:val="24"/>
          <w:szCs w:val="24"/>
        </w:rPr>
        <w:t xml:space="preserve"> is funded for people</w:t>
      </w:r>
      <w:r w:rsidR="00F1058C">
        <w:rPr>
          <w:sz w:val="24"/>
          <w:szCs w:val="24"/>
        </w:rPr>
        <w:t xml:space="preserve"> who are blind or have visual impairments</w:t>
      </w:r>
      <w:r>
        <w:rPr>
          <w:sz w:val="24"/>
          <w:szCs w:val="24"/>
        </w:rPr>
        <w:t>.</w:t>
      </w:r>
      <w:r>
        <w:rPr>
          <w:rStyle w:val="FootnoteReference"/>
          <w:sz w:val="24"/>
          <w:szCs w:val="24"/>
        </w:rPr>
        <w:footnoteReference w:id="67"/>
      </w:r>
      <w:r>
        <w:rPr>
          <w:sz w:val="24"/>
          <w:szCs w:val="24"/>
        </w:rPr>
        <w:t xml:space="preserve"> Given the comparatively small population of Māori disabled people</w:t>
      </w:r>
      <w:r w:rsidR="00B72196">
        <w:rPr>
          <w:sz w:val="24"/>
          <w:szCs w:val="24"/>
        </w:rPr>
        <w:t>,</w:t>
      </w:r>
      <w:r w:rsidR="00F1058C">
        <w:rPr>
          <w:sz w:val="24"/>
          <w:szCs w:val="24"/>
        </w:rPr>
        <w:t xml:space="preserve"> </w:t>
      </w:r>
      <w:r>
        <w:rPr>
          <w:sz w:val="24"/>
          <w:szCs w:val="24"/>
        </w:rPr>
        <w:t>the voices of indigenous disabled people are not well represented at any level of New Zealand’s institutional framework for implementation or monitoring of the UNCRPD</w:t>
      </w:r>
      <w:r w:rsidR="00B72196">
        <w:rPr>
          <w:sz w:val="24"/>
          <w:szCs w:val="24"/>
        </w:rPr>
        <w:t>.</w:t>
      </w:r>
      <w:r>
        <w:rPr>
          <w:sz w:val="24"/>
          <w:szCs w:val="24"/>
        </w:rPr>
        <w:t xml:space="preserve"> </w:t>
      </w:r>
      <w:r w:rsidR="00B72196">
        <w:rPr>
          <w:sz w:val="24"/>
          <w:szCs w:val="24"/>
        </w:rPr>
        <w:t xml:space="preserve">This means indigenous disabled people’s voices are </w:t>
      </w:r>
      <w:r>
        <w:rPr>
          <w:sz w:val="24"/>
          <w:szCs w:val="24"/>
        </w:rPr>
        <w:t>not adequately conveyed to the United Nations Committee on the Rights of Persons with Disabilities.</w:t>
      </w:r>
      <w:r w:rsidR="007F3702">
        <w:rPr>
          <w:sz w:val="24"/>
          <w:szCs w:val="24"/>
        </w:rPr>
        <w:t xml:space="preserve"> </w:t>
      </w:r>
    </w:p>
    <w:p w:rsidR="009E2F95" w:rsidRDefault="009E2F95" w:rsidP="009E2F95">
      <w:pPr>
        <w:pStyle w:val="ListParagraph"/>
        <w:ind w:left="0"/>
        <w:jc w:val="both"/>
        <w:rPr>
          <w:sz w:val="24"/>
          <w:szCs w:val="24"/>
        </w:rPr>
      </w:pPr>
    </w:p>
    <w:p w:rsidR="003661E0" w:rsidRDefault="002A061C" w:rsidP="003661E0">
      <w:pPr>
        <w:pStyle w:val="ListParagraph"/>
        <w:ind w:left="0"/>
        <w:jc w:val="both"/>
        <w:rPr>
          <w:color w:val="000000" w:themeColor="text1"/>
          <w:sz w:val="24"/>
          <w:szCs w:val="24"/>
        </w:rPr>
      </w:pPr>
      <w:r>
        <w:rPr>
          <w:color w:val="000000" w:themeColor="text1"/>
          <w:sz w:val="24"/>
          <w:szCs w:val="24"/>
        </w:rPr>
        <w:t xml:space="preserve">The current approach means the </w:t>
      </w:r>
      <w:r w:rsidR="003661E0" w:rsidRPr="00C60856">
        <w:rPr>
          <w:color w:val="000000" w:themeColor="text1"/>
          <w:sz w:val="24"/>
          <w:szCs w:val="24"/>
        </w:rPr>
        <w:t xml:space="preserve">representation of disabled </w:t>
      </w:r>
      <w:proofErr w:type="spellStart"/>
      <w:r w:rsidR="003661E0" w:rsidRPr="00C60856">
        <w:rPr>
          <w:color w:val="000000" w:themeColor="text1"/>
          <w:sz w:val="24"/>
          <w:szCs w:val="24"/>
        </w:rPr>
        <w:t>tangata</w:t>
      </w:r>
      <w:proofErr w:type="spellEnd"/>
      <w:r w:rsidR="003661E0" w:rsidRPr="00C60856">
        <w:rPr>
          <w:color w:val="000000" w:themeColor="text1"/>
          <w:sz w:val="24"/>
          <w:szCs w:val="24"/>
        </w:rPr>
        <w:t xml:space="preserve"> </w:t>
      </w:r>
      <w:proofErr w:type="spellStart"/>
      <w:r w:rsidR="003661E0" w:rsidRPr="00C60856">
        <w:rPr>
          <w:color w:val="000000" w:themeColor="text1"/>
          <w:sz w:val="24"/>
          <w:szCs w:val="24"/>
        </w:rPr>
        <w:t>whenua</w:t>
      </w:r>
      <w:proofErr w:type="spellEnd"/>
      <w:r w:rsidR="003661E0" w:rsidRPr="00C60856">
        <w:rPr>
          <w:color w:val="000000" w:themeColor="text1"/>
          <w:sz w:val="24"/>
          <w:szCs w:val="24"/>
        </w:rPr>
        <w:t xml:space="preserve"> at the DPO level is limited</w:t>
      </w:r>
      <w:r w:rsidR="003661E0">
        <w:rPr>
          <w:color w:val="000000" w:themeColor="text1"/>
          <w:sz w:val="24"/>
          <w:szCs w:val="24"/>
        </w:rPr>
        <w:t xml:space="preserve">. This has a significant negative impact on the way in which issues important to disabled </w:t>
      </w:r>
      <w:proofErr w:type="spellStart"/>
      <w:r w:rsidR="003661E0">
        <w:rPr>
          <w:color w:val="000000" w:themeColor="text1"/>
          <w:sz w:val="24"/>
          <w:szCs w:val="24"/>
        </w:rPr>
        <w:t>tangata</w:t>
      </w:r>
      <w:proofErr w:type="spellEnd"/>
      <w:r w:rsidR="003661E0">
        <w:rPr>
          <w:color w:val="000000" w:themeColor="text1"/>
          <w:sz w:val="24"/>
          <w:szCs w:val="24"/>
        </w:rPr>
        <w:t xml:space="preserve"> </w:t>
      </w:r>
      <w:proofErr w:type="spellStart"/>
      <w:r w:rsidR="003661E0">
        <w:rPr>
          <w:color w:val="000000" w:themeColor="text1"/>
          <w:sz w:val="24"/>
          <w:szCs w:val="24"/>
        </w:rPr>
        <w:t>whenua</w:t>
      </w:r>
      <w:proofErr w:type="spellEnd"/>
      <w:r w:rsidR="003661E0">
        <w:rPr>
          <w:color w:val="000000" w:themeColor="text1"/>
          <w:sz w:val="24"/>
          <w:szCs w:val="24"/>
        </w:rPr>
        <w:t xml:space="preserve"> are represented on the Convention Coalition and the IMM, and heard by the UNCRPD committee.</w:t>
      </w:r>
      <w:r w:rsidR="003661E0" w:rsidRPr="00C60856">
        <w:rPr>
          <w:color w:val="000000" w:themeColor="text1"/>
          <w:sz w:val="24"/>
          <w:szCs w:val="24"/>
        </w:rPr>
        <w:t xml:space="preserve"> </w:t>
      </w:r>
    </w:p>
    <w:p w:rsidR="003661E0" w:rsidRDefault="003661E0" w:rsidP="003661E0">
      <w:pPr>
        <w:pStyle w:val="ListParagraph"/>
        <w:ind w:left="0"/>
        <w:jc w:val="both"/>
        <w:rPr>
          <w:color w:val="000000" w:themeColor="text1"/>
          <w:sz w:val="24"/>
          <w:szCs w:val="24"/>
        </w:rPr>
      </w:pPr>
    </w:p>
    <w:p w:rsidR="003661E0" w:rsidRPr="003661E0" w:rsidRDefault="003661E0" w:rsidP="003661E0">
      <w:pPr>
        <w:pStyle w:val="ListParagraph"/>
        <w:ind w:left="0"/>
        <w:jc w:val="both"/>
        <w:rPr>
          <w:color w:val="000000" w:themeColor="text1"/>
          <w:sz w:val="24"/>
          <w:szCs w:val="24"/>
        </w:rPr>
      </w:pPr>
      <w:r w:rsidRPr="00C60856">
        <w:rPr>
          <w:color w:val="000000" w:themeColor="text1"/>
          <w:sz w:val="24"/>
          <w:szCs w:val="24"/>
        </w:rPr>
        <w:t>The</w:t>
      </w:r>
      <w:r w:rsidR="009D0F58">
        <w:rPr>
          <w:color w:val="000000" w:themeColor="text1"/>
          <w:sz w:val="24"/>
          <w:szCs w:val="24"/>
        </w:rPr>
        <w:t xml:space="preserve">re is an urgent need to ensure </w:t>
      </w:r>
      <w:r w:rsidRPr="00C60856">
        <w:rPr>
          <w:color w:val="000000" w:themeColor="text1"/>
          <w:sz w:val="24"/>
          <w:szCs w:val="24"/>
        </w:rPr>
        <w:t xml:space="preserve">change </w:t>
      </w:r>
      <w:r>
        <w:rPr>
          <w:color w:val="000000" w:themeColor="text1"/>
          <w:sz w:val="24"/>
          <w:szCs w:val="24"/>
        </w:rPr>
        <w:t>to</w:t>
      </w:r>
      <w:r w:rsidR="009D0F58">
        <w:rPr>
          <w:color w:val="000000" w:themeColor="text1"/>
          <w:sz w:val="24"/>
          <w:szCs w:val="24"/>
        </w:rPr>
        <w:t xml:space="preserve"> the government-DPO structure to</w:t>
      </w:r>
      <w:r>
        <w:rPr>
          <w:color w:val="000000" w:themeColor="text1"/>
          <w:sz w:val="24"/>
          <w:szCs w:val="24"/>
        </w:rPr>
        <w:t xml:space="preserve"> give effect to a Treaty based </w:t>
      </w:r>
      <w:r w:rsidRPr="00C60856">
        <w:rPr>
          <w:color w:val="000000" w:themeColor="text1"/>
          <w:sz w:val="24"/>
          <w:szCs w:val="24"/>
        </w:rPr>
        <w:t xml:space="preserve">partnership and </w:t>
      </w:r>
      <w:r>
        <w:rPr>
          <w:color w:val="000000" w:themeColor="text1"/>
          <w:sz w:val="24"/>
          <w:szCs w:val="24"/>
        </w:rPr>
        <w:t xml:space="preserve">ensure </w:t>
      </w:r>
      <w:r w:rsidRPr="00C60856">
        <w:rPr>
          <w:color w:val="000000" w:themeColor="text1"/>
          <w:sz w:val="24"/>
          <w:szCs w:val="24"/>
        </w:rPr>
        <w:t xml:space="preserve">appropriate representation of </w:t>
      </w:r>
      <w:proofErr w:type="spellStart"/>
      <w:r w:rsidRPr="00C60856">
        <w:rPr>
          <w:color w:val="000000" w:themeColor="text1"/>
          <w:sz w:val="24"/>
          <w:szCs w:val="24"/>
        </w:rPr>
        <w:t>tangata</w:t>
      </w:r>
      <w:proofErr w:type="spellEnd"/>
      <w:r w:rsidRPr="00C60856">
        <w:rPr>
          <w:color w:val="000000" w:themeColor="text1"/>
          <w:sz w:val="24"/>
          <w:szCs w:val="24"/>
        </w:rPr>
        <w:t xml:space="preserve"> </w:t>
      </w:r>
      <w:proofErr w:type="spellStart"/>
      <w:r w:rsidRPr="00C60856">
        <w:rPr>
          <w:color w:val="000000" w:themeColor="text1"/>
          <w:sz w:val="24"/>
          <w:szCs w:val="24"/>
        </w:rPr>
        <w:t>whenua</w:t>
      </w:r>
      <w:proofErr w:type="spellEnd"/>
      <w:r w:rsidRPr="00C60856">
        <w:rPr>
          <w:color w:val="000000" w:themeColor="text1"/>
          <w:sz w:val="24"/>
          <w:szCs w:val="24"/>
        </w:rPr>
        <w:t xml:space="preserve"> at every level of the institutional framework. The current situation means that </w:t>
      </w:r>
      <w:proofErr w:type="spellStart"/>
      <w:r w:rsidRPr="00C60856">
        <w:rPr>
          <w:color w:val="000000" w:themeColor="text1"/>
          <w:sz w:val="24"/>
          <w:szCs w:val="24"/>
        </w:rPr>
        <w:t>tangata</w:t>
      </w:r>
      <w:proofErr w:type="spellEnd"/>
      <w:r w:rsidRPr="00C60856">
        <w:rPr>
          <w:color w:val="000000" w:themeColor="text1"/>
          <w:sz w:val="24"/>
          <w:szCs w:val="24"/>
        </w:rPr>
        <w:t xml:space="preserve"> </w:t>
      </w:r>
      <w:proofErr w:type="spellStart"/>
      <w:r w:rsidRPr="00C60856">
        <w:rPr>
          <w:color w:val="000000" w:themeColor="text1"/>
          <w:sz w:val="24"/>
          <w:szCs w:val="24"/>
        </w:rPr>
        <w:t>whenua</w:t>
      </w:r>
      <w:proofErr w:type="spellEnd"/>
      <w:r w:rsidRPr="00C60856">
        <w:rPr>
          <w:color w:val="000000" w:themeColor="text1"/>
          <w:sz w:val="24"/>
          <w:szCs w:val="24"/>
        </w:rPr>
        <w:t xml:space="preserve"> </w:t>
      </w:r>
      <w:r>
        <w:rPr>
          <w:color w:val="000000" w:themeColor="text1"/>
          <w:sz w:val="24"/>
          <w:szCs w:val="24"/>
        </w:rPr>
        <w:t xml:space="preserve">do not have a </w:t>
      </w:r>
      <w:r w:rsidRPr="00C60856">
        <w:rPr>
          <w:color w:val="000000" w:themeColor="text1"/>
          <w:sz w:val="24"/>
          <w:szCs w:val="24"/>
        </w:rPr>
        <w:t>partners</w:t>
      </w:r>
      <w:r>
        <w:rPr>
          <w:color w:val="000000" w:themeColor="text1"/>
          <w:sz w:val="24"/>
          <w:szCs w:val="24"/>
        </w:rPr>
        <w:t>hip position</w:t>
      </w:r>
      <w:r w:rsidRPr="00C60856">
        <w:rPr>
          <w:color w:val="000000" w:themeColor="text1"/>
          <w:sz w:val="24"/>
          <w:szCs w:val="24"/>
        </w:rPr>
        <w:t xml:space="preserve"> in the UNCRPD implementation process</w:t>
      </w:r>
      <w:r>
        <w:rPr>
          <w:color w:val="000000" w:themeColor="text1"/>
          <w:sz w:val="24"/>
          <w:szCs w:val="24"/>
        </w:rPr>
        <w:t>,</w:t>
      </w:r>
      <w:r w:rsidRPr="00C60856">
        <w:rPr>
          <w:color w:val="000000" w:themeColor="text1"/>
          <w:sz w:val="24"/>
          <w:szCs w:val="24"/>
        </w:rPr>
        <w:t xml:space="preserve"> as is </w:t>
      </w:r>
      <w:r>
        <w:rPr>
          <w:color w:val="000000" w:themeColor="text1"/>
          <w:sz w:val="24"/>
          <w:szCs w:val="24"/>
        </w:rPr>
        <w:t xml:space="preserve">accorded </w:t>
      </w:r>
      <w:r w:rsidRPr="00C60856">
        <w:rPr>
          <w:color w:val="000000" w:themeColor="text1"/>
          <w:sz w:val="24"/>
          <w:szCs w:val="24"/>
        </w:rPr>
        <w:t>under the Treaty of Waitangi and endorsed through the United Nations Declaration on the Rights of Indigenous Peop</w:t>
      </w:r>
      <w:r>
        <w:rPr>
          <w:color w:val="000000" w:themeColor="text1"/>
          <w:sz w:val="24"/>
          <w:szCs w:val="24"/>
        </w:rPr>
        <w:t xml:space="preserve">les. </w:t>
      </w:r>
      <w:r w:rsidRPr="00C06BA6">
        <w:rPr>
          <w:sz w:val="24"/>
          <w:szCs w:val="24"/>
        </w:rPr>
        <w:t xml:space="preserve">It is imperative that the changes are made at the </w:t>
      </w:r>
      <w:r w:rsidR="009D0F58">
        <w:rPr>
          <w:sz w:val="24"/>
          <w:szCs w:val="24"/>
        </w:rPr>
        <w:t>government-</w:t>
      </w:r>
      <w:r w:rsidRPr="00C06BA6">
        <w:rPr>
          <w:sz w:val="24"/>
          <w:szCs w:val="24"/>
        </w:rPr>
        <w:t>DPO level to ensure a Treaty of Waitangi partnership approach</w:t>
      </w:r>
      <w:r>
        <w:rPr>
          <w:sz w:val="24"/>
          <w:szCs w:val="24"/>
        </w:rPr>
        <w:t xml:space="preserve"> and enable </w:t>
      </w:r>
      <w:r w:rsidRPr="00C06BA6">
        <w:rPr>
          <w:sz w:val="24"/>
          <w:szCs w:val="24"/>
        </w:rPr>
        <w:t xml:space="preserve">the rightful representation of indigenous disabled people. </w:t>
      </w:r>
    </w:p>
    <w:p w:rsidR="003661E0" w:rsidRDefault="003661E0" w:rsidP="009E2F95">
      <w:pPr>
        <w:pStyle w:val="ListParagraph"/>
        <w:ind w:left="0"/>
        <w:jc w:val="both"/>
        <w:rPr>
          <w:sz w:val="24"/>
          <w:szCs w:val="24"/>
        </w:rPr>
      </w:pPr>
    </w:p>
    <w:p w:rsidR="00D03D46" w:rsidRDefault="0074212A" w:rsidP="00D03D46">
      <w:pPr>
        <w:pStyle w:val="ListParagraph"/>
        <w:ind w:left="0"/>
        <w:jc w:val="both"/>
        <w:rPr>
          <w:sz w:val="24"/>
          <w:szCs w:val="24"/>
        </w:rPr>
      </w:pPr>
      <w:r>
        <w:rPr>
          <w:sz w:val="24"/>
          <w:szCs w:val="24"/>
        </w:rPr>
        <w:t xml:space="preserve">At present there is no </w:t>
      </w:r>
      <w:proofErr w:type="spellStart"/>
      <w:r>
        <w:rPr>
          <w:sz w:val="24"/>
          <w:szCs w:val="24"/>
        </w:rPr>
        <w:t>Pasifika</w:t>
      </w:r>
      <w:proofErr w:type="spellEnd"/>
      <w:r>
        <w:rPr>
          <w:sz w:val="24"/>
          <w:szCs w:val="24"/>
        </w:rPr>
        <w:t xml:space="preserve"> disabled persons Disabled Persons Organisation. Although </w:t>
      </w:r>
      <w:proofErr w:type="spellStart"/>
      <w:r>
        <w:rPr>
          <w:sz w:val="24"/>
          <w:szCs w:val="24"/>
        </w:rPr>
        <w:t>Pasifika</w:t>
      </w:r>
      <w:proofErr w:type="spellEnd"/>
      <w:r>
        <w:rPr>
          <w:sz w:val="24"/>
          <w:szCs w:val="24"/>
        </w:rPr>
        <w:t xml:space="preserve"> can belong to any DPO, the voices of disabled </w:t>
      </w:r>
      <w:proofErr w:type="spellStart"/>
      <w:r>
        <w:rPr>
          <w:sz w:val="24"/>
          <w:szCs w:val="24"/>
        </w:rPr>
        <w:t>Pasifika</w:t>
      </w:r>
      <w:proofErr w:type="spellEnd"/>
      <w:r>
        <w:rPr>
          <w:sz w:val="24"/>
          <w:szCs w:val="24"/>
        </w:rPr>
        <w:t xml:space="preserve"> are typically marginalised. There is sign</w:t>
      </w:r>
      <w:r w:rsidR="00B479F0">
        <w:rPr>
          <w:sz w:val="24"/>
          <w:szCs w:val="24"/>
        </w:rPr>
        <w:t xml:space="preserve">ificant potential to apply the principle of </w:t>
      </w:r>
      <w:r>
        <w:rPr>
          <w:sz w:val="24"/>
          <w:szCs w:val="24"/>
        </w:rPr>
        <w:t>Reasonable A</w:t>
      </w:r>
      <w:r w:rsidR="00B479F0">
        <w:rPr>
          <w:sz w:val="24"/>
          <w:szCs w:val="24"/>
        </w:rPr>
        <w:t>ccommodation</w:t>
      </w:r>
      <w:r w:rsidRPr="003B0C27">
        <w:rPr>
          <w:sz w:val="24"/>
          <w:szCs w:val="24"/>
        </w:rPr>
        <w:t xml:space="preserve"> </w:t>
      </w:r>
      <w:r>
        <w:rPr>
          <w:sz w:val="24"/>
          <w:szCs w:val="24"/>
        </w:rPr>
        <w:t xml:space="preserve">to ensure </w:t>
      </w:r>
      <w:r w:rsidR="00D03D46">
        <w:rPr>
          <w:sz w:val="24"/>
          <w:szCs w:val="24"/>
        </w:rPr>
        <w:t xml:space="preserve">the worldviews, values, interests and priorities of </w:t>
      </w:r>
      <w:proofErr w:type="spellStart"/>
      <w:r w:rsidR="00D03D46">
        <w:rPr>
          <w:sz w:val="24"/>
          <w:szCs w:val="24"/>
        </w:rPr>
        <w:t>Pasifika</w:t>
      </w:r>
      <w:proofErr w:type="spellEnd"/>
      <w:r w:rsidR="00D03D46">
        <w:rPr>
          <w:sz w:val="24"/>
          <w:szCs w:val="24"/>
        </w:rPr>
        <w:t xml:space="preserve"> peoples are effectively represented at the</w:t>
      </w:r>
      <w:r w:rsidR="005023CD">
        <w:rPr>
          <w:sz w:val="24"/>
          <w:szCs w:val="24"/>
        </w:rPr>
        <w:t xml:space="preserve"> government-</w:t>
      </w:r>
      <w:r w:rsidR="00D03D46">
        <w:rPr>
          <w:sz w:val="24"/>
          <w:szCs w:val="24"/>
        </w:rPr>
        <w:t>DPO level.</w:t>
      </w:r>
    </w:p>
    <w:p w:rsidR="00D03D46" w:rsidRDefault="00D03D46" w:rsidP="009E2F95">
      <w:pPr>
        <w:pStyle w:val="ListParagraph"/>
        <w:ind w:left="0"/>
        <w:jc w:val="both"/>
        <w:rPr>
          <w:sz w:val="24"/>
          <w:szCs w:val="24"/>
        </w:rPr>
      </w:pPr>
    </w:p>
    <w:p w:rsidR="003661E0" w:rsidRPr="003661E0" w:rsidRDefault="009E2F95" w:rsidP="003661E0">
      <w:pPr>
        <w:pStyle w:val="ListParagraph"/>
        <w:ind w:left="0"/>
        <w:jc w:val="both"/>
        <w:rPr>
          <w:color w:val="000000" w:themeColor="text1"/>
          <w:sz w:val="24"/>
          <w:szCs w:val="24"/>
        </w:rPr>
      </w:pPr>
      <w:r>
        <w:rPr>
          <w:sz w:val="24"/>
          <w:szCs w:val="24"/>
        </w:rPr>
        <w:t>The Disabled Persons Assembly is currently in the process of establishing a Māori caucus</w:t>
      </w:r>
      <w:r w:rsidR="001E492E">
        <w:rPr>
          <w:sz w:val="24"/>
          <w:szCs w:val="24"/>
        </w:rPr>
        <w:t xml:space="preserve">, and a </w:t>
      </w:r>
      <w:proofErr w:type="spellStart"/>
      <w:r w:rsidR="001E492E">
        <w:rPr>
          <w:sz w:val="24"/>
          <w:szCs w:val="24"/>
        </w:rPr>
        <w:t>Pasifika</w:t>
      </w:r>
      <w:proofErr w:type="spellEnd"/>
      <w:r w:rsidR="001E492E">
        <w:rPr>
          <w:sz w:val="24"/>
          <w:szCs w:val="24"/>
        </w:rPr>
        <w:t xml:space="preserve"> caucus,</w:t>
      </w:r>
      <w:r>
        <w:rPr>
          <w:sz w:val="24"/>
          <w:szCs w:val="24"/>
        </w:rPr>
        <w:t xml:space="preserve"> to ameliorate some of the issues associated with the </w:t>
      </w:r>
      <w:r w:rsidR="001E492E">
        <w:rPr>
          <w:sz w:val="24"/>
          <w:szCs w:val="24"/>
        </w:rPr>
        <w:t xml:space="preserve">lack of </w:t>
      </w:r>
      <w:r>
        <w:rPr>
          <w:sz w:val="24"/>
          <w:szCs w:val="24"/>
        </w:rPr>
        <w:t>represent</w:t>
      </w:r>
      <w:r w:rsidR="00D03D46">
        <w:rPr>
          <w:sz w:val="24"/>
          <w:szCs w:val="24"/>
        </w:rPr>
        <w:t xml:space="preserve">ation of </w:t>
      </w:r>
      <w:proofErr w:type="spellStart"/>
      <w:r w:rsidR="00D03D46">
        <w:rPr>
          <w:sz w:val="24"/>
          <w:szCs w:val="24"/>
        </w:rPr>
        <w:t>tangata</w:t>
      </w:r>
      <w:proofErr w:type="spellEnd"/>
      <w:r w:rsidR="00D03D46">
        <w:rPr>
          <w:sz w:val="24"/>
          <w:szCs w:val="24"/>
        </w:rPr>
        <w:t xml:space="preserve"> </w:t>
      </w:r>
      <w:proofErr w:type="spellStart"/>
      <w:r w:rsidR="00D03D46">
        <w:rPr>
          <w:sz w:val="24"/>
          <w:szCs w:val="24"/>
        </w:rPr>
        <w:t>whenua</w:t>
      </w:r>
      <w:proofErr w:type="spellEnd"/>
      <w:r w:rsidR="001E492E">
        <w:rPr>
          <w:sz w:val="24"/>
          <w:szCs w:val="24"/>
        </w:rPr>
        <w:t xml:space="preserve"> and </w:t>
      </w:r>
      <w:proofErr w:type="spellStart"/>
      <w:r w:rsidR="001E492E">
        <w:rPr>
          <w:sz w:val="24"/>
          <w:szCs w:val="24"/>
        </w:rPr>
        <w:t>Pasifika</w:t>
      </w:r>
      <w:proofErr w:type="spellEnd"/>
      <w:r w:rsidR="001E492E">
        <w:rPr>
          <w:sz w:val="24"/>
          <w:szCs w:val="24"/>
        </w:rPr>
        <w:t xml:space="preserve"> peoples</w:t>
      </w:r>
      <w:r w:rsidR="003A12B5">
        <w:rPr>
          <w:sz w:val="24"/>
          <w:szCs w:val="24"/>
        </w:rPr>
        <w:t xml:space="preserve"> among the DPOs, on</w:t>
      </w:r>
      <w:r>
        <w:rPr>
          <w:sz w:val="24"/>
          <w:szCs w:val="24"/>
        </w:rPr>
        <w:t xml:space="preserve"> the Convention Coalition and on the IMM. However, given the </w:t>
      </w:r>
      <w:proofErr w:type="spellStart"/>
      <w:r>
        <w:rPr>
          <w:sz w:val="24"/>
          <w:szCs w:val="24"/>
        </w:rPr>
        <w:t>recen</w:t>
      </w:r>
      <w:r w:rsidR="007F3702">
        <w:rPr>
          <w:sz w:val="24"/>
          <w:szCs w:val="24"/>
        </w:rPr>
        <w:t>cy</w:t>
      </w:r>
      <w:proofErr w:type="spellEnd"/>
      <w:r w:rsidR="007F3702">
        <w:rPr>
          <w:sz w:val="24"/>
          <w:szCs w:val="24"/>
        </w:rPr>
        <w:t xml:space="preserve"> of this development it is l</w:t>
      </w:r>
      <w:r>
        <w:rPr>
          <w:sz w:val="24"/>
          <w:szCs w:val="24"/>
        </w:rPr>
        <w:t xml:space="preserve">ikely to </w:t>
      </w:r>
      <w:r w:rsidR="007F3702">
        <w:rPr>
          <w:sz w:val="24"/>
          <w:szCs w:val="24"/>
        </w:rPr>
        <w:t xml:space="preserve">have limited influence on </w:t>
      </w:r>
      <w:r>
        <w:rPr>
          <w:sz w:val="24"/>
          <w:szCs w:val="24"/>
        </w:rPr>
        <w:t xml:space="preserve">the institutional framework for some time to come. </w:t>
      </w:r>
      <w:r w:rsidR="003661E0" w:rsidRPr="00C06BA6">
        <w:rPr>
          <w:sz w:val="24"/>
          <w:szCs w:val="24"/>
        </w:rPr>
        <w:t>Dis</w:t>
      </w:r>
      <w:r w:rsidR="003661E0">
        <w:rPr>
          <w:sz w:val="24"/>
          <w:szCs w:val="24"/>
        </w:rPr>
        <w:t xml:space="preserve">abled Persons Organisations are </w:t>
      </w:r>
      <w:r w:rsidR="003661E0" w:rsidRPr="00C06BA6">
        <w:rPr>
          <w:sz w:val="24"/>
          <w:szCs w:val="24"/>
        </w:rPr>
        <w:t xml:space="preserve">currently </w:t>
      </w:r>
      <w:r w:rsidR="003661E0">
        <w:rPr>
          <w:sz w:val="24"/>
          <w:szCs w:val="24"/>
        </w:rPr>
        <w:t xml:space="preserve">also </w:t>
      </w:r>
      <w:r w:rsidR="003661E0" w:rsidRPr="00C06BA6">
        <w:rPr>
          <w:sz w:val="24"/>
          <w:szCs w:val="24"/>
        </w:rPr>
        <w:t>fostering a wider dialogue about who is and is not represented at the DPO level.</w:t>
      </w:r>
    </w:p>
    <w:p w:rsidR="009E2F95" w:rsidRDefault="009E2F95" w:rsidP="009E2F95">
      <w:pPr>
        <w:pStyle w:val="ListParagraph"/>
        <w:ind w:left="0"/>
        <w:jc w:val="both"/>
        <w:rPr>
          <w:sz w:val="24"/>
          <w:szCs w:val="24"/>
        </w:rPr>
      </w:pPr>
    </w:p>
    <w:p w:rsidR="007F3702" w:rsidRDefault="007F3702" w:rsidP="009E2F95">
      <w:pPr>
        <w:pStyle w:val="ListParagraph"/>
        <w:ind w:left="0"/>
        <w:jc w:val="both"/>
        <w:rPr>
          <w:sz w:val="24"/>
          <w:szCs w:val="24"/>
        </w:rPr>
      </w:pPr>
    </w:p>
    <w:p w:rsidR="003A12B5" w:rsidRDefault="0059462A" w:rsidP="003A12B5">
      <w:pPr>
        <w:pStyle w:val="ListParagraph"/>
        <w:ind w:left="0"/>
        <w:jc w:val="both"/>
        <w:rPr>
          <w:sz w:val="24"/>
          <w:szCs w:val="24"/>
        </w:rPr>
      </w:pPr>
      <w:r>
        <w:rPr>
          <w:sz w:val="24"/>
          <w:szCs w:val="24"/>
        </w:rPr>
        <w:t xml:space="preserve">Given </w:t>
      </w:r>
      <w:r w:rsidR="009E2F95">
        <w:rPr>
          <w:sz w:val="24"/>
          <w:szCs w:val="24"/>
        </w:rPr>
        <w:t>the pending review of the New Zealand Disability Strategy 2001 and update of the Disability Action Plan 201</w:t>
      </w:r>
      <w:r>
        <w:rPr>
          <w:sz w:val="24"/>
          <w:szCs w:val="24"/>
        </w:rPr>
        <w:t xml:space="preserve">4-2018, the issue of ensuring an </w:t>
      </w:r>
    </w:p>
    <w:p w:rsidR="00832154" w:rsidRPr="009E2F95" w:rsidRDefault="009E2F95" w:rsidP="00C75244">
      <w:pPr>
        <w:pStyle w:val="ListParagraph"/>
        <w:ind w:left="0"/>
        <w:jc w:val="both"/>
        <w:rPr>
          <w:sz w:val="24"/>
          <w:szCs w:val="24"/>
        </w:rPr>
      </w:pPr>
      <w:proofErr w:type="gramStart"/>
      <w:r>
        <w:rPr>
          <w:sz w:val="24"/>
          <w:szCs w:val="24"/>
        </w:rPr>
        <w:t>partnership</w:t>
      </w:r>
      <w:proofErr w:type="gramEnd"/>
      <w:r>
        <w:rPr>
          <w:sz w:val="24"/>
          <w:szCs w:val="24"/>
        </w:rPr>
        <w:t xml:space="preserve"> approach</w:t>
      </w:r>
      <w:r w:rsidR="003A12B5">
        <w:rPr>
          <w:sz w:val="24"/>
          <w:szCs w:val="24"/>
        </w:rPr>
        <w:t xml:space="preserve"> between indigenous and non-indigenous peoples</w:t>
      </w:r>
      <w:r>
        <w:rPr>
          <w:sz w:val="24"/>
          <w:szCs w:val="24"/>
        </w:rPr>
        <w:t xml:space="preserve">, </w:t>
      </w:r>
      <w:r w:rsidR="00976BDD">
        <w:rPr>
          <w:sz w:val="24"/>
          <w:szCs w:val="24"/>
        </w:rPr>
        <w:t xml:space="preserve">and appropriate representation of </w:t>
      </w:r>
      <w:proofErr w:type="spellStart"/>
      <w:r w:rsidR="00976BDD">
        <w:rPr>
          <w:sz w:val="24"/>
          <w:szCs w:val="24"/>
        </w:rPr>
        <w:t>Pasifika</w:t>
      </w:r>
      <w:proofErr w:type="spellEnd"/>
      <w:r w:rsidR="00976BDD">
        <w:rPr>
          <w:sz w:val="24"/>
          <w:szCs w:val="24"/>
        </w:rPr>
        <w:t xml:space="preserve">, </w:t>
      </w:r>
      <w:r>
        <w:rPr>
          <w:sz w:val="24"/>
          <w:szCs w:val="24"/>
        </w:rPr>
        <w:t>is a matter of urgency.</w:t>
      </w:r>
    </w:p>
    <w:p w:rsidR="0059462A" w:rsidRDefault="0059462A" w:rsidP="00C75244">
      <w:pPr>
        <w:pStyle w:val="ListParagraph"/>
        <w:ind w:left="0"/>
        <w:jc w:val="both"/>
        <w:rPr>
          <w:b/>
          <w:sz w:val="24"/>
          <w:szCs w:val="24"/>
        </w:rPr>
      </w:pPr>
    </w:p>
    <w:p w:rsidR="00400A44" w:rsidRPr="00400A44" w:rsidRDefault="0079571B" w:rsidP="00832154">
      <w:pPr>
        <w:pStyle w:val="Heading1"/>
      </w:pPr>
      <w:bookmarkStart w:id="23" w:name="_Toc420885845"/>
      <w:r>
        <w:lastRenderedPageBreak/>
        <w:t xml:space="preserve">Disability specific social protections </w:t>
      </w:r>
      <w:r w:rsidR="00925408">
        <w:t>-</w:t>
      </w:r>
      <w:r w:rsidR="00832154">
        <w:t xml:space="preserve"> g</w:t>
      </w:r>
      <w:r w:rsidR="00400A44" w:rsidRPr="00400A44">
        <w:t>ood practice</w:t>
      </w:r>
      <w:bookmarkEnd w:id="23"/>
    </w:p>
    <w:p w:rsidR="00400A44" w:rsidRDefault="00400A44" w:rsidP="00C75244">
      <w:pPr>
        <w:pStyle w:val="ListParagraph"/>
        <w:ind w:left="0"/>
        <w:jc w:val="both"/>
        <w:rPr>
          <w:b/>
          <w:sz w:val="24"/>
          <w:szCs w:val="24"/>
        </w:rPr>
      </w:pPr>
    </w:p>
    <w:p w:rsidR="00400A44" w:rsidRDefault="00400A44" w:rsidP="00832154">
      <w:pPr>
        <w:pStyle w:val="Heading2"/>
      </w:pPr>
      <w:bookmarkStart w:id="24" w:name="_Toc420885846"/>
      <w:r w:rsidRPr="00400A44">
        <w:t>Enabling Good Lives</w:t>
      </w:r>
      <w:bookmarkEnd w:id="24"/>
      <w:r w:rsidRPr="00400A44">
        <w:t xml:space="preserve"> </w:t>
      </w:r>
    </w:p>
    <w:p w:rsidR="002662E2" w:rsidRDefault="002662E2" w:rsidP="00C75244">
      <w:pPr>
        <w:pStyle w:val="ListParagraph"/>
        <w:ind w:left="0"/>
        <w:jc w:val="both"/>
        <w:rPr>
          <w:sz w:val="24"/>
          <w:szCs w:val="24"/>
        </w:rPr>
      </w:pPr>
    </w:p>
    <w:p w:rsidR="00400A44" w:rsidRDefault="00400A44" w:rsidP="00C75244">
      <w:pPr>
        <w:pStyle w:val="ListParagraph"/>
        <w:ind w:left="0"/>
        <w:jc w:val="both"/>
        <w:rPr>
          <w:sz w:val="24"/>
          <w:szCs w:val="24"/>
        </w:rPr>
      </w:pPr>
      <w:r>
        <w:rPr>
          <w:sz w:val="24"/>
          <w:szCs w:val="24"/>
        </w:rPr>
        <w:t xml:space="preserve">Enabling Good Lives </w:t>
      </w:r>
      <w:r w:rsidR="00976BDD">
        <w:rPr>
          <w:sz w:val="24"/>
          <w:szCs w:val="24"/>
        </w:rPr>
        <w:t xml:space="preserve">(EGL) </w:t>
      </w:r>
      <w:r w:rsidR="00A86AE7">
        <w:rPr>
          <w:sz w:val="24"/>
          <w:szCs w:val="24"/>
        </w:rPr>
        <w:t xml:space="preserve">is a </w:t>
      </w:r>
      <w:r>
        <w:rPr>
          <w:sz w:val="24"/>
          <w:szCs w:val="24"/>
        </w:rPr>
        <w:t>new</w:t>
      </w:r>
      <w:r w:rsidR="00D97FB4">
        <w:rPr>
          <w:sz w:val="24"/>
          <w:szCs w:val="24"/>
        </w:rPr>
        <w:t>,</w:t>
      </w:r>
      <w:r>
        <w:rPr>
          <w:sz w:val="24"/>
          <w:szCs w:val="24"/>
        </w:rPr>
        <w:t xml:space="preserve"> </w:t>
      </w:r>
      <w:r w:rsidRPr="00400A44">
        <w:rPr>
          <w:sz w:val="24"/>
          <w:szCs w:val="24"/>
        </w:rPr>
        <w:t>cross-government initiative to support disabled people</w:t>
      </w:r>
      <w:r w:rsidR="00A86AE7">
        <w:rPr>
          <w:sz w:val="24"/>
          <w:szCs w:val="24"/>
        </w:rPr>
        <w:t xml:space="preserve"> that commenced in 2013</w:t>
      </w:r>
      <w:r w:rsidR="000A0B4B">
        <w:rPr>
          <w:sz w:val="24"/>
          <w:szCs w:val="24"/>
        </w:rPr>
        <w:t xml:space="preserve"> in Christchurch</w:t>
      </w:r>
      <w:r w:rsidR="00976BDD">
        <w:rPr>
          <w:sz w:val="24"/>
          <w:szCs w:val="24"/>
        </w:rPr>
        <w:t>.</w:t>
      </w:r>
      <w:r w:rsidR="00C942B4">
        <w:rPr>
          <w:rStyle w:val="FootnoteReference"/>
          <w:sz w:val="24"/>
          <w:szCs w:val="24"/>
        </w:rPr>
        <w:footnoteReference w:id="68"/>
      </w:r>
      <w:r w:rsidR="00976BDD">
        <w:rPr>
          <w:sz w:val="24"/>
          <w:szCs w:val="24"/>
        </w:rPr>
        <w:t xml:space="preserve"> </w:t>
      </w:r>
      <w:proofErr w:type="gramStart"/>
      <w:r w:rsidR="00C942B4">
        <w:rPr>
          <w:sz w:val="24"/>
          <w:szCs w:val="24"/>
        </w:rPr>
        <w:t>The</w:t>
      </w:r>
      <w:proofErr w:type="gramEnd"/>
      <w:r w:rsidR="00C942B4">
        <w:rPr>
          <w:sz w:val="24"/>
          <w:szCs w:val="24"/>
        </w:rPr>
        <w:t xml:space="preserve"> government has committed f</w:t>
      </w:r>
      <w:r w:rsidR="00A86AE7">
        <w:rPr>
          <w:sz w:val="24"/>
          <w:szCs w:val="24"/>
        </w:rPr>
        <w:t>unding for three years during th</w:t>
      </w:r>
      <w:r w:rsidR="00C942B4">
        <w:rPr>
          <w:sz w:val="24"/>
          <w:szCs w:val="24"/>
        </w:rPr>
        <w:t xml:space="preserve">e </w:t>
      </w:r>
      <w:r w:rsidR="00A86AE7">
        <w:rPr>
          <w:sz w:val="24"/>
          <w:szCs w:val="24"/>
        </w:rPr>
        <w:t xml:space="preserve">EGL </w:t>
      </w:r>
      <w:r w:rsidR="00C942B4">
        <w:rPr>
          <w:sz w:val="24"/>
          <w:szCs w:val="24"/>
        </w:rPr>
        <w:t>trial phase. The programme</w:t>
      </w:r>
      <w:r w:rsidR="00976BDD">
        <w:rPr>
          <w:sz w:val="24"/>
          <w:szCs w:val="24"/>
        </w:rPr>
        <w:t xml:space="preserve"> offers</w:t>
      </w:r>
      <w:r w:rsidRPr="00400A44">
        <w:rPr>
          <w:sz w:val="24"/>
          <w:szCs w:val="24"/>
        </w:rPr>
        <w:t xml:space="preserve"> greater </w:t>
      </w:r>
      <w:r w:rsidR="00292254">
        <w:rPr>
          <w:sz w:val="24"/>
          <w:szCs w:val="24"/>
        </w:rPr>
        <w:t xml:space="preserve">choice, </w:t>
      </w:r>
      <w:r w:rsidRPr="00400A44">
        <w:rPr>
          <w:sz w:val="24"/>
          <w:szCs w:val="24"/>
        </w:rPr>
        <w:t xml:space="preserve">control </w:t>
      </w:r>
      <w:r w:rsidR="00292254">
        <w:rPr>
          <w:sz w:val="24"/>
          <w:szCs w:val="24"/>
        </w:rPr>
        <w:t xml:space="preserve">and decision-making </w:t>
      </w:r>
      <w:r w:rsidR="00976BDD">
        <w:rPr>
          <w:sz w:val="24"/>
          <w:szCs w:val="24"/>
        </w:rPr>
        <w:t xml:space="preserve">about </w:t>
      </w:r>
      <w:r w:rsidR="006801C5">
        <w:rPr>
          <w:sz w:val="24"/>
          <w:szCs w:val="24"/>
        </w:rPr>
        <w:t>what disabled people regard is</w:t>
      </w:r>
      <w:r w:rsidR="002662E2">
        <w:rPr>
          <w:sz w:val="24"/>
          <w:szCs w:val="24"/>
        </w:rPr>
        <w:t xml:space="preserve"> needed to live </w:t>
      </w:r>
      <w:r w:rsidR="002A061C">
        <w:rPr>
          <w:sz w:val="24"/>
          <w:szCs w:val="24"/>
        </w:rPr>
        <w:t>‘</w:t>
      </w:r>
      <w:r w:rsidR="002662E2">
        <w:rPr>
          <w:sz w:val="24"/>
          <w:szCs w:val="24"/>
        </w:rPr>
        <w:t>a good everyday life</w:t>
      </w:r>
      <w:r w:rsidR="00976BDD">
        <w:rPr>
          <w:sz w:val="24"/>
          <w:szCs w:val="24"/>
        </w:rPr>
        <w:t>,</w:t>
      </w:r>
      <w:r w:rsidR="002662E2">
        <w:rPr>
          <w:sz w:val="24"/>
          <w:szCs w:val="24"/>
        </w:rPr>
        <w:t xml:space="preserve"> in everyday places</w:t>
      </w:r>
      <w:r>
        <w:rPr>
          <w:sz w:val="24"/>
          <w:szCs w:val="24"/>
        </w:rPr>
        <w:t>.</w:t>
      </w:r>
      <w:r w:rsidR="002A061C">
        <w:rPr>
          <w:sz w:val="24"/>
          <w:szCs w:val="24"/>
        </w:rPr>
        <w:t>’</w:t>
      </w:r>
      <w:r w:rsidR="002662E2">
        <w:rPr>
          <w:rStyle w:val="FootnoteReference"/>
          <w:sz w:val="24"/>
          <w:szCs w:val="24"/>
        </w:rPr>
        <w:footnoteReference w:id="69"/>
      </w:r>
      <w:r>
        <w:rPr>
          <w:sz w:val="24"/>
          <w:szCs w:val="24"/>
        </w:rPr>
        <w:t xml:space="preserve"> This initiative attempts to </w:t>
      </w:r>
      <w:r w:rsidR="00A13F12">
        <w:rPr>
          <w:sz w:val="24"/>
          <w:szCs w:val="24"/>
        </w:rPr>
        <w:t xml:space="preserve">demonstrate whether shifting power, choice and control to disabled people (and families or </w:t>
      </w:r>
      <w:proofErr w:type="spellStart"/>
      <w:r w:rsidR="00A13F12">
        <w:rPr>
          <w:sz w:val="24"/>
          <w:szCs w:val="24"/>
        </w:rPr>
        <w:t>whānau</w:t>
      </w:r>
      <w:proofErr w:type="spellEnd"/>
      <w:r w:rsidR="00A13F12">
        <w:rPr>
          <w:sz w:val="24"/>
          <w:szCs w:val="24"/>
        </w:rPr>
        <w:t>) can lead to better outcomes for disabled people. It is anticipated that the success of this model will ultimately contribute to the transformation of the disability support system. Enabling Good Lives</w:t>
      </w:r>
      <w:r>
        <w:rPr>
          <w:sz w:val="24"/>
          <w:szCs w:val="24"/>
        </w:rPr>
        <w:t xml:space="preserve"> includes funds and services from the Ministries of Education, Social Development and Health, and </w:t>
      </w:r>
      <w:r w:rsidR="002A061C">
        <w:rPr>
          <w:sz w:val="24"/>
          <w:szCs w:val="24"/>
        </w:rPr>
        <w:t xml:space="preserve">has the potential to integrate </w:t>
      </w:r>
      <w:r>
        <w:rPr>
          <w:sz w:val="24"/>
          <w:szCs w:val="24"/>
        </w:rPr>
        <w:t>services and supports provided by ACC.</w:t>
      </w:r>
    </w:p>
    <w:p w:rsidR="00400A44" w:rsidRDefault="00400A44" w:rsidP="00C75244">
      <w:pPr>
        <w:pStyle w:val="ListParagraph"/>
        <w:ind w:left="0"/>
        <w:jc w:val="both"/>
        <w:rPr>
          <w:sz w:val="24"/>
          <w:szCs w:val="24"/>
        </w:rPr>
      </w:pPr>
    </w:p>
    <w:p w:rsidR="008E69B6" w:rsidRDefault="00400A44" w:rsidP="00C75244">
      <w:pPr>
        <w:pStyle w:val="ListParagraph"/>
        <w:ind w:left="0"/>
        <w:jc w:val="both"/>
        <w:rPr>
          <w:sz w:val="24"/>
          <w:szCs w:val="24"/>
        </w:rPr>
      </w:pPr>
      <w:r>
        <w:rPr>
          <w:sz w:val="24"/>
          <w:szCs w:val="24"/>
        </w:rPr>
        <w:t>Enabling Good Li</w:t>
      </w:r>
      <w:r w:rsidR="00A13F12">
        <w:rPr>
          <w:sz w:val="24"/>
          <w:szCs w:val="24"/>
        </w:rPr>
        <w:t>ves</w:t>
      </w:r>
      <w:r w:rsidR="009D33CC">
        <w:rPr>
          <w:sz w:val="24"/>
          <w:szCs w:val="24"/>
        </w:rPr>
        <w:t xml:space="preserve"> is a </w:t>
      </w:r>
      <w:r w:rsidR="00A13F12">
        <w:rPr>
          <w:sz w:val="24"/>
          <w:szCs w:val="24"/>
        </w:rPr>
        <w:t>collaboration including</w:t>
      </w:r>
      <w:r>
        <w:rPr>
          <w:sz w:val="24"/>
          <w:szCs w:val="24"/>
        </w:rPr>
        <w:t xml:space="preserve"> disabled people, families and </w:t>
      </w:r>
      <w:proofErr w:type="spellStart"/>
      <w:r>
        <w:rPr>
          <w:sz w:val="24"/>
          <w:szCs w:val="24"/>
        </w:rPr>
        <w:t>whānau</w:t>
      </w:r>
      <w:proofErr w:type="spellEnd"/>
      <w:r>
        <w:rPr>
          <w:sz w:val="24"/>
          <w:szCs w:val="24"/>
        </w:rPr>
        <w:t>, disability sector providers and government</w:t>
      </w:r>
      <w:r w:rsidR="00A13F12">
        <w:rPr>
          <w:sz w:val="24"/>
          <w:szCs w:val="24"/>
        </w:rPr>
        <w:t xml:space="preserve"> agencies</w:t>
      </w:r>
      <w:r>
        <w:rPr>
          <w:sz w:val="24"/>
          <w:szCs w:val="24"/>
        </w:rPr>
        <w:t xml:space="preserve">. </w:t>
      </w:r>
      <w:r w:rsidR="00D82977">
        <w:rPr>
          <w:sz w:val="24"/>
          <w:szCs w:val="24"/>
        </w:rPr>
        <w:t>It is overseen by a national Enabling Good Lives Leadership Group</w:t>
      </w:r>
      <w:r w:rsidR="002662E2">
        <w:rPr>
          <w:sz w:val="24"/>
          <w:szCs w:val="24"/>
        </w:rPr>
        <w:t xml:space="preserve"> that reports to the Ministerial Committee on Disability Issues.</w:t>
      </w:r>
      <w:r w:rsidR="00D82977">
        <w:rPr>
          <w:sz w:val="24"/>
          <w:szCs w:val="24"/>
        </w:rPr>
        <w:t xml:space="preserve"> </w:t>
      </w:r>
    </w:p>
    <w:p w:rsidR="008E69B6" w:rsidRDefault="008E69B6" w:rsidP="00C75244">
      <w:pPr>
        <w:pStyle w:val="ListParagraph"/>
        <w:ind w:left="0"/>
        <w:jc w:val="both"/>
        <w:rPr>
          <w:sz w:val="24"/>
          <w:szCs w:val="24"/>
        </w:rPr>
      </w:pPr>
    </w:p>
    <w:p w:rsidR="00400A44" w:rsidRPr="00400A44" w:rsidRDefault="00400A44" w:rsidP="00C75244">
      <w:pPr>
        <w:pStyle w:val="ListParagraph"/>
        <w:ind w:left="0"/>
        <w:jc w:val="both"/>
        <w:rPr>
          <w:sz w:val="24"/>
          <w:szCs w:val="24"/>
        </w:rPr>
      </w:pPr>
      <w:r>
        <w:rPr>
          <w:sz w:val="24"/>
          <w:szCs w:val="24"/>
        </w:rPr>
        <w:t>E</w:t>
      </w:r>
      <w:r w:rsidR="008D3ED2">
        <w:rPr>
          <w:sz w:val="24"/>
          <w:szCs w:val="24"/>
        </w:rPr>
        <w:t xml:space="preserve">nabling </w:t>
      </w:r>
      <w:r>
        <w:rPr>
          <w:sz w:val="24"/>
          <w:szCs w:val="24"/>
        </w:rPr>
        <w:t>G</w:t>
      </w:r>
      <w:r w:rsidR="008D3ED2">
        <w:rPr>
          <w:sz w:val="24"/>
          <w:szCs w:val="24"/>
        </w:rPr>
        <w:t xml:space="preserve">ood </w:t>
      </w:r>
      <w:r>
        <w:rPr>
          <w:sz w:val="24"/>
          <w:szCs w:val="24"/>
        </w:rPr>
        <w:t>L</w:t>
      </w:r>
      <w:r w:rsidR="008D3ED2">
        <w:rPr>
          <w:sz w:val="24"/>
          <w:szCs w:val="24"/>
        </w:rPr>
        <w:t>ives</w:t>
      </w:r>
      <w:r>
        <w:rPr>
          <w:sz w:val="24"/>
          <w:szCs w:val="24"/>
        </w:rPr>
        <w:t xml:space="preserve"> is currently </w:t>
      </w:r>
      <w:r w:rsidR="008D3ED2">
        <w:rPr>
          <w:sz w:val="24"/>
          <w:szCs w:val="24"/>
        </w:rPr>
        <w:t xml:space="preserve">at a demonstration stage and </w:t>
      </w:r>
      <w:r>
        <w:rPr>
          <w:sz w:val="24"/>
          <w:szCs w:val="24"/>
        </w:rPr>
        <w:t>only available in Christchurch</w:t>
      </w:r>
      <w:r w:rsidR="008D3ED2">
        <w:rPr>
          <w:rStyle w:val="FootnoteReference"/>
          <w:sz w:val="24"/>
          <w:szCs w:val="24"/>
        </w:rPr>
        <w:footnoteReference w:id="70"/>
      </w:r>
      <w:r w:rsidR="008D3ED2">
        <w:rPr>
          <w:sz w:val="24"/>
          <w:szCs w:val="24"/>
        </w:rPr>
        <w:t xml:space="preserve"> and Waikato.</w:t>
      </w:r>
      <w:r w:rsidR="008D3ED2">
        <w:rPr>
          <w:rStyle w:val="FootnoteReference"/>
          <w:sz w:val="24"/>
          <w:szCs w:val="24"/>
        </w:rPr>
        <w:footnoteReference w:id="71"/>
      </w:r>
    </w:p>
    <w:p w:rsidR="00400A44" w:rsidRDefault="00400A44" w:rsidP="00C75244">
      <w:pPr>
        <w:pStyle w:val="ListParagraph"/>
        <w:ind w:left="0"/>
        <w:jc w:val="both"/>
        <w:rPr>
          <w:b/>
          <w:sz w:val="24"/>
          <w:szCs w:val="24"/>
        </w:rPr>
      </w:pPr>
    </w:p>
    <w:p w:rsidR="00D97FB4" w:rsidRDefault="00D97FB4" w:rsidP="00832154">
      <w:pPr>
        <w:pStyle w:val="Heading2"/>
      </w:pPr>
      <w:bookmarkStart w:id="25" w:name="_Toc420885847"/>
      <w:r>
        <w:t>The New Model</w:t>
      </w:r>
      <w:bookmarkEnd w:id="25"/>
    </w:p>
    <w:p w:rsidR="00D97FB4" w:rsidRDefault="00D97FB4" w:rsidP="00D97FB4">
      <w:pPr>
        <w:pStyle w:val="ListParagraph"/>
        <w:ind w:left="0"/>
        <w:jc w:val="both"/>
        <w:rPr>
          <w:b/>
          <w:sz w:val="24"/>
          <w:szCs w:val="24"/>
        </w:rPr>
      </w:pPr>
    </w:p>
    <w:p w:rsidR="00D97FB4" w:rsidRDefault="00D97FB4" w:rsidP="00D97FB4">
      <w:pPr>
        <w:pStyle w:val="NormalWeb"/>
        <w:shd w:val="clear" w:color="auto" w:fill="FFFFFF"/>
        <w:spacing w:before="0" w:beforeAutospacing="0" w:after="0" w:afterAutospacing="0"/>
      </w:pPr>
      <w:r w:rsidRPr="00D2134B">
        <w:t>The New Mod</w:t>
      </w:r>
      <w:r w:rsidR="002A061C">
        <w:t>el for supporting disabled p</w:t>
      </w:r>
      <w:r w:rsidRPr="00D2134B">
        <w:t xml:space="preserve">eople is </w:t>
      </w:r>
      <w:r>
        <w:t>intended to provide greater</w:t>
      </w:r>
    </w:p>
    <w:p w:rsidR="003141A2" w:rsidRDefault="00D97FB4" w:rsidP="003141A2">
      <w:pPr>
        <w:pStyle w:val="NormalWeb"/>
        <w:shd w:val="clear" w:color="auto" w:fill="FFFFFF"/>
        <w:spacing w:before="0" w:beforeAutospacing="0" w:after="0" w:afterAutospacing="0"/>
      </w:pPr>
      <w:proofErr w:type="gramStart"/>
      <w:r w:rsidRPr="00D2134B">
        <w:t>choice</w:t>
      </w:r>
      <w:proofErr w:type="gramEnd"/>
      <w:r w:rsidRPr="00D2134B">
        <w:t>, control and flexibility over supports and budget</w:t>
      </w:r>
      <w:r>
        <w:t>s available to</w:t>
      </w:r>
      <w:r w:rsidRPr="00D2134B">
        <w:t xml:space="preserve"> </w:t>
      </w:r>
      <w:r>
        <w:t>disabled people</w:t>
      </w:r>
      <w:r w:rsidR="002A061C">
        <w:t xml:space="preserve"> to</w:t>
      </w:r>
      <w:r>
        <w:t xml:space="preserve"> enable greater self-determination and promote a good life.</w:t>
      </w:r>
      <w:r w:rsidR="003141A2">
        <w:rPr>
          <w:rStyle w:val="FootnoteReference"/>
        </w:rPr>
        <w:footnoteReference w:id="72"/>
      </w:r>
      <w:r>
        <w:t xml:space="preserve"> However the New Model </w:t>
      </w:r>
      <w:r w:rsidRPr="00832154">
        <w:t>only</w:t>
      </w:r>
      <w:r>
        <w:t xml:space="preserve"> applies to the parts of the disability support syste</w:t>
      </w:r>
      <w:r w:rsidR="003141A2">
        <w:t xml:space="preserve">m </w:t>
      </w:r>
      <w:r w:rsidR="002A061C">
        <w:t xml:space="preserve">funded by the </w:t>
      </w:r>
      <w:r w:rsidR="003141A2">
        <w:t>Ministry of Health funds</w:t>
      </w:r>
      <w:r>
        <w:t>.</w:t>
      </w:r>
      <w:r w:rsidR="003141A2">
        <w:t xml:space="preserve"> </w:t>
      </w:r>
    </w:p>
    <w:p w:rsidR="0076460A" w:rsidRDefault="0076460A" w:rsidP="003141A2">
      <w:pPr>
        <w:pStyle w:val="NormalWeb"/>
        <w:shd w:val="clear" w:color="auto" w:fill="FFFFFF"/>
        <w:spacing w:before="0" w:beforeAutospacing="0" w:after="0" w:afterAutospacing="0"/>
        <w:rPr>
          <w:color w:val="000000" w:themeColor="text1"/>
          <w:shd w:val="clear" w:color="auto" w:fill="FFFFFF"/>
        </w:rPr>
      </w:pPr>
    </w:p>
    <w:p w:rsidR="002A061C" w:rsidRDefault="002A061C" w:rsidP="003141A2">
      <w:pPr>
        <w:pStyle w:val="NormalWeb"/>
        <w:shd w:val="clear" w:color="auto" w:fill="FFFFFF"/>
        <w:spacing w:before="0" w:beforeAutospacing="0" w:after="0" w:afterAutospacing="0"/>
        <w:rPr>
          <w:color w:val="000000" w:themeColor="text1"/>
          <w:shd w:val="clear" w:color="auto" w:fill="FFFFFF"/>
        </w:rPr>
      </w:pPr>
    </w:p>
    <w:p w:rsidR="002A061C" w:rsidRPr="003141A2" w:rsidRDefault="002A061C" w:rsidP="003141A2">
      <w:pPr>
        <w:pStyle w:val="NormalWeb"/>
        <w:shd w:val="clear" w:color="auto" w:fill="FFFFFF"/>
        <w:spacing w:before="0" w:beforeAutospacing="0" w:after="0" w:afterAutospacing="0"/>
        <w:rPr>
          <w:color w:val="000000" w:themeColor="text1"/>
          <w:shd w:val="clear" w:color="auto" w:fill="FFFFFF"/>
        </w:rPr>
      </w:pPr>
    </w:p>
    <w:p w:rsidR="00D2134B" w:rsidRPr="00864667" w:rsidRDefault="00D2134B" w:rsidP="0076460A">
      <w:pPr>
        <w:pStyle w:val="Heading2"/>
        <w:rPr>
          <w:shd w:val="clear" w:color="auto" w:fill="FFFFFF"/>
        </w:rPr>
      </w:pPr>
      <w:bookmarkStart w:id="26" w:name="_Toc420885848"/>
      <w:r w:rsidRPr="00864667">
        <w:rPr>
          <w:shd w:val="clear" w:color="auto" w:fill="FFFFFF"/>
        </w:rPr>
        <w:t>Enhanced Individualised Funding</w:t>
      </w:r>
      <w:bookmarkEnd w:id="26"/>
    </w:p>
    <w:p w:rsidR="0076460A" w:rsidRDefault="0076460A" w:rsidP="00D2134B">
      <w:pPr>
        <w:pStyle w:val="NormalWeb"/>
        <w:shd w:val="clear" w:color="auto" w:fill="FFFFFF"/>
        <w:spacing w:before="0" w:beforeAutospacing="0" w:after="0" w:afterAutospacing="0"/>
        <w:rPr>
          <w:color w:val="000000" w:themeColor="text1"/>
          <w:shd w:val="clear" w:color="auto" w:fill="FFFFFF"/>
        </w:rPr>
      </w:pPr>
    </w:p>
    <w:p w:rsidR="0079571B" w:rsidRDefault="00D2134B" w:rsidP="00D2134B">
      <w:pPr>
        <w:pStyle w:val="NormalWeb"/>
        <w:shd w:val="clear" w:color="auto" w:fill="FFFFFF"/>
        <w:spacing w:before="0" w:beforeAutospacing="0" w:after="0" w:afterAutospacing="0"/>
        <w:rPr>
          <w:color w:val="000000" w:themeColor="text1"/>
          <w:shd w:val="clear" w:color="auto" w:fill="FFFFFF"/>
        </w:rPr>
      </w:pPr>
      <w:r w:rsidRPr="00D2134B">
        <w:rPr>
          <w:color w:val="000000" w:themeColor="text1"/>
          <w:shd w:val="clear" w:color="auto" w:fill="FFFFFF"/>
        </w:rPr>
        <w:lastRenderedPageBreak/>
        <w:t xml:space="preserve">Enhanced individualised funding (EIF) </w:t>
      </w:r>
      <w:r>
        <w:rPr>
          <w:color w:val="000000" w:themeColor="text1"/>
          <w:shd w:val="clear" w:color="auto" w:fill="FFFFFF"/>
        </w:rPr>
        <w:t xml:space="preserve">is </w:t>
      </w:r>
      <w:r w:rsidR="0079571B">
        <w:rPr>
          <w:color w:val="000000" w:themeColor="text1"/>
          <w:shd w:val="clear" w:color="auto" w:fill="FFFFFF"/>
        </w:rPr>
        <w:t xml:space="preserve">administered by the Ministry of Health. It is </w:t>
      </w:r>
      <w:r w:rsidR="002A061C">
        <w:rPr>
          <w:color w:val="000000" w:themeColor="text1"/>
          <w:shd w:val="clear" w:color="auto" w:fill="FFFFFF"/>
        </w:rPr>
        <w:t>designed to provide</w:t>
      </w:r>
      <w:r w:rsidRPr="00D2134B">
        <w:rPr>
          <w:color w:val="000000" w:themeColor="text1"/>
          <w:shd w:val="clear" w:color="auto" w:fill="FFFFFF"/>
        </w:rPr>
        <w:t xml:space="preserve"> more choice, control and flexibility about the residential services</w:t>
      </w:r>
      <w:r w:rsidR="0079571B">
        <w:rPr>
          <w:color w:val="000000" w:themeColor="text1"/>
          <w:shd w:val="clear" w:color="auto" w:fill="FFFFFF"/>
        </w:rPr>
        <w:t>, supports</w:t>
      </w:r>
      <w:r w:rsidRPr="00D2134B">
        <w:rPr>
          <w:color w:val="000000" w:themeColor="text1"/>
          <w:shd w:val="clear" w:color="auto" w:fill="FFFFFF"/>
        </w:rPr>
        <w:t>, budget</w:t>
      </w:r>
      <w:r>
        <w:rPr>
          <w:color w:val="000000" w:themeColor="text1"/>
          <w:shd w:val="clear" w:color="auto" w:fill="FFFFFF"/>
        </w:rPr>
        <w:t xml:space="preserve"> and assistance</w:t>
      </w:r>
      <w:r w:rsidR="002A061C">
        <w:rPr>
          <w:color w:val="000000" w:themeColor="text1"/>
          <w:shd w:val="clear" w:color="auto" w:fill="FFFFFF"/>
        </w:rPr>
        <w:t xml:space="preserve"> disabled people require</w:t>
      </w:r>
      <w:r w:rsidRPr="00D2134B">
        <w:rPr>
          <w:color w:val="000000" w:themeColor="text1"/>
          <w:shd w:val="clear" w:color="auto" w:fill="FFFFFF"/>
        </w:rPr>
        <w:t xml:space="preserve">. </w:t>
      </w:r>
    </w:p>
    <w:p w:rsidR="0079571B" w:rsidRDefault="0079571B" w:rsidP="00D2134B">
      <w:pPr>
        <w:pStyle w:val="NormalWeb"/>
        <w:shd w:val="clear" w:color="auto" w:fill="FFFFFF"/>
        <w:spacing w:before="0" w:beforeAutospacing="0" w:after="0" w:afterAutospacing="0"/>
        <w:rPr>
          <w:color w:val="000000" w:themeColor="text1"/>
          <w:shd w:val="clear" w:color="auto" w:fill="FFFFFF"/>
        </w:rPr>
      </w:pPr>
    </w:p>
    <w:p w:rsidR="0079571B" w:rsidRDefault="00D2134B" w:rsidP="00D2134B">
      <w:pPr>
        <w:pStyle w:val="NormalWeb"/>
        <w:shd w:val="clear" w:color="auto" w:fill="FFFFFF"/>
        <w:spacing w:before="0" w:beforeAutospacing="0" w:after="0" w:afterAutospacing="0"/>
        <w:rPr>
          <w:color w:val="000000" w:themeColor="text1"/>
          <w:shd w:val="clear" w:color="auto" w:fill="FFFFFF"/>
        </w:rPr>
      </w:pPr>
      <w:r w:rsidRPr="00D2134B">
        <w:rPr>
          <w:color w:val="000000" w:themeColor="text1"/>
          <w:shd w:val="clear" w:color="auto" w:fill="FFFFFF"/>
        </w:rPr>
        <w:t>At p</w:t>
      </w:r>
      <w:r w:rsidR="0079571B">
        <w:rPr>
          <w:color w:val="000000" w:themeColor="text1"/>
          <w:shd w:val="clear" w:color="auto" w:fill="FFFFFF"/>
        </w:rPr>
        <w:t>resent EIF</w:t>
      </w:r>
      <w:r>
        <w:rPr>
          <w:color w:val="000000" w:themeColor="text1"/>
          <w:shd w:val="clear" w:color="auto" w:fill="FFFFFF"/>
        </w:rPr>
        <w:t xml:space="preserve"> is only available in the Eastern and Western Bay of Plenty.</w:t>
      </w:r>
      <w:r w:rsidRPr="00D2134B">
        <w:rPr>
          <w:color w:val="000000" w:themeColor="text1"/>
          <w:shd w:val="clear" w:color="auto" w:fill="FFFFFF"/>
        </w:rPr>
        <w:t xml:space="preserve"> The Needs Assessment and Services Coordination (NASC) organisation assesses whether disabled people are suitable for EIF. A Local Area Coordinator can assist with the process.</w:t>
      </w:r>
      <w:r>
        <w:rPr>
          <w:color w:val="000000" w:themeColor="text1"/>
          <w:shd w:val="clear" w:color="auto" w:fill="FFFFFF"/>
        </w:rPr>
        <w:t xml:space="preserve"> </w:t>
      </w:r>
    </w:p>
    <w:p w:rsidR="0079571B" w:rsidRDefault="0079571B" w:rsidP="00D2134B">
      <w:pPr>
        <w:pStyle w:val="NormalWeb"/>
        <w:shd w:val="clear" w:color="auto" w:fill="FFFFFF"/>
        <w:spacing w:before="0" w:beforeAutospacing="0" w:after="0" w:afterAutospacing="0"/>
        <w:rPr>
          <w:color w:val="000000" w:themeColor="text1"/>
          <w:shd w:val="clear" w:color="auto" w:fill="FFFFFF"/>
        </w:rPr>
      </w:pPr>
    </w:p>
    <w:p w:rsidR="002A061C" w:rsidRPr="002A061C" w:rsidRDefault="00952D13" w:rsidP="002A061C">
      <w:pPr>
        <w:pStyle w:val="NormalWeb"/>
        <w:shd w:val="clear" w:color="auto" w:fill="FFFFFF"/>
        <w:spacing w:before="0" w:beforeAutospacing="0" w:after="0" w:afterAutospacing="0"/>
        <w:rPr>
          <w:color w:val="000000" w:themeColor="text1"/>
          <w:shd w:val="clear" w:color="auto" w:fill="FFFFFF"/>
        </w:rPr>
      </w:pPr>
      <w:r>
        <w:rPr>
          <w:color w:val="000000" w:themeColor="text1"/>
          <w:shd w:val="clear" w:color="auto" w:fill="FFFFFF"/>
        </w:rPr>
        <w:t>E</w:t>
      </w:r>
      <w:r w:rsidR="0079571B">
        <w:rPr>
          <w:color w:val="000000" w:themeColor="text1"/>
          <w:shd w:val="clear" w:color="auto" w:fill="FFFFFF"/>
        </w:rPr>
        <w:t xml:space="preserve">nhanced </w:t>
      </w:r>
      <w:r>
        <w:rPr>
          <w:color w:val="000000" w:themeColor="text1"/>
          <w:shd w:val="clear" w:color="auto" w:fill="FFFFFF"/>
        </w:rPr>
        <w:t>I</w:t>
      </w:r>
      <w:r w:rsidR="0079571B">
        <w:rPr>
          <w:color w:val="000000" w:themeColor="text1"/>
          <w:shd w:val="clear" w:color="auto" w:fill="FFFFFF"/>
        </w:rPr>
        <w:t xml:space="preserve">ndividualised </w:t>
      </w:r>
      <w:r>
        <w:rPr>
          <w:color w:val="000000" w:themeColor="text1"/>
          <w:shd w:val="clear" w:color="auto" w:fill="FFFFFF"/>
        </w:rPr>
        <w:t>F</w:t>
      </w:r>
      <w:r w:rsidR="0079571B">
        <w:rPr>
          <w:color w:val="000000" w:themeColor="text1"/>
          <w:shd w:val="clear" w:color="auto" w:fill="FFFFFF"/>
        </w:rPr>
        <w:t>unding</w:t>
      </w:r>
      <w:r>
        <w:rPr>
          <w:color w:val="000000" w:themeColor="text1"/>
          <w:shd w:val="clear" w:color="auto" w:fill="FFFFFF"/>
        </w:rPr>
        <w:t xml:space="preserve"> can only be</w:t>
      </w:r>
      <w:r w:rsidR="0079571B">
        <w:rPr>
          <w:color w:val="000000" w:themeColor="text1"/>
          <w:shd w:val="clear" w:color="auto" w:fill="FFFFFF"/>
        </w:rPr>
        <w:t xml:space="preserve"> used for services or supports defined </w:t>
      </w:r>
      <w:r>
        <w:rPr>
          <w:color w:val="000000" w:themeColor="text1"/>
          <w:shd w:val="clear" w:color="auto" w:fill="FFFFFF"/>
        </w:rPr>
        <w:t xml:space="preserve">as ‘disability support’, activities that are part of an agreed plan to help disabled people reach self-determined goals, </w:t>
      </w:r>
      <w:r w:rsidR="00E45D03">
        <w:rPr>
          <w:color w:val="000000" w:themeColor="text1"/>
          <w:shd w:val="clear" w:color="auto" w:fill="FFFFFF"/>
        </w:rPr>
        <w:t>and does not include anything that is the responsibility of other government agencies.</w:t>
      </w:r>
    </w:p>
    <w:p w:rsidR="0079571B" w:rsidRPr="00F639DD" w:rsidRDefault="0079571B" w:rsidP="00832154">
      <w:pPr>
        <w:pStyle w:val="Heading2"/>
      </w:pPr>
      <w:bookmarkStart w:id="27" w:name="_Toc420885849"/>
      <w:r w:rsidRPr="00F639DD">
        <w:t>Individualised Funding</w:t>
      </w:r>
      <w:bookmarkEnd w:id="27"/>
      <w:r w:rsidRPr="00F639DD">
        <w:t xml:space="preserve"> </w:t>
      </w:r>
    </w:p>
    <w:p w:rsidR="002A061C" w:rsidRDefault="0079571B" w:rsidP="0079571B">
      <w:pPr>
        <w:pStyle w:val="NormalWeb"/>
        <w:shd w:val="clear" w:color="auto" w:fill="FFFFFF"/>
        <w:spacing w:before="360" w:beforeAutospacing="0" w:after="360" w:afterAutospacing="0" w:line="186" w:lineRule="atLeast"/>
        <w:rPr>
          <w:color w:val="000000" w:themeColor="text1"/>
          <w:shd w:val="clear" w:color="auto" w:fill="FFFFFF"/>
        </w:rPr>
      </w:pPr>
      <w:r w:rsidRPr="005731C2">
        <w:rPr>
          <w:color w:val="000000" w:themeColor="text1"/>
          <w:shd w:val="clear" w:color="auto" w:fill="FFFFFF"/>
        </w:rPr>
        <w:t>Individualised Fundi</w:t>
      </w:r>
      <w:r>
        <w:rPr>
          <w:color w:val="000000" w:themeColor="text1"/>
          <w:shd w:val="clear" w:color="auto" w:fill="FFFFFF"/>
        </w:rPr>
        <w:t>ng (IF) is a way of paying for home and c</w:t>
      </w:r>
      <w:r w:rsidRPr="005731C2">
        <w:rPr>
          <w:color w:val="000000" w:themeColor="text1"/>
          <w:shd w:val="clear" w:color="auto" w:fill="FFFFFF"/>
        </w:rPr>
        <w:t>om</w:t>
      </w:r>
      <w:r>
        <w:rPr>
          <w:color w:val="000000" w:themeColor="text1"/>
          <w:shd w:val="clear" w:color="auto" w:fill="FFFFFF"/>
        </w:rPr>
        <w:t>munity support s</w:t>
      </w:r>
      <w:r w:rsidRPr="005731C2">
        <w:rPr>
          <w:color w:val="000000" w:themeColor="text1"/>
          <w:shd w:val="clear" w:color="auto" w:fill="FFFFFF"/>
        </w:rPr>
        <w:t xml:space="preserve">ervices which </w:t>
      </w:r>
      <w:r>
        <w:rPr>
          <w:color w:val="000000" w:themeColor="text1"/>
          <w:shd w:val="clear" w:color="auto" w:fill="FFFFFF"/>
        </w:rPr>
        <w:t>allows a disabled person</w:t>
      </w:r>
      <w:r w:rsidRPr="005731C2">
        <w:rPr>
          <w:color w:val="000000" w:themeColor="text1"/>
          <w:shd w:val="clear" w:color="auto" w:fill="FFFFFF"/>
        </w:rPr>
        <w:t xml:space="preserve"> </w:t>
      </w:r>
      <w:r>
        <w:rPr>
          <w:color w:val="000000" w:themeColor="text1"/>
          <w:shd w:val="clear" w:color="auto" w:fill="FFFFFF"/>
        </w:rPr>
        <w:t xml:space="preserve">to </w:t>
      </w:r>
      <w:r w:rsidRPr="005731C2">
        <w:rPr>
          <w:color w:val="000000" w:themeColor="text1"/>
          <w:shd w:val="clear" w:color="auto" w:fill="FFFFFF"/>
        </w:rPr>
        <w:t xml:space="preserve">directly manage the resources </w:t>
      </w:r>
      <w:r>
        <w:rPr>
          <w:color w:val="000000" w:themeColor="text1"/>
          <w:shd w:val="clear" w:color="auto" w:fill="FFFFFF"/>
        </w:rPr>
        <w:t xml:space="preserve">they have been </w:t>
      </w:r>
      <w:r w:rsidRPr="005731C2">
        <w:rPr>
          <w:color w:val="000000" w:themeColor="text1"/>
          <w:shd w:val="clear" w:color="auto" w:fill="FFFFFF"/>
        </w:rPr>
        <w:t>allocated for disability supports.</w:t>
      </w:r>
      <w:r>
        <w:rPr>
          <w:color w:val="000000" w:themeColor="text1"/>
          <w:shd w:val="clear" w:color="auto" w:fill="FFFFFF"/>
        </w:rPr>
        <w:t xml:space="preserve"> The funding can be used to purchase support workers (individuals or provider organisations) to provide support with household management and personal </w:t>
      </w:r>
      <w:r w:rsidR="00E108C3">
        <w:rPr>
          <w:color w:val="000000" w:themeColor="text1"/>
          <w:shd w:val="clear" w:color="auto" w:fill="FFFFFF"/>
        </w:rPr>
        <w:t>care.</w:t>
      </w:r>
      <w:r w:rsidR="002A061C">
        <w:rPr>
          <w:rStyle w:val="FootnoteReference"/>
          <w:color w:val="000000" w:themeColor="text1"/>
          <w:shd w:val="clear" w:color="auto" w:fill="FFFFFF"/>
        </w:rPr>
        <w:footnoteReference w:id="73"/>
      </w:r>
      <w:r w:rsidR="00E108C3">
        <w:rPr>
          <w:color w:val="000000" w:themeColor="text1"/>
          <w:shd w:val="clear" w:color="auto" w:fill="FFFFFF"/>
        </w:rPr>
        <w:t xml:space="preserve"> The</w:t>
      </w:r>
      <w:r>
        <w:rPr>
          <w:color w:val="000000" w:themeColor="text1"/>
          <w:shd w:val="clear" w:color="auto" w:fill="FFFFFF"/>
        </w:rPr>
        <w:t xml:space="preserve"> programme is administered by the Ministry of Health. An assessment is required through the National Assessment Services</w:t>
      </w:r>
      <w:r w:rsidR="00272141">
        <w:rPr>
          <w:color w:val="000000" w:themeColor="text1"/>
          <w:shd w:val="clear" w:color="auto" w:fill="FFFFFF"/>
        </w:rPr>
        <w:t xml:space="preserve">. A relatively small group of disabled people currently access IF. </w:t>
      </w:r>
    </w:p>
    <w:p w:rsidR="0079571B" w:rsidRDefault="00272141" w:rsidP="0079571B">
      <w:pPr>
        <w:pStyle w:val="NormalWeb"/>
        <w:shd w:val="clear" w:color="auto" w:fill="FFFFFF"/>
        <w:spacing w:before="360" w:beforeAutospacing="0" w:after="360" w:afterAutospacing="0" w:line="186" w:lineRule="atLeast"/>
        <w:rPr>
          <w:color w:val="000000" w:themeColor="text1"/>
          <w:shd w:val="clear" w:color="auto" w:fill="FFFFFF"/>
        </w:rPr>
      </w:pPr>
      <w:r>
        <w:rPr>
          <w:color w:val="000000" w:themeColor="text1"/>
          <w:shd w:val="clear" w:color="auto" w:fill="FFFFFF"/>
        </w:rPr>
        <w:t>Until recently legislation prohibited d</w:t>
      </w:r>
      <w:r w:rsidR="0079571B">
        <w:rPr>
          <w:color w:val="000000" w:themeColor="text1"/>
          <w:shd w:val="clear" w:color="auto" w:fill="FFFFFF"/>
        </w:rPr>
        <w:t xml:space="preserve">isabled people </w:t>
      </w:r>
      <w:r>
        <w:rPr>
          <w:color w:val="000000" w:themeColor="text1"/>
          <w:shd w:val="clear" w:color="auto" w:fill="FFFFFF"/>
        </w:rPr>
        <w:t xml:space="preserve">from </w:t>
      </w:r>
      <w:r w:rsidR="002A061C">
        <w:rPr>
          <w:color w:val="000000" w:themeColor="text1"/>
          <w:shd w:val="clear" w:color="auto" w:fill="FFFFFF"/>
        </w:rPr>
        <w:t>purchasing</w:t>
      </w:r>
      <w:r w:rsidR="0079571B">
        <w:rPr>
          <w:color w:val="000000" w:themeColor="text1"/>
          <w:shd w:val="clear" w:color="auto" w:fill="FFFFFF"/>
        </w:rPr>
        <w:t xml:space="preserve"> services from family or whānau members with whom the disabled person resides. This issue has been a significant concern for disabled people who </w:t>
      </w:r>
      <w:r>
        <w:rPr>
          <w:color w:val="000000" w:themeColor="text1"/>
          <w:shd w:val="clear" w:color="auto" w:fill="FFFFFF"/>
        </w:rPr>
        <w:t>prefer people they are close</w:t>
      </w:r>
      <w:r w:rsidR="0079571B">
        <w:rPr>
          <w:color w:val="000000" w:themeColor="text1"/>
          <w:shd w:val="clear" w:color="auto" w:fill="FFFFFF"/>
        </w:rPr>
        <w:t xml:space="preserve"> to perform </w:t>
      </w:r>
      <w:r w:rsidR="00E108C3">
        <w:rPr>
          <w:color w:val="000000" w:themeColor="text1"/>
          <w:shd w:val="clear" w:color="auto" w:fill="FFFFFF"/>
        </w:rPr>
        <w:t>household</w:t>
      </w:r>
      <w:r w:rsidR="0079571B">
        <w:rPr>
          <w:color w:val="000000" w:themeColor="text1"/>
          <w:shd w:val="clear" w:color="auto" w:fill="FFFFFF"/>
        </w:rPr>
        <w:t xml:space="preserve"> and intimate care functions. The funding cannot be used for other supports related to disability such as leisure, recreation, home renovations, medical supplies, personal and family costs, or to supplement income</w:t>
      </w:r>
      <w:r w:rsidR="00AA46EF">
        <w:rPr>
          <w:color w:val="000000" w:themeColor="text1"/>
          <w:shd w:val="clear" w:color="auto" w:fill="FFFFFF"/>
        </w:rPr>
        <w:t xml:space="preserve">. </w:t>
      </w:r>
    </w:p>
    <w:p w:rsidR="0076460A" w:rsidRDefault="0079571B" w:rsidP="0079571B">
      <w:pPr>
        <w:shd w:val="clear" w:color="auto" w:fill="FFFFFF"/>
        <w:spacing w:before="360" w:after="360" w:line="186" w:lineRule="atLeast"/>
        <w:rPr>
          <w:color w:val="000000" w:themeColor="text1"/>
          <w:sz w:val="24"/>
          <w:szCs w:val="24"/>
          <w:shd w:val="clear" w:color="auto" w:fill="FFFFFF"/>
        </w:rPr>
      </w:pPr>
      <w:r w:rsidRPr="00F56BEA">
        <w:rPr>
          <w:color w:val="000000" w:themeColor="text1"/>
          <w:sz w:val="24"/>
          <w:szCs w:val="24"/>
          <w:shd w:val="clear" w:color="auto" w:fill="FFFFFF"/>
        </w:rPr>
        <w:t>Individualised f</w:t>
      </w:r>
      <w:r>
        <w:rPr>
          <w:color w:val="000000" w:themeColor="text1"/>
          <w:sz w:val="24"/>
          <w:szCs w:val="24"/>
          <w:shd w:val="clear" w:color="auto" w:fill="FFFFFF"/>
        </w:rPr>
        <w:t xml:space="preserve">unding is only available to a </w:t>
      </w:r>
      <w:r w:rsidR="00D83374">
        <w:rPr>
          <w:color w:val="000000" w:themeColor="text1"/>
          <w:sz w:val="24"/>
          <w:szCs w:val="24"/>
          <w:shd w:val="clear" w:color="auto" w:fill="FFFFFF"/>
        </w:rPr>
        <w:t xml:space="preserve">small </w:t>
      </w:r>
      <w:r>
        <w:rPr>
          <w:color w:val="000000" w:themeColor="text1"/>
          <w:sz w:val="24"/>
          <w:szCs w:val="24"/>
          <w:shd w:val="clear" w:color="auto" w:fill="FFFFFF"/>
        </w:rPr>
        <w:t>minority of</w:t>
      </w:r>
      <w:r w:rsidRPr="00F56BEA">
        <w:rPr>
          <w:color w:val="000000" w:themeColor="text1"/>
          <w:sz w:val="24"/>
          <w:szCs w:val="24"/>
          <w:shd w:val="clear" w:color="auto" w:fill="FFFFFF"/>
        </w:rPr>
        <w:t xml:space="preserve"> disabled people</w:t>
      </w:r>
      <w:r>
        <w:rPr>
          <w:color w:val="000000" w:themeColor="text1"/>
          <w:sz w:val="24"/>
          <w:szCs w:val="24"/>
          <w:shd w:val="clear" w:color="auto" w:fill="FFFFFF"/>
        </w:rPr>
        <w:t xml:space="preserve"> who have particular impairment types, and are deemed ‘capable’ of managing their finances or have someone who can do this on their behalf. Individualised funding</w:t>
      </w:r>
      <w:r w:rsidRPr="00F56BEA">
        <w:rPr>
          <w:color w:val="000000" w:themeColor="text1"/>
          <w:sz w:val="24"/>
          <w:szCs w:val="24"/>
          <w:shd w:val="clear" w:color="auto" w:fill="FFFFFF"/>
        </w:rPr>
        <w:t xml:space="preserve"> is not available to people who experience </w:t>
      </w:r>
      <w:r w:rsidR="00B26507">
        <w:rPr>
          <w:color w:val="000000" w:themeColor="text1"/>
          <w:sz w:val="24"/>
          <w:szCs w:val="24"/>
          <w:shd w:val="clear" w:color="auto" w:fill="FFFFFF"/>
        </w:rPr>
        <w:t xml:space="preserve">learning/intellectual </w:t>
      </w:r>
      <w:r w:rsidRPr="00F56BEA">
        <w:rPr>
          <w:color w:val="000000" w:themeColor="text1"/>
          <w:sz w:val="24"/>
          <w:szCs w:val="24"/>
          <w:shd w:val="clear" w:color="auto" w:fill="FFFFFF"/>
        </w:rPr>
        <w:t>disab</w:t>
      </w:r>
      <w:r>
        <w:rPr>
          <w:color w:val="000000" w:themeColor="text1"/>
          <w:sz w:val="24"/>
          <w:szCs w:val="24"/>
          <w:shd w:val="clear" w:color="auto" w:fill="FFFFFF"/>
        </w:rPr>
        <w:t xml:space="preserve">ility or psychosocial disability, despite effective models of individualised funding </w:t>
      </w:r>
      <w:r w:rsidR="0076460A">
        <w:rPr>
          <w:color w:val="000000" w:themeColor="text1"/>
          <w:sz w:val="24"/>
          <w:szCs w:val="24"/>
          <w:shd w:val="clear" w:color="auto" w:fill="FFFFFF"/>
        </w:rPr>
        <w:t xml:space="preserve">operating </w:t>
      </w:r>
      <w:r>
        <w:rPr>
          <w:color w:val="000000" w:themeColor="text1"/>
          <w:sz w:val="24"/>
          <w:szCs w:val="24"/>
          <w:shd w:val="clear" w:color="auto" w:fill="FFFFFF"/>
        </w:rPr>
        <w:t>in the United States</w:t>
      </w:r>
      <w:r w:rsidR="00497FF2">
        <w:rPr>
          <w:color w:val="000000" w:themeColor="text1"/>
          <w:sz w:val="24"/>
          <w:szCs w:val="24"/>
          <w:shd w:val="clear" w:color="auto" w:fill="FFFFFF"/>
        </w:rPr>
        <w:t xml:space="preserve"> amongst people who experience psychosocial disability</w:t>
      </w:r>
      <w:r>
        <w:rPr>
          <w:color w:val="000000" w:themeColor="text1"/>
          <w:sz w:val="24"/>
          <w:szCs w:val="24"/>
          <w:shd w:val="clear" w:color="auto" w:fill="FFFFFF"/>
        </w:rPr>
        <w:t xml:space="preserve">.  Social protections that allow disabled people to purchase the type of </w:t>
      </w:r>
      <w:r w:rsidR="00E108C3">
        <w:rPr>
          <w:color w:val="000000" w:themeColor="text1"/>
          <w:sz w:val="24"/>
          <w:szCs w:val="24"/>
          <w:shd w:val="clear" w:color="auto" w:fill="FFFFFF"/>
        </w:rPr>
        <w:t xml:space="preserve">support that will improve </w:t>
      </w:r>
      <w:r>
        <w:rPr>
          <w:color w:val="000000" w:themeColor="text1"/>
          <w:sz w:val="24"/>
          <w:szCs w:val="24"/>
          <w:shd w:val="clear" w:color="auto" w:fill="FFFFFF"/>
        </w:rPr>
        <w:t xml:space="preserve">quality of life, enhance participation in the community, and allow </w:t>
      </w:r>
      <w:r w:rsidR="00E108C3">
        <w:rPr>
          <w:color w:val="000000" w:themeColor="text1"/>
          <w:sz w:val="24"/>
          <w:szCs w:val="24"/>
          <w:shd w:val="clear" w:color="auto" w:fill="FFFFFF"/>
        </w:rPr>
        <w:t>autonomy, choice and control, are</w:t>
      </w:r>
      <w:r>
        <w:rPr>
          <w:color w:val="000000" w:themeColor="text1"/>
          <w:sz w:val="24"/>
          <w:szCs w:val="24"/>
          <w:shd w:val="clear" w:color="auto" w:fill="FFFFFF"/>
        </w:rPr>
        <w:t xml:space="preserve"> the only way to ensure disabled people’s human rights are genuinely upheld.</w:t>
      </w:r>
      <w:r w:rsidR="0076460A">
        <w:rPr>
          <w:color w:val="000000" w:themeColor="text1"/>
          <w:sz w:val="24"/>
          <w:szCs w:val="24"/>
          <w:shd w:val="clear" w:color="auto" w:fill="FFFFFF"/>
        </w:rPr>
        <w:t xml:space="preserve"> </w:t>
      </w:r>
    </w:p>
    <w:p w:rsidR="0076460A" w:rsidRDefault="00AA46EF" w:rsidP="003E63A6">
      <w:pPr>
        <w:pStyle w:val="NormalWeb"/>
        <w:shd w:val="clear" w:color="auto" w:fill="FFFFFF"/>
        <w:spacing w:before="360" w:beforeAutospacing="0" w:after="360" w:afterAutospacing="0" w:line="186" w:lineRule="atLeast"/>
        <w:rPr>
          <w:color w:val="000000" w:themeColor="text1"/>
          <w:shd w:val="clear" w:color="auto" w:fill="FFFFFF"/>
        </w:rPr>
      </w:pPr>
      <w:r>
        <w:rPr>
          <w:color w:val="000000" w:themeColor="text1"/>
          <w:shd w:val="clear" w:color="auto" w:fill="FFFFFF"/>
        </w:rPr>
        <w:t xml:space="preserve">While the New Zealand Public Health and Disability Act 2000 now permits a family or whānau carers payment, to assist disabled people with household and intimate care, </w:t>
      </w:r>
      <w:proofErr w:type="gramStart"/>
      <w:r>
        <w:rPr>
          <w:color w:val="000000" w:themeColor="text1"/>
          <w:shd w:val="clear" w:color="auto" w:fill="FFFFFF"/>
        </w:rPr>
        <w:t>evidence  to</w:t>
      </w:r>
      <w:proofErr w:type="gramEnd"/>
      <w:r>
        <w:rPr>
          <w:color w:val="000000" w:themeColor="text1"/>
          <w:shd w:val="clear" w:color="auto" w:fill="FFFFFF"/>
        </w:rPr>
        <w:t xml:space="preserve"> date indicates that barriers to family payments have resulted in a low uptake of this provision.</w:t>
      </w:r>
      <w:r>
        <w:rPr>
          <w:rStyle w:val="FootnoteReference"/>
          <w:color w:val="000000" w:themeColor="text1"/>
          <w:shd w:val="clear" w:color="auto" w:fill="FFFFFF"/>
        </w:rPr>
        <w:footnoteReference w:id="74"/>
      </w:r>
    </w:p>
    <w:p w:rsidR="00DE16F0" w:rsidRPr="005D6735" w:rsidRDefault="00925408" w:rsidP="00832154">
      <w:pPr>
        <w:pStyle w:val="Heading1"/>
      </w:pPr>
      <w:bookmarkStart w:id="28" w:name="_Toc420885850"/>
      <w:r>
        <w:lastRenderedPageBreak/>
        <w:t>Social Protections - a</w:t>
      </w:r>
      <w:r w:rsidR="00DE16F0" w:rsidRPr="005D6735">
        <w:t>reas for improvement</w:t>
      </w:r>
      <w:bookmarkEnd w:id="28"/>
      <w:r w:rsidR="00DE16F0" w:rsidRPr="005D6735">
        <w:t xml:space="preserve"> </w:t>
      </w:r>
    </w:p>
    <w:p w:rsidR="00F639DD" w:rsidRDefault="00F639DD" w:rsidP="00C75244">
      <w:pPr>
        <w:pStyle w:val="ListParagraph"/>
        <w:ind w:left="0"/>
        <w:jc w:val="both"/>
        <w:rPr>
          <w:b/>
          <w:sz w:val="24"/>
          <w:szCs w:val="24"/>
        </w:rPr>
      </w:pPr>
    </w:p>
    <w:p w:rsidR="00C75244" w:rsidRPr="003B0C27" w:rsidRDefault="00497FF2" w:rsidP="00832154">
      <w:pPr>
        <w:pStyle w:val="Heading2"/>
      </w:pPr>
      <w:bookmarkStart w:id="29" w:name="_Toc420885851"/>
      <w:r>
        <w:t>Statistics and dat</w:t>
      </w:r>
      <w:r w:rsidR="00C75244" w:rsidRPr="003B0C27">
        <w:t>a collection</w:t>
      </w:r>
      <w:bookmarkEnd w:id="29"/>
    </w:p>
    <w:p w:rsidR="00C75244" w:rsidRDefault="00C75244" w:rsidP="00C75244">
      <w:pPr>
        <w:pStyle w:val="ListParagraph"/>
        <w:ind w:left="0"/>
        <w:jc w:val="both"/>
        <w:rPr>
          <w:sz w:val="24"/>
          <w:szCs w:val="24"/>
        </w:rPr>
      </w:pPr>
    </w:p>
    <w:p w:rsidR="00560D77" w:rsidRDefault="00560D77" w:rsidP="00560D77">
      <w:pPr>
        <w:pStyle w:val="ListParagraph"/>
        <w:ind w:left="0"/>
        <w:rPr>
          <w:sz w:val="24"/>
          <w:szCs w:val="24"/>
        </w:rPr>
      </w:pPr>
      <w:r>
        <w:rPr>
          <w:sz w:val="24"/>
          <w:szCs w:val="24"/>
        </w:rPr>
        <w:t xml:space="preserve">Statistics New Zealand is the government agency responsible for the national Census and the nation’s </w:t>
      </w:r>
      <w:r w:rsidR="0048719B">
        <w:rPr>
          <w:sz w:val="24"/>
          <w:szCs w:val="24"/>
        </w:rPr>
        <w:t xml:space="preserve">household, </w:t>
      </w:r>
      <w:r w:rsidR="00323C81">
        <w:rPr>
          <w:sz w:val="24"/>
          <w:szCs w:val="24"/>
        </w:rPr>
        <w:t xml:space="preserve">labour force, income, </w:t>
      </w:r>
      <w:r w:rsidR="0048719B">
        <w:rPr>
          <w:sz w:val="24"/>
          <w:szCs w:val="24"/>
        </w:rPr>
        <w:t xml:space="preserve">social, </w:t>
      </w:r>
      <w:r>
        <w:rPr>
          <w:sz w:val="24"/>
          <w:szCs w:val="24"/>
        </w:rPr>
        <w:t>economic surveys</w:t>
      </w:r>
      <w:r w:rsidR="0048719B">
        <w:rPr>
          <w:sz w:val="24"/>
          <w:szCs w:val="24"/>
        </w:rPr>
        <w:t>, and disability surveys</w:t>
      </w:r>
      <w:r>
        <w:rPr>
          <w:sz w:val="24"/>
          <w:szCs w:val="24"/>
        </w:rPr>
        <w:t>. However, t</w:t>
      </w:r>
      <w:r w:rsidR="00C75244">
        <w:rPr>
          <w:sz w:val="24"/>
          <w:szCs w:val="24"/>
        </w:rPr>
        <w:t>here is a lack of comprehensive statistical information relating to</w:t>
      </w:r>
      <w:r w:rsidR="0048719B">
        <w:rPr>
          <w:sz w:val="24"/>
          <w:szCs w:val="24"/>
        </w:rPr>
        <w:t xml:space="preserve"> disabled people in New Zealand and </w:t>
      </w:r>
      <w:r w:rsidR="00324875">
        <w:rPr>
          <w:sz w:val="24"/>
          <w:szCs w:val="24"/>
        </w:rPr>
        <w:t>most</w:t>
      </w:r>
      <w:r w:rsidR="0048719B">
        <w:rPr>
          <w:sz w:val="24"/>
          <w:szCs w:val="24"/>
        </w:rPr>
        <w:t xml:space="preserve"> government departments do not collect disaggregated disability data. </w:t>
      </w:r>
      <w:r w:rsidR="00323C81">
        <w:rPr>
          <w:sz w:val="24"/>
          <w:szCs w:val="24"/>
        </w:rPr>
        <w:t xml:space="preserve">Statistics New Zealand’s Household Labour Force Survey, and the Income Survey, </w:t>
      </w:r>
      <w:proofErr w:type="gramStart"/>
      <w:r w:rsidR="00323C81">
        <w:rPr>
          <w:sz w:val="24"/>
          <w:szCs w:val="24"/>
        </w:rPr>
        <w:t>do</w:t>
      </w:r>
      <w:proofErr w:type="gramEnd"/>
      <w:r w:rsidR="00323C81">
        <w:rPr>
          <w:sz w:val="24"/>
          <w:szCs w:val="24"/>
        </w:rPr>
        <w:t xml:space="preserve"> not gather data on outcomes for disabled people.</w:t>
      </w:r>
    </w:p>
    <w:p w:rsidR="00560D77" w:rsidRDefault="00560D77" w:rsidP="00C75244">
      <w:pPr>
        <w:pStyle w:val="ListParagraph"/>
        <w:ind w:left="0"/>
        <w:jc w:val="both"/>
        <w:rPr>
          <w:sz w:val="24"/>
          <w:szCs w:val="24"/>
        </w:rPr>
      </w:pPr>
    </w:p>
    <w:p w:rsidR="00C75244" w:rsidRDefault="00560D77" w:rsidP="00C75244">
      <w:pPr>
        <w:pStyle w:val="ListParagraph"/>
        <w:ind w:left="0"/>
        <w:jc w:val="both"/>
        <w:rPr>
          <w:sz w:val="24"/>
          <w:szCs w:val="24"/>
        </w:rPr>
      </w:pPr>
      <w:r>
        <w:rPr>
          <w:sz w:val="24"/>
          <w:szCs w:val="24"/>
        </w:rPr>
        <w:t>A</w:t>
      </w:r>
      <w:r w:rsidR="00C75244">
        <w:rPr>
          <w:sz w:val="24"/>
          <w:szCs w:val="24"/>
        </w:rPr>
        <w:t>vailable data about disabled people in relation to education, employment, income, poverty, physical health, mental health, housing, and justice, indicate marked disparities between d</w:t>
      </w:r>
      <w:r>
        <w:rPr>
          <w:sz w:val="24"/>
          <w:szCs w:val="24"/>
        </w:rPr>
        <w:t xml:space="preserve">isabled and non-disabled people; </w:t>
      </w:r>
      <w:r w:rsidR="00C75244">
        <w:rPr>
          <w:sz w:val="24"/>
          <w:szCs w:val="24"/>
        </w:rPr>
        <w:t xml:space="preserve">with little change since 2008. These disparities are greater for indigenous and </w:t>
      </w:r>
      <w:proofErr w:type="spellStart"/>
      <w:r w:rsidR="00C75244">
        <w:rPr>
          <w:sz w:val="24"/>
          <w:szCs w:val="24"/>
        </w:rPr>
        <w:t>Pasifika</w:t>
      </w:r>
      <w:proofErr w:type="spellEnd"/>
      <w:r w:rsidR="00C75244">
        <w:rPr>
          <w:sz w:val="24"/>
          <w:szCs w:val="24"/>
        </w:rPr>
        <w:t xml:space="preserve"> disabled people, and disabled people who live in geographic areas of high deprivation.</w:t>
      </w:r>
      <w:r w:rsidR="00497FF2">
        <w:rPr>
          <w:sz w:val="24"/>
          <w:szCs w:val="24"/>
        </w:rPr>
        <w:t xml:space="preserve"> </w:t>
      </w:r>
    </w:p>
    <w:p w:rsidR="00551E17" w:rsidRDefault="00551E17" w:rsidP="00C75244">
      <w:pPr>
        <w:pStyle w:val="ListParagraph"/>
        <w:ind w:left="0"/>
        <w:jc w:val="both"/>
        <w:rPr>
          <w:sz w:val="24"/>
          <w:szCs w:val="24"/>
        </w:rPr>
      </w:pPr>
    </w:p>
    <w:p w:rsidR="003A12B5" w:rsidRDefault="00560D77" w:rsidP="004E778C">
      <w:pPr>
        <w:pStyle w:val="ListParagraph"/>
        <w:ind w:left="0"/>
        <w:rPr>
          <w:sz w:val="24"/>
          <w:szCs w:val="24"/>
        </w:rPr>
      </w:pPr>
      <w:r>
        <w:rPr>
          <w:sz w:val="24"/>
          <w:szCs w:val="24"/>
        </w:rPr>
        <w:t xml:space="preserve">Statistics New Zealand is not planning to offer telephone dictation services for </w:t>
      </w:r>
      <w:r w:rsidR="003874AC">
        <w:rPr>
          <w:sz w:val="24"/>
          <w:szCs w:val="24"/>
        </w:rPr>
        <w:t>those</w:t>
      </w:r>
      <w:r>
        <w:rPr>
          <w:sz w:val="24"/>
          <w:szCs w:val="24"/>
        </w:rPr>
        <w:t xml:space="preserve"> with limited mobility or vision for the 2018 Census</w:t>
      </w:r>
      <w:r w:rsidR="00E40E03">
        <w:rPr>
          <w:sz w:val="24"/>
          <w:szCs w:val="24"/>
        </w:rPr>
        <w:t>. Instead the service</w:t>
      </w:r>
      <w:r>
        <w:rPr>
          <w:sz w:val="24"/>
          <w:szCs w:val="24"/>
        </w:rPr>
        <w:t xml:space="preserve"> will only use paper forms or an online submissions process.</w:t>
      </w:r>
      <w:r w:rsidR="00497FF2">
        <w:rPr>
          <w:sz w:val="24"/>
          <w:szCs w:val="24"/>
        </w:rPr>
        <w:t xml:space="preserve"> </w:t>
      </w:r>
      <w:proofErr w:type="gramStart"/>
      <w:r w:rsidR="00497FF2">
        <w:rPr>
          <w:sz w:val="24"/>
          <w:szCs w:val="24"/>
        </w:rPr>
        <w:t xml:space="preserve">This approach further limits data that can be collected </w:t>
      </w:r>
      <w:r w:rsidR="00E40E03">
        <w:rPr>
          <w:sz w:val="24"/>
          <w:szCs w:val="24"/>
        </w:rPr>
        <w:t xml:space="preserve">about </w:t>
      </w:r>
      <w:r w:rsidR="00497FF2">
        <w:rPr>
          <w:sz w:val="24"/>
          <w:szCs w:val="24"/>
        </w:rPr>
        <w:t>disabled</w:t>
      </w:r>
      <w:r w:rsidR="00E40E03">
        <w:rPr>
          <w:sz w:val="24"/>
          <w:szCs w:val="24"/>
        </w:rPr>
        <w:t xml:space="preserve"> people’s lives</w:t>
      </w:r>
      <w:r w:rsidR="00497FF2">
        <w:rPr>
          <w:sz w:val="24"/>
          <w:szCs w:val="24"/>
        </w:rPr>
        <w:t>.</w:t>
      </w:r>
      <w:proofErr w:type="gramEnd"/>
    </w:p>
    <w:p w:rsidR="00104800" w:rsidRDefault="00904A85" w:rsidP="00832154">
      <w:pPr>
        <w:pStyle w:val="Heading2"/>
      </w:pPr>
      <w:bookmarkStart w:id="30" w:name="_Toc420885852"/>
      <w:r>
        <w:t>Disability sector and Mental Health sector</w:t>
      </w:r>
      <w:bookmarkEnd w:id="30"/>
      <w:r w:rsidR="00FE0E82">
        <w:t xml:space="preserve"> </w:t>
      </w:r>
    </w:p>
    <w:p w:rsidR="001304D1" w:rsidRDefault="001304D1" w:rsidP="00277AB3">
      <w:pPr>
        <w:pStyle w:val="ListParagraph"/>
        <w:ind w:left="0"/>
        <w:jc w:val="both"/>
        <w:rPr>
          <w:sz w:val="24"/>
          <w:szCs w:val="24"/>
        </w:rPr>
      </w:pPr>
    </w:p>
    <w:p w:rsidR="00165CE4" w:rsidRPr="004E778C" w:rsidRDefault="00904A85" w:rsidP="00165CE4">
      <w:pPr>
        <w:pStyle w:val="ListParagraph"/>
        <w:ind w:left="0"/>
        <w:jc w:val="both"/>
        <w:rPr>
          <w:sz w:val="24"/>
          <w:szCs w:val="24"/>
        </w:rPr>
      </w:pPr>
      <w:r w:rsidRPr="004E778C">
        <w:rPr>
          <w:sz w:val="24"/>
          <w:szCs w:val="24"/>
        </w:rPr>
        <w:t xml:space="preserve">The Disability sector and the Mental Health sector are regarded as separate sectors. </w:t>
      </w:r>
      <w:r w:rsidR="00B82038" w:rsidRPr="004E778C">
        <w:rPr>
          <w:sz w:val="24"/>
          <w:szCs w:val="24"/>
        </w:rPr>
        <w:t xml:space="preserve">New Zealand’s </w:t>
      </w:r>
      <w:r w:rsidR="00104800" w:rsidRPr="004E778C">
        <w:rPr>
          <w:sz w:val="24"/>
          <w:szCs w:val="24"/>
        </w:rPr>
        <w:t>Disability Strategy</w:t>
      </w:r>
      <w:r w:rsidR="00A553F9" w:rsidRPr="004E778C">
        <w:rPr>
          <w:sz w:val="24"/>
          <w:szCs w:val="24"/>
        </w:rPr>
        <w:t xml:space="preserve"> 2001,</w:t>
      </w:r>
      <w:r w:rsidR="00104800" w:rsidRPr="004E778C">
        <w:rPr>
          <w:sz w:val="24"/>
          <w:szCs w:val="24"/>
        </w:rPr>
        <w:t xml:space="preserve"> </w:t>
      </w:r>
      <w:r w:rsidR="00A553F9" w:rsidRPr="004E778C">
        <w:rPr>
          <w:sz w:val="24"/>
          <w:szCs w:val="24"/>
        </w:rPr>
        <w:t xml:space="preserve">and </w:t>
      </w:r>
      <w:r w:rsidR="00104800" w:rsidRPr="004E778C">
        <w:rPr>
          <w:sz w:val="24"/>
          <w:szCs w:val="24"/>
        </w:rPr>
        <w:t>New Zealand’s</w:t>
      </w:r>
      <w:r w:rsidR="00E40E03">
        <w:rPr>
          <w:sz w:val="24"/>
          <w:szCs w:val="24"/>
        </w:rPr>
        <w:t xml:space="preserve"> mental health strategies</w:t>
      </w:r>
      <w:r w:rsidR="00A553F9" w:rsidRPr="004E778C">
        <w:rPr>
          <w:sz w:val="24"/>
          <w:szCs w:val="24"/>
        </w:rPr>
        <w:t>,</w:t>
      </w:r>
      <w:r w:rsidR="00A553F9" w:rsidRPr="004E778C">
        <w:rPr>
          <w:rStyle w:val="FootnoteReference"/>
          <w:sz w:val="24"/>
          <w:szCs w:val="24"/>
        </w:rPr>
        <w:footnoteReference w:id="75"/>
      </w:r>
      <w:r w:rsidR="00A553F9" w:rsidRPr="004E778C">
        <w:rPr>
          <w:sz w:val="24"/>
          <w:szCs w:val="24"/>
        </w:rPr>
        <w:t xml:space="preserve"> </w:t>
      </w:r>
      <w:r w:rsidR="0029183E" w:rsidRPr="004E778C">
        <w:rPr>
          <w:rStyle w:val="FootnoteReference"/>
          <w:sz w:val="24"/>
          <w:szCs w:val="24"/>
        </w:rPr>
        <w:footnoteReference w:id="76"/>
      </w:r>
      <w:proofErr w:type="gramStart"/>
      <w:r w:rsidR="00A553F9" w:rsidRPr="004E778C">
        <w:rPr>
          <w:sz w:val="24"/>
          <w:szCs w:val="24"/>
        </w:rPr>
        <w:t>are</w:t>
      </w:r>
      <w:proofErr w:type="gramEnd"/>
      <w:r w:rsidR="00104800" w:rsidRPr="004E778C">
        <w:rPr>
          <w:sz w:val="24"/>
          <w:szCs w:val="24"/>
        </w:rPr>
        <w:t xml:space="preserve"> distinct entit</w:t>
      </w:r>
      <w:r w:rsidR="00A553F9" w:rsidRPr="004E778C">
        <w:rPr>
          <w:sz w:val="24"/>
          <w:szCs w:val="24"/>
        </w:rPr>
        <w:t>ies</w:t>
      </w:r>
      <w:r w:rsidR="00104800" w:rsidRPr="004E778C">
        <w:rPr>
          <w:sz w:val="24"/>
          <w:szCs w:val="24"/>
        </w:rPr>
        <w:t xml:space="preserve"> with separate funding streams</w:t>
      </w:r>
      <w:r w:rsidR="00A553F9" w:rsidRPr="004E778C">
        <w:rPr>
          <w:sz w:val="24"/>
          <w:szCs w:val="24"/>
        </w:rPr>
        <w:t>, social protections,</w:t>
      </w:r>
      <w:r w:rsidR="00104800" w:rsidRPr="004E778C">
        <w:rPr>
          <w:sz w:val="24"/>
          <w:szCs w:val="24"/>
        </w:rPr>
        <w:t xml:space="preserve"> and contracts</w:t>
      </w:r>
      <w:r w:rsidR="00B56D64" w:rsidRPr="004E778C">
        <w:rPr>
          <w:sz w:val="24"/>
          <w:szCs w:val="24"/>
        </w:rPr>
        <w:t xml:space="preserve"> for service provision</w:t>
      </w:r>
      <w:r w:rsidR="00104800" w:rsidRPr="004E778C">
        <w:rPr>
          <w:sz w:val="24"/>
          <w:szCs w:val="24"/>
        </w:rPr>
        <w:t>.</w:t>
      </w:r>
      <w:r w:rsidR="00D83871" w:rsidRPr="004E778C">
        <w:rPr>
          <w:sz w:val="24"/>
          <w:szCs w:val="24"/>
        </w:rPr>
        <w:t xml:space="preserve"> </w:t>
      </w:r>
      <w:r w:rsidR="00CB6F2A" w:rsidRPr="004E778C">
        <w:rPr>
          <w:sz w:val="24"/>
          <w:szCs w:val="24"/>
        </w:rPr>
        <w:t>This reflects very different definitions of disability across New Zealand legis</w:t>
      </w:r>
      <w:r w:rsidR="00B048AE" w:rsidRPr="004E778C">
        <w:rPr>
          <w:sz w:val="24"/>
          <w:szCs w:val="24"/>
        </w:rPr>
        <w:t>lation and policy environments</w:t>
      </w:r>
      <w:r w:rsidR="0084675F" w:rsidRPr="004E778C">
        <w:rPr>
          <w:sz w:val="24"/>
          <w:szCs w:val="24"/>
        </w:rPr>
        <w:t>,</w:t>
      </w:r>
      <w:r w:rsidR="00B048AE" w:rsidRPr="004E778C">
        <w:rPr>
          <w:sz w:val="24"/>
          <w:szCs w:val="24"/>
        </w:rPr>
        <w:t xml:space="preserve"> and a history of psychosocial disability not being regarded as part of the disability sector</w:t>
      </w:r>
      <w:r w:rsidR="00482791" w:rsidRPr="004E778C">
        <w:rPr>
          <w:sz w:val="24"/>
          <w:szCs w:val="24"/>
        </w:rPr>
        <w:t>,</w:t>
      </w:r>
      <w:r w:rsidR="00D66355" w:rsidRPr="004E778C">
        <w:rPr>
          <w:sz w:val="24"/>
          <w:szCs w:val="24"/>
        </w:rPr>
        <w:t xml:space="preserve"> and vice versa</w:t>
      </w:r>
      <w:r w:rsidR="00B048AE" w:rsidRPr="004E778C">
        <w:rPr>
          <w:sz w:val="24"/>
          <w:szCs w:val="24"/>
        </w:rPr>
        <w:t>.</w:t>
      </w:r>
      <w:r w:rsidR="00165CE4" w:rsidRPr="004E778C">
        <w:rPr>
          <w:sz w:val="24"/>
          <w:szCs w:val="24"/>
        </w:rPr>
        <w:t xml:space="preserve"> </w:t>
      </w:r>
    </w:p>
    <w:p w:rsidR="00CB6F2A" w:rsidRDefault="00CB6F2A" w:rsidP="00277AB3">
      <w:pPr>
        <w:pStyle w:val="ListParagraph"/>
        <w:ind w:left="0"/>
        <w:jc w:val="both"/>
        <w:rPr>
          <w:sz w:val="24"/>
          <w:szCs w:val="24"/>
        </w:rPr>
      </w:pPr>
    </w:p>
    <w:p w:rsidR="00832154" w:rsidRDefault="00CB6F2A" w:rsidP="00794EC0">
      <w:pPr>
        <w:pStyle w:val="FootnoteText"/>
        <w:rPr>
          <w:sz w:val="24"/>
          <w:szCs w:val="24"/>
          <w:lang w:val="en-NZ"/>
        </w:rPr>
      </w:pPr>
      <w:r>
        <w:rPr>
          <w:sz w:val="24"/>
          <w:szCs w:val="24"/>
        </w:rPr>
        <w:t xml:space="preserve">In practice, </w:t>
      </w:r>
      <w:r w:rsidR="00F21528">
        <w:rPr>
          <w:sz w:val="24"/>
          <w:szCs w:val="24"/>
        </w:rPr>
        <w:t>services provided in response to</w:t>
      </w:r>
      <w:r w:rsidR="0084675F">
        <w:rPr>
          <w:sz w:val="24"/>
          <w:szCs w:val="24"/>
        </w:rPr>
        <w:t xml:space="preserve"> the D</w:t>
      </w:r>
      <w:r>
        <w:rPr>
          <w:sz w:val="24"/>
          <w:szCs w:val="24"/>
        </w:rPr>
        <w:t>i</w:t>
      </w:r>
      <w:r w:rsidR="0084675F">
        <w:rPr>
          <w:sz w:val="24"/>
          <w:szCs w:val="24"/>
        </w:rPr>
        <w:t>sability S</w:t>
      </w:r>
      <w:r>
        <w:rPr>
          <w:sz w:val="24"/>
          <w:szCs w:val="24"/>
        </w:rPr>
        <w:t>trategy</w:t>
      </w:r>
      <w:r w:rsidR="00A553F9">
        <w:rPr>
          <w:sz w:val="24"/>
          <w:szCs w:val="24"/>
        </w:rPr>
        <w:t xml:space="preserve"> 2001</w:t>
      </w:r>
      <w:r>
        <w:rPr>
          <w:sz w:val="24"/>
          <w:szCs w:val="24"/>
        </w:rPr>
        <w:t xml:space="preserve">, and </w:t>
      </w:r>
      <w:r w:rsidR="00F21528">
        <w:rPr>
          <w:sz w:val="24"/>
          <w:szCs w:val="24"/>
        </w:rPr>
        <w:t>services provide</w:t>
      </w:r>
      <w:r w:rsidR="00DA2EE4">
        <w:rPr>
          <w:sz w:val="24"/>
          <w:szCs w:val="24"/>
        </w:rPr>
        <w:t>d</w:t>
      </w:r>
      <w:r w:rsidR="00F21528">
        <w:rPr>
          <w:sz w:val="24"/>
          <w:szCs w:val="24"/>
        </w:rPr>
        <w:t xml:space="preserve"> in response to </w:t>
      </w:r>
      <w:r w:rsidR="00794EC0">
        <w:rPr>
          <w:sz w:val="24"/>
          <w:szCs w:val="24"/>
        </w:rPr>
        <w:t>the Mental Health S</w:t>
      </w:r>
      <w:r>
        <w:rPr>
          <w:sz w:val="24"/>
          <w:szCs w:val="24"/>
        </w:rPr>
        <w:t>trategy</w:t>
      </w:r>
      <w:r w:rsidR="00794EC0">
        <w:rPr>
          <w:sz w:val="24"/>
          <w:szCs w:val="24"/>
        </w:rPr>
        <w:t xml:space="preserve"> 2005</w:t>
      </w:r>
      <w:r>
        <w:rPr>
          <w:sz w:val="24"/>
          <w:szCs w:val="24"/>
        </w:rPr>
        <w:t xml:space="preserve">, </w:t>
      </w:r>
      <w:r w:rsidR="00B048AE">
        <w:rPr>
          <w:sz w:val="24"/>
          <w:szCs w:val="24"/>
        </w:rPr>
        <w:t>are not integrated</w:t>
      </w:r>
      <w:r>
        <w:rPr>
          <w:sz w:val="24"/>
          <w:szCs w:val="24"/>
        </w:rPr>
        <w:t>.</w:t>
      </w:r>
      <w:r w:rsidR="00F21528">
        <w:rPr>
          <w:rStyle w:val="FootnoteReference"/>
          <w:sz w:val="24"/>
          <w:szCs w:val="24"/>
        </w:rPr>
        <w:footnoteReference w:id="77"/>
      </w:r>
      <w:r>
        <w:rPr>
          <w:sz w:val="24"/>
          <w:szCs w:val="24"/>
        </w:rPr>
        <w:t xml:space="preserve"> </w:t>
      </w:r>
      <w:r w:rsidR="00B048AE">
        <w:rPr>
          <w:sz w:val="24"/>
          <w:szCs w:val="24"/>
        </w:rPr>
        <w:t xml:space="preserve">The former is governed by a social model of disability and a human rights approach. </w:t>
      </w:r>
      <w:r w:rsidR="00465BE7">
        <w:rPr>
          <w:sz w:val="24"/>
          <w:szCs w:val="24"/>
        </w:rPr>
        <w:t>The latter</w:t>
      </w:r>
      <w:r w:rsidR="00794EC0">
        <w:rPr>
          <w:sz w:val="24"/>
          <w:szCs w:val="24"/>
        </w:rPr>
        <w:t xml:space="preserve"> </w:t>
      </w:r>
      <w:r w:rsidR="00465BE7">
        <w:rPr>
          <w:sz w:val="24"/>
          <w:szCs w:val="24"/>
        </w:rPr>
        <w:t>is gov</w:t>
      </w:r>
      <w:r w:rsidR="0084675F">
        <w:rPr>
          <w:sz w:val="24"/>
          <w:szCs w:val="24"/>
        </w:rPr>
        <w:t xml:space="preserve">erned by a medical model and </w:t>
      </w:r>
      <w:r w:rsidR="00465BE7">
        <w:rPr>
          <w:sz w:val="24"/>
          <w:szCs w:val="24"/>
        </w:rPr>
        <w:t xml:space="preserve">dominated by psychiatry. </w:t>
      </w:r>
      <w:r w:rsidR="004C7D8F">
        <w:rPr>
          <w:sz w:val="24"/>
          <w:szCs w:val="24"/>
          <w:lang w:val="en-NZ"/>
        </w:rPr>
        <w:t>T</w:t>
      </w:r>
      <w:r w:rsidR="004C7D8F" w:rsidRPr="00794EC0">
        <w:rPr>
          <w:sz w:val="24"/>
          <w:szCs w:val="24"/>
          <w:lang w:val="en-NZ"/>
        </w:rPr>
        <w:t>he majority of services provided to people whose primary disability is psychosocial, is throug</w:t>
      </w:r>
      <w:r w:rsidR="0005374D">
        <w:rPr>
          <w:sz w:val="24"/>
          <w:szCs w:val="24"/>
          <w:lang w:val="en-NZ"/>
        </w:rPr>
        <w:t xml:space="preserve">h District Health Boards’ (DHBs) specialist psychiatric inpatient facilities and community mental health services. While some </w:t>
      </w:r>
      <w:r w:rsidR="002D7C08">
        <w:rPr>
          <w:sz w:val="24"/>
          <w:szCs w:val="24"/>
          <w:lang w:val="en-NZ"/>
        </w:rPr>
        <w:t xml:space="preserve">publicly funded </w:t>
      </w:r>
      <w:r w:rsidR="0005374D">
        <w:rPr>
          <w:sz w:val="24"/>
          <w:szCs w:val="24"/>
          <w:lang w:val="en-NZ"/>
        </w:rPr>
        <w:t xml:space="preserve">primary mental health services are offered, </w:t>
      </w:r>
      <w:r w:rsidR="0005374D">
        <w:rPr>
          <w:sz w:val="24"/>
          <w:szCs w:val="24"/>
          <w:lang w:val="en-NZ"/>
        </w:rPr>
        <w:lastRenderedPageBreak/>
        <w:t>these are typically only available to people under 25 years old, or people in receipt of state income support who hold a ‘community services’</w:t>
      </w:r>
      <w:r w:rsidR="000E1FBC">
        <w:rPr>
          <w:sz w:val="24"/>
          <w:szCs w:val="24"/>
          <w:lang w:val="en-NZ"/>
        </w:rPr>
        <w:t xml:space="preserve"> card.</w:t>
      </w:r>
    </w:p>
    <w:p w:rsidR="004E778C" w:rsidRDefault="004E778C" w:rsidP="00794EC0">
      <w:pPr>
        <w:pStyle w:val="FootnoteText"/>
        <w:rPr>
          <w:sz w:val="24"/>
          <w:szCs w:val="24"/>
          <w:lang w:val="en-NZ"/>
        </w:rPr>
      </w:pPr>
    </w:p>
    <w:p w:rsidR="00BF1BDC" w:rsidRPr="005542D0" w:rsidRDefault="00BF1BDC" w:rsidP="00832154">
      <w:pPr>
        <w:pStyle w:val="Heading2"/>
        <w:rPr>
          <w:lang w:val="en-NZ"/>
        </w:rPr>
      </w:pPr>
      <w:bookmarkStart w:id="31" w:name="_Toc420885853"/>
      <w:r w:rsidRPr="005542D0">
        <w:rPr>
          <w:lang w:val="en-NZ"/>
        </w:rPr>
        <w:t>Mental Health (Compulsory Assessment and Treatment) Act</w:t>
      </w:r>
      <w:r w:rsidR="00925408">
        <w:rPr>
          <w:lang w:val="en-NZ"/>
        </w:rPr>
        <w:t xml:space="preserve"> 1993</w:t>
      </w:r>
      <w:bookmarkEnd w:id="31"/>
      <w:r w:rsidRPr="005542D0">
        <w:rPr>
          <w:lang w:val="en-NZ"/>
        </w:rPr>
        <w:t xml:space="preserve"> </w:t>
      </w:r>
    </w:p>
    <w:p w:rsidR="00BF1BDC" w:rsidRDefault="00BF1BDC" w:rsidP="00794EC0">
      <w:pPr>
        <w:pStyle w:val="FootnoteText"/>
        <w:rPr>
          <w:sz w:val="24"/>
          <w:szCs w:val="24"/>
          <w:lang w:val="en-NZ"/>
        </w:rPr>
      </w:pPr>
    </w:p>
    <w:p w:rsidR="00BF1BDC" w:rsidRPr="004E778C" w:rsidRDefault="00BF1BDC" w:rsidP="00BF1BDC">
      <w:pPr>
        <w:pStyle w:val="FootnoteText"/>
        <w:rPr>
          <w:sz w:val="24"/>
          <w:szCs w:val="24"/>
          <w:lang w:val="en-NZ"/>
        </w:rPr>
      </w:pPr>
      <w:r w:rsidRPr="004E778C">
        <w:rPr>
          <w:sz w:val="24"/>
          <w:szCs w:val="24"/>
          <w:lang w:val="en-NZ"/>
        </w:rPr>
        <w:t xml:space="preserve">Current psychiatric practice is enshrined in law through the Mental Health (Compulsory Assessment and Treatment) Act 1992.  The Act violates </w:t>
      </w:r>
      <w:r w:rsidR="0005374D" w:rsidRPr="004E778C">
        <w:rPr>
          <w:sz w:val="24"/>
          <w:szCs w:val="24"/>
          <w:lang w:val="en-NZ"/>
        </w:rPr>
        <w:t xml:space="preserve">the </w:t>
      </w:r>
      <w:r w:rsidRPr="004E778C">
        <w:rPr>
          <w:sz w:val="24"/>
          <w:szCs w:val="24"/>
          <w:lang w:val="en-NZ"/>
        </w:rPr>
        <w:t xml:space="preserve">human rights </w:t>
      </w:r>
      <w:r w:rsidR="0005374D" w:rsidRPr="004E778C">
        <w:rPr>
          <w:sz w:val="24"/>
          <w:szCs w:val="24"/>
          <w:lang w:val="en-NZ"/>
        </w:rPr>
        <w:t xml:space="preserve">of people who experience psychosocial disability </w:t>
      </w:r>
      <w:r w:rsidRPr="004E778C">
        <w:rPr>
          <w:sz w:val="24"/>
          <w:szCs w:val="24"/>
          <w:lang w:val="en-NZ"/>
        </w:rPr>
        <w:t xml:space="preserve">in </w:t>
      </w:r>
      <w:r w:rsidR="0005374D" w:rsidRPr="004E778C">
        <w:rPr>
          <w:sz w:val="24"/>
          <w:szCs w:val="24"/>
          <w:lang w:val="en-NZ"/>
        </w:rPr>
        <w:t>multiple ways. In particular, the Act</w:t>
      </w:r>
      <w:r w:rsidRPr="004E778C">
        <w:rPr>
          <w:sz w:val="24"/>
          <w:szCs w:val="24"/>
          <w:lang w:val="en-NZ"/>
        </w:rPr>
        <w:t xml:space="preserve"> contravenes Articles 12, 13, 14, 15, 16, 17, 18 of the UNCRPD</w:t>
      </w:r>
      <w:r w:rsidR="00884E40" w:rsidRPr="004E778C">
        <w:rPr>
          <w:sz w:val="24"/>
          <w:szCs w:val="24"/>
          <w:lang w:val="en-NZ"/>
        </w:rPr>
        <w:t>.</w:t>
      </w:r>
      <w:r w:rsidR="005D6735" w:rsidRPr="004E778C">
        <w:rPr>
          <w:rStyle w:val="FootnoteReference"/>
          <w:sz w:val="24"/>
          <w:szCs w:val="24"/>
          <w:lang w:val="en-NZ"/>
        </w:rPr>
        <w:footnoteReference w:id="78"/>
      </w:r>
      <w:r w:rsidRPr="004E778C">
        <w:rPr>
          <w:sz w:val="24"/>
          <w:szCs w:val="24"/>
          <w:lang w:val="en-NZ"/>
        </w:rPr>
        <w:t xml:space="preserve"> </w:t>
      </w:r>
    </w:p>
    <w:p w:rsidR="00BF1BDC" w:rsidRDefault="00BF1BDC" w:rsidP="00794EC0">
      <w:pPr>
        <w:pStyle w:val="FootnoteText"/>
        <w:rPr>
          <w:sz w:val="24"/>
          <w:szCs w:val="24"/>
          <w:lang w:val="en-NZ"/>
        </w:rPr>
      </w:pPr>
    </w:p>
    <w:p w:rsidR="00E40E03" w:rsidRDefault="008D49E7" w:rsidP="00E40E03">
      <w:pPr>
        <w:pStyle w:val="FootnoteText"/>
        <w:rPr>
          <w:sz w:val="24"/>
          <w:szCs w:val="24"/>
        </w:rPr>
      </w:pPr>
      <w:r>
        <w:rPr>
          <w:sz w:val="24"/>
          <w:szCs w:val="24"/>
          <w:lang w:val="en-NZ"/>
        </w:rPr>
        <w:t xml:space="preserve">District Health Board services for people who experience psychosocial disability </w:t>
      </w:r>
      <w:r w:rsidR="004C7D8F" w:rsidRPr="00794EC0">
        <w:rPr>
          <w:sz w:val="24"/>
          <w:szCs w:val="24"/>
          <w:lang w:val="en-NZ"/>
        </w:rPr>
        <w:t xml:space="preserve">are </w:t>
      </w:r>
      <w:r w:rsidR="004C7D8F">
        <w:rPr>
          <w:sz w:val="24"/>
          <w:szCs w:val="24"/>
          <w:lang w:val="en-NZ"/>
        </w:rPr>
        <w:t xml:space="preserve">dominated by a medical model and barbaric forms of </w:t>
      </w:r>
      <w:r w:rsidR="004C7D8F" w:rsidRPr="00794EC0">
        <w:rPr>
          <w:sz w:val="24"/>
          <w:szCs w:val="24"/>
          <w:lang w:val="en-NZ"/>
        </w:rPr>
        <w:t>psychiatric practice</w:t>
      </w:r>
      <w:r>
        <w:rPr>
          <w:sz w:val="24"/>
          <w:szCs w:val="24"/>
          <w:lang w:val="en-NZ"/>
        </w:rPr>
        <w:t>.</w:t>
      </w:r>
      <w:r w:rsidR="004C7D8F">
        <w:rPr>
          <w:sz w:val="24"/>
          <w:szCs w:val="24"/>
          <w:lang w:val="en-NZ"/>
        </w:rPr>
        <w:t xml:space="preserve"> </w:t>
      </w:r>
      <w:r w:rsidR="00126E44">
        <w:rPr>
          <w:sz w:val="24"/>
          <w:szCs w:val="24"/>
        </w:rPr>
        <w:t>The widespread use of the Mental Health Act 1992 by psychiatrists</w:t>
      </w:r>
      <w:r>
        <w:rPr>
          <w:sz w:val="24"/>
          <w:szCs w:val="24"/>
        </w:rPr>
        <w:t xml:space="preserve"> </w:t>
      </w:r>
      <w:r w:rsidR="001D781C">
        <w:rPr>
          <w:sz w:val="24"/>
          <w:szCs w:val="24"/>
        </w:rPr>
        <w:t xml:space="preserve">has </w:t>
      </w:r>
      <w:r w:rsidR="00465BE7">
        <w:rPr>
          <w:sz w:val="24"/>
          <w:szCs w:val="24"/>
        </w:rPr>
        <w:t xml:space="preserve">meant </w:t>
      </w:r>
      <w:r w:rsidR="00794EC0">
        <w:rPr>
          <w:sz w:val="24"/>
          <w:szCs w:val="24"/>
        </w:rPr>
        <w:t xml:space="preserve">people who experience </w:t>
      </w:r>
      <w:r w:rsidR="00D83871">
        <w:rPr>
          <w:sz w:val="24"/>
          <w:szCs w:val="24"/>
        </w:rPr>
        <w:t>psychosocial disability</w:t>
      </w:r>
      <w:r w:rsidR="006F6AF3">
        <w:rPr>
          <w:sz w:val="24"/>
          <w:szCs w:val="24"/>
        </w:rPr>
        <w:t xml:space="preserve"> </w:t>
      </w:r>
      <w:r w:rsidR="004C7D8F">
        <w:rPr>
          <w:sz w:val="24"/>
          <w:szCs w:val="24"/>
        </w:rPr>
        <w:t xml:space="preserve">are </w:t>
      </w:r>
      <w:r w:rsidR="00DA2EE4">
        <w:rPr>
          <w:sz w:val="24"/>
          <w:szCs w:val="24"/>
        </w:rPr>
        <w:t>subject to</w:t>
      </w:r>
      <w:r w:rsidR="00482791">
        <w:rPr>
          <w:sz w:val="24"/>
          <w:szCs w:val="24"/>
        </w:rPr>
        <w:t xml:space="preserve"> </w:t>
      </w:r>
      <w:r w:rsidR="006068B1">
        <w:rPr>
          <w:sz w:val="24"/>
          <w:szCs w:val="24"/>
        </w:rPr>
        <w:t xml:space="preserve">comparatively </w:t>
      </w:r>
      <w:r w:rsidR="006078F3">
        <w:rPr>
          <w:sz w:val="24"/>
          <w:szCs w:val="24"/>
        </w:rPr>
        <w:t xml:space="preserve">high rates of </w:t>
      </w:r>
      <w:r w:rsidR="00482791">
        <w:rPr>
          <w:sz w:val="24"/>
          <w:szCs w:val="24"/>
        </w:rPr>
        <w:t>state</w:t>
      </w:r>
      <w:r w:rsidR="00DA2EE4">
        <w:rPr>
          <w:sz w:val="24"/>
          <w:szCs w:val="24"/>
        </w:rPr>
        <w:t xml:space="preserve"> sanctioned abuses</w:t>
      </w:r>
      <w:r w:rsidR="00482791">
        <w:rPr>
          <w:sz w:val="24"/>
          <w:szCs w:val="24"/>
        </w:rPr>
        <w:t>,</w:t>
      </w:r>
      <w:r w:rsidR="00DA2EE4">
        <w:rPr>
          <w:sz w:val="24"/>
          <w:szCs w:val="24"/>
        </w:rPr>
        <w:t xml:space="preserve"> such as </w:t>
      </w:r>
      <w:r w:rsidR="006F6AF3">
        <w:rPr>
          <w:sz w:val="24"/>
          <w:szCs w:val="24"/>
        </w:rPr>
        <w:t>forced treatment</w:t>
      </w:r>
      <w:r w:rsidR="00BB18C3">
        <w:rPr>
          <w:sz w:val="24"/>
          <w:szCs w:val="24"/>
        </w:rPr>
        <w:t xml:space="preserve"> </w:t>
      </w:r>
      <w:r w:rsidR="005316B7">
        <w:rPr>
          <w:sz w:val="24"/>
          <w:szCs w:val="24"/>
        </w:rPr>
        <w:t xml:space="preserve">and </w:t>
      </w:r>
      <w:r>
        <w:rPr>
          <w:sz w:val="24"/>
          <w:szCs w:val="24"/>
        </w:rPr>
        <w:t>indefinite forced treatment (with poor access to effective justice),</w:t>
      </w:r>
      <w:r w:rsidR="00E40E03">
        <w:rPr>
          <w:rStyle w:val="FootnoteReference"/>
          <w:sz w:val="24"/>
          <w:szCs w:val="24"/>
        </w:rPr>
        <w:footnoteReference w:id="79"/>
      </w:r>
      <w:r w:rsidR="009033B1">
        <w:rPr>
          <w:sz w:val="24"/>
          <w:szCs w:val="24"/>
        </w:rPr>
        <w:t xml:space="preserve"> and the continued</w:t>
      </w:r>
      <w:r w:rsidR="005316B7">
        <w:rPr>
          <w:sz w:val="24"/>
          <w:szCs w:val="24"/>
        </w:rPr>
        <w:t xml:space="preserve"> use of</w:t>
      </w:r>
      <w:r>
        <w:rPr>
          <w:sz w:val="24"/>
          <w:szCs w:val="24"/>
        </w:rPr>
        <w:t xml:space="preserve"> </w:t>
      </w:r>
      <w:r w:rsidR="006F6AF3">
        <w:rPr>
          <w:sz w:val="24"/>
          <w:szCs w:val="24"/>
        </w:rPr>
        <w:t xml:space="preserve">seclusion and </w:t>
      </w:r>
      <w:r w:rsidR="001D781C">
        <w:rPr>
          <w:sz w:val="24"/>
          <w:szCs w:val="24"/>
        </w:rPr>
        <w:t>restraint</w:t>
      </w:r>
      <w:r w:rsidR="009033B1">
        <w:rPr>
          <w:sz w:val="24"/>
          <w:szCs w:val="24"/>
        </w:rPr>
        <w:t>.</w:t>
      </w:r>
      <w:r w:rsidR="00DA2EE4">
        <w:rPr>
          <w:rStyle w:val="FootnoteReference"/>
          <w:sz w:val="24"/>
          <w:szCs w:val="24"/>
        </w:rPr>
        <w:footnoteReference w:id="80"/>
      </w:r>
      <w:r w:rsidR="00DA2EE4">
        <w:rPr>
          <w:sz w:val="24"/>
          <w:szCs w:val="24"/>
        </w:rPr>
        <w:t xml:space="preserve"> </w:t>
      </w:r>
      <w:r w:rsidR="006078F3">
        <w:rPr>
          <w:rStyle w:val="FootnoteReference"/>
          <w:sz w:val="24"/>
          <w:szCs w:val="24"/>
        </w:rPr>
        <w:footnoteReference w:id="81"/>
      </w:r>
      <w:r w:rsidR="00487916">
        <w:rPr>
          <w:sz w:val="24"/>
          <w:szCs w:val="24"/>
        </w:rPr>
        <w:t xml:space="preserve"> </w:t>
      </w:r>
      <w:r w:rsidR="00DA2EE4">
        <w:rPr>
          <w:sz w:val="24"/>
          <w:szCs w:val="24"/>
        </w:rPr>
        <w:t xml:space="preserve">Other forms of </w:t>
      </w:r>
      <w:r w:rsidR="00794EC0">
        <w:rPr>
          <w:sz w:val="24"/>
          <w:szCs w:val="24"/>
        </w:rPr>
        <w:t>abuse</w:t>
      </w:r>
      <w:r w:rsidR="009A785B">
        <w:rPr>
          <w:sz w:val="24"/>
          <w:szCs w:val="24"/>
        </w:rPr>
        <w:t xml:space="preserve"> (e</w:t>
      </w:r>
      <w:r w:rsidR="006068B1">
        <w:rPr>
          <w:sz w:val="24"/>
          <w:szCs w:val="24"/>
        </w:rPr>
        <w:t>.g. physical and sexual abuse</w:t>
      </w:r>
      <w:r w:rsidR="009A785B">
        <w:rPr>
          <w:sz w:val="24"/>
          <w:szCs w:val="24"/>
        </w:rPr>
        <w:t>)</w:t>
      </w:r>
      <w:r w:rsidR="00794EC0">
        <w:rPr>
          <w:sz w:val="24"/>
          <w:szCs w:val="24"/>
        </w:rPr>
        <w:t xml:space="preserve"> </w:t>
      </w:r>
      <w:r w:rsidR="009A785B">
        <w:rPr>
          <w:sz w:val="24"/>
          <w:szCs w:val="24"/>
        </w:rPr>
        <w:t xml:space="preserve">also occur </w:t>
      </w:r>
      <w:r w:rsidR="006068B1">
        <w:rPr>
          <w:sz w:val="24"/>
          <w:szCs w:val="24"/>
        </w:rPr>
        <w:t>in state care/custody</w:t>
      </w:r>
      <w:r w:rsidR="00794EC0">
        <w:rPr>
          <w:sz w:val="24"/>
          <w:szCs w:val="24"/>
        </w:rPr>
        <w:t xml:space="preserve"> (e.g.</w:t>
      </w:r>
      <w:r w:rsidR="00A757B4">
        <w:rPr>
          <w:sz w:val="24"/>
          <w:szCs w:val="24"/>
        </w:rPr>
        <w:t xml:space="preserve"> </w:t>
      </w:r>
      <w:r w:rsidR="00794EC0">
        <w:rPr>
          <w:sz w:val="24"/>
          <w:szCs w:val="24"/>
        </w:rPr>
        <w:t xml:space="preserve">psychiatric units, </w:t>
      </w:r>
      <w:r w:rsidR="009C4B60">
        <w:rPr>
          <w:sz w:val="24"/>
          <w:szCs w:val="24"/>
        </w:rPr>
        <w:t xml:space="preserve">residential facilities, </w:t>
      </w:r>
      <w:r w:rsidR="00794EC0">
        <w:rPr>
          <w:sz w:val="24"/>
          <w:szCs w:val="24"/>
        </w:rPr>
        <w:t>forensic units</w:t>
      </w:r>
      <w:r w:rsidR="00D0572F">
        <w:rPr>
          <w:sz w:val="24"/>
          <w:szCs w:val="24"/>
        </w:rPr>
        <w:t xml:space="preserve"> and</w:t>
      </w:r>
      <w:r w:rsidR="00BB18C3">
        <w:rPr>
          <w:sz w:val="24"/>
          <w:szCs w:val="24"/>
        </w:rPr>
        <w:t xml:space="preserve"> prisons</w:t>
      </w:r>
      <w:r w:rsidR="00794EC0">
        <w:rPr>
          <w:sz w:val="24"/>
          <w:szCs w:val="24"/>
        </w:rPr>
        <w:t>)</w:t>
      </w:r>
      <w:r w:rsidR="00D83871">
        <w:rPr>
          <w:sz w:val="24"/>
          <w:szCs w:val="24"/>
        </w:rPr>
        <w:t>.</w:t>
      </w:r>
      <w:r w:rsidR="009C4B60">
        <w:rPr>
          <w:rStyle w:val="FootnoteReference"/>
          <w:sz w:val="24"/>
          <w:szCs w:val="24"/>
        </w:rPr>
        <w:footnoteReference w:id="82"/>
      </w:r>
      <w:r w:rsidR="00D83871">
        <w:rPr>
          <w:sz w:val="24"/>
          <w:szCs w:val="24"/>
        </w:rPr>
        <w:t xml:space="preserve"> </w:t>
      </w:r>
      <w:r w:rsidR="006068B1">
        <w:rPr>
          <w:rStyle w:val="FootnoteReference"/>
          <w:sz w:val="24"/>
          <w:szCs w:val="24"/>
        </w:rPr>
        <w:footnoteReference w:id="83"/>
      </w:r>
      <w:r w:rsidR="00D83871">
        <w:rPr>
          <w:sz w:val="24"/>
          <w:szCs w:val="24"/>
        </w:rPr>
        <w:t xml:space="preserve"> </w:t>
      </w:r>
      <w:r w:rsidR="00E40E03">
        <w:rPr>
          <w:sz w:val="24"/>
          <w:szCs w:val="24"/>
        </w:rPr>
        <w:t>The notable regional variations in the use of CTOS, seclusion and restraint are indicative of the view of individuals in positions of power within psychiatric units rather than any inherent differences amongst the people using services.</w:t>
      </w:r>
      <w:r w:rsidR="00E40E03">
        <w:rPr>
          <w:rStyle w:val="FootnoteReference"/>
          <w:sz w:val="24"/>
          <w:szCs w:val="24"/>
        </w:rPr>
        <w:footnoteReference w:id="84"/>
      </w:r>
    </w:p>
    <w:p w:rsidR="009A785B" w:rsidRDefault="009A785B" w:rsidP="00794EC0">
      <w:pPr>
        <w:pStyle w:val="FootnoteText"/>
        <w:rPr>
          <w:sz w:val="24"/>
          <w:szCs w:val="24"/>
        </w:rPr>
      </w:pPr>
    </w:p>
    <w:p w:rsidR="00D714D2" w:rsidRDefault="00126E44" w:rsidP="00794EC0">
      <w:pPr>
        <w:pStyle w:val="FootnoteText"/>
        <w:rPr>
          <w:sz w:val="24"/>
          <w:szCs w:val="24"/>
        </w:rPr>
      </w:pPr>
      <w:r>
        <w:rPr>
          <w:sz w:val="24"/>
          <w:szCs w:val="24"/>
        </w:rPr>
        <w:t xml:space="preserve">Some of the abuses of </w:t>
      </w:r>
      <w:r w:rsidR="009033B1">
        <w:rPr>
          <w:sz w:val="24"/>
          <w:szCs w:val="24"/>
        </w:rPr>
        <w:t xml:space="preserve">disabled people, especially people </w:t>
      </w:r>
      <w:r w:rsidR="008D49E7">
        <w:rPr>
          <w:sz w:val="24"/>
          <w:szCs w:val="24"/>
        </w:rPr>
        <w:t>who experience</w:t>
      </w:r>
      <w:r w:rsidR="009A785B">
        <w:rPr>
          <w:sz w:val="24"/>
          <w:szCs w:val="24"/>
        </w:rPr>
        <w:t xml:space="preserve"> </w:t>
      </w:r>
      <w:r w:rsidR="003A0A13">
        <w:rPr>
          <w:sz w:val="24"/>
          <w:szCs w:val="24"/>
        </w:rPr>
        <w:t>psychosocial disability</w:t>
      </w:r>
      <w:r>
        <w:rPr>
          <w:sz w:val="24"/>
          <w:szCs w:val="24"/>
        </w:rPr>
        <w:t xml:space="preserve"> </w:t>
      </w:r>
      <w:r w:rsidR="008047B4">
        <w:rPr>
          <w:sz w:val="24"/>
          <w:szCs w:val="24"/>
        </w:rPr>
        <w:t>or learning/intellectual disability</w:t>
      </w:r>
      <w:r w:rsidR="009033B1">
        <w:rPr>
          <w:sz w:val="24"/>
          <w:szCs w:val="24"/>
        </w:rPr>
        <w:t>,</w:t>
      </w:r>
      <w:r w:rsidR="008047B4">
        <w:rPr>
          <w:sz w:val="24"/>
          <w:szCs w:val="24"/>
        </w:rPr>
        <w:t xml:space="preserve"> </w:t>
      </w:r>
      <w:r>
        <w:rPr>
          <w:sz w:val="24"/>
          <w:szCs w:val="24"/>
        </w:rPr>
        <w:t xml:space="preserve">while in </w:t>
      </w:r>
      <w:r w:rsidR="009033B1">
        <w:rPr>
          <w:sz w:val="24"/>
          <w:szCs w:val="24"/>
        </w:rPr>
        <w:t xml:space="preserve">care </w:t>
      </w:r>
      <w:r w:rsidR="009A785B">
        <w:rPr>
          <w:sz w:val="24"/>
          <w:szCs w:val="24"/>
        </w:rPr>
        <w:t>are so severe</w:t>
      </w:r>
      <w:r w:rsidR="008D49E7">
        <w:rPr>
          <w:sz w:val="24"/>
          <w:szCs w:val="24"/>
        </w:rPr>
        <w:t>,</w:t>
      </w:r>
      <w:r w:rsidR="00E40E03">
        <w:rPr>
          <w:sz w:val="24"/>
          <w:szCs w:val="24"/>
        </w:rPr>
        <w:t xml:space="preserve"> that</w:t>
      </w:r>
      <w:r w:rsidR="009A785B">
        <w:rPr>
          <w:sz w:val="24"/>
          <w:szCs w:val="24"/>
        </w:rPr>
        <w:t xml:space="preserve"> have recently been reported </w:t>
      </w:r>
      <w:r w:rsidR="00E40E03">
        <w:rPr>
          <w:sz w:val="24"/>
          <w:szCs w:val="24"/>
        </w:rPr>
        <w:t xml:space="preserve">by the New Zealand Human Rights Commission </w:t>
      </w:r>
      <w:r w:rsidR="009A785B">
        <w:rPr>
          <w:sz w:val="24"/>
          <w:szCs w:val="24"/>
        </w:rPr>
        <w:t xml:space="preserve">to </w:t>
      </w:r>
      <w:r w:rsidR="003A0A13">
        <w:rPr>
          <w:sz w:val="24"/>
          <w:szCs w:val="24"/>
        </w:rPr>
        <w:t>the United Nations Committee on the Convention Against Torture.</w:t>
      </w:r>
      <w:r w:rsidR="008047B4">
        <w:rPr>
          <w:rStyle w:val="FootnoteReference"/>
          <w:sz w:val="24"/>
          <w:szCs w:val="24"/>
        </w:rPr>
        <w:footnoteReference w:id="85"/>
      </w:r>
      <w:r w:rsidR="009A785B">
        <w:rPr>
          <w:sz w:val="24"/>
          <w:szCs w:val="24"/>
        </w:rPr>
        <w:t xml:space="preserve"> </w:t>
      </w:r>
    </w:p>
    <w:p w:rsidR="00075955" w:rsidRDefault="00075955" w:rsidP="00794EC0">
      <w:pPr>
        <w:pStyle w:val="FootnoteText"/>
        <w:rPr>
          <w:sz w:val="24"/>
          <w:szCs w:val="24"/>
        </w:rPr>
      </w:pPr>
    </w:p>
    <w:p w:rsidR="009A785B" w:rsidRDefault="008D49E7" w:rsidP="00794EC0">
      <w:pPr>
        <w:pStyle w:val="FootnoteText"/>
        <w:rPr>
          <w:sz w:val="24"/>
          <w:szCs w:val="24"/>
        </w:rPr>
      </w:pPr>
      <w:r>
        <w:rPr>
          <w:sz w:val="24"/>
          <w:szCs w:val="24"/>
        </w:rPr>
        <w:lastRenderedPageBreak/>
        <w:t xml:space="preserve">People under Compulsory Treatment Orders who reside in the community </w:t>
      </w:r>
      <w:r w:rsidR="00966763">
        <w:rPr>
          <w:sz w:val="24"/>
          <w:szCs w:val="24"/>
        </w:rPr>
        <w:t xml:space="preserve">are </w:t>
      </w:r>
      <w:r w:rsidR="00FA0875">
        <w:rPr>
          <w:sz w:val="24"/>
          <w:szCs w:val="24"/>
        </w:rPr>
        <w:t xml:space="preserve">a group who are </w:t>
      </w:r>
      <w:r w:rsidR="009A785B">
        <w:rPr>
          <w:sz w:val="24"/>
          <w:szCs w:val="24"/>
        </w:rPr>
        <w:t xml:space="preserve">not </w:t>
      </w:r>
      <w:r w:rsidR="00966763">
        <w:rPr>
          <w:sz w:val="24"/>
          <w:szCs w:val="24"/>
        </w:rPr>
        <w:t xml:space="preserve">easily </w:t>
      </w:r>
      <w:r w:rsidR="009A785B">
        <w:rPr>
          <w:sz w:val="24"/>
          <w:szCs w:val="24"/>
        </w:rPr>
        <w:t>recognised</w:t>
      </w:r>
      <w:r w:rsidR="00D714D2">
        <w:rPr>
          <w:sz w:val="24"/>
          <w:szCs w:val="24"/>
        </w:rPr>
        <w:t xml:space="preserve">, often go under the radar of </w:t>
      </w:r>
      <w:r w:rsidR="00966763">
        <w:rPr>
          <w:sz w:val="24"/>
          <w:szCs w:val="24"/>
        </w:rPr>
        <w:t>human rights monitors, and do not have effective mechanisms for reporting psychiatric abuses</w:t>
      </w:r>
      <w:r w:rsidR="00D714D2">
        <w:rPr>
          <w:sz w:val="24"/>
          <w:szCs w:val="24"/>
        </w:rPr>
        <w:t xml:space="preserve"> or making com</w:t>
      </w:r>
      <w:r w:rsidR="005316B7">
        <w:rPr>
          <w:sz w:val="24"/>
          <w:szCs w:val="24"/>
        </w:rPr>
        <w:t xml:space="preserve">plaints about CTOs (because </w:t>
      </w:r>
      <w:r w:rsidR="00D714D2">
        <w:rPr>
          <w:sz w:val="24"/>
          <w:szCs w:val="24"/>
        </w:rPr>
        <w:t xml:space="preserve">psychiatric </w:t>
      </w:r>
      <w:r w:rsidR="005316B7">
        <w:rPr>
          <w:sz w:val="24"/>
          <w:szCs w:val="24"/>
        </w:rPr>
        <w:t xml:space="preserve">practice </w:t>
      </w:r>
      <w:r w:rsidR="00D714D2">
        <w:rPr>
          <w:sz w:val="24"/>
          <w:szCs w:val="24"/>
        </w:rPr>
        <w:t xml:space="preserve">is legitimised </w:t>
      </w:r>
      <w:r w:rsidR="005316B7">
        <w:rPr>
          <w:sz w:val="24"/>
          <w:szCs w:val="24"/>
        </w:rPr>
        <w:t xml:space="preserve">through </w:t>
      </w:r>
      <w:r w:rsidR="00FA0875">
        <w:rPr>
          <w:sz w:val="24"/>
          <w:szCs w:val="24"/>
        </w:rPr>
        <w:t xml:space="preserve">mental health </w:t>
      </w:r>
      <w:r w:rsidR="005316B7">
        <w:rPr>
          <w:sz w:val="24"/>
          <w:szCs w:val="24"/>
        </w:rPr>
        <w:t>legislation</w:t>
      </w:r>
      <w:r w:rsidR="00FA0875">
        <w:rPr>
          <w:sz w:val="24"/>
          <w:szCs w:val="24"/>
        </w:rPr>
        <w:t>,</w:t>
      </w:r>
      <w:r w:rsidR="005316B7">
        <w:rPr>
          <w:sz w:val="24"/>
          <w:szCs w:val="24"/>
        </w:rPr>
        <w:t xml:space="preserve"> </w:t>
      </w:r>
      <w:r w:rsidR="00D714D2">
        <w:rPr>
          <w:sz w:val="24"/>
          <w:szCs w:val="24"/>
        </w:rPr>
        <w:t xml:space="preserve">and </w:t>
      </w:r>
      <w:r w:rsidR="00D0572F">
        <w:rPr>
          <w:sz w:val="24"/>
          <w:szCs w:val="24"/>
        </w:rPr>
        <w:t>justice</w:t>
      </w:r>
      <w:r w:rsidR="00D714D2">
        <w:rPr>
          <w:sz w:val="24"/>
          <w:szCs w:val="24"/>
        </w:rPr>
        <w:t xml:space="preserve"> is </w:t>
      </w:r>
      <w:r w:rsidR="00D0572F">
        <w:rPr>
          <w:sz w:val="24"/>
          <w:szCs w:val="24"/>
        </w:rPr>
        <w:t>biased in favour of the psychiatric system</w:t>
      </w:r>
      <w:r w:rsidR="00D714D2">
        <w:rPr>
          <w:sz w:val="24"/>
          <w:szCs w:val="24"/>
        </w:rPr>
        <w:t>)</w:t>
      </w:r>
      <w:r w:rsidR="00966763">
        <w:rPr>
          <w:sz w:val="24"/>
          <w:szCs w:val="24"/>
        </w:rPr>
        <w:t>.</w:t>
      </w:r>
      <w:r w:rsidR="00D714D2">
        <w:rPr>
          <w:rStyle w:val="FootnoteReference"/>
          <w:sz w:val="24"/>
          <w:szCs w:val="24"/>
        </w:rPr>
        <w:footnoteReference w:id="86"/>
      </w:r>
      <w:r w:rsidR="00126E44">
        <w:rPr>
          <w:sz w:val="24"/>
          <w:szCs w:val="24"/>
        </w:rPr>
        <w:t xml:space="preserve"> </w:t>
      </w:r>
    </w:p>
    <w:p w:rsidR="00E40E03" w:rsidRDefault="00E40E03" w:rsidP="00794EC0">
      <w:pPr>
        <w:pStyle w:val="FootnoteText"/>
        <w:rPr>
          <w:sz w:val="24"/>
          <w:szCs w:val="24"/>
        </w:rPr>
      </w:pPr>
    </w:p>
    <w:p w:rsidR="00E74B7C" w:rsidRPr="00B43790" w:rsidRDefault="0036651C" w:rsidP="00277AB3">
      <w:pPr>
        <w:pStyle w:val="ListParagraph"/>
        <w:ind w:left="0"/>
        <w:jc w:val="both"/>
        <w:rPr>
          <w:sz w:val="24"/>
          <w:szCs w:val="24"/>
        </w:rPr>
      </w:pPr>
      <w:r>
        <w:rPr>
          <w:sz w:val="24"/>
          <w:szCs w:val="24"/>
        </w:rPr>
        <w:t xml:space="preserve">The New Zealand Convention Coalition’s work to monitor UNCRPD has meant all DPOs are working closely to uphold the human rights of all disabled people. However, real change in relation to </w:t>
      </w:r>
      <w:r w:rsidR="008D49E7">
        <w:rPr>
          <w:sz w:val="24"/>
          <w:szCs w:val="24"/>
        </w:rPr>
        <w:t xml:space="preserve">the </w:t>
      </w:r>
      <w:r>
        <w:rPr>
          <w:sz w:val="24"/>
          <w:szCs w:val="24"/>
        </w:rPr>
        <w:t>human rights</w:t>
      </w:r>
      <w:r w:rsidR="008D49E7">
        <w:rPr>
          <w:sz w:val="24"/>
          <w:szCs w:val="24"/>
        </w:rPr>
        <w:t xml:space="preserve"> of people with psychosocial disability</w:t>
      </w:r>
      <w:r>
        <w:rPr>
          <w:sz w:val="24"/>
          <w:szCs w:val="24"/>
        </w:rPr>
        <w:t xml:space="preserve"> requires better integration of thes</w:t>
      </w:r>
      <w:r w:rsidR="008D49E7">
        <w:rPr>
          <w:sz w:val="24"/>
          <w:szCs w:val="24"/>
        </w:rPr>
        <w:t>e historically separate sectors, and urgent review of the Mental Health Act 1992</w:t>
      </w:r>
      <w:r w:rsidR="00E40E03">
        <w:rPr>
          <w:sz w:val="24"/>
          <w:szCs w:val="24"/>
        </w:rPr>
        <w:t xml:space="preserve"> and psychiatric practice</w:t>
      </w:r>
      <w:r w:rsidR="008D49E7">
        <w:rPr>
          <w:sz w:val="24"/>
          <w:szCs w:val="24"/>
        </w:rPr>
        <w:t>. The government currently has no plan to review the Act.</w:t>
      </w:r>
    </w:p>
    <w:p w:rsidR="003B0C27" w:rsidRPr="003B0C27" w:rsidRDefault="003B0C27" w:rsidP="00832154">
      <w:pPr>
        <w:pStyle w:val="Heading2"/>
      </w:pPr>
      <w:bookmarkStart w:id="32" w:name="_Toc420885854"/>
      <w:r w:rsidRPr="003B0C27">
        <w:t>The Intellectual Disability (Compulsory Care and Rehabilitation) Act 2003</w:t>
      </w:r>
      <w:bookmarkEnd w:id="32"/>
      <w:r w:rsidRPr="003B0C27">
        <w:t xml:space="preserve"> </w:t>
      </w:r>
    </w:p>
    <w:p w:rsidR="00832154" w:rsidRDefault="00832154" w:rsidP="00BF1BDC">
      <w:pPr>
        <w:pStyle w:val="FootnoteText"/>
        <w:rPr>
          <w:sz w:val="24"/>
          <w:szCs w:val="24"/>
        </w:rPr>
      </w:pPr>
    </w:p>
    <w:p w:rsidR="00BF1BDC" w:rsidRDefault="00D714D2" w:rsidP="00BF1BDC">
      <w:pPr>
        <w:pStyle w:val="FootnoteText"/>
        <w:rPr>
          <w:lang w:val="en-NZ"/>
        </w:rPr>
      </w:pPr>
      <w:r>
        <w:rPr>
          <w:sz w:val="24"/>
          <w:szCs w:val="24"/>
        </w:rPr>
        <w:t xml:space="preserve">The Intellectual Disability (Compulsory Care and Rehabilitation) Act 2003 is a violation of the human rights of people who experience </w:t>
      </w:r>
      <w:r w:rsidR="00B26507">
        <w:rPr>
          <w:sz w:val="24"/>
          <w:szCs w:val="24"/>
        </w:rPr>
        <w:t xml:space="preserve">learning/intellectual </w:t>
      </w:r>
      <w:r>
        <w:rPr>
          <w:sz w:val="24"/>
          <w:szCs w:val="24"/>
        </w:rPr>
        <w:t xml:space="preserve"> disability</w:t>
      </w:r>
      <w:r w:rsidR="00BF1BDC">
        <w:rPr>
          <w:sz w:val="24"/>
          <w:szCs w:val="24"/>
        </w:rPr>
        <w:t xml:space="preserve"> and contravenes</w:t>
      </w:r>
      <w:r w:rsidR="00BF1BDC" w:rsidRPr="00794EC0">
        <w:rPr>
          <w:sz w:val="24"/>
          <w:szCs w:val="24"/>
          <w:lang w:val="en-NZ"/>
        </w:rPr>
        <w:t xml:space="preserve"> Articles 12, 13, 14, 15, 16, 17, 18 of the UNCRPD</w:t>
      </w:r>
      <w:r w:rsidR="00BF1BDC">
        <w:rPr>
          <w:lang w:val="en-NZ"/>
        </w:rPr>
        <w:t xml:space="preserve">. </w:t>
      </w:r>
    </w:p>
    <w:p w:rsidR="00BF1BDC" w:rsidRDefault="00BF1BDC" w:rsidP="006C2907">
      <w:pPr>
        <w:rPr>
          <w:sz w:val="24"/>
          <w:szCs w:val="24"/>
        </w:rPr>
      </w:pPr>
    </w:p>
    <w:p w:rsidR="00BF1BDC" w:rsidRDefault="00BF1BDC" w:rsidP="006C2907">
      <w:pPr>
        <w:rPr>
          <w:sz w:val="24"/>
          <w:szCs w:val="24"/>
        </w:rPr>
      </w:pPr>
      <w:r>
        <w:rPr>
          <w:sz w:val="24"/>
          <w:szCs w:val="24"/>
        </w:rPr>
        <w:t xml:space="preserve">The </w:t>
      </w:r>
      <w:r w:rsidR="00D714D2">
        <w:rPr>
          <w:sz w:val="24"/>
          <w:szCs w:val="24"/>
        </w:rPr>
        <w:t xml:space="preserve">Act has </w:t>
      </w:r>
      <w:r w:rsidR="006C2907">
        <w:rPr>
          <w:sz w:val="24"/>
          <w:szCs w:val="24"/>
        </w:rPr>
        <w:t>significant problems in terms of learning</w:t>
      </w:r>
      <w:r w:rsidR="00B26507">
        <w:rPr>
          <w:sz w:val="24"/>
          <w:szCs w:val="24"/>
        </w:rPr>
        <w:t>/intellectually</w:t>
      </w:r>
      <w:r w:rsidR="006C2907">
        <w:rPr>
          <w:sz w:val="24"/>
          <w:szCs w:val="24"/>
        </w:rPr>
        <w:t xml:space="preserve"> disabled people’s liberty, freedom of movement, equal recognition before the law, access to justice, </w:t>
      </w:r>
      <w:r>
        <w:rPr>
          <w:sz w:val="24"/>
          <w:szCs w:val="24"/>
        </w:rPr>
        <w:t xml:space="preserve">access to </w:t>
      </w:r>
      <w:r w:rsidR="006C2907">
        <w:rPr>
          <w:sz w:val="24"/>
          <w:szCs w:val="24"/>
        </w:rPr>
        <w:t xml:space="preserve">effective complaints mechanisms </w:t>
      </w:r>
      <w:r>
        <w:rPr>
          <w:sz w:val="24"/>
          <w:szCs w:val="24"/>
        </w:rPr>
        <w:t>(</w:t>
      </w:r>
      <w:r w:rsidR="006C2907">
        <w:rPr>
          <w:sz w:val="24"/>
          <w:szCs w:val="24"/>
        </w:rPr>
        <w:t xml:space="preserve">that </w:t>
      </w:r>
      <w:r>
        <w:rPr>
          <w:sz w:val="24"/>
          <w:szCs w:val="24"/>
        </w:rPr>
        <w:t xml:space="preserve">are not stacked in favour of traditional concepts of </w:t>
      </w:r>
      <w:r w:rsidR="00B26507">
        <w:rPr>
          <w:sz w:val="24"/>
          <w:szCs w:val="24"/>
        </w:rPr>
        <w:t xml:space="preserve">learning/intellectual </w:t>
      </w:r>
      <w:r w:rsidR="00D93CAC">
        <w:rPr>
          <w:sz w:val="24"/>
          <w:szCs w:val="24"/>
        </w:rPr>
        <w:t xml:space="preserve"> </w:t>
      </w:r>
      <w:r>
        <w:rPr>
          <w:sz w:val="24"/>
          <w:szCs w:val="24"/>
        </w:rPr>
        <w:t>disability)</w:t>
      </w:r>
      <w:r w:rsidR="006C2907">
        <w:rPr>
          <w:sz w:val="24"/>
          <w:szCs w:val="24"/>
        </w:rPr>
        <w:t xml:space="preserve">, and freedom from torture, cruel, inhuman and degrading treatment. </w:t>
      </w:r>
      <w:r w:rsidR="00D714D2">
        <w:rPr>
          <w:sz w:val="24"/>
          <w:szCs w:val="24"/>
        </w:rPr>
        <w:t xml:space="preserve"> </w:t>
      </w:r>
    </w:p>
    <w:p w:rsidR="00BF1BDC" w:rsidRDefault="00BF1BDC" w:rsidP="006C2907">
      <w:pPr>
        <w:rPr>
          <w:sz w:val="24"/>
          <w:szCs w:val="24"/>
        </w:rPr>
      </w:pPr>
    </w:p>
    <w:p w:rsidR="006C2907" w:rsidRDefault="006C2907" w:rsidP="006C2907">
      <w:pPr>
        <w:rPr>
          <w:sz w:val="24"/>
          <w:szCs w:val="24"/>
        </w:rPr>
      </w:pPr>
      <w:r>
        <w:rPr>
          <w:sz w:val="24"/>
          <w:szCs w:val="24"/>
        </w:rPr>
        <w:t>Under the Act learning</w:t>
      </w:r>
      <w:r w:rsidR="00B26507">
        <w:rPr>
          <w:sz w:val="24"/>
          <w:szCs w:val="24"/>
        </w:rPr>
        <w:t>/intellectually</w:t>
      </w:r>
      <w:r>
        <w:rPr>
          <w:sz w:val="24"/>
          <w:szCs w:val="24"/>
        </w:rPr>
        <w:t xml:space="preserve"> disabled </w:t>
      </w:r>
      <w:r w:rsidR="00D714D2">
        <w:rPr>
          <w:sz w:val="24"/>
          <w:szCs w:val="24"/>
        </w:rPr>
        <w:t xml:space="preserve">people </w:t>
      </w:r>
      <w:r w:rsidR="00BF1BDC">
        <w:rPr>
          <w:sz w:val="24"/>
          <w:szCs w:val="24"/>
        </w:rPr>
        <w:t xml:space="preserve">continue to be </w:t>
      </w:r>
      <w:r w:rsidR="00D714D2">
        <w:rPr>
          <w:sz w:val="24"/>
          <w:szCs w:val="24"/>
        </w:rPr>
        <w:t>subject</w:t>
      </w:r>
      <w:r w:rsidR="00E40E03">
        <w:rPr>
          <w:sz w:val="24"/>
          <w:szCs w:val="24"/>
        </w:rPr>
        <w:t xml:space="preserve"> to forced treatment, detention and</w:t>
      </w:r>
      <w:r w:rsidR="00D714D2">
        <w:rPr>
          <w:sz w:val="24"/>
          <w:szCs w:val="24"/>
        </w:rPr>
        <w:t xml:space="preserve"> </w:t>
      </w:r>
      <w:r w:rsidR="00BF1BDC">
        <w:rPr>
          <w:sz w:val="24"/>
          <w:szCs w:val="24"/>
        </w:rPr>
        <w:t xml:space="preserve">indefinite detention, </w:t>
      </w:r>
      <w:r w:rsidR="00E40E03">
        <w:rPr>
          <w:sz w:val="24"/>
          <w:szCs w:val="24"/>
        </w:rPr>
        <w:t xml:space="preserve">and </w:t>
      </w:r>
      <w:r w:rsidR="00D714D2">
        <w:rPr>
          <w:sz w:val="24"/>
          <w:szCs w:val="24"/>
        </w:rPr>
        <w:t xml:space="preserve">seclusion and restraint. </w:t>
      </w:r>
      <w:r>
        <w:rPr>
          <w:sz w:val="24"/>
          <w:szCs w:val="24"/>
        </w:rPr>
        <w:t>People who come under this Act are those who have been found guilty of a crime or who are unfit to plea in a court of law. There is an urgent need for intervention from the United Nations</w:t>
      </w:r>
      <w:r w:rsidR="002423EA">
        <w:rPr>
          <w:sz w:val="24"/>
          <w:szCs w:val="24"/>
        </w:rPr>
        <w:t>,</w:t>
      </w:r>
      <w:r>
        <w:rPr>
          <w:sz w:val="24"/>
          <w:szCs w:val="24"/>
        </w:rPr>
        <w:t xml:space="preserve"> and systemic advocacy </w:t>
      </w:r>
      <w:r w:rsidR="002423EA">
        <w:rPr>
          <w:sz w:val="24"/>
          <w:szCs w:val="24"/>
        </w:rPr>
        <w:t xml:space="preserve">from the highest level </w:t>
      </w:r>
      <w:r>
        <w:rPr>
          <w:sz w:val="24"/>
          <w:szCs w:val="24"/>
        </w:rPr>
        <w:t>within New Zealand</w:t>
      </w:r>
      <w:r w:rsidR="002423EA">
        <w:rPr>
          <w:sz w:val="24"/>
          <w:szCs w:val="24"/>
        </w:rPr>
        <w:t xml:space="preserve">, </w:t>
      </w:r>
      <w:r>
        <w:rPr>
          <w:sz w:val="24"/>
          <w:szCs w:val="24"/>
        </w:rPr>
        <w:t>to ensure this group of disabled people’s basic human rights</w:t>
      </w:r>
      <w:r w:rsidR="00E40E03">
        <w:rPr>
          <w:sz w:val="24"/>
          <w:szCs w:val="24"/>
        </w:rPr>
        <w:t xml:space="preserve"> are protected</w:t>
      </w:r>
      <w:r>
        <w:rPr>
          <w:sz w:val="24"/>
          <w:szCs w:val="24"/>
        </w:rPr>
        <w:t xml:space="preserve">. </w:t>
      </w:r>
      <w:r w:rsidR="00BF1BDC">
        <w:rPr>
          <w:sz w:val="24"/>
          <w:szCs w:val="24"/>
        </w:rPr>
        <w:t>The government has no plan to review this Act.</w:t>
      </w:r>
      <w:r w:rsidR="00E40E03" w:rsidRPr="00E40E03">
        <w:rPr>
          <w:sz w:val="24"/>
          <w:szCs w:val="24"/>
        </w:rPr>
        <w:t xml:space="preserve"> </w:t>
      </w:r>
    </w:p>
    <w:p w:rsidR="006C2907" w:rsidRDefault="006C2907" w:rsidP="00277AB3">
      <w:pPr>
        <w:pStyle w:val="ListParagraph"/>
        <w:ind w:left="0"/>
        <w:jc w:val="both"/>
        <w:rPr>
          <w:sz w:val="24"/>
          <w:szCs w:val="24"/>
        </w:rPr>
      </w:pPr>
    </w:p>
    <w:p w:rsidR="0028160E" w:rsidRDefault="00504B45" w:rsidP="00277AB3">
      <w:pPr>
        <w:pStyle w:val="ListParagraph"/>
        <w:ind w:left="0"/>
        <w:jc w:val="both"/>
        <w:rPr>
          <w:sz w:val="24"/>
          <w:szCs w:val="24"/>
        </w:rPr>
      </w:pPr>
      <w:r>
        <w:rPr>
          <w:sz w:val="24"/>
          <w:szCs w:val="24"/>
        </w:rPr>
        <w:t xml:space="preserve">Other New Zealand legislation also </w:t>
      </w:r>
      <w:r w:rsidR="0028160E">
        <w:rPr>
          <w:sz w:val="24"/>
          <w:szCs w:val="24"/>
        </w:rPr>
        <w:t xml:space="preserve">provides for the sterilisation of young learning/intellectually disabled women without the </w:t>
      </w:r>
      <w:r>
        <w:rPr>
          <w:sz w:val="24"/>
          <w:szCs w:val="24"/>
        </w:rPr>
        <w:t xml:space="preserve">young </w:t>
      </w:r>
      <w:r w:rsidR="0028160E">
        <w:rPr>
          <w:sz w:val="24"/>
          <w:szCs w:val="24"/>
        </w:rPr>
        <w:t>woman’s consent.</w:t>
      </w:r>
      <w:r w:rsidR="0028160E">
        <w:rPr>
          <w:rStyle w:val="FootnoteReference"/>
          <w:sz w:val="24"/>
          <w:szCs w:val="24"/>
        </w:rPr>
        <w:footnoteReference w:id="87"/>
      </w:r>
    </w:p>
    <w:p w:rsidR="0028160E" w:rsidRDefault="0028160E" w:rsidP="00277AB3">
      <w:pPr>
        <w:pStyle w:val="ListParagraph"/>
        <w:ind w:left="0"/>
        <w:jc w:val="both"/>
        <w:rPr>
          <w:sz w:val="24"/>
          <w:szCs w:val="24"/>
        </w:rPr>
      </w:pPr>
    </w:p>
    <w:p w:rsidR="003B0C27" w:rsidRDefault="00D714D2" w:rsidP="00277AB3">
      <w:pPr>
        <w:pStyle w:val="ListParagraph"/>
        <w:ind w:left="0"/>
        <w:jc w:val="both"/>
        <w:rPr>
          <w:sz w:val="24"/>
          <w:szCs w:val="24"/>
        </w:rPr>
      </w:pPr>
      <w:r>
        <w:rPr>
          <w:sz w:val="24"/>
          <w:szCs w:val="24"/>
        </w:rPr>
        <w:t xml:space="preserve">The New Zealand Ombudsman has recently investigated </w:t>
      </w:r>
      <w:r w:rsidR="00B43790">
        <w:rPr>
          <w:sz w:val="24"/>
          <w:szCs w:val="24"/>
        </w:rPr>
        <w:t xml:space="preserve">situations where </w:t>
      </w:r>
      <w:r>
        <w:rPr>
          <w:sz w:val="24"/>
          <w:szCs w:val="24"/>
        </w:rPr>
        <w:t>le</w:t>
      </w:r>
      <w:r w:rsidR="00B26507">
        <w:rPr>
          <w:sz w:val="24"/>
          <w:szCs w:val="24"/>
        </w:rPr>
        <w:t xml:space="preserve">arning/intellectually </w:t>
      </w:r>
      <w:r w:rsidR="00B43790">
        <w:rPr>
          <w:sz w:val="24"/>
          <w:szCs w:val="24"/>
        </w:rPr>
        <w:t xml:space="preserve">disabled people </w:t>
      </w:r>
      <w:r>
        <w:rPr>
          <w:sz w:val="24"/>
          <w:szCs w:val="24"/>
        </w:rPr>
        <w:t xml:space="preserve">have been secluded for </w:t>
      </w:r>
      <w:r w:rsidR="002423EA">
        <w:rPr>
          <w:sz w:val="24"/>
          <w:szCs w:val="24"/>
        </w:rPr>
        <w:t xml:space="preserve">months </w:t>
      </w:r>
      <w:r>
        <w:rPr>
          <w:sz w:val="24"/>
          <w:szCs w:val="24"/>
        </w:rPr>
        <w:t>at a time</w:t>
      </w:r>
      <w:r w:rsidR="00B43790">
        <w:rPr>
          <w:sz w:val="24"/>
          <w:szCs w:val="24"/>
        </w:rPr>
        <w:t xml:space="preserve"> in </w:t>
      </w:r>
      <w:r w:rsidR="005156DC">
        <w:rPr>
          <w:sz w:val="24"/>
          <w:szCs w:val="24"/>
        </w:rPr>
        <w:t xml:space="preserve">detention </w:t>
      </w:r>
      <w:r w:rsidR="00B43790">
        <w:rPr>
          <w:sz w:val="24"/>
          <w:szCs w:val="24"/>
        </w:rPr>
        <w:t>facilities</w:t>
      </w:r>
      <w:r>
        <w:rPr>
          <w:sz w:val="24"/>
          <w:szCs w:val="24"/>
        </w:rPr>
        <w:t>.</w:t>
      </w:r>
    </w:p>
    <w:p w:rsidR="009D0F58" w:rsidRPr="00504B45" w:rsidRDefault="009D0F58" w:rsidP="00277AB3">
      <w:pPr>
        <w:pStyle w:val="ListParagraph"/>
        <w:ind w:left="0"/>
        <w:jc w:val="both"/>
        <w:rPr>
          <w:sz w:val="24"/>
          <w:szCs w:val="24"/>
        </w:rPr>
      </w:pPr>
    </w:p>
    <w:p w:rsidR="00E711C6" w:rsidRDefault="00A14797" w:rsidP="00832154">
      <w:pPr>
        <w:pStyle w:val="Heading2"/>
      </w:pPr>
      <w:bookmarkStart w:id="33" w:name="_Toc420885855"/>
      <w:r>
        <w:t>Shorter l</w:t>
      </w:r>
      <w:r w:rsidR="00E711C6" w:rsidRPr="00E711C6">
        <w:t xml:space="preserve">ife expectancy and </w:t>
      </w:r>
      <w:r w:rsidR="008E5965">
        <w:t>poor</w:t>
      </w:r>
      <w:r w:rsidR="00FE0E82">
        <w:t>er</w:t>
      </w:r>
      <w:r w:rsidR="008E5965">
        <w:t xml:space="preserve"> physical </w:t>
      </w:r>
      <w:r w:rsidR="00E711C6" w:rsidRPr="00E711C6">
        <w:t xml:space="preserve">health </w:t>
      </w:r>
      <w:r w:rsidR="00FE0E82">
        <w:t>outcomes</w:t>
      </w:r>
      <w:bookmarkEnd w:id="33"/>
    </w:p>
    <w:p w:rsidR="00FE0E82" w:rsidRDefault="00FE0E82" w:rsidP="00277AB3">
      <w:pPr>
        <w:pStyle w:val="ListParagraph"/>
        <w:ind w:left="0"/>
        <w:jc w:val="both"/>
        <w:rPr>
          <w:sz w:val="24"/>
          <w:szCs w:val="24"/>
        </w:rPr>
      </w:pPr>
    </w:p>
    <w:p w:rsidR="00504B45" w:rsidRDefault="00504B45" w:rsidP="00504B45">
      <w:pPr>
        <w:pStyle w:val="ListParagraph"/>
        <w:ind w:left="0"/>
        <w:jc w:val="both"/>
        <w:rPr>
          <w:sz w:val="24"/>
          <w:szCs w:val="24"/>
        </w:rPr>
      </w:pPr>
      <w:proofErr w:type="gramStart"/>
      <w:r>
        <w:rPr>
          <w:sz w:val="24"/>
          <w:szCs w:val="24"/>
        </w:rPr>
        <w:t>People who experience learning/intellectual disability, or psychosocial disability, have a life expectancy that is up to 23 years less than the general population.</w:t>
      </w:r>
      <w:proofErr w:type="gramEnd"/>
      <w:r>
        <w:rPr>
          <w:rStyle w:val="FootnoteReference"/>
          <w:sz w:val="24"/>
          <w:szCs w:val="24"/>
        </w:rPr>
        <w:footnoteReference w:id="88"/>
      </w:r>
      <w:r>
        <w:rPr>
          <w:sz w:val="24"/>
          <w:szCs w:val="24"/>
        </w:rPr>
        <w:t xml:space="preserve"> </w:t>
      </w:r>
      <w:r>
        <w:rPr>
          <w:rStyle w:val="FootnoteReference"/>
          <w:sz w:val="24"/>
          <w:szCs w:val="24"/>
        </w:rPr>
        <w:footnoteReference w:id="89"/>
      </w:r>
      <w:r>
        <w:rPr>
          <w:sz w:val="24"/>
          <w:szCs w:val="24"/>
        </w:rPr>
        <w:t xml:space="preserve"> Likewise, </w:t>
      </w:r>
      <w:r>
        <w:rPr>
          <w:sz w:val="24"/>
          <w:szCs w:val="24"/>
        </w:rPr>
        <w:lastRenderedPageBreak/>
        <w:t>both groups are at greater risk of chronic health conditions, are more likely to be dispensed many different types of prescription drugs, and significantly more likely to have an avoidable hospital admission.</w:t>
      </w:r>
      <w:r>
        <w:rPr>
          <w:rStyle w:val="FootnoteReference"/>
          <w:sz w:val="24"/>
          <w:szCs w:val="24"/>
        </w:rPr>
        <w:footnoteReference w:id="90"/>
      </w:r>
      <w:r>
        <w:rPr>
          <w:sz w:val="24"/>
          <w:szCs w:val="24"/>
        </w:rPr>
        <w:t xml:space="preserve"> </w:t>
      </w:r>
      <w:r>
        <w:rPr>
          <w:rStyle w:val="FootnoteReference"/>
          <w:sz w:val="24"/>
          <w:szCs w:val="24"/>
        </w:rPr>
        <w:footnoteReference w:id="91"/>
      </w:r>
    </w:p>
    <w:p w:rsidR="00E711C6" w:rsidRDefault="00E711C6" w:rsidP="00277AB3">
      <w:pPr>
        <w:pStyle w:val="ListParagraph"/>
        <w:ind w:left="0"/>
        <w:jc w:val="both"/>
        <w:rPr>
          <w:sz w:val="24"/>
          <w:szCs w:val="24"/>
        </w:rPr>
      </w:pPr>
    </w:p>
    <w:p w:rsidR="003D5BF3" w:rsidRDefault="00E711C6" w:rsidP="00277AB3">
      <w:pPr>
        <w:pStyle w:val="ListParagraph"/>
        <w:ind w:left="0"/>
        <w:jc w:val="both"/>
        <w:rPr>
          <w:sz w:val="24"/>
          <w:szCs w:val="24"/>
        </w:rPr>
      </w:pPr>
      <w:r>
        <w:rPr>
          <w:sz w:val="24"/>
          <w:szCs w:val="24"/>
        </w:rPr>
        <w:t>Both of these groups experience stigma and discrimination within health services</w:t>
      </w:r>
      <w:r w:rsidR="00DD603C">
        <w:rPr>
          <w:sz w:val="24"/>
          <w:szCs w:val="24"/>
        </w:rPr>
        <w:t>,</w:t>
      </w:r>
      <w:r w:rsidR="003D5BF3">
        <w:rPr>
          <w:sz w:val="24"/>
          <w:szCs w:val="24"/>
        </w:rPr>
        <w:t xml:space="preserve"> </w:t>
      </w:r>
      <w:r>
        <w:rPr>
          <w:sz w:val="24"/>
          <w:szCs w:val="24"/>
        </w:rPr>
        <w:t xml:space="preserve">from </w:t>
      </w:r>
      <w:r w:rsidR="003D5BF3">
        <w:rPr>
          <w:sz w:val="24"/>
          <w:szCs w:val="24"/>
        </w:rPr>
        <w:t xml:space="preserve">the </w:t>
      </w:r>
      <w:r>
        <w:rPr>
          <w:sz w:val="24"/>
          <w:szCs w:val="24"/>
        </w:rPr>
        <w:t xml:space="preserve">primary health </w:t>
      </w:r>
      <w:r w:rsidR="003D5BF3">
        <w:rPr>
          <w:sz w:val="24"/>
          <w:szCs w:val="24"/>
        </w:rPr>
        <w:t xml:space="preserve">level, </w:t>
      </w:r>
      <w:r>
        <w:rPr>
          <w:sz w:val="24"/>
          <w:szCs w:val="24"/>
        </w:rPr>
        <w:t xml:space="preserve">through to </w:t>
      </w:r>
      <w:r w:rsidR="00504B45">
        <w:rPr>
          <w:sz w:val="24"/>
          <w:szCs w:val="24"/>
        </w:rPr>
        <w:t xml:space="preserve">general </w:t>
      </w:r>
      <w:r>
        <w:rPr>
          <w:sz w:val="24"/>
          <w:szCs w:val="24"/>
        </w:rPr>
        <w:t>hospital services</w:t>
      </w:r>
      <w:r w:rsidR="003D5BF3">
        <w:rPr>
          <w:sz w:val="24"/>
          <w:szCs w:val="24"/>
        </w:rPr>
        <w:t>, an</w:t>
      </w:r>
      <w:r w:rsidR="00DD603C">
        <w:rPr>
          <w:sz w:val="24"/>
          <w:szCs w:val="24"/>
        </w:rPr>
        <w:t xml:space="preserve">d </w:t>
      </w:r>
      <w:proofErr w:type="gramStart"/>
      <w:r w:rsidR="00DD603C">
        <w:rPr>
          <w:sz w:val="24"/>
          <w:szCs w:val="24"/>
        </w:rPr>
        <w:t xml:space="preserve">including </w:t>
      </w:r>
      <w:r w:rsidR="003D5BF3">
        <w:rPr>
          <w:sz w:val="24"/>
          <w:szCs w:val="24"/>
        </w:rPr>
        <w:t xml:space="preserve"> psychiatric</w:t>
      </w:r>
      <w:proofErr w:type="gramEnd"/>
      <w:r w:rsidR="003D5BF3">
        <w:rPr>
          <w:sz w:val="24"/>
          <w:szCs w:val="24"/>
        </w:rPr>
        <w:t xml:space="preserve"> services. Both groups also experience </w:t>
      </w:r>
      <w:r w:rsidR="00F811F2">
        <w:rPr>
          <w:sz w:val="24"/>
          <w:szCs w:val="24"/>
        </w:rPr>
        <w:t xml:space="preserve">a </w:t>
      </w:r>
      <w:r w:rsidR="003D5BF3">
        <w:rPr>
          <w:sz w:val="24"/>
          <w:szCs w:val="24"/>
        </w:rPr>
        <w:t xml:space="preserve">poorer quality of </w:t>
      </w:r>
      <w:r w:rsidR="00DD603C">
        <w:rPr>
          <w:sz w:val="24"/>
          <w:szCs w:val="24"/>
        </w:rPr>
        <w:t xml:space="preserve">health </w:t>
      </w:r>
      <w:r w:rsidR="003D5BF3">
        <w:rPr>
          <w:sz w:val="24"/>
          <w:szCs w:val="24"/>
        </w:rPr>
        <w:t>service than other groups of people</w:t>
      </w:r>
      <w:r w:rsidR="00DD603C">
        <w:rPr>
          <w:sz w:val="24"/>
          <w:szCs w:val="24"/>
        </w:rPr>
        <w:t>,</w:t>
      </w:r>
      <w:r w:rsidR="00F811F2">
        <w:rPr>
          <w:sz w:val="24"/>
          <w:szCs w:val="24"/>
        </w:rPr>
        <w:t xml:space="preserve"> and are more likely to be prescribed multiple medications, many of which cause physical ill-health and </w:t>
      </w:r>
      <w:r w:rsidR="00DD603C">
        <w:rPr>
          <w:sz w:val="24"/>
          <w:szCs w:val="24"/>
        </w:rPr>
        <w:t>contribute to premature</w:t>
      </w:r>
      <w:r w:rsidR="00536B8A">
        <w:rPr>
          <w:sz w:val="24"/>
          <w:szCs w:val="24"/>
        </w:rPr>
        <w:t xml:space="preserve"> death</w:t>
      </w:r>
      <w:r w:rsidR="005156DC">
        <w:rPr>
          <w:sz w:val="24"/>
          <w:szCs w:val="24"/>
        </w:rPr>
        <w:t>.</w:t>
      </w:r>
    </w:p>
    <w:p w:rsidR="003D5BF3" w:rsidRDefault="003D5BF3" w:rsidP="00277AB3">
      <w:pPr>
        <w:pStyle w:val="ListParagraph"/>
        <w:ind w:left="0"/>
        <w:jc w:val="both"/>
        <w:rPr>
          <w:sz w:val="24"/>
          <w:szCs w:val="24"/>
        </w:rPr>
      </w:pPr>
    </w:p>
    <w:p w:rsidR="00E74B7C" w:rsidRPr="002423EA" w:rsidRDefault="00B26507" w:rsidP="00E74B7C">
      <w:pPr>
        <w:pStyle w:val="Heading2"/>
      </w:pPr>
      <w:bookmarkStart w:id="34" w:name="_Toc420885856"/>
      <w:r w:rsidRPr="001F1234">
        <w:t>Learning</w:t>
      </w:r>
      <w:r w:rsidR="001F1234">
        <w:t>/i</w:t>
      </w:r>
      <w:r w:rsidRPr="001F1234">
        <w:t xml:space="preserve">ntellectually </w:t>
      </w:r>
      <w:r w:rsidR="00E74B7C" w:rsidRPr="001F1234">
        <w:t>disabled people’s access to justice</w:t>
      </w:r>
      <w:bookmarkEnd w:id="34"/>
    </w:p>
    <w:p w:rsidR="001F1234" w:rsidRDefault="001F1234" w:rsidP="00E74B7C">
      <w:pPr>
        <w:rPr>
          <w:sz w:val="24"/>
          <w:szCs w:val="24"/>
        </w:rPr>
      </w:pPr>
    </w:p>
    <w:p w:rsidR="00E74B7C" w:rsidRPr="0073001C" w:rsidRDefault="00DD603C" w:rsidP="00E74B7C">
      <w:pPr>
        <w:rPr>
          <w:sz w:val="24"/>
          <w:szCs w:val="24"/>
        </w:rPr>
      </w:pPr>
      <w:r>
        <w:rPr>
          <w:sz w:val="24"/>
          <w:szCs w:val="24"/>
        </w:rPr>
        <w:t xml:space="preserve">People who experience </w:t>
      </w:r>
      <w:r w:rsidR="00E74B7C" w:rsidRPr="0073001C">
        <w:rPr>
          <w:sz w:val="24"/>
          <w:szCs w:val="24"/>
        </w:rPr>
        <w:t>learning</w:t>
      </w:r>
      <w:r w:rsidR="00B26507">
        <w:rPr>
          <w:sz w:val="24"/>
          <w:szCs w:val="24"/>
        </w:rPr>
        <w:t>/intellectually</w:t>
      </w:r>
      <w:r w:rsidR="00E74B7C" w:rsidRPr="0073001C">
        <w:rPr>
          <w:sz w:val="24"/>
          <w:szCs w:val="24"/>
        </w:rPr>
        <w:t xml:space="preserve"> disabled people </w:t>
      </w:r>
      <w:r>
        <w:rPr>
          <w:sz w:val="24"/>
          <w:szCs w:val="24"/>
        </w:rPr>
        <w:t xml:space="preserve">face ongoing barriers </w:t>
      </w:r>
      <w:r w:rsidR="00E74B7C" w:rsidRPr="0073001C">
        <w:rPr>
          <w:sz w:val="24"/>
          <w:szCs w:val="24"/>
        </w:rPr>
        <w:t xml:space="preserve">to </w:t>
      </w:r>
      <w:r>
        <w:rPr>
          <w:sz w:val="24"/>
          <w:szCs w:val="24"/>
        </w:rPr>
        <w:t xml:space="preserve">access to </w:t>
      </w:r>
      <w:r w:rsidR="00E74B7C" w:rsidRPr="0073001C">
        <w:rPr>
          <w:sz w:val="24"/>
          <w:szCs w:val="24"/>
        </w:rPr>
        <w:t xml:space="preserve">justice </w:t>
      </w:r>
      <w:r>
        <w:rPr>
          <w:sz w:val="24"/>
          <w:szCs w:val="24"/>
        </w:rPr>
        <w:t xml:space="preserve">in the course of being </w:t>
      </w:r>
      <w:r w:rsidR="00E74B7C">
        <w:rPr>
          <w:sz w:val="24"/>
          <w:szCs w:val="24"/>
        </w:rPr>
        <w:t>arrested or interviewed by</w:t>
      </w:r>
      <w:r w:rsidR="00E74B7C" w:rsidRPr="0073001C">
        <w:rPr>
          <w:sz w:val="24"/>
          <w:szCs w:val="24"/>
        </w:rPr>
        <w:t xml:space="preserve"> police, </w:t>
      </w:r>
      <w:r w:rsidR="00E74B7C">
        <w:rPr>
          <w:sz w:val="24"/>
          <w:szCs w:val="24"/>
        </w:rPr>
        <w:t xml:space="preserve">in relation to </w:t>
      </w:r>
      <w:r>
        <w:rPr>
          <w:sz w:val="24"/>
          <w:szCs w:val="24"/>
        </w:rPr>
        <w:t xml:space="preserve">publicly assigned </w:t>
      </w:r>
      <w:r w:rsidR="00E74B7C" w:rsidRPr="0073001C">
        <w:rPr>
          <w:sz w:val="24"/>
          <w:szCs w:val="24"/>
        </w:rPr>
        <w:t>lawyers</w:t>
      </w:r>
      <w:r w:rsidR="00E74B7C">
        <w:rPr>
          <w:sz w:val="24"/>
          <w:szCs w:val="24"/>
        </w:rPr>
        <w:t xml:space="preserve">, </w:t>
      </w:r>
      <w:r>
        <w:rPr>
          <w:sz w:val="24"/>
          <w:szCs w:val="24"/>
        </w:rPr>
        <w:t xml:space="preserve">and within </w:t>
      </w:r>
      <w:r w:rsidR="00E74B7C">
        <w:rPr>
          <w:sz w:val="24"/>
          <w:szCs w:val="24"/>
        </w:rPr>
        <w:t>the court system</w:t>
      </w:r>
      <w:r w:rsidR="00E74B7C" w:rsidRPr="0073001C">
        <w:rPr>
          <w:sz w:val="24"/>
          <w:szCs w:val="24"/>
        </w:rPr>
        <w:t xml:space="preserve"> and broader legal</w:t>
      </w:r>
      <w:r w:rsidR="00E74B7C">
        <w:rPr>
          <w:sz w:val="24"/>
          <w:szCs w:val="24"/>
        </w:rPr>
        <w:t xml:space="preserve"> mechanisms</w:t>
      </w:r>
      <w:r w:rsidR="00E74B7C" w:rsidRPr="0073001C">
        <w:rPr>
          <w:sz w:val="24"/>
          <w:szCs w:val="24"/>
        </w:rPr>
        <w:t>.</w:t>
      </w:r>
      <w:r w:rsidR="00E74B7C">
        <w:rPr>
          <w:sz w:val="24"/>
          <w:szCs w:val="24"/>
        </w:rPr>
        <w:t xml:space="preserve"> Recent New Zealand research </w:t>
      </w:r>
      <w:r>
        <w:rPr>
          <w:sz w:val="24"/>
          <w:szCs w:val="24"/>
        </w:rPr>
        <w:t xml:space="preserve">relating to </w:t>
      </w:r>
      <w:r w:rsidR="00B26507">
        <w:rPr>
          <w:sz w:val="24"/>
          <w:szCs w:val="24"/>
        </w:rPr>
        <w:t xml:space="preserve">learning/intellectually </w:t>
      </w:r>
      <w:r w:rsidR="00E74B7C">
        <w:rPr>
          <w:sz w:val="24"/>
          <w:szCs w:val="24"/>
        </w:rPr>
        <w:t>disabled people</w:t>
      </w:r>
      <w:r>
        <w:rPr>
          <w:sz w:val="24"/>
          <w:szCs w:val="24"/>
        </w:rPr>
        <w:t>’s access to justice has been undertaken</w:t>
      </w:r>
      <w:r w:rsidR="00E74B7C">
        <w:rPr>
          <w:sz w:val="24"/>
          <w:szCs w:val="24"/>
        </w:rPr>
        <w:t xml:space="preserve"> </w:t>
      </w:r>
      <w:r>
        <w:rPr>
          <w:sz w:val="24"/>
          <w:szCs w:val="24"/>
        </w:rPr>
        <w:t xml:space="preserve">by the </w:t>
      </w:r>
      <w:r w:rsidR="00E74B7C">
        <w:rPr>
          <w:sz w:val="24"/>
          <w:szCs w:val="24"/>
        </w:rPr>
        <w:t>Donald Beasley Institute.</w:t>
      </w:r>
      <w:r w:rsidR="00E74B7C" w:rsidRPr="0073001C">
        <w:rPr>
          <w:rStyle w:val="FootnoteReference"/>
          <w:sz w:val="24"/>
          <w:szCs w:val="24"/>
        </w:rPr>
        <w:footnoteReference w:id="92"/>
      </w:r>
    </w:p>
    <w:p w:rsidR="00E74B7C" w:rsidRPr="0073001C" w:rsidRDefault="00E74B7C" w:rsidP="00E74B7C">
      <w:pPr>
        <w:pStyle w:val="ListParagraph"/>
        <w:ind w:left="0"/>
        <w:jc w:val="both"/>
        <w:rPr>
          <w:sz w:val="24"/>
          <w:szCs w:val="24"/>
        </w:rPr>
      </w:pPr>
    </w:p>
    <w:p w:rsidR="00504B45" w:rsidRDefault="00E74B7C" w:rsidP="00DD603C">
      <w:pPr>
        <w:rPr>
          <w:sz w:val="24"/>
          <w:szCs w:val="24"/>
        </w:rPr>
      </w:pPr>
      <w:r w:rsidRPr="0073001C">
        <w:rPr>
          <w:sz w:val="24"/>
          <w:szCs w:val="24"/>
        </w:rPr>
        <w:t xml:space="preserve">International moves to introduce the concept of </w:t>
      </w:r>
      <w:r w:rsidR="00DD603C">
        <w:rPr>
          <w:sz w:val="24"/>
          <w:szCs w:val="24"/>
        </w:rPr>
        <w:t xml:space="preserve">an </w:t>
      </w:r>
      <w:r w:rsidRPr="0073001C">
        <w:rPr>
          <w:sz w:val="24"/>
          <w:szCs w:val="24"/>
        </w:rPr>
        <w:t xml:space="preserve">‘appropriate adult’, akin to the current practice of </w:t>
      </w:r>
      <w:r w:rsidR="00DD603C">
        <w:rPr>
          <w:sz w:val="24"/>
          <w:szCs w:val="24"/>
        </w:rPr>
        <w:t xml:space="preserve">a </w:t>
      </w:r>
      <w:r w:rsidRPr="0073001C">
        <w:rPr>
          <w:sz w:val="24"/>
          <w:szCs w:val="24"/>
        </w:rPr>
        <w:t xml:space="preserve">‘responsible adult’ </w:t>
      </w:r>
      <w:r w:rsidR="00DD603C">
        <w:rPr>
          <w:sz w:val="24"/>
          <w:szCs w:val="24"/>
        </w:rPr>
        <w:t>(</w:t>
      </w:r>
      <w:r w:rsidRPr="0073001C">
        <w:rPr>
          <w:sz w:val="24"/>
          <w:szCs w:val="24"/>
        </w:rPr>
        <w:t>that applies to young people in New Zealand</w:t>
      </w:r>
      <w:r w:rsidR="00DD603C">
        <w:rPr>
          <w:sz w:val="24"/>
          <w:szCs w:val="24"/>
        </w:rPr>
        <w:t>)</w:t>
      </w:r>
      <w:r w:rsidRPr="0073001C">
        <w:rPr>
          <w:sz w:val="24"/>
          <w:szCs w:val="24"/>
        </w:rPr>
        <w:t>, would be beneficial for learning</w:t>
      </w:r>
      <w:r w:rsidR="00B26507">
        <w:rPr>
          <w:sz w:val="24"/>
          <w:szCs w:val="24"/>
        </w:rPr>
        <w:t>/intellectually</w:t>
      </w:r>
      <w:r w:rsidR="00DD603C">
        <w:rPr>
          <w:sz w:val="24"/>
          <w:szCs w:val="24"/>
        </w:rPr>
        <w:t xml:space="preserve"> disabled people in terms of ensuring</w:t>
      </w:r>
      <w:r w:rsidRPr="0073001C">
        <w:rPr>
          <w:sz w:val="24"/>
          <w:szCs w:val="24"/>
        </w:rPr>
        <w:t xml:space="preserve"> social protections are in place</w:t>
      </w:r>
      <w:r w:rsidR="00DD603C">
        <w:rPr>
          <w:sz w:val="24"/>
          <w:szCs w:val="24"/>
        </w:rPr>
        <w:t>,</w:t>
      </w:r>
      <w:r w:rsidRPr="0073001C">
        <w:rPr>
          <w:sz w:val="24"/>
          <w:szCs w:val="24"/>
        </w:rPr>
        <w:t xml:space="preserve"> before being interviewed by the police</w:t>
      </w:r>
      <w:r w:rsidR="00DD603C">
        <w:rPr>
          <w:sz w:val="24"/>
          <w:szCs w:val="24"/>
        </w:rPr>
        <w:t xml:space="preserve"> or progressing through the legal system</w:t>
      </w:r>
      <w:r w:rsidRPr="0073001C">
        <w:rPr>
          <w:sz w:val="24"/>
          <w:szCs w:val="24"/>
        </w:rPr>
        <w:t xml:space="preserve">. </w:t>
      </w:r>
    </w:p>
    <w:p w:rsidR="003775DB" w:rsidRDefault="003775DB" w:rsidP="00832154">
      <w:pPr>
        <w:pStyle w:val="Heading2"/>
      </w:pPr>
      <w:bookmarkStart w:id="35" w:name="_Toc420885857"/>
      <w:r w:rsidRPr="003775DB">
        <w:t xml:space="preserve">Complaints </w:t>
      </w:r>
      <w:r w:rsidR="002A779C">
        <w:t>and appeal</w:t>
      </w:r>
      <w:r w:rsidR="00925408">
        <w:t>s</w:t>
      </w:r>
      <w:r w:rsidR="002A779C">
        <w:t xml:space="preserve"> </w:t>
      </w:r>
      <w:r w:rsidRPr="003775DB">
        <w:t>mechanisms</w:t>
      </w:r>
      <w:bookmarkEnd w:id="35"/>
    </w:p>
    <w:p w:rsidR="003775DB" w:rsidRDefault="003775DB" w:rsidP="00277AB3">
      <w:pPr>
        <w:pStyle w:val="ListParagraph"/>
        <w:ind w:left="0"/>
        <w:jc w:val="both"/>
        <w:rPr>
          <w:b/>
          <w:sz w:val="24"/>
          <w:szCs w:val="24"/>
        </w:rPr>
      </w:pPr>
    </w:p>
    <w:p w:rsidR="003775DB" w:rsidRPr="003775DB" w:rsidRDefault="003775DB" w:rsidP="00277AB3">
      <w:pPr>
        <w:pStyle w:val="ListParagraph"/>
        <w:ind w:left="0"/>
        <w:jc w:val="both"/>
        <w:rPr>
          <w:sz w:val="24"/>
          <w:szCs w:val="24"/>
        </w:rPr>
      </w:pPr>
      <w:r w:rsidRPr="003775DB">
        <w:rPr>
          <w:sz w:val="24"/>
          <w:szCs w:val="24"/>
        </w:rPr>
        <w:t xml:space="preserve">The Human Rights Commission provides a complaints process to </w:t>
      </w:r>
      <w:r w:rsidR="00AE2E86">
        <w:rPr>
          <w:sz w:val="24"/>
          <w:szCs w:val="24"/>
        </w:rPr>
        <w:t xml:space="preserve">disabled </w:t>
      </w:r>
      <w:r w:rsidRPr="003775DB">
        <w:rPr>
          <w:sz w:val="24"/>
          <w:szCs w:val="24"/>
        </w:rPr>
        <w:t>people who may have been discriminated against</w:t>
      </w:r>
      <w:r w:rsidR="00DD603C">
        <w:rPr>
          <w:sz w:val="24"/>
          <w:szCs w:val="24"/>
        </w:rPr>
        <w:t>,</w:t>
      </w:r>
      <w:r w:rsidR="00723AFB">
        <w:rPr>
          <w:sz w:val="24"/>
          <w:szCs w:val="24"/>
        </w:rPr>
        <w:t xml:space="preserve"> and whose rights may have been breached,</w:t>
      </w:r>
      <w:r>
        <w:rPr>
          <w:sz w:val="24"/>
          <w:szCs w:val="24"/>
        </w:rPr>
        <w:t xml:space="preserve"> as per the Human Rights Act 1993.</w:t>
      </w:r>
      <w:r w:rsidR="002A779C">
        <w:rPr>
          <w:sz w:val="24"/>
          <w:szCs w:val="24"/>
        </w:rPr>
        <w:t xml:space="preserve"> </w:t>
      </w:r>
      <w:r w:rsidR="002A779C">
        <w:rPr>
          <w:rStyle w:val="FootnoteReference"/>
          <w:sz w:val="24"/>
          <w:szCs w:val="24"/>
        </w:rPr>
        <w:footnoteReference w:id="93"/>
      </w:r>
      <w:r w:rsidR="002A779C">
        <w:rPr>
          <w:sz w:val="24"/>
          <w:szCs w:val="24"/>
        </w:rPr>
        <w:t xml:space="preserve"> </w:t>
      </w:r>
      <w:r w:rsidR="002A779C">
        <w:rPr>
          <w:rStyle w:val="FootnoteReference"/>
          <w:sz w:val="24"/>
          <w:szCs w:val="24"/>
        </w:rPr>
        <w:footnoteReference w:id="94"/>
      </w:r>
      <w:r>
        <w:rPr>
          <w:sz w:val="24"/>
          <w:szCs w:val="24"/>
        </w:rPr>
        <w:t xml:space="preserve"> </w:t>
      </w:r>
    </w:p>
    <w:p w:rsidR="003775DB" w:rsidRDefault="003775DB" w:rsidP="00277AB3">
      <w:pPr>
        <w:pStyle w:val="ListParagraph"/>
        <w:ind w:left="0"/>
        <w:jc w:val="both"/>
        <w:rPr>
          <w:b/>
          <w:sz w:val="24"/>
          <w:szCs w:val="24"/>
        </w:rPr>
      </w:pPr>
    </w:p>
    <w:p w:rsidR="00723AFB" w:rsidRDefault="003775DB" w:rsidP="00277AB3">
      <w:pPr>
        <w:pStyle w:val="ListParagraph"/>
        <w:ind w:left="0"/>
        <w:jc w:val="both"/>
        <w:rPr>
          <w:sz w:val="24"/>
          <w:szCs w:val="24"/>
        </w:rPr>
      </w:pPr>
      <w:r w:rsidRPr="003775DB">
        <w:rPr>
          <w:sz w:val="24"/>
          <w:szCs w:val="24"/>
        </w:rPr>
        <w:t>The Health and Disability Commission provides a complaints proce</w:t>
      </w:r>
      <w:r w:rsidR="00C37482">
        <w:rPr>
          <w:sz w:val="24"/>
          <w:szCs w:val="24"/>
        </w:rPr>
        <w:t xml:space="preserve">ss </w:t>
      </w:r>
      <w:r w:rsidR="00723AFB">
        <w:rPr>
          <w:sz w:val="24"/>
          <w:szCs w:val="24"/>
        </w:rPr>
        <w:t>that is spec</w:t>
      </w:r>
      <w:r w:rsidR="00894EA9">
        <w:rPr>
          <w:sz w:val="24"/>
          <w:szCs w:val="24"/>
        </w:rPr>
        <w:t xml:space="preserve">ific to </w:t>
      </w:r>
      <w:r w:rsidR="00C37482">
        <w:rPr>
          <w:sz w:val="24"/>
          <w:szCs w:val="24"/>
        </w:rPr>
        <w:t>the provision</w:t>
      </w:r>
      <w:r w:rsidRPr="003775DB">
        <w:rPr>
          <w:sz w:val="24"/>
          <w:szCs w:val="24"/>
        </w:rPr>
        <w:t xml:space="preserve"> of health and disability services. The Code of Consumers’ Rights outlines people’s rights when using these types of services.</w:t>
      </w:r>
      <w:r w:rsidR="00F018C4">
        <w:rPr>
          <w:rStyle w:val="FootnoteReference"/>
          <w:sz w:val="24"/>
          <w:szCs w:val="24"/>
        </w:rPr>
        <w:footnoteReference w:id="95"/>
      </w:r>
      <w:r w:rsidR="00723AFB" w:rsidRPr="00C06BA6">
        <w:rPr>
          <w:sz w:val="24"/>
          <w:szCs w:val="24"/>
        </w:rPr>
        <w:t>All health and disability services are require</w:t>
      </w:r>
      <w:r w:rsidR="00D44118">
        <w:rPr>
          <w:sz w:val="24"/>
          <w:szCs w:val="24"/>
        </w:rPr>
        <w:t>d to have complaints mechanisms.</w:t>
      </w:r>
    </w:p>
    <w:p w:rsidR="00723AFB" w:rsidRDefault="00723AFB" w:rsidP="00277AB3">
      <w:pPr>
        <w:pStyle w:val="ListParagraph"/>
        <w:ind w:left="0"/>
        <w:jc w:val="both"/>
        <w:rPr>
          <w:sz w:val="24"/>
          <w:szCs w:val="24"/>
        </w:rPr>
      </w:pPr>
    </w:p>
    <w:p w:rsidR="00D44118" w:rsidRDefault="003775DB" w:rsidP="00277AB3">
      <w:pPr>
        <w:pStyle w:val="ListParagraph"/>
        <w:ind w:left="0"/>
        <w:jc w:val="both"/>
        <w:rPr>
          <w:sz w:val="24"/>
          <w:szCs w:val="24"/>
        </w:rPr>
      </w:pPr>
      <w:r>
        <w:rPr>
          <w:sz w:val="24"/>
          <w:szCs w:val="24"/>
        </w:rPr>
        <w:t xml:space="preserve">While the legislation and </w:t>
      </w:r>
      <w:r w:rsidR="00AE2E86">
        <w:rPr>
          <w:sz w:val="24"/>
          <w:szCs w:val="24"/>
        </w:rPr>
        <w:t xml:space="preserve">complaints mechanisms </w:t>
      </w:r>
      <w:r w:rsidR="00DC79F4">
        <w:rPr>
          <w:sz w:val="24"/>
          <w:szCs w:val="24"/>
        </w:rPr>
        <w:t xml:space="preserve">are </w:t>
      </w:r>
      <w:r w:rsidR="00AE2E86">
        <w:rPr>
          <w:sz w:val="24"/>
          <w:szCs w:val="24"/>
        </w:rPr>
        <w:t>appear</w:t>
      </w:r>
      <w:r w:rsidR="00DC79F4">
        <w:rPr>
          <w:sz w:val="24"/>
          <w:szCs w:val="24"/>
        </w:rPr>
        <w:t xml:space="preserve"> comprehensive</w:t>
      </w:r>
      <w:r w:rsidR="00AE2E86">
        <w:rPr>
          <w:sz w:val="24"/>
          <w:szCs w:val="24"/>
        </w:rPr>
        <w:t xml:space="preserve">, </w:t>
      </w:r>
      <w:r>
        <w:rPr>
          <w:sz w:val="24"/>
          <w:szCs w:val="24"/>
        </w:rPr>
        <w:t xml:space="preserve">they are inadequate for dealing with the vast array of human rights breeches, discrimination and </w:t>
      </w:r>
      <w:r>
        <w:rPr>
          <w:sz w:val="24"/>
          <w:szCs w:val="24"/>
        </w:rPr>
        <w:lastRenderedPageBreak/>
        <w:t>daily indigniti</w:t>
      </w:r>
      <w:r w:rsidR="002A779C">
        <w:rPr>
          <w:sz w:val="24"/>
          <w:szCs w:val="24"/>
        </w:rPr>
        <w:t xml:space="preserve">es </w:t>
      </w:r>
      <w:r w:rsidR="00D44118">
        <w:rPr>
          <w:sz w:val="24"/>
          <w:szCs w:val="24"/>
        </w:rPr>
        <w:t xml:space="preserve">experienced by </w:t>
      </w:r>
      <w:r w:rsidR="002A779C">
        <w:rPr>
          <w:sz w:val="24"/>
          <w:szCs w:val="24"/>
        </w:rPr>
        <w:t xml:space="preserve">disabled people. The threshold for discrimination or </w:t>
      </w:r>
      <w:r w:rsidR="00D44118">
        <w:rPr>
          <w:sz w:val="24"/>
          <w:szCs w:val="24"/>
        </w:rPr>
        <w:t xml:space="preserve">legislative </w:t>
      </w:r>
      <w:r w:rsidR="002A779C">
        <w:rPr>
          <w:sz w:val="24"/>
          <w:szCs w:val="24"/>
        </w:rPr>
        <w:t>breeches is high</w:t>
      </w:r>
      <w:r w:rsidR="00D44118">
        <w:rPr>
          <w:sz w:val="24"/>
          <w:szCs w:val="24"/>
        </w:rPr>
        <w:t xml:space="preserve">. Further, the </w:t>
      </w:r>
      <w:r w:rsidR="002A779C">
        <w:rPr>
          <w:sz w:val="24"/>
          <w:szCs w:val="24"/>
        </w:rPr>
        <w:t xml:space="preserve">onus is on individual disabled people (or a representative) to pursue the complaints process. For some people, lodging a complaint </w:t>
      </w:r>
      <w:r w:rsidR="00B117CB">
        <w:rPr>
          <w:sz w:val="24"/>
          <w:szCs w:val="24"/>
        </w:rPr>
        <w:t>may</w:t>
      </w:r>
      <w:r w:rsidR="00D44118">
        <w:rPr>
          <w:sz w:val="24"/>
          <w:szCs w:val="24"/>
        </w:rPr>
        <w:t xml:space="preserve"> </w:t>
      </w:r>
      <w:r w:rsidR="002A779C">
        <w:rPr>
          <w:sz w:val="24"/>
          <w:szCs w:val="24"/>
        </w:rPr>
        <w:t xml:space="preserve">exacerbate </w:t>
      </w:r>
      <w:r w:rsidR="00B62F17">
        <w:rPr>
          <w:sz w:val="24"/>
          <w:szCs w:val="24"/>
        </w:rPr>
        <w:t xml:space="preserve">existing </w:t>
      </w:r>
      <w:r w:rsidR="002A779C">
        <w:rPr>
          <w:sz w:val="24"/>
          <w:szCs w:val="24"/>
        </w:rPr>
        <w:t>human rights violations</w:t>
      </w:r>
      <w:r w:rsidR="00D44118">
        <w:rPr>
          <w:sz w:val="24"/>
          <w:szCs w:val="24"/>
        </w:rPr>
        <w:t>,</w:t>
      </w:r>
      <w:r w:rsidR="00B62F17">
        <w:rPr>
          <w:sz w:val="24"/>
          <w:szCs w:val="24"/>
        </w:rPr>
        <w:t xml:space="preserve"> as disabled people may </w:t>
      </w:r>
      <w:r w:rsidR="00B117CB">
        <w:rPr>
          <w:sz w:val="24"/>
          <w:szCs w:val="24"/>
        </w:rPr>
        <w:t xml:space="preserve">continue residing in </w:t>
      </w:r>
      <w:r w:rsidR="00D44118">
        <w:rPr>
          <w:sz w:val="24"/>
          <w:szCs w:val="24"/>
        </w:rPr>
        <w:t xml:space="preserve">the </w:t>
      </w:r>
      <w:r w:rsidR="00B117CB">
        <w:rPr>
          <w:sz w:val="24"/>
          <w:szCs w:val="24"/>
        </w:rPr>
        <w:t>same</w:t>
      </w:r>
      <w:r w:rsidR="00B62F17">
        <w:rPr>
          <w:sz w:val="24"/>
          <w:szCs w:val="24"/>
        </w:rPr>
        <w:t xml:space="preserve"> place</w:t>
      </w:r>
      <w:r w:rsidR="00BC52EA">
        <w:rPr>
          <w:sz w:val="24"/>
          <w:szCs w:val="24"/>
        </w:rPr>
        <w:t>, or receiv</w:t>
      </w:r>
      <w:r w:rsidR="00B117CB">
        <w:rPr>
          <w:sz w:val="24"/>
          <w:szCs w:val="24"/>
        </w:rPr>
        <w:t>ing</w:t>
      </w:r>
      <w:r w:rsidR="00BC52EA">
        <w:rPr>
          <w:sz w:val="24"/>
          <w:szCs w:val="24"/>
        </w:rPr>
        <w:t xml:space="preserve"> </w:t>
      </w:r>
      <w:r w:rsidR="00D44118">
        <w:rPr>
          <w:sz w:val="24"/>
          <w:szCs w:val="24"/>
        </w:rPr>
        <w:t xml:space="preserve">the same service from the staff </w:t>
      </w:r>
      <w:r w:rsidR="00BC52EA">
        <w:rPr>
          <w:sz w:val="24"/>
          <w:szCs w:val="24"/>
        </w:rPr>
        <w:t>they are</w:t>
      </w:r>
      <w:r w:rsidR="00B62F17">
        <w:rPr>
          <w:sz w:val="24"/>
          <w:szCs w:val="24"/>
        </w:rPr>
        <w:t xml:space="preserve"> lodging a complaint about. </w:t>
      </w:r>
    </w:p>
    <w:p w:rsidR="00D44118" w:rsidRDefault="00D44118" w:rsidP="00277AB3">
      <w:pPr>
        <w:pStyle w:val="ListParagraph"/>
        <w:ind w:left="0"/>
        <w:jc w:val="both"/>
        <w:rPr>
          <w:sz w:val="24"/>
          <w:szCs w:val="24"/>
        </w:rPr>
      </w:pPr>
    </w:p>
    <w:p w:rsidR="00C37482" w:rsidRDefault="00B117CB" w:rsidP="00277AB3">
      <w:pPr>
        <w:pStyle w:val="ListParagraph"/>
        <w:ind w:left="0"/>
        <w:jc w:val="both"/>
        <w:rPr>
          <w:sz w:val="24"/>
          <w:szCs w:val="24"/>
        </w:rPr>
      </w:pPr>
      <w:r>
        <w:rPr>
          <w:sz w:val="24"/>
          <w:szCs w:val="24"/>
        </w:rPr>
        <w:t>While the Human Rig</w:t>
      </w:r>
      <w:r w:rsidR="00D44118">
        <w:rPr>
          <w:sz w:val="24"/>
          <w:szCs w:val="24"/>
        </w:rPr>
        <w:t xml:space="preserve">hts Commission has highlighted </w:t>
      </w:r>
      <w:r>
        <w:rPr>
          <w:sz w:val="24"/>
          <w:szCs w:val="24"/>
        </w:rPr>
        <w:t>evidence of abuse of disabled people in community settings, t</w:t>
      </w:r>
      <w:r w:rsidR="00B62F17">
        <w:rPr>
          <w:sz w:val="24"/>
          <w:szCs w:val="24"/>
        </w:rPr>
        <w:t>here is no real safety for disabled people.</w:t>
      </w:r>
      <w:r>
        <w:rPr>
          <w:rStyle w:val="FootnoteReference"/>
          <w:sz w:val="24"/>
          <w:szCs w:val="24"/>
        </w:rPr>
        <w:footnoteReference w:id="96"/>
      </w:r>
      <w:r w:rsidR="00DC79F4">
        <w:rPr>
          <w:sz w:val="24"/>
          <w:szCs w:val="24"/>
        </w:rPr>
        <w:t xml:space="preserve"> A </w:t>
      </w:r>
      <w:r w:rsidR="00BC52EA">
        <w:rPr>
          <w:sz w:val="24"/>
          <w:szCs w:val="24"/>
        </w:rPr>
        <w:t xml:space="preserve">very </w:t>
      </w:r>
      <w:r w:rsidR="00DC79F4">
        <w:rPr>
          <w:sz w:val="24"/>
          <w:szCs w:val="24"/>
        </w:rPr>
        <w:t>small number of complaints are taken by disabled people to the Human Rights Commission or the Health and Disability Commission.</w:t>
      </w:r>
      <w:r w:rsidR="00BC52EA">
        <w:rPr>
          <w:sz w:val="24"/>
          <w:szCs w:val="24"/>
        </w:rPr>
        <w:t xml:space="preserve"> However, there </w:t>
      </w:r>
      <w:r w:rsidR="00D44118">
        <w:rPr>
          <w:sz w:val="24"/>
          <w:szCs w:val="24"/>
        </w:rPr>
        <w:t xml:space="preserve">is evidence of </w:t>
      </w:r>
      <w:r w:rsidR="00BC52EA">
        <w:rPr>
          <w:sz w:val="24"/>
          <w:szCs w:val="24"/>
        </w:rPr>
        <w:t>an increasing number of complaints</w:t>
      </w:r>
      <w:r w:rsidR="00D44118">
        <w:rPr>
          <w:sz w:val="24"/>
          <w:szCs w:val="24"/>
        </w:rPr>
        <w:t xml:space="preserve"> being</w:t>
      </w:r>
      <w:r w:rsidR="00BC52EA">
        <w:rPr>
          <w:sz w:val="24"/>
          <w:szCs w:val="24"/>
        </w:rPr>
        <w:t xml:space="preserve"> taken to the Ombudsman</w:t>
      </w:r>
      <w:r w:rsidR="00D44118">
        <w:rPr>
          <w:sz w:val="24"/>
          <w:szCs w:val="24"/>
        </w:rPr>
        <w:t>,</w:t>
      </w:r>
      <w:r w:rsidR="00BC52EA">
        <w:rPr>
          <w:sz w:val="24"/>
          <w:szCs w:val="24"/>
        </w:rPr>
        <w:t xml:space="preserve"> who investigates complaints against government departments.</w:t>
      </w:r>
      <w:r w:rsidR="00BC52EA">
        <w:rPr>
          <w:rStyle w:val="FootnoteReference"/>
          <w:sz w:val="24"/>
          <w:szCs w:val="24"/>
        </w:rPr>
        <w:footnoteReference w:id="97"/>
      </w:r>
    </w:p>
    <w:p w:rsidR="00B62F17" w:rsidRDefault="00B62F17" w:rsidP="00277AB3">
      <w:pPr>
        <w:pStyle w:val="ListParagraph"/>
        <w:ind w:left="0"/>
        <w:jc w:val="both"/>
        <w:rPr>
          <w:sz w:val="24"/>
          <w:szCs w:val="24"/>
        </w:rPr>
      </w:pPr>
    </w:p>
    <w:p w:rsidR="003775DB" w:rsidRDefault="003775DB" w:rsidP="00277AB3">
      <w:pPr>
        <w:pStyle w:val="ListParagraph"/>
        <w:ind w:left="0"/>
        <w:jc w:val="both"/>
        <w:rPr>
          <w:sz w:val="24"/>
          <w:szCs w:val="24"/>
        </w:rPr>
      </w:pPr>
      <w:r>
        <w:rPr>
          <w:sz w:val="24"/>
          <w:szCs w:val="24"/>
        </w:rPr>
        <w:t xml:space="preserve">The </w:t>
      </w:r>
      <w:r w:rsidR="00B62F17">
        <w:rPr>
          <w:sz w:val="24"/>
          <w:szCs w:val="24"/>
        </w:rPr>
        <w:t xml:space="preserve">complaints </w:t>
      </w:r>
      <w:r>
        <w:rPr>
          <w:sz w:val="24"/>
          <w:szCs w:val="24"/>
        </w:rPr>
        <w:t xml:space="preserve">system </w:t>
      </w:r>
      <w:r w:rsidR="00AE2E86">
        <w:rPr>
          <w:sz w:val="24"/>
          <w:szCs w:val="24"/>
        </w:rPr>
        <w:t xml:space="preserve">also </w:t>
      </w:r>
      <w:r>
        <w:rPr>
          <w:sz w:val="24"/>
          <w:szCs w:val="24"/>
        </w:rPr>
        <w:t>operates in the context of the Mental Health Act 1993 and the Intellectual Disability Act 2003</w:t>
      </w:r>
      <w:r w:rsidR="00DC79F4">
        <w:rPr>
          <w:sz w:val="24"/>
          <w:szCs w:val="24"/>
        </w:rPr>
        <w:t>. These Acts contravene the UNCRPD</w:t>
      </w:r>
      <w:r>
        <w:rPr>
          <w:sz w:val="24"/>
          <w:szCs w:val="24"/>
        </w:rPr>
        <w:t xml:space="preserve"> </w:t>
      </w:r>
      <w:r w:rsidR="00DC79F4">
        <w:rPr>
          <w:sz w:val="24"/>
          <w:szCs w:val="24"/>
        </w:rPr>
        <w:t>and by their very nature</w:t>
      </w:r>
      <w:r>
        <w:rPr>
          <w:sz w:val="24"/>
          <w:szCs w:val="24"/>
        </w:rPr>
        <w:t xml:space="preserve"> effectively deny people who experience psychosocial disability, and/or learning</w:t>
      </w:r>
      <w:r w:rsidR="00B26507">
        <w:rPr>
          <w:sz w:val="24"/>
          <w:szCs w:val="24"/>
        </w:rPr>
        <w:t>/intellectual</w:t>
      </w:r>
      <w:r>
        <w:rPr>
          <w:sz w:val="24"/>
          <w:szCs w:val="24"/>
        </w:rPr>
        <w:t xml:space="preserve"> disability, </w:t>
      </w:r>
      <w:r w:rsidR="00F018C4">
        <w:rPr>
          <w:sz w:val="24"/>
          <w:szCs w:val="24"/>
        </w:rPr>
        <w:t xml:space="preserve">basic human </w:t>
      </w:r>
      <w:r>
        <w:rPr>
          <w:sz w:val="24"/>
          <w:szCs w:val="24"/>
        </w:rPr>
        <w:t xml:space="preserve">rights accorded under the UNCRPD. </w:t>
      </w:r>
    </w:p>
    <w:p w:rsidR="00203633" w:rsidRDefault="00203633" w:rsidP="00277AB3">
      <w:pPr>
        <w:pStyle w:val="ListParagraph"/>
        <w:ind w:left="0"/>
        <w:jc w:val="both"/>
        <w:rPr>
          <w:sz w:val="24"/>
          <w:szCs w:val="24"/>
        </w:rPr>
      </w:pPr>
    </w:p>
    <w:p w:rsidR="00203633" w:rsidRDefault="00203633" w:rsidP="00277AB3">
      <w:pPr>
        <w:pStyle w:val="ListParagraph"/>
        <w:ind w:left="0"/>
        <w:jc w:val="both"/>
        <w:rPr>
          <w:sz w:val="24"/>
          <w:szCs w:val="24"/>
        </w:rPr>
      </w:pPr>
      <w:r>
        <w:rPr>
          <w:sz w:val="24"/>
          <w:szCs w:val="24"/>
        </w:rPr>
        <w:t xml:space="preserve">As noted previously, the government has not ratified the Optional Protocol that would provide a mechanism for individuals </w:t>
      </w:r>
      <w:r w:rsidR="00D44118">
        <w:rPr>
          <w:sz w:val="24"/>
          <w:szCs w:val="24"/>
        </w:rPr>
        <w:t xml:space="preserve">and groups </w:t>
      </w:r>
      <w:r>
        <w:rPr>
          <w:sz w:val="24"/>
          <w:szCs w:val="24"/>
        </w:rPr>
        <w:t xml:space="preserve">to </w:t>
      </w:r>
      <w:r w:rsidR="00D44118">
        <w:rPr>
          <w:sz w:val="24"/>
          <w:szCs w:val="24"/>
        </w:rPr>
        <w:t xml:space="preserve">directly </w:t>
      </w:r>
      <w:r>
        <w:rPr>
          <w:sz w:val="24"/>
          <w:szCs w:val="24"/>
        </w:rPr>
        <w:t xml:space="preserve">lay complaints with the </w:t>
      </w:r>
      <w:r w:rsidR="00EB2326">
        <w:rPr>
          <w:sz w:val="24"/>
          <w:szCs w:val="24"/>
        </w:rPr>
        <w:t>UN</w:t>
      </w:r>
      <w:r>
        <w:rPr>
          <w:sz w:val="24"/>
          <w:szCs w:val="24"/>
        </w:rPr>
        <w:t>CRPD Committee.</w:t>
      </w:r>
    </w:p>
    <w:p w:rsidR="00AE2E86" w:rsidRDefault="00AE2E86" w:rsidP="00277AB3">
      <w:pPr>
        <w:pStyle w:val="ListParagraph"/>
        <w:ind w:left="0"/>
        <w:jc w:val="both"/>
        <w:rPr>
          <w:sz w:val="24"/>
          <w:szCs w:val="24"/>
        </w:rPr>
      </w:pPr>
    </w:p>
    <w:p w:rsidR="003775DB" w:rsidRPr="00E74B7C" w:rsidRDefault="003775DB" w:rsidP="00277AB3">
      <w:pPr>
        <w:pStyle w:val="ListParagraph"/>
        <w:ind w:left="0"/>
        <w:jc w:val="both"/>
        <w:rPr>
          <w:b/>
          <w:sz w:val="24"/>
          <w:szCs w:val="24"/>
        </w:rPr>
      </w:pPr>
      <w:r w:rsidRPr="00E74B7C">
        <w:rPr>
          <w:b/>
          <w:sz w:val="24"/>
          <w:szCs w:val="24"/>
        </w:rPr>
        <w:t>Example</w:t>
      </w:r>
    </w:p>
    <w:p w:rsidR="00AE2E86" w:rsidRDefault="00AE2E86" w:rsidP="00C37482">
      <w:pPr>
        <w:pStyle w:val="ListParagraph"/>
        <w:ind w:left="0"/>
        <w:jc w:val="both"/>
        <w:rPr>
          <w:sz w:val="24"/>
          <w:szCs w:val="24"/>
        </w:rPr>
      </w:pPr>
    </w:p>
    <w:p w:rsidR="006201C1" w:rsidRDefault="006201C1" w:rsidP="006201C1">
      <w:pPr>
        <w:pStyle w:val="ListParagraph"/>
        <w:ind w:left="0"/>
        <w:jc w:val="both"/>
        <w:rPr>
          <w:sz w:val="24"/>
          <w:szCs w:val="24"/>
        </w:rPr>
      </w:pPr>
      <w:r>
        <w:rPr>
          <w:sz w:val="24"/>
          <w:szCs w:val="24"/>
        </w:rPr>
        <w:t>By OECD standards New Zealand’s rate of Compulsory Treatment Orders is high by and steadily increasing. Most other jurisdictions with rates of this kind view it as a social problem to be ameliorated.</w:t>
      </w:r>
      <w:r>
        <w:rPr>
          <w:rStyle w:val="FootnoteReference"/>
          <w:sz w:val="24"/>
          <w:szCs w:val="24"/>
        </w:rPr>
        <w:footnoteReference w:id="98"/>
      </w:r>
      <w:r>
        <w:rPr>
          <w:sz w:val="24"/>
          <w:szCs w:val="24"/>
        </w:rPr>
        <w:t xml:space="preserve"> </w:t>
      </w:r>
      <w:r w:rsidR="00C37482">
        <w:rPr>
          <w:sz w:val="24"/>
          <w:szCs w:val="24"/>
        </w:rPr>
        <w:t xml:space="preserve">In 2011, </w:t>
      </w:r>
      <w:r w:rsidR="00C37482" w:rsidRPr="007B00FE">
        <w:rPr>
          <w:rFonts w:cs="Arial"/>
          <w:color w:val="000000"/>
          <w:kern w:val="24"/>
          <w:sz w:val="24"/>
          <w:szCs w:val="24"/>
          <w:lang w:eastAsia="en-NZ"/>
        </w:rPr>
        <w:t>4181</w:t>
      </w:r>
      <w:r w:rsidR="003775DB">
        <w:rPr>
          <w:sz w:val="24"/>
          <w:szCs w:val="24"/>
        </w:rPr>
        <w:t xml:space="preserve"> </w:t>
      </w:r>
      <w:r w:rsidR="00C37482">
        <w:rPr>
          <w:sz w:val="24"/>
          <w:szCs w:val="24"/>
        </w:rPr>
        <w:t xml:space="preserve">applications for </w:t>
      </w:r>
      <w:r w:rsidR="003775DB">
        <w:rPr>
          <w:sz w:val="24"/>
          <w:szCs w:val="24"/>
        </w:rPr>
        <w:t xml:space="preserve">Compulsory Treatment Orders under the Mental Health Act 1993 </w:t>
      </w:r>
      <w:r w:rsidR="00C37482">
        <w:rPr>
          <w:sz w:val="24"/>
          <w:szCs w:val="24"/>
        </w:rPr>
        <w:t xml:space="preserve">were granted. Of 1070 applications for review by the family court/district court, 592 were granted and only 37 </w:t>
      </w:r>
      <w:r w:rsidR="0044500E">
        <w:rPr>
          <w:sz w:val="24"/>
          <w:szCs w:val="24"/>
        </w:rPr>
        <w:t xml:space="preserve">people were </w:t>
      </w:r>
      <w:r w:rsidR="00C37482">
        <w:rPr>
          <w:sz w:val="24"/>
          <w:szCs w:val="24"/>
        </w:rPr>
        <w:t>released</w:t>
      </w:r>
      <w:r w:rsidR="0044500E">
        <w:rPr>
          <w:sz w:val="24"/>
          <w:szCs w:val="24"/>
        </w:rPr>
        <w:t xml:space="preserve"> from </w:t>
      </w:r>
      <w:r w:rsidR="00D44118">
        <w:rPr>
          <w:sz w:val="24"/>
          <w:szCs w:val="24"/>
        </w:rPr>
        <w:t xml:space="preserve">a </w:t>
      </w:r>
      <w:r w:rsidR="0044500E">
        <w:rPr>
          <w:sz w:val="24"/>
          <w:szCs w:val="24"/>
        </w:rPr>
        <w:t>CTO</w:t>
      </w:r>
      <w:r w:rsidR="00C37482">
        <w:rPr>
          <w:sz w:val="24"/>
          <w:szCs w:val="24"/>
        </w:rPr>
        <w:t>. Of 144 applications for review by the Mental Health Review Tribunal</w:t>
      </w:r>
      <w:r w:rsidR="0044500E">
        <w:rPr>
          <w:sz w:val="24"/>
          <w:szCs w:val="24"/>
        </w:rPr>
        <w:t>,</w:t>
      </w:r>
      <w:r w:rsidR="00C37482">
        <w:rPr>
          <w:sz w:val="24"/>
          <w:szCs w:val="24"/>
        </w:rPr>
        <w:t xml:space="preserve"> only 72 were heard and of those</w:t>
      </w:r>
      <w:r w:rsidR="00D44118">
        <w:rPr>
          <w:sz w:val="24"/>
          <w:szCs w:val="24"/>
        </w:rPr>
        <w:t>,</w:t>
      </w:r>
      <w:r w:rsidR="00C37482">
        <w:rPr>
          <w:sz w:val="24"/>
          <w:szCs w:val="24"/>
        </w:rPr>
        <w:t xml:space="preserve"> only 2 people were released from</w:t>
      </w:r>
      <w:r w:rsidR="00D44118">
        <w:rPr>
          <w:sz w:val="24"/>
          <w:szCs w:val="24"/>
        </w:rPr>
        <w:t xml:space="preserve"> the Act</w:t>
      </w:r>
      <w:r w:rsidR="00C37482">
        <w:rPr>
          <w:sz w:val="24"/>
          <w:szCs w:val="24"/>
        </w:rPr>
        <w:t xml:space="preserve">. </w:t>
      </w:r>
      <w:r w:rsidR="00D44118">
        <w:rPr>
          <w:sz w:val="24"/>
          <w:szCs w:val="24"/>
        </w:rPr>
        <w:t>These are often people who have been subject to forced treatment for many years.</w:t>
      </w:r>
      <w:r>
        <w:rPr>
          <w:rStyle w:val="FootnoteReference"/>
          <w:sz w:val="24"/>
          <w:szCs w:val="24"/>
        </w:rPr>
        <w:footnoteReference w:id="99"/>
      </w:r>
      <w:r>
        <w:rPr>
          <w:sz w:val="24"/>
          <w:szCs w:val="24"/>
        </w:rPr>
        <w:t xml:space="preserve">Compulsory Treatment Orders are often used indefinitely, and effectively operative in a manner akin to preventative detention in the criminal justice system. </w:t>
      </w:r>
    </w:p>
    <w:p w:rsidR="006201C1" w:rsidRDefault="006201C1" w:rsidP="00C37482">
      <w:pPr>
        <w:pStyle w:val="ListParagraph"/>
        <w:ind w:left="0"/>
        <w:jc w:val="both"/>
        <w:rPr>
          <w:sz w:val="24"/>
          <w:szCs w:val="24"/>
        </w:rPr>
      </w:pPr>
    </w:p>
    <w:p w:rsidR="006201C1" w:rsidRDefault="00C37482" w:rsidP="006201C1">
      <w:pPr>
        <w:pStyle w:val="ListParagraph"/>
        <w:ind w:left="0"/>
        <w:jc w:val="both"/>
        <w:rPr>
          <w:sz w:val="24"/>
          <w:szCs w:val="24"/>
        </w:rPr>
      </w:pPr>
      <w:r>
        <w:rPr>
          <w:sz w:val="24"/>
          <w:szCs w:val="24"/>
        </w:rPr>
        <w:t xml:space="preserve">The current government has no </w:t>
      </w:r>
      <w:r w:rsidR="006201C1">
        <w:rPr>
          <w:sz w:val="24"/>
          <w:szCs w:val="24"/>
        </w:rPr>
        <w:t xml:space="preserve">current </w:t>
      </w:r>
      <w:r>
        <w:rPr>
          <w:sz w:val="24"/>
          <w:szCs w:val="24"/>
        </w:rPr>
        <w:t>plans to address the review of the Mental Health Act 1993 or to address the high rates of CTOs. This effectively means that people under CTOS have no other avenues for redress.</w:t>
      </w:r>
      <w:r>
        <w:rPr>
          <w:rStyle w:val="FootnoteReference"/>
          <w:sz w:val="24"/>
          <w:szCs w:val="24"/>
        </w:rPr>
        <w:footnoteReference w:id="100"/>
      </w:r>
      <w:r>
        <w:rPr>
          <w:sz w:val="24"/>
          <w:szCs w:val="24"/>
        </w:rPr>
        <w:t xml:space="preserve"> </w:t>
      </w:r>
    </w:p>
    <w:p w:rsidR="00964384" w:rsidRPr="00001B0D" w:rsidRDefault="00964384" w:rsidP="00832154">
      <w:pPr>
        <w:pStyle w:val="Heading2"/>
      </w:pPr>
      <w:bookmarkStart w:id="36" w:name="_Toc420885858"/>
      <w:r w:rsidRPr="00001B0D">
        <w:t>Reasonable Accommodation</w:t>
      </w:r>
      <w:bookmarkEnd w:id="36"/>
    </w:p>
    <w:p w:rsidR="00832154" w:rsidRDefault="00832154" w:rsidP="00B24DEF">
      <w:pPr>
        <w:rPr>
          <w:sz w:val="24"/>
          <w:szCs w:val="24"/>
        </w:rPr>
      </w:pPr>
    </w:p>
    <w:p w:rsidR="00B24DEF" w:rsidRPr="00782B5E" w:rsidRDefault="00B24DEF" w:rsidP="00B24DEF">
      <w:pPr>
        <w:rPr>
          <w:sz w:val="24"/>
          <w:szCs w:val="24"/>
        </w:rPr>
      </w:pPr>
      <w:r>
        <w:rPr>
          <w:sz w:val="24"/>
          <w:szCs w:val="24"/>
        </w:rPr>
        <w:lastRenderedPageBreak/>
        <w:t>New Zealand legislation does not cur</w:t>
      </w:r>
      <w:r w:rsidR="00D66A11">
        <w:rPr>
          <w:sz w:val="24"/>
          <w:szCs w:val="24"/>
        </w:rPr>
        <w:t>rently provide a definition of Reasonable Ac</w:t>
      </w:r>
      <w:r>
        <w:rPr>
          <w:sz w:val="24"/>
          <w:szCs w:val="24"/>
        </w:rPr>
        <w:t xml:space="preserve">commodation </w:t>
      </w:r>
      <w:r w:rsidR="00964384">
        <w:rPr>
          <w:sz w:val="24"/>
          <w:szCs w:val="24"/>
        </w:rPr>
        <w:t xml:space="preserve">in the </w:t>
      </w:r>
      <w:r w:rsidR="00C75244">
        <w:rPr>
          <w:sz w:val="24"/>
          <w:szCs w:val="24"/>
        </w:rPr>
        <w:t xml:space="preserve">Bill of Rights Act 1990 </w:t>
      </w:r>
      <w:r w:rsidR="00964384">
        <w:rPr>
          <w:sz w:val="24"/>
          <w:szCs w:val="24"/>
        </w:rPr>
        <w:t>or the Human Rights Act 1993. There is widespread lack of understan</w:t>
      </w:r>
      <w:r w:rsidR="00D66A11">
        <w:rPr>
          <w:sz w:val="24"/>
          <w:szCs w:val="24"/>
        </w:rPr>
        <w:t>ding of Reasonable Acc</w:t>
      </w:r>
      <w:r w:rsidR="00964384">
        <w:rPr>
          <w:sz w:val="24"/>
          <w:szCs w:val="24"/>
        </w:rPr>
        <w:t xml:space="preserve">ommodation across all spheres of society (e.g. education, employment, </w:t>
      </w:r>
      <w:r w:rsidR="005A5EDC">
        <w:rPr>
          <w:sz w:val="24"/>
          <w:szCs w:val="24"/>
        </w:rPr>
        <w:t>local government</w:t>
      </w:r>
      <w:r w:rsidR="00964384">
        <w:rPr>
          <w:sz w:val="24"/>
          <w:szCs w:val="24"/>
        </w:rPr>
        <w:t xml:space="preserve">, public information). </w:t>
      </w:r>
      <w:r>
        <w:rPr>
          <w:sz w:val="24"/>
          <w:szCs w:val="24"/>
        </w:rPr>
        <w:t>This means that ju</w:t>
      </w:r>
      <w:r w:rsidR="006201C1">
        <w:rPr>
          <w:sz w:val="24"/>
          <w:szCs w:val="24"/>
        </w:rPr>
        <w:t xml:space="preserve">dgements about what counts as </w:t>
      </w:r>
      <w:r w:rsidR="00D66A11">
        <w:rPr>
          <w:sz w:val="24"/>
          <w:szCs w:val="24"/>
        </w:rPr>
        <w:t>Reasonable A</w:t>
      </w:r>
      <w:r w:rsidR="006201C1">
        <w:rPr>
          <w:sz w:val="24"/>
          <w:szCs w:val="24"/>
        </w:rPr>
        <w:t>ccommodation</w:t>
      </w:r>
      <w:r>
        <w:rPr>
          <w:sz w:val="24"/>
          <w:szCs w:val="24"/>
        </w:rPr>
        <w:t xml:space="preserve"> are made by people in positions of power (e.g. employers, educators, landlords, local councils) who often lack </w:t>
      </w:r>
      <w:proofErr w:type="gramStart"/>
      <w:r>
        <w:rPr>
          <w:sz w:val="24"/>
          <w:szCs w:val="24"/>
        </w:rPr>
        <w:t>understanding  of</w:t>
      </w:r>
      <w:proofErr w:type="gramEnd"/>
      <w:r>
        <w:rPr>
          <w:sz w:val="24"/>
          <w:szCs w:val="24"/>
        </w:rPr>
        <w:t xml:space="preserve"> a social model of disability, disabled people’s human rights,  or the UNCRPD. </w:t>
      </w:r>
    </w:p>
    <w:p w:rsidR="00B24DEF" w:rsidRDefault="00B24DEF" w:rsidP="00964384">
      <w:pPr>
        <w:rPr>
          <w:sz w:val="24"/>
          <w:szCs w:val="24"/>
        </w:rPr>
      </w:pPr>
    </w:p>
    <w:p w:rsidR="00B24DEF" w:rsidRDefault="00964384" w:rsidP="00964384">
      <w:pPr>
        <w:rPr>
          <w:sz w:val="24"/>
          <w:szCs w:val="24"/>
        </w:rPr>
      </w:pPr>
      <w:r>
        <w:rPr>
          <w:sz w:val="24"/>
          <w:szCs w:val="24"/>
        </w:rPr>
        <w:t>Although the Office for Disability Issues provides guidelines on reasonable and appropriate ac</w:t>
      </w:r>
      <w:r w:rsidR="005A5EDC">
        <w:rPr>
          <w:sz w:val="24"/>
          <w:szCs w:val="24"/>
        </w:rPr>
        <w:t>commodations, these are not</w:t>
      </w:r>
      <w:r w:rsidR="006201C1">
        <w:rPr>
          <w:sz w:val="24"/>
          <w:szCs w:val="24"/>
        </w:rPr>
        <w:t xml:space="preserve"> well known</w:t>
      </w:r>
      <w:r>
        <w:rPr>
          <w:sz w:val="24"/>
          <w:szCs w:val="24"/>
        </w:rPr>
        <w:t>.</w:t>
      </w:r>
      <w:r>
        <w:rPr>
          <w:rStyle w:val="FootnoteReference"/>
          <w:sz w:val="24"/>
          <w:szCs w:val="24"/>
        </w:rPr>
        <w:footnoteReference w:id="101"/>
      </w:r>
      <w:r>
        <w:rPr>
          <w:sz w:val="24"/>
          <w:szCs w:val="24"/>
        </w:rPr>
        <w:t xml:space="preserve"> </w:t>
      </w:r>
      <w:r w:rsidR="006201C1">
        <w:rPr>
          <w:sz w:val="24"/>
          <w:szCs w:val="24"/>
        </w:rPr>
        <w:t>I</w:t>
      </w:r>
      <w:r>
        <w:rPr>
          <w:sz w:val="24"/>
          <w:szCs w:val="24"/>
        </w:rPr>
        <w:t xml:space="preserve">n the absence of a legal definition, and </w:t>
      </w:r>
      <w:r w:rsidR="006201C1">
        <w:rPr>
          <w:sz w:val="24"/>
          <w:szCs w:val="24"/>
        </w:rPr>
        <w:t xml:space="preserve">the </w:t>
      </w:r>
      <w:r>
        <w:rPr>
          <w:sz w:val="24"/>
          <w:szCs w:val="24"/>
        </w:rPr>
        <w:t>absence of legal</w:t>
      </w:r>
      <w:r w:rsidR="00D66A11">
        <w:rPr>
          <w:sz w:val="24"/>
          <w:szCs w:val="24"/>
        </w:rPr>
        <w:t xml:space="preserve"> consequences for not ensuring R</w:t>
      </w:r>
      <w:r>
        <w:rPr>
          <w:sz w:val="24"/>
          <w:szCs w:val="24"/>
        </w:rPr>
        <w:t xml:space="preserve">easonable </w:t>
      </w:r>
      <w:r w:rsidR="00D66A11">
        <w:rPr>
          <w:sz w:val="24"/>
          <w:szCs w:val="24"/>
        </w:rPr>
        <w:t>A</w:t>
      </w:r>
      <w:r w:rsidR="005A5EDC">
        <w:rPr>
          <w:sz w:val="24"/>
          <w:szCs w:val="24"/>
        </w:rPr>
        <w:t>ccommodation requirements are met</w:t>
      </w:r>
      <w:r>
        <w:rPr>
          <w:sz w:val="24"/>
          <w:szCs w:val="24"/>
        </w:rPr>
        <w:t>, there is little incentive for those in positions of p</w:t>
      </w:r>
      <w:r w:rsidR="00B24DEF">
        <w:rPr>
          <w:sz w:val="24"/>
          <w:szCs w:val="24"/>
        </w:rPr>
        <w:t>ower to adhere to the UNCRPD</w:t>
      </w:r>
      <w:r>
        <w:rPr>
          <w:sz w:val="24"/>
          <w:szCs w:val="24"/>
        </w:rPr>
        <w:t xml:space="preserve">. </w:t>
      </w:r>
    </w:p>
    <w:p w:rsidR="00AE2CC2" w:rsidRPr="006E47CD" w:rsidRDefault="00AE2CC2" w:rsidP="00832154">
      <w:pPr>
        <w:pStyle w:val="Heading2"/>
      </w:pPr>
      <w:bookmarkStart w:id="37" w:name="_Toc420885859"/>
      <w:r w:rsidRPr="00110698">
        <w:t>Housing insecurity</w:t>
      </w:r>
      <w:r w:rsidR="00B827C7" w:rsidRPr="00110698">
        <w:t xml:space="preserve">, </w:t>
      </w:r>
      <w:r w:rsidR="00FF0CC0" w:rsidRPr="00110698">
        <w:t>lack of a</w:t>
      </w:r>
      <w:r w:rsidR="00B827C7" w:rsidRPr="00110698">
        <w:t xml:space="preserve">ffordability and </w:t>
      </w:r>
      <w:r w:rsidR="00FF0CC0" w:rsidRPr="00110698">
        <w:t>in</w:t>
      </w:r>
      <w:r w:rsidR="00B827C7" w:rsidRPr="00110698">
        <w:t>accessibility</w:t>
      </w:r>
      <w:bookmarkEnd w:id="37"/>
    </w:p>
    <w:p w:rsidR="00AE2CC2" w:rsidRPr="00110698" w:rsidRDefault="00AE2CC2" w:rsidP="00071041">
      <w:pPr>
        <w:jc w:val="both"/>
        <w:rPr>
          <w:b/>
          <w:sz w:val="24"/>
          <w:szCs w:val="24"/>
        </w:rPr>
      </w:pPr>
    </w:p>
    <w:p w:rsidR="00B827C7" w:rsidRDefault="00B72BB0" w:rsidP="00B827C7">
      <w:pPr>
        <w:jc w:val="both"/>
        <w:rPr>
          <w:sz w:val="24"/>
          <w:szCs w:val="24"/>
        </w:rPr>
      </w:pPr>
      <w:r>
        <w:rPr>
          <w:sz w:val="24"/>
          <w:szCs w:val="24"/>
        </w:rPr>
        <w:t xml:space="preserve">New Zealand is in dire need of an independent Housing Commission and legislative changes that adequately protect tenants from having to live in ‘sick’ </w:t>
      </w:r>
      <w:r w:rsidR="00D11FC0">
        <w:rPr>
          <w:sz w:val="24"/>
          <w:szCs w:val="24"/>
        </w:rPr>
        <w:t xml:space="preserve">open market </w:t>
      </w:r>
      <w:r>
        <w:rPr>
          <w:sz w:val="24"/>
          <w:szCs w:val="24"/>
        </w:rPr>
        <w:t>rental housing. Housing accessibility, affordability, security and quality in New Zealand is a significant social issue that is integrally connected to poverty.</w:t>
      </w:r>
      <w:r>
        <w:rPr>
          <w:rStyle w:val="FootnoteReference"/>
          <w:sz w:val="24"/>
          <w:szCs w:val="24"/>
        </w:rPr>
        <w:footnoteReference w:id="102"/>
      </w:r>
      <w:r>
        <w:rPr>
          <w:sz w:val="24"/>
          <w:szCs w:val="24"/>
        </w:rPr>
        <w:t xml:space="preserve"> </w:t>
      </w:r>
      <w:r>
        <w:rPr>
          <w:rStyle w:val="FootnoteReference"/>
          <w:sz w:val="24"/>
          <w:szCs w:val="24"/>
        </w:rPr>
        <w:footnoteReference w:id="103"/>
      </w:r>
      <w:r>
        <w:rPr>
          <w:sz w:val="24"/>
          <w:szCs w:val="24"/>
        </w:rPr>
        <w:t xml:space="preserve"> </w:t>
      </w:r>
      <w:r>
        <w:rPr>
          <w:rStyle w:val="FootnoteReference"/>
          <w:sz w:val="24"/>
          <w:szCs w:val="24"/>
        </w:rPr>
        <w:footnoteReference w:id="104"/>
      </w:r>
      <w:r>
        <w:rPr>
          <w:sz w:val="24"/>
          <w:szCs w:val="24"/>
        </w:rPr>
        <w:t xml:space="preserve">  Unhealthy homes, is one of the most significant social determinants of poor social and health outcomes; this issue is heightened for disabled people.</w:t>
      </w:r>
      <w:r>
        <w:rPr>
          <w:rStyle w:val="FootnoteReference"/>
          <w:sz w:val="24"/>
          <w:szCs w:val="24"/>
        </w:rPr>
        <w:footnoteReference w:id="105"/>
      </w:r>
      <w:r>
        <w:rPr>
          <w:sz w:val="24"/>
          <w:szCs w:val="24"/>
        </w:rPr>
        <w:t xml:space="preserve"> </w:t>
      </w:r>
      <w:r>
        <w:rPr>
          <w:rStyle w:val="FootnoteReference"/>
          <w:sz w:val="24"/>
          <w:szCs w:val="24"/>
        </w:rPr>
        <w:footnoteReference w:id="106"/>
      </w:r>
    </w:p>
    <w:p w:rsidR="00B827C7" w:rsidRDefault="00B827C7" w:rsidP="00071041">
      <w:pPr>
        <w:jc w:val="both"/>
        <w:rPr>
          <w:sz w:val="24"/>
          <w:szCs w:val="24"/>
        </w:rPr>
      </w:pPr>
    </w:p>
    <w:p w:rsidR="00CF13A7" w:rsidRDefault="00B827C7" w:rsidP="00B827C7">
      <w:pPr>
        <w:jc w:val="both"/>
        <w:rPr>
          <w:sz w:val="24"/>
          <w:szCs w:val="24"/>
        </w:rPr>
      </w:pPr>
      <w:r>
        <w:rPr>
          <w:sz w:val="24"/>
          <w:szCs w:val="24"/>
        </w:rPr>
        <w:t xml:space="preserve">New Zealand has a large stock of open market </w:t>
      </w:r>
      <w:r w:rsidR="00FF0CC0">
        <w:rPr>
          <w:sz w:val="24"/>
          <w:szCs w:val="24"/>
        </w:rPr>
        <w:t xml:space="preserve">(privately owned) </w:t>
      </w:r>
      <w:r>
        <w:rPr>
          <w:sz w:val="24"/>
          <w:szCs w:val="24"/>
        </w:rPr>
        <w:t xml:space="preserve">rental housing that is </w:t>
      </w:r>
      <w:r w:rsidR="00D703F5">
        <w:rPr>
          <w:sz w:val="24"/>
          <w:szCs w:val="24"/>
        </w:rPr>
        <w:t>substandard</w:t>
      </w:r>
      <w:r>
        <w:rPr>
          <w:sz w:val="24"/>
          <w:szCs w:val="24"/>
        </w:rPr>
        <w:t>.</w:t>
      </w:r>
      <w:r w:rsidR="00FF0CC0">
        <w:rPr>
          <w:sz w:val="24"/>
          <w:szCs w:val="24"/>
        </w:rPr>
        <w:t xml:space="preserve"> </w:t>
      </w:r>
      <w:r>
        <w:rPr>
          <w:sz w:val="24"/>
          <w:szCs w:val="24"/>
        </w:rPr>
        <w:t xml:space="preserve">Damp, cold, </w:t>
      </w:r>
      <w:r w:rsidR="00562D42">
        <w:rPr>
          <w:sz w:val="24"/>
          <w:szCs w:val="24"/>
        </w:rPr>
        <w:t xml:space="preserve">mouldy, </w:t>
      </w:r>
      <w:r>
        <w:rPr>
          <w:sz w:val="24"/>
          <w:szCs w:val="24"/>
        </w:rPr>
        <w:t>poorly ventilated and poorly maintained housing is common</w:t>
      </w:r>
      <w:r w:rsidR="00A249AE">
        <w:rPr>
          <w:sz w:val="24"/>
          <w:szCs w:val="24"/>
        </w:rPr>
        <w:t xml:space="preserve"> and contributes to poor health outcomes.</w:t>
      </w:r>
      <w:r w:rsidR="00A249AE">
        <w:rPr>
          <w:rStyle w:val="FootnoteReference"/>
          <w:sz w:val="24"/>
          <w:szCs w:val="24"/>
        </w:rPr>
        <w:footnoteReference w:id="107"/>
      </w:r>
      <w:r w:rsidR="00A249AE">
        <w:rPr>
          <w:sz w:val="24"/>
          <w:szCs w:val="24"/>
        </w:rPr>
        <w:t xml:space="preserve"> </w:t>
      </w:r>
      <w:r w:rsidR="00870B09">
        <w:rPr>
          <w:rStyle w:val="FootnoteReference"/>
          <w:sz w:val="24"/>
          <w:szCs w:val="24"/>
        </w:rPr>
        <w:footnoteReference w:id="108"/>
      </w:r>
      <w:r>
        <w:rPr>
          <w:sz w:val="24"/>
          <w:szCs w:val="24"/>
        </w:rPr>
        <w:t xml:space="preserve"> </w:t>
      </w:r>
      <w:r w:rsidR="00870B09">
        <w:rPr>
          <w:rStyle w:val="FootnoteReference"/>
          <w:sz w:val="24"/>
          <w:szCs w:val="24"/>
        </w:rPr>
        <w:footnoteReference w:id="109"/>
      </w:r>
      <w:r w:rsidR="00A249AE">
        <w:rPr>
          <w:sz w:val="24"/>
          <w:szCs w:val="24"/>
        </w:rPr>
        <w:t xml:space="preserve"> </w:t>
      </w:r>
      <w:r w:rsidR="00A249AE">
        <w:rPr>
          <w:rStyle w:val="FootnoteReference"/>
          <w:sz w:val="24"/>
          <w:szCs w:val="24"/>
        </w:rPr>
        <w:footnoteReference w:id="110"/>
      </w:r>
      <w:r w:rsidR="005102D3">
        <w:rPr>
          <w:sz w:val="24"/>
          <w:szCs w:val="24"/>
        </w:rPr>
        <w:t xml:space="preserve"> </w:t>
      </w:r>
      <w:r w:rsidR="005102D3">
        <w:rPr>
          <w:rStyle w:val="FootnoteReference"/>
          <w:sz w:val="24"/>
          <w:szCs w:val="24"/>
        </w:rPr>
        <w:footnoteReference w:id="111"/>
      </w:r>
      <w:r w:rsidR="00562D42">
        <w:rPr>
          <w:sz w:val="24"/>
          <w:szCs w:val="24"/>
        </w:rPr>
        <w:t>It is common practice for private landlords and property managers to rely on tenants to purchase dehumidifiers (to reduce the</w:t>
      </w:r>
      <w:r w:rsidR="00E84577">
        <w:rPr>
          <w:sz w:val="24"/>
          <w:szCs w:val="24"/>
        </w:rPr>
        <w:t xml:space="preserve"> effects of damp and mould</w:t>
      </w:r>
      <w:r w:rsidR="00562D42">
        <w:rPr>
          <w:sz w:val="24"/>
          <w:szCs w:val="24"/>
        </w:rPr>
        <w:t xml:space="preserve">) </w:t>
      </w:r>
      <w:r w:rsidR="00E84577">
        <w:rPr>
          <w:sz w:val="24"/>
          <w:szCs w:val="24"/>
        </w:rPr>
        <w:t xml:space="preserve">and adequate forms of heating. Tenants then also have to pay the high </w:t>
      </w:r>
      <w:r w:rsidR="00562D42">
        <w:rPr>
          <w:sz w:val="24"/>
          <w:szCs w:val="24"/>
        </w:rPr>
        <w:t xml:space="preserve">associated </w:t>
      </w:r>
      <w:r w:rsidR="00E84577">
        <w:rPr>
          <w:sz w:val="24"/>
          <w:szCs w:val="24"/>
        </w:rPr>
        <w:t xml:space="preserve">costs of </w:t>
      </w:r>
      <w:r w:rsidR="00562D42">
        <w:rPr>
          <w:sz w:val="24"/>
          <w:szCs w:val="24"/>
        </w:rPr>
        <w:t xml:space="preserve">electricity. </w:t>
      </w:r>
      <w:r w:rsidR="00A249AE">
        <w:rPr>
          <w:sz w:val="24"/>
          <w:szCs w:val="24"/>
        </w:rPr>
        <w:t xml:space="preserve">There is currently no requirement for rental housing to be </w:t>
      </w:r>
      <w:r w:rsidR="006201C1">
        <w:rPr>
          <w:sz w:val="24"/>
          <w:szCs w:val="24"/>
        </w:rPr>
        <w:t>dry and accessible, or</w:t>
      </w:r>
      <w:r w:rsidR="007E2660">
        <w:rPr>
          <w:sz w:val="24"/>
          <w:szCs w:val="24"/>
        </w:rPr>
        <w:t xml:space="preserve"> for owners to provide safe, </w:t>
      </w:r>
      <w:r w:rsidR="006201C1">
        <w:rPr>
          <w:sz w:val="24"/>
          <w:szCs w:val="24"/>
        </w:rPr>
        <w:t>effective</w:t>
      </w:r>
      <w:r w:rsidR="007E2660">
        <w:rPr>
          <w:sz w:val="24"/>
          <w:szCs w:val="24"/>
        </w:rPr>
        <w:t>, and cost and energy efficient</w:t>
      </w:r>
      <w:r w:rsidR="006201C1">
        <w:rPr>
          <w:sz w:val="24"/>
          <w:szCs w:val="24"/>
        </w:rPr>
        <w:t xml:space="preserve"> heating</w:t>
      </w:r>
      <w:r w:rsidR="001F07A5">
        <w:rPr>
          <w:sz w:val="24"/>
          <w:szCs w:val="24"/>
        </w:rPr>
        <w:t>. D</w:t>
      </w:r>
      <w:r w:rsidR="00A249AE">
        <w:rPr>
          <w:sz w:val="24"/>
          <w:szCs w:val="24"/>
        </w:rPr>
        <w:t xml:space="preserve">isabled people are </w:t>
      </w:r>
      <w:r w:rsidR="001F07A5">
        <w:rPr>
          <w:sz w:val="24"/>
          <w:szCs w:val="24"/>
        </w:rPr>
        <w:t xml:space="preserve">typically </w:t>
      </w:r>
      <w:r w:rsidR="00A249AE">
        <w:rPr>
          <w:sz w:val="24"/>
          <w:szCs w:val="24"/>
        </w:rPr>
        <w:t>not eligible for funding for modifications to rental housing.</w:t>
      </w:r>
    </w:p>
    <w:p w:rsidR="00A249AE" w:rsidRDefault="00A249AE" w:rsidP="00B827C7">
      <w:pPr>
        <w:jc w:val="both"/>
        <w:rPr>
          <w:sz w:val="24"/>
          <w:szCs w:val="24"/>
        </w:rPr>
      </w:pPr>
    </w:p>
    <w:p w:rsidR="006201C1" w:rsidRDefault="00B827C7" w:rsidP="00071041">
      <w:pPr>
        <w:jc w:val="both"/>
        <w:rPr>
          <w:sz w:val="24"/>
          <w:szCs w:val="24"/>
        </w:rPr>
      </w:pPr>
      <w:r>
        <w:rPr>
          <w:sz w:val="24"/>
          <w:szCs w:val="24"/>
        </w:rPr>
        <w:t xml:space="preserve">The high cost of rental housing </w:t>
      </w:r>
      <w:r w:rsidR="00E16911">
        <w:rPr>
          <w:sz w:val="24"/>
          <w:szCs w:val="24"/>
        </w:rPr>
        <w:t xml:space="preserve">frequently </w:t>
      </w:r>
      <w:r>
        <w:rPr>
          <w:sz w:val="24"/>
          <w:szCs w:val="24"/>
        </w:rPr>
        <w:t>forces people to live</w:t>
      </w:r>
      <w:r w:rsidR="00CF13A7">
        <w:rPr>
          <w:sz w:val="24"/>
          <w:szCs w:val="24"/>
        </w:rPr>
        <w:t xml:space="preserve"> with others, often</w:t>
      </w:r>
      <w:r>
        <w:rPr>
          <w:sz w:val="24"/>
          <w:szCs w:val="24"/>
        </w:rPr>
        <w:t xml:space="preserve"> in overcrowded conditions</w:t>
      </w:r>
      <w:r w:rsidR="00FF0CC0">
        <w:rPr>
          <w:sz w:val="24"/>
          <w:szCs w:val="24"/>
        </w:rPr>
        <w:t>,</w:t>
      </w:r>
      <w:r w:rsidR="00425014">
        <w:rPr>
          <w:sz w:val="24"/>
          <w:szCs w:val="24"/>
        </w:rPr>
        <w:t xml:space="preserve"> and this</w:t>
      </w:r>
      <w:r>
        <w:rPr>
          <w:sz w:val="24"/>
          <w:szCs w:val="24"/>
        </w:rPr>
        <w:t xml:space="preserve"> contributes to disease and </w:t>
      </w:r>
      <w:r w:rsidR="00FE6683">
        <w:rPr>
          <w:sz w:val="24"/>
          <w:szCs w:val="24"/>
        </w:rPr>
        <w:t>illness</w:t>
      </w:r>
      <w:r w:rsidR="00425014">
        <w:rPr>
          <w:sz w:val="24"/>
          <w:szCs w:val="24"/>
        </w:rPr>
        <w:t xml:space="preserve"> </w:t>
      </w:r>
      <w:r w:rsidR="00E16911">
        <w:rPr>
          <w:sz w:val="24"/>
          <w:szCs w:val="24"/>
        </w:rPr>
        <w:t xml:space="preserve">that </w:t>
      </w:r>
      <w:r w:rsidR="00425014">
        <w:rPr>
          <w:sz w:val="24"/>
          <w:szCs w:val="24"/>
        </w:rPr>
        <w:t>exacerbates disability.</w:t>
      </w:r>
      <w:r w:rsidR="00870B09">
        <w:rPr>
          <w:rStyle w:val="FootnoteReference"/>
          <w:sz w:val="24"/>
          <w:szCs w:val="24"/>
        </w:rPr>
        <w:footnoteReference w:id="112"/>
      </w:r>
      <w:r>
        <w:rPr>
          <w:sz w:val="24"/>
          <w:szCs w:val="24"/>
        </w:rPr>
        <w:t xml:space="preserve"> New Zealand has third world diseases as a result of overcrowding and poverty.</w:t>
      </w:r>
      <w:r w:rsidR="00E16911">
        <w:rPr>
          <w:rStyle w:val="FootnoteReference"/>
          <w:sz w:val="24"/>
          <w:szCs w:val="24"/>
        </w:rPr>
        <w:footnoteReference w:id="113"/>
      </w:r>
      <w:r>
        <w:rPr>
          <w:sz w:val="24"/>
          <w:szCs w:val="24"/>
        </w:rPr>
        <w:t xml:space="preserve"> </w:t>
      </w:r>
    </w:p>
    <w:p w:rsidR="006201C1" w:rsidRDefault="006201C1" w:rsidP="00071041">
      <w:pPr>
        <w:jc w:val="both"/>
        <w:rPr>
          <w:sz w:val="24"/>
          <w:szCs w:val="24"/>
        </w:rPr>
      </w:pPr>
    </w:p>
    <w:p w:rsidR="001C1F6C" w:rsidRDefault="006201C1" w:rsidP="00071041">
      <w:pPr>
        <w:jc w:val="both"/>
        <w:rPr>
          <w:sz w:val="24"/>
          <w:szCs w:val="24"/>
        </w:rPr>
      </w:pPr>
      <w:r>
        <w:rPr>
          <w:sz w:val="24"/>
          <w:szCs w:val="24"/>
        </w:rPr>
        <w:t xml:space="preserve">Some groups of disabled </w:t>
      </w:r>
      <w:r w:rsidR="00CF13A7">
        <w:rPr>
          <w:sz w:val="24"/>
          <w:szCs w:val="24"/>
        </w:rPr>
        <w:t xml:space="preserve">people </w:t>
      </w:r>
      <w:r>
        <w:rPr>
          <w:sz w:val="24"/>
          <w:szCs w:val="24"/>
        </w:rPr>
        <w:t>are forced to reso</w:t>
      </w:r>
      <w:r w:rsidR="001F07A5">
        <w:rPr>
          <w:sz w:val="24"/>
          <w:szCs w:val="24"/>
        </w:rPr>
        <w:t xml:space="preserve">rt to </w:t>
      </w:r>
      <w:r w:rsidR="00CF13A7">
        <w:rPr>
          <w:sz w:val="24"/>
          <w:szCs w:val="24"/>
        </w:rPr>
        <w:t xml:space="preserve">Boarding Houses </w:t>
      </w:r>
      <w:r w:rsidR="00EE70AF">
        <w:rPr>
          <w:sz w:val="24"/>
          <w:szCs w:val="24"/>
        </w:rPr>
        <w:t xml:space="preserve">or caravan </w:t>
      </w:r>
      <w:r>
        <w:rPr>
          <w:sz w:val="24"/>
          <w:szCs w:val="24"/>
        </w:rPr>
        <w:t>parks</w:t>
      </w:r>
      <w:r w:rsidR="00CF13A7">
        <w:rPr>
          <w:sz w:val="24"/>
          <w:szCs w:val="24"/>
        </w:rPr>
        <w:t>.</w:t>
      </w:r>
      <w:r w:rsidR="00425014">
        <w:rPr>
          <w:rStyle w:val="FootnoteReference"/>
          <w:sz w:val="24"/>
          <w:szCs w:val="24"/>
        </w:rPr>
        <w:footnoteReference w:id="114"/>
      </w:r>
      <w:r w:rsidR="00CF13A7">
        <w:rPr>
          <w:sz w:val="24"/>
          <w:szCs w:val="24"/>
        </w:rPr>
        <w:t xml:space="preserve"> Boarding houses and caravan parks are run by private landlords who provide notoriously substandard accommodation</w:t>
      </w:r>
      <w:r w:rsidR="00A249AE">
        <w:rPr>
          <w:sz w:val="24"/>
          <w:szCs w:val="24"/>
        </w:rPr>
        <w:t>,</w:t>
      </w:r>
      <w:r w:rsidR="00EE70AF">
        <w:rPr>
          <w:sz w:val="24"/>
          <w:szCs w:val="24"/>
        </w:rPr>
        <w:t xml:space="preserve"> at exorbitant rates</w:t>
      </w:r>
      <w:r w:rsidR="00CF13A7">
        <w:rPr>
          <w:sz w:val="24"/>
          <w:szCs w:val="24"/>
        </w:rPr>
        <w:t xml:space="preserve">, with fines imposed for various </w:t>
      </w:r>
      <w:r w:rsidR="00EE70AF">
        <w:rPr>
          <w:sz w:val="24"/>
          <w:szCs w:val="24"/>
        </w:rPr>
        <w:t>tenant</w:t>
      </w:r>
      <w:r w:rsidR="00CF13A7">
        <w:rPr>
          <w:sz w:val="24"/>
          <w:szCs w:val="24"/>
        </w:rPr>
        <w:t xml:space="preserve"> misdemeanours.</w:t>
      </w:r>
      <w:r w:rsidR="00906E3F">
        <w:rPr>
          <w:rStyle w:val="FootnoteReference"/>
          <w:sz w:val="24"/>
          <w:szCs w:val="24"/>
        </w:rPr>
        <w:footnoteReference w:id="115"/>
      </w:r>
      <w:r w:rsidR="00CF13A7">
        <w:rPr>
          <w:sz w:val="24"/>
          <w:szCs w:val="24"/>
        </w:rPr>
        <w:t xml:space="preserve"> Like all other </w:t>
      </w:r>
      <w:r w:rsidR="00A249AE">
        <w:rPr>
          <w:sz w:val="24"/>
          <w:szCs w:val="24"/>
        </w:rPr>
        <w:t xml:space="preserve">open market </w:t>
      </w:r>
      <w:r w:rsidR="00CF13A7">
        <w:rPr>
          <w:sz w:val="24"/>
          <w:szCs w:val="24"/>
        </w:rPr>
        <w:t>rental accom</w:t>
      </w:r>
      <w:r w:rsidR="001F524B">
        <w:rPr>
          <w:sz w:val="24"/>
          <w:szCs w:val="24"/>
        </w:rPr>
        <w:t>m</w:t>
      </w:r>
      <w:r w:rsidR="00CF13A7">
        <w:rPr>
          <w:sz w:val="24"/>
          <w:szCs w:val="24"/>
        </w:rPr>
        <w:t xml:space="preserve">odation, there is no </w:t>
      </w:r>
      <w:r w:rsidR="001F07A5">
        <w:rPr>
          <w:sz w:val="24"/>
          <w:szCs w:val="24"/>
        </w:rPr>
        <w:t xml:space="preserve">effective mechanism to ensure </w:t>
      </w:r>
      <w:r w:rsidR="00CF13A7">
        <w:rPr>
          <w:sz w:val="24"/>
          <w:szCs w:val="24"/>
        </w:rPr>
        <w:t xml:space="preserve">these premises </w:t>
      </w:r>
      <w:r w:rsidR="001F07A5">
        <w:rPr>
          <w:sz w:val="24"/>
          <w:szCs w:val="24"/>
        </w:rPr>
        <w:t xml:space="preserve">are </w:t>
      </w:r>
      <w:r w:rsidR="00CF13A7">
        <w:rPr>
          <w:sz w:val="24"/>
          <w:szCs w:val="24"/>
        </w:rPr>
        <w:t>acce</w:t>
      </w:r>
      <w:r w:rsidR="00A249AE">
        <w:rPr>
          <w:sz w:val="24"/>
          <w:szCs w:val="24"/>
        </w:rPr>
        <w:t xml:space="preserve">ssible, warm, dry, insulated, </w:t>
      </w:r>
      <w:r w:rsidR="001F07A5">
        <w:rPr>
          <w:sz w:val="24"/>
          <w:szCs w:val="24"/>
        </w:rPr>
        <w:t xml:space="preserve">or </w:t>
      </w:r>
      <w:r w:rsidR="00CF13A7">
        <w:rPr>
          <w:sz w:val="24"/>
          <w:szCs w:val="24"/>
        </w:rPr>
        <w:t>healthy</w:t>
      </w:r>
      <w:r w:rsidR="00A249AE">
        <w:rPr>
          <w:sz w:val="24"/>
          <w:szCs w:val="24"/>
        </w:rPr>
        <w:t xml:space="preserve"> </w:t>
      </w:r>
      <w:r w:rsidR="001F07A5">
        <w:rPr>
          <w:sz w:val="24"/>
          <w:szCs w:val="24"/>
        </w:rPr>
        <w:t>environment</w:t>
      </w:r>
      <w:r w:rsidR="00A249AE">
        <w:rPr>
          <w:sz w:val="24"/>
          <w:szCs w:val="24"/>
        </w:rPr>
        <w:t>s</w:t>
      </w:r>
      <w:r w:rsidR="00DE3C89">
        <w:rPr>
          <w:sz w:val="24"/>
          <w:szCs w:val="24"/>
        </w:rPr>
        <w:t xml:space="preserve">. </w:t>
      </w:r>
    </w:p>
    <w:p w:rsidR="004006C4" w:rsidRDefault="004006C4" w:rsidP="00071041">
      <w:pPr>
        <w:jc w:val="both"/>
        <w:rPr>
          <w:sz w:val="24"/>
          <w:szCs w:val="24"/>
        </w:rPr>
      </w:pPr>
    </w:p>
    <w:p w:rsidR="00B827C7" w:rsidRDefault="00B827C7" w:rsidP="00071041">
      <w:pPr>
        <w:jc w:val="both"/>
        <w:rPr>
          <w:sz w:val="24"/>
          <w:szCs w:val="24"/>
        </w:rPr>
      </w:pPr>
      <w:r>
        <w:rPr>
          <w:sz w:val="24"/>
          <w:szCs w:val="24"/>
        </w:rPr>
        <w:t xml:space="preserve">There is no </w:t>
      </w:r>
      <w:r w:rsidR="004006C4">
        <w:rPr>
          <w:sz w:val="24"/>
          <w:szCs w:val="24"/>
        </w:rPr>
        <w:t xml:space="preserve">effective oversight of private landlords or property managers, and the </w:t>
      </w:r>
      <w:r>
        <w:rPr>
          <w:sz w:val="24"/>
          <w:szCs w:val="24"/>
        </w:rPr>
        <w:t xml:space="preserve">complaints </w:t>
      </w:r>
      <w:r w:rsidR="009E710F">
        <w:rPr>
          <w:sz w:val="24"/>
          <w:szCs w:val="24"/>
        </w:rPr>
        <w:t>process is inadequate for</w:t>
      </w:r>
      <w:r w:rsidR="004006C4">
        <w:rPr>
          <w:sz w:val="24"/>
          <w:szCs w:val="24"/>
        </w:rPr>
        <w:t xml:space="preserve"> addressing </w:t>
      </w:r>
      <w:r>
        <w:rPr>
          <w:sz w:val="24"/>
          <w:szCs w:val="24"/>
        </w:rPr>
        <w:t>breeches of the R</w:t>
      </w:r>
      <w:r w:rsidR="004006C4">
        <w:rPr>
          <w:sz w:val="24"/>
          <w:szCs w:val="24"/>
        </w:rPr>
        <w:t>esidential Tenan</w:t>
      </w:r>
      <w:r w:rsidR="001C1F6C">
        <w:rPr>
          <w:sz w:val="24"/>
          <w:szCs w:val="24"/>
        </w:rPr>
        <w:t xml:space="preserve">cies Act 1986 </w:t>
      </w:r>
      <w:r>
        <w:rPr>
          <w:sz w:val="24"/>
          <w:szCs w:val="24"/>
        </w:rPr>
        <w:t xml:space="preserve">while the breeches are occurring. </w:t>
      </w:r>
      <w:r w:rsidR="001C1F6C">
        <w:rPr>
          <w:sz w:val="24"/>
          <w:szCs w:val="24"/>
        </w:rPr>
        <w:t>Regulations that do exist to protect tenants are inadequate and dependent on individuals taking complaints through a formal legal process.</w:t>
      </w:r>
      <w:r w:rsidR="001C1F6C">
        <w:rPr>
          <w:rStyle w:val="FootnoteReference"/>
          <w:sz w:val="24"/>
          <w:szCs w:val="24"/>
        </w:rPr>
        <w:footnoteReference w:id="116"/>
      </w:r>
      <w:r w:rsidR="001C1F6C">
        <w:rPr>
          <w:sz w:val="24"/>
          <w:szCs w:val="24"/>
        </w:rPr>
        <w:t xml:space="preserve">  </w:t>
      </w:r>
      <w:r w:rsidR="004006C4">
        <w:rPr>
          <w:sz w:val="24"/>
          <w:szCs w:val="24"/>
        </w:rPr>
        <w:t>C</w:t>
      </w:r>
      <w:r w:rsidR="00EE70AF">
        <w:rPr>
          <w:sz w:val="24"/>
          <w:szCs w:val="24"/>
        </w:rPr>
        <w:t>omplaints</w:t>
      </w:r>
      <w:r w:rsidR="004006C4">
        <w:rPr>
          <w:sz w:val="24"/>
          <w:szCs w:val="24"/>
        </w:rPr>
        <w:t xml:space="preserve"> have to be</w:t>
      </w:r>
      <w:r w:rsidR="00EE70AF">
        <w:rPr>
          <w:sz w:val="24"/>
          <w:szCs w:val="24"/>
        </w:rPr>
        <w:t xml:space="preserve"> of sufficient </w:t>
      </w:r>
      <w:r>
        <w:rPr>
          <w:sz w:val="24"/>
          <w:szCs w:val="24"/>
        </w:rPr>
        <w:t xml:space="preserve">severity to warrant going through </w:t>
      </w:r>
      <w:r w:rsidR="00FF0CC0">
        <w:rPr>
          <w:sz w:val="24"/>
          <w:szCs w:val="24"/>
        </w:rPr>
        <w:t>the Tenancy Tribunal</w:t>
      </w:r>
      <w:r w:rsidR="004006C4">
        <w:rPr>
          <w:sz w:val="24"/>
          <w:szCs w:val="24"/>
        </w:rPr>
        <w:t>. For instance, und</w:t>
      </w:r>
      <w:r w:rsidR="00775181">
        <w:rPr>
          <w:sz w:val="24"/>
          <w:szCs w:val="24"/>
        </w:rPr>
        <w:t>er the</w:t>
      </w:r>
      <w:r w:rsidR="004006C4">
        <w:rPr>
          <w:sz w:val="24"/>
          <w:szCs w:val="24"/>
        </w:rPr>
        <w:t xml:space="preserve"> Act landlords are not required to rectify, and are not penalised for</w:t>
      </w:r>
      <w:r w:rsidR="00B72BB0">
        <w:rPr>
          <w:sz w:val="24"/>
          <w:szCs w:val="24"/>
        </w:rPr>
        <w:t xml:space="preserve"> letting</w:t>
      </w:r>
      <w:r w:rsidR="004006C4">
        <w:rPr>
          <w:sz w:val="24"/>
          <w:szCs w:val="24"/>
        </w:rPr>
        <w:t xml:space="preserve"> damp, mouldy, cold, poorly maintained properties</w:t>
      </w:r>
      <w:r w:rsidR="00B72BB0">
        <w:rPr>
          <w:sz w:val="24"/>
          <w:szCs w:val="24"/>
        </w:rPr>
        <w:t xml:space="preserve"> that do not</w:t>
      </w:r>
      <w:r w:rsidR="00775181">
        <w:rPr>
          <w:sz w:val="24"/>
          <w:szCs w:val="24"/>
        </w:rPr>
        <w:t xml:space="preserve"> have safe and adequate forms of</w:t>
      </w:r>
      <w:r w:rsidR="00B72BB0">
        <w:rPr>
          <w:sz w:val="24"/>
          <w:szCs w:val="24"/>
        </w:rPr>
        <w:t xml:space="preserve"> heating or ventilation</w:t>
      </w:r>
      <w:r w:rsidR="004006C4">
        <w:rPr>
          <w:sz w:val="24"/>
          <w:szCs w:val="24"/>
        </w:rPr>
        <w:t xml:space="preserve">. </w:t>
      </w:r>
      <w:r w:rsidR="001C1F6C">
        <w:rPr>
          <w:sz w:val="24"/>
          <w:szCs w:val="24"/>
        </w:rPr>
        <w:t>While a Warrant of Fitness is slowly being introduced for privately owned rental properties, this is not mandatory or routine practice.</w:t>
      </w:r>
      <w:r w:rsidR="001C1F6C">
        <w:rPr>
          <w:rStyle w:val="FootnoteReference"/>
          <w:sz w:val="24"/>
          <w:szCs w:val="24"/>
        </w:rPr>
        <w:footnoteReference w:id="117"/>
      </w:r>
      <w:r w:rsidR="001C1F6C">
        <w:rPr>
          <w:sz w:val="24"/>
          <w:szCs w:val="24"/>
        </w:rPr>
        <w:t xml:space="preserve"> </w:t>
      </w:r>
      <w:r w:rsidR="00EE70AF">
        <w:rPr>
          <w:sz w:val="24"/>
          <w:szCs w:val="24"/>
        </w:rPr>
        <w:t>Given that the majority of disabled people use rental accommodation, the issue of appropriate regulation</w:t>
      </w:r>
      <w:r w:rsidR="00B72BB0">
        <w:rPr>
          <w:sz w:val="24"/>
          <w:szCs w:val="24"/>
        </w:rPr>
        <w:t>,</w:t>
      </w:r>
      <w:r w:rsidR="00EE70AF">
        <w:rPr>
          <w:sz w:val="24"/>
          <w:szCs w:val="24"/>
        </w:rPr>
        <w:t xml:space="preserve"> and proper implementation of the law, is a matter of urgency. </w:t>
      </w:r>
    </w:p>
    <w:p w:rsidR="001E69C1" w:rsidRDefault="001E69C1" w:rsidP="001E69C1">
      <w:pPr>
        <w:jc w:val="both"/>
        <w:rPr>
          <w:sz w:val="24"/>
          <w:szCs w:val="24"/>
        </w:rPr>
      </w:pPr>
    </w:p>
    <w:p w:rsidR="001E69C1" w:rsidRDefault="00AC62B4" w:rsidP="001E69C1">
      <w:pPr>
        <w:jc w:val="both"/>
        <w:rPr>
          <w:sz w:val="24"/>
          <w:szCs w:val="24"/>
        </w:rPr>
      </w:pPr>
      <w:r>
        <w:rPr>
          <w:sz w:val="24"/>
          <w:szCs w:val="24"/>
        </w:rPr>
        <w:t>A</w:t>
      </w:r>
      <w:r w:rsidR="0083562E">
        <w:rPr>
          <w:sz w:val="24"/>
          <w:szCs w:val="24"/>
        </w:rPr>
        <w:t xml:space="preserve">n </w:t>
      </w:r>
      <w:r w:rsidR="001E69C1">
        <w:rPr>
          <w:sz w:val="24"/>
          <w:szCs w:val="24"/>
        </w:rPr>
        <w:t xml:space="preserve">accommodation supplement is sometimes available through WINZ </w:t>
      </w:r>
      <w:r>
        <w:rPr>
          <w:sz w:val="24"/>
          <w:szCs w:val="24"/>
        </w:rPr>
        <w:t xml:space="preserve">for people receiving income support. However, the supplement is very </w:t>
      </w:r>
      <w:r w:rsidR="001E69C1">
        <w:rPr>
          <w:sz w:val="24"/>
          <w:szCs w:val="24"/>
        </w:rPr>
        <w:t xml:space="preserve">low compared with the high market </w:t>
      </w:r>
      <w:r>
        <w:rPr>
          <w:sz w:val="24"/>
          <w:szCs w:val="24"/>
        </w:rPr>
        <w:t xml:space="preserve">rates </w:t>
      </w:r>
      <w:r w:rsidR="001E69C1">
        <w:rPr>
          <w:sz w:val="24"/>
          <w:szCs w:val="24"/>
        </w:rPr>
        <w:t xml:space="preserve">charged for </w:t>
      </w:r>
      <w:r>
        <w:rPr>
          <w:sz w:val="24"/>
          <w:szCs w:val="24"/>
        </w:rPr>
        <w:t xml:space="preserve">rental </w:t>
      </w:r>
      <w:r w:rsidR="001E69C1">
        <w:rPr>
          <w:sz w:val="24"/>
          <w:szCs w:val="24"/>
        </w:rPr>
        <w:t xml:space="preserve">housing. In effect, the accommodation supplement operates as a tax transfer for landlords. </w:t>
      </w:r>
      <w:r>
        <w:rPr>
          <w:sz w:val="24"/>
          <w:szCs w:val="24"/>
        </w:rPr>
        <w:t>Further, i</w:t>
      </w:r>
      <w:r w:rsidR="00A56038">
        <w:rPr>
          <w:sz w:val="24"/>
          <w:szCs w:val="24"/>
        </w:rPr>
        <w:t xml:space="preserve">t is not uncommon for WINZ to require </w:t>
      </w:r>
      <w:r>
        <w:rPr>
          <w:sz w:val="24"/>
          <w:szCs w:val="24"/>
        </w:rPr>
        <w:t xml:space="preserve">beneficiaries </w:t>
      </w:r>
      <w:r w:rsidR="00A56038">
        <w:rPr>
          <w:sz w:val="24"/>
          <w:szCs w:val="24"/>
        </w:rPr>
        <w:t>to shift</w:t>
      </w:r>
      <w:r w:rsidR="006C6650">
        <w:rPr>
          <w:sz w:val="24"/>
          <w:szCs w:val="24"/>
        </w:rPr>
        <w:t xml:space="preserve"> houses</w:t>
      </w:r>
      <w:r>
        <w:rPr>
          <w:sz w:val="24"/>
          <w:szCs w:val="24"/>
        </w:rPr>
        <w:t>,</w:t>
      </w:r>
      <w:r w:rsidR="006C6650">
        <w:rPr>
          <w:sz w:val="24"/>
          <w:szCs w:val="24"/>
        </w:rPr>
        <w:t xml:space="preserve"> if </w:t>
      </w:r>
      <w:r w:rsidR="00030134">
        <w:rPr>
          <w:sz w:val="24"/>
          <w:szCs w:val="24"/>
        </w:rPr>
        <w:t xml:space="preserve">rent is perceived as too </w:t>
      </w:r>
      <w:r w:rsidR="00BD6421">
        <w:rPr>
          <w:sz w:val="24"/>
          <w:szCs w:val="24"/>
        </w:rPr>
        <w:t>high. This occurs</w:t>
      </w:r>
      <w:r w:rsidR="00A56038">
        <w:rPr>
          <w:sz w:val="24"/>
          <w:szCs w:val="24"/>
        </w:rPr>
        <w:t xml:space="preserve"> irrespective of </w:t>
      </w:r>
      <w:r w:rsidR="00BD6421">
        <w:rPr>
          <w:sz w:val="24"/>
          <w:szCs w:val="24"/>
        </w:rPr>
        <w:t xml:space="preserve">people’s </w:t>
      </w:r>
      <w:r w:rsidR="00147DB5">
        <w:rPr>
          <w:sz w:val="24"/>
          <w:szCs w:val="24"/>
        </w:rPr>
        <w:t xml:space="preserve">broader </w:t>
      </w:r>
      <w:r w:rsidR="00BD6421">
        <w:rPr>
          <w:sz w:val="24"/>
          <w:szCs w:val="24"/>
        </w:rPr>
        <w:t>circumstances</w:t>
      </w:r>
      <w:r w:rsidR="00030134">
        <w:rPr>
          <w:sz w:val="24"/>
          <w:szCs w:val="24"/>
        </w:rPr>
        <w:t xml:space="preserve"> (such as landlords repeatedly increasing the rent)</w:t>
      </w:r>
      <w:r w:rsidR="00BD6421">
        <w:rPr>
          <w:sz w:val="24"/>
          <w:szCs w:val="24"/>
        </w:rPr>
        <w:t xml:space="preserve">, </w:t>
      </w:r>
      <w:r w:rsidR="00A56038">
        <w:rPr>
          <w:sz w:val="24"/>
          <w:szCs w:val="24"/>
        </w:rPr>
        <w:t xml:space="preserve">the supports </w:t>
      </w:r>
      <w:r w:rsidR="00B767C3">
        <w:rPr>
          <w:sz w:val="24"/>
          <w:szCs w:val="24"/>
        </w:rPr>
        <w:t>people may have in their nearby</w:t>
      </w:r>
      <w:r w:rsidR="00A56038">
        <w:rPr>
          <w:sz w:val="24"/>
          <w:szCs w:val="24"/>
        </w:rPr>
        <w:t xml:space="preserve"> community, </w:t>
      </w:r>
      <w:r w:rsidR="00B767C3">
        <w:rPr>
          <w:sz w:val="24"/>
          <w:szCs w:val="24"/>
        </w:rPr>
        <w:t xml:space="preserve">the location of their </w:t>
      </w:r>
      <w:r w:rsidR="00A56038">
        <w:rPr>
          <w:sz w:val="24"/>
          <w:szCs w:val="24"/>
        </w:rPr>
        <w:t xml:space="preserve">children’s schools, and </w:t>
      </w:r>
      <w:r w:rsidR="00B767C3">
        <w:rPr>
          <w:sz w:val="24"/>
          <w:szCs w:val="24"/>
        </w:rPr>
        <w:t xml:space="preserve">proximity of </w:t>
      </w:r>
      <w:r w:rsidR="00A56038">
        <w:rPr>
          <w:sz w:val="24"/>
          <w:szCs w:val="24"/>
        </w:rPr>
        <w:t>access to transport</w:t>
      </w:r>
      <w:r w:rsidR="00DE581B">
        <w:rPr>
          <w:sz w:val="24"/>
          <w:szCs w:val="24"/>
        </w:rPr>
        <w:t xml:space="preserve">, public </w:t>
      </w:r>
      <w:r w:rsidR="00FE6683">
        <w:rPr>
          <w:sz w:val="24"/>
          <w:szCs w:val="24"/>
        </w:rPr>
        <w:t>facilitates</w:t>
      </w:r>
      <w:r w:rsidR="00A56038">
        <w:rPr>
          <w:sz w:val="24"/>
          <w:szCs w:val="24"/>
        </w:rPr>
        <w:t xml:space="preserve"> and social services. </w:t>
      </w:r>
    </w:p>
    <w:p w:rsidR="005C1C1F" w:rsidRDefault="005C1C1F" w:rsidP="00071041">
      <w:pPr>
        <w:jc w:val="both"/>
        <w:rPr>
          <w:sz w:val="24"/>
          <w:szCs w:val="24"/>
        </w:rPr>
      </w:pPr>
    </w:p>
    <w:p w:rsidR="00B827C7" w:rsidRPr="009E710F" w:rsidRDefault="00B827C7" w:rsidP="00A249AE">
      <w:pPr>
        <w:pStyle w:val="Heading2"/>
      </w:pPr>
      <w:bookmarkStart w:id="38" w:name="_Toc420885860"/>
      <w:r w:rsidRPr="00110698">
        <w:t>Social</w:t>
      </w:r>
      <w:r w:rsidR="00A249AE">
        <w:t xml:space="preserve"> and emergency</w:t>
      </w:r>
      <w:r w:rsidR="001573C4">
        <w:t xml:space="preserve"> h</w:t>
      </w:r>
      <w:r w:rsidRPr="00110698">
        <w:t>ousing</w:t>
      </w:r>
      <w:bookmarkEnd w:id="38"/>
      <w:r w:rsidRPr="00110698">
        <w:t xml:space="preserve"> </w:t>
      </w:r>
    </w:p>
    <w:p w:rsidR="00A249AE" w:rsidRDefault="00A249AE" w:rsidP="00071041">
      <w:pPr>
        <w:jc w:val="both"/>
        <w:rPr>
          <w:sz w:val="24"/>
          <w:szCs w:val="24"/>
        </w:rPr>
      </w:pPr>
    </w:p>
    <w:p w:rsidR="00832154" w:rsidRDefault="001D609A" w:rsidP="00071041">
      <w:pPr>
        <w:jc w:val="both"/>
        <w:rPr>
          <w:sz w:val="24"/>
          <w:szCs w:val="24"/>
        </w:rPr>
      </w:pPr>
      <w:r>
        <w:rPr>
          <w:sz w:val="24"/>
          <w:szCs w:val="24"/>
        </w:rPr>
        <w:lastRenderedPageBreak/>
        <w:t>New Zealand has a small social housing stock</w:t>
      </w:r>
      <w:r w:rsidR="00A249AE">
        <w:rPr>
          <w:sz w:val="24"/>
          <w:szCs w:val="24"/>
        </w:rPr>
        <w:t xml:space="preserve"> an</w:t>
      </w:r>
      <w:r w:rsidR="005C1C1F">
        <w:rPr>
          <w:sz w:val="24"/>
          <w:szCs w:val="24"/>
        </w:rPr>
        <w:t xml:space="preserve">d very little emergency housing; both of which are </w:t>
      </w:r>
      <w:r>
        <w:rPr>
          <w:sz w:val="24"/>
          <w:szCs w:val="24"/>
        </w:rPr>
        <w:t>unable to meet demand.</w:t>
      </w:r>
      <w:r w:rsidR="00D703F5">
        <w:rPr>
          <w:sz w:val="24"/>
          <w:szCs w:val="24"/>
        </w:rPr>
        <w:t xml:space="preserve"> </w:t>
      </w:r>
      <w:r w:rsidR="00147DB5">
        <w:rPr>
          <w:sz w:val="24"/>
          <w:szCs w:val="24"/>
        </w:rPr>
        <w:t xml:space="preserve">The </w:t>
      </w:r>
      <w:r>
        <w:rPr>
          <w:sz w:val="24"/>
          <w:szCs w:val="24"/>
        </w:rPr>
        <w:t xml:space="preserve">eligibility for social housing is increasingly stringent and there is </w:t>
      </w:r>
      <w:r w:rsidR="00D03F77">
        <w:rPr>
          <w:sz w:val="24"/>
          <w:szCs w:val="24"/>
        </w:rPr>
        <w:t xml:space="preserve">often </w:t>
      </w:r>
      <w:r>
        <w:rPr>
          <w:sz w:val="24"/>
          <w:szCs w:val="24"/>
        </w:rPr>
        <w:t>no long-term security of tenure</w:t>
      </w:r>
      <w:r w:rsidR="00D03F77">
        <w:rPr>
          <w:sz w:val="24"/>
          <w:szCs w:val="24"/>
        </w:rPr>
        <w:t xml:space="preserve"> which leads to housing insecurity and transience</w:t>
      </w:r>
      <w:r>
        <w:rPr>
          <w:sz w:val="24"/>
          <w:szCs w:val="24"/>
        </w:rPr>
        <w:t xml:space="preserve">.  </w:t>
      </w:r>
      <w:r w:rsidR="00B827C7">
        <w:rPr>
          <w:sz w:val="24"/>
          <w:szCs w:val="24"/>
        </w:rPr>
        <w:t xml:space="preserve">The government has sold a </w:t>
      </w:r>
      <w:r>
        <w:rPr>
          <w:sz w:val="24"/>
          <w:szCs w:val="24"/>
        </w:rPr>
        <w:t xml:space="preserve">significant number of former state owned houses and the social housing stock </w:t>
      </w:r>
      <w:r w:rsidR="00B827C7">
        <w:rPr>
          <w:sz w:val="24"/>
          <w:szCs w:val="24"/>
        </w:rPr>
        <w:t xml:space="preserve">has been </w:t>
      </w:r>
      <w:r>
        <w:rPr>
          <w:sz w:val="24"/>
          <w:szCs w:val="24"/>
        </w:rPr>
        <w:t xml:space="preserve">depleted over recent years. </w:t>
      </w:r>
    </w:p>
    <w:p w:rsidR="00A5097F" w:rsidRDefault="00A5097F" w:rsidP="00071041">
      <w:pPr>
        <w:jc w:val="both"/>
        <w:rPr>
          <w:sz w:val="24"/>
          <w:szCs w:val="24"/>
        </w:rPr>
      </w:pPr>
    </w:p>
    <w:p w:rsidR="00A5097F" w:rsidRDefault="00A5097F" w:rsidP="00071041">
      <w:pPr>
        <w:jc w:val="both"/>
        <w:rPr>
          <w:sz w:val="24"/>
          <w:szCs w:val="24"/>
        </w:rPr>
      </w:pPr>
    </w:p>
    <w:p w:rsidR="00A5097F" w:rsidRDefault="00A5097F" w:rsidP="00071041">
      <w:pPr>
        <w:jc w:val="both"/>
        <w:rPr>
          <w:sz w:val="24"/>
          <w:szCs w:val="24"/>
        </w:rPr>
      </w:pPr>
    </w:p>
    <w:p w:rsidR="007B384B" w:rsidRPr="007B384B" w:rsidRDefault="007B384B" w:rsidP="00832154">
      <w:pPr>
        <w:pStyle w:val="Heading2"/>
      </w:pPr>
      <w:bookmarkStart w:id="39" w:name="_Toc420885861"/>
      <w:r>
        <w:t>Poverty</w:t>
      </w:r>
      <w:bookmarkEnd w:id="39"/>
      <w:r>
        <w:t xml:space="preserve"> </w:t>
      </w:r>
    </w:p>
    <w:p w:rsidR="00832154" w:rsidRDefault="00832154" w:rsidP="00071041">
      <w:pPr>
        <w:jc w:val="both"/>
        <w:rPr>
          <w:sz w:val="24"/>
          <w:szCs w:val="24"/>
        </w:rPr>
      </w:pPr>
    </w:p>
    <w:p w:rsidR="00053C01" w:rsidRPr="00053C01" w:rsidRDefault="00CB7BF5" w:rsidP="00053C01">
      <w:pPr>
        <w:jc w:val="both"/>
        <w:rPr>
          <w:sz w:val="24"/>
          <w:szCs w:val="24"/>
        </w:rPr>
      </w:pPr>
      <w:r w:rsidRPr="00CB7BF5">
        <w:rPr>
          <w:kern w:val="2"/>
          <w:sz w:val="24"/>
          <w:szCs w:val="24"/>
        </w:rPr>
        <w:t xml:space="preserve">Statistics New Zealand does not provide </w:t>
      </w:r>
      <w:r>
        <w:rPr>
          <w:kern w:val="2"/>
          <w:sz w:val="24"/>
          <w:szCs w:val="24"/>
        </w:rPr>
        <w:t xml:space="preserve">a definition or measure of poverty and does not release </w:t>
      </w:r>
      <w:r w:rsidRPr="00CB7BF5">
        <w:rPr>
          <w:kern w:val="2"/>
          <w:sz w:val="24"/>
          <w:szCs w:val="24"/>
        </w:rPr>
        <w:t>statistics on poverty</w:t>
      </w:r>
      <w:r>
        <w:rPr>
          <w:kern w:val="2"/>
          <w:sz w:val="24"/>
          <w:szCs w:val="24"/>
        </w:rPr>
        <w:t xml:space="preserve"> per se</w:t>
      </w:r>
      <w:r w:rsidRPr="00CB7BF5">
        <w:rPr>
          <w:kern w:val="2"/>
          <w:sz w:val="24"/>
          <w:szCs w:val="24"/>
        </w:rPr>
        <w:t>.</w:t>
      </w:r>
      <w:r>
        <w:rPr>
          <w:kern w:val="2"/>
          <w:sz w:val="24"/>
          <w:szCs w:val="24"/>
        </w:rPr>
        <w:t xml:space="preserve"> </w:t>
      </w:r>
      <w:r w:rsidR="0098337D">
        <w:rPr>
          <w:kern w:val="2"/>
          <w:sz w:val="24"/>
          <w:szCs w:val="24"/>
        </w:rPr>
        <w:t xml:space="preserve">However there is widespread agreement that poverty is </w:t>
      </w:r>
      <w:r w:rsidR="00D57985">
        <w:rPr>
          <w:kern w:val="2"/>
          <w:sz w:val="24"/>
          <w:szCs w:val="24"/>
        </w:rPr>
        <w:t>a critical</w:t>
      </w:r>
      <w:r w:rsidR="00F70E60">
        <w:rPr>
          <w:kern w:val="2"/>
          <w:sz w:val="24"/>
          <w:szCs w:val="24"/>
        </w:rPr>
        <w:t xml:space="preserve"> social issue</w:t>
      </w:r>
      <w:r w:rsidR="0098337D">
        <w:rPr>
          <w:kern w:val="2"/>
          <w:sz w:val="24"/>
          <w:szCs w:val="24"/>
        </w:rPr>
        <w:t xml:space="preserve"> facing New Zealand</w:t>
      </w:r>
      <w:r w:rsidR="00D57985">
        <w:rPr>
          <w:kern w:val="2"/>
          <w:sz w:val="24"/>
          <w:szCs w:val="24"/>
        </w:rPr>
        <w:t xml:space="preserve">. </w:t>
      </w:r>
      <w:r w:rsidR="00FE6683">
        <w:rPr>
          <w:kern w:val="2"/>
          <w:sz w:val="24"/>
          <w:szCs w:val="24"/>
        </w:rPr>
        <w:t>UNICEF</w:t>
      </w:r>
      <w:r w:rsidR="0098337D">
        <w:rPr>
          <w:kern w:val="2"/>
          <w:sz w:val="24"/>
          <w:szCs w:val="24"/>
        </w:rPr>
        <w:t xml:space="preserve"> </w:t>
      </w:r>
      <w:r w:rsidR="00D57985">
        <w:rPr>
          <w:kern w:val="2"/>
          <w:sz w:val="24"/>
          <w:szCs w:val="24"/>
        </w:rPr>
        <w:t xml:space="preserve">has </w:t>
      </w:r>
      <w:r w:rsidR="0083562E">
        <w:rPr>
          <w:kern w:val="2"/>
          <w:sz w:val="24"/>
          <w:szCs w:val="24"/>
        </w:rPr>
        <w:t>been</w:t>
      </w:r>
      <w:r w:rsidR="0098337D">
        <w:rPr>
          <w:kern w:val="2"/>
          <w:sz w:val="24"/>
          <w:szCs w:val="24"/>
        </w:rPr>
        <w:t xml:space="preserve"> outspoken on this issue. Ex</w:t>
      </w:r>
      <w:r>
        <w:rPr>
          <w:kern w:val="2"/>
          <w:sz w:val="24"/>
          <w:szCs w:val="24"/>
        </w:rPr>
        <w:t xml:space="preserve">trapolated </w:t>
      </w:r>
      <w:r w:rsidR="0098337D">
        <w:rPr>
          <w:kern w:val="2"/>
          <w:sz w:val="24"/>
          <w:szCs w:val="24"/>
        </w:rPr>
        <w:t xml:space="preserve">statistical </w:t>
      </w:r>
      <w:r>
        <w:rPr>
          <w:kern w:val="2"/>
          <w:sz w:val="24"/>
          <w:szCs w:val="24"/>
        </w:rPr>
        <w:t xml:space="preserve">data indicates that </w:t>
      </w:r>
      <w:r>
        <w:rPr>
          <w:sz w:val="24"/>
          <w:szCs w:val="24"/>
        </w:rPr>
        <w:t>d</w:t>
      </w:r>
      <w:r w:rsidR="007B384B" w:rsidRPr="007B384B">
        <w:rPr>
          <w:sz w:val="24"/>
          <w:szCs w:val="24"/>
        </w:rPr>
        <w:t>isabled adults are more likely</w:t>
      </w:r>
      <w:r w:rsidR="007B384B">
        <w:rPr>
          <w:sz w:val="24"/>
          <w:szCs w:val="24"/>
        </w:rPr>
        <w:t xml:space="preserve"> than non-disabled adults</w:t>
      </w:r>
      <w:r w:rsidR="007B384B" w:rsidRPr="007B384B">
        <w:rPr>
          <w:sz w:val="24"/>
          <w:szCs w:val="24"/>
        </w:rPr>
        <w:t xml:space="preserve"> to </w:t>
      </w:r>
      <w:r w:rsidR="00BA7099">
        <w:rPr>
          <w:sz w:val="24"/>
          <w:szCs w:val="24"/>
        </w:rPr>
        <w:t xml:space="preserve">be unemployed, are more likely to live in rental accommodation, are more likely to be unable to afford the basics of living (e.g. food, </w:t>
      </w:r>
      <w:r w:rsidR="00313F48">
        <w:rPr>
          <w:sz w:val="24"/>
          <w:szCs w:val="24"/>
        </w:rPr>
        <w:t xml:space="preserve">groceries, </w:t>
      </w:r>
      <w:r w:rsidR="00BA7099">
        <w:rPr>
          <w:sz w:val="24"/>
          <w:szCs w:val="24"/>
        </w:rPr>
        <w:t xml:space="preserve">utilities, </w:t>
      </w:r>
      <w:r w:rsidR="00313F48">
        <w:rPr>
          <w:sz w:val="24"/>
          <w:szCs w:val="24"/>
        </w:rPr>
        <w:t>going to</w:t>
      </w:r>
      <w:r w:rsidR="00BA18A5">
        <w:rPr>
          <w:sz w:val="24"/>
          <w:szCs w:val="24"/>
        </w:rPr>
        <w:t xml:space="preserve"> the doctor, </w:t>
      </w:r>
      <w:r w:rsidR="00BA7099">
        <w:rPr>
          <w:sz w:val="24"/>
          <w:szCs w:val="24"/>
        </w:rPr>
        <w:t>transport</w:t>
      </w:r>
      <w:r w:rsidR="0024538C">
        <w:rPr>
          <w:sz w:val="24"/>
          <w:szCs w:val="24"/>
        </w:rPr>
        <w:t>, participation in the community</w:t>
      </w:r>
      <w:r w:rsidR="00BA7099">
        <w:rPr>
          <w:sz w:val="24"/>
          <w:szCs w:val="24"/>
        </w:rPr>
        <w:t>)</w:t>
      </w:r>
      <w:r>
        <w:rPr>
          <w:sz w:val="24"/>
          <w:szCs w:val="24"/>
        </w:rPr>
        <w:t xml:space="preserve">, and are </w:t>
      </w:r>
      <w:r w:rsidR="00BA7099">
        <w:rPr>
          <w:sz w:val="24"/>
          <w:szCs w:val="24"/>
        </w:rPr>
        <w:t xml:space="preserve">more likely to </w:t>
      </w:r>
      <w:r w:rsidR="007B384B" w:rsidRPr="007B384B">
        <w:rPr>
          <w:sz w:val="24"/>
          <w:szCs w:val="24"/>
        </w:rPr>
        <w:t>live in households that earn under $30,000 a year</w:t>
      </w:r>
      <w:r w:rsidR="00BA7099">
        <w:rPr>
          <w:sz w:val="24"/>
          <w:szCs w:val="24"/>
        </w:rPr>
        <w:t>.</w:t>
      </w:r>
      <w:r w:rsidR="004E28A4">
        <w:rPr>
          <w:rStyle w:val="FootnoteReference"/>
          <w:sz w:val="24"/>
          <w:szCs w:val="24"/>
        </w:rPr>
        <w:footnoteReference w:id="118"/>
      </w:r>
      <w:r w:rsidR="00BA7099">
        <w:rPr>
          <w:sz w:val="24"/>
          <w:szCs w:val="24"/>
        </w:rPr>
        <w:t xml:space="preserve"> </w:t>
      </w:r>
      <w:r>
        <w:rPr>
          <w:rStyle w:val="FootnoteReference"/>
          <w:sz w:val="24"/>
          <w:szCs w:val="24"/>
        </w:rPr>
        <w:footnoteReference w:id="119"/>
      </w:r>
      <w:r w:rsidR="0083562E">
        <w:rPr>
          <w:sz w:val="24"/>
          <w:szCs w:val="24"/>
        </w:rPr>
        <w:t xml:space="preserve"> </w:t>
      </w:r>
      <w:r w:rsidR="00BA7099">
        <w:rPr>
          <w:sz w:val="24"/>
          <w:szCs w:val="24"/>
        </w:rPr>
        <w:t>In addition, disabled people</w:t>
      </w:r>
      <w:r w:rsidR="007B384B">
        <w:rPr>
          <w:sz w:val="24"/>
          <w:szCs w:val="24"/>
        </w:rPr>
        <w:t xml:space="preserve"> have </w:t>
      </w:r>
      <w:r w:rsidR="00BA7099">
        <w:rPr>
          <w:sz w:val="24"/>
          <w:szCs w:val="24"/>
        </w:rPr>
        <w:t xml:space="preserve">multiple, </w:t>
      </w:r>
      <w:r w:rsidR="007B384B">
        <w:rPr>
          <w:sz w:val="24"/>
          <w:szCs w:val="24"/>
        </w:rPr>
        <w:t>additional costs associated with disability that are not provided for through government social protections</w:t>
      </w:r>
      <w:r w:rsidR="00B84C5C">
        <w:rPr>
          <w:sz w:val="24"/>
          <w:szCs w:val="24"/>
        </w:rPr>
        <w:t xml:space="preserve"> schemes</w:t>
      </w:r>
      <w:r w:rsidR="007B384B">
        <w:rPr>
          <w:sz w:val="24"/>
          <w:szCs w:val="24"/>
        </w:rPr>
        <w:t>.</w:t>
      </w:r>
      <w:r w:rsidR="00053C01">
        <w:rPr>
          <w:sz w:val="24"/>
          <w:szCs w:val="24"/>
        </w:rPr>
        <w:t xml:space="preserve"> </w:t>
      </w:r>
    </w:p>
    <w:p w:rsidR="00D2686B" w:rsidRDefault="00D2686B" w:rsidP="00071041">
      <w:pPr>
        <w:jc w:val="both"/>
        <w:rPr>
          <w:sz w:val="24"/>
          <w:szCs w:val="24"/>
        </w:rPr>
      </w:pPr>
    </w:p>
    <w:p w:rsidR="007B384B" w:rsidRDefault="00D2686B" w:rsidP="00071041">
      <w:pPr>
        <w:jc w:val="both"/>
        <w:rPr>
          <w:sz w:val="24"/>
          <w:szCs w:val="24"/>
        </w:rPr>
      </w:pPr>
      <w:r>
        <w:rPr>
          <w:sz w:val="24"/>
          <w:szCs w:val="24"/>
        </w:rPr>
        <w:t xml:space="preserve">The majority of people who experience </w:t>
      </w:r>
      <w:r w:rsidR="00B26507">
        <w:rPr>
          <w:sz w:val="24"/>
          <w:szCs w:val="24"/>
        </w:rPr>
        <w:t>learning/</w:t>
      </w:r>
      <w:r w:rsidR="00D66A11">
        <w:rPr>
          <w:sz w:val="24"/>
          <w:szCs w:val="24"/>
        </w:rPr>
        <w:t>intellectual disability</w:t>
      </w:r>
      <w:r>
        <w:rPr>
          <w:sz w:val="24"/>
          <w:szCs w:val="24"/>
        </w:rPr>
        <w:t xml:space="preserve"> are on minimum wages</w:t>
      </w:r>
      <w:r w:rsidR="008D61FC">
        <w:rPr>
          <w:sz w:val="24"/>
          <w:szCs w:val="24"/>
        </w:rPr>
        <w:t>,</w:t>
      </w:r>
      <w:r>
        <w:rPr>
          <w:sz w:val="24"/>
          <w:szCs w:val="24"/>
        </w:rPr>
        <w:t xml:space="preserve"> or </w:t>
      </w:r>
      <w:r w:rsidR="00B84C5C">
        <w:rPr>
          <w:sz w:val="24"/>
          <w:szCs w:val="24"/>
        </w:rPr>
        <w:t xml:space="preserve">are paid below the minimum wage, </w:t>
      </w:r>
      <w:r>
        <w:rPr>
          <w:sz w:val="24"/>
          <w:szCs w:val="24"/>
        </w:rPr>
        <w:t xml:space="preserve">due to </w:t>
      </w:r>
      <w:r w:rsidR="006D6BE6">
        <w:rPr>
          <w:sz w:val="24"/>
          <w:szCs w:val="24"/>
        </w:rPr>
        <w:t xml:space="preserve">legislation that permits </w:t>
      </w:r>
      <w:r>
        <w:rPr>
          <w:sz w:val="24"/>
          <w:szCs w:val="24"/>
        </w:rPr>
        <w:t>minimum wage exemptions.</w:t>
      </w:r>
      <w:r w:rsidR="006D6BE6">
        <w:rPr>
          <w:rStyle w:val="FootnoteReference"/>
          <w:sz w:val="24"/>
          <w:szCs w:val="24"/>
        </w:rPr>
        <w:footnoteReference w:id="120"/>
      </w:r>
      <w:r w:rsidR="006D6BE6">
        <w:rPr>
          <w:sz w:val="24"/>
          <w:szCs w:val="24"/>
        </w:rPr>
        <w:t xml:space="preserve"> </w:t>
      </w:r>
    </w:p>
    <w:p w:rsidR="00A64500" w:rsidRDefault="00A64500" w:rsidP="00071041">
      <w:pPr>
        <w:jc w:val="both"/>
        <w:rPr>
          <w:sz w:val="24"/>
          <w:szCs w:val="24"/>
        </w:rPr>
      </w:pPr>
    </w:p>
    <w:p w:rsidR="00053C01" w:rsidRPr="00DE3C89" w:rsidRDefault="00F75D29" w:rsidP="00053C01">
      <w:pPr>
        <w:jc w:val="both"/>
        <w:rPr>
          <w:sz w:val="24"/>
          <w:szCs w:val="24"/>
        </w:rPr>
      </w:pPr>
      <w:r w:rsidRPr="00DE3C89">
        <w:rPr>
          <w:sz w:val="24"/>
          <w:szCs w:val="24"/>
        </w:rPr>
        <w:t>The government has no</w:t>
      </w:r>
      <w:r w:rsidR="00D57985" w:rsidRPr="00DE3C89">
        <w:rPr>
          <w:sz w:val="24"/>
          <w:szCs w:val="24"/>
        </w:rPr>
        <w:t xml:space="preserve"> plans to implement a poverty reduction plan.</w:t>
      </w:r>
      <w:r w:rsidRPr="00DE3C89">
        <w:rPr>
          <w:sz w:val="24"/>
          <w:szCs w:val="24"/>
        </w:rPr>
        <w:t xml:space="preserve"> </w:t>
      </w:r>
      <w:r w:rsidR="002377D8" w:rsidRPr="00DE3C89">
        <w:rPr>
          <w:sz w:val="24"/>
          <w:szCs w:val="24"/>
        </w:rPr>
        <w:t xml:space="preserve">By </w:t>
      </w:r>
      <w:r w:rsidR="00244D46" w:rsidRPr="00DE3C89">
        <w:rPr>
          <w:sz w:val="24"/>
          <w:szCs w:val="24"/>
        </w:rPr>
        <w:t xml:space="preserve">comparison, </w:t>
      </w:r>
      <w:r w:rsidR="0083562E">
        <w:rPr>
          <w:sz w:val="24"/>
          <w:szCs w:val="24"/>
        </w:rPr>
        <w:t>in the May 2015 budget</w:t>
      </w:r>
      <w:r w:rsidR="002377D8" w:rsidRPr="00DE3C89">
        <w:rPr>
          <w:sz w:val="24"/>
          <w:szCs w:val="24"/>
        </w:rPr>
        <w:t xml:space="preserve"> t</w:t>
      </w:r>
      <w:r w:rsidR="00053C01" w:rsidRPr="00DE3C89">
        <w:rPr>
          <w:sz w:val="24"/>
          <w:szCs w:val="24"/>
        </w:rPr>
        <w:t xml:space="preserve">he government announced expenditure of </w:t>
      </w:r>
      <w:r w:rsidR="0083562E">
        <w:rPr>
          <w:sz w:val="24"/>
          <w:szCs w:val="24"/>
          <w:lang w:val="en-NZ"/>
        </w:rPr>
        <w:t>$264 million for the D</w:t>
      </w:r>
      <w:r w:rsidR="00E01451" w:rsidRPr="00DE3C89">
        <w:rPr>
          <w:sz w:val="24"/>
          <w:szCs w:val="24"/>
          <w:lang w:val="en-NZ"/>
        </w:rPr>
        <w:t>efence</w:t>
      </w:r>
      <w:r w:rsidR="0083562E">
        <w:rPr>
          <w:sz w:val="24"/>
          <w:szCs w:val="24"/>
          <w:lang w:val="en-NZ"/>
        </w:rPr>
        <w:t xml:space="preserve"> Force</w:t>
      </w:r>
      <w:r w:rsidR="00E01451" w:rsidRPr="00DE3C89">
        <w:rPr>
          <w:sz w:val="24"/>
          <w:szCs w:val="24"/>
          <w:lang w:val="en-NZ"/>
        </w:rPr>
        <w:t>; $20 million for</w:t>
      </w:r>
      <w:r w:rsidR="00053C01" w:rsidRPr="00DE3C89">
        <w:rPr>
          <w:sz w:val="24"/>
          <w:szCs w:val="24"/>
          <w:lang w:val="en-NZ"/>
        </w:rPr>
        <w:t xml:space="preserve"> </w:t>
      </w:r>
      <w:r w:rsidR="0083562E">
        <w:rPr>
          <w:sz w:val="24"/>
          <w:szCs w:val="24"/>
          <w:lang w:val="en-NZ"/>
        </w:rPr>
        <w:t xml:space="preserve">government </w:t>
      </w:r>
      <w:r w:rsidR="00053C01" w:rsidRPr="00DE3C89">
        <w:rPr>
          <w:sz w:val="24"/>
          <w:szCs w:val="24"/>
          <w:lang w:val="en-NZ"/>
        </w:rPr>
        <w:t>surveillance; $11 million conserving the kiwi bird;</w:t>
      </w:r>
      <w:r w:rsidR="00CA01FC" w:rsidRPr="00DE3C89">
        <w:rPr>
          <w:sz w:val="24"/>
          <w:szCs w:val="24"/>
          <w:lang w:val="en-NZ"/>
        </w:rPr>
        <w:t xml:space="preserve"> and $25</w:t>
      </w:r>
      <w:r w:rsidR="00053C01" w:rsidRPr="00DE3C89">
        <w:rPr>
          <w:sz w:val="24"/>
          <w:szCs w:val="24"/>
          <w:lang w:val="en-NZ"/>
        </w:rPr>
        <w:t xml:space="preserve"> million </w:t>
      </w:r>
      <w:r w:rsidR="00E01451" w:rsidRPr="00DE3C89">
        <w:rPr>
          <w:sz w:val="24"/>
          <w:szCs w:val="24"/>
          <w:lang w:val="en-NZ"/>
        </w:rPr>
        <w:t xml:space="preserve">for the purposes of </w:t>
      </w:r>
      <w:r w:rsidR="008D61FC" w:rsidRPr="00DE3C89">
        <w:rPr>
          <w:sz w:val="24"/>
          <w:szCs w:val="24"/>
          <w:lang w:val="en-NZ"/>
        </w:rPr>
        <w:t>choosing a new national flag</w:t>
      </w:r>
      <w:r w:rsidR="00CA01FC" w:rsidRPr="00DE3C89">
        <w:rPr>
          <w:sz w:val="24"/>
          <w:szCs w:val="24"/>
          <w:lang w:val="en-NZ"/>
        </w:rPr>
        <w:t>.</w:t>
      </w:r>
    </w:p>
    <w:p w:rsidR="00425014" w:rsidRDefault="00425014" w:rsidP="00071041">
      <w:pPr>
        <w:jc w:val="both"/>
        <w:rPr>
          <w:b/>
          <w:sz w:val="24"/>
          <w:szCs w:val="24"/>
        </w:rPr>
      </w:pPr>
    </w:p>
    <w:p w:rsidR="00D40CB3" w:rsidRPr="00110698" w:rsidRDefault="00B827C7" w:rsidP="00832154">
      <w:pPr>
        <w:pStyle w:val="Heading2"/>
      </w:pPr>
      <w:bookmarkStart w:id="40" w:name="_Toc420885862"/>
      <w:r w:rsidRPr="00110698">
        <w:t>Children and young people</w:t>
      </w:r>
      <w:r w:rsidR="007B384B">
        <w:t xml:space="preserve"> – poverty, abuse, family violence, violence</w:t>
      </w:r>
      <w:r w:rsidR="00FA37A4">
        <w:t xml:space="preserve"> at school</w:t>
      </w:r>
      <w:bookmarkEnd w:id="40"/>
    </w:p>
    <w:p w:rsidR="00B827C7" w:rsidRDefault="00B827C7" w:rsidP="00832154">
      <w:pPr>
        <w:pStyle w:val="Heading2"/>
      </w:pPr>
    </w:p>
    <w:p w:rsidR="00832154" w:rsidRDefault="00832154" w:rsidP="003E41E9">
      <w:pPr>
        <w:pStyle w:val="ListParagraph"/>
        <w:ind w:left="0"/>
        <w:jc w:val="both"/>
        <w:rPr>
          <w:sz w:val="24"/>
          <w:szCs w:val="24"/>
        </w:rPr>
      </w:pPr>
    </w:p>
    <w:p w:rsidR="00B10E14" w:rsidRPr="009642CE" w:rsidRDefault="00B10E14" w:rsidP="003E41E9">
      <w:pPr>
        <w:pStyle w:val="ListParagraph"/>
        <w:ind w:left="0"/>
        <w:jc w:val="both"/>
        <w:rPr>
          <w:b/>
          <w:sz w:val="24"/>
          <w:szCs w:val="24"/>
        </w:rPr>
      </w:pPr>
      <w:r w:rsidRPr="009642CE">
        <w:rPr>
          <w:b/>
          <w:sz w:val="24"/>
          <w:szCs w:val="24"/>
        </w:rPr>
        <w:t>Poverty</w:t>
      </w:r>
    </w:p>
    <w:p w:rsidR="00B10E14" w:rsidRDefault="00B10E14" w:rsidP="003E41E9">
      <w:pPr>
        <w:pStyle w:val="ListParagraph"/>
        <w:ind w:left="0"/>
        <w:jc w:val="both"/>
        <w:rPr>
          <w:sz w:val="24"/>
          <w:szCs w:val="24"/>
        </w:rPr>
      </w:pPr>
    </w:p>
    <w:p w:rsidR="005C186F" w:rsidRDefault="0064372B" w:rsidP="003E41E9">
      <w:pPr>
        <w:pStyle w:val="ListParagraph"/>
        <w:ind w:left="0"/>
        <w:jc w:val="both"/>
        <w:rPr>
          <w:sz w:val="24"/>
          <w:szCs w:val="24"/>
        </w:rPr>
      </w:pPr>
      <w:r>
        <w:rPr>
          <w:sz w:val="24"/>
          <w:szCs w:val="24"/>
        </w:rPr>
        <w:t>New Zealand has a high rate of child poverty.</w:t>
      </w:r>
      <w:r w:rsidR="004D774C">
        <w:rPr>
          <w:rStyle w:val="FootnoteReference"/>
          <w:sz w:val="24"/>
          <w:szCs w:val="24"/>
        </w:rPr>
        <w:footnoteReference w:id="121"/>
      </w:r>
      <w:r>
        <w:rPr>
          <w:sz w:val="24"/>
          <w:szCs w:val="24"/>
        </w:rPr>
        <w:t xml:space="preserve"> The New Zealand Disability Survey 2013 reported that disabled children are more likely than non-disabled children to live in poverty</w:t>
      </w:r>
      <w:r w:rsidR="00A64500">
        <w:rPr>
          <w:sz w:val="24"/>
          <w:szCs w:val="24"/>
        </w:rPr>
        <w:t xml:space="preserve"> and to live in high deprivation areas</w:t>
      </w:r>
      <w:r>
        <w:rPr>
          <w:sz w:val="24"/>
          <w:szCs w:val="24"/>
        </w:rPr>
        <w:t>.</w:t>
      </w:r>
      <w:r w:rsidR="001D0073">
        <w:rPr>
          <w:rStyle w:val="FootnoteReference"/>
          <w:sz w:val="24"/>
          <w:szCs w:val="24"/>
        </w:rPr>
        <w:footnoteReference w:id="122"/>
      </w:r>
      <w:r>
        <w:rPr>
          <w:sz w:val="24"/>
          <w:szCs w:val="24"/>
        </w:rPr>
        <w:t xml:space="preserve"> Thirty four percent of disabled children live in households with an income of under $50,000</w:t>
      </w:r>
      <w:r w:rsidR="00A64500">
        <w:rPr>
          <w:sz w:val="24"/>
          <w:szCs w:val="24"/>
        </w:rPr>
        <w:t>, 17 percent</w:t>
      </w:r>
      <w:r w:rsidR="005C186F">
        <w:rPr>
          <w:sz w:val="24"/>
          <w:szCs w:val="24"/>
        </w:rPr>
        <w:t xml:space="preserve"> with an income under $30,000</w:t>
      </w:r>
      <w:r w:rsidR="00F70E60">
        <w:rPr>
          <w:sz w:val="24"/>
          <w:szCs w:val="24"/>
        </w:rPr>
        <w:t>,</w:t>
      </w:r>
      <w:r w:rsidR="00CF02A2">
        <w:rPr>
          <w:sz w:val="24"/>
          <w:szCs w:val="24"/>
        </w:rPr>
        <w:t xml:space="preserve"> </w:t>
      </w:r>
      <w:r w:rsidR="00F70E60">
        <w:rPr>
          <w:sz w:val="24"/>
          <w:szCs w:val="24"/>
        </w:rPr>
        <w:t>and f</w:t>
      </w:r>
      <w:r w:rsidR="00CF02A2">
        <w:rPr>
          <w:sz w:val="24"/>
          <w:szCs w:val="24"/>
        </w:rPr>
        <w:t>ive percent with an income under $15,000 per year.</w:t>
      </w:r>
      <w:r w:rsidR="00CF02A2">
        <w:rPr>
          <w:rStyle w:val="FootnoteReference"/>
          <w:sz w:val="24"/>
          <w:szCs w:val="24"/>
        </w:rPr>
        <w:footnoteReference w:id="123"/>
      </w:r>
      <w:r w:rsidR="00A64500">
        <w:rPr>
          <w:sz w:val="24"/>
          <w:szCs w:val="24"/>
        </w:rPr>
        <w:t xml:space="preserve"> </w:t>
      </w:r>
    </w:p>
    <w:p w:rsidR="00EC5B0A" w:rsidRDefault="00EC5B0A" w:rsidP="003E41E9">
      <w:pPr>
        <w:pStyle w:val="ListParagraph"/>
        <w:ind w:left="0"/>
        <w:jc w:val="both"/>
        <w:rPr>
          <w:sz w:val="24"/>
          <w:szCs w:val="24"/>
        </w:rPr>
      </w:pPr>
    </w:p>
    <w:p w:rsidR="00CF02A2" w:rsidRDefault="00B01D57" w:rsidP="003E41E9">
      <w:pPr>
        <w:pStyle w:val="ListParagraph"/>
        <w:ind w:left="0"/>
        <w:jc w:val="both"/>
        <w:rPr>
          <w:sz w:val="24"/>
          <w:szCs w:val="24"/>
        </w:rPr>
      </w:pPr>
      <w:r w:rsidRPr="00B01D57">
        <w:rPr>
          <w:sz w:val="24"/>
          <w:szCs w:val="24"/>
        </w:rPr>
        <w:t>A recent report</w:t>
      </w:r>
      <w:r w:rsidR="0064372B">
        <w:rPr>
          <w:sz w:val="24"/>
          <w:szCs w:val="24"/>
        </w:rPr>
        <w:t xml:space="preserve"> published by the Child Poverty Action Group</w:t>
      </w:r>
      <w:r w:rsidRPr="00B01D57">
        <w:rPr>
          <w:sz w:val="24"/>
          <w:szCs w:val="24"/>
        </w:rPr>
        <w:t xml:space="preserve">, </w:t>
      </w:r>
      <w:r w:rsidRPr="00B01D57">
        <w:rPr>
          <w:sz w:val="24"/>
        </w:rPr>
        <w:t>‘It s</w:t>
      </w:r>
      <w:r w:rsidR="0064372B">
        <w:rPr>
          <w:sz w:val="24"/>
        </w:rPr>
        <w:t>houldn’t be this hard</w:t>
      </w:r>
      <w:r w:rsidRPr="00B01D57">
        <w:rPr>
          <w:sz w:val="24"/>
        </w:rPr>
        <w:t>: children, poverty and disability</w:t>
      </w:r>
      <w:r w:rsidR="00FA37A4">
        <w:rPr>
          <w:sz w:val="24"/>
        </w:rPr>
        <w:t>,</w:t>
      </w:r>
      <w:r w:rsidR="0064372B">
        <w:rPr>
          <w:sz w:val="24"/>
        </w:rPr>
        <w:t>’</w:t>
      </w:r>
      <w:r w:rsidRPr="00B01D57">
        <w:rPr>
          <w:sz w:val="24"/>
          <w:szCs w:val="24"/>
        </w:rPr>
        <w:t xml:space="preserve"> highlights a range of issues relating to disabled children and poverty.</w:t>
      </w:r>
      <w:r w:rsidRPr="00B01D57">
        <w:rPr>
          <w:rStyle w:val="FootnoteReference"/>
          <w:sz w:val="24"/>
          <w:szCs w:val="24"/>
        </w:rPr>
        <w:footnoteReference w:id="124"/>
      </w:r>
      <w:r w:rsidR="00882070">
        <w:rPr>
          <w:sz w:val="24"/>
          <w:szCs w:val="24"/>
        </w:rPr>
        <w:t xml:space="preserve"> However the New Zealand government has no plans to ameliorate child poverty</w:t>
      </w:r>
      <w:r w:rsidR="00D92BA6">
        <w:rPr>
          <w:sz w:val="24"/>
          <w:szCs w:val="24"/>
        </w:rPr>
        <w:t>.</w:t>
      </w:r>
      <w:r w:rsidR="00882070">
        <w:rPr>
          <w:sz w:val="24"/>
          <w:szCs w:val="24"/>
        </w:rPr>
        <w:t xml:space="preserve"> </w:t>
      </w:r>
      <w:r w:rsidR="00D92BA6">
        <w:rPr>
          <w:sz w:val="24"/>
          <w:szCs w:val="24"/>
        </w:rPr>
        <w:t xml:space="preserve">The </w:t>
      </w:r>
      <w:r w:rsidR="00882070">
        <w:rPr>
          <w:sz w:val="24"/>
          <w:szCs w:val="24"/>
        </w:rPr>
        <w:t>recent May 2015 budget is evidence of a complete disregard for the rights of all children to</w:t>
      </w:r>
      <w:r w:rsidR="00D92BA6">
        <w:rPr>
          <w:sz w:val="24"/>
          <w:szCs w:val="24"/>
        </w:rPr>
        <w:t xml:space="preserve"> an adequate standard of living</w:t>
      </w:r>
      <w:r w:rsidR="00126228">
        <w:rPr>
          <w:sz w:val="24"/>
          <w:szCs w:val="24"/>
        </w:rPr>
        <w:t>.</w:t>
      </w:r>
    </w:p>
    <w:p w:rsidR="00126228" w:rsidRDefault="00126228" w:rsidP="003E41E9">
      <w:pPr>
        <w:pStyle w:val="ListParagraph"/>
        <w:ind w:left="0"/>
        <w:jc w:val="both"/>
        <w:rPr>
          <w:sz w:val="24"/>
          <w:szCs w:val="24"/>
        </w:rPr>
      </w:pPr>
    </w:p>
    <w:p w:rsidR="000A36E1" w:rsidRDefault="00CF02A2" w:rsidP="003E41E9">
      <w:pPr>
        <w:pStyle w:val="ListParagraph"/>
        <w:ind w:left="0"/>
        <w:jc w:val="both"/>
        <w:rPr>
          <w:sz w:val="24"/>
          <w:szCs w:val="24"/>
        </w:rPr>
      </w:pPr>
      <w:r>
        <w:rPr>
          <w:sz w:val="24"/>
          <w:szCs w:val="24"/>
        </w:rPr>
        <w:t xml:space="preserve">The </w:t>
      </w:r>
      <w:r w:rsidR="0067767C">
        <w:rPr>
          <w:sz w:val="24"/>
          <w:szCs w:val="24"/>
        </w:rPr>
        <w:t xml:space="preserve">parent/s or guardians </w:t>
      </w:r>
      <w:r>
        <w:rPr>
          <w:sz w:val="24"/>
          <w:szCs w:val="24"/>
        </w:rPr>
        <w:t>of disabled children often are unable to work because of inadequate support, the additional costs of supporting disabled children, and the difficulties associated with accessing basic services such as education and health. This often means caregivers are reliant on income support payments through WINZ.</w:t>
      </w:r>
      <w:r w:rsidR="00D66A11">
        <w:rPr>
          <w:sz w:val="24"/>
          <w:szCs w:val="24"/>
        </w:rPr>
        <w:t xml:space="preserve"> </w:t>
      </w:r>
      <w:r>
        <w:rPr>
          <w:rStyle w:val="FootnoteReference"/>
          <w:sz w:val="24"/>
          <w:szCs w:val="24"/>
        </w:rPr>
        <w:footnoteReference w:id="125"/>
      </w:r>
      <w:r>
        <w:rPr>
          <w:sz w:val="24"/>
          <w:szCs w:val="24"/>
        </w:rPr>
        <w:t xml:space="preserve"> </w:t>
      </w:r>
    </w:p>
    <w:p w:rsidR="00D92BA6" w:rsidRDefault="00D92BA6" w:rsidP="003E41E9">
      <w:pPr>
        <w:pStyle w:val="ListParagraph"/>
        <w:ind w:left="0"/>
        <w:jc w:val="both"/>
        <w:rPr>
          <w:b/>
          <w:sz w:val="24"/>
          <w:szCs w:val="24"/>
        </w:rPr>
      </w:pPr>
    </w:p>
    <w:p w:rsidR="00425014" w:rsidRDefault="00425014" w:rsidP="003E41E9">
      <w:pPr>
        <w:pStyle w:val="ListParagraph"/>
        <w:ind w:left="0"/>
        <w:jc w:val="both"/>
        <w:rPr>
          <w:b/>
          <w:sz w:val="24"/>
          <w:szCs w:val="24"/>
        </w:rPr>
      </w:pPr>
    </w:p>
    <w:p w:rsidR="00B10E14" w:rsidRPr="009642CE" w:rsidRDefault="00B10E14" w:rsidP="003E41E9">
      <w:pPr>
        <w:pStyle w:val="ListParagraph"/>
        <w:ind w:left="0"/>
        <w:jc w:val="both"/>
        <w:rPr>
          <w:b/>
          <w:sz w:val="24"/>
          <w:szCs w:val="24"/>
        </w:rPr>
      </w:pPr>
      <w:r w:rsidRPr="009642CE">
        <w:rPr>
          <w:b/>
          <w:sz w:val="24"/>
          <w:szCs w:val="24"/>
        </w:rPr>
        <w:t>Child abuse, family violence, violence in schools and sexual violence</w:t>
      </w:r>
    </w:p>
    <w:p w:rsidR="00B10E14" w:rsidRDefault="00B10E14" w:rsidP="003E41E9">
      <w:pPr>
        <w:pStyle w:val="ListParagraph"/>
        <w:ind w:left="0"/>
        <w:jc w:val="both"/>
        <w:rPr>
          <w:sz w:val="24"/>
          <w:szCs w:val="24"/>
        </w:rPr>
      </w:pPr>
    </w:p>
    <w:p w:rsidR="0032120E" w:rsidRDefault="0064372B" w:rsidP="003E41E9">
      <w:pPr>
        <w:pStyle w:val="ListParagraph"/>
        <w:ind w:left="0"/>
        <w:jc w:val="both"/>
        <w:rPr>
          <w:sz w:val="24"/>
          <w:szCs w:val="24"/>
        </w:rPr>
      </w:pPr>
      <w:r>
        <w:rPr>
          <w:sz w:val="24"/>
          <w:szCs w:val="24"/>
        </w:rPr>
        <w:t xml:space="preserve">New Zealand </w:t>
      </w:r>
      <w:r w:rsidR="00B01D57">
        <w:rPr>
          <w:sz w:val="24"/>
          <w:szCs w:val="24"/>
        </w:rPr>
        <w:t xml:space="preserve">has a high rate of </w:t>
      </w:r>
      <w:r w:rsidR="0087394F">
        <w:rPr>
          <w:sz w:val="24"/>
          <w:szCs w:val="24"/>
        </w:rPr>
        <w:t>child abuse</w:t>
      </w:r>
      <w:r w:rsidR="008047B4">
        <w:rPr>
          <w:sz w:val="24"/>
          <w:szCs w:val="24"/>
        </w:rPr>
        <w:t>,</w:t>
      </w:r>
      <w:r w:rsidR="006D76A4">
        <w:rPr>
          <w:rStyle w:val="FootnoteReference"/>
          <w:sz w:val="24"/>
          <w:szCs w:val="24"/>
        </w:rPr>
        <w:footnoteReference w:id="126"/>
      </w:r>
      <w:r w:rsidR="006D76A4">
        <w:rPr>
          <w:sz w:val="24"/>
          <w:szCs w:val="24"/>
        </w:rPr>
        <w:t xml:space="preserve"> </w:t>
      </w:r>
      <w:r w:rsidR="006D76A4">
        <w:rPr>
          <w:rStyle w:val="FootnoteReference"/>
          <w:sz w:val="24"/>
          <w:szCs w:val="24"/>
        </w:rPr>
        <w:footnoteReference w:id="127"/>
      </w:r>
      <w:r w:rsidR="008047B4">
        <w:rPr>
          <w:sz w:val="24"/>
          <w:szCs w:val="24"/>
        </w:rPr>
        <w:t xml:space="preserve"> </w:t>
      </w:r>
      <w:r w:rsidR="00471E82">
        <w:rPr>
          <w:sz w:val="24"/>
          <w:szCs w:val="24"/>
        </w:rPr>
        <w:t>family violence,</w:t>
      </w:r>
      <w:r w:rsidR="00936553">
        <w:rPr>
          <w:rStyle w:val="FootnoteReference"/>
          <w:sz w:val="24"/>
          <w:szCs w:val="24"/>
        </w:rPr>
        <w:footnoteReference w:id="128"/>
      </w:r>
      <w:r w:rsidR="00471E82">
        <w:rPr>
          <w:sz w:val="24"/>
          <w:szCs w:val="24"/>
        </w:rPr>
        <w:t xml:space="preserve"> </w:t>
      </w:r>
      <w:r w:rsidR="00471E82">
        <w:rPr>
          <w:rStyle w:val="FootnoteReference"/>
          <w:sz w:val="24"/>
          <w:szCs w:val="24"/>
        </w:rPr>
        <w:footnoteReference w:id="129"/>
      </w:r>
      <w:r w:rsidR="00CE28CA">
        <w:rPr>
          <w:sz w:val="24"/>
          <w:szCs w:val="24"/>
        </w:rPr>
        <w:t xml:space="preserve"> </w:t>
      </w:r>
      <w:r w:rsidR="00471E82">
        <w:rPr>
          <w:rStyle w:val="FootnoteReference"/>
          <w:sz w:val="24"/>
          <w:szCs w:val="24"/>
        </w:rPr>
        <w:footnoteReference w:id="130"/>
      </w:r>
      <w:r w:rsidR="00471E82">
        <w:rPr>
          <w:sz w:val="24"/>
          <w:szCs w:val="24"/>
        </w:rPr>
        <w:t xml:space="preserve"> </w:t>
      </w:r>
      <w:r w:rsidR="00471E82">
        <w:rPr>
          <w:rStyle w:val="FootnoteReference"/>
          <w:sz w:val="24"/>
          <w:szCs w:val="24"/>
        </w:rPr>
        <w:footnoteReference w:id="131"/>
      </w:r>
      <w:r w:rsidR="008047B4">
        <w:rPr>
          <w:sz w:val="24"/>
          <w:szCs w:val="24"/>
        </w:rPr>
        <w:t xml:space="preserve"> sexual violence</w:t>
      </w:r>
      <w:r w:rsidR="0032120E">
        <w:rPr>
          <w:sz w:val="24"/>
          <w:szCs w:val="24"/>
        </w:rPr>
        <w:t>,</w:t>
      </w:r>
      <w:r w:rsidR="008047B4">
        <w:rPr>
          <w:rStyle w:val="FootnoteReference"/>
          <w:sz w:val="24"/>
          <w:szCs w:val="24"/>
        </w:rPr>
        <w:footnoteReference w:id="132"/>
      </w:r>
      <w:r w:rsidR="00471E82">
        <w:rPr>
          <w:sz w:val="24"/>
          <w:szCs w:val="24"/>
        </w:rPr>
        <w:t xml:space="preserve"> </w:t>
      </w:r>
      <w:r w:rsidR="00107F63">
        <w:rPr>
          <w:sz w:val="24"/>
          <w:szCs w:val="24"/>
        </w:rPr>
        <w:t xml:space="preserve">and </w:t>
      </w:r>
      <w:r w:rsidR="00FF0CC0">
        <w:rPr>
          <w:sz w:val="24"/>
          <w:szCs w:val="24"/>
        </w:rPr>
        <w:t>violence in schools (bullying)</w:t>
      </w:r>
      <w:r w:rsidR="00DC7911">
        <w:rPr>
          <w:sz w:val="24"/>
          <w:szCs w:val="24"/>
        </w:rPr>
        <w:t>.</w:t>
      </w:r>
      <w:r w:rsidR="00CE28CA">
        <w:rPr>
          <w:rStyle w:val="FootnoteReference"/>
          <w:sz w:val="24"/>
          <w:szCs w:val="24"/>
        </w:rPr>
        <w:footnoteReference w:id="133"/>
      </w:r>
      <w:r w:rsidR="00936553">
        <w:rPr>
          <w:sz w:val="24"/>
          <w:szCs w:val="24"/>
        </w:rPr>
        <w:t xml:space="preserve"> </w:t>
      </w:r>
      <w:r w:rsidR="00CE28CA">
        <w:rPr>
          <w:rStyle w:val="FootnoteReference"/>
          <w:sz w:val="24"/>
          <w:szCs w:val="24"/>
        </w:rPr>
        <w:footnoteReference w:id="134"/>
      </w:r>
      <w:r w:rsidR="00110698">
        <w:rPr>
          <w:sz w:val="24"/>
          <w:szCs w:val="24"/>
        </w:rPr>
        <w:t xml:space="preserve"> </w:t>
      </w:r>
      <w:r w:rsidR="00DC7911">
        <w:rPr>
          <w:sz w:val="24"/>
          <w:szCs w:val="24"/>
        </w:rPr>
        <w:t xml:space="preserve">There are also </w:t>
      </w:r>
      <w:r w:rsidR="00107F63">
        <w:rPr>
          <w:sz w:val="24"/>
          <w:szCs w:val="24"/>
        </w:rPr>
        <w:t xml:space="preserve">significant issues relating to </w:t>
      </w:r>
      <w:r w:rsidR="00DC7911">
        <w:rPr>
          <w:sz w:val="24"/>
          <w:szCs w:val="24"/>
        </w:rPr>
        <w:t>children and young people in state care</w:t>
      </w:r>
      <w:r w:rsidR="00DC7911">
        <w:rPr>
          <w:rStyle w:val="FootnoteReference"/>
          <w:sz w:val="24"/>
          <w:szCs w:val="24"/>
        </w:rPr>
        <w:footnoteReference w:id="135"/>
      </w:r>
      <w:r w:rsidR="00DC7911">
        <w:rPr>
          <w:sz w:val="24"/>
          <w:szCs w:val="24"/>
        </w:rPr>
        <w:t xml:space="preserve"> and</w:t>
      </w:r>
      <w:r w:rsidR="0032120E">
        <w:rPr>
          <w:sz w:val="24"/>
          <w:szCs w:val="24"/>
        </w:rPr>
        <w:t xml:space="preserve"> detained youth</w:t>
      </w:r>
      <w:r w:rsidR="00107F63">
        <w:rPr>
          <w:sz w:val="24"/>
          <w:szCs w:val="24"/>
        </w:rPr>
        <w:t>.</w:t>
      </w:r>
      <w:r w:rsidR="00107F63">
        <w:rPr>
          <w:rStyle w:val="FootnoteReference"/>
          <w:sz w:val="24"/>
          <w:szCs w:val="24"/>
        </w:rPr>
        <w:footnoteReference w:id="136"/>
      </w:r>
      <w:r w:rsidR="00107F63">
        <w:rPr>
          <w:sz w:val="24"/>
          <w:szCs w:val="24"/>
        </w:rPr>
        <w:t xml:space="preserve"> </w:t>
      </w:r>
    </w:p>
    <w:p w:rsidR="0032120E" w:rsidRDefault="0032120E" w:rsidP="003E41E9">
      <w:pPr>
        <w:pStyle w:val="ListParagraph"/>
        <w:ind w:left="0"/>
        <w:jc w:val="both"/>
        <w:rPr>
          <w:sz w:val="24"/>
          <w:szCs w:val="24"/>
        </w:rPr>
      </w:pPr>
    </w:p>
    <w:p w:rsidR="0032120E" w:rsidRDefault="0032120E" w:rsidP="003E41E9">
      <w:pPr>
        <w:pStyle w:val="ListParagraph"/>
        <w:ind w:left="0"/>
        <w:jc w:val="both"/>
        <w:rPr>
          <w:sz w:val="24"/>
          <w:szCs w:val="24"/>
        </w:rPr>
      </w:pPr>
      <w:r>
        <w:rPr>
          <w:sz w:val="24"/>
          <w:szCs w:val="24"/>
        </w:rPr>
        <w:t>There is no current provision for the protection of disabled women in community care settings under the Domestic Violence Act 1995. Most refuges are inaccessible or have polic</w:t>
      </w:r>
      <w:r w:rsidR="001178C3">
        <w:rPr>
          <w:sz w:val="24"/>
          <w:szCs w:val="24"/>
        </w:rPr>
        <w:t xml:space="preserve">y that disallows women who experience </w:t>
      </w:r>
      <w:r>
        <w:rPr>
          <w:sz w:val="24"/>
          <w:szCs w:val="24"/>
        </w:rPr>
        <w:t>psychosocial disability.</w:t>
      </w:r>
    </w:p>
    <w:p w:rsidR="0032120E" w:rsidRDefault="0032120E" w:rsidP="003E41E9">
      <w:pPr>
        <w:pStyle w:val="ListParagraph"/>
        <w:ind w:left="0"/>
        <w:jc w:val="both"/>
        <w:rPr>
          <w:sz w:val="24"/>
          <w:szCs w:val="24"/>
        </w:rPr>
      </w:pPr>
    </w:p>
    <w:p w:rsidR="00551E17" w:rsidRDefault="005C186F" w:rsidP="003E41E9">
      <w:pPr>
        <w:pStyle w:val="ListParagraph"/>
        <w:ind w:left="0"/>
        <w:jc w:val="both"/>
        <w:rPr>
          <w:sz w:val="24"/>
          <w:szCs w:val="24"/>
        </w:rPr>
      </w:pPr>
      <w:r>
        <w:rPr>
          <w:sz w:val="24"/>
          <w:szCs w:val="24"/>
        </w:rPr>
        <w:t>Coupled with poverty,</w:t>
      </w:r>
      <w:r w:rsidR="006D76A4">
        <w:rPr>
          <w:rStyle w:val="FootnoteReference"/>
          <w:sz w:val="24"/>
          <w:szCs w:val="24"/>
        </w:rPr>
        <w:footnoteReference w:id="137"/>
      </w:r>
      <w:r>
        <w:rPr>
          <w:sz w:val="24"/>
          <w:szCs w:val="24"/>
        </w:rPr>
        <w:t xml:space="preserve"> </w:t>
      </w:r>
      <w:r w:rsidR="000F6C94">
        <w:rPr>
          <w:rStyle w:val="FootnoteReference"/>
          <w:sz w:val="24"/>
          <w:szCs w:val="24"/>
        </w:rPr>
        <w:footnoteReference w:id="138"/>
      </w:r>
      <w:r w:rsidR="00621A54">
        <w:rPr>
          <w:sz w:val="24"/>
          <w:szCs w:val="24"/>
        </w:rPr>
        <w:t>a</w:t>
      </w:r>
      <w:r w:rsidR="00110698">
        <w:rPr>
          <w:sz w:val="24"/>
          <w:szCs w:val="24"/>
        </w:rPr>
        <w:t>ll of these forms of abuse are hei</w:t>
      </w:r>
      <w:r w:rsidR="0032120E">
        <w:rPr>
          <w:sz w:val="24"/>
          <w:szCs w:val="24"/>
        </w:rPr>
        <w:t xml:space="preserve">ghted for disabled children, </w:t>
      </w:r>
      <w:r w:rsidR="00110698">
        <w:rPr>
          <w:sz w:val="24"/>
          <w:szCs w:val="24"/>
        </w:rPr>
        <w:t>young people</w:t>
      </w:r>
      <w:r w:rsidR="0032120E">
        <w:rPr>
          <w:sz w:val="24"/>
          <w:szCs w:val="24"/>
        </w:rPr>
        <w:t xml:space="preserve"> and women</w:t>
      </w:r>
      <w:r w:rsidR="00110698">
        <w:rPr>
          <w:sz w:val="24"/>
          <w:szCs w:val="24"/>
        </w:rPr>
        <w:t>, whose lives, quality of life, and long term wellbeing are severely compromised by early life deprivation, adversity and trauma.</w:t>
      </w:r>
      <w:r w:rsidR="003E41E9">
        <w:rPr>
          <w:sz w:val="24"/>
          <w:szCs w:val="24"/>
        </w:rPr>
        <w:t xml:space="preserve"> </w:t>
      </w:r>
      <w:r w:rsidR="00110698">
        <w:rPr>
          <w:sz w:val="24"/>
          <w:szCs w:val="24"/>
        </w:rPr>
        <w:t>Youth in New Zealand have a high rate of suicide and psychosocial disability</w:t>
      </w:r>
      <w:r w:rsidR="003E41E9">
        <w:rPr>
          <w:sz w:val="24"/>
          <w:szCs w:val="24"/>
        </w:rPr>
        <w:t>, often resulting from negative early life experiences</w:t>
      </w:r>
      <w:r w:rsidR="00110698">
        <w:rPr>
          <w:sz w:val="24"/>
          <w:szCs w:val="24"/>
        </w:rPr>
        <w:t>.</w:t>
      </w:r>
      <w:r w:rsidR="00936553">
        <w:rPr>
          <w:rStyle w:val="FootnoteReference"/>
          <w:sz w:val="24"/>
          <w:szCs w:val="24"/>
        </w:rPr>
        <w:footnoteReference w:id="139"/>
      </w:r>
      <w:r w:rsidR="00110698">
        <w:rPr>
          <w:sz w:val="24"/>
          <w:szCs w:val="24"/>
        </w:rPr>
        <w:t xml:space="preserve"> </w:t>
      </w:r>
    </w:p>
    <w:p w:rsidR="00244FD6" w:rsidRDefault="00244FD6" w:rsidP="003E41E9">
      <w:pPr>
        <w:pStyle w:val="ListParagraph"/>
        <w:ind w:left="0"/>
        <w:jc w:val="both"/>
        <w:rPr>
          <w:sz w:val="24"/>
          <w:szCs w:val="24"/>
          <w:shd w:val="clear" w:color="auto" w:fill="FFFFFF"/>
        </w:rPr>
      </w:pPr>
    </w:p>
    <w:p w:rsidR="0087394F" w:rsidRDefault="00C82934" w:rsidP="003E41E9">
      <w:pPr>
        <w:pStyle w:val="ListParagraph"/>
        <w:ind w:left="0"/>
        <w:jc w:val="both"/>
        <w:rPr>
          <w:sz w:val="24"/>
          <w:szCs w:val="24"/>
          <w:shd w:val="clear" w:color="auto" w:fill="FFFFFF"/>
        </w:rPr>
      </w:pPr>
      <w:r>
        <w:rPr>
          <w:sz w:val="24"/>
          <w:szCs w:val="24"/>
          <w:shd w:val="clear" w:color="auto" w:fill="FFFFFF"/>
        </w:rPr>
        <w:t>The social protections system does not cater well to disabled youth who do not fit criteria for disability-specific supports. This is especially so for disabled youth reliant on income support through</w:t>
      </w:r>
      <w:r w:rsidR="00FA7175">
        <w:rPr>
          <w:sz w:val="24"/>
          <w:szCs w:val="24"/>
          <w:shd w:val="clear" w:color="auto" w:fill="FFFFFF"/>
        </w:rPr>
        <w:t xml:space="preserve"> WINZ</w:t>
      </w:r>
      <w:r w:rsidR="00E9676D">
        <w:rPr>
          <w:sz w:val="24"/>
          <w:szCs w:val="24"/>
          <w:shd w:val="clear" w:color="auto" w:fill="FFFFFF"/>
        </w:rPr>
        <w:t>.</w:t>
      </w:r>
    </w:p>
    <w:p w:rsidR="00E85AED" w:rsidRDefault="00E85AED" w:rsidP="00071041">
      <w:pPr>
        <w:jc w:val="both"/>
        <w:rPr>
          <w:sz w:val="24"/>
          <w:szCs w:val="24"/>
        </w:rPr>
      </w:pPr>
    </w:p>
    <w:p w:rsidR="009401ED" w:rsidRPr="006176BD" w:rsidRDefault="009401ED" w:rsidP="009401ED">
      <w:pPr>
        <w:pStyle w:val="Heading2"/>
      </w:pPr>
      <w:bookmarkStart w:id="41" w:name="_Toc420885863"/>
      <w:r w:rsidRPr="006176BD">
        <w:lastRenderedPageBreak/>
        <w:t>Employment</w:t>
      </w:r>
      <w:bookmarkEnd w:id="41"/>
    </w:p>
    <w:p w:rsidR="009401ED" w:rsidRDefault="009401ED" w:rsidP="009401ED">
      <w:pPr>
        <w:pStyle w:val="ListParagraph"/>
        <w:ind w:left="0"/>
        <w:jc w:val="both"/>
        <w:rPr>
          <w:sz w:val="24"/>
          <w:szCs w:val="24"/>
        </w:rPr>
      </w:pPr>
    </w:p>
    <w:p w:rsidR="00967EA5" w:rsidRPr="00DE3C89" w:rsidRDefault="009401ED" w:rsidP="009401ED">
      <w:pPr>
        <w:pStyle w:val="ListParagraph"/>
        <w:ind w:left="0"/>
        <w:jc w:val="both"/>
        <w:rPr>
          <w:bCs/>
          <w:sz w:val="24"/>
          <w:szCs w:val="24"/>
          <w:lang w:val="en-US" w:eastAsia="en-NZ"/>
        </w:rPr>
      </w:pPr>
      <w:r w:rsidRPr="00DE3C89">
        <w:rPr>
          <w:sz w:val="24"/>
          <w:szCs w:val="24"/>
        </w:rPr>
        <w:t>Disabled people have an unemployment rate that is twice that of non-disabled people.</w:t>
      </w:r>
      <w:r w:rsidRPr="00DE3C89">
        <w:rPr>
          <w:rStyle w:val="FootnoteReference"/>
          <w:sz w:val="24"/>
          <w:szCs w:val="24"/>
        </w:rPr>
        <w:footnoteReference w:id="140"/>
      </w:r>
      <w:r w:rsidRPr="00DE3C89">
        <w:rPr>
          <w:sz w:val="24"/>
          <w:szCs w:val="24"/>
        </w:rPr>
        <w:t xml:space="preserve"> The </w:t>
      </w:r>
      <w:r w:rsidRPr="00DE3C89">
        <w:rPr>
          <w:bCs/>
          <w:sz w:val="24"/>
          <w:szCs w:val="24"/>
          <w:lang w:val="en-US" w:eastAsia="en-NZ"/>
        </w:rPr>
        <w:t>government continues to view disabled people as a cost rather than an inves</w:t>
      </w:r>
      <w:r w:rsidR="00D66A11">
        <w:rPr>
          <w:bCs/>
          <w:sz w:val="24"/>
          <w:szCs w:val="24"/>
          <w:lang w:val="en-US" w:eastAsia="en-NZ"/>
        </w:rPr>
        <w:t>tment and legal provisions for Reasonable A</w:t>
      </w:r>
      <w:r w:rsidRPr="00DE3C89">
        <w:rPr>
          <w:bCs/>
          <w:sz w:val="24"/>
          <w:szCs w:val="24"/>
          <w:lang w:val="en-US" w:eastAsia="en-NZ"/>
        </w:rPr>
        <w:t xml:space="preserve">ccommodation do not </w:t>
      </w:r>
      <w:r w:rsidR="00425014" w:rsidRPr="00DE3C89">
        <w:rPr>
          <w:bCs/>
          <w:sz w:val="24"/>
          <w:szCs w:val="24"/>
          <w:lang w:val="en-US" w:eastAsia="en-NZ"/>
        </w:rPr>
        <w:t xml:space="preserve">function </w:t>
      </w:r>
      <w:r w:rsidRPr="00DE3C89">
        <w:rPr>
          <w:bCs/>
          <w:sz w:val="24"/>
          <w:szCs w:val="24"/>
          <w:lang w:val="en-US" w:eastAsia="en-NZ"/>
        </w:rPr>
        <w:t>effectively</w:t>
      </w:r>
      <w:r w:rsidRPr="00DE3C89">
        <w:rPr>
          <w:sz w:val="24"/>
          <w:szCs w:val="24"/>
          <w:lang w:val="en-US" w:eastAsia="en-NZ"/>
        </w:rPr>
        <w:t xml:space="preserve">. </w:t>
      </w:r>
    </w:p>
    <w:p w:rsidR="00967EA5" w:rsidRDefault="00967EA5" w:rsidP="009401ED">
      <w:pPr>
        <w:pStyle w:val="ListParagraph"/>
        <w:ind w:left="0"/>
        <w:jc w:val="both"/>
        <w:rPr>
          <w:bCs/>
          <w:sz w:val="24"/>
          <w:szCs w:val="24"/>
          <w:lang w:val="en-US" w:eastAsia="en-NZ"/>
        </w:rPr>
      </w:pPr>
    </w:p>
    <w:p w:rsidR="009401ED" w:rsidRDefault="009401ED" w:rsidP="009401ED">
      <w:pPr>
        <w:pStyle w:val="ListParagraph"/>
        <w:ind w:left="0"/>
        <w:jc w:val="both"/>
        <w:rPr>
          <w:bCs/>
          <w:sz w:val="24"/>
          <w:szCs w:val="24"/>
          <w:lang w:val="en-US" w:eastAsia="en-NZ"/>
        </w:rPr>
      </w:pPr>
      <w:r>
        <w:rPr>
          <w:bCs/>
          <w:sz w:val="24"/>
          <w:szCs w:val="24"/>
          <w:lang w:val="en-US" w:eastAsia="en-NZ"/>
        </w:rPr>
        <w:t xml:space="preserve">New Zealand has long standing Equal Employment Opportunities legislation (contained in several Acts) and employers are required to eliminate policies, procedures and institutional barriers to disabled people’s employment. However, research </w:t>
      </w:r>
      <w:r w:rsidR="000921EB">
        <w:rPr>
          <w:bCs/>
          <w:sz w:val="24"/>
          <w:szCs w:val="24"/>
          <w:lang w:val="en-US" w:eastAsia="en-NZ"/>
        </w:rPr>
        <w:t>and statistic</w:t>
      </w:r>
      <w:r>
        <w:rPr>
          <w:bCs/>
          <w:sz w:val="24"/>
          <w:szCs w:val="24"/>
          <w:lang w:val="en-US" w:eastAsia="en-NZ"/>
        </w:rPr>
        <w:t>s</w:t>
      </w:r>
      <w:r w:rsidR="000921EB">
        <w:rPr>
          <w:bCs/>
          <w:sz w:val="24"/>
          <w:szCs w:val="24"/>
          <w:lang w:val="en-US" w:eastAsia="en-NZ"/>
        </w:rPr>
        <w:t xml:space="preserve"> s</w:t>
      </w:r>
      <w:r>
        <w:rPr>
          <w:bCs/>
          <w:sz w:val="24"/>
          <w:szCs w:val="24"/>
          <w:lang w:val="en-US" w:eastAsia="en-NZ"/>
        </w:rPr>
        <w:t>how that this has not resulted in significant improvements in disabled people’s overall employment status, income levels, or poverty status.</w:t>
      </w:r>
      <w:r w:rsidR="00425014">
        <w:rPr>
          <w:bCs/>
          <w:sz w:val="24"/>
          <w:szCs w:val="24"/>
          <w:lang w:val="en-US" w:eastAsia="en-NZ"/>
        </w:rPr>
        <w:t xml:space="preserve"> The relationship between low income and deprivation has long been highlighted by </w:t>
      </w:r>
      <w:r w:rsidR="00D4323A">
        <w:rPr>
          <w:bCs/>
          <w:sz w:val="24"/>
          <w:szCs w:val="24"/>
          <w:lang w:val="en-US" w:eastAsia="en-NZ"/>
        </w:rPr>
        <w:t xml:space="preserve">New Zealand </w:t>
      </w:r>
      <w:r w:rsidR="00425014">
        <w:rPr>
          <w:bCs/>
          <w:sz w:val="24"/>
          <w:szCs w:val="24"/>
          <w:lang w:val="en-US" w:eastAsia="en-NZ"/>
        </w:rPr>
        <w:t>academics</w:t>
      </w:r>
      <w:r w:rsidR="000921EB">
        <w:rPr>
          <w:bCs/>
          <w:sz w:val="24"/>
          <w:szCs w:val="24"/>
          <w:lang w:val="en-US" w:eastAsia="en-NZ"/>
        </w:rPr>
        <w:t xml:space="preserve"> and</w:t>
      </w:r>
      <w:r w:rsidR="00425014">
        <w:rPr>
          <w:bCs/>
          <w:sz w:val="24"/>
          <w:szCs w:val="24"/>
          <w:lang w:val="en-US" w:eastAsia="en-NZ"/>
        </w:rPr>
        <w:t xml:space="preserve"> non-government </w:t>
      </w:r>
      <w:r w:rsidR="00D4323A">
        <w:rPr>
          <w:bCs/>
          <w:sz w:val="24"/>
          <w:szCs w:val="24"/>
          <w:lang w:val="en-US" w:eastAsia="en-NZ"/>
        </w:rPr>
        <w:t xml:space="preserve">social justice </w:t>
      </w:r>
      <w:r w:rsidR="000921EB">
        <w:rPr>
          <w:bCs/>
          <w:sz w:val="24"/>
          <w:szCs w:val="24"/>
          <w:lang w:val="en-US" w:eastAsia="en-NZ"/>
        </w:rPr>
        <w:t>agencies.</w:t>
      </w:r>
      <w:r w:rsidR="00425014">
        <w:rPr>
          <w:rStyle w:val="FootnoteReference"/>
          <w:bCs/>
          <w:sz w:val="24"/>
          <w:szCs w:val="24"/>
          <w:lang w:val="en-US" w:eastAsia="en-NZ"/>
        </w:rPr>
        <w:footnoteReference w:id="141"/>
      </w:r>
      <w:r>
        <w:rPr>
          <w:bCs/>
          <w:sz w:val="24"/>
          <w:szCs w:val="24"/>
          <w:lang w:val="en-US" w:eastAsia="en-NZ"/>
        </w:rPr>
        <w:t xml:space="preserve"> </w:t>
      </w:r>
      <w:r w:rsidR="00D4323A">
        <w:rPr>
          <w:rStyle w:val="FootnoteReference"/>
          <w:bCs/>
          <w:sz w:val="24"/>
          <w:szCs w:val="24"/>
          <w:lang w:val="en-US" w:eastAsia="en-NZ"/>
        </w:rPr>
        <w:footnoteReference w:id="142"/>
      </w:r>
    </w:p>
    <w:p w:rsidR="001D0073" w:rsidRDefault="001D0073" w:rsidP="009401ED">
      <w:pPr>
        <w:pStyle w:val="ListParagraph"/>
        <w:ind w:left="0"/>
        <w:jc w:val="both"/>
        <w:rPr>
          <w:sz w:val="24"/>
          <w:szCs w:val="24"/>
          <w:lang w:val="en-US" w:eastAsia="en-NZ"/>
        </w:rPr>
      </w:pPr>
    </w:p>
    <w:p w:rsidR="00E4327A" w:rsidRPr="00E4327A" w:rsidRDefault="009401ED" w:rsidP="009401ED">
      <w:pPr>
        <w:pStyle w:val="ListParagraph"/>
        <w:ind w:left="0"/>
        <w:jc w:val="both"/>
        <w:rPr>
          <w:sz w:val="24"/>
          <w:szCs w:val="24"/>
          <w:lang w:val="en-US" w:eastAsia="en-NZ"/>
        </w:rPr>
      </w:pPr>
      <w:r w:rsidRPr="00E4327A">
        <w:rPr>
          <w:sz w:val="24"/>
          <w:szCs w:val="24"/>
          <w:lang w:val="en-US" w:eastAsia="en-NZ"/>
        </w:rPr>
        <w:t>The employment of disabled people is strongly reliant on employer attitudes and understanding of Reasonable Accommodati</w:t>
      </w:r>
      <w:r w:rsidR="00425014" w:rsidRPr="00E4327A">
        <w:rPr>
          <w:sz w:val="24"/>
          <w:szCs w:val="24"/>
          <w:lang w:val="en-US" w:eastAsia="en-NZ"/>
        </w:rPr>
        <w:t>on. As noted previously, Reasonable Accommodation is</w:t>
      </w:r>
      <w:r w:rsidRPr="00E4327A">
        <w:rPr>
          <w:sz w:val="24"/>
          <w:szCs w:val="24"/>
          <w:lang w:val="en-US" w:eastAsia="en-NZ"/>
        </w:rPr>
        <w:t xml:space="preserve"> not defined in New Zealand legislation and is not well understood. </w:t>
      </w:r>
    </w:p>
    <w:p w:rsidR="00E4327A" w:rsidRDefault="00E4327A" w:rsidP="009401ED">
      <w:pPr>
        <w:pStyle w:val="ListParagraph"/>
        <w:ind w:left="0"/>
        <w:jc w:val="both"/>
        <w:rPr>
          <w:sz w:val="24"/>
          <w:szCs w:val="24"/>
          <w:lang w:val="en-US" w:eastAsia="en-NZ"/>
        </w:rPr>
      </w:pPr>
    </w:p>
    <w:p w:rsidR="009401ED" w:rsidRPr="00EA15B7" w:rsidRDefault="009401ED" w:rsidP="009401ED">
      <w:pPr>
        <w:pStyle w:val="ListParagraph"/>
        <w:ind w:left="0"/>
        <w:jc w:val="both"/>
        <w:rPr>
          <w:rFonts w:eastAsiaTheme="majorEastAsia"/>
          <w:color w:val="000000" w:themeColor="text1"/>
          <w:sz w:val="24"/>
          <w:szCs w:val="24"/>
          <w:shd w:val="clear" w:color="auto" w:fill="FFFFFF"/>
          <w:vertAlign w:val="superscript"/>
        </w:rPr>
      </w:pPr>
      <w:r w:rsidRPr="00967EA5">
        <w:rPr>
          <w:color w:val="000000" w:themeColor="text1"/>
          <w:sz w:val="24"/>
          <w:szCs w:val="24"/>
          <w:shd w:val="clear" w:color="auto" w:fill="FFFFFF"/>
        </w:rPr>
        <w:t>Between 1996 and 2006 the employment rate of disabled barely improved, despite a raft of legislation, policies and programmes.</w:t>
      </w:r>
      <w:r w:rsidRPr="00967EA5">
        <w:rPr>
          <w:rStyle w:val="FootnoteReference"/>
          <w:color w:val="000000" w:themeColor="text1"/>
          <w:sz w:val="24"/>
          <w:szCs w:val="24"/>
          <w:shd w:val="clear" w:color="auto" w:fill="FFFFFF"/>
        </w:rPr>
        <w:footnoteReference w:id="143"/>
      </w:r>
      <w:r w:rsidRPr="00967EA5">
        <w:rPr>
          <w:color w:val="000000" w:themeColor="text1"/>
          <w:sz w:val="24"/>
          <w:szCs w:val="24"/>
          <w:shd w:val="clear" w:color="auto" w:fill="FFFFFF"/>
        </w:rPr>
        <w:t xml:space="preserve"> Even in the public service, that promotes Better Public Services to disabled people, only approximately 3.7</w:t>
      </w:r>
      <w:r w:rsidR="009B2CC0">
        <w:rPr>
          <w:color w:val="000000" w:themeColor="text1"/>
          <w:sz w:val="24"/>
          <w:szCs w:val="24"/>
          <w:shd w:val="clear" w:color="auto" w:fill="FFFFFF"/>
        </w:rPr>
        <w:t xml:space="preserve"> </w:t>
      </w:r>
      <w:r w:rsidRPr="00967EA5">
        <w:rPr>
          <w:color w:val="000000" w:themeColor="text1"/>
          <w:sz w:val="24"/>
          <w:szCs w:val="24"/>
          <w:shd w:val="clear" w:color="auto" w:fill="FFFFFF"/>
        </w:rPr>
        <w:t>percent of the workforce identify as experiencing disability.</w:t>
      </w:r>
      <w:r>
        <w:rPr>
          <w:rStyle w:val="FootnoteReference"/>
          <w:color w:val="000000" w:themeColor="text1"/>
          <w:sz w:val="24"/>
          <w:szCs w:val="24"/>
          <w:shd w:val="clear" w:color="auto" w:fill="FFFFFF"/>
        </w:rPr>
        <w:footnoteReference w:id="144"/>
      </w:r>
    </w:p>
    <w:p w:rsidR="009401ED" w:rsidRDefault="009401ED" w:rsidP="009401ED">
      <w:pPr>
        <w:pStyle w:val="ListParagraph"/>
        <w:ind w:left="0"/>
        <w:jc w:val="both"/>
        <w:rPr>
          <w:sz w:val="24"/>
          <w:szCs w:val="24"/>
          <w:lang w:val="en-US" w:eastAsia="en-NZ"/>
        </w:rPr>
      </w:pPr>
    </w:p>
    <w:p w:rsidR="009401ED" w:rsidRPr="00EC5B0A" w:rsidRDefault="009401ED" w:rsidP="009401ED">
      <w:pPr>
        <w:pStyle w:val="ListParagraph"/>
        <w:ind w:left="0"/>
        <w:jc w:val="both"/>
        <w:rPr>
          <w:b/>
          <w:sz w:val="24"/>
          <w:szCs w:val="24"/>
          <w:lang w:val="en-US" w:eastAsia="en-NZ"/>
        </w:rPr>
      </w:pPr>
      <w:r w:rsidRPr="00EC5B0A">
        <w:rPr>
          <w:b/>
          <w:sz w:val="24"/>
          <w:szCs w:val="24"/>
          <w:lang w:val="en-US" w:eastAsia="en-NZ"/>
        </w:rPr>
        <w:t>Example</w:t>
      </w:r>
    </w:p>
    <w:p w:rsidR="009401ED" w:rsidRDefault="009401ED" w:rsidP="009401ED">
      <w:pPr>
        <w:pStyle w:val="ListParagraph"/>
        <w:ind w:left="0"/>
        <w:jc w:val="both"/>
        <w:rPr>
          <w:sz w:val="24"/>
          <w:szCs w:val="24"/>
          <w:lang w:val="en-US" w:eastAsia="en-NZ"/>
        </w:rPr>
      </w:pPr>
    </w:p>
    <w:p w:rsidR="009401ED" w:rsidRDefault="009401ED" w:rsidP="009401ED">
      <w:pPr>
        <w:pStyle w:val="ListParagraph"/>
        <w:ind w:left="0"/>
        <w:jc w:val="both"/>
        <w:rPr>
          <w:sz w:val="24"/>
          <w:szCs w:val="24"/>
        </w:rPr>
      </w:pPr>
      <w:r>
        <w:rPr>
          <w:sz w:val="24"/>
          <w:szCs w:val="24"/>
          <w:lang w:val="en-US" w:eastAsia="en-NZ"/>
        </w:rPr>
        <w:t xml:space="preserve">A current </w:t>
      </w:r>
      <w:r w:rsidRPr="008C3DBA">
        <w:rPr>
          <w:sz w:val="24"/>
          <w:szCs w:val="24"/>
          <w:lang w:val="en-US" w:eastAsia="en-NZ"/>
        </w:rPr>
        <w:t>review of vocational services</w:t>
      </w:r>
      <w:r>
        <w:rPr>
          <w:sz w:val="24"/>
          <w:szCs w:val="24"/>
          <w:lang w:val="en-US" w:eastAsia="en-NZ"/>
        </w:rPr>
        <w:t xml:space="preserve"> exemplifies the employment barriers disabled people face</w:t>
      </w:r>
      <w:r w:rsidRPr="008C3DBA">
        <w:rPr>
          <w:sz w:val="24"/>
          <w:szCs w:val="24"/>
          <w:lang w:val="en-US" w:eastAsia="en-NZ"/>
        </w:rPr>
        <w:t xml:space="preserve">. </w:t>
      </w:r>
      <w:r w:rsidRPr="008C3DBA">
        <w:rPr>
          <w:sz w:val="24"/>
          <w:szCs w:val="24"/>
        </w:rPr>
        <w:t xml:space="preserve">While the </w:t>
      </w:r>
      <w:r>
        <w:rPr>
          <w:sz w:val="24"/>
          <w:szCs w:val="24"/>
        </w:rPr>
        <w:t xml:space="preserve">intention is that there is alignment between the </w:t>
      </w:r>
      <w:r w:rsidRPr="008C3DBA">
        <w:rPr>
          <w:sz w:val="24"/>
          <w:szCs w:val="24"/>
        </w:rPr>
        <w:t>Enabling Good Lives</w:t>
      </w:r>
      <w:r>
        <w:rPr>
          <w:sz w:val="24"/>
          <w:szCs w:val="24"/>
        </w:rPr>
        <w:t xml:space="preserve"> principles</w:t>
      </w:r>
      <w:proofErr w:type="gramStart"/>
      <w:r w:rsidRPr="008C3DBA">
        <w:rPr>
          <w:sz w:val="24"/>
          <w:szCs w:val="24"/>
        </w:rPr>
        <w:t>,</w:t>
      </w:r>
      <w:proofErr w:type="gramEnd"/>
      <w:r>
        <w:rPr>
          <w:rStyle w:val="FootnoteReference"/>
          <w:sz w:val="24"/>
          <w:szCs w:val="24"/>
        </w:rPr>
        <w:footnoteReference w:id="145"/>
      </w:r>
      <w:r>
        <w:rPr>
          <w:sz w:val="24"/>
          <w:szCs w:val="24"/>
        </w:rPr>
        <w:t xml:space="preserve">employment participation, inclusive services, and </w:t>
      </w:r>
      <w:r w:rsidRPr="008C3DBA">
        <w:rPr>
          <w:sz w:val="24"/>
          <w:szCs w:val="24"/>
        </w:rPr>
        <w:t xml:space="preserve">policy and </w:t>
      </w:r>
      <w:r>
        <w:rPr>
          <w:sz w:val="24"/>
          <w:szCs w:val="24"/>
        </w:rPr>
        <w:t xml:space="preserve">employment </w:t>
      </w:r>
      <w:r w:rsidRPr="008C3DBA">
        <w:rPr>
          <w:sz w:val="24"/>
          <w:szCs w:val="24"/>
        </w:rPr>
        <w:t xml:space="preserve">initiatives, </w:t>
      </w:r>
      <w:r w:rsidR="00EC5B0A">
        <w:rPr>
          <w:sz w:val="24"/>
          <w:szCs w:val="24"/>
        </w:rPr>
        <w:t xml:space="preserve">this has not typically been </w:t>
      </w:r>
      <w:r>
        <w:rPr>
          <w:sz w:val="24"/>
          <w:szCs w:val="24"/>
        </w:rPr>
        <w:t xml:space="preserve">the case. </w:t>
      </w:r>
    </w:p>
    <w:p w:rsidR="009401ED" w:rsidRDefault="009401ED" w:rsidP="009401ED">
      <w:pPr>
        <w:pStyle w:val="ListParagraph"/>
        <w:ind w:left="0"/>
        <w:jc w:val="both"/>
        <w:rPr>
          <w:sz w:val="24"/>
          <w:szCs w:val="24"/>
        </w:rPr>
      </w:pPr>
    </w:p>
    <w:p w:rsidR="009401ED" w:rsidRDefault="009401ED" w:rsidP="009401ED">
      <w:pPr>
        <w:pStyle w:val="ListParagraph"/>
        <w:ind w:left="0"/>
        <w:jc w:val="both"/>
        <w:rPr>
          <w:sz w:val="24"/>
          <w:szCs w:val="24"/>
        </w:rPr>
      </w:pPr>
      <w:r>
        <w:rPr>
          <w:sz w:val="24"/>
          <w:szCs w:val="24"/>
        </w:rPr>
        <w:t xml:space="preserve">The current system proposes moving away from disability community-based agencies. Instead screening would be undertaken via the government’s </w:t>
      </w:r>
      <w:r w:rsidR="00D66A11">
        <w:rPr>
          <w:sz w:val="24"/>
          <w:szCs w:val="24"/>
        </w:rPr>
        <w:t>WINZ service.</w:t>
      </w:r>
      <w:r>
        <w:rPr>
          <w:sz w:val="24"/>
          <w:szCs w:val="24"/>
        </w:rPr>
        <w:t xml:space="preserve"> </w:t>
      </w:r>
      <w:r w:rsidR="0049567E">
        <w:rPr>
          <w:sz w:val="24"/>
          <w:szCs w:val="24"/>
        </w:rPr>
        <w:t>While the ‘twin track’ approach has recently been implemented to support disabled people’s employment,</w:t>
      </w:r>
      <w:r w:rsidR="0049567E">
        <w:rPr>
          <w:rStyle w:val="FootnoteReference"/>
          <w:sz w:val="24"/>
          <w:szCs w:val="24"/>
        </w:rPr>
        <w:footnoteReference w:id="146"/>
      </w:r>
      <w:r w:rsidR="0049567E">
        <w:rPr>
          <w:sz w:val="24"/>
          <w:szCs w:val="24"/>
        </w:rPr>
        <w:t xml:space="preserve"> </w:t>
      </w:r>
      <w:r w:rsidR="009B2CC0">
        <w:rPr>
          <w:sz w:val="24"/>
          <w:szCs w:val="24"/>
        </w:rPr>
        <w:t xml:space="preserve">WINZ </w:t>
      </w:r>
      <w:r>
        <w:rPr>
          <w:sz w:val="24"/>
          <w:szCs w:val="24"/>
        </w:rPr>
        <w:t xml:space="preserve">is </w:t>
      </w:r>
      <w:r w:rsidR="00EC5B0A">
        <w:rPr>
          <w:sz w:val="24"/>
          <w:szCs w:val="24"/>
        </w:rPr>
        <w:t xml:space="preserve">known as </w:t>
      </w:r>
      <w:r>
        <w:rPr>
          <w:sz w:val="24"/>
          <w:szCs w:val="24"/>
        </w:rPr>
        <w:t>notoriously punitiv</w:t>
      </w:r>
      <w:r w:rsidR="00EC5B0A">
        <w:rPr>
          <w:sz w:val="24"/>
          <w:szCs w:val="24"/>
        </w:rPr>
        <w:t>e and motivated by cost-cutting.</w:t>
      </w:r>
      <w:r w:rsidR="0049567E">
        <w:rPr>
          <w:sz w:val="24"/>
          <w:szCs w:val="24"/>
        </w:rPr>
        <w:t xml:space="preserve"> </w:t>
      </w:r>
    </w:p>
    <w:p w:rsidR="00944D26" w:rsidRDefault="00944D26" w:rsidP="009401ED">
      <w:pPr>
        <w:pStyle w:val="ListParagraph"/>
        <w:ind w:left="0"/>
        <w:jc w:val="both"/>
        <w:rPr>
          <w:sz w:val="24"/>
          <w:szCs w:val="24"/>
        </w:rPr>
      </w:pPr>
    </w:p>
    <w:p w:rsidR="009401ED" w:rsidRDefault="00D57491" w:rsidP="009401ED">
      <w:pPr>
        <w:pStyle w:val="ListParagraph"/>
        <w:ind w:left="0"/>
        <w:jc w:val="both"/>
        <w:rPr>
          <w:sz w:val="24"/>
          <w:szCs w:val="24"/>
        </w:rPr>
      </w:pPr>
      <w:r>
        <w:rPr>
          <w:sz w:val="24"/>
          <w:szCs w:val="24"/>
        </w:rPr>
        <w:t>A move to WINZ screening w</w:t>
      </w:r>
      <w:r w:rsidR="009401ED">
        <w:rPr>
          <w:sz w:val="24"/>
          <w:szCs w:val="24"/>
        </w:rPr>
        <w:t>ould be contradictory to the governments’ Disability Strategy 2001 and the Disability Action Plan 2014-2018. It would be antithetical to the Enabling Good Lives principles</w:t>
      </w:r>
      <w:r w:rsidR="0026266B">
        <w:rPr>
          <w:sz w:val="24"/>
          <w:szCs w:val="24"/>
        </w:rPr>
        <w:t xml:space="preserve">. This approach is likely to </w:t>
      </w:r>
      <w:r w:rsidR="009401ED">
        <w:rPr>
          <w:sz w:val="24"/>
          <w:szCs w:val="24"/>
        </w:rPr>
        <w:t>result in further poverty and human rights violations.</w:t>
      </w:r>
    </w:p>
    <w:p w:rsidR="00A5097F" w:rsidRDefault="00A5097F" w:rsidP="009401ED">
      <w:pPr>
        <w:pStyle w:val="ListParagraph"/>
        <w:ind w:left="0"/>
        <w:jc w:val="both"/>
        <w:rPr>
          <w:sz w:val="24"/>
          <w:szCs w:val="24"/>
        </w:rPr>
      </w:pPr>
    </w:p>
    <w:p w:rsidR="008D65C5" w:rsidRPr="0009660D" w:rsidRDefault="0009660D" w:rsidP="00832154">
      <w:pPr>
        <w:pStyle w:val="Heading2"/>
      </w:pPr>
      <w:bookmarkStart w:id="42" w:name="_Toc420885864"/>
      <w:r w:rsidRPr="0009660D">
        <w:t>Education</w:t>
      </w:r>
      <w:bookmarkEnd w:id="42"/>
    </w:p>
    <w:p w:rsidR="0009660D" w:rsidRDefault="0009660D" w:rsidP="0009660D">
      <w:pPr>
        <w:pStyle w:val="ListParagraph"/>
        <w:ind w:left="0"/>
        <w:jc w:val="both"/>
        <w:rPr>
          <w:sz w:val="24"/>
          <w:szCs w:val="24"/>
        </w:rPr>
      </w:pPr>
    </w:p>
    <w:p w:rsidR="00DE3C89" w:rsidRDefault="002F2EA7" w:rsidP="0009660D">
      <w:pPr>
        <w:pStyle w:val="ListParagraph"/>
        <w:ind w:left="0"/>
        <w:jc w:val="both"/>
        <w:rPr>
          <w:sz w:val="24"/>
          <w:szCs w:val="24"/>
        </w:rPr>
      </w:pPr>
      <w:r w:rsidRPr="00DE3C89">
        <w:rPr>
          <w:sz w:val="24"/>
          <w:szCs w:val="24"/>
        </w:rPr>
        <w:lastRenderedPageBreak/>
        <w:t xml:space="preserve">While </w:t>
      </w:r>
      <w:r w:rsidR="00794DD8" w:rsidRPr="00DE3C89">
        <w:rPr>
          <w:sz w:val="24"/>
          <w:szCs w:val="24"/>
        </w:rPr>
        <w:t xml:space="preserve">the Education Act 1989 provides </w:t>
      </w:r>
      <w:r w:rsidR="00122FC9" w:rsidRPr="00DE3C89">
        <w:rPr>
          <w:sz w:val="24"/>
          <w:szCs w:val="24"/>
        </w:rPr>
        <w:t xml:space="preserve">for </w:t>
      </w:r>
      <w:r w:rsidRPr="00DE3C89">
        <w:rPr>
          <w:sz w:val="24"/>
          <w:szCs w:val="24"/>
        </w:rPr>
        <w:t xml:space="preserve">the right to </w:t>
      </w:r>
      <w:r w:rsidR="00794DD8" w:rsidRPr="00DE3C89">
        <w:rPr>
          <w:sz w:val="24"/>
          <w:szCs w:val="24"/>
        </w:rPr>
        <w:t>ed</w:t>
      </w:r>
      <w:r w:rsidR="00DA263A">
        <w:rPr>
          <w:sz w:val="24"/>
          <w:szCs w:val="24"/>
        </w:rPr>
        <w:t>ucation for all 5-19 year olds</w:t>
      </w:r>
      <w:r w:rsidR="00794DD8" w:rsidRPr="00DE3C89">
        <w:rPr>
          <w:sz w:val="24"/>
          <w:szCs w:val="24"/>
        </w:rPr>
        <w:t xml:space="preserve">, there is no requirement for </w:t>
      </w:r>
      <w:r w:rsidR="00122FC9" w:rsidRPr="00DE3C89">
        <w:rPr>
          <w:sz w:val="24"/>
          <w:szCs w:val="24"/>
        </w:rPr>
        <w:t xml:space="preserve">inclusive </w:t>
      </w:r>
      <w:r w:rsidRPr="00DE3C89">
        <w:rPr>
          <w:sz w:val="24"/>
          <w:szCs w:val="24"/>
        </w:rPr>
        <w:t>education</w:t>
      </w:r>
      <w:r w:rsidR="00DA263A">
        <w:rPr>
          <w:sz w:val="24"/>
          <w:szCs w:val="24"/>
        </w:rPr>
        <w:t xml:space="preserve"> of disabled children</w:t>
      </w:r>
      <w:r w:rsidR="00794DD8" w:rsidRPr="00DE3C89">
        <w:rPr>
          <w:sz w:val="24"/>
          <w:szCs w:val="24"/>
        </w:rPr>
        <w:t xml:space="preserve">. </w:t>
      </w:r>
      <w:r w:rsidR="00122FC9" w:rsidRPr="00DE3C89">
        <w:rPr>
          <w:sz w:val="24"/>
          <w:szCs w:val="24"/>
        </w:rPr>
        <w:t>This means the r</w:t>
      </w:r>
      <w:r w:rsidR="0094672F" w:rsidRPr="00DE3C89">
        <w:rPr>
          <w:sz w:val="24"/>
          <w:szCs w:val="24"/>
        </w:rPr>
        <w:t>ight to inclusive education</w:t>
      </w:r>
      <w:r w:rsidR="00E5565D" w:rsidRPr="00DE3C89">
        <w:rPr>
          <w:sz w:val="24"/>
          <w:szCs w:val="24"/>
        </w:rPr>
        <w:t xml:space="preserve"> </w:t>
      </w:r>
      <w:r w:rsidR="00122FC9" w:rsidRPr="00DE3C89">
        <w:rPr>
          <w:sz w:val="24"/>
          <w:szCs w:val="24"/>
        </w:rPr>
        <w:t>is not legally established</w:t>
      </w:r>
      <w:r w:rsidR="0094672F" w:rsidRPr="00DE3C89">
        <w:rPr>
          <w:sz w:val="24"/>
          <w:szCs w:val="24"/>
        </w:rPr>
        <w:t xml:space="preserve"> and</w:t>
      </w:r>
      <w:r w:rsidR="00122FC9" w:rsidRPr="00DE3C89">
        <w:rPr>
          <w:sz w:val="24"/>
          <w:szCs w:val="24"/>
        </w:rPr>
        <w:t xml:space="preserve"> has yet to be realised at a practical level</w:t>
      </w:r>
      <w:r w:rsidR="00126B37" w:rsidRPr="00DE3C89">
        <w:rPr>
          <w:sz w:val="24"/>
          <w:szCs w:val="24"/>
        </w:rPr>
        <w:t>.</w:t>
      </w:r>
      <w:r w:rsidR="00126B37">
        <w:rPr>
          <w:sz w:val="24"/>
          <w:szCs w:val="24"/>
        </w:rPr>
        <w:t xml:space="preserve"> </w:t>
      </w:r>
    </w:p>
    <w:p w:rsidR="00DE3C89" w:rsidRDefault="00DE3C89" w:rsidP="0009660D">
      <w:pPr>
        <w:pStyle w:val="ListParagraph"/>
        <w:ind w:left="0"/>
        <w:jc w:val="both"/>
        <w:rPr>
          <w:sz w:val="24"/>
          <w:szCs w:val="24"/>
        </w:rPr>
      </w:pPr>
    </w:p>
    <w:p w:rsidR="00E91F43" w:rsidRDefault="00126B37" w:rsidP="0009660D">
      <w:pPr>
        <w:pStyle w:val="ListParagraph"/>
        <w:ind w:left="0"/>
        <w:jc w:val="both"/>
        <w:rPr>
          <w:sz w:val="24"/>
          <w:szCs w:val="24"/>
        </w:rPr>
      </w:pPr>
      <w:r>
        <w:rPr>
          <w:sz w:val="24"/>
          <w:szCs w:val="24"/>
        </w:rPr>
        <w:t xml:space="preserve">There are ongoing issues facing disabled </w:t>
      </w:r>
      <w:r w:rsidR="00DA263A">
        <w:rPr>
          <w:sz w:val="24"/>
          <w:szCs w:val="24"/>
        </w:rPr>
        <w:t xml:space="preserve">students </w:t>
      </w:r>
      <w:r>
        <w:rPr>
          <w:sz w:val="24"/>
          <w:szCs w:val="24"/>
        </w:rPr>
        <w:t xml:space="preserve">at every step of school engagement. For example: </w:t>
      </w:r>
      <w:r w:rsidR="000C2D0D">
        <w:rPr>
          <w:sz w:val="24"/>
          <w:szCs w:val="24"/>
        </w:rPr>
        <w:t>enrol</w:t>
      </w:r>
      <w:r>
        <w:rPr>
          <w:sz w:val="24"/>
          <w:szCs w:val="24"/>
        </w:rPr>
        <w:t>ment;</w:t>
      </w:r>
      <w:r w:rsidR="000C2D0D">
        <w:rPr>
          <w:sz w:val="24"/>
          <w:szCs w:val="24"/>
        </w:rPr>
        <w:t xml:space="preserve"> </w:t>
      </w:r>
      <w:r>
        <w:rPr>
          <w:sz w:val="24"/>
          <w:szCs w:val="24"/>
        </w:rPr>
        <w:t>attitudes t</w:t>
      </w:r>
      <w:r w:rsidR="00B35672">
        <w:rPr>
          <w:sz w:val="24"/>
          <w:szCs w:val="24"/>
        </w:rPr>
        <w:t>o inclusiveness by senior staff;</w:t>
      </w:r>
      <w:r>
        <w:rPr>
          <w:sz w:val="24"/>
          <w:szCs w:val="24"/>
        </w:rPr>
        <w:t xml:space="preserve"> a lack of support hours; un</w:t>
      </w:r>
      <w:r w:rsidR="00DA263A">
        <w:rPr>
          <w:sz w:val="24"/>
          <w:szCs w:val="24"/>
        </w:rPr>
        <w:t xml:space="preserve">suitable physical environments; an </w:t>
      </w:r>
      <w:r>
        <w:rPr>
          <w:sz w:val="24"/>
          <w:szCs w:val="24"/>
        </w:rPr>
        <w:t xml:space="preserve">inadequate child-to-adult ratio to ensure safety; </w:t>
      </w:r>
      <w:r w:rsidR="000C2D0D">
        <w:rPr>
          <w:sz w:val="24"/>
          <w:szCs w:val="24"/>
        </w:rPr>
        <w:t>access to curriculum</w:t>
      </w:r>
      <w:r>
        <w:rPr>
          <w:sz w:val="24"/>
          <w:szCs w:val="24"/>
        </w:rPr>
        <w:t>;</w:t>
      </w:r>
      <w:r w:rsidR="00A128AB">
        <w:rPr>
          <w:sz w:val="24"/>
          <w:szCs w:val="24"/>
        </w:rPr>
        <w:t xml:space="preserve"> </w:t>
      </w:r>
      <w:r w:rsidR="00B35672">
        <w:rPr>
          <w:sz w:val="24"/>
          <w:szCs w:val="24"/>
        </w:rPr>
        <w:t xml:space="preserve">and </w:t>
      </w:r>
      <w:r w:rsidR="000C2D0D">
        <w:rPr>
          <w:sz w:val="24"/>
          <w:szCs w:val="24"/>
        </w:rPr>
        <w:t xml:space="preserve">participation in </w:t>
      </w:r>
      <w:r w:rsidR="00B35672">
        <w:rPr>
          <w:sz w:val="24"/>
          <w:szCs w:val="24"/>
        </w:rPr>
        <w:t xml:space="preserve">‘everyday’ </w:t>
      </w:r>
      <w:r>
        <w:rPr>
          <w:sz w:val="24"/>
          <w:szCs w:val="24"/>
        </w:rPr>
        <w:t xml:space="preserve">school </w:t>
      </w:r>
      <w:r w:rsidR="000C2D0D">
        <w:rPr>
          <w:sz w:val="24"/>
          <w:szCs w:val="24"/>
        </w:rPr>
        <w:t>activities</w:t>
      </w:r>
      <w:r w:rsidR="00CE28CA">
        <w:rPr>
          <w:sz w:val="24"/>
          <w:szCs w:val="24"/>
        </w:rPr>
        <w:t>.</w:t>
      </w:r>
      <w:r w:rsidR="00B35672">
        <w:rPr>
          <w:rStyle w:val="FootnoteReference"/>
          <w:sz w:val="24"/>
          <w:szCs w:val="24"/>
        </w:rPr>
        <w:footnoteReference w:id="147"/>
      </w:r>
      <w:r w:rsidR="00CE28CA">
        <w:rPr>
          <w:sz w:val="24"/>
          <w:szCs w:val="24"/>
        </w:rPr>
        <w:t xml:space="preserve"> Further, </w:t>
      </w:r>
      <w:r>
        <w:rPr>
          <w:sz w:val="24"/>
          <w:szCs w:val="24"/>
        </w:rPr>
        <w:t>the reporting of</w:t>
      </w:r>
      <w:r w:rsidR="00A128AB">
        <w:rPr>
          <w:sz w:val="24"/>
          <w:szCs w:val="24"/>
        </w:rPr>
        <w:t xml:space="preserve"> disabled students’ achievement</w:t>
      </w:r>
      <w:r w:rsidR="00FC4F42">
        <w:rPr>
          <w:sz w:val="24"/>
          <w:szCs w:val="24"/>
        </w:rPr>
        <w:t xml:space="preserve"> and educational outcomes</w:t>
      </w:r>
      <w:r>
        <w:rPr>
          <w:sz w:val="24"/>
          <w:szCs w:val="24"/>
        </w:rPr>
        <w:t xml:space="preserve"> is </w:t>
      </w:r>
      <w:r w:rsidR="00DA263A">
        <w:rPr>
          <w:sz w:val="24"/>
          <w:szCs w:val="24"/>
        </w:rPr>
        <w:t xml:space="preserve">limited, </w:t>
      </w:r>
      <w:r>
        <w:rPr>
          <w:sz w:val="24"/>
          <w:szCs w:val="24"/>
        </w:rPr>
        <w:t xml:space="preserve">and there are no measures that compare learning outcomes of disabled and non-disabled students. </w:t>
      </w:r>
      <w:r w:rsidR="00A128AB">
        <w:rPr>
          <w:sz w:val="24"/>
          <w:szCs w:val="24"/>
        </w:rPr>
        <w:t>Current legislation has</w:t>
      </w:r>
      <w:r w:rsidR="007A0569">
        <w:rPr>
          <w:sz w:val="24"/>
          <w:szCs w:val="24"/>
        </w:rPr>
        <w:t xml:space="preserve"> </w:t>
      </w:r>
      <w:r w:rsidR="00A128AB">
        <w:rPr>
          <w:sz w:val="24"/>
          <w:szCs w:val="24"/>
        </w:rPr>
        <w:t>be</w:t>
      </w:r>
      <w:r w:rsidR="00121594">
        <w:rPr>
          <w:sz w:val="24"/>
          <w:szCs w:val="24"/>
        </w:rPr>
        <w:t>en recognised as discriminatory</w:t>
      </w:r>
      <w:r w:rsidR="00A128AB">
        <w:rPr>
          <w:sz w:val="24"/>
          <w:szCs w:val="24"/>
        </w:rPr>
        <w:t xml:space="preserve"> at a judicial level, but has not resulted in any change</w:t>
      </w:r>
      <w:r w:rsidR="007A0569">
        <w:rPr>
          <w:sz w:val="24"/>
          <w:szCs w:val="24"/>
        </w:rPr>
        <w:t>.</w:t>
      </w:r>
      <w:r w:rsidR="00A128AB">
        <w:rPr>
          <w:sz w:val="24"/>
          <w:szCs w:val="24"/>
        </w:rPr>
        <w:t xml:space="preserve"> The IHC</w:t>
      </w:r>
      <w:r w:rsidR="00A128AB">
        <w:rPr>
          <w:rStyle w:val="FootnoteReference"/>
          <w:sz w:val="24"/>
          <w:szCs w:val="24"/>
        </w:rPr>
        <w:footnoteReference w:id="148"/>
      </w:r>
      <w:r w:rsidR="00A128AB">
        <w:rPr>
          <w:sz w:val="24"/>
          <w:szCs w:val="24"/>
        </w:rPr>
        <w:t>continues to pursue legal proceedings against the Ministry of Education in this regard.</w:t>
      </w:r>
      <w:r>
        <w:rPr>
          <w:rStyle w:val="FootnoteReference"/>
          <w:sz w:val="24"/>
          <w:szCs w:val="24"/>
        </w:rPr>
        <w:footnoteReference w:id="149"/>
      </w:r>
    </w:p>
    <w:p w:rsidR="00122FC9" w:rsidRDefault="00122FC9" w:rsidP="0009660D">
      <w:pPr>
        <w:pStyle w:val="ListParagraph"/>
        <w:ind w:left="0"/>
        <w:jc w:val="both"/>
        <w:rPr>
          <w:sz w:val="24"/>
          <w:szCs w:val="24"/>
        </w:rPr>
      </w:pPr>
    </w:p>
    <w:p w:rsidR="0099120C" w:rsidRDefault="00E91F43" w:rsidP="0099120C">
      <w:pPr>
        <w:rPr>
          <w:sz w:val="24"/>
          <w:szCs w:val="24"/>
          <w:shd w:val="clear" w:color="auto" w:fill="FFFFFF"/>
        </w:rPr>
      </w:pPr>
      <w:r>
        <w:rPr>
          <w:sz w:val="24"/>
          <w:szCs w:val="24"/>
          <w:shd w:val="clear" w:color="auto" w:fill="FFFFFF"/>
        </w:rPr>
        <w:t>To obtain</w:t>
      </w:r>
      <w:r w:rsidR="007A0569">
        <w:rPr>
          <w:sz w:val="24"/>
          <w:szCs w:val="24"/>
          <w:shd w:val="clear" w:color="auto" w:fill="FFFFFF"/>
        </w:rPr>
        <w:t xml:space="preserve"> any</w:t>
      </w:r>
      <w:r>
        <w:rPr>
          <w:sz w:val="24"/>
          <w:szCs w:val="24"/>
          <w:shd w:val="clear" w:color="auto" w:fill="FFFFFF"/>
        </w:rPr>
        <w:t xml:space="preserve"> </w:t>
      </w:r>
      <w:r w:rsidR="007A0569">
        <w:rPr>
          <w:sz w:val="24"/>
          <w:szCs w:val="24"/>
          <w:shd w:val="clear" w:color="auto" w:fill="FFFFFF"/>
        </w:rPr>
        <w:t xml:space="preserve">form of social protections </w:t>
      </w:r>
      <w:r>
        <w:rPr>
          <w:sz w:val="24"/>
          <w:szCs w:val="24"/>
          <w:shd w:val="clear" w:color="auto" w:fill="FFFFFF"/>
        </w:rPr>
        <w:t xml:space="preserve">for </w:t>
      </w:r>
      <w:r w:rsidR="0099120C">
        <w:rPr>
          <w:sz w:val="24"/>
          <w:szCs w:val="24"/>
          <w:shd w:val="clear" w:color="auto" w:fill="FFFFFF"/>
        </w:rPr>
        <w:t xml:space="preserve">disabled </w:t>
      </w:r>
      <w:r>
        <w:rPr>
          <w:sz w:val="24"/>
          <w:szCs w:val="24"/>
          <w:shd w:val="clear" w:color="auto" w:fill="FFFFFF"/>
        </w:rPr>
        <w:t>children and young people</w:t>
      </w:r>
      <w:r w:rsidR="007A0569">
        <w:rPr>
          <w:sz w:val="24"/>
          <w:szCs w:val="24"/>
          <w:shd w:val="clear" w:color="auto" w:fill="FFFFFF"/>
        </w:rPr>
        <w:t xml:space="preserve"> within the education system</w:t>
      </w:r>
      <w:r>
        <w:rPr>
          <w:sz w:val="24"/>
          <w:szCs w:val="24"/>
          <w:shd w:val="clear" w:color="auto" w:fill="FFFFFF"/>
        </w:rPr>
        <w:t xml:space="preserve">, the onus is on parent/s or </w:t>
      </w:r>
      <w:r w:rsidR="00121594">
        <w:rPr>
          <w:sz w:val="24"/>
          <w:szCs w:val="24"/>
          <w:shd w:val="clear" w:color="auto" w:fill="FFFFFF"/>
        </w:rPr>
        <w:t>guardians to initiate and justify basic requirements for accessible education</w:t>
      </w:r>
      <w:r>
        <w:rPr>
          <w:sz w:val="24"/>
          <w:szCs w:val="24"/>
          <w:shd w:val="clear" w:color="auto" w:fill="FFFFFF"/>
        </w:rPr>
        <w:t xml:space="preserve">. </w:t>
      </w:r>
      <w:r w:rsidR="0099120C">
        <w:rPr>
          <w:sz w:val="24"/>
          <w:szCs w:val="24"/>
          <w:shd w:val="clear" w:color="auto" w:fill="FFFFFF"/>
        </w:rPr>
        <w:t>The process of obtaining supports for a disabled child or young person</w:t>
      </w:r>
      <w:r>
        <w:rPr>
          <w:sz w:val="24"/>
          <w:szCs w:val="24"/>
          <w:shd w:val="clear" w:color="auto" w:fill="FFFFFF"/>
        </w:rPr>
        <w:t xml:space="preserve"> can involve multiple government departments and multiple agencies</w:t>
      </w:r>
      <w:r w:rsidR="0099120C">
        <w:rPr>
          <w:sz w:val="24"/>
          <w:szCs w:val="24"/>
          <w:shd w:val="clear" w:color="auto" w:fill="FFFFFF"/>
        </w:rPr>
        <w:t>,</w:t>
      </w:r>
      <w:r>
        <w:rPr>
          <w:sz w:val="24"/>
          <w:szCs w:val="24"/>
          <w:shd w:val="clear" w:color="auto" w:fill="FFFFFF"/>
        </w:rPr>
        <w:t xml:space="preserve"> </w:t>
      </w:r>
      <w:r w:rsidR="007A0569">
        <w:rPr>
          <w:sz w:val="24"/>
          <w:szCs w:val="24"/>
          <w:shd w:val="clear" w:color="auto" w:fill="FFFFFF"/>
        </w:rPr>
        <w:t>is dependent</w:t>
      </w:r>
      <w:r>
        <w:rPr>
          <w:sz w:val="24"/>
          <w:szCs w:val="24"/>
          <w:shd w:val="clear" w:color="auto" w:fill="FFFFFF"/>
        </w:rPr>
        <w:t xml:space="preserve"> on the students’ impairment type/s and needs</w:t>
      </w:r>
      <w:r w:rsidR="002F2EA7">
        <w:rPr>
          <w:sz w:val="24"/>
          <w:szCs w:val="24"/>
          <w:shd w:val="clear" w:color="auto" w:fill="FFFFFF"/>
        </w:rPr>
        <w:t>,</w:t>
      </w:r>
      <w:r w:rsidR="002F2EA7">
        <w:rPr>
          <w:rStyle w:val="FootnoteReference"/>
          <w:sz w:val="24"/>
          <w:szCs w:val="24"/>
          <w:shd w:val="clear" w:color="auto" w:fill="FFFFFF"/>
        </w:rPr>
        <w:footnoteReference w:id="150"/>
      </w:r>
      <w:r w:rsidR="0099120C">
        <w:rPr>
          <w:sz w:val="24"/>
          <w:szCs w:val="24"/>
          <w:shd w:val="clear" w:color="auto" w:fill="FFFFFF"/>
        </w:rPr>
        <w:t xml:space="preserve"> the different definitions of disability used by each agency</w:t>
      </w:r>
      <w:r w:rsidR="007A0569">
        <w:rPr>
          <w:sz w:val="24"/>
          <w:szCs w:val="24"/>
          <w:shd w:val="clear" w:color="auto" w:fill="FFFFFF"/>
        </w:rPr>
        <w:t xml:space="preserve"> and </w:t>
      </w:r>
      <w:r w:rsidR="004800BC">
        <w:rPr>
          <w:sz w:val="24"/>
          <w:szCs w:val="24"/>
          <w:shd w:val="clear" w:color="auto" w:fill="FFFFFF"/>
        </w:rPr>
        <w:t xml:space="preserve">in different </w:t>
      </w:r>
      <w:r w:rsidR="007A0569">
        <w:rPr>
          <w:sz w:val="24"/>
          <w:szCs w:val="24"/>
          <w:shd w:val="clear" w:color="auto" w:fill="FFFFFF"/>
        </w:rPr>
        <w:t>policies</w:t>
      </w:r>
      <w:r w:rsidR="0099120C">
        <w:rPr>
          <w:sz w:val="24"/>
          <w:szCs w:val="24"/>
          <w:shd w:val="clear" w:color="auto" w:fill="FFFFFF"/>
        </w:rPr>
        <w:t>, the inclusion of par</w:t>
      </w:r>
      <w:r w:rsidR="007A0569">
        <w:rPr>
          <w:sz w:val="24"/>
          <w:szCs w:val="24"/>
          <w:shd w:val="clear" w:color="auto" w:fill="FFFFFF"/>
        </w:rPr>
        <w:t xml:space="preserve">ticular impairment types, and an </w:t>
      </w:r>
      <w:r w:rsidR="0099120C">
        <w:rPr>
          <w:sz w:val="24"/>
          <w:szCs w:val="24"/>
          <w:shd w:val="clear" w:color="auto" w:fill="FFFFFF"/>
        </w:rPr>
        <w:t>official</w:t>
      </w:r>
      <w:r w:rsidR="0068649E">
        <w:rPr>
          <w:sz w:val="24"/>
          <w:szCs w:val="24"/>
          <w:shd w:val="clear" w:color="auto" w:fill="FFFFFF"/>
        </w:rPr>
        <w:t>ly sanctioned</w:t>
      </w:r>
      <w:r w:rsidR="0099120C">
        <w:rPr>
          <w:sz w:val="24"/>
          <w:szCs w:val="24"/>
          <w:shd w:val="clear" w:color="auto" w:fill="FFFFFF"/>
        </w:rPr>
        <w:t xml:space="preserve"> ‘diagnosis’.</w:t>
      </w:r>
    </w:p>
    <w:p w:rsidR="0099120C" w:rsidRDefault="0099120C" w:rsidP="00E91F43">
      <w:pPr>
        <w:rPr>
          <w:sz w:val="24"/>
          <w:szCs w:val="24"/>
          <w:shd w:val="clear" w:color="auto" w:fill="FFFFFF"/>
        </w:rPr>
      </w:pPr>
    </w:p>
    <w:p w:rsidR="00E91F43" w:rsidRDefault="00E91F43" w:rsidP="00E91F43">
      <w:pPr>
        <w:rPr>
          <w:sz w:val="24"/>
          <w:szCs w:val="24"/>
          <w:shd w:val="clear" w:color="auto" w:fill="FFFFFF"/>
        </w:rPr>
      </w:pPr>
      <w:r>
        <w:rPr>
          <w:sz w:val="24"/>
          <w:szCs w:val="24"/>
          <w:shd w:val="clear" w:color="auto" w:fill="FFFFFF"/>
        </w:rPr>
        <w:t>Navigating the</w:t>
      </w:r>
      <w:r w:rsidR="0099120C">
        <w:rPr>
          <w:sz w:val="24"/>
          <w:szCs w:val="24"/>
          <w:shd w:val="clear" w:color="auto" w:fill="FFFFFF"/>
        </w:rPr>
        <w:t xml:space="preserve"> social protections</w:t>
      </w:r>
      <w:r>
        <w:rPr>
          <w:sz w:val="24"/>
          <w:szCs w:val="24"/>
          <w:shd w:val="clear" w:color="auto" w:fill="FFFFFF"/>
        </w:rPr>
        <w:t xml:space="preserve"> system, obtaining required information, knowing what is available, obtaining (and in some cases paying for) assessments, applying for supports, </w:t>
      </w:r>
      <w:r w:rsidR="0099120C">
        <w:rPr>
          <w:sz w:val="24"/>
          <w:szCs w:val="24"/>
          <w:shd w:val="clear" w:color="auto" w:fill="FFFFFF"/>
        </w:rPr>
        <w:t xml:space="preserve">and repeatedly reapplying and renegotiating provisions, </w:t>
      </w:r>
      <w:r>
        <w:rPr>
          <w:sz w:val="24"/>
          <w:szCs w:val="24"/>
          <w:shd w:val="clear" w:color="auto" w:fill="FFFFFF"/>
        </w:rPr>
        <w:t>is extremely time consuming</w:t>
      </w:r>
      <w:r w:rsidR="004800BC">
        <w:rPr>
          <w:sz w:val="24"/>
          <w:szCs w:val="24"/>
          <w:shd w:val="clear" w:color="auto" w:fill="FFFFFF"/>
        </w:rPr>
        <w:t xml:space="preserve"> and costly,</w:t>
      </w:r>
      <w:r w:rsidR="0099120C">
        <w:rPr>
          <w:sz w:val="24"/>
          <w:szCs w:val="24"/>
          <w:shd w:val="clear" w:color="auto" w:fill="FFFFFF"/>
        </w:rPr>
        <w:t xml:space="preserve"> </w:t>
      </w:r>
      <w:r>
        <w:rPr>
          <w:sz w:val="24"/>
          <w:szCs w:val="24"/>
          <w:shd w:val="clear" w:color="auto" w:fill="FFFFFF"/>
        </w:rPr>
        <w:t xml:space="preserve">and </w:t>
      </w:r>
      <w:r w:rsidR="0099120C">
        <w:rPr>
          <w:sz w:val="24"/>
          <w:szCs w:val="24"/>
          <w:shd w:val="clear" w:color="auto" w:fill="FFFFFF"/>
        </w:rPr>
        <w:t xml:space="preserve">takes </w:t>
      </w:r>
      <w:r w:rsidR="004800BC">
        <w:rPr>
          <w:sz w:val="24"/>
          <w:szCs w:val="24"/>
          <w:shd w:val="clear" w:color="auto" w:fill="FFFFFF"/>
        </w:rPr>
        <w:t xml:space="preserve">personal </w:t>
      </w:r>
      <w:r w:rsidR="0099120C">
        <w:rPr>
          <w:sz w:val="24"/>
          <w:szCs w:val="24"/>
          <w:shd w:val="clear" w:color="auto" w:fill="FFFFFF"/>
        </w:rPr>
        <w:t xml:space="preserve">toll on </w:t>
      </w:r>
      <w:r>
        <w:rPr>
          <w:sz w:val="24"/>
          <w:szCs w:val="24"/>
          <w:shd w:val="clear" w:color="auto" w:fill="FFFFFF"/>
        </w:rPr>
        <w:t>parents/s and guardians.</w:t>
      </w:r>
    </w:p>
    <w:p w:rsidR="00E91F43" w:rsidRDefault="00E91F43" w:rsidP="0009660D">
      <w:pPr>
        <w:pStyle w:val="ListParagraph"/>
        <w:ind w:left="0"/>
        <w:jc w:val="both"/>
        <w:rPr>
          <w:sz w:val="24"/>
          <w:szCs w:val="24"/>
        </w:rPr>
      </w:pPr>
    </w:p>
    <w:p w:rsidR="006208E3" w:rsidRDefault="00122FC9" w:rsidP="00072503">
      <w:pPr>
        <w:rPr>
          <w:sz w:val="24"/>
          <w:szCs w:val="24"/>
          <w:shd w:val="clear" w:color="auto" w:fill="FFFFFF"/>
        </w:rPr>
      </w:pPr>
      <w:r>
        <w:rPr>
          <w:sz w:val="24"/>
          <w:szCs w:val="24"/>
        </w:rPr>
        <w:t>T</w:t>
      </w:r>
      <w:r w:rsidRPr="008F6878">
        <w:rPr>
          <w:sz w:val="24"/>
          <w:szCs w:val="24"/>
          <w:shd w:val="clear" w:color="auto" w:fill="F6F5F0"/>
        </w:rPr>
        <w:t>he</w:t>
      </w:r>
      <w:r>
        <w:rPr>
          <w:sz w:val="24"/>
          <w:szCs w:val="24"/>
          <w:shd w:val="clear" w:color="auto" w:fill="F6F5F0"/>
        </w:rPr>
        <w:t xml:space="preserve"> Ministry of Education provides</w:t>
      </w:r>
      <w:r w:rsidRPr="008F6878">
        <w:rPr>
          <w:sz w:val="24"/>
          <w:szCs w:val="24"/>
          <w:shd w:val="clear" w:color="auto" w:fill="F6F5F0"/>
        </w:rPr>
        <w:t xml:space="preserve"> Ongoing Resourcing Scheme (ORS) for students with the highest level of need for special education to join in and learn alongside other students at school. However, </w:t>
      </w:r>
      <w:r w:rsidRPr="008F6878">
        <w:rPr>
          <w:sz w:val="24"/>
          <w:szCs w:val="24"/>
          <w:shd w:val="clear" w:color="auto" w:fill="FFFFFF"/>
        </w:rPr>
        <w:t>competitive funding</w:t>
      </w:r>
      <w:r>
        <w:rPr>
          <w:sz w:val="24"/>
          <w:szCs w:val="24"/>
          <w:shd w:val="clear" w:color="auto" w:fill="FFFFFF"/>
        </w:rPr>
        <w:t>,</w:t>
      </w:r>
      <w:r w:rsidRPr="008F6878">
        <w:rPr>
          <w:sz w:val="24"/>
          <w:szCs w:val="24"/>
          <w:shd w:val="clear" w:color="auto" w:fill="FFFFFF"/>
        </w:rPr>
        <w:t xml:space="preserve"> and</w:t>
      </w:r>
      <w:r>
        <w:rPr>
          <w:sz w:val="24"/>
          <w:szCs w:val="24"/>
          <w:shd w:val="clear" w:color="auto" w:fill="FFFFFF"/>
        </w:rPr>
        <w:t xml:space="preserve"> the</w:t>
      </w:r>
      <w:r w:rsidRPr="008F6878">
        <w:rPr>
          <w:sz w:val="24"/>
          <w:szCs w:val="24"/>
          <w:shd w:val="clear" w:color="auto" w:fill="FFFFFF"/>
        </w:rPr>
        <w:t xml:space="preserve"> </w:t>
      </w:r>
      <w:r>
        <w:rPr>
          <w:sz w:val="24"/>
          <w:szCs w:val="24"/>
          <w:shd w:val="clear" w:color="auto" w:fill="FFFFFF"/>
        </w:rPr>
        <w:t xml:space="preserve">capping of ORS budgets, </w:t>
      </w:r>
      <w:r w:rsidRPr="008F6878">
        <w:rPr>
          <w:sz w:val="24"/>
          <w:szCs w:val="24"/>
          <w:shd w:val="clear" w:color="auto" w:fill="FFFFFF"/>
        </w:rPr>
        <w:t xml:space="preserve">means that if one student is granted funding, another student can miss out. </w:t>
      </w:r>
      <w:r>
        <w:rPr>
          <w:sz w:val="24"/>
          <w:szCs w:val="24"/>
          <w:shd w:val="clear" w:color="auto" w:fill="FFFFFF"/>
        </w:rPr>
        <w:t>This approach to the funding of students results in highly inequitable outcomes.</w:t>
      </w:r>
    </w:p>
    <w:p w:rsidR="00072503" w:rsidRDefault="00072503" w:rsidP="00072503">
      <w:pPr>
        <w:rPr>
          <w:sz w:val="24"/>
          <w:szCs w:val="24"/>
          <w:shd w:val="clear" w:color="auto" w:fill="FFFFFF"/>
        </w:rPr>
      </w:pPr>
    </w:p>
    <w:p w:rsidR="00072503" w:rsidRPr="00072503" w:rsidRDefault="00072503" w:rsidP="00072503">
      <w:pPr>
        <w:rPr>
          <w:sz w:val="24"/>
          <w:szCs w:val="24"/>
          <w:shd w:val="clear" w:color="auto" w:fill="FFFFFF"/>
        </w:rPr>
      </w:pPr>
      <w:r>
        <w:rPr>
          <w:sz w:val="24"/>
          <w:szCs w:val="24"/>
          <w:shd w:val="clear" w:color="auto" w:fill="FFFFFF"/>
        </w:rPr>
        <w:t>Complaints to the Ombudsman about educational access and funding for disabled children are common.</w:t>
      </w:r>
      <w:r>
        <w:rPr>
          <w:rStyle w:val="FootnoteReference"/>
          <w:sz w:val="24"/>
          <w:szCs w:val="24"/>
          <w:shd w:val="clear" w:color="auto" w:fill="FFFFFF"/>
        </w:rPr>
        <w:footnoteReference w:id="151"/>
      </w:r>
    </w:p>
    <w:p w:rsidR="00122FC9" w:rsidRDefault="00122FC9" w:rsidP="008D65C5">
      <w:pPr>
        <w:pStyle w:val="ListParagraph"/>
        <w:ind w:left="0"/>
        <w:jc w:val="both"/>
        <w:rPr>
          <w:sz w:val="24"/>
          <w:szCs w:val="24"/>
        </w:rPr>
      </w:pPr>
    </w:p>
    <w:p w:rsidR="009401ED" w:rsidRPr="00DA1B59" w:rsidRDefault="009401ED" w:rsidP="009401ED">
      <w:pPr>
        <w:pStyle w:val="Heading2"/>
      </w:pPr>
      <w:bookmarkStart w:id="43" w:name="_Toc420885865"/>
      <w:r w:rsidRPr="00DA1B59">
        <w:t>Accessibility</w:t>
      </w:r>
      <w:bookmarkEnd w:id="43"/>
    </w:p>
    <w:p w:rsidR="009401ED" w:rsidRDefault="009401ED" w:rsidP="009401ED">
      <w:pPr>
        <w:pStyle w:val="ListParagraph"/>
        <w:ind w:left="0"/>
        <w:jc w:val="both"/>
        <w:rPr>
          <w:sz w:val="24"/>
          <w:szCs w:val="24"/>
        </w:rPr>
      </w:pPr>
    </w:p>
    <w:p w:rsidR="009401ED" w:rsidRDefault="009401ED" w:rsidP="009401ED">
      <w:pPr>
        <w:pStyle w:val="ListParagraph"/>
        <w:ind w:left="0"/>
        <w:rPr>
          <w:sz w:val="24"/>
          <w:szCs w:val="24"/>
        </w:rPr>
      </w:pPr>
    </w:p>
    <w:p w:rsidR="001455F7" w:rsidRDefault="009401ED" w:rsidP="009401ED">
      <w:pPr>
        <w:pStyle w:val="ListParagraph"/>
        <w:ind w:left="0"/>
        <w:rPr>
          <w:sz w:val="24"/>
          <w:szCs w:val="24"/>
        </w:rPr>
      </w:pPr>
      <w:r>
        <w:rPr>
          <w:sz w:val="24"/>
          <w:szCs w:val="24"/>
        </w:rPr>
        <w:t xml:space="preserve">Accessibility applies to diverse spheres of public and political life, and includes (but is not limited to) the physical and built environment, information and communication, </w:t>
      </w:r>
      <w:r>
        <w:rPr>
          <w:sz w:val="24"/>
          <w:szCs w:val="24"/>
        </w:rPr>
        <w:lastRenderedPageBreak/>
        <w:t>media, transport, goods and services, and the broad spectrum of facilities and services</w:t>
      </w:r>
      <w:r w:rsidR="00457E96">
        <w:rPr>
          <w:sz w:val="24"/>
          <w:szCs w:val="24"/>
        </w:rPr>
        <w:t xml:space="preserve"> that are part of any </w:t>
      </w:r>
      <w:r w:rsidR="003C1B37">
        <w:rPr>
          <w:sz w:val="24"/>
          <w:szCs w:val="24"/>
        </w:rPr>
        <w:t>community</w:t>
      </w:r>
      <w:r>
        <w:rPr>
          <w:sz w:val="24"/>
          <w:szCs w:val="24"/>
        </w:rPr>
        <w:t xml:space="preserve">. </w:t>
      </w:r>
      <w:r w:rsidR="003C1B37">
        <w:rPr>
          <w:sz w:val="24"/>
          <w:szCs w:val="24"/>
        </w:rPr>
        <w:t>T</w:t>
      </w:r>
      <w:r>
        <w:rPr>
          <w:sz w:val="24"/>
          <w:szCs w:val="24"/>
        </w:rPr>
        <w:t xml:space="preserve">he private sector </w:t>
      </w:r>
      <w:r w:rsidR="003C1B37">
        <w:rPr>
          <w:sz w:val="24"/>
          <w:szCs w:val="24"/>
        </w:rPr>
        <w:t xml:space="preserve">is also required to ensure </w:t>
      </w:r>
      <w:r>
        <w:rPr>
          <w:sz w:val="24"/>
          <w:szCs w:val="24"/>
        </w:rPr>
        <w:t>services are accessible to the public.</w:t>
      </w:r>
      <w:r w:rsidR="003C1B37">
        <w:rPr>
          <w:sz w:val="24"/>
          <w:szCs w:val="24"/>
        </w:rPr>
        <w:t xml:space="preserve"> However, i</w:t>
      </w:r>
      <w:r w:rsidRPr="00B35672">
        <w:rPr>
          <w:sz w:val="24"/>
          <w:szCs w:val="24"/>
        </w:rPr>
        <w:t>mplementation and monitoring of compliance with UNCRPD accessibility guidelines, and Government website access standards, lacks rigour across government and non-government agencies, and in the provision of services and</w:t>
      </w:r>
      <w:r w:rsidR="001455F7" w:rsidRPr="00B35672">
        <w:rPr>
          <w:sz w:val="24"/>
          <w:szCs w:val="24"/>
        </w:rPr>
        <w:t xml:space="preserve"> public</w:t>
      </w:r>
      <w:r w:rsidRPr="00B35672">
        <w:rPr>
          <w:sz w:val="24"/>
          <w:szCs w:val="24"/>
        </w:rPr>
        <w:t xml:space="preserve"> facilities.  </w:t>
      </w:r>
    </w:p>
    <w:p w:rsidR="001455F7" w:rsidRDefault="001455F7" w:rsidP="009401ED">
      <w:pPr>
        <w:pStyle w:val="ListParagraph"/>
        <w:ind w:left="0"/>
        <w:rPr>
          <w:sz w:val="24"/>
          <w:szCs w:val="24"/>
        </w:rPr>
      </w:pPr>
    </w:p>
    <w:p w:rsidR="009401ED" w:rsidRPr="00E74B7C" w:rsidRDefault="00E74B7C" w:rsidP="009401ED">
      <w:pPr>
        <w:pStyle w:val="ListParagraph"/>
        <w:ind w:left="0"/>
        <w:rPr>
          <w:b/>
          <w:sz w:val="24"/>
          <w:szCs w:val="24"/>
        </w:rPr>
      </w:pPr>
      <w:r>
        <w:rPr>
          <w:b/>
          <w:sz w:val="24"/>
          <w:szCs w:val="24"/>
        </w:rPr>
        <w:t>Examples</w:t>
      </w:r>
    </w:p>
    <w:p w:rsidR="009401ED" w:rsidRDefault="009401ED" w:rsidP="009401ED">
      <w:pPr>
        <w:pStyle w:val="ListParagraph"/>
        <w:ind w:left="0"/>
        <w:rPr>
          <w:sz w:val="24"/>
          <w:szCs w:val="24"/>
        </w:rPr>
      </w:pPr>
    </w:p>
    <w:p w:rsidR="009401ED" w:rsidRPr="00DA1B59" w:rsidRDefault="00570A2F" w:rsidP="009401ED">
      <w:pPr>
        <w:pStyle w:val="ListParagraph"/>
        <w:ind w:left="0"/>
        <w:rPr>
          <w:sz w:val="24"/>
          <w:szCs w:val="24"/>
        </w:rPr>
      </w:pPr>
      <w:r>
        <w:rPr>
          <w:sz w:val="24"/>
          <w:szCs w:val="24"/>
        </w:rPr>
        <w:t xml:space="preserve">Education about </w:t>
      </w:r>
      <w:r w:rsidR="000B0DD3">
        <w:rPr>
          <w:sz w:val="24"/>
          <w:szCs w:val="24"/>
        </w:rPr>
        <w:t xml:space="preserve">disability and </w:t>
      </w:r>
      <w:r>
        <w:rPr>
          <w:sz w:val="24"/>
          <w:szCs w:val="24"/>
        </w:rPr>
        <w:t xml:space="preserve">accessibility </w:t>
      </w:r>
      <w:r w:rsidR="009401ED">
        <w:rPr>
          <w:sz w:val="24"/>
          <w:szCs w:val="24"/>
        </w:rPr>
        <w:t>is not systematically or widely available, is rarely funded, and is not a legal requirement</w:t>
      </w:r>
      <w:r w:rsidR="00457E96">
        <w:rPr>
          <w:sz w:val="24"/>
          <w:szCs w:val="24"/>
        </w:rPr>
        <w:t>.</w:t>
      </w:r>
    </w:p>
    <w:p w:rsidR="009401ED" w:rsidRDefault="009401ED" w:rsidP="009401ED">
      <w:pPr>
        <w:pStyle w:val="ListParagraph"/>
        <w:ind w:left="0"/>
        <w:rPr>
          <w:sz w:val="24"/>
          <w:szCs w:val="24"/>
        </w:rPr>
      </w:pPr>
    </w:p>
    <w:p w:rsidR="009401ED" w:rsidRDefault="009401ED" w:rsidP="009401ED">
      <w:pPr>
        <w:pStyle w:val="ListParagraph"/>
        <w:ind w:left="0"/>
        <w:rPr>
          <w:sz w:val="24"/>
          <w:szCs w:val="24"/>
        </w:rPr>
      </w:pPr>
      <w:r>
        <w:rPr>
          <w:sz w:val="24"/>
          <w:szCs w:val="24"/>
        </w:rPr>
        <w:t>There is a widespread lack of access to information and communication technology</w:t>
      </w:r>
      <w:r w:rsidR="001558E2">
        <w:rPr>
          <w:sz w:val="24"/>
          <w:szCs w:val="24"/>
        </w:rPr>
        <w:t>,</w:t>
      </w:r>
      <w:r w:rsidR="00FB7F09">
        <w:rPr>
          <w:sz w:val="24"/>
          <w:szCs w:val="24"/>
        </w:rPr>
        <w:t xml:space="preserve"> or to </w:t>
      </w:r>
      <w:r>
        <w:rPr>
          <w:sz w:val="24"/>
          <w:szCs w:val="24"/>
        </w:rPr>
        <w:t xml:space="preserve">information and technology </w:t>
      </w:r>
      <w:r w:rsidR="001558E2">
        <w:rPr>
          <w:sz w:val="24"/>
          <w:szCs w:val="24"/>
        </w:rPr>
        <w:t xml:space="preserve">per se, </w:t>
      </w:r>
      <w:r>
        <w:rPr>
          <w:sz w:val="24"/>
          <w:szCs w:val="24"/>
        </w:rPr>
        <w:t>in accessible formats</w:t>
      </w:r>
      <w:r w:rsidR="00457E96">
        <w:rPr>
          <w:sz w:val="24"/>
          <w:szCs w:val="24"/>
        </w:rPr>
        <w:t>.</w:t>
      </w:r>
      <w:r>
        <w:rPr>
          <w:sz w:val="24"/>
          <w:szCs w:val="24"/>
        </w:rPr>
        <w:t xml:space="preserve"> </w:t>
      </w:r>
    </w:p>
    <w:p w:rsidR="009401ED" w:rsidRDefault="009401ED" w:rsidP="009401ED">
      <w:pPr>
        <w:pStyle w:val="ListParagraph"/>
        <w:ind w:left="0"/>
        <w:rPr>
          <w:sz w:val="24"/>
          <w:szCs w:val="24"/>
        </w:rPr>
      </w:pPr>
    </w:p>
    <w:p w:rsidR="009401ED" w:rsidRDefault="009401ED" w:rsidP="009401ED">
      <w:pPr>
        <w:pStyle w:val="ListParagraph"/>
        <w:ind w:left="0"/>
        <w:rPr>
          <w:sz w:val="24"/>
          <w:szCs w:val="24"/>
        </w:rPr>
      </w:pPr>
      <w:r>
        <w:rPr>
          <w:sz w:val="24"/>
          <w:szCs w:val="24"/>
        </w:rPr>
        <w:t>Accessibility requirements governing earthquake strengthening of buildings are only required when this is ‘reasonably practical’ and territorial authorities are permitted to exempt alterations from the Building Code</w:t>
      </w:r>
      <w:r w:rsidR="00457E96">
        <w:rPr>
          <w:sz w:val="24"/>
          <w:szCs w:val="24"/>
        </w:rPr>
        <w:t>.</w:t>
      </w:r>
    </w:p>
    <w:p w:rsidR="009401ED" w:rsidRDefault="009401ED" w:rsidP="009401ED">
      <w:pPr>
        <w:pStyle w:val="ListParagraph"/>
        <w:ind w:left="0"/>
        <w:rPr>
          <w:sz w:val="24"/>
          <w:szCs w:val="24"/>
        </w:rPr>
      </w:pPr>
    </w:p>
    <w:p w:rsidR="001558E2" w:rsidRDefault="009401ED" w:rsidP="009401ED">
      <w:pPr>
        <w:pStyle w:val="ListParagraph"/>
        <w:ind w:left="0"/>
        <w:rPr>
          <w:sz w:val="24"/>
          <w:szCs w:val="24"/>
        </w:rPr>
      </w:pPr>
      <w:r>
        <w:rPr>
          <w:sz w:val="24"/>
          <w:szCs w:val="24"/>
        </w:rPr>
        <w:t xml:space="preserve">The public transport system </w:t>
      </w:r>
      <w:r w:rsidR="00457E96">
        <w:rPr>
          <w:sz w:val="24"/>
          <w:szCs w:val="24"/>
        </w:rPr>
        <w:t>is not consistently a</w:t>
      </w:r>
      <w:r>
        <w:rPr>
          <w:sz w:val="24"/>
          <w:szCs w:val="24"/>
        </w:rPr>
        <w:t>ccessible, there are persistent barriers re</w:t>
      </w:r>
      <w:r w:rsidR="00457E96">
        <w:rPr>
          <w:sz w:val="24"/>
          <w:szCs w:val="24"/>
        </w:rPr>
        <w:t xml:space="preserve">lating to electronic ticketing, </w:t>
      </w:r>
      <w:r>
        <w:rPr>
          <w:sz w:val="24"/>
          <w:szCs w:val="24"/>
        </w:rPr>
        <w:t>online timetables and transport related information</w:t>
      </w:r>
      <w:r w:rsidR="00457E96">
        <w:rPr>
          <w:sz w:val="24"/>
          <w:szCs w:val="24"/>
        </w:rPr>
        <w:t>.</w:t>
      </w:r>
    </w:p>
    <w:p w:rsidR="00457E96" w:rsidRDefault="00457E96" w:rsidP="009401ED">
      <w:pPr>
        <w:pStyle w:val="ListParagraph"/>
        <w:ind w:left="0"/>
        <w:rPr>
          <w:sz w:val="24"/>
          <w:szCs w:val="24"/>
        </w:rPr>
      </w:pPr>
    </w:p>
    <w:p w:rsidR="001558E2" w:rsidRDefault="001558E2" w:rsidP="009401ED">
      <w:pPr>
        <w:pStyle w:val="ListParagraph"/>
        <w:ind w:left="0"/>
        <w:rPr>
          <w:sz w:val="24"/>
          <w:szCs w:val="24"/>
        </w:rPr>
      </w:pPr>
      <w:r>
        <w:rPr>
          <w:sz w:val="24"/>
          <w:szCs w:val="24"/>
        </w:rPr>
        <w:t>There is widespread lack of utilisation of audio describers for public events (e.g. theatre, civic events, parades, musical events, museums, galleries, sports)</w:t>
      </w:r>
      <w:r w:rsidR="00457E96">
        <w:rPr>
          <w:sz w:val="24"/>
          <w:szCs w:val="24"/>
        </w:rPr>
        <w:t>.</w:t>
      </w:r>
    </w:p>
    <w:p w:rsidR="001558E2" w:rsidRDefault="001558E2" w:rsidP="009401ED">
      <w:pPr>
        <w:pStyle w:val="ListParagraph"/>
        <w:ind w:left="0"/>
        <w:rPr>
          <w:rFonts w:ascii="Georgia" w:hAnsi="Georgia"/>
          <w:color w:val="111111"/>
          <w:sz w:val="13"/>
          <w:szCs w:val="13"/>
          <w:shd w:val="clear" w:color="auto" w:fill="FFFFFF"/>
        </w:rPr>
      </w:pPr>
    </w:p>
    <w:p w:rsidR="009401ED" w:rsidRDefault="009401ED" w:rsidP="009401ED">
      <w:pPr>
        <w:pStyle w:val="ListParagraph"/>
        <w:ind w:left="0"/>
        <w:rPr>
          <w:sz w:val="24"/>
          <w:szCs w:val="24"/>
        </w:rPr>
      </w:pPr>
      <w:r>
        <w:rPr>
          <w:sz w:val="24"/>
          <w:szCs w:val="24"/>
        </w:rPr>
        <w:t>Signs in public places are not in Easy Read or Braille</w:t>
      </w:r>
      <w:r w:rsidR="00457E96">
        <w:rPr>
          <w:sz w:val="24"/>
          <w:szCs w:val="24"/>
        </w:rPr>
        <w:t>.</w:t>
      </w:r>
    </w:p>
    <w:p w:rsidR="009401ED" w:rsidRDefault="009401ED" w:rsidP="009401ED">
      <w:pPr>
        <w:pStyle w:val="ListParagraph"/>
        <w:ind w:left="0"/>
        <w:rPr>
          <w:sz w:val="24"/>
          <w:szCs w:val="24"/>
        </w:rPr>
      </w:pPr>
    </w:p>
    <w:p w:rsidR="0037018A" w:rsidRDefault="0037018A" w:rsidP="009401ED">
      <w:pPr>
        <w:pStyle w:val="ListParagraph"/>
        <w:ind w:left="0"/>
        <w:rPr>
          <w:sz w:val="24"/>
          <w:szCs w:val="24"/>
        </w:rPr>
      </w:pPr>
      <w:r>
        <w:rPr>
          <w:sz w:val="24"/>
          <w:szCs w:val="24"/>
        </w:rPr>
        <w:t xml:space="preserve">New Zealand has yet to ratify the Marrakesh Treaty that would increase the availability of copyright material in alternative formats </w:t>
      </w:r>
      <w:r w:rsidR="00362D2E">
        <w:rPr>
          <w:sz w:val="24"/>
          <w:szCs w:val="24"/>
        </w:rPr>
        <w:t>for print-disabled people</w:t>
      </w:r>
      <w:r w:rsidR="00457E96">
        <w:rPr>
          <w:sz w:val="24"/>
          <w:szCs w:val="24"/>
        </w:rPr>
        <w:t>.</w:t>
      </w:r>
    </w:p>
    <w:p w:rsidR="0037018A" w:rsidRDefault="0037018A" w:rsidP="009401ED">
      <w:pPr>
        <w:pStyle w:val="ListParagraph"/>
        <w:ind w:left="0"/>
        <w:rPr>
          <w:sz w:val="24"/>
          <w:szCs w:val="24"/>
        </w:rPr>
      </w:pPr>
    </w:p>
    <w:p w:rsidR="009401ED" w:rsidRDefault="009401ED" w:rsidP="009401ED">
      <w:pPr>
        <w:pStyle w:val="ListParagraph"/>
        <w:ind w:left="0"/>
        <w:rPr>
          <w:sz w:val="24"/>
          <w:szCs w:val="24"/>
        </w:rPr>
      </w:pPr>
      <w:r>
        <w:rPr>
          <w:sz w:val="24"/>
          <w:szCs w:val="24"/>
        </w:rPr>
        <w:t>NZ</w:t>
      </w:r>
      <w:r w:rsidR="00120C64">
        <w:rPr>
          <w:sz w:val="24"/>
          <w:szCs w:val="24"/>
        </w:rPr>
        <w:t xml:space="preserve"> </w:t>
      </w:r>
      <w:r>
        <w:rPr>
          <w:sz w:val="24"/>
          <w:szCs w:val="24"/>
        </w:rPr>
        <w:t xml:space="preserve">Sign Language is an official </w:t>
      </w:r>
      <w:r w:rsidR="00457E96">
        <w:rPr>
          <w:sz w:val="24"/>
          <w:szCs w:val="24"/>
        </w:rPr>
        <w:t xml:space="preserve">New Zealand </w:t>
      </w:r>
      <w:r>
        <w:rPr>
          <w:sz w:val="24"/>
          <w:szCs w:val="24"/>
        </w:rPr>
        <w:t>language. However, there are many situations when inte</w:t>
      </w:r>
      <w:r w:rsidR="00120C64">
        <w:rPr>
          <w:sz w:val="24"/>
          <w:szCs w:val="24"/>
        </w:rPr>
        <w:t>rpreters are not provided</w:t>
      </w:r>
      <w:r w:rsidR="00457E96">
        <w:rPr>
          <w:sz w:val="24"/>
          <w:szCs w:val="24"/>
        </w:rPr>
        <w:t>.</w:t>
      </w:r>
    </w:p>
    <w:p w:rsidR="009401ED" w:rsidRDefault="009401ED" w:rsidP="009401ED">
      <w:pPr>
        <w:pStyle w:val="ListParagraph"/>
        <w:ind w:left="0"/>
        <w:rPr>
          <w:sz w:val="24"/>
          <w:szCs w:val="24"/>
        </w:rPr>
      </w:pPr>
    </w:p>
    <w:p w:rsidR="009401ED" w:rsidRDefault="009401ED" w:rsidP="009401ED">
      <w:pPr>
        <w:pStyle w:val="ListParagraph"/>
        <w:ind w:left="0"/>
        <w:rPr>
          <w:sz w:val="24"/>
          <w:szCs w:val="24"/>
        </w:rPr>
      </w:pPr>
      <w:r>
        <w:rPr>
          <w:sz w:val="24"/>
          <w:szCs w:val="24"/>
        </w:rPr>
        <w:t>Captioning is not routine practice in public places or</w:t>
      </w:r>
      <w:r w:rsidR="00457E96">
        <w:rPr>
          <w:sz w:val="24"/>
          <w:szCs w:val="24"/>
        </w:rPr>
        <w:t xml:space="preserve"> at</w:t>
      </w:r>
      <w:r>
        <w:rPr>
          <w:sz w:val="24"/>
          <w:szCs w:val="24"/>
        </w:rPr>
        <w:t xml:space="preserve"> events</w:t>
      </w:r>
      <w:r w:rsidR="00457E96">
        <w:rPr>
          <w:sz w:val="24"/>
          <w:szCs w:val="24"/>
        </w:rPr>
        <w:t>, and is not consistently used in television programming.</w:t>
      </w:r>
    </w:p>
    <w:p w:rsidR="009401ED" w:rsidRDefault="009401ED" w:rsidP="009401ED">
      <w:pPr>
        <w:pStyle w:val="ListParagraph"/>
        <w:ind w:left="0"/>
        <w:rPr>
          <w:sz w:val="24"/>
          <w:szCs w:val="24"/>
        </w:rPr>
      </w:pPr>
    </w:p>
    <w:p w:rsidR="009401ED" w:rsidRDefault="009401ED" w:rsidP="009401ED">
      <w:pPr>
        <w:pStyle w:val="ListParagraph"/>
        <w:ind w:left="0"/>
        <w:rPr>
          <w:sz w:val="24"/>
          <w:szCs w:val="24"/>
        </w:rPr>
      </w:pPr>
      <w:r>
        <w:rPr>
          <w:sz w:val="24"/>
          <w:szCs w:val="24"/>
        </w:rPr>
        <w:t>The judicial system relies on printed material</w:t>
      </w:r>
      <w:r w:rsidR="0075296F">
        <w:rPr>
          <w:sz w:val="24"/>
          <w:szCs w:val="24"/>
        </w:rPr>
        <w:t>,</w:t>
      </w:r>
      <w:r>
        <w:rPr>
          <w:sz w:val="24"/>
          <w:szCs w:val="24"/>
        </w:rPr>
        <w:t xml:space="preserve"> electronic screen readers are not permitted in court, and disabled people who require reader/writer support to access materials for judicial hearings, are required to arrange and pay for this themselves.</w:t>
      </w:r>
    </w:p>
    <w:p w:rsidR="009401ED" w:rsidRDefault="009401ED" w:rsidP="009401ED">
      <w:pPr>
        <w:pStyle w:val="ListParagraph"/>
        <w:ind w:left="0"/>
        <w:rPr>
          <w:sz w:val="24"/>
          <w:szCs w:val="24"/>
        </w:rPr>
      </w:pPr>
    </w:p>
    <w:p w:rsidR="009401ED" w:rsidRDefault="009401ED" w:rsidP="009401ED">
      <w:pPr>
        <w:pStyle w:val="ListParagraph"/>
        <w:ind w:left="0"/>
        <w:jc w:val="both"/>
        <w:rPr>
          <w:sz w:val="24"/>
          <w:szCs w:val="24"/>
        </w:rPr>
      </w:pPr>
      <w:r>
        <w:rPr>
          <w:sz w:val="24"/>
          <w:szCs w:val="24"/>
        </w:rPr>
        <w:t xml:space="preserve">The </w:t>
      </w:r>
      <w:r w:rsidRPr="00DA1B59">
        <w:rPr>
          <w:sz w:val="24"/>
          <w:szCs w:val="24"/>
        </w:rPr>
        <w:t>Total Mobility</w:t>
      </w:r>
      <w:r>
        <w:rPr>
          <w:sz w:val="24"/>
          <w:szCs w:val="24"/>
        </w:rPr>
        <w:t xml:space="preserve"> scheme</w:t>
      </w:r>
      <w:r w:rsidRPr="00DA1B59">
        <w:rPr>
          <w:sz w:val="24"/>
          <w:szCs w:val="24"/>
        </w:rPr>
        <w:t xml:space="preserve"> (discounted taxis) is structured and implemented differently in each regional council area. This </w:t>
      </w:r>
      <w:r w:rsidR="00457E96">
        <w:rPr>
          <w:sz w:val="24"/>
          <w:szCs w:val="24"/>
        </w:rPr>
        <w:t xml:space="preserve">results in inequitable outcomes </w:t>
      </w:r>
      <w:r w:rsidRPr="00DA1B59">
        <w:rPr>
          <w:sz w:val="24"/>
          <w:szCs w:val="24"/>
        </w:rPr>
        <w:t xml:space="preserve">between regions. </w:t>
      </w:r>
    </w:p>
    <w:p w:rsidR="009401ED" w:rsidRDefault="009401ED" w:rsidP="009401ED">
      <w:pPr>
        <w:pStyle w:val="ListParagraph"/>
        <w:ind w:left="0"/>
        <w:jc w:val="both"/>
        <w:rPr>
          <w:sz w:val="24"/>
          <w:szCs w:val="24"/>
        </w:rPr>
      </w:pPr>
    </w:p>
    <w:p w:rsidR="009401ED" w:rsidRPr="00FF182D" w:rsidRDefault="009401ED" w:rsidP="009401ED">
      <w:pPr>
        <w:pStyle w:val="Heading2"/>
      </w:pPr>
      <w:bookmarkStart w:id="44" w:name="_Toc420885866"/>
      <w:r w:rsidRPr="00FF182D">
        <w:t>Reducing stigma and discrimination</w:t>
      </w:r>
      <w:bookmarkEnd w:id="44"/>
    </w:p>
    <w:p w:rsidR="009401ED" w:rsidRPr="00B35672" w:rsidRDefault="009401ED" w:rsidP="009401ED">
      <w:pPr>
        <w:pStyle w:val="ListParagraph"/>
        <w:ind w:left="0"/>
        <w:jc w:val="both"/>
        <w:rPr>
          <w:sz w:val="24"/>
          <w:szCs w:val="24"/>
        </w:rPr>
      </w:pPr>
    </w:p>
    <w:p w:rsidR="006E5218" w:rsidRPr="00B35672" w:rsidRDefault="009401ED" w:rsidP="009401ED">
      <w:pPr>
        <w:pStyle w:val="ListParagraph"/>
        <w:ind w:left="0"/>
        <w:jc w:val="both"/>
        <w:rPr>
          <w:sz w:val="24"/>
          <w:szCs w:val="24"/>
        </w:rPr>
      </w:pPr>
      <w:r w:rsidRPr="00B35672">
        <w:rPr>
          <w:sz w:val="24"/>
          <w:szCs w:val="24"/>
        </w:rPr>
        <w:t xml:space="preserve">Disabled people report that stigma and discrimination </w:t>
      </w:r>
      <w:proofErr w:type="gramStart"/>
      <w:r w:rsidRPr="00B35672">
        <w:rPr>
          <w:sz w:val="24"/>
          <w:szCs w:val="24"/>
        </w:rPr>
        <w:t>are</w:t>
      </w:r>
      <w:proofErr w:type="gramEnd"/>
      <w:r w:rsidRPr="00B35672">
        <w:rPr>
          <w:sz w:val="24"/>
          <w:szCs w:val="24"/>
        </w:rPr>
        <w:t xml:space="preserve"> the biggest barrier to full p</w:t>
      </w:r>
      <w:r w:rsidR="00457E96">
        <w:rPr>
          <w:sz w:val="24"/>
          <w:szCs w:val="24"/>
        </w:rPr>
        <w:t xml:space="preserve">articipation in society and </w:t>
      </w:r>
      <w:r w:rsidRPr="00B35672">
        <w:rPr>
          <w:sz w:val="24"/>
          <w:szCs w:val="24"/>
        </w:rPr>
        <w:t xml:space="preserve">upholding </w:t>
      </w:r>
      <w:proofErr w:type="spellStart"/>
      <w:r w:rsidRPr="00B35672">
        <w:rPr>
          <w:sz w:val="24"/>
          <w:szCs w:val="24"/>
        </w:rPr>
        <w:t>isabled</w:t>
      </w:r>
      <w:proofErr w:type="spellEnd"/>
      <w:r w:rsidRPr="00B35672">
        <w:rPr>
          <w:sz w:val="24"/>
          <w:szCs w:val="24"/>
        </w:rPr>
        <w:t xml:space="preserve"> people’s human rights</w:t>
      </w:r>
      <w:r w:rsidR="006E5218" w:rsidRPr="00B35672">
        <w:rPr>
          <w:sz w:val="24"/>
          <w:szCs w:val="24"/>
        </w:rPr>
        <w:t>. Disability related discrimination is currently the largest category of complaint to the Human Rights Commission.</w:t>
      </w:r>
    </w:p>
    <w:p w:rsidR="006E5218" w:rsidRPr="00B35672" w:rsidRDefault="006E5218" w:rsidP="009401ED">
      <w:pPr>
        <w:pStyle w:val="ListParagraph"/>
        <w:ind w:left="0"/>
        <w:jc w:val="both"/>
        <w:rPr>
          <w:sz w:val="24"/>
          <w:szCs w:val="24"/>
        </w:rPr>
      </w:pPr>
    </w:p>
    <w:p w:rsidR="009401ED" w:rsidRDefault="00EB4F3C" w:rsidP="009401ED">
      <w:pPr>
        <w:pStyle w:val="ListParagraph"/>
        <w:ind w:left="0"/>
        <w:jc w:val="both"/>
        <w:rPr>
          <w:sz w:val="24"/>
          <w:szCs w:val="24"/>
        </w:rPr>
      </w:pPr>
      <w:r>
        <w:rPr>
          <w:sz w:val="24"/>
          <w:szCs w:val="24"/>
        </w:rPr>
        <w:t xml:space="preserve">The </w:t>
      </w:r>
      <w:r w:rsidR="009401ED">
        <w:rPr>
          <w:sz w:val="24"/>
          <w:szCs w:val="24"/>
        </w:rPr>
        <w:t xml:space="preserve">majority of New Zealanders have little or no direct contact with disabled people. The recent termination of funding for the </w:t>
      </w:r>
      <w:r>
        <w:rPr>
          <w:sz w:val="24"/>
          <w:szCs w:val="24"/>
        </w:rPr>
        <w:t>‘</w:t>
      </w:r>
      <w:r w:rsidR="009401ED">
        <w:rPr>
          <w:sz w:val="24"/>
          <w:szCs w:val="24"/>
        </w:rPr>
        <w:t>Think Differently</w:t>
      </w:r>
      <w:r>
        <w:rPr>
          <w:sz w:val="24"/>
          <w:szCs w:val="24"/>
        </w:rPr>
        <w:t>’</w:t>
      </w:r>
      <w:r w:rsidR="009401ED">
        <w:rPr>
          <w:sz w:val="24"/>
          <w:szCs w:val="24"/>
        </w:rPr>
        <w:t xml:space="preserve"> campaign seriously undermines efforts to raise awareness about discrimination and to foster greater understanding of disabled people’s lives. A social change campaign involving media advertising and education that focused on psychosocial disability, ‘Like Minds, Like Mine’, led to significant change in public attitudes about people </w:t>
      </w:r>
      <w:r w:rsidR="00457E96">
        <w:rPr>
          <w:sz w:val="24"/>
          <w:szCs w:val="24"/>
        </w:rPr>
        <w:t xml:space="preserve">who experience </w:t>
      </w:r>
      <w:r w:rsidR="009401ED">
        <w:rPr>
          <w:sz w:val="24"/>
          <w:szCs w:val="24"/>
        </w:rPr>
        <w:t>psychosocial disability.</w:t>
      </w:r>
      <w:r w:rsidR="009401ED">
        <w:rPr>
          <w:rStyle w:val="FootnoteReference"/>
          <w:sz w:val="24"/>
          <w:szCs w:val="24"/>
        </w:rPr>
        <w:footnoteReference w:id="152"/>
      </w:r>
    </w:p>
    <w:p w:rsidR="00925408" w:rsidRDefault="00925408" w:rsidP="00FF182D">
      <w:pPr>
        <w:pStyle w:val="ListParagraph"/>
        <w:ind w:left="0"/>
        <w:jc w:val="both"/>
        <w:rPr>
          <w:sz w:val="24"/>
          <w:szCs w:val="24"/>
        </w:rPr>
      </w:pPr>
    </w:p>
    <w:p w:rsidR="00A5097F" w:rsidRDefault="00A5097F" w:rsidP="00FF182D">
      <w:pPr>
        <w:pStyle w:val="ListParagraph"/>
        <w:ind w:left="0"/>
        <w:jc w:val="both"/>
        <w:rPr>
          <w:sz w:val="24"/>
          <w:szCs w:val="24"/>
        </w:rPr>
      </w:pPr>
    </w:p>
    <w:p w:rsidR="00A5097F" w:rsidRDefault="00A5097F" w:rsidP="00FF182D">
      <w:pPr>
        <w:pStyle w:val="ListParagraph"/>
        <w:ind w:left="0"/>
        <w:jc w:val="both"/>
        <w:rPr>
          <w:sz w:val="24"/>
          <w:szCs w:val="24"/>
        </w:rPr>
      </w:pPr>
    </w:p>
    <w:p w:rsidR="008F60B7" w:rsidRPr="008F60B7" w:rsidRDefault="008F60B7" w:rsidP="00832154">
      <w:pPr>
        <w:pStyle w:val="Heading1"/>
      </w:pPr>
      <w:bookmarkStart w:id="45" w:name="_Toc420885867"/>
      <w:r w:rsidRPr="008F60B7">
        <w:t>Disability-specific programmes</w:t>
      </w:r>
      <w:bookmarkEnd w:id="45"/>
      <w:r w:rsidRPr="008F60B7">
        <w:t xml:space="preserve"> </w:t>
      </w:r>
    </w:p>
    <w:p w:rsidR="008F60B7" w:rsidRDefault="008F60B7" w:rsidP="00071041">
      <w:pPr>
        <w:jc w:val="both"/>
        <w:rPr>
          <w:sz w:val="24"/>
          <w:szCs w:val="24"/>
        </w:rPr>
      </w:pPr>
    </w:p>
    <w:p w:rsidR="008259CD" w:rsidRPr="009418C6" w:rsidRDefault="000465D5" w:rsidP="00C432E1">
      <w:pPr>
        <w:jc w:val="both"/>
        <w:rPr>
          <w:sz w:val="24"/>
          <w:szCs w:val="24"/>
        </w:rPr>
      </w:pPr>
      <w:r>
        <w:rPr>
          <w:sz w:val="24"/>
          <w:szCs w:val="24"/>
        </w:rPr>
        <w:t xml:space="preserve">Services, programmes, income support, grants, supplements, assistance, and other social protections are spread across a range of government and non-government agencies. </w:t>
      </w:r>
      <w:r w:rsidR="009B3920">
        <w:rPr>
          <w:sz w:val="24"/>
          <w:szCs w:val="24"/>
        </w:rPr>
        <w:t>There is no centralised organisation responsible for collating and coordinating all disability related information about the social protections available to disabled people. Likewise, there is no central agency responsible for funding all the social protections that disabled people are entitled to and the administration of social protections is spread across government and non-government agencies.</w:t>
      </w:r>
      <w:r w:rsidR="008259CD">
        <w:rPr>
          <w:sz w:val="24"/>
          <w:szCs w:val="24"/>
        </w:rPr>
        <w:t xml:space="preserve"> The State Services Commission undertook an initiative to explore the way disabled people experience government agencies. The report, called Better Public Services, identified </w:t>
      </w:r>
      <w:r w:rsidR="009418C6">
        <w:rPr>
          <w:sz w:val="24"/>
          <w:szCs w:val="24"/>
        </w:rPr>
        <w:t>a raft of problems and barriers for people for dealing with government agencies.</w:t>
      </w:r>
      <w:r w:rsidR="008259CD">
        <w:rPr>
          <w:rStyle w:val="FootnoteReference"/>
          <w:sz w:val="24"/>
          <w:szCs w:val="24"/>
        </w:rPr>
        <w:footnoteReference w:id="153"/>
      </w:r>
      <w:r w:rsidR="009418C6" w:rsidRPr="009418C6">
        <w:rPr>
          <w:sz w:val="24"/>
          <w:szCs w:val="24"/>
        </w:rPr>
        <w:t xml:space="preserve"> </w:t>
      </w:r>
    </w:p>
    <w:p w:rsidR="009B3920" w:rsidRDefault="009B3920" w:rsidP="00071041">
      <w:pPr>
        <w:jc w:val="both"/>
        <w:rPr>
          <w:sz w:val="24"/>
          <w:szCs w:val="24"/>
        </w:rPr>
      </w:pPr>
    </w:p>
    <w:p w:rsidR="00216FBD" w:rsidRDefault="000465D5" w:rsidP="00216FBD">
      <w:pPr>
        <w:jc w:val="both"/>
        <w:rPr>
          <w:sz w:val="24"/>
          <w:szCs w:val="24"/>
        </w:rPr>
      </w:pPr>
      <w:r>
        <w:rPr>
          <w:sz w:val="24"/>
          <w:szCs w:val="24"/>
        </w:rPr>
        <w:t>At present, the funding of social protection</w:t>
      </w:r>
      <w:r w:rsidR="009B3920">
        <w:rPr>
          <w:sz w:val="24"/>
          <w:szCs w:val="24"/>
        </w:rPr>
        <w:t xml:space="preserve">s for </w:t>
      </w:r>
      <w:r w:rsidR="00B72196">
        <w:rPr>
          <w:sz w:val="24"/>
          <w:szCs w:val="24"/>
        </w:rPr>
        <w:t>disabled</w:t>
      </w:r>
      <w:r w:rsidR="009B3920">
        <w:rPr>
          <w:sz w:val="24"/>
          <w:szCs w:val="24"/>
        </w:rPr>
        <w:t xml:space="preserve"> people</w:t>
      </w:r>
      <w:r>
        <w:rPr>
          <w:sz w:val="24"/>
          <w:szCs w:val="24"/>
        </w:rPr>
        <w:t xml:space="preserve"> is predominantly spread across the</w:t>
      </w:r>
      <w:r w:rsidR="009B3920">
        <w:rPr>
          <w:sz w:val="24"/>
          <w:szCs w:val="24"/>
        </w:rPr>
        <w:t xml:space="preserve"> Ministry of Social Development (MSD) and its</w:t>
      </w:r>
      <w:r>
        <w:rPr>
          <w:sz w:val="24"/>
          <w:szCs w:val="24"/>
        </w:rPr>
        <w:t xml:space="preserve"> </w:t>
      </w:r>
      <w:r w:rsidR="00457E96">
        <w:rPr>
          <w:sz w:val="24"/>
          <w:szCs w:val="24"/>
        </w:rPr>
        <w:t>WINZ</w:t>
      </w:r>
      <w:r w:rsidR="009B3920">
        <w:rPr>
          <w:sz w:val="24"/>
          <w:szCs w:val="24"/>
        </w:rPr>
        <w:t xml:space="preserve"> subsidiary</w:t>
      </w:r>
      <w:r>
        <w:rPr>
          <w:sz w:val="24"/>
          <w:szCs w:val="24"/>
        </w:rPr>
        <w:t>, the Ministry of Health</w:t>
      </w:r>
      <w:r w:rsidR="009B3920">
        <w:rPr>
          <w:sz w:val="24"/>
          <w:szCs w:val="24"/>
        </w:rPr>
        <w:t xml:space="preserve"> (MoH)</w:t>
      </w:r>
      <w:r>
        <w:rPr>
          <w:sz w:val="24"/>
          <w:szCs w:val="24"/>
        </w:rPr>
        <w:t>, and the Ministry of Education</w:t>
      </w:r>
      <w:r w:rsidR="009B3920">
        <w:rPr>
          <w:sz w:val="24"/>
          <w:szCs w:val="24"/>
        </w:rPr>
        <w:t xml:space="preserve"> (</w:t>
      </w:r>
      <w:proofErr w:type="spellStart"/>
      <w:r w:rsidR="009B3920">
        <w:rPr>
          <w:sz w:val="24"/>
          <w:szCs w:val="24"/>
        </w:rPr>
        <w:t>MoE</w:t>
      </w:r>
      <w:proofErr w:type="spellEnd"/>
      <w:r w:rsidR="009B3920">
        <w:rPr>
          <w:sz w:val="24"/>
          <w:szCs w:val="24"/>
        </w:rPr>
        <w:t>)</w:t>
      </w:r>
      <w:r>
        <w:rPr>
          <w:sz w:val="24"/>
          <w:szCs w:val="24"/>
        </w:rPr>
        <w:t xml:space="preserve">. </w:t>
      </w:r>
      <w:r w:rsidR="004E778C">
        <w:rPr>
          <w:sz w:val="24"/>
          <w:szCs w:val="24"/>
        </w:rPr>
        <w:t xml:space="preserve">For </w:t>
      </w:r>
      <w:r w:rsidR="00216FBD">
        <w:rPr>
          <w:sz w:val="24"/>
          <w:szCs w:val="24"/>
        </w:rPr>
        <w:t>an example of some of the social protections available through these three Ministries</w:t>
      </w:r>
      <w:r w:rsidR="00457E96">
        <w:rPr>
          <w:sz w:val="24"/>
          <w:szCs w:val="24"/>
        </w:rPr>
        <w:t>,</w:t>
      </w:r>
      <w:r w:rsidR="004E778C">
        <w:rPr>
          <w:sz w:val="24"/>
          <w:szCs w:val="24"/>
        </w:rPr>
        <w:t xml:space="preserve"> see Appendix 2.</w:t>
      </w:r>
      <w:r w:rsidR="00216FBD">
        <w:rPr>
          <w:sz w:val="24"/>
          <w:szCs w:val="24"/>
        </w:rPr>
        <w:t xml:space="preserve"> </w:t>
      </w:r>
    </w:p>
    <w:p w:rsidR="009418C6" w:rsidRDefault="009418C6" w:rsidP="00B50F81">
      <w:pPr>
        <w:jc w:val="both"/>
        <w:rPr>
          <w:sz w:val="24"/>
          <w:szCs w:val="24"/>
        </w:rPr>
      </w:pPr>
    </w:p>
    <w:p w:rsidR="00A26107" w:rsidRDefault="00223470" w:rsidP="00B50F81">
      <w:pPr>
        <w:jc w:val="both"/>
        <w:rPr>
          <w:sz w:val="24"/>
          <w:szCs w:val="24"/>
        </w:rPr>
      </w:pPr>
      <w:r>
        <w:rPr>
          <w:sz w:val="24"/>
          <w:szCs w:val="24"/>
        </w:rPr>
        <w:t>While there is a vast array</w:t>
      </w:r>
      <w:r w:rsidR="0057260A">
        <w:rPr>
          <w:sz w:val="24"/>
          <w:szCs w:val="24"/>
        </w:rPr>
        <w:t xml:space="preserve"> of</w:t>
      </w:r>
      <w:r>
        <w:rPr>
          <w:sz w:val="24"/>
          <w:szCs w:val="24"/>
        </w:rPr>
        <w:t xml:space="preserve"> disability-specific programmes, there is no coherent overv</w:t>
      </w:r>
      <w:r w:rsidR="009B3920">
        <w:rPr>
          <w:sz w:val="24"/>
          <w:szCs w:val="24"/>
        </w:rPr>
        <w:t>iew of all programmes</w:t>
      </w:r>
      <w:r w:rsidR="00A87DEE">
        <w:rPr>
          <w:sz w:val="24"/>
          <w:szCs w:val="24"/>
        </w:rPr>
        <w:t xml:space="preserve"> or provisions</w:t>
      </w:r>
      <w:r w:rsidR="009B3920">
        <w:rPr>
          <w:sz w:val="24"/>
          <w:szCs w:val="24"/>
        </w:rPr>
        <w:t xml:space="preserve"> available. Furthermore,</w:t>
      </w:r>
      <w:r w:rsidR="009F5BB8">
        <w:rPr>
          <w:sz w:val="24"/>
          <w:szCs w:val="24"/>
        </w:rPr>
        <w:t xml:space="preserve"> </w:t>
      </w:r>
      <w:r w:rsidR="009F5BB8" w:rsidRPr="00782B5E">
        <w:rPr>
          <w:sz w:val="24"/>
          <w:szCs w:val="24"/>
        </w:rPr>
        <w:t>eligibility criteria</w:t>
      </w:r>
      <w:r w:rsidR="009F5BB8">
        <w:rPr>
          <w:sz w:val="24"/>
          <w:szCs w:val="24"/>
        </w:rPr>
        <w:t xml:space="preserve"> vary </w:t>
      </w:r>
      <w:r w:rsidR="00C81923">
        <w:rPr>
          <w:sz w:val="24"/>
          <w:szCs w:val="24"/>
        </w:rPr>
        <w:t xml:space="preserve">markedly </w:t>
      </w:r>
      <w:r w:rsidR="009F5BB8">
        <w:rPr>
          <w:sz w:val="24"/>
          <w:szCs w:val="24"/>
        </w:rPr>
        <w:t xml:space="preserve">according to </w:t>
      </w:r>
      <w:r w:rsidR="00C81923">
        <w:rPr>
          <w:sz w:val="24"/>
          <w:szCs w:val="24"/>
        </w:rPr>
        <w:t>the government agency funding</w:t>
      </w:r>
      <w:r w:rsidR="00A26107">
        <w:rPr>
          <w:sz w:val="24"/>
          <w:szCs w:val="24"/>
        </w:rPr>
        <w:t xml:space="preserve"> and/or administering</w:t>
      </w:r>
      <w:r w:rsidR="00C81923">
        <w:rPr>
          <w:sz w:val="24"/>
          <w:szCs w:val="24"/>
        </w:rPr>
        <w:t xml:space="preserve"> the service, the impairment type/s, </w:t>
      </w:r>
      <w:r w:rsidR="00A26107">
        <w:rPr>
          <w:sz w:val="24"/>
          <w:szCs w:val="24"/>
        </w:rPr>
        <w:t>cause of impairment</w:t>
      </w:r>
      <w:r w:rsidR="009B3920">
        <w:rPr>
          <w:sz w:val="24"/>
          <w:szCs w:val="24"/>
        </w:rPr>
        <w:t>/s</w:t>
      </w:r>
      <w:r w:rsidR="00A26107">
        <w:rPr>
          <w:sz w:val="24"/>
          <w:szCs w:val="24"/>
        </w:rPr>
        <w:t xml:space="preserve">, </w:t>
      </w:r>
      <w:r w:rsidR="00C81923">
        <w:rPr>
          <w:sz w:val="24"/>
          <w:szCs w:val="24"/>
        </w:rPr>
        <w:t xml:space="preserve">geographic region, </w:t>
      </w:r>
      <w:r w:rsidR="00457E96">
        <w:rPr>
          <w:sz w:val="24"/>
          <w:szCs w:val="24"/>
        </w:rPr>
        <w:t xml:space="preserve">and </w:t>
      </w:r>
      <w:r w:rsidR="00A26107">
        <w:rPr>
          <w:sz w:val="24"/>
          <w:szCs w:val="24"/>
        </w:rPr>
        <w:t xml:space="preserve">the service </w:t>
      </w:r>
      <w:r w:rsidR="00A87DEE">
        <w:rPr>
          <w:sz w:val="24"/>
          <w:szCs w:val="24"/>
        </w:rPr>
        <w:t>‘</w:t>
      </w:r>
      <w:r w:rsidR="00A26107">
        <w:rPr>
          <w:sz w:val="24"/>
          <w:szCs w:val="24"/>
        </w:rPr>
        <w:t>culture</w:t>
      </w:r>
      <w:r w:rsidR="00A87DEE">
        <w:rPr>
          <w:sz w:val="24"/>
          <w:szCs w:val="24"/>
        </w:rPr>
        <w:t>’ (meaning the attitudes and values of the organisation</w:t>
      </w:r>
      <w:r w:rsidR="00B82205">
        <w:rPr>
          <w:sz w:val="24"/>
          <w:szCs w:val="24"/>
        </w:rPr>
        <w:t xml:space="preserve"> and staff members</w:t>
      </w:r>
      <w:r w:rsidR="00A87DEE">
        <w:rPr>
          <w:sz w:val="24"/>
          <w:szCs w:val="24"/>
        </w:rPr>
        <w:t>)</w:t>
      </w:r>
      <w:r w:rsidR="006F0E70">
        <w:rPr>
          <w:sz w:val="24"/>
          <w:szCs w:val="24"/>
        </w:rPr>
        <w:t xml:space="preserve">. </w:t>
      </w:r>
      <w:r w:rsidR="00672C96">
        <w:rPr>
          <w:sz w:val="24"/>
          <w:szCs w:val="24"/>
        </w:rPr>
        <w:t>These disparities result in inequitable outcomes f</w:t>
      </w:r>
      <w:r w:rsidR="006A4638">
        <w:rPr>
          <w:sz w:val="24"/>
          <w:szCs w:val="24"/>
        </w:rPr>
        <w:t>or different groups of disabled peo</w:t>
      </w:r>
      <w:r w:rsidR="00457E96">
        <w:rPr>
          <w:sz w:val="24"/>
          <w:szCs w:val="24"/>
        </w:rPr>
        <w:t xml:space="preserve">ple </w:t>
      </w:r>
      <w:r w:rsidR="0063707F">
        <w:rPr>
          <w:sz w:val="24"/>
          <w:szCs w:val="24"/>
        </w:rPr>
        <w:t xml:space="preserve">throughout </w:t>
      </w:r>
      <w:proofErr w:type="spellStart"/>
      <w:r w:rsidR="0063707F">
        <w:rPr>
          <w:sz w:val="24"/>
          <w:szCs w:val="24"/>
        </w:rPr>
        <w:t>Aotearoa</w:t>
      </w:r>
      <w:proofErr w:type="spellEnd"/>
      <w:r w:rsidR="0063707F">
        <w:rPr>
          <w:sz w:val="24"/>
          <w:szCs w:val="24"/>
        </w:rPr>
        <w:t xml:space="preserve"> New Zealand</w:t>
      </w:r>
      <w:r w:rsidR="00672C96">
        <w:rPr>
          <w:sz w:val="24"/>
          <w:szCs w:val="24"/>
        </w:rPr>
        <w:t>.</w:t>
      </w:r>
      <w:r w:rsidR="00937238">
        <w:rPr>
          <w:sz w:val="24"/>
          <w:szCs w:val="24"/>
        </w:rPr>
        <w:t xml:space="preserve"> A</w:t>
      </w:r>
      <w:r w:rsidR="00F47529">
        <w:rPr>
          <w:sz w:val="24"/>
          <w:szCs w:val="24"/>
        </w:rPr>
        <w:t>s noted previously, the social protections available to people who experience</w:t>
      </w:r>
      <w:r w:rsidR="00937238">
        <w:rPr>
          <w:sz w:val="24"/>
          <w:szCs w:val="24"/>
        </w:rPr>
        <w:t xml:space="preserve"> psychoso</w:t>
      </w:r>
      <w:r w:rsidR="00F47529">
        <w:rPr>
          <w:sz w:val="24"/>
          <w:szCs w:val="24"/>
        </w:rPr>
        <w:t xml:space="preserve">cial disability vary markedly from </w:t>
      </w:r>
      <w:r w:rsidR="00937238">
        <w:rPr>
          <w:sz w:val="24"/>
          <w:szCs w:val="24"/>
        </w:rPr>
        <w:t>those available to other groups of disabled people.</w:t>
      </w:r>
      <w:r w:rsidR="00937238">
        <w:rPr>
          <w:rStyle w:val="FootnoteReference"/>
          <w:sz w:val="24"/>
          <w:szCs w:val="24"/>
        </w:rPr>
        <w:footnoteReference w:id="154"/>
      </w:r>
    </w:p>
    <w:p w:rsidR="00A26107" w:rsidRDefault="00A26107" w:rsidP="00B50F81">
      <w:pPr>
        <w:jc w:val="both"/>
        <w:rPr>
          <w:sz w:val="24"/>
          <w:szCs w:val="24"/>
        </w:rPr>
      </w:pPr>
    </w:p>
    <w:p w:rsidR="00A26107" w:rsidRDefault="00A26107" w:rsidP="00A26107">
      <w:pPr>
        <w:jc w:val="both"/>
        <w:rPr>
          <w:sz w:val="24"/>
          <w:szCs w:val="24"/>
        </w:rPr>
      </w:pPr>
      <w:r>
        <w:rPr>
          <w:sz w:val="24"/>
          <w:szCs w:val="24"/>
        </w:rPr>
        <w:t>The lack of cohesion of social protections means that it is very difficult for disab</w:t>
      </w:r>
      <w:r w:rsidR="009B3920">
        <w:rPr>
          <w:sz w:val="24"/>
          <w:szCs w:val="24"/>
        </w:rPr>
        <w:t xml:space="preserve">led people, and families, </w:t>
      </w:r>
      <w:proofErr w:type="spellStart"/>
      <w:r>
        <w:rPr>
          <w:sz w:val="24"/>
          <w:szCs w:val="24"/>
        </w:rPr>
        <w:t>whānau</w:t>
      </w:r>
      <w:proofErr w:type="spellEnd"/>
      <w:r w:rsidR="009B3920">
        <w:rPr>
          <w:sz w:val="24"/>
          <w:szCs w:val="24"/>
        </w:rPr>
        <w:t xml:space="preserve"> or guardians</w:t>
      </w:r>
      <w:r>
        <w:rPr>
          <w:sz w:val="24"/>
          <w:szCs w:val="24"/>
        </w:rPr>
        <w:t>, to navigate through the system and to obtain the social protections to which</w:t>
      </w:r>
      <w:r w:rsidR="00F47529">
        <w:rPr>
          <w:sz w:val="24"/>
          <w:szCs w:val="24"/>
        </w:rPr>
        <w:t xml:space="preserve"> they are entitled. While new approaches have been adopted </w:t>
      </w:r>
      <w:r>
        <w:rPr>
          <w:sz w:val="24"/>
          <w:szCs w:val="24"/>
        </w:rPr>
        <w:t>to ensure a smoother process (e.g. E</w:t>
      </w:r>
      <w:r w:rsidR="006A4638">
        <w:rPr>
          <w:sz w:val="24"/>
          <w:szCs w:val="24"/>
        </w:rPr>
        <w:t xml:space="preserve">nabling Good Lives) this is </w:t>
      </w:r>
      <w:r w:rsidR="00F47529">
        <w:rPr>
          <w:sz w:val="24"/>
          <w:szCs w:val="24"/>
        </w:rPr>
        <w:t xml:space="preserve">still </w:t>
      </w:r>
      <w:r w:rsidR="006A4638">
        <w:rPr>
          <w:sz w:val="24"/>
          <w:szCs w:val="24"/>
        </w:rPr>
        <w:t xml:space="preserve">a </w:t>
      </w:r>
      <w:r w:rsidR="00F47529">
        <w:rPr>
          <w:sz w:val="24"/>
          <w:szCs w:val="24"/>
        </w:rPr>
        <w:t>relatively new programme. I</w:t>
      </w:r>
      <w:r>
        <w:rPr>
          <w:sz w:val="24"/>
          <w:szCs w:val="24"/>
        </w:rPr>
        <w:t>f disabled people are unemployed</w:t>
      </w:r>
      <w:r w:rsidR="00F47529">
        <w:rPr>
          <w:sz w:val="24"/>
          <w:szCs w:val="24"/>
        </w:rPr>
        <w:t>,</w:t>
      </w:r>
      <w:r>
        <w:rPr>
          <w:sz w:val="24"/>
          <w:szCs w:val="24"/>
        </w:rPr>
        <w:t xml:space="preserve"> or unable to work, </w:t>
      </w:r>
      <w:r w:rsidR="009B3920">
        <w:rPr>
          <w:sz w:val="24"/>
          <w:szCs w:val="24"/>
        </w:rPr>
        <w:t xml:space="preserve">they </w:t>
      </w:r>
      <w:r>
        <w:rPr>
          <w:sz w:val="24"/>
          <w:szCs w:val="24"/>
        </w:rPr>
        <w:t xml:space="preserve">are still </w:t>
      </w:r>
      <w:r>
        <w:rPr>
          <w:sz w:val="24"/>
          <w:szCs w:val="24"/>
        </w:rPr>
        <w:lastRenderedPageBreak/>
        <w:t xml:space="preserve">dependent on WINZ for weekly </w:t>
      </w:r>
      <w:r w:rsidR="006A4638">
        <w:rPr>
          <w:sz w:val="24"/>
          <w:szCs w:val="24"/>
        </w:rPr>
        <w:t xml:space="preserve">income support </w:t>
      </w:r>
      <w:r>
        <w:rPr>
          <w:sz w:val="24"/>
          <w:szCs w:val="24"/>
        </w:rPr>
        <w:t>payments.</w:t>
      </w:r>
      <w:r w:rsidR="000550C8">
        <w:rPr>
          <w:sz w:val="24"/>
          <w:szCs w:val="24"/>
        </w:rPr>
        <w:t xml:space="preserve"> Further, while it appears that New Zealand has many </w:t>
      </w:r>
      <w:r w:rsidR="00880C55">
        <w:rPr>
          <w:sz w:val="24"/>
          <w:szCs w:val="24"/>
        </w:rPr>
        <w:t xml:space="preserve">social protections </w:t>
      </w:r>
      <w:r w:rsidR="000550C8">
        <w:rPr>
          <w:sz w:val="24"/>
          <w:szCs w:val="24"/>
        </w:rPr>
        <w:t xml:space="preserve">for disabled people, securing </w:t>
      </w:r>
      <w:r w:rsidR="00880C55">
        <w:rPr>
          <w:sz w:val="24"/>
          <w:szCs w:val="24"/>
        </w:rPr>
        <w:t xml:space="preserve">them </w:t>
      </w:r>
      <w:r w:rsidR="000550C8">
        <w:rPr>
          <w:sz w:val="24"/>
          <w:szCs w:val="24"/>
        </w:rPr>
        <w:t xml:space="preserve">is </w:t>
      </w:r>
      <w:r w:rsidR="00880C55">
        <w:rPr>
          <w:sz w:val="24"/>
          <w:szCs w:val="24"/>
        </w:rPr>
        <w:t>often described as a ‘nightmare’. For most disabled people, the bureaucratic processes, ‘catch-22’ situations, complexity and hurdles</w:t>
      </w:r>
      <w:r w:rsidR="006A4638">
        <w:rPr>
          <w:sz w:val="24"/>
          <w:szCs w:val="24"/>
        </w:rPr>
        <w:t xml:space="preserve"> obtaining social protections are</w:t>
      </w:r>
      <w:r w:rsidR="00880C55">
        <w:rPr>
          <w:sz w:val="24"/>
          <w:szCs w:val="24"/>
        </w:rPr>
        <w:t xml:space="preserve"> significant </w:t>
      </w:r>
      <w:r w:rsidR="006A4638">
        <w:rPr>
          <w:sz w:val="24"/>
          <w:szCs w:val="24"/>
        </w:rPr>
        <w:t>and come</w:t>
      </w:r>
      <w:r w:rsidR="000550C8">
        <w:rPr>
          <w:sz w:val="24"/>
          <w:szCs w:val="24"/>
        </w:rPr>
        <w:t xml:space="preserve"> at </w:t>
      </w:r>
      <w:r w:rsidR="00880C55">
        <w:rPr>
          <w:sz w:val="24"/>
          <w:szCs w:val="24"/>
        </w:rPr>
        <w:t xml:space="preserve">a high </w:t>
      </w:r>
      <w:r w:rsidR="000550C8">
        <w:rPr>
          <w:sz w:val="24"/>
          <w:szCs w:val="24"/>
        </w:rPr>
        <w:t xml:space="preserve">personal cost for disabled people, families, </w:t>
      </w:r>
      <w:proofErr w:type="spellStart"/>
      <w:r w:rsidR="000550C8">
        <w:rPr>
          <w:sz w:val="24"/>
          <w:szCs w:val="24"/>
        </w:rPr>
        <w:t>whānau</w:t>
      </w:r>
      <w:proofErr w:type="spellEnd"/>
      <w:r w:rsidR="000550C8">
        <w:rPr>
          <w:sz w:val="24"/>
          <w:szCs w:val="24"/>
        </w:rPr>
        <w:t>,</w:t>
      </w:r>
      <w:r w:rsidR="00880C55">
        <w:rPr>
          <w:sz w:val="24"/>
          <w:szCs w:val="24"/>
        </w:rPr>
        <w:t xml:space="preserve"> </w:t>
      </w:r>
      <w:r w:rsidR="000550C8">
        <w:rPr>
          <w:sz w:val="24"/>
          <w:szCs w:val="24"/>
        </w:rPr>
        <w:t>guardians</w:t>
      </w:r>
      <w:r w:rsidR="006F1610">
        <w:rPr>
          <w:sz w:val="24"/>
          <w:szCs w:val="24"/>
        </w:rPr>
        <w:t xml:space="preserve"> and support workers</w:t>
      </w:r>
      <w:r w:rsidR="000550C8">
        <w:rPr>
          <w:sz w:val="24"/>
          <w:szCs w:val="24"/>
        </w:rPr>
        <w:t>.</w:t>
      </w:r>
    </w:p>
    <w:p w:rsidR="00B50F81" w:rsidRDefault="00B50F81" w:rsidP="00071041">
      <w:pPr>
        <w:jc w:val="both"/>
        <w:rPr>
          <w:sz w:val="24"/>
          <w:szCs w:val="24"/>
        </w:rPr>
      </w:pPr>
    </w:p>
    <w:p w:rsidR="00672C96" w:rsidRDefault="009F5BB8" w:rsidP="00A26107">
      <w:pPr>
        <w:jc w:val="both"/>
        <w:rPr>
          <w:sz w:val="24"/>
          <w:szCs w:val="24"/>
        </w:rPr>
      </w:pPr>
      <w:r>
        <w:rPr>
          <w:sz w:val="24"/>
          <w:szCs w:val="24"/>
        </w:rPr>
        <w:t xml:space="preserve">The </w:t>
      </w:r>
      <w:r w:rsidR="00735518">
        <w:rPr>
          <w:sz w:val="24"/>
          <w:szCs w:val="24"/>
        </w:rPr>
        <w:t xml:space="preserve">move to </w:t>
      </w:r>
      <w:r w:rsidR="00DB6A91">
        <w:rPr>
          <w:sz w:val="24"/>
          <w:szCs w:val="24"/>
        </w:rPr>
        <w:t>mainstreaming</w:t>
      </w:r>
      <w:r w:rsidR="00735518">
        <w:rPr>
          <w:sz w:val="24"/>
          <w:szCs w:val="24"/>
        </w:rPr>
        <w:t xml:space="preserve"> </w:t>
      </w:r>
      <w:r w:rsidR="004A6B48">
        <w:rPr>
          <w:sz w:val="24"/>
          <w:szCs w:val="24"/>
        </w:rPr>
        <w:t xml:space="preserve">through </w:t>
      </w:r>
      <w:r w:rsidR="00D66A11">
        <w:rPr>
          <w:sz w:val="24"/>
          <w:szCs w:val="24"/>
        </w:rPr>
        <w:t>WINZ</w:t>
      </w:r>
      <w:r w:rsidR="004A6B48">
        <w:rPr>
          <w:sz w:val="24"/>
          <w:szCs w:val="24"/>
        </w:rPr>
        <w:t xml:space="preserve"> </w:t>
      </w:r>
      <w:r w:rsidR="004603AF">
        <w:rPr>
          <w:sz w:val="24"/>
          <w:szCs w:val="24"/>
        </w:rPr>
        <w:t xml:space="preserve">has the potential to further erode </w:t>
      </w:r>
      <w:r w:rsidR="004A6B48">
        <w:rPr>
          <w:sz w:val="24"/>
          <w:szCs w:val="24"/>
        </w:rPr>
        <w:t xml:space="preserve">the </w:t>
      </w:r>
      <w:r w:rsidR="00C81923">
        <w:rPr>
          <w:sz w:val="24"/>
          <w:szCs w:val="24"/>
        </w:rPr>
        <w:t xml:space="preserve">provision of </w:t>
      </w:r>
      <w:r w:rsidR="004A6B48">
        <w:rPr>
          <w:sz w:val="24"/>
          <w:szCs w:val="24"/>
        </w:rPr>
        <w:t>disability-specific supports.</w:t>
      </w:r>
      <w:r w:rsidR="00DB6A91">
        <w:rPr>
          <w:rStyle w:val="FootnoteReference"/>
          <w:sz w:val="24"/>
          <w:szCs w:val="24"/>
        </w:rPr>
        <w:footnoteReference w:id="155"/>
      </w:r>
      <w:r w:rsidR="004A6B48">
        <w:rPr>
          <w:sz w:val="24"/>
          <w:szCs w:val="24"/>
        </w:rPr>
        <w:t xml:space="preserve"> </w:t>
      </w:r>
      <w:r w:rsidR="00C81923">
        <w:rPr>
          <w:sz w:val="24"/>
          <w:szCs w:val="24"/>
        </w:rPr>
        <w:t xml:space="preserve">Any additional support requires knowing what to ask for (as this information is not </w:t>
      </w:r>
      <w:r w:rsidR="004603AF">
        <w:rPr>
          <w:sz w:val="24"/>
          <w:szCs w:val="24"/>
        </w:rPr>
        <w:t xml:space="preserve">readily </w:t>
      </w:r>
      <w:r w:rsidR="00C81923">
        <w:rPr>
          <w:sz w:val="24"/>
          <w:szCs w:val="24"/>
        </w:rPr>
        <w:t>provided by WINZ), being in a position to gather all the documentation the agency requires to approve applications</w:t>
      </w:r>
      <w:r w:rsidR="004603AF">
        <w:rPr>
          <w:sz w:val="24"/>
          <w:szCs w:val="24"/>
        </w:rPr>
        <w:t xml:space="preserve"> for funding</w:t>
      </w:r>
      <w:r w:rsidR="00C81923">
        <w:rPr>
          <w:sz w:val="24"/>
          <w:szCs w:val="24"/>
        </w:rPr>
        <w:t xml:space="preserve">, </w:t>
      </w:r>
      <w:r w:rsidR="00B50F81">
        <w:rPr>
          <w:sz w:val="24"/>
          <w:szCs w:val="24"/>
        </w:rPr>
        <w:t xml:space="preserve">repeatedly having to go to </w:t>
      </w:r>
      <w:r w:rsidR="00735518">
        <w:rPr>
          <w:sz w:val="24"/>
          <w:szCs w:val="24"/>
        </w:rPr>
        <w:t xml:space="preserve">health </w:t>
      </w:r>
      <w:r w:rsidR="00B50F81">
        <w:rPr>
          <w:sz w:val="24"/>
          <w:szCs w:val="24"/>
        </w:rPr>
        <w:t xml:space="preserve">practitioners for medical certificates </w:t>
      </w:r>
      <w:r w:rsidR="00C81923">
        <w:rPr>
          <w:sz w:val="24"/>
          <w:szCs w:val="24"/>
        </w:rPr>
        <w:t xml:space="preserve">and </w:t>
      </w:r>
      <w:r w:rsidR="00B50F81">
        <w:rPr>
          <w:sz w:val="24"/>
          <w:szCs w:val="24"/>
        </w:rPr>
        <w:t xml:space="preserve">to pay </w:t>
      </w:r>
      <w:r w:rsidR="004603AF">
        <w:rPr>
          <w:sz w:val="24"/>
          <w:szCs w:val="24"/>
        </w:rPr>
        <w:t xml:space="preserve">the costs </w:t>
      </w:r>
      <w:r w:rsidR="00C81923">
        <w:rPr>
          <w:sz w:val="24"/>
          <w:szCs w:val="24"/>
        </w:rPr>
        <w:t>associated</w:t>
      </w:r>
      <w:r w:rsidR="004603AF">
        <w:rPr>
          <w:sz w:val="24"/>
          <w:szCs w:val="24"/>
        </w:rPr>
        <w:t xml:space="preserve"> with consultations</w:t>
      </w:r>
      <w:r w:rsidR="00B50F81">
        <w:rPr>
          <w:sz w:val="24"/>
          <w:szCs w:val="24"/>
        </w:rPr>
        <w:t xml:space="preserve">, and to </w:t>
      </w:r>
      <w:r w:rsidR="007217FE">
        <w:rPr>
          <w:sz w:val="24"/>
          <w:szCs w:val="24"/>
        </w:rPr>
        <w:t xml:space="preserve">proceed </w:t>
      </w:r>
      <w:r w:rsidR="00B50F81">
        <w:rPr>
          <w:sz w:val="24"/>
          <w:szCs w:val="24"/>
        </w:rPr>
        <w:t>through a</w:t>
      </w:r>
      <w:r w:rsidR="00C81923">
        <w:rPr>
          <w:sz w:val="24"/>
          <w:szCs w:val="24"/>
        </w:rPr>
        <w:t xml:space="preserve"> range of barriers that make it increasingly difficult for disabled people to obtain social protections through this service. </w:t>
      </w:r>
      <w:r w:rsidR="00937238">
        <w:rPr>
          <w:sz w:val="24"/>
          <w:szCs w:val="24"/>
        </w:rPr>
        <w:t>Given that many disabled people are unemployed</w:t>
      </w:r>
      <w:r w:rsidR="00221215">
        <w:rPr>
          <w:sz w:val="24"/>
          <w:szCs w:val="24"/>
        </w:rPr>
        <w:t>,</w:t>
      </w:r>
      <w:r w:rsidR="004603AF">
        <w:rPr>
          <w:sz w:val="24"/>
          <w:szCs w:val="24"/>
        </w:rPr>
        <w:t xml:space="preserve"> these issues are paramount. Many disabled people are </w:t>
      </w:r>
      <w:r w:rsidR="00937238">
        <w:rPr>
          <w:sz w:val="24"/>
          <w:szCs w:val="24"/>
        </w:rPr>
        <w:t>‘life</w:t>
      </w:r>
      <w:r w:rsidR="004603AF">
        <w:rPr>
          <w:sz w:val="24"/>
          <w:szCs w:val="24"/>
        </w:rPr>
        <w:t>-</w:t>
      </w:r>
      <w:r w:rsidR="00937238">
        <w:rPr>
          <w:sz w:val="24"/>
          <w:szCs w:val="24"/>
        </w:rPr>
        <w:t>long</w:t>
      </w:r>
      <w:r w:rsidR="00221215">
        <w:rPr>
          <w:sz w:val="24"/>
          <w:szCs w:val="24"/>
        </w:rPr>
        <w:t xml:space="preserve"> beneficiaries</w:t>
      </w:r>
      <w:r w:rsidR="00331011">
        <w:rPr>
          <w:sz w:val="24"/>
          <w:szCs w:val="24"/>
        </w:rPr>
        <w:t>’</w:t>
      </w:r>
      <w:r w:rsidR="004603AF">
        <w:rPr>
          <w:sz w:val="24"/>
          <w:szCs w:val="24"/>
        </w:rPr>
        <w:t xml:space="preserve"> who are</w:t>
      </w:r>
      <w:r w:rsidR="00937238">
        <w:rPr>
          <w:sz w:val="24"/>
          <w:szCs w:val="24"/>
        </w:rPr>
        <w:t xml:space="preserve"> reliant on WINZ</w:t>
      </w:r>
      <w:r w:rsidR="004603AF">
        <w:rPr>
          <w:sz w:val="24"/>
          <w:szCs w:val="24"/>
        </w:rPr>
        <w:t xml:space="preserve"> for basic living costs</w:t>
      </w:r>
      <w:r w:rsidR="00937238">
        <w:rPr>
          <w:sz w:val="24"/>
          <w:szCs w:val="24"/>
        </w:rPr>
        <w:t>.</w:t>
      </w:r>
      <w:r w:rsidR="004603AF">
        <w:rPr>
          <w:rStyle w:val="FootnoteReference"/>
          <w:sz w:val="24"/>
          <w:szCs w:val="24"/>
        </w:rPr>
        <w:footnoteReference w:id="156"/>
      </w:r>
      <w:r w:rsidR="00221215">
        <w:rPr>
          <w:sz w:val="24"/>
          <w:szCs w:val="24"/>
        </w:rPr>
        <w:t xml:space="preserve"> Being a beneficiary</w:t>
      </w:r>
      <w:r w:rsidR="00331011">
        <w:rPr>
          <w:sz w:val="24"/>
          <w:szCs w:val="24"/>
        </w:rPr>
        <w:t xml:space="preserve"> in New </w:t>
      </w:r>
      <w:r w:rsidR="00FE6683">
        <w:rPr>
          <w:sz w:val="24"/>
          <w:szCs w:val="24"/>
        </w:rPr>
        <w:t>Zealand</w:t>
      </w:r>
      <w:r w:rsidR="00331011">
        <w:rPr>
          <w:sz w:val="24"/>
          <w:szCs w:val="24"/>
        </w:rPr>
        <w:t xml:space="preserve"> </w:t>
      </w:r>
      <w:r w:rsidR="00735518">
        <w:rPr>
          <w:sz w:val="24"/>
          <w:szCs w:val="24"/>
        </w:rPr>
        <w:t xml:space="preserve">typically </w:t>
      </w:r>
      <w:r w:rsidR="00331011">
        <w:rPr>
          <w:sz w:val="24"/>
          <w:szCs w:val="24"/>
        </w:rPr>
        <w:t>means living in poverty.</w:t>
      </w:r>
      <w:r w:rsidR="006A4638">
        <w:rPr>
          <w:rStyle w:val="FootnoteReference"/>
          <w:sz w:val="24"/>
          <w:szCs w:val="24"/>
        </w:rPr>
        <w:footnoteReference w:id="157"/>
      </w:r>
    </w:p>
    <w:p w:rsidR="00672C96" w:rsidRDefault="00672C96" w:rsidP="00A26107">
      <w:pPr>
        <w:jc w:val="both"/>
        <w:rPr>
          <w:sz w:val="24"/>
          <w:szCs w:val="24"/>
        </w:rPr>
      </w:pPr>
    </w:p>
    <w:p w:rsidR="00A26107" w:rsidRDefault="00291346" w:rsidP="00A26107">
      <w:pPr>
        <w:jc w:val="both"/>
        <w:rPr>
          <w:sz w:val="24"/>
          <w:szCs w:val="24"/>
        </w:rPr>
      </w:pPr>
      <w:r>
        <w:rPr>
          <w:sz w:val="24"/>
          <w:szCs w:val="24"/>
        </w:rPr>
        <w:t>I</w:t>
      </w:r>
      <w:r w:rsidR="00C81923">
        <w:rPr>
          <w:sz w:val="24"/>
          <w:szCs w:val="24"/>
        </w:rPr>
        <w:t>ncome support payments provided through WINZ can b</w:t>
      </w:r>
      <w:r>
        <w:rPr>
          <w:sz w:val="24"/>
          <w:szCs w:val="24"/>
        </w:rPr>
        <w:t xml:space="preserve">e </w:t>
      </w:r>
      <w:r w:rsidR="00FF15FD">
        <w:rPr>
          <w:sz w:val="24"/>
          <w:szCs w:val="24"/>
        </w:rPr>
        <w:t xml:space="preserve">suspended or </w:t>
      </w:r>
      <w:r>
        <w:rPr>
          <w:sz w:val="24"/>
          <w:szCs w:val="24"/>
        </w:rPr>
        <w:t xml:space="preserve">terminated at any time without </w:t>
      </w:r>
      <w:r w:rsidR="00C81923">
        <w:rPr>
          <w:sz w:val="24"/>
          <w:szCs w:val="24"/>
        </w:rPr>
        <w:t xml:space="preserve">notice. The onus is then on the individual to </w:t>
      </w:r>
      <w:r w:rsidR="00B50F81">
        <w:rPr>
          <w:sz w:val="24"/>
          <w:szCs w:val="24"/>
        </w:rPr>
        <w:t xml:space="preserve">seek the reinstatement of payments, which requires </w:t>
      </w:r>
      <w:r w:rsidR="00FF15FD">
        <w:rPr>
          <w:sz w:val="24"/>
          <w:szCs w:val="24"/>
        </w:rPr>
        <w:t xml:space="preserve">making contact with </w:t>
      </w:r>
      <w:r w:rsidR="00B50F81">
        <w:rPr>
          <w:sz w:val="24"/>
          <w:szCs w:val="24"/>
        </w:rPr>
        <w:t xml:space="preserve">a call centre, </w:t>
      </w:r>
      <w:r>
        <w:rPr>
          <w:sz w:val="24"/>
          <w:szCs w:val="24"/>
        </w:rPr>
        <w:t xml:space="preserve">obtaining </w:t>
      </w:r>
      <w:r w:rsidR="00FF15FD">
        <w:rPr>
          <w:sz w:val="24"/>
          <w:szCs w:val="24"/>
        </w:rPr>
        <w:t>an appointment (that can</w:t>
      </w:r>
      <w:r w:rsidR="00B50F81">
        <w:rPr>
          <w:sz w:val="24"/>
          <w:szCs w:val="24"/>
        </w:rPr>
        <w:t xml:space="preserve"> take </w:t>
      </w:r>
      <w:r>
        <w:rPr>
          <w:sz w:val="24"/>
          <w:szCs w:val="24"/>
        </w:rPr>
        <w:t>several weeks), travelling</w:t>
      </w:r>
      <w:r w:rsidR="00B50F81">
        <w:rPr>
          <w:sz w:val="24"/>
          <w:szCs w:val="24"/>
        </w:rPr>
        <w:t xml:space="preserve"> into the local WINZ office, and repeating application processes that have </w:t>
      </w:r>
      <w:r>
        <w:rPr>
          <w:sz w:val="24"/>
          <w:szCs w:val="24"/>
        </w:rPr>
        <w:t>previously been undertaken. The sudden and unannounced suspension or termination of income support</w:t>
      </w:r>
      <w:r w:rsidR="00B50F81">
        <w:rPr>
          <w:sz w:val="24"/>
          <w:szCs w:val="24"/>
        </w:rPr>
        <w:t xml:space="preserve"> has an extremely adverse impact on disabled people’s payment of rent, food, utilities, </w:t>
      </w:r>
      <w:r>
        <w:rPr>
          <w:sz w:val="24"/>
          <w:szCs w:val="24"/>
        </w:rPr>
        <w:t>transport and other basic costs. It also</w:t>
      </w:r>
      <w:r w:rsidR="00B50F81">
        <w:rPr>
          <w:sz w:val="24"/>
          <w:szCs w:val="24"/>
        </w:rPr>
        <w:t xml:space="preserve"> contributes to debt and poverty. The WINZ system in particular, is administered in an extremely punitive and </w:t>
      </w:r>
      <w:r>
        <w:rPr>
          <w:sz w:val="24"/>
          <w:szCs w:val="24"/>
        </w:rPr>
        <w:t>inhumane</w:t>
      </w:r>
      <w:r w:rsidR="00FF15FD">
        <w:rPr>
          <w:sz w:val="24"/>
          <w:szCs w:val="24"/>
        </w:rPr>
        <w:t xml:space="preserve"> manner</w:t>
      </w:r>
      <w:r>
        <w:rPr>
          <w:sz w:val="24"/>
          <w:szCs w:val="24"/>
        </w:rPr>
        <w:t xml:space="preserve"> </w:t>
      </w:r>
      <w:r w:rsidR="00B50F81">
        <w:rPr>
          <w:sz w:val="24"/>
          <w:szCs w:val="24"/>
        </w:rPr>
        <w:t xml:space="preserve">that adversely affects </w:t>
      </w:r>
      <w:r w:rsidR="00987D7D">
        <w:rPr>
          <w:sz w:val="24"/>
          <w:szCs w:val="24"/>
        </w:rPr>
        <w:t xml:space="preserve">many </w:t>
      </w:r>
      <w:r w:rsidR="00B50F81">
        <w:rPr>
          <w:sz w:val="24"/>
          <w:szCs w:val="24"/>
        </w:rPr>
        <w:t>disabled people’</w:t>
      </w:r>
      <w:r w:rsidR="00A26107">
        <w:rPr>
          <w:sz w:val="24"/>
          <w:szCs w:val="24"/>
        </w:rPr>
        <w:t>s wellbeing and quality of life</w:t>
      </w:r>
      <w:r w:rsidR="00B50F81">
        <w:rPr>
          <w:sz w:val="24"/>
          <w:szCs w:val="24"/>
        </w:rPr>
        <w:t>.</w:t>
      </w:r>
      <w:r w:rsidR="00A26107" w:rsidRPr="00A26107">
        <w:rPr>
          <w:sz w:val="24"/>
          <w:szCs w:val="24"/>
        </w:rPr>
        <w:t xml:space="preserve"> </w:t>
      </w:r>
    </w:p>
    <w:p w:rsidR="006208E3" w:rsidRDefault="006208E3" w:rsidP="00071041">
      <w:pPr>
        <w:jc w:val="both"/>
        <w:rPr>
          <w:sz w:val="24"/>
          <w:szCs w:val="24"/>
        </w:rPr>
      </w:pPr>
    </w:p>
    <w:p w:rsidR="006208E3" w:rsidRDefault="006208E3" w:rsidP="00071041">
      <w:pPr>
        <w:jc w:val="both"/>
        <w:rPr>
          <w:sz w:val="24"/>
          <w:szCs w:val="24"/>
        </w:rPr>
      </w:pPr>
      <w:r>
        <w:rPr>
          <w:sz w:val="24"/>
          <w:szCs w:val="24"/>
        </w:rPr>
        <w:t xml:space="preserve">While mainstreaming has been promoted for some time in </w:t>
      </w:r>
      <w:proofErr w:type="spellStart"/>
      <w:r>
        <w:rPr>
          <w:sz w:val="24"/>
          <w:szCs w:val="24"/>
        </w:rPr>
        <w:t>Aotearoa</w:t>
      </w:r>
      <w:proofErr w:type="spellEnd"/>
      <w:r>
        <w:rPr>
          <w:sz w:val="24"/>
          <w:szCs w:val="24"/>
        </w:rPr>
        <w:t xml:space="preserve"> New Zealand, there is a simultaneous need for disability-specific social protections across government and non-government agencies. Recent developments relating to social protections under the jurisdiction of the Ministry of Social Development are a significant cause for concern</w:t>
      </w:r>
      <w:r w:rsidR="00C81923">
        <w:rPr>
          <w:sz w:val="24"/>
          <w:szCs w:val="24"/>
        </w:rPr>
        <w:t xml:space="preserve"> as they are likely to erode </w:t>
      </w:r>
      <w:r w:rsidR="00595CC2">
        <w:rPr>
          <w:sz w:val="24"/>
          <w:szCs w:val="24"/>
        </w:rPr>
        <w:t>disability-</w:t>
      </w:r>
      <w:r w:rsidR="00C81923">
        <w:rPr>
          <w:sz w:val="24"/>
          <w:szCs w:val="24"/>
        </w:rPr>
        <w:t>specific social protections</w:t>
      </w:r>
      <w:r>
        <w:rPr>
          <w:sz w:val="24"/>
          <w:szCs w:val="24"/>
        </w:rPr>
        <w:t>.</w:t>
      </w:r>
    </w:p>
    <w:p w:rsidR="004A6B48" w:rsidRDefault="004A6B48" w:rsidP="00071041">
      <w:pPr>
        <w:jc w:val="both"/>
        <w:rPr>
          <w:sz w:val="24"/>
          <w:szCs w:val="24"/>
        </w:rPr>
      </w:pPr>
    </w:p>
    <w:p w:rsidR="004A6B48" w:rsidRPr="005731C2" w:rsidRDefault="004A6B48" w:rsidP="00832154">
      <w:pPr>
        <w:pStyle w:val="Heading2"/>
      </w:pPr>
      <w:bookmarkStart w:id="46" w:name="_Toc420885868"/>
      <w:r w:rsidRPr="005731C2">
        <w:t>Inequitable provisions</w:t>
      </w:r>
      <w:bookmarkEnd w:id="46"/>
      <w:r w:rsidRPr="005731C2">
        <w:t xml:space="preserve"> </w:t>
      </w:r>
    </w:p>
    <w:p w:rsidR="004A6B48" w:rsidRPr="005731C2" w:rsidRDefault="004A6B48" w:rsidP="00071041">
      <w:pPr>
        <w:jc w:val="both"/>
        <w:rPr>
          <w:sz w:val="24"/>
          <w:szCs w:val="24"/>
        </w:rPr>
      </w:pPr>
    </w:p>
    <w:p w:rsidR="004A6B48" w:rsidRPr="005731C2" w:rsidRDefault="004A6B48" w:rsidP="004A6B48">
      <w:pPr>
        <w:rPr>
          <w:sz w:val="24"/>
          <w:szCs w:val="24"/>
          <w:lang w:val="en-US" w:eastAsia="en-NZ"/>
        </w:rPr>
      </w:pPr>
      <w:r w:rsidRPr="005731C2">
        <w:rPr>
          <w:sz w:val="24"/>
          <w:szCs w:val="24"/>
          <w:lang w:val="en-US" w:eastAsia="en-NZ"/>
        </w:rPr>
        <w:t>There continues to be deep concern about the inability of government to provide equitable and fair t</w:t>
      </w:r>
      <w:r w:rsidR="00AB72DF">
        <w:rPr>
          <w:sz w:val="24"/>
          <w:szCs w:val="24"/>
          <w:lang w:val="en-US" w:eastAsia="en-NZ"/>
        </w:rPr>
        <w:t>reatment across impairment types, age, and geographic locations</w:t>
      </w:r>
      <w:r w:rsidRPr="005731C2">
        <w:rPr>
          <w:sz w:val="24"/>
          <w:szCs w:val="24"/>
          <w:lang w:val="en-US" w:eastAsia="en-NZ"/>
        </w:rPr>
        <w:t xml:space="preserve">. The manner in which a disability is acquired </w:t>
      </w:r>
      <w:r w:rsidR="00661848">
        <w:rPr>
          <w:sz w:val="24"/>
          <w:szCs w:val="24"/>
          <w:lang w:val="en-US" w:eastAsia="en-NZ"/>
        </w:rPr>
        <w:t xml:space="preserve">also </w:t>
      </w:r>
      <w:r w:rsidRPr="005731C2">
        <w:rPr>
          <w:sz w:val="24"/>
          <w:szCs w:val="24"/>
          <w:lang w:val="en-US" w:eastAsia="en-NZ"/>
        </w:rPr>
        <w:t>determines the range of provisions a person is entitled to</w:t>
      </w:r>
      <w:r w:rsidR="00AB72DF">
        <w:rPr>
          <w:sz w:val="24"/>
          <w:szCs w:val="24"/>
          <w:lang w:val="en-US" w:eastAsia="en-NZ"/>
        </w:rPr>
        <w:t xml:space="preserve">. This </w:t>
      </w:r>
      <w:r w:rsidRPr="005731C2">
        <w:rPr>
          <w:sz w:val="24"/>
          <w:szCs w:val="24"/>
          <w:lang w:val="en-US" w:eastAsia="en-NZ"/>
        </w:rPr>
        <w:t>has a significant impact on</w:t>
      </w:r>
      <w:r w:rsidR="00AB72DF">
        <w:rPr>
          <w:sz w:val="24"/>
          <w:szCs w:val="24"/>
          <w:lang w:val="en-US" w:eastAsia="en-NZ"/>
        </w:rPr>
        <w:t xml:space="preserve"> disabled people’s </w:t>
      </w:r>
      <w:r w:rsidRPr="005731C2">
        <w:rPr>
          <w:sz w:val="24"/>
          <w:szCs w:val="24"/>
          <w:lang w:val="en-US" w:eastAsia="en-NZ"/>
        </w:rPr>
        <w:t>social and economic outcomes.</w:t>
      </w:r>
    </w:p>
    <w:p w:rsidR="002F713A" w:rsidRDefault="002F713A" w:rsidP="00071041">
      <w:pPr>
        <w:jc w:val="both"/>
        <w:rPr>
          <w:sz w:val="24"/>
          <w:szCs w:val="24"/>
        </w:rPr>
      </w:pPr>
    </w:p>
    <w:p w:rsidR="008F60B7" w:rsidRDefault="008F60B7" w:rsidP="00071041">
      <w:pPr>
        <w:jc w:val="both"/>
        <w:rPr>
          <w:sz w:val="24"/>
          <w:szCs w:val="24"/>
        </w:rPr>
      </w:pPr>
      <w:r>
        <w:rPr>
          <w:sz w:val="24"/>
          <w:szCs w:val="24"/>
        </w:rPr>
        <w:t>Example</w:t>
      </w:r>
    </w:p>
    <w:p w:rsidR="008F60B7" w:rsidRDefault="008F60B7" w:rsidP="00071041">
      <w:pPr>
        <w:jc w:val="both"/>
        <w:rPr>
          <w:sz w:val="24"/>
          <w:szCs w:val="24"/>
        </w:rPr>
      </w:pPr>
    </w:p>
    <w:p w:rsidR="004A6B48" w:rsidRDefault="00223470" w:rsidP="00071041">
      <w:pPr>
        <w:jc w:val="both"/>
        <w:rPr>
          <w:sz w:val="24"/>
          <w:szCs w:val="24"/>
        </w:rPr>
      </w:pPr>
      <w:r>
        <w:rPr>
          <w:sz w:val="24"/>
          <w:szCs w:val="24"/>
        </w:rPr>
        <w:lastRenderedPageBreak/>
        <w:t>People</w:t>
      </w:r>
      <w:r w:rsidR="00120C64">
        <w:rPr>
          <w:sz w:val="24"/>
          <w:szCs w:val="24"/>
        </w:rPr>
        <w:t xml:space="preserve"> who are born with </w:t>
      </w:r>
      <w:proofErr w:type="gramStart"/>
      <w:r w:rsidR="00120C64">
        <w:rPr>
          <w:sz w:val="24"/>
          <w:szCs w:val="24"/>
        </w:rPr>
        <w:t xml:space="preserve">an </w:t>
      </w:r>
      <w:r w:rsidR="0057260A">
        <w:rPr>
          <w:sz w:val="24"/>
          <w:szCs w:val="24"/>
        </w:rPr>
        <w:t>impairment</w:t>
      </w:r>
      <w:proofErr w:type="gramEnd"/>
      <w:r w:rsidR="0057260A">
        <w:rPr>
          <w:sz w:val="24"/>
          <w:szCs w:val="24"/>
        </w:rPr>
        <w:t xml:space="preserve"> (for example blind, Deaf, </w:t>
      </w:r>
      <w:proofErr w:type="spellStart"/>
      <w:r w:rsidR="0057260A">
        <w:rPr>
          <w:sz w:val="24"/>
          <w:szCs w:val="24"/>
        </w:rPr>
        <w:t>spina</w:t>
      </w:r>
      <w:proofErr w:type="spellEnd"/>
      <w:r w:rsidR="0057260A">
        <w:rPr>
          <w:sz w:val="24"/>
          <w:szCs w:val="24"/>
        </w:rPr>
        <w:t xml:space="preserve"> bifida) are eligible for </w:t>
      </w:r>
      <w:r w:rsidR="008F60B7">
        <w:rPr>
          <w:sz w:val="24"/>
          <w:szCs w:val="24"/>
        </w:rPr>
        <w:t xml:space="preserve">income support and </w:t>
      </w:r>
      <w:r w:rsidR="0057260A">
        <w:rPr>
          <w:sz w:val="24"/>
          <w:szCs w:val="24"/>
        </w:rPr>
        <w:t xml:space="preserve">social assistance through the Ministry of Social Development. The </w:t>
      </w:r>
      <w:r w:rsidR="004A6B48">
        <w:rPr>
          <w:sz w:val="24"/>
          <w:szCs w:val="24"/>
        </w:rPr>
        <w:t xml:space="preserve">weekly </w:t>
      </w:r>
      <w:r w:rsidR="005731C2">
        <w:rPr>
          <w:sz w:val="24"/>
          <w:szCs w:val="24"/>
        </w:rPr>
        <w:t>income support payment rate</w:t>
      </w:r>
      <w:proofErr w:type="gramStart"/>
      <w:r w:rsidR="005731C2">
        <w:rPr>
          <w:sz w:val="24"/>
          <w:szCs w:val="24"/>
        </w:rPr>
        <w:t xml:space="preserve">, </w:t>
      </w:r>
      <w:r w:rsidR="0057260A">
        <w:rPr>
          <w:sz w:val="24"/>
          <w:szCs w:val="24"/>
        </w:rPr>
        <w:t xml:space="preserve"> </w:t>
      </w:r>
      <w:r w:rsidR="004A6B48">
        <w:rPr>
          <w:sz w:val="24"/>
          <w:szCs w:val="24"/>
        </w:rPr>
        <w:t>and</w:t>
      </w:r>
      <w:proofErr w:type="gramEnd"/>
      <w:r w:rsidR="004A6B48">
        <w:rPr>
          <w:sz w:val="24"/>
          <w:szCs w:val="24"/>
        </w:rPr>
        <w:t xml:space="preserve"> other financial support </w:t>
      </w:r>
      <w:r w:rsidR="0057260A">
        <w:rPr>
          <w:sz w:val="24"/>
          <w:szCs w:val="24"/>
        </w:rPr>
        <w:t>available</w:t>
      </w:r>
      <w:r w:rsidR="005731C2">
        <w:rPr>
          <w:sz w:val="24"/>
          <w:szCs w:val="24"/>
        </w:rPr>
        <w:t>,</w:t>
      </w:r>
      <w:r w:rsidR="0057260A">
        <w:rPr>
          <w:sz w:val="24"/>
          <w:szCs w:val="24"/>
        </w:rPr>
        <w:t xml:space="preserve"> is set at a much lower rate than for people whose impairment is a result of an accident</w:t>
      </w:r>
      <w:r w:rsidR="00C5548F">
        <w:rPr>
          <w:sz w:val="24"/>
          <w:szCs w:val="24"/>
        </w:rPr>
        <w:t xml:space="preserve">. </w:t>
      </w:r>
    </w:p>
    <w:p w:rsidR="004A6B48" w:rsidRDefault="004A6B48" w:rsidP="00071041">
      <w:pPr>
        <w:jc w:val="both"/>
        <w:rPr>
          <w:sz w:val="24"/>
          <w:szCs w:val="24"/>
        </w:rPr>
      </w:pPr>
    </w:p>
    <w:p w:rsidR="00F86033" w:rsidRDefault="00223470" w:rsidP="00071041">
      <w:pPr>
        <w:jc w:val="both"/>
        <w:rPr>
          <w:sz w:val="24"/>
          <w:szCs w:val="24"/>
        </w:rPr>
      </w:pPr>
      <w:r>
        <w:rPr>
          <w:sz w:val="24"/>
          <w:szCs w:val="24"/>
        </w:rPr>
        <w:t>Although the government</w:t>
      </w:r>
      <w:r w:rsidR="006B3EEE">
        <w:rPr>
          <w:sz w:val="24"/>
          <w:szCs w:val="24"/>
        </w:rPr>
        <w:t>’s latest budget</w:t>
      </w:r>
      <w:r>
        <w:rPr>
          <w:sz w:val="24"/>
          <w:szCs w:val="24"/>
        </w:rPr>
        <w:t xml:space="preserve"> </w:t>
      </w:r>
      <w:r w:rsidR="006B3EEE">
        <w:rPr>
          <w:sz w:val="24"/>
          <w:szCs w:val="24"/>
        </w:rPr>
        <w:t>announcement will provide</w:t>
      </w:r>
      <w:r w:rsidR="004A6B48">
        <w:rPr>
          <w:sz w:val="24"/>
          <w:szCs w:val="24"/>
        </w:rPr>
        <w:t xml:space="preserve"> an increase</w:t>
      </w:r>
      <w:r w:rsidR="005731C2">
        <w:rPr>
          <w:sz w:val="24"/>
          <w:szCs w:val="24"/>
        </w:rPr>
        <w:t xml:space="preserve"> of $25</w:t>
      </w:r>
      <w:r w:rsidR="004A6B48">
        <w:rPr>
          <w:sz w:val="24"/>
          <w:szCs w:val="24"/>
        </w:rPr>
        <w:t xml:space="preserve"> to the generic weekly income support payment</w:t>
      </w:r>
      <w:r>
        <w:rPr>
          <w:sz w:val="24"/>
          <w:szCs w:val="24"/>
        </w:rPr>
        <w:t xml:space="preserve"> </w:t>
      </w:r>
      <w:r w:rsidR="00996DFB">
        <w:rPr>
          <w:sz w:val="24"/>
          <w:szCs w:val="24"/>
        </w:rPr>
        <w:t>(after 30 years at an unchanged rate)</w:t>
      </w:r>
      <w:r w:rsidR="006B3EEE">
        <w:rPr>
          <w:sz w:val="24"/>
          <w:szCs w:val="24"/>
        </w:rPr>
        <w:t>, the government</w:t>
      </w:r>
      <w:r>
        <w:rPr>
          <w:sz w:val="24"/>
          <w:szCs w:val="24"/>
        </w:rPr>
        <w:t xml:space="preserve"> simultaneously </w:t>
      </w:r>
      <w:r w:rsidR="00996DFB">
        <w:rPr>
          <w:sz w:val="24"/>
          <w:szCs w:val="24"/>
        </w:rPr>
        <w:t xml:space="preserve">announced </w:t>
      </w:r>
      <w:r w:rsidR="0004646F">
        <w:rPr>
          <w:sz w:val="24"/>
          <w:szCs w:val="24"/>
        </w:rPr>
        <w:t xml:space="preserve">the reduction of </w:t>
      </w:r>
      <w:r w:rsidR="0004646F" w:rsidRPr="0004646F">
        <w:rPr>
          <w:sz w:val="24"/>
          <w:szCs w:val="24"/>
        </w:rPr>
        <w:t>the</w:t>
      </w:r>
      <w:r w:rsidR="00996DFB" w:rsidRPr="0004646F">
        <w:rPr>
          <w:sz w:val="24"/>
          <w:szCs w:val="24"/>
        </w:rPr>
        <w:t xml:space="preserve"> </w:t>
      </w:r>
      <w:r w:rsidR="0004646F" w:rsidRPr="0004646F">
        <w:rPr>
          <w:sz w:val="24"/>
          <w:szCs w:val="24"/>
        </w:rPr>
        <w:t>Child Disability Allowance by $8 million.</w:t>
      </w:r>
      <w:r w:rsidR="00F86033">
        <w:rPr>
          <w:sz w:val="24"/>
          <w:szCs w:val="24"/>
        </w:rPr>
        <w:t xml:space="preserve"> This follows a </w:t>
      </w:r>
      <w:r w:rsidR="006B3EEE">
        <w:rPr>
          <w:sz w:val="24"/>
          <w:szCs w:val="24"/>
        </w:rPr>
        <w:t xml:space="preserve">steady </w:t>
      </w:r>
      <w:r w:rsidR="00F86033">
        <w:rPr>
          <w:sz w:val="24"/>
          <w:szCs w:val="24"/>
        </w:rPr>
        <w:t>decrease in the rate of Child Disability Allowance approved by WINZ over the recent years</w:t>
      </w:r>
      <w:r w:rsidR="00F675F0">
        <w:rPr>
          <w:sz w:val="24"/>
          <w:szCs w:val="24"/>
        </w:rPr>
        <w:t>,</w:t>
      </w:r>
      <w:r w:rsidR="006B3EEE">
        <w:rPr>
          <w:sz w:val="24"/>
          <w:szCs w:val="24"/>
        </w:rPr>
        <w:t xml:space="preserve"> despite a </w:t>
      </w:r>
      <w:r w:rsidR="00120C64">
        <w:rPr>
          <w:sz w:val="24"/>
          <w:szCs w:val="24"/>
        </w:rPr>
        <w:t>simulta</w:t>
      </w:r>
      <w:r w:rsidR="004A36D8">
        <w:rPr>
          <w:sz w:val="24"/>
          <w:szCs w:val="24"/>
        </w:rPr>
        <w:t>n</w:t>
      </w:r>
      <w:r w:rsidR="00120C64">
        <w:rPr>
          <w:sz w:val="24"/>
          <w:szCs w:val="24"/>
        </w:rPr>
        <w:t>e</w:t>
      </w:r>
      <w:r w:rsidR="004A36D8">
        <w:rPr>
          <w:sz w:val="24"/>
          <w:szCs w:val="24"/>
        </w:rPr>
        <w:t xml:space="preserve">ous </w:t>
      </w:r>
      <w:r w:rsidR="006B3EEE">
        <w:rPr>
          <w:sz w:val="24"/>
          <w:szCs w:val="24"/>
        </w:rPr>
        <w:t>increase in the number of disabled children</w:t>
      </w:r>
      <w:r w:rsidR="00F86033">
        <w:rPr>
          <w:sz w:val="24"/>
          <w:szCs w:val="24"/>
        </w:rPr>
        <w:t>.</w:t>
      </w:r>
      <w:r w:rsidR="00F86033">
        <w:rPr>
          <w:rStyle w:val="FootnoteReference"/>
          <w:sz w:val="24"/>
          <w:szCs w:val="24"/>
        </w:rPr>
        <w:footnoteReference w:id="158"/>
      </w:r>
    </w:p>
    <w:p w:rsidR="00F86033" w:rsidRDefault="00F86033" w:rsidP="00071041">
      <w:pPr>
        <w:jc w:val="both"/>
        <w:rPr>
          <w:sz w:val="24"/>
          <w:szCs w:val="24"/>
        </w:rPr>
      </w:pPr>
    </w:p>
    <w:p w:rsidR="005731C2" w:rsidRDefault="007E4341" w:rsidP="00071041">
      <w:pPr>
        <w:jc w:val="both"/>
        <w:rPr>
          <w:sz w:val="24"/>
          <w:szCs w:val="24"/>
        </w:rPr>
      </w:pPr>
      <w:r>
        <w:rPr>
          <w:sz w:val="24"/>
          <w:szCs w:val="24"/>
        </w:rPr>
        <w:t>The governmen</w:t>
      </w:r>
      <w:r w:rsidR="0004646F">
        <w:rPr>
          <w:sz w:val="24"/>
          <w:szCs w:val="24"/>
        </w:rPr>
        <w:t xml:space="preserve">t has also introduced a </w:t>
      </w:r>
      <w:r w:rsidR="00223470">
        <w:rPr>
          <w:sz w:val="24"/>
          <w:szCs w:val="24"/>
        </w:rPr>
        <w:t xml:space="preserve">range of </w:t>
      </w:r>
      <w:r w:rsidR="00996DFB">
        <w:rPr>
          <w:sz w:val="24"/>
          <w:szCs w:val="24"/>
        </w:rPr>
        <w:t xml:space="preserve">harsher </w:t>
      </w:r>
      <w:r w:rsidR="005731C2">
        <w:rPr>
          <w:sz w:val="24"/>
          <w:szCs w:val="24"/>
        </w:rPr>
        <w:t>restrictions in</w:t>
      </w:r>
      <w:r w:rsidR="00996DFB">
        <w:rPr>
          <w:sz w:val="24"/>
          <w:szCs w:val="24"/>
        </w:rPr>
        <w:t xml:space="preserve"> access to income support </w:t>
      </w:r>
      <w:r w:rsidR="0004646F">
        <w:rPr>
          <w:sz w:val="24"/>
          <w:szCs w:val="24"/>
        </w:rPr>
        <w:t>irrespec</w:t>
      </w:r>
      <w:r w:rsidR="00AC2264">
        <w:rPr>
          <w:sz w:val="24"/>
          <w:szCs w:val="24"/>
        </w:rPr>
        <w:t xml:space="preserve">tive of person’s circumstances </w:t>
      </w:r>
      <w:r w:rsidR="00996DFB">
        <w:rPr>
          <w:sz w:val="24"/>
          <w:szCs w:val="24"/>
        </w:rPr>
        <w:t xml:space="preserve">(e.g. </w:t>
      </w:r>
      <w:r w:rsidR="00120C64">
        <w:rPr>
          <w:sz w:val="24"/>
          <w:szCs w:val="24"/>
        </w:rPr>
        <w:t xml:space="preserve">in some cases </w:t>
      </w:r>
      <w:r w:rsidR="00996DFB">
        <w:rPr>
          <w:sz w:val="24"/>
          <w:szCs w:val="24"/>
        </w:rPr>
        <w:t xml:space="preserve">requiring </w:t>
      </w:r>
      <w:r w:rsidR="005731C2">
        <w:rPr>
          <w:sz w:val="24"/>
          <w:szCs w:val="24"/>
        </w:rPr>
        <w:t xml:space="preserve">lone parents to work once a </w:t>
      </w:r>
      <w:r w:rsidR="0004646F">
        <w:rPr>
          <w:sz w:val="24"/>
          <w:szCs w:val="24"/>
        </w:rPr>
        <w:t>child is three years old,</w:t>
      </w:r>
      <w:r w:rsidR="00996DFB">
        <w:rPr>
          <w:sz w:val="24"/>
          <w:szCs w:val="24"/>
        </w:rPr>
        <w:t xml:space="preserve"> despite the fact early childhood education</w:t>
      </w:r>
      <w:r w:rsidR="00AA1918">
        <w:rPr>
          <w:sz w:val="24"/>
          <w:szCs w:val="24"/>
        </w:rPr>
        <w:t xml:space="preserve"> is often</w:t>
      </w:r>
      <w:r w:rsidR="00996DFB">
        <w:rPr>
          <w:sz w:val="24"/>
          <w:szCs w:val="24"/>
        </w:rPr>
        <w:t xml:space="preserve"> </w:t>
      </w:r>
      <w:r w:rsidR="00301931">
        <w:rPr>
          <w:sz w:val="24"/>
          <w:szCs w:val="24"/>
        </w:rPr>
        <w:t xml:space="preserve">not </w:t>
      </w:r>
      <w:r w:rsidR="00996DFB">
        <w:rPr>
          <w:sz w:val="24"/>
          <w:szCs w:val="24"/>
        </w:rPr>
        <w:t xml:space="preserve">accessible, </w:t>
      </w:r>
      <w:r>
        <w:rPr>
          <w:sz w:val="24"/>
          <w:szCs w:val="24"/>
        </w:rPr>
        <w:t xml:space="preserve">is </w:t>
      </w:r>
      <w:r w:rsidR="00AA1918">
        <w:rPr>
          <w:sz w:val="24"/>
          <w:szCs w:val="24"/>
        </w:rPr>
        <w:t>e</w:t>
      </w:r>
      <w:r w:rsidR="00996DFB">
        <w:rPr>
          <w:sz w:val="24"/>
          <w:szCs w:val="24"/>
        </w:rPr>
        <w:t>xpensive</w:t>
      </w:r>
      <w:r w:rsidR="00AA1918">
        <w:rPr>
          <w:sz w:val="24"/>
          <w:szCs w:val="24"/>
        </w:rPr>
        <w:t>,</w:t>
      </w:r>
      <w:r w:rsidR="00996DFB">
        <w:rPr>
          <w:sz w:val="24"/>
          <w:szCs w:val="24"/>
        </w:rPr>
        <w:t xml:space="preserve"> and </w:t>
      </w:r>
      <w:r>
        <w:rPr>
          <w:sz w:val="24"/>
          <w:szCs w:val="24"/>
        </w:rPr>
        <w:t xml:space="preserve">is </w:t>
      </w:r>
      <w:r w:rsidR="00996DFB">
        <w:rPr>
          <w:sz w:val="24"/>
          <w:szCs w:val="24"/>
        </w:rPr>
        <w:t>not available in all geographic regions</w:t>
      </w:r>
      <w:r w:rsidR="004A6B48">
        <w:rPr>
          <w:sz w:val="24"/>
          <w:szCs w:val="24"/>
        </w:rPr>
        <w:t>)</w:t>
      </w:r>
      <w:r w:rsidR="0004646F">
        <w:rPr>
          <w:sz w:val="24"/>
          <w:szCs w:val="24"/>
        </w:rPr>
        <w:t>.</w:t>
      </w:r>
      <w:r w:rsidR="004A6B48">
        <w:rPr>
          <w:sz w:val="24"/>
          <w:szCs w:val="24"/>
        </w:rPr>
        <w:t xml:space="preserve"> </w:t>
      </w:r>
      <w:r w:rsidR="00486AE8">
        <w:rPr>
          <w:sz w:val="24"/>
          <w:szCs w:val="24"/>
        </w:rPr>
        <w:t>Every year,</w:t>
      </w:r>
      <w:r w:rsidR="00864667">
        <w:rPr>
          <w:sz w:val="24"/>
          <w:szCs w:val="24"/>
        </w:rPr>
        <w:t xml:space="preserve"> there is an increase in the </w:t>
      </w:r>
      <w:r w:rsidR="00486AE8">
        <w:rPr>
          <w:sz w:val="24"/>
          <w:szCs w:val="24"/>
        </w:rPr>
        <w:t xml:space="preserve">barriers and bureaucratic </w:t>
      </w:r>
      <w:r w:rsidR="00AC2264">
        <w:rPr>
          <w:sz w:val="24"/>
          <w:szCs w:val="24"/>
        </w:rPr>
        <w:t>obstacle</w:t>
      </w:r>
      <w:r w:rsidR="00486AE8">
        <w:rPr>
          <w:sz w:val="24"/>
          <w:szCs w:val="24"/>
        </w:rPr>
        <w:t>s people are required to go through to obtai</w:t>
      </w:r>
      <w:r w:rsidR="00864667">
        <w:rPr>
          <w:sz w:val="24"/>
          <w:szCs w:val="24"/>
        </w:rPr>
        <w:t>n any type of payment from WINZ.</w:t>
      </w:r>
      <w:r>
        <w:rPr>
          <w:rStyle w:val="FootnoteReference"/>
          <w:sz w:val="24"/>
          <w:szCs w:val="24"/>
        </w:rPr>
        <w:footnoteReference w:id="159"/>
      </w:r>
      <w:r w:rsidR="00864667">
        <w:rPr>
          <w:sz w:val="24"/>
          <w:szCs w:val="24"/>
        </w:rPr>
        <w:t xml:space="preserve"> These changes have an </w:t>
      </w:r>
      <w:r w:rsidR="005731C2">
        <w:rPr>
          <w:sz w:val="24"/>
          <w:szCs w:val="24"/>
        </w:rPr>
        <w:t xml:space="preserve">exponentially </w:t>
      </w:r>
      <w:r w:rsidR="004A6B48">
        <w:rPr>
          <w:sz w:val="24"/>
          <w:szCs w:val="24"/>
        </w:rPr>
        <w:t xml:space="preserve">adverse impact on disabled </w:t>
      </w:r>
      <w:r w:rsidR="00AC2264">
        <w:rPr>
          <w:sz w:val="24"/>
          <w:szCs w:val="24"/>
        </w:rPr>
        <w:t>people. For example,</w:t>
      </w:r>
      <w:r w:rsidR="00864667">
        <w:rPr>
          <w:sz w:val="24"/>
          <w:szCs w:val="24"/>
        </w:rPr>
        <w:t xml:space="preserve"> every year </w:t>
      </w:r>
      <w:r w:rsidR="00AC2264">
        <w:rPr>
          <w:sz w:val="24"/>
          <w:szCs w:val="24"/>
        </w:rPr>
        <w:t xml:space="preserve">disabled people </w:t>
      </w:r>
      <w:r w:rsidR="00BE7470">
        <w:rPr>
          <w:sz w:val="24"/>
          <w:szCs w:val="24"/>
        </w:rPr>
        <w:t xml:space="preserve">who are in receipt of the </w:t>
      </w:r>
      <w:r w:rsidR="00595CC2">
        <w:rPr>
          <w:sz w:val="24"/>
          <w:szCs w:val="24"/>
        </w:rPr>
        <w:t xml:space="preserve">Supported Living Allowance </w:t>
      </w:r>
      <w:r w:rsidR="00BE7470">
        <w:rPr>
          <w:sz w:val="24"/>
          <w:szCs w:val="24"/>
        </w:rPr>
        <w:t xml:space="preserve">have to reapply, </w:t>
      </w:r>
      <w:r w:rsidR="00AC2264">
        <w:rPr>
          <w:sz w:val="24"/>
          <w:szCs w:val="24"/>
        </w:rPr>
        <w:t>despite having severe impairments</w:t>
      </w:r>
      <w:r w:rsidR="00595CC2">
        <w:rPr>
          <w:sz w:val="24"/>
          <w:szCs w:val="24"/>
        </w:rPr>
        <w:t xml:space="preserve"> that do not change over time or actually </w:t>
      </w:r>
      <w:r w:rsidR="00AC2264">
        <w:rPr>
          <w:sz w:val="24"/>
          <w:szCs w:val="24"/>
        </w:rPr>
        <w:t>progressively worse</w:t>
      </w:r>
      <w:r w:rsidR="00595CC2">
        <w:rPr>
          <w:sz w:val="24"/>
          <w:szCs w:val="24"/>
        </w:rPr>
        <w:t>n with time</w:t>
      </w:r>
      <w:r w:rsidR="00AC2264">
        <w:rPr>
          <w:sz w:val="24"/>
          <w:szCs w:val="24"/>
        </w:rPr>
        <w:t>.</w:t>
      </w:r>
      <w:r w:rsidR="00864667">
        <w:rPr>
          <w:sz w:val="24"/>
          <w:szCs w:val="24"/>
        </w:rPr>
        <w:t xml:space="preserve"> </w:t>
      </w:r>
      <w:r w:rsidR="00BE7470">
        <w:rPr>
          <w:sz w:val="24"/>
          <w:szCs w:val="24"/>
        </w:rPr>
        <w:t xml:space="preserve">Reapplying requires providing a range of documentation, takes considerable time, is </w:t>
      </w:r>
      <w:r w:rsidR="001918C5">
        <w:rPr>
          <w:sz w:val="24"/>
          <w:szCs w:val="24"/>
        </w:rPr>
        <w:t xml:space="preserve">unnecessarily </w:t>
      </w:r>
      <w:r w:rsidR="00BE7470">
        <w:rPr>
          <w:sz w:val="24"/>
          <w:szCs w:val="24"/>
        </w:rPr>
        <w:t>stressful and</w:t>
      </w:r>
      <w:r w:rsidR="001918C5">
        <w:rPr>
          <w:sz w:val="24"/>
          <w:szCs w:val="24"/>
        </w:rPr>
        <w:t xml:space="preserve"> costly</w:t>
      </w:r>
      <w:r w:rsidR="00BE7470">
        <w:rPr>
          <w:sz w:val="24"/>
          <w:szCs w:val="24"/>
        </w:rPr>
        <w:t>.</w:t>
      </w:r>
    </w:p>
    <w:p w:rsidR="00486AE8" w:rsidRDefault="00486AE8" w:rsidP="00071041">
      <w:pPr>
        <w:jc w:val="both"/>
        <w:rPr>
          <w:sz w:val="24"/>
          <w:szCs w:val="24"/>
        </w:rPr>
      </w:pPr>
    </w:p>
    <w:p w:rsidR="0046448C" w:rsidRDefault="008F60B7" w:rsidP="00071041">
      <w:pPr>
        <w:jc w:val="both"/>
        <w:rPr>
          <w:sz w:val="24"/>
          <w:szCs w:val="24"/>
        </w:rPr>
      </w:pPr>
      <w:r>
        <w:rPr>
          <w:sz w:val="24"/>
          <w:szCs w:val="24"/>
        </w:rPr>
        <w:t xml:space="preserve">People who have had an accident and are eligible for Accident Compensation (a form of insurance available to all citizens) </w:t>
      </w:r>
      <w:r w:rsidR="00120C64">
        <w:rPr>
          <w:sz w:val="24"/>
          <w:szCs w:val="24"/>
        </w:rPr>
        <w:t xml:space="preserve">typically </w:t>
      </w:r>
      <w:r>
        <w:rPr>
          <w:sz w:val="24"/>
          <w:szCs w:val="24"/>
        </w:rPr>
        <w:t xml:space="preserve">receive a higher level of compensation than is </w:t>
      </w:r>
      <w:r w:rsidR="001918C5">
        <w:rPr>
          <w:sz w:val="24"/>
          <w:szCs w:val="24"/>
        </w:rPr>
        <w:t>available through the Ministry of Health or Ministry of Social Development.</w:t>
      </w:r>
      <w:r w:rsidR="00120C64">
        <w:rPr>
          <w:rStyle w:val="FootnoteReference"/>
          <w:sz w:val="24"/>
          <w:szCs w:val="24"/>
        </w:rPr>
        <w:footnoteReference w:id="160"/>
      </w:r>
      <w:r w:rsidR="001918C5">
        <w:rPr>
          <w:sz w:val="24"/>
          <w:szCs w:val="24"/>
        </w:rPr>
        <w:t xml:space="preserve"> </w:t>
      </w:r>
      <w:r>
        <w:rPr>
          <w:sz w:val="24"/>
          <w:szCs w:val="24"/>
        </w:rPr>
        <w:t xml:space="preserve">However, the </w:t>
      </w:r>
      <w:r w:rsidR="0057260A">
        <w:rPr>
          <w:sz w:val="24"/>
          <w:szCs w:val="24"/>
        </w:rPr>
        <w:t>t</w:t>
      </w:r>
      <w:r w:rsidR="0046448C">
        <w:rPr>
          <w:sz w:val="24"/>
          <w:szCs w:val="24"/>
        </w:rPr>
        <w:t xml:space="preserve">hreshold for receiving </w:t>
      </w:r>
      <w:r>
        <w:rPr>
          <w:sz w:val="24"/>
          <w:szCs w:val="24"/>
        </w:rPr>
        <w:t xml:space="preserve">income related </w:t>
      </w:r>
      <w:r w:rsidR="0046448C">
        <w:rPr>
          <w:sz w:val="24"/>
          <w:szCs w:val="24"/>
        </w:rPr>
        <w:t xml:space="preserve">payments has </w:t>
      </w:r>
      <w:r w:rsidR="002F713A">
        <w:rPr>
          <w:sz w:val="24"/>
          <w:szCs w:val="24"/>
        </w:rPr>
        <w:t xml:space="preserve">become increasingly stringent </w:t>
      </w:r>
      <w:r w:rsidR="005731C2">
        <w:rPr>
          <w:sz w:val="24"/>
          <w:szCs w:val="24"/>
        </w:rPr>
        <w:t xml:space="preserve">and inequitable </w:t>
      </w:r>
      <w:r w:rsidR="0046448C">
        <w:rPr>
          <w:sz w:val="24"/>
          <w:szCs w:val="24"/>
        </w:rPr>
        <w:t>over time</w:t>
      </w:r>
      <w:r w:rsidR="00C5548F">
        <w:rPr>
          <w:sz w:val="24"/>
          <w:szCs w:val="24"/>
        </w:rPr>
        <w:t xml:space="preserve">, barriers to access </w:t>
      </w:r>
      <w:r>
        <w:rPr>
          <w:sz w:val="24"/>
          <w:szCs w:val="24"/>
        </w:rPr>
        <w:t xml:space="preserve">are </w:t>
      </w:r>
      <w:r w:rsidR="00223470">
        <w:rPr>
          <w:sz w:val="24"/>
          <w:szCs w:val="24"/>
        </w:rPr>
        <w:t xml:space="preserve">increasingly </w:t>
      </w:r>
      <w:r>
        <w:rPr>
          <w:sz w:val="24"/>
          <w:szCs w:val="24"/>
        </w:rPr>
        <w:t>rigo</w:t>
      </w:r>
      <w:r w:rsidR="002F713A">
        <w:rPr>
          <w:sz w:val="24"/>
          <w:szCs w:val="24"/>
        </w:rPr>
        <w:t>rous</w:t>
      </w:r>
      <w:r w:rsidR="005731C2">
        <w:rPr>
          <w:sz w:val="24"/>
          <w:szCs w:val="24"/>
        </w:rPr>
        <w:t xml:space="preserve"> and unfair</w:t>
      </w:r>
      <w:r w:rsidR="00C5548F">
        <w:rPr>
          <w:sz w:val="24"/>
          <w:szCs w:val="24"/>
        </w:rPr>
        <w:t xml:space="preserve">, </w:t>
      </w:r>
      <w:r w:rsidR="0057260A">
        <w:rPr>
          <w:sz w:val="24"/>
          <w:szCs w:val="24"/>
        </w:rPr>
        <w:t>and the durat</w:t>
      </w:r>
      <w:r w:rsidR="0046448C">
        <w:rPr>
          <w:sz w:val="24"/>
          <w:szCs w:val="24"/>
        </w:rPr>
        <w:t>ion of payments has decreased</w:t>
      </w:r>
      <w:r w:rsidR="005731C2">
        <w:rPr>
          <w:sz w:val="24"/>
          <w:szCs w:val="24"/>
        </w:rPr>
        <w:t xml:space="preserve"> based on </w:t>
      </w:r>
      <w:r w:rsidR="001918C5">
        <w:rPr>
          <w:sz w:val="24"/>
          <w:szCs w:val="24"/>
        </w:rPr>
        <w:t xml:space="preserve">a theoretical average time taken </w:t>
      </w:r>
      <w:r w:rsidR="00120C64">
        <w:rPr>
          <w:sz w:val="24"/>
          <w:szCs w:val="24"/>
        </w:rPr>
        <w:t>t</w:t>
      </w:r>
      <w:r w:rsidR="001918C5">
        <w:rPr>
          <w:sz w:val="24"/>
          <w:szCs w:val="24"/>
        </w:rPr>
        <w:t>o</w:t>
      </w:r>
      <w:r w:rsidR="00120C64">
        <w:rPr>
          <w:sz w:val="24"/>
          <w:szCs w:val="24"/>
        </w:rPr>
        <w:t xml:space="preserve"> </w:t>
      </w:r>
      <w:r w:rsidR="005731C2">
        <w:rPr>
          <w:sz w:val="24"/>
          <w:szCs w:val="24"/>
        </w:rPr>
        <w:t>rehabilitate</w:t>
      </w:r>
      <w:r w:rsidR="0046448C">
        <w:rPr>
          <w:sz w:val="24"/>
          <w:szCs w:val="24"/>
        </w:rPr>
        <w:t>.</w:t>
      </w:r>
      <w:r w:rsidR="0046448C">
        <w:rPr>
          <w:rStyle w:val="FootnoteReference"/>
          <w:sz w:val="24"/>
          <w:szCs w:val="24"/>
        </w:rPr>
        <w:footnoteReference w:id="161"/>
      </w:r>
      <w:r w:rsidR="0046448C">
        <w:rPr>
          <w:sz w:val="24"/>
          <w:szCs w:val="24"/>
        </w:rPr>
        <w:t xml:space="preserve"> </w:t>
      </w:r>
      <w:r w:rsidR="005731C2">
        <w:rPr>
          <w:sz w:val="24"/>
          <w:szCs w:val="24"/>
        </w:rPr>
        <w:t>For example, if a person has a particular type of head injury (irrespective of the impact of the injury) then there is a fixed and standard amount of time allowed before ACC payments cease. People in this situation are then required to apply for income support through WINZ</w:t>
      </w:r>
      <w:r w:rsidR="00A36023">
        <w:rPr>
          <w:sz w:val="24"/>
          <w:szCs w:val="24"/>
        </w:rPr>
        <w:t>,</w:t>
      </w:r>
      <w:r w:rsidR="005731C2">
        <w:rPr>
          <w:sz w:val="24"/>
          <w:szCs w:val="24"/>
        </w:rPr>
        <w:t xml:space="preserve"> and have to go through the whole cycle of app</w:t>
      </w:r>
      <w:r w:rsidR="00A36023">
        <w:rPr>
          <w:sz w:val="24"/>
          <w:szCs w:val="24"/>
        </w:rPr>
        <w:t xml:space="preserve">lication, and obtaining medical assessments and certificates </w:t>
      </w:r>
      <w:r w:rsidR="005731C2">
        <w:rPr>
          <w:sz w:val="24"/>
          <w:szCs w:val="24"/>
        </w:rPr>
        <w:t xml:space="preserve">again. </w:t>
      </w:r>
    </w:p>
    <w:p w:rsidR="001918C5" w:rsidRDefault="001918C5" w:rsidP="00071041">
      <w:pPr>
        <w:jc w:val="both"/>
        <w:rPr>
          <w:sz w:val="24"/>
          <w:szCs w:val="24"/>
        </w:rPr>
      </w:pPr>
    </w:p>
    <w:p w:rsidR="00071041" w:rsidRPr="00782B5E" w:rsidRDefault="0046448C" w:rsidP="00071041">
      <w:pPr>
        <w:jc w:val="both"/>
        <w:rPr>
          <w:sz w:val="24"/>
          <w:szCs w:val="24"/>
        </w:rPr>
      </w:pPr>
      <w:r>
        <w:rPr>
          <w:sz w:val="24"/>
          <w:szCs w:val="24"/>
        </w:rPr>
        <w:t xml:space="preserve">There are </w:t>
      </w:r>
      <w:r w:rsidR="005731C2">
        <w:rPr>
          <w:sz w:val="24"/>
          <w:szCs w:val="24"/>
        </w:rPr>
        <w:t xml:space="preserve">also </w:t>
      </w:r>
      <w:r>
        <w:rPr>
          <w:sz w:val="24"/>
          <w:szCs w:val="24"/>
        </w:rPr>
        <w:t xml:space="preserve">inconsistencies across ACC legislation relating to psychosocial disability. If trauma is experienced while undertaking </w:t>
      </w:r>
      <w:r w:rsidRPr="00C5548F">
        <w:rPr>
          <w:sz w:val="24"/>
          <w:szCs w:val="24"/>
        </w:rPr>
        <w:t>paid work</w:t>
      </w:r>
      <w:r>
        <w:rPr>
          <w:sz w:val="24"/>
          <w:szCs w:val="24"/>
        </w:rPr>
        <w:t xml:space="preserve"> people may be eligible for ACC. </w:t>
      </w:r>
      <w:r>
        <w:rPr>
          <w:sz w:val="24"/>
          <w:szCs w:val="24"/>
        </w:rPr>
        <w:lastRenderedPageBreak/>
        <w:t>However, people who experience trauma, in places other than paid work, cannot access ACC.</w:t>
      </w:r>
      <w:r>
        <w:rPr>
          <w:rStyle w:val="FootnoteReference"/>
          <w:sz w:val="24"/>
          <w:szCs w:val="24"/>
        </w:rPr>
        <w:footnoteReference w:id="162"/>
      </w:r>
      <w:r>
        <w:rPr>
          <w:sz w:val="24"/>
          <w:szCs w:val="24"/>
        </w:rPr>
        <w:t xml:space="preserve"> </w:t>
      </w:r>
    </w:p>
    <w:p w:rsidR="00DA1B59" w:rsidRDefault="00DA1B59" w:rsidP="00DA1B59">
      <w:pPr>
        <w:pStyle w:val="ListParagraph"/>
        <w:ind w:left="567"/>
        <w:jc w:val="both"/>
        <w:rPr>
          <w:sz w:val="24"/>
          <w:szCs w:val="24"/>
        </w:rPr>
      </w:pPr>
    </w:p>
    <w:p w:rsidR="002A779C" w:rsidRDefault="002A779C" w:rsidP="00832154">
      <w:pPr>
        <w:pStyle w:val="Heading2"/>
      </w:pPr>
      <w:bookmarkStart w:id="47" w:name="_Toc420885869"/>
      <w:r w:rsidRPr="002A779C">
        <w:t>Disability-sensitive training and awareness-raising for civil se</w:t>
      </w:r>
      <w:r>
        <w:t>rvants and/or external partners</w:t>
      </w:r>
      <w:bookmarkEnd w:id="47"/>
    </w:p>
    <w:p w:rsidR="00832154" w:rsidRDefault="00832154" w:rsidP="002A779C">
      <w:pPr>
        <w:pStyle w:val="ListParagraph"/>
        <w:ind w:left="0"/>
        <w:jc w:val="both"/>
        <w:rPr>
          <w:b/>
          <w:sz w:val="24"/>
          <w:szCs w:val="24"/>
        </w:rPr>
      </w:pPr>
    </w:p>
    <w:p w:rsidR="005214AE" w:rsidRDefault="00331011" w:rsidP="0097107A">
      <w:pPr>
        <w:pStyle w:val="ListParagraph"/>
        <w:ind w:left="0"/>
        <w:jc w:val="both"/>
        <w:rPr>
          <w:sz w:val="24"/>
          <w:szCs w:val="24"/>
        </w:rPr>
      </w:pPr>
      <w:r w:rsidRPr="00331011">
        <w:rPr>
          <w:sz w:val="24"/>
          <w:szCs w:val="24"/>
        </w:rPr>
        <w:t xml:space="preserve">There is no national programme of disability-sensitive or </w:t>
      </w:r>
      <w:r w:rsidR="000B2356">
        <w:rPr>
          <w:sz w:val="24"/>
          <w:szCs w:val="24"/>
        </w:rPr>
        <w:t xml:space="preserve">disability </w:t>
      </w:r>
      <w:r w:rsidRPr="00331011">
        <w:rPr>
          <w:sz w:val="24"/>
          <w:szCs w:val="24"/>
        </w:rPr>
        <w:t xml:space="preserve">awareness-raising. Most training </w:t>
      </w:r>
      <w:r w:rsidR="005214AE">
        <w:rPr>
          <w:sz w:val="24"/>
          <w:szCs w:val="24"/>
        </w:rPr>
        <w:t xml:space="preserve">or education </w:t>
      </w:r>
      <w:r w:rsidRPr="00331011">
        <w:rPr>
          <w:sz w:val="24"/>
          <w:szCs w:val="24"/>
        </w:rPr>
        <w:t xml:space="preserve">of this kind is piecemeal, </w:t>
      </w:r>
      <w:r w:rsidR="005214AE">
        <w:rPr>
          <w:sz w:val="24"/>
          <w:szCs w:val="24"/>
        </w:rPr>
        <w:t xml:space="preserve">adhoc </w:t>
      </w:r>
      <w:r w:rsidR="0097107A">
        <w:rPr>
          <w:sz w:val="24"/>
          <w:szCs w:val="24"/>
        </w:rPr>
        <w:t xml:space="preserve">and </w:t>
      </w:r>
      <w:r w:rsidRPr="00331011">
        <w:rPr>
          <w:sz w:val="24"/>
          <w:szCs w:val="24"/>
        </w:rPr>
        <w:t>reliant on inadequate and insecure funding</w:t>
      </w:r>
      <w:r w:rsidR="0097107A">
        <w:rPr>
          <w:sz w:val="24"/>
          <w:szCs w:val="24"/>
        </w:rPr>
        <w:t xml:space="preserve">. </w:t>
      </w:r>
    </w:p>
    <w:p w:rsidR="005214AE" w:rsidRDefault="005214AE" w:rsidP="0097107A">
      <w:pPr>
        <w:pStyle w:val="ListParagraph"/>
        <w:ind w:left="0"/>
        <w:jc w:val="both"/>
        <w:rPr>
          <w:sz w:val="24"/>
          <w:szCs w:val="24"/>
        </w:rPr>
      </w:pPr>
    </w:p>
    <w:p w:rsidR="001918C5" w:rsidRPr="00331011" w:rsidRDefault="005214AE" w:rsidP="001918C5">
      <w:pPr>
        <w:pStyle w:val="ListParagraph"/>
        <w:ind w:left="0"/>
        <w:jc w:val="both"/>
        <w:rPr>
          <w:sz w:val="24"/>
          <w:szCs w:val="24"/>
        </w:rPr>
      </w:pPr>
      <w:r>
        <w:rPr>
          <w:sz w:val="24"/>
          <w:szCs w:val="24"/>
        </w:rPr>
        <w:t>The Think Differently campaign was initiated to provide a national communications strategy, national partnerships, community action projects, and research and evaluation</w:t>
      </w:r>
      <w:r w:rsidR="00AC681C">
        <w:rPr>
          <w:sz w:val="24"/>
          <w:szCs w:val="24"/>
        </w:rPr>
        <w:t>. The campaign was funded through the Ministry of Social Development. However</w:t>
      </w:r>
      <w:proofErr w:type="gramStart"/>
      <w:r w:rsidR="00AC681C">
        <w:rPr>
          <w:sz w:val="24"/>
          <w:szCs w:val="24"/>
        </w:rPr>
        <w:t xml:space="preserve">, </w:t>
      </w:r>
      <w:r>
        <w:rPr>
          <w:sz w:val="24"/>
          <w:szCs w:val="24"/>
        </w:rPr>
        <w:t xml:space="preserve"> </w:t>
      </w:r>
      <w:r w:rsidR="001918C5">
        <w:rPr>
          <w:sz w:val="24"/>
          <w:szCs w:val="24"/>
        </w:rPr>
        <w:t>the</w:t>
      </w:r>
      <w:proofErr w:type="gramEnd"/>
      <w:r w:rsidR="001918C5">
        <w:rPr>
          <w:sz w:val="24"/>
          <w:szCs w:val="24"/>
        </w:rPr>
        <w:t xml:space="preserve"> government has recently discontinued funding for this programme.</w:t>
      </w:r>
    </w:p>
    <w:p w:rsidR="002A779C" w:rsidRDefault="001918C5" w:rsidP="001918C5">
      <w:pPr>
        <w:pStyle w:val="ListParagraph"/>
        <w:ind w:left="0"/>
        <w:jc w:val="both"/>
        <w:rPr>
          <w:b/>
          <w:sz w:val="24"/>
          <w:szCs w:val="24"/>
        </w:rPr>
      </w:pPr>
      <w:r>
        <w:rPr>
          <w:b/>
          <w:sz w:val="24"/>
          <w:szCs w:val="24"/>
        </w:rPr>
        <w:t xml:space="preserve"> </w:t>
      </w:r>
    </w:p>
    <w:p w:rsidR="000B2356" w:rsidRDefault="00331011" w:rsidP="002A779C">
      <w:pPr>
        <w:pStyle w:val="ListParagraph"/>
        <w:ind w:left="0"/>
        <w:jc w:val="both"/>
        <w:rPr>
          <w:sz w:val="24"/>
          <w:szCs w:val="24"/>
        </w:rPr>
      </w:pPr>
      <w:r w:rsidRPr="000B2356">
        <w:rPr>
          <w:sz w:val="24"/>
          <w:szCs w:val="24"/>
        </w:rPr>
        <w:t xml:space="preserve">While the Disabled Persons Assembly has designed and developed a unique, </w:t>
      </w:r>
      <w:r w:rsidR="000B2356">
        <w:rPr>
          <w:sz w:val="24"/>
          <w:szCs w:val="24"/>
        </w:rPr>
        <w:t>national, high quality</w:t>
      </w:r>
      <w:r w:rsidR="00AC681C">
        <w:rPr>
          <w:sz w:val="24"/>
          <w:szCs w:val="24"/>
        </w:rPr>
        <w:t>,</w:t>
      </w:r>
      <w:r w:rsidR="000B2356">
        <w:rPr>
          <w:sz w:val="24"/>
          <w:szCs w:val="24"/>
        </w:rPr>
        <w:t xml:space="preserve"> </w:t>
      </w:r>
      <w:r w:rsidRPr="000B2356">
        <w:rPr>
          <w:sz w:val="24"/>
          <w:szCs w:val="24"/>
        </w:rPr>
        <w:t xml:space="preserve">bicultural, UNCRPD education programme – Kia Noho Rangatira Ai Tātou – funding for the delivery of this programme is not currently available. </w:t>
      </w:r>
      <w:r w:rsidR="000B2356">
        <w:rPr>
          <w:sz w:val="24"/>
          <w:szCs w:val="24"/>
        </w:rPr>
        <w:t xml:space="preserve">The </w:t>
      </w:r>
      <w:r w:rsidR="00AC681C">
        <w:rPr>
          <w:sz w:val="24"/>
          <w:szCs w:val="24"/>
        </w:rPr>
        <w:t>programme is designed to educate</w:t>
      </w:r>
      <w:r w:rsidRPr="000B2356">
        <w:rPr>
          <w:sz w:val="24"/>
          <w:szCs w:val="24"/>
        </w:rPr>
        <w:t xml:space="preserve"> the Disability Support Services workforce </w:t>
      </w:r>
      <w:r w:rsidR="001918C5">
        <w:rPr>
          <w:sz w:val="24"/>
          <w:szCs w:val="24"/>
        </w:rPr>
        <w:t xml:space="preserve">and disabled people </w:t>
      </w:r>
      <w:r w:rsidRPr="000B2356">
        <w:rPr>
          <w:sz w:val="24"/>
          <w:szCs w:val="24"/>
        </w:rPr>
        <w:t xml:space="preserve">(to </w:t>
      </w:r>
      <w:r w:rsidR="000B2356" w:rsidRPr="000B2356">
        <w:rPr>
          <w:sz w:val="24"/>
          <w:szCs w:val="24"/>
        </w:rPr>
        <w:t>fulfil</w:t>
      </w:r>
      <w:r w:rsidR="001918C5">
        <w:rPr>
          <w:sz w:val="24"/>
          <w:szCs w:val="24"/>
        </w:rPr>
        <w:t xml:space="preserve"> UNCRPD</w:t>
      </w:r>
      <w:r w:rsidR="000B2356" w:rsidRPr="000B2356">
        <w:rPr>
          <w:sz w:val="24"/>
          <w:szCs w:val="24"/>
        </w:rPr>
        <w:t xml:space="preserve"> </w:t>
      </w:r>
      <w:r w:rsidR="001918C5">
        <w:rPr>
          <w:sz w:val="24"/>
          <w:szCs w:val="24"/>
        </w:rPr>
        <w:t xml:space="preserve">objectives contained in </w:t>
      </w:r>
      <w:r w:rsidRPr="000B2356">
        <w:rPr>
          <w:sz w:val="24"/>
          <w:szCs w:val="24"/>
        </w:rPr>
        <w:t xml:space="preserve">the </w:t>
      </w:r>
      <w:r w:rsidR="000B2356" w:rsidRPr="000B2356">
        <w:rPr>
          <w:sz w:val="24"/>
          <w:szCs w:val="24"/>
        </w:rPr>
        <w:t xml:space="preserve">government’s </w:t>
      </w:r>
      <w:r w:rsidRPr="000B2356">
        <w:rPr>
          <w:sz w:val="24"/>
          <w:szCs w:val="24"/>
        </w:rPr>
        <w:t xml:space="preserve">Disability Workforce Action Plan </w:t>
      </w:r>
      <w:r w:rsidR="000B2356" w:rsidRPr="000B2356">
        <w:rPr>
          <w:sz w:val="24"/>
          <w:szCs w:val="24"/>
        </w:rPr>
        <w:t>2013-2016</w:t>
      </w:r>
      <w:r w:rsidR="00AC681C">
        <w:rPr>
          <w:sz w:val="24"/>
          <w:szCs w:val="24"/>
        </w:rPr>
        <w:t>)</w:t>
      </w:r>
      <w:r w:rsidR="000B2356">
        <w:rPr>
          <w:sz w:val="24"/>
          <w:szCs w:val="24"/>
        </w:rPr>
        <w:t>.</w:t>
      </w:r>
      <w:r w:rsidR="00AC681C">
        <w:rPr>
          <w:sz w:val="24"/>
          <w:szCs w:val="24"/>
        </w:rPr>
        <w:t xml:space="preserve"> This</w:t>
      </w:r>
      <w:r w:rsidR="000B2356">
        <w:rPr>
          <w:sz w:val="24"/>
          <w:szCs w:val="24"/>
        </w:rPr>
        <w:t xml:space="preserve"> education programme has the </w:t>
      </w:r>
      <w:r w:rsidR="000B2356" w:rsidRPr="000B2356">
        <w:rPr>
          <w:sz w:val="24"/>
          <w:szCs w:val="24"/>
        </w:rPr>
        <w:t>potential to be delivered across g</w:t>
      </w:r>
      <w:r w:rsidR="000B2356">
        <w:rPr>
          <w:sz w:val="24"/>
          <w:szCs w:val="24"/>
        </w:rPr>
        <w:t>overn</w:t>
      </w:r>
      <w:r w:rsidR="000B2356" w:rsidRPr="000B2356">
        <w:rPr>
          <w:sz w:val="24"/>
          <w:szCs w:val="24"/>
        </w:rPr>
        <w:t>m</w:t>
      </w:r>
      <w:r w:rsidR="000B2356">
        <w:rPr>
          <w:sz w:val="24"/>
          <w:szCs w:val="24"/>
        </w:rPr>
        <w:t xml:space="preserve">ent and non-government sectors (e.g. ACC, the judiciary, health sector) and would be an ideal national programme </w:t>
      </w:r>
      <w:r w:rsidR="001918C5">
        <w:rPr>
          <w:sz w:val="24"/>
          <w:szCs w:val="24"/>
        </w:rPr>
        <w:t xml:space="preserve">that is </w:t>
      </w:r>
      <w:r w:rsidR="000B2356">
        <w:rPr>
          <w:sz w:val="24"/>
          <w:szCs w:val="24"/>
        </w:rPr>
        <w:t>led and delivered by disabled people.</w:t>
      </w:r>
      <w:r w:rsidR="00AC681C">
        <w:rPr>
          <w:sz w:val="24"/>
          <w:szCs w:val="24"/>
        </w:rPr>
        <w:t xml:space="preserve"> </w:t>
      </w:r>
    </w:p>
    <w:p w:rsidR="0097107A" w:rsidRDefault="0097107A" w:rsidP="0097107A">
      <w:pPr>
        <w:pStyle w:val="ListParagraph"/>
        <w:ind w:left="0"/>
        <w:jc w:val="both"/>
        <w:rPr>
          <w:sz w:val="24"/>
          <w:szCs w:val="24"/>
        </w:rPr>
      </w:pPr>
    </w:p>
    <w:p w:rsidR="0097107A" w:rsidRPr="00331011" w:rsidRDefault="0097107A" w:rsidP="0097107A">
      <w:pPr>
        <w:pStyle w:val="ListParagraph"/>
        <w:ind w:left="0"/>
        <w:jc w:val="both"/>
        <w:rPr>
          <w:sz w:val="24"/>
          <w:szCs w:val="24"/>
        </w:rPr>
      </w:pPr>
      <w:r>
        <w:rPr>
          <w:sz w:val="24"/>
          <w:szCs w:val="24"/>
        </w:rPr>
        <w:t xml:space="preserve">The </w:t>
      </w:r>
      <w:r w:rsidR="00E96069">
        <w:rPr>
          <w:sz w:val="24"/>
          <w:szCs w:val="24"/>
        </w:rPr>
        <w:t xml:space="preserve">longstanding </w:t>
      </w:r>
      <w:r w:rsidR="001918C5">
        <w:rPr>
          <w:sz w:val="24"/>
          <w:szCs w:val="24"/>
        </w:rPr>
        <w:t>‘</w:t>
      </w:r>
      <w:r>
        <w:rPr>
          <w:sz w:val="24"/>
          <w:szCs w:val="24"/>
        </w:rPr>
        <w:t>Like Minds, Like Mine</w:t>
      </w:r>
      <w:r w:rsidR="001918C5">
        <w:rPr>
          <w:sz w:val="24"/>
          <w:szCs w:val="24"/>
        </w:rPr>
        <w:t>’</w:t>
      </w:r>
      <w:r>
        <w:rPr>
          <w:sz w:val="24"/>
          <w:szCs w:val="24"/>
        </w:rPr>
        <w:t xml:space="preserve"> programme</w:t>
      </w:r>
      <w:r w:rsidR="007060AD">
        <w:rPr>
          <w:sz w:val="24"/>
          <w:szCs w:val="24"/>
        </w:rPr>
        <w:t xml:space="preserve">, </w:t>
      </w:r>
      <w:r w:rsidR="00AC00BC">
        <w:rPr>
          <w:sz w:val="24"/>
          <w:szCs w:val="24"/>
        </w:rPr>
        <w:t xml:space="preserve">designed to provide education at a national and regional level, resulted in significant changes in attitudes towards psychosocial disability. Although this programme operated successfully </w:t>
      </w:r>
      <w:r w:rsidR="007060AD">
        <w:rPr>
          <w:sz w:val="24"/>
          <w:szCs w:val="24"/>
        </w:rPr>
        <w:t>for many years</w:t>
      </w:r>
      <w:r w:rsidR="00E96069">
        <w:rPr>
          <w:sz w:val="24"/>
          <w:szCs w:val="24"/>
        </w:rPr>
        <w:t>,</w:t>
      </w:r>
      <w:r w:rsidR="00AC00BC">
        <w:rPr>
          <w:sz w:val="24"/>
          <w:szCs w:val="24"/>
        </w:rPr>
        <w:t xml:space="preserve"> and</w:t>
      </w:r>
      <w:r>
        <w:rPr>
          <w:sz w:val="24"/>
          <w:szCs w:val="24"/>
        </w:rPr>
        <w:t xml:space="preserve"> </w:t>
      </w:r>
      <w:r w:rsidR="007060AD">
        <w:rPr>
          <w:sz w:val="24"/>
          <w:szCs w:val="24"/>
        </w:rPr>
        <w:t xml:space="preserve">was heralded </w:t>
      </w:r>
      <w:r w:rsidR="00AC00BC">
        <w:rPr>
          <w:sz w:val="24"/>
          <w:szCs w:val="24"/>
        </w:rPr>
        <w:t xml:space="preserve">internationally </w:t>
      </w:r>
      <w:r w:rsidR="007060AD">
        <w:rPr>
          <w:sz w:val="24"/>
          <w:szCs w:val="24"/>
        </w:rPr>
        <w:t>as a model social change</w:t>
      </w:r>
      <w:r w:rsidR="001918C5">
        <w:rPr>
          <w:sz w:val="24"/>
          <w:szCs w:val="24"/>
        </w:rPr>
        <w:t xml:space="preserve"> campaign</w:t>
      </w:r>
      <w:r w:rsidR="00AC00BC">
        <w:rPr>
          <w:sz w:val="24"/>
          <w:szCs w:val="24"/>
        </w:rPr>
        <w:t xml:space="preserve">, this work has become </w:t>
      </w:r>
      <w:r>
        <w:rPr>
          <w:sz w:val="24"/>
          <w:szCs w:val="24"/>
        </w:rPr>
        <w:t xml:space="preserve">progressively less visible and funding has been significantly </w:t>
      </w:r>
      <w:r w:rsidR="00AC00BC">
        <w:rPr>
          <w:sz w:val="24"/>
          <w:szCs w:val="24"/>
        </w:rPr>
        <w:t xml:space="preserve">eroded </w:t>
      </w:r>
      <w:r>
        <w:rPr>
          <w:sz w:val="24"/>
          <w:szCs w:val="24"/>
        </w:rPr>
        <w:t xml:space="preserve">over recent years. </w:t>
      </w:r>
    </w:p>
    <w:p w:rsidR="00E505CF" w:rsidRDefault="00E505CF" w:rsidP="00071041">
      <w:pPr>
        <w:jc w:val="both"/>
        <w:rPr>
          <w:sz w:val="24"/>
          <w:szCs w:val="24"/>
        </w:rPr>
      </w:pPr>
    </w:p>
    <w:p w:rsidR="005D0684" w:rsidRDefault="005D0684" w:rsidP="00071041">
      <w:pPr>
        <w:jc w:val="both"/>
        <w:rPr>
          <w:sz w:val="24"/>
          <w:szCs w:val="24"/>
        </w:rPr>
      </w:pPr>
      <w:r>
        <w:rPr>
          <w:sz w:val="24"/>
          <w:szCs w:val="24"/>
        </w:rPr>
        <w:t>Although the government initiated the Better Public Services</w:t>
      </w:r>
      <w:r w:rsidR="008259CD">
        <w:rPr>
          <w:sz w:val="24"/>
          <w:szCs w:val="24"/>
        </w:rPr>
        <w:t xml:space="preserve"> programme to </w:t>
      </w:r>
      <w:r>
        <w:rPr>
          <w:sz w:val="24"/>
          <w:szCs w:val="24"/>
        </w:rPr>
        <w:t xml:space="preserve">improve public services for disabled people, this has not followed with funding for an organisation to provide disability awareness </w:t>
      </w:r>
      <w:r w:rsidR="008259CD">
        <w:rPr>
          <w:sz w:val="24"/>
          <w:szCs w:val="24"/>
        </w:rPr>
        <w:t xml:space="preserve">education grounded in </w:t>
      </w:r>
      <w:r>
        <w:rPr>
          <w:sz w:val="24"/>
          <w:szCs w:val="24"/>
        </w:rPr>
        <w:t>a human rights framework</w:t>
      </w:r>
      <w:r w:rsidRPr="005D0684">
        <w:rPr>
          <w:sz w:val="24"/>
          <w:szCs w:val="24"/>
        </w:rPr>
        <w:t xml:space="preserve"> </w:t>
      </w:r>
      <w:r>
        <w:rPr>
          <w:sz w:val="24"/>
          <w:szCs w:val="24"/>
        </w:rPr>
        <w:t>and UNCRPD</w:t>
      </w:r>
      <w:r w:rsidR="008259CD">
        <w:rPr>
          <w:sz w:val="24"/>
          <w:szCs w:val="24"/>
        </w:rPr>
        <w:t>.</w:t>
      </w:r>
      <w:r>
        <w:rPr>
          <w:rStyle w:val="FootnoteReference"/>
          <w:sz w:val="24"/>
          <w:szCs w:val="24"/>
        </w:rPr>
        <w:footnoteReference w:id="163"/>
      </w:r>
    </w:p>
    <w:p w:rsidR="00E505CF" w:rsidRDefault="00E505CF" w:rsidP="00071041">
      <w:pPr>
        <w:jc w:val="both"/>
        <w:rPr>
          <w:sz w:val="24"/>
          <w:szCs w:val="24"/>
        </w:rPr>
      </w:pPr>
    </w:p>
    <w:p w:rsidR="001918C5" w:rsidRPr="00A5097F" w:rsidRDefault="001918C5" w:rsidP="00071041">
      <w:pPr>
        <w:jc w:val="both"/>
        <w:rPr>
          <w:b/>
          <w:sz w:val="24"/>
          <w:szCs w:val="24"/>
        </w:rPr>
      </w:pPr>
      <w:r w:rsidRPr="00A5097F">
        <w:rPr>
          <w:b/>
          <w:sz w:val="24"/>
          <w:szCs w:val="24"/>
        </w:rPr>
        <w:t>Media</w:t>
      </w:r>
    </w:p>
    <w:p w:rsidR="001918C5" w:rsidRDefault="001918C5" w:rsidP="00071041">
      <w:pPr>
        <w:jc w:val="both"/>
        <w:rPr>
          <w:sz w:val="24"/>
          <w:szCs w:val="24"/>
        </w:rPr>
      </w:pPr>
    </w:p>
    <w:p w:rsidR="00E505CF" w:rsidRDefault="00E505CF" w:rsidP="00071041">
      <w:pPr>
        <w:jc w:val="both"/>
        <w:rPr>
          <w:sz w:val="24"/>
          <w:szCs w:val="24"/>
        </w:rPr>
      </w:pPr>
      <w:r>
        <w:rPr>
          <w:sz w:val="24"/>
          <w:szCs w:val="24"/>
        </w:rPr>
        <w:t>In 2013 New Zealand’s Convention Coalition Monitoring Group published a report that addresses the way disabled people are portrayed by the media. The findings highlight the lack of a human rights approach to understanding disability; negative portrayal of</w:t>
      </w:r>
      <w:r w:rsidR="001918C5">
        <w:rPr>
          <w:sz w:val="24"/>
          <w:szCs w:val="24"/>
        </w:rPr>
        <w:t xml:space="preserve"> disability and disabled people; and </w:t>
      </w:r>
      <w:r>
        <w:rPr>
          <w:sz w:val="24"/>
          <w:szCs w:val="24"/>
        </w:rPr>
        <w:t xml:space="preserve">the invisibility of the voices of disabled people, especially Māori and Pasifika. There is an urgent need for a systematic plan of </w:t>
      </w:r>
      <w:r>
        <w:rPr>
          <w:sz w:val="24"/>
          <w:szCs w:val="24"/>
        </w:rPr>
        <w:lastRenderedPageBreak/>
        <w:t xml:space="preserve">implementation to address the way the media portrays disability and to secure funding that can sustain implementation </w:t>
      </w:r>
      <w:r w:rsidR="001918C5">
        <w:rPr>
          <w:sz w:val="24"/>
          <w:szCs w:val="24"/>
        </w:rPr>
        <w:t xml:space="preserve">of UNCRPD education </w:t>
      </w:r>
      <w:r>
        <w:rPr>
          <w:sz w:val="24"/>
          <w:szCs w:val="24"/>
        </w:rPr>
        <w:t>over the long term.</w:t>
      </w:r>
    </w:p>
    <w:p w:rsidR="005D0684" w:rsidRPr="00782B5E" w:rsidRDefault="005D0684" w:rsidP="00071041">
      <w:pPr>
        <w:jc w:val="both"/>
        <w:rPr>
          <w:sz w:val="24"/>
          <w:szCs w:val="24"/>
        </w:rPr>
      </w:pPr>
    </w:p>
    <w:p w:rsidR="0043192F" w:rsidRPr="00B751EF" w:rsidRDefault="00B751EF" w:rsidP="00832154">
      <w:pPr>
        <w:pStyle w:val="Heading2"/>
        <w:rPr>
          <w:shd w:val="clear" w:color="auto" w:fill="FFFFFF"/>
        </w:rPr>
      </w:pPr>
      <w:bookmarkStart w:id="48" w:name="_Toc420885870"/>
      <w:r w:rsidRPr="00B751EF">
        <w:rPr>
          <w:shd w:val="clear" w:color="auto" w:fill="FFFFFF"/>
        </w:rPr>
        <w:t>Definition of disability</w:t>
      </w:r>
      <w:bookmarkEnd w:id="48"/>
    </w:p>
    <w:p w:rsidR="00B751EF" w:rsidRDefault="00B751EF" w:rsidP="00B751EF">
      <w:pPr>
        <w:pStyle w:val="NormalWeb"/>
        <w:shd w:val="clear" w:color="auto" w:fill="FFFFFF"/>
        <w:spacing w:before="0" w:beforeAutospacing="0" w:after="0" w:afterAutospacing="0"/>
        <w:rPr>
          <w:color w:val="000000" w:themeColor="text1"/>
          <w:shd w:val="clear" w:color="auto" w:fill="FFFFFF"/>
        </w:rPr>
      </w:pPr>
    </w:p>
    <w:p w:rsidR="00CE72FC" w:rsidRDefault="00B751EF" w:rsidP="00CE72FC">
      <w:pPr>
        <w:pStyle w:val="NormalWeb"/>
        <w:shd w:val="clear" w:color="auto" w:fill="FFFFFF"/>
        <w:spacing w:before="0" w:beforeAutospacing="0" w:after="0" w:afterAutospacing="0"/>
        <w:rPr>
          <w:color w:val="000000" w:themeColor="text1"/>
          <w:shd w:val="clear" w:color="auto" w:fill="FFFFFF"/>
        </w:rPr>
      </w:pPr>
      <w:r>
        <w:rPr>
          <w:color w:val="000000" w:themeColor="text1"/>
          <w:shd w:val="clear" w:color="auto" w:fill="FFFFFF"/>
        </w:rPr>
        <w:t>The definition of disability is inconsistent across New Zealand legislation</w:t>
      </w:r>
      <w:r w:rsidR="00656CC0">
        <w:rPr>
          <w:color w:val="000000" w:themeColor="text1"/>
          <w:shd w:val="clear" w:color="auto" w:fill="FFFFFF"/>
        </w:rPr>
        <w:t xml:space="preserve"> and policies</w:t>
      </w:r>
      <w:r>
        <w:rPr>
          <w:color w:val="000000" w:themeColor="text1"/>
          <w:shd w:val="clear" w:color="auto" w:fill="FFFFFF"/>
        </w:rPr>
        <w:t>.</w:t>
      </w:r>
      <w:r w:rsidR="00656CC0">
        <w:rPr>
          <w:color w:val="000000" w:themeColor="text1"/>
          <w:shd w:val="clear" w:color="auto" w:fill="FFFFFF"/>
        </w:rPr>
        <w:t xml:space="preserve"> </w:t>
      </w:r>
      <w:r>
        <w:rPr>
          <w:color w:val="000000" w:themeColor="text1"/>
          <w:shd w:val="clear" w:color="auto" w:fill="FFFFFF"/>
        </w:rPr>
        <w:t>This results in inequities across different impairment types</w:t>
      </w:r>
      <w:r w:rsidR="00CE72FC">
        <w:rPr>
          <w:color w:val="000000" w:themeColor="text1"/>
          <w:shd w:val="clear" w:color="auto" w:fill="FFFFFF"/>
        </w:rPr>
        <w:t xml:space="preserve"> and across different government agencies. </w:t>
      </w:r>
    </w:p>
    <w:p w:rsidR="00656CC0" w:rsidRPr="00CE72FC" w:rsidRDefault="00656CC0" w:rsidP="00CE72FC">
      <w:pPr>
        <w:pStyle w:val="NormalWeb"/>
        <w:shd w:val="clear" w:color="auto" w:fill="FFFFFF"/>
        <w:spacing w:before="0" w:beforeAutospacing="0" w:after="0" w:afterAutospacing="0"/>
        <w:rPr>
          <w:color w:val="000000" w:themeColor="text1"/>
          <w:shd w:val="clear" w:color="auto" w:fill="FFFFFF"/>
        </w:rPr>
      </w:pPr>
    </w:p>
    <w:p w:rsidR="00656CC0" w:rsidRPr="00E74B7C" w:rsidRDefault="00656CC0" w:rsidP="001918C5">
      <w:pPr>
        <w:pStyle w:val="NormalWeb"/>
        <w:shd w:val="clear" w:color="auto" w:fill="FFFFFF"/>
        <w:spacing w:before="0" w:beforeAutospacing="0" w:after="143" w:afterAutospacing="0" w:line="236" w:lineRule="atLeast"/>
        <w:ind w:right="1133"/>
        <w:jc w:val="both"/>
        <w:rPr>
          <w:rFonts w:ascii="Arial" w:hAnsi="Arial" w:cs="Arial"/>
          <w:color w:val="000000" w:themeColor="text1"/>
          <w:sz w:val="20"/>
          <w:szCs w:val="20"/>
        </w:rPr>
      </w:pPr>
      <w:r>
        <w:rPr>
          <w:rFonts w:ascii="Arial" w:hAnsi="Arial" w:cs="Arial"/>
          <w:color w:val="333333"/>
          <w:sz w:val="20"/>
          <w:szCs w:val="20"/>
        </w:rPr>
        <w:tab/>
      </w:r>
      <w:r w:rsidR="001918C5">
        <w:rPr>
          <w:rFonts w:ascii="Arial" w:hAnsi="Arial" w:cs="Arial"/>
          <w:color w:val="333333"/>
          <w:sz w:val="20"/>
          <w:szCs w:val="20"/>
        </w:rPr>
        <w:t>‘</w:t>
      </w:r>
      <w:r w:rsidRPr="00E74B7C">
        <w:rPr>
          <w:rFonts w:ascii="Arial" w:hAnsi="Arial" w:cs="Arial"/>
          <w:color w:val="000000" w:themeColor="text1"/>
          <w:sz w:val="20"/>
          <w:szCs w:val="20"/>
        </w:rPr>
        <w:t xml:space="preserve">There are various definitions of disability. The New Zealand Disability </w:t>
      </w:r>
      <w:r w:rsidR="001918C5">
        <w:rPr>
          <w:rFonts w:ascii="Arial" w:hAnsi="Arial" w:cs="Arial"/>
          <w:color w:val="000000" w:themeColor="text1"/>
          <w:sz w:val="20"/>
          <w:szCs w:val="20"/>
        </w:rPr>
        <w:tab/>
        <w:t xml:space="preserve">Strategy </w:t>
      </w:r>
      <w:r w:rsidRPr="00E74B7C">
        <w:rPr>
          <w:rFonts w:ascii="Arial" w:hAnsi="Arial" w:cs="Arial"/>
          <w:color w:val="000000" w:themeColor="text1"/>
          <w:sz w:val="20"/>
          <w:szCs w:val="20"/>
        </w:rPr>
        <w:t>describes disability as:</w:t>
      </w:r>
    </w:p>
    <w:p w:rsidR="00656CC0" w:rsidRPr="00E74B7C" w:rsidRDefault="00656CC0" w:rsidP="00656CC0">
      <w:pPr>
        <w:pStyle w:val="NormalWeb"/>
        <w:shd w:val="clear" w:color="auto" w:fill="FFFFFF"/>
        <w:spacing w:before="0" w:beforeAutospacing="0" w:after="143" w:afterAutospacing="0" w:line="236" w:lineRule="atLeast"/>
        <w:jc w:val="both"/>
        <w:rPr>
          <w:rFonts w:ascii="Arial" w:hAnsi="Arial" w:cs="Arial"/>
          <w:color w:val="000000" w:themeColor="text1"/>
          <w:sz w:val="20"/>
          <w:szCs w:val="20"/>
        </w:rPr>
      </w:pPr>
      <w:r w:rsidRPr="00E74B7C">
        <w:rPr>
          <w:rFonts w:ascii="Arial" w:hAnsi="Arial" w:cs="Arial"/>
          <w:color w:val="000000" w:themeColor="text1"/>
          <w:sz w:val="20"/>
          <w:szCs w:val="20"/>
        </w:rPr>
        <w:tab/>
        <w:t xml:space="preserve">"Disability is not something individuals have. What individuals have are impairments. </w:t>
      </w:r>
      <w:r w:rsidRPr="00E74B7C">
        <w:rPr>
          <w:rFonts w:ascii="Arial" w:hAnsi="Arial" w:cs="Arial"/>
          <w:color w:val="000000" w:themeColor="text1"/>
          <w:sz w:val="20"/>
          <w:szCs w:val="20"/>
        </w:rPr>
        <w:tab/>
        <w:t xml:space="preserve">They may be physical, sensory, neurological, psychiatric, intellectual or other </w:t>
      </w:r>
      <w:r w:rsidRPr="00E74B7C">
        <w:rPr>
          <w:rFonts w:ascii="Arial" w:hAnsi="Arial" w:cs="Arial"/>
          <w:color w:val="000000" w:themeColor="text1"/>
          <w:sz w:val="20"/>
          <w:szCs w:val="20"/>
        </w:rPr>
        <w:tab/>
        <w:t xml:space="preserve">impairments... Disability is the process which happens when one group of people create </w:t>
      </w:r>
      <w:r w:rsidRPr="00E74B7C">
        <w:rPr>
          <w:rFonts w:ascii="Arial" w:hAnsi="Arial" w:cs="Arial"/>
          <w:color w:val="000000" w:themeColor="text1"/>
          <w:sz w:val="20"/>
          <w:szCs w:val="20"/>
        </w:rPr>
        <w:tab/>
        <w:t xml:space="preserve">barriers by designing a world only for their way of living, taking no account of the </w:t>
      </w:r>
      <w:r w:rsidRPr="00E74B7C">
        <w:rPr>
          <w:rFonts w:ascii="Arial" w:hAnsi="Arial" w:cs="Arial"/>
          <w:color w:val="000000" w:themeColor="text1"/>
          <w:sz w:val="20"/>
          <w:szCs w:val="20"/>
        </w:rPr>
        <w:tab/>
        <w:t>impairments other people have..."</w:t>
      </w:r>
    </w:p>
    <w:p w:rsidR="001918C5" w:rsidRDefault="00656CC0" w:rsidP="001918C5">
      <w:pPr>
        <w:pStyle w:val="NormalWeb"/>
        <w:shd w:val="clear" w:color="auto" w:fill="FFFFFF"/>
        <w:spacing w:before="0" w:beforeAutospacing="0" w:after="0" w:afterAutospacing="0"/>
        <w:rPr>
          <w:rFonts w:ascii="Arial" w:hAnsi="Arial" w:cs="Arial"/>
          <w:color w:val="000000" w:themeColor="text1"/>
          <w:sz w:val="15"/>
          <w:szCs w:val="15"/>
          <w:vertAlign w:val="superscript"/>
        </w:rPr>
      </w:pPr>
      <w:r w:rsidRPr="00E74B7C">
        <w:rPr>
          <w:rFonts w:ascii="Arial" w:hAnsi="Arial" w:cs="Arial"/>
          <w:color w:val="000000" w:themeColor="text1"/>
          <w:sz w:val="20"/>
          <w:szCs w:val="20"/>
        </w:rPr>
        <w:tab/>
        <w:t xml:space="preserve">Statistics NZ defines disability as "any self-perceived limitation in activity resulting from </w:t>
      </w:r>
      <w:r w:rsidRPr="00E74B7C">
        <w:rPr>
          <w:rFonts w:ascii="Arial" w:hAnsi="Arial" w:cs="Arial"/>
          <w:color w:val="000000" w:themeColor="text1"/>
          <w:sz w:val="20"/>
          <w:szCs w:val="20"/>
        </w:rPr>
        <w:tab/>
        <w:t xml:space="preserve">a long-term condition or health problem; lasting longer or expected to last longer than </w:t>
      </w:r>
      <w:r w:rsidRPr="00E74B7C">
        <w:rPr>
          <w:rFonts w:ascii="Arial" w:hAnsi="Arial" w:cs="Arial"/>
          <w:color w:val="000000" w:themeColor="text1"/>
          <w:sz w:val="20"/>
          <w:szCs w:val="20"/>
        </w:rPr>
        <w:tab/>
        <w:t>six months or more and not completely eliminated by an assistive device".</w:t>
      </w:r>
      <w:bookmarkStart w:id="49" w:name="P35_3147"/>
      <w:r w:rsidR="00620E3F" w:rsidRPr="00E74B7C">
        <w:rPr>
          <w:rFonts w:ascii="Arial" w:hAnsi="Arial" w:cs="Arial"/>
          <w:color w:val="000000" w:themeColor="text1"/>
          <w:sz w:val="15"/>
          <w:szCs w:val="15"/>
          <w:vertAlign w:val="superscript"/>
        </w:rPr>
        <w:fldChar w:fldCharType="begin"/>
      </w:r>
      <w:r w:rsidRPr="00E74B7C">
        <w:rPr>
          <w:rFonts w:ascii="Arial" w:hAnsi="Arial" w:cs="Arial"/>
          <w:color w:val="000000" w:themeColor="text1"/>
          <w:sz w:val="15"/>
          <w:szCs w:val="15"/>
          <w:vertAlign w:val="superscript"/>
        </w:rPr>
        <w:instrText xml:space="preserve"> HYPERLINK "https://www.ssc.govt.nz/node/1671" \l "P35_3146" </w:instrText>
      </w:r>
      <w:r w:rsidR="00620E3F" w:rsidRPr="00E74B7C">
        <w:rPr>
          <w:rFonts w:ascii="Arial" w:hAnsi="Arial" w:cs="Arial"/>
          <w:color w:val="000000" w:themeColor="text1"/>
          <w:sz w:val="15"/>
          <w:szCs w:val="15"/>
          <w:vertAlign w:val="superscript"/>
        </w:rPr>
        <w:fldChar w:fldCharType="separate"/>
      </w:r>
      <w:r w:rsidRPr="00E74B7C">
        <w:rPr>
          <w:rStyle w:val="Hyperlink"/>
          <w:rFonts w:ascii="Arial" w:hAnsi="Arial" w:cs="Arial"/>
          <w:color w:val="000000" w:themeColor="text1"/>
          <w:sz w:val="15"/>
          <w:szCs w:val="15"/>
          <w:vertAlign w:val="superscript"/>
        </w:rPr>
        <w:t>2</w:t>
      </w:r>
      <w:r w:rsidR="00620E3F" w:rsidRPr="00E74B7C">
        <w:rPr>
          <w:rFonts w:ascii="Arial" w:hAnsi="Arial" w:cs="Arial"/>
          <w:color w:val="000000" w:themeColor="text1"/>
          <w:sz w:val="15"/>
          <w:szCs w:val="15"/>
          <w:vertAlign w:val="superscript"/>
        </w:rPr>
        <w:fldChar w:fldCharType="end"/>
      </w:r>
      <w:bookmarkEnd w:id="49"/>
      <w:r w:rsidRPr="00E74B7C">
        <w:rPr>
          <w:rStyle w:val="apple-converted-space"/>
          <w:rFonts w:ascii="Arial" w:eastAsiaTheme="majorEastAsia" w:hAnsi="Arial" w:cs="Arial"/>
          <w:color w:val="000000" w:themeColor="text1"/>
          <w:sz w:val="20"/>
          <w:szCs w:val="20"/>
        </w:rPr>
        <w:t> </w:t>
      </w:r>
      <w:r w:rsidRPr="00E74B7C">
        <w:rPr>
          <w:rFonts w:ascii="Arial" w:hAnsi="Arial" w:cs="Arial"/>
          <w:color w:val="000000" w:themeColor="text1"/>
          <w:sz w:val="20"/>
          <w:szCs w:val="20"/>
        </w:rPr>
        <w:t xml:space="preserve">Statistics NZ </w:t>
      </w:r>
      <w:r w:rsidRPr="00E74B7C">
        <w:rPr>
          <w:rFonts w:ascii="Arial" w:hAnsi="Arial" w:cs="Arial"/>
          <w:color w:val="000000" w:themeColor="text1"/>
          <w:sz w:val="20"/>
          <w:szCs w:val="20"/>
        </w:rPr>
        <w:tab/>
        <w:t xml:space="preserve">also draws on the World Health Organisation's functional definition of disability of "...any </w:t>
      </w:r>
      <w:r w:rsidRPr="00E74B7C">
        <w:rPr>
          <w:rFonts w:ascii="Arial" w:hAnsi="Arial" w:cs="Arial"/>
          <w:color w:val="000000" w:themeColor="text1"/>
          <w:sz w:val="20"/>
          <w:szCs w:val="20"/>
        </w:rPr>
        <w:tab/>
        <w:t xml:space="preserve">restriction or lack (resulting from an impairment) of ability to perform an activity in the </w:t>
      </w:r>
      <w:r w:rsidRPr="00E74B7C">
        <w:rPr>
          <w:rFonts w:ascii="Arial" w:hAnsi="Arial" w:cs="Arial"/>
          <w:color w:val="000000" w:themeColor="text1"/>
          <w:sz w:val="20"/>
          <w:szCs w:val="20"/>
        </w:rPr>
        <w:tab/>
        <w:t>manner of within the range considered normal for a human being".</w:t>
      </w:r>
      <w:r w:rsidR="001918C5">
        <w:rPr>
          <w:rFonts w:ascii="Arial" w:hAnsi="Arial" w:cs="Arial"/>
          <w:color w:val="000000" w:themeColor="text1"/>
          <w:sz w:val="15"/>
          <w:szCs w:val="15"/>
          <w:vertAlign w:val="superscript"/>
        </w:rPr>
        <w:t xml:space="preserve"> </w:t>
      </w:r>
    </w:p>
    <w:p w:rsidR="001918C5" w:rsidRDefault="001918C5" w:rsidP="001918C5">
      <w:pPr>
        <w:pStyle w:val="NormalWeb"/>
        <w:shd w:val="clear" w:color="auto" w:fill="FFFFFF"/>
        <w:spacing w:before="0" w:beforeAutospacing="0" w:after="0" w:afterAutospacing="0"/>
        <w:rPr>
          <w:rFonts w:ascii="Arial" w:hAnsi="Arial" w:cs="Arial"/>
          <w:color w:val="000000" w:themeColor="text1"/>
          <w:sz w:val="15"/>
          <w:szCs w:val="15"/>
          <w:vertAlign w:val="superscript"/>
        </w:rPr>
      </w:pPr>
    </w:p>
    <w:p w:rsidR="001918C5" w:rsidRDefault="001918C5" w:rsidP="001918C5">
      <w:pPr>
        <w:pStyle w:val="NormalWeb"/>
        <w:shd w:val="clear" w:color="auto" w:fill="FFFFFF"/>
        <w:spacing w:before="0" w:beforeAutospacing="0" w:after="0" w:afterAutospacing="0"/>
        <w:rPr>
          <w:color w:val="000000" w:themeColor="text1"/>
          <w:shd w:val="clear" w:color="auto" w:fill="FFFFFF"/>
        </w:rPr>
      </w:pPr>
      <w:r>
        <w:rPr>
          <w:rFonts w:ascii="Arial" w:hAnsi="Arial" w:cs="Arial"/>
          <w:color w:val="000000" w:themeColor="text1"/>
          <w:sz w:val="15"/>
          <w:szCs w:val="15"/>
          <w:vertAlign w:val="superscript"/>
        </w:rPr>
        <w:tab/>
      </w:r>
      <w:r>
        <w:rPr>
          <w:color w:val="000000" w:themeColor="text1"/>
          <w:shd w:val="clear" w:color="auto" w:fill="FFFFFF"/>
        </w:rPr>
        <w:t>State Services Commission</w:t>
      </w:r>
      <w:r>
        <w:rPr>
          <w:rStyle w:val="FootnoteReference"/>
          <w:color w:val="000000" w:themeColor="text1"/>
          <w:shd w:val="clear" w:color="auto" w:fill="FFFFFF"/>
        </w:rPr>
        <w:footnoteReference w:id="164"/>
      </w:r>
    </w:p>
    <w:p w:rsidR="00071041" w:rsidRPr="00782B5E" w:rsidRDefault="00071041" w:rsidP="00071041">
      <w:pPr>
        <w:jc w:val="both"/>
        <w:rPr>
          <w:sz w:val="24"/>
          <w:szCs w:val="24"/>
        </w:rPr>
      </w:pPr>
    </w:p>
    <w:p w:rsidR="00656CC0" w:rsidRDefault="00656CC0" w:rsidP="00656CC0">
      <w:pPr>
        <w:pStyle w:val="NormalWeb"/>
        <w:shd w:val="clear" w:color="auto" w:fill="FFFFFF"/>
        <w:spacing w:before="0" w:beforeAutospacing="0" w:after="0" w:afterAutospacing="0"/>
        <w:rPr>
          <w:color w:val="000000" w:themeColor="text1"/>
          <w:shd w:val="clear" w:color="auto" w:fill="FFFFFF"/>
        </w:rPr>
      </w:pPr>
      <w:r>
        <w:rPr>
          <w:color w:val="000000" w:themeColor="text1"/>
          <w:shd w:val="clear" w:color="auto" w:fill="FFFFFF"/>
        </w:rPr>
        <w:t>There are a range of impairments, such as specific learning disabilities (dyslexia and dyspraxia) and Autism Spectrum Disorder, that have only relatively recently been officially regarded as ‘disabilities’ wit</w:t>
      </w:r>
      <w:r w:rsidR="00AD1703">
        <w:rPr>
          <w:color w:val="000000" w:themeColor="text1"/>
          <w:shd w:val="clear" w:color="auto" w:fill="FFFFFF"/>
        </w:rPr>
        <w:t>hin health and</w:t>
      </w:r>
      <w:r w:rsidR="00DD27A8">
        <w:rPr>
          <w:color w:val="000000" w:themeColor="text1"/>
          <w:shd w:val="clear" w:color="auto" w:fill="FFFFFF"/>
        </w:rPr>
        <w:t xml:space="preserve"> educational context</w:t>
      </w:r>
      <w:r w:rsidR="00AD1703">
        <w:rPr>
          <w:color w:val="000000" w:themeColor="text1"/>
          <w:shd w:val="clear" w:color="auto" w:fill="FFFFFF"/>
        </w:rPr>
        <w:t>s</w:t>
      </w:r>
      <w:r w:rsidR="00DD27A8">
        <w:rPr>
          <w:color w:val="000000" w:themeColor="text1"/>
          <w:shd w:val="clear" w:color="auto" w:fill="FFFFFF"/>
        </w:rPr>
        <w:t xml:space="preserve">. However, there is no government-wide agreement about these types of impairment which </w:t>
      </w:r>
      <w:r>
        <w:rPr>
          <w:color w:val="000000" w:themeColor="text1"/>
          <w:shd w:val="clear" w:color="auto" w:fill="FFFFFF"/>
        </w:rPr>
        <w:t xml:space="preserve">means that social protections available are inconsistent, </w:t>
      </w:r>
      <w:proofErr w:type="spellStart"/>
      <w:r>
        <w:rPr>
          <w:color w:val="000000" w:themeColor="text1"/>
          <w:shd w:val="clear" w:color="auto" w:fill="FFFFFF"/>
        </w:rPr>
        <w:t>adhoc</w:t>
      </w:r>
      <w:proofErr w:type="spellEnd"/>
      <w:r>
        <w:rPr>
          <w:color w:val="000000" w:themeColor="text1"/>
          <w:shd w:val="clear" w:color="auto" w:fill="FFFFFF"/>
        </w:rPr>
        <w:t xml:space="preserve"> and often not available at all.</w:t>
      </w:r>
    </w:p>
    <w:p w:rsidR="00071041" w:rsidRPr="00782B5E" w:rsidRDefault="00071041" w:rsidP="00071041">
      <w:pPr>
        <w:jc w:val="both"/>
        <w:rPr>
          <w:sz w:val="24"/>
          <w:szCs w:val="24"/>
        </w:rPr>
      </w:pPr>
    </w:p>
    <w:p w:rsidR="00071041" w:rsidRPr="00782B5E" w:rsidRDefault="00071041" w:rsidP="00071041">
      <w:pPr>
        <w:jc w:val="both"/>
        <w:rPr>
          <w:sz w:val="24"/>
          <w:szCs w:val="24"/>
        </w:rPr>
      </w:pPr>
    </w:p>
    <w:p w:rsidR="00071041" w:rsidRPr="00782B5E" w:rsidRDefault="00071041" w:rsidP="00071041">
      <w:pPr>
        <w:jc w:val="both"/>
        <w:rPr>
          <w:sz w:val="24"/>
          <w:szCs w:val="24"/>
        </w:rPr>
      </w:pPr>
    </w:p>
    <w:p w:rsidR="00FF0CC0" w:rsidRDefault="00136864" w:rsidP="00557A60">
      <w:pPr>
        <w:pStyle w:val="Heading1"/>
      </w:pPr>
      <w:r>
        <w:br w:type="page"/>
      </w:r>
      <w:bookmarkStart w:id="50" w:name="_Toc420885871"/>
      <w:r w:rsidR="00557A60" w:rsidRPr="00557A60">
        <w:lastRenderedPageBreak/>
        <w:t>Appendix 1</w:t>
      </w:r>
      <w:r w:rsidR="00557A60">
        <w:t xml:space="preserve"> </w:t>
      </w:r>
      <w:r w:rsidR="00FF0CC0">
        <w:t>New Zealand legislation</w:t>
      </w:r>
      <w:bookmarkEnd w:id="50"/>
      <w:r w:rsidR="00FF0CC0">
        <w:t xml:space="preserve"> </w:t>
      </w:r>
    </w:p>
    <w:p w:rsidR="00FF0CC0" w:rsidRDefault="00FF0CC0" w:rsidP="00FF0CC0">
      <w:pPr>
        <w:pStyle w:val="ListParagraph"/>
        <w:ind w:left="0"/>
        <w:jc w:val="both"/>
        <w:rPr>
          <w:sz w:val="24"/>
          <w:szCs w:val="24"/>
        </w:rPr>
      </w:pPr>
    </w:p>
    <w:p w:rsidR="00FF0CC0" w:rsidRPr="000C08B1" w:rsidRDefault="00FF0CC0" w:rsidP="00FF0CC0">
      <w:pPr>
        <w:pStyle w:val="ListParagraph"/>
        <w:ind w:left="0"/>
        <w:jc w:val="both"/>
        <w:rPr>
          <w:rStyle w:val="apple-converted-space"/>
          <w:sz w:val="24"/>
          <w:szCs w:val="24"/>
        </w:rPr>
      </w:pPr>
      <w:r w:rsidRPr="000C08B1">
        <w:rPr>
          <w:sz w:val="24"/>
          <w:szCs w:val="24"/>
        </w:rPr>
        <w:t>Accident Compensation Act 2001</w:t>
      </w:r>
    </w:p>
    <w:p w:rsidR="00FF0CC0" w:rsidRDefault="00FF0CC0" w:rsidP="00FF0CC0">
      <w:pPr>
        <w:pStyle w:val="ListParagraph"/>
        <w:ind w:left="0"/>
        <w:jc w:val="both"/>
        <w:rPr>
          <w:sz w:val="24"/>
          <w:szCs w:val="24"/>
        </w:rPr>
      </w:pPr>
      <w:r w:rsidRPr="000C08B1">
        <w:rPr>
          <w:sz w:val="24"/>
          <w:szCs w:val="24"/>
        </w:rPr>
        <w:t>Bill of Rights Act 1990</w:t>
      </w:r>
    </w:p>
    <w:p w:rsidR="00FF0CC0" w:rsidRDefault="00FF0CC0" w:rsidP="00FF0CC0">
      <w:pPr>
        <w:pStyle w:val="ListParagraph"/>
        <w:ind w:left="0"/>
        <w:jc w:val="both"/>
        <w:rPr>
          <w:sz w:val="24"/>
          <w:szCs w:val="24"/>
        </w:rPr>
      </w:pPr>
      <w:r>
        <w:rPr>
          <w:sz w:val="24"/>
          <w:szCs w:val="24"/>
        </w:rPr>
        <w:t>Children’s Commissioner Act 2003</w:t>
      </w:r>
    </w:p>
    <w:p w:rsidR="00FF0CC0" w:rsidRDefault="00FF0CC0" w:rsidP="00FF0CC0">
      <w:pPr>
        <w:pStyle w:val="ListParagraph"/>
        <w:ind w:left="0"/>
        <w:jc w:val="both"/>
        <w:rPr>
          <w:sz w:val="24"/>
          <w:szCs w:val="24"/>
        </w:rPr>
      </w:pPr>
      <w:r w:rsidRPr="000C08B1">
        <w:rPr>
          <w:sz w:val="24"/>
          <w:szCs w:val="24"/>
        </w:rPr>
        <w:t>Crimes of Torture Act 1989</w:t>
      </w:r>
    </w:p>
    <w:p w:rsidR="00FF0CC0" w:rsidRDefault="00FF0CC0" w:rsidP="00FF0CC0">
      <w:pPr>
        <w:pStyle w:val="ListParagraph"/>
        <w:ind w:left="0"/>
        <w:jc w:val="both"/>
        <w:rPr>
          <w:sz w:val="24"/>
          <w:szCs w:val="24"/>
        </w:rPr>
      </w:pPr>
      <w:r w:rsidRPr="000C08B1">
        <w:rPr>
          <w:sz w:val="24"/>
          <w:szCs w:val="24"/>
        </w:rPr>
        <w:t>Education Act 1989 (Amendment Act 2013)</w:t>
      </w:r>
    </w:p>
    <w:p w:rsidR="00FF0CC0" w:rsidRDefault="00FF0CC0" w:rsidP="00FF0CC0">
      <w:pPr>
        <w:pStyle w:val="ListParagraph"/>
        <w:ind w:left="0"/>
        <w:jc w:val="both"/>
        <w:rPr>
          <w:sz w:val="24"/>
          <w:szCs w:val="24"/>
        </w:rPr>
      </w:pPr>
      <w:r w:rsidRPr="00285068">
        <w:rPr>
          <w:sz w:val="24"/>
          <w:szCs w:val="24"/>
        </w:rPr>
        <w:t xml:space="preserve">Health and Disability Commissioner Act 1994 </w:t>
      </w:r>
    </w:p>
    <w:p w:rsidR="00FF0CC0" w:rsidRDefault="00FF0CC0" w:rsidP="00FF0CC0">
      <w:pPr>
        <w:pStyle w:val="ListParagraph"/>
        <w:ind w:left="0"/>
        <w:jc w:val="both"/>
        <w:rPr>
          <w:sz w:val="24"/>
          <w:szCs w:val="24"/>
        </w:rPr>
      </w:pPr>
      <w:r w:rsidRPr="00285068">
        <w:rPr>
          <w:sz w:val="24"/>
          <w:szCs w:val="24"/>
        </w:rPr>
        <w:t>Human Rights Act 1993</w:t>
      </w:r>
      <w:r>
        <w:rPr>
          <w:rStyle w:val="FootnoteReference"/>
          <w:sz w:val="24"/>
          <w:szCs w:val="24"/>
        </w:rPr>
        <w:footnoteReference w:id="165"/>
      </w:r>
      <w:r w:rsidRPr="00285068">
        <w:rPr>
          <w:sz w:val="24"/>
          <w:szCs w:val="24"/>
        </w:rPr>
        <w:t xml:space="preserve"> </w:t>
      </w:r>
    </w:p>
    <w:p w:rsidR="00FF0CC0" w:rsidRDefault="00FF0CC0" w:rsidP="00FF0CC0">
      <w:pPr>
        <w:pStyle w:val="ListParagraph"/>
        <w:ind w:left="0"/>
        <w:jc w:val="both"/>
        <w:rPr>
          <w:sz w:val="24"/>
          <w:szCs w:val="24"/>
        </w:rPr>
      </w:pPr>
      <w:r w:rsidRPr="000C08B1">
        <w:rPr>
          <w:sz w:val="24"/>
          <w:szCs w:val="24"/>
        </w:rPr>
        <w:t>Intellectual Disability (Compulsory Care and Rehabilitation) Act 2003</w:t>
      </w:r>
    </w:p>
    <w:p w:rsidR="00D2686B" w:rsidRDefault="00FF0CC0" w:rsidP="00FF0CC0">
      <w:pPr>
        <w:pStyle w:val="ListParagraph"/>
        <w:ind w:left="0"/>
        <w:jc w:val="both"/>
        <w:rPr>
          <w:sz w:val="24"/>
          <w:szCs w:val="24"/>
        </w:rPr>
      </w:pPr>
      <w:r w:rsidRPr="000C08B1">
        <w:rPr>
          <w:sz w:val="24"/>
          <w:szCs w:val="24"/>
        </w:rPr>
        <w:t>Mental Health (Compulsory Assessment and Treatment) Act 1992</w:t>
      </w:r>
    </w:p>
    <w:p w:rsidR="00FF0CC0" w:rsidRPr="00D2686B" w:rsidRDefault="00D2686B" w:rsidP="00FF0CC0">
      <w:pPr>
        <w:pStyle w:val="ListParagraph"/>
        <w:ind w:left="0"/>
        <w:jc w:val="both"/>
        <w:rPr>
          <w:sz w:val="24"/>
          <w:szCs w:val="24"/>
        </w:rPr>
      </w:pPr>
      <w:r w:rsidRPr="00D2686B">
        <w:rPr>
          <w:color w:val="000000"/>
          <w:sz w:val="24"/>
          <w:szCs w:val="24"/>
          <w:shd w:val="clear" w:color="auto" w:fill="FFFFFF"/>
        </w:rPr>
        <w:t>Minimum Wage Act 1983</w:t>
      </w:r>
    </w:p>
    <w:p w:rsidR="00FF0CC0" w:rsidRDefault="00FF0CC0" w:rsidP="00FF0CC0">
      <w:pPr>
        <w:pStyle w:val="ListParagraph"/>
        <w:ind w:left="0"/>
        <w:jc w:val="both"/>
        <w:rPr>
          <w:sz w:val="24"/>
          <w:szCs w:val="24"/>
        </w:rPr>
      </w:pPr>
      <w:r w:rsidRPr="000C08B1">
        <w:rPr>
          <w:sz w:val="24"/>
          <w:szCs w:val="24"/>
          <w:shd w:val="clear" w:color="auto" w:fill="FFFFFF"/>
        </w:rPr>
        <w:t>Ombudsmen Act 1975</w:t>
      </w:r>
      <w:r>
        <w:rPr>
          <w:rStyle w:val="FootnoteReference"/>
          <w:sz w:val="24"/>
          <w:szCs w:val="24"/>
          <w:shd w:val="clear" w:color="auto" w:fill="FFFFFF"/>
        </w:rPr>
        <w:footnoteReference w:id="166"/>
      </w:r>
      <w:r w:rsidRPr="000C08B1">
        <w:rPr>
          <w:sz w:val="24"/>
          <w:szCs w:val="24"/>
          <w:shd w:val="clear" w:color="auto" w:fill="FFFFFF"/>
        </w:rPr>
        <w:t xml:space="preserve"> (the Ombudsman is a member of the IMM)</w:t>
      </w:r>
    </w:p>
    <w:p w:rsidR="00FF0CC0" w:rsidRDefault="00FF0CC0" w:rsidP="00FF0CC0">
      <w:pPr>
        <w:pStyle w:val="ListParagraph"/>
        <w:ind w:left="0"/>
        <w:jc w:val="both"/>
        <w:rPr>
          <w:sz w:val="24"/>
          <w:szCs w:val="24"/>
        </w:rPr>
      </w:pPr>
      <w:r w:rsidRPr="000C08B1">
        <w:rPr>
          <w:sz w:val="24"/>
          <w:szCs w:val="24"/>
        </w:rPr>
        <w:t>Public Health and Disability Act 2000</w:t>
      </w:r>
    </w:p>
    <w:p w:rsidR="00FF0CC0" w:rsidRDefault="00FF0CC0" w:rsidP="00FF0CC0">
      <w:pPr>
        <w:pStyle w:val="ListParagraph"/>
        <w:ind w:left="0"/>
        <w:jc w:val="both"/>
        <w:rPr>
          <w:sz w:val="24"/>
          <w:szCs w:val="24"/>
        </w:rPr>
      </w:pPr>
      <w:r>
        <w:rPr>
          <w:sz w:val="24"/>
          <w:szCs w:val="24"/>
        </w:rPr>
        <w:t xml:space="preserve">Privacy </w:t>
      </w:r>
      <w:r w:rsidRPr="000C08B1">
        <w:rPr>
          <w:sz w:val="24"/>
          <w:szCs w:val="24"/>
        </w:rPr>
        <w:t>Act</w:t>
      </w:r>
      <w:r>
        <w:rPr>
          <w:sz w:val="24"/>
          <w:szCs w:val="24"/>
        </w:rPr>
        <w:t xml:space="preserve"> </w:t>
      </w:r>
      <w:r w:rsidRPr="000C08B1">
        <w:rPr>
          <w:sz w:val="24"/>
          <w:szCs w:val="24"/>
        </w:rPr>
        <w:t>1993</w:t>
      </w:r>
    </w:p>
    <w:p w:rsidR="00FF0CC0" w:rsidRDefault="00FF0CC0" w:rsidP="00FF0CC0">
      <w:pPr>
        <w:pStyle w:val="ListParagraph"/>
        <w:ind w:left="0"/>
        <w:jc w:val="both"/>
        <w:rPr>
          <w:sz w:val="24"/>
          <w:szCs w:val="24"/>
        </w:rPr>
      </w:pPr>
      <w:r w:rsidRPr="000C08B1">
        <w:rPr>
          <w:sz w:val="24"/>
          <w:szCs w:val="24"/>
        </w:rPr>
        <w:t>Protection of Personal and Property Rights Act 1988</w:t>
      </w:r>
    </w:p>
    <w:p w:rsidR="00FF0CC0" w:rsidRDefault="00FF0CC0" w:rsidP="00FF0CC0">
      <w:pPr>
        <w:pStyle w:val="ListParagraph"/>
        <w:ind w:left="0"/>
        <w:jc w:val="both"/>
        <w:rPr>
          <w:sz w:val="24"/>
          <w:szCs w:val="24"/>
        </w:rPr>
      </w:pPr>
      <w:r>
        <w:rPr>
          <w:sz w:val="24"/>
          <w:szCs w:val="24"/>
        </w:rPr>
        <w:t>Social security Act 1964</w:t>
      </w:r>
    </w:p>
    <w:p w:rsidR="004E778C" w:rsidRDefault="004E778C">
      <w:pPr>
        <w:spacing w:line="360" w:lineRule="auto"/>
        <w:rPr>
          <w:sz w:val="24"/>
          <w:szCs w:val="24"/>
        </w:rPr>
      </w:pPr>
      <w:r>
        <w:rPr>
          <w:sz w:val="24"/>
          <w:szCs w:val="24"/>
        </w:rPr>
        <w:br w:type="page"/>
      </w:r>
    </w:p>
    <w:p w:rsidR="004E778C" w:rsidRPr="004E778C" w:rsidRDefault="004E778C" w:rsidP="008D6173">
      <w:pPr>
        <w:pStyle w:val="Heading1"/>
      </w:pPr>
      <w:bookmarkStart w:id="51" w:name="_Toc420885872"/>
      <w:r w:rsidRPr="004E778C">
        <w:lastRenderedPageBreak/>
        <w:t>Appendix 2</w:t>
      </w:r>
      <w:r w:rsidR="008D6173">
        <w:t xml:space="preserve"> S</w:t>
      </w:r>
      <w:r w:rsidRPr="004E778C">
        <w:t>ocial protections</w:t>
      </w:r>
      <w:bookmarkEnd w:id="51"/>
      <w:r w:rsidRPr="004E778C">
        <w:t xml:space="preserve"> </w:t>
      </w:r>
    </w:p>
    <w:p w:rsidR="004E778C" w:rsidRDefault="004E778C">
      <w:pPr>
        <w:rPr>
          <w:sz w:val="24"/>
          <w:szCs w:val="24"/>
        </w:rPr>
      </w:pPr>
    </w:p>
    <w:p w:rsidR="004E778C" w:rsidRDefault="00C54925" w:rsidP="004E778C">
      <w:pPr>
        <w:jc w:val="both"/>
        <w:rPr>
          <w:sz w:val="24"/>
          <w:szCs w:val="24"/>
        </w:rPr>
      </w:pPr>
      <w:hyperlink r:id="rId10" w:history="1">
        <w:r w:rsidR="004E778C" w:rsidRPr="003002AE">
          <w:rPr>
            <w:rStyle w:val="Hyperlink"/>
            <w:sz w:val="24"/>
            <w:szCs w:val="24"/>
          </w:rPr>
          <w:t>http://www.msd.govt.nz/what-we-can-do/disability-services/</w:t>
        </w:r>
      </w:hyperlink>
    </w:p>
    <w:p w:rsidR="004E778C" w:rsidRDefault="004E778C" w:rsidP="004E778C">
      <w:pPr>
        <w:jc w:val="both"/>
        <w:rPr>
          <w:sz w:val="24"/>
          <w:szCs w:val="24"/>
        </w:rPr>
      </w:pPr>
    </w:p>
    <w:p w:rsidR="004E778C" w:rsidRDefault="00C54925" w:rsidP="004E778C">
      <w:pPr>
        <w:jc w:val="both"/>
        <w:rPr>
          <w:sz w:val="24"/>
          <w:szCs w:val="24"/>
        </w:rPr>
      </w:pPr>
      <w:hyperlink r:id="rId11" w:history="1">
        <w:r w:rsidR="004E778C" w:rsidRPr="003002AE">
          <w:rPr>
            <w:rStyle w:val="Hyperlink"/>
            <w:sz w:val="24"/>
            <w:szCs w:val="24"/>
          </w:rPr>
          <w:t>http://www.msd.govt.nz/what-we-can-do/disability-services/mainstream/index.html</w:t>
        </w:r>
      </w:hyperlink>
    </w:p>
    <w:p w:rsidR="004E778C" w:rsidRDefault="004E778C" w:rsidP="004E778C">
      <w:pPr>
        <w:jc w:val="both"/>
        <w:rPr>
          <w:sz w:val="24"/>
          <w:szCs w:val="24"/>
        </w:rPr>
      </w:pPr>
    </w:p>
    <w:p w:rsidR="004E778C" w:rsidRDefault="00C54925" w:rsidP="004E778C">
      <w:pPr>
        <w:jc w:val="both"/>
      </w:pPr>
      <w:hyperlink r:id="rId12" w:history="1">
        <w:r w:rsidR="004E778C" w:rsidRPr="003002AE">
          <w:rPr>
            <w:rStyle w:val="Hyperlink"/>
            <w:sz w:val="24"/>
            <w:szCs w:val="24"/>
          </w:rPr>
          <w:t>http://www.workandincome.govt.nz/individuals/a-z-benefits/disability-allowance.html</w:t>
        </w:r>
      </w:hyperlink>
    </w:p>
    <w:p w:rsidR="004E778C" w:rsidRDefault="004E778C" w:rsidP="004E778C">
      <w:pPr>
        <w:jc w:val="both"/>
        <w:rPr>
          <w:sz w:val="24"/>
          <w:szCs w:val="24"/>
        </w:rPr>
      </w:pPr>
    </w:p>
    <w:p w:rsidR="004E778C" w:rsidRDefault="00C54925" w:rsidP="004E778C">
      <w:pPr>
        <w:jc w:val="both"/>
        <w:rPr>
          <w:sz w:val="24"/>
          <w:szCs w:val="24"/>
        </w:rPr>
      </w:pPr>
      <w:hyperlink r:id="rId13" w:history="1">
        <w:r w:rsidR="004E778C" w:rsidRPr="003002AE">
          <w:rPr>
            <w:rStyle w:val="Hyperlink"/>
            <w:sz w:val="24"/>
            <w:szCs w:val="24"/>
          </w:rPr>
          <w:t>http://www.health.govt.nz/our-work/disability-services</w:t>
        </w:r>
      </w:hyperlink>
    </w:p>
    <w:p w:rsidR="004E778C" w:rsidRDefault="004E778C" w:rsidP="004E778C">
      <w:pPr>
        <w:jc w:val="both"/>
        <w:rPr>
          <w:sz w:val="24"/>
          <w:szCs w:val="24"/>
        </w:rPr>
      </w:pPr>
    </w:p>
    <w:p w:rsidR="004E778C" w:rsidRDefault="00C54925" w:rsidP="004E778C">
      <w:pPr>
        <w:jc w:val="both"/>
        <w:rPr>
          <w:sz w:val="24"/>
          <w:szCs w:val="24"/>
        </w:rPr>
      </w:pPr>
      <w:hyperlink r:id="rId14" w:history="1">
        <w:r w:rsidR="004E778C" w:rsidRPr="003002AE">
          <w:rPr>
            <w:rStyle w:val="Hyperlink"/>
            <w:sz w:val="24"/>
            <w:szCs w:val="24"/>
          </w:rPr>
          <w:t>http://www.health.govt.nz/our-work/disability-services/about-disability-support-services</w:t>
        </w:r>
      </w:hyperlink>
    </w:p>
    <w:p w:rsidR="004E778C" w:rsidRDefault="004E778C" w:rsidP="004E778C">
      <w:pPr>
        <w:jc w:val="both"/>
        <w:rPr>
          <w:sz w:val="24"/>
          <w:szCs w:val="24"/>
        </w:rPr>
      </w:pPr>
    </w:p>
    <w:p w:rsidR="004E778C" w:rsidRDefault="00C54925" w:rsidP="004E778C">
      <w:pPr>
        <w:jc w:val="both"/>
        <w:rPr>
          <w:sz w:val="24"/>
          <w:szCs w:val="24"/>
        </w:rPr>
      </w:pPr>
      <w:hyperlink r:id="rId15" w:history="1">
        <w:r w:rsidR="004E778C" w:rsidRPr="003002AE">
          <w:rPr>
            <w:rStyle w:val="Hyperlink"/>
            <w:sz w:val="24"/>
            <w:szCs w:val="24"/>
          </w:rPr>
          <w:t>http://www.minedu.govt.nz/NZEducation/EducationPolicies/SpecialEducation/AboutUs/ContextOfOurWork/EducationAndDisabilityContexts.aspx</w:t>
        </w:r>
      </w:hyperlink>
    </w:p>
    <w:p w:rsidR="00564428" w:rsidRPr="008F6878" w:rsidRDefault="00564428" w:rsidP="003E6510">
      <w:pPr>
        <w:spacing w:line="360" w:lineRule="auto"/>
        <w:rPr>
          <w:sz w:val="24"/>
          <w:szCs w:val="24"/>
        </w:rPr>
      </w:pPr>
    </w:p>
    <w:sectPr w:rsidR="00564428" w:rsidRPr="008F6878" w:rsidSect="001842D9">
      <w:headerReference w:type="default" r:id="rId16"/>
      <w:footerReference w:type="default" r:id="rId17"/>
      <w:headerReference w:type="first" r:id="rId18"/>
      <w:footerReference w:type="first" r:id="rId19"/>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25B" w:rsidRDefault="00D8725B" w:rsidP="003B4C55">
      <w:r>
        <w:separator/>
      </w:r>
    </w:p>
  </w:endnote>
  <w:endnote w:type="continuationSeparator" w:id="0">
    <w:p w:rsidR="00D8725B" w:rsidRDefault="00D8725B" w:rsidP="003B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925" w:rsidRDefault="00C54925">
    <w:pPr>
      <w:pStyle w:val="Footer"/>
      <w:pBdr>
        <w:top w:val="thinThickSmallGap" w:sz="24" w:space="1" w:color="622423" w:themeColor="accent2" w:themeShade="7F"/>
      </w:pBdr>
      <w:rPr>
        <w:rFonts w:asciiTheme="majorHAnsi" w:hAnsiTheme="majorHAnsi"/>
      </w:rPr>
    </w:pPr>
    <w:r>
      <w:rPr>
        <w:rFonts w:asciiTheme="majorHAnsi" w:hAnsiTheme="majorHAnsi"/>
      </w:rPr>
      <w:t>UNCRPD Special Rapporteur research Civil Society DPA NZ 30 5 15 FINAL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550DF2" w:rsidRPr="00550DF2">
      <w:rPr>
        <w:rFonts w:asciiTheme="majorHAnsi" w:hAnsiTheme="majorHAnsi"/>
        <w:noProof/>
      </w:rPr>
      <w:t>18</w:t>
    </w:r>
    <w:r>
      <w:rPr>
        <w:rFonts w:asciiTheme="majorHAnsi" w:hAnsiTheme="majorHAnsi"/>
        <w:noProof/>
      </w:rPr>
      <w:fldChar w:fldCharType="end"/>
    </w:r>
  </w:p>
  <w:p w:rsidR="00C54925" w:rsidRDefault="00C54925" w:rsidP="001842D9">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925" w:rsidRDefault="00C54925">
    <w:pPr>
      <w:pStyle w:val="Footer"/>
      <w:pBdr>
        <w:top w:val="thinThickSmallGap" w:sz="24" w:space="1" w:color="622423" w:themeColor="accent2" w:themeShade="7F"/>
      </w:pBdr>
      <w:rPr>
        <w:rFonts w:asciiTheme="majorHAnsi" w:hAnsiTheme="majorHAnsi"/>
      </w:rPr>
    </w:pPr>
    <w:r>
      <w:rPr>
        <w:rFonts w:asciiTheme="majorHAnsi" w:hAnsiTheme="majorHAnsi"/>
      </w:rPr>
      <w:t>UNCRPD SPECIAL RAPPORTEUR RESEARCH CIVIL SOCIETY DPA NZ 30 5 15 FINAL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87182" w:rsidRPr="00B87182">
      <w:rPr>
        <w:rFonts w:asciiTheme="majorHAnsi" w:hAnsiTheme="majorHAnsi"/>
        <w:noProof/>
      </w:rPr>
      <w:t>1</w:t>
    </w:r>
    <w:r>
      <w:rPr>
        <w:rFonts w:asciiTheme="majorHAnsi" w:hAnsiTheme="majorHAnsi"/>
        <w:noProof/>
      </w:rPr>
      <w:fldChar w:fldCharType="end"/>
    </w:r>
  </w:p>
  <w:p w:rsidR="00C54925" w:rsidRPr="00254F2D" w:rsidRDefault="00C54925">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25B" w:rsidRDefault="00D8725B" w:rsidP="003B4C55">
      <w:r>
        <w:separator/>
      </w:r>
    </w:p>
  </w:footnote>
  <w:footnote w:type="continuationSeparator" w:id="0">
    <w:p w:rsidR="00D8725B" w:rsidRDefault="00D8725B" w:rsidP="003B4C55">
      <w:r>
        <w:continuationSeparator/>
      </w:r>
    </w:p>
  </w:footnote>
  <w:footnote w:id="1">
    <w:p w:rsidR="00C54925" w:rsidRPr="00833DC4" w:rsidRDefault="00C54925">
      <w:pPr>
        <w:pStyle w:val="FootnoteText"/>
        <w:rPr>
          <w:lang w:val="en-NZ"/>
        </w:rPr>
      </w:pPr>
      <w:r>
        <w:rPr>
          <w:rStyle w:val="FootnoteReference"/>
        </w:rPr>
        <w:footnoteRef/>
      </w:r>
      <w:r>
        <w:t xml:space="preserve"> </w:t>
      </w:r>
      <w:r>
        <w:rPr>
          <w:lang w:val="en-NZ"/>
        </w:rPr>
        <w:t>Please note the two different acronyms: DPA (Disabled Persons Assembly) and DPOs (Disabled Persons Organisations). The former is a pan disability organisation. The latter are disability-specific organisations. Both DPA and DPOs are non-government organisations funded through charities and some government project-based funding.</w:t>
      </w:r>
    </w:p>
  </w:footnote>
  <w:footnote w:id="2">
    <w:p w:rsidR="00C54925" w:rsidRPr="00DA1206" w:rsidRDefault="00C54925">
      <w:pPr>
        <w:pStyle w:val="FootnoteText"/>
        <w:rPr>
          <w:lang w:val="en-NZ"/>
        </w:rPr>
      </w:pPr>
      <w:r>
        <w:rPr>
          <w:rStyle w:val="FootnoteReference"/>
        </w:rPr>
        <w:footnoteRef/>
      </w:r>
      <w:r>
        <w:t xml:space="preserve"> </w:t>
      </w:r>
      <w:r>
        <w:rPr>
          <w:lang w:val="en-NZ"/>
        </w:rPr>
        <w:t>This dedicated role is currently subject to government review.</w:t>
      </w:r>
    </w:p>
  </w:footnote>
  <w:footnote w:id="3">
    <w:p w:rsidR="00C54925" w:rsidRPr="001A1842" w:rsidRDefault="00C54925">
      <w:pPr>
        <w:pStyle w:val="FootnoteText"/>
        <w:rPr>
          <w:lang w:val="en-NZ"/>
        </w:rPr>
      </w:pPr>
      <w:r>
        <w:rPr>
          <w:rStyle w:val="FootnoteReference"/>
        </w:rPr>
        <w:footnoteRef/>
      </w:r>
      <w:r>
        <w:t xml:space="preserve"> </w:t>
      </w:r>
      <w:r>
        <w:rPr>
          <w:lang w:val="en-NZ"/>
        </w:rPr>
        <w:t>In New Zealand local bodies are called Councils (Regional, District or City Councils).</w:t>
      </w:r>
    </w:p>
  </w:footnote>
  <w:footnote w:id="4">
    <w:p w:rsidR="00C54925" w:rsidRPr="00B91AD5" w:rsidRDefault="00C54925">
      <w:pPr>
        <w:pStyle w:val="FootnoteText"/>
      </w:pPr>
      <w:r>
        <w:rPr>
          <w:rStyle w:val="FootnoteReference"/>
        </w:rPr>
        <w:footnoteRef/>
      </w:r>
      <w:r>
        <w:t xml:space="preserve"> </w:t>
      </w:r>
      <w:hyperlink r:id="rId1" w:history="1">
        <w:r w:rsidRPr="000E2FEA">
          <w:rPr>
            <w:rStyle w:val="Hyperlink"/>
          </w:rPr>
          <w:t>http://www.stats.govt.nz/browse_for_stats/health/disabilities/social-economic-outcomes-13.aspx</w:t>
        </w:r>
      </w:hyperlink>
    </w:p>
  </w:footnote>
  <w:footnote w:id="5">
    <w:p w:rsidR="00C54925" w:rsidRPr="00A36B13" w:rsidRDefault="00C54925">
      <w:pPr>
        <w:pStyle w:val="FootnoteText"/>
      </w:pPr>
      <w:r>
        <w:rPr>
          <w:rStyle w:val="FootnoteReference"/>
        </w:rPr>
        <w:footnoteRef/>
      </w:r>
      <w:r>
        <w:t xml:space="preserve"> </w:t>
      </w:r>
      <w:hyperlink r:id="rId2" w:history="1">
        <w:r w:rsidRPr="00261CB5">
          <w:rPr>
            <w:rStyle w:val="Hyperlink"/>
          </w:rPr>
          <w:t>http://includingallpeople.org.nz/</w:t>
        </w:r>
      </w:hyperlink>
    </w:p>
  </w:footnote>
  <w:footnote w:id="6">
    <w:p w:rsidR="00C54925" w:rsidRPr="005C4C24" w:rsidRDefault="00C54925">
      <w:pPr>
        <w:pStyle w:val="FootnoteText"/>
      </w:pPr>
      <w:r>
        <w:rPr>
          <w:rStyle w:val="FootnoteReference"/>
        </w:rPr>
        <w:footnoteRef/>
      </w:r>
      <w:r>
        <w:t xml:space="preserve"> </w:t>
      </w:r>
      <w:hyperlink r:id="rId3" w:history="1">
        <w:r w:rsidRPr="00261CB5">
          <w:rPr>
            <w:rStyle w:val="Hyperlink"/>
          </w:rPr>
          <w:t>http://www.cpag.org.nz/resources-publications/publications/</w:t>
        </w:r>
      </w:hyperlink>
    </w:p>
  </w:footnote>
  <w:footnote w:id="7">
    <w:p w:rsidR="00C54925" w:rsidRPr="00CB7BF5" w:rsidRDefault="00C54925">
      <w:pPr>
        <w:pStyle w:val="FootnoteText"/>
      </w:pPr>
      <w:r>
        <w:rPr>
          <w:rStyle w:val="FootnoteReference"/>
        </w:rPr>
        <w:footnoteRef/>
      </w:r>
      <w:r>
        <w:t xml:space="preserve"> </w:t>
      </w:r>
      <w:hyperlink r:id="rId4" w:history="1">
        <w:r w:rsidRPr="00261CB5">
          <w:rPr>
            <w:rStyle w:val="Hyperlink"/>
          </w:rPr>
          <w:t>http://includingallpeople.org.nz/</w:t>
        </w:r>
      </w:hyperlink>
    </w:p>
  </w:footnote>
  <w:footnote w:id="8">
    <w:p w:rsidR="00C54925" w:rsidRPr="00E41E2D" w:rsidRDefault="00C54925">
      <w:pPr>
        <w:pStyle w:val="FootnoteText"/>
      </w:pPr>
      <w:r>
        <w:rPr>
          <w:rStyle w:val="FootnoteReference"/>
        </w:rPr>
        <w:footnoteRef/>
      </w:r>
      <w:r>
        <w:t xml:space="preserve"> </w:t>
      </w:r>
      <w:hyperlink r:id="rId5" w:history="1">
        <w:r w:rsidRPr="000E2FEA">
          <w:rPr>
            <w:rStyle w:val="Hyperlink"/>
          </w:rPr>
          <w:t>http://www.stats.govt.nz/</w:t>
        </w:r>
      </w:hyperlink>
    </w:p>
  </w:footnote>
  <w:footnote w:id="9">
    <w:p w:rsidR="00C54925" w:rsidRPr="00453DBB" w:rsidRDefault="00C54925" w:rsidP="00722A50">
      <w:pPr>
        <w:pStyle w:val="FootnoteText"/>
        <w:ind w:left="142" w:hanging="142"/>
        <w:rPr>
          <w:lang w:val="en-NZ"/>
        </w:rPr>
      </w:pPr>
      <w:r>
        <w:rPr>
          <w:rStyle w:val="FootnoteReference"/>
        </w:rPr>
        <w:footnoteRef/>
      </w:r>
      <w:r>
        <w:t xml:space="preserve"> Northland, </w:t>
      </w:r>
      <w:proofErr w:type="spellStart"/>
      <w:r>
        <w:t>Whanganui</w:t>
      </w:r>
      <w:proofErr w:type="spellEnd"/>
      <w:r>
        <w:t xml:space="preserve">, and </w:t>
      </w:r>
      <w:r>
        <w:rPr>
          <w:lang w:val="en-NZ"/>
        </w:rPr>
        <w:t>the Bay of Plenty are also high deprivation regions.</w:t>
      </w:r>
      <w:r>
        <w:t xml:space="preserve"> </w:t>
      </w:r>
      <w:hyperlink r:id="rId6" w:history="1">
        <w:r w:rsidRPr="00F278B2">
          <w:rPr>
            <w:rStyle w:val="Hyperlink"/>
            <w:lang w:val="en-NZ"/>
          </w:rPr>
          <w:t>http://www.otago.ac.nz/wellington/otago069936.pdf</w:t>
        </w:r>
      </w:hyperlink>
    </w:p>
  </w:footnote>
  <w:footnote w:id="10">
    <w:p w:rsidR="00C54925" w:rsidRPr="00586D10" w:rsidRDefault="00C54925">
      <w:pPr>
        <w:pStyle w:val="FootnoteText"/>
      </w:pPr>
      <w:r>
        <w:rPr>
          <w:rStyle w:val="FootnoteReference"/>
        </w:rPr>
        <w:footnoteRef/>
      </w:r>
      <w:r>
        <w:t xml:space="preserve"> </w:t>
      </w:r>
      <w:hyperlink r:id="rId7" w:history="1">
        <w:r w:rsidRPr="000E2FEA">
          <w:rPr>
            <w:rStyle w:val="Hyperlink"/>
          </w:rPr>
          <w:t>http://www.spinz.org.nz/file/FAQs/PDFs/mental-health-survey.pdf</w:t>
        </w:r>
      </w:hyperlink>
      <w:r>
        <w:t xml:space="preserve">; </w:t>
      </w:r>
    </w:p>
  </w:footnote>
  <w:footnote w:id="11">
    <w:p w:rsidR="00C54925" w:rsidRPr="007B7173" w:rsidRDefault="00C54925">
      <w:pPr>
        <w:pStyle w:val="FootnoteText"/>
      </w:pPr>
      <w:r>
        <w:rPr>
          <w:rStyle w:val="FootnoteReference"/>
        </w:rPr>
        <w:footnoteRef/>
      </w:r>
      <w:r>
        <w:t xml:space="preserve"> </w:t>
      </w:r>
      <w:hyperlink r:id="rId8" w:history="1">
        <w:r w:rsidRPr="009B011F">
          <w:rPr>
            <w:rStyle w:val="Hyperlink"/>
          </w:rPr>
          <w:t>http://www.health.govt.nz/system/files/documents/publications/mental-health-survey-summary.pdf</w:t>
        </w:r>
      </w:hyperlink>
    </w:p>
  </w:footnote>
  <w:footnote w:id="12">
    <w:p w:rsidR="00C54925" w:rsidRPr="00586D10" w:rsidRDefault="00C54925">
      <w:pPr>
        <w:pStyle w:val="FootnoteText"/>
      </w:pPr>
      <w:r>
        <w:rPr>
          <w:rStyle w:val="FootnoteReference"/>
        </w:rPr>
        <w:footnoteRef/>
      </w:r>
      <w:r>
        <w:t xml:space="preserve"> </w:t>
      </w:r>
      <w:hyperlink r:id="rId9" w:history="1">
        <w:r w:rsidRPr="000E2FEA">
          <w:rPr>
            <w:rStyle w:val="Hyperlink"/>
          </w:rPr>
          <w:t>http://www.health.govt.nz/publication/new-zealand-health-survey-annual-update-key-findings-2012-13</w:t>
        </w:r>
      </w:hyperlink>
    </w:p>
  </w:footnote>
  <w:footnote w:id="13">
    <w:p w:rsidR="00C54925" w:rsidRPr="00586D10" w:rsidRDefault="00C54925">
      <w:pPr>
        <w:pStyle w:val="FootnoteText"/>
      </w:pPr>
      <w:r>
        <w:rPr>
          <w:rStyle w:val="FootnoteReference"/>
        </w:rPr>
        <w:footnoteRef/>
      </w:r>
      <w:r>
        <w:t xml:space="preserve"> </w:t>
      </w:r>
      <w:hyperlink r:id="rId10" w:history="1">
        <w:r w:rsidRPr="000E2FEA">
          <w:rPr>
            <w:rStyle w:val="Hyperlink"/>
          </w:rPr>
          <w:t>http://www.health.govt.nz/publication/annual-update-key-results-2013-14-new-zealand-health-survey</w:t>
        </w:r>
      </w:hyperlink>
    </w:p>
  </w:footnote>
  <w:footnote w:id="14">
    <w:p w:rsidR="00C54925" w:rsidRPr="00722A50" w:rsidRDefault="00C54925">
      <w:pPr>
        <w:pStyle w:val="FootnoteText"/>
        <w:rPr>
          <w:lang w:val="en-NZ"/>
        </w:rPr>
      </w:pPr>
      <w:r>
        <w:rPr>
          <w:rStyle w:val="FootnoteReference"/>
        </w:rPr>
        <w:footnoteRef/>
      </w:r>
      <w:r>
        <w:t xml:space="preserve">  </w:t>
      </w:r>
      <w:hyperlink r:id="rId11" w:history="1">
        <w:r w:rsidRPr="009B011F">
          <w:rPr>
            <w:rStyle w:val="Hyperlink"/>
          </w:rPr>
          <w:t>http://www.health.govt.nz/system/files/documents/publications/mental-health-survey-summary.pdf</w:t>
        </w:r>
      </w:hyperlink>
    </w:p>
  </w:footnote>
  <w:footnote w:id="15">
    <w:p w:rsidR="00C54925" w:rsidRPr="00586D10" w:rsidRDefault="00C54925">
      <w:pPr>
        <w:pStyle w:val="FootnoteText"/>
        <w:rPr>
          <w:lang w:val="en-NZ"/>
        </w:rPr>
      </w:pPr>
      <w:r>
        <w:rPr>
          <w:rStyle w:val="FootnoteReference"/>
        </w:rPr>
        <w:footnoteRef/>
      </w:r>
      <w:r>
        <w:t xml:space="preserve"> </w:t>
      </w:r>
      <w:hyperlink r:id="rId12" w:history="1">
        <w:r w:rsidRPr="000E2FEA">
          <w:rPr>
            <w:rStyle w:val="Hyperlink"/>
          </w:rPr>
          <w:t>http://www.health.govt.nz/publication/annual-update-key-results-2013-14-new-zealand-health-survey</w:t>
        </w:r>
      </w:hyperlink>
    </w:p>
  </w:footnote>
  <w:footnote w:id="16">
    <w:p w:rsidR="00C54925" w:rsidRPr="00722A50" w:rsidRDefault="00C54925" w:rsidP="001258FB">
      <w:pPr>
        <w:pStyle w:val="FootnoteText"/>
        <w:ind w:left="142" w:hanging="142"/>
      </w:pPr>
      <w:r>
        <w:rPr>
          <w:rStyle w:val="FootnoteReference"/>
        </w:rPr>
        <w:footnoteRef/>
      </w:r>
      <w:r>
        <w:t xml:space="preserve"> </w:t>
      </w:r>
      <w:hyperlink r:id="rId13" w:history="1">
        <w:r w:rsidRPr="00722A50">
          <w:rPr>
            <w:rStyle w:val="Hyperlink"/>
          </w:rPr>
          <w:t>http://www.health.govt.nz/publication/suicide-facts-deaths-and-intentional-self-harm-hospitalisations-</w:t>
        </w:r>
        <w:r w:rsidRPr="00722A50">
          <w:rPr>
            <w:rStyle w:val="Hyperlink"/>
            <w:sz w:val="18"/>
            <w:szCs w:val="18"/>
          </w:rPr>
          <w:t>2012</w:t>
        </w:r>
      </w:hyperlink>
    </w:p>
  </w:footnote>
  <w:footnote w:id="17">
    <w:p w:rsidR="00C54925" w:rsidRPr="00E41E2D" w:rsidRDefault="00C54925" w:rsidP="00AC61BD">
      <w:pPr>
        <w:pStyle w:val="FootnoteText"/>
      </w:pPr>
      <w:r>
        <w:rPr>
          <w:rStyle w:val="FootnoteReference"/>
        </w:rPr>
        <w:footnoteRef/>
      </w:r>
      <w:r>
        <w:t xml:space="preserve"> </w:t>
      </w:r>
      <w:hyperlink r:id="rId14" w:history="1">
        <w:r w:rsidRPr="000E2FEA">
          <w:rPr>
            <w:rStyle w:val="Hyperlink"/>
          </w:rPr>
          <w:t>www.health.govt.nz/system/files/documents/publications/suicide-facts-2011-jan14_0.pdf</w:t>
        </w:r>
      </w:hyperlink>
    </w:p>
  </w:footnote>
  <w:footnote w:id="18">
    <w:p w:rsidR="00C54925" w:rsidRPr="00873487" w:rsidRDefault="00C54925">
      <w:pPr>
        <w:pStyle w:val="FootnoteText"/>
        <w:rPr>
          <w:lang w:val="en-NZ"/>
        </w:rPr>
      </w:pPr>
      <w:r>
        <w:rPr>
          <w:rStyle w:val="FootnoteReference"/>
        </w:rPr>
        <w:footnoteRef/>
      </w:r>
      <w:r>
        <w:t xml:space="preserve"> </w:t>
      </w:r>
      <w:hyperlink r:id="rId15" w:history="1">
        <w:r w:rsidRPr="000E2FEA">
          <w:rPr>
            <w:rStyle w:val="Hyperlink"/>
          </w:rPr>
          <w:t>http://www.health.govt.nz/publication/annual-update-key-results-2013-14-new-zealand-health-survey</w:t>
        </w:r>
      </w:hyperlink>
    </w:p>
  </w:footnote>
  <w:footnote w:id="19">
    <w:p w:rsidR="00C54925" w:rsidRPr="0093461E" w:rsidRDefault="00C54925">
      <w:pPr>
        <w:pStyle w:val="FootnoteText"/>
        <w:rPr>
          <w:lang w:val="en-NZ"/>
        </w:rPr>
      </w:pPr>
      <w:r>
        <w:rPr>
          <w:rStyle w:val="FootnoteReference"/>
        </w:rPr>
        <w:footnoteRef/>
      </w:r>
      <w:r>
        <w:t xml:space="preserve"> </w:t>
      </w:r>
      <w:hyperlink r:id="rId16" w:history="1">
        <w:r w:rsidRPr="00261CB5">
          <w:rPr>
            <w:rStyle w:val="Hyperlink"/>
            <w:lang w:val="en-NZ"/>
          </w:rPr>
          <w:t>http://www.leva.co.nz/about</w:t>
        </w:r>
      </w:hyperlink>
    </w:p>
  </w:footnote>
  <w:footnote w:id="20">
    <w:p w:rsidR="00C54925" w:rsidRPr="00722A50" w:rsidRDefault="00C54925">
      <w:pPr>
        <w:pStyle w:val="FootnoteText"/>
        <w:rPr>
          <w:lang w:val="en-NZ"/>
        </w:rPr>
      </w:pPr>
      <w:r>
        <w:rPr>
          <w:rStyle w:val="FootnoteReference"/>
        </w:rPr>
        <w:footnoteRef/>
      </w:r>
      <w:r>
        <w:t xml:space="preserve"> </w:t>
      </w:r>
      <w:hyperlink r:id="rId17" w:history="1">
        <w:r w:rsidRPr="000E2FEA">
          <w:rPr>
            <w:rStyle w:val="Hyperlink"/>
          </w:rPr>
          <w:t>http://www.health.govt.nz/publication/annual-update-key-results-2013-14-new-zealand-health-survey</w:t>
        </w:r>
      </w:hyperlink>
    </w:p>
  </w:footnote>
  <w:footnote w:id="21">
    <w:p w:rsidR="00C54925" w:rsidRPr="00722A50" w:rsidRDefault="00C54925">
      <w:pPr>
        <w:pStyle w:val="FootnoteText"/>
      </w:pPr>
      <w:r>
        <w:rPr>
          <w:rStyle w:val="FootnoteReference"/>
        </w:rPr>
        <w:footnoteRef/>
      </w:r>
      <w:r>
        <w:t xml:space="preserve"> </w:t>
      </w:r>
      <w:hyperlink r:id="rId18" w:history="1">
        <w:r w:rsidRPr="00F278B2">
          <w:rPr>
            <w:rStyle w:val="Hyperlink"/>
          </w:rPr>
          <w:t>http://www.health.govt.nz/publication/health-indicators-new-zealanders-intellectual-disability</w:t>
        </w:r>
      </w:hyperlink>
    </w:p>
  </w:footnote>
  <w:footnote w:id="22">
    <w:p w:rsidR="00C54925" w:rsidRPr="00722A50" w:rsidRDefault="00C54925">
      <w:pPr>
        <w:pStyle w:val="FootnoteText"/>
      </w:pPr>
      <w:r>
        <w:rPr>
          <w:rStyle w:val="FootnoteReference"/>
        </w:rPr>
        <w:footnoteRef/>
      </w:r>
      <w:r>
        <w:t xml:space="preserve"> </w:t>
      </w:r>
      <w:hyperlink r:id="rId19" w:history="1">
        <w:r w:rsidRPr="00F278B2">
          <w:rPr>
            <w:rStyle w:val="Hyperlink"/>
          </w:rPr>
          <w:t>www.nzma.org.nz/journal/read-the-journal/all-issues/2010-2019/2014/vol-127-no.-1394/6126</w:t>
        </w:r>
      </w:hyperlink>
    </w:p>
  </w:footnote>
  <w:footnote w:id="23">
    <w:p w:rsidR="00C54925" w:rsidRPr="00A41405" w:rsidRDefault="00C54925">
      <w:pPr>
        <w:pStyle w:val="FootnoteText"/>
      </w:pPr>
      <w:r w:rsidRPr="00A41405">
        <w:rPr>
          <w:rStyle w:val="FootnoteReference"/>
        </w:rPr>
        <w:footnoteRef/>
      </w:r>
      <w:r w:rsidRPr="00A41405">
        <w:t xml:space="preserve"> </w:t>
      </w:r>
      <w:hyperlink r:id="rId20" w:anchor="NewZealandDisabilityStrategy1" w:history="1">
        <w:r w:rsidRPr="00A41405">
          <w:rPr>
            <w:rStyle w:val="Hyperlink"/>
          </w:rPr>
          <w:t>http://www.odi.govt.nz/resources/publications/new-zealand-disability-strategy.html#NewZealandDisabilityStrategy1</w:t>
        </w:r>
      </w:hyperlink>
    </w:p>
  </w:footnote>
  <w:footnote w:id="24">
    <w:p w:rsidR="00C54925" w:rsidRPr="00A41405" w:rsidRDefault="00C54925">
      <w:pPr>
        <w:pStyle w:val="FootnoteText"/>
      </w:pPr>
      <w:r w:rsidRPr="00A41405">
        <w:rPr>
          <w:rStyle w:val="FootnoteReference"/>
        </w:rPr>
        <w:footnoteRef/>
      </w:r>
      <w:r w:rsidRPr="00A41405">
        <w:t xml:space="preserve"> </w:t>
      </w:r>
      <w:hyperlink r:id="rId21" w:history="1">
        <w:r w:rsidRPr="00A41405">
          <w:rPr>
            <w:rStyle w:val="Hyperlink"/>
          </w:rPr>
          <w:t>http://www.odi.govt.nz/what-we-do/ministerial-committee-on-disability-issues/disability-action-plan/2014-2018/index.html</w:t>
        </w:r>
      </w:hyperlink>
    </w:p>
  </w:footnote>
  <w:footnote w:id="25">
    <w:p w:rsidR="00C54925" w:rsidRPr="00A41405" w:rsidRDefault="00C54925" w:rsidP="00B325B9">
      <w:pPr>
        <w:pStyle w:val="ListParagraph"/>
        <w:ind w:left="0"/>
        <w:jc w:val="both"/>
      </w:pPr>
      <w:r w:rsidRPr="00A41405">
        <w:rPr>
          <w:rStyle w:val="FootnoteReference"/>
        </w:rPr>
        <w:footnoteRef/>
      </w:r>
      <w:r w:rsidRPr="00A41405">
        <w:t xml:space="preserve"> For further detail</w:t>
      </w:r>
      <w:r>
        <w:t>s</w:t>
      </w:r>
      <w:r w:rsidRPr="00A41405">
        <w:t xml:space="preserve"> about the ways in which the framework implementation is promoted, protected and monitored see</w:t>
      </w:r>
      <w:r>
        <w:t xml:space="preserve"> the Office for Disability Issues website:</w:t>
      </w:r>
    </w:p>
    <w:p w:rsidR="00C54925" w:rsidRPr="006A1C1A" w:rsidRDefault="00C54925" w:rsidP="006A1C1A">
      <w:pPr>
        <w:pStyle w:val="ListParagraph"/>
        <w:ind w:left="0"/>
        <w:jc w:val="both"/>
      </w:pPr>
      <w:hyperlink r:id="rId22" w:history="1">
        <w:r w:rsidRPr="00A41405">
          <w:rPr>
            <w:rStyle w:val="Hyperlink"/>
          </w:rPr>
          <w:t>http://www.odi.govt.nz/what-we-do/un-convention/framework/index.html</w:t>
        </w:r>
      </w:hyperlink>
    </w:p>
  </w:footnote>
  <w:footnote w:id="26">
    <w:p w:rsidR="00C54925" w:rsidRPr="00A41405" w:rsidRDefault="00C54925">
      <w:pPr>
        <w:pStyle w:val="FootnoteText"/>
      </w:pPr>
      <w:r w:rsidRPr="00A41405">
        <w:rPr>
          <w:rStyle w:val="FootnoteReference"/>
        </w:rPr>
        <w:footnoteRef/>
      </w:r>
      <w:r w:rsidRPr="00A41405">
        <w:t xml:space="preserve"> </w:t>
      </w:r>
      <w:hyperlink r:id="rId23" w:history="1">
        <w:r w:rsidRPr="00A41405">
          <w:rPr>
            <w:rStyle w:val="Hyperlink"/>
          </w:rPr>
          <w:t>http://www.odi.govt.nz/what-we-do/ministerial-committee-on-disability-issues/index.html</w:t>
        </w:r>
      </w:hyperlink>
    </w:p>
  </w:footnote>
  <w:footnote w:id="27">
    <w:p w:rsidR="00C54925" w:rsidRPr="00015693" w:rsidRDefault="00C54925">
      <w:pPr>
        <w:pStyle w:val="FootnoteText"/>
      </w:pPr>
      <w:r>
        <w:rPr>
          <w:rStyle w:val="FootnoteReference"/>
        </w:rPr>
        <w:footnoteRef/>
      </w:r>
      <w:r>
        <w:t xml:space="preserve"> </w:t>
      </w:r>
      <w:hyperlink r:id="rId24" w:history="1">
        <w:r w:rsidRPr="000E2FEA">
          <w:rPr>
            <w:rStyle w:val="Hyperlink"/>
          </w:rPr>
          <w:t>http://www.odi.govt.nz/what-we-do/ministerial-committee-on-disability-issues/disability-action-plan/2014-2018/index.html</w:t>
        </w:r>
      </w:hyperlink>
    </w:p>
  </w:footnote>
  <w:footnote w:id="28">
    <w:p w:rsidR="00C54925" w:rsidRPr="00A41405" w:rsidRDefault="00C54925">
      <w:pPr>
        <w:pStyle w:val="FootnoteText"/>
        <w:rPr>
          <w:lang w:val="en-NZ"/>
        </w:rPr>
      </w:pPr>
      <w:r w:rsidRPr="00A41405">
        <w:rPr>
          <w:rStyle w:val="FootnoteReference"/>
        </w:rPr>
        <w:footnoteRef/>
      </w:r>
      <w:r w:rsidRPr="00A41405">
        <w:t xml:space="preserve"> </w:t>
      </w:r>
      <w:r>
        <w:rPr>
          <w:lang w:val="en-NZ"/>
        </w:rPr>
        <w:t>A new</w:t>
      </w:r>
      <w:r w:rsidRPr="00A41405">
        <w:rPr>
          <w:lang w:val="en-NZ"/>
        </w:rPr>
        <w:t xml:space="preserve"> Minister for Social Development was appointed in 2014. To date the Minister has </w:t>
      </w:r>
      <w:r>
        <w:rPr>
          <w:lang w:val="en-NZ"/>
        </w:rPr>
        <w:t xml:space="preserve">demonstrated </w:t>
      </w:r>
      <w:r w:rsidRPr="00A41405">
        <w:rPr>
          <w:lang w:val="en-NZ"/>
        </w:rPr>
        <w:t xml:space="preserve">a </w:t>
      </w:r>
      <w:r>
        <w:rPr>
          <w:lang w:val="en-NZ"/>
        </w:rPr>
        <w:t xml:space="preserve">mono-cultural, dictatorial and </w:t>
      </w:r>
      <w:r w:rsidRPr="00A41405">
        <w:rPr>
          <w:lang w:val="en-NZ"/>
        </w:rPr>
        <w:t xml:space="preserve">adversarial approach to a range of social issues that directly and indirectly </w:t>
      </w:r>
      <w:r>
        <w:rPr>
          <w:lang w:val="en-NZ"/>
        </w:rPr>
        <w:t xml:space="preserve">affect </w:t>
      </w:r>
      <w:r w:rsidRPr="00A41405">
        <w:rPr>
          <w:lang w:val="en-NZ"/>
        </w:rPr>
        <w:t>disabled people</w:t>
      </w:r>
      <w:r>
        <w:rPr>
          <w:lang w:val="en-NZ"/>
        </w:rPr>
        <w:t xml:space="preserve">, including indigenous people and the many disabled people who live in poverty. </w:t>
      </w:r>
      <w:r w:rsidRPr="00A41405">
        <w:rPr>
          <w:lang w:val="en-NZ"/>
        </w:rPr>
        <w:t>The Minister’s approach</w:t>
      </w:r>
      <w:r>
        <w:rPr>
          <w:lang w:val="en-NZ"/>
        </w:rPr>
        <w:t xml:space="preserve"> also</w:t>
      </w:r>
      <w:r w:rsidRPr="00A41405">
        <w:rPr>
          <w:lang w:val="en-NZ"/>
        </w:rPr>
        <w:t xml:space="preserve"> reflects a free-market ideology</w:t>
      </w:r>
      <w:r>
        <w:rPr>
          <w:lang w:val="en-NZ"/>
        </w:rPr>
        <w:t xml:space="preserve"> that is antithetical to UNCRPD and social protections for disabled people</w:t>
      </w:r>
      <w:r w:rsidRPr="00A41405">
        <w:rPr>
          <w:lang w:val="en-NZ"/>
        </w:rPr>
        <w:t xml:space="preserve">. </w:t>
      </w:r>
      <w:proofErr w:type="gramStart"/>
      <w:r>
        <w:rPr>
          <w:lang w:val="en-NZ"/>
        </w:rPr>
        <w:t>For example, the Minister recently hand-picked a panel of ‘experts’ to review New Zealand’s Child, Youth and Families Services (CYFS).</w:t>
      </w:r>
      <w:proofErr w:type="gramEnd"/>
      <w:r>
        <w:rPr>
          <w:lang w:val="en-NZ"/>
        </w:rPr>
        <w:t xml:space="preserve"> The Minister did not consult iwi leaders, or appoint any indigenous leaders, despite more than 50 percent of children in CYFS care being indigenous children. This is a clear breach of the United Nations Declaration on the Rights of Indigenous Peoples and the Treaty of Waitangi.</w:t>
      </w:r>
    </w:p>
  </w:footnote>
  <w:footnote w:id="29">
    <w:p w:rsidR="00C54925" w:rsidRPr="001803DC" w:rsidRDefault="00C54925" w:rsidP="001803DC">
      <w:pPr>
        <w:pStyle w:val="ListParagraph"/>
        <w:ind w:left="0"/>
        <w:jc w:val="both"/>
      </w:pPr>
      <w:r w:rsidRPr="008E3EFE">
        <w:rPr>
          <w:rStyle w:val="FootnoteReference"/>
        </w:rPr>
        <w:footnoteRef/>
      </w:r>
      <w:r w:rsidRPr="008E3EFE">
        <w:t xml:space="preserve"> </w:t>
      </w:r>
      <w:r w:rsidRPr="008E3EFE">
        <w:rPr>
          <w:color w:val="000000"/>
          <w:shd w:val="clear" w:color="auto" w:fill="FFFFFF"/>
        </w:rPr>
        <w:t>For example from the Ministries of Health, Education, Justice, Transport, Business, Innovation and Employment, Foreign Affairs and Trade, ACC and Housing New Zealand Corporation.</w:t>
      </w:r>
    </w:p>
  </w:footnote>
  <w:footnote w:id="30">
    <w:p w:rsidR="00C54925" w:rsidRPr="005653FA" w:rsidRDefault="00C54925">
      <w:pPr>
        <w:pStyle w:val="FootnoteText"/>
      </w:pPr>
      <w:r>
        <w:rPr>
          <w:rStyle w:val="FootnoteReference"/>
        </w:rPr>
        <w:footnoteRef/>
      </w:r>
      <w:r>
        <w:t xml:space="preserve"> </w:t>
      </w:r>
      <w:hyperlink r:id="rId25" w:anchor="Ourresponsibilitieswhatwedo2" w:history="1">
        <w:r w:rsidRPr="009B011F">
          <w:rPr>
            <w:rStyle w:val="Hyperlink"/>
          </w:rPr>
          <w:t>http://www.odi.govt.nz/about-us/index.html#Ourresponsibilitieswhatwedo2</w:t>
        </w:r>
      </w:hyperlink>
    </w:p>
  </w:footnote>
  <w:footnote w:id="31">
    <w:p w:rsidR="00C54925" w:rsidRPr="00EB58B1" w:rsidRDefault="00C54925">
      <w:pPr>
        <w:pStyle w:val="FootnoteText"/>
      </w:pPr>
      <w:r>
        <w:rPr>
          <w:rStyle w:val="FootnoteReference"/>
        </w:rPr>
        <w:footnoteRef/>
      </w:r>
      <w:r>
        <w:t xml:space="preserve"> </w:t>
      </w:r>
      <w:hyperlink r:id="rId26" w:anchor="Ourresponsibilitieswhatwedo2" w:history="1">
        <w:r w:rsidRPr="009B011F">
          <w:rPr>
            <w:rStyle w:val="Hyperlink"/>
          </w:rPr>
          <w:t>http://www.odi.govt.nz/about-us/index.html#Ourresponsibilitieswhatwedo2</w:t>
        </w:r>
      </w:hyperlink>
    </w:p>
  </w:footnote>
  <w:footnote w:id="32">
    <w:p w:rsidR="00C54925" w:rsidRPr="00ED3CFB" w:rsidRDefault="00C54925" w:rsidP="00EE5F1B">
      <w:pPr>
        <w:pStyle w:val="FootnoteText"/>
        <w:ind w:left="142" w:hanging="142"/>
      </w:pPr>
      <w:r>
        <w:rPr>
          <w:rStyle w:val="FootnoteReference"/>
        </w:rPr>
        <w:footnoteRef/>
      </w:r>
      <w:r>
        <w:t xml:space="preserve"> </w:t>
      </w:r>
      <w:hyperlink r:id="rId27" w:history="1">
        <w:r w:rsidRPr="00F278B2">
          <w:rPr>
            <w:rStyle w:val="Hyperlink"/>
          </w:rPr>
          <w:t>http://www.odi.govt.nz/what-we-do/ministerial-committee-on-disability-issues/disability-action-  plan/2014-2018/we-worked-with-dpos-to-develop-the-new-plan.html</w:t>
        </w:r>
      </w:hyperlink>
    </w:p>
  </w:footnote>
  <w:footnote w:id="33">
    <w:p w:rsidR="00C54925" w:rsidRPr="00FA2F6B" w:rsidRDefault="00C54925">
      <w:pPr>
        <w:pStyle w:val="FootnoteText"/>
        <w:rPr>
          <w:lang w:val="en-NZ"/>
        </w:rPr>
      </w:pPr>
      <w:r>
        <w:rPr>
          <w:rStyle w:val="FootnoteReference"/>
        </w:rPr>
        <w:footnoteRef/>
      </w:r>
      <w:r>
        <w:t xml:space="preserve"> </w:t>
      </w:r>
      <w:r>
        <w:rPr>
          <w:lang w:val="en-NZ"/>
        </w:rPr>
        <w:t>Most DPOs also include non-disabled members; however only disabled members have voting rights.</w:t>
      </w:r>
    </w:p>
  </w:footnote>
  <w:footnote w:id="34">
    <w:p w:rsidR="00C54925" w:rsidRPr="00ED3CFB" w:rsidRDefault="00C54925">
      <w:pPr>
        <w:pStyle w:val="FootnoteText"/>
      </w:pPr>
      <w:r>
        <w:rPr>
          <w:rStyle w:val="FootnoteReference"/>
        </w:rPr>
        <w:footnoteRef/>
      </w:r>
      <w:r>
        <w:t xml:space="preserve"> </w:t>
      </w:r>
      <w:hyperlink r:id="rId28" w:history="1">
        <w:r w:rsidRPr="00847899">
          <w:rPr>
            <w:rStyle w:val="Hyperlink"/>
          </w:rPr>
          <w:t>http://www.nzdsn.org.nz/</w:t>
        </w:r>
      </w:hyperlink>
    </w:p>
  </w:footnote>
  <w:footnote w:id="35">
    <w:p w:rsidR="00C54925" w:rsidRPr="00ED3CFB" w:rsidRDefault="00C54925">
      <w:pPr>
        <w:pStyle w:val="FootnoteText"/>
      </w:pPr>
      <w:r>
        <w:rPr>
          <w:rStyle w:val="FootnoteReference"/>
        </w:rPr>
        <w:footnoteRef/>
      </w:r>
      <w:r>
        <w:t xml:space="preserve"> </w:t>
      </w:r>
      <w:hyperlink r:id="rId29" w:history="1">
        <w:r w:rsidRPr="00847899">
          <w:rPr>
            <w:rStyle w:val="Hyperlink"/>
          </w:rPr>
          <w:t>http://www.ihc.org.nz/</w:t>
        </w:r>
      </w:hyperlink>
    </w:p>
  </w:footnote>
  <w:footnote w:id="36">
    <w:p w:rsidR="00C54925" w:rsidRPr="00ED3CFB" w:rsidRDefault="00C54925">
      <w:pPr>
        <w:pStyle w:val="FootnoteText"/>
      </w:pPr>
      <w:r>
        <w:rPr>
          <w:rStyle w:val="FootnoteReference"/>
        </w:rPr>
        <w:footnoteRef/>
      </w:r>
      <w:r>
        <w:t xml:space="preserve"> </w:t>
      </w:r>
      <w:hyperlink r:id="rId30" w:history="1">
        <w:r w:rsidRPr="00847899">
          <w:rPr>
            <w:rStyle w:val="Hyperlink"/>
          </w:rPr>
          <w:t>http://www.ccsdisabilityaction.org.nz/</w:t>
        </w:r>
      </w:hyperlink>
    </w:p>
  </w:footnote>
  <w:footnote w:id="37">
    <w:p w:rsidR="00C54925" w:rsidRPr="00ED3CFB" w:rsidRDefault="00C54925">
      <w:pPr>
        <w:pStyle w:val="FootnoteText"/>
      </w:pPr>
      <w:r>
        <w:rPr>
          <w:rStyle w:val="FootnoteReference"/>
        </w:rPr>
        <w:footnoteRef/>
      </w:r>
      <w:r>
        <w:t xml:space="preserve"> </w:t>
      </w:r>
      <w:hyperlink r:id="rId31" w:history="1">
        <w:r w:rsidRPr="00847899">
          <w:rPr>
            <w:rStyle w:val="Hyperlink"/>
          </w:rPr>
          <w:t>http://www.healthcarenz.co.nz/</w:t>
        </w:r>
      </w:hyperlink>
    </w:p>
  </w:footnote>
  <w:footnote w:id="38">
    <w:p w:rsidR="00C54925" w:rsidRPr="00ED3CFB" w:rsidRDefault="00C54925">
      <w:pPr>
        <w:pStyle w:val="FootnoteText"/>
      </w:pPr>
      <w:r>
        <w:rPr>
          <w:rStyle w:val="FootnoteReference"/>
        </w:rPr>
        <w:footnoteRef/>
      </w:r>
      <w:r>
        <w:t xml:space="preserve"> </w:t>
      </w:r>
      <w:hyperlink r:id="rId32" w:history="1">
        <w:r w:rsidRPr="00847899">
          <w:rPr>
            <w:rStyle w:val="Hyperlink"/>
          </w:rPr>
          <w:t>http://www.mashtrust.org.nz/</w:t>
        </w:r>
      </w:hyperlink>
    </w:p>
  </w:footnote>
  <w:footnote w:id="39">
    <w:p w:rsidR="00C54925" w:rsidRDefault="00C54925" w:rsidP="001258FB">
      <w:pPr>
        <w:pStyle w:val="FootnoteText"/>
        <w:ind w:left="142" w:hanging="142"/>
      </w:pPr>
      <w:r>
        <w:rPr>
          <w:rStyle w:val="FootnoteReference"/>
        </w:rPr>
        <w:footnoteRef/>
      </w:r>
      <w:r>
        <w:t xml:space="preserve"> </w:t>
      </w:r>
      <w:hyperlink r:id="rId33" w:history="1">
        <w:r w:rsidRPr="00847899">
          <w:rPr>
            <w:rStyle w:val="Hyperlink"/>
          </w:rPr>
          <w:t>http://www.health.govt.nz/our-work/disability-services/disability-projects-and-programmes/disability-workforce</w:t>
        </w:r>
      </w:hyperlink>
    </w:p>
    <w:p w:rsidR="00C54925" w:rsidRPr="0080683B" w:rsidRDefault="00C54925">
      <w:pPr>
        <w:pStyle w:val="FootnoteText"/>
        <w:rPr>
          <w:lang w:val="en-NZ"/>
        </w:rPr>
      </w:pPr>
    </w:p>
  </w:footnote>
  <w:footnote w:id="40">
    <w:p w:rsidR="00C54925" w:rsidRPr="004F4083" w:rsidRDefault="00C54925" w:rsidP="00013843">
      <w:pPr>
        <w:pStyle w:val="FootnoteText"/>
      </w:pPr>
      <w:r>
        <w:rPr>
          <w:rStyle w:val="FootnoteReference"/>
        </w:rPr>
        <w:footnoteRef/>
      </w:r>
      <w:r>
        <w:t xml:space="preserve"> </w:t>
      </w:r>
      <w:hyperlink r:id="rId34" w:history="1">
        <w:r w:rsidRPr="00261CB5">
          <w:rPr>
            <w:rStyle w:val="Hyperlink"/>
          </w:rPr>
          <w:t>http://www.odi.govt.nz/what-we-do/ministerial-committee-on-disability-issues/disability-action-plan/2014-2018/index.html</w:t>
        </w:r>
      </w:hyperlink>
    </w:p>
  </w:footnote>
  <w:footnote w:id="41">
    <w:p w:rsidR="00C54925" w:rsidRPr="000C2EF5" w:rsidRDefault="00C54925" w:rsidP="000C2EF5">
      <w:pPr>
        <w:spacing w:line="276" w:lineRule="auto"/>
        <w:rPr>
          <w:rFonts w:cs="Arial"/>
        </w:rPr>
      </w:pPr>
      <w:r>
        <w:rPr>
          <w:rStyle w:val="FootnoteReference"/>
        </w:rPr>
        <w:footnoteRef/>
      </w:r>
      <w:r>
        <w:t xml:space="preserve"> </w:t>
      </w:r>
      <w:proofErr w:type="gramStart"/>
      <w:r>
        <w:t>Article 33 Convention Coalition Monitoring Report.</w:t>
      </w:r>
      <w:proofErr w:type="gramEnd"/>
      <w:r>
        <w:t xml:space="preserve"> (2015) </w:t>
      </w:r>
      <w:r w:rsidRPr="000C2EF5">
        <w:rPr>
          <w:rFonts w:cs="Arial"/>
        </w:rPr>
        <w:t xml:space="preserve">Disability Rights in </w:t>
      </w:r>
      <w:proofErr w:type="spellStart"/>
      <w:r w:rsidRPr="000C2EF5">
        <w:rPr>
          <w:rFonts w:cs="Arial"/>
        </w:rPr>
        <w:t>Aotearoa</w:t>
      </w:r>
      <w:proofErr w:type="spellEnd"/>
      <w:r w:rsidRPr="000C2EF5">
        <w:rPr>
          <w:rFonts w:cs="Arial"/>
        </w:rPr>
        <w:t xml:space="preserve"> New Zealand: Acceptance in Society </w:t>
      </w:r>
      <w:r>
        <w:rPr>
          <w:rFonts w:cs="Arial"/>
        </w:rPr>
        <w:t>(</w:t>
      </w:r>
      <w:r>
        <w:t>page 9).</w:t>
      </w:r>
    </w:p>
  </w:footnote>
  <w:footnote w:id="42">
    <w:p w:rsidR="00C54925" w:rsidRPr="003A6BF1" w:rsidRDefault="00C54925">
      <w:pPr>
        <w:pStyle w:val="FootnoteText"/>
        <w:rPr>
          <w:lang w:val="en-NZ"/>
        </w:rPr>
      </w:pPr>
      <w:r>
        <w:rPr>
          <w:rStyle w:val="FootnoteReference"/>
        </w:rPr>
        <w:footnoteRef/>
      </w:r>
      <w:r>
        <w:t xml:space="preserve"> </w:t>
      </w:r>
      <w:r>
        <w:rPr>
          <w:lang w:val="en-NZ"/>
        </w:rPr>
        <w:t>For example: a) Article 33 Convention Coalition Monitoring Group (2014</w:t>
      </w:r>
      <w:proofErr w:type="gramStart"/>
      <w:r>
        <w:rPr>
          <w:lang w:val="en-NZ"/>
        </w:rPr>
        <w:t>)  Disability</w:t>
      </w:r>
      <w:proofErr w:type="gramEnd"/>
      <w:r>
        <w:rPr>
          <w:lang w:val="en-NZ"/>
        </w:rPr>
        <w:t xml:space="preserve"> Rights in Aotearoa New Zealand: Participation and Poverty;  b) Article 33 Convention Coalition</w:t>
      </w:r>
      <w:r w:rsidRPr="00B325B9">
        <w:rPr>
          <w:lang w:val="en-NZ"/>
        </w:rPr>
        <w:t xml:space="preserve"> </w:t>
      </w:r>
      <w:r>
        <w:rPr>
          <w:lang w:val="en-NZ"/>
        </w:rPr>
        <w:t xml:space="preserve">Monitoring Group (2013) Disability Rights in Aotearoa New Zealand 2013: Youth;  c) Article 33 Convention Coalition Monitoring Group (2012) Disability Rights in Aotearoa New Zealand 2012;  Article 33 Convention Coalition Monitoring Group (2010) Media and disabled people. See: </w:t>
      </w:r>
      <w:hyperlink r:id="rId35" w:history="1">
        <w:r w:rsidRPr="00847899">
          <w:rPr>
            <w:rStyle w:val="Hyperlink"/>
            <w:lang w:val="en-NZ"/>
          </w:rPr>
          <w:t>http://www.odi.govt.nz/what-we-do/un-convention/framework/index.html</w:t>
        </w:r>
      </w:hyperlink>
      <w:r>
        <w:rPr>
          <w:lang w:val="en-NZ"/>
        </w:rPr>
        <w:t xml:space="preserve"> - section titled ‘Monitoring the rights of disabled people by the Convention Coalition’.</w:t>
      </w:r>
    </w:p>
  </w:footnote>
  <w:footnote w:id="43">
    <w:p w:rsidR="00C54925" w:rsidRPr="003205F5" w:rsidRDefault="00C54925" w:rsidP="000C2EF5">
      <w:pPr>
        <w:pStyle w:val="FootnoteText"/>
        <w:rPr>
          <w:lang w:val="en-NZ"/>
        </w:rPr>
      </w:pPr>
      <w:r>
        <w:rPr>
          <w:rStyle w:val="FootnoteReference"/>
        </w:rPr>
        <w:footnoteRef/>
      </w:r>
      <w:r>
        <w:t xml:space="preserve"> </w:t>
      </w:r>
      <w:r>
        <w:rPr>
          <w:lang w:val="en-NZ"/>
        </w:rPr>
        <w:t xml:space="preserve">See Human Rights Commission (2014) Making Disability Rights Real. Wellington: New Zealand </w:t>
      </w:r>
      <w:hyperlink r:id="rId36" w:history="1">
        <w:r w:rsidRPr="00847899">
          <w:rPr>
            <w:rStyle w:val="Hyperlink"/>
            <w:lang w:val="en-NZ"/>
          </w:rPr>
          <w:t>http://www.hrc.co.nz/files/5214/2357/0956/Making-disability-rights-real-Print2.pdf</w:t>
        </w:r>
      </w:hyperlink>
    </w:p>
  </w:footnote>
  <w:footnote w:id="44">
    <w:p w:rsidR="00C54925" w:rsidRPr="000C2EF5" w:rsidRDefault="00C54925" w:rsidP="00F813B0">
      <w:pPr>
        <w:pStyle w:val="FootnoteText"/>
      </w:pPr>
      <w:r>
        <w:rPr>
          <w:rStyle w:val="FootnoteReference"/>
        </w:rPr>
        <w:footnoteRef/>
      </w:r>
      <w:r>
        <w:t xml:space="preserve"> </w:t>
      </w:r>
      <w:hyperlink r:id="rId37" w:history="1">
        <w:r w:rsidRPr="007A3C3B">
          <w:rPr>
            <w:rStyle w:val="Hyperlink"/>
          </w:rPr>
          <w:t>http://www.hrc.co.nz/files/3214/2396/7510/A-BRIEFING-FROM-NEW-ZEALANDS-CRPD-INDEPENDENT-MONITORING-MECHANISM.pdf</w:t>
        </w:r>
      </w:hyperlink>
    </w:p>
  </w:footnote>
  <w:footnote w:id="45">
    <w:p w:rsidR="00C54925" w:rsidRPr="00ED3CFB" w:rsidRDefault="00C54925" w:rsidP="00FE0E82">
      <w:pPr>
        <w:pStyle w:val="ListParagraph"/>
        <w:ind w:left="0"/>
        <w:jc w:val="both"/>
      </w:pPr>
      <w:r w:rsidRPr="0074174F">
        <w:rPr>
          <w:rStyle w:val="FootnoteReference"/>
        </w:rPr>
        <w:footnoteRef/>
      </w:r>
      <w:r w:rsidRPr="0074174F">
        <w:t xml:space="preserve"> </w:t>
      </w:r>
      <w:hyperlink r:id="rId38" w:history="1">
        <w:r w:rsidRPr="0074174F">
          <w:rPr>
            <w:rStyle w:val="Hyperlink"/>
          </w:rPr>
          <w:t>http://www.leva.co.nz/disability/faiva-ora-national-leadership-group</w:t>
        </w:r>
      </w:hyperlink>
    </w:p>
  </w:footnote>
  <w:footnote w:id="46">
    <w:p w:rsidR="00C54925" w:rsidRPr="009C6CE8" w:rsidRDefault="00C54925" w:rsidP="00DA1B59">
      <w:pPr>
        <w:pStyle w:val="FootnoteText"/>
      </w:pPr>
      <w:r>
        <w:rPr>
          <w:rStyle w:val="FootnoteReference"/>
        </w:rPr>
        <w:footnoteRef/>
      </w:r>
      <w:r>
        <w:t xml:space="preserve"> </w:t>
      </w:r>
      <w:hyperlink r:id="rId39" w:history="1">
        <w:r w:rsidRPr="00B30E43">
          <w:rPr>
            <w:rStyle w:val="Hyperlink"/>
          </w:rPr>
          <w:t>http://www.odi.govt.nz/what-we-do/ministerial-committee-on-disability-issues/disability-action-plan/2014-2018/we-worked-with-dpos-to-develop-the-new-plan.html</w:t>
        </w:r>
      </w:hyperlink>
    </w:p>
  </w:footnote>
  <w:footnote w:id="47">
    <w:p w:rsidR="00C54925" w:rsidRDefault="00C54925">
      <w:pPr>
        <w:pStyle w:val="FootnoteText"/>
      </w:pPr>
      <w:r>
        <w:rPr>
          <w:rStyle w:val="FootnoteReference"/>
        </w:rPr>
        <w:footnoteRef/>
      </w:r>
      <w:r>
        <w:t xml:space="preserve"> </w:t>
      </w:r>
      <w:hyperlink r:id="rId40" w:history="1">
        <w:r w:rsidRPr="009B011F">
          <w:rPr>
            <w:rStyle w:val="Hyperlink"/>
          </w:rPr>
          <w:t>http://www.health.govt.nz/our-work/disability-services/disability-projects-and-programmes/consumer-consortium</w:t>
        </w:r>
      </w:hyperlink>
    </w:p>
    <w:p w:rsidR="00C54925" w:rsidRPr="009C6CE8" w:rsidRDefault="00C54925">
      <w:pPr>
        <w:pStyle w:val="FootnoteText"/>
        <w:rPr>
          <w:lang w:val="en-NZ"/>
        </w:rPr>
      </w:pPr>
    </w:p>
  </w:footnote>
  <w:footnote w:id="48">
    <w:p w:rsidR="00C54925" w:rsidRPr="00087461" w:rsidRDefault="00C54925">
      <w:pPr>
        <w:pStyle w:val="FootnoteText"/>
        <w:rPr>
          <w:lang w:val="en-NZ"/>
        </w:rPr>
      </w:pPr>
      <w:r w:rsidRPr="00087461">
        <w:rPr>
          <w:rStyle w:val="FootnoteReference"/>
        </w:rPr>
        <w:footnoteRef/>
      </w:r>
      <w:r w:rsidRPr="00087461">
        <w:t xml:space="preserve"> The programme is called Kia </w:t>
      </w:r>
      <w:proofErr w:type="spellStart"/>
      <w:r w:rsidRPr="00087461">
        <w:t>Noho</w:t>
      </w:r>
      <w:proofErr w:type="spellEnd"/>
      <w:r w:rsidRPr="00087461">
        <w:t xml:space="preserve"> </w:t>
      </w:r>
      <w:proofErr w:type="spellStart"/>
      <w:r w:rsidRPr="00087461">
        <w:t>Rangatira</w:t>
      </w:r>
      <w:proofErr w:type="spellEnd"/>
      <w:r w:rsidRPr="00087461">
        <w:t xml:space="preserve"> Ai </w:t>
      </w:r>
      <w:proofErr w:type="spellStart"/>
      <w:r w:rsidRPr="00087461">
        <w:t>Tātou</w:t>
      </w:r>
      <w:proofErr w:type="spellEnd"/>
      <w:r w:rsidRPr="00087461">
        <w:t>.</w:t>
      </w:r>
    </w:p>
  </w:footnote>
  <w:footnote w:id="49">
    <w:p w:rsidR="00C54925" w:rsidRPr="00BD2D6A" w:rsidRDefault="00C54925" w:rsidP="00956FF1">
      <w:pPr>
        <w:pStyle w:val="FootnoteText"/>
        <w:rPr>
          <w:lang w:val="en-NZ"/>
        </w:rPr>
      </w:pPr>
      <w:r>
        <w:rPr>
          <w:rStyle w:val="FootnoteReference"/>
        </w:rPr>
        <w:footnoteRef/>
      </w:r>
      <w:r>
        <w:t xml:space="preserve"> </w:t>
      </w:r>
      <w:r>
        <w:rPr>
          <w:lang w:val="en-NZ"/>
        </w:rPr>
        <w:t xml:space="preserve">In New Zealand, Commissions are independent Crown entities that are established (and disestablished) under legislation determined by the government. </w:t>
      </w:r>
    </w:p>
  </w:footnote>
  <w:footnote w:id="50">
    <w:p w:rsidR="00C54925" w:rsidRPr="00762E10" w:rsidRDefault="00C54925" w:rsidP="002423EA">
      <w:pPr>
        <w:pStyle w:val="FootnoteText"/>
        <w:rPr>
          <w:lang w:val="en-NZ"/>
        </w:rPr>
      </w:pPr>
      <w:r>
        <w:rPr>
          <w:rStyle w:val="FootnoteReference"/>
        </w:rPr>
        <w:footnoteRef/>
      </w:r>
      <w:r>
        <w:t xml:space="preserve"> </w:t>
      </w:r>
      <w:r>
        <w:rPr>
          <w:lang w:val="en-NZ"/>
        </w:rPr>
        <w:t xml:space="preserve">GCSB Bill </w:t>
      </w:r>
      <w:hyperlink r:id="rId41" w:history="1">
        <w:r w:rsidRPr="000E2FEA">
          <w:rPr>
            <w:rStyle w:val="Hyperlink"/>
            <w:lang w:val="en-NZ"/>
          </w:rPr>
          <w:t>http://www.nzherald.co.nz/nz/news/article.cfm?c_id=1&amp;objectid=10897315</w:t>
        </w:r>
      </w:hyperlink>
    </w:p>
  </w:footnote>
  <w:footnote w:id="51">
    <w:p w:rsidR="00C54925" w:rsidRPr="00EF7DBF" w:rsidRDefault="00C54925">
      <w:pPr>
        <w:pStyle w:val="FootnoteText"/>
        <w:rPr>
          <w:lang w:val="en-NZ"/>
        </w:rPr>
      </w:pPr>
      <w:r>
        <w:rPr>
          <w:rStyle w:val="FootnoteReference"/>
        </w:rPr>
        <w:footnoteRef/>
      </w:r>
      <w:r>
        <w:t xml:space="preserve"> </w:t>
      </w:r>
      <w:r>
        <w:rPr>
          <w:lang w:val="en-NZ"/>
        </w:rPr>
        <w:t xml:space="preserve">The official relationship is between the Crown and indigenous leaders. </w:t>
      </w:r>
    </w:p>
  </w:footnote>
  <w:footnote w:id="52">
    <w:p w:rsidR="00C54925" w:rsidRPr="00001060" w:rsidRDefault="00C54925">
      <w:pPr>
        <w:pStyle w:val="FootnoteText"/>
        <w:rPr>
          <w:lang w:val="en-NZ"/>
        </w:rPr>
      </w:pPr>
      <w:r>
        <w:rPr>
          <w:rStyle w:val="FootnoteReference"/>
        </w:rPr>
        <w:footnoteRef/>
      </w:r>
      <w:r>
        <w:t xml:space="preserve"> </w:t>
      </w:r>
      <w:r>
        <w:rPr>
          <w:lang w:val="en-NZ"/>
        </w:rPr>
        <w:t xml:space="preserve">The indigenous people; also called Māori. </w:t>
      </w:r>
    </w:p>
  </w:footnote>
  <w:footnote w:id="53">
    <w:p w:rsidR="00802ECE" w:rsidRPr="00802ECE" w:rsidRDefault="00802ECE">
      <w:pPr>
        <w:pStyle w:val="FootnoteText"/>
        <w:rPr>
          <w:lang w:val="en-NZ"/>
        </w:rPr>
      </w:pPr>
      <w:r>
        <w:rPr>
          <w:rStyle w:val="FootnoteReference"/>
        </w:rPr>
        <w:footnoteRef/>
      </w:r>
      <w:r>
        <w:t xml:space="preserve"> </w:t>
      </w:r>
      <w:r>
        <w:rPr>
          <w:lang w:val="en-NZ"/>
        </w:rPr>
        <w:t xml:space="preserve">The Declaration has yet to be comprehensively addressed across the New Zealand disability sector. </w:t>
      </w:r>
    </w:p>
  </w:footnote>
  <w:footnote w:id="54">
    <w:p w:rsidR="00C54925" w:rsidRPr="00B901A7" w:rsidRDefault="00C54925">
      <w:pPr>
        <w:pStyle w:val="FootnoteText"/>
        <w:rPr>
          <w:shd w:val="clear" w:color="auto" w:fill="FFFFFF"/>
        </w:rPr>
      </w:pPr>
      <w:r>
        <w:rPr>
          <w:rStyle w:val="FootnoteReference"/>
        </w:rPr>
        <w:footnoteRef/>
      </w:r>
      <w:r>
        <w:t xml:space="preserve"> </w:t>
      </w:r>
      <w:proofErr w:type="spellStart"/>
      <w:r w:rsidRPr="00001060">
        <w:rPr>
          <w:lang w:val="en-NZ"/>
        </w:rPr>
        <w:t>Whānau</w:t>
      </w:r>
      <w:proofErr w:type="spellEnd"/>
      <w:r w:rsidRPr="00001060">
        <w:rPr>
          <w:lang w:val="en-NZ"/>
        </w:rPr>
        <w:t xml:space="preserve"> means </w:t>
      </w:r>
      <w:r>
        <w:rPr>
          <w:lang w:val="en-NZ"/>
        </w:rPr>
        <w:t>‘</w:t>
      </w:r>
      <w:r>
        <w:rPr>
          <w:shd w:val="clear" w:color="auto" w:fill="FFFFFF"/>
        </w:rPr>
        <w:t xml:space="preserve">extended family, family group... and </w:t>
      </w:r>
      <w:r w:rsidRPr="00001060">
        <w:rPr>
          <w:shd w:val="clear" w:color="auto" w:fill="FFFFFF"/>
        </w:rPr>
        <w:t xml:space="preserve">the primary economic unit of traditional Māori society. </w:t>
      </w:r>
      <w:hyperlink r:id="rId42" w:history="1">
        <w:r w:rsidRPr="00847899">
          <w:rPr>
            <w:rStyle w:val="Hyperlink"/>
            <w:shd w:val="clear" w:color="auto" w:fill="FFFFFF"/>
          </w:rPr>
          <w:t>http://maoridictionary.co.nz/</w:t>
        </w:r>
      </w:hyperlink>
    </w:p>
  </w:footnote>
  <w:footnote w:id="55">
    <w:p w:rsidR="00C54925" w:rsidRPr="00B901A7" w:rsidRDefault="00C54925">
      <w:pPr>
        <w:pStyle w:val="FootnoteText"/>
        <w:rPr>
          <w:shd w:val="clear" w:color="auto" w:fill="FFFFFF"/>
        </w:rPr>
      </w:pPr>
      <w:r>
        <w:rPr>
          <w:rStyle w:val="FootnoteReference"/>
        </w:rPr>
        <w:footnoteRef/>
      </w:r>
      <w:r>
        <w:t xml:space="preserve"> </w:t>
      </w:r>
      <w:r>
        <w:rPr>
          <w:lang w:val="en-NZ"/>
        </w:rPr>
        <w:t>Hapu means ‘</w:t>
      </w:r>
      <w:r w:rsidRPr="00BA221E">
        <w:rPr>
          <w:shd w:val="clear" w:color="auto" w:fill="FFFFFF"/>
        </w:rPr>
        <w:t>kinship group, clan, tribe, sub</w:t>
      </w:r>
      <w:r>
        <w:rPr>
          <w:shd w:val="clear" w:color="auto" w:fill="FFFFFF"/>
        </w:rPr>
        <w:t>-</w:t>
      </w:r>
      <w:r w:rsidRPr="00BA221E">
        <w:rPr>
          <w:shd w:val="clear" w:color="auto" w:fill="FFFFFF"/>
        </w:rPr>
        <w:t>tribe</w:t>
      </w:r>
      <w:r>
        <w:rPr>
          <w:shd w:val="clear" w:color="auto" w:fill="FFFFFF"/>
        </w:rPr>
        <w:t>...</w:t>
      </w:r>
      <w:r w:rsidRPr="00BA221E">
        <w:rPr>
          <w:shd w:val="clear" w:color="auto" w:fill="FFFFFF"/>
        </w:rPr>
        <w:t xml:space="preserve"> </w:t>
      </w:r>
      <w:r>
        <w:rPr>
          <w:shd w:val="clear" w:color="auto" w:fill="FFFFFF"/>
        </w:rPr>
        <w:t>or</w:t>
      </w:r>
      <w:r w:rsidRPr="00BA221E">
        <w:rPr>
          <w:shd w:val="clear" w:color="auto" w:fill="FFFFFF"/>
        </w:rPr>
        <w:t xml:space="preserve"> section of a large kinship group and the primary political unit in traditional Māori society. It consisted of a number of</w:t>
      </w:r>
      <w:r w:rsidRPr="00BA221E">
        <w:rPr>
          <w:rStyle w:val="apple-converted-space"/>
          <w:rFonts w:eastAsiaTheme="majorEastAsia"/>
          <w:shd w:val="clear" w:color="auto" w:fill="FFFFFF"/>
        </w:rPr>
        <w:t> </w:t>
      </w:r>
      <w:r w:rsidRPr="008706EE">
        <w:rPr>
          <w:iCs/>
          <w:shd w:val="clear" w:color="auto" w:fill="FFFFFF"/>
        </w:rPr>
        <w:t>whānau</w:t>
      </w:r>
      <w:r w:rsidRPr="00BA221E">
        <w:rPr>
          <w:rStyle w:val="apple-converted-space"/>
          <w:rFonts w:eastAsiaTheme="majorEastAsia"/>
          <w:shd w:val="clear" w:color="auto" w:fill="FFFFFF"/>
        </w:rPr>
        <w:t> </w:t>
      </w:r>
      <w:r w:rsidRPr="00BA221E">
        <w:rPr>
          <w:shd w:val="clear" w:color="auto" w:fill="FFFFFF"/>
        </w:rPr>
        <w:t>sharing descent from a c</w:t>
      </w:r>
      <w:r>
        <w:rPr>
          <w:shd w:val="clear" w:color="auto" w:fill="FFFFFF"/>
        </w:rPr>
        <w:t xml:space="preserve">ommon ancestor.’ </w:t>
      </w:r>
      <w:hyperlink r:id="rId43" w:history="1">
        <w:r w:rsidRPr="000E2FEA">
          <w:rPr>
            <w:rStyle w:val="Hyperlink"/>
            <w:shd w:val="clear" w:color="auto" w:fill="FFFFFF"/>
          </w:rPr>
          <w:t>http://www.maoridictionary.co.nz/</w:t>
        </w:r>
      </w:hyperlink>
    </w:p>
  </w:footnote>
  <w:footnote w:id="56">
    <w:p w:rsidR="00C54925" w:rsidRPr="00B00B40" w:rsidRDefault="00C54925">
      <w:pPr>
        <w:pStyle w:val="FootnoteText"/>
        <w:rPr>
          <w:rFonts w:eastAsiaTheme="majorEastAsia"/>
          <w:shd w:val="clear" w:color="auto" w:fill="FFFFFF"/>
        </w:rPr>
      </w:pPr>
      <w:r>
        <w:rPr>
          <w:rStyle w:val="FootnoteReference"/>
        </w:rPr>
        <w:footnoteRef/>
      </w:r>
      <w:r>
        <w:t xml:space="preserve"> </w:t>
      </w:r>
      <w:r>
        <w:rPr>
          <w:lang w:val="en-NZ"/>
        </w:rPr>
        <w:t xml:space="preserve">Iwi means </w:t>
      </w:r>
      <w:r w:rsidRPr="008706EE">
        <w:rPr>
          <w:shd w:val="clear" w:color="auto" w:fill="FFFFFF"/>
        </w:rPr>
        <w:t>extende</w:t>
      </w:r>
      <w:r>
        <w:rPr>
          <w:shd w:val="clear" w:color="auto" w:fill="FFFFFF"/>
        </w:rPr>
        <w:t xml:space="preserve">d ‘kinship group’ or ‘tribe’... and </w:t>
      </w:r>
      <w:r w:rsidRPr="008706EE">
        <w:rPr>
          <w:shd w:val="clear" w:color="auto" w:fill="FFFFFF"/>
        </w:rPr>
        <w:t xml:space="preserve">often refers to </w:t>
      </w:r>
      <w:r>
        <w:rPr>
          <w:shd w:val="clear" w:color="auto" w:fill="FFFFFF"/>
        </w:rPr>
        <w:t>‘</w:t>
      </w:r>
      <w:r w:rsidRPr="008706EE">
        <w:rPr>
          <w:shd w:val="clear" w:color="auto" w:fill="FFFFFF"/>
        </w:rPr>
        <w:t>a large group of people descended from a common ancestor and associated with a distinct territory.</w:t>
      </w:r>
      <w:r>
        <w:rPr>
          <w:shd w:val="clear" w:color="auto" w:fill="FFFFFF"/>
        </w:rPr>
        <w:t>’</w:t>
      </w:r>
      <w:r w:rsidRPr="008706EE">
        <w:rPr>
          <w:rStyle w:val="apple-converted-space"/>
          <w:rFonts w:eastAsiaTheme="majorEastAsia"/>
          <w:shd w:val="clear" w:color="auto" w:fill="FFFFFF"/>
        </w:rPr>
        <w:t> </w:t>
      </w:r>
      <w:hyperlink r:id="rId44" w:history="1">
        <w:r w:rsidRPr="000E2FEA">
          <w:rPr>
            <w:rStyle w:val="Hyperlink"/>
            <w:rFonts w:eastAsiaTheme="majorEastAsia"/>
            <w:shd w:val="clear" w:color="auto" w:fill="FFFFFF"/>
          </w:rPr>
          <w:t>http://www.maoridictionary.co.nz/</w:t>
        </w:r>
      </w:hyperlink>
    </w:p>
  </w:footnote>
  <w:footnote w:id="57">
    <w:p w:rsidR="00C54925" w:rsidRPr="00547D51" w:rsidRDefault="00C54925">
      <w:pPr>
        <w:pStyle w:val="FootnoteText"/>
      </w:pPr>
      <w:r>
        <w:rPr>
          <w:rStyle w:val="FootnoteReference"/>
        </w:rPr>
        <w:footnoteRef/>
      </w:r>
      <w:r>
        <w:t xml:space="preserve"> </w:t>
      </w:r>
      <w:hyperlink r:id="rId45" w:history="1">
        <w:r w:rsidRPr="00525B2E">
          <w:rPr>
            <w:rStyle w:val="Hyperlink"/>
          </w:rPr>
          <w:t>http://www.health.govt.nz/publication/whaia-te-ao-marama-maori-disability-action-plan-disability-support-services-2012-2017</w:t>
        </w:r>
      </w:hyperlink>
    </w:p>
  </w:footnote>
  <w:footnote w:id="58">
    <w:p w:rsidR="00C54925" w:rsidRPr="00810567" w:rsidRDefault="00C54925" w:rsidP="00F813B0">
      <w:pPr>
        <w:pStyle w:val="FootnoteText"/>
      </w:pPr>
      <w:r>
        <w:rPr>
          <w:rStyle w:val="FootnoteReference"/>
        </w:rPr>
        <w:footnoteRef/>
      </w:r>
      <w:r>
        <w:t xml:space="preserve"> </w:t>
      </w:r>
      <w:hyperlink r:id="rId46" w:history="1">
        <w:r w:rsidRPr="00B30E43">
          <w:rPr>
            <w:rStyle w:val="Hyperlink"/>
          </w:rPr>
          <w:t>http://www.health.govt.nz/our-work/populations/maori-health/he-korowai-oranga</w:t>
        </w:r>
      </w:hyperlink>
    </w:p>
  </w:footnote>
  <w:footnote w:id="59">
    <w:p w:rsidR="00C54925" w:rsidRPr="00547D51" w:rsidRDefault="00C54925" w:rsidP="00F813B0">
      <w:pPr>
        <w:pStyle w:val="FootnoteText"/>
      </w:pPr>
      <w:r w:rsidRPr="00D66355">
        <w:rPr>
          <w:rStyle w:val="FootnoteReference"/>
        </w:rPr>
        <w:footnoteRef/>
      </w:r>
      <w:r w:rsidRPr="00D66355">
        <w:t xml:space="preserve"> </w:t>
      </w:r>
      <w:r w:rsidRPr="00D66355">
        <w:rPr>
          <w:lang w:val="en-NZ"/>
        </w:rPr>
        <w:t>Tangata w</w:t>
      </w:r>
      <w:r>
        <w:rPr>
          <w:lang w:val="en-NZ"/>
        </w:rPr>
        <w:t>henua are the indigenous people of Aotearoa (New Zealand)</w:t>
      </w:r>
      <w:r w:rsidRPr="00D66355">
        <w:rPr>
          <w:lang w:val="en-NZ"/>
        </w:rPr>
        <w:t xml:space="preserve">. </w:t>
      </w:r>
      <w:r>
        <w:rPr>
          <w:lang w:val="en-NZ"/>
        </w:rPr>
        <w:t xml:space="preserve"> </w:t>
      </w:r>
      <w:proofErr w:type="gramStart"/>
      <w:r w:rsidRPr="00D66355">
        <w:rPr>
          <w:lang w:val="en-NZ"/>
        </w:rPr>
        <w:t>Also re</w:t>
      </w:r>
      <w:r>
        <w:rPr>
          <w:lang w:val="en-NZ"/>
        </w:rPr>
        <w:t>ferred to as Māori.</w:t>
      </w:r>
      <w:proofErr w:type="gramEnd"/>
      <w:r>
        <w:rPr>
          <w:lang w:val="en-NZ"/>
        </w:rPr>
        <w:t xml:space="preserve">  </w:t>
      </w:r>
    </w:p>
  </w:footnote>
  <w:footnote w:id="60">
    <w:p w:rsidR="00C54925" w:rsidRPr="00547D51" w:rsidRDefault="00C54925">
      <w:pPr>
        <w:pStyle w:val="FootnoteText"/>
      </w:pPr>
      <w:r>
        <w:rPr>
          <w:rStyle w:val="FootnoteReference"/>
        </w:rPr>
        <w:footnoteRef/>
      </w:r>
      <w:r>
        <w:t xml:space="preserve"> </w:t>
      </w:r>
      <w:hyperlink r:id="rId47" w:history="1">
        <w:r w:rsidRPr="00525B2E">
          <w:rPr>
            <w:rStyle w:val="Hyperlink"/>
          </w:rPr>
          <w:t>http://www.health.govt.nz/publication/whaia-te-ao-marama-maori-disability-action-plan-disability-support-services-2012-2017</w:t>
        </w:r>
      </w:hyperlink>
    </w:p>
  </w:footnote>
  <w:footnote w:id="61">
    <w:p w:rsidR="00C54925" w:rsidRPr="00547D51" w:rsidRDefault="00C54925">
      <w:pPr>
        <w:pStyle w:val="FootnoteText"/>
      </w:pPr>
      <w:r>
        <w:rPr>
          <w:rStyle w:val="FootnoteReference"/>
        </w:rPr>
        <w:footnoteRef/>
      </w:r>
      <w:r>
        <w:t xml:space="preserve"> </w:t>
      </w:r>
      <w:hyperlink r:id="rId48" w:history="1">
        <w:r w:rsidRPr="00525B2E">
          <w:rPr>
            <w:rStyle w:val="Hyperlink"/>
          </w:rPr>
          <w:t>http://www.health.govt.nz/publication/whaia-te-ao-marama-maori-disability-action-plan-disability-support-services-2012-2017</w:t>
        </w:r>
      </w:hyperlink>
    </w:p>
  </w:footnote>
  <w:footnote w:id="62">
    <w:p w:rsidR="00C54925" w:rsidRPr="00004958" w:rsidRDefault="00C54925" w:rsidP="00004958">
      <w:pPr>
        <w:pStyle w:val="NormalWeb"/>
        <w:shd w:val="clear" w:color="auto" w:fill="FFFFFF"/>
        <w:spacing w:before="0" w:beforeAutospacing="0" w:after="0" w:afterAutospacing="0"/>
        <w:rPr>
          <w:color w:val="000000" w:themeColor="text1"/>
          <w:sz w:val="20"/>
          <w:szCs w:val="20"/>
        </w:rPr>
      </w:pPr>
      <w:r>
        <w:rPr>
          <w:rStyle w:val="FootnoteReference"/>
        </w:rPr>
        <w:footnoteRef/>
      </w:r>
      <w:r>
        <w:t xml:space="preserve"> </w:t>
      </w:r>
      <w:hyperlink r:id="rId49" w:history="1">
        <w:r w:rsidRPr="007A3C3B">
          <w:rPr>
            <w:rStyle w:val="Hyperlink"/>
            <w:sz w:val="20"/>
            <w:szCs w:val="20"/>
          </w:rPr>
          <w:t>http://www.health.govt.nz/our-work/populations/maori-health/he-korowai-oranga</w:t>
        </w:r>
      </w:hyperlink>
    </w:p>
  </w:footnote>
  <w:footnote w:id="63">
    <w:p w:rsidR="00C54925" w:rsidRPr="00050D75" w:rsidRDefault="00C54925" w:rsidP="00931D1A">
      <w:pPr>
        <w:pStyle w:val="FootnoteText"/>
      </w:pPr>
      <w:r>
        <w:rPr>
          <w:rStyle w:val="FootnoteReference"/>
        </w:rPr>
        <w:footnoteRef/>
      </w:r>
      <w:r>
        <w:t xml:space="preserve"> </w:t>
      </w:r>
      <w:hyperlink r:id="rId50" w:history="1">
        <w:r w:rsidRPr="000E2FEA">
          <w:rPr>
            <w:rStyle w:val="Hyperlink"/>
          </w:rPr>
          <w:t>http://www.health.govt.nz/publication/faiva-ora-national-pasifika-disability-plan-2010-2013</w:t>
        </w:r>
      </w:hyperlink>
    </w:p>
  </w:footnote>
  <w:footnote w:id="64">
    <w:p w:rsidR="00C54925" w:rsidRPr="002662E2" w:rsidRDefault="00C54925" w:rsidP="002662E2">
      <w:pPr>
        <w:pStyle w:val="ListParagraph"/>
        <w:ind w:left="0"/>
        <w:jc w:val="both"/>
      </w:pPr>
      <w:r>
        <w:rPr>
          <w:rStyle w:val="FootnoteReference"/>
        </w:rPr>
        <w:footnoteRef/>
      </w:r>
      <w:r>
        <w:t xml:space="preserve"> </w:t>
      </w:r>
      <w:r w:rsidRPr="00050D75">
        <w:t xml:space="preserve">There are </w:t>
      </w:r>
      <w:r>
        <w:t xml:space="preserve">at least </w:t>
      </w:r>
      <w:r w:rsidRPr="00050D75">
        <w:t>four Pasifika languag</w:t>
      </w:r>
      <w:r w:rsidRPr="00050D75">
        <w:rPr>
          <w:color w:val="000000" w:themeColor="text1"/>
        </w:rPr>
        <w:t xml:space="preserve">es </w:t>
      </w:r>
      <w:r w:rsidRPr="00050D75">
        <w:rPr>
          <w:color w:val="000000" w:themeColor="text1"/>
          <w:shd w:val="clear" w:color="auto" w:fill="FFFFFF"/>
        </w:rPr>
        <w:t>that are widely spoken and a</w:t>
      </w:r>
      <w:r>
        <w:rPr>
          <w:color w:val="000000" w:themeColor="text1"/>
          <w:shd w:val="clear" w:color="auto" w:fill="FFFFFF"/>
        </w:rPr>
        <w:t>re a</w:t>
      </w:r>
      <w:r w:rsidRPr="00050D75">
        <w:rPr>
          <w:color w:val="000000" w:themeColor="text1"/>
          <w:shd w:val="clear" w:color="auto" w:fill="FFFFFF"/>
        </w:rPr>
        <w:t xml:space="preserve"> regular part of Pasifika people’s lives</w:t>
      </w:r>
      <w:r w:rsidRPr="00050D75">
        <w:rPr>
          <w:color w:val="333333"/>
          <w:shd w:val="clear" w:color="auto" w:fill="FFFFFF"/>
        </w:rPr>
        <w:t>.</w:t>
      </w:r>
      <w:r w:rsidRPr="00050D75">
        <w:rPr>
          <w:rStyle w:val="apple-converted-space"/>
          <w:rFonts w:eastAsiaTheme="majorEastAsia"/>
          <w:color w:val="333333"/>
          <w:shd w:val="clear" w:color="auto" w:fill="FFFFFF"/>
        </w:rPr>
        <w:t> </w:t>
      </w:r>
    </w:p>
  </w:footnote>
  <w:footnote w:id="65">
    <w:p w:rsidR="00C54925" w:rsidRPr="00E7044B" w:rsidRDefault="00C54925" w:rsidP="009E2F95">
      <w:pPr>
        <w:shd w:val="clear" w:color="auto" w:fill="FFFFFF"/>
        <w:rPr>
          <w:color w:val="000000" w:themeColor="text1"/>
          <w:lang w:val="en-NZ"/>
        </w:rPr>
      </w:pPr>
      <w:r>
        <w:rPr>
          <w:rStyle w:val="FootnoteReference"/>
        </w:rPr>
        <w:footnoteRef/>
      </w:r>
      <w:r>
        <w:t xml:space="preserve"> </w:t>
      </w:r>
      <w:proofErr w:type="gramStart"/>
      <w:r>
        <w:t>Whānau ora is</w:t>
      </w:r>
      <w:proofErr w:type="gramEnd"/>
      <w:r>
        <w:t xml:space="preserve"> a philosophical approach and a government endorsed programme. It is based on a holistic approach and </w:t>
      </w:r>
      <w:r w:rsidRPr="00E7044B">
        <w:rPr>
          <w:lang w:val="en-NZ"/>
        </w:rPr>
        <w:t xml:space="preserve">seeks to enhance the capacity and capability of the whole family; not just a disabled individual. </w:t>
      </w:r>
      <w:r w:rsidRPr="00E7044B">
        <w:rPr>
          <w:bCs/>
          <w:color w:val="000000" w:themeColor="text1"/>
          <w:lang w:val="en-NZ" w:eastAsia="en-NZ"/>
        </w:rPr>
        <w:t>Whānau Ora</w:t>
      </w:r>
      <w:r w:rsidRPr="00E7044B">
        <w:rPr>
          <w:color w:val="000000" w:themeColor="text1"/>
          <w:lang w:val="en-NZ" w:eastAsia="en-NZ"/>
        </w:rPr>
        <w:t xml:space="preserve"> (Māori: family health) is </w:t>
      </w:r>
      <w:r>
        <w:rPr>
          <w:color w:val="000000" w:themeColor="text1"/>
          <w:lang w:val="en-NZ" w:eastAsia="en-NZ"/>
        </w:rPr>
        <w:t>‘</w:t>
      </w:r>
      <w:r w:rsidRPr="00E7044B">
        <w:rPr>
          <w:color w:val="000000" w:themeColor="text1"/>
          <w:lang w:val="en-NZ" w:eastAsia="en-NZ"/>
        </w:rPr>
        <w:t>a major contemporary indigenous health initiative in New Zealand driven by Māori cultural values. Its core goal is to empower communities and extended families (</w:t>
      </w:r>
      <w:r w:rsidRPr="00E7044B">
        <w:rPr>
          <w:bCs/>
          <w:color w:val="000000" w:themeColor="text1"/>
          <w:lang w:val="en-NZ" w:eastAsia="en-NZ"/>
        </w:rPr>
        <w:t>whānau</w:t>
      </w:r>
      <w:r w:rsidRPr="00E7044B">
        <w:rPr>
          <w:color w:val="000000" w:themeColor="text1"/>
          <w:lang w:val="en-NZ" w:eastAsia="en-NZ"/>
        </w:rPr>
        <w:t>) to support families within the community context.</w:t>
      </w:r>
      <w:r>
        <w:rPr>
          <w:color w:val="000000" w:themeColor="text1"/>
          <w:lang w:val="en-NZ" w:eastAsia="en-NZ"/>
        </w:rPr>
        <w:t xml:space="preserve">’ </w:t>
      </w:r>
      <w:hyperlink r:id="rId51" w:history="1">
        <w:r w:rsidRPr="000E2FEA">
          <w:rPr>
            <w:rStyle w:val="Hyperlink"/>
            <w:lang w:val="en-NZ" w:eastAsia="en-NZ"/>
          </w:rPr>
          <w:t>http://www.health.govt.nz/our-work/populations/maori-health/whanau-ora-programme</w:t>
        </w:r>
      </w:hyperlink>
    </w:p>
  </w:footnote>
  <w:footnote w:id="66">
    <w:p w:rsidR="00C54925" w:rsidRPr="003661E0" w:rsidRDefault="00C54925">
      <w:pPr>
        <w:pStyle w:val="FootnoteText"/>
        <w:rPr>
          <w:lang w:val="en-NZ"/>
        </w:rPr>
      </w:pPr>
      <w:r>
        <w:rPr>
          <w:rStyle w:val="FootnoteReference"/>
        </w:rPr>
        <w:footnoteRef/>
      </w:r>
      <w:r>
        <w:t xml:space="preserve"> </w:t>
      </w:r>
      <w:proofErr w:type="gramStart"/>
      <w:r>
        <w:rPr>
          <w:lang w:val="en-NZ"/>
        </w:rPr>
        <w:t>New Zealanders of European ancestry.</w:t>
      </w:r>
      <w:proofErr w:type="gramEnd"/>
    </w:p>
  </w:footnote>
  <w:footnote w:id="67">
    <w:p w:rsidR="00C54925" w:rsidRPr="00D66355" w:rsidRDefault="00C54925" w:rsidP="009E2F95">
      <w:pPr>
        <w:pStyle w:val="FootnoteText"/>
      </w:pPr>
      <w:r w:rsidRPr="00D66355">
        <w:rPr>
          <w:rStyle w:val="FootnoteReference"/>
        </w:rPr>
        <w:footnoteRef/>
      </w:r>
      <w:r w:rsidRPr="00D66355">
        <w:t xml:space="preserve"> </w:t>
      </w:r>
      <w:hyperlink r:id="rId52" w:history="1">
        <w:r w:rsidRPr="00D66355">
          <w:rPr>
            <w:rStyle w:val="Hyperlink"/>
          </w:rPr>
          <w:t>http://www.kapomaori.com/</w:t>
        </w:r>
      </w:hyperlink>
    </w:p>
  </w:footnote>
  <w:footnote w:id="68">
    <w:p w:rsidR="00C54925" w:rsidRPr="0076460A" w:rsidRDefault="00C54925">
      <w:pPr>
        <w:pStyle w:val="FootnoteText"/>
      </w:pPr>
      <w:r>
        <w:rPr>
          <w:rStyle w:val="FootnoteReference"/>
        </w:rPr>
        <w:footnoteRef/>
      </w:r>
      <w:r>
        <w:t xml:space="preserve"> </w:t>
      </w:r>
      <w:hyperlink r:id="rId53" w:history="1">
        <w:r w:rsidRPr="0076460A">
          <w:t>www.enablinggoodlives.co.nz</w:t>
        </w:r>
      </w:hyperlink>
    </w:p>
  </w:footnote>
  <w:footnote w:id="69">
    <w:p w:rsidR="00C54925" w:rsidRPr="008D3ED2" w:rsidRDefault="00C54925">
      <w:pPr>
        <w:pStyle w:val="FootnoteText"/>
      </w:pPr>
      <w:r>
        <w:rPr>
          <w:rStyle w:val="FootnoteReference"/>
        </w:rPr>
        <w:footnoteRef/>
      </w:r>
      <w:r>
        <w:t xml:space="preserve"> </w:t>
      </w:r>
      <w:hyperlink r:id="rId54" w:history="1">
        <w:r w:rsidRPr="00261CB5">
          <w:rPr>
            <w:rStyle w:val="Hyperlink"/>
          </w:rPr>
          <w:t>http://www.odi.govt.nz/what-we-do/improving-disability-supports/enabling-good-lives/key-messages.html</w:t>
        </w:r>
      </w:hyperlink>
    </w:p>
  </w:footnote>
  <w:footnote w:id="70">
    <w:p w:rsidR="00C54925" w:rsidRPr="008D3ED2" w:rsidRDefault="00C54925">
      <w:pPr>
        <w:pStyle w:val="FootnoteText"/>
      </w:pPr>
      <w:r>
        <w:rPr>
          <w:rStyle w:val="FootnoteReference"/>
        </w:rPr>
        <w:footnoteRef/>
      </w:r>
      <w:r>
        <w:t xml:space="preserve"> </w:t>
      </w:r>
      <w:hyperlink r:id="rId55" w:anchor="Christchurch4" w:history="1">
        <w:r w:rsidRPr="00CC5023">
          <w:rPr>
            <w:rStyle w:val="Hyperlink"/>
          </w:rPr>
          <w:t>http://www.odi.govt.nz/what-we-do/improving-disability-supports/enabling-good-lives/index.html#Christchurch4</w:t>
        </w:r>
      </w:hyperlink>
    </w:p>
  </w:footnote>
  <w:footnote w:id="71">
    <w:p w:rsidR="00C54925" w:rsidRPr="003A12B5" w:rsidRDefault="00C54925">
      <w:pPr>
        <w:pStyle w:val="FootnoteText"/>
      </w:pPr>
      <w:r>
        <w:rPr>
          <w:rStyle w:val="FootnoteReference"/>
        </w:rPr>
        <w:footnoteRef/>
      </w:r>
      <w:r>
        <w:t xml:space="preserve"> </w:t>
      </w:r>
      <w:hyperlink r:id="rId56" w:history="1">
        <w:r w:rsidRPr="00CC5023">
          <w:rPr>
            <w:rStyle w:val="Hyperlink"/>
          </w:rPr>
          <w:t>http://www.odi.govt.nz/what-we-do/improving-disability-supports/enabling-good-lives/waikato.html</w:t>
        </w:r>
      </w:hyperlink>
    </w:p>
  </w:footnote>
  <w:footnote w:id="72">
    <w:p w:rsidR="00C54925" w:rsidRPr="003A12B5" w:rsidRDefault="00C54925">
      <w:pPr>
        <w:pStyle w:val="FootnoteText"/>
      </w:pPr>
      <w:r>
        <w:rPr>
          <w:rStyle w:val="FootnoteReference"/>
        </w:rPr>
        <w:footnoteRef/>
      </w:r>
      <w:r>
        <w:t xml:space="preserve"> </w:t>
      </w:r>
      <w:hyperlink r:id="rId57" w:history="1">
        <w:r w:rsidRPr="004C4A8C">
          <w:rPr>
            <w:rStyle w:val="Hyperlink"/>
          </w:rPr>
          <w:t>http://www.health.govt.nz/our-work/disability-services/new-model-supporting-disabled-people</w:t>
        </w:r>
      </w:hyperlink>
    </w:p>
  </w:footnote>
  <w:footnote w:id="73">
    <w:p w:rsidR="00C54925" w:rsidRPr="003A12B5" w:rsidRDefault="00C54925" w:rsidP="002A061C">
      <w:pPr>
        <w:pStyle w:val="FootnoteText"/>
      </w:pPr>
      <w:r>
        <w:rPr>
          <w:rStyle w:val="FootnoteReference"/>
        </w:rPr>
        <w:footnoteRef/>
      </w:r>
      <w:r>
        <w:t xml:space="preserve"> </w:t>
      </w:r>
      <w:hyperlink r:id="rId58" w:history="1">
        <w:r w:rsidRPr="004C4A8C">
          <w:rPr>
            <w:rStyle w:val="Hyperlink"/>
          </w:rPr>
          <w:t>http://www.health.govt.nz/your-health/services-and-support/disability-services/types-disability-support/individualised-funding</w:t>
        </w:r>
      </w:hyperlink>
    </w:p>
  </w:footnote>
  <w:footnote w:id="74">
    <w:p w:rsidR="00C54925" w:rsidRPr="00E40E03" w:rsidRDefault="00C54925" w:rsidP="00AA46EF">
      <w:pPr>
        <w:pStyle w:val="FootnoteText"/>
      </w:pPr>
      <w:r w:rsidRPr="00E40E03">
        <w:rPr>
          <w:rStyle w:val="FootnoteReference"/>
        </w:rPr>
        <w:footnoteRef/>
      </w:r>
      <w:r w:rsidRPr="00E40E03">
        <w:t xml:space="preserve"> </w:t>
      </w:r>
      <w:hyperlink r:id="rId59" w:history="1">
        <w:r w:rsidRPr="00E40E03">
          <w:rPr>
            <w:rStyle w:val="Hyperlink"/>
          </w:rPr>
          <w:t>http://www.carers.co.nz/</w:t>
        </w:r>
      </w:hyperlink>
    </w:p>
  </w:footnote>
  <w:footnote w:id="75">
    <w:p w:rsidR="00C54925" w:rsidRPr="00E40E03" w:rsidRDefault="00C54925">
      <w:pPr>
        <w:pStyle w:val="FootnoteText"/>
      </w:pPr>
      <w:r w:rsidRPr="00E40E03">
        <w:rPr>
          <w:rStyle w:val="FootnoteReference"/>
        </w:rPr>
        <w:footnoteRef/>
      </w:r>
      <w:r w:rsidRPr="00E40E03">
        <w:t xml:space="preserve"> </w:t>
      </w:r>
      <w:hyperlink r:id="rId60" w:tgtFrame="_blank" w:tooltip="http://www.health.govt.nz/publication/te-tahuhu-improving-mental-health-2005-2015-second-new-zealand-mental-health-and-addiction-plan" w:history="1">
        <w:r w:rsidRPr="00E40E03">
          <w:rPr>
            <w:rStyle w:val="Hyperlink"/>
            <w:color w:val="741A14"/>
            <w:bdr w:val="none" w:sz="0" w:space="0" w:color="auto" w:frame="1"/>
            <w:shd w:val="clear" w:color="auto" w:fill="FFFFFF"/>
          </w:rPr>
          <w:t>Te Tāhuhu: Improving Mental Health 2005-2015: The Second New Zealand Mental Health and Addiction Plan</w:t>
        </w:r>
      </w:hyperlink>
      <w:r>
        <w:t>;</w:t>
      </w:r>
      <w:r w:rsidRPr="00E40E03">
        <w:rPr>
          <w:color w:val="34503F"/>
          <w:shd w:val="clear" w:color="auto" w:fill="FFFFFF"/>
        </w:rPr>
        <w:t xml:space="preserve"> </w:t>
      </w:r>
      <w:hyperlink r:id="rId61" w:history="1">
        <w:r w:rsidRPr="00E40E03">
          <w:rPr>
            <w:rStyle w:val="Hyperlink"/>
          </w:rPr>
          <w:t>http://www.hdc.org.nz/about-us/mental-health-and-addictions/mental-health-sector-strategy-documents</w:t>
        </w:r>
      </w:hyperlink>
    </w:p>
  </w:footnote>
  <w:footnote w:id="76">
    <w:p w:rsidR="00C54925" w:rsidRDefault="00C54925">
      <w:pPr>
        <w:pStyle w:val="FootnoteText"/>
      </w:pPr>
      <w:r>
        <w:rPr>
          <w:rStyle w:val="FootnoteReference"/>
        </w:rPr>
        <w:footnoteRef/>
      </w:r>
      <w:r>
        <w:t xml:space="preserve"> </w:t>
      </w:r>
      <w:r>
        <w:rPr>
          <w:lang w:val="en-NZ"/>
        </w:rPr>
        <w:t>‘</w:t>
      </w:r>
      <w:r w:rsidRPr="0029183E">
        <w:rPr>
          <w:lang w:val="en-NZ"/>
        </w:rPr>
        <w:t xml:space="preserve">Rising to the Challenge: </w:t>
      </w:r>
      <w:r w:rsidRPr="0029183E">
        <w:rPr>
          <w:shd w:val="clear" w:color="auto" w:fill="FFFFFF"/>
        </w:rPr>
        <w:t>The Mental Health and Addiction Service Development Plan 2012–2017</w:t>
      </w:r>
      <w:r>
        <w:rPr>
          <w:shd w:val="clear" w:color="auto" w:fill="FFFFFF"/>
        </w:rPr>
        <w:t>’ and ‘Blueprint II How Things Need to Be’ are subsequent plans for improving  mental health services and the mental health outcomes of New Zealanders.</w:t>
      </w:r>
    </w:p>
    <w:p w:rsidR="00C54925" w:rsidRPr="004C1FF2" w:rsidRDefault="00C54925">
      <w:pPr>
        <w:pStyle w:val="FootnoteText"/>
        <w:rPr>
          <w:shd w:val="clear" w:color="auto" w:fill="FFFFFF"/>
        </w:rPr>
      </w:pPr>
      <w:hyperlink r:id="rId62" w:history="1">
        <w:r w:rsidRPr="004C4A8C">
          <w:rPr>
            <w:rStyle w:val="Hyperlink"/>
            <w:shd w:val="clear" w:color="auto" w:fill="FFFFFF"/>
          </w:rPr>
          <w:t>http://www.health.govt.nz/our-work/mental-health-and-addictions/rising-challenge</w:t>
        </w:r>
      </w:hyperlink>
      <w:r>
        <w:rPr>
          <w:shd w:val="clear" w:color="auto" w:fill="FFFFFF"/>
        </w:rPr>
        <w:t xml:space="preserve">; </w:t>
      </w:r>
      <w:hyperlink r:id="rId63" w:history="1">
        <w:r w:rsidRPr="004C4A8C">
          <w:rPr>
            <w:rStyle w:val="Hyperlink"/>
            <w:lang w:val="en-NZ"/>
          </w:rPr>
          <w:t>http://www.hdc.org.nz/media/207642/blueprint%20ii%20how%20things%20need%20to%20be.pdf</w:t>
        </w:r>
      </w:hyperlink>
    </w:p>
  </w:footnote>
  <w:footnote w:id="77">
    <w:p w:rsidR="00C54925" w:rsidRPr="00F21528" w:rsidRDefault="00C54925">
      <w:pPr>
        <w:pStyle w:val="FootnoteText"/>
        <w:rPr>
          <w:lang w:val="en-NZ"/>
        </w:rPr>
      </w:pPr>
      <w:r>
        <w:rPr>
          <w:rStyle w:val="FootnoteReference"/>
        </w:rPr>
        <w:footnoteRef/>
      </w:r>
      <w:r>
        <w:t xml:space="preserve"> </w:t>
      </w:r>
      <w:r>
        <w:rPr>
          <w:lang w:val="en-NZ"/>
        </w:rPr>
        <w:t xml:space="preserve">In situations where disabled people experience psychosocial disability AND other disabilities, services can be provided through mainstream ‘Disability Support Services’ contracted via the Ministry of Health.  Likewise, the Ministry of Social Development offers services to people with coexisting disabilities. </w:t>
      </w:r>
    </w:p>
  </w:footnote>
  <w:footnote w:id="78">
    <w:p w:rsidR="00C54925" w:rsidRPr="00EF5E51" w:rsidRDefault="00C54925" w:rsidP="005D6735">
      <w:pPr>
        <w:autoSpaceDE w:val="0"/>
        <w:autoSpaceDN w:val="0"/>
        <w:adjustRightInd w:val="0"/>
        <w:rPr>
          <w:rFonts w:eastAsiaTheme="minorHAnsi"/>
          <w:bCs/>
          <w:lang w:val="en-NZ"/>
        </w:rPr>
      </w:pPr>
      <w:r>
        <w:rPr>
          <w:rStyle w:val="FootnoteReference"/>
        </w:rPr>
        <w:footnoteRef/>
      </w:r>
      <w:r>
        <w:t xml:space="preserve"> </w:t>
      </w:r>
      <w:r w:rsidRPr="00EF5E51">
        <w:rPr>
          <w:lang w:val="en-NZ"/>
        </w:rPr>
        <w:t xml:space="preserve">Gordon, S. &amp; O’Brien, A. (2014) </w:t>
      </w:r>
      <w:r w:rsidRPr="00EF5E51">
        <w:rPr>
          <w:rFonts w:eastAsiaTheme="minorHAnsi"/>
          <w:bCs/>
          <w:lang w:val="en-NZ"/>
        </w:rPr>
        <w:t>New Zealand’s mental health legislation needs reform to</w:t>
      </w:r>
    </w:p>
    <w:p w:rsidR="00C54925" w:rsidRPr="00005C0B" w:rsidRDefault="00C54925" w:rsidP="00005C0B">
      <w:pPr>
        <w:autoSpaceDE w:val="0"/>
        <w:autoSpaceDN w:val="0"/>
        <w:adjustRightInd w:val="0"/>
        <w:rPr>
          <w:rFonts w:eastAsiaTheme="minorHAnsi"/>
          <w:lang w:val="en-NZ"/>
        </w:rPr>
      </w:pPr>
      <w:proofErr w:type="gramStart"/>
      <w:r w:rsidRPr="00EF5E51">
        <w:rPr>
          <w:rFonts w:eastAsiaTheme="minorHAnsi"/>
          <w:bCs/>
          <w:lang w:val="en-NZ"/>
        </w:rPr>
        <w:t>avoid</w:t>
      </w:r>
      <w:proofErr w:type="gramEnd"/>
      <w:r w:rsidRPr="00EF5E51">
        <w:rPr>
          <w:rFonts w:eastAsiaTheme="minorHAnsi"/>
          <w:bCs/>
          <w:lang w:val="en-NZ"/>
        </w:rPr>
        <w:t xml:space="preserve"> discrimination.</w:t>
      </w:r>
      <w:r w:rsidRPr="00EF5E51">
        <w:rPr>
          <w:lang w:val="en-NZ"/>
        </w:rPr>
        <w:t xml:space="preserve"> </w:t>
      </w:r>
      <w:proofErr w:type="gramStart"/>
      <w:r w:rsidRPr="00EF5E51">
        <w:rPr>
          <w:lang w:val="en-NZ"/>
        </w:rPr>
        <w:t xml:space="preserve">New Zealand Medical Journal, </w:t>
      </w:r>
      <w:proofErr w:type="spellStart"/>
      <w:r w:rsidRPr="00EF5E51">
        <w:rPr>
          <w:rFonts w:eastAsiaTheme="minorHAnsi"/>
          <w:lang w:val="en-NZ"/>
        </w:rPr>
        <w:t>Vol</w:t>
      </w:r>
      <w:proofErr w:type="spellEnd"/>
      <w:r w:rsidRPr="00EF5E51">
        <w:rPr>
          <w:rFonts w:eastAsiaTheme="minorHAnsi"/>
          <w:lang w:val="en-NZ"/>
        </w:rPr>
        <w:t xml:space="preserve"> 127 No 1403.</w:t>
      </w:r>
      <w:proofErr w:type="gramEnd"/>
      <w:r>
        <w:rPr>
          <w:rFonts w:eastAsiaTheme="minorHAnsi"/>
          <w:lang w:val="en-NZ"/>
        </w:rPr>
        <w:t xml:space="preserve"> </w:t>
      </w:r>
    </w:p>
  </w:footnote>
  <w:footnote w:id="79">
    <w:p w:rsidR="00C54925" w:rsidRPr="00075955" w:rsidRDefault="00C54925" w:rsidP="00E40E03">
      <w:pPr>
        <w:pStyle w:val="FootnoteText"/>
      </w:pPr>
      <w:r>
        <w:rPr>
          <w:rStyle w:val="FootnoteReference"/>
        </w:rPr>
        <w:footnoteRef/>
      </w:r>
      <w:r>
        <w:t xml:space="preserve"> </w:t>
      </w:r>
      <w:r w:rsidRPr="00075955">
        <w:t>This group of people are typically forced to take hi</w:t>
      </w:r>
      <w:r>
        <w:t>gh doses of psychotropic drugs (</w:t>
      </w:r>
      <w:r w:rsidRPr="00075955">
        <w:t>often multiple different types of medication at o</w:t>
      </w:r>
      <w:r>
        <w:t xml:space="preserve">nce) </w:t>
      </w:r>
      <w:r w:rsidRPr="00075955">
        <w:t xml:space="preserve">that have particularly adverse health effects, </w:t>
      </w:r>
      <w:r>
        <w:t xml:space="preserve">shorten life expectancy, </w:t>
      </w:r>
      <w:r w:rsidRPr="00075955">
        <w:t>impair people’s ability to function and compromise quality of life</w:t>
      </w:r>
      <w:r>
        <w:t>. People can remain under CTOs in the community indefinitely, with little recourse to justice. This practice is akin to preventative detention in the criminal justice system.</w:t>
      </w:r>
    </w:p>
  </w:footnote>
  <w:footnote w:id="80">
    <w:p w:rsidR="00C54925" w:rsidRPr="00DA2EE4" w:rsidRDefault="00C54925">
      <w:pPr>
        <w:pStyle w:val="FootnoteText"/>
        <w:rPr>
          <w:lang w:val="en-NZ"/>
        </w:rPr>
      </w:pPr>
      <w:r>
        <w:rPr>
          <w:rStyle w:val="FootnoteReference"/>
        </w:rPr>
        <w:footnoteRef/>
      </w:r>
      <w:r>
        <w:t xml:space="preserve"> </w:t>
      </w:r>
      <w:r>
        <w:rPr>
          <w:lang w:val="en-NZ"/>
        </w:rPr>
        <w:t xml:space="preserve">New Zealand has a comparatively high rate of Compulsory Treatment Orders (i.e. forced treatment). Seclusion (including stripping) and restraint remain routine practice, despite national policy to reduce these practices. There is a substantial body of international research to show that all of these practices further traumatise people.  </w:t>
      </w:r>
    </w:p>
  </w:footnote>
  <w:footnote w:id="81">
    <w:p w:rsidR="00C54925" w:rsidRPr="00EF5E51" w:rsidRDefault="00C54925" w:rsidP="00A757B4">
      <w:pPr>
        <w:autoSpaceDE w:val="0"/>
        <w:autoSpaceDN w:val="0"/>
        <w:adjustRightInd w:val="0"/>
        <w:rPr>
          <w:rFonts w:eastAsiaTheme="minorHAnsi"/>
          <w:bCs/>
          <w:lang w:val="en-NZ"/>
        </w:rPr>
      </w:pPr>
      <w:r w:rsidRPr="00EF5E51">
        <w:rPr>
          <w:rStyle w:val="FootnoteReference"/>
        </w:rPr>
        <w:footnoteRef/>
      </w:r>
      <w:r w:rsidRPr="00EF5E51">
        <w:t xml:space="preserve"> </w:t>
      </w:r>
      <w:r w:rsidRPr="00EF5E51">
        <w:rPr>
          <w:lang w:val="en-NZ"/>
        </w:rPr>
        <w:t xml:space="preserve">Gordon, S. &amp; O’Brien, A. (2014) </w:t>
      </w:r>
      <w:r w:rsidRPr="00EF5E51">
        <w:rPr>
          <w:rFonts w:eastAsiaTheme="minorHAnsi"/>
          <w:bCs/>
          <w:lang w:val="en-NZ"/>
        </w:rPr>
        <w:t>New Zealand’s mental health legislation needs reform to</w:t>
      </w:r>
    </w:p>
    <w:p w:rsidR="00C54925" w:rsidRPr="00EF5E51" w:rsidRDefault="00C54925" w:rsidP="00A757B4">
      <w:pPr>
        <w:autoSpaceDE w:val="0"/>
        <w:autoSpaceDN w:val="0"/>
        <w:adjustRightInd w:val="0"/>
        <w:rPr>
          <w:rFonts w:eastAsiaTheme="minorHAnsi"/>
          <w:lang w:val="en-NZ"/>
        </w:rPr>
      </w:pPr>
      <w:proofErr w:type="gramStart"/>
      <w:r w:rsidRPr="00EF5E51">
        <w:rPr>
          <w:rFonts w:eastAsiaTheme="minorHAnsi"/>
          <w:bCs/>
          <w:lang w:val="en-NZ"/>
        </w:rPr>
        <w:t>avoid</w:t>
      </w:r>
      <w:proofErr w:type="gramEnd"/>
      <w:r w:rsidRPr="00EF5E51">
        <w:rPr>
          <w:rFonts w:eastAsiaTheme="minorHAnsi"/>
          <w:bCs/>
          <w:lang w:val="en-NZ"/>
        </w:rPr>
        <w:t xml:space="preserve"> discrimination.</w:t>
      </w:r>
      <w:r w:rsidRPr="00EF5E51">
        <w:rPr>
          <w:lang w:val="en-NZ"/>
        </w:rPr>
        <w:t xml:space="preserve"> </w:t>
      </w:r>
      <w:proofErr w:type="gramStart"/>
      <w:r w:rsidRPr="00EF5E51">
        <w:rPr>
          <w:lang w:val="en-NZ"/>
        </w:rPr>
        <w:t xml:space="preserve">New Zealand Medical Journal, </w:t>
      </w:r>
      <w:proofErr w:type="spellStart"/>
      <w:r w:rsidRPr="00EF5E51">
        <w:rPr>
          <w:rFonts w:eastAsiaTheme="minorHAnsi"/>
          <w:lang w:val="en-NZ"/>
        </w:rPr>
        <w:t>Vol</w:t>
      </w:r>
      <w:proofErr w:type="spellEnd"/>
      <w:r w:rsidRPr="00EF5E51">
        <w:rPr>
          <w:rFonts w:eastAsiaTheme="minorHAnsi"/>
          <w:lang w:val="en-NZ"/>
        </w:rPr>
        <w:t xml:space="preserve"> 127 No 1403.</w:t>
      </w:r>
      <w:proofErr w:type="gramEnd"/>
      <w:r>
        <w:rPr>
          <w:rFonts w:eastAsiaTheme="minorHAnsi"/>
          <w:lang w:val="en-NZ"/>
        </w:rPr>
        <w:t xml:space="preserve"> </w:t>
      </w:r>
    </w:p>
    <w:p w:rsidR="00C54925" w:rsidRPr="00D714D2" w:rsidRDefault="00C54925" w:rsidP="00A757B4">
      <w:pPr>
        <w:pStyle w:val="FootnoteText"/>
        <w:rPr>
          <w:rFonts w:eastAsiaTheme="minorHAnsi"/>
          <w:lang w:val="en-NZ"/>
        </w:rPr>
      </w:pPr>
      <w:hyperlink r:id="rId64" w:history="1">
        <w:r w:rsidRPr="00EF5E51">
          <w:rPr>
            <w:rStyle w:val="Hyperlink"/>
            <w:rFonts w:eastAsiaTheme="minorHAnsi"/>
            <w:lang w:val="en-NZ"/>
          </w:rPr>
          <w:t>http://www.nzma.org.nz/journal/read-the-journal/all-issues/2010-2019/2014/vol-127-no-1403/6316</w:t>
        </w:r>
      </w:hyperlink>
    </w:p>
  </w:footnote>
  <w:footnote w:id="82">
    <w:p w:rsidR="00C54925" w:rsidRPr="009C4B60" w:rsidRDefault="00C54925">
      <w:pPr>
        <w:pStyle w:val="FootnoteText"/>
        <w:rPr>
          <w:lang w:val="en-NZ"/>
        </w:rPr>
      </w:pPr>
      <w:r>
        <w:rPr>
          <w:rStyle w:val="FootnoteReference"/>
        </w:rPr>
        <w:footnoteRef/>
      </w:r>
      <w:r>
        <w:t xml:space="preserve"> </w:t>
      </w:r>
      <w:r>
        <w:rPr>
          <w:lang w:val="en-NZ"/>
        </w:rPr>
        <w:t xml:space="preserve">For example: Barnett, H. &amp; Lapsley, H. (2006) Journeys of Despair, </w:t>
      </w:r>
      <w:proofErr w:type="gramStart"/>
      <w:r>
        <w:rPr>
          <w:lang w:val="en-NZ"/>
        </w:rPr>
        <w:t>Journeys</w:t>
      </w:r>
      <w:proofErr w:type="gramEnd"/>
      <w:r>
        <w:rPr>
          <w:lang w:val="en-NZ"/>
        </w:rPr>
        <w:t xml:space="preserve"> of Hope. Young adults talk about severe mental distress, mental health services and recovery. Wellington: Mental Health Commission.</w:t>
      </w:r>
      <w:r w:rsidRPr="009C4B60">
        <w:t xml:space="preserve"> </w:t>
      </w:r>
      <w:r>
        <w:t xml:space="preserve"> </w:t>
      </w:r>
      <w:hyperlink r:id="rId65" w:history="1">
        <w:r w:rsidRPr="004C4A8C">
          <w:rPr>
            <w:rStyle w:val="Hyperlink"/>
            <w:lang w:val="en-NZ"/>
          </w:rPr>
          <w:t>http://www.mentalhealth.org.nz/assets/ResourceFinder/journeys-of-despair-journeys-of-hope-2006.pdf</w:t>
        </w:r>
      </w:hyperlink>
    </w:p>
  </w:footnote>
  <w:footnote w:id="83">
    <w:p w:rsidR="00C54925" w:rsidRDefault="00C54925">
      <w:pPr>
        <w:pStyle w:val="FootnoteText"/>
      </w:pPr>
      <w:r>
        <w:rPr>
          <w:rStyle w:val="FootnoteReference"/>
        </w:rPr>
        <w:footnoteRef/>
      </w:r>
      <w:hyperlink r:id="rId66" w:history="1">
        <w:r w:rsidRPr="004C4A8C">
          <w:rPr>
            <w:rStyle w:val="Hyperlink"/>
          </w:rPr>
          <w:t>http://www.ombudsman.parliament.nz/system/paperclip/document_files/document_files/715/original/opcat_2013_final_report.pdf?1386810238</w:t>
        </w:r>
      </w:hyperlink>
      <w:r>
        <w:t xml:space="preserve">; </w:t>
      </w:r>
      <w:hyperlink r:id="rId67" w:anchor="q=ombudsman+investigates+intellectually+disabled+nz" w:history="1">
        <w:r w:rsidRPr="004C4A8C">
          <w:rPr>
            <w:rStyle w:val="Hyperlink"/>
          </w:rPr>
          <w:t>https://www.google.co.nz/webhp?sourceid=chrome-instant&amp;rlz=1C1NCHB_enNZ574NZ574&amp;ion=1&amp;espv=2&amp;ie=UTF-8#q=ombudsman+investigates+intellectually+disabled+nz</w:t>
        </w:r>
      </w:hyperlink>
    </w:p>
    <w:p w:rsidR="00C54925" w:rsidRPr="006068B1" w:rsidRDefault="00C54925" w:rsidP="005316B7">
      <w:pPr>
        <w:pStyle w:val="NormalWeb"/>
        <w:shd w:val="clear" w:color="auto" w:fill="FFFFFF"/>
        <w:spacing w:before="0" w:beforeAutospacing="0" w:after="0" w:afterAutospacing="0"/>
        <w:rPr>
          <w:sz w:val="20"/>
          <w:szCs w:val="20"/>
        </w:rPr>
      </w:pPr>
      <w:hyperlink r:id="rId68" w:history="1">
        <w:r w:rsidRPr="004C4A8C">
          <w:rPr>
            <w:rStyle w:val="Hyperlink"/>
            <w:sz w:val="20"/>
            <w:szCs w:val="20"/>
          </w:rPr>
          <w:t>http://www.ombudsman.parliament.nz/resources-and-publications/latest-reports</w:t>
        </w:r>
      </w:hyperlink>
    </w:p>
  </w:footnote>
  <w:footnote w:id="84">
    <w:p w:rsidR="00C54925" w:rsidRPr="005156DC" w:rsidRDefault="00C54925" w:rsidP="00E40E03">
      <w:pPr>
        <w:pStyle w:val="FootnoteText"/>
      </w:pPr>
      <w:r>
        <w:rPr>
          <w:rStyle w:val="FootnoteReference"/>
        </w:rPr>
        <w:footnoteRef/>
      </w:r>
      <w:r>
        <w:t xml:space="preserve"> </w:t>
      </w:r>
      <w:hyperlink r:id="rId69" w:history="1">
        <w:r w:rsidRPr="004C4A8C">
          <w:rPr>
            <w:rStyle w:val="Hyperlink"/>
          </w:rPr>
          <w:t>http://www.health.govt.nz/system/files/documents/publications/office-of-the-director-of-mental-health-annual-report2012.pdf</w:t>
        </w:r>
      </w:hyperlink>
    </w:p>
  </w:footnote>
  <w:footnote w:id="85">
    <w:p w:rsidR="00C54925" w:rsidRPr="008047B4" w:rsidRDefault="00C54925">
      <w:pPr>
        <w:pStyle w:val="FootnoteText"/>
      </w:pPr>
      <w:r>
        <w:rPr>
          <w:rStyle w:val="FootnoteReference"/>
        </w:rPr>
        <w:footnoteRef/>
      </w:r>
      <w:r>
        <w:t xml:space="preserve"> </w:t>
      </w:r>
      <w:hyperlink r:id="rId70" w:history="1">
        <w:r w:rsidRPr="004C4A8C">
          <w:rPr>
            <w:rStyle w:val="Hyperlink"/>
          </w:rPr>
          <w:t>http://www.hrc.co.nz/files/6314/3130/4434/HRC_submission_to_CAT_Final.pdf</w:t>
        </w:r>
      </w:hyperlink>
    </w:p>
  </w:footnote>
  <w:footnote w:id="86">
    <w:p w:rsidR="00C54925" w:rsidRPr="00EF5E51" w:rsidRDefault="00C54925" w:rsidP="005316B7">
      <w:pPr>
        <w:autoSpaceDE w:val="0"/>
        <w:autoSpaceDN w:val="0"/>
        <w:adjustRightInd w:val="0"/>
        <w:rPr>
          <w:rFonts w:eastAsiaTheme="minorHAnsi"/>
          <w:bCs/>
          <w:lang w:val="en-NZ"/>
        </w:rPr>
      </w:pPr>
      <w:r>
        <w:rPr>
          <w:rStyle w:val="FootnoteReference"/>
        </w:rPr>
        <w:footnoteRef/>
      </w:r>
      <w:r>
        <w:t xml:space="preserve"> </w:t>
      </w:r>
      <w:r w:rsidRPr="00EF5E51">
        <w:rPr>
          <w:lang w:val="en-NZ"/>
        </w:rPr>
        <w:t xml:space="preserve">Gordon, S. &amp; O’Brien, A. (2014) </w:t>
      </w:r>
      <w:r w:rsidRPr="00EF5E51">
        <w:rPr>
          <w:rFonts w:eastAsiaTheme="minorHAnsi"/>
          <w:bCs/>
          <w:lang w:val="en-NZ"/>
        </w:rPr>
        <w:t>New Zealand’s mental health legislation needs reform to</w:t>
      </w:r>
    </w:p>
    <w:p w:rsidR="00C54925" w:rsidRPr="005316B7" w:rsidRDefault="00C54925" w:rsidP="005316B7">
      <w:pPr>
        <w:autoSpaceDE w:val="0"/>
        <w:autoSpaceDN w:val="0"/>
        <w:adjustRightInd w:val="0"/>
        <w:rPr>
          <w:rFonts w:eastAsiaTheme="minorHAnsi"/>
          <w:lang w:val="en-NZ"/>
        </w:rPr>
      </w:pPr>
      <w:proofErr w:type="gramStart"/>
      <w:r w:rsidRPr="00EF5E51">
        <w:rPr>
          <w:rFonts w:eastAsiaTheme="minorHAnsi"/>
          <w:bCs/>
          <w:lang w:val="en-NZ"/>
        </w:rPr>
        <w:t>avoid</w:t>
      </w:r>
      <w:proofErr w:type="gramEnd"/>
      <w:r w:rsidRPr="00EF5E51">
        <w:rPr>
          <w:rFonts w:eastAsiaTheme="minorHAnsi"/>
          <w:bCs/>
          <w:lang w:val="en-NZ"/>
        </w:rPr>
        <w:t xml:space="preserve"> discrimination.</w:t>
      </w:r>
      <w:r w:rsidRPr="00EF5E51">
        <w:rPr>
          <w:lang w:val="en-NZ"/>
        </w:rPr>
        <w:t xml:space="preserve"> </w:t>
      </w:r>
      <w:proofErr w:type="gramStart"/>
      <w:r w:rsidRPr="00EF5E51">
        <w:rPr>
          <w:lang w:val="en-NZ"/>
        </w:rPr>
        <w:t xml:space="preserve">New Zealand Medical Journal, </w:t>
      </w:r>
      <w:proofErr w:type="spellStart"/>
      <w:r w:rsidRPr="00EF5E51">
        <w:rPr>
          <w:rFonts w:eastAsiaTheme="minorHAnsi"/>
          <w:lang w:val="en-NZ"/>
        </w:rPr>
        <w:t>Vol</w:t>
      </w:r>
      <w:proofErr w:type="spellEnd"/>
      <w:r w:rsidRPr="00EF5E51">
        <w:rPr>
          <w:rFonts w:eastAsiaTheme="minorHAnsi"/>
          <w:lang w:val="en-NZ"/>
        </w:rPr>
        <w:t xml:space="preserve"> 127 No 1403.</w:t>
      </w:r>
      <w:proofErr w:type="gramEnd"/>
      <w:r>
        <w:rPr>
          <w:rFonts w:eastAsiaTheme="minorHAnsi"/>
          <w:lang w:val="en-NZ"/>
        </w:rPr>
        <w:t xml:space="preserve"> </w:t>
      </w:r>
    </w:p>
  </w:footnote>
  <w:footnote w:id="87">
    <w:p w:rsidR="00C54925" w:rsidRDefault="00C54925">
      <w:pPr>
        <w:pStyle w:val="FootnoteText"/>
      </w:pPr>
      <w:r>
        <w:rPr>
          <w:rStyle w:val="FootnoteReference"/>
        </w:rPr>
        <w:footnoteRef/>
      </w:r>
      <w:r>
        <w:t xml:space="preserve"> </w:t>
      </w:r>
      <w:hyperlink r:id="rId71" w:history="1">
        <w:r w:rsidRPr="004C4A8C">
          <w:rPr>
            <w:rStyle w:val="Hyperlink"/>
          </w:rPr>
          <w:t>http://www.hrc.co.nz/files/6314/3130/4434/HRC_submission_to_CAT_Final.pdf</w:t>
        </w:r>
      </w:hyperlink>
    </w:p>
    <w:p w:rsidR="00C54925" w:rsidRPr="0028160E" w:rsidRDefault="00C54925">
      <w:pPr>
        <w:pStyle w:val="FootnoteText"/>
        <w:rPr>
          <w:lang w:val="en-NZ"/>
        </w:rPr>
      </w:pPr>
    </w:p>
  </w:footnote>
  <w:footnote w:id="88">
    <w:p w:rsidR="00C54925" w:rsidRPr="009E503F" w:rsidRDefault="00C54925" w:rsidP="00504B45">
      <w:pPr>
        <w:pStyle w:val="FootnoteText"/>
        <w:rPr>
          <w:lang w:val="en-NZ"/>
        </w:rPr>
      </w:pPr>
    </w:p>
  </w:footnote>
  <w:footnote w:id="89">
    <w:p w:rsidR="00C54925" w:rsidRPr="00D34231" w:rsidRDefault="00C54925" w:rsidP="00504B45">
      <w:pPr>
        <w:pStyle w:val="FootnoteText"/>
      </w:pPr>
    </w:p>
  </w:footnote>
  <w:footnote w:id="90">
    <w:p w:rsidR="00C54925" w:rsidRPr="00030E60" w:rsidRDefault="00C54925" w:rsidP="00504B45">
      <w:pPr>
        <w:pStyle w:val="FootnoteText"/>
      </w:pPr>
      <w:r>
        <w:rPr>
          <w:rStyle w:val="FootnoteReference"/>
        </w:rPr>
        <w:footnoteRef/>
      </w:r>
      <w:r>
        <w:t xml:space="preserve"> </w:t>
      </w:r>
      <w:hyperlink r:id="rId72" w:history="1">
        <w:r w:rsidRPr="000E2FEA">
          <w:rPr>
            <w:rStyle w:val="Hyperlink"/>
          </w:rPr>
          <w:t>http://www.health.govt.nz/publication/health-indicators-new-zealanders-intellectual-disability</w:t>
        </w:r>
      </w:hyperlink>
      <w:r>
        <w:t xml:space="preserve">; </w:t>
      </w:r>
    </w:p>
  </w:footnote>
  <w:footnote w:id="91">
    <w:p w:rsidR="00C54925" w:rsidRDefault="00C54925" w:rsidP="00504B45">
      <w:pPr>
        <w:pStyle w:val="FootnoteText"/>
      </w:pPr>
      <w:r>
        <w:rPr>
          <w:rStyle w:val="FootnoteReference"/>
        </w:rPr>
        <w:footnoteRef/>
      </w:r>
      <w:r>
        <w:t xml:space="preserve"> </w:t>
      </w:r>
      <w:hyperlink r:id="rId73" w:history="1">
        <w:r w:rsidRPr="000E2FEA">
          <w:rPr>
            <w:rStyle w:val="Hyperlink"/>
          </w:rPr>
          <w:t>http://www.tepou.co.nz/uploads/files/resource-assets/summary-paper-the-physical-health-of-people-with-a-serious-mental-illness-andor-addiction.pdf</w:t>
        </w:r>
      </w:hyperlink>
      <w:r>
        <w:t xml:space="preserve">; </w:t>
      </w:r>
      <w:hyperlink r:id="rId74" w:history="1">
        <w:r w:rsidRPr="000E2FEA">
          <w:rPr>
            <w:rStyle w:val="Hyperlink"/>
          </w:rPr>
          <w:t>https://www.rnzcgp.org.nz/assets/documents/Publications/JPHC/February-2014/JPHCOSPWheelerMarch2014.pdf</w:t>
        </w:r>
      </w:hyperlink>
      <w:r>
        <w:t xml:space="preserve">; </w:t>
      </w:r>
    </w:p>
    <w:p w:rsidR="00C54925" w:rsidRPr="00030E60" w:rsidRDefault="00C54925" w:rsidP="00504B45">
      <w:pPr>
        <w:pStyle w:val="FootnoteText"/>
      </w:pPr>
      <w:hyperlink r:id="rId75" w:history="1">
        <w:r w:rsidRPr="000E2FEA">
          <w:rPr>
            <w:rStyle w:val="Hyperlink"/>
          </w:rPr>
          <w:t>http://www.ox.ac.uk/news/2014-05-23-many-mental-illnesses-reduce-life-expectancy-more-heavy-smoking</w:t>
        </w:r>
      </w:hyperlink>
    </w:p>
  </w:footnote>
  <w:footnote w:id="92">
    <w:p w:rsidR="00C54925" w:rsidRPr="003B0C27" w:rsidRDefault="00C54925" w:rsidP="00E74B7C">
      <w:pPr>
        <w:rPr>
          <w:color w:val="000000" w:themeColor="text1"/>
        </w:rPr>
      </w:pPr>
      <w:r w:rsidRPr="0073001C">
        <w:rPr>
          <w:rStyle w:val="FootnoteReference"/>
          <w:color w:val="000000" w:themeColor="text1"/>
        </w:rPr>
        <w:footnoteRef/>
      </w:r>
      <w:r w:rsidRPr="0073001C">
        <w:rPr>
          <w:color w:val="000000" w:themeColor="text1"/>
        </w:rPr>
        <w:t xml:space="preserve"> </w:t>
      </w:r>
      <w:hyperlink r:id="rId76" w:history="1">
        <w:r w:rsidRPr="00CC5023">
          <w:rPr>
            <w:rStyle w:val="Hyperlink"/>
          </w:rPr>
          <w:t>http://www.weka.net.nz/support/by-region/south-island/otago/donald-beasley-institute-dunedin</w:t>
        </w:r>
      </w:hyperlink>
    </w:p>
  </w:footnote>
  <w:footnote w:id="93">
    <w:p w:rsidR="00C54925" w:rsidRPr="00F018C4" w:rsidRDefault="00C54925">
      <w:pPr>
        <w:pStyle w:val="FootnoteText"/>
      </w:pPr>
      <w:r>
        <w:rPr>
          <w:rStyle w:val="FootnoteReference"/>
        </w:rPr>
        <w:footnoteRef/>
      </w:r>
      <w:r>
        <w:t xml:space="preserve"> </w:t>
      </w:r>
      <w:hyperlink r:id="rId77" w:history="1">
        <w:r w:rsidRPr="00261CB5">
          <w:rPr>
            <w:rStyle w:val="Hyperlink"/>
          </w:rPr>
          <w:t>http://www.hrc.co.nz/enquiries-and-complaints/what-you-can-complain-about/</w:t>
        </w:r>
      </w:hyperlink>
    </w:p>
  </w:footnote>
  <w:footnote w:id="94">
    <w:p w:rsidR="00C54925" w:rsidRPr="00F018C4" w:rsidRDefault="00C54925">
      <w:pPr>
        <w:pStyle w:val="FootnoteText"/>
      </w:pPr>
      <w:r>
        <w:rPr>
          <w:rStyle w:val="FootnoteReference"/>
        </w:rPr>
        <w:footnoteRef/>
      </w:r>
      <w:r>
        <w:t xml:space="preserve"> </w:t>
      </w:r>
      <w:hyperlink r:id="rId78" w:history="1">
        <w:r w:rsidRPr="00261CB5">
          <w:rPr>
            <w:rStyle w:val="Hyperlink"/>
          </w:rPr>
          <w:t>http://www.hrc.co.nz/enquiries-and-complaints/how-make-complaint/</w:t>
        </w:r>
      </w:hyperlink>
    </w:p>
  </w:footnote>
  <w:footnote w:id="95">
    <w:p w:rsidR="00C54925" w:rsidRPr="006201C1" w:rsidRDefault="00C54925" w:rsidP="006201C1">
      <w:pPr>
        <w:pStyle w:val="FootnoteText"/>
      </w:pPr>
      <w:r>
        <w:rPr>
          <w:rStyle w:val="FootnoteReference"/>
        </w:rPr>
        <w:footnoteRef/>
      </w:r>
      <w:r>
        <w:t xml:space="preserve"> </w:t>
      </w:r>
      <w:hyperlink r:id="rId79" w:history="1">
        <w:r w:rsidRPr="00CC5023">
          <w:rPr>
            <w:rStyle w:val="Hyperlink"/>
          </w:rPr>
          <w:t>http://www.hdc.org.nz/the-act--code/the-code-of-rights</w:t>
        </w:r>
      </w:hyperlink>
    </w:p>
  </w:footnote>
  <w:footnote w:id="96">
    <w:p w:rsidR="00C54925" w:rsidRPr="00B117CB" w:rsidRDefault="00C54925" w:rsidP="006201C1">
      <w:pPr>
        <w:pStyle w:val="FootnoteText"/>
      </w:pPr>
      <w:r>
        <w:rPr>
          <w:rStyle w:val="FootnoteReference"/>
        </w:rPr>
        <w:footnoteRef/>
      </w:r>
      <w:r>
        <w:t xml:space="preserve"> </w:t>
      </w:r>
      <w:hyperlink r:id="rId80" w:history="1">
        <w:r w:rsidRPr="004C4A8C">
          <w:rPr>
            <w:rStyle w:val="Hyperlink"/>
          </w:rPr>
          <w:t>http://www.hrc.co.nz/files/6314/3130/4434/HRC_submission_to_CAT_Final.pdf</w:t>
        </w:r>
      </w:hyperlink>
    </w:p>
  </w:footnote>
  <w:footnote w:id="97">
    <w:p w:rsidR="00C54925" w:rsidRPr="00B117CB" w:rsidRDefault="00C54925" w:rsidP="006201C1">
      <w:pPr>
        <w:pStyle w:val="FootnoteText"/>
      </w:pPr>
      <w:r>
        <w:rPr>
          <w:rStyle w:val="FootnoteReference"/>
        </w:rPr>
        <w:footnoteRef/>
      </w:r>
      <w:hyperlink r:id="rId81" w:history="1">
        <w:r w:rsidRPr="004C4A8C">
          <w:rPr>
            <w:rStyle w:val="Hyperlink"/>
          </w:rPr>
          <w:t>http://www.ombudsman.parliament.nz/system/paperclip/document_files/document_files/708/original/annual_report_2012_-_2013.pdf?1381799341</w:t>
        </w:r>
      </w:hyperlink>
    </w:p>
  </w:footnote>
  <w:footnote w:id="98">
    <w:p w:rsidR="00C54925" w:rsidRPr="006201C1" w:rsidRDefault="00C54925" w:rsidP="006201C1">
      <w:pPr>
        <w:pStyle w:val="FootnoteText"/>
        <w:rPr>
          <w:lang w:val="en-NZ"/>
        </w:rPr>
      </w:pPr>
    </w:p>
  </w:footnote>
  <w:footnote w:id="99">
    <w:p w:rsidR="00C54925" w:rsidRPr="00EF5E51" w:rsidRDefault="00C54925" w:rsidP="006201C1">
      <w:pPr>
        <w:autoSpaceDE w:val="0"/>
        <w:autoSpaceDN w:val="0"/>
        <w:adjustRightInd w:val="0"/>
        <w:rPr>
          <w:rFonts w:eastAsiaTheme="minorHAnsi"/>
          <w:bCs/>
          <w:lang w:val="en-NZ"/>
        </w:rPr>
      </w:pPr>
      <w:r>
        <w:rPr>
          <w:rStyle w:val="FootnoteReference"/>
        </w:rPr>
        <w:footnoteRef/>
      </w:r>
      <w:r>
        <w:t xml:space="preserve"> </w:t>
      </w:r>
      <w:r w:rsidRPr="00EF5E51">
        <w:rPr>
          <w:lang w:val="en-NZ"/>
        </w:rPr>
        <w:t xml:space="preserve">Gordon, S. &amp; O’Brien, A. (2014) </w:t>
      </w:r>
      <w:r w:rsidRPr="00EF5E51">
        <w:rPr>
          <w:rFonts w:eastAsiaTheme="minorHAnsi"/>
          <w:bCs/>
          <w:lang w:val="en-NZ"/>
        </w:rPr>
        <w:t>New Zealand’s mental health legislation needs reform to</w:t>
      </w:r>
    </w:p>
    <w:p w:rsidR="00C54925" w:rsidRPr="006201C1" w:rsidRDefault="00C54925" w:rsidP="006201C1">
      <w:pPr>
        <w:pStyle w:val="FootnoteText"/>
        <w:rPr>
          <w:lang w:val="en-NZ"/>
        </w:rPr>
      </w:pPr>
      <w:proofErr w:type="gramStart"/>
      <w:r w:rsidRPr="00EF5E51">
        <w:rPr>
          <w:rFonts w:eastAsiaTheme="minorHAnsi"/>
          <w:bCs/>
          <w:lang w:val="en-NZ"/>
        </w:rPr>
        <w:t>avoid</w:t>
      </w:r>
      <w:proofErr w:type="gramEnd"/>
      <w:r w:rsidRPr="00EF5E51">
        <w:rPr>
          <w:rFonts w:eastAsiaTheme="minorHAnsi"/>
          <w:bCs/>
          <w:lang w:val="en-NZ"/>
        </w:rPr>
        <w:t xml:space="preserve"> discrimination.</w:t>
      </w:r>
      <w:r w:rsidRPr="00EF5E51">
        <w:rPr>
          <w:lang w:val="en-NZ"/>
        </w:rPr>
        <w:t xml:space="preserve"> </w:t>
      </w:r>
      <w:proofErr w:type="gramStart"/>
      <w:r w:rsidRPr="00EF5E51">
        <w:rPr>
          <w:lang w:val="en-NZ"/>
        </w:rPr>
        <w:t xml:space="preserve">New Zealand Medical Journal, </w:t>
      </w:r>
      <w:proofErr w:type="spellStart"/>
      <w:r w:rsidRPr="00EF5E51">
        <w:rPr>
          <w:rFonts w:eastAsiaTheme="minorHAnsi"/>
          <w:lang w:val="en-NZ"/>
        </w:rPr>
        <w:t>Vol</w:t>
      </w:r>
      <w:proofErr w:type="spellEnd"/>
      <w:r w:rsidRPr="00EF5E51">
        <w:rPr>
          <w:rFonts w:eastAsiaTheme="minorHAnsi"/>
          <w:lang w:val="en-NZ"/>
        </w:rPr>
        <w:t xml:space="preserve"> 127 No 1403.</w:t>
      </w:r>
      <w:proofErr w:type="gramEnd"/>
    </w:p>
  </w:footnote>
  <w:footnote w:id="100">
    <w:p w:rsidR="00C54925" w:rsidRPr="00EF5E51" w:rsidRDefault="00C54925" w:rsidP="00821CEC">
      <w:pPr>
        <w:autoSpaceDE w:val="0"/>
        <w:autoSpaceDN w:val="0"/>
        <w:adjustRightInd w:val="0"/>
        <w:rPr>
          <w:rFonts w:eastAsiaTheme="minorHAnsi"/>
          <w:bCs/>
          <w:lang w:val="en-NZ"/>
        </w:rPr>
      </w:pPr>
      <w:r>
        <w:rPr>
          <w:rStyle w:val="FootnoteReference"/>
        </w:rPr>
        <w:footnoteRef/>
      </w:r>
      <w:r>
        <w:t xml:space="preserve"> </w:t>
      </w:r>
      <w:r w:rsidRPr="00EF5E51">
        <w:rPr>
          <w:lang w:val="en-NZ"/>
        </w:rPr>
        <w:t xml:space="preserve">Gordon, S. &amp; O’Brien, A. (2014) </w:t>
      </w:r>
      <w:r w:rsidRPr="00EF5E51">
        <w:rPr>
          <w:rFonts w:eastAsiaTheme="minorHAnsi"/>
          <w:bCs/>
          <w:lang w:val="en-NZ"/>
        </w:rPr>
        <w:t>New Zealand’s mental health legislation needs reform to</w:t>
      </w:r>
    </w:p>
    <w:p w:rsidR="00C54925" w:rsidRPr="00821CEC" w:rsidRDefault="00C54925" w:rsidP="00821CEC">
      <w:pPr>
        <w:autoSpaceDE w:val="0"/>
        <w:autoSpaceDN w:val="0"/>
        <w:adjustRightInd w:val="0"/>
        <w:rPr>
          <w:rFonts w:eastAsiaTheme="minorHAnsi"/>
          <w:lang w:val="en-NZ"/>
        </w:rPr>
      </w:pPr>
      <w:proofErr w:type="gramStart"/>
      <w:r w:rsidRPr="00EF5E51">
        <w:rPr>
          <w:rFonts w:eastAsiaTheme="minorHAnsi"/>
          <w:bCs/>
          <w:lang w:val="en-NZ"/>
        </w:rPr>
        <w:t>avoid</w:t>
      </w:r>
      <w:proofErr w:type="gramEnd"/>
      <w:r w:rsidRPr="00EF5E51">
        <w:rPr>
          <w:rFonts w:eastAsiaTheme="minorHAnsi"/>
          <w:bCs/>
          <w:lang w:val="en-NZ"/>
        </w:rPr>
        <w:t xml:space="preserve"> discrimination.</w:t>
      </w:r>
      <w:r w:rsidRPr="00EF5E51">
        <w:rPr>
          <w:lang w:val="en-NZ"/>
        </w:rPr>
        <w:t xml:space="preserve"> </w:t>
      </w:r>
      <w:proofErr w:type="gramStart"/>
      <w:r w:rsidRPr="00EF5E51">
        <w:rPr>
          <w:lang w:val="en-NZ"/>
        </w:rPr>
        <w:t xml:space="preserve">New Zealand Medical Journal, </w:t>
      </w:r>
      <w:proofErr w:type="spellStart"/>
      <w:r w:rsidRPr="00EF5E51">
        <w:rPr>
          <w:rFonts w:eastAsiaTheme="minorHAnsi"/>
          <w:lang w:val="en-NZ"/>
        </w:rPr>
        <w:t>Vol</w:t>
      </w:r>
      <w:proofErr w:type="spellEnd"/>
      <w:r w:rsidRPr="00EF5E51">
        <w:rPr>
          <w:rFonts w:eastAsiaTheme="minorHAnsi"/>
          <w:lang w:val="en-NZ"/>
        </w:rPr>
        <w:t xml:space="preserve"> 127 No 1403.</w:t>
      </w:r>
      <w:proofErr w:type="gramEnd"/>
      <w:r>
        <w:rPr>
          <w:rFonts w:eastAsiaTheme="minorHAnsi"/>
          <w:lang w:val="en-NZ"/>
        </w:rPr>
        <w:t xml:space="preserve"> </w:t>
      </w:r>
    </w:p>
  </w:footnote>
  <w:footnote w:id="101">
    <w:p w:rsidR="00C54925" w:rsidRPr="00B14DEC" w:rsidRDefault="00C54925" w:rsidP="00B14DEC">
      <w:r w:rsidRPr="00964384">
        <w:rPr>
          <w:rStyle w:val="FootnoteReference"/>
        </w:rPr>
        <w:footnoteRef/>
      </w:r>
      <w:r w:rsidRPr="00964384">
        <w:t xml:space="preserve"> </w:t>
      </w:r>
      <w:hyperlink r:id="rId82" w:history="1">
        <w:r w:rsidRPr="00964384">
          <w:rPr>
            <w:rStyle w:val="Hyperlink"/>
            <w:color w:val="auto"/>
          </w:rPr>
          <w:t>http://www.odi.govt.nz/resources/guides-and-toolkits/disability-perspective/eliminating-access-barriers.html</w:t>
        </w:r>
      </w:hyperlink>
    </w:p>
  </w:footnote>
  <w:footnote w:id="102">
    <w:p w:rsidR="00C54925" w:rsidRPr="00425014" w:rsidRDefault="00C54925" w:rsidP="00B72BB0">
      <w:pPr>
        <w:pStyle w:val="FootnoteText"/>
      </w:pPr>
      <w:r>
        <w:rPr>
          <w:rStyle w:val="FootnoteReference"/>
        </w:rPr>
        <w:footnoteRef/>
      </w:r>
      <w:r>
        <w:t xml:space="preserve"> </w:t>
      </w:r>
      <w:hyperlink r:id="rId83" w:history="1">
        <w:r w:rsidRPr="004C4A8C">
          <w:rPr>
            <w:rStyle w:val="Hyperlink"/>
          </w:rPr>
          <w:t>http://www.otago.ac.nz/wellington/departments/publichealth/</w:t>
        </w:r>
      </w:hyperlink>
    </w:p>
  </w:footnote>
  <w:footnote w:id="103">
    <w:p w:rsidR="00C54925" w:rsidRPr="00870B09" w:rsidRDefault="00C54925" w:rsidP="00B72BB0">
      <w:pPr>
        <w:pStyle w:val="FootnoteText"/>
      </w:pPr>
      <w:r>
        <w:rPr>
          <w:rStyle w:val="FootnoteReference"/>
        </w:rPr>
        <w:footnoteRef/>
      </w:r>
      <w:r>
        <w:t xml:space="preserve"> </w:t>
      </w:r>
      <w:hyperlink r:id="rId84" w:history="1">
        <w:r w:rsidRPr="004C4A8C">
          <w:rPr>
            <w:rStyle w:val="Hyperlink"/>
          </w:rPr>
          <w:t>http://www.childpoverty.co.nz/</w:t>
        </w:r>
      </w:hyperlink>
    </w:p>
  </w:footnote>
  <w:footnote w:id="104">
    <w:p w:rsidR="00C54925" w:rsidRPr="00870B09" w:rsidRDefault="00C54925" w:rsidP="00B72BB0">
      <w:pPr>
        <w:pStyle w:val="FootnoteText"/>
      </w:pPr>
      <w:r>
        <w:rPr>
          <w:rStyle w:val="FootnoteReference"/>
        </w:rPr>
        <w:footnoteRef/>
      </w:r>
      <w:r>
        <w:t xml:space="preserve"> </w:t>
      </w:r>
      <w:hyperlink r:id="rId85" w:history="1">
        <w:r w:rsidRPr="004C4A8C">
          <w:rPr>
            <w:rStyle w:val="Hyperlink"/>
          </w:rPr>
          <w:t>http://nzccss.org.nz/publications/vulnerability-report/</w:t>
        </w:r>
      </w:hyperlink>
    </w:p>
  </w:footnote>
  <w:footnote w:id="105">
    <w:p w:rsidR="00C54925" w:rsidRPr="00870B09" w:rsidRDefault="00C54925" w:rsidP="00B72BB0">
      <w:pPr>
        <w:pStyle w:val="FootnoteText"/>
        <w:rPr>
          <w:lang w:val="en-NZ"/>
        </w:rPr>
      </w:pPr>
      <w:r>
        <w:rPr>
          <w:rStyle w:val="FootnoteReference"/>
        </w:rPr>
        <w:footnoteRef/>
      </w:r>
      <w:r>
        <w:t xml:space="preserve"> </w:t>
      </w:r>
      <w:r w:rsidRPr="00870B09">
        <w:t>http://www.cpag.org.nz/assets/150317ChildDisability.pdf</w:t>
      </w:r>
    </w:p>
  </w:footnote>
  <w:footnote w:id="106">
    <w:p w:rsidR="00C54925" w:rsidRPr="00AC62B4" w:rsidRDefault="00C54925" w:rsidP="00B72BB0">
      <w:pPr>
        <w:pStyle w:val="FootnoteText"/>
        <w:rPr>
          <w:lang w:val="en-NZ"/>
        </w:rPr>
      </w:pPr>
      <w:r w:rsidRPr="005102D3">
        <w:rPr>
          <w:rStyle w:val="FootnoteReference"/>
        </w:rPr>
        <w:footnoteRef/>
      </w:r>
      <w:proofErr w:type="gramStart"/>
      <w:r>
        <w:t>K</w:t>
      </w:r>
      <w:r w:rsidRPr="005102D3">
        <w:rPr>
          <w:shd w:val="clear" w:color="auto" w:fill="FFFFFF"/>
        </w:rPr>
        <w:t xml:space="preserve">elly, A., Denning-Kemp, G., </w:t>
      </w:r>
      <w:proofErr w:type="spellStart"/>
      <w:r w:rsidRPr="005102D3">
        <w:rPr>
          <w:shd w:val="clear" w:color="auto" w:fill="FFFFFF"/>
        </w:rPr>
        <w:t>Geiringer</w:t>
      </w:r>
      <w:proofErr w:type="spellEnd"/>
      <w:r w:rsidRPr="005102D3">
        <w:rPr>
          <w:shd w:val="clear" w:color="auto" w:fill="FFFFFF"/>
        </w:rPr>
        <w:t xml:space="preserve">, K., </w:t>
      </w:r>
      <w:proofErr w:type="spellStart"/>
      <w:r w:rsidRPr="005102D3">
        <w:rPr>
          <w:shd w:val="clear" w:color="auto" w:fill="FFFFFF"/>
        </w:rPr>
        <w:t>Abdulhamid</w:t>
      </w:r>
      <w:proofErr w:type="spellEnd"/>
      <w:r w:rsidRPr="005102D3">
        <w:rPr>
          <w:shd w:val="clear" w:color="auto" w:fill="FFFFFF"/>
        </w:rPr>
        <w:t xml:space="preserve">, A., </w:t>
      </w:r>
      <w:proofErr w:type="spellStart"/>
      <w:r w:rsidRPr="005102D3">
        <w:rPr>
          <w:shd w:val="clear" w:color="auto" w:fill="FFFFFF"/>
        </w:rPr>
        <w:t>Albabtain</w:t>
      </w:r>
      <w:proofErr w:type="spellEnd"/>
      <w:r w:rsidRPr="005102D3">
        <w:rPr>
          <w:shd w:val="clear" w:color="auto" w:fill="FFFFFF"/>
        </w:rPr>
        <w:t xml:space="preserve">, A., Beard, M., </w:t>
      </w:r>
      <w:proofErr w:type="spellStart"/>
      <w:r w:rsidRPr="005102D3">
        <w:rPr>
          <w:shd w:val="clear" w:color="auto" w:fill="FFFFFF"/>
        </w:rPr>
        <w:t>Brimble</w:t>
      </w:r>
      <w:proofErr w:type="spellEnd"/>
      <w:r w:rsidRPr="005102D3">
        <w:rPr>
          <w:shd w:val="clear" w:color="auto" w:fill="FFFFFF"/>
        </w:rPr>
        <w:t xml:space="preserve">, J., Campbell, A., </w:t>
      </w:r>
      <w:proofErr w:type="spellStart"/>
      <w:r w:rsidRPr="005102D3">
        <w:rPr>
          <w:shd w:val="clear" w:color="auto" w:fill="FFFFFF"/>
        </w:rPr>
        <w:t>Feng</w:t>
      </w:r>
      <w:proofErr w:type="spellEnd"/>
      <w:r w:rsidRPr="005102D3">
        <w:rPr>
          <w:shd w:val="clear" w:color="auto" w:fill="FFFFFF"/>
        </w:rPr>
        <w:t xml:space="preserve">, S., </w:t>
      </w:r>
      <w:proofErr w:type="spellStart"/>
      <w:r w:rsidRPr="005102D3">
        <w:rPr>
          <w:shd w:val="clear" w:color="auto" w:fill="FFFFFF"/>
        </w:rPr>
        <w:t>Haminudin</w:t>
      </w:r>
      <w:proofErr w:type="spellEnd"/>
      <w:r w:rsidRPr="005102D3">
        <w:rPr>
          <w:shd w:val="clear" w:color="auto" w:fill="FFFFFF"/>
        </w:rPr>
        <w:t xml:space="preserve">, M., Hunter, J., </w:t>
      </w:r>
      <w:proofErr w:type="spellStart"/>
      <w:r w:rsidRPr="005102D3">
        <w:rPr>
          <w:shd w:val="clear" w:color="auto" w:fill="FFFFFF"/>
        </w:rPr>
        <w:t>Ku</w:t>
      </w:r>
      <w:r>
        <w:rPr>
          <w:shd w:val="clear" w:color="auto" w:fill="FFFFFF"/>
        </w:rPr>
        <w:t>nac</w:t>
      </w:r>
      <w:proofErr w:type="spellEnd"/>
      <w:r>
        <w:rPr>
          <w:shd w:val="clear" w:color="auto" w:fill="FFFFFF"/>
        </w:rPr>
        <w:t xml:space="preserve">, N., Lin, P., </w:t>
      </w:r>
      <w:proofErr w:type="spellStart"/>
      <w:r>
        <w:rPr>
          <w:shd w:val="clear" w:color="auto" w:fill="FFFFFF"/>
        </w:rPr>
        <w:t>Lundon</w:t>
      </w:r>
      <w:proofErr w:type="spellEnd"/>
      <w:r>
        <w:rPr>
          <w:shd w:val="clear" w:color="auto" w:fill="FFFFFF"/>
        </w:rPr>
        <w:t xml:space="preserve">, N., </w:t>
      </w:r>
      <w:proofErr w:type="spellStart"/>
      <w:r w:rsidRPr="005102D3">
        <w:rPr>
          <w:shd w:val="clear" w:color="auto" w:fill="FFFFFF"/>
        </w:rPr>
        <w:t>Keall</w:t>
      </w:r>
      <w:proofErr w:type="spellEnd"/>
      <w:r w:rsidRPr="005102D3">
        <w:rPr>
          <w:shd w:val="clear" w:color="auto" w:fill="FFFFFF"/>
        </w:rPr>
        <w:t>, M., Howden-Chapman, P., Baker, M. G. (2013).</w:t>
      </w:r>
      <w:proofErr w:type="gramEnd"/>
      <w:r w:rsidRPr="005102D3">
        <w:rPr>
          <w:shd w:val="clear" w:color="auto" w:fill="FFFFFF"/>
        </w:rPr>
        <w:t xml:space="preserve"> Exposure to harmful housing conditions is common in children admitted to Wellington Hospital.</w:t>
      </w:r>
      <w:r w:rsidRPr="005102D3">
        <w:t> </w:t>
      </w:r>
      <w:proofErr w:type="gramStart"/>
      <w:r w:rsidRPr="00AC62B4">
        <w:rPr>
          <w:iCs/>
        </w:rPr>
        <w:t>New Zealand Medical Journal</w:t>
      </w:r>
      <w:r w:rsidRPr="00AC62B4">
        <w:rPr>
          <w:shd w:val="clear" w:color="auto" w:fill="FFFFFF"/>
        </w:rPr>
        <w:t>,</w:t>
      </w:r>
      <w:r w:rsidRPr="00AC62B4">
        <w:t> </w:t>
      </w:r>
      <w:r w:rsidRPr="00AC62B4">
        <w:rPr>
          <w:iCs/>
        </w:rPr>
        <w:t>126</w:t>
      </w:r>
      <w:r>
        <w:rPr>
          <w:iCs/>
        </w:rPr>
        <w:t xml:space="preserve"> </w:t>
      </w:r>
      <w:r w:rsidRPr="00AC62B4">
        <w:rPr>
          <w:shd w:val="clear" w:color="auto" w:fill="FFFFFF"/>
        </w:rPr>
        <w:t>(1387).</w:t>
      </w:r>
      <w:proofErr w:type="gramEnd"/>
      <w:r w:rsidRPr="00AC62B4">
        <w:rPr>
          <w:shd w:val="clear" w:color="auto" w:fill="FFFFFF"/>
        </w:rPr>
        <w:t xml:space="preserve"> </w:t>
      </w:r>
    </w:p>
  </w:footnote>
  <w:footnote w:id="107">
    <w:p w:rsidR="00C54925" w:rsidRPr="00AC62B4" w:rsidRDefault="00C54925">
      <w:pPr>
        <w:pStyle w:val="FootnoteText"/>
        <w:rPr>
          <w:color w:val="000000" w:themeColor="text1"/>
          <w:lang w:val="en-NZ"/>
        </w:rPr>
      </w:pPr>
      <w:r w:rsidRPr="00A249AE">
        <w:rPr>
          <w:rStyle w:val="FootnoteReference"/>
          <w:color w:val="000000" w:themeColor="text1"/>
        </w:rPr>
        <w:footnoteRef/>
      </w:r>
      <w:r w:rsidRPr="00A249AE">
        <w:rPr>
          <w:color w:val="000000" w:themeColor="text1"/>
        </w:rPr>
        <w:t xml:space="preserve"> </w:t>
      </w:r>
      <w:proofErr w:type="spellStart"/>
      <w:proofErr w:type="gramStart"/>
      <w:r w:rsidRPr="00A249AE">
        <w:rPr>
          <w:color w:val="000000" w:themeColor="text1"/>
          <w:shd w:val="clear" w:color="auto" w:fill="FFFFFF"/>
        </w:rPr>
        <w:t>Bierre</w:t>
      </w:r>
      <w:proofErr w:type="spellEnd"/>
      <w:r w:rsidRPr="00A249AE">
        <w:rPr>
          <w:color w:val="000000" w:themeColor="text1"/>
          <w:shd w:val="clear" w:color="auto" w:fill="FFFFFF"/>
        </w:rPr>
        <w:t>, S., Bennett, M. J., &amp; Howden-Chapman, P. (2014).</w:t>
      </w:r>
      <w:proofErr w:type="gramEnd"/>
      <w:r w:rsidRPr="00A249AE">
        <w:rPr>
          <w:color w:val="000000" w:themeColor="text1"/>
          <w:shd w:val="clear" w:color="auto" w:fill="FFFFFF"/>
        </w:rPr>
        <w:t xml:space="preserve"> </w:t>
      </w:r>
      <w:proofErr w:type="gramStart"/>
      <w:r w:rsidRPr="00A249AE">
        <w:rPr>
          <w:color w:val="000000" w:themeColor="text1"/>
          <w:shd w:val="clear" w:color="auto" w:fill="FFFFFF"/>
        </w:rPr>
        <w:t>Decent expectations?</w:t>
      </w:r>
      <w:proofErr w:type="gramEnd"/>
      <w:r w:rsidRPr="00A249AE">
        <w:rPr>
          <w:color w:val="000000" w:themeColor="text1"/>
          <w:shd w:val="clear" w:color="auto" w:fill="FFFFFF"/>
        </w:rPr>
        <w:t xml:space="preserve"> </w:t>
      </w:r>
      <w:proofErr w:type="gramStart"/>
      <w:r w:rsidRPr="00A249AE">
        <w:rPr>
          <w:color w:val="000000" w:themeColor="text1"/>
          <w:shd w:val="clear" w:color="auto" w:fill="FFFFFF"/>
        </w:rPr>
        <w:t>The use and interpretation of housing standards in tenancy tribunals in New Zealand.</w:t>
      </w:r>
      <w:proofErr w:type="gramEnd"/>
      <w:r w:rsidRPr="00A249AE">
        <w:rPr>
          <w:color w:val="000000" w:themeColor="text1"/>
        </w:rPr>
        <w:t> </w:t>
      </w:r>
      <w:r w:rsidRPr="00AC62B4">
        <w:rPr>
          <w:iCs/>
          <w:color w:val="000000" w:themeColor="text1"/>
        </w:rPr>
        <w:t>New Zealand Universities Law Review</w:t>
      </w:r>
      <w:r w:rsidRPr="00AC62B4">
        <w:rPr>
          <w:color w:val="000000" w:themeColor="text1"/>
          <w:shd w:val="clear" w:color="auto" w:fill="FFFFFF"/>
        </w:rPr>
        <w:t>,</w:t>
      </w:r>
      <w:r w:rsidRPr="00AC62B4">
        <w:rPr>
          <w:color w:val="000000" w:themeColor="text1"/>
        </w:rPr>
        <w:t> </w:t>
      </w:r>
      <w:r w:rsidRPr="00AC62B4">
        <w:rPr>
          <w:iCs/>
          <w:color w:val="000000" w:themeColor="text1"/>
        </w:rPr>
        <w:t>26</w:t>
      </w:r>
      <w:r w:rsidRPr="00AC62B4">
        <w:rPr>
          <w:color w:val="000000" w:themeColor="text1"/>
          <w:shd w:val="clear" w:color="auto" w:fill="FFFFFF"/>
        </w:rPr>
        <w:t>(2), 153-185.</w:t>
      </w:r>
    </w:p>
  </w:footnote>
  <w:footnote w:id="108">
    <w:p w:rsidR="00C54925" w:rsidRPr="00870B09" w:rsidRDefault="00C54925">
      <w:pPr>
        <w:pStyle w:val="FootnoteText"/>
      </w:pPr>
      <w:r>
        <w:rPr>
          <w:rStyle w:val="FootnoteReference"/>
        </w:rPr>
        <w:footnoteRef/>
      </w:r>
      <w:r>
        <w:t xml:space="preserve"> </w:t>
      </w:r>
      <w:hyperlink r:id="rId86" w:history="1">
        <w:r w:rsidRPr="004C4A8C">
          <w:rPr>
            <w:rStyle w:val="Hyperlink"/>
          </w:rPr>
          <w:t>http://www.toiteorapublichealth.govt.nz/vdb/document/196</w:t>
        </w:r>
      </w:hyperlink>
    </w:p>
  </w:footnote>
  <w:footnote w:id="109">
    <w:p w:rsidR="00C54925" w:rsidRPr="00870B09" w:rsidRDefault="00C54925">
      <w:pPr>
        <w:pStyle w:val="FootnoteText"/>
        <w:rPr>
          <w:lang w:val="en-NZ"/>
        </w:rPr>
      </w:pPr>
      <w:r>
        <w:rPr>
          <w:rStyle w:val="FootnoteReference"/>
        </w:rPr>
        <w:footnoteRef/>
      </w:r>
      <w:r>
        <w:t xml:space="preserve"> </w:t>
      </w:r>
      <w:hyperlink r:id="rId87" w:history="1">
        <w:r w:rsidRPr="004C4A8C">
          <w:rPr>
            <w:rStyle w:val="Hyperlink"/>
          </w:rPr>
          <w:t>http://www.cph.co.nz/Files/HousingHeatingAirPHPerspective.pdf</w:t>
        </w:r>
      </w:hyperlink>
    </w:p>
  </w:footnote>
  <w:footnote w:id="110">
    <w:p w:rsidR="00C54925" w:rsidRPr="00A249AE" w:rsidRDefault="00C54925">
      <w:pPr>
        <w:pStyle w:val="FootnoteText"/>
      </w:pPr>
      <w:r w:rsidRPr="00A249AE">
        <w:rPr>
          <w:rStyle w:val="FootnoteReference"/>
        </w:rPr>
        <w:footnoteRef/>
      </w:r>
      <w:r w:rsidRPr="00A249AE">
        <w:t xml:space="preserve"> </w:t>
      </w:r>
      <w:proofErr w:type="spellStart"/>
      <w:proofErr w:type="gramStart"/>
      <w:r w:rsidRPr="00A249AE">
        <w:rPr>
          <w:shd w:val="clear" w:color="auto" w:fill="FFFFFF"/>
        </w:rPr>
        <w:t>Severinsen</w:t>
      </w:r>
      <w:proofErr w:type="spellEnd"/>
      <w:r w:rsidRPr="00A249AE">
        <w:rPr>
          <w:shd w:val="clear" w:color="auto" w:fill="FFFFFF"/>
        </w:rPr>
        <w:t>, C. A., &amp; Howden-Chapman, P. (2014).</w:t>
      </w:r>
      <w:proofErr w:type="gramEnd"/>
      <w:r w:rsidRPr="00A249AE">
        <w:rPr>
          <w:shd w:val="clear" w:color="auto" w:fill="FFFFFF"/>
        </w:rPr>
        <w:t xml:space="preserve"> </w:t>
      </w:r>
      <w:proofErr w:type="gramStart"/>
      <w:r w:rsidRPr="00A249AE">
        <w:rPr>
          <w:shd w:val="clear" w:color="auto" w:fill="FFFFFF"/>
        </w:rPr>
        <w:t>The problem and politics of temporary housing.</w:t>
      </w:r>
      <w:proofErr w:type="gramEnd"/>
      <w:r>
        <w:rPr>
          <w:shd w:val="clear" w:color="auto" w:fill="FFFFFF"/>
        </w:rPr>
        <w:t xml:space="preserve"> Housing, Theory &amp; Society</w:t>
      </w:r>
      <w:r w:rsidRPr="00A249AE">
        <w:rPr>
          <w:shd w:val="clear" w:color="auto" w:fill="FFFFFF"/>
        </w:rPr>
        <w:t>,</w:t>
      </w:r>
      <w:r w:rsidRPr="00A249AE">
        <w:rPr>
          <w:rStyle w:val="apple-converted-space"/>
          <w:shd w:val="clear" w:color="auto" w:fill="FFFFFF"/>
        </w:rPr>
        <w:t> </w:t>
      </w:r>
      <w:r w:rsidRPr="00A249AE">
        <w:rPr>
          <w:rStyle w:val="Emphasis"/>
          <w:rFonts w:eastAsiaTheme="majorEastAsia"/>
          <w:shd w:val="clear" w:color="auto" w:fill="FFFFFF"/>
        </w:rPr>
        <w:t>31</w:t>
      </w:r>
      <w:r w:rsidRPr="00A249AE">
        <w:rPr>
          <w:shd w:val="clear" w:color="auto" w:fill="FFFFFF"/>
        </w:rPr>
        <w:t>(2), 125-147.</w:t>
      </w:r>
      <w:r w:rsidRPr="00A249AE">
        <w:rPr>
          <w:rStyle w:val="apple-converted-space"/>
          <w:shd w:val="clear" w:color="auto" w:fill="FFFFFF"/>
        </w:rPr>
        <w:t> </w:t>
      </w:r>
      <w:r w:rsidRPr="00A249AE">
        <w:t xml:space="preserve"> </w:t>
      </w:r>
    </w:p>
  </w:footnote>
  <w:footnote w:id="111">
    <w:p w:rsidR="00C54925" w:rsidRPr="00AC62B4" w:rsidRDefault="00C54925">
      <w:pPr>
        <w:pStyle w:val="FootnoteText"/>
        <w:rPr>
          <w:color w:val="000000" w:themeColor="text1"/>
        </w:rPr>
      </w:pPr>
      <w:r>
        <w:rPr>
          <w:rStyle w:val="FootnoteReference"/>
        </w:rPr>
        <w:footnoteRef/>
      </w:r>
      <w:r>
        <w:t xml:space="preserve"> </w:t>
      </w:r>
      <w:proofErr w:type="gramStart"/>
      <w:r w:rsidRPr="00562D42">
        <w:rPr>
          <w:color w:val="000000" w:themeColor="text1"/>
          <w:shd w:val="clear" w:color="auto" w:fill="FFFFFF"/>
        </w:rPr>
        <w:t xml:space="preserve">Pearson, A. L., </w:t>
      </w:r>
      <w:proofErr w:type="spellStart"/>
      <w:r w:rsidRPr="00562D42">
        <w:rPr>
          <w:color w:val="000000" w:themeColor="text1"/>
          <w:shd w:val="clear" w:color="auto" w:fill="FFFFFF"/>
        </w:rPr>
        <w:t>Telfar</w:t>
      </w:r>
      <w:proofErr w:type="spellEnd"/>
      <w:r w:rsidRPr="00562D42">
        <w:rPr>
          <w:color w:val="000000" w:themeColor="text1"/>
          <w:shd w:val="clear" w:color="auto" w:fill="FFFFFF"/>
        </w:rPr>
        <w:t xml:space="preserve"> Barnard, L., Pearce, J., </w:t>
      </w:r>
      <w:proofErr w:type="spellStart"/>
      <w:r w:rsidRPr="00562D42">
        <w:rPr>
          <w:color w:val="000000" w:themeColor="text1"/>
          <w:shd w:val="clear" w:color="auto" w:fill="FFFFFF"/>
        </w:rPr>
        <w:t>Kingham</w:t>
      </w:r>
      <w:proofErr w:type="spellEnd"/>
      <w:r w:rsidRPr="00562D42">
        <w:rPr>
          <w:color w:val="000000" w:themeColor="text1"/>
          <w:shd w:val="clear" w:color="auto" w:fill="FFFFFF"/>
        </w:rPr>
        <w:t>, S., &amp; Howden-Chapman, P. (2014).</w:t>
      </w:r>
      <w:proofErr w:type="gramEnd"/>
      <w:r w:rsidRPr="00562D42">
        <w:rPr>
          <w:color w:val="000000" w:themeColor="text1"/>
          <w:shd w:val="clear" w:color="auto" w:fill="FFFFFF"/>
        </w:rPr>
        <w:t xml:space="preserve"> </w:t>
      </w:r>
      <w:proofErr w:type="gramStart"/>
      <w:r w:rsidRPr="00562D42">
        <w:rPr>
          <w:color w:val="000000" w:themeColor="text1"/>
          <w:shd w:val="clear" w:color="auto" w:fill="FFFFFF"/>
        </w:rPr>
        <w:t>Housing quality and resilience in New Zealand.</w:t>
      </w:r>
      <w:proofErr w:type="gramEnd"/>
      <w:r w:rsidRPr="00562D42">
        <w:rPr>
          <w:rStyle w:val="apple-converted-space"/>
          <w:rFonts w:eastAsiaTheme="majorEastAsia"/>
          <w:color w:val="000000" w:themeColor="text1"/>
          <w:shd w:val="clear" w:color="auto" w:fill="FFFFFF"/>
        </w:rPr>
        <w:t> </w:t>
      </w:r>
      <w:proofErr w:type="gramStart"/>
      <w:r>
        <w:rPr>
          <w:rStyle w:val="apple-converted-space"/>
          <w:rFonts w:eastAsiaTheme="majorEastAsia"/>
          <w:color w:val="000000" w:themeColor="text1"/>
          <w:shd w:val="clear" w:color="auto" w:fill="FFFFFF"/>
        </w:rPr>
        <w:t>Building Research &amp; Information</w:t>
      </w:r>
      <w:r w:rsidRPr="00562D42">
        <w:rPr>
          <w:color w:val="000000" w:themeColor="text1"/>
          <w:shd w:val="clear" w:color="auto" w:fill="FFFFFF"/>
        </w:rPr>
        <w:t>,</w:t>
      </w:r>
      <w:r w:rsidRPr="00562D42">
        <w:rPr>
          <w:rStyle w:val="apple-converted-space"/>
          <w:rFonts w:eastAsiaTheme="majorEastAsia"/>
          <w:color w:val="000000" w:themeColor="text1"/>
          <w:shd w:val="clear" w:color="auto" w:fill="FFFFFF"/>
        </w:rPr>
        <w:t> </w:t>
      </w:r>
      <w:r w:rsidRPr="00562D42">
        <w:rPr>
          <w:rStyle w:val="Emphasis"/>
          <w:color w:val="000000" w:themeColor="text1"/>
          <w:shd w:val="clear" w:color="auto" w:fill="FFFFFF"/>
        </w:rPr>
        <w:t>42</w:t>
      </w:r>
      <w:r w:rsidRPr="00562D42">
        <w:rPr>
          <w:color w:val="000000" w:themeColor="text1"/>
          <w:shd w:val="clear" w:color="auto" w:fill="FFFFFF"/>
        </w:rPr>
        <w:t>(2), 182-190.</w:t>
      </w:r>
      <w:proofErr w:type="gramEnd"/>
      <w:r w:rsidRPr="00562D42">
        <w:rPr>
          <w:rStyle w:val="apple-converted-space"/>
          <w:rFonts w:eastAsiaTheme="majorEastAsia"/>
          <w:color w:val="000000" w:themeColor="text1"/>
          <w:shd w:val="clear" w:color="auto" w:fill="FFFFFF"/>
        </w:rPr>
        <w:t> </w:t>
      </w:r>
      <w:r>
        <w:rPr>
          <w:color w:val="000000" w:themeColor="text1"/>
        </w:rPr>
        <w:t xml:space="preserve"> </w:t>
      </w:r>
    </w:p>
  </w:footnote>
  <w:footnote w:id="112">
    <w:p w:rsidR="00C54925" w:rsidRPr="00425014" w:rsidRDefault="00C54925">
      <w:pPr>
        <w:pStyle w:val="FootnoteText"/>
      </w:pPr>
      <w:r>
        <w:rPr>
          <w:rStyle w:val="FootnoteReference"/>
        </w:rPr>
        <w:footnoteRef/>
      </w:r>
      <w:r>
        <w:t xml:space="preserve"> </w:t>
      </w:r>
      <w:hyperlink r:id="rId88" w:history="1">
        <w:r w:rsidRPr="004C4A8C">
          <w:rPr>
            <w:rStyle w:val="Hyperlink"/>
          </w:rPr>
          <w:t>http://www.toiteorapublichealth.govt.nz/vdb/document/196</w:t>
        </w:r>
      </w:hyperlink>
    </w:p>
  </w:footnote>
  <w:footnote w:id="113">
    <w:p w:rsidR="00C54925" w:rsidRPr="00E16911" w:rsidRDefault="00C54925">
      <w:pPr>
        <w:pStyle w:val="FootnoteText"/>
      </w:pPr>
      <w:r>
        <w:rPr>
          <w:rStyle w:val="FootnoteReference"/>
        </w:rPr>
        <w:footnoteRef/>
      </w:r>
      <w:r>
        <w:t xml:space="preserve"> </w:t>
      </w:r>
      <w:hyperlink r:id="rId89" w:history="1">
        <w:r w:rsidRPr="00552F2D">
          <w:rPr>
            <w:rStyle w:val="Hyperlink"/>
          </w:rPr>
          <w:t>http://www.stuff.co.nz/national/6450935/Findings-on-disease-rate-a-disgrace</w:t>
        </w:r>
      </w:hyperlink>
    </w:p>
  </w:footnote>
  <w:footnote w:id="114">
    <w:p w:rsidR="00C54925" w:rsidRPr="00DE3C89" w:rsidRDefault="00C54925">
      <w:pPr>
        <w:pStyle w:val="FootnoteText"/>
      </w:pPr>
      <w:r>
        <w:rPr>
          <w:rStyle w:val="FootnoteReference"/>
        </w:rPr>
        <w:footnoteRef/>
      </w:r>
      <w:r>
        <w:t xml:space="preserve"> </w:t>
      </w:r>
      <w:hyperlink r:id="rId90" w:history="1">
        <w:r w:rsidRPr="004C4A8C">
          <w:rPr>
            <w:rStyle w:val="Hyperlink"/>
          </w:rPr>
          <w:t>http://www.parliament.nz/resource/en-nz/50DBSCH_SCR57007_1/a7eb89c92d5234548b9212b2bb58a10c5b5a32fa</w:t>
        </w:r>
      </w:hyperlink>
    </w:p>
  </w:footnote>
  <w:footnote w:id="115">
    <w:p w:rsidR="00C54925" w:rsidRPr="00906E3F" w:rsidRDefault="00C54925">
      <w:pPr>
        <w:pStyle w:val="FootnoteText"/>
      </w:pPr>
      <w:r>
        <w:rPr>
          <w:rStyle w:val="FootnoteReference"/>
        </w:rPr>
        <w:footnoteRef/>
      </w:r>
      <w:r>
        <w:t xml:space="preserve"> </w:t>
      </w:r>
      <w:hyperlink r:id="rId91" w:history="1">
        <w:r w:rsidRPr="00552F2D">
          <w:rPr>
            <w:rStyle w:val="Hyperlink"/>
          </w:rPr>
          <w:t>http://www.parliament.nz/resource/en-nz/50DBSCH_SCR57007_1/a7eb89c92d5234548b9212b2bb58a10c5b5a32fa</w:t>
        </w:r>
      </w:hyperlink>
    </w:p>
  </w:footnote>
  <w:footnote w:id="116">
    <w:p w:rsidR="00C54925" w:rsidRPr="00DE3C89" w:rsidRDefault="00C54925" w:rsidP="001C1F6C">
      <w:pPr>
        <w:pStyle w:val="FootnoteText"/>
        <w:rPr>
          <w:color w:val="000000" w:themeColor="text1"/>
          <w:lang w:val="en-NZ"/>
        </w:rPr>
      </w:pPr>
      <w:r>
        <w:rPr>
          <w:rStyle w:val="FootnoteReference"/>
        </w:rPr>
        <w:footnoteRef/>
      </w:r>
      <w:r>
        <w:t xml:space="preserve"> </w:t>
      </w:r>
      <w:proofErr w:type="spellStart"/>
      <w:proofErr w:type="gramStart"/>
      <w:r w:rsidRPr="00A249AE">
        <w:rPr>
          <w:color w:val="000000" w:themeColor="text1"/>
          <w:shd w:val="clear" w:color="auto" w:fill="FFFFFF"/>
        </w:rPr>
        <w:t>Bierre</w:t>
      </w:r>
      <w:proofErr w:type="spellEnd"/>
      <w:r w:rsidRPr="00A249AE">
        <w:rPr>
          <w:color w:val="000000" w:themeColor="text1"/>
          <w:shd w:val="clear" w:color="auto" w:fill="FFFFFF"/>
        </w:rPr>
        <w:t>, S., Bennett, M. J., &amp; Howden-Chapman, P. (2014).</w:t>
      </w:r>
      <w:proofErr w:type="gramEnd"/>
      <w:r w:rsidRPr="00A249AE">
        <w:rPr>
          <w:color w:val="000000" w:themeColor="text1"/>
          <w:shd w:val="clear" w:color="auto" w:fill="FFFFFF"/>
        </w:rPr>
        <w:t xml:space="preserve"> </w:t>
      </w:r>
      <w:proofErr w:type="gramStart"/>
      <w:r w:rsidRPr="00A249AE">
        <w:rPr>
          <w:color w:val="000000" w:themeColor="text1"/>
          <w:shd w:val="clear" w:color="auto" w:fill="FFFFFF"/>
        </w:rPr>
        <w:t>Decent expectations?</w:t>
      </w:r>
      <w:proofErr w:type="gramEnd"/>
      <w:r w:rsidRPr="00A249AE">
        <w:rPr>
          <w:color w:val="000000" w:themeColor="text1"/>
          <w:shd w:val="clear" w:color="auto" w:fill="FFFFFF"/>
        </w:rPr>
        <w:t xml:space="preserve"> </w:t>
      </w:r>
      <w:proofErr w:type="gramStart"/>
      <w:r w:rsidRPr="00A249AE">
        <w:rPr>
          <w:color w:val="000000" w:themeColor="text1"/>
          <w:shd w:val="clear" w:color="auto" w:fill="FFFFFF"/>
        </w:rPr>
        <w:t>The use and interpretation of housing standards in tenancy tribunals in New Zealand.</w:t>
      </w:r>
      <w:proofErr w:type="gramEnd"/>
      <w:r w:rsidRPr="00A249AE">
        <w:rPr>
          <w:color w:val="000000" w:themeColor="text1"/>
        </w:rPr>
        <w:t> </w:t>
      </w:r>
      <w:r w:rsidRPr="00562D42">
        <w:rPr>
          <w:iCs/>
          <w:color w:val="000000" w:themeColor="text1"/>
        </w:rPr>
        <w:t>New Zealand Universities Law Review</w:t>
      </w:r>
      <w:r w:rsidRPr="00562D42">
        <w:rPr>
          <w:color w:val="000000" w:themeColor="text1"/>
          <w:shd w:val="clear" w:color="auto" w:fill="FFFFFF"/>
        </w:rPr>
        <w:t>,</w:t>
      </w:r>
      <w:r w:rsidRPr="00562D42">
        <w:rPr>
          <w:color w:val="000000" w:themeColor="text1"/>
        </w:rPr>
        <w:t> </w:t>
      </w:r>
      <w:r w:rsidRPr="00562D42">
        <w:rPr>
          <w:iCs/>
          <w:color w:val="000000" w:themeColor="text1"/>
        </w:rPr>
        <w:t>26</w:t>
      </w:r>
      <w:r w:rsidRPr="00A249AE">
        <w:rPr>
          <w:color w:val="000000" w:themeColor="text1"/>
          <w:shd w:val="clear" w:color="auto" w:fill="FFFFFF"/>
        </w:rPr>
        <w:t>(2), 153-185.</w:t>
      </w:r>
    </w:p>
  </w:footnote>
  <w:footnote w:id="117">
    <w:p w:rsidR="00C54925" w:rsidRPr="00A249AE" w:rsidRDefault="00C54925" w:rsidP="001C1F6C">
      <w:pPr>
        <w:pStyle w:val="FootnoteText"/>
        <w:rPr>
          <w:color w:val="000000" w:themeColor="text1"/>
          <w:lang w:val="en-NZ"/>
        </w:rPr>
      </w:pPr>
      <w:r w:rsidRPr="00A249AE">
        <w:rPr>
          <w:rStyle w:val="FootnoteReference"/>
          <w:color w:val="000000" w:themeColor="text1"/>
        </w:rPr>
        <w:footnoteRef/>
      </w:r>
      <w:r w:rsidRPr="00A249AE">
        <w:rPr>
          <w:color w:val="000000" w:themeColor="text1"/>
        </w:rPr>
        <w:t xml:space="preserve"> </w:t>
      </w:r>
      <w:proofErr w:type="gramStart"/>
      <w:r w:rsidRPr="00A249AE">
        <w:rPr>
          <w:color w:val="000000" w:themeColor="text1"/>
          <w:shd w:val="clear" w:color="auto" w:fill="FFFFFF"/>
        </w:rPr>
        <w:t xml:space="preserve">Bennett, J., </w:t>
      </w:r>
      <w:proofErr w:type="spellStart"/>
      <w:r w:rsidRPr="00A249AE">
        <w:rPr>
          <w:color w:val="000000" w:themeColor="text1"/>
          <w:shd w:val="clear" w:color="auto" w:fill="FFFFFF"/>
        </w:rPr>
        <w:t>Birchfield</w:t>
      </w:r>
      <w:proofErr w:type="spellEnd"/>
      <w:r w:rsidRPr="00A249AE">
        <w:rPr>
          <w:color w:val="000000" w:themeColor="text1"/>
          <w:shd w:val="clear" w:color="auto" w:fill="FFFFFF"/>
        </w:rPr>
        <w:t xml:space="preserve">, D., </w:t>
      </w:r>
      <w:proofErr w:type="spellStart"/>
      <w:r w:rsidRPr="00A249AE">
        <w:rPr>
          <w:color w:val="000000" w:themeColor="text1"/>
          <w:shd w:val="clear" w:color="auto" w:fill="FFFFFF"/>
        </w:rPr>
        <w:t>Rissel</w:t>
      </w:r>
      <w:proofErr w:type="spellEnd"/>
      <w:r w:rsidRPr="00A249AE">
        <w:rPr>
          <w:color w:val="000000" w:themeColor="text1"/>
          <w:shd w:val="clear" w:color="auto" w:fill="FFFFFF"/>
        </w:rPr>
        <w:t xml:space="preserve">, Z., Featherstone, L., Cutler-Welsh, M., Moore, T., </w:t>
      </w:r>
      <w:proofErr w:type="spellStart"/>
      <w:r w:rsidRPr="00A249AE">
        <w:rPr>
          <w:color w:val="000000" w:themeColor="text1"/>
          <w:shd w:val="clear" w:color="auto" w:fill="FFFFFF"/>
        </w:rPr>
        <w:t>Keall</w:t>
      </w:r>
      <w:proofErr w:type="spellEnd"/>
      <w:r w:rsidRPr="00A249AE">
        <w:rPr>
          <w:color w:val="000000" w:themeColor="text1"/>
          <w:shd w:val="clear" w:color="auto" w:fill="FFFFFF"/>
        </w:rPr>
        <w:t>, M., Baker, M., Chisholm, E., Howden-Chapman, P. (2014).</w:t>
      </w:r>
      <w:proofErr w:type="gramEnd"/>
      <w:r w:rsidRPr="00A249AE">
        <w:rPr>
          <w:color w:val="000000" w:themeColor="text1"/>
          <w:shd w:val="clear" w:color="auto" w:fill="FFFFFF"/>
        </w:rPr>
        <w:t xml:space="preserve"> Towards a minimum housing standard for rentals: Results from New Zealand's first warrant of fitness pre-test.</w:t>
      </w:r>
      <w:r w:rsidRPr="00A249AE">
        <w:rPr>
          <w:color w:val="000000" w:themeColor="text1"/>
        </w:rPr>
        <w:t> </w:t>
      </w:r>
      <w:r w:rsidRPr="00A249AE">
        <w:rPr>
          <w:iCs/>
          <w:color w:val="000000" w:themeColor="text1"/>
        </w:rPr>
        <w:t>Proceedings of the New Zealand Population Health Congress: Connecting Communities, Policy and Science.</w:t>
      </w:r>
    </w:p>
  </w:footnote>
  <w:footnote w:id="118">
    <w:p w:rsidR="00C54925" w:rsidRPr="004E28A4" w:rsidRDefault="00C54925">
      <w:pPr>
        <w:pStyle w:val="FootnoteText"/>
      </w:pPr>
      <w:r>
        <w:rPr>
          <w:rStyle w:val="FootnoteReference"/>
        </w:rPr>
        <w:footnoteRef/>
      </w:r>
      <w:r>
        <w:t xml:space="preserve"> </w:t>
      </w:r>
      <w:hyperlink r:id="rId92" w:history="1">
        <w:r w:rsidRPr="003002AE">
          <w:rPr>
            <w:rStyle w:val="Hyperlink"/>
          </w:rPr>
          <w:t>http://www.stats.govt.nz/browse_for_stats/health/disabilities/social-economic-outcomes-13.aspx</w:t>
        </w:r>
      </w:hyperlink>
    </w:p>
  </w:footnote>
  <w:footnote w:id="119">
    <w:p w:rsidR="00C54925" w:rsidRPr="00CB7BF5" w:rsidRDefault="00C54925">
      <w:pPr>
        <w:pStyle w:val="FootnoteText"/>
      </w:pPr>
      <w:r>
        <w:rPr>
          <w:rStyle w:val="FootnoteReference"/>
        </w:rPr>
        <w:footnoteRef/>
      </w:r>
      <w:r>
        <w:t xml:space="preserve"> </w:t>
      </w:r>
      <w:hyperlink r:id="rId93" w:history="1">
        <w:r w:rsidRPr="003002AE">
          <w:rPr>
            <w:rStyle w:val="Hyperlink"/>
          </w:rPr>
          <w:t>http://www.cpag.org.nz/news/new-report-it-shouldnt-be-this-hard-children/</w:t>
        </w:r>
      </w:hyperlink>
    </w:p>
  </w:footnote>
  <w:footnote w:id="120">
    <w:p w:rsidR="00C54925" w:rsidRPr="006D6BE6" w:rsidRDefault="00C54925">
      <w:pPr>
        <w:pStyle w:val="FootnoteText"/>
        <w:rPr>
          <w:color w:val="000000"/>
          <w:shd w:val="clear" w:color="auto" w:fill="FFFFFF"/>
        </w:rPr>
      </w:pPr>
      <w:r w:rsidRPr="006D6BE6">
        <w:rPr>
          <w:rStyle w:val="FootnoteReference"/>
        </w:rPr>
        <w:footnoteRef/>
      </w:r>
      <w:r w:rsidRPr="006D6BE6">
        <w:t xml:space="preserve"> </w:t>
      </w:r>
      <w:r w:rsidRPr="006D6BE6">
        <w:rPr>
          <w:color w:val="000000"/>
          <w:shd w:val="clear" w:color="auto" w:fill="FFFFFF"/>
        </w:rPr>
        <w:t>Minimum Wage Act 1983</w:t>
      </w:r>
      <w:r>
        <w:rPr>
          <w:color w:val="000000"/>
          <w:shd w:val="clear" w:color="auto" w:fill="FFFFFF"/>
        </w:rPr>
        <w:t xml:space="preserve"> </w:t>
      </w:r>
      <w:hyperlink r:id="rId94" w:history="1">
        <w:r w:rsidRPr="00261CB5">
          <w:rPr>
            <w:rStyle w:val="Hyperlink"/>
            <w:shd w:val="clear" w:color="auto" w:fill="FFFFFF"/>
          </w:rPr>
          <w:t>http://www.legislation.govt.nz/act/public/1983/0115/latest/DLM74093.html</w:t>
        </w:r>
      </w:hyperlink>
    </w:p>
  </w:footnote>
  <w:footnote w:id="121">
    <w:p w:rsidR="00C54925" w:rsidRPr="00D92BA6" w:rsidRDefault="00C54925">
      <w:pPr>
        <w:pStyle w:val="FootnoteText"/>
      </w:pPr>
      <w:r>
        <w:rPr>
          <w:rStyle w:val="FootnoteReference"/>
        </w:rPr>
        <w:footnoteRef/>
      </w:r>
      <w:r>
        <w:t xml:space="preserve"> </w:t>
      </w:r>
      <w:hyperlink r:id="rId95" w:history="1">
        <w:r w:rsidRPr="004C4A8C">
          <w:rPr>
            <w:rStyle w:val="Hyperlink"/>
          </w:rPr>
          <w:t>http://www.cpag.org.nz/</w:t>
        </w:r>
      </w:hyperlink>
      <w:r>
        <w:t xml:space="preserve">; </w:t>
      </w:r>
      <w:hyperlink r:id="rId96" w:history="1">
        <w:r w:rsidRPr="004C4A8C">
          <w:rPr>
            <w:rStyle w:val="Hyperlink"/>
          </w:rPr>
          <w:t>http://www.cpag.org.nz/resources-publications/publications/</w:t>
        </w:r>
      </w:hyperlink>
      <w:r>
        <w:t xml:space="preserve">; </w:t>
      </w:r>
    </w:p>
  </w:footnote>
  <w:footnote w:id="122">
    <w:p w:rsidR="00C54925" w:rsidRPr="001D0073" w:rsidRDefault="00C54925">
      <w:pPr>
        <w:pStyle w:val="FootnoteText"/>
      </w:pPr>
      <w:r>
        <w:rPr>
          <w:rStyle w:val="FootnoteReference"/>
        </w:rPr>
        <w:footnoteRef/>
      </w:r>
      <w:r>
        <w:t xml:space="preserve"> </w:t>
      </w:r>
      <w:hyperlink r:id="rId97" w:history="1">
        <w:r w:rsidRPr="004C4A8C">
          <w:rPr>
            <w:rStyle w:val="Hyperlink"/>
          </w:rPr>
          <w:t>http://www.stats.govt.nz/browse_for_stats/health/disabilities/DisabilitySurvey_HOTP2013.aspx</w:t>
        </w:r>
      </w:hyperlink>
    </w:p>
  </w:footnote>
  <w:footnote w:id="123">
    <w:p w:rsidR="00C54925" w:rsidRPr="00CF02A2" w:rsidRDefault="00C54925">
      <w:pPr>
        <w:pStyle w:val="FootnoteText"/>
      </w:pPr>
      <w:r>
        <w:rPr>
          <w:rStyle w:val="FootnoteReference"/>
        </w:rPr>
        <w:footnoteRef/>
      </w:r>
      <w:r>
        <w:t xml:space="preserve"> </w:t>
      </w:r>
      <w:hyperlink r:id="rId98" w:history="1">
        <w:r w:rsidRPr="00261CB5">
          <w:rPr>
            <w:rStyle w:val="Hyperlink"/>
          </w:rPr>
          <w:t>http://www.ccsdisabilityaction.org.nz/images/Childrenfirst2.pdf</w:t>
        </w:r>
      </w:hyperlink>
    </w:p>
  </w:footnote>
  <w:footnote w:id="124">
    <w:p w:rsidR="00C54925" w:rsidRPr="0064372B" w:rsidRDefault="00C54925" w:rsidP="00B01D57">
      <w:pPr>
        <w:pStyle w:val="FootnoteText"/>
      </w:pPr>
      <w:r>
        <w:rPr>
          <w:rStyle w:val="FootnoteReference"/>
        </w:rPr>
        <w:footnoteRef/>
      </w:r>
      <w:r>
        <w:t xml:space="preserve"> </w:t>
      </w:r>
      <w:hyperlink r:id="rId99" w:history="1">
        <w:r w:rsidRPr="00261CB5">
          <w:rPr>
            <w:rStyle w:val="Hyperlink"/>
          </w:rPr>
          <w:t>http://www.cpag.org.nz/news/new-report-it-shouldnt-be-this-hard-children/</w:t>
        </w:r>
      </w:hyperlink>
    </w:p>
  </w:footnote>
  <w:footnote w:id="125">
    <w:p w:rsidR="00C54925" w:rsidRPr="00936553" w:rsidRDefault="00C54925">
      <w:pPr>
        <w:pStyle w:val="FootnoteText"/>
      </w:pPr>
      <w:r>
        <w:rPr>
          <w:rStyle w:val="FootnoteReference"/>
        </w:rPr>
        <w:footnoteRef/>
      </w:r>
      <w:r>
        <w:t xml:space="preserve"> </w:t>
      </w:r>
      <w:hyperlink r:id="rId100" w:history="1">
        <w:r w:rsidRPr="00261CB5">
          <w:rPr>
            <w:rStyle w:val="Hyperlink"/>
          </w:rPr>
          <w:t>http://www.ccsdisabilityaction.org.nz/images/Childrenfirst2.pdf</w:t>
        </w:r>
      </w:hyperlink>
    </w:p>
  </w:footnote>
  <w:footnote w:id="126">
    <w:p w:rsidR="00C54925" w:rsidRPr="006D76A4" w:rsidRDefault="00C54925">
      <w:pPr>
        <w:pStyle w:val="FootnoteText"/>
      </w:pPr>
      <w:r>
        <w:rPr>
          <w:rStyle w:val="FootnoteReference"/>
        </w:rPr>
        <w:footnoteRef/>
      </w:r>
      <w:r>
        <w:t xml:space="preserve"> </w:t>
      </w:r>
      <w:hyperlink r:id="rId101" w:history="1">
        <w:r w:rsidRPr="004C4A8C">
          <w:rPr>
            <w:rStyle w:val="Hyperlink"/>
          </w:rPr>
          <w:t>http://www.nzchildren.co.nz/injuries.php</w:t>
        </w:r>
      </w:hyperlink>
    </w:p>
  </w:footnote>
  <w:footnote w:id="127">
    <w:p w:rsidR="00C54925" w:rsidRPr="006D76A4" w:rsidRDefault="00C54925">
      <w:pPr>
        <w:pStyle w:val="FootnoteText"/>
      </w:pPr>
      <w:r>
        <w:rPr>
          <w:rStyle w:val="FootnoteReference"/>
        </w:rPr>
        <w:footnoteRef/>
      </w:r>
      <w:r>
        <w:t xml:space="preserve"> </w:t>
      </w:r>
      <w:hyperlink r:id="rId102" w:history="1">
        <w:r w:rsidRPr="004C4A8C">
          <w:rPr>
            <w:rStyle w:val="Hyperlink"/>
          </w:rPr>
          <w:t>http://www.occ.org.nz/publications/reports/</w:t>
        </w:r>
      </w:hyperlink>
    </w:p>
  </w:footnote>
  <w:footnote w:id="128">
    <w:p w:rsidR="00C54925" w:rsidRPr="00936553" w:rsidRDefault="00C54925">
      <w:pPr>
        <w:pStyle w:val="FootnoteText"/>
        <w:rPr>
          <w:lang w:val="en-NZ"/>
        </w:rPr>
      </w:pPr>
      <w:r>
        <w:rPr>
          <w:rStyle w:val="FootnoteReference"/>
        </w:rPr>
        <w:footnoteRef/>
      </w:r>
      <w:r>
        <w:t xml:space="preserve"> </w:t>
      </w:r>
      <w:hyperlink r:id="rId103" w:history="1">
        <w:r w:rsidRPr="004C4A8C">
          <w:rPr>
            <w:rStyle w:val="Hyperlink"/>
            <w:lang w:val="en-NZ"/>
          </w:rPr>
          <w:t>http://tvnz.co.nz/national-news/child-abuse-protection-systems-failing-nz-kids-judge-5466483</w:t>
        </w:r>
      </w:hyperlink>
    </w:p>
  </w:footnote>
  <w:footnote w:id="129">
    <w:p w:rsidR="00C54925" w:rsidRPr="00471E82" w:rsidRDefault="00C54925">
      <w:pPr>
        <w:pStyle w:val="FootnoteText"/>
      </w:pPr>
      <w:r>
        <w:rPr>
          <w:rStyle w:val="FootnoteReference"/>
        </w:rPr>
        <w:footnoteRef/>
      </w:r>
      <w:r>
        <w:t xml:space="preserve"> </w:t>
      </w:r>
      <w:hyperlink r:id="rId104" w:history="1">
        <w:r w:rsidRPr="003002AE">
          <w:rPr>
            <w:rStyle w:val="Hyperlink"/>
          </w:rPr>
          <w:t>http://areyouok.org.nz/family-violence/statistics/</w:t>
        </w:r>
      </w:hyperlink>
    </w:p>
  </w:footnote>
  <w:footnote w:id="130">
    <w:p w:rsidR="00C54925" w:rsidRPr="00471E82" w:rsidRDefault="00C54925" w:rsidP="00471E82">
      <w:pPr>
        <w:pStyle w:val="FootnoteText"/>
      </w:pPr>
      <w:r>
        <w:rPr>
          <w:rStyle w:val="FootnoteReference"/>
        </w:rPr>
        <w:footnoteRef/>
      </w:r>
      <w:r>
        <w:t xml:space="preserve"> </w:t>
      </w:r>
      <w:hyperlink r:id="rId105" w:history="1">
        <w:r w:rsidRPr="003002AE">
          <w:rPr>
            <w:rStyle w:val="Hyperlink"/>
          </w:rPr>
          <w:t>http://www.childmatters.org.nz/55/learn-about-child-abuse/facts</w:t>
        </w:r>
      </w:hyperlink>
    </w:p>
  </w:footnote>
  <w:footnote w:id="131">
    <w:p w:rsidR="00C54925" w:rsidRPr="00471E82" w:rsidRDefault="00C54925" w:rsidP="00936553">
      <w:pPr>
        <w:pStyle w:val="FootnoteText"/>
        <w:ind w:left="284" w:hanging="284"/>
      </w:pPr>
      <w:r>
        <w:rPr>
          <w:rStyle w:val="FootnoteReference"/>
        </w:rPr>
        <w:footnoteRef/>
      </w:r>
      <w:r>
        <w:t xml:space="preserve"> </w:t>
      </w:r>
      <w:hyperlink r:id="rId106" w:history="1">
        <w:r w:rsidRPr="004C4A8C">
          <w:rPr>
            <w:rStyle w:val="Hyperlink"/>
          </w:rPr>
          <w:t>http://www.childmatters.org.nz/196/child-protection-training/workshops/workshop-topics/protecting-  children-with-disabilities</w:t>
        </w:r>
      </w:hyperlink>
    </w:p>
  </w:footnote>
  <w:footnote w:id="132">
    <w:p w:rsidR="00C54925" w:rsidRPr="008047B4" w:rsidRDefault="00C54925">
      <w:pPr>
        <w:pStyle w:val="FootnoteText"/>
      </w:pPr>
      <w:r>
        <w:rPr>
          <w:rStyle w:val="FootnoteReference"/>
        </w:rPr>
        <w:footnoteRef/>
      </w:r>
      <w:r>
        <w:t xml:space="preserve"> </w:t>
      </w:r>
      <w:hyperlink r:id="rId107" w:history="1">
        <w:r w:rsidRPr="004C4A8C">
          <w:rPr>
            <w:rStyle w:val="Hyperlink"/>
          </w:rPr>
          <w:t>http://www.hrc.co.nz/files/6314/3130/4434/HRC_submission_to_CAT_Final.pdf</w:t>
        </w:r>
      </w:hyperlink>
    </w:p>
  </w:footnote>
  <w:footnote w:id="133">
    <w:p w:rsidR="00C54925" w:rsidRPr="00CE28CA" w:rsidRDefault="00C54925">
      <w:pPr>
        <w:pStyle w:val="FootnoteText"/>
        <w:rPr>
          <w:lang w:val="en-NZ"/>
        </w:rPr>
      </w:pPr>
      <w:r>
        <w:rPr>
          <w:rStyle w:val="FootnoteReference"/>
        </w:rPr>
        <w:footnoteRef/>
      </w:r>
      <w:r>
        <w:t xml:space="preserve"> </w:t>
      </w:r>
      <w:hyperlink r:id="rId108" w:history="1">
        <w:r w:rsidRPr="003002AE">
          <w:rPr>
            <w:rStyle w:val="Hyperlink"/>
          </w:rPr>
          <w:t>http://www.victoria.ac.nz/education/pdf/Bullying-in-NZ-Schools.pdf</w:t>
        </w:r>
      </w:hyperlink>
      <w:r>
        <w:t>=</w:t>
      </w:r>
    </w:p>
  </w:footnote>
  <w:footnote w:id="134">
    <w:p w:rsidR="00C54925" w:rsidRPr="00CE28CA" w:rsidRDefault="00C54925">
      <w:pPr>
        <w:pStyle w:val="FootnoteText"/>
      </w:pPr>
      <w:r>
        <w:rPr>
          <w:rStyle w:val="FootnoteReference"/>
        </w:rPr>
        <w:footnoteRef/>
      </w:r>
      <w:r>
        <w:t xml:space="preserve"> </w:t>
      </w:r>
      <w:hyperlink r:id="rId109" w:history="1">
        <w:r w:rsidRPr="003002AE">
          <w:rPr>
            <w:rStyle w:val="Hyperlink"/>
          </w:rPr>
          <w:t>http://www.cyf.govt.nz/documents/about-us/publications/look-listen-act.pdf</w:t>
        </w:r>
      </w:hyperlink>
    </w:p>
  </w:footnote>
  <w:footnote w:id="135">
    <w:p w:rsidR="00C54925" w:rsidRPr="00DC7911" w:rsidRDefault="00C54925">
      <w:pPr>
        <w:pStyle w:val="FootnoteText"/>
      </w:pPr>
      <w:r>
        <w:rPr>
          <w:rStyle w:val="FootnoteReference"/>
        </w:rPr>
        <w:footnoteRef/>
      </w:r>
      <w:r>
        <w:t xml:space="preserve"> </w:t>
      </w:r>
      <w:hyperlink r:id="rId110" w:history="1">
        <w:r w:rsidRPr="004C4A8C">
          <w:rPr>
            <w:rStyle w:val="Hyperlink"/>
          </w:rPr>
          <w:t>http://www.occ.org.nz/assets/Uploads/Reports/Child-abuse-and-neglect/Children-in-care.pdf</w:t>
        </w:r>
      </w:hyperlink>
    </w:p>
  </w:footnote>
  <w:footnote w:id="136">
    <w:p w:rsidR="00C54925" w:rsidRPr="00107F63" w:rsidRDefault="00C54925" w:rsidP="00107F63">
      <w:pPr>
        <w:pStyle w:val="FootnoteText"/>
        <w:ind w:left="284" w:hanging="284"/>
      </w:pPr>
      <w:r>
        <w:rPr>
          <w:rStyle w:val="FootnoteReference"/>
        </w:rPr>
        <w:footnoteRef/>
      </w:r>
      <w:r>
        <w:t xml:space="preserve"> </w:t>
      </w:r>
      <w:hyperlink r:id="rId111" w:history="1">
        <w:r w:rsidRPr="004C4A8C">
          <w:rPr>
            <w:rStyle w:val="Hyperlink"/>
          </w:rPr>
          <w:t>http://www.occ.org.nz/assets/Uploads/Reports/Child-rights/Joint-thematic-review-of-young-persons-in-Police-detention.pdf</w:t>
        </w:r>
      </w:hyperlink>
    </w:p>
  </w:footnote>
  <w:footnote w:id="137">
    <w:p w:rsidR="00C54925" w:rsidRPr="00425014" w:rsidRDefault="00C54925">
      <w:pPr>
        <w:pStyle w:val="FootnoteText"/>
      </w:pPr>
      <w:r>
        <w:rPr>
          <w:rStyle w:val="FootnoteReference"/>
        </w:rPr>
        <w:footnoteRef/>
      </w:r>
      <w:r>
        <w:t xml:space="preserve"> </w:t>
      </w:r>
      <w:hyperlink r:id="rId112" w:history="1">
        <w:r w:rsidRPr="004C4A8C">
          <w:rPr>
            <w:rStyle w:val="Hyperlink"/>
          </w:rPr>
          <w:t>http://www.occ.org.nz/publications/expert-advisory-group/</w:t>
        </w:r>
      </w:hyperlink>
    </w:p>
  </w:footnote>
  <w:footnote w:id="138">
    <w:p w:rsidR="00C54925" w:rsidRPr="000F6C94" w:rsidRDefault="00C54925" w:rsidP="000F6C94">
      <w:pPr>
        <w:pStyle w:val="FootnoteText"/>
        <w:ind w:left="284" w:hanging="284"/>
      </w:pPr>
      <w:r>
        <w:rPr>
          <w:rStyle w:val="FootnoteReference"/>
        </w:rPr>
        <w:footnoteRef/>
      </w:r>
      <w:r>
        <w:t xml:space="preserve"> </w:t>
      </w:r>
      <w:hyperlink r:id="rId113" w:history="1">
        <w:r w:rsidRPr="004C4A8C">
          <w:rPr>
            <w:rStyle w:val="Hyperlink"/>
          </w:rPr>
          <w:t>http://www.cpag.org.nz/assets/Backgrounders/2-0%2028509%20Benefit%20Sanctions%20Report%20Sept%202013.pdf</w:t>
        </w:r>
      </w:hyperlink>
    </w:p>
  </w:footnote>
  <w:footnote w:id="139">
    <w:p w:rsidR="00C54925" w:rsidRPr="000F6C94" w:rsidRDefault="00C54925" w:rsidP="000F6C94">
      <w:pPr>
        <w:pStyle w:val="FootnoteText"/>
        <w:ind w:left="284" w:hanging="284"/>
      </w:pPr>
      <w:r>
        <w:rPr>
          <w:rStyle w:val="FootnoteReference"/>
        </w:rPr>
        <w:footnoteRef/>
      </w:r>
      <w:r>
        <w:t xml:space="preserve"> </w:t>
      </w:r>
      <w:hyperlink r:id="rId114" w:history="1">
        <w:r w:rsidRPr="004C4A8C">
          <w:rPr>
            <w:rStyle w:val="Hyperlink"/>
          </w:rPr>
          <w:t>http://www.health.govt.nz/nz-health-statistics/health-statistics-and-data-sets/suicide-data-and-stats</w:t>
        </w:r>
      </w:hyperlink>
      <w:r>
        <w:t xml:space="preserve">;    </w:t>
      </w:r>
      <w:hyperlink r:id="rId115" w:history="1">
        <w:r w:rsidRPr="004C4A8C">
          <w:rPr>
            <w:rStyle w:val="Hyperlink"/>
          </w:rPr>
          <w:t>http://www.spinz.org.nz/page/29-new-zealand-suicide-prevention-strategy-2006-2016</w:t>
        </w:r>
      </w:hyperlink>
    </w:p>
  </w:footnote>
  <w:footnote w:id="140">
    <w:p w:rsidR="00C54925" w:rsidRPr="00090365" w:rsidRDefault="00C54925" w:rsidP="009401ED">
      <w:pPr>
        <w:pStyle w:val="FootnoteText"/>
      </w:pPr>
      <w:r>
        <w:rPr>
          <w:rStyle w:val="FootnoteReference"/>
        </w:rPr>
        <w:footnoteRef/>
      </w:r>
      <w:r>
        <w:t xml:space="preserve"> </w:t>
      </w:r>
      <w:hyperlink r:id="rId116" w:history="1">
        <w:r w:rsidRPr="00261CB5">
          <w:rPr>
            <w:rStyle w:val="Hyperlink"/>
          </w:rPr>
          <w:t>http://www.ccsdisabilityaction.org.nz/images/Unequalopportunities.pdf</w:t>
        </w:r>
      </w:hyperlink>
    </w:p>
  </w:footnote>
  <w:footnote w:id="141">
    <w:p w:rsidR="00C54925" w:rsidRPr="00D4323A" w:rsidRDefault="00C54925">
      <w:pPr>
        <w:pStyle w:val="FootnoteText"/>
      </w:pPr>
      <w:r>
        <w:rPr>
          <w:rStyle w:val="FootnoteReference"/>
        </w:rPr>
        <w:footnoteRef/>
      </w:r>
      <w:r>
        <w:t xml:space="preserve"> </w:t>
      </w:r>
      <w:hyperlink r:id="rId117" w:history="1">
        <w:r w:rsidRPr="004C4A8C">
          <w:rPr>
            <w:rStyle w:val="Hyperlink"/>
          </w:rPr>
          <w:t>http://www.otago.ac.nz/wellington/otago032196.pdf</w:t>
        </w:r>
      </w:hyperlink>
    </w:p>
  </w:footnote>
  <w:footnote w:id="142">
    <w:p w:rsidR="00C54925" w:rsidRPr="00DE3C89" w:rsidRDefault="00C54925">
      <w:pPr>
        <w:pStyle w:val="FootnoteText"/>
      </w:pPr>
      <w:r>
        <w:rPr>
          <w:rStyle w:val="FootnoteReference"/>
        </w:rPr>
        <w:footnoteRef/>
      </w:r>
      <w:r>
        <w:t xml:space="preserve"> </w:t>
      </w:r>
      <w:hyperlink r:id="rId118" w:history="1">
        <w:r w:rsidRPr="004C4A8C">
          <w:rPr>
            <w:rStyle w:val="Hyperlink"/>
          </w:rPr>
          <w:t>http://socialjustice.org.nz/papers/</w:t>
        </w:r>
      </w:hyperlink>
    </w:p>
  </w:footnote>
  <w:footnote w:id="143">
    <w:p w:rsidR="00C54925" w:rsidRPr="00EA15B7" w:rsidRDefault="00C54925" w:rsidP="009401ED">
      <w:pPr>
        <w:pStyle w:val="FootnoteText"/>
      </w:pPr>
      <w:r>
        <w:rPr>
          <w:rStyle w:val="FootnoteReference"/>
        </w:rPr>
        <w:footnoteRef/>
      </w:r>
      <w:r>
        <w:t xml:space="preserve"> </w:t>
      </w:r>
      <w:hyperlink r:id="rId119" w:history="1">
        <w:r w:rsidRPr="003002AE">
          <w:rPr>
            <w:rStyle w:val="Hyperlink"/>
          </w:rPr>
          <w:t>http://www.hrc.co.nz/your-rights/people-disabilities/our-work/making-disability-rights-real/</w:t>
        </w:r>
      </w:hyperlink>
    </w:p>
  </w:footnote>
  <w:footnote w:id="144">
    <w:p w:rsidR="00C54925" w:rsidRPr="00323C81" w:rsidRDefault="00C54925" w:rsidP="009401ED">
      <w:pPr>
        <w:pStyle w:val="FootnoteText"/>
      </w:pPr>
      <w:r>
        <w:rPr>
          <w:rStyle w:val="FootnoteReference"/>
        </w:rPr>
        <w:footnoteRef/>
      </w:r>
      <w:r>
        <w:t xml:space="preserve"> </w:t>
      </w:r>
      <w:hyperlink r:id="rId120" w:history="1">
        <w:r w:rsidRPr="003002AE">
          <w:rPr>
            <w:rStyle w:val="Hyperlink"/>
          </w:rPr>
          <w:t>http://www.hrc.co.nz/your-rights/people-disabilities/our-work/making-disability-rights-real/</w:t>
        </w:r>
      </w:hyperlink>
    </w:p>
  </w:footnote>
  <w:footnote w:id="145">
    <w:p w:rsidR="00C54925" w:rsidRPr="008C3DBA" w:rsidRDefault="00C54925" w:rsidP="009401ED">
      <w:pPr>
        <w:pStyle w:val="FootnoteText"/>
      </w:pPr>
      <w:r>
        <w:rPr>
          <w:rStyle w:val="FootnoteReference"/>
        </w:rPr>
        <w:footnoteRef/>
      </w:r>
      <w:r>
        <w:t xml:space="preserve"> </w:t>
      </w:r>
      <w:hyperlink r:id="rId121" w:anchor="WhataretheEnablingGoodLivesprinciples10" w:history="1">
        <w:r w:rsidRPr="003002AE">
          <w:rPr>
            <w:rStyle w:val="Hyperlink"/>
          </w:rPr>
          <w:t>http://www.odi.govt.nz/what-we-do/improving-disability-supports/enabling-good-lives/questions-and-  answers-july-2013.html#WhataretheEnablingGoodLivesprinciples10</w:t>
        </w:r>
      </w:hyperlink>
    </w:p>
  </w:footnote>
  <w:footnote w:id="146">
    <w:p w:rsidR="00C54925" w:rsidRPr="0049567E" w:rsidRDefault="00C54925">
      <w:pPr>
        <w:pStyle w:val="FootnoteText"/>
      </w:pPr>
      <w:r>
        <w:rPr>
          <w:rStyle w:val="FootnoteReference"/>
        </w:rPr>
        <w:footnoteRef/>
      </w:r>
      <w:r>
        <w:t xml:space="preserve"> </w:t>
      </w:r>
      <w:hyperlink r:id="rId122" w:history="1">
        <w:r w:rsidRPr="00552F2D">
          <w:rPr>
            <w:rStyle w:val="Hyperlink"/>
          </w:rPr>
          <w:t>http://www.cbm.org/The-Twin-Track-approach-250816.php</w:t>
        </w:r>
      </w:hyperlink>
    </w:p>
  </w:footnote>
  <w:footnote w:id="147">
    <w:p w:rsidR="00C54925" w:rsidRPr="00B35672" w:rsidRDefault="00C54925">
      <w:pPr>
        <w:pStyle w:val="FootnoteText"/>
      </w:pPr>
      <w:r>
        <w:rPr>
          <w:rStyle w:val="FootnoteReference"/>
        </w:rPr>
        <w:footnoteRef/>
      </w:r>
      <w:r>
        <w:t xml:space="preserve"> </w:t>
      </w:r>
      <w:hyperlink r:id="rId123" w:history="1">
        <w:r w:rsidRPr="00552F2D">
          <w:rPr>
            <w:rStyle w:val="Hyperlink"/>
          </w:rPr>
          <w:t>http://www.hrc.co.nz/your-rights/people-disabilities/our-work/making-disability-rights-real/</w:t>
        </w:r>
      </w:hyperlink>
    </w:p>
  </w:footnote>
  <w:footnote w:id="148">
    <w:p w:rsidR="00C54925" w:rsidRPr="00A128AB" w:rsidRDefault="00C54925">
      <w:pPr>
        <w:pStyle w:val="FootnoteText"/>
      </w:pPr>
      <w:r>
        <w:rPr>
          <w:rStyle w:val="FootnoteReference"/>
        </w:rPr>
        <w:footnoteRef/>
      </w:r>
      <w:r>
        <w:t xml:space="preserve"> An organisation supporting learning disabled people </w:t>
      </w:r>
      <w:hyperlink r:id="rId124" w:history="1">
        <w:r w:rsidRPr="003002AE">
          <w:rPr>
            <w:rStyle w:val="Hyperlink"/>
          </w:rPr>
          <w:t>http://www.ihc.org.nz/</w:t>
        </w:r>
      </w:hyperlink>
    </w:p>
  </w:footnote>
  <w:footnote w:id="149">
    <w:p w:rsidR="00C54925" w:rsidRPr="00126B37" w:rsidRDefault="00C54925">
      <w:pPr>
        <w:pStyle w:val="FootnoteText"/>
      </w:pPr>
      <w:r>
        <w:rPr>
          <w:rStyle w:val="FootnoteReference"/>
        </w:rPr>
        <w:footnoteRef/>
      </w:r>
      <w:r>
        <w:t xml:space="preserve"> </w:t>
      </w:r>
      <w:hyperlink r:id="rId125" w:history="1">
        <w:r w:rsidRPr="003002AE">
          <w:rPr>
            <w:rStyle w:val="Hyperlink"/>
          </w:rPr>
          <w:t>http://www.hrc.co.nz/files/8014/2357/0686/Making-disability-rights-real-full-report.pdf</w:t>
        </w:r>
      </w:hyperlink>
    </w:p>
  </w:footnote>
  <w:footnote w:id="150">
    <w:p w:rsidR="00C54925" w:rsidRPr="002F2EA7" w:rsidRDefault="00C54925">
      <w:pPr>
        <w:pStyle w:val="FootnoteText"/>
        <w:rPr>
          <w:lang w:val="en-NZ"/>
        </w:rPr>
      </w:pPr>
      <w:r>
        <w:rPr>
          <w:rStyle w:val="FootnoteReference"/>
        </w:rPr>
        <w:footnoteRef/>
      </w:r>
      <w:r>
        <w:t xml:space="preserve"> </w:t>
      </w:r>
      <w:r w:rsidRPr="002F2EA7">
        <w:rPr>
          <w:shd w:val="clear" w:color="auto" w:fill="FFFFFF"/>
        </w:rPr>
        <w:t xml:space="preserve">For example a child may be being seen by </w:t>
      </w:r>
      <w:r>
        <w:rPr>
          <w:shd w:val="clear" w:color="auto" w:fill="FFFFFF"/>
        </w:rPr>
        <w:t xml:space="preserve">a range of agencies and staff from across </w:t>
      </w:r>
      <w:r w:rsidRPr="002F2EA7">
        <w:rPr>
          <w:shd w:val="clear" w:color="auto" w:fill="FFFFFF"/>
        </w:rPr>
        <w:t>Special Education, a Ministry of Health funded Disability Support Service</w:t>
      </w:r>
      <w:r>
        <w:rPr>
          <w:shd w:val="clear" w:color="auto" w:fill="FFFFFF"/>
        </w:rPr>
        <w:t xml:space="preserve">, a </w:t>
      </w:r>
      <w:r w:rsidRPr="002F2EA7">
        <w:rPr>
          <w:shd w:val="clear" w:color="auto" w:fill="FFFFFF"/>
        </w:rPr>
        <w:t xml:space="preserve">Child and Family Mental Health Service, a District Health Board, </w:t>
      </w:r>
      <w:r>
        <w:rPr>
          <w:shd w:val="clear" w:color="auto" w:fill="FFFFFF"/>
        </w:rPr>
        <w:t>and a Ministry of Social Development funded services.</w:t>
      </w:r>
    </w:p>
  </w:footnote>
  <w:footnote w:id="151">
    <w:p w:rsidR="00C54925" w:rsidRPr="00072503" w:rsidRDefault="00C54925">
      <w:pPr>
        <w:pStyle w:val="FootnoteText"/>
        <w:rPr>
          <w:lang w:val="en-NZ"/>
        </w:rPr>
      </w:pPr>
      <w:r>
        <w:rPr>
          <w:rStyle w:val="FootnoteReference"/>
        </w:rPr>
        <w:footnoteRef/>
      </w:r>
      <w:r>
        <w:t xml:space="preserve"> </w:t>
      </w:r>
      <w:hyperlink r:id="rId126" w:history="1">
        <w:r w:rsidRPr="003002AE">
          <w:rPr>
            <w:rStyle w:val="Hyperlink"/>
          </w:rPr>
          <w:t>http://www.hrc.co.nz/files/8014/2357/0686/Making-disability-rights-real-full-report.pdf</w:t>
        </w:r>
      </w:hyperlink>
    </w:p>
  </w:footnote>
  <w:footnote w:id="152">
    <w:p w:rsidR="00C54925" w:rsidRPr="009418C6" w:rsidRDefault="00C54925" w:rsidP="009401ED">
      <w:pPr>
        <w:pStyle w:val="FootnoteText"/>
      </w:pPr>
      <w:r>
        <w:rPr>
          <w:rStyle w:val="FootnoteReference"/>
        </w:rPr>
        <w:footnoteRef/>
      </w:r>
      <w:r>
        <w:t xml:space="preserve"> </w:t>
      </w:r>
      <w:hyperlink r:id="rId127" w:history="1">
        <w:r w:rsidRPr="00261CB5">
          <w:rPr>
            <w:rStyle w:val="Hyperlink"/>
          </w:rPr>
          <w:t>http://www.likeminds.org.nz/assets/Uploads/Public-knowledge-and-attitudes.pdf</w:t>
        </w:r>
      </w:hyperlink>
    </w:p>
  </w:footnote>
  <w:footnote w:id="153">
    <w:p w:rsidR="00C54925" w:rsidRPr="00F47529" w:rsidRDefault="00C54925" w:rsidP="009418C6">
      <w:pPr>
        <w:jc w:val="both"/>
      </w:pPr>
      <w:r>
        <w:rPr>
          <w:rStyle w:val="FootnoteReference"/>
        </w:rPr>
        <w:footnoteRef/>
      </w:r>
      <w:r>
        <w:t xml:space="preserve"> </w:t>
      </w:r>
      <w:hyperlink r:id="rId128" w:history="1">
        <w:r w:rsidRPr="00552F2D">
          <w:rPr>
            <w:rStyle w:val="Hyperlink"/>
          </w:rPr>
          <w:t>http://www.ssc.govt.nz/sites/all/files/service-experience-of-nzers-with-disabilities.pdf</w:t>
        </w:r>
      </w:hyperlink>
    </w:p>
  </w:footnote>
  <w:footnote w:id="154">
    <w:p w:rsidR="00C54925" w:rsidRPr="00937238" w:rsidRDefault="00C54925">
      <w:pPr>
        <w:pStyle w:val="FootnoteText"/>
        <w:rPr>
          <w:lang w:val="en-NZ"/>
        </w:rPr>
      </w:pPr>
      <w:r>
        <w:rPr>
          <w:rStyle w:val="FootnoteReference"/>
        </w:rPr>
        <w:footnoteRef/>
      </w:r>
      <w:r>
        <w:t xml:space="preserve"> </w:t>
      </w:r>
      <w:r>
        <w:rPr>
          <w:lang w:val="en-NZ"/>
        </w:rPr>
        <w:t xml:space="preserve">For example Disability Support Services provided through the Ministry of Health are not available to people who experience psychosocial disability unless they have a coexisting impairment (as this is regarded as ‘outside the disability framework.’) </w:t>
      </w:r>
    </w:p>
  </w:footnote>
  <w:footnote w:id="155">
    <w:p w:rsidR="00C54925" w:rsidRPr="00DB6A91" w:rsidRDefault="00C54925">
      <w:pPr>
        <w:pStyle w:val="FootnoteText"/>
        <w:rPr>
          <w:lang w:val="en-NZ"/>
        </w:rPr>
      </w:pPr>
      <w:r>
        <w:rPr>
          <w:rStyle w:val="FootnoteReference"/>
        </w:rPr>
        <w:footnoteRef/>
      </w:r>
      <w:r>
        <w:t xml:space="preserve"> </w:t>
      </w:r>
      <w:hyperlink r:id="rId129" w:history="1">
        <w:r w:rsidRPr="00261CB5">
          <w:rPr>
            <w:rStyle w:val="Hyperlink"/>
            <w:lang w:val="en-NZ"/>
          </w:rPr>
          <w:t>http://www.stuff.co.nz/the-press/news/68162272/beneficiaries-scared-stiff-of-work-and-income</w:t>
        </w:r>
      </w:hyperlink>
    </w:p>
  </w:footnote>
  <w:footnote w:id="156">
    <w:p w:rsidR="00C54925" w:rsidRPr="004603AF" w:rsidRDefault="00C54925">
      <w:pPr>
        <w:pStyle w:val="FootnoteText"/>
        <w:rPr>
          <w:lang w:val="en-NZ"/>
        </w:rPr>
      </w:pPr>
      <w:r>
        <w:rPr>
          <w:rStyle w:val="FootnoteReference"/>
        </w:rPr>
        <w:footnoteRef/>
      </w:r>
      <w:r>
        <w:t xml:space="preserve"> </w:t>
      </w:r>
      <w:r>
        <w:rPr>
          <w:lang w:val="en-NZ"/>
        </w:rPr>
        <w:t xml:space="preserve">People First NZ </w:t>
      </w:r>
      <w:hyperlink r:id="rId130" w:history="1">
        <w:r w:rsidRPr="00552F2D">
          <w:rPr>
            <w:rStyle w:val="Hyperlink"/>
            <w:lang w:val="en-NZ"/>
          </w:rPr>
          <w:t>http://www.peoplefirst.org.nz/</w:t>
        </w:r>
      </w:hyperlink>
    </w:p>
  </w:footnote>
  <w:footnote w:id="157">
    <w:p w:rsidR="00C54925" w:rsidRPr="006A4638" w:rsidRDefault="00C54925">
      <w:pPr>
        <w:pStyle w:val="FootnoteText"/>
      </w:pPr>
      <w:r>
        <w:rPr>
          <w:rStyle w:val="FootnoteReference"/>
        </w:rPr>
        <w:footnoteRef/>
      </w:r>
      <w:r>
        <w:t xml:space="preserve"> </w:t>
      </w:r>
      <w:hyperlink r:id="rId131" w:history="1">
        <w:r w:rsidRPr="00552F2D">
          <w:rPr>
            <w:rStyle w:val="Hyperlink"/>
          </w:rPr>
          <w:t>http://nzccss.org.nz/work/poverty/</w:t>
        </w:r>
      </w:hyperlink>
    </w:p>
  </w:footnote>
  <w:footnote w:id="158">
    <w:p w:rsidR="00C54925" w:rsidRPr="00530C7C" w:rsidRDefault="00C54925">
      <w:pPr>
        <w:pStyle w:val="FootnoteText"/>
      </w:pPr>
      <w:r>
        <w:rPr>
          <w:rStyle w:val="FootnoteReference"/>
        </w:rPr>
        <w:footnoteRef/>
      </w:r>
      <w:r>
        <w:t xml:space="preserve"> </w:t>
      </w:r>
      <w:hyperlink r:id="rId132" w:history="1">
        <w:r w:rsidRPr="00261CB5">
          <w:rPr>
            <w:rStyle w:val="Hyperlink"/>
          </w:rPr>
          <w:t>http://www.cpag.org.nz/news/new-report-it-shouldnt-be-this-hard-children/</w:t>
        </w:r>
      </w:hyperlink>
    </w:p>
  </w:footnote>
  <w:footnote w:id="159">
    <w:p w:rsidR="00C54925" w:rsidRPr="007E4341" w:rsidRDefault="00C54925">
      <w:pPr>
        <w:pStyle w:val="FootnoteText"/>
      </w:pPr>
      <w:r>
        <w:rPr>
          <w:rStyle w:val="FootnoteReference"/>
        </w:rPr>
        <w:footnoteRef/>
      </w:r>
      <w:hyperlink r:id="rId133" w:history="1">
        <w:r w:rsidRPr="00552F2D">
          <w:rPr>
            <w:rStyle w:val="Hyperlink"/>
          </w:rPr>
          <w:t>http://www.cpag.org.nz/assets/Presentations/150306%20International%20womens%20day%20Susan%20St%20John.pdf</w:t>
        </w:r>
      </w:hyperlink>
    </w:p>
  </w:footnote>
  <w:footnote w:id="160">
    <w:p w:rsidR="00120C64" w:rsidRPr="00120C64" w:rsidRDefault="00120C64">
      <w:pPr>
        <w:pStyle w:val="FootnoteText"/>
        <w:rPr>
          <w:lang w:val="en-NZ"/>
        </w:rPr>
      </w:pPr>
      <w:r>
        <w:rPr>
          <w:rStyle w:val="FootnoteReference"/>
        </w:rPr>
        <w:footnoteRef/>
      </w:r>
      <w:r>
        <w:t xml:space="preserve"> </w:t>
      </w:r>
      <w:r>
        <w:rPr>
          <w:lang w:val="en-NZ"/>
        </w:rPr>
        <w:t>However, if prior to an accident a person has had part-time, casual or seasonal employment, their ACC weekly payments will also be as low as WINZ payments due to the fact ACC basis weekly payments on 80% of a person’s prior annual income.</w:t>
      </w:r>
    </w:p>
  </w:footnote>
  <w:footnote w:id="161">
    <w:p w:rsidR="00C54925" w:rsidRPr="0046448C" w:rsidRDefault="00C54925">
      <w:pPr>
        <w:pStyle w:val="FootnoteText"/>
        <w:rPr>
          <w:lang w:val="en-NZ"/>
        </w:rPr>
      </w:pPr>
      <w:r>
        <w:rPr>
          <w:rStyle w:val="FootnoteReference"/>
        </w:rPr>
        <w:footnoteRef/>
      </w:r>
      <w:r>
        <w:t xml:space="preserve"> With the introduction of ACC </w:t>
      </w:r>
      <w:r>
        <w:rPr>
          <w:lang w:val="en-NZ"/>
        </w:rPr>
        <w:t xml:space="preserve">New Zealanders gave up the right to sue for damages suffered as a result of an accident, wherever the accident occurs (e.g. workplace, sports-field, </w:t>
      </w:r>
      <w:proofErr w:type="gramStart"/>
      <w:r>
        <w:rPr>
          <w:lang w:val="en-NZ"/>
        </w:rPr>
        <w:t>home</w:t>
      </w:r>
      <w:proofErr w:type="gramEnd"/>
      <w:r>
        <w:rPr>
          <w:lang w:val="en-NZ"/>
        </w:rPr>
        <w:t>).</w:t>
      </w:r>
    </w:p>
  </w:footnote>
  <w:footnote w:id="162">
    <w:p w:rsidR="00C54925" w:rsidRPr="0046448C" w:rsidRDefault="00C54925">
      <w:pPr>
        <w:pStyle w:val="FootnoteText"/>
        <w:rPr>
          <w:lang w:val="en-NZ"/>
        </w:rPr>
      </w:pPr>
      <w:r>
        <w:rPr>
          <w:rStyle w:val="FootnoteReference"/>
        </w:rPr>
        <w:footnoteRef/>
      </w:r>
      <w:r>
        <w:t xml:space="preserve"> </w:t>
      </w:r>
      <w:r>
        <w:rPr>
          <w:lang w:val="en-NZ"/>
        </w:rPr>
        <w:t xml:space="preserve">The exception is that people who have experienced sexual abuse may be eligible for counselling for a limited number of therapeutic sessions. However, they are not entitled to weekly compensation payments or a lump sum payment. </w:t>
      </w:r>
    </w:p>
  </w:footnote>
  <w:footnote w:id="163">
    <w:p w:rsidR="00C54925" w:rsidRPr="00F871D4" w:rsidRDefault="00C54925">
      <w:pPr>
        <w:pStyle w:val="FootnoteText"/>
      </w:pPr>
      <w:r>
        <w:rPr>
          <w:rStyle w:val="FootnoteReference"/>
        </w:rPr>
        <w:footnoteRef/>
      </w:r>
      <w:r>
        <w:t xml:space="preserve"> </w:t>
      </w:r>
      <w:hyperlink r:id="rId134" w:history="1">
        <w:r w:rsidRPr="003002AE">
          <w:rPr>
            <w:rStyle w:val="Hyperlink"/>
          </w:rPr>
          <w:t>http://www.ssc.govt.nz/service-experience-disabilities</w:t>
        </w:r>
      </w:hyperlink>
    </w:p>
  </w:footnote>
  <w:footnote w:id="164">
    <w:p w:rsidR="00C54925" w:rsidRDefault="00C54925" w:rsidP="001918C5">
      <w:pPr>
        <w:pStyle w:val="FootnoteText"/>
      </w:pPr>
      <w:r>
        <w:rPr>
          <w:rStyle w:val="FootnoteReference"/>
        </w:rPr>
        <w:footnoteRef/>
      </w:r>
      <w:r>
        <w:t xml:space="preserve"> </w:t>
      </w:r>
      <w:hyperlink r:id="rId135" w:history="1">
        <w:r w:rsidRPr="003002AE">
          <w:rPr>
            <w:rStyle w:val="Hyperlink"/>
          </w:rPr>
          <w:t>https://www.ssc.govt.nz/node/1671</w:t>
        </w:r>
      </w:hyperlink>
    </w:p>
    <w:p w:rsidR="00C54925" w:rsidRPr="00656CC0" w:rsidRDefault="00C54925" w:rsidP="001918C5">
      <w:pPr>
        <w:pStyle w:val="FootnoteText"/>
        <w:rPr>
          <w:lang w:val="en-NZ"/>
        </w:rPr>
      </w:pPr>
    </w:p>
  </w:footnote>
  <w:footnote w:id="165">
    <w:p w:rsidR="00C54925" w:rsidRDefault="00C54925" w:rsidP="00FF0CC0">
      <w:pPr>
        <w:pStyle w:val="ListParagraph"/>
        <w:ind w:left="0"/>
        <w:jc w:val="both"/>
      </w:pPr>
      <w:r w:rsidRPr="00285068">
        <w:rPr>
          <w:rStyle w:val="FootnoteReference"/>
        </w:rPr>
        <w:footnoteRef/>
      </w:r>
      <w:r w:rsidRPr="00285068">
        <w:t xml:space="preserve"> This includes the Human Rights Commission</w:t>
      </w:r>
      <w:r>
        <w:t xml:space="preserve"> and the </w:t>
      </w:r>
      <w:r w:rsidRPr="00285068">
        <w:t>Disability Rights Commissioner</w:t>
      </w:r>
      <w:r>
        <w:t xml:space="preserve"> (who is a</w:t>
      </w:r>
    </w:p>
    <w:p w:rsidR="00C54925" w:rsidRPr="00285068" w:rsidRDefault="00C54925" w:rsidP="00FF0CC0">
      <w:pPr>
        <w:pStyle w:val="ListParagraph"/>
        <w:ind w:left="0"/>
        <w:jc w:val="both"/>
      </w:pPr>
      <w:proofErr w:type="gramStart"/>
      <w:r w:rsidRPr="00285068">
        <w:t>member</w:t>
      </w:r>
      <w:proofErr w:type="gramEnd"/>
      <w:r w:rsidRPr="00285068">
        <w:t xml:space="preserve"> of New Zealand’s Independent Monitoring Mechanism</w:t>
      </w:r>
      <w:r>
        <w:t>)</w:t>
      </w:r>
      <w:r w:rsidRPr="00285068">
        <w:t>.</w:t>
      </w:r>
    </w:p>
  </w:footnote>
  <w:footnote w:id="166">
    <w:p w:rsidR="00C54925" w:rsidRPr="000C08B1" w:rsidRDefault="00C54925" w:rsidP="00FF0CC0">
      <w:pPr>
        <w:shd w:val="clear" w:color="auto" w:fill="FFFFFF"/>
        <w:rPr>
          <w:lang w:val="en-NZ"/>
        </w:rPr>
      </w:pPr>
      <w:r>
        <w:rPr>
          <w:rStyle w:val="FootnoteReference"/>
        </w:rPr>
        <w:footnoteRef/>
      </w:r>
      <w:r>
        <w:t xml:space="preserve"> </w:t>
      </w:r>
      <w:r>
        <w:rPr>
          <w:lang w:val="en-NZ"/>
        </w:rPr>
        <w:t xml:space="preserve">The powers and functions of the Ombudsman are contained in five different Acts.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925" w:rsidRPr="00AD4CA9" w:rsidRDefault="00C54925" w:rsidP="001842D9">
    <w:pPr>
      <w:pStyle w:val="Header"/>
      <w:tabs>
        <w:tab w:val="clear" w:pos="4153"/>
        <w:tab w:val="clear" w:pos="8306"/>
        <w:tab w:val="right" w:pos="9214"/>
      </w:tabs>
      <w:spacing w:before="360" w:after="840"/>
      <w:rPr>
        <w:sz w:val="14"/>
        <w:szCs w:val="1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925" w:rsidRPr="00782B5E" w:rsidRDefault="00C54925" w:rsidP="001842D9">
    <w:pPr>
      <w:pStyle w:val="Header"/>
      <w:tabs>
        <w:tab w:val="clear" w:pos="4153"/>
        <w:tab w:val="clear" w:pos="8306"/>
        <w:tab w:val="right" w:pos="3686"/>
        <w:tab w:val="left" w:pos="5812"/>
      </w:tabs>
      <w:spacing w:before="80" w:after="360"/>
      <w:jc w:val="center"/>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7B6"/>
    <w:multiLevelType w:val="hybridMultilevel"/>
    <w:tmpl w:val="B16E478E"/>
    <w:lvl w:ilvl="0" w:tplc="1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D3184"/>
    <w:multiLevelType w:val="hybridMultilevel"/>
    <w:tmpl w:val="BCCEA7B0"/>
    <w:lvl w:ilvl="0" w:tplc="FAD0A3E0">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57843E9"/>
    <w:multiLevelType w:val="hybridMultilevel"/>
    <w:tmpl w:val="E61451D8"/>
    <w:lvl w:ilvl="0" w:tplc="1409000D">
      <w:start w:val="1"/>
      <w:numFmt w:val="bullet"/>
      <w:lvlText w:val=""/>
      <w:lvlJc w:val="left"/>
      <w:pPr>
        <w:ind w:left="1445" w:hanging="360"/>
      </w:pPr>
      <w:rPr>
        <w:rFonts w:ascii="Wingdings" w:hAnsi="Wingdings" w:hint="default"/>
      </w:rPr>
    </w:lvl>
    <w:lvl w:ilvl="1" w:tplc="14090003" w:tentative="1">
      <w:start w:val="1"/>
      <w:numFmt w:val="bullet"/>
      <w:lvlText w:val="o"/>
      <w:lvlJc w:val="left"/>
      <w:pPr>
        <w:ind w:left="2165" w:hanging="360"/>
      </w:pPr>
      <w:rPr>
        <w:rFonts w:ascii="Courier New" w:hAnsi="Courier New" w:cs="Courier New" w:hint="default"/>
      </w:rPr>
    </w:lvl>
    <w:lvl w:ilvl="2" w:tplc="14090005" w:tentative="1">
      <w:start w:val="1"/>
      <w:numFmt w:val="bullet"/>
      <w:lvlText w:val=""/>
      <w:lvlJc w:val="left"/>
      <w:pPr>
        <w:ind w:left="2885" w:hanging="360"/>
      </w:pPr>
      <w:rPr>
        <w:rFonts w:ascii="Wingdings" w:hAnsi="Wingdings" w:hint="default"/>
      </w:rPr>
    </w:lvl>
    <w:lvl w:ilvl="3" w:tplc="14090001" w:tentative="1">
      <w:start w:val="1"/>
      <w:numFmt w:val="bullet"/>
      <w:lvlText w:val=""/>
      <w:lvlJc w:val="left"/>
      <w:pPr>
        <w:ind w:left="3605" w:hanging="360"/>
      </w:pPr>
      <w:rPr>
        <w:rFonts w:ascii="Symbol" w:hAnsi="Symbol" w:hint="default"/>
      </w:rPr>
    </w:lvl>
    <w:lvl w:ilvl="4" w:tplc="14090003" w:tentative="1">
      <w:start w:val="1"/>
      <w:numFmt w:val="bullet"/>
      <w:lvlText w:val="o"/>
      <w:lvlJc w:val="left"/>
      <w:pPr>
        <w:ind w:left="4325" w:hanging="360"/>
      </w:pPr>
      <w:rPr>
        <w:rFonts w:ascii="Courier New" w:hAnsi="Courier New" w:cs="Courier New" w:hint="default"/>
      </w:rPr>
    </w:lvl>
    <w:lvl w:ilvl="5" w:tplc="14090005" w:tentative="1">
      <w:start w:val="1"/>
      <w:numFmt w:val="bullet"/>
      <w:lvlText w:val=""/>
      <w:lvlJc w:val="left"/>
      <w:pPr>
        <w:ind w:left="5045" w:hanging="360"/>
      </w:pPr>
      <w:rPr>
        <w:rFonts w:ascii="Wingdings" w:hAnsi="Wingdings" w:hint="default"/>
      </w:rPr>
    </w:lvl>
    <w:lvl w:ilvl="6" w:tplc="14090001" w:tentative="1">
      <w:start w:val="1"/>
      <w:numFmt w:val="bullet"/>
      <w:lvlText w:val=""/>
      <w:lvlJc w:val="left"/>
      <w:pPr>
        <w:ind w:left="5765" w:hanging="360"/>
      </w:pPr>
      <w:rPr>
        <w:rFonts w:ascii="Symbol" w:hAnsi="Symbol" w:hint="default"/>
      </w:rPr>
    </w:lvl>
    <w:lvl w:ilvl="7" w:tplc="14090003" w:tentative="1">
      <w:start w:val="1"/>
      <w:numFmt w:val="bullet"/>
      <w:lvlText w:val="o"/>
      <w:lvlJc w:val="left"/>
      <w:pPr>
        <w:ind w:left="6485" w:hanging="360"/>
      </w:pPr>
      <w:rPr>
        <w:rFonts w:ascii="Courier New" w:hAnsi="Courier New" w:cs="Courier New" w:hint="default"/>
      </w:rPr>
    </w:lvl>
    <w:lvl w:ilvl="8" w:tplc="14090005" w:tentative="1">
      <w:start w:val="1"/>
      <w:numFmt w:val="bullet"/>
      <w:lvlText w:val=""/>
      <w:lvlJc w:val="left"/>
      <w:pPr>
        <w:ind w:left="7205" w:hanging="360"/>
      </w:pPr>
      <w:rPr>
        <w:rFonts w:ascii="Wingdings" w:hAnsi="Wingdings" w:hint="default"/>
      </w:rPr>
    </w:lvl>
  </w:abstractNum>
  <w:abstractNum w:abstractNumId="3">
    <w:nsid w:val="1D4D45ED"/>
    <w:multiLevelType w:val="hybridMultilevel"/>
    <w:tmpl w:val="92E8763A"/>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nsid w:val="29E4463E"/>
    <w:multiLevelType w:val="hybridMultilevel"/>
    <w:tmpl w:val="F5E04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3443DBD"/>
    <w:multiLevelType w:val="hybridMultilevel"/>
    <w:tmpl w:val="5FC6AC5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3DC037A"/>
    <w:multiLevelType w:val="multilevel"/>
    <w:tmpl w:val="40B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9729B"/>
    <w:multiLevelType w:val="hybridMultilevel"/>
    <w:tmpl w:val="6A9444C4"/>
    <w:lvl w:ilvl="0" w:tplc="F8381210">
      <w:start w:val="1"/>
      <w:numFmt w:val="decimal"/>
      <w:lvlText w:val="%1."/>
      <w:lvlJc w:val="left"/>
      <w:pPr>
        <w:ind w:left="2520" w:hanging="360"/>
      </w:pPr>
      <w:rPr>
        <w:rFonts w:hint="default"/>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9">
    <w:nsid w:val="4F275A1E"/>
    <w:multiLevelType w:val="hybridMultilevel"/>
    <w:tmpl w:val="409AB336"/>
    <w:lvl w:ilvl="0" w:tplc="FAD0A3E0">
      <w:start w:val="1"/>
      <w:numFmt w:val="bullet"/>
      <w:lvlText w:val=""/>
      <w:lvlJc w:val="left"/>
      <w:pPr>
        <w:ind w:left="786" w:hanging="360"/>
      </w:pPr>
      <w:rPr>
        <w:rFonts w:ascii="Wingdings" w:hAnsi="Wingdings"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abstractNum w:abstractNumId="10">
    <w:nsid w:val="52E142E0"/>
    <w:multiLevelType w:val="hybridMultilevel"/>
    <w:tmpl w:val="BCCC82F2"/>
    <w:lvl w:ilvl="0" w:tplc="718A168E">
      <w:start w:val="1"/>
      <w:numFmt w:val="decimal"/>
      <w:lvlText w:val="%1."/>
      <w:lvlJc w:val="left"/>
      <w:pPr>
        <w:ind w:left="1848" w:hanging="360"/>
      </w:pPr>
      <w:rPr>
        <w:rFonts w:hint="default"/>
      </w:r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11">
    <w:nsid w:val="62E7116A"/>
    <w:multiLevelType w:val="hybridMultilevel"/>
    <w:tmpl w:val="72A21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652D3FDD"/>
    <w:multiLevelType w:val="hybridMultilevel"/>
    <w:tmpl w:val="76145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1">
      <w:start w:val="1"/>
      <w:numFmt w:val="bullet"/>
      <w:lvlText w:val=""/>
      <w:lvlJc w:val="left"/>
      <w:pPr>
        <w:ind w:left="2160" w:hanging="360"/>
      </w:pPr>
      <w:rPr>
        <w:rFonts w:ascii="Symbol" w:hAnsi="Symbo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7F830A96"/>
    <w:multiLevelType w:val="hybridMultilevel"/>
    <w:tmpl w:val="95C2C1D8"/>
    <w:lvl w:ilvl="0" w:tplc="FAD0A3E0">
      <w:start w:val="1"/>
      <w:numFmt w:val="bullet"/>
      <w:lvlText w:val=""/>
      <w:lvlJc w:val="left"/>
      <w:pPr>
        <w:ind w:left="1434" w:hanging="360"/>
      </w:pPr>
      <w:rPr>
        <w:rFonts w:ascii="Wingdings" w:hAnsi="Wingdings"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8"/>
  </w:num>
  <w:num w:numId="6">
    <w:abstractNumId w:val="10"/>
  </w:num>
  <w:num w:numId="7">
    <w:abstractNumId w:val="1"/>
  </w:num>
  <w:num w:numId="8">
    <w:abstractNumId w:val="6"/>
  </w:num>
  <w:num w:numId="9">
    <w:abstractNumId w:val="2"/>
  </w:num>
  <w:num w:numId="10">
    <w:abstractNumId w:val="13"/>
  </w:num>
  <w:num w:numId="11">
    <w:abstractNumId w:val="9"/>
  </w:num>
  <w:num w:numId="12">
    <w:abstractNumId w:val="11"/>
  </w:num>
  <w:num w:numId="13">
    <w:abstractNumId w:val="4"/>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41"/>
    <w:rsid w:val="00001060"/>
    <w:rsid w:val="00001B0D"/>
    <w:rsid w:val="00004958"/>
    <w:rsid w:val="00005C0B"/>
    <w:rsid w:val="00007A8E"/>
    <w:rsid w:val="00007AC2"/>
    <w:rsid w:val="00011BD3"/>
    <w:rsid w:val="00013843"/>
    <w:rsid w:val="00015693"/>
    <w:rsid w:val="000167AC"/>
    <w:rsid w:val="00030134"/>
    <w:rsid w:val="00030E60"/>
    <w:rsid w:val="000324E5"/>
    <w:rsid w:val="0003322D"/>
    <w:rsid w:val="00034FB2"/>
    <w:rsid w:val="00041723"/>
    <w:rsid w:val="0004646F"/>
    <w:rsid w:val="000465D5"/>
    <w:rsid w:val="00050D75"/>
    <w:rsid w:val="00053583"/>
    <w:rsid w:val="0005374D"/>
    <w:rsid w:val="00053C01"/>
    <w:rsid w:val="000550C8"/>
    <w:rsid w:val="00055A26"/>
    <w:rsid w:val="00063BE0"/>
    <w:rsid w:val="0006678A"/>
    <w:rsid w:val="00067077"/>
    <w:rsid w:val="000678DC"/>
    <w:rsid w:val="00071041"/>
    <w:rsid w:val="00072503"/>
    <w:rsid w:val="00073BAF"/>
    <w:rsid w:val="00075955"/>
    <w:rsid w:val="000763A5"/>
    <w:rsid w:val="00076E09"/>
    <w:rsid w:val="00087461"/>
    <w:rsid w:val="00090365"/>
    <w:rsid w:val="000921EB"/>
    <w:rsid w:val="00094128"/>
    <w:rsid w:val="0009660D"/>
    <w:rsid w:val="000A0B4B"/>
    <w:rsid w:val="000A36E1"/>
    <w:rsid w:val="000A506E"/>
    <w:rsid w:val="000A76E1"/>
    <w:rsid w:val="000B0DD3"/>
    <w:rsid w:val="000B2356"/>
    <w:rsid w:val="000C034C"/>
    <w:rsid w:val="000C08B1"/>
    <w:rsid w:val="000C2D0D"/>
    <w:rsid w:val="000C2EF5"/>
    <w:rsid w:val="000C6894"/>
    <w:rsid w:val="000D159E"/>
    <w:rsid w:val="000D5C02"/>
    <w:rsid w:val="000D6E94"/>
    <w:rsid w:val="000E1FBC"/>
    <w:rsid w:val="000E2BA1"/>
    <w:rsid w:val="000E54F7"/>
    <w:rsid w:val="000E7AF4"/>
    <w:rsid w:val="000F6C94"/>
    <w:rsid w:val="00100D47"/>
    <w:rsid w:val="001010F5"/>
    <w:rsid w:val="00103A86"/>
    <w:rsid w:val="00104800"/>
    <w:rsid w:val="00107F63"/>
    <w:rsid w:val="00110698"/>
    <w:rsid w:val="00111FC0"/>
    <w:rsid w:val="001178C3"/>
    <w:rsid w:val="00120C64"/>
    <w:rsid w:val="00121594"/>
    <w:rsid w:val="00122FC9"/>
    <w:rsid w:val="001258FB"/>
    <w:rsid w:val="00125C2A"/>
    <w:rsid w:val="00126228"/>
    <w:rsid w:val="00126B37"/>
    <w:rsid w:val="00126E44"/>
    <w:rsid w:val="001304D1"/>
    <w:rsid w:val="0013363B"/>
    <w:rsid w:val="00136864"/>
    <w:rsid w:val="001455F7"/>
    <w:rsid w:val="00146E6B"/>
    <w:rsid w:val="00147DB5"/>
    <w:rsid w:val="00150A52"/>
    <w:rsid w:val="001558E2"/>
    <w:rsid w:val="001573C4"/>
    <w:rsid w:val="00164DBB"/>
    <w:rsid w:val="00165CE4"/>
    <w:rsid w:val="00170B59"/>
    <w:rsid w:val="00175D23"/>
    <w:rsid w:val="001803DC"/>
    <w:rsid w:val="00180680"/>
    <w:rsid w:val="001832B8"/>
    <w:rsid w:val="001842D9"/>
    <w:rsid w:val="001918C5"/>
    <w:rsid w:val="00193EB6"/>
    <w:rsid w:val="001A0E66"/>
    <w:rsid w:val="001A1842"/>
    <w:rsid w:val="001A5FE9"/>
    <w:rsid w:val="001A6C0A"/>
    <w:rsid w:val="001B1775"/>
    <w:rsid w:val="001B2BB4"/>
    <w:rsid w:val="001B4040"/>
    <w:rsid w:val="001B699A"/>
    <w:rsid w:val="001C1F6C"/>
    <w:rsid w:val="001D0073"/>
    <w:rsid w:val="001D54CF"/>
    <w:rsid w:val="001D609A"/>
    <w:rsid w:val="001D781C"/>
    <w:rsid w:val="001E00D2"/>
    <w:rsid w:val="001E366B"/>
    <w:rsid w:val="001E4462"/>
    <w:rsid w:val="001E492E"/>
    <w:rsid w:val="001E647F"/>
    <w:rsid w:val="001E69C1"/>
    <w:rsid w:val="001F07A5"/>
    <w:rsid w:val="001F1234"/>
    <w:rsid w:val="001F372F"/>
    <w:rsid w:val="001F524B"/>
    <w:rsid w:val="00202397"/>
    <w:rsid w:val="00203633"/>
    <w:rsid w:val="00216FBD"/>
    <w:rsid w:val="0022000C"/>
    <w:rsid w:val="00221215"/>
    <w:rsid w:val="00223470"/>
    <w:rsid w:val="0022506B"/>
    <w:rsid w:val="00225650"/>
    <w:rsid w:val="00225A7F"/>
    <w:rsid w:val="00227C70"/>
    <w:rsid w:val="00230A34"/>
    <w:rsid w:val="0023450E"/>
    <w:rsid w:val="002377D8"/>
    <w:rsid w:val="002412A2"/>
    <w:rsid w:val="002423EA"/>
    <w:rsid w:val="00244D46"/>
    <w:rsid w:val="00244FD6"/>
    <w:rsid w:val="0024538C"/>
    <w:rsid w:val="00246549"/>
    <w:rsid w:val="00253D4E"/>
    <w:rsid w:val="00254F90"/>
    <w:rsid w:val="00255068"/>
    <w:rsid w:val="00255B0C"/>
    <w:rsid w:val="00257C67"/>
    <w:rsid w:val="0026266B"/>
    <w:rsid w:val="00262BB5"/>
    <w:rsid w:val="002662E2"/>
    <w:rsid w:val="00266916"/>
    <w:rsid w:val="00267A58"/>
    <w:rsid w:val="00272141"/>
    <w:rsid w:val="00272322"/>
    <w:rsid w:val="002746DD"/>
    <w:rsid w:val="00276CC1"/>
    <w:rsid w:val="00277AB3"/>
    <w:rsid w:val="0028160E"/>
    <w:rsid w:val="00285068"/>
    <w:rsid w:val="00291346"/>
    <w:rsid w:val="0029183E"/>
    <w:rsid w:val="00292254"/>
    <w:rsid w:val="00292D1F"/>
    <w:rsid w:val="002A061C"/>
    <w:rsid w:val="002A370F"/>
    <w:rsid w:val="002A607C"/>
    <w:rsid w:val="002A779C"/>
    <w:rsid w:val="002B115F"/>
    <w:rsid w:val="002B44B5"/>
    <w:rsid w:val="002C119D"/>
    <w:rsid w:val="002D7C08"/>
    <w:rsid w:val="002F0B21"/>
    <w:rsid w:val="002F2EA7"/>
    <w:rsid w:val="002F713A"/>
    <w:rsid w:val="0030184B"/>
    <w:rsid w:val="00301931"/>
    <w:rsid w:val="00311782"/>
    <w:rsid w:val="00312817"/>
    <w:rsid w:val="00313F48"/>
    <w:rsid w:val="003141A2"/>
    <w:rsid w:val="00314650"/>
    <w:rsid w:val="003205F5"/>
    <w:rsid w:val="00320B92"/>
    <w:rsid w:val="0032120E"/>
    <w:rsid w:val="003212C7"/>
    <w:rsid w:val="00323C81"/>
    <w:rsid w:val="00324875"/>
    <w:rsid w:val="00325FB8"/>
    <w:rsid w:val="00331011"/>
    <w:rsid w:val="00333EA1"/>
    <w:rsid w:val="00335100"/>
    <w:rsid w:val="003450BB"/>
    <w:rsid w:val="00346B15"/>
    <w:rsid w:val="00347D46"/>
    <w:rsid w:val="003502D5"/>
    <w:rsid w:val="00350695"/>
    <w:rsid w:val="00351350"/>
    <w:rsid w:val="00351775"/>
    <w:rsid w:val="003524D7"/>
    <w:rsid w:val="00352AEC"/>
    <w:rsid w:val="00362D2E"/>
    <w:rsid w:val="00363B30"/>
    <w:rsid w:val="00364AF5"/>
    <w:rsid w:val="003661E0"/>
    <w:rsid w:val="0036651C"/>
    <w:rsid w:val="003672C5"/>
    <w:rsid w:val="0037018A"/>
    <w:rsid w:val="00371407"/>
    <w:rsid w:val="00371561"/>
    <w:rsid w:val="00375957"/>
    <w:rsid w:val="003775DB"/>
    <w:rsid w:val="00377B33"/>
    <w:rsid w:val="003833D3"/>
    <w:rsid w:val="00383C55"/>
    <w:rsid w:val="003874AC"/>
    <w:rsid w:val="003879AC"/>
    <w:rsid w:val="003A0A13"/>
    <w:rsid w:val="003A12B5"/>
    <w:rsid w:val="003A1AF5"/>
    <w:rsid w:val="003A353D"/>
    <w:rsid w:val="003A3D06"/>
    <w:rsid w:val="003A3DAE"/>
    <w:rsid w:val="003A5953"/>
    <w:rsid w:val="003A6BF1"/>
    <w:rsid w:val="003B0C27"/>
    <w:rsid w:val="003B4782"/>
    <w:rsid w:val="003B4C55"/>
    <w:rsid w:val="003C1B37"/>
    <w:rsid w:val="003D5BF3"/>
    <w:rsid w:val="003D6EE2"/>
    <w:rsid w:val="003E27B4"/>
    <w:rsid w:val="003E41E9"/>
    <w:rsid w:val="003E63A6"/>
    <w:rsid w:val="003E6510"/>
    <w:rsid w:val="003F07F2"/>
    <w:rsid w:val="004006C4"/>
    <w:rsid w:val="00400A44"/>
    <w:rsid w:val="004012DE"/>
    <w:rsid w:val="00416A46"/>
    <w:rsid w:val="0042234D"/>
    <w:rsid w:val="00424C6B"/>
    <w:rsid w:val="00425014"/>
    <w:rsid w:val="00427A55"/>
    <w:rsid w:val="0043192F"/>
    <w:rsid w:val="00433FC4"/>
    <w:rsid w:val="00434119"/>
    <w:rsid w:val="00434408"/>
    <w:rsid w:val="004351C1"/>
    <w:rsid w:val="00437B72"/>
    <w:rsid w:val="004429D8"/>
    <w:rsid w:val="0044500E"/>
    <w:rsid w:val="00445ACF"/>
    <w:rsid w:val="004500B0"/>
    <w:rsid w:val="00450135"/>
    <w:rsid w:val="00453DBB"/>
    <w:rsid w:val="00457E96"/>
    <w:rsid w:val="004603AF"/>
    <w:rsid w:val="0046448C"/>
    <w:rsid w:val="00464A4F"/>
    <w:rsid w:val="00465BE7"/>
    <w:rsid w:val="00466CE2"/>
    <w:rsid w:val="00466CF6"/>
    <w:rsid w:val="004714D8"/>
    <w:rsid w:val="00471E82"/>
    <w:rsid w:val="00475E71"/>
    <w:rsid w:val="00477BE6"/>
    <w:rsid w:val="004800BC"/>
    <w:rsid w:val="00481BEC"/>
    <w:rsid w:val="00482791"/>
    <w:rsid w:val="00483081"/>
    <w:rsid w:val="00486AE8"/>
    <w:rsid w:val="0048719B"/>
    <w:rsid w:val="00487916"/>
    <w:rsid w:val="004937CF"/>
    <w:rsid w:val="0049567E"/>
    <w:rsid w:val="00497FF2"/>
    <w:rsid w:val="004A36D8"/>
    <w:rsid w:val="004A6AF5"/>
    <w:rsid w:val="004A6B48"/>
    <w:rsid w:val="004C1FF2"/>
    <w:rsid w:val="004C2955"/>
    <w:rsid w:val="004C7D8F"/>
    <w:rsid w:val="004D487E"/>
    <w:rsid w:val="004D774C"/>
    <w:rsid w:val="004E28A4"/>
    <w:rsid w:val="004E7754"/>
    <w:rsid w:val="004E778C"/>
    <w:rsid w:val="004F39E3"/>
    <w:rsid w:val="004F4083"/>
    <w:rsid w:val="00500D1A"/>
    <w:rsid w:val="005023CD"/>
    <w:rsid w:val="00504B45"/>
    <w:rsid w:val="00507D1A"/>
    <w:rsid w:val="005102D3"/>
    <w:rsid w:val="00515639"/>
    <w:rsid w:val="005156DC"/>
    <w:rsid w:val="005214AE"/>
    <w:rsid w:val="005308E6"/>
    <w:rsid w:val="00530C7C"/>
    <w:rsid w:val="00531042"/>
    <w:rsid w:val="005316B7"/>
    <w:rsid w:val="005317D2"/>
    <w:rsid w:val="00535D2D"/>
    <w:rsid w:val="00536B8A"/>
    <w:rsid w:val="005372D6"/>
    <w:rsid w:val="0054208D"/>
    <w:rsid w:val="0054279D"/>
    <w:rsid w:val="00547D51"/>
    <w:rsid w:val="00550DF2"/>
    <w:rsid w:val="00551E17"/>
    <w:rsid w:val="005542D0"/>
    <w:rsid w:val="00557A60"/>
    <w:rsid w:val="00560D77"/>
    <w:rsid w:val="00561BAE"/>
    <w:rsid w:val="00562D42"/>
    <w:rsid w:val="00563FB5"/>
    <w:rsid w:val="00564428"/>
    <w:rsid w:val="005653FA"/>
    <w:rsid w:val="00565850"/>
    <w:rsid w:val="00570A2F"/>
    <w:rsid w:val="0057260A"/>
    <w:rsid w:val="00572AA1"/>
    <w:rsid w:val="005731C2"/>
    <w:rsid w:val="00584B82"/>
    <w:rsid w:val="00586D10"/>
    <w:rsid w:val="00590C80"/>
    <w:rsid w:val="005919F3"/>
    <w:rsid w:val="005920FB"/>
    <w:rsid w:val="0059462A"/>
    <w:rsid w:val="00595CC2"/>
    <w:rsid w:val="00597EDA"/>
    <w:rsid w:val="005A3635"/>
    <w:rsid w:val="005A5EDC"/>
    <w:rsid w:val="005C186F"/>
    <w:rsid w:val="005C1C1F"/>
    <w:rsid w:val="005C4C24"/>
    <w:rsid w:val="005C5CC1"/>
    <w:rsid w:val="005D0684"/>
    <w:rsid w:val="005D325C"/>
    <w:rsid w:val="005D385B"/>
    <w:rsid w:val="005D46A3"/>
    <w:rsid w:val="005D6735"/>
    <w:rsid w:val="005E1EC1"/>
    <w:rsid w:val="005E2832"/>
    <w:rsid w:val="005E5A32"/>
    <w:rsid w:val="005F4462"/>
    <w:rsid w:val="005F4A59"/>
    <w:rsid w:val="006024AC"/>
    <w:rsid w:val="006068B1"/>
    <w:rsid w:val="006078F3"/>
    <w:rsid w:val="006176BD"/>
    <w:rsid w:val="006201C1"/>
    <w:rsid w:val="006208E3"/>
    <w:rsid w:val="00620A02"/>
    <w:rsid w:val="00620E3F"/>
    <w:rsid w:val="00621A54"/>
    <w:rsid w:val="00625D67"/>
    <w:rsid w:val="00630E6E"/>
    <w:rsid w:val="0063707F"/>
    <w:rsid w:val="00641EED"/>
    <w:rsid w:val="0064372B"/>
    <w:rsid w:val="00646D56"/>
    <w:rsid w:val="006470E5"/>
    <w:rsid w:val="00653942"/>
    <w:rsid w:val="00655FCD"/>
    <w:rsid w:val="00656CC0"/>
    <w:rsid w:val="00661848"/>
    <w:rsid w:val="00661A1D"/>
    <w:rsid w:val="00663E79"/>
    <w:rsid w:val="0066462E"/>
    <w:rsid w:val="00672C96"/>
    <w:rsid w:val="00673006"/>
    <w:rsid w:val="00676570"/>
    <w:rsid w:val="0067767C"/>
    <w:rsid w:val="006801C5"/>
    <w:rsid w:val="006841D0"/>
    <w:rsid w:val="006849AD"/>
    <w:rsid w:val="0068649E"/>
    <w:rsid w:val="006A1C1A"/>
    <w:rsid w:val="006A2966"/>
    <w:rsid w:val="006A4638"/>
    <w:rsid w:val="006A46A6"/>
    <w:rsid w:val="006B1B9C"/>
    <w:rsid w:val="006B3EEE"/>
    <w:rsid w:val="006B66C1"/>
    <w:rsid w:val="006C2907"/>
    <w:rsid w:val="006C31DA"/>
    <w:rsid w:val="006C349C"/>
    <w:rsid w:val="006C5B1A"/>
    <w:rsid w:val="006C6650"/>
    <w:rsid w:val="006C6AB4"/>
    <w:rsid w:val="006D0349"/>
    <w:rsid w:val="006D1932"/>
    <w:rsid w:val="006D6BE6"/>
    <w:rsid w:val="006D76A4"/>
    <w:rsid w:val="006E238D"/>
    <w:rsid w:val="006E47CD"/>
    <w:rsid w:val="006E5218"/>
    <w:rsid w:val="006F0E70"/>
    <w:rsid w:val="006F1610"/>
    <w:rsid w:val="006F1E4F"/>
    <w:rsid w:val="006F37A0"/>
    <w:rsid w:val="006F6AF3"/>
    <w:rsid w:val="007060AD"/>
    <w:rsid w:val="007074CB"/>
    <w:rsid w:val="00711630"/>
    <w:rsid w:val="007217FE"/>
    <w:rsid w:val="00722A50"/>
    <w:rsid w:val="00723521"/>
    <w:rsid w:val="00723AFB"/>
    <w:rsid w:val="0073001C"/>
    <w:rsid w:val="00735518"/>
    <w:rsid w:val="007376A7"/>
    <w:rsid w:val="00740387"/>
    <w:rsid w:val="0074174F"/>
    <w:rsid w:val="0074212A"/>
    <w:rsid w:val="007435A3"/>
    <w:rsid w:val="0074451E"/>
    <w:rsid w:val="00750149"/>
    <w:rsid w:val="0075296F"/>
    <w:rsid w:val="00754CAD"/>
    <w:rsid w:val="00760EEA"/>
    <w:rsid w:val="00762E10"/>
    <w:rsid w:val="0076367B"/>
    <w:rsid w:val="0076460A"/>
    <w:rsid w:val="0076774B"/>
    <w:rsid w:val="007737F1"/>
    <w:rsid w:val="00775181"/>
    <w:rsid w:val="00780BCE"/>
    <w:rsid w:val="007820B3"/>
    <w:rsid w:val="00782B5E"/>
    <w:rsid w:val="00783B5B"/>
    <w:rsid w:val="0078635E"/>
    <w:rsid w:val="00794DD8"/>
    <w:rsid w:val="00794EC0"/>
    <w:rsid w:val="0079571B"/>
    <w:rsid w:val="00797596"/>
    <w:rsid w:val="007A0569"/>
    <w:rsid w:val="007A781F"/>
    <w:rsid w:val="007B18AD"/>
    <w:rsid w:val="007B384B"/>
    <w:rsid w:val="007B3F20"/>
    <w:rsid w:val="007B7173"/>
    <w:rsid w:val="007B7A32"/>
    <w:rsid w:val="007E15DE"/>
    <w:rsid w:val="007E2660"/>
    <w:rsid w:val="007E30EB"/>
    <w:rsid w:val="007E4341"/>
    <w:rsid w:val="007F3702"/>
    <w:rsid w:val="007F793F"/>
    <w:rsid w:val="007F7CBF"/>
    <w:rsid w:val="00801125"/>
    <w:rsid w:val="00802ECE"/>
    <w:rsid w:val="008047B4"/>
    <w:rsid w:val="008048F5"/>
    <w:rsid w:val="0080683B"/>
    <w:rsid w:val="00810567"/>
    <w:rsid w:val="00821CEC"/>
    <w:rsid w:val="008259CD"/>
    <w:rsid w:val="00832154"/>
    <w:rsid w:val="00833DC4"/>
    <w:rsid w:val="0083562E"/>
    <w:rsid w:val="008378F5"/>
    <w:rsid w:val="008440A8"/>
    <w:rsid w:val="0084675F"/>
    <w:rsid w:val="00850E6C"/>
    <w:rsid w:val="00856971"/>
    <w:rsid w:val="00860BDE"/>
    <w:rsid w:val="00864667"/>
    <w:rsid w:val="008679DB"/>
    <w:rsid w:val="008706EE"/>
    <w:rsid w:val="00870B09"/>
    <w:rsid w:val="00872E19"/>
    <w:rsid w:val="00873487"/>
    <w:rsid w:val="0087394F"/>
    <w:rsid w:val="008763FF"/>
    <w:rsid w:val="00880C55"/>
    <w:rsid w:val="00882070"/>
    <w:rsid w:val="00884E40"/>
    <w:rsid w:val="008903EA"/>
    <w:rsid w:val="0089100B"/>
    <w:rsid w:val="00894EA9"/>
    <w:rsid w:val="008C256C"/>
    <w:rsid w:val="008C3DBA"/>
    <w:rsid w:val="008D3ED2"/>
    <w:rsid w:val="008D4497"/>
    <w:rsid w:val="008D49E7"/>
    <w:rsid w:val="008D6173"/>
    <w:rsid w:val="008D61FC"/>
    <w:rsid w:val="008D65C5"/>
    <w:rsid w:val="008E3EFE"/>
    <w:rsid w:val="008E568A"/>
    <w:rsid w:val="008E5965"/>
    <w:rsid w:val="008E69B6"/>
    <w:rsid w:val="008F3018"/>
    <w:rsid w:val="008F47C4"/>
    <w:rsid w:val="008F60B7"/>
    <w:rsid w:val="008F6878"/>
    <w:rsid w:val="0090037A"/>
    <w:rsid w:val="00902FAD"/>
    <w:rsid w:val="009033B1"/>
    <w:rsid w:val="00904A85"/>
    <w:rsid w:val="00906E3F"/>
    <w:rsid w:val="009131DE"/>
    <w:rsid w:val="00925408"/>
    <w:rsid w:val="00927890"/>
    <w:rsid w:val="00931D1A"/>
    <w:rsid w:val="0093461E"/>
    <w:rsid w:val="00936553"/>
    <w:rsid w:val="00937238"/>
    <w:rsid w:val="009401ED"/>
    <w:rsid w:val="009418C6"/>
    <w:rsid w:val="00944D26"/>
    <w:rsid w:val="0094672F"/>
    <w:rsid w:val="00952D13"/>
    <w:rsid w:val="00955C1D"/>
    <w:rsid w:val="00956FF1"/>
    <w:rsid w:val="00961AE6"/>
    <w:rsid w:val="009642CE"/>
    <w:rsid w:val="00964384"/>
    <w:rsid w:val="00966763"/>
    <w:rsid w:val="00967EA5"/>
    <w:rsid w:val="0097107A"/>
    <w:rsid w:val="00973718"/>
    <w:rsid w:val="00976BDD"/>
    <w:rsid w:val="0098337D"/>
    <w:rsid w:val="009863F0"/>
    <w:rsid w:val="00987D7D"/>
    <w:rsid w:val="0099120C"/>
    <w:rsid w:val="00992348"/>
    <w:rsid w:val="00996DFB"/>
    <w:rsid w:val="009A3898"/>
    <w:rsid w:val="009A5A71"/>
    <w:rsid w:val="009A785B"/>
    <w:rsid w:val="009B056C"/>
    <w:rsid w:val="009B2CC0"/>
    <w:rsid w:val="009B3920"/>
    <w:rsid w:val="009B55EB"/>
    <w:rsid w:val="009B6F60"/>
    <w:rsid w:val="009C4B60"/>
    <w:rsid w:val="009C5A78"/>
    <w:rsid w:val="009C6CE8"/>
    <w:rsid w:val="009D0F58"/>
    <w:rsid w:val="009D33CC"/>
    <w:rsid w:val="009E2F95"/>
    <w:rsid w:val="009E503F"/>
    <w:rsid w:val="009E6A79"/>
    <w:rsid w:val="009E710F"/>
    <w:rsid w:val="009F0B65"/>
    <w:rsid w:val="009F2079"/>
    <w:rsid w:val="009F5BB8"/>
    <w:rsid w:val="00A04051"/>
    <w:rsid w:val="00A128AB"/>
    <w:rsid w:val="00A13EC9"/>
    <w:rsid w:val="00A13EEC"/>
    <w:rsid w:val="00A13F12"/>
    <w:rsid w:val="00A14797"/>
    <w:rsid w:val="00A172E0"/>
    <w:rsid w:val="00A249AE"/>
    <w:rsid w:val="00A26107"/>
    <w:rsid w:val="00A306D8"/>
    <w:rsid w:val="00A36023"/>
    <w:rsid w:val="00A36B13"/>
    <w:rsid w:val="00A36C74"/>
    <w:rsid w:val="00A37DE6"/>
    <w:rsid w:val="00A40E03"/>
    <w:rsid w:val="00A41405"/>
    <w:rsid w:val="00A41E00"/>
    <w:rsid w:val="00A47C51"/>
    <w:rsid w:val="00A5097F"/>
    <w:rsid w:val="00A553F9"/>
    <w:rsid w:val="00A56038"/>
    <w:rsid w:val="00A606C2"/>
    <w:rsid w:val="00A64500"/>
    <w:rsid w:val="00A72125"/>
    <w:rsid w:val="00A757B4"/>
    <w:rsid w:val="00A778DA"/>
    <w:rsid w:val="00A8217B"/>
    <w:rsid w:val="00A85FE3"/>
    <w:rsid w:val="00A86AE7"/>
    <w:rsid w:val="00A87DEE"/>
    <w:rsid w:val="00A9071B"/>
    <w:rsid w:val="00A921D6"/>
    <w:rsid w:val="00A92C5E"/>
    <w:rsid w:val="00A93857"/>
    <w:rsid w:val="00A9790D"/>
    <w:rsid w:val="00AA0B54"/>
    <w:rsid w:val="00AA1918"/>
    <w:rsid w:val="00AA40C3"/>
    <w:rsid w:val="00AA46EF"/>
    <w:rsid w:val="00AB001C"/>
    <w:rsid w:val="00AB4B3F"/>
    <w:rsid w:val="00AB72DF"/>
    <w:rsid w:val="00AB755E"/>
    <w:rsid w:val="00AC00BC"/>
    <w:rsid w:val="00AC11DD"/>
    <w:rsid w:val="00AC2264"/>
    <w:rsid w:val="00AC2B5C"/>
    <w:rsid w:val="00AC3376"/>
    <w:rsid w:val="00AC61BD"/>
    <w:rsid w:val="00AC62B4"/>
    <w:rsid w:val="00AC681C"/>
    <w:rsid w:val="00AD1703"/>
    <w:rsid w:val="00AE2BA3"/>
    <w:rsid w:val="00AE2CC2"/>
    <w:rsid w:val="00AE2E86"/>
    <w:rsid w:val="00AF3951"/>
    <w:rsid w:val="00AF6F9E"/>
    <w:rsid w:val="00AF76F0"/>
    <w:rsid w:val="00B00B40"/>
    <w:rsid w:val="00B01D57"/>
    <w:rsid w:val="00B032F6"/>
    <w:rsid w:val="00B0392D"/>
    <w:rsid w:val="00B048AE"/>
    <w:rsid w:val="00B05830"/>
    <w:rsid w:val="00B10E14"/>
    <w:rsid w:val="00B117CB"/>
    <w:rsid w:val="00B14DEC"/>
    <w:rsid w:val="00B24DEF"/>
    <w:rsid w:val="00B26507"/>
    <w:rsid w:val="00B325B9"/>
    <w:rsid w:val="00B35672"/>
    <w:rsid w:val="00B41A5A"/>
    <w:rsid w:val="00B43790"/>
    <w:rsid w:val="00B44079"/>
    <w:rsid w:val="00B479F0"/>
    <w:rsid w:val="00B50F81"/>
    <w:rsid w:val="00B56277"/>
    <w:rsid w:val="00B56577"/>
    <w:rsid w:val="00B56D64"/>
    <w:rsid w:val="00B62606"/>
    <w:rsid w:val="00B62F17"/>
    <w:rsid w:val="00B66726"/>
    <w:rsid w:val="00B72196"/>
    <w:rsid w:val="00B72BB0"/>
    <w:rsid w:val="00B751EF"/>
    <w:rsid w:val="00B75287"/>
    <w:rsid w:val="00B767C3"/>
    <w:rsid w:val="00B77B6C"/>
    <w:rsid w:val="00B80114"/>
    <w:rsid w:val="00B82038"/>
    <w:rsid w:val="00B82205"/>
    <w:rsid w:val="00B827C7"/>
    <w:rsid w:val="00B83125"/>
    <w:rsid w:val="00B84C5C"/>
    <w:rsid w:val="00B87182"/>
    <w:rsid w:val="00B901A7"/>
    <w:rsid w:val="00B91AB7"/>
    <w:rsid w:val="00B91AD5"/>
    <w:rsid w:val="00B9652B"/>
    <w:rsid w:val="00BA18A5"/>
    <w:rsid w:val="00BA221E"/>
    <w:rsid w:val="00BA5BF2"/>
    <w:rsid w:val="00BA5C6A"/>
    <w:rsid w:val="00BA7099"/>
    <w:rsid w:val="00BB18C3"/>
    <w:rsid w:val="00BB3B27"/>
    <w:rsid w:val="00BB6708"/>
    <w:rsid w:val="00BC3C11"/>
    <w:rsid w:val="00BC52EA"/>
    <w:rsid w:val="00BC5334"/>
    <w:rsid w:val="00BD1EB6"/>
    <w:rsid w:val="00BD2D6A"/>
    <w:rsid w:val="00BD6421"/>
    <w:rsid w:val="00BD7B7C"/>
    <w:rsid w:val="00BE3B48"/>
    <w:rsid w:val="00BE7470"/>
    <w:rsid w:val="00BF1BDC"/>
    <w:rsid w:val="00BF3959"/>
    <w:rsid w:val="00BF4952"/>
    <w:rsid w:val="00BF7AA2"/>
    <w:rsid w:val="00C007E8"/>
    <w:rsid w:val="00C06BA6"/>
    <w:rsid w:val="00C113EA"/>
    <w:rsid w:val="00C3153C"/>
    <w:rsid w:val="00C37482"/>
    <w:rsid w:val="00C432E1"/>
    <w:rsid w:val="00C51D03"/>
    <w:rsid w:val="00C54925"/>
    <w:rsid w:val="00C5548F"/>
    <w:rsid w:val="00C60856"/>
    <w:rsid w:val="00C61BD1"/>
    <w:rsid w:val="00C73D3A"/>
    <w:rsid w:val="00C75244"/>
    <w:rsid w:val="00C81923"/>
    <w:rsid w:val="00C82341"/>
    <w:rsid w:val="00C82934"/>
    <w:rsid w:val="00C879FB"/>
    <w:rsid w:val="00C942B4"/>
    <w:rsid w:val="00C97166"/>
    <w:rsid w:val="00CA01FC"/>
    <w:rsid w:val="00CA7AB9"/>
    <w:rsid w:val="00CA7FEE"/>
    <w:rsid w:val="00CB6F2A"/>
    <w:rsid w:val="00CB7A5F"/>
    <w:rsid w:val="00CB7A66"/>
    <w:rsid w:val="00CB7BF5"/>
    <w:rsid w:val="00CC070F"/>
    <w:rsid w:val="00CC1B09"/>
    <w:rsid w:val="00CC4130"/>
    <w:rsid w:val="00CD0C6C"/>
    <w:rsid w:val="00CE1A5D"/>
    <w:rsid w:val="00CE1E52"/>
    <w:rsid w:val="00CE28CA"/>
    <w:rsid w:val="00CE72FC"/>
    <w:rsid w:val="00CE75D5"/>
    <w:rsid w:val="00CF02A2"/>
    <w:rsid w:val="00CF13A7"/>
    <w:rsid w:val="00CF2E3E"/>
    <w:rsid w:val="00CF6FDD"/>
    <w:rsid w:val="00D018DF"/>
    <w:rsid w:val="00D030EE"/>
    <w:rsid w:val="00D03D46"/>
    <w:rsid w:val="00D03F77"/>
    <w:rsid w:val="00D05036"/>
    <w:rsid w:val="00D0572F"/>
    <w:rsid w:val="00D11FC0"/>
    <w:rsid w:val="00D15DC5"/>
    <w:rsid w:val="00D2134B"/>
    <w:rsid w:val="00D23878"/>
    <w:rsid w:val="00D2686B"/>
    <w:rsid w:val="00D278A4"/>
    <w:rsid w:val="00D34231"/>
    <w:rsid w:val="00D3573F"/>
    <w:rsid w:val="00D379F4"/>
    <w:rsid w:val="00D40CB3"/>
    <w:rsid w:val="00D40F4D"/>
    <w:rsid w:val="00D4323A"/>
    <w:rsid w:val="00D44118"/>
    <w:rsid w:val="00D47EC8"/>
    <w:rsid w:val="00D57491"/>
    <w:rsid w:val="00D57985"/>
    <w:rsid w:val="00D61D5B"/>
    <w:rsid w:val="00D632C4"/>
    <w:rsid w:val="00D66355"/>
    <w:rsid w:val="00D66A11"/>
    <w:rsid w:val="00D703F5"/>
    <w:rsid w:val="00D714D2"/>
    <w:rsid w:val="00D7749F"/>
    <w:rsid w:val="00D802E7"/>
    <w:rsid w:val="00D82977"/>
    <w:rsid w:val="00D83374"/>
    <w:rsid w:val="00D83871"/>
    <w:rsid w:val="00D8725B"/>
    <w:rsid w:val="00D92BA6"/>
    <w:rsid w:val="00D93CAC"/>
    <w:rsid w:val="00D95987"/>
    <w:rsid w:val="00D97FB4"/>
    <w:rsid w:val="00DA1206"/>
    <w:rsid w:val="00DA1B59"/>
    <w:rsid w:val="00DA24C2"/>
    <w:rsid w:val="00DA263A"/>
    <w:rsid w:val="00DA2EE4"/>
    <w:rsid w:val="00DA318F"/>
    <w:rsid w:val="00DB6A91"/>
    <w:rsid w:val="00DB7644"/>
    <w:rsid w:val="00DC47CF"/>
    <w:rsid w:val="00DC7704"/>
    <w:rsid w:val="00DC7911"/>
    <w:rsid w:val="00DC79F4"/>
    <w:rsid w:val="00DD27A8"/>
    <w:rsid w:val="00DD4789"/>
    <w:rsid w:val="00DD603C"/>
    <w:rsid w:val="00DE16F0"/>
    <w:rsid w:val="00DE2498"/>
    <w:rsid w:val="00DE3C89"/>
    <w:rsid w:val="00DE581B"/>
    <w:rsid w:val="00DE5AA2"/>
    <w:rsid w:val="00DE75E3"/>
    <w:rsid w:val="00DE7712"/>
    <w:rsid w:val="00DF62F2"/>
    <w:rsid w:val="00E00356"/>
    <w:rsid w:val="00E01451"/>
    <w:rsid w:val="00E0153E"/>
    <w:rsid w:val="00E04023"/>
    <w:rsid w:val="00E0712C"/>
    <w:rsid w:val="00E108C3"/>
    <w:rsid w:val="00E11EB4"/>
    <w:rsid w:val="00E1355D"/>
    <w:rsid w:val="00E16911"/>
    <w:rsid w:val="00E26473"/>
    <w:rsid w:val="00E40E03"/>
    <w:rsid w:val="00E41E2D"/>
    <w:rsid w:val="00E4327A"/>
    <w:rsid w:val="00E45D03"/>
    <w:rsid w:val="00E505CF"/>
    <w:rsid w:val="00E5565D"/>
    <w:rsid w:val="00E57380"/>
    <w:rsid w:val="00E7044B"/>
    <w:rsid w:val="00E711C6"/>
    <w:rsid w:val="00E74B7C"/>
    <w:rsid w:val="00E807A8"/>
    <w:rsid w:val="00E813B5"/>
    <w:rsid w:val="00E84577"/>
    <w:rsid w:val="00E85AED"/>
    <w:rsid w:val="00E87354"/>
    <w:rsid w:val="00E91C6C"/>
    <w:rsid w:val="00E91F43"/>
    <w:rsid w:val="00E96069"/>
    <w:rsid w:val="00E9676D"/>
    <w:rsid w:val="00EA1227"/>
    <w:rsid w:val="00EA15B7"/>
    <w:rsid w:val="00EA3565"/>
    <w:rsid w:val="00EA3898"/>
    <w:rsid w:val="00EA64FD"/>
    <w:rsid w:val="00EA6F14"/>
    <w:rsid w:val="00EB210F"/>
    <w:rsid w:val="00EB2326"/>
    <w:rsid w:val="00EB3514"/>
    <w:rsid w:val="00EB4F3C"/>
    <w:rsid w:val="00EB58B1"/>
    <w:rsid w:val="00EB5F7D"/>
    <w:rsid w:val="00EC5B0A"/>
    <w:rsid w:val="00ED3A45"/>
    <w:rsid w:val="00ED3CFB"/>
    <w:rsid w:val="00EE0CDD"/>
    <w:rsid w:val="00EE3452"/>
    <w:rsid w:val="00EE38F2"/>
    <w:rsid w:val="00EE3E55"/>
    <w:rsid w:val="00EE5F1B"/>
    <w:rsid w:val="00EE6BEC"/>
    <w:rsid w:val="00EE70AF"/>
    <w:rsid w:val="00EE7752"/>
    <w:rsid w:val="00EF5E51"/>
    <w:rsid w:val="00EF7DBF"/>
    <w:rsid w:val="00F018C4"/>
    <w:rsid w:val="00F0469C"/>
    <w:rsid w:val="00F1058C"/>
    <w:rsid w:val="00F12D37"/>
    <w:rsid w:val="00F16DAC"/>
    <w:rsid w:val="00F21528"/>
    <w:rsid w:val="00F21986"/>
    <w:rsid w:val="00F21E48"/>
    <w:rsid w:val="00F33FF2"/>
    <w:rsid w:val="00F3589C"/>
    <w:rsid w:val="00F41203"/>
    <w:rsid w:val="00F47529"/>
    <w:rsid w:val="00F5024D"/>
    <w:rsid w:val="00F52C70"/>
    <w:rsid w:val="00F54E89"/>
    <w:rsid w:val="00F56BEA"/>
    <w:rsid w:val="00F570C6"/>
    <w:rsid w:val="00F62BE2"/>
    <w:rsid w:val="00F639DD"/>
    <w:rsid w:val="00F675F0"/>
    <w:rsid w:val="00F70E60"/>
    <w:rsid w:val="00F7505E"/>
    <w:rsid w:val="00F75D29"/>
    <w:rsid w:val="00F811F2"/>
    <w:rsid w:val="00F813B0"/>
    <w:rsid w:val="00F86033"/>
    <w:rsid w:val="00F871D4"/>
    <w:rsid w:val="00F9703F"/>
    <w:rsid w:val="00FA0875"/>
    <w:rsid w:val="00FA2F6B"/>
    <w:rsid w:val="00FA37A4"/>
    <w:rsid w:val="00FA7175"/>
    <w:rsid w:val="00FB7F09"/>
    <w:rsid w:val="00FC2AD4"/>
    <w:rsid w:val="00FC4F42"/>
    <w:rsid w:val="00FC4F8D"/>
    <w:rsid w:val="00FC6836"/>
    <w:rsid w:val="00FC7FA3"/>
    <w:rsid w:val="00FE0E82"/>
    <w:rsid w:val="00FE3B6D"/>
    <w:rsid w:val="00FE6683"/>
    <w:rsid w:val="00FE7574"/>
    <w:rsid w:val="00FF0CC0"/>
    <w:rsid w:val="00FF15FD"/>
    <w:rsid w:val="00FF182D"/>
    <w:rsid w:val="00FF74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en-US"/>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041"/>
    <w:pPr>
      <w:spacing w:line="240" w:lineRule="auto"/>
    </w:pPr>
    <w:rPr>
      <w:rFonts w:ascii="Times New Roman" w:eastAsia="Times New Roman" w:hAnsi="Times New Roman" w:cs="Times New Roman"/>
      <w:sz w:val="20"/>
      <w:szCs w:val="20"/>
      <w:lang w:val="en-GB" w:bidi="ar-SA"/>
    </w:rPr>
  </w:style>
  <w:style w:type="paragraph" w:styleId="Heading1">
    <w:name w:val="heading 1"/>
    <w:basedOn w:val="Normal"/>
    <w:next w:val="Normal"/>
    <w:link w:val="Heading1Char"/>
    <w:uiPriority w:val="9"/>
    <w:qFormat/>
    <w:rsid w:val="00C3153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C3153C"/>
    <w:pPr>
      <w:pBdr>
        <w:bottom w:val="single" w:sz="4" w:space="1" w:color="622423" w:themeColor="accent2" w:themeShade="7F"/>
      </w:pBdr>
      <w:spacing w:before="400"/>
      <w:jc w:val="center"/>
      <w:outlineLvl w:val="1"/>
    </w:pPr>
    <w:rPr>
      <w:caps/>
      <w:color w:val="632423" w:themeColor="accent2" w:themeShade="80"/>
      <w:spacing w:val="15"/>
    </w:rPr>
  </w:style>
  <w:style w:type="paragraph" w:styleId="Heading3">
    <w:name w:val="heading 3"/>
    <w:basedOn w:val="Normal"/>
    <w:next w:val="Normal"/>
    <w:link w:val="Heading3Char"/>
    <w:uiPriority w:val="9"/>
    <w:unhideWhenUsed/>
    <w:qFormat/>
    <w:rsid w:val="00C3153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Heading4">
    <w:name w:val="heading 4"/>
    <w:basedOn w:val="Normal"/>
    <w:next w:val="Normal"/>
    <w:link w:val="Heading4Char"/>
    <w:uiPriority w:val="9"/>
    <w:semiHidden/>
    <w:unhideWhenUsed/>
    <w:qFormat/>
    <w:rsid w:val="00C3153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C3153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C3153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C3153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C3153C"/>
    <w:pPr>
      <w:spacing w:after="120"/>
      <w:jc w:val="center"/>
      <w:outlineLvl w:val="7"/>
    </w:pPr>
    <w:rPr>
      <w:caps/>
      <w:spacing w:val="10"/>
    </w:rPr>
  </w:style>
  <w:style w:type="paragraph" w:styleId="Heading9">
    <w:name w:val="heading 9"/>
    <w:basedOn w:val="Normal"/>
    <w:next w:val="Normal"/>
    <w:link w:val="Heading9Char"/>
    <w:uiPriority w:val="9"/>
    <w:semiHidden/>
    <w:unhideWhenUsed/>
    <w:qFormat/>
    <w:rsid w:val="00C3153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3C"/>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C3153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C3153C"/>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C3153C"/>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C3153C"/>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C3153C"/>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C3153C"/>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C3153C"/>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C3153C"/>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C3153C"/>
    <w:rPr>
      <w:caps/>
      <w:spacing w:val="10"/>
      <w:sz w:val="18"/>
      <w:szCs w:val="18"/>
    </w:rPr>
  </w:style>
  <w:style w:type="paragraph" w:styleId="Title">
    <w:name w:val="Title"/>
    <w:basedOn w:val="Normal"/>
    <w:next w:val="Normal"/>
    <w:link w:val="TitleChar"/>
    <w:uiPriority w:val="10"/>
    <w:qFormat/>
    <w:rsid w:val="00C3153C"/>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C3153C"/>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C3153C"/>
    <w:pPr>
      <w:spacing w:after="560"/>
      <w:jc w:val="center"/>
    </w:pPr>
    <w:rPr>
      <w:caps/>
      <w:spacing w:val="20"/>
      <w:sz w:val="18"/>
      <w:szCs w:val="18"/>
    </w:rPr>
  </w:style>
  <w:style w:type="character" w:customStyle="1" w:styleId="SubtitleChar">
    <w:name w:val="Subtitle Char"/>
    <w:basedOn w:val="DefaultParagraphFont"/>
    <w:link w:val="Subtitle"/>
    <w:uiPriority w:val="11"/>
    <w:rsid w:val="00C3153C"/>
    <w:rPr>
      <w:rFonts w:eastAsiaTheme="majorEastAsia" w:cstheme="majorBidi"/>
      <w:caps/>
      <w:spacing w:val="20"/>
      <w:sz w:val="18"/>
      <w:szCs w:val="18"/>
    </w:rPr>
  </w:style>
  <w:style w:type="character" w:styleId="Strong">
    <w:name w:val="Strong"/>
    <w:uiPriority w:val="22"/>
    <w:qFormat/>
    <w:rsid w:val="00C3153C"/>
    <w:rPr>
      <w:b/>
      <w:bCs/>
      <w:color w:val="943634" w:themeColor="accent2" w:themeShade="BF"/>
      <w:spacing w:val="5"/>
    </w:rPr>
  </w:style>
  <w:style w:type="character" w:styleId="Emphasis">
    <w:name w:val="Emphasis"/>
    <w:uiPriority w:val="20"/>
    <w:qFormat/>
    <w:rsid w:val="00C3153C"/>
    <w:rPr>
      <w:caps/>
      <w:spacing w:val="5"/>
      <w:sz w:val="20"/>
      <w:szCs w:val="20"/>
    </w:rPr>
  </w:style>
  <w:style w:type="paragraph" w:styleId="NoSpacing">
    <w:name w:val="No Spacing"/>
    <w:basedOn w:val="Normal"/>
    <w:link w:val="NoSpacingChar"/>
    <w:uiPriority w:val="1"/>
    <w:qFormat/>
    <w:rsid w:val="00C3153C"/>
  </w:style>
  <w:style w:type="character" w:customStyle="1" w:styleId="NoSpacingChar">
    <w:name w:val="No Spacing Char"/>
    <w:basedOn w:val="DefaultParagraphFont"/>
    <w:link w:val="NoSpacing"/>
    <w:uiPriority w:val="1"/>
    <w:rsid w:val="00C3153C"/>
  </w:style>
  <w:style w:type="paragraph" w:styleId="ListParagraph">
    <w:name w:val="List Paragraph"/>
    <w:basedOn w:val="Normal"/>
    <w:uiPriority w:val="34"/>
    <w:qFormat/>
    <w:rsid w:val="00C3153C"/>
    <w:pPr>
      <w:ind w:left="720"/>
      <w:contextualSpacing/>
    </w:pPr>
  </w:style>
  <w:style w:type="paragraph" w:styleId="Quote">
    <w:name w:val="Quote"/>
    <w:basedOn w:val="Normal"/>
    <w:next w:val="Normal"/>
    <w:link w:val="QuoteChar"/>
    <w:uiPriority w:val="29"/>
    <w:qFormat/>
    <w:rsid w:val="00C3153C"/>
    <w:rPr>
      <w:i/>
      <w:iCs/>
    </w:rPr>
  </w:style>
  <w:style w:type="character" w:customStyle="1" w:styleId="QuoteChar">
    <w:name w:val="Quote Char"/>
    <w:basedOn w:val="DefaultParagraphFont"/>
    <w:link w:val="Quote"/>
    <w:uiPriority w:val="29"/>
    <w:rsid w:val="00C3153C"/>
    <w:rPr>
      <w:rFonts w:eastAsiaTheme="majorEastAsia" w:cstheme="majorBidi"/>
      <w:i/>
      <w:iCs/>
    </w:rPr>
  </w:style>
  <w:style w:type="paragraph" w:styleId="IntenseQuote">
    <w:name w:val="Intense Quote"/>
    <w:basedOn w:val="Normal"/>
    <w:next w:val="Normal"/>
    <w:link w:val="IntenseQuoteChar"/>
    <w:uiPriority w:val="30"/>
    <w:qFormat/>
    <w:rsid w:val="00C3153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rPr>
  </w:style>
  <w:style w:type="character" w:customStyle="1" w:styleId="IntenseQuoteChar">
    <w:name w:val="Intense Quote Char"/>
    <w:basedOn w:val="DefaultParagraphFont"/>
    <w:link w:val="IntenseQuote"/>
    <w:uiPriority w:val="30"/>
    <w:rsid w:val="00C3153C"/>
    <w:rPr>
      <w:rFonts w:eastAsiaTheme="majorEastAsia" w:cstheme="majorBidi"/>
      <w:caps/>
      <w:color w:val="622423" w:themeColor="accent2" w:themeShade="7F"/>
      <w:spacing w:val="5"/>
      <w:sz w:val="20"/>
      <w:szCs w:val="20"/>
    </w:rPr>
  </w:style>
  <w:style w:type="character" w:styleId="SubtleEmphasis">
    <w:name w:val="Subtle Emphasis"/>
    <w:uiPriority w:val="19"/>
    <w:qFormat/>
    <w:rsid w:val="00C3153C"/>
    <w:rPr>
      <w:i/>
      <w:iCs/>
    </w:rPr>
  </w:style>
  <w:style w:type="character" w:styleId="IntenseEmphasis">
    <w:name w:val="Intense Emphasis"/>
    <w:uiPriority w:val="21"/>
    <w:qFormat/>
    <w:rsid w:val="00C3153C"/>
    <w:rPr>
      <w:i/>
      <w:iCs/>
      <w:caps/>
      <w:spacing w:val="10"/>
      <w:sz w:val="20"/>
      <w:szCs w:val="20"/>
    </w:rPr>
  </w:style>
  <w:style w:type="character" w:styleId="SubtleReference">
    <w:name w:val="Subtle Reference"/>
    <w:basedOn w:val="DefaultParagraphFont"/>
    <w:uiPriority w:val="31"/>
    <w:qFormat/>
    <w:rsid w:val="00C3153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C3153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C3153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C3153C"/>
    <w:pPr>
      <w:outlineLvl w:val="9"/>
    </w:pPr>
  </w:style>
  <w:style w:type="paragraph" w:styleId="Header">
    <w:name w:val="header"/>
    <w:basedOn w:val="Normal"/>
    <w:link w:val="HeaderChar"/>
    <w:uiPriority w:val="99"/>
    <w:rsid w:val="00071041"/>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071041"/>
    <w:rPr>
      <w:rFonts w:ascii="Times New Roman" w:eastAsia="Times New Roman" w:hAnsi="Times New Roman" w:cs="Times New Roman"/>
      <w:snapToGrid w:val="0"/>
      <w:sz w:val="20"/>
      <w:szCs w:val="20"/>
      <w:lang w:val="en-AU" w:bidi="ar-SA"/>
    </w:rPr>
  </w:style>
  <w:style w:type="paragraph" w:styleId="Footer">
    <w:name w:val="footer"/>
    <w:basedOn w:val="Normal"/>
    <w:link w:val="FooterChar"/>
    <w:uiPriority w:val="99"/>
    <w:rsid w:val="00071041"/>
    <w:pPr>
      <w:tabs>
        <w:tab w:val="center" w:pos="4153"/>
        <w:tab w:val="right" w:pos="8306"/>
      </w:tabs>
    </w:pPr>
  </w:style>
  <w:style w:type="character" w:customStyle="1" w:styleId="FooterChar">
    <w:name w:val="Footer Char"/>
    <w:basedOn w:val="DefaultParagraphFont"/>
    <w:link w:val="Footer"/>
    <w:uiPriority w:val="99"/>
    <w:rsid w:val="00071041"/>
    <w:rPr>
      <w:rFonts w:ascii="Times New Roman" w:eastAsia="Times New Roman" w:hAnsi="Times New Roman" w:cs="Times New Roman"/>
      <w:sz w:val="20"/>
      <w:szCs w:val="20"/>
      <w:lang w:val="en-GB" w:bidi="ar-SA"/>
    </w:rPr>
  </w:style>
  <w:style w:type="character" w:styleId="Hyperlink">
    <w:name w:val="Hyperlink"/>
    <w:uiPriority w:val="99"/>
    <w:rsid w:val="00071041"/>
    <w:rPr>
      <w:color w:val="0000FF"/>
      <w:u w:val="single"/>
    </w:rPr>
  </w:style>
  <w:style w:type="paragraph" w:styleId="BalloonText">
    <w:name w:val="Balloon Text"/>
    <w:basedOn w:val="Normal"/>
    <w:link w:val="BalloonTextChar"/>
    <w:uiPriority w:val="99"/>
    <w:semiHidden/>
    <w:unhideWhenUsed/>
    <w:rsid w:val="003B4C55"/>
    <w:rPr>
      <w:rFonts w:ascii="Tahoma" w:hAnsi="Tahoma" w:cs="Tahoma"/>
      <w:sz w:val="16"/>
      <w:szCs w:val="16"/>
    </w:rPr>
  </w:style>
  <w:style w:type="character" w:customStyle="1" w:styleId="BalloonTextChar">
    <w:name w:val="Balloon Text Char"/>
    <w:basedOn w:val="DefaultParagraphFont"/>
    <w:link w:val="BalloonText"/>
    <w:uiPriority w:val="99"/>
    <w:semiHidden/>
    <w:rsid w:val="003B4C55"/>
    <w:rPr>
      <w:rFonts w:ascii="Tahoma" w:eastAsia="Times New Roman" w:hAnsi="Tahoma" w:cs="Tahoma"/>
      <w:sz w:val="16"/>
      <w:szCs w:val="16"/>
      <w:lang w:val="en-GB" w:bidi="ar-SA"/>
    </w:rPr>
  </w:style>
  <w:style w:type="paragraph" w:styleId="FootnoteText">
    <w:name w:val="footnote text"/>
    <w:basedOn w:val="Normal"/>
    <w:link w:val="FootnoteTextChar"/>
    <w:uiPriority w:val="99"/>
    <w:unhideWhenUsed/>
    <w:rsid w:val="00782B5E"/>
  </w:style>
  <w:style w:type="character" w:customStyle="1" w:styleId="FootnoteTextChar">
    <w:name w:val="Footnote Text Char"/>
    <w:basedOn w:val="DefaultParagraphFont"/>
    <w:link w:val="FootnoteText"/>
    <w:uiPriority w:val="99"/>
    <w:rsid w:val="00782B5E"/>
    <w:rPr>
      <w:rFonts w:ascii="Times New Roman" w:eastAsia="Times New Roman" w:hAnsi="Times New Roman" w:cs="Times New Roman"/>
      <w:sz w:val="20"/>
      <w:szCs w:val="20"/>
      <w:lang w:val="en-GB" w:bidi="ar-SA"/>
    </w:rPr>
  </w:style>
  <w:style w:type="character" w:styleId="FootnoteReference">
    <w:name w:val="footnote reference"/>
    <w:basedOn w:val="DefaultParagraphFont"/>
    <w:uiPriority w:val="99"/>
    <w:semiHidden/>
    <w:unhideWhenUsed/>
    <w:rsid w:val="00782B5E"/>
    <w:rPr>
      <w:vertAlign w:val="superscript"/>
    </w:rPr>
  </w:style>
  <w:style w:type="character" w:customStyle="1" w:styleId="apple-converted-space">
    <w:name w:val="apple-converted-space"/>
    <w:basedOn w:val="DefaultParagraphFont"/>
    <w:rsid w:val="004D487E"/>
  </w:style>
  <w:style w:type="paragraph" w:styleId="NormalWeb">
    <w:name w:val="Normal (Web)"/>
    <w:basedOn w:val="Normal"/>
    <w:uiPriority w:val="99"/>
    <w:unhideWhenUsed/>
    <w:rsid w:val="00BF7AA2"/>
    <w:pPr>
      <w:spacing w:before="100" w:beforeAutospacing="1" w:after="100" w:afterAutospacing="1"/>
    </w:pPr>
    <w:rPr>
      <w:sz w:val="24"/>
      <w:szCs w:val="24"/>
      <w:lang w:val="en-NZ" w:eastAsia="en-NZ"/>
    </w:rPr>
  </w:style>
  <w:style w:type="character" w:styleId="FollowedHyperlink">
    <w:name w:val="FollowedHyperlink"/>
    <w:basedOn w:val="DefaultParagraphFont"/>
    <w:uiPriority w:val="99"/>
    <w:semiHidden/>
    <w:unhideWhenUsed/>
    <w:rsid w:val="00A921D6"/>
    <w:rPr>
      <w:color w:val="800080" w:themeColor="followedHyperlink"/>
      <w:u w:val="single"/>
    </w:rPr>
  </w:style>
  <w:style w:type="paragraph" w:customStyle="1" w:styleId="MediumGrid1-Accent21">
    <w:name w:val="Medium Grid 1 - Accent 21"/>
    <w:basedOn w:val="Normal"/>
    <w:uiPriority w:val="99"/>
    <w:qFormat/>
    <w:rsid w:val="006B1B9C"/>
    <w:pPr>
      <w:ind w:left="720"/>
      <w:contextualSpacing/>
    </w:pPr>
    <w:rPr>
      <w:rFonts w:ascii="Arial" w:hAnsi="Arial"/>
      <w:color w:val="000000"/>
      <w:sz w:val="24"/>
      <w:szCs w:val="16"/>
      <w:lang w:val="en-US"/>
    </w:rPr>
  </w:style>
  <w:style w:type="character" w:customStyle="1" w:styleId="full-name">
    <w:name w:val="full-name"/>
    <w:basedOn w:val="DefaultParagraphFont"/>
    <w:rsid w:val="00482791"/>
  </w:style>
  <w:style w:type="paragraph" w:customStyle="1" w:styleId="Title1">
    <w:name w:val="Title1"/>
    <w:basedOn w:val="Normal"/>
    <w:rsid w:val="00482791"/>
    <w:pPr>
      <w:spacing w:before="100" w:beforeAutospacing="1" w:after="100" w:afterAutospacing="1"/>
    </w:pPr>
    <w:rPr>
      <w:sz w:val="24"/>
      <w:szCs w:val="24"/>
      <w:lang w:val="en-NZ" w:eastAsia="en-NZ"/>
    </w:rPr>
  </w:style>
  <w:style w:type="character" w:customStyle="1" w:styleId="locality">
    <w:name w:val="locality"/>
    <w:basedOn w:val="DefaultParagraphFont"/>
    <w:rsid w:val="00482791"/>
  </w:style>
  <w:style w:type="character" w:customStyle="1" w:styleId="tgc">
    <w:name w:val="_tgc"/>
    <w:basedOn w:val="DefaultParagraphFont"/>
    <w:rsid w:val="00E7044B"/>
  </w:style>
  <w:style w:type="paragraph" w:customStyle="1" w:styleId="Default">
    <w:name w:val="Default"/>
    <w:rsid w:val="003D5BF3"/>
    <w:pPr>
      <w:autoSpaceDE w:val="0"/>
      <w:autoSpaceDN w:val="0"/>
      <w:adjustRightInd w:val="0"/>
      <w:spacing w:line="240" w:lineRule="auto"/>
    </w:pPr>
    <w:rPr>
      <w:rFonts w:ascii="Trebuchet MS" w:eastAsia="Times New Roman" w:hAnsi="Trebuchet MS" w:cs="Trebuchet MS"/>
      <w:color w:val="000000"/>
      <w:lang w:val="en-GB" w:eastAsia="en-GB" w:bidi="ar-SA"/>
    </w:rPr>
  </w:style>
  <w:style w:type="paragraph" w:customStyle="1" w:styleId="Pa0">
    <w:name w:val="Pa0"/>
    <w:basedOn w:val="Default"/>
    <w:next w:val="Default"/>
    <w:rsid w:val="003D5BF3"/>
    <w:pPr>
      <w:spacing w:line="241" w:lineRule="atLeast"/>
    </w:pPr>
    <w:rPr>
      <w:rFonts w:cs="Times New Roman"/>
      <w:color w:val="auto"/>
    </w:rPr>
  </w:style>
  <w:style w:type="character" w:customStyle="1" w:styleId="A1">
    <w:name w:val="A1"/>
    <w:rsid w:val="003D5BF3"/>
    <w:rPr>
      <w:rFonts w:cs="Trebuchet MS"/>
      <w:b/>
      <w:bCs/>
      <w:color w:val="004991"/>
      <w:sz w:val="40"/>
      <w:szCs w:val="40"/>
    </w:rPr>
  </w:style>
  <w:style w:type="character" w:customStyle="1" w:styleId="A3">
    <w:name w:val="A3"/>
    <w:rsid w:val="003D5BF3"/>
    <w:rPr>
      <w:rFonts w:ascii="Calibri" w:hAnsi="Calibri" w:cs="Calibri"/>
      <w:color w:val="221E1F"/>
      <w:sz w:val="28"/>
      <w:szCs w:val="28"/>
    </w:rPr>
  </w:style>
  <w:style w:type="paragraph" w:customStyle="1" w:styleId="intro-text">
    <w:name w:val="intro-text"/>
    <w:basedOn w:val="Normal"/>
    <w:rsid w:val="0043192F"/>
    <w:pPr>
      <w:spacing w:before="100" w:beforeAutospacing="1" w:after="100" w:afterAutospacing="1"/>
    </w:pPr>
    <w:rPr>
      <w:sz w:val="24"/>
      <w:szCs w:val="24"/>
      <w:lang w:val="en-NZ" w:eastAsia="en-NZ"/>
    </w:rPr>
  </w:style>
  <w:style w:type="paragraph" w:styleId="TOC1">
    <w:name w:val="toc 1"/>
    <w:basedOn w:val="Normal"/>
    <w:next w:val="Normal"/>
    <w:autoRedefine/>
    <w:uiPriority w:val="39"/>
    <w:unhideWhenUsed/>
    <w:rsid w:val="00832154"/>
    <w:pPr>
      <w:spacing w:after="100"/>
    </w:pPr>
  </w:style>
  <w:style w:type="paragraph" w:styleId="TOC2">
    <w:name w:val="toc 2"/>
    <w:basedOn w:val="Normal"/>
    <w:next w:val="Normal"/>
    <w:autoRedefine/>
    <w:uiPriority w:val="39"/>
    <w:unhideWhenUsed/>
    <w:rsid w:val="00832154"/>
    <w:pPr>
      <w:spacing w:after="100"/>
      <w:ind w:left="200"/>
    </w:pPr>
  </w:style>
  <w:style w:type="paragraph" w:styleId="TOC3">
    <w:name w:val="toc 3"/>
    <w:basedOn w:val="Normal"/>
    <w:next w:val="Normal"/>
    <w:autoRedefine/>
    <w:uiPriority w:val="39"/>
    <w:unhideWhenUsed/>
    <w:rsid w:val="00832154"/>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en-US"/>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041"/>
    <w:pPr>
      <w:spacing w:line="240" w:lineRule="auto"/>
    </w:pPr>
    <w:rPr>
      <w:rFonts w:ascii="Times New Roman" w:eastAsia="Times New Roman" w:hAnsi="Times New Roman" w:cs="Times New Roman"/>
      <w:sz w:val="20"/>
      <w:szCs w:val="20"/>
      <w:lang w:val="en-GB" w:bidi="ar-SA"/>
    </w:rPr>
  </w:style>
  <w:style w:type="paragraph" w:styleId="Heading1">
    <w:name w:val="heading 1"/>
    <w:basedOn w:val="Normal"/>
    <w:next w:val="Normal"/>
    <w:link w:val="Heading1Char"/>
    <w:uiPriority w:val="9"/>
    <w:qFormat/>
    <w:rsid w:val="00C3153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C3153C"/>
    <w:pPr>
      <w:pBdr>
        <w:bottom w:val="single" w:sz="4" w:space="1" w:color="622423" w:themeColor="accent2" w:themeShade="7F"/>
      </w:pBdr>
      <w:spacing w:before="400"/>
      <w:jc w:val="center"/>
      <w:outlineLvl w:val="1"/>
    </w:pPr>
    <w:rPr>
      <w:caps/>
      <w:color w:val="632423" w:themeColor="accent2" w:themeShade="80"/>
      <w:spacing w:val="15"/>
    </w:rPr>
  </w:style>
  <w:style w:type="paragraph" w:styleId="Heading3">
    <w:name w:val="heading 3"/>
    <w:basedOn w:val="Normal"/>
    <w:next w:val="Normal"/>
    <w:link w:val="Heading3Char"/>
    <w:uiPriority w:val="9"/>
    <w:unhideWhenUsed/>
    <w:qFormat/>
    <w:rsid w:val="00C3153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Heading4">
    <w:name w:val="heading 4"/>
    <w:basedOn w:val="Normal"/>
    <w:next w:val="Normal"/>
    <w:link w:val="Heading4Char"/>
    <w:uiPriority w:val="9"/>
    <w:semiHidden/>
    <w:unhideWhenUsed/>
    <w:qFormat/>
    <w:rsid w:val="00C3153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C3153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C3153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C3153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C3153C"/>
    <w:pPr>
      <w:spacing w:after="120"/>
      <w:jc w:val="center"/>
      <w:outlineLvl w:val="7"/>
    </w:pPr>
    <w:rPr>
      <w:caps/>
      <w:spacing w:val="10"/>
    </w:rPr>
  </w:style>
  <w:style w:type="paragraph" w:styleId="Heading9">
    <w:name w:val="heading 9"/>
    <w:basedOn w:val="Normal"/>
    <w:next w:val="Normal"/>
    <w:link w:val="Heading9Char"/>
    <w:uiPriority w:val="9"/>
    <w:semiHidden/>
    <w:unhideWhenUsed/>
    <w:qFormat/>
    <w:rsid w:val="00C3153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3C"/>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C3153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C3153C"/>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C3153C"/>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C3153C"/>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C3153C"/>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C3153C"/>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C3153C"/>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C3153C"/>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C3153C"/>
    <w:rPr>
      <w:caps/>
      <w:spacing w:val="10"/>
      <w:sz w:val="18"/>
      <w:szCs w:val="18"/>
    </w:rPr>
  </w:style>
  <w:style w:type="paragraph" w:styleId="Title">
    <w:name w:val="Title"/>
    <w:basedOn w:val="Normal"/>
    <w:next w:val="Normal"/>
    <w:link w:val="TitleChar"/>
    <w:uiPriority w:val="10"/>
    <w:qFormat/>
    <w:rsid w:val="00C3153C"/>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C3153C"/>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C3153C"/>
    <w:pPr>
      <w:spacing w:after="560"/>
      <w:jc w:val="center"/>
    </w:pPr>
    <w:rPr>
      <w:caps/>
      <w:spacing w:val="20"/>
      <w:sz w:val="18"/>
      <w:szCs w:val="18"/>
    </w:rPr>
  </w:style>
  <w:style w:type="character" w:customStyle="1" w:styleId="SubtitleChar">
    <w:name w:val="Subtitle Char"/>
    <w:basedOn w:val="DefaultParagraphFont"/>
    <w:link w:val="Subtitle"/>
    <w:uiPriority w:val="11"/>
    <w:rsid w:val="00C3153C"/>
    <w:rPr>
      <w:rFonts w:eastAsiaTheme="majorEastAsia" w:cstheme="majorBidi"/>
      <w:caps/>
      <w:spacing w:val="20"/>
      <w:sz w:val="18"/>
      <w:szCs w:val="18"/>
    </w:rPr>
  </w:style>
  <w:style w:type="character" w:styleId="Strong">
    <w:name w:val="Strong"/>
    <w:uiPriority w:val="22"/>
    <w:qFormat/>
    <w:rsid w:val="00C3153C"/>
    <w:rPr>
      <w:b/>
      <w:bCs/>
      <w:color w:val="943634" w:themeColor="accent2" w:themeShade="BF"/>
      <w:spacing w:val="5"/>
    </w:rPr>
  </w:style>
  <w:style w:type="character" w:styleId="Emphasis">
    <w:name w:val="Emphasis"/>
    <w:uiPriority w:val="20"/>
    <w:qFormat/>
    <w:rsid w:val="00C3153C"/>
    <w:rPr>
      <w:caps/>
      <w:spacing w:val="5"/>
      <w:sz w:val="20"/>
      <w:szCs w:val="20"/>
    </w:rPr>
  </w:style>
  <w:style w:type="paragraph" w:styleId="NoSpacing">
    <w:name w:val="No Spacing"/>
    <w:basedOn w:val="Normal"/>
    <w:link w:val="NoSpacingChar"/>
    <w:uiPriority w:val="1"/>
    <w:qFormat/>
    <w:rsid w:val="00C3153C"/>
  </w:style>
  <w:style w:type="character" w:customStyle="1" w:styleId="NoSpacingChar">
    <w:name w:val="No Spacing Char"/>
    <w:basedOn w:val="DefaultParagraphFont"/>
    <w:link w:val="NoSpacing"/>
    <w:uiPriority w:val="1"/>
    <w:rsid w:val="00C3153C"/>
  </w:style>
  <w:style w:type="paragraph" w:styleId="ListParagraph">
    <w:name w:val="List Paragraph"/>
    <w:basedOn w:val="Normal"/>
    <w:uiPriority w:val="34"/>
    <w:qFormat/>
    <w:rsid w:val="00C3153C"/>
    <w:pPr>
      <w:ind w:left="720"/>
      <w:contextualSpacing/>
    </w:pPr>
  </w:style>
  <w:style w:type="paragraph" w:styleId="Quote">
    <w:name w:val="Quote"/>
    <w:basedOn w:val="Normal"/>
    <w:next w:val="Normal"/>
    <w:link w:val="QuoteChar"/>
    <w:uiPriority w:val="29"/>
    <w:qFormat/>
    <w:rsid w:val="00C3153C"/>
    <w:rPr>
      <w:i/>
      <w:iCs/>
    </w:rPr>
  </w:style>
  <w:style w:type="character" w:customStyle="1" w:styleId="QuoteChar">
    <w:name w:val="Quote Char"/>
    <w:basedOn w:val="DefaultParagraphFont"/>
    <w:link w:val="Quote"/>
    <w:uiPriority w:val="29"/>
    <w:rsid w:val="00C3153C"/>
    <w:rPr>
      <w:rFonts w:eastAsiaTheme="majorEastAsia" w:cstheme="majorBidi"/>
      <w:i/>
      <w:iCs/>
    </w:rPr>
  </w:style>
  <w:style w:type="paragraph" w:styleId="IntenseQuote">
    <w:name w:val="Intense Quote"/>
    <w:basedOn w:val="Normal"/>
    <w:next w:val="Normal"/>
    <w:link w:val="IntenseQuoteChar"/>
    <w:uiPriority w:val="30"/>
    <w:qFormat/>
    <w:rsid w:val="00C3153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rPr>
  </w:style>
  <w:style w:type="character" w:customStyle="1" w:styleId="IntenseQuoteChar">
    <w:name w:val="Intense Quote Char"/>
    <w:basedOn w:val="DefaultParagraphFont"/>
    <w:link w:val="IntenseQuote"/>
    <w:uiPriority w:val="30"/>
    <w:rsid w:val="00C3153C"/>
    <w:rPr>
      <w:rFonts w:eastAsiaTheme="majorEastAsia" w:cstheme="majorBidi"/>
      <w:caps/>
      <w:color w:val="622423" w:themeColor="accent2" w:themeShade="7F"/>
      <w:spacing w:val="5"/>
      <w:sz w:val="20"/>
      <w:szCs w:val="20"/>
    </w:rPr>
  </w:style>
  <w:style w:type="character" w:styleId="SubtleEmphasis">
    <w:name w:val="Subtle Emphasis"/>
    <w:uiPriority w:val="19"/>
    <w:qFormat/>
    <w:rsid w:val="00C3153C"/>
    <w:rPr>
      <w:i/>
      <w:iCs/>
    </w:rPr>
  </w:style>
  <w:style w:type="character" w:styleId="IntenseEmphasis">
    <w:name w:val="Intense Emphasis"/>
    <w:uiPriority w:val="21"/>
    <w:qFormat/>
    <w:rsid w:val="00C3153C"/>
    <w:rPr>
      <w:i/>
      <w:iCs/>
      <w:caps/>
      <w:spacing w:val="10"/>
      <w:sz w:val="20"/>
      <w:szCs w:val="20"/>
    </w:rPr>
  </w:style>
  <w:style w:type="character" w:styleId="SubtleReference">
    <w:name w:val="Subtle Reference"/>
    <w:basedOn w:val="DefaultParagraphFont"/>
    <w:uiPriority w:val="31"/>
    <w:qFormat/>
    <w:rsid w:val="00C3153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C3153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C3153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C3153C"/>
    <w:pPr>
      <w:outlineLvl w:val="9"/>
    </w:pPr>
  </w:style>
  <w:style w:type="paragraph" w:styleId="Header">
    <w:name w:val="header"/>
    <w:basedOn w:val="Normal"/>
    <w:link w:val="HeaderChar"/>
    <w:uiPriority w:val="99"/>
    <w:rsid w:val="00071041"/>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071041"/>
    <w:rPr>
      <w:rFonts w:ascii="Times New Roman" w:eastAsia="Times New Roman" w:hAnsi="Times New Roman" w:cs="Times New Roman"/>
      <w:snapToGrid w:val="0"/>
      <w:sz w:val="20"/>
      <w:szCs w:val="20"/>
      <w:lang w:val="en-AU" w:bidi="ar-SA"/>
    </w:rPr>
  </w:style>
  <w:style w:type="paragraph" w:styleId="Footer">
    <w:name w:val="footer"/>
    <w:basedOn w:val="Normal"/>
    <w:link w:val="FooterChar"/>
    <w:uiPriority w:val="99"/>
    <w:rsid w:val="00071041"/>
    <w:pPr>
      <w:tabs>
        <w:tab w:val="center" w:pos="4153"/>
        <w:tab w:val="right" w:pos="8306"/>
      </w:tabs>
    </w:pPr>
  </w:style>
  <w:style w:type="character" w:customStyle="1" w:styleId="FooterChar">
    <w:name w:val="Footer Char"/>
    <w:basedOn w:val="DefaultParagraphFont"/>
    <w:link w:val="Footer"/>
    <w:uiPriority w:val="99"/>
    <w:rsid w:val="00071041"/>
    <w:rPr>
      <w:rFonts w:ascii="Times New Roman" w:eastAsia="Times New Roman" w:hAnsi="Times New Roman" w:cs="Times New Roman"/>
      <w:sz w:val="20"/>
      <w:szCs w:val="20"/>
      <w:lang w:val="en-GB" w:bidi="ar-SA"/>
    </w:rPr>
  </w:style>
  <w:style w:type="character" w:styleId="Hyperlink">
    <w:name w:val="Hyperlink"/>
    <w:uiPriority w:val="99"/>
    <w:rsid w:val="00071041"/>
    <w:rPr>
      <w:color w:val="0000FF"/>
      <w:u w:val="single"/>
    </w:rPr>
  </w:style>
  <w:style w:type="paragraph" w:styleId="BalloonText">
    <w:name w:val="Balloon Text"/>
    <w:basedOn w:val="Normal"/>
    <w:link w:val="BalloonTextChar"/>
    <w:uiPriority w:val="99"/>
    <w:semiHidden/>
    <w:unhideWhenUsed/>
    <w:rsid w:val="003B4C55"/>
    <w:rPr>
      <w:rFonts w:ascii="Tahoma" w:hAnsi="Tahoma" w:cs="Tahoma"/>
      <w:sz w:val="16"/>
      <w:szCs w:val="16"/>
    </w:rPr>
  </w:style>
  <w:style w:type="character" w:customStyle="1" w:styleId="BalloonTextChar">
    <w:name w:val="Balloon Text Char"/>
    <w:basedOn w:val="DefaultParagraphFont"/>
    <w:link w:val="BalloonText"/>
    <w:uiPriority w:val="99"/>
    <w:semiHidden/>
    <w:rsid w:val="003B4C55"/>
    <w:rPr>
      <w:rFonts w:ascii="Tahoma" w:eastAsia="Times New Roman" w:hAnsi="Tahoma" w:cs="Tahoma"/>
      <w:sz w:val="16"/>
      <w:szCs w:val="16"/>
      <w:lang w:val="en-GB" w:bidi="ar-SA"/>
    </w:rPr>
  </w:style>
  <w:style w:type="paragraph" w:styleId="FootnoteText">
    <w:name w:val="footnote text"/>
    <w:basedOn w:val="Normal"/>
    <w:link w:val="FootnoteTextChar"/>
    <w:uiPriority w:val="99"/>
    <w:unhideWhenUsed/>
    <w:rsid w:val="00782B5E"/>
  </w:style>
  <w:style w:type="character" w:customStyle="1" w:styleId="FootnoteTextChar">
    <w:name w:val="Footnote Text Char"/>
    <w:basedOn w:val="DefaultParagraphFont"/>
    <w:link w:val="FootnoteText"/>
    <w:uiPriority w:val="99"/>
    <w:rsid w:val="00782B5E"/>
    <w:rPr>
      <w:rFonts w:ascii="Times New Roman" w:eastAsia="Times New Roman" w:hAnsi="Times New Roman" w:cs="Times New Roman"/>
      <w:sz w:val="20"/>
      <w:szCs w:val="20"/>
      <w:lang w:val="en-GB" w:bidi="ar-SA"/>
    </w:rPr>
  </w:style>
  <w:style w:type="character" w:styleId="FootnoteReference">
    <w:name w:val="footnote reference"/>
    <w:basedOn w:val="DefaultParagraphFont"/>
    <w:uiPriority w:val="99"/>
    <w:semiHidden/>
    <w:unhideWhenUsed/>
    <w:rsid w:val="00782B5E"/>
    <w:rPr>
      <w:vertAlign w:val="superscript"/>
    </w:rPr>
  </w:style>
  <w:style w:type="character" w:customStyle="1" w:styleId="apple-converted-space">
    <w:name w:val="apple-converted-space"/>
    <w:basedOn w:val="DefaultParagraphFont"/>
    <w:rsid w:val="004D487E"/>
  </w:style>
  <w:style w:type="paragraph" w:styleId="NormalWeb">
    <w:name w:val="Normal (Web)"/>
    <w:basedOn w:val="Normal"/>
    <w:uiPriority w:val="99"/>
    <w:unhideWhenUsed/>
    <w:rsid w:val="00BF7AA2"/>
    <w:pPr>
      <w:spacing w:before="100" w:beforeAutospacing="1" w:after="100" w:afterAutospacing="1"/>
    </w:pPr>
    <w:rPr>
      <w:sz w:val="24"/>
      <w:szCs w:val="24"/>
      <w:lang w:val="en-NZ" w:eastAsia="en-NZ"/>
    </w:rPr>
  </w:style>
  <w:style w:type="character" w:styleId="FollowedHyperlink">
    <w:name w:val="FollowedHyperlink"/>
    <w:basedOn w:val="DefaultParagraphFont"/>
    <w:uiPriority w:val="99"/>
    <w:semiHidden/>
    <w:unhideWhenUsed/>
    <w:rsid w:val="00A921D6"/>
    <w:rPr>
      <w:color w:val="800080" w:themeColor="followedHyperlink"/>
      <w:u w:val="single"/>
    </w:rPr>
  </w:style>
  <w:style w:type="paragraph" w:customStyle="1" w:styleId="MediumGrid1-Accent21">
    <w:name w:val="Medium Grid 1 - Accent 21"/>
    <w:basedOn w:val="Normal"/>
    <w:uiPriority w:val="99"/>
    <w:qFormat/>
    <w:rsid w:val="006B1B9C"/>
    <w:pPr>
      <w:ind w:left="720"/>
      <w:contextualSpacing/>
    </w:pPr>
    <w:rPr>
      <w:rFonts w:ascii="Arial" w:hAnsi="Arial"/>
      <w:color w:val="000000"/>
      <w:sz w:val="24"/>
      <w:szCs w:val="16"/>
      <w:lang w:val="en-US"/>
    </w:rPr>
  </w:style>
  <w:style w:type="character" w:customStyle="1" w:styleId="full-name">
    <w:name w:val="full-name"/>
    <w:basedOn w:val="DefaultParagraphFont"/>
    <w:rsid w:val="00482791"/>
  </w:style>
  <w:style w:type="paragraph" w:customStyle="1" w:styleId="Title1">
    <w:name w:val="Title1"/>
    <w:basedOn w:val="Normal"/>
    <w:rsid w:val="00482791"/>
    <w:pPr>
      <w:spacing w:before="100" w:beforeAutospacing="1" w:after="100" w:afterAutospacing="1"/>
    </w:pPr>
    <w:rPr>
      <w:sz w:val="24"/>
      <w:szCs w:val="24"/>
      <w:lang w:val="en-NZ" w:eastAsia="en-NZ"/>
    </w:rPr>
  </w:style>
  <w:style w:type="character" w:customStyle="1" w:styleId="locality">
    <w:name w:val="locality"/>
    <w:basedOn w:val="DefaultParagraphFont"/>
    <w:rsid w:val="00482791"/>
  </w:style>
  <w:style w:type="character" w:customStyle="1" w:styleId="tgc">
    <w:name w:val="_tgc"/>
    <w:basedOn w:val="DefaultParagraphFont"/>
    <w:rsid w:val="00E7044B"/>
  </w:style>
  <w:style w:type="paragraph" w:customStyle="1" w:styleId="Default">
    <w:name w:val="Default"/>
    <w:rsid w:val="003D5BF3"/>
    <w:pPr>
      <w:autoSpaceDE w:val="0"/>
      <w:autoSpaceDN w:val="0"/>
      <w:adjustRightInd w:val="0"/>
      <w:spacing w:line="240" w:lineRule="auto"/>
    </w:pPr>
    <w:rPr>
      <w:rFonts w:ascii="Trebuchet MS" w:eastAsia="Times New Roman" w:hAnsi="Trebuchet MS" w:cs="Trebuchet MS"/>
      <w:color w:val="000000"/>
      <w:lang w:val="en-GB" w:eastAsia="en-GB" w:bidi="ar-SA"/>
    </w:rPr>
  </w:style>
  <w:style w:type="paragraph" w:customStyle="1" w:styleId="Pa0">
    <w:name w:val="Pa0"/>
    <w:basedOn w:val="Default"/>
    <w:next w:val="Default"/>
    <w:rsid w:val="003D5BF3"/>
    <w:pPr>
      <w:spacing w:line="241" w:lineRule="atLeast"/>
    </w:pPr>
    <w:rPr>
      <w:rFonts w:cs="Times New Roman"/>
      <w:color w:val="auto"/>
    </w:rPr>
  </w:style>
  <w:style w:type="character" w:customStyle="1" w:styleId="A1">
    <w:name w:val="A1"/>
    <w:rsid w:val="003D5BF3"/>
    <w:rPr>
      <w:rFonts w:cs="Trebuchet MS"/>
      <w:b/>
      <w:bCs/>
      <w:color w:val="004991"/>
      <w:sz w:val="40"/>
      <w:szCs w:val="40"/>
    </w:rPr>
  </w:style>
  <w:style w:type="character" w:customStyle="1" w:styleId="A3">
    <w:name w:val="A3"/>
    <w:rsid w:val="003D5BF3"/>
    <w:rPr>
      <w:rFonts w:ascii="Calibri" w:hAnsi="Calibri" w:cs="Calibri"/>
      <w:color w:val="221E1F"/>
      <w:sz w:val="28"/>
      <w:szCs w:val="28"/>
    </w:rPr>
  </w:style>
  <w:style w:type="paragraph" w:customStyle="1" w:styleId="intro-text">
    <w:name w:val="intro-text"/>
    <w:basedOn w:val="Normal"/>
    <w:rsid w:val="0043192F"/>
    <w:pPr>
      <w:spacing w:before="100" w:beforeAutospacing="1" w:after="100" w:afterAutospacing="1"/>
    </w:pPr>
    <w:rPr>
      <w:sz w:val="24"/>
      <w:szCs w:val="24"/>
      <w:lang w:val="en-NZ" w:eastAsia="en-NZ"/>
    </w:rPr>
  </w:style>
  <w:style w:type="paragraph" w:styleId="TOC1">
    <w:name w:val="toc 1"/>
    <w:basedOn w:val="Normal"/>
    <w:next w:val="Normal"/>
    <w:autoRedefine/>
    <w:uiPriority w:val="39"/>
    <w:unhideWhenUsed/>
    <w:rsid w:val="00832154"/>
    <w:pPr>
      <w:spacing w:after="100"/>
    </w:pPr>
  </w:style>
  <w:style w:type="paragraph" w:styleId="TOC2">
    <w:name w:val="toc 2"/>
    <w:basedOn w:val="Normal"/>
    <w:next w:val="Normal"/>
    <w:autoRedefine/>
    <w:uiPriority w:val="39"/>
    <w:unhideWhenUsed/>
    <w:rsid w:val="00832154"/>
    <w:pPr>
      <w:spacing w:after="100"/>
      <w:ind w:left="200"/>
    </w:pPr>
  </w:style>
  <w:style w:type="paragraph" w:styleId="TOC3">
    <w:name w:val="toc 3"/>
    <w:basedOn w:val="Normal"/>
    <w:next w:val="Normal"/>
    <w:autoRedefine/>
    <w:uiPriority w:val="39"/>
    <w:unhideWhenUsed/>
    <w:rsid w:val="00832154"/>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2116">
      <w:bodyDiv w:val="1"/>
      <w:marLeft w:val="0"/>
      <w:marRight w:val="0"/>
      <w:marTop w:val="0"/>
      <w:marBottom w:val="0"/>
      <w:divBdr>
        <w:top w:val="none" w:sz="0" w:space="0" w:color="auto"/>
        <w:left w:val="none" w:sz="0" w:space="0" w:color="auto"/>
        <w:bottom w:val="none" w:sz="0" w:space="0" w:color="auto"/>
        <w:right w:val="none" w:sz="0" w:space="0" w:color="auto"/>
      </w:divBdr>
    </w:div>
    <w:div w:id="64688815">
      <w:bodyDiv w:val="1"/>
      <w:marLeft w:val="0"/>
      <w:marRight w:val="0"/>
      <w:marTop w:val="0"/>
      <w:marBottom w:val="0"/>
      <w:divBdr>
        <w:top w:val="none" w:sz="0" w:space="0" w:color="auto"/>
        <w:left w:val="none" w:sz="0" w:space="0" w:color="auto"/>
        <w:bottom w:val="none" w:sz="0" w:space="0" w:color="auto"/>
        <w:right w:val="none" w:sz="0" w:space="0" w:color="auto"/>
      </w:divBdr>
      <w:divsChild>
        <w:div w:id="2062945057">
          <w:marLeft w:val="0"/>
          <w:marRight w:val="0"/>
          <w:marTop w:val="0"/>
          <w:marBottom w:val="0"/>
          <w:divBdr>
            <w:top w:val="none" w:sz="0" w:space="0" w:color="auto"/>
            <w:left w:val="none" w:sz="0" w:space="0" w:color="auto"/>
            <w:bottom w:val="none" w:sz="0" w:space="0" w:color="auto"/>
            <w:right w:val="none" w:sz="0" w:space="0" w:color="auto"/>
          </w:divBdr>
        </w:div>
      </w:divsChild>
    </w:div>
    <w:div w:id="118299623">
      <w:bodyDiv w:val="1"/>
      <w:marLeft w:val="0"/>
      <w:marRight w:val="0"/>
      <w:marTop w:val="0"/>
      <w:marBottom w:val="0"/>
      <w:divBdr>
        <w:top w:val="none" w:sz="0" w:space="0" w:color="auto"/>
        <w:left w:val="none" w:sz="0" w:space="0" w:color="auto"/>
        <w:bottom w:val="none" w:sz="0" w:space="0" w:color="auto"/>
        <w:right w:val="none" w:sz="0" w:space="0" w:color="auto"/>
      </w:divBdr>
    </w:div>
    <w:div w:id="130446316">
      <w:bodyDiv w:val="1"/>
      <w:marLeft w:val="0"/>
      <w:marRight w:val="0"/>
      <w:marTop w:val="0"/>
      <w:marBottom w:val="0"/>
      <w:divBdr>
        <w:top w:val="none" w:sz="0" w:space="0" w:color="auto"/>
        <w:left w:val="none" w:sz="0" w:space="0" w:color="auto"/>
        <w:bottom w:val="none" w:sz="0" w:space="0" w:color="auto"/>
        <w:right w:val="none" w:sz="0" w:space="0" w:color="auto"/>
      </w:divBdr>
      <w:divsChild>
        <w:div w:id="1690061812">
          <w:marLeft w:val="0"/>
          <w:marRight w:val="0"/>
          <w:marTop w:val="0"/>
          <w:marBottom w:val="0"/>
          <w:divBdr>
            <w:top w:val="none" w:sz="0" w:space="0" w:color="auto"/>
            <w:left w:val="none" w:sz="0" w:space="0" w:color="auto"/>
            <w:bottom w:val="none" w:sz="0" w:space="0" w:color="auto"/>
            <w:right w:val="none" w:sz="0" w:space="0" w:color="auto"/>
          </w:divBdr>
          <w:divsChild>
            <w:div w:id="780222498">
              <w:marLeft w:val="0"/>
              <w:marRight w:val="0"/>
              <w:marTop w:val="0"/>
              <w:marBottom w:val="0"/>
              <w:divBdr>
                <w:top w:val="none" w:sz="0" w:space="0" w:color="auto"/>
                <w:left w:val="none" w:sz="0" w:space="0" w:color="auto"/>
                <w:bottom w:val="none" w:sz="0" w:space="0" w:color="auto"/>
                <w:right w:val="none" w:sz="0" w:space="0" w:color="auto"/>
              </w:divBdr>
            </w:div>
          </w:divsChild>
        </w:div>
        <w:div w:id="2022587875">
          <w:marLeft w:val="0"/>
          <w:marRight w:val="0"/>
          <w:marTop w:val="0"/>
          <w:marBottom w:val="0"/>
          <w:divBdr>
            <w:top w:val="none" w:sz="0" w:space="0" w:color="auto"/>
            <w:left w:val="none" w:sz="0" w:space="0" w:color="auto"/>
            <w:bottom w:val="none" w:sz="0" w:space="0" w:color="auto"/>
            <w:right w:val="none" w:sz="0" w:space="0" w:color="auto"/>
          </w:divBdr>
          <w:divsChild>
            <w:div w:id="2136410816">
              <w:marLeft w:val="0"/>
              <w:marRight w:val="0"/>
              <w:marTop w:val="0"/>
              <w:marBottom w:val="0"/>
              <w:divBdr>
                <w:top w:val="none" w:sz="0" w:space="0" w:color="auto"/>
                <w:left w:val="none" w:sz="0" w:space="0" w:color="auto"/>
                <w:bottom w:val="none" w:sz="0" w:space="0" w:color="auto"/>
                <w:right w:val="none" w:sz="0" w:space="0" w:color="auto"/>
              </w:divBdr>
            </w:div>
          </w:divsChild>
        </w:div>
        <w:div w:id="254481576">
          <w:marLeft w:val="0"/>
          <w:marRight w:val="0"/>
          <w:marTop w:val="19"/>
          <w:marBottom w:val="19"/>
          <w:divBdr>
            <w:top w:val="none" w:sz="0" w:space="0" w:color="auto"/>
            <w:left w:val="none" w:sz="0" w:space="0" w:color="auto"/>
            <w:bottom w:val="none" w:sz="0" w:space="0" w:color="auto"/>
            <w:right w:val="none" w:sz="0" w:space="0" w:color="auto"/>
          </w:divBdr>
          <w:divsChild>
            <w:div w:id="524948268">
              <w:marLeft w:val="0"/>
              <w:marRight w:val="0"/>
              <w:marTop w:val="0"/>
              <w:marBottom w:val="0"/>
              <w:divBdr>
                <w:top w:val="none" w:sz="0" w:space="0" w:color="auto"/>
                <w:left w:val="none" w:sz="0" w:space="0" w:color="auto"/>
                <w:bottom w:val="none" w:sz="0" w:space="0" w:color="auto"/>
                <w:right w:val="none" w:sz="0" w:space="0" w:color="auto"/>
              </w:divBdr>
              <w:divsChild>
                <w:div w:id="14565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679">
      <w:bodyDiv w:val="1"/>
      <w:marLeft w:val="0"/>
      <w:marRight w:val="0"/>
      <w:marTop w:val="0"/>
      <w:marBottom w:val="0"/>
      <w:divBdr>
        <w:top w:val="none" w:sz="0" w:space="0" w:color="auto"/>
        <w:left w:val="none" w:sz="0" w:space="0" w:color="auto"/>
        <w:bottom w:val="none" w:sz="0" w:space="0" w:color="auto"/>
        <w:right w:val="none" w:sz="0" w:space="0" w:color="auto"/>
      </w:divBdr>
      <w:divsChild>
        <w:div w:id="1615864318">
          <w:marLeft w:val="0"/>
          <w:marRight w:val="0"/>
          <w:marTop w:val="0"/>
          <w:marBottom w:val="0"/>
          <w:divBdr>
            <w:top w:val="none" w:sz="0" w:space="0" w:color="auto"/>
            <w:left w:val="none" w:sz="0" w:space="0" w:color="auto"/>
            <w:bottom w:val="none" w:sz="0" w:space="0" w:color="auto"/>
            <w:right w:val="none" w:sz="0" w:space="0" w:color="auto"/>
          </w:divBdr>
          <w:divsChild>
            <w:div w:id="529074176">
              <w:marLeft w:val="0"/>
              <w:marRight w:val="0"/>
              <w:marTop w:val="0"/>
              <w:marBottom w:val="0"/>
              <w:divBdr>
                <w:top w:val="none" w:sz="0" w:space="0" w:color="auto"/>
                <w:left w:val="none" w:sz="0" w:space="0" w:color="auto"/>
                <w:bottom w:val="none" w:sz="0" w:space="0" w:color="auto"/>
                <w:right w:val="none" w:sz="0" w:space="0" w:color="auto"/>
              </w:divBdr>
            </w:div>
          </w:divsChild>
        </w:div>
        <w:div w:id="433017192">
          <w:marLeft w:val="0"/>
          <w:marRight w:val="0"/>
          <w:marTop w:val="0"/>
          <w:marBottom w:val="0"/>
          <w:divBdr>
            <w:top w:val="none" w:sz="0" w:space="0" w:color="auto"/>
            <w:left w:val="none" w:sz="0" w:space="0" w:color="auto"/>
            <w:bottom w:val="none" w:sz="0" w:space="0" w:color="auto"/>
            <w:right w:val="none" w:sz="0" w:space="0" w:color="auto"/>
          </w:divBdr>
          <w:divsChild>
            <w:div w:id="358042927">
              <w:marLeft w:val="0"/>
              <w:marRight w:val="0"/>
              <w:marTop w:val="0"/>
              <w:marBottom w:val="0"/>
              <w:divBdr>
                <w:top w:val="none" w:sz="0" w:space="0" w:color="auto"/>
                <w:left w:val="none" w:sz="0" w:space="0" w:color="auto"/>
                <w:bottom w:val="none" w:sz="0" w:space="0" w:color="auto"/>
                <w:right w:val="none" w:sz="0" w:space="0" w:color="auto"/>
              </w:divBdr>
            </w:div>
          </w:divsChild>
        </w:div>
        <w:div w:id="2038191367">
          <w:marLeft w:val="0"/>
          <w:marRight w:val="0"/>
          <w:marTop w:val="19"/>
          <w:marBottom w:val="19"/>
          <w:divBdr>
            <w:top w:val="none" w:sz="0" w:space="0" w:color="auto"/>
            <w:left w:val="none" w:sz="0" w:space="0" w:color="auto"/>
            <w:bottom w:val="none" w:sz="0" w:space="0" w:color="auto"/>
            <w:right w:val="none" w:sz="0" w:space="0" w:color="auto"/>
          </w:divBdr>
          <w:divsChild>
            <w:div w:id="1495410510">
              <w:marLeft w:val="0"/>
              <w:marRight w:val="0"/>
              <w:marTop w:val="0"/>
              <w:marBottom w:val="0"/>
              <w:divBdr>
                <w:top w:val="none" w:sz="0" w:space="0" w:color="auto"/>
                <w:left w:val="none" w:sz="0" w:space="0" w:color="auto"/>
                <w:bottom w:val="none" w:sz="0" w:space="0" w:color="auto"/>
                <w:right w:val="none" w:sz="0" w:space="0" w:color="auto"/>
              </w:divBdr>
              <w:divsChild>
                <w:div w:id="7744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8509">
      <w:bodyDiv w:val="1"/>
      <w:marLeft w:val="0"/>
      <w:marRight w:val="0"/>
      <w:marTop w:val="0"/>
      <w:marBottom w:val="0"/>
      <w:divBdr>
        <w:top w:val="none" w:sz="0" w:space="0" w:color="auto"/>
        <w:left w:val="none" w:sz="0" w:space="0" w:color="auto"/>
        <w:bottom w:val="none" w:sz="0" w:space="0" w:color="auto"/>
        <w:right w:val="none" w:sz="0" w:space="0" w:color="auto"/>
      </w:divBdr>
      <w:divsChild>
        <w:div w:id="13963766">
          <w:marLeft w:val="0"/>
          <w:marRight w:val="0"/>
          <w:marTop w:val="0"/>
          <w:marBottom w:val="0"/>
          <w:divBdr>
            <w:top w:val="none" w:sz="0" w:space="0" w:color="auto"/>
            <w:left w:val="none" w:sz="0" w:space="0" w:color="auto"/>
            <w:bottom w:val="none" w:sz="0" w:space="0" w:color="auto"/>
            <w:right w:val="none" w:sz="0" w:space="0" w:color="auto"/>
          </w:divBdr>
        </w:div>
      </w:divsChild>
    </w:div>
    <w:div w:id="210966522">
      <w:bodyDiv w:val="1"/>
      <w:marLeft w:val="0"/>
      <w:marRight w:val="0"/>
      <w:marTop w:val="0"/>
      <w:marBottom w:val="0"/>
      <w:divBdr>
        <w:top w:val="none" w:sz="0" w:space="0" w:color="auto"/>
        <w:left w:val="none" w:sz="0" w:space="0" w:color="auto"/>
        <w:bottom w:val="none" w:sz="0" w:space="0" w:color="auto"/>
        <w:right w:val="none" w:sz="0" w:space="0" w:color="auto"/>
      </w:divBdr>
    </w:div>
    <w:div w:id="300692227">
      <w:bodyDiv w:val="1"/>
      <w:marLeft w:val="0"/>
      <w:marRight w:val="0"/>
      <w:marTop w:val="0"/>
      <w:marBottom w:val="0"/>
      <w:divBdr>
        <w:top w:val="none" w:sz="0" w:space="0" w:color="auto"/>
        <w:left w:val="none" w:sz="0" w:space="0" w:color="auto"/>
        <w:bottom w:val="none" w:sz="0" w:space="0" w:color="auto"/>
        <w:right w:val="none" w:sz="0" w:space="0" w:color="auto"/>
      </w:divBdr>
    </w:div>
    <w:div w:id="533158106">
      <w:bodyDiv w:val="1"/>
      <w:marLeft w:val="0"/>
      <w:marRight w:val="0"/>
      <w:marTop w:val="0"/>
      <w:marBottom w:val="0"/>
      <w:divBdr>
        <w:top w:val="none" w:sz="0" w:space="0" w:color="auto"/>
        <w:left w:val="none" w:sz="0" w:space="0" w:color="auto"/>
        <w:bottom w:val="none" w:sz="0" w:space="0" w:color="auto"/>
        <w:right w:val="none" w:sz="0" w:space="0" w:color="auto"/>
      </w:divBdr>
    </w:div>
    <w:div w:id="566957295">
      <w:bodyDiv w:val="1"/>
      <w:marLeft w:val="0"/>
      <w:marRight w:val="0"/>
      <w:marTop w:val="0"/>
      <w:marBottom w:val="0"/>
      <w:divBdr>
        <w:top w:val="none" w:sz="0" w:space="0" w:color="auto"/>
        <w:left w:val="none" w:sz="0" w:space="0" w:color="auto"/>
        <w:bottom w:val="none" w:sz="0" w:space="0" w:color="auto"/>
        <w:right w:val="none" w:sz="0" w:space="0" w:color="auto"/>
      </w:divBdr>
    </w:div>
    <w:div w:id="623777902">
      <w:bodyDiv w:val="1"/>
      <w:marLeft w:val="0"/>
      <w:marRight w:val="0"/>
      <w:marTop w:val="0"/>
      <w:marBottom w:val="0"/>
      <w:divBdr>
        <w:top w:val="none" w:sz="0" w:space="0" w:color="auto"/>
        <w:left w:val="none" w:sz="0" w:space="0" w:color="auto"/>
        <w:bottom w:val="none" w:sz="0" w:space="0" w:color="auto"/>
        <w:right w:val="none" w:sz="0" w:space="0" w:color="auto"/>
      </w:divBdr>
    </w:div>
    <w:div w:id="642924918">
      <w:bodyDiv w:val="1"/>
      <w:marLeft w:val="0"/>
      <w:marRight w:val="0"/>
      <w:marTop w:val="0"/>
      <w:marBottom w:val="0"/>
      <w:divBdr>
        <w:top w:val="none" w:sz="0" w:space="0" w:color="auto"/>
        <w:left w:val="none" w:sz="0" w:space="0" w:color="auto"/>
        <w:bottom w:val="none" w:sz="0" w:space="0" w:color="auto"/>
        <w:right w:val="none" w:sz="0" w:space="0" w:color="auto"/>
      </w:divBdr>
    </w:div>
    <w:div w:id="677345009">
      <w:bodyDiv w:val="1"/>
      <w:marLeft w:val="0"/>
      <w:marRight w:val="0"/>
      <w:marTop w:val="0"/>
      <w:marBottom w:val="0"/>
      <w:divBdr>
        <w:top w:val="none" w:sz="0" w:space="0" w:color="auto"/>
        <w:left w:val="none" w:sz="0" w:space="0" w:color="auto"/>
        <w:bottom w:val="none" w:sz="0" w:space="0" w:color="auto"/>
        <w:right w:val="none" w:sz="0" w:space="0" w:color="auto"/>
      </w:divBdr>
    </w:div>
    <w:div w:id="737435730">
      <w:bodyDiv w:val="1"/>
      <w:marLeft w:val="0"/>
      <w:marRight w:val="0"/>
      <w:marTop w:val="0"/>
      <w:marBottom w:val="0"/>
      <w:divBdr>
        <w:top w:val="none" w:sz="0" w:space="0" w:color="auto"/>
        <w:left w:val="none" w:sz="0" w:space="0" w:color="auto"/>
        <w:bottom w:val="none" w:sz="0" w:space="0" w:color="auto"/>
        <w:right w:val="none" w:sz="0" w:space="0" w:color="auto"/>
      </w:divBdr>
    </w:div>
    <w:div w:id="755982719">
      <w:bodyDiv w:val="1"/>
      <w:marLeft w:val="0"/>
      <w:marRight w:val="0"/>
      <w:marTop w:val="0"/>
      <w:marBottom w:val="0"/>
      <w:divBdr>
        <w:top w:val="none" w:sz="0" w:space="0" w:color="auto"/>
        <w:left w:val="none" w:sz="0" w:space="0" w:color="auto"/>
        <w:bottom w:val="none" w:sz="0" w:space="0" w:color="auto"/>
        <w:right w:val="none" w:sz="0" w:space="0" w:color="auto"/>
      </w:divBdr>
    </w:div>
    <w:div w:id="781454684">
      <w:bodyDiv w:val="1"/>
      <w:marLeft w:val="0"/>
      <w:marRight w:val="0"/>
      <w:marTop w:val="0"/>
      <w:marBottom w:val="0"/>
      <w:divBdr>
        <w:top w:val="none" w:sz="0" w:space="0" w:color="auto"/>
        <w:left w:val="none" w:sz="0" w:space="0" w:color="auto"/>
        <w:bottom w:val="none" w:sz="0" w:space="0" w:color="auto"/>
        <w:right w:val="none" w:sz="0" w:space="0" w:color="auto"/>
      </w:divBdr>
    </w:div>
    <w:div w:id="866872603">
      <w:bodyDiv w:val="1"/>
      <w:marLeft w:val="0"/>
      <w:marRight w:val="0"/>
      <w:marTop w:val="0"/>
      <w:marBottom w:val="0"/>
      <w:divBdr>
        <w:top w:val="none" w:sz="0" w:space="0" w:color="auto"/>
        <w:left w:val="none" w:sz="0" w:space="0" w:color="auto"/>
        <w:bottom w:val="none" w:sz="0" w:space="0" w:color="auto"/>
        <w:right w:val="none" w:sz="0" w:space="0" w:color="auto"/>
      </w:divBdr>
    </w:div>
    <w:div w:id="888955071">
      <w:bodyDiv w:val="1"/>
      <w:marLeft w:val="0"/>
      <w:marRight w:val="0"/>
      <w:marTop w:val="0"/>
      <w:marBottom w:val="0"/>
      <w:divBdr>
        <w:top w:val="none" w:sz="0" w:space="0" w:color="auto"/>
        <w:left w:val="none" w:sz="0" w:space="0" w:color="auto"/>
        <w:bottom w:val="none" w:sz="0" w:space="0" w:color="auto"/>
        <w:right w:val="none" w:sz="0" w:space="0" w:color="auto"/>
      </w:divBdr>
    </w:div>
    <w:div w:id="904871719">
      <w:bodyDiv w:val="1"/>
      <w:marLeft w:val="0"/>
      <w:marRight w:val="0"/>
      <w:marTop w:val="0"/>
      <w:marBottom w:val="0"/>
      <w:divBdr>
        <w:top w:val="none" w:sz="0" w:space="0" w:color="auto"/>
        <w:left w:val="none" w:sz="0" w:space="0" w:color="auto"/>
        <w:bottom w:val="none" w:sz="0" w:space="0" w:color="auto"/>
        <w:right w:val="none" w:sz="0" w:space="0" w:color="auto"/>
      </w:divBdr>
    </w:div>
    <w:div w:id="1027802167">
      <w:bodyDiv w:val="1"/>
      <w:marLeft w:val="0"/>
      <w:marRight w:val="0"/>
      <w:marTop w:val="0"/>
      <w:marBottom w:val="0"/>
      <w:divBdr>
        <w:top w:val="none" w:sz="0" w:space="0" w:color="auto"/>
        <w:left w:val="none" w:sz="0" w:space="0" w:color="auto"/>
        <w:bottom w:val="none" w:sz="0" w:space="0" w:color="auto"/>
        <w:right w:val="none" w:sz="0" w:space="0" w:color="auto"/>
      </w:divBdr>
    </w:div>
    <w:div w:id="1033961497">
      <w:bodyDiv w:val="1"/>
      <w:marLeft w:val="0"/>
      <w:marRight w:val="0"/>
      <w:marTop w:val="0"/>
      <w:marBottom w:val="0"/>
      <w:divBdr>
        <w:top w:val="none" w:sz="0" w:space="0" w:color="auto"/>
        <w:left w:val="none" w:sz="0" w:space="0" w:color="auto"/>
        <w:bottom w:val="none" w:sz="0" w:space="0" w:color="auto"/>
        <w:right w:val="none" w:sz="0" w:space="0" w:color="auto"/>
      </w:divBdr>
    </w:div>
    <w:div w:id="1091203221">
      <w:bodyDiv w:val="1"/>
      <w:marLeft w:val="0"/>
      <w:marRight w:val="0"/>
      <w:marTop w:val="0"/>
      <w:marBottom w:val="0"/>
      <w:divBdr>
        <w:top w:val="none" w:sz="0" w:space="0" w:color="auto"/>
        <w:left w:val="none" w:sz="0" w:space="0" w:color="auto"/>
        <w:bottom w:val="none" w:sz="0" w:space="0" w:color="auto"/>
        <w:right w:val="none" w:sz="0" w:space="0" w:color="auto"/>
      </w:divBdr>
    </w:div>
    <w:div w:id="1097483505">
      <w:bodyDiv w:val="1"/>
      <w:marLeft w:val="0"/>
      <w:marRight w:val="0"/>
      <w:marTop w:val="0"/>
      <w:marBottom w:val="0"/>
      <w:divBdr>
        <w:top w:val="none" w:sz="0" w:space="0" w:color="auto"/>
        <w:left w:val="none" w:sz="0" w:space="0" w:color="auto"/>
        <w:bottom w:val="none" w:sz="0" w:space="0" w:color="auto"/>
        <w:right w:val="none" w:sz="0" w:space="0" w:color="auto"/>
      </w:divBdr>
    </w:div>
    <w:div w:id="1245646613">
      <w:bodyDiv w:val="1"/>
      <w:marLeft w:val="0"/>
      <w:marRight w:val="0"/>
      <w:marTop w:val="0"/>
      <w:marBottom w:val="0"/>
      <w:divBdr>
        <w:top w:val="none" w:sz="0" w:space="0" w:color="auto"/>
        <w:left w:val="none" w:sz="0" w:space="0" w:color="auto"/>
        <w:bottom w:val="none" w:sz="0" w:space="0" w:color="auto"/>
        <w:right w:val="none" w:sz="0" w:space="0" w:color="auto"/>
      </w:divBdr>
    </w:div>
    <w:div w:id="1249575897">
      <w:bodyDiv w:val="1"/>
      <w:marLeft w:val="0"/>
      <w:marRight w:val="0"/>
      <w:marTop w:val="0"/>
      <w:marBottom w:val="0"/>
      <w:divBdr>
        <w:top w:val="none" w:sz="0" w:space="0" w:color="auto"/>
        <w:left w:val="none" w:sz="0" w:space="0" w:color="auto"/>
        <w:bottom w:val="none" w:sz="0" w:space="0" w:color="auto"/>
        <w:right w:val="none" w:sz="0" w:space="0" w:color="auto"/>
      </w:divBdr>
    </w:div>
    <w:div w:id="1413772306">
      <w:bodyDiv w:val="1"/>
      <w:marLeft w:val="0"/>
      <w:marRight w:val="0"/>
      <w:marTop w:val="0"/>
      <w:marBottom w:val="0"/>
      <w:divBdr>
        <w:top w:val="none" w:sz="0" w:space="0" w:color="auto"/>
        <w:left w:val="none" w:sz="0" w:space="0" w:color="auto"/>
        <w:bottom w:val="none" w:sz="0" w:space="0" w:color="auto"/>
        <w:right w:val="none" w:sz="0" w:space="0" w:color="auto"/>
      </w:divBdr>
      <w:divsChild>
        <w:div w:id="858851856">
          <w:marLeft w:val="0"/>
          <w:marRight w:val="0"/>
          <w:marTop w:val="0"/>
          <w:marBottom w:val="0"/>
          <w:divBdr>
            <w:top w:val="none" w:sz="0" w:space="0" w:color="auto"/>
            <w:left w:val="none" w:sz="0" w:space="0" w:color="auto"/>
            <w:bottom w:val="none" w:sz="0" w:space="0" w:color="auto"/>
            <w:right w:val="none" w:sz="0" w:space="0" w:color="auto"/>
          </w:divBdr>
          <w:divsChild>
            <w:div w:id="830023831">
              <w:marLeft w:val="0"/>
              <w:marRight w:val="0"/>
              <w:marTop w:val="0"/>
              <w:marBottom w:val="0"/>
              <w:divBdr>
                <w:top w:val="none" w:sz="0" w:space="0" w:color="auto"/>
                <w:left w:val="none" w:sz="0" w:space="0" w:color="auto"/>
                <w:bottom w:val="none" w:sz="0" w:space="0" w:color="auto"/>
                <w:right w:val="none" w:sz="0" w:space="0" w:color="auto"/>
              </w:divBdr>
              <w:divsChild>
                <w:div w:id="13532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900">
          <w:marLeft w:val="0"/>
          <w:marRight w:val="0"/>
          <w:marTop w:val="0"/>
          <w:marBottom w:val="0"/>
          <w:divBdr>
            <w:top w:val="none" w:sz="0" w:space="0" w:color="auto"/>
            <w:left w:val="none" w:sz="0" w:space="0" w:color="auto"/>
            <w:bottom w:val="none" w:sz="0" w:space="0" w:color="auto"/>
            <w:right w:val="none" w:sz="0" w:space="0" w:color="auto"/>
          </w:divBdr>
          <w:divsChild>
            <w:div w:id="1878815457">
              <w:marLeft w:val="0"/>
              <w:marRight w:val="0"/>
              <w:marTop w:val="0"/>
              <w:marBottom w:val="0"/>
              <w:divBdr>
                <w:top w:val="none" w:sz="0" w:space="0" w:color="auto"/>
                <w:left w:val="none" w:sz="0" w:space="0" w:color="auto"/>
                <w:bottom w:val="none" w:sz="0" w:space="0" w:color="auto"/>
                <w:right w:val="none" w:sz="0" w:space="0" w:color="auto"/>
              </w:divBdr>
              <w:divsChild>
                <w:div w:id="210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88573">
      <w:bodyDiv w:val="1"/>
      <w:marLeft w:val="0"/>
      <w:marRight w:val="0"/>
      <w:marTop w:val="0"/>
      <w:marBottom w:val="0"/>
      <w:divBdr>
        <w:top w:val="none" w:sz="0" w:space="0" w:color="auto"/>
        <w:left w:val="none" w:sz="0" w:space="0" w:color="auto"/>
        <w:bottom w:val="none" w:sz="0" w:space="0" w:color="auto"/>
        <w:right w:val="none" w:sz="0" w:space="0" w:color="auto"/>
      </w:divBdr>
    </w:div>
    <w:div w:id="1552613586">
      <w:bodyDiv w:val="1"/>
      <w:marLeft w:val="0"/>
      <w:marRight w:val="0"/>
      <w:marTop w:val="0"/>
      <w:marBottom w:val="0"/>
      <w:divBdr>
        <w:top w:val="none" w:sz="0" w:space="0" w:color="auto"/>
        <w:left w:val="none" w:sz="0" w:space="0" w:color="auto"/>
        <w:bottom w:val="none" w:sz="0" w:space="0" w:color="auto"/>
        <w:right w:val="none" w:sz="0" w:space="0" w:color="auto"/>
      </w:divBdr>
    </w:div>
    <w:div w:id="1558315718">
      <w:bodyDiv w:val="1"/>
      <w:marLeft w:val="0"/>
      <w:marRight w:val="0"/>
      <w:marTop w:val="0"/>
      <w:marBottom w:val="0"/>
      <w:divBdr>
        <w:top w:val="none" w:sz="0" w:space="0" w:color="auto"/>
        <w:left w:val="none" w:sz="0" w:space="0" w:color="auto"/>
        <w:bottom w:val="none" w:sz="0" w:space="0" w:color="auto"/>
        <w:right w:val="none" w:sz="0" w:space="0" w:color="auto"/>
      </w:divBdr>
    </w:div>
    <w:div w:id="1559634653">
      <w:bodyDiv w:val="1"/>
      <w:marLeft w:val="0"/>
      <w:marRight w:val="0"/>
      <w:marTop w:val="0"/>
      <w:marBottom w:val="0"/>
      <w:divBdr>
        <w:top w:val="none" w:sz="0" w:space="0" w:color="auto"/>
        <w:left w:val="none" w:sz="0" w:space="0" w:color="auto"/>
        <w:bottom w:val="none" w:sz="0" w:space="0" w:color="auto"/>
        <w:right w:val="none" w:sz="0" w:space="0" w:color="auto"/>
      </w:divBdr>
    </w:div>
    <w:div w:id="1569070242">
      <w:bodyDiv w:val="1"/>
      <w:marLeft w:val="0"/>
      <w:marRight w:val="0"/>
      <w:marTop w:val="0"/>
      <w:marBottom w:val="0"/>
      <w:divBdr>
        <w:top w:val="none" w:sz="0" w:space="0" w:color="auto"/>
        <w:left w:val="none" w:sz="0" w:space="0" w:color="auto"/>
        <w:bottom w:val="none" w:sz="0" w:space="0" w:color="auto"/>
        <w:right w:val="none" w:sz="0" w:space="0" w:color="auto"/>
      </w:divBdr>
    </w:div>
    <w:div w:id="1596282152">
      <w:bodyDiv w:val="1"/>
      <w:marLeft w:val="0"/>
      <w:marRight w:val="0"/>
      <w:marTop w:val="0"/>
      <w:marBottom w:val="0"/>
      <w:divBdr>
        <w:top w:val="none" w:sz="0" w:space="0" w:color="auto"/>
        <w:left w:val="none" w:sz="0" w:space="0" w:color="auto"/>
        <w:bottom w:val="none" w:sz="0" w:space="0" w:color="auto"/>
        <w:right w:val="none" w:sz="0" w:space="0" w:color="auto"/>
      </w:divBdr>
    </w:div>
    <w:div w:id="1673071508">
      <w:bodyDiv w:val="1"/>
      <w:marLeft w:val="0"/>
      <w:marRight w:val="0"/>
      <w:marTop w:val="0"/>
      <w:marBottom w:val="0"/>
      <w:divBdr>
        <w:top w:val="none" w:sz="0" w:space="0" w:color="auto"/>
        <w:left w:val="none" w:sz="0" w:space="0" w:color="auto"/>
        <w:bottom w:val="none" w:sz="0" w:space="0" w:color="auto"/>
        <w:right w:val="none" w:sz="0" w:space="0" w:color="auto"/>
      </w:divBdr>
    </w:div>
    <w:div w:id="1729187514">
      <w:bodyDiv w:val="1"/>
      <w:marLeft w:val="0"/>
      <w:marRight w:val="0"/>
      <w:marTop w:val="0"/>
      <w:marBottom w:val="0"/>
      <w:divBdr>
        <w:top w:val="none" w:sz="0" w:space="0" w:color="auto"/>
        <w:left w:val="none" w:sz="0" w:space="0" w:color="auto"/>
        <w:bottom w:val="none" w:sz="0" w:space="0" w:color="auto"/>
        <w:right w:val="none" w:sz="0" w:space="0" w:color="auto"/>
      </w:divBdr>
    </w:div>
    <w:div w:id="1741441851">
      <w:bodyDiv w:val="1"/>
      <w:marLeft w:val="0"/>
      <w:marRight w:val="0"/>
      <w:marTop w:val="0"/>
      <w:marBottom w:val="0"/>
      <w:divBdr>
        <w:top w:val="none" w:sz="0" w:space="0" w:color="auto"/>
        <w:left w:val="none" w:sz="0" w:space="0" w:color="auto"/>
        <w:bottom w:val="none" w:sz="0" w:space="0" w:color="auto"/>
        <w:right w:val="none" w:sz="0" w:space="0" w:color="auto"/>
      </w:divBdr>
    </w:div>
    <w:div w:id="1759711706">
      <w:bodyDiv w:val="1"/>
      <w:marLeft w:val="0"/>
      <w:marRight w:val="0"/>
      <w:marTop w:val="0"/>
      <w:marBottom w:val="0"/>
      <w:divBdr>
        <w:top w:val="none" w:sz="0" w:space="0" w:color="auto"/>
        <w:left w:val="none" w:sz="0" w:space="0" w:color="auto"/>
        <w:bottom w:val="none" w:sz="0" w:space="0" w:color="auto"/>
        <w:right w:val="none" w:sz="0" w:space="0" w:color="auto"/>
      </w:divBdr>
    </w:div>
    <w:div w:id="1889998199">
      <w:bodyDiv w:val="1"/>
      <w:marLeft w:val="0"/>
      <w:marRight w:val="0"/>
      <w:marTop w:val="0"/>
      <w:marBottom w:val="0"/>
      <w:divBdr>
        <w:top w:val="none" w:sz="0" w:space="0" w:color="auto"/>
        <w:left w:val="none" w:sz="0" w:space="0" w:color="auto"/>
        <w:bottom w:val="none" w:sz="0" w:space="0" w:color="auto"/>
        <w:right w:val="none" w:sz="0" w:space="0" w:color="auto"/>
      </w:divBdr>
    </w:div>
    <w:div w:id="1895699778">
      <w:bodyDiv w:val="1"/>
      <w:marLeft w:val="0"/>
      <w:marRight w:val="0"/>
      <w:marTop w:val="0"/>
      <w:marBottom w:val="0"/>
      <w:divBdr>
        <w:top w:val="none" w:sz="0" w:space="0" w:color="auto"/>
        <w:left w:val="none" w:sz="0" w:space="0" w:color="auto"/>
        <w:bottom w:val="none" w:sz="0" w:space="0" w:color="auto"/>
        <w:right w:val="none" w:sz="0" w:space="0" w:color="auto"/>
      </w:divBdr>
    </w:div>
    <w:div w:id="1903101124">
      <w:bodyDiv w:val="1"/>
      <w:marLeft w:val="0"/>
      <w:marRight w:val="0"/>
      <w:marTop w:val="0"/>
      <w:marBottom w:val="0"/>
      <w:divBdr>
        <w:top w:val="none" w:sz="0" w:space="0" w:color="auto"/>
        <w:left w:val="none" w:sz="0" w:space="0" w:color="auto"/>
        <w:bottom w:val="none" w:sz="0" w:space="0" w:color="auto"/>
        <w:right w:val="none" w:sz="0" w:space="0" w:color="auto"/>
      </w:divBdr>
    </w:div>
    <w:div w:id="2024479041">
      <w:bodyDiv w:val="1"/>
      <w:marLeft w:val="0"/>
      <w:marRight w:val="0"/>
      <w:marTop w:val="0"/>
      <w:marBottom w:val="0"/>
      <w:divBdr>
        <w:top w:val="none" w:sz="0" w:space="0" w:color="auto"/>
        <w:left w:val="none" w:sz="0" w:space="0" w:color="auto"/>
        <w:bottom w:val="none" w:sz="0" w:space="0" w:color="auto"/>
        <w:right w:val="none" w:sz="0" w:space="0" w:color="auto"/>
      </w:divBdr>
    </w:div>
    <w:div w:id="2042509956">
      <w:bodyDiv w:val="1"/>
      <w:marLeft w:val="0"/>
      <w:marRight w:val="0"/>
      <w:marTop w:val="0"/>
      <w:marBottom w:val="0"/>
      <w:divBdr>
        <w:top w:val="none" w:sz="0" w:space="0" w:color="auto"/>
        <w:left w:val="none" w:sz="0" w:space="0" w:color="auto"/>
        <w:bottom w:val="none" w:sz="0" w:space="0" w:color="auto"/>
        <w:right w:val="none" w:sz="0" w:space="0" w:color="auto"/>
      </w:divBdr>
      <w:divsChild>
        <w:div w:id="1918318138">
          <w:marLeft w:val="0"/>
          <w:marRight w:val="0"/>
          <w:marTop w:val="0"/>
          <w:marBottom w:val="0"/>
          <w:divBdr>
            <w:top w:val="none" w:sz="0" w:space="0" w:color="auto"/>
            <w:left w:val="none" w:sz="0" w:space="0" w:color="auto"/>
            <w:bottom w:val="none" w:sz="0" w:space="0" w:color="auto"/>
            <w:right w:val="none" w:sz="0" w:space="0" w:color="auto"/>
          </w:divBdr>
          <w:divsChild>
            <w:div w:id="1820732011">
              <w:marLeft w:val="0"/>
              <w:marRight w:val="0"/>
              <w:marTop w:val="0"/>
              <w:marBottom w:val="0"/>
              <w:divBdr>
                <w:top w:val="none" w:sz="0" w:space="0" w:color="auto"/>
                <w:left w:val="none" w:sz="0" w:space="0" w:color="auto"/>
                <w:bottom w:val="none" w:sz="0" w:space="0" w:color="auto"/>
                <w:right w:val="none" w:sz="0" w:space="0" w:color="auto"/>
              </w:divBdr>
            </w:div>
          </w:divsChild>
        </w:div>
        <w:div w:id="2022125184">
          <w:marLeft w:val="-124"/>
          <w:marRight w:val="-124"/>
          <w:marTop w:val="0"/>
          <w:marBottom w:val="0"/>
          <w:divBdr>
            <w:top w:val="none" w:sz="0" w:space="0" w:color="auto"/>
            <w:left w:val="none" w:sz="0" w:space="0" w:color="auto"/>
            <w:bottom w:val="none" w:sz="0" w:space="0" w:color="auto"/>
            <w:right w:val="none" w:sz="0" w:space="0" w:color="auto"/>
          </w:divBdr>
          <w:divsChild>
            <w:div w:id="2076126528">
              <w:marLeft w:val="0"/>
              <w:marRight w:val="0"/>
              <w:marTop w:val="0"/>
              <w:marBottom w:val="0"/>
              <w:divBdr>
                <w:top w:val="none" w:sz="0" w:space="0" w:color="auto"/>
                <w:left w:val="none" w:sz="0" w:space="0" w:color="auto"/>
                <w:bottom w:val="none" w:sz="0" w:space="0" w:color="auto"/>
                <w:right w:val="none" w:sz="0" w:space="0" w:color="auto"/>
              </w:divBdr>
              <w:divsChild>
                <w:div w:id="1976249323">
                  <w:marLeft w:val="0"/>
                  <w:marRight w:val="0"/>
                  <w:marTop w:val="0"/>
                  <w:marBottom w:val="0"/>
                  <w:divBdr>
                    <w:top w:val="none" w:sz="0" w:space="0" w:color="auto"/>
                    <w:left w:val="none" w:sz="0" w:space="0" w:color="auto"/>
                    <w:bottom w:val="none" w:sz="0" w:space="0" w:color="auto"/>
                    <w:right w:val="none" w:sz="0" w:space="0" w:color="auto"/>
                  </w:divBdr>
                  <w:divsChild>
                    <w:div w:id="1447967144">
                      <w:marLeft w:val="0"/>
                      <w:marRight w:val="0"/>
                      <w:marTop w:val="0"/>
                      <w:marBottom w:val="0"/>
                      <w:divBdr>
                        <w:top w:val="none" w:sz="0" w:space="0" w:color="auto"/>
                        <w:left w:val="none" w:sz="0" w:space="0" w:color="auto"/>
                        <w:bottom w:val="none" w:sz="0" w:space="0" w:color="auto"/>
                        <w:right w:val="none" w:sz="0" w:space="0" w:color="auto"/>
                      </w:divBdr>
                      <w:divsChild>
                        <w:div w:id="18727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4488">
                  <w:marLeft w:val="0"/>
                  <w:marRight w:val="0"/>
                  <w:marTop w:val="0"/>
                  <w:marBottom w:val="0"/>
                  <w:divBdr>
                    <w:top w:val="none" w:sz="0" w:space="0" w:color="auto"/>
                    <w:left w:val="none" w:sz="0" w:space="0" w:color="auto"/>
                    <w:bottom w:val="none" w:sz="0" w:space="0" w:color="auto"/>
                    <w:right w:val="none" w:sz="0" w:space="0" w:color="auto"/>
                  </w:divBdr>
                  <w:divsChild>
                    <w:div w:id="1344821147">
                      <w:marLeft w:val="0"/>
                      <w:marRight w:val="0"/>
                      <w:marTop w:val="0"/>
                      <w:marBottom w:val="0"/>
                      <w:divBdr>
                        <w:top w:val="none" w:sz="0" w:space="0" w:color="auto"/>
                        <w:left w:val="none" w:sz="0" w:space="0" w:color="auto"/>
                        <w:bottom w:val="none" w:sz="0" w:space="0" w:color="auto"/>
                        <w:right w:val="none" w:sz="0" w:space="0" w:color="auto"/>
                      </w:divBdr>
                      <w:divsChild>
                        <w:div w:id="18674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t.nz/our-work/disability-servic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orkandincome.govt.nz/individuals/a-z-benefits/disability-allowanc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d.govt.nz/what-we-can-do/disability-services/mainstream/index.html"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minedu.govt.nz/NZEducation/EducationPolicies/SpecialEducation/AboutUs/ContextOfOurWork/EducationAndDisabilityContexts.aspx" TargetMode="External"/><Relationship Id="rId23" Type="http://schemas.openxmlformats.org/officeDocument/2006/relationships/customXml" Target="../customXml/item3.xml"/><Relationship Id="rId10" Type="http://schemas.openxmlformats.org/officeDocument/2006/relationships/hyperlink" Target="http://www.msd.govt.nz/what-we-can-do/disability-service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odi.govt.nz/about-us/government.html" TargetMode="External"/><Relationship Id="rId14" Type="http://schemas.openxmlformats.org/officeDocument/2006/relationships/hyperlink" Target="http://www.health.govt.nz/our-work/disability-services/about-disability-support-services"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6" Type="http://schemas.openxmlformats.org/officeDocument/2006/relationships/hyperlink" Target="http://www.odi.govt.nz/about-us/index.html" TargetMode="External"/><Relationship Id="rId117" Type="http://schemas.openxmlformats.org/officeDocument/2006/relationships/hyperlink" Target="http://www.otago.ac.nz/wellington/otago032196.pdf" TargetMode="External"/><Relationship Id="rId21" Type="http://schemas.openxmlformats.org/officeDocument/2006/relationships/hyperlink" Target="http://www.odi.govt.nz/what-we-do/ministerial-committee-on-disability-issues/disability-action-plan/2014-2018/index.html" TargetMode="External"/><Relationship Id="rId42" Type="http://schemas.openxmlformats.org/officeDocument/2006/relationships/hyperlink" Target="http://maoridictionary.co.nz/" TargetMode="External"/><Relationship Id="rId47" Type="http://schemas.openxmlformats.org/officeDocument/2006/relationships/hyperlink" Target="http://www.health.govt.nz/publication/whaia-te-ao-marama-maori-disability-action-plan-disability-support-services-2012-2017" TargetMode="External"/><Relationship Id="rId63" Type="http://schemas.openxmlformats.org/officeDocument/2006/relationships/hyperlink" Target="http://www.hdc.org.nz/media/207642/blueprint%20ii%20how%20things%20need%20to%20be.pdf" TargetMode="External"/><Relationship Id="rId68" Type="http://schemas.openxmlformats.org/officeDocument/2006/relationships/hyperlink" Target="http://www.ombudsman.parliament.nz/resources-and-publications/latest-reports" TargetMode="External"/><Relationship Id="rId84" Type="http://schemas.openxmlformats.org/officeDocument/2006/relationships/hyperlink" Target="http://www.childpoverty.co.nz/" TargetMode="External"/><Relationship Id="rId89" Type="http://schemas.openxmlformats.org/officeDocument/2006/relationships/hyperlink" Target="http://www.stuff.co.nz/national/6450935/Findings-on-disease-rate-a-disgrace" TargetMode="External"/><Relationship Id="rId112" Type="http://schemas.openxmlformats.org/officeDocument/2006/relationships/hyperlink" Target="http://www.occ.org.nz/publications/expert-advisory-group/" TargetMode="External"/><Relationship Id="rId133" Type="http://schemas.openxmlformats.org/officeDocument/2006/relationships/hyperlink" Target="http://www.cpag.org.nz/assets/Presentations/150306%20International%20womens%20day%20Susan%20St%20John.pdf" TargetMode="External"/><Relationship Id="rId16" Type="http://schemas.openxmlformats.org/officeDocument/2006/relationships/hyperlink" Target="http://www.leva.co.nz/about" TargetMode="External"/><Relationship Id="rId107" Type="http://schemas.openxmlformats.org/officeDocument/2006/relationships/hyperlink" Target="http://www.hrc.co.nz/files/6314/3130/4434/HRC_submission_to_CAT_Final.pdf" TargetMode="External"/><Relationship Id="rId11" Type="http://schemas.openxmlformats.org/officeDocument/2006/relationships/hyperlink" Target="http://www.health.govt.nz/system/files/documents/publications/mental-health-survey-summary.pdf" TargetMode="External"/><Relationship Id="rId32" Type="http://schemas.openxmlformats.org/officeDocument/2006/relationships/hyperlink" Target="http://www.mashtrust.org.nz/" TargetMode="External"/><Relationship Id="rId37" Type="http://schemas.openxmlformats.org/officeDocument/2006/relationships/hyperlink" Target="http://www.hrc.co.nz/files/3214/2396/7510/A-BRIEFING-FROM-NEW-ZEALANDS-CRPD-INDEPENDENT-MONITORING-MECHANISM.pdf" TargetMode="External"/><Relationship Id="rId53" Type="http://schemas.openxmlformats.org/officeDocument/2006/relationships/hyperlink" Target="http://www.enablinggoodlives.co.nz" TargetMode="External"/><Relationship Id="rId58" Type="http://schemas.openxmlformats.org/officeDocument/2006/relationships/hyperlink" Target="http://www.health.govt.nz/your-health/services-and-support/disability-services/types-disability-support/individualised-funding" TargetMode="External"/><Relationship Id="rId74" Type="http://schemas.openxmlformats.org/officeDocument/2006/relationships/hyperlink" Target="https://www.rnzcgp.org.nz/assets/documents/Publications/JPHC/February-2014/JPHCOSPWheelerMarch2014.pdf" TargetMode="External"/><Relationship Id="rId79" Type="http://schemas.openxmlformats.org/officeDocument/2006/relationships/hyperlink" Target="http://www.hdc.org.nz/the-act--code/the-code-of-rights" TargetMode="External"/><Relationship Id="rId102" Type="http://schemas.openxmlformats.org/officeDocument/2006/relationships/hyperlink" Target="http://www.occ.org.nz/publications/reports/" TargetMode="External"/><Relationship Id="rId123" Type="http://schemas.openxmlformats.org/officeDocument/2006/relationships/hyperlink" Target="http://www.hrc.co.nz/your-rights/people-disabilities/our-work/making-disability-rights-real/" TargetMode="External"/><Relationship Id="rId128" Type="http://schemas.openxmlformats.org/officeDocument/2006/relationships/hyperlink" Target="http://www.ssc.govt.nz/sites/all/files/service-experience-of-nzers-with-disabilities.pdf" TargetMode="External"/><Relationship Id="rId5" Type="http://schemas.openxmlformats.org/officeDocument/2006/relationships/hyperlink" Target="http://www.stats.govt.nz/" TargetMode="External"/><Relationship Id="rId90" Type="http://schemas.openxmlformats.org/officeDocument/2006/relationships/hyperlink" Target="http://www.parliament.nz/resource/en-nz/50DBSCH_SCR57007_1/a7eb89c92d5234548b9212b2bb58a10c5b5a32fa" TargetMode="External"/><Relationship Id="rId95" Type="http://schemas.openxmlformats.org/officeDocument/2006/relationships/hyperlink" Target="http://www.cpag.org.nz/" TargetMode="External"/><Relationship Id="rId14" Type="http://schemas.openxmlformats.org/officeDocument/2006/relationships/hyperlink" Target="http://www.health.govt.nz/system/files/documents/publications/suicide-facts-2011-jan14_0.pdf" TargetMode="External"/><Relationship Id="rId22" Type="http://schemas.openxmlformats.org/officeDocument/2006/relationships/hyperlink" Target="http://www.odi.govt.nz/what-we-do/un-convention/framework/index.html" TargetMode="External"/><Relationship Id="rId27" Type="http://schemas.openxmlformats.org/officeDocument/2006/relationships/hyperlink" Target="http://www.odi.govt.nz/what-we-do/ministerial-committee-on-disability-issues/disability-action-%20%20plan/2014-2018/we-worked-with-dpos-to-develop-the-new-plan.html" TargetMode="External"/><Relationship Id="rId30" Type="http://schemas.openxmlformats.org/officeDocument/2006/relationships/hyperlink" Target="http://www.ccsdisabilityaction.org.nz/" TargetMode="External"/><Relationship Id="rId35" Type="http://schemas.openxmlformats.org/officeDocument/2006/relationships/hyperlink" Target="http://www.odi.govt.nz/what-we-do/un-convention/framework/index.html" TargetMode="External"/><Relationship Id="rId43" Type="http://schemas.openxmlformats.org/officeDocument/2006/relationships/hyperlink" Target="http://www.maoridictionary.co.nz/" TargetMode="External"/><Relationship Id="rId48" Type="http://schemas.openxmlformats.org/officeDocument/2006/relationships/hyperlink" Target="http://www.health.govt.nz/publication/whaia-te-ao-marama-maori-disability-action-plan-disability-support-services-2012-2017" TargetMode="External"/><Relationship Id="rId56" Type="http://schemas.openxmlformats.org/officeDocument/2006/relationships/hyperlink" Target="http://www.odi.govt.nz/what-we-do/improving-disability-supports/enabling-good-lives/waikato.html" TargetMode="External"/><Relationship Id="rId64" Type="http://schemas.openxmlformats.org/officeDocument/2006/relationships/hyperlink" Target="http://www.nzma.org.nz/journal/read-the-journal/all-issues/2010-2019/2014/vol-127-no-1403/6316" TargetMode="External"/><Relationship Id="rId69" Type="http://schemas.openxmlformats.org/officeDocument/2006/relationships/hyperlink" Target="http://www.health.govt.nz/system/files/documents/publications/office-of-the-director-of-mental-health-annual-report2012.pdf" TargetMode="External"/><Relationship Id="rId77" Type="http://schemas.openxmlformats.org/officeDocument/2006/relationships/hyperlink" Target="http://www.hrc.co.nz/enquiries-and-complaints/what-you-can-complain-about/" TargetMode="External"/><Relationship Id="rId100" Type="http://schemas.openxmlformats.org/officeDocument/2006/relationships/hyperlink" Target="http://www.ccsdisabilityaction.org.nz/images/Childrenfirst2.pdf" TargetMode="External"/><Relationship Id="rId105" Type="http://schemas.openxmlformats.org/officeDocument/2006/relationships/hyperlink" Target="http://www.childmatters.org.nz/55/learn-about-child-abuse/facts" TargetMode="External"/><Relationship Id="rId113" Type="http://schemas.openxmlformats.org/officeDocument/2006/relationships/hyperlink" Target="http://www.cpag.org.nz/assets/Backgrounders/2-0%2028509%20Benefit%20Sanctions%20Report%20Sept%202013.pdf" TargetMode="External"/><Relationship Id="rId118" Type="http://schemas.openxmlformats.org/officeDocument/2006/relationships/hyperlink" Target="http://socialjustice.org.nz/papers/" TargetMode="External"/><Relationship Id="rId126" Type="http://schemas.openxmlformats.org/officeDocument/2006/relationships/hyperlink" Target="http://www.hrc.co.nz/files/8014/2357/0686/Making-disability-rights-real-full-report.pdf" TargetMode="External"/><Relationship Id="rId134" Type="http://schemas.openxmlformats.org/officeDocument/2006/relationships/hyperlink" Target="http://www.ssc.govt.nz/service-experience-disabilities" TargetMode="External"/><Relationship Id="rId8" Type="http://schemas.openxmlformats.org/officeDocument/2006/relationships/hyperlink" Target="http://www.health.govt.nz/system/files/documents/publications/mental-health-survey-summary.pdf" TargetMode="External"/><Relationship Id="rId51" Type="http://schemas.openxmlformats.org/officeDocument/2006/relationships/hyperlink" Target="http://www.health.govt.nz/our-work/populations/maori-health/whanau-ora-programme" TargetMode="External"/><Relationship Id="rId72" Type="http://schemas.openxmlformats.org/officeDocument/2006/relationships/hyperlink" Target="http://www.health.govt.nz/publication/health-indicators-new-zealanders-intellectual-disability" TargetMode="External"/><Relationship Id="rId80" Type="http://schemas.openxmlformats.org/officeDocument/2006/relationships/hyperlink" Target="http://www.hrc.co.nz/files/6314/3130/4434/HRC_submission_to_CAT_Final.pdf" TargetMode="External"/><Relationship Id="rId85" Type="http://schemas.openxmlformats.org/officeDocument/2006/relationships/hyperlink" Target="http://nzccss.org.nz/publications/vulnerability-report/" TargetMode="External"/><Relationship Id="rId93" Type="http://schemas.openxmlformats.org/officeDocument/2006/relationships/hyperlink" Target="http://www.cpag.org.nz/news/new-report-it-shouldnt-be-this-hard-children/" TargetMode="External"/><Relationship Id="rId98" Type="http://schemas.openxmlformats.org/officeDocument/2006/relationships/hyperlink" Target="http://www.ccsdisabilityaction.org.nz/images/Childrenfirst2.pdf" TargetMode="External"/><Relationship Id="rId121" Type="http://schemas.openxmlformats.org/officeDocument/2006/relationships/hyperlink" Target="http://www.odi.govt.nz/what-we-do/improving-disability-supports/enabling-good-lives/questions-and-%20%20answers-july-2013.html" TargetMode="External"/><Relationship Id="rId3" Type="http://schemas.openxmlformats.org/officeDocument/2006/relationships/hyperlink" Target="http://www.cpag.org.nz/resources-publications/publications/" TargetMode="External"/><Relationship Id="rId12" Type="http://schemas.openxmlformats.org/officeDocument/2006/relationships/hyperlink" Target="http://www.health.govt.nz/publication/annual-update-key-results-2013-14-new-zealand-health-survey" TargetMode="External"/><Relationship Id="rId17" Type="http://schemas.openxmlformats.org/officeDocument/2006/relationships/hyperlink" Target="http://www.health.govt.nz/publication/annual-update-key-results-2013-14-new-zealand-health-survey" TargetMode="External"/><Relationship Id="rId25" Type="http://schemas.openxmlformats.org/officeDocument/2006/relationships/hyperlink" Target="http://www.odi.govt.nz/about-us/index.html" TargetMode="External"/><Relationship Id="rId33" Type="http://schemas.openxmlformats.org/officeDocument/2006/relationships/hyperlink" Target="http://www.health.govt.nz/our-work/disability-services/disability-projects-and-programmes/disability-workforce" TargetMode="External"/><Relationship Id="rId38" Type="http://schemas.openxmlformats.org/officeDocument/2006/relationships/hyperlink" Target="http://www.leva.co.nz/disability/faiva-ora-national-leadership-group" TargetMode="External"/><Relationship Id="rId46" Type="http://schemas.openxmlformats.org/officeDocument/2006/relationships/hyperlink" Target="http://www.health.govt.nz/our-work/populations/maori-health/he-korowai-oranga" TargetMode="External"/><Relationship Id="rId59" Type="http://schemas.openxmlformats.org/officeDocument/2006/relationships/hyperlink" Target="http://www.carers.co.nz/" TargetMode="External"/><Relationship Id="rId67" Type="http://schemas.openxmlformats.org/officeDocument/2006/relationships/hyperlink" Target="https://www.google.co.nz/webhp?sourceid=chrome-instant&amp;rlz=1C1NCHB_enNZ574NZ574&amp;ion=1&amp;espv=2&amp;ie=UTF-8" TargetMode="External"/><Relationship Id="rId103" Type="http://schemas.openxmlformats.org/officeDocument/2006/relationships/hyperlink" Target="http://tvnz.co.nz/national-news/child-abuse-protection-systems-failing-nz-kids-judge-5466483" TargetMode="External"/><Relationship Id="rId108" Type="http://schemas.openxmlformats.org/officeDocument/2006/relationships/hyperlink" Target="http://www.victoria.ac.nz/education/pdf/Bullying-in-NZ-Schools.pdf" TargetMode="External"/><Relationship Id="rId116" Type="http://schemas.openxmlformats.org/officeDocument/2006/relationships/hyperlink" Target="http://www.ccsdisabilityaction.org.nz/images/Unequalopportunities.pdf" TargetMode="External"/><Relationship Id="rId124" Type="http://schemas.openxmlformats.org/officeDocument/2006/relationships/hyperlink" Target="http://www.ihc.org.nz/" TargetMode="External"/><Relationship Id="rId129" Type="http://schemas.openxmlformats.org/officeDocument/2006/relationships/hyperlink" Target="http://www.stuff.co.nz/the-press/news/68162272/beneficiaries-scared-stiff-of-work-and-income" TargetMode="External"/><Relationship Id="rId20" Type="http://schemas.openxmlformats.org/officeDocument/2006/relationships/hyperlink" Target="http://www.odi.govt.nz/resources/publications/new-zealand-disability-strategy.html" TargetMode="External"/><Relationship Id="rId41" Type="http://schemas.openxmlformats.org/officeDocument/2006/relationships/hyperlink" Target="http://www.nzherald.co.nz/nz/news/article.cfm?c_id=1&amp;objectid=10897315" TargetMode="External"/><Relationship Id="rId54" Type="http://schemas.openxmlformats.org/officeDocument/2006/relationships/hyperlink" Target="http://www.odi.govt.nz/what-we-do/improving-disability-supports/enabling-good-lives/key-messages.html" TargetMode="External"/><Relationship Id="rId62" Type="http://schemas.openxmlformats.org/officeDocument/2006/relationships/hyperlink" Target="http://www.health.govt.nz/our-work/mental-health-and-addictions/rising-challenge" TargetMode="External"/><Relationship Id="rId70" Type="http://schemas.openxmlformats.org/officeDocument/2006/relationships/hyperlink" Target="http://www.hrc.co.nz/files/6314/3130/4434/HRC_submission_to_CAT_Final.pdf" TargetMode="External"/><Relationship Id="rId75" Type="http://schemas.openxmlformats.org/officeDocument/2006/relationships/hyperlink" Target="http://www.ox.ac.uk/news/2014-05-23-many-mental-illnesses-reduce-life-expectancy-more-heavy-smoking" TargetMode="External"/><Relationship Id="rId83" Type="http://schemas.openxmlformats.org/officeDocument/2006/relationships/hyperlink" Target="http://www.otago.ac.nz/wellington/departments/publichealth/" TargetMode="External"/><Relationship Id="rId88" Type="http://schemas.openxmlformats.org/officeDocument/2006/relationships/hyperlink" Target="http://www.toiteorapublichealth.govt.nz/vdb/document/196" TargetMode="External"/><Relationship Id="rId91" Type="http://schemas.openxmlformats.org/officeDocument/2006/relationships/hyperlink" Target="http://www.parliament.nz/resource/en-nz/50DBSCH_SCR57007_1/a7eb89c92d5234548b9212b2bb58a10c5b5a32fa" TargetMode="External"/><Relationship Id="rId96" Type="http://schemas.openxmlformats.org/officeDocument/2006/relationships/hyperlink" Target="http://www.cpag.org.nz/resources-publications/publications/" TargetMode="External"/><Relationship Id="rId111" Type="http://schemas.openxmlformats.org/officeDocument/2006/relationships/hyperlink" Target="http://www.occ.org.nz/assets/Uploads/Reports/Child-rights/Joint-thematic-review-of-young-persons-in-Police-detention.pdf" TargetMode="External"/><Relationship Id="rId132" Type="http://schemas.openxmlformats.org/officeDocument/2006/relationships/hyperlink" Target="http://www.cpag.org.nz/news/new-report-it-shouldnt-be-this-hard-children/" TargetMode="External"/><Relationship Id="rId1" Type="http://schemas.openxmlformats.org/officeDocument/2006/relationships/hyperlink" Target="http://www.stats.govt.nz/browse_for_stats/health/disabilities/social-economic-outcomes-13.aspx" TargetMode="External"/><Relationship Id="rId6" Type="http://schemas.openxmlformats.org/officeDocument/2006/relationships/hyperlink" Target="http://www.otago.ac.nz/wellington/otago069936.pdf" TargetMode="External"/><Relationship Id="rId15" Type="http://schemas.openxmlformats.org/officeDocument/2006/relationships/hyperlink" Target="http://www.health.govt.nz/publication/annual-update-key-results-2013-14-new-zealand-health-survey" TargetMode="External"/><Relationship Id="rId23" Type="http://schemas.openxmlformats.org/officeDocument/2006/relationships/hyperlink" Target="http://www.odi.govt.nz/what-we-do/ministerial-committee-on-disability-issues/index.html" TargetMode="External"/><Relationship Id="rId28" Type="http://schemas.openxmlformats.org/officeDocument/2006/relationships/hyperlink" Target="http://www.nzdsn.org.nz/" TargetMode="External"/><Relationship Id="rId36" Type="http://schemas.openxmlformats.org/officeDocument/2006/relationships/hyperlink" Target="http://www.hrc.co.nz/files/5214/2357/0956/Making-disability-rights-real-Print2.pdf" TargetMode="External"/><Relationship Id="rId49" Type="http://schemas.openxmlformats.org/officeDocument/2006/relationships/hyperlink" Target="http://www.health.govt.nz/our-work/populations/maori-health/he-korowai-oranga" TargetMode="External"/><Relationship Id="rId57" Type="http://schemas.openxmlformats.org/officeDocument/2006/relationships/hyperlink" Target="http://www.health.govt.nz/our-work/disability-services/new-model-supporting-disabled-people" TargetMode="External"/><Relationship Id="rId106" Type="http://schemas.openxmlformats.org/officeDocument/2006/relationships/hyperlink" Target="http://www.childmatters.org.nz/196/child-protection-training/workshops/workshop-topics/protecting-%20%20children-with-disabilities" TargetMode="External"/><Relationship Id="rId114" Type="http://schemas.openxmlformats.org/officeDocument/2006/relationships/hyperlink" Target="http://www.health.govt.nz/nz-health-statistics/health-statistics-and-data-sets/suicide-data-and-stats" TargetMode="External"/><Relationship Id="rId119" Type="http://schemas.openxmlformats.org/officeDocument/2006/relationships/hyperlink" Target="http://www.hrc.co.nz/your-rights/people-disabilities/our-work/making-disability-rights-real/" TargetMode="External"/><Relationship Id="rId127" Type="http://schemas.openxmlformats.org/officeDocument/2006/relationships/hyperlink" Target="http://www.likeminds.org.nz/assets/Uploads/Public-knowledge-and-attitudes.pdf" TargetMode="External"/><Relationship Id="rId10" Type="http://schemas.openxmlformats.org/officeDocument/2006/relationships/hyperlink" Target="http://www.health.govt.nz/publication/annual-update-key-results-2013-14-new-zealand-health-survey" TargetMode="External"/><Relationship Id="rId31" Type="http://schemas.openxmlformats.org/officeDocument/2006/relationships/hyperlink" Target="http://www.healthcarenz.co.nz/" TargetMode="External"/><Relationship Id="rId44" Type="http://schemas.openxmlformats.org/officeDocument/2006/relationships/hyperlink" Target="http://www.maoridictionary.co.nz/" TargetMode="External"/><Relationship Id="rId52" Type="http://schemas.openxmlformats.org/officeDocument/2006/relationships/hyperlink" Target="http://www.kapomaori.com/" TargetMode="External"/><Relationship Id="rId60" Type="http://schemas.openxmlformats.org/officeDocument/2006/relationships/hyperlink" Target="http://www.health.govt.nz/publication/te-tahuhu-improving-mental-health-2005-2015-second-new-zealand-mental-health-and-addiction-plan" TargetMode="External"/><Relationship Id="rId65" Type="http://schemas.openxmlformats.org/officeDocument/2006/relationships/hyperlink" Target="http://www.mentalhealth.org.nz/assets/ResourceFinder/journeys-of-despair-journeys-of-hope-2006.pdf" TargetMode="External"/><Relationship Id="rId73" Type="http://schemas.openxmlformats.org/officeDocument/2006/relationships/hyperlink" Target="http://www.tepou.co.nz/uploads/files/resource-assets/summary-paper-the-physical-health-of-people-with-a-serious-mental-illness-andor-addiction.pdf" TargetMode="External"/><Relationship Id="rId78" Type="http://schemas.openxmlformats.org/officeDocument/2006/relationships/hyperlink" Target="http://www.hrc.co.nz/enquiries-and-complaints/how-make-complaint/" TargetMode="External"/><Relationship Id="rId81" Type="http://schemas.openxmlformats.org/officeDocument/2006/relationships/hyperlink" Target="http://www.ombudsman.parliament.nz/system/paperclip/document_files/document_files/708/original/annual_report_2012_-_2013.pdf?1381799341" TargetMode="External"/><Relationship Id="rId86" Type="http://schemas.openxmlformats.org/officeDocument/2006/relationships/hyperlink" Target="http://www.toiteorapublichealth.govt.nz/vdb/document/196" TargetMode="External"/><Relationship Id="rId94" Type="http://schemas.openxmlformats.org/officeDocument/2006/relationships/hyperlink" Target="http://www.legislation.govt.nz/act/public/1983/0115/latest/DLM74093.html" TargetMode="External"/><Relationship Id="rId99" Type="http://schemas.openxmlformats.org/officeDocument/2006/relationships/hyperlink" Target="http://www.cpag.org.nz/news/new-report-it-shouldnt-be-this-hard-children/" TargetMode="External"/><Relationship Id="rId101" Type="http://schemas.openxmlformats.org/officeDocument/2006/relationships/hyperlink" Target="http://www.nzchildren.co.nz/injuries.php" TargetMode="External"/><Relationship Id="rId122" Type="http://schemas.openxmlformats.org/officeDocument/2006/relationships/hyperlink" Target="http://www.cbm.org/The-Twin-Track-approach-250816.php" TargetMode="External"/><Relationship Id="rId130" Type="http://schemas.openxmlformats.org/officeDocument/2006/relationships/hyperlink" Target="http://www.peoplefirst.org.nz/" TargetMode="External"/><Relationship Id="rId135" Type="http://schemas.openxmlformats.org/officeDocument/2006/relationships/hyperlink" Target="https://www.ssc.govt.nz/node/1671" TargetMode="External"/><Relationship Id="rId4" Type="http://schemas.openxmlformats.org/officeDocument/2006/relationships/hyperlink" Target="http://includingallpeople.org.nz/" TargetMode="External"/><Relationship Id="rId9" Type="http://schemas.openxmlformats.org/officeDocument/2006/relationships/hyperlink" Target="http://www.health.govt.nz/publication/new-zealand-health-survey-annual-update-key-findings-2012-13" TargetMode="External"/><Relationship Id="rId13" Type="http://schemas.openxmlformats.org/officeDocument/2006/relationships/hyperlink" Target="http://www.health.govt.nz/publication/suicide-facts-deaths-and-intentional-self-harm-hospitalisations-2012" TargetMode="External"/><Relationship Id="rId18" Type="http://schemas.openxmlformats.org/officeDocument/2006/relationships/hyperlink" Target="http://www.health.govt.nz/publication/health-indicators-new-zealanders-intellectual-disability" TargetMode="External"/><Relationship Id="rId39" Type="http://schemas.openxmlformats.org/officeDocument/2006/relationships/hyperlink" Target="http://www.odi.govt.nz/what-we-do/ministerial-committee-on-disability-issues/disability-action-plan/2014-2018/we-worked-with-dpos-to-develop-the-new-plan.html" TargetMode="External"/><Relationship Id="rId109" Type="http://schemas.openxmlformats.org/officeDocument/2006/relationships/hyperlink" Target="http://www.cyf.govt.nz/documents/about-us/publications/look-listen-act.pdf" TargetMode="External"/><Relationship Id="rId34" Type="http://schemas.openxmlformats.org/officeDocument/2006/relationships/hyperlink" Target="http://www.odi.govt.nz/what-we-do/ministerial-committee-on-disability-issues/disability-action-plan/2014-2018/index.html" TargetMode="External"/><Relationship Id="rId50" Type="http://schemas.openxmlformats.org/officeDocument/2006/relationships/hyperlink" Target="http://www.health.govt.nz/publication/faiva-ora-national-pasifika-disability-plan-2010-2013" TargetMode="External"/><Relationship Id="rId55" Type="http://schemas.openxmlformats.org/officeDocument/2006/relationships/hyperlink" Target="http://www.odi.govt.nz/what-we-do/improving-disability-supports/enabling-good-lives/index.html" TargetMode="External"/><Relationship Id="rId76" Type="http://schemas.openxmlformats.org/officeDocument/2006/relationships/hyperlink" Target="http://www.weka.net.nz/support/by-region/south-island/otago/donald-beasley-institute-dunedin" TargetMode="External"/><Relationship Id="rId97" Type="http://schemas.openxmlformats.org/officeDocument/2006/relationships/hyperlink" Target="http://www.stats.govt.nz/browse_for_stats/health/disabilities/DisabilitySurvey_HOTP2013.aspx" TargetMode="External"/><Relationship Id="rId104" Type="http://schemas.openxmlformats.org/officeDocument/2006/relationships/hyperlink" Target="http://areyouok.org.nz/family-violence/statistics/" TargetMode="External"/><Relationship Id="rId120" Type="http://schemas.openxmlformats.org/officeDocument/2006/relationships/hyperlink" Target="http://www.hrc.co.nz/your-rights/people-disabilities/our-work/making-disability-rights-real/" TargetMode="External"/><Relationship Id="rId125" Type="http://schemas.openxmlformats.org/officeDocument/2006/relationships/hyperlink" Target="http://www.hrc.co.nz/files/8014/2357/0686/Making-disability-rights-real-full-report.pdf" TargetMode="External"/><Relationship Id="rId7" Type="http://schemas.openxmlformats.org/officeDocument/2006/relationships/hyperlink" Target="http://www.spinz.org.nz/file/FAQs/PDFs/mental-health-survey.pdf" TargetMode="External"/><Relationship Id="rId71" Type="http://schemas.openxmlformats.org/officeDocument/2006/relationships/hyperlink" Target="http://www.hrc.co.nz/files/6314/3130/4434/HRC_submission_to_CAT_Final.pdf" TargetMode="External"/><Relationship Id="rId92" Type="http://schemas.openxmlformats.org/officeDocument/2006/relationships/hyperlink" Target="http://www.stats.govt.nz/browse_for_stats/health/disabilities/social-economic-outcomes-13.aspx" TargetMode="External"/><Relationship Id="rId2" Type="http://schemas.openxmlformats.org/officeDocument/2006/relationships/hyperlink" Target="http://includingallpeople.org.nz/" TargetMode="External"/><Relationship Id="rId29" Type="http://schemas.openxmlformats.org/officeDocument/2006/relationships/hyperlink" Target="http://www.ihc.org.nz/" TargetMode="External"/><Relationship Id="rId24" Type="http://schemas.openxmlformats.org/officeDocument/2006/relationships/hyperlink" Target="http://www.odi.govt.nz/what-we-do/ministerial-committee-on-disability-issues/disability-action-plan/2014-2018/index.html" TargetMode="External"/><Relationship Id="rId40" Type="http://schemas.openxmlformats.org/officeDocument/2006/relationships/hyperlink" Target="http://www.health.govt.nz/our-work/disability-services/disability-projects-and-programmes/consumer-consortium" TargetMode="External"/><Relationship Id="rId45" Type="http://schemas.openxmlformats.org/officeDocument/2006/relationships/hyperlink" Target="http://www.health.govt.nz/publication/whaia-te-ao-marama-maori-disability-action-plan-disability-support-services-2012-2017" TargetMode="External"/><Relationship Id="rId66" Type="http://schemas.openxmlformats.org/officeDocument/2006/relationships/hyperlink" Target="http://www.ombudsman.parliament.nz/system/paperclip/document_files/document_files/715/original/opcat_2013_final_report.pdf?1386810238" TargetMode="External"/><Relationship Id="rId87" Type="http://schemas.openxmlformats.org/officeDocument/2006/relationships/hyperlink" Target="http://www.cph.co.nz/Files/HousingHeatingAirPHPerspective.pdf" TargetMode="External"/><Relationship Id="rId110" Type="http://schemas.openxmlformats.org/officeDocument/2006/relationships/hyperlink" Target="http://www.occ.org.nz/assets/Uploads/Reports/Child-abuse-and-neglect/Children-in-care.pdf" TargetMode="External"/><Relationship Id="rId115" Type="http://schemas.openxmlformats.org/officeDocument/2006/relationships/hyperlink" Target="http://www.spinz.org.nz/page/29-new-zealand-suicide-prevention-strategy-2006-2016" TargetMode="External"/><Relationship Id="rId131" Type="http://schemas.openxmlformats.org/officeDocument/2006/relationships/hyperlink" Target="http://nzccss.org.nz/work/poverty/" TargetMode="External"/><Relationship Id="rId61" Type="http://schemas.openxmlformats.org/officeDocument/2006/relationships/hyperlink" Target="http://www.hdc.org.nz/about-us/mental-health-and-addictions/mental-health-sector-strategy-documents" TargetMode="External"/><Relationship Id="rId82" Type="http://schemas.openxmlformats.org/officeDocument/2006/relationships/hyperlink" Target="http://www.odi.govt.nz/resources/guides-and-toolkits/disability-perspective/eliminating-access-barriers.html" TargetMode="External"/><Relationship Id="rId19" Type="http://schemas.openxmlformats.org/officeDocument/2006/relationships/hyperlink" Target="http://www.nzma.org.nz/journal/read-the-journal/all-issues/2010-2019/2014/vol-127-no.-1394/6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9130E4-9710-4FF3-A9C1-0BD7B7B490D4}"/>
</file>

<file path=customXml/itemProps2.xml><?xml version="1.0" encoding="utf-8"?>
<ds:datastoreItem xmlns:ds="http://schemas.openxmlformats.org/officeDocument/2006/customXml" ds:itemID="{FC5E771B-7C6E-4A3C-A43A-F14AD185E674}"/>
</file>

<file path=customXml/itemProps3.xml><?xml version="1.0" encoding="utf-8"?>
<ds:datastoreItem xmlns:ds="http://schemas.openxmlformats.org/officeDocument/2006/customXml" ds:itemID="{A0EDF637-ECF6-4BEB-BBF7-2FFA6FE3963E}"/>
</file>

<file path=customXml/itemProps4.xml><?xml version="1.0" encoding="utf-8"?>
<ds:datastoreItem xmlns:ds="http://schemas.openxmlformats.org/officeDocument/2006/customXml" ds:itemID="{19172CF8-1B86-49E6-89AF-7B8F207FD5D0}"/>
</file>

<file path=docProps/app.xml><?xml version="1.0" encoding="utf-8"?>
<Properties xmlns="http://schemas.openxmlformats.org/officeDocument/2006/extended-properties" xmlns:vt="http://schemas.openxmlformats.org/officeDocument/2006/docPropsVTypes">
  <Template>Normal</Template>
  <TotalTime>72</TotalTime>
  <Pages>40</Pages>
  <Words>13514</Words>
  <Characters>77030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Effie</dc:creator>
  <cp:lastModifiedBy>Rachel</cp:lastModifiedBy>
  <cp:revision>9</cp:revision>
  <cp:lastPrinted>2015-06-02T01:03:00Z</cp:lastPrinted>
  <dcterms:created xsi:type="dcterms:W3CDTF">2015-06-02T01:04:00Z</dcterms:created>
  <dcterms:modified xsi:type="dcterms:W3CDTF">2015-06-03T05:23:00Z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2886400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