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AA" w:rsidRDefault="006E3D3F">
      <w:pPr>
        <w:pStyle w:val="Body"/>
        <w:tabs>
          <w:tab w:val="left" w:pos="426"/>
          <w:tab w:val="left" w:pos="6030"/>
        </w:tabs>
        <w:jc w:val="center"/>
        <w:rPr>
          <w:rFonts w:ascii="Times New Roman Bold" w:eastAsia="Times New Roman Bold" w:hAnsi="Times New Roman Bold" w:cs="Times New Roman Bold"/>
          <w:u w:color="000000"/>
        </w:rPr>
      </w:pPr>
      <w:bookmarkStart w:id="0" w:name="_GoBack"/>
      <w:bookmarkEnd w:id="0"/>
      <w:r>
        <w:rPr>
          <w:rFonts w:ascii="Times New Roman Bold"/>
          <w:u w:val="single" w:color="000000"/>
        </w:rPr>
        <w:t>Questionnaire on</w:t>
      </w:r>
      <w:r>
        <w:rPr>
          <w:rFonts w:ascii="Times New Roman"/>
          <w:u w:val="single" w:color="000000"/>
        </w:rPr>
        <w:t xml:space="preserve"> </w:t>
      </w:r>
      <w:r>
        <w:rPr>
          <w:rFonts w:ascii="Times New Roman Bold"/>
          <w:u w:val="single" w:color="000000"/>
        </w:rPr>
        <w:t>the right of persons with disabilities to the highest attainable standard of health</w:t>
      </w:r>
    </w:p>
    <w:p w:rsidR="00B864AA" w:rsidRDefault="00B864AA">
      <w:pPr>
        <w:pStyle w:val="Body"/>
        <w:spacing w:line="276" w:lineRule="auto"/>
        <w:rPr>
          <w:rFonts w:ascii="Times New Roman Bold" w:eastAsia="Times New Roman Bold" w:hAnsi="Times New Roman Bold" w:cs="Times New Roman Bold"/>
          <w:u w:color="000000"/>
        </w:rPr>
      </w:pPr>
    </w:p>
    <w:p w:rsidR="00B864AA" w:rsidRDefault="00B864AA">
      <w:pPr>
        <w:pStyle w:val="Body"/>
        <w:spacing w:line="276" w:lineRule="auto"/>
        <w:rPr>
          <w:rFonts w:ascii="Times New Roman" w:eastAsia="Times New Roman" w:hAnsi="Times New Roman" w:cs="Times New Roman"/>
          <w:u w:color="000000"/>
        </w:rPr>
      </w:pPr>
    </w:p>
    <w:p w:rsidR="00B864AA" w:rsidRDefault="006E3D3F">
      <w:pPr>
        <w:pStyle w:val="ListParagraph"/>
        <w:numPr>
          <w:ilvl w:val="0"/>
          <w:numId w:val="3"/>
        </w:numPr>
        <w:tabs>
          <w:tab w:val="num" w:pos="720"/>
        </w:tabs>
        <w:ind w:hanging="360"/>
        <w:jc w:val="both"/>
        <w:rPr>
          <w:sz w:val="22"/>
          <w:szCs w:val="22"/>
        </w:rPr>
      </w:pPr>
      <w:r>
        <w:rPr>
          <w:sz w:val="22"/>
          <w:szCs w:val="22"/>
        </w:rPr>
        <w:t xml:space="preserve">Please provide information on existing or planned legislation and policies to ensure the realization of the right to health of persons with </w:t>
      </w:r>
      <w:r>
        <w:rPr>
          <w:sz w:val="22"/>
          <w:szCs w:val="22"/>
        </w:rPr>
        <w:t>disabilities, including current challenges and good practices.</w:t>
      </w:r>
    </w:p>
    <w:p w:rsidR="00B864AA" w:rsidRDefault="00B864AA">
      <w:pPr>
        <w:pStyle w:val="ListParagraph"/>
        <w:ind w:left="0"/>
        <w:jc w:val="both"/>
        <w:rPr>
          <w:sz w:val="22"/>
          <w:szCs w:val="22"/>
        </w:rPr>
      </w:pPr>
    </w:p>
    <w:p w:rsidR="00B864AA" w:rsidRDefault="00B864AA">
      <w:pPr>
        <w:pStyle w:val="ListParagraph"/>
        <w:ind w:left="0"/>
        <w:jc w:val="both"/>
        <w:rPr>
          <w:sz w:val="22"/>
          <w:szCs w:val="22"/>
        </w:rPr>
      </w:pPr>
    </w:p>
    <w:p w:rsidR="00B864AA" w:rsidRDefault="006E3D3F">
      <w:pPr>
        <w:pStyle w:val="ListParagraph"/>
        <w:ind w:left="0"/>
        <w:jc w:val="both"/>
        <w:rPr>
          <w:color w:val="0432FF"/>
          <w:sz w:val="22"/>
          <w:szCs w:val="22"/>
        </w:rPr>
      </w:pPr>
      <w:r>
        <w:rPr>
          <w:color w:val="0432FF"/>
          <w:sz w:val="22"/>
          <w:szCs w:val="22"/>
        </w:rPr>
        <w:t>PROPOSED</w:t>
      </w:r>
    </w:p>
    <w:p w:rsidR="00B864AA" w:rsidRDefault="00B864AA">
      <w:pPr>
        <w:pStyle w:val="ListParagraph"/>
        <w:ind w:left="0"/>
        <w:jc w:val="both"/>
        <w:rPr>
          <w:color w:val="0432FF"/>
          <w:sz w:val="22"/>
          <w:szCs w:val="22"/>
        </w:rPr>
      </w:pPr>
    </w:p>
    <w:p w:rsidR="00B864AA" w:rsidRDefault="006E3D3F">
      <w:pPr>
        <w:pStyle w:val="ListParagraph"/>
        <w:ind w:left="0"/>
        <w:jc w:val="both"/>
        <w:rPr>
          <w:color w:val="0432FF"/>
          <w:sz w:val="22"/>
          <w:szCs w:val="22"/>
        </w:rPr>
      </w:pPr>
      <w:r>
        <w:rPr>
          <w:color w:val="0432FF"/>
          <w:sz w:val="22"/>
          <w:szCs w:val="22"/>
        </w:rPr>
        <w:t>There are currently three major proposed legislation relating to the realization of the right to health of persons with disabilities on:</w:t>
      </w:r>
    </w:p>
    <w:p w:rsidR="00B864AA" w:rsidRDefault="00B864AA">
      <w:pPr>
        <w:pStyle w:val="ListParagraph"/>
        <w:ind w:left="0"/>
        <w:jc w:val="both"/>
        <w:rPr>
          <w:color w:val="0432FF"/>
          <w:sz w:val="22"/>
          <w:szCs w:val="22"/>
        </w:rPr>
      </w:pPr>
    </w:p>
    <w:p w:rsidR="00B864AA" w:rsidRDefault="006E3D3F">
      <w:pPr>
        <w:pStyle w:val="ListParagraph"/>
        <w:numPr>
          <w:ilvl w:val="1"/>
          <w:numId w:val="6"/>
        </w:numPr>
        <w:jc w:val="both"/>
        <w:rPr>
          <w:color w:val="0432FF"/>
          <w:position w:val="-2"/>
          <w:sz w:val="22"/>
          <w:szCs w:val="22"/>
        </w:rPr>
      </w:pPr>
      <w:r>
        <w:rPr>
          <w:color w:val="0432FF"/>
          <w:sz w:val="22"/>
          <w:szCs w:val="22"/>
        </w:rPr>
        <w:t>Mental Health (approved by both Upper and L</w:t>
      </w:r>
      <w:r>
        <w:rPr>
          <w:color w:val="0432FF"/>
          <w:sz w:val="22"/>
          <w:szCs w:val="22"/>
        </w:rPr>
        <w:t>ower Houses of Congress, awaiting a bicameral consolidation to be signed by the President to be enacted into law);</w:t>
      </w:r>
    </w:p>
    <w:p w:rsidR="00B864AA" w:rsidRDefault="006E3D3F">
      <w:pPr>
        <w:pStyle w:val="ListParagraph"/>
        <w:numPr>
          <w:ilvl w:val="1"/>
          <w:numId w:val="7"/>
        </w:numPr>
        <w:jc w:val="both"/>
        <w:rPr>
          <w:color w:val="0432FF"/>
          <w:position w:val="-2"/>
          <w:sz w:val="22"/>
          <w:szCs w:val="22"/>
        </w:rPr>
      </w:pPr>
      <w:r>
        <w:rPr>
          <w:color w:val="0432FF"/>
          <w:sz w:val="22"/>
          <w:szCs w:val="22"/>
        </w:rPr>
        <w:t>Universal Health Coverage (currently under deliberations by the Upper House of Congress, having been preliminarily approved by the Lower Hous</w:t>
      </w:r>
      <w:r>
        <w:rPr>
          <w:color w:val="0432FF"/>
          <w:sz w:val="22"/>
          <w:szCs w:val="22"/>
        </w:rPr>
        <w:t>e); and</w:t>
      </w:r>
    </w:p>
    <w:p w:rsidR="00B864AA" w:rsidRDefault="006E3D3F">
      <w:pPr>
        <w:pStyle w:val="ListParagraph"/>
        <w:numPr>
          <w:ilvl w:val="1"/>
          <w:numId w:val="8"/>
        </w:numPr>
        <w:jc w:val="both"/>
        <w:rPr>
          <w:color w:val="0432FF"/>
          <w:position w:val="-2"/>
          <w:sz w:val="22"/>
          <w:szCs w:val="22"/>
        </w:rPr>
      </w:pPr>
      <w:r>
        <w:rPr>
          <w:color w:val="0432FF"/>
          <w:sz w:val="22"/>
          <w:szCs w:val="22"/>
        </w:rPr>
        <w:t>Comprehensive Cancer Control (approved by the Lower House of Congress, and under deliberations by the Upper House)</w:t>
      </w:r>
    </w:p>
    <w:p w:rsidR="00B864AA" w:rsidRDefault="00B864AA">
      <w:pPr>
        <w:pStyle w:val="ListParagraph"/>
        <w:ind w:left="0"/>
        <w:jc w:val="both"/>
        <w:rPr>
          <w:color w:val="0432FF"/>
          <w:sz w:val="22"/>
          <w:szCs w:val="22"/>
        </w:rPr>
      </w:pPr>
    </w:p>
    <w:p w:rsidR="00B864AA" w:rsidRDefault="006E3D3F">
      <w:pPr>
        <w:pStyle w:val="ListParagraph"/>
        <w:ind w:left="0"/>
        <w:jc w:val="both"/>
        <w:rPr>
          <w:color w:val="0432FF"/>
          <w:sz w:val="22"/>
          <w:szCs w:val="22"/>
        </w:rPr>
      </w:pPr>
      <w:r>
        <w:rPr>
          <w:color w:val="0432FF"/>
          <w:sz w:val="22"/>
          <w:szCs w:val="22"/>
        </w:rPr>
        <w:t xml:space="preserve">The first two are listed as high priority by the current government, while the third is an initiative of civil society </w:t>
      </w:r>
      <w:r>
        <w:rPr>
          <w:sz w:val="22"/>
          <w:szCs w:val="22"/>
        </w:rPr>
        <w:t>(see attached</w:t>
      </w:r>
      <w:r>
        <w:rPr>
          <w:sz w:val="22"/>
          <w:szCs w:val="22"/>
        </w:rPr>
        <w:t xml:space="preserve"> versions)</w:t>
      </w:r>
      <w:r>
        <w:rPr>
          <w:color w:val="0432FF"/>
          <w:sz w:val="22"/>
          <w:szCs w:val="22"/>
        </w:rPr>
        <w:t>.</w:t>
      </w:r>
    </w:p>
    <w:p w:rsidR="00B864AA" w:rsidRDefault="00B864AA">
      <w:pPr>
        <w:pStyle w:val="ListParagraph"/>
        <w:ind w:left="0"/>
        <w:jc w:val="both"/>
        <w:rPr>
          <w:color w:val="0432FF"/>
          <w:sz w:val="22"/>
          <w:szCs w:val="22"/>
        </w:rPr>
      </w:pPr>
    </w:p>
    <w:p w:rsidR="00B864AA" w:rsidRDefault="006E3D3F">
      <w:pPr>
        <w:pStyle w:val="ListParagraph"/>
        <w:ind w:left="0"/>
        <w:jc w:val="both"/>
        <w:rPr>
          <w:color w:val="0432FF"/>
          <w:sz w:val="22"/>
          <w:szCs w:val="22"/>
        </w:rPr>
      </w:pPr>
      <w:r>
        <w:rPr>
          <w:color w:val="0432FF"/>
          <w:sz w:val="22"/>
          <w:szCs w:val="22"/>
        </w:rPr>
        <w:t xml:space="preserve">In addition, a </w:t>
      </w:r>
      <w:proofErr w:type="spellStart"/>
      <w:r>
        <w:rPr>
          <w:color w:val="0432FF"/>
          <w:sz w:val="22"/>
          <w:szCs w:val="22"/>
        </w:rPr>
        <w:t>multisectoral</w:t>
      </w:r>
      <w:proofErr w:type="spellEnd"/>
      <w:r>
        <w:rPr>
          <w:color w:val="0432FF"/>
          <w:sz w:val="22"/>
          <w:szCs w:val="22"/>
        </w:rPr>
        <w:t xml:space="preserve"> CSO alliance (of which this Coalition is a member</w:t>
      </w:r>
      <w:proofErr w:type="gramStart"/>
      <w:r>
        <w:rPr>
          <w:color w:val="0432FF"/>
          <w:sz w:val="22"/>
          <w:szCs w:val="22"/>
        </w:rPr>
        <w:t>)  has</w:t>
      </w:r>
      <w:proofErr w:type="gramEnd"/>
      <w:r>
        <w:rPr>
          <w:color w:val="0432FF"/>
          <w:sz w:val="22"/>
          <w:szCs w:val="22"/>
        </w:rPr>
        <w:t xml:space="preserve"> proposed comprehensive Anti-Discrimination legislation which includes protection against infliction of harm on health and wellbeing </w:t>
      </w:r>
      <w:r>
        <w:rPr>
          <w:sz w:val="22"/>
          <w:szCs w:val="22"/>
        </w:rPr>
        <w:t xml:space="preserve"> (see attached version)</w:t>
      </w:r>
      <w:r>
        <w:rPr>
          <w:color w:val="0432FF"/>
          <w:sz w:val="22"/>
          <w:szCs w:val="22"/>
        </w:rPr>
        <w:t>.</w:t>
      </w:r>
    </w:p>
    <w:p w:rsidR="00B864AA" w:rsidRDefault="00B864AA">
      <w:pPr>
        <w:pStyle w:val="ListParagraph"/>
        <w:ind w:left="0"/>
        <w:jc w:val="both"/>
        <w:rPr>
          <w:color w:val="0432FF"/>
          <w:sz w:val="22"/>
          <w:szCs w:val="22"/>
        </w:rPr>
      </w:pPr>
    </w:p>
    <w:p w:rsidR="00B864AA" w:rsidRDefault="00B864AA">
      <w:pPr>
        <w:pStyle w:val="ListParagraph"/>
        <w:ind w:left="0"/>
        <w:jc w:val="both"/>
        <w:rPr>
          <w:color w:val="0432FF"/>
          <w:sz w:val="22"/>
          <w:szCs w:val="22"/>
        </w:rPr>
      </w:pPr>
    </w:p>
    <w:p w:rsidR="00B864AA" w:rsidRDefault="006E3D3F">
      <w:pPr>
        <w:pStyle w:val="ListParagraph"/>
        <w:ind w:left="0"/>
        <w:jc w:val="both"/>
        <w:rPr>
          <w:color w:val="0432FF"/>
          <w:sz w:val="22"/>
          <w:szCs w:val="22"/>
        </w:rPr>
      </w:pPr>
      <w:r>
        <w:rPr>
          <w:color w:val="0432FF"/>
          <w:sz w:val="22"/>
          <w:szCs w:val="22"/>
        </w:rPr>
        <w:t>EXISTING</w:t>
      </w:r>
    </w:p>
    <w:p w:rsidR="00B864AA" w:rsidRDefault="00B864AA">
      <w:pPr>
        <w:pStyle w:val="ListParagraph"/>
        <w:ind w:left="0"/>
        <w:jc w:val="both"/>
        <w:rPr>
          <w:b/>
          <w:bCs/>
          <w:color w:val="0432FF"/>
          <w:sz w:val="22"/>
          <w:szCs w:val="22"/>
          <w:u w:val="single"/>
        </w:rPr>
      </w:pPr>
    </w:p>
    <w:p w:rsidR="00B864AA" w:rsidRDefault="006E3D3F">
      <w:pPr>
        <w:pStyle w:val="ListParagraph"/>
        <w:numPr>
          <w:ilvl w:val="0"/>
          <w:numId w:val="11"/>
        </w:numPr>
        <w:tabs>
          <w:tab w:val="num" w:pos="393"/>
        </w:tabs>
        <w:ind w:left="393" w:hanging="393"/>
        <w:jc w:val="both"/>
        <w:rPr>
          <w:color w:val="0432FF"/>
          <w:sz w:val="22"/>
          <w:szCs w:val="22"/>
        </w:rPr>
      </w:pPr>
      <w:r>
        <w:rPr>
          <w:color w:val="0432FF"/>
          <w:sz w:val="22"/>
          <w:szCs w:val="22"/>
        </w:rPr>
        <w:t xml:space="preserve"> On mental health</w:t>
      </w:r>
    </w:p>
    <w:p w:rsidR="00B864AA" w:rsidRDefault="00B864AA">
      <w:pPr>
        <w:pStyle w:val="ListParagraph"/>
        <w:ind w:left="0"/>
        <w:jc w:val="both"/>
        <w:rPr>
          <w:color w:val="0432FF"/>
          <w:sz w:val="22"/>
          <w:szCs w:val="22"/>
        </w:rPr>
      </w:pPr>
    </w:p>
    <w:p w:rsidR="00B864AA" w:rsidRDefault="006E3D3F">
      <w:pPr>
        <w:pStyle w:val="ListParagraph"/>
        <w:ind w:left="0"/>
        <w:jc w:val="both"/>
        <w:rPr>
          <w:color w:val="0432FF"/>
          <w:sz w:val="22"/>
          <w:szCs w:val="22"/>
        </w:rPr>
      </w:pPr>
      <w:r>
        <w:rPr>
          <w:color w:val="0432FF"/>
          <w:sz w:val="22"/>
          <w:szCs w:val="22"/>
        </w:rPr>
        <w:t>Department of Health administrative policy</w:t>
      </w:r>
    </w:p>
    <w:p w:rsidR="00B864AA" w:rsidRDefault="00B864AA">
      <w:pPr>
        <w:pStyle w:val="ListParagraph"/>
        <w:ind w:left="0"/>
        <w:jc w:val="both"/>
        <w:rPr>
          <w:color w:val="0432FF"/>
          <w:sz w:val="22"/>
          <w:szCs w:val="22"/>
        </w:rPr>
      </w:pPr>
    </w:p>
    <w:p w:rsidR="00B864AA" w:rsidRDefault="006E3D3F">
      <w:pPr>
        <w:pStyle w:val="BodyA"/>
        <w:ind w:left="360"/>
        <w:jc w:val="both"/>
        <w:rPr>
          <w:rFonts w:ascii="Times New Roman" w:eastAsia="Times New Roman" w:hAnsi="Times New Roman" w:cs="Times New Roman"/>
          <w:color w:val="0432FF"/>
        </w:rPr>
      </w:pPr>
      <w:r>
        <w:rPr>
          <w:rFonts w:ascii="Times New Roman"/>
          <w:color w:val="0432FF"/>
        </w:rPr>
        <w:t xml:space="preserve">2016 </w:t>
      </w:r>
      <w:r>
        <w:rPr>
          <w:rFonts w:hAnsi="Times New Roman"/>
          <w:color w:val="0432FF"/>
        </w:rPr>
        <w:t>“</w:t>
      </w:r>
      <w:r>
        <w:rPr>
          <w:rFonts w:ascii="Times New Roman"/>
          <w:color w:val="0432FF"/>
        </w:rPr>
        <w:t>Revised Operational Framework for a Comprehensive National Mental Health Program</w:t>
      </w:r>
      <w:r>
        <w:rPr>
          <w:rFonts w:hAnsi="Times New Roman"/>
          <w:color w:val="0432FF"/>
        </w:rPr>
        <w:t>”</w:t>
      </w:r>
      <w:r>
        <w:rPr>
          <w:rFonts w:ascii="Times New Roman"/>
          <w:color w:val="0432FF"/>
        </w:rPr>
        <w:t xml:space="preserve">.  Department of Health Administrative Order Series 2016 No. </w:t>
      </w:r>
      <w:proofErr w:type="gramStart"/>
      <w:r>
        <w:rPr>
          <w:rFonts w:ascii="Times New Roman"/>
          <w:color w:val="0432FF"/>
        </w:rPr>
        <w:t>0039  (</w:t>
      </w:r>
      <w:proofErr w:type="gramEnd"/>
      <w:r>
        <w:rPr>
          <w:rFonts w:ascii="Times New Roman"/>
          <w:color w:val="0432FF"/>
        </w:rPr>
        <w:t>see attached version)</w:t>
      </w:r>
    </w:p>
    <w:p w:rsidR="00B864AA" w:rsidRDefault="00B864AA">
      <w:pPr>
        <w:pStyle w:val="ListParagraph"/>
        <w:ind w:left="0"/>
        <w:jc w:val="both"/>
        <w:rPr>
          <w:color w:val="0432FF"/>
          <w:sz w:val="22"/>
          <w:szCs w:val="22"/>
        </w:rPr>
      </w:pPr>
    </w:p>
    <w:p w:rsidR="00B864AA" w:rsidRDefault="006E3D3F">
      <w:pPr>
        <w:pStyle w:val="ListParagraph"/>
        <w:numPr>
          <w:ilvl w:val="0"/>
          <w:numId w:val="11"/>
        </w:numPr>
        <w:tabs>
          <w:tab w:val="num" w:pos="393"/>
        </w:tabs>
        <w:ind w:left="393" w:hanging="393"/>
        <w:jc w:val="both"/>
        <w:rPr>
          <w:color w:val="0432FF"/>
          <w:sz w:val="22"/>
          <w:szCs w:val="22"/>
        </w:rPr>
      </w:pPr>
      <w:r>
        <w:rPr>
          <w:color w:val="0432FF"/>
          <w:sz w:val="22"/>
          <w:szCs w:val="22"/>
        </w:rPr>
        <w:t>Philippine Health Insurance  Corp. coverage relevant to disability</w:t>
      </w:r>
    </w:p>
    <w:p w:rsidR="00B864AA" w:rsidRDefault="00B864AA">
      <w:pPr>
        <w:pStyle w:val="ListParagraph"/>
        <w:ind w:left="0"/>
        <w:jc w:val="both"/>
        <w:rPr>
          <w:color w:val="0432FF"/>
          <w:sz w:val="22"/>
          <w:szCs w:val="22"/>
        </w:rPr>
      </w:pPr>
    </w:p>
    <w:p w:rsidR="00B864AA" w:rsidRDefault="006E3D3F">
      <w:pPr>
        <w:pStyle w:val="Default"/>
        <w:rPr>
          <w:rFonts w:ascii="Times New Roman" w:eastAsia="Times New Roman" w:hAnsi="Times New Roman" w:cs="Times New Roman"/>
          <w:color w:val="0432FF"/>
        </w:rPr>
      </w:pPr>
      <w:r>
        <w:rPr>
          <w:rFonts w:ascii="Times New Roman"/>
          <w:color w:val="0432FF"/>
        </w:rPr>
        <w:t xml:space="preserve">Z Benefits for Mobility, </w:t>
      </w:r>
      <w:proofErr w:type="spellStart"/>
      <w:r>
        <w:rPr>
          <w:rFonts w:ascii="Times New Roman"/>
          <w:color w:val="0432FF"/>
        </w:rPr>
        <w:t>Orthosis</w:t>
      </w:r>
      <w:proofErr w:type="spellEnd"/>
      <w:r>
        <w:rPr>
          <w:rFonts w:ascii="Times New Roman"/>
          <w:color w:val="0432FF"/>
        </w:rPr>
        <w:t>, Rehabilitation, Prosthesis</w:t>
      </w:r>
    </w:p>
    <w:p w:rsidR="00B864AA" w:rsidRDefault="006E3D3F">
      <w:pPr>
        <w:pStyle w:val="ListParagraph"/>
        <w:ind w:left="0"/>
        <w:jc w:val="both"/>
        <w:rPr>
          <w:color w:val="0432FF"/>
          <w:sz w:val="22"/>
          <w:szCs w:val="22"/>
        </w:rPr>
      </w:pPr>
      <w:hyperlink r:id="rId7" w:history="1">
        <w:r>
          <w:rPr>
            <w:rStyle w:val="Hyperlink0"/>
            <w:color w:val="0432FF"/>
            <w:sz w:val="22"/>
            <w:szCs w:val="22"/>
          </w:rPr>
          <w:t>https://www.philhealth.gov.ph/news/2016/prosth</w:t>
        </w:r>
        <w:r>
          <w:rPr>
            <w:rStyle w:val="Hyperlink0"/>
            <w:color w:val="0432FF"/>
            <w:sz w:val="22"/>
            <w:szCs w:val="22"/>
          </w:rPr>
          <w:t>esis_package.html</w:t>
        </w:r>
      </w:hyperlink>
    </w:p>
    <w:p w:rsidR="00B864AA" w:rsidRDefault="00B864AA">
      <w:pPr>
        <w:pStyle w:val="ListParagraph"/>
        <w:ind w:left="0"/>
        <w:jc w:val="both"/>
        <w:rPr>
          <w:color w:val="0432FF"/>
          <w:sz w:val="22"/>
          <w:szCs w:val="22"/>
        </w:rPr>
      </w:pPr>
    </w:p>
    <w:p w:rsidR="00B864AA" w:rsidRDefault="006E3D3F">
      <w:pPr>
        <w:pStyle w:val="Default"/>
        <w:rPr>
          <w:rFonts w:ascii="Times New Roman" w:eastAsia="Times New Roman" w:hAnsi="Times New Roman" w:cs="Times New Roman"/>
          <w:color w:val="0432FF"/>
        </w:rPr>
      </w:pPr>
      <w:r>
        <w:rPr>
          <w:rFonts w:ascii="Times New Roman"/>
          <w:color w:val="0432FF"/>
        </w:rPr>
        <w:t>Z Benefit Package for Children with Developmental Disabilities</w:t>
      </w:r>
    </w:p>
    <w:p w:rsidR="00B864AA" w:rsidRDefault="006E3D3F">
      <w:pPr>
        <w:pStyle w:val="Default"/>
        <w:rPr>
          <w:rFonts w:ascii="Times New Roman" w:eastAsia="Times New Roman" w:hAnsi="Times New Roman" w:cs="Times New Roman"/>
          <w:color w:val="0432FF"/>
        </w:rPr>
      </w:pPr>
      <w:hyperlink r:id="rId8" w:history="1">
        <w:r>
          <w:rPr>
            <w:rStyle w:val="Hyperlink0"/>
            <w:rFonts w:ascii="Times New Roman"/>
            <w:color w:val="0432FF"/>
          </w:rPr>
          <w:t>https://www.philhealth.gov.ph/news/2018/zben_cdd.html</w:t>
        </w:r>
      </w:hyperlink>
    </w:p>
    <w:p w:rsidR="00B864AA" w:rsidRDefault="00B864AA">
      <w:pPr>
        <w:pStyle w:val="Default"/>
        <w:rPr>
          <w:rFonts w:ascii="Arial" w:eastAsia="Arial" w:hAnsi="Arial" w:cs="Arial"/>
          <w:b/>
          <w:bCs/>
          <w:color w:val="007D64"/>
        </w:rPr>
      </w:pPr>
    </w:p>
    <w:p w:rsidR="00B864AA" w:rsidRDefault="00B864AA">
      <w:pPr>
        <w:pStyle w:val="Default"/>
        <w:rPr>
          <w:rFonts w:ascii="Arial" w:eastAsia="Arial" w:hAnsi="Arial" w:cs="Arial"/>
          <w:b/>
          <w:bCs/>
          <w:color w:val="007D64"/>
        </w:rPr>
      </w:pPr>
    </w:p>
    <w:p w:rsidR="00B864AA" w:rsidRDefault="006E3D3F">
      <w:pPr>
        <w:pStyle w:val="ListParagraph"/>
        <w:numPr>
          <w:ilvl w:val="0"/>
          <w:numId w:val="11"/>
        </w:numPr>
        <w:tabs>
          <w:tab w:val="num" w:pos="393"/>
        </w:tabs>
        <w:ind w:left="393" w:hanging="393"/>
        <w:jc w:val="both"/>
        <w:rPr>
          <w:color w:val="0432FF"/>
          <w:sz w:val="22"/>
          <w:szCs w:val="22"/>
        </w:rPr>
      </w:pPr>
      <w:r>
        <w:rPr>
          <w:color w:val="0432FF"/>
          <w:sz w:val="22"/>
          <w:szCs w:val="22"/>
        </w:rPr>
        <w:t>On cancer control</w:t>
      </w:r>
    </w:p>
    <w:p w:rsidR="00B864AA" w:rsidRDefault="00B864AA">
      <w:pPr>
        <w:pStyle w:val="ListParagraph"/>
        <w:ind w:left="0"/>
        <w:jc w:val="both"/>
        <w:rPr>
          <w:color w:val="0432FF"/>
          <w:sz w:val="22"/>
          <w:szCs w:val="22"/>
        </w:rPr>
      </w:pPr>
    </w:p>
    <w:p w:rsidR="00B864AA" w:rsidRDefault="006E3D3F">
      <w:pPr>
        <w:pStyle w:val="ListParagraph"/>
        <w:ind w:left="0"/>
        <w:jc w:val="both"/>
        <w:rPr>
          <w:color w:val="0432FF"/>
          <w:sz w:val="22"/>
          <w:szCs w:val="22"/>
        </w:rPr>
      </w:pPr>
      <w:r>
        <w:rPr>
          <w:color w:val="0432FF"/>
          <w:sz w:val="22"/>
          <w:szCs w:val="22"/>
        </w:rPr>
        <w:t>Department of Health statemen</w:t>
      </w:r>
      <w:r>
        <w:rPr>
          <w:color w:val="0432FF"/>
          <w:sz w:val="22"/>
          <w:szCs w:val="22"/>
        </w:rPr>
        <w:t>t (see attached)</w:t>
      </w:r>
    </w:p>
    <w:p w:rsidR="00B864AA" w:rsidRDefault="006E3D3F">
      <w:pPr>
        <w:pStyle w:val="ListParagraph"/>
        <w:ind w:left="0"/>
        <w:jc w:val="both"/>
        <w:rPr>
          <w:color w:val="0432FF"/>
          <w:sz w:val="22"/>
          <w:szCs w:val="22"/>
        </w:rPr>
      </w:pPr>
      <w:r>
        <w:rPr>
          <w:color w:val="0432FF"/>
          <w:sz w:val="22"/>
          <w:szCs w:val="22"/>
        </w:rPr>
        <w:tab/>
        <w:t>Chronic conditions: Cancer-related; Chronic kidney disease</w:t>
      </w:r>
    </w:p>
    <w:p w:rsidR="00B864AA" w:rsidRDefault="00B864AA">
      <w:pPr>
        <w:pStyle w:val="ListParagraph"/>
        <w:ind w:left="0"/>
        <w:jc w:val="both"/>
        <w:rPr>
          <w:sz w:val="22"/>
          <w:szCs w:val="22"/>
        </w:rPr>
      </w:pPr>
    </w:p>
    <w:p w:rsidR="00B864AA" w:rsidRDefault="00B864AA">
      <w:pPr>
        <w:pStyle w:val="ListParagraph"/>
        <w:ind w:left="0"/>
        <w:jc w:val="both"/>
        <w:rPr>
          <w:sz w:val="22"/>
          <w:szCs w:val="22"/>
        </w:rPr>
      </w:pPr>
    </w:p>
    <w:p w:rsidR="00B864AA" w:rsidRDefault="00B864AA">
      <w:pPr>
        <w:pStyle w:val="ListParagraph"/>
        <w:ind w:left="0"/>
        <w:jc w:val="both"/>
        <w:rPr>
          <w:sz w:val="22"/>
          <w:szCs w:val="22"/>
        </w:rPr>
      </w:pPr>
    </w:p>
    <w:p w:rsidR="00B864AA" w:rsidRDefault="00B864AA">
      <w:pPr>
        <w:pStyle w:val="ListParagraph"/>
        <w:jc w:val="both"/>
        <w:rPr>
          <w:sz w:val="22"/>
          <w:szCs w:val="22"/>
        </w:rPr>
      </w:pPr>
    </w:p>
    <w:p w:rsidR="00B864AA" w:rsidRDefault="006E3D3F">
      <w:pPr>
        <w:pStyle w:val="ListParagraph"/>
        <w:numPr>
          <w:ilvl w:val="0"/>
          <w:numId w:val="3"/>
        </w:numPr>
        <w:tabs>
          <w:tab w:val="num" w:pos="720"/>
        </w:tabs>
        <w:ind w:hanging="360"/>
        <w:jc w:val="both"/>
        <w:rPr>
          <w:sz w:val="22"/>
          <w:szCs w:val="22"/>
        </w:rPr>
      </w:pPr>
      <w:r>
        <w:rPr>
          <w:kern w:val="2"/>
          <w:sz w:val="22"/>
          <w:szCs w:val="22"/>
        </w:rPr>
        <w:t xml:space="preserve">Please provide any information and statistical data (including surveys, censuses, administrative data, literature, reports, and studies) related to the exercise of the right </w:t>
      </w:r>
      <w:r>
        <w:rPr>
          <w:kern w:val="2"/>
          <w:sz w:val="22"/>
          <w:szCs w:val="22"/>
        </w:rPr>
        <w:t>to health of persons with disabilities in general, as well as with particular focus in the following areas:</w:t>
      </w:r>
    </w:p>
    <w:p w:rsidR="00B864AA" w:rsidRDefault="00B864AA">
      <w:pPr>
        <w:pStyle w:val="Body"/>
        <w:jc w:val="both"/>
        <w:rPr>
          <w:rFonts w:ascii="Times New Roman" w:eastAsia="Times New Roman" w:hAnsi="Times New Roman" w:cs="Times New Roman"/>
          <w:kern w:val="2"/>
          <w:u w:color="000000"/>
        </w:rPr>
      </w:pPr>
    </w:p>
    <w:p w:rsidR="00B864AA" w:rsidRDefault="006E3D3F">
      <w:pPr>
        <w:pStyle w:val="ListParagraph"/>
        <w:numPr>
          <w:ilvl w:val="0"/>
          <w:numId w:val="14"/>
        </w:numPr>
        <w:tabs>
          <w:tab w:val="num" w:pos="1080"/>
        </w:tabs>
        <w:ind w:left="1080" w:hanging="360"/>
        <w:rPr>
          <w:sz w:val="22"/>
          <w:szCs w:val="22"/>
        </w:rPr>
      </w:pPr>
      <w:r>
        <w:rPr>
          <w:sz w:val="22"/>
          <w:szCs w:val="22"/>
        </w:rPr>
        <w:t xml:space="preserve">Availability of barrier-free general healthcare services and </w:t>
      </w:r>
      <w:proofErr w:type="spellStart"/>
      <w:r>
        <w:rPr>
          <w:sz w:val="22"/>
          <w:szCs w:val="22"/>
        </w:rPr>
        <w:t>programmes</w:t>
      </w:r>
      <w:proofErr w:type="spellEnd"/>
      <w:r>
        <w:rPr>
          <w:sz w:val="22"/>
          <w:szCs w:val="22"/>
        </w:rPr>
        <w:t>, which take into account all accessibility aspects for persons with disabil</w:t>
      </w:r>
      <w:r>
        <w:rPr>
          <w:sz w:val="22"/>
          <w:szCs w:val="22"/>
        </w:rPr>
        <w:t>ities;</w:t>
      </w:r>
    </w:p>
    <w:p w:rsidR="00B864AA" w:rsidRDefault="006E3D3F">
      <w:pPr>
        <w:pStyle w:val="ListParagraph"/>
        <w:numPr>
          <w:ilvl w:val="0"/>
          <w:numId w:val="15"/>
        </w:numPr>
        <w:tabs>
          <w:tab w:val="num" w:pos="1080"/>
        </w:tabs>
        <w:ind w:left="1080" w:hanging="360"/>
        <w:jc w:val="both"/>
        <w:rPr>
          <w:sz w:val="22"/>
          <w:szCs w:val="22"/>
        </w:rPr>
      </w:pPr>
      <w:r>
        <w:rPr>
          <w:kern w:val="2"/>
          <w:sz w:val="22"/>
          <w:szCs w:val="22"/>
        </w:rPr>
        <w:t xml:space="preserve">access to free or affordable general healthcare services and </w:t>
      </w:r>
      <w:proofErr w:type="spellStart"/>
      <w:r>
        <w:rPr>
          <w:kern w:val="2"/>
          <w:sz w:val="22"/>
          <w:szCs w:val="22"/>
        </w:rPr>
        <w:t>programmes</w:t>
      </w:r>
      <w:proofErr w:type="spellEnd"/>
      <w:r>
        <w:rPr>
          <w:kern w:val="2"/>
          <w:sz w:val="22"/>
          <w:szCs w:val="22"/>
        </w:rPr>
        <w:t xml:space="preserve">, including mental health </w:t>
      </w:r>
      <w:r>
        <w:rPr>
          <w:sz w:val="22"/>
          <w:szCs w:val="22"/>
        </w:rPr>
        <w:t>services, services related to HIV/AIDS</w:t>
      </w:r>
      <w:r>
        <w:rPr>
          <w:kern w:val="2"/>
          <w:sz w:val="22"/>
          <w:szCs w:val="22"/>
        </w:rPr>
        <w:t xml:space="preserve"> and universal health coverage;</w:t>
      </w:r>
    </w:p>
    <w:p w:rsidR="00B864AA" w:rsidRDefault="006E3D3F">
      <w:pPr>
        <w:pStyle w:val="ListParagraph"/>
        <w:numPr>
          <w:ilvl w:val="0"/>
          <w:numId w:val="16"/>
        </w:numPr>
        <w:jc w:val="both"/>
        <w:rPr>
          <w:sz w:val="22"/>
          <w:szCs w:val="22"/>
        </w:rPr>
      </w:pPr>
      <w:r>
        <w:rPr>
          <w:sz w:val="22"/>
          <w:szCs w:val="22"/>
        </w:rPr>
        <w:t xml:space="preserve">access to free or affordable disability-specific </w:t>
      </w:r>
      <w:r>
        <w:rPr>
          <w:kern w:val="2"/>
          <w:sz w:val="22"/>
          <w:szCs w:val="22"/>
        </w:rPr>
        <w:t xml:space="preserve">healthcare services and </w:t>
      </w:r>
      <w:proofErr w:type="spellStart"/>
      <w:r>
        <w:rPr>
          <w:kern w:val="2"/>
          <w:sz w:val="22"/>
          <w:szCs w:val="22"/>
        </w:rPr>
        <w:t>programmes</w:t>
      </w:r>
      <w:proofErr w:type="spellEnd"/>
      <w:r>
        <w:rPr>
          <w:kern w:val="2"/>
          <w:sz w:val="22"/>
          <w:szCs w:val="22"/>
        </w:rPr>
        <w:t>; and</w:t>
      </w:r>
    </w:p>
    <w:p w:rsidR="00B864AA" w:rsidRDefault="006E3D3F">
      <w:pPr>
        <w:pStyle w:val="ListParagraph"/>
        <w:numPr>
          <w:ilvl w:val="0"/>
          <w:numId w:val="17"/>
        </w:numPr>
        <w:jc w:val="both"/>
        <w:rPr>
          <w:sz w:val="22"/>
          <w:szCs w:val="22"/>
        </w:rPr>
      </w:pPr>
      <w:proofErr w:type="gramStart"/>
      <w:r>
        <w:rPr>
          <w:sz w:val="22"/>
          <w:szCs w:val="22"/>
        </w:rPr>
        <w:t>access</w:t>
      </w:r>
      <w:proofErr w:type="gramEnd"/>
      <w:r>
        <w:rPr>
          <w:sz w:val="22"/>
          <w:szCs w:val="22"/>
        </w:rPr>
        <w:t xml:space="preserve"> to free or affordable health-related habilitation and rehabilitation goods and services, including </w:t>
      </w:r>
      <w:r>
        <w:rPr>
          <w:kern w:val="2"/>
          <w:sz w:val="22"/>
          <w:szCs w:val="22"/>
        </w:rPr>
        <w:t>early identification and intervention.</w:t>
      </w:r>
    </w:p>
    <w:p w:rsidR="00B864AA" w:rsidRDefault="00B864AA">
      <w:pPr>
        <w:pStyle w:val="Body"/>
        <w:jc w:val="both"/>
        <w:rPr>
          <w:rFonts w:ascii="Times New Roman" w:eastAsia="Times New Roman" w:hAnsi="Times New Roman" w:cs="Times New Roman"/>
          <w:u w:color="000000"/>
        </w:rPr>
      </w:pPr>
    </w:p>
    <w:p w:rsidR="00B864AA" w:rsidRDefault="006E3D3F">
      <w:pPr>
        <w:pStyle w:val="ListParagraph"/>
        <w:ind w:left="0"/>
        <w:jc w:val="both"/>
        <w:rPr>
          <w:color w:val="0432FF"/>
          <w:sz w:val="22"/>
          <w:szCs w:val="22"/>
        </w:rPr>
      </w:pPr>
      <w:r>
        <w:rPr>
          <w:color w:val="0432FF"/>
          <w:sz w:val="22"/>
          <w:szCs w:val="22"/>
        </w:rPr>
        <w:t>No systematic/ comprehensive data at national level, specific for persons with disabilities (b</w:t>
      </w:r>
      <w:r>
        <w:rPr>
          <w:color w:val="0432FF"/>
          <w:sz w:val="22"/>
          <w:szCs w:val="22"/>
        </w:rPr>
        <w:t xml:space="preserve">ut see attached </w:t>
      </w:r>
      <w:proofErr w:type="spellStart"/>
      <w:proofErr w:type="gramStart"/>
      <w:r>
        <w:rPr>
          <w:color w:val="0432FF"/>
          <w:sz w:val="22"/>
          <w:szCs w:val="22"/>
        </w:rPr>
        <w:t>powerpoint</w:t>
      </w:r>
      <w:proofErr w:type="spellEnd"/>
      <w:proofErr w:type="gramEnd"/>
      <w:r>
        <w:rPr>
          <w:color w:val="0432FF"/>
          <w:sz w:val="22"/>
          <w:szCs w:val="22"/>
        </w:rPr>
        <w:t xml:space="preserve"> presentation for context of healthcare for Filipinos in general).</w:t>
      </w:r>
    </w:p>
    <w:p w:rsidR="00B864AA" w:rsidRDefault="00B864AA">
      <w:pPr>
        <w:pStyle w:val="ListParagraph"/>
        <w:ind w:left="0"/>
        <w:jc w:val="both"/>
        <w:rPr>
          <w:color w:val="0432FF"/>
          <w:sz w:val="22"/>
          <w:szCs w:val="22"/>
        </w:rPr>
      </w:pPr>
    </w:p>
    <w:p w:rsidR="00B864AA" w:rsidRDefault="006E3D3F">
      <w:pPr>
        <w:pStyle w:val="Body"/>
        <w:tabs>
          <w:tab w:val="left" w:pos="1024"/>
          <w:tab w:val="left" w:pos="1703"/>
          <w:tab w:val="left" w:pos="2327"/>
          <w:tab w:val="left" w:pos="6693"/>
          <w:tab w:val="left" w:pos="7259"/>
        </w:tabs>
        <w:spacing w:line="240" w:lineRule="atLeast"/>
        <w:rPr>
          <w:rFonts w:ascii="Times New Roman" w:eastAsia="Times New Roman" w:hAnsi="Times New Roman" w:cs="Times New Roman"/>
          <w:color w:val="0432FF"/>
          <w:u w:color="000000"/>
        </w:rPr>
      </w:pPr>
      <w:r>
        <w:rPr>
          <w:rFonts w:ascii="Times New Roman"/>
          <w:color w:val="0432FF"/>
          <w:u w:color="000000"/>
        </w:rPr>
        <w:t>Excerpt from:</w:t>
      </w:r>
    </w:p>
    <w:p w:rsidR="00B864AA" w:rsidRDefault="00B864AA">
      <w:pPr>
        <w:pStyle w:val="Body"/>
        <w:tabs>
          <w:tab w:val="left" w:pos="1024"/>
          <w:tab w:val="left" w:pos="1703"/>
          <w:tab w:val="left" w:pos="2327"/>
          <w:tab w:val="left" w:pos="6693"/>
          <w:tab w:val="left" w:pos="7259"/>
        </w:tabs>
        <w:spacing w:line="240" w:lineRule="atLeast"/>
        <w:rPr>
          <w:rFonts w:ascii="Times New Roman" w:eastAsia="Times New Roman" w:hAnsi="Times New Roman" w:cs="Times New Roman"/>
          <w:color w:val="0432FF"/>
          <w:u w:color="000000"/>
        </w:rPr>
      </w:pPr>
    </w:p>
    <w:p w:rsidR="00B864AA" w:rsidRDefault="006E3D3F">
      <w:pPr>
        <w:pStyle w:val="Heading4"/>
        <w:numPr>
          <w:ilvl w:val="0"/>
          <w:numId w:val="19"/>
        </w:numPr>
        <w:tabs>
          <w:tab w:val="num" w:pos="360"/>
        </w:tabs>
        <w:ind w:left="360" w:hanging="360"/>
        <w:rPr>
          <w:color w:val="0432FF"/>
          <w:sz w:val="22"/>
          <w:szCs w:val="22"/>
        </w:rPr>
      </w:pPr>
      <w:r>
        <w:rPr>
          <w:color w:val="0432FF"/>
          <w:sz w:val="22"/>
          <w:szCs w:val="22"/>
        </w:rPr>
        <w:t xml:space="preserve">  </w:t>
      </w:r>
      <w:proofErr w:type="gramStart"/>
      <w:r>
        <w:rPr>
          <w:color w:val="0432FF"/>
          <w:sz w:val="22"/>
          <w:szCs w:val="22"/>
        </w:rPr>
        <w:t>this</w:t>
      </w:r>
      <w:proofErr w:type="gramEnd"/>
      <w:r>
        <w:rPr>
          <w:color w:val="0432FF"/>
          <w:sz w:val="22"/>
          <w:szCs w:val="22"/>
        </w:rPr>
        <w:t xml:space="preserve"> Coalition</w:t>
      </w:r>
      <w:r>
        <w:rPr>
          <w:rFonts w:hAnsi="Times New Roman Bold"/>
          <w:color w:val="0432FF"/>
          <w:sz w:val="22"/>
          <w:szCs w:val="22"/>
        </w:rPr>
        <w:t>’</w:t>
      </w:r>
      <w:r>
        <w:rPr>
          <w:color w:val="0432FF"/>
          <w:sz w:val="22"/>
          <w:szCs w:val="22"/>
        </w:rPr>
        <w:t>s 2013 Parallel Report</w:t>
      </w:r>
    </w:p>
    <w:p w:rsidR="00B864AA" w:rsidRDefault="00B864AA">
      <w:pPr>
        <w:pStyle w:val="Heading4"/>
      </w:pPr>
    </w:p>
    <w:p w:rsidR="00B864AA" w:rsidRDefault="00B864AA">
      <w:pPr>
        <w:pStyle w:val="Heading4"/>
      </w:pPr>
    </w:p>
    <w:p w:rsidR="00B864AA" w:rsidRDefault="006E3D3F">
      <w:pPr>
        <w:pStyle w:val="Heading4"/>
        <w:ind w:left="655"/>
        <w:rPr>
          <w:color w:val="0432FF"/>
        </w:rPr>
      </w:pPr>
      <w:r>
        <w:rPr>
          <w:color w:val="0432FF"/>
        </w:rPr>
        <w:t>ARTICLE 25</w:t>
      </w: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Bold"/>
          <w:color w:val="0432FF"/>
          <w:sz w:val="20"/>
          <w:szCs w:val="20"/>
          <w:u w:color="000000"/>
        </w:rPr>
        <w:t>Health</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i/>
          <w:iCs/>
          <w:color w:val="0432FF"/>
          <w:sz w:val="20"/>
          <w:szCs w:val="20"/>
          <w:u w:color="000000"/>
        </w:rPr>
        <w:t>Legislation</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t xml:space="preserve">205   Health based laws like the Newborn Screening Act (R.A. 9288) </w:t>
      </w:r>
      <w:r>
        <w:rPr>
          <w:rFonts w:ascii="Times New Roman"/>
          <w:color w:val="0432FF"/>
          <w:sz w:val="20"/>
          <w:szCs w:val="20"/>
          <w:u w:color="000000"/>
        </w:rPr>
        <w:t xml:space="preserve">address the need for early and timely intervention to those who may have various impairments (1, 2). However, it presents these </w:t>
      </w:r>
      <w:proofErr w:type="spellStart"/>
      <w:r>
        <w:rPr>
          <w:rFonts w:ascii="Times New Roman"/>
          <w:color w:val="0432FF"/>
          <w:sz w:val="20"/>
          <w:szCs w:val="20"/>
          <w:u w:color="000000"/>
        </w:rPr>
        <w:t>longterm</w:t>
      </w:r>
      <w:proofErr w:type="spellEnd"/>
      <w:r>
        <w:rPr>
          <w:rFonts w:ascii="Times New Roman"/>
          <w:color w:val="0432FF"/>
          <w:sz w:val="20"/>
          <w:szCs w:val="20"/>
          <w:u w:color="000000"/>
        </w:rPr>
        <w:t xml:space="preserve"> conditions in such a negative light as to perpetuate a stigma of disability.  The perspective on health by the Magna </w:t>
      </w:r>
      <w:proofErr w:type="spellStart"/>
      <w:r>
        <w:rPr>
          <w:rFonts w:ascii="Times New Roman"/>
          <w:color w:val="0432FF"/>
          <w:sz w:val="20"/>
          <w:szCs w:val="20"/>
          <w:u w:color="000000"/>
        </w:rPr>
        <w:t>Ca</w:t>
      </w:r>
      <w:r>
        <w:rPr>
          <w:rFonts w:ascii="Times New Roman"/>
          <w:color w:val="0432FF"/>
          <w:sz w:val="20"/>
          <w:szCs w:val="20"/>
          <w:u w:color="000000"/>
        </w:rPr>
        <w:t>rta</w:t>
      </w:r>
      <w:proofErr w:type="spellEnd"/>
      <w:r>
        <w:rPr>
          <w:rFonts w:ascii="Times New Roman"/>
          <w:color w:val="0432FF"/>
          <w:sz w:val="20"/>
          <w:szCs w:val="20"/>
          <w:u w:color="000000"/>
        </w:rPr>
        <w:t xml:space="preserve"> for persons with disabilities (R.A. 7277, 9442) is also strongly premised on primary prevention.  This contrasts with the Convention which discusses prevention only in the context of further disabilities, including children and older persons with disab</w:t>
      </w:r>
      <w:r>
        <w:rPr>
          <w:rFonts w:ascii="Times New Roman"/>
          <w:color w:val="0432FF"/>
          <w:sz w:val="20"/>
          <w:szCs w:val="20"/>
          <w:u w:color="000000"/>
        </w:rPr>
        <w:t>ilities.</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i/>
          <w:iCs/>
          <w:color w:val="0432FF"/>
          <w:sz w:val="20"/>
          <w:szCs w:val="20"/>
          <w:u w:color="000000"/>
        </w:rPr>
        <w:t>Health care insurance</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t xml:space="preserve">206   There is no universal health care insurance program that addresses the health needs of persons with disabilities.  There are families with persons with disabilities who are able to receive free </w:t>
      </w:r>
      <w:proofErr w:type="spellStart"/>
      <w:r>
        <w:rPr>
          <w:rFonts w:ascii="Times New Roman"/>
          <w:color w:val="0432FF"/>
          <w:sz w:val="20"/>
          <w:szCs w:val="20"/>
          <w:u w:color="000000"/>
        </w:rPr>
        <w:t>PhilHealth</w:t>
      </w:r>
      <w:proofErr w:type="spellEnd"/>
      <w:r>
        <w:rPr>
          <w:rFonts w:ascii="Times New Roman"/>
          <w:color w:val="0432FF"/>
          <w:sz w:val="20"/>
          <w:szCs w:val="20"/>
          <w:u w:color="000000"/>
        </w:rPr>
        <w:t xml:space="preserve"> insurance ca</w:t>
      </w:r>
      <w:r>
        <w:rPr>
          <w:rFonts w:ascii="Times New Roman"/>
          <w:color w:val="0432FF"/>
          <w:sz w:val="20"/>
          <w:szCs w:val="20"/>
          <w:u w:color="000000"/>
        </w:rPr>
        <w:t>rds through the Conditional Cash Transfer program.  However, these do not systematically or exhaustively include all persons with disabilities because disability is not included as a variable for targeting in this poverty reduction program (3).</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t>207   Insu</w:t>
      </w:r>
      <w:r>
        <w:rPr>
          <w:rFonts w:ascii="Times New Roman"/>
          <w:color w:val="0432FF"/>
          <w:sz w:val="20"/>
          <w:szCs w:val="20"/>
          <w:u w:color="000000"/>
        </w:rPr>
        <w:t>rance on health is typically limited only to working persons with disabilities or employees who acquire their disability while employed in their work places.</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t>208   Though there are recent provisions by the Philippine Health Insurance Corporation (Case Typ</w:t>
      </w:r>
      <w:r>
        <w:rPr>
          <w:rFonts w:ascii="Times New Roman"/>
          <w:color w:val="0432FF"/>
          <w:sz w:val="20"/>
          <w:szCs w:val="20"/>
          <w:u w:color="000000"/>
        </w:rPr>
        <w:t>e Z Benefit Packages) for chronic illnesses, these are limited only to certain forms of cancers, or for kidney transplants (4).</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lastRenderedPageBreak/>
        <w:t>209   There are reports from experiences of persons with disabilities that the government Insurance Commission views persons wi</w:t>
      </w:r>
      <w:r>
        <w:rPr>
          <w:rFonts w:ascii="Times New Roman"/>
          <w:color w:val="0432FF"/>
          <w:sz w:val="20"/>
          <w:szCs w:val="20"/>
          <w:u w:color="000000"/>
        </w:rPr>
        <w:t>th disabilities as high risk, so are not able to qualify for insurance coverage.</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i/>
          <w:iCs/>
          <w:color w:val="0432FF"/>
          <w:sz w:val="20"/>
          <w:szCs w:val="20"/>
          <w:u w:color="000000"/>
        </w:rPr>
        <w:t>Services and facilities</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t>210   There is no National Health Program for persons with disabilities as provided for since 1992 by Sec. 18 of R.A. 7277.  There has not been syste</w:t>
      </w:r>
      <w:r>
        <w:rPr>
          <w:rFonts w:ascii="Times New Roman"/>
          <w:color w:val="0432FF"/>
          <w:sz w:val="20"/>
          <w:szCs w:val="20"/>
          <w:u w:color="000000"/>
        </w:rPr>
        <w:t>matic creation and monitoring of rehabilitation centers in government provincial hospitals throughout the country as intended in Sec. 25.b (5).</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t>211   It remains a great concern to the Coalition that rehabilitation services in hospitals are still not at pa</w:t>
      </w:r>
      <w:r>
        <w:rPr>
          <w:rFonts w:ascii="Times New Roman"/>
          <w:color w:val="0432FF"/>
          <w:sz w:val="20"/>
          <w:szCs w:val="20"/>
          <w:u w:color="000000"/>
        </w:rPr>
        <w:t xml:space="preserve">r with the </w:t>
      </w: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proofErr w:type="gramStart"/>
      <w:r>
        <w:rPr>
          <w:rFonts w:ascii="Times New Roman"/>
          <w:color w:val="0432FF"/>
          <w:sz w:val="20"/>
          <w:szCs w:val="20"/>
          <w:u w:color="000000"/>
        </w:rPr>
        <w:t>required</w:t>
      </w:r>
      <w:proofErr w:type="gramEnd"/>
      <w:r>
        <w:rPr>
          <w:rFonts w:ascii="Times New Roman"/>
          <w:color w:val="0432FF"/>
          <w:sz w:val="20"/>
          <w:szCs w:val="20"/>
          <w:u w:color="000000"/>
        </w:rPr>
        <w:t xml:space="preserve"> and needs in accordance with human rights standards.</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t>212   There are no systematized government services or programs for palliative and hospice / end of life care, particularly for elderly persons with disabilities, or those with chro</w:t>
      </w:r>
      <w:r>
        <w:rPr>
          <w:rFonts w:ascii="Times New Roman"/>
          <w:color w:val="0432FF"/>
          <w:sz w:val="20"/>
          <w:szCs w:val="20"/>
          <w:u w:color="000000"/>
        </w:rPr>
        <w:t>nic illnesses, including children with disabilities.  Currently only privately run and faith-based or nonprofit organizations offer these services.</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t>213   Accessibility of the built-in environment, communication requirements and materials is extremely want</w:t>
      </w:r>
      <w:r>
        <w:rPr>
          <w:rFonts w:ascii="Times New Roman"/>
          <w:color w:val="0432FF"/>
          <w:sz w:val="20"/>
          <w:szCs w:val="20"/>
          <w:u w:color="000000"/>
        </w:rPr>
        <w:t>ing in national, regional and local health facilities. Persons with disabilities need appropriate support and assistance whether they are being treated on an in-patient or out-patient basis.  Very often, a person with disability would have to be treated as</w:t>
      </w:r>
      <w:r>
        <w:rPr>
          <w:rFonts w:ascii="Times New Roman"/>
          <w:color w:val="0432FF"/>
          <w:sz w:val="20"/>
          <w:szCs w:val="20"/>
          <w:u w:color="000000"/>
        </w:rPr>
        <w:t xml:space="preserve"> an outpatient due to the </w:t>
      </w:r>
      <w:proofErr w:type="spellStart"/>
      <w:r>
        <w:rPr>
          <w:rFonts w:ascii="Times New Roman"/>
          <w:color w:val="0432FF"/>
          <w:sz w:val="20"/>
          <w:szCs w:val="20"/>
          <w:u w:color="000000"/>
        </w:rPr>
        <w:t>non accessibility</w:t>
      </w:r>
      <w:proofErr w:type="spellEnd"/>
      <w:r>
        <w:rPr>
          <w:rFonts w:ascii="Times New Roman"/>
          <w:color w:val="0432FF"/>
          <w:sz w:val="20"/>
          <w:szCs w:val="20"/>
          <w:u w:color="000000"/>
        </w:rPr>
        <w:t xml:space="preserve"> of the hospitals, clinics and health centers.</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i/>
          <w:iCs/>
          <w:color w:val="0432FF"/>
          <w:sz w:val="20"/>
          <w:szCs w:val="20"/>
          <w:u w:color="000000"/>
        </w:rPr>
        <w:t>Awareness raising</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color w:val="0432FF"/>
          <w:sz w:val="20"/>
          <w:szCs w:val="20"/>
          <w:u w:color="000000"/>
        </w:rPr>
        <w:t xml:space="preserve">214   Medical practitioners are purely focused on the medical aspect in dealing with persons with disabilities and do not receive any systematic </w:t>
      </w:r>
      <w:r>
        <w:rPr>
          <w:rFonts w:ascii="Times New Roman"/>
          <w:color w:val="0432FF"/>
          <w:sz w:val="20"/>
          <w:szCs w:val="20"/>
          <w:u w:color="000000"/>
        </w:rPr>
        <w:t>public training on human rights, dignity and autonomy of persons with disabilities in relation to their health needs.</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color w:val="0432FF"/>
          <w:sz w:val="20"/>
          <w:szCs w:val="20"/>
          <w:u w:color="000000"/>
        </w:rPr>
      </w:pPr>
      <w:r>
        <w:rPr>
          <w:rFonts w:ascii="Times New Roman"/>
          <w:i/>
          <w:iCs/>
          <w:color w:val="0432FF"/>
          <w:sz w:val="20"/>
          <w:szCs w:val="20"/>
          <w:u w:color="000000"/>
        </w:rPr>
        <w:t>Budget allocation</w:t>
      </w:r>
    </w:p>
    <w:p w:rsidR="00B864AA" w:rsidRDefault="00B864AA">
      <w:pPr>
        <w:pStyle w:val="Body"/>
        <w:widowControl w:val="0"/>
        <w:suppressAutoHyphens/>
        <w:ind w:left="1309"/>
        <w:rPr>
          <w:rFonts w:ascii="Times New Roman" w:eastAsia="Times New Roman" w:hAnsi="Times New Roman" w:cs="Times New Roman"/>
          <w:color w:val="0432FF"/>
          <w:sz w:val="20"/>
          <w:szCs w:val="20"/>
          <w:u w:color="000000"/>
        </w:rPr>
      </w:pPr>
    </w:p>
    <w:p w:rsidR="00B864AA" w:rsidRDefault="006E3D3F">
      <w:pPr>
        <w:pStyle w:val="Body"/>
        <w:widowControl w:val="0"/>
        <w:suppressAutoHyphens/>
        <w:ind w:left="1571"/>
        <w:rPr>
          <w:rFonts w:ascii="Times New Roman" w:eastAsia="Times New Roman" w:hAnsi="Times New Roman" w:cs="Times New Roman"/>
          <w:sz w:val="20"/>
          <w:szCs w:val="20"/>
          <w:u w:color="000000"/>
        </w:rPr>
      </w:pPr>
      <w:r>
        <w:rPr>
          <w:rFonts w:ascii="Times New Roman"/>
          <w:color w:val="0432FF"/>
          <w:sz w:val="20"/>
          <w:szCs w:val="20"/>
          <w:u w:color="000000"/>
        </w:rPr>
        <w:t>215   The National Center for Mental Health administration bewails the very low prioritization for budget allocation o</w:t>
      </w:r>
      <w:r>
        <w:rPr>
          <w:rFonts w:ascii="Times New Roman"/>
          <w:color w:val="0432FF"/>
          <w:sz w:val="20"/>
          <w:szCs w:val="20"/>
          <w:u w:color="000000"/>
        </w:rPr>
        <w:t>f its facilities compared to other national hospitals.  They attribute this as related to the stigma towards persons with psychosocial disabilities which is reflected even in Department of Health spending.</w:t>
      </w:r>
    </w:p>
    <w:p w:rsidR="00B864AA" w:rsidRDefault="00B864AA">
      <w:pPr>
        <w:pStyle w:val="Body"/>
        <w:widowControl w:val="0"/>
        <w:suppressAutoHyphens/>
        <w:rPr>
          <w:rFonts w:ascii="Times New Roman" w:eastAsia="Times New Roman" w:hAnsi="Times New Roman" w:cs="Times New Roman"/>
          <w:sz w:val="20"/>
          <w:szCs w:val="20"/>
          <w:u w:color="000000"/>
        </w:rPr>
      </w:pPr>
    </w:p>
    <w:p w:rsidR="00B864AA" w:rsidRDefault="00B864AA">
      <w:pPr>
        <w:pStyle w:val="Body"/>
        <w:widowControl w:val="0"/>
        <w:suppressAutoHyphens/>
        <w:rPr>
          <w:rFonts w:ascii="Times New Roman" w:eastAsia="Times New Roman" w:hAnsi="Times New Roman" w:cs="Times New Roman"/>
          <w:sz w:val="20"/>
          <w:szCs w:val="20"/>
          <w:u w:color="000000"/>
        </w:rPr>
      </w:pPr>
    </w:p>
    <w:p w:rsidR="00B864AA" w:rsidRDefault="00B864AA">
      <w:pPr>
        <w:pStyle w:val="Body"/>
        <w:widowControl w:val="0"/>
        <w:suppressAutoHyphens/>
        <w:rPr>
          <w:rFonts w:ascii="Times New Roman" w:eastAsia="Times New Roman" w:hAnsi="Times New Roman" w:cs="Times New Roman"/>
          <w:sz w:val="20"/>
          <w:szCs w:val="20"/>
          <w:u w:color="000000"/>
        </w:rPr>
      </w:pPr>
    </w:p>
    <w:p w:rsidR="00B864AA" w:rsidRDefault="006E3D3F">
      <w:pPr>
        <w:pStyle w:val="Body"/>
        <w:tabs>
          <w:tab w:val="left" w:pos="1024"/>
          <w:tab w:val="left" w:pos="1703"/>
          <w:tab w:val="left" w:pos="2327"/>
          <w:tab w:val="left" w:pos="6693"/>
          <w:tab w:val="left" w:pos="7259"/>
        </w:tabs>
        <w:spacing w:line="240" w:lineRule="atLeast"/>
        <w:rPr>
          <w:rFonts w:ascii="Times New Roman" w:eastAsia="Times New Roman" w:hAnsi="Times New Roman" w:cs="Times New Roman"/>
          <w:color w:val="0432FF"/>
          <w:u w:color="000000"/>
        </w:rPr>
      </w:pPr>
      <w:r>
        <w:rPr>
          <w:rFonts w:ascii="Times New Roman"/>
          <w:color w:val="0432FF"/>
          <w:u w:color="000000"/>
        </w:rPr>
        <w:t>B.   this Coalition</w:t>
      </w:r>
      <w:r>
        <w:rPr>
          <w:rFonts w:hAnsi="Times New Roman"/>
          <w:color w:val="0432FF"/>
          <w:u w:color="000000"/>
        </w:rPr>
        <w:t>’</w:t>
      </w:r>
      <w:r>
        <w:rPr>
          <w:rFonts w:ascii="Times New Roman"/>
          <w:color w:val="0432FF"/>
          <w:u w:color="000000"/>
        </w:rPr>
        <w:t>s List of Issues submission</w:t>
      </w:r>
      <w:r>
        <w:rPr>
          <w:rFonts w:ascii="Times New Roman"/>
          <w:color w:val="0432FF"/>
          <w:u w:color="000000"/>
        </w:rPr>
        <w:t xml:space="preserve"> March 2018 (INT_CRPD_ICO_PHL_30163_E):</w:t>
      </w:r>
    </w:p>
    <w:p w:rsidR="00B864AA" w:rsidRDefault="00B864AA">
      <w:pPr>
        <w:pStyle w:val="BodyA"/>
        <w:ind w:left="360"/>
        <w:jc w:val="both"/>
      </w:pPr>
    </w:p>
    <w:p w:rsidR="00B864AA" w:rsidRDefault="006E3D3F">
      <w:pPr>
        <w:pStyle w:val="BodyA"/>
        <w:ind w:left="360"/>
        <w:jc w:val="both"/>
        <w:rPr>
          <w:rFonts w:ascii="Times New Roman Bold" w:eastAsia="Times New Roman Bold" w:hAnsi="Times New Roman Bold" w:cs="Times New Roman Bold"/>
          <w:color w:val="0432FF"/>
        </w:rPr>
      </w:pPr>
      <w:r>
        <w:rPr>
          <w:rFonts w:ascii="Times New Roman Bold"/>
          <w:color w:val="0432FF"/>
        </w:rPr>
        <w:t>Health (art. 25)</w:t>
      </w:r>
    </w:p>
    <w:p w:rsidR="00B864AA" w:rsidRDefault="00B864AA">
      <w:pPr>
        <w:pStyle w:val="BodyA"/>
        <w:ind w:left="360"/>
        <w:jc w:val="both"/>
        <w:rPr>
          <w:color w:val="0432FF"/>
        </w:rPr>
      </w:pPr>
    </w:p>
    <w:p w:rsidR="00B864AA" w:rsidRDefault="006E3D3F">
      <w:pPr>
        <w:pStyle w:val="BodyA"/>
        <w:ind w:left="360"/>
        <w:jc w:val="both"/>
        <w:rPr>
          <w:rFonts w:ascii="Times New Roman" w:eastAsia="Times New Roman" w:hAnsi="Times New Roman" w:cs="Times New Roman"/>
          <w:color w:val="0432FF"/>
          <w:sz w:val="20"/>
          <w:szCs w:val="20"/>
        </w:rPr>
      </w:pPr>
      <w:r>
        <w:rPr>
          <w:rFonts w:ascii="Times New Roman"/>
          <w:color w:val="0432FF"/>
          <w:sz w:val="20"/>
          <w:szCs w:val="20"/>
        </w:rPr>
        <w:t>Information materials, including HIV/AIDS, and sexual and reproductive health are typically not available in accessible formats (if at all), with no reported progress on this until now.</w:t>
      </w:r>
    </w:p>
    <w:p w:rsidR="00B864AA" w:rsidRDefault="00B864AA">
      <w:pPr>
        <w:pStyle w:val="BodyA"/>
        <w:ind w:left="360"/>
        <w:jc w:val="both"/>
        <w:rPr>
          <w:rFonts w:ascii="Times New Roman" w:eastAsia="Times New Roman" w:hAnsi="Times New Roman" w:cs="Times New Roman"/>
          <w:color w:val="0432FF"/>
          <w:sz w:val="20"/>
          <w:szCs w:val="20"/>
        </w:rPr>
      </w:pPr>
    </w:p>
    <w:p w:rsidR="00B864AA" w:rsidRDefault="006E3D3F">
      <w:pPr>
        <w:pStyle w:val="BodyA"/>
        <w:ind w:left="360"/>
        <w:jc w:val="both"/>
        <w:rPr>
          <w:rFonts w:ascii="Times New Roman Bold" w:eastAsia="Times New Roman Bold" w:hAnsi="Times New Roman Bold" w:cs="Times New Roman Bold"/>
          <w:color w:val="0432FF"/>
          <w:sz w:val="20"/>
          <w:szCs w:val="20"/>
        </w:rPr>
      </w:pPr>
      <w:r>
        <w:rPr>
          <w:rFonts w:ascii="Times New Roman"/>
          <w:color w:val="0432FF"/>
          <w:sz w:val="20"/>
          <w:szCs w:val="20"/>
        </w:rPr>
        <w:t xml:space="preserve">Publicly available information making possible estimations by this Coalition only for a single year reveal only 0.04 % of the national budget spent for persons with disabilities through the Department of Health </w:t>
      </w:r>
      <w:r>
        <w:rPr>
          <w:rFonts w:ascii="Times New Roman Bold"/>
          <w:color w:val="0432FF"/>
          <w:sz w:val="20"/>
          <w:szCs w:val="20"/>
        </w:rPr>
        <w:t>[16].</w:t>
      </w:r>
    </w:p>
    <w:p w:rsidR="00B864AA" w:rsidRDefault="00B864AA">
      <w:pPr>
        <w:pStyle w:val="BodyA"/>
        <w:ind w:left="360"/>
        <w:jc w:val="both"/>
        <w:rPr>
          <w:color w:val="0432FF"/>
        </w:rPr>
      </w:pPr>
    </w:p>
    <w:p w:rsidR="00B864AA" w:rsidRDefault="00B864AA">
      <w:pPr>
        <w:pStyle w:val="Body"/>
        <w:jc w:val="both"/>
        <w:rPr>
          <w:rFonts w:ascii="Times New Roman" w:eastAsia="Times New Roman" w:hAnsi="Times New Roman" w:cs="Times New Roman"/>
          <w:u w:color="000000"/>
        </w:rPr>
      </w:pPr>
    </w:p>
    <w:p w:rsidR="00B864AA" w:rsidRDefault="006E3D3F">
      <w:pPr>
        <w:pStyle w:val="ListParagraph"/>
        <w:numPr>
          <w:ilvl w:val="0"/>
          <w:numId w:val="3"/>
        </w:numPr>
        <w:tabs>
          <w:tab w:val="num" w:pos="720"/>
        </w:tabs>
        <w:ind w:hanging="360"/>
        <w:jc w:val="both"/>
        <w:rPr>
          <w:sz w:val="22"/>
          <w:szCs w:val="22"/>
        </w:rPr>
      </w:pPr>
      <w:r>
        <w:rPr>
          <w:sz w:val="22"/>
          <w:szCs w:val="22"/>
        </w:rPr>
        <w:t>Please provide information on discrim</w:t>
      </w:r>
      <w:r>
        <w:rPr>
          <w:sz w:val="22"/>
          <w:szCs w:val="22"/>
        </w:rPr>
        <w:t>ination against persons with disabilities in the provision of healthcare, health insurance and/or life insurance by public or private service providers.</w:t>
      </w:r>
    </w:p>
    <w:p w:rsidR="00B864AA" w:rsidRDefault="00B864AA">
      <w:pPr>
        <w:pStyle w:val="ListParagraph"/>
        <w:ind w:left="0"/>
        <w:jc w:val="both"/>
        <w:rPr>
          <w:sz w:val="22"/>
          <w:szCs w:val="22"/>
        </w:rPr>
      </w:pPr>
    </w:p>
    <w:p w:rsidR="00B864AA" w:rsidRDefault="006E3D3F">
      <w:pPr>
        <w:pStyle w:val="ListParagraph"/>
        <w:ind w:left="0"/>
        <w:jc w:val="both"/>
        <w:rPr>
          <w:color w:val="0432FF"/>
          <w:sz w:val="22"/>
          <w:szCs w:val="22"/>
        </w:rPr>
      </w:pPr>
      <w:r>
        <w:rPr>
          <w:color w:val="0432FF"/>
          <w:sz w:val="22"/>
          <w:szCs w:val="22"/>
        </w:rPr>
        <w:lastRenderedPageBreak/>
        <w:t>In the preparation by this Coalition of its CRPD Parallel Report, it reports that f</w:t>
      </w:r>
      <w:r>
        <w:rPr>
          <w:color w:val="0432FF"/>
          <w:sz w:val="22"/>
          <w:szCs w:val="22"/>
        </w:rPr>
        <w:t xml:space="preserve">rom 2008 to </w:t>
      </w:r>
      <w:proofErr w:type="spellStart"/>
      <w:r>
        <w:rPr>
          <w:color w:val="0432FF"/>
          <w:sz w:val="22"/>
          <w:szCs w:val="22"/>
        </w:rPr>
        <w:t>mid 2012</w:t>
      </w:r>
      <w:proofErr w:type="spellEnd"/>
      <w:r>
        <w:rPr>
          <w:color w:val="0432FF"/>
          <w:sz w:val="22"/>
          <w:szCs w:val="22"/>
        </w:rPr>
        <w:t>, of the 126 cases involving persons with disabilities which have reached the Supreme Court, labor disputes relating to disability benefits, and psychological incapacity as basis for the nullification of marriages - rank 2nd and 3rd, vi</w:t>
      </w:r>
      <w:r>
        <w:rPr>
          <w:color w:val="0432FF"/>
          <w:sz w:val="22"/>
          <w:szCs w:val="22"/>
        </w:rPr>
        <w:t>olence of women / girls with disabilities accounting for 73% of all complaints (primarily rape).</w:t>
      </w:r>
    </w:p>
    <w:p w:rsidR="00B864AA" w:rsidRDefault="00B864AA">
      <w:pPr>
        <w:pStyle w:val="ListParagraph"/>
        <w:ind w:left="0"/>
        <w:jc w:val="both"/>
        <w:rPr>
          <w:color w:val="0432FF"/>
          <w:sz w:val="22"/>
          <w:szCs w:val="22"/>
        </w:rPr>
      </w:pPr>
    </w:p>
    <w:p w:rsidR="00B864AA" w:rsidRDefault="00B864AA">
      <w:pPr>
        <w:pStyle w:val="ListParagraph"/>
        <w:jc w:val="both"/>
        <w:rPr>
          <w:sz w:val="22"/>
          <w:szCs w:val="22"/>
        </w:rPr>
      </w:pPr>
    </w:p>
    <w:p w:rsidR="00B864AA" w:rsidRDefault="006E3D3F">
      <w:pPr>
        <w:pStyle w:val="ListParagraph"/>
        <w:numPr>
          <w:ilvl w:val="0"/>
          <w:numId w:val="3"/>
        </w:numPr>
        <w:tabs>
          <w:tab w:val="num" w:pos="720"/>
        </w:tabs>
        <w:ind w:hanging="360"/>
        <w:jc w:val="both"/>
        <w:rPr>
          <w:sz w:val="22"/>
          <w:szCs w:val="22"/>
        </w:rPr>
      </w:pPr>
      <w:r>
        <w:rPr>
          <w:sz w:val="22"/>
          <w:szCs w:val="22"/>
        </w:rPr>
        <w:t>Please provide information on the observance of the right to free and informed consent of persons with disabilities regarding healthcare, including sexual an</w:t>
      </w:r>
      <w:r>
        <w:rPr>
          <w:sz w:val="22"/>
          <w:szCs w:val="22"/>
        </w:rPr>
        <w:t>d reproductive health and mental health services.</w:t>
      </w:r>
    </w:p>
    <w:p w:rsidR="00B864AA" w:rsidRDefault="00B864AA">
      <w:pPr>
        <w:pStyle w:val="ListParagraph"/>
        <w:ind w:left="0"/>
        <w:jc w:val="both"/>
        <w:rPr>
          <w:sz w:val="22"/>
          <w:szCs w:val="22"/>
        </w:rPr>
      </w:pPr>
    </w:p>
    <w:p w:rsidR="00B864AA" w:rsidRDefault="006E3D3F">
      <w:pPr>
        <w:pStyle w:val="ListParagraph"/>
        <w:ind w:left="0"/>
        <w:jc w:val="both"/>
        <w:rPr>
          <w:color w:val="0432FF"/>
          <w:sz w:val="22"/>
          <w:szCs w:val="22"/>
        </w:rPr>
      </w:pPr>
      <w:r>
        <w:rPr>
          <w:color w:val="0432FF"/>
          <w:sz w:val="22"/>
          <w:szCs w:val="22"/>
        </w:rPr>
        <w:t xml:space="preserve">Ongoing approved versions of mental health proposed legislation (see attached versions of bills from Senate and House of Representatives) include the following sections, despite strong resistance from our </w:t>
      </w:r>
      <w:r>
        <w:rPr>
          <w:color w:val="0432FF"/>
          <w:sz w:val="22"/>
          <w:szCs w:val="22"/>
        </w:rPr>
        <w:t>DPOs and Coalition:</w:t>
      </w:r>
    </w:p>
    <w:p w:rsidR="00B864AA" w:rsidRDefault="00B864AA">
      <w:pPr>
        <w:pStyle w:val="ListParagraph"/>
        <w:ind w:left="0"/>
        <w:jc w:val="both"/>
        <w:rPr>
          <w:color w:val="0432FF"/>
          <w:sz w:val="22"/>
          <w:szCs w:val="22"/>
        </w:rPr>
      </w:pPr>
    </w:p>
    <w:p w:rsidR="00B864AA" w:rsidRDefault="006E3D3F">
      <w:pPr>
        <w:pStyle w:val="BodyA"/>
        <w:ind w:left="360"/>
        <w:jc w:val="both"/>
        <w:rPr>
          <w:rFonts w:ascii="Times New Roman" w:eastAsia="Times New Roman" w:hAnsi="Times New Roman" w:cs="Times New Roman"/>
          <w:color w:val="0432FF"/>
        </w:rPr>
      </w:pPr>
      <w:r>
        <w:rPr>
          <w:color w:val="0432FF"/>
        </w:rPr>
        <w:t>A</w:t>
      </w:r>
      <w:r>
        <w:rPr>
          <w:rFonts w:ascii="Times New Roman"/>
          <w:color w:val="0432FF"/>
        </w:rPr>
        <w:t>pproved sections on:</w:t>
      </w:r>
    </w:p>
    <w:p w:rsidR="00B864AA" w:rsidRDefault="006E3D3F">
      <w:pPr>
        <w:pStyle w:val="BodyA"/>
        <w:numPr>
          <w:ilvl w:val="1"/>
          <w:numId w:val="20"/>
        </w:numPr>
        <w:tabs>
          <w:tab w:val="num" w:pos="720"/>
        </w:tabs>
        <w:ind w:left="720" w:hanging="180"/>
        <w:jc w:val="both"/>
        <w:rPr>
          <w:rFonts w:ascii="Times New Roman" w:eastAsia="Times New Roman" w:hAnsi="Times New Roman" w:cs="Times New Roman"/>
          <w:color w:val="0432FF"/>
          <w:position w:val="-2"/>
        </w:rPr>
      </w:pPr>
      <w:r>
        <w:rPr>
          <w:rFonts w:hAnsi="Times New Roman"/>
          <w:color w:val="0432FF"/>
        </w:rPr>
        <w:t>“</w:t>
      </w:r>
      <w:r>
        <w:rPr>
          <w:rFonts w:ascii="Times New Roman"/>
          <w:color w:val="0432FF"/>
        </w:rPr>
        <w:t>impairment or loss of legal capacity</w:t>
      </w:r>
      <w:r>
        <w:rPr>
          <w:rFonts w:hAnsi="Times New Roman"/>
          <w:color w:val="0432FF"/>
        </w:rPr>
        <w:t>”</w:t>
      </w:r>
      <w:r>
        <w:rPr>
          <w:rFonts w:ascii="Times New Roman"/>
          <w:color w:val="0432FF"/>
        </w:rPr>
        <w:t>; functional tests  for these</w:t>
      </w:r>
    </w:p>
    <w:p w:rsidR="00B864AA" w:rsidRDefault="006E3D3F">
      <w:pPr>
        <w:pStyle w:val="BodyA"/>
        <w:numPr>
          <w:ilvl w:val="1"/>
          <w:numId w:val="21"/>
        </w:numPr>
        <w:tabs>
          <w:tab w:val="num" w:pos="720"/>
        </w:tabs>
        <w:ind w:left="720" w:hanging="180"/>
        <w:jc w:val="both"/>
        <w:rPr>
          <w:rFonts w:ascii="Times New Roman" w:eastAsia="Times New Roman" w:hAnsi="Times New Roman" w:cs="Times New Roman"/>
          <w:color w:val="0432FF"/>
          <w:position w:val="-2"/>
        </w:rPr>
      </w:pPr>
      <w:r>
        <w:rPr>
          <w:rFonts w:ascii="Times New Roman"/>
          <w:color w:val="0432FF"/>
        </w:rPr>
        <w:t>selective provision of support for decision-making</w:t>
      </w:r>
    </w:p>
    <w:p w:rsidR="00B864AA" w:rsidRDefault="006E3D3F">
      <w:pPr>
        <w:pStyle w:val="BodyA"/>
        <w:numPr>
          <w:ilvl w:val="1"/>
          <w:numId w:val="22"/>
        </w:numPr>
        <w:tabs>
          <w:tab w:val="num" w:pos="720"/>
        </w:tabs>
        <w:ind w:left="720" w:hanging="180"/>
        <w:jc w:val="both"/>
        <w:rPr>
          <w:rFonts w:ascii="Times New Roman" w:eastAsia="Times New Roman" w:hAnsi="Times New Roman" w:cs="Times New Roman"/>
          <w:color w:val="0432FF"/>
          <w:position w:val="-2"/>
        </w:rPr>
      </w:pPr>
      <w:r>
        <w:rPr>
          <w:rFonts w:hAnsi="Times New Roman"/>
          <w:color w:val="0432FF"/>
        </w:rPr>
        <w:t>“</w:t>
      </w:r>
      <w:r>
        <w:rPr>
          <w:rFonts w:ascii="Times New Roman"/>
          <w:color w:val="0432FF"/>
        </w:rPr>
        <w:t>legal representatives</w:t>
      </w:r>
      <w:r>
        <w:rPr>
          <w:rFonts w:hAnsi="Times New Roman"/>
          <w:color w:val="0432FF"/>
        </w:rPr>
        <w:t>”</w:t>
      </w:r>
      <w:r>
        <w:rPr>
          <w:rFonts w:hAnsi="Times New Roman"/>
          <w:color w:val="0432FF"/>
        </w:rPr>
        <w:t xml:space="preserve"> </w:t>
      </w:r>
      <w:r>
        <w:rPr>
          <w:rFonts w:ascii="Times New Roman"/>
          <w:color w:val="0432FF"/>
        </w:rPr>
        <w:t>acting virtually as substitute decision-makers</w:t>
      </w:r>
    </w:p>
    <w:p w:rsidR="00B864AA" w:rsidRDefault="006E3D3F">
      <w:pPr>
        <w:pStyle w:val="BodyA"/>
        <w:numPr>
          <w:ilvl w:val="1"/>
          <w:numId w:val="23"/>
        </w:numPr>
        <w:tabs>
          <w:tab w:val="num" w:pos="720"/>
        </w:tabs>
        <w:ind w:left="720" w:hanging="180"/>
        <w:jc w:val="both"/>
        <w:rPr>
          <w:color w:val="0432FF"/>
          <w:position w:val="-2"/>
        </w:rPr>
      </w:pPr>
      <w:r>
        <w:rPr>
          <w:rFonts w:ascii="Times New Roman"/>
          <w:color w:val="0432FF"/>
        </w:rPr>
        <w:t xml:space="preserve">exceptions to free and informed consent during </w:t>
      </w:r>
      <w:r>
        <w:rPr>
          <w:rFonts w:hAnsi="Times New Roman"/>
          <w:color w:val="0432FF"/>
        </w:rPr>
        <w:t>“</w:t>
      </w:r>
      <w:r>
        <w:rPr>
          <w:rFonts w:ascii="Times New Roman"/>
          <w:color w:val="0432FF"/>
        </w:rPr>
        <w:t>psychiatric emergencies</w:t>
      </w:r>
      <w:r>
        <w:rPr>
          <w:rFonts w:hAnsi="Times New Roman"/>
          <w:color w:val="0432FF"/>
        </w:rPr>
        <w:t>”</w:t>
      </w:r>
    </w:p>
    <w:p w:rsidR="00B864AA" w:rsidRDefault="00B864AA">
      <w:pPr>
        <w:pStyle w:val="ListParagraph"/>
        <w:ind w:left="0"/>
        <w:jc w:val="both"/>
        <w:rPr>
          <w:color w:val="0432FF"/>
          <w:sz w:val="22"/>
          <w:szCs w:val="22"/>
        </w:rPr>
      </w:pPr>
    </w:p>
    <w:p w:rsidR="00B864AA" w:rsidRDefault="00B864AA">
      <w:pPr>
        <w:pStyle w:val="Body"/>
        <w:jc w:val="both"/>
        <w:rPr>
          <w:rFonts w:ascii="Times New Roman" w:eastAsia="Times New Roman" w:hAnsi="Times New Roman" w:cs="Times New Roman"/>
          <w:u w:color="000000"/>
        </w:rPr>
      </w:pPr>
    </w:p>
    <w:p w:rsidR="00B864AA" w:rsidRDefault="006E3D3F">
      <w:pPr>
        <w:pStyle w:val="ListParagraph"/>
        <w:numPr>
          <w:ilvl w:val="0"/>
          <w:numId w:val="3"/>
        </w:numPr>
        <w:tabs>
          <w:tab w:val="num" w:pos="720"/>
        </w:tabs>
        <w:ind w:hanging="360"/>
        <w:jc w:val="both"/>
        <w:rPr>
          <w:sz w:val="22"/>
          <w:szCs w:val="22"/>
        </w:rPr>
      </w:pPr>
      <w:r>
        <w:rPr>
          <w:sz w:val="22"/>
          <w:szCs w:val="22"/>
        </w:rPr>
        <w:t>Please describe to what extent and how are persons with disabilities and their representative organizations involved in the design, planning, implementation and evaluation of health</w:t>
      </w:r>
      <w:r>
        <w:rPr>
          <w:sz w:val="22"/>
          <w:szCs w:val="22"/>
        </w:rPr>
        <w:t xml:space="preserve"> policies, </w:t>
      </w:r>
      <w:proofErr w:type="spellStart"/>
      <w:r>
        <w:rPr>
          <w:sz w:val="22"/>
          <w:szCs w:val="22"/>
        </w:rPr>
        <w:t>programmes</w:t>
      </w:r>
      <w:proofErr w:type="spellEnd"/>
      <w:r>
        <w:rPr>
          <w:sz w:val="22"/>
          <w:szCs w:val="22"/>
        </w:rPr>
        <w:t xml:space="preserve"> and services.</w:t>
      </w:r>
    </w:p>
    <w:p w:rsidR="00B864AA" w:rsidRDefault="006E3D3F">
      <w:pPr>
        <w:pStyle w:val="Body"/>
        <w:tabs>
          <w:tab w:val="left" w:pos="1024"/>
          <w:tab w:val="left" w:pos="1703"/>
          <w:tab w:val="left" w:pos="2327"/>
          <w:tab w:val="left" w:pos="6693"/>
          <w:tab w:val="left" w:pos="7259"/>
        </w:tabs>
        <w:spacing w:line="240" w:lineRule="atLeast"/>
        <w:rPr>
          <w:rFonts w:ascii="Times New Roman" w:eastAsia="Times New Roman" w:hAnsi="Times New Roman" w:cs="Times New Roman"/>
          <w:u w:color="000000"/>
        </w:rPr>
      </w:pPr>
      <w:r>
        <w:rPr>
          <w:rFonts w:ascii="Times New Roman"/>
          <w:u w:color="000000"/>
        </w:rPr>
        <w:t xml:space="preserve"> </w:t>
      </w:r>
    </w:p>
    <w:p w:rsidR="00B864AA" w:rsidRDefault="00B864AA">
      <w:pPr>
        <w:pStyle w:val="Body"/>
        <w:tabs>
          <w:tab w:val="left" w:pos="1024"/>
          <w:tab w:val="left" w:pos="1703"/>
          <w:tab w:val="left" w:pos="2327"/>
          <w:tab w:val="left" w:pos="6693"/>
          <w:tab w:val="left" w:pos="7259"/>
        </w:tabs>
        <w:spacing w:line="240" w:lineRule="atLeast"/>
        <w:rPr>
          <w:rFonts w:ascii="Times New Roman" w:eastAsia="Times New Roman" w:hAnsi="Times New Roman" w:cs="Times New Roman"/>
          <w:color w:val="0432FF"/>
          <w:sz w:val="20"/>
          <w:szCs w:val="20"/>
          <w:u w:color="000000"/>
        </w:rPr>
      </w:pPr>
    </w:p>
    <w:p w:rsidR="00B864AA" w:rsidRDefault="006E3D3F">
      <w:pPr>
        <w:pStyle w:val="Body"/>
        <w:tabs>
          <w:tab w:val="left" w:pos="1024"/>
          <w:tab w:val="left" w:pos="1703"/>
          <w:tab w:val="left" w:pos="2327"/>
          <w:tab w:val="left" w:pos="6693"/>
          <w:tab w:val="left" w:pos="7259"/>
        </w:tabs>
        <w:spacing w:line="240" w:lineRule="atLeast"/>
        <w:rPr>
          <w:rFonts w:ascii="Times New Roman" w:eastAsia="Times New Roman" w:hAnsi="Times New Roman" w:cs="Times New Roman"/>
          <w:color w:val="0432FF"/>
          <w:u w:color="000000"/>
        </w:rPr>
      </w:pPr>
      <w:r>
        <w:rPr>
          <w:rFonts w:ascii="Times New Roman"/>
          <w:color w:val="0432FF"/>
          <w:u w:color="000000"/>
        </w:rPr>
        <w:t>Excerpt from this Coalition</w:t>
      </w:r>
      <w:r>
        <w:rPr>
          <w:rFonts w:hAnsi="Times New Roman"/>
          <w:color w:val="0432FF"/>
          <w:u w:color="000000"/>
        </w:rPr>
        <w:t>’</w:t>
      </w:r>
      <w:r>
        <w:rPr>
          <w:rFonts w:ascii="Times New Roman"/>
          <w:color w:val="0432FF"/>
          <w:u w:color="000000"/>
        </w:rPr>
        <w:t>s List of Issues submission March 2018 (INT_CRPD_ICO_PHL_30163_E):</w:t>
      </w:r>
    </w:p>
    <w:p w:rsidR="00B864AA" w:rsidRDefault="00B864AA">
      <w:pPr>
        <w:pStyle w:val="Body"/>
        <w:tabs>
          <w:tab w:val="left" w:pos="1024"/>
          <w:tab w:val="left" w:pos="1703"/>
          <w:tab w:val="left" w:pos="2327"/>
          <w:tab w:val="left" w:pos="6693"/>
          <w:tab w:val="left" w:pos="7259"/>
        </w:tabs>
        <w:spacing w:line="240" w:lineRule="atLeast"/>
        <w:rPr>
          <w:rFonts w:ascii="Times New Roman" w:eastAsia="Times New Roman" w:hAnsi="Times New Roman" w:cs="Times New Roman"/>
          <w:color w:val="0432FF"/>
          <w:u w:color="000000"/>
        </w:rPr>
      </w:pPr>
    </w:p>
    <w:p w:rsidR="00B864AA" w:rsidRDefault="006E3D3F">
      <w:pPr>
        <w:pStyle w:val="Body"/>
        <w:tabs>
          <w:tab w:val="left" w:pos="1024"/>
          <w:tab w:val="left" w:pos="1703"/>
          <w:tab w:val="left" w:pos="2327"/>
          <w:tab w:val="left" w:pos="6693"/>
          <w:tab w:val="left" w:pos="7259"/>
        </w:tabs>
        <w:spacing w:line="240" w:lineRule="atLeast"/>
      </w:pPr>
      <w:r>
        <w:rPr>
          <w:rFonts w:hAnsi="Times New Roman"/>
          <w:color w:val="0432FF"/>
          <w:u w:color="000000"/>
        </w:rPr>
        <w:t>“</w:t>
      </w:r>
      <w:r>
        <w:rPr>
          <w:rFonts w:hAnsi="Times New Roman"/>
          <w:color w:val="0432FF"/>
          <w:u w:color="000000"/>
        </w:rPr>
        <w:t xml:space="preserve"> </w:t>
      </w:r>
      <w:r>
        <w:rPr>
          <w:rFonts w:ascii="Times New Roman"/>
          <w:color w:val="0432FF"/>
          <w:u w:color="000000"/>
        </w:rPr>
        <w:t xml:space="preserve">If done at all, repeated unproductive, biased and token </w:t>
      </w:r>
      <w:r>
        <w:rPr>
          <w:rFonts w:hAnsi="Times New Roman"/>
          <w:color w:val="0432FF"/>
          <w:u w:color="000000"/>
        </w:rPr>
        <w:t>“</w:t>
      </w:r>
      <w:r>
        <w:rPr>
          <w:rFonts w:ascii="Times New Roman"/>
          <w:color w:val="0432FF"/>
          <w:u w:color="000000"/>
        </w:rPr>
        <w:t>consultations</w:t>
      </w:r>
      <w:r>
        <w:rPr>
          <w:rFonts w:hAnsi="Times New Roman"/>
          <w:color w:val="0432FF"/>
          <w:u w:color="000000"/>
        </w:rPr>
        <w:t>”</w:t>
      </w:r>
      <w:r>
        <w:rPr>
          <w:rFonts w:hAnsi="Times New Roman"/>
          <w:color w:val="0432FF"/>
          <w:u w:color="000000"/>
        </w:rPr>
        <w:t xml:space="preserve"> </w:t>
      </w:r>
      <w:r>
        <w:rPr>
          <w:rFonts w:ascii="Times New Roman"/>
          <w:color w:val="0432FF"/>
          <w:u w:color="000000"/>
        </w:rPr>
        <w:t xml:space="preserve">with DPOs are typical in e.g., the 2016 and 2017 national Summits on education; legislative deliberations on the proposed mental health law </w:t>
      </w:r>
      <w:r>
        <w:rPr>
          <w:rFonts w:ascii="Times New Roman Bold"/>
          <w:color w:val="0432FF"/>
          <w:u w:color="000000"/>
        </w:rPr>
        <w:t xml:space="preserve">[2] </w:t>
      </w:r>
      <w:r>
        <w:rPr>
          <w:rFonts w:ascii="Times New Roman"/>
          <w:color w:val="0432FF"/>
          <w:u w:color="000000"/>
        </w:rPr>
        <w:t xml:space="preserve">since 2015; and </w:t>
      </w:r>
      <w:r>
        <w:rPr>
          <w:rFonts w:hAnsi="Times New Roman"/>
          <w:color w:val="0432FF"/>
          <w:u w:color="000000"/>
        </w:rPr>
        <w:t>“</w:t>
      </w:r>
      <w:r>
        <w:rPr>
          <w:rFonts w:ascii="Times New Roman"/>
          <w:color w:val="0432FF"/>
          <w:u w:color="000000"/>
        </w:rPr>
        <w:t>dialogues</w:t>
      </w:r>
      <w:r>
        <w:rPr>
          <w:rFonts w:hAnsi="Times New Roman"/>
          <w:color w:val="0432FF"/>
          <w:u w:color="000000"/>
        </w:rPr>
        <w:t>”</w:t>
      </w:r>
      <w:r>
        <w:rPr>
          <w:rFonts w:hAnsi="Times New Roman"/>
          <w:color w:val="0432FF"/>
          <w:u w:color="000000"/>
        </w:rPr>
        <w:t xml:space="preserve"> </w:t>
      </w:r>
      <w:r>
        <w:rPr>
          <w:rFonts w:ascii="Times New Roman"/>
          <w:color w:val="0432FF"/>
          <w:u w:color="000000"/>
        </w:rPr>
        <w:t>with the NCDA for the past 12 years on the establishment of an interpreting system f</w:t>
      </w:r>
      <w:r>
        <w:rPr>
          <w:rFonts w:ascii="Times New Roman"/>
          <w:color w:val="0432FF"/>
          <w:u w:color="000000"/>
        </w:rPr>
        <w:t xml:space="preserve">or hundreds of deaf cases </w:t>
      </w:r>
      <w:r>
        <w:rPr>
          <w:rFonts w:ascii="Times New Roman Bold"/>
          <w:color w:val="0432FF"/>
          <w:u w:color="000000"/>
        </w:rPr>
        <w:t>[3]</w:t>
      </w:r>
      <w:r>
        <w:rPr>
          <w:rFonts w:ascii="Times New Roman"/>
          <w:color w:val="0432FF"/>
          <w:u w:color="000000"/>
        </w:rPr>
        <w:t>.</w:t>
      </w:r>
      <w:r>
        <w:rPr>
          <w:rFonts w:hAnsi="Times New Roman"/>
          <w:color w:val="0432FF"/>
          <w:u w:color="000000"/>
        </w:rPr>
        <w:t>”</w:t>
      </w:r>
    </w:p>
    <w:sectPr w:rsidR="00B864AA">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E3D3F">
      <w:r>
        <w:separator/>
      </w:r>
    </w:p>
  </w:endnote>
  <w:endnote w:type="continuationSeparator" w:id="0">
    <w:p w:rsidR="00000000" w:rsidRDefault="006E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AA" w:rsidRDefault="00B864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E3D3F">
      <w:r>
        <w:separator/>
      </w:r>
    </w:p>
  </w:footnote>
  <w:footnote w:type="continuationSeparator" w:id="0">
    <w:p w:rsidR="00000000" w:rsidRDefault="006E3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AA" w:rsidRDefault="00B864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6E94"/>
    <w:multiLevelType w:val="multilevel"/>
    <w:tmpl w:val="04A6B552"/>
    <w:lvl w:ilvl="0">
      <w:start w:val="1"/>
      <w:numFmt w:val="bullet"/>
      <w:lvlText w:val="•"/>
      <w:lvlJc w:val="left"/>
      <w:rPr>
        <w:position w:val="-2"/>
      </w:rPr>
    </w:lvl>
    <w:lvl w:ilv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
    <w:nsid w:val="0C0A0F63"/>
    <w:multiLevelType w:val="multilevel"/>
    <w:tmpl w:val="DE2A9454"/>
    <w:lvl w:ilvl="0">
      <w:start w:val="1"/>
      <w:numFmt w:val="bullet"/>
      <w:lvlText w:val="•"/>
      <w:lvlJc w:val="left"/>
      <w:rPr>
        <w:position w:val="-2"/>
      </w:rPr>
    </w:lvl>
    <w:lvl w:ilv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
    <w:nsid w:val="0EDC5045"/>
    <w:multiLevelType w:val="multilevel"/>
    <w:tmpl w:val="5E207A68"/>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3">
    <w:nsid w:val="16EC170D"/>
    <w:multiLevelType w:val="multilevel"/>
    <w:tmpl w:val="1F6CB30C"/>
    <w:lvl w:ilvl="0">
      <w:start w:val="1"/>
      <w:numFmt w:val="bullet"/>
      <w:lvlText w:val="•"/>
      <w:lvlJc w:val="left"/>
      <w:pPr>
        <w:tabs>
          <w:tab w:val="num" w:pos="180"/>
        </w:tabs>
        <w:ind w:left="180" w:hanging="180"/>
      </w:pPr>
      <w:rPr>
        <w:color w:val="0432FF"/>
        <w:position w:val="-2"/>
        <w:sz w:val="22"/>
        <w:szCs w:val="22"/>
      </w:rPr>
    </w:lvl>
    <w:lvl w:ilvl="1">
      <w:start w:val="1"/>
      <w:numFmt w:val="bullet"/>
      <w:lvlText w:val="•"/>
      <w:lvlJc w:val="left"/>
      <w:pPr>
        <w:tabs>
          <w:tab w:val="num" w:pos="376"/>
        </w:tabs>
        <w:ind w:left="376" w:hanging="196"/>
      </w:pPr>
      <w:rPr>
        <w:color w:val="0432FF"/>
        <w:position w:val="-2"/>
        <w:sz w:val="22"/>
        <w:szCs w:val="22"/>
      </w:rPr>
    </w:lvl>
    <w:lvl w:ilvl="2">
      <w:start w:val="1"/>
      <w:numFmt w:val="bullet"/>
      <w:lvlText w:val="•"/>
      <w:lvlJc w:val="left"/>
      <w:pPr>
        <w:tabs>
          <w:tab w:val="num" w:pos="540"/>
        </w:tabs>
        <w:ind w:left="540" w:hanging="180"/>
      </w:pPr>
      <w:rPr>
        <w:color w:val="0432FF"/>
        <w:position w:val="-2"/>
        <w:sz w:val="22"/>
        <w:szCs w:val="22"/>
      </w:rPr>
    </w:lvl>
    <w:lvl w:ilvl="3">
      <w:start w:val="1"/>
      <w:numFmt w:val="bullet"/>
      <w:lvlText w:val="•"/>
      <w:lvlJc w:val="left"/>
      <w:pPr>
        <w:tabs>
          <w:tab w:val="num" w:pos="720"/>
        </w:tabs>
        <w:ind w:left="720" w:hanging="180"/>
      </w:pPr>
      <w:rPr>
        <w:color w:val="0432FF"/>
        <w:position w:val="-2"/>
        <w:sz w:val="22"/>
        <w:szCs w:val="22"/>
      </w:rPr>
    </w:lvl>
    <w:lvl w:ilvl="4">
      <w:start w:val="1"/>
      <w:numFmt w:val="bullet"/>
      <w:lvlText w:val="•"/>
      <w:lvlJc w:val="left"/>
      <w:pPr>
        <w:tabs>
          <w:tab w:val="num" w:pos="900"/>
        </w:tabs>
        <w:ind w:left="900" w:hanging="180"/>
      </w:pPr>
      <w:rPr>
        <w:color w:val="0432FF"/>
        <w:position w:val="-2"/>
        <w:sz w:val="22"/>
        <w:szCs w:val="22"/>
      </w:rPr>
    </w:lvl>
    <w:lvl w:ilvl="5">
      <w:start w:val="1"/>
      <w:numFmt w:val="bullet"/>
      <w:lvlText w:val="•"/>
      <w:lvlJc w:val="left"/>
      <w:pPr>
        <w:tabs>
          <w:tab w:val="num" w:pos="1080"/>
        </w:tabs>
        <w:ind w:left="1080" w:hanging="180"/>
      </w:pPr>
      <w:rPr>
        <w:color w:val="0432FF"/>
        <w:position w:val="-2"/>
        <w:sz w:val="22"/>
        <w:szCs w:val="22"/>
      </w:rPr>
    </w:lvl>
    <w:lvl w:ilvl="6">
      <w:start w:val="1"/>
      <w:numFmt w:val="bullet"/>
      <w:lvlText w:val="•"/>
      <w:lvlJc w:val="left"/>
      <w:pPr>
        <w:tabs>
          <w:tab w:val="num" w:pos="1260"/>
        </w:tabs>
        <w:ind w:left="1260" w:hanging="180"/>
      </w:pPr>
      <w:rPr>
        <w:color w:val="0432FF"/>
        <w:position w:val="-2"/>
        <w:sz w:val="22"/>
        <w:szCs w:val="22"/>
      </w:rPr>
    </w:lvl>
    <w:lvl w:ilvl="7">
      <w:start w:val="1"/>
      <w:numFmt w:val="bullet"/>
      <w:lvlText w:val="•"/>
      <w:lvlJc w:val="left"/>
      <w:pPr>
        <w:tabs>
          <w:tab w:val="num" w:pos="1440"/>
        </w:tabs>
        <w:ind w:left="1440" w:hanging="180"/>
      </w:pPr>
      <w:rPr>
        <w:color w:val="0432FF"/>
        <w:position w:val="-2"/>
        <w:sz w:val="22"/>
        <w:szCs w:val="22"/>
      </w:rPr>
    </w:lvl>
    <w:lvl w:ilvl="8">
      <w:start w:val="1"/>
      <w:numFmt w:val="bullet"/>
      <w:lvlText w:val="•"/>
      <w:lvlJc w:val="left"/>
      <w:pPr>
        <w:tabs>
          <w:tab w:val="num" w:pos="1620"/>
        </w:tabs>
        <w:ind w:left="1620" w:hanging="180"/>
      </w:pPr>
      <w:rPr>
        <w:color w:val="0432FF"/>
        <w:position w:val="-2"/>
        <w:sz w:val="22"/>
        <w:szCs w:val="22"/>
      </w:rPr>
    </w:lvl>
  </w:abstractNum>
  <w:abstractNum w:abstractNumId="4">
    <w:nsid w:val="215B6981"/>
    <w:multiLevelType w:val="multilevel"/>
    <w:tmpl w:val="B4F82AB8"/>
    <w:styleLink w:val="List0"/>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5">
    <w:nsid w:val="27035A49"/>
    <w:multiLevelType w:val="multilevel"/>
    <w:tmpl w:val="F67A640E"/>
    <w:lvl w:ilvl="0">
      <w:start w:val="1"/>
      <w:numFmt w:val="bullet"/>
      <w:lvlText w:val="•"/>
      <w:lvlJc w:val="left"/>
      <w:pPr>
        <w:tabs>
          <w:tab w:val="num" w:pos="180"/>
        </w:tabs>
        <w:ind w:left="180" w:hanging="180"/>
      </w:pPr>
      <w:rPr>
        <w:color w:val="0432FF"/>
        <w:position w:val="-2"/>
        <w:sz w:val="22"/>
        <w:szCs w:val="22"/>
      </w:rPr>
    </w:lvl>
    <w:lvl w:ilvl="1">
      <w:numFmt w:val="bullet"/>
      <w:lvlText w:val="•"/>
      <w:lvlJc w:val="left"/>
      <w:pPr>
        <w:tabs>
          <w:tab w:val="num" w:pos="376"/>
        </w:tabs>
        <w:ind w:left="376" w:hanging="196"/>
      </w:pPr>
      <w:rPr>
        <w:color w:val="0432FF"/>
        <w:position w:val="-2"/>
        <w:sz w:val="22"/>
        <w:szCs w:val="22"/>
      </w:rPr>
    </w:lvl>
    <w:lvl w:ilvl="2">
      <w:start w:val="1"/>
      <w:numFmt w:val="bullet"/>
      <w:lvlText w:val="•"/>
      <w:lvlJc w:val="left"/>
      <w:pPr>
        <w:tabs>
          <w:tab w:val="num" w:pos="540"/>
        </w:tabs>
        <w:ind w:left="540" w:hanging="180"/>
      </w:pPr>
      <w:rPr>
        <w:color w:val="0432FF"/>
        <w:position w:val="-2"/>
        <w:sz w:val="22"/>
        <w:szCs w:val="22"/>
      </w:rPr>
    </w:lvl>
    <w:lvl w:ilvl="3">
      <w:start w:val="1"/>
      <w:numFmt w:val="bullet"/>
      <w:lvlText w:val="•"/>
      <w:lvlJc w:val="left"/>
      <w:pPr>
        <w:tabs>
          <w:tab w:val="num" w:pos="720"/>
        </w:tabs>
        <w:ind w:left="720" w:hanging="180"/>
      </w:pPr>
      <w:rPr>
        <w:color w:val="0432FF"/>
        <w:position w:val="-2"/>
        <w:sz w:val="22"/>
        <w:szCs w:val="22"/>
      </w:rPr>
    </w:lvl>
    <w:lvl w:ilvl="4">
      <w:start w:val="1"/>
      <w:numFmt w:val="bullet"/>
      <w:lvlText w:val="•"/>
      <w:lvlJc w:val="left"/>
      <w:pPr>
        <w:tabs>
          <w:tab w:val="num" w:pos="900"/>
        </w:tabs>
        <w:ind w:left="900" w:hanging="180"/>
      </w:pPr>
      <w:rPr>
        <w:color w:val="0432FF"/>
        <w:position w:val="-2"/>
        <w:sz w:val="22"/>
        <w:szCs w:val="22"/>
      </w:rPr>
    </w:lvl>
    <w:lvl w:ilvl="5">
      <w:start w:val="1"/>
      <w:numFmt w:val="bullet"/>
      <w:lvlText w:val="•"/>
      <w:lvlJc w:val="left"/>
      <w:pPr>
        <w:tabs>
          <w:tab w:val="num" w:pos="1080"/>
        </w:tabs>
        <w:ind w:left="1080" w:hanging="180"/>
      </w:pPr>
      <w:rPr>
        <w:color w:val="0432FF"/>
        <w:position w:val="-2"/>
        <w:sz w:val="22"/>
        <w:szCs w:val="22"/>
      </w:rPr>
    </w:lvl>
    <w:lvl w:ilvl="6">
      <w:start w:val="1"/>
      <w:numFmt w:val="bullet"/>
      <w:lvlText w:val="•"/>
      <w:lvlJc w:val="left"/>
      <w:pPr>
        <w:tabs>
          <w:tab w:val="num" w:pos="1260"/>
        </w:tabs>
        <w:ind w:left="1260" w:hanging="180"/>
      </w:pPr>
      <w:rPr>
        <w:color w:val="0432FF"/>
        <w:position w:val="-2"/>
        <w:sz w:val="22"/>
        <w:szCs w:val="22"/>
      </w:rPr>
    </w:lvl>
    <w:lvl w:ilvl="7">
      <w:start w:val="1"/>
      <w:numFmt w:val="bullet"/>
      <w:lvlText w:val="•"/>
      <w:lvlJc w:val="left"/>
      <w:pPr>
        <w:tabs>
          <w:tab w:val="num" w:pos="1440"/>
        </w:tabs>
        <w:ind w:left="1440" w:hanging="180"/>
      </w:pPr>
      <w:rPr>
        <w:color w:val="0432FF"/>
        <w:position w:val="-2"/>
        <w:sz w:val="22"/>
        <w:szCs w:val="22"/>
      </w:rPr>
    </w:lvl>
    <w:lvl w:ilvl="8">
      <w:start w:val="1"/>
      <w:numFmt w:val="bullet"/>
      <w:lvlText w:val="•"/>
      <w:lvlJc w:val="left"/>
      <w:pPr>
        <w:tabs>
          <w:tab w:val="num" w:pos="1620"/>
        </w:tabs>
        <w:ind w:left="1620" w:hanging="180"/>
      </w:pPr>
      <w:rPr>
        <w:color w:val="0432FF"/>
        <w:position w:val="-2"/>
        <w:sz w:val="22"/>
        <w:szCs w:val="22"/>
      </w:rPr>
    </w:lvl>
  </w:abstractNum>
  <w:abstractNum w:abstractNumId="6">
    <w:nsid w:val="278D7469"/>
    <w:multiLevelType w:val="multilevel"/>
    <w:tmpl w:val="8550E416"/>
    <w:styleLink w:val="List1"/>
    <w:lvl w:ilvl="0">
      <w:start w:val="1"/>
      <w:numFmt w:val="bullet"/>
      <w:lvlText w:val="•"/>
      <w:lvlJc w:val="left"/>
      <w:pPr>
        <w:tabs>
          <w:tab w:val="num" w:pos="180"/>
        </w:tabs>
        <w:ind w:left="180" w:hanging="180"/>
      </w:pPr>
      <w:rPr>
        <w:color w:val="0432FF"/>
        <w:position w:val="-2"/>
        <w:sz w:val="22"/>
        <w:szCs w:val="22"/>
      </w:rPr>
    </w:lvl>
    <w:lvl w:ilvl="1">
      <w:numFmt w:val="bullet"/>
      <w:lvlText w:val="•"/>
      <w:lvlJc w:val="left"/>
      <w:pPr>
        <w:tabs>
          <w:tab w:val="num" w:pos="376"/>
        </w:tabs>
        <w:ind w:left="376" w:hanging="196"/>
      </w:pPr>
      <w:rPr>
        <w:color w:val="0432FF"/>
        <w:position w:val="-2"/>
        <w:sz w:val="22"/>
        <w:szCs w:val="22"/>
      </w:rPr>
    </w:lvl>
    <w:lvl w:ilvl="2">
      <w:start w:val="1"/>
      <w:numFmt w:val="bullet"/>
      <w:lvlText w:val="•"/>
      <w:lvlJc w:val="left"/>
      <w:pPr>
        <w:tabs>
          <w:tab w:val="num" w:pos="540"/>
        </w:tabs>
        <w:ind w:left="540" w:hanging="180"/>
      </w:pPr>
      <w:rPr>
        <w:color w:val="0432FF"/>
        <w:position w:val="-2"/>
        <w:sz w:val="22"/>
        <w:szCs w:val="22"/>
      </w:rPr>
    </w:lvl>
    <w:lvl w:ilvl="3">
      <w:start w:val="1"/>
      <w:numFmt w:val="bullet"/>
      <w:lvlText w:val="•"/>
      <w:lvlJc w:val="left"/>
      <w:pPr>
        <w:tabs>
          <w:tab w:val="num" w:pos="720"/>
        </w:tabs>
        <w:ind w:left="720" w:hanging="180"/>
      </w:pPr>
      <w:rPr>
        <w:color w:val="0432FF"/>
        <w:position w:val="-2"/>
        <w:sz w:val="22"/>
        <w:szCs w:val="22"/>
      </w:rPr>
    </w:lvl>
    <w:lvl w:ilvl="4">
      <w:start w:val="1"/>
      <w:numFmt w:val="bullet"/>
      <w:lvlText w:val="•"/>
      <w:lvlJc w:val="left"/>
      <w:pPr>
        <w:tabs>
          <w:tab w:val="num" w:pos="900"/>
        </w:tabs>
        <w:ind w:left="900" w:hanging="180"/>
      </w:pPr>
      <w:rPr>
        <w:color w:val="0432FF"/>
        <w:position w:val="-2"/>
        <w:sz w:val="22"/>
        <w:szCs w:val="22"/>
      </w:rPr>
    </w:lvl>
    <w:lvl w:ilvl="5">
      <w:start w:val="1"/>
      <w:numFmt w:val="bullet"/>
      <w:lvlText w:val="•"/>
      <w:lvlJc w:val="left"/>
      <w:pPr>
        <w:tabs>
          <w:tab w:val="num" w:pos="1080"/>
        </w:tabs>
        <w:ind w:left="1080" w:hanging="180"/>
      </w:pPr>
      <w:rPr>
        <w:color w:val="0432FF"/>
        <w:position w:val="-2"/>
        <w:sz w:val="22"/>
        <w:szCs w:val="22"/>
      </w:rPr>
    </w:lvl>
    <w:lvl w:ilvl="6">
      <w:start w:val="1"/>
      <w:numFmt w:val="bullet"/>
      <w:lvlText w:val="•"/>
      <w:lvlJc w:val="left"/>
      <w:pPr>
        <w:tabs>
          <w:tab w:val="num" w:pos="1260"/>
        </w:tabs>
        <w:ind w:left="1260" w:hanging="180"/>
      </w:pPr>
      <w:rPr>
        <w:color w:val="0432FF"/>
        <w:position w:val="-2"/>
        <w:sz w:val="22"/>
        <w:szCs w:val="22"/>
      </w:rPr>
    </w:lvl>
    <w:lvl w:ilvl="7">
      <w:start w:val="1"/>
      <w:numFmt w:val="bullet"/>
      <w:lvlText w:val="•"/>
      <w:lvlJc w:val="left"/>
      <w:pPr>
        <w:tabs>
          <w:tab w:val="num" w:pos="1440"/>
        </w:tabs>
        <w:ind w:left="1440" w:hanging="180"/>
      </w:pPr>
      <w:rPr>
        <w:color w:val="0432FF"/>
        <w:position w:val="-2"/>
        <w:sz w:val="22"/>
        <w:szCs w:val="22"/>
      </w:rPr>
    </w:lvl>
    <w:lvl w:ilvl="8">
      <w:start w:val="1"/>
      <w:numFmt w:val="bullet"/>
      <w:lvlText w:val="•"/>
      <w:lvlJc w:val="left"/>
      <w:pPr>
        <w:tabs>
          <w:tab w:val="num" w:pos="1620"/>
        </w:tabs>
        <w:ind w:left="1620" w:hanging="180"/>
      </w:pPr>
      <w:rPr>
        <w:color w:val="0432FF"/>
        <w:position w:val="-2"/>
        <w:sz w:val="22"/>
        <w:szCs w:val="22"/>
      </w:rPr>
    </w:lvl>
  </w:abstractNum>
  <w:abstractNum w:abstractNumId="7">
    <w:nsid w:val="2F9E01D1"/>
    <w:multiLevelType w:val="multilevel"/>
    <w:tmpl w:val="E12C000E"/>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8">
    <w:nsid w:val="35A8289D"/>
    <w:multiLevelType w:val="multilevel"/>
    <w:tmpl w:val="78D4E3F8"/>
    <w:lvl w:ilvl="0">
      <w:start w:val="1"/>
      <w:numFmt w:val="bullet"/>
      <w:lvlText w:val="•"/>
      <w:lvlJc w:val="left"/>
      <w:pPr>
        <w:tabs>
          <w:tab w:val="num" w:pos="916"/>
        </w:tabs>
        <w:ind w:left="91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1">
      <w:start w:val="1"/>
      <w:numFmt w:val="bullet"/>
      <w:lvlText w:val="•"/>
      <w:lvlJc w:val="left"/>
      <w:pPr>
        <w:tabs>
          <w:tab w:val="num" w:pos="1096"/>
        </w:tabs>
        <w:ind w:left="109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2">
      <w:start w:val="1"/>
      <w:numFmt w:val="bullet"/>
      <w:lvlText w:val="•"/>
      <w:lvlJc w:val="left"/>
      <w:pPr>
        <w:tabs>
          <w:tab w:val="num" w:pos="1276"/>
        </w:tabs>
        <w:ind w:left="127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3">
      <w:start w:val="1"/>
      <w:numFmt w:val="bullet"/>
      <w:lvlText w:val="•"/>
      <w:lvlJc w:val="left"/>
      <w:pPr>
        <w:tabs>
          <w:tab w:val="num" w:pos="1456"/>
        </w:tabs>
        <w:ind w:left="145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4">
      <w:start w:val="1"/>
      <w:numFmt w:val="bullet"/>
      <w:lvlText w:val="•"/>
      <w:lvlJc w:val="left"/>
      <w:pPr>
        <w:tabs>
          <w:tab w:val="num" w:pos="1636"/>
        </w:tabs>
        <w:ind w:left="163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5">
      <w:start w:val="1"/>
      <w:numFmt w:val="bullet"/>
      <w:lvlText w:val="•"/>
      <w:lvlJc w:val="left"/>
      <w:pPr>
        <w:tabs>
          <w:tab w:val="num" w:pos="1816"/>
        </w:tabs>
        <w:ind w:left="181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6">
      <w:start w:val="1"/>
      <w:numFmt w:val="bullet"/>
      <w:lvlText w:val="•"/>
      <w:lvlJc w:val="left"/>
      <w:pPr>
        <w:tabs>
          <w:tab w:val="num" w:pos="1996"/>
        </w:tabs>
        <w:ind w:left="199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7">
      <w:start w:val="1"/>
      <w:numFmt w:val="bullet"/>
      <w:lvlText w:val="•"/>
      <w:lvlJc w:val="left"/>
      <w:pPr>
        <w:tabs>
          <w:tab w:val="num" w:pos="2176"/>
        </w:tabs>
        <w:ind w:left="217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8">
      <w:start w:val="1"/>
      <w:numFmt w:val="bullet"/>
      <w:lvlText w:val="•"/>
      <w:lvlJc w:val="left"/>
      <w:pPr>
        <w:tabs>
          <w:tab w:val="num" w:pos="2356"/>
        </w:tabs>
        <w:ind w:left="235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abstractNum>
  <w:abstractNum w:abstractNumId="9">
    <w:nsid w:val="38346FBA"/>
    <w:multiLevelType w:val="multilevel"/>
    <w:tmpl w:val="EC82DE6E"/>
    <w:lvl w:ilvl="0">
      <w:numFmt w:val="bullet"/>
      <w:lvlText w:val="•"/>
      <w:lvlJc w:val="left"/>
      <w:rPr>
        <w:kern w:val="2"/>
        <w:position w:val="0"/>
      </w:rPr>
    </w:lvl>
    <w:lvl w:ilvl="1">
      <w:start w:val="1"/>
      <w:numFmt w:val="bullet"/>
      <w:lvlText w:val="o"/>
      <w:lvlJc w:val="left"/>
      <w:rPr>
        <w:kern w:val="2"/>
        <w:position w:val="0"/>
      </w:rPr>
    </w:lvl>
    <w:lvl w:ilvl="2">
      <w:start w:val="1"/>
      <w:numFmt w:val="bullet"/>
      <w:lvlText w:val="▪"/>
      <w:lvlJc w:val="left"/>
      <w:rPr>
        <w:kern w:val="2"/>
        <w:position w:val="0"/>
      </w:rPr>
    </w:lvl>
    <w:lvl w:ilvl="3">
      <w:start w:val="1"/>
      <w:numFmt w:val="bullet"/>
      <w:lvlText w:val="•"/>
      <w:lvlJc w:val="left"/>
      <w:rPr>
        <w:kern w:val="2"/>
        <w:position w:val="0"/>
      </w:rPr>
    </w:lvl>
    <w:lvl w:ilvl="4">
      <w:start w:val="1"/>
      <w:numFmt w:val="bullet"/>
      <w:lvlText w:val="o"/>
      <w:lvlJc w:val="left"/>
      <w:rPr>
        <w:kern w:val="2"/>
        <w:position w:val="0"/>
      </w:rPr>
    </w:lvl>
    <w:lvl w:ilvl="5">
      <w:start w:val="1"/>
      <w:numFmt w:val="bullet"/>
      <w:lvlText w:val="▪"/>
      <w:lvlJc w:val="left"/>
      <w:rPr>
        <w:kern w:val="2"/>
        <w:position w:val="0"/>
      </w:rPr>
    </w:lvl>
    <w:lvl w:ilvl="6">
      <w:start w:val="1"/>
      <w:numFmt w:val="bullet"/>
      <w:lvlText w:val="•"/>
      <w:lvlJc w:val="left"/>
      <w:rPr>
        <w:kern w:val="2"/>
        <w:position w:val="0"/>
      </w:rPr>
    </w:lvl>
    <w:lvl w:ilvl="7">
      <w:start w:val="1"/>
      <w:numFmt w:val="bullet"/>
      <w:lvlText w:val="o"/>
      <w:lvlJc w:val="left"/>
      <w:rPr>
        <w:kern w:val="2"/>
        <w:position w:val="0"/>
      </w:rPr>
    </w:lvl>
    <w:lvl w:ilvl="8">
      <w:start w:val="1"/>
      <w:numFmt w:val="bullet"/>
      <w:lvlText w:val="▪"/>
      <w:lvlJc w:val="left"/>
      <w:rPr>
        <w:kern w:val="2"/>
        <w:position w:val="0"/>
      </w:rPr>
    </w:lvl>
  </w:abstractNum>
  <w:abstractNum w:abstractNumId="10">
    <w:nsid w:val="38C5157E"/>
    <w:multiLevelType w:val="multilevel"/>
    <w:tmpl w:val="49C452E8"/>
    <w:styleLink w:val="Lettered"/>
    <w:lvl w:ilvl="0">
      <w:start w:val="1"/>
      <w:numFmt w:val="upperLetter"/>
      <w:lvlText w:val="%1."/>
      <w:lvlJc w:val="left"/>
      <w:rPr>
        <w:position w:val="0"/>
        <w:lang w:val="en-US"/>
      </w:rPr>
    </w:lvl>
    <w:lvl w:ilvl="1">
      <w:start w:val="1"/>
      <w:numFmt w:val="upperLetter"/>
      <w:lvlText w:val="%2."/>
      <w:lvlJc w:val="left"/>
      <w:rPr>
        <w:position w:val="0"/>
        <w:lang w:val="en-US"/>
      </w:rPr>
    </w:lvl>
    <w:lvl w:ilvl="2">
      <w:start w:val="1"/>
      <w:numFmt w:val="upperLetter"/>
      <w:lvlText w:val="%3."/>
      <w:lvlJc w:val="left"/>
      <w:rPr>
        <w:position w:val="0"/>
        <w:lang w:val="en-US"/>
      </w:rPr>
    </w:lvl>
    <w:lvl w:ilvl="3">
      <w:start w:val="1"/>
      <w:numFmt w:val="upperLetter"/>
      <w:lvlText w:val="%4."/>
      <w:lvlJc w:val="left"/>
      <w:rPr>
        <w:position w:val="0"/>
        <w:lang w:val="en-US"/>
      </w:rPr>
    </w:lvl>
    <w:lvl w:ilvl="4">
      <w:start w:val="1"/>
      <w:numFmt w:val="upperLetter"/>
      <w:lvlText w:val="%5."/>
      <w:lvlJc w:val="left"/>
      <w:rPr>
        <w:position w:val="0"/>
        <w:lang w:val="en-US"/>
      </w:rPr>
    </w:lvl>
    <w:lvl w:ilvl="5">
      <w:start w:val="1"/>
      <w:numFmt w:val="upperLetter"/>
      <w:lvlText w:val="%6."/>
      <w:lvlJc w:val="left"/>
      <w:rPr>
        <w:position w:val="0"/>
        <w:lang w:val="en-US"/>
      </w:rPr>
    </w:lvl>
    <w:lvl w:ilvl="6">
      <w:start w:val="1"/>
      <w:numFmt w:val="upperLetter"/>
      <w:lvlText w:val="%7."/>
      <w:lvlJc w:val="left"/>
      <w:rPr>
        <w:position w:val="0"/>
        <w:lang w:val="en-US"/>
      </w:rPr>
    </w:lvl>
    <w:lvl w:ilvl="7">
      <w:start w:val="1"/>
      <w:numFmt w:val="upperLetter"/>
      <w:lvlText w:val="%8."/>
      <w:lvlJc w:val="left"/>
      <w:rPr>
        <w:position w:val="0"/>
        <w:lang w:val="en-US"/>
      </w:rPr>
    </w:lvl>
    <w:lvl w:ilvl="8">
      <w:start w:val="1"/>
      <w:numFmt w:val="upperLetter"/>
      <w:lvlText w:val="%9."/>
      <w:lvlJc w:val="left"/>
      <w:rPr>
        <w:position w:val="0"/>
        <w:lang w:val="en-US"/>
      </w:rPr>
    </w:lvl>
  </w:abstractNum>
  <w:abstractNum w:abstractNumId="11">
    <w:nsid w:val="39EF4701"/>
    <w:multiLevelType w:val="multilevel"/>
    <w:tmpl w:val="5FCCB0F0"/>
    <w:styleLink w:val="Bullet"/>
    <w:lvl w:ilvl="0">
      <w:start w:val="1"/>
      <w:numFmt w:val="bullet"/>
      <w:lvlText w:val="•"/>
      <w:lvlJc w:val="left"/>
      <w:rPr>
        <w:position w:val="-2"/>
      </w:rPr>
    </w:lvl>
    <w:lvl w:ilv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
    <w:nsid w:val="3BF851C3"/>
    <w:multiLevelType w:val="multilevel"/>
    <w:tmpl w:val="FB3603B6"/>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3">
    <w:nsid w:val="44203ED3"/>
    <w:multiLevelType w:val="multilevel"/>
    <w:tmpl w:val="D13C6150"/>
    <w:styleLink w:val="List21"/>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14">
    <w:nsid w:val="48424B11"/>
    <w:multiLevelType w:val="multilevel"/>
    <w:tmpl w:val="243469D8"/>
    <w:styleLink w:val="List31"/>
    <w:lvl w:ilvl="0">
      <w:numFmt w:val="bullet"/>
      <w:lvlText w:val="•"/>
      <w:lvlJc w:val="left"/>
      <w:pPr>
        <w:tabs>
          <w:tab w:val="num" w:pos="1080"/>
        </w:tabs>
        <w:ind w:left="1080" w:hanging="360"/>
      </w:pPr>
      <w:rPr>
        <w:position w:val="0"/>
        <w:sz w:val="22"/>
        <w:szCs w:val="22"/>
      </w:rPr>
    </w:lvl>
    <w:lvl w:ilvl="1">
      <w:start w:val="1"/>
      <w:numFmt w:val="bullet"/>
      <w:lvlText w:val="o"/>
      <w:lvlJc w:val="left"/>
      <w:pPr>
        <w:tabs>
          <w:tab w:val="num" w:pos="1770"/>
        </w:tabs>
        <w:ind w:left="1770" w:hanging="330"/>
      </w:pPr>
      <w:rPr>
        <w:position w:val="0"/>
        <w:sz w:val="22"/>
        <w:szCs w:val="22"/>
      </w:rPr>
    </w:lvl>
    <w:lvl w:ilvl="2">
      <w:start w:val="1"/>
      <w:numFmt w:val="bullet"/>
      <w:lvlText w:val="▪"/>
      <w:lvlJc w:val="left"/>
      <w:pPr>
        <w:tabs>
          <w:tab w:val="num" w:pos="2490"/>
        </w:tabs>
        <w:ind w:left="2490" w:hanging="330"/>
      </w:pPr>
      <w:rPr>
        <w:position w:val="0"/>
        <w:sz w:val="22"/>
        <w:szCs w:val="22"/>
      </w:rPr>
    </w:lvl>
    <w:lvl w:ilvl="3">
      <w:start w:val="1"/>
      <w:numFmt w:val="bullet"/>
      <w:lvlText w:val="•"/>
      <w:lvlJc w:val="left"/>
      <w:pPr>
        <w:tabs>
          <w:tab w:val="num" w:pos="3210"/>
        </w:tabs>
        <w:ind w:left="3210" w:hanging="330"/>
      </w:pPr>
      <w:rPr>
        <w:position w:val="0"/>
        <w:sz w:val="22"/>
        <w:szCs w:val="22"/>
      </w:rPr>
    </w:lvl>
    <w:lvl w:ilvl="4">
      <w:start w:val="1"/>
      <w:numFmt w:val="bullet"/>
      <w:lvlText w:val="o"/>
      <w:lvlJc w:val="left"/>
      <w:pPr>
        <w:tabs>
          <w:tab w:val="num" w:pos="3930"/>
        </w:tabs>
        <w:ind w:left="3930" w:hanging="330"/>
      </w:pPr>
      <w:rPr>
        <w:position w:val="0"/>
        <w:sz w:val="22"/>
        <w:szCs w:val="22"/>
      </w:rPr>
    </w:lvl>
    <w:lvl w:ilvl="5">
      <w:start w:val="1"/>
      <w:numFmt w:val="bullet"/>
      <w:lvlText w:val="▪"/>
      <w:lvlJc w:val="left"/>
      <w:pPr>
        <w:tabs>
          <w:tab w:val="num" w:pos="4650"/>
        </w:tabs>
        <w:ind w:left="4650" w:hanging="330"/>
      </w:pPr>
      <w:rPr>
        <w:position w:val="0"/>
        <w:sz w:val="22"/>
        <w:szCs w:val="22"/>
      </w:rPr>
    </w:lvl>
    <w:lvl w:ilvl="6">
      <w:start w:val="1"/>
      <w:numFmt w:val="bullet"/>
      <w:lvlText w:val="•"/>
      <w:lvlJc w:val="left"/>
      <w:pPr>
        <w:tabs>
          <w:tab w:val="num" w:pos="5370"/>
        </w:tabs>
        <w:ind w:left="5370" w:hanging="330"/>
      </w:pPr>
      <w:rPr>
        <w:position w:val="0"/>
        <w:sz w:val="22"/>
        <w:szCs w:val="22"/>
      </w:rPr>
    </w:lvl>
    <w:lvl w:ilvl="7">
      <w:start w:val="1"/>
      <w:numFmt w:val="bullet"/>
      <w:lvlText w:val="o"/>
      <w:lvlJc w:val="left"/>
      <w:pPr>
        <w:tabs>
          <w:tab w:val="num" w:pos="6090"/>
        </w:tabs>
        <w:ind w:left="6090" w:hanging="330"/>
      </w:pPr>
      <w:rPr>
        <w:position w:val="0"/>
        <w:sz w:val="22"/>
        <w:szCs w:val="22"/>
      </w:rPr>
    </w:lvl>
    <w:lvl w:ilvl="8">
      <w:start w:val="1"/>
      <w:numFmt w:val="bullet"/>
      <w:lvlText w:val="▪"/>
      <w:lvlJc w:val="left"/>
      <w:pPr>
        <w:tabs>
          <w:tab w:val="num" w:pos="6810"/>
        </w:tabs>
        <w:ind w:left="6810" w:hanging="330"/>
      </w:pPr>
      <w:rPr>
        <w:position w:val="0"/>
        <w:sz w:val="22"/>
        <w:szCs w:val="22"/>
      </w:rPr>
    </w:lvl>
  </w:abstractNum>
  <w:abstractNum w:abstractNumId="15">
    <w:nsid w:val="567A5FB3"/>
    <w:multiLevelType w:val="multilevel"/>
    <w:tmpl w:val="3006A9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58421237"/>
    <w:multiLevelType w:val="multilevel"/>
    <w:tmpl w:val="0884FE42"/>
    <w:lvl w:ilvl="0">
      <w:start w:val="1"/>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17">
    <w:nsid w:val="59DA46E3"/>
    <w:multiLevelType w:val="multilevel"/>
    <w:tmpl w:val="7242E096"/>
    <w:lvl w:ilvl="0">
      <w:start w:val="1"/>
      <w:numFmt w:val="bullet"/>
      <w:lvlText w:val="•"/>
      <w:lvlJc w:val="left"/>
      <w:rPr>
        <w:position w:val="-2"/>
      </w:rPr>
    </w:lvl>
    <w:lvl w:ilv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8">
    <w:nsid w:val="616106D5"/>
    <w:multiLevelType w:val="multilevel"/>
    <w:tmpl w:val="8FAC4B8C"/>
    <w:lvl w:ilvl="0">
      <w:numFmt w:val="bullet"/>
      <w:lvlText w:val="•"/>
      <w:lvlJc w:val="left"/>
      <w:pPr>
        <w:tabs>
          <w:tab w:val="num" w:pos="1080"/>
        </w:tabs>
        <w:ind w:left="1080" w:hanging="360"/>
      </w:pPr>
      <w:rPr>
        <w:position w:val="0"/>
        <w:sz w:val="22"/>
        <w:szCs w:val="22"/>
      </w:rPr>
    </w:lvl>
    <w:lvl w:ilvl="1">
      <w:start w:val="1"/>
      <w:numFmt w:val="bullet"/>
      <w:lvlText w:val="o"/>
      <w:lvlJc w:val="left"/>
      <w:pPr>
        <w:tabs>
          <w:tab w:val="num" w:pos="1770"/>
        </w:tabs>
        <w:ind w:left="1770" w:hanging="330"/>
      </w:pPr>
      <w:rPr>
        <w:position w:val="0"/>
        <w:sz w:val="22"/>
        <w:szCs w:val="22"/>
      </w:rPr>
    </w:lvl>
    <w:lvl w:ilvl="2">
      <w:start w:val="1"/>
      <w:numFmt w:val="bullet"/>
      <w:lvlText w:val="▪"/>
      <w:lvlJc w:val="left"/>
      <w:pPr>
        <w:tabs>
          <w:tab w:val="num" w:pos="2490"/>
        </w:tabs>
        <w:ind w:left="2490" w:hanging="330"/>
      </w:pPr>
      <w:rPr>
        <w:position w:val="0"/>
        <w:sz w:val="22"/>
        <w:szCs w:val="22"/>
      </w:rPr>
    </w:lvl>
    <w:lvl w:ilvl="3">
      <w:start w:val="1"/>
      <w:numFmt w:val="bullet"/>
      <w:lvlText w:val="•"/>
      <w:lvlJc w:val="left"/>
      <w:pPr>
        <w:tabs>
          <w:tab w:val="num" w:pos="3210"/>
        </w:tabs>
        <w:ind w:left="3210" w:hanging="330"/>
      </w:pPr>
      <w:rPr>
        <w:position w:val="0"/>
        <w:sz w:val="22"/>
        <w:szCs w:val="22"/>
      </w:rPr>
    </w:lvl>
    <w:lvl w:ilvl="4">
      <w:start w:val="1"/>
      <w:numFmt w:val="bullet"/>
      <w:lvlText w:val="o"/>
      <w:lvlJc w:val="left"/>
      <w:pPr>
        <w:tabs>
          <w:tab w:val="num" w:pos="3930"/>
        </w:tabs>
        <w:ind w:left="3930" w:hanging="330"/>
      </w:pPr>
      <w:rPr>
        <w:position w:val="0"/>
        <w:sz w:val="22"/>
        <w:szCs w:val="22"/>
      </w:rPr>
    </w:lvl>
    <w:lvl w:ilvl="5">
      <w:start w:val="1"/>
      <w:numFmt w:val="bullet"/>
      <w:lvlText w:val="▪"/>
      <w:lvlJc w:val="left"/>
      <w:pPr>
        <w:tabs>
          <w:tab w:val="num" w:pos="4650"/>
        </w:tabs>
        <w:ind w:left="4650" w:hanging="330"/>
      </w:pPr>
      <w:rPr>
        <w:position w:val="0"/>
        <w:sz w:val="22"/>
        <w:szCs w:val="22"/>
      </w:rPr>
    </w:lvl>
    <w:lvl w:ilvl="6">
      <w:start w:val="1"/>
      <w:numFmt w:val="bullet"/>
      <w:lvlText w:val="•"/>
      <w:lvlJc w:val="left"/>
      <w:pPr>
        <w:tabs>
          <w:tab w:val="num" w:pos="5370"/>
        </w:tabs>
        <w:ind w:left="5370" w:hanging="330"/>
      </w:pPr>
      <w:rPr>
        <w:position w:val="0"/>
        <w:sz w:val="22"/>
        <w:szCs w:val="22"/>
      </w:rPr>
    </w:lvl>
    <w:lvl w:ilvl="7">
      <w:start w:val="1"/>
      <w:numFmt w:val="bullet"/>
      <w:lvlText w:val="o"/>
      <w:lvlJc w:val="left"/>
      <w:pPr>
        <w:tabs>
          <w:tab w:val="num" w:pos="6090"/>
        </w:tabs>
        <w:ind w:left="6090" w:hanging="330"/>
      </w:pPr>
      <w:rPr>
        <w:position w:val="0"/>
        <w:sz w:val="22"/>
        <w:szCs w:val="22"/>
      </w:rPr>
    </w:lvl>
    <w:lvl w:ilvl="8">
      <w:start w:val="1"/>
      <w:numFmt w:val="bullet"/>
      <w:lvlText w:val="▪"/>
      <w:lvlJc w:val="left"/>
      <w:pPr>
        <w:tabs>
          <w:tab w:val="num" w:pos="6810"/>
        </w:tabs>
        <w:ind w:left="6810" w:hanging="330"/>
      </w:pPr>
      <w:rPr>
        <w:position w:val="0"/>
        <w:sz w:val="22"/>
        <w:szCs w:val="22"/>
      </w:rPr>
    </w:lvl>
  </w:abstractNum>
  <w:abstractNum w:abstractNumId="19">
    <w:nsid w:val="684D16B2"/>
    <w:multiLevelType w:val="multilevel"/>
    <w:tmpl w:val="DA849CA8"/>
    <w:lvl w:ilvl="0">
      <w:start w:val="1"/>
      <w:numFmt w:val="decimal"/>
      <w:lvlText w:val="%1."/>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20">
    <w:nsid w:val="6D5070BF"/>
    <w:multiLevelType w:val="multilevel"/>
    <w:tmpl w:val="2D4E829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nsid w:val="6E086C4C"/>
    <w:multiLevelType w:val="multilevel"/>
    <w:tmpl w:val="E0FCE69C"/>
    <w:lvl w:ilvl="0">
      <w:start w:val="1"/>
      <w:numFmt w:val="upperLetter"/>
      <w:lvlText w:val="%1."/>
      <w:lvlJc w:val="left"/>
      <w:rPr>
        <w:position w:val="0"/>
        <w:lang w:val="en-US"/>
      </w:rPr>
    </w:lvl>
    <w:lvl w:ilvl="1">
      <w:start w:val="1"/>
      <w:numFmt w:val="upperLetter"/>
      <w:lvlText w:val="%2."/>
      <w:lvlJc w:val="left"/>
      <w:rPr>
        <w:position w:val="0"/>
        <w:lang w:val="en-US"/>
      </w:rPr>
    </w:lvl>
    <w:lvl w:ilvl="2">
      <w:start w:val="1"/>
      <w:numFmt w:val="upperLetter"/>
      <w:lvlText w:val="%3."/>
      <w:lvlJc w:val="left"/>
      <w:rPr>
        <w:position w:val="0"/>
        <w:lang w:val="en-US"/>
      </w:rPr>
    </w:lvl>
    <w:lvl w:ilvl="3">
      <w:start w:val="1"/>
      <w:numFmt w:val="upperLetter"/>
      <w:lvlText w:val="%4."/>
      <w:lvlJc w:val="left"/>
      <w:rPr>
        <w:position w:val="0"/>
        <w:lang w:val="en-US"/>
      </w:rPr>
    </w:lvl>
    <w:lvl w:ilvl="4">
      <w:start w:val="1"/>
      <w:numFmt w:val="upperLetter"/>
      <w:lvlText w:val="%5."/>
      <w:lvlJc w:val="left"/>
      <w:rPr>
        <w:position w:val="0"/>
        <w:lang w:val="en-US"/>
      </w:rPr>
    </w:lvl>
    <w:lvl w:ilvl="5">
      <w:start w:val="1"/>
      <w:numFmt w:val="upperLetter"/>
      <w:lvlText w:val="%6."/>
      <w:lvlJc w:val="left"/>
      <w:rPr>
        <w:position w:val="0"/>
        <w:lang w:val="en-US"/>
      </w:rPr>
    </w:lvl>
    <w:lvl w:ilvl="6">
      <w:start w:val="1"/>
      <w:numFmt w:val="upperLetter"/>
      <w:lvlText w:val="%7."/>
      <w:lvlJc w:val="left"/>
      <w:rPr>
        <w:position w:val="0"/>
        <w:lang w:val="en-US"/>
      </w:rPr>
    </w:lvl>
    <w:lvl w:ilvl="7">
      <w:start w:val="1"/>
      <w:numFmt w:val="upperLetter"/>
      <w:lvlText w:val="%8."/>
      <w:lvlJc w:val="left"/>
      <w:rPr>
        <w:position w:val="0"/>
        <w:lang w:val="en-US"/>
      </w:rPr>
    </w:lvl>
    <w:lvl w:ilvl="8">
      <w:start w:val="1"/>
      <w:numFmt w:val="upperLetter"/>
      <w:lvlText w:val="%9."/>
      <w:lvlJc w:val="left"/>
      <w:rPr>
        <w:position w:val="0"/>
        <w:lang w:val="en-US"/>
      </w:rPr>
    </w:lvl>
  </w:abstractNum>
  <w:abstractNum w:abstractNumId="22">
    <w:nsid w:val="740F43D7"/>
    <w:multiLevelType w:val="multilevel"/>
    <w:tmpl w:val="B7000766"/>
    <w:lvl w:ilvl="0">
      <w:start w:val="1"/>
      <w:numFmt w:val="bullet"/>
      <w:lvlText w:val="•"/>
      <w:lvlJc w:val="left"/>
      <w:pPr>
        <w:tabs>
          <w:tab w:val="num" w:pos="180"/>
        </w:tabs>
        <w:ind w:left="180" w:hanging="180"/>
      </w:pPr>
      <w:rPr>
        <w:color w:val="0432FF"/>
        <w:position w:val="-2"/>
        <w:sz w:val="22"/>
        <w:szCs w:val="22"/>
      </w:rPr>
    </w:lvl>
    <w:lvl w:ilvl="1">
      <w:numFmt w:val="bullet"/>
      <w:lvlText w:val="•"/>
      <w:lvlJc w:val="left"/>
      <w:pPr>
        <w:tabs>
          <w:tab w:val="num" w:pos="376"/>
        </w:tabs>
        <w:ind w:left="376" w:hanging="196"/>
      </w:pPr>
      <w:rPr>
        <w:color w:val="0432FF"/>
        <w:position w:val="-2"/>
        <w:sz w:val="22"/>
        <w:szCs w:val="22"/>
      </w:rPr>
    </w:lvl>
    <w:lvl w:ilvl="2">
      <w:start w:val="1"/>
      <w:numFmt w:val="bullet"/>
      <w:lvlText w:val="•"/>
      <w:lvlJc w:val="left"/>
      <w:pPr>
        <w:tabs>
          <w:tab w:val="num" w:pos="540"/>
        </w:tabs>
        <w:ind w:left="540" w:hanging="180"/>
      </w:pPr>
      <w:rPr>
        <w:color w:val="0432FF"/>
        <w:position w:val="-2"/>
        <w:sz w:val="22"/>
        <w:szCs w:val="22"/>
      </w:rPr>
    </w:lvl>
    <w:lvl w:ilvl="3">
      <w:start w:val="1"/>
      <w:numFmt w:val="bullet"/>
      <w:lvlText w:val="•"/>
      <w:lvlJc w:val="left"/>
      <w:pPr>
        <w:tabs>
          <w:tab w:val="num" w:pos="720"/>
        </w:tabs>
        <w:ind w:left="720" w:hanging="180"/>
      </w:pPr>
      <w:rPr>
        <w:color w:val="0432FF"/>
        <w:position w:val="-2"/>
        <w:sz w:val="22"/>
        <w:szCs w:val="22"/>
      </w:rPr>
    </w:lvl>
    <w:lvl w:ilvl="4">
      <w:start w:val="1"/>
      <w:numFmt w:val="bullet"/>
      <w:lvlText w:val="•"/>
      <w:lvlJc w:val="left"/>
      <w:pPr>
        <w:tabs>
          <w:tab w:val="num" w:pos="900"/>
        </w:tabs>
        <w:ind w:left="900" w:hanging="180"/>
      </w:pPr>
      <w:rPr>
        <w:color w:val="0432FF"/>
        <w:position w:val="-2"/>
        <w:sz w:val="22"/>
        <w:szCs w:val="22"/>
      </w:rPr>
    </w:lvl>
    <w:lvl w:ilvl="5">
      <w:start w:val="1"/>
      <w:numFmt w:val="bullet"/>
      <w:lvlText w:val="•"/>
      <w:lvlJc w:val="left"/>
      <w:pPr>
        <w:tabs>
          <w:tab w:val="num" w:pos="1080"/>
        </w:tabs>
        <w:ind w:left="1080" w:hanging="180"/>
      </w:pPr>
      <w:rPr>
        <w:color w:val="0432FF"/>
        <w:position w:val="-2"/>
        <w:sz w:val="22"/>
        <w:szCs w:val="22"/>
      </w:rPr>
    </w:lvl>
    <w:lvl w:ilvl="6">
      <w:start w:val="1"/>
      <w:numFmt w:val="bullet"/>
      <w:lvlText w:val="•"/>
      <w:lvlJc w:val="left"/>
      <w:pPr>
        <w:tabs>
          <w:tab w:val="num" w:pos="1260"/>
        </w:tabs>
        <w:ind w:left="1260" w:hanging="180"/>
      </w:pPr>
      <w:rPr>
        <w:color w:val="0432FF"/>
        <w:position w:val="-2"/>
        <w:sz w:val="22"/>
        <w:szCs w:val="22"/>
      </w:rPr>
    </w:lvl>
    <w:lvl w:ilvl="7">
      <w:start w:val="1"/>
      <w:numFmt w:val="bullet"/>
      <w:lvlText w:val="•"/>
      <w:lvlJc w:val="left"/>
      <w:pPr>
        <w:tabs>
          <w:tab w:val="num" w:pos="1440"/>
        </w:tabs>
        <w:ind w:left="1440" w:hanging="180"/>
      </w:pPr>
      <w:rPr>
        <w:color w:val="0432FF"/>
        <w:position w:val="-2"/>
        <w:sz w:val="22"/>
        <w:szCs w:val="22"/>
      </w:rPr>
    </w:lvl>
    <w:lvl w:ilvl="8">
      <w:start w:val="1"/>
      <w:numFmt w:val="bullet"/>
      <w:lvlText w:val="•"/>
      <w:lvlJc w:val="left"/>
      <w:pPr>
        <w:tabs>
          <w:tab w:val="num" w:pos="1620"/>
        </w:tabs>
        <w:ind w:left="1620" w:hanging="180"/>
      </w:pPr>
      <w:rPr>
        <w:color w:val="0432FF"/>
        <w:position w:val="-2"/>
        <w:sz w:val="22"/>
        <w:szCs w:val="22"/>
      </w:rPr>
    </w:lvl>
  </w:abstractNum>
  <w:num w:numId="1">
    <w:abstractNumId w:val="12"/>
  </w:num>
  <w:num w:numId="2">
    <w:abstractNumId w:val="20"/>
  </w:num>
  <w:num w:numId="3">
    <w:abstractNumId w:val="4"/>
  </w:num>
  <w:num w:numId="4">
    <w:abstractNumId w:val="3"/>
  </w:num>
  <w:num w:numId="5">
    <w:abstractNumId w:val="8"/>
  </w:num>
  <w:num w:numId="6">
    <w:abstractNumId w:val="5"/>
  </w:num>
  <w:num w:numId="7">
    <w:abstractNumId w:val="22"/>
  </w:num>
  <w:num w:numId="8">
    <w:abstractNumId w:val="6"/>
  </w:num>
  <w:num w:numId="9">
    <w:abstractNumId w:val="19"/>
  </w:num>
  <w:num w:numId="10">
    <w:abstractNumId w:val="7"/>
  </w:num>
  <w:num w:numId="11">
    <w:abstractNumId w:val="13"/>
  </w:num>
  <w:num w:numId="12">
    <w:abstractNumId w:val="16"/>
  </w:num>
  <w:num w:numId="13">
    <w:abstractNumId w:val="15"/>
  </w:num>
  <w:num w:numId="14">
    <w:abstractNumId w:val="2"/>
  </w:num>
  <w:num w:numId="15">
    <w:abstractNumId w:val="9"/>
  </w:num>
  <w:num w:numId="16">
    <w:abstractNumId w:val="18"/>
  </w:num>
  <w:num w:numId="17">
    <w:abstractNumId w:val="14"/>
  </w:num>
  <w:num w:numId="18">
    <w:abstractNumId w:val="21"/>
  </w:num>
  <w:num w:numId="19">
    <w:abstractNumId w:val="10"/>
  </w:num>
  <w:num w:numId="20">
    <w:abstractNumId w:val="1"/>
  </w:num>
  <w:num w:numId="21">
    <w:abstractNumId w:val="0"/>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AA"/>
    <w:rsid w:val="006E3D3F"/>
    <w:rsid w:val="00B86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3AE4B-17D2-45FA-80C2-B1744D46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4">
    <w:name w:val="heading 4"/>
    <w:next w:val="Body"/>
    <w:pPr>
      <w:keepNext/>
      <w:widowControl w:val="0"/>
      <w:suppressAutoHyphens/>
      <w:outlineLvl w:val="3"/>
    </w:pPr>
    <w:rPr>
      <w:rFonts w:ascii="Times New Roman Bold" w:hAnsi="Arial Unicode MS"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 w:type="paragraph" w:styleId="ListParagraph">
    <w:name w:val="List Paragraph"/>
    <w:pPr>
      <w:ind w:left="720"/>
    </w:pPr>
    <w:rPr>
      <w:rFonts w:hAnsi="Arial Unicode MS" w:cs="Arial Unicode MS"/>
      <w:color w:val="000000"/>
      <w:sz w:val="24"/>
      <w:szCs w:val="24"/>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Bullet"/>
    <w:pPr>
      <w:numPr>
        <w:numId w:val="8"/>
      </w:numPr>
    </w:pPr>
  </w:style>
  <w:style w:type="numbering" w:customStyle="1" w:styleId="Bullet">
    <w:name w:val="Bullet"/>
    <w:pPr>
      <w:numPr>
        <w:numId w:val="23"/>
      </w:numPr>
    </w:pPr>
  </w:style>
  <w:style w:type="numbering" w:customStyle="1" w:styleId="List21">
    <w:name w:val="List 21"/>
    <w:basedOn w:val="Numbered"/>
    <w:pPr>
      <w:numPr>
        <w:numId w:val="11"/>
      </w:numPr>
    </w:pPr>
  </w:style>
  <w:style w:type="numbering" w:customStyle="1" w:styleId="Numbered">
    <w:name w:val="Numbered"/>
  </w:style>
  <w:style w:type="paragraph" w:customStyle="1" w:styleId="BodyA">
    <w:name w:val="Body A"/>
    <w:rPr>
      <w:rFonts w:ascii="Helvetica" w:hAnsi="Arial Unicode MS" w:cs="Arial Unicode MS"/>
      <w:color w:val="000000"/>
      <w:sz w:val="22"/>
      <w:szCs w:val="22"/>
      <w:u w:color="000000"/>
      <w:lang w:val="en-US"/>
    </w:rPr>
  </w:style>
  <w:style w:type="paragraph" w:customStyle="1" w:styleId="Default">
    <w:name w:val="Default"/>
    <w:rPr>
      <w:rFonts w:ascii="Helvetica" w:hAnsi="Arial Unicode MS" w:cs="Arial Unicode MS"/>
      <w:color w:val="000000"/>
      <w:sz w:val="22"/>
      <w:szCs w:val="22"/>
      <w:lang w:val="en-US"/>
    </w:rPr>
  </w:style>
  <w:style w:type="character" w:customStyle="1" w:styleId="Hyperlink0">
    <w:name w:val="Hyperlink.0"/>
    <w:basedOn w:val="Hyperlink"/>
    <w:rPr>
      <w:u w:val="single"/>
    </w:rPr>
  </w:style>
  <w:style w:type="numbering" w:customStyle="1" w:styleId="List31">
    <w:name w:val="List 31"/>
    <w:basedOn w:val="ImportedStyle2"/>
    <w:pPr>
      <w:numPr>
        <w:numId w:val="17"/>
      </w:numPr>
    </w:pPr>
  </w:style>
  <w:style w:type="numbering" w:customStyle="1" w:styleId="ImportedStyle2">
    <w:name w:val="Imported Style 2"/>
  </w:style>
  <w:style w:type="numbering" w:customStyle="1" w:styleId="Lettered">
    <w:name w:val="Lettere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philhealth.gov.ph/news/2018/zben_cdd.htm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philhealth.gov.ph/news/2016/prosthesis_packag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A4B11A-4CFD-48B2-9AD1-B1CC6843ABBE}"/>
</file>

<file path=customXml/itemProps2.xml><?xml version="1.0" encoding="utf-8"?>
<ds:datastoreItem xmlns:ds="http://schemas.openxmlformats.org/officeDocument/2006/customXml" ds:itemID="{99E831C8-9A57-4158-93C1-19FB89AEC437}"/>
</file>

<file path=customXml/itemProps3.xml><?xml version="1.0" encoding="utf-8"?>
<ds:datastoreItem xmlns:ds="http://schemas.openxmlformats.org/officeDocument/2006/customXml" ds:itemID="{BEE22132-9C6B-4995-8468-FD03F62BF9BB}"/>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GRIGORAS Alina</dc:creator>
  <cp:lastModifiedBy>GRIGORAS Alina</cp:lastModifiedBy>
  <cp:revision>2</cp:revision>
  <dcterms:created xsi:type="dcterms:W3CDTF">2018-04-11T13:15:00Z</dcterms:created>
  <dcterms:modified xsi:type="dcterms:W3CDTF">2018-04-11T13:15:00Z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