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D24" w:rsidRDefault="009D2D24"/>
    <w:p w:rsidR="00027113" w:rsidRDefault="00027113">
      <w:pPr>
        <w:rPr>
          <w:sz w:val="44"/>
          <w:szCs w:val="44"/>
        </w:rPr>
      </w:pPr>
      <w:r>
        <w:rPr>
          <w:sz w:val="44"/>
          <w:szCs w:val="44"/>
        </w:rPr>
        <w:t xml:space="preserve">                                  </w:t>
      </w:r>
      <w:r w:rsidRPr="00027113">
        <w:rPr>
          <w:noProof/>
          <w:sz w:val="44"/>
          <w:szCs w:val="44"/>
        </w:rPr>
        <w:drawing>
          <wp:inline distT="0" distB="0" distL="0" distR="0">
            <wp:extent cx="1066800" cy="914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66800" cy="914400"/>
                    </a:xfrm>
                    <a:prstGeom prst="rect">
                      <a:avLst/>
                    </a:prstGeom>
                    <a:solidFill>
                      <a:srgbClr val="FFFF00"/>
                    </a:solidFill>
                    <a:ln w="9525">
                      <a:noFill/>
                      <a:miter lim="800000"/>
                      <a:headEnd/>
                      <a:tailEnd/>
                    </a:ln>
                  </pic:spPr>
                </pic:pic>
              </a:graphicData>
            </a:graphic>
          </wp:inline>
        </w:drawing>
      </w:r>
      <w:r>
        <w:rPr>
          <w:sz w:val="44"/>
          <w:szCs w:val="44"/>
        </w:rPr>
        <w:t xml:space="preserve">     </w:t>
      </w:r>
    </w:p>
    <w:p w:rsidR="00027113" w:rsidRPr="00027113" w:rsidRDefault="00027113">
      <w:pPr>
        <w:rPr>
          <w:sz w:val="24"/>
          <w:szCs w:val="24"/>
        </w:rPr>
      </w:pPr>
      <w:r>
        <w:rPr>
          <w:sz w:val="24"/>
          <w:szCs w:val="24"/>
        </w:rPr>
        <w:t xml:space="preserve">                                                   </w:t>
      </w:r>
      <w:r w:rsidRPr="00027113">
        <w:rPr>
          <w:sz w:val="24"/>
          <w:szCs w:val="24"/>
        </w:rPr>
        <w:t>THE REPUBLIC OF UGANDA</w:t>
      </w:r>
    </w:p>
    <w:p w:rsidR="00027113" w:rsidRDefault="00027113">
      <w:pPr>
        <w:rPr>
          <w:sz w:val="44"/>
          <w:szCs w:val="44"/>
        </w:rPr>
      </w:pPr>
    </w:p>
    <w:p w:rsidR="00027113" w:rsidRDefault="00027113">
      <w:pPr>
        <w:rPr>
          <w:sz w:val="44"/>
          <w:szCs w:val="44"/>
        </w:rPr>
      </w:pPr>
    </w:p>
    <w:p w:rsidR="00027113" w:rsidRDefault="00027113">
      <w:pPr>
        <w:rPr>
          <w:sz w:val="44"/>
          <w:szCs w:val="44"/>
        </w:rPr>
      </w:pPr>
    </w:p>
    <w:p w:rsidR="00681788" w:rsidRPr="002869AF" w:rsidRDefault="00027113">
      <w:pPr>
        <w:rPr>
          <w:b/>
          <w:sz w:val="44"/>
          <w:szCs w:val="44"/>
        </w:rPr>
      </w:pPr>
      <w:r w:rsidRPr="002869AF">
        <w:rPr>
          <w:b/>
          <w:sz w:val="44"/>
          <w:szCs w:val="44"/>
        </w:rPr>
        <w:t>RESPONSES TO THE UN SPECIAL RAPPORTUER ON RIGHTS OF PERSONS WITH DISABILITIES TO HEALTH</w:t>
      </w:r>
    </w:p>
    <w:p w:rsidR="00027113" w:rsidRPr="002869AF" w:rsidRDefault="00027113">
      <w:pPr>
        <w:rPr>
          <w:b/>
          <w:sz w:val="44"/>
          <w:szCs w:val="44"/>
        </w:rPr>
      </w:pPr>
    </w:p>
    <w:p w:rsidR="00027113" w:rsidRDefault="00027113">
      <w:pPr>
        <w:rPr>
          <w:sz w:val="44"/>
          <w:szCs w:val="44"/>
        </w:rPr>
      </w:pPr>
    </w:p>
    <w:p w:rsidR="00027113" w:rsidRDefault="00027113">
      <w:pPr>
        <w:rPr>
          <w:sz w:val="44"/>
          <w:szCs w:val="44"/>
        </w:rPr>
      </w:pPr>
    </w:p>
    <w:p w:rsidR="00027113" w:rsidRPr="00027113" w:rsidRDefault="00027113">
      <w:pPr>
        <w:rPr>
          <w:sz w:val="44"/>
          <w:szCs w:val="44"/>
        </w:rPr>
      </w:pPr>
      <w:bookmarkStart w:id="0" w:name="_GoBack"/>
      <w:bookmarkEnd w:id="0"/>
    </w:p>
    <w:tbl>
      <w:tblPr>
        <w:tblW w:w="11340" w:type="dxa"/>
        <w:tblInd w:w="-1152" w:type="dxa"/>
        <w:tblLook w:val="01E0" w:firstRow="1" w:lastRow="1" w:firstColumn="1" w:lastColumn="1" w:noHBand="0" w:noVBand="0"/>
      </w:tblPr>
      <w:tblGrid>
        <w:gridCol w:w="11340"/>
      </w:tblGrid>
      <w:tr w:rsidR="00027113" w:rsidTr="00CF302F">
        <w:trPr>
          <w:trHeight w:val="172"/>
        </w:trPr>
        <w:tc>
          <w:tcPr>
            <w:tcW w:w="11340" w:type="dxa"/>
            <w:vMerge w:val="restart"/>
            <w:hideMark/>
          </w:tcPr>
          <w:p w:rsidR="00C606F0" w:rsidRDefault="00027113" w:rsidP="00AE4F3A">
            <w:pPr>
              <w:spacing w:after="0" w:line="240" w:lineRule="auto"/>
              <w:jc w:val="both"/>
              <w:rPr>
                <w:rFonts w:ascii="Century Gothic" w:hAnsi="Century Gothic"/>
                <w:b/>
                <w:bCs/>
                <w:sz w:val="28"/>
                <w:szCs w:val="28"/>
              </w:rPr>
            </w:pPr>
            <w:r>
              <w:rPr>
                <w:rFonts w:ascii="Century Gothic" w:hAnsi="Century Gothic"/>
                <w:b/>
                <w:bCs/>
                <w:sz w:val="28"/>
                <w:szCs w:val="28"/>
              </w:rPr>
              <w:t xml:space="preserve">              Ministry of Gender, Labour  and   Social Development</w:t>
            </w:r>
          </w:p>
          <w:p w:rsidR="00027113" w:rsidRDefault="00C606F0" w:rsidP="00AE4F3A">
            <w:pPr>
              <w:spacing w:after="0" w:line="240" w:lineRule="auto"/>
              <w:jc w:val="both"/>
              <w:rPr>
                <w:rFonts w:ascii="Century Gothic" w:hAnsi="Century Gothic"/>
                <w:b/>
                <w:bCs/>
                <w:sz w:val="28"/>
                <w:szCs w:val="28"/>
              </w:rPr>
            </w:pPr>
            <w:r>
              <w:rPr>
                <w:rFonts w:ascii="Century Gothic" w:hAnsi="Century Gothic"/>
                <w:b/>
                <w:bCs/>
                <w:sz w:val="28"/>
                <w:szCs w:val="28"/>
              </w:rPr>
              <w:t xml:space="preserve">              Department of Disability and Elderly</w:t>
            </w:r>
            <w:r w:rsidR="00027113">
              <w:rPr>
                <w:rFonts w:ascii="Century Gothic" w:hAnsi="Century Gothic"/>
                <w:b/>
                <w:bCs/>
                <w:sz w:val="28"/>
                <w:szCs w:val="28"/>
              </w:rPr>
              <w:t xml:space="preserve">             </w:t>
            </w:r>
          </w:p>
          <w:p w:rsidR="00027113" w:rsidRDefault="00027113" w:rsidP="00AE4F3A">
            <w:pPr>
              <w:spacing w:after="0" w:line="240" w:lineRule="auto"/>
              <w:jc w:val="both"/>
              <w:rPr>
                <w:rFonts w:ascii="Century Gothic" w:hAnsi="Century Gothic"/>
                <w:b/>
                <w:bCs/>
                <w:sz w:val="28"/>
                <w:szCs w:val="28"/>
                <w:lang w:val="es-CO"/>
              </w:rPr>
            </w:pPr>
            <w:r>
              <w:rPr>
                <w:rFonts w:ascii="Century Gothic" w:hAnsi="Century Gothic"/>
                <w:b/>
                <w:bCs/>
                <w:sz w:val="28"/>
                <w:szCs w:val="28"/>
                <w:lang w:val="es-CO"/>
              </w:rPr>
              <w:t xml:space="preserve">               P.O. Box 7136</w:t>
            </w:r>
          </w:p>
          <w:p w:rsidR="00027113" w:rsidRDefault="00027113" w:rsidP="00AE4F3A">
            <w:pPr>
              <w:spacing w:after="0" w:line="240" w:lineRule="auto"/>
              <w:jc w:val="both"/>
              <w:rPr>
                <w:rFonts w:ascii="Century Gothic" w:hAnsi="Century Gothic"/>
                <w:b/>
                <w:bCs/>
                <w:sz w:val="28"/>
                <w:szCs w:val="28"/>
                <w:lang w:val="es-CO"/>
              </w:rPr>
            </w:pPr>
            <w:r>
              <w:rPr>
                <w:rFonts w:ascii="Century Gothic" w:hAnsi="Century Gothic"/>
                <w:b/>
                <w:bCs/>
                <w:sz w:val="28"/>
                <w:szCs w:val="28"/>
                <w:lang w:val="es-CO"/>
              </w:rPr>
              <w:t xml:space="preserve">               Kampala,</w:t>
            </w:r>
          </w:p>
          <w:p w:rsidR="00027113" w:rsidRDefault="00027113" w:rsidP="00AE4F3A">
            <w:pPr>
              <w:spacing w:after="0" w:line="240" w:lineRule="auto"/>
              <w:jc w:val="both"/>
              <w:rPr>
                <w:rFonts w:ascii="Century Gothic" w:hAnsi="Century Gothic"/>
                <w:sz w:val="14"/>
                <w:szCs w:val="14"/>
                <w:lang w:val="es-CO"/>
              </w:rPr>
            </w:pPr>
            <w:r>
              <w:rPr>
                <w:rFonts w:ascii="Century Gothic" w:hAnsi="Century Gothic"/>
                <w:b/>
                <w:bCs/>
                <w:sz w:val="28"/>
                <w:szCs w:val="28"/>
                <w:lang w:val="es-CO"/>
              </w:rPr>
              <w:t xml:space="preserve">               Uganda</w:t>
            </w:r>
            <w:r>
              <w:rPr>
                <w:rFonts w:ascii="Century Gothic" w:hAnsi="Century Gothic"/>
                <w:b/>
                <w:bCs/>
                <w:lang w:val="es-CO"/>
              </w:rPr>
              <w:t>.</w:t>
            </w:r>
          </w:p>
        </w:tc>
      </w:tr>
      <w:tr w:rsidR="00027113" w:rsidTr="00AE4F3A">
        <w:trPr>
          <w:trHeight w:val="172"/>
        </w:trPr>
        <w:tc>
          <w:tcPr>
            <w:tcW w:w="0" w:type="auto"/>
            <w:vMerge/>
            <w:vAlign w:val="center"/>
            <w:hideMark/>
          </w:tcPr>
          <w:p w:rsidR="00027113" w:rsidRDefault="00027113" w:rsidP="00AE4F3A">
            <w:pPr>
              <w:spacing w:after="0" w:line="240" w:lineRule="auto"/>
              <w:rPr>
                <w:rFonts w:ascii="Century Gothic" w:hAnsi="Century Gothic"/>
                <w:sz w:val="14"/>
                <w:szCs w:val="14"/>
                <w:lang w:val="es-CO"/>
              </w:rPr>
            </w:pPr>
          </w:p>
        </w:tc>
      </w:tr>
      <w:tr w:rsidR="00027113" w:rsidTr="00AE4F3A">
        <w:trPr>
          <w:trHeight w:val="172"/>
        </w:trPr>
        <w:tc>
          <w:tcPr>
            <w:tcW w:w="0" w:type="auto"/>
            <w:vMerge/>
            <w:vAlign w:val="center"/>
            <w:hideMark/>
          </w:tcPr>
          <w:p w:rsidR="00027113" w:rsidRDefault="00027113" w:rsidP="00AE4F3A">
            <w:pPr>
              <w:spacing w:after="0" w:line="240" w:lineRule="auto"/>
              <w:rPr>
                <w:rFonts w:ascii="Century Gothic" w:hAnsi="Century Gothic"/>
                <w:sz w:val="14"/>
                <w:szCs w:val="14"/>
                <w:lang w:val="es-CO"/>
              </w:rPr>
            </w:pPr>
          </w:p>
        </w:tc>
      </w:tr>
      <w:tr w:rsidR="00027113" w:rsidTr="00AE4F3A">
        <w:trPr>
          <w:trHeight w:val="172"/>
        </w:trPr>
        <w:tc>
          <w:tcPr>
            <w:tcW w:w="0" w:type="auto"/>
            <w:vMerge/>
            <w:vAlign w:val="center"/>
            <w:hideMark/>
          </w:tcPr>
          <w:p w:rsidR="00027113" w:rsidRDefault="00027113" w:rsidP="00AE4F3A">
            <w:pPr>
              <w:spacing w:after="0" w:line="240" w:lineRule="auto"/>
              <w:rPr>
                <w:rFonts w:ascii="Century Gothic" w:hAnsi="Century Gothic"/>
                <w:sz w:val="14"/>
                <w:szCs w:val="14"/>
                <w:lang w:val="es-CO"/>
              </w:rPr>
            </w:pPr>
          </w:p>
        </w:tc>
      </w:tr>
      <w:tr w:rsidR="00027113" w:rsidTr="00AE4F3A">
        <w:trPr>
          <w:trHeight w:val="172"/>
        </w:trPr>
        <w:tc>
          <w:tcPr>
            <w:tcW w:w="0" w:type="auto"/>
            <w:vMerge/>
            <w:vAlign w:val="center"/>
            <w:hideMark/>
          </w:tcPr>
          <w:p w:rsidR="00027113" w:rsidRDefault="00027113" w:rsidP="00AE4F3A">
            <w:pPr>
              <w:spacing w:after="0" w:line="240" w:lineRule="auto"/>
              <w:rPr>
                <w:rFonts w:ascii="Century Gothic" w:hAnsi="Century Gothic"/>
                <w:sz w:val="14"/>
                <w:szCs w:val="14"/>
                <w:lang w:val="es-CO"/>
              </w:rPr>
            </w:pPr>
          </w:p>
        </w:tc>
      </w:tr>
      <w:tr w:rsidR="00027113" w:rsidTr="00AE4F3A">
        <w:trPr>
          <w:trHeight w:val="172"/>
        </w:trPr>
        <w:tc>
          <w:tcPr>
            <w:tcW w:w="0" w:type="auto"/>
            <w:vMerge/>
            <w:vAlign w:val="center"/>
            <w:hideMark/>
          </w:tcPr>
          <w:p w:rsidR="00027113" w:rsidRDefault="00027113" w:rsidP="00AE4F3A">
            <w:pPr>
              <w:spacing w:after="0" w:line="240" w:lineRule="auto"/>
              <w:rPr>
                <w:rFonts w:ascii="Century Gothic" w:hAnsi="Century Gothic"/>
                <w:sz w:val="14"/>
                <w:szCs w:val="14"/>
                <w:lang w:val="es-CO"/>
              </w:rPr>
            </w:pPr>
          </w:p>
        </w:tc>
      </w:tr>
      <w:tr w:rsidR="00027113" w:rsidTr="00AE4F3A">
        <w:trPr>
          <w:trHeight w:val="172"/>
        </w:trPr>
        <w:tc>
          <w:tcPr>
            <w:tcW w:w="0" w:type="auto"/>
            <w:vMerge/>
            <w:vAlign w:val="center"/>
            <w:hideMark/>
          </w:tcPr>
          <w:p w:rsidR="00027113" w:rsidRDefault="00027113" w:rsidP="00AE4F3A">
            <w:pPr>
              <w:spacing w:after="0" w:line="240" w:lineRule="auto"/>
              <w:rPr>
                <w:rFonts w:ascii="Century Gothic" w:hAnsi="Century Gothic"/>
                <w:sz w:val="14"/>
                <w:szCs w:val="14"/>
                <w:lang w:val="es-CO"/>
              </w:rPr>
            </w:pPr>
          </w:p>
        </w:tc>
      </w:tr>
      <w:tr w:rsidR="00027113" w:rsidTr="00AE4F3A">
        <w:trPr>
          <w:trHeight w:val="172"/>
        </w:trPr>
        <w:tc>
          <w:tcPr>
            <w:tcW w:w="0" w:type="auto"/>
            <w:vMerge/>
            <w:vAlign w:val="center"/>
            <w:hideMark/>
          </w:tcPr>
          <w:p w:rsidR="00027113" w:rsidRDefault="00027113" w:rsidP="00AE4F3A">
            <w:pPr>
              <w:spacing w:after="0" w:line="240" w:lineRule="auto"/>
              <w:rPr>
                <w:rFonts w:ascii="Century Gothic" w:hAnsi="Century Gothic"/>
                <w:sz w:val="14"/>
                <w:szCs w:val="14"/>
                <w:lang w:val="es-CO"/>
              </w:rPr>
            </w:pPr>
          </w:p>
        </w:tc>
      </w:tr>
      <w:tr w:rsidR="00027113" w:rsidTr="00AE4F3A">
        <w:trPr>
          <w:trHeight w:val="397"/>
        </w:trPr>
        <w:tc>
          <w:tcPr>
            <w:tcW w:w="0" w:type="auto"/>
            <w:vMerge/>
            <w:vAlign w:val="center"/>
            <w:hideMark/>
          </w:tcPr>
          <w:p w:rsidR="00027113" w:rsidRDefault="00027113" w:rsidP="00AE4F3A">
            <w:pPr>
              <w:spacing w:after="0" w:line="240" w:lineRule="auto"/>
              <w:rPr>
                <w:rFonts w:ascii="Century Gothic" w:hAnsi="Century Gothic"/>
                <w:sz w:val="14"/>
                <w:szCs w:val="14"/>
                <w:lang w:val="es-CO"/>
              </w:rPr>
            </w:pPr>
          </w:p>
        </w:tc>
      </w:tr>
      <w:tr w:rsidR="00027113" w:rsidTr="00CF302F">
        <w:tc>
          <w:tcPr>
            <w:tcW w:w="11340" w:type="dxa"/>
          </w:tcPr>
          <w:p w:rsidR="00027113" w:rsidRDefault="00027113" w:rsidP="00AE4F3A">
            <w:pPr>
              <w:spacing w:after="0" w:line="240" w:lineRule="auto"/>
              <w:jc w:val="both"/>
              <w:rPr>
                <w:sz w:val="14"/>
                <w:szCs w:val="14"/>
              </w:rPr>
            </w:pPr>
          </w:p>
        </w:tc>
      </w:tr>
    </w:tbl>
    <w:p w:rsidR="00CF302F" w:rsidRPr="0009083F" w:rsidRDefault="00CF302F" w:rsidP="0009083F">
      <w:pPr>
        <w:jc w:val="both"/>
        <w:rPr>
          <w:rFonts w:ascii="Times New Roman" w:hAnsi="Times New Roman" w:cs="Times New Roman"/>
          <w:b/>
          <w:sz w:val="28"/>
          <w:szCs w:val="28"/>
          <w:u w:val="single"/>
        </w:rPr>
      </w:pPr>
      <w:r w:rsidRPr="0009083F">
        <w:rPr>
          <w:rFonts w:ascii="Times New Roman" w:hAnsi="Times New Roman" w:cs="Times New Roman"/>
          <w:b/>
          <w:sz w:val="28"/>
          <w:szCs w:val="28"/>
          <w:u w:val="single"/>
        </w:rPr>
        <w:lastRenderedPageBreak/>
        <w:t>Questionnaire on the rights of persons with disabilities to the highest attainable standard of health</w:t>
      </w:r>
    </w:p>
    <w:p w:rsidR="00CF302F" w:rsidRPr="0009083F" w:rsidRDefault="002869AF" w:rsidP="0009083F">
      <w:pPr>
        <w:ind w:left="270"/>
        <w:jc w:val="both"/>
        <w:rPr>
          <w:rFonts w:ascii="Times New Roman" w:hAnsi="Times New Roman" w:cs="Times New Roman"/>
          <w:b/>
          <w:sz w:val="28"/>
          <w:szCs w:val="28"/>
        </w:rPr>
      </w:pPr>
      <w:r w:rsidRPr="0009083F">
        <w:rPr>
          <w:rFonts w:ascii="Times New Roman" w:hAnsi="Times New Roman" w:cs="Times New Roman"/>
          <w:b/>
          <w:sz w:val="28"/>
          <w:szCs w:val="28"/>
        </w:rPr>
        <w:t>1. Please</w:t>
      </w:r>
      <w:r w:rsidR="00CF302F" w:rsidRPr="0009083F">
        <w:rPr>
          <w:rFonts w:ascii="Times New Roman" w:hAnsi="Times New Roman" w:cs="Times New Roman"/>
          <w:b/>
          <w:sz w:val="28"/>
          <w:szCs w:val="28"/>
        </w:rPr>
        <w:t xml:space="preserve"> provide information on existing or planned legislation and policies to ensure the realization of the right to health of persons with disabilities, including current challenges and good practices.</w:t>
      </w:r>
    </w:p>
    <w:p w:rsidR="00B23043" w:rsidRPr="0009083F" w:rsidRDefault="00B23043" w:rsidP="0009083F">
      <w:pPr>
        <w:ind w:left="360"/>
        <w:jc w:val="both"/>
        <w:rPr>
          <w:rFonts w:ascii="Times New Roman" w:hAnsi="Times New Roman" w:cs="Times New Roman"/>
          <w:sz w:val="28"/>
          <w:szCs w:val="28"/>
        </w:rPr>
      </w:pPr>
      <w:r w:rsidRPr="0009083F">
        <w:rPr>
          <w:rFonts w:ascii="Times New Roman" w:hAnsi="Times New Roman" w:cs="Times New Roman"/>
          <w:sz w:val="28"/>
          <w:szCs w:val="28"/>
        </w:rPr>
        <w:t>The existing or planned legislation and policies include;</w:t>
      </w:r>
    </w:p>
    <w:p w:rsidR="00D84460" w:rsidRPr="0009083F" w:rsidRDefault="00A36D0D" w:rsidP="0009083F">
      <w:pPr>
        <w:pStyle w:val="ListParagraph"/>
        <w:rPr>
          <w:rStyle w:val="Strong"/>
          <w:b w:val="0"/>
          <w:i/>
        </w:rPr>
      </w:pPr>
      <w:r w:rsidRPr="0009083F">
        <w:t xml:space="preserve">a) </w:t>
      </w:r>
      <w:r w:rsidR="00975D2F" w:rsidRPr="0009083F">
        <w:t>The</w:t>
      </w:r>
      <w:r w:rsidR="009D68A2" w:rsidRPr="0009083F">
        <w:t xml:space="preserve"> 1995 Constitution of Uganda is </w:t>
      </w:r>
      <w:r w:rsidR="005F7FDE" w:rsidRPr="0009083F">
        <w:t xml:space="preserve">proactive to the health of all Ugandans. </w:t>
      </w:r>
      <w:r w:rsidR="00D84460" w:rsidRPr="0009083F">
        <w:t>T</w:t>
      </w:r>
      <w:r w:rsidR="005F7FDE" w:rsidRPr="0009083F">
        <w:t xml:space="preserve">he </w:t>
      </w:r>
      <w:r w:rsidR="00D84460" w:rsidRPr="0009083F">
        <w:t xml:space="preserve">National </w:t>
      </w:r>
      <w:r w:rsidR="00D84460" w:rsidRPr="0009083F">
        <w:rPr>
          <w:rStyle w:val="Strong"/>
          <w:b w:val="0"/>
          <w:i/>
        </w:rPr>
        <w:t>Objectives and Directive Principles of State Policy,</w:t>
      </w:r>
    </w:p>
    <w:p w:rsidR="00D84460" w:rsidRPr="0009083F" w:rsidRDefault="00D84460" w:rsidP="0009083F">
      <w:pPr>
        <w:pStyle w:val="ListParagraph"/>
        <w:rPr>
          <w:rStyle w:val="Strong"/>
          <w:b w:val="0"/>
          <w:i/>
        </w:rPr>
      </w:pPr>
      <w:r w:rsidRPr="0009083F">
        <w:rPr>
          <w:rStyle w:val="Strong"/>
          <w:b w:val="0"/>
          <w:i/>
        </w:rPr>
        <w:t xml:space="preserve">XVI (b) provides for all Ugandans to enjoy rights and opportunities and access to health services, clean and safe water, decent shelter and food security among others. </w:t>
      </w:r>
    </w:p>
    <w:p w:rsidR="00D84460" w:rsidRPr="0009083F" w:rsidRDefault="00D84460" w:rsidP="0009083F">
      <w:pPr>
        <w:pStyle w:val="ListParagraph"/>
        <w:rPr>
          <w:rStyle w:val="Strong"/>
          <w:b w:val="0"/>
          <w:i/>
        </w:rPr>
      </w:pPr>
      <w:r w:rsidRPr="0009083F">
        <w:rPr>
          <w:rStyle w:val="Strong"/>
          <w:b w:val="0"/>
          <w:i/>
        </w:rPr>
        <w:t xml:space="preserve"> XVI recognizes  the right of Persons with Disabilities to respect and human dignity,</w:t>
      </w:r>
    </w:p>
    <w:p w:rsidR="00D84460" w:rsidRPr="0009083F" w:rsidRDefault="00D84460" w:rsidP="0009083F">
      <w:pPr>
        <w:pStyle w:val="ListParagraph"/>
        <w:rPr>
          <w:rStyle w:val="Strong"/>
          <w:b w:val="0"/>
          <w:i/>
        </w:rPr>
      </w:pPr>
      <w:r w:rsidRPr="0009083F">
        <w:rPr>
          <w:rStyle w:val="Strong"/>
          <w:b w:val="0"/>
          <w:i/>
        </w:rPr>
        <w:t xml:space="preserve">Article 32 provides for affirmative action in favour of   those marginalized   </w:t>
      </w:r>
      <w:r w:rsidR="00562FA9" w:rsidRPr="0009083F">
        <w:rPr>
          <w:rStyle w:val="Strong"/>
          <w:b w:val="0"/>
          <w:i/>
        </w:rPr>
        <w:t>on basis of disability ,among others</w:t>
      </w:r>
    </w:p>
    <w:p w:rsidR="00562FA9" w:rsidRDefault="00562FA9" w:rsidP="0009083F">
      <w:pPr>
        <w:pStyle w:val="ListParagraph"/>
        <w:rPr>
          <w:rStyle w:val="Strong"/>
          <w:b w:val="0"/>
          <w:i/>
        </w:rPr>
      </w:pPr>
      <w:r w:rsidRPr="0009083F">
        <w:rPr>
          <w:rStyle w:val="Strong"/>
          <w:b w:val="0"/>
          <w:i/>
        </w:rPr>
        <w:t xml:space="preserve">Article 35(1) and (2) provides for right to respect, human dignity and appropriate measures to ensure full mental and physical potentials to persons with disabilities and appropriate laws for the protection </w:t>
      </w:r>
      <w:r w:rsidR="00A36D0D" w:rsidRPr="0009083F">
        <w:rPr>
          <w:rStyle w:val="Strong"/>
          <w:b w:val="0"/>
          <w:i/>
        </w:rPr>
        <w:t>of persons with disabilities.</w:t>
      </w:r>
    </w:p>
    <w:p w:rsidR="00FE352D" w:rsidRPr="00A66CAD" w:rsidRDefault="00D644F2" w:rsidP="00A66CAD">
      <w:pPr>
        <w:pStyle w:val="ListParagraph"/>
        <w:ind w:left="630"/>
        <w:rPr>
          <w:bCs/>
          <w:i/>
        </w:rPr>
      </w:pPr>
      <w:r w:rsidRPr="00A66CAD">
        <w:rPr>
          <w:b/>
          <w:bCs/>
          <w:i/>
        </w:rPr>
        <w:t xml:space="preserve">Equal Opportunities Commission </w:t>
      </w:r>
      <w:r w:rsidR="00A66CAD">
        <w:rPr>
          <w:b/>
          <w:bCs/>
          <w:i/>
        </w:rPr>
        <w:t>(EOC)</w:t>
      </w:r>
      <w:r w:rsidRPr="00A66CAD">
        <w:rPr>
          <w:b/>
          <w:bCs/>
          <w:i/>
        </w:rPr>
        <w:t xml:space="preserve">( Article 14) </w:t>
      </w:r>
      <w:r w:rsidRPr="00A66CAD">
        <w:rPr>
          <w:bCs/>
          <w:i/>
        </w:rPr>
        <w:t xml:space="preserve">provides for the monitoring and evaluation   of policies, laws, plans, activities, practices, traditions, cultures, and customs to ensure that they are compliant with equal opportunities and </w:t>
      </w:r>
      <w:r w:rsidR="00A66CAD">
        <w:rPr>
          <w:bCs/>
          <w:i/>
        </w:rPr>
        <w:t xml:space="preserve">contain </w:t>
      </w:r>
      <w:r w:rsidRPr="00A66CAD">
        <w:rPr>
          <w:bCs/>
          <w:i/>
        </w:rPr>
        <w:t>affirmative action</w:t>
      </w:r>
      <w:r w:rsidR="00A66CAD">
        <w:rPr>
          <w:bCs/>
          <w:i/>
        </w:rPr>
        <w:t>s</w:t>
      </w:r>
      <w:r w:rsidRPr="00A66CAD">
        <w:rPr>
          <w:bCs/>
          <w:i/>
        </w:rPr>
        <w:t xml:space="preserve"> on basis of groups marginalized on basis of disability, among others.</w:t>
      </w:r>
      <w:r w:rsidR="00A66CAD">
        <w:rPr>
          <w:bCs/>
          <w:i/>
        </w:rPr>
        <w:t xml:space="preserve"> The EOC scrutinize</w:t>
      </w:r>
      <w:r w:rsidR="00BC0BB5">
        <w:rPr>
          <w:bCs/>
          <w:i/>
        </w:rPr>
        <w:t xml:space="preserve">s the Sectoral budgets and plans in line with </w:t>
      </w:r>
      <w:r w:rsidR="0079714C">
        <w:rPr>
          <w:bCs/>
          <w:i/>
        </w:rPr>
        <w:t>the Public</w:t>
      </w:r>
      <w:r w:rsidR="00A66CAD">
        <w:rPr>
          <w:bCs/>
          <w:i/>
        </w:rPr>
        <w:t xml:space="preserve"> Finance Management Act, 2014 to ensure that </w:t>
      </w:r>
      <w:r w:rsidR="00BC0BB5">
        <w:rPr>
          <w:bCs/>
          <w:i/>
        </w:rPr>
        <w:t xml:space="preserve">they </w:t>
      </w:r>
      <w:r w:rsidR="00A66CAD">
        <w:rPr>
          <w:bCs/>
          <w:i/>
        </w:rPr>
        <w:t xml:space="preserve"> </w:t>
      </w:r>
      <w:r w:rsidR="00BC0BB5">
        <w:rPr>
          <w:bCs/>
          <w:i/>
        </w:rPr>
        <w:t xml:space="preserve"> provides for </w:t>
      </w:r>
      <w:r w:rsidR="0079714C">
        <w:rPr>
          <w:bCs/>
          <w:i/>
        </w:rPr>
        <w:t>gender and</w:t>
      </w:r>
      <w:r w:rsidR="00BC0BB5">
        <w:rPr>
          <w:bCs/>
          <w:i/>
        </w:rPr>
        <w:t xml:space="preserve"> equity budgeting, among others.</w:t>
      </w:r>
    </w:p>
    <w:p w:rsidR="00562FA9" w:rsidRPr="00A66CAD" w:rsidRDefault="00A36D0D" w:rsidP="0009083F">
      <w:pPr>
        <w:pStyle w:val="ListParagraph"/>
        <w:ind w:left="630"/>
        <w:rPr>
          <w:rStyle w:val="Strong"/>
          <w:b w:val="0"/>
          <w:i/>
        </w:rPr>
      </w:pPr>
      <w:r w:rsidRPr="00A66CAD">
        <w:rPr>
          <w:rStyle w:val="Strong"/>
          <w:b w:val="0"/>
          <w:i/>
        </w:rPr>
        <w:t xml:space="preserve"> The National Policy on Disability 2006, the guiding framework for interventions towards persons with disability, among its priority areas  emphasizes the prevention and management of disabilities through  mobilization of resources, promotion of information campaigns on prevention and management of disabilities, strengthening community based </w:t>
      </w:r>
      <w:r w:rsidRPr="00A66CAD">
        <w:rPr>
          <w:rStyle w:val="Strong"/>
          <w:b w:val="0"/>
          <w:i/>
        </w:rPr>
        <w:lastRenderedPageBreak/>
        <w:t>initiative</w:t>
      </w:r>
      <w:r w:rsidR="00F52F42" w:rsidRPr="00A66CAD">
        <w:rPr>
          <w:rStyle w:val="Strong"/>
          <w:b w:val="0"/>
          <w:i/>
        </w:rPr>
        <w:t xml:space="preserve"> , parent and peer counseling,</w:t>
      </w:r>
      <w:r w:rsidR="00B23043" w:rsidRPr="00A66CAD">
        <w:rPr>
          <w:rStyle w:val="Strong"/>
          <w:b w:val="0"/>
          <w:i/>
        </w:rPr>
        <w:t xml:space="preserve"> availability of  and utilization of assistive devices and appliances,</w:t>
      </w:r>
      <w:r w:rsidR="00F52F42" w:rsidRPr="00A66CAD">
        <w:rPr>
          <w:rStyle w:val="Strong"/>
          <w:b w:val="0"/>
          <w:i/>
        </w:rPr>
        <w:t xml:space="preserve"> recruitment of  appropriate health personnel and </w:t>
      </w:r>
      <w:r w:rsidRPr="00A66CAD">
        <w:rPr>
          <w:rStyle w:val="Strong"/>
          <w:b w:val="0"/>
          <w:i/>
        </w:rPr>
        <w:t xml:space="preserve"> </w:t>
      </w:r>
      <w:r w:rsidR="00F52F42" w:rsidRPr="00A66CAD">
        <w:rPr>
          <w:rStyle w:val="Strong"/>
          <w:b w:val="0"/>
          <w:i/>
        </w:rPr>
        <w:t xml:space="preserve"> retooling of orthopedic  workshops.</w:t>
      </w:r>
    </w:p>
    <w:p w:rsidR="00B23043" w:rsidRPr="0009083F" w:rsidRDefault="0079714C" w:rsidP="0009083F">
      <w:pPr>
        <w:ind w:left="630"/>
        <w:jc w:val="both"/>
        <w:rPr>
          <w:rStyle w:val="Strong"/>
          <w:rFonts w:ascii="Times New Roman" w:hAnsi="Times New Roman" w:cs="Times New Roman"/>
          <w:b w:val="0"/>
          <w:i/>
          <w:sz w:val="28"/>
          <w:szCs w:val="28"/>
        </w:rPr>
      </w:pPr>
      <w:r>
        <w:rPr>
          <w:rStyle w:val="Strong"/>
          <w:rFonts w:ascii="Times New Roman" w:hAnsi="Times New Roman" w:cs="Times New Roman"/>
          <w:b w:val="0"/>
          <w:i/>
          <w:sz w:val="28"/>
          <w:szCs w:val="28"/>
        </w:rPr>
        <w:t>h</w:t>
      </w:r>
      <w:r w:rsidR="00B23043" w:rsidRPr="0009083F">
        <w:rPr>
          <w:rStyle w:val="Strong"/>
          <w:rFonts w:ascii="Times New Roman" w:hAnsi="Times New Roman" w:cs="Times New Roman"/>
          <w:b w:val="0"/>
          <w:i/>
          <w:sz w:val="28"/>
          <w:szCs w:val="28"/>
        </w:rPr>
        <w:t>)The National Council for Disability (2003) for monitoring all interventions towards persons with disabilities and communicating gaps in service delivery  to government and all other service providers</w:t>
      </w:r>
      <w:r w:rsidR="00804722" w:rsidRPr="0009083F">
        <w:rPr>
          <w:rStyle w:val="Strong"/>
          <w:rFonts w:ascii="Times New Roman" w:hAnsi="Times New Roman" w:cs="Times New Roman"/>
          <w:b w:val="0"/>
          <w:i/>
          <w:sz w:val="28"/>
          <w:szCs w:val="28"/>
        </w:rPr>
        <w:t>, among others</w:t>
      </w:r>
      <w:r w:rsidR="00B23043" w:rsidRPr="0009083F">
        <w:rPr>
          <w:rStyle w:val="Strong"/>
          <w:rFonts w:ascii="Times New Roman" w:hAnsi="Times New Roman" w:cs="Times New Roman"/>
          <w:b w:val="0"/>
          <w:i/>
          <w:sz w:val="28"/>
          <w:szCs w:val="28"/>
        </w:rPr>
        <w:t>;</w:t>
      </w:r>
    </w:p>
    <w:p w:rsidR="00D84460" w:rsidRPr="0009083F" w:rsidRDefault="0079714C" w:rsidP="0009083F">
      <w:pPr>
        <w:ind w:left="630"/>
        <w:jc w:val="both"/>
        <w:rPr>
          <w:rStyle w:val="Strong"/>
          <w:rFonts w:ascii="Times New Roman" w:hAnsi="Times New Roman" w:cs="Times New Roman"/>
          <w:b w:val="0"/>
          <w:i/>
          <w:sz w:val="28"/>
          <w:szCs w:val="28"/>
        </w:rPr>
      </w:pPr>
      <w:r>
        <w:rPr>
          <w:rStyle w:val="Strong"/>
          <w:rFonts w:ascii="Times New Roman" w:hAnsi="Times New Roman" w:cs="Times New Roman"/>
          <w:b w:val="0"/>
          <w:i/>
          <w:sz w:val="28"/>
          <w:szCs w:val="28"/>
        </w:rPr>
        <w:t>i</w:t>
      </w:r>
      <w:r w:rsidR="00B23043" w:rsidRPr="0009083F">
        <w:rPr>
          <w:rStyle w:val="Strong"/>
          <w:rFonts w:ascii="Times New Roman" w:hAnsi="Times New Roman" w:cs="Times New Roman"/>
          <w:b w:val="0"/>
          <w:i/>
          <w:sz w:val="28"/>
          <w:szCs w:val="28"/>
        </w:rPr>
        <w:t>) The Persons with Disabilities Act (2006)</w:t>
      </w:r>
      <w:r w:rsidR="00804722" w:rsidRPr="0009083F">
        <w:rPr>
          <w:rStyle w:val="Strong"/>
          <w:rFonts w:ascii="Times New Roman" w:hAnsi="Times New Roman" w:cs="Times New Roman"/>
          <w:b w:val="0"/>
          <w:i/>
          <w:sz w:val="28"/>
          <w:szCs w:val="28"/>
        </w:rPr>
        <w:t xml:space="preserve"> for elimination of all forms of discrimination against persons with disabilities. Articles 7, 8,9and 10 are specifically on health and call for enjoyment of rights by PWDs in all health </w:t>
      </w:r>
      <w:r w:rsidR="00B1281D" w:rsidRPr="0009083F">
        <w:rPr>
          <w:rStyle w:val="Strong"/>
          <w:rFonts w:ascii="Times New Roman" w:hAnsi="Times New Roman" w:cs="Times New Roman"/>
          <w:b w:val="0"/>
          <w:i/>
          <w:sz w:val="28"/>
          <w:szCs w:val="28"/>
        </w:rPr>
        <w:t>institutions including exemption of duties, surcharges</w:t>
      </w:r>
      <w:r w:rsidR="00EA62E2" w:rsidRPr="0009083F">
        <w:rPr>
          <w:rStyle w:val="Strong"/>
          <w:rFonts w:ascii="Times New Roman" w:hAnsi="Times New Roman" w:cs="Times New Roman"/>
          <w:b w:val="0"/>
          <w:i/>
          <w:sz w:val="28"/>
          <w:szCs w:val="28"/>
        </w:rPr>
        <w:t xml:space="preserve"> and levies, introduction of sign language in curriculum of  medical personnel, interpreters in hospitals, </w:t>
      </w:r>
      <w:r w:rsidR="00B1281D" w:rsidRPr="0009083F">
        <w:rPr>
          <w:rStyle w:val="Strong"/>
          <w:rFonts w:ascii="Times New Roman" w:hAnsi="Times New Roman" w:cs="Times New Roman"/>
          <w:b w:val="0"/>
          <w:i/>
          <w:sz w:val="28"/>
          <w:szCs w:val="28"/>
        </w:rPr>
        <w:t xml:space="preserve">promotion of special health services </w:t>
      </w:r>
      <w:r w:rsidR="00804722" w:rsidRPr="0009083F">
        <w:rPr>
          <w:rStyle w:val="Strong"/>
          <w:rFonts w:ascii="Times New Roman" w:hAnsi="Times New Roman" w:cs="Times New Roman"/>
          <w:b w:val="0"/>
          <w:i/>
          <w:sz w:val="28"/>
          <w:szCs w:val="28"/>
        </w:rPr>
        <w:t>Government  to provide appropriate service delivery</w:t>
      </w:r>
      <w:r w:rsidR="00EA62E2" w:rsidRPr="0009083F">
        <w:rPr>
          <w:rStyle w:val="Strong"/>
          <w:rFonts w:ascii="Times New Roman" w:hAnsi="Times New Roman" w:cs="Times New Roman"/>
          <w:b w:val="0"/>
          <w:i/>
          <w:sz w:val="28"/>
          <w:szCs w:val="28"/>
        </w:rPr>
        <w:t>, prevention of disability through health and environmental education, early identification and interventions, healthy and safe labour conditions, among others.</w:t>
      </w:r>
      <w:r w:rsidR="00804722" w:rsidRPr="0009083F">
        <w:rPr>
          <w:rStyle w:val="Strong"/>
          <w:rFonts w:ascii="Times New Roman" w:hAnsi="Times New Roman" w:cs="Times New Roman"/>
          <w:b w:val="0"/>
          <w:i/>
          <w:sz w:val="28"/>
          <w:szCs w:val="28"/>
        </w:rPr>
        <w:t xml:space="preserve"> </w:t>
      </w:r>
    </w:p>
    <w:p w:rsidR="002C1A36" w:rsidRPr="0009083F" w:rsidRDefault="0079714C" w:rsidP="0009083F">
      <w:pPr>
        <w:ind w:left="630"/>
        <w:jc w:val="both"/>
        <w:rPr>
          <w:rStyle w:val="Strong"/>
          <w:rFonts w:ascii="Times New Roman" w:hAnsi="Times New Roman" w:cs="Times New Roman"/>
          <w:b w:val="0"/>
          <w:i/>
          <w:sz w:val="28"/>
          <w:szCs w:val="28"/>
        </w:rPr>
      </w:pPr>
      <w:r>
        <w:rPr>
          <w:rStyle w:val="Strong"/>
          <w:rFonts w:ascii="Times New Roman" w:hAnsi="Times New Roman" w:cs="Times New Roman"/>
          <w:b w:val="0"/>
          <w:i/>
          <w:sz w:val="28"/>
          <w:szCs w:val="28"/>
        </w:rPr>
        <w:t>j</w:t>
      </w:r>
      <w:r w:rsidR="0009083F" w:rsidRPr="0009083F">
        <w:rPr>
          <w:rStyle w:val="Strong"/>
          <w:rFonts w:ascii="Times New Roman" w:hAnsi="Times New Roman" w:cs="Times New Roman"/>
          <w:b w:val="0"/>
          <w:i/>
          <w:sz w:val="28"/>
          <w:szCs w:val="28"/>
        </w:rPr>
        <w:t>)</w:t>
      </w:r>
      <w:r w:rsidR="0045047C">
        <w:rPr>
          <w:rStyle w:val="Strong"/>
          <w:rFonts w:ascii="Times New Roman" w:hAnsi="Times New Roman" w:cs="Times New Roman"/>
          <w:b w:val="0"/>
          <w:i/>
          <w:sz w:val="28"/>
          <w:szCs w:val="28"/>
        </w:rPr>
        <w:t xml:space="preserve"> </w:t>
      </w:r>
      <w:r w:rsidR="002C1A36" w:rsidRPr="0009083F">
        <w:rPr>
          <w:rStyle w:val="Strong"/>
          <w:rFonts w:ascii="Times New Roman" w:hAnsi="Times New Roman" w:cs="Times New Roman"/>
          <w:b w:val="0"/>
          <w:i/>
          <w:sz w:val="28"/>
          <w:szCs w:val="28"/>
        </w:rPr>
        <w:t>The Building Control Act 2013 has incorporated Accessibility Standards to guide in appropriate standards for utilization by PWDs.</w:t>
      </w:r>
    </w:p>
    <w:p w:rsidR="0085377A" w:rsidRPr="00CA6153" w:rsidRDefault="00CA6153" w:rsidP="00CA6153">
      <w:pPr>
        <w:ind w:left="450"/>
        <w:rPr>
          <w:rFonts w:ascii="Times New Roman" w:hAnsi="Times New Roman" w:cs="Times New Roman"/>
          <w:i/>
          <w:sz w:val="28"/>
          <w:szCs w:val="28"/>
        </w:rPr>
      </w:pPr>
      <w:r>
        <w:rPr>
          <w:rFonts w:ascii="Times New Roman" w:hAnsi="Times New Roman" w:cs="Times New Roman"/>
          <w:i/>
          <w:sz w:val="28"/>
          <w:szCs w:val="28"/>
        </w:rPr>
        <w:t>k</w:t>
      </w:r>
      <w:r w:rsidRPr="00CA6153">
        <w:rPr>
          <w:rFonts w:ascii="Times New Roman" w:hAnsi="Times New Roman" w:cs="Times New Roman"/>
          <w:i/>
          <w:sz w:val="28"/>
          <w:szCs w:val="28"/>
        </w:rPr>
        <w:t>)</w:t>
      </w:r>
      <w:r w:rsidR="00182BF0">
        <w:rPr>
          <w:rFonts w:ascii="Times New Roman" w:hAnsi="Times New Roman" w:cs="Times New Roman"/>
          <w:i/>
          <w:sz w:val="28"/>
          <w:szCs w:val="28"/>
        </w:rPr>
        <w:t xml:space="preserve"> </w:t>
      </w:r>
      <w:r w:rsidR="0085377A" w:rsidRPr="00CA6153">
        <w:rPr>
          <w:rFonts w:ascii="Times New Roman" w:hAnsi="Times New Roman" w:cs="Times New Roman"/>
          <w:i/>
          <w:sz w:val="28"/>
          <w:szCs w:val="28"/>
        </w:rPr>
        <w:t xml:space="preserve">The </w:t>
      </w:r>
      <w:r w:rsidR="00EA62E2" w:rsidRPr="00CA6153">
        <w:rPr>
          <w:rFonts w:ascii="Times New Roman" w:hAnsi="Times New Roman" w:cs="Times New Roman"/>
          <w:i/>
          <w:sz w:val="28"/>
          <w:szCs w:val="28"/>
        </w:rPr>
        <w:t>H</w:t>
      </w:r>
      <w:r w:rsidR="0085377A" w:rsidRPr="00CA6153">
        <w:rPr>
          <w:rFonts w:ascii="Times New Roman" w:hAnsi="Times New Roman" w:cs="Times New Roman"/>
          <w:i/>
          <w:sz w:val="28"/>
          <w:szCs w:val="28"/>
        </w:rPr>
        <w:t xml:space="preserve">ealth </w:t>
      </w:r>
      <w:r w:rsidR="00EA62E2" w:rsidRPr="00CA6153">
        <w:rPr>
          <w:rFonts w:ascii="Times New Roman" w:hAnsi="Times New Roman" w:cs="Times New Roman"/>
          <w:i/>
          <w:sz w:val="28"/>
          <w:szCs w:val="28"/>
        </w:rPr>
        <w:t>S</w:t>
      </w:r>
      <w:r w:rsidR="0085377A" w:rsidRPr="00CA6153">
        <w:rPr>
          <w:rFonts w:ascii="Times New Roman" w:hAnsi="Times New Roman" w:cs="Times New Roman"/>
          <w:i/>
          <w:sz w:val="28"/>
          <w:szCs w:val="28"/>
        </w:rPr>
        <w:t xml:space="preserve">ector </w:t>
      </w:r>
      <w:r w:rsidR="00EA62E2" w:rsidRPr="00CA6153">
        <w:rPr>
          <w:rFonts w:ascii="Times New Roman" w:hAnsi="Times New Roman" w:cs="Times New Roman"/>
          <w:i/>
          <w:sz w:val="28"/>
          <w:szCs w:val="28"/>
        </w:rPr>
        <w:t>D</w:t>
      </w:r>
      <w:r w:rsidR="0085377A" w:rsidRPr="00CA6153">
        <w:rPr>
          <w:rFonts w:ascii="Times New Roman" w:hAnsi="Times New Roman" w:cs="Times New Roman"/>
          <w:i/>
          <w:sz w:val="28"/>
          <w:szCs w:val="28"/>
        </w:rPr>
        <w:t>evelopment</w:t>
      </w:r>
      <w:r w:rsidRPr="00CA6153">
        <w:rPr>
          <w:rFonts w:ascii="Times New Roman" w:hAnsi="Times New Roman" w:cs="Times New Roman"/>
          <w:i/>
          <w:sz w:val="28"/>
          <w:szCs w:val="28"/>
        </w:rPr>
        <w:t xml:space="preserve"> </w:t>
      </w:r>
      <w:r w:rsidR="000A25C1" w:rsidRPr="00CA6153">
        <w:rPr>
          <w:rFonts w:ascii="Times New Roman" w:hAnsi="Times New Roman" w:cs="Times New Roman"/>
          <w:i/>
          <w:sz w:val="28"/>
          <w:szCs w:val="28"/>
        </w:rPr>
        <w:t>and Investment</w:t>
      </w:r>
      <w:r w:rsidR="0085377A" w:rsidRPr="00CA6153">
        <w:rPr>
          <w:rFonts w:ascii="Times New Roman" w:hAnsi="Times New Roman" w:cs="Times New Roman"/>
          <w:i/>
          <w:sz w:val="28"/>
          <w:szCs w:val="28"/>
        </w:rPr>
        <w:t xml:space="preserve"> </w:t>
      </w:r>
      <w:r w:rsidR="00674A54" w:rsidRPr="00CA6153">
        <w:rPr>
          <w:rFonts w:ascii="Times New Roman" w:hAnsi="Times New Roman" w:cs="Times New Roman"/>
          <w:i/>
          <w:sz w:val="28"/>
          <w:szCs w:val="28"/>
        </w:rPr>
        <w:t>Plan (</w:t>
      </w:r>
      <w:r w:rsidR="0085377A" w:rsidRPr="00CA6153">
        <w:rPr>
          <w:rFonts w:ascii="Times New Roman" w:hAnsi="Times New Roman" w:cs="Times New Roman"/>
          <w:i/>
          <w:sz w:val="28"/>
          <w:szCs w:val="28"/>
        </w:rPr>
        <w:t>HSDIP) 2015-2020 provides for essential health package, rehabilitative health care inclusive</w:t>
      </w:r>
      <w:r w:rsidR="00EA62E2" w:rsidRPr="00CA6153">
        <w:rPr>
          <w:rFonts w:ascii="Times New Roman" w:hAnsi="Times New Roman" w:cs="Times New Roman"/>
          <w:i/>
          <w:sz w:val="28"/>
          <w:szCs w:val="28"/>
        </w:rPr>
        <w:t>;</w:t>
      </w:r>
    </w:p>
    <w:p w:rsidR="00CC23B3" w:rsidRPr="0009083F" w:rsidRDefault="00CA6153" w:rsidP="0009083F">
      <w:pPr>
        <w:tabs>
          <w:tab w:val="left" w:pos="4500"/>
        </w:tabs>
        <w:ind w:left="360"/>
        <w:jc w:val="both"/>
        <w:rPr>
          <w:rFonts w:ascii="Times New Roman" w:hAnsi="Times New Roman" w:cs="Times New Roman"/>
          <w:i/>
          <w:sz w:val="28"/>
          <w:szCs w:val="28"/>
        </w:rPr>
      </w:pPr>
      <w:r>
        <w:rPr>
          <w:rFonts w:ascii="Times New Roman" w:hAnsi="Times New Roman" w:cs="Times New Roman"/>
          <w:i/>
          <w:sz w:val="28"/>
          <w:szCs w:val="28"/>
        </w:rPr>
        <w:t>l</w:t>
      </w:r>
      <w:r w:rsidR="00CC23B3" w:rsidRPr="0009083F">
        <w:rPr>
          <w:rFonts w:ascii="Times New Roman" w:hAnsi="Times New Roman" w:cs="Times New Roman"/>
          <w:i/>
          <w:sz w:val="28"/>
          <w:szCs w:val="28"/>
        </w:rPr>
        <w:t xml:space="preserve">) The Ministry of Health is reviewing the Mental Health Act, Cap 279 to address the gaps in the Mental Health Act and to incorporate the new developments at national, regional and International levels. </w:t>
      </w:r>
    </w:p>
    <w:p w:rsidR="00182BF0" w:rsidRDefault="00CA6153" w:rsidP="0009083F">
      <w:pPr>
        <w:ind w:left="360"/>
        <w:jc w:val="both"/>
        <w:rPr>
          <w:rFonts w:ascii="Times New Roman" w:hAnsi="Times New Roman" w:cs="Times New Roman"/>
          <w:i/>
          <w:sz w:val="28"/>
          <w:szCs w:val="28"/>
        </w:rPr>
      </w:pPr>
      <w:r>
        <w:rPr>
          <w:rFonts w:ascii="Times New Roman" w:hAnsi="Times New Roman" w:cs="Times New Roman"/>
          <w:i/>
          <w:sz w:val="28"/>
          <w:szCs w:val="28"/>
        </w:rPr>
        <w:t>m</w:t>
      </w:r>
      <w:r w:rsidR="00CC23B3" w:rsidRPr="0009083F">
        <w:rPr>
          <w:rFonts w:ascii="Times New Roman" w:hAnsi="Times New Roman" w:cs="Times New Roman"/>
          <w:i/>
          <w:sz w:val="28"/>
          <w:szCs w:val="28"/>
        </w:rPr>
        <w:t>)</w:t>
      </w:r>
      <w:r w:rsidR="00EA62E2" w:rsidRPr="0009083F">
        <w:rPr>
          <w:rFonts w:ascii="Times New Roman" w:hAnsi="Times New Roman" w:cs="Times New Roman"/>
          <w:i/>
          <w:sz w:val="28"/>
          <w:szCs w:val="28"/>
        </w:rPr>
        <w:t xml:space="preserve">) </w:t>
      </w:r>
      <w:r w:rsidR="0085377A" w:rsidRPr="0009083F">
        <w:rPr>
          <w:rFonts w:ascii="Times New Roman" w:hAnsi="Times New Roman" w:cs="Times New Roman"/>
          <w:i/>
          <w:sz w:val="28"/>
          <w:szCs w:val="28"/>
        </w:rPr>
        <w:t xml:space="preserve">The NDP </w:t>
      </w:r>
      <w:r w:rsidR="00EA62E2" w:rsidRPr="0009083F">
        <w:rPr>
          <w:rFonts w:ascii="Times New Roman" w:hAnsi="Times New Roman" w:cs="Times New Roman"/>
          <w:i/>
          <w:sz w:val="28"/>
          <w:szCs w:val="28"/>
        </w:rPr>
        <w:t>Two H</w:t>
      </w:r>
      <w:r w:rsidR="0085377A" w:rsidRPr="0009083F">
        <w:rPr>
          <w:rFonts w:ascii="Times New Roman" w:hAnsi="Times New Roman" w:cs="Times New Roman"/>
          <w:i/>
          <w:sz w:val="28"/>
          <w:szCs w:val="28"/>
        </w:rPr>
        <w:t>ealth component also addresses access to health by all</w:t>
      </w:r>
    </w:p>
    <w:p w:rsidR="005A7C99" w:rsidRDefault="00182BF0" w:rsidP="0009083F">
      <w:pPr>
        <w:ind w:left="360"/>
        <w:jc w:val="both"/>
        <w:rPr>
          <w:rFonts w:ascii="Times New Roman" w:hAnsi="Times New Roman" w:cs="Times New Roman"/>
          <w:i/>
          <w:sz w:val="28"/>
          <w:szCs w:val="28"/>
        </w:rPr>
      </w:pPr>
      <w:r>
        <w:rPr>
          <w:rFonts w:ascii="Times New Roman" w:hAnsi="Times New Roman" w:cs="Times New Roman"/>
          <w:i/>
          <w:sz w:val="28"/>
          <w:szCs w:val="28"/>
        </w:rPr>
        <w:t>n) The Health Insurance Policy currently before Cabinet includes increased access to provision of health including various disability causing conditions</w:t>
      </w:r>
    </w:p>
    <w:p w:rsidR="002869AF" w:rsidRDefault="002869AF" w:rsidP="002869AF">
      <w:pPr>
        <w:jc w:val="both"/>
        <w:rPr>
          <w:rFonts w:ascii="Times New Roman" w:hAnsi="Times New Roman" w:cs="Times New Roman"/>
          <w:b/>
          <w:sz w:val="28"/>
          <w:szCs w:val="28"/>
        </w:rPr>
      </w:pPr>
    </w:p>
    <w:p w:rsidR="002869AF" w:rsidRDefault="002869AF" w:rsidP="002869AF">
      <w:pPr>
        <w:jc w:val="both"/>
        <w:rPr>
          <w:rFonts w:ascii="Times New Roman" w:hAnsi="Times New Roman" w:cs="Times New Roman"/>
          <w:b/>
          <w:sz w:val="28"/>
          <w:szCs w:val="28"/>
        </w:rPr>
      </w:pPr>
    </w:p>
    <w:p w:rsidR="002869AF" w:rsidRDefault="002869AF" w:rsidP="002869AF">
      <w:pPr>
        <w:jc w:val="both"/>
        <w:rPr>
          <w:rFonts w:ascii="Times New Roman" w:hAnsi="Times New Roman" w:cs="Times New Roman"/>
          <w:b/>
          <w:sz w:val="28"/>
          <w:szCs w:val="28"/>
        </w:rPr>
      </w:pPr>
    </w:p>
    <w:p w:rsidR="00CF302F" w:rsidRPr="0009083F" w:rsidRDefault="0009083F" w:rsidP="002869AF">
      <w:pPr>
        <w:jc w:val="both"/>
        <w:rPr>
          <w:rFonts w:ascii="Times New Roman" w:hAnsi="Times New Roman" w:cs="Times New Roman"/>
          <w:sz w:val="28"/>
          <w:szCs w:val="28"/>
        </w:rPr>
      </w:pPr>
      <w:r w:rsidRPr="0009083F">
        <w:rPr>
          <w:rFonts w:ascii="Times New Roman" w:hAnsi="Times New Roman" w:cs="Times New Roman"/>
          <w:b/>
          <w:sz w:val="28"/>
          <w:szCs w:val="28"/>
        </w:rPr>
        <w:lastRenderedPageBreak/>
        <w:t xml:space="preserve">2. </w:t>
      </w:r>
      <w:r w:rsidR="00CF302F" w:rsidRPr="0009083F">
        <w:rPr>
          <w:rFonts w:ascii="Times New Roman" w:hAnsi="Times New Roman" w:cs="Times New Roman"/>
          <w:b/>
          <w:sz w:val="28"/>
          <w:szCs w:val="28"/>
        </w:rPr>
        <w:t>Please provide any information and statistical data (including surveys, censuses, administrative data, literature, reports and studies) related to exercise of the right to health of persons with disabilities in general, as well as with particular focus in the following areas</w:t>
      </w:r>
      <w:r w:rsidR="00CF302F" w:rsidRPr="0009083F">
        <w:rPr>
          <w:rFonts w:ascii="Times New Roman" w:hAnsi="Times New Roman" w:cs="Times New Roman"/>
          <w:sz w:val="28"/>
          <w:szCs w:val="28"/>
        </w:rPr>
        <w:t>:</w:t>
      </w:r>
    </w:p>
    <w:p w:rsidR="0085377A" w:rsidRPr="0009083F" w:rsidRDefault="00182BF0" w:rsidP="00182BF0">
      <w:pPr>
        <w:ind w:left="360"/>
        <w:jc w:val="both"/>
        <w:rPr>
          <w:rFonts w:ascii="Times New Roman" w:hAnsi="Times New Roman" w:cs="Times New Roman"/>
          <w:i/>
          <w:sz w:val="28"/>
          <w:szCs w:val="28"/>
        </w:rPr>
      </w:pPr>
      <w:r>
        <w:rPr>
          <w:rFonts w:ascii="Times New Roman" w:hAnsi="Times New Roman" w:cs="Times New Roman"/>
          <w:i/>
          <w:sz w:val="28"/>
          <w:szCs w:val="28"/>
        </w:rPr>
        <w:t xml:space="preserve">a) </w:t>
      </w:r>
      <w:r w:rsidR="0009083F" w:rsidRPr="0009083F">
        <w:rPr>
          <w:rFonts w:ascii="Times New Roman" w:hAnsi="Times New Roman" w:cs="Times New Roman"/>
          <w:b/>
          <w:i/>
          <w:sz w:val="28"/>
          <w:szCs w:val="28"/>
        </w:rPr>
        <w:t>)</w:t>
      </w:r>
      <w:r w:rsidR="0085377A" w:rsidRPr="0009083F">
        <w:rPr>
          <w:rFonts w:ascii="Times New Roman" w:hAnsi="Times New Roman" w:cs="Times New Roman"/>
          <w:i/>
          <w:sz w:val="28"/>
          <w:szCs w:val="28"/>
        </w:rPr>
        <w:t>All new health facilities by policy must have ramps</w:t>
      </w:r>
      <w:r w:rsidR="006F42DE" w:rsidRPr="0009083F">
        <w:rPr>
          <w:rFonts w:ascii="Times New Roman" w:hAnsi="Times New Roman" w:cs="Times New Roman"/>
          <w:i/>
          <w:sz w:val="28"/>
          <w:szCs w:val="28"/>
        </w:rPr>
        <w:t xml:space="preserve"> </w:t>
      </w:r>
      <w:r w:rsidR="0085377A" w:rsidRPr="0009083F">
        <w:rPr>
          <w:rFonts w:ascii="Times New Roman" w:hAnsi="Times New Roman" w:cs="Times New Roman"/>
          <w:i/>
          <w:sz w:val="28"/>
          <w:szCs w:val="28"/>
        </w:rPr>
        <w:t xml:space="preserve">to increase access to the </w:t>
      </w:r>
      <w:r w:rsidR="006F42DE" w:rsidRPr="0009083F">
        <w:rPr>
          <w:rFonts w:ascii="Times New Roman" w:hAnsi="Times New Roman" w:cs="Times New Roman"/>
          <w:i/>
          <w:sz w:val="28"/>
          <w:szCs w:val="28"/>
        </w:rPr>
        <w:t>persons</w:t>
      </w:r>
      <w:r>
        <w:rPr>
          <w:rFonts w:ascii="Times New Roman" w:hAnsi="Times New Roman" w:cs="Times New Roman"/>
          <w:i/>
          <w:sz w:val="28"/>
          <w:szCs w:val="28"/>
        </w:rPr>
        <w:t xml:space="preserve"> with</w:t>
      </w:r>
      <w:r w:rsidRPr="00182BF0">
        <w:rPr>
          <w:rFonts w:ascii="Times New Roman" w:hAnsi="Times New Roman" w:cs="Times New Roman"/>
          <w:i/>
          <w:sz w:val="28"/>
          <w:szCs w:val="28"/>
        </w:rPr>
        <w:t xml:space="preserve"> </w:t>
      </w:r>
      <w:r w:rsidRPr="0009083F">
        <w:rPr>
          <w:rFonts w:ascii="Times New Roman" w:hAnsi="Times New Roman" w:cs="Times New Roman"/>
          <w:i/>
          <w:sz w:val="28"/>
          <w:szCs w:val="28"/>
        </w:rPr>
        <w:t>physical</w:t>
      </w:r>
      <w:r>
        <w:rPr>
          <w:rFonts w:ascii="Times New Roman" w:hAnsi="Times New Roman" w:cs="Times New Roman"/>
          <w:i/>
          <w:sz w:val="28"/>
          <w:szCs w:val="28"/>
        </w:rPr>
        <w:t xml:space="preserve"> disabilities</w:t>
      </w:r>
      <w:r w:rsidR="006F42DE" w:rsidRPr="0009083F">
        <w:rPr>
          <w:rFonts w:ascii="Times New Roman" w:hAnsi="Times New Roman" w:cs="Times New Roman"/>
          <w:i/>
          <w:sz w:val="28"/>
          <w:szCs w:val="28"/>
        </w:rPr>
        <w:t>;</w:t>
      </w:r>
    </w:p>
    <w:p w:rsidR="0085377A" w:rsidRPr="0009083F" w:rsidRDefault="00182BF0" w:rsidP="0009083F">
      <w:pPr>
        <w:ind w:left="360"/>
        <w:jc w:val="both"/>
        <w:rPr>
          <w:rFonts w:ascii="Times New Roman" w:hAnsi="Times New Roman" w:cs="Times New Roman"/>
          <w:i/>
          <w:sz w:val="28"/>
          <w:szCs w:val="28"/>
        </w:rPr>
      </w:pPr>
      <w:r>
        <w:rPr>
          <w:rFonts w:ascii="Times New Roman" w:hAnsi="Times New Roman" w:cs="Times New Roman"/>
          <w:i/>
          <w:sz w:val="28"/>
          <w:szCs w:val="28"/>
        </w:rPr>
        <w:t>b</w:t>
      </w:r>
      <w:r w:rsidR="0009083F" w:rsidRPr="0009083F">
        <w:rPr>
          <w:rFonts w:ascii="Times New Roman" w:hAnsi="Times New Roman" w:cs="Times New Roman"/>
          <w:i/>
          <w:sz w:val="28"/>
          <w:szCs w:val="28"/>
        </w:rPr>
        <w:t>)</w:t>
      </w:r>
      <w:r w:rsidR="000817E6" w:rsidRPr="0009083F">
        <w:rPr>
          <w:rFonts w:ascii="Times New Roman" w:hAnsi="Times New Roman" w:cs="Times New Roman"/>
          <w:i/>
          <w:sz w:val="28"/>
          <w:szCs w:val="28"/>
        </w:rPr>
        <w:t xml:space="preserve"> </w:t>
      </w:r>
      <w:r w:rsidR="0085377A" w:rsidRPr="0009083F">
        <w:rPr>
          <w:rFonts w:ascii="Times New Roman" w:hAnsi="Times New Roman" w:cs="Times New Roman"/>
          <w:i/>
          <w:sz w:val="28"/>
          <w:szCs w:val="28"/>
        </w:rPr>
        <w:t xml:space="preserve">Accessibility </w:t>
      </w:r>
      <w:r w:rsidR="006F42DE" w:rsidRPr="0009083F">
        <w:rPr>
          <w:rFonts w:ascii="Times New Roman" w:hAnsi="Times New Roman" w:cs="Times New Roman"/>
          <w:i/>
          <w:sz w:val="28"/>
          <w:szCs w:val="28"/>
        </w:rPr>
        <w:t>S</w:t>
      </w:r>
      <w:r w:rsidR="0085377A" w:rsidRPr="0009083F">
        <w:rPr>
          <w:rFonts w:ascii="Times New Roman" w:hAnsi="Times New Roman" w:cs="Times New Roman"/>
          <w:i/>
          <w:sz w:val="28"/>
          <w:szCs w:val="28"/>
        </w:rPr>
        <w:t xml:space="preserve">tandards were developed </w:t>
      </w:r>
      <w:r w:rsidR="006F42DE" w:rsidRPr="0009083F">
        <w:rPr>
          <w:rFonts w:ascii="Times New Roman" w:hAnsi="Times New Roman" w:cs="Times New Roman"/>
          <w:i/>
          <w:sz w:val="28"/>
          <w:szCs w:val="28"/>
        </w:rPr>
        <w:t>by Ministry of Gender, Labour and Social Development in collaboration with Uganda National Action on Physical Disabilities (UNAPD)</w:t>
      </w:r>
      <w:r>
        <w:rPr>
          <w:rFonts w:ascii="Times New Roman" w:hAnsi="Times New Roman" w:cs="Times New Roman"/>
          <w:i/>
          <w:sz w:val="28"/>
          <w:szCs w:val="28"/>
        </w:rPr>
        <w:t xml:space="preserve"> and other stakeholders</w:t>
      </w:r>
      <w:r w:rsidR="006F42DE" w:rsidRPr="0009083F">
        <w:rPr>
          <w:rFonts w:ascii="Times New Roman" w:hAnsi="Times New Roman" w:cs="Times New Roman"/>
          <w:i/>
          <w:sz w:val="28"/>
          <w:szCs w:val="28"/>
        </w:rPr>
        <w:t xml:space="preserve">. These Standards have been annexed to the Building Control Act (2013) to guide service providers on issues of standards in accessibility. They are  </w:t>
      </w:r>
      <w:r w:rsidR="0085377A" w:rsidRPr="0009083F">
        <w:rPr>
          <w:rFonts w:ascii="Times New Roman" w:hAnsi="Times New Roman" w:cs="Times New Roman"/>
          <w:i/>
          <w:sz w:val="28"/>
          <w:szCs w:val="28"/>
        </w:rPr>
        <w:t xml:space="preserve"> being used for monitoring &amp; auditing public buildings.</w:t>
      </w:r>
    </w:p>
    <w:p w:rsidR="0085377A" w:rsidRPr="0009083F" w:rsidRDefault="00182BF0" w:rsidP="0009083F">
      <w:pPr>
        <w:ind w:left="360"/>
        <w:jc w:val="both"/>
        <w:rPr>
          <w:rFonts w:ascii="Times New Roman" w:hAnsi="Times New Roman" w:cs="Times New Roman"/>
          <w:i/>
          <w:sz w:val="28"/>
          <w:szCs w:val="28"/>
        </w:rPr>
      </w:pPr>
      <w:r>
        <w:rPr>
          <w:rFonts w:ascii="Times New Roman" w:hAnsi="Times New Roman" w:cs="Times New Roman"/>
          <w:i/>
          <w:sz w:val="28"/>
          <w:szCs w:val="28"/>
        </w:rPr>
        <w:t>c</w:t>
      </w:r>
      <w:r w:rsidR="0009083F" w:rsidRPr="0009083F">
        <w:rPr>
          <w:rFonts w:ascii="Times New Roman" w:hAnsi="Times New Roman" w:cs="Times New Roman"/>
          <w:i/>
          <w:sz w:val="28"/>
          <w:szCs w:val="28"/>
        </w:rPr>
        <w:t>)</w:t>
      </w:r>
      <w:r w:rsidR="006F42DE" w:rsidRPr="0009083F">
        <w:rPr>
          <w:rFonts w:ascii="Times New Roman" w:hAnsi="Times New Roman" w:cs="Times New Roman"/>
          <w:i/>
          <w:sz w:val="28"/>
          <w:szCs w:val="28"/>
        </w:rPr>
        <w:t xml:space="preserve"> </w:t>
      </w:r>
      <w:r w:rsidR="0085377A" w:rsidRPr="0009083F">
        <w:rPr>
          <w:rFonts w:ascii="Times New Roman" w:hAnsi="Times New Roman" w:cs="Times New Roman"/>
          <w:i/>
          <w:sz w:val="28"/>
          <w:szCs w:val="28"/>
        </w:rPr>
        <w:t xml:space="preserve">The </w:t>
      </w:r>
      <w:r w:rsidR="006F42DE" w:rsidRPr="0009083F">
        <w:rPr>
          <w:rFonts w:ascii="Times New Roman" w:hAnsi="Times New Roman" w:cs="Times New Roman"/>
          <w:i/>
          <w:sz w:val="28"/>
          <w:szCs w:val="28"/>
        </w:rPr>
        <w:t>N</w:t>
      </w:r>
      <w:r w:rsidR="0085377A" w:rsidRPr="0009083F">
        <w:rPr>
          <w:rFonts w:ascii="Times New Roman" w:hAnsi="Times New Roman" w:cs="Times New Roman"/>
          <w:i/>
          <w:sz w:val="28"/>
          <w:szCs w:val="28"/>
        </w:rPr>
        <w:t xml:space="preserve">ational </w:t>
      </w:r>
      <w:r w:rsidR="006F42DE" w:rsidRPr="0009083F">
        <w:rPr>
          <w:rFonts w:ascii="Times New Roman" w:hAnsi="Times New Roman" w:cs="Times New Roman"/>
          <w:i/>
          <w:sz w:val="28"/>
          <w:szCs w:val="28"/>
        </w:rPr>
        <w:t>Health P</w:t>
      </w:r>
      <w:r w:rsidR="0085377A" w:rsidRPr="0009083F">
        <w:rPr>
          <w:rFonts w:ascii="Times New Roman" w:hAnsi="Times New Roman" w:cs="Times New Roman"/>
          <w:i/>
          <w:sz w:val="28"/>
          <w:szCs w:val="28"/>
        </w:rPr>
        <w:t>olicy</w:t>
      </w:r>
      <w:r w:rsidR="006F42DE" w:rsidRPr="0009083F">
        <w:rPr>
          <w:rFonts w:ascii="Times New Roman" w:hAnsi="Times New Roman" w:cs="Times New Roman"/>
          <w:i/>
          <w:sz w:val="28"/>
          <w:szCs w:val="28"/>
        </w:rPr>
        <w:t xml:space="preserve"> </w:t>
      </w:r>
      <w:r w:rsidR="006A4FDF" w:rsidRPr="0009083F">
        <w:rPr>
          <w:rFonts w:ascii="Times New Roman" w:hAnsi="Times New Roman" w:cs="Times New Roman"/>
          <w:i/>
          <w:sz w:val="28"/>
          <w:szCs w:val="28"/>
        </w:rPr>
        <w:t>stipulates health free</w:t>
      </w:r>
      <w:r w:rsidR="006F42DE" w:rsidRPr="0009083F">
        <w:rPr>
          <w:rFonts w:ascii="Times New Roman" w:hAnsi="Times New Roman" w:cs="Times New Roman"/>
          <w:i/>
          <w:sz w:val="28"/>
          <w:szCs w:val="28"/>
        </w:rPr>
        <w:t xml:space="preserve"> </w:t>
      </w:r>
      <w:r w:rsidR="0085377A" w:rsidRPr="0009083F">
        <w:rPr>
          <w:rFonts w:ascii="Times New Roman" w:hAnsi="Times New Roman" w:cs="Times New Roman"/>
          <w:i/>
          <w:sz w:val="28"/>
          <w:szCs w:val="28"/>
        </w:rPr>
        <w:t xml:space="preserve">services </w:t>
      </w:r>
      <w:r w:rsidR="006F42DE" w:rsidRPr="0009083F">
        <w:rPr>
          <w:rFonts w:ascii="Times New Roman" w:hAnsi="Times New Roman" w:cs="Times New Roman"/>
          <w:i/>
          <w:sz w:val="28"/>
          <w:szCs w:val="28"/>
        </w:rPr>
        <w:t xml:space="preserve">for in </w:t>
      </w:r>
      <w:r w:rsidR="000817E6" w:rsidRPr="0009083F">
        <w:rPr>
          <w:rFonts w:ascii="Times New Roman" w:hAnsi="Times New Roman" w:cs="Times New Roman"/>
          <w:i/>
          <w:sz w:val="28"/>
          <w:szCs w:val="28"/>
        </w:rPr>
        <w:t>all public</w:t>
      </w:r>
      <w:r w:rsidR="0085377A" w:rsidRPr="0009083F">
        <w:rPr>
          <w:rFonts w:ascii="Times New Roman" w:hAnsi="Times New Roman" w:cs="Times New Roman"/>
          <w:i/>
          <w:sz w:val="28"/>
          <w:szCs w:val="28"/>
        </w:rPr>
        <w:t>/ government facilities including mental health services. All regional referral hospitals have well developed mental health departments. The M</w:t>
      </w:r>
      <w:r w:rsidR="006A4FDF" w:rsidRPr="0009083F">
        <w:rPr>
          <w:rFonts w:ascii="Times New Roman" w:hAnsi="Times New Roman" w:cs="Times New Roman"/>
          <w:i/>
          <w:sz w:val="28"/>
          <w:szCs w:val="28"/>
        </w:rPr>
        <w:t>inistry of Health Aids</w:t>
      </w:r>
      <w:r w:rsidR="0085377A" w:rsidRPr="0009083F">
        <w:rPr>
          <w:rFonts w:ascii="Times New Roman" w:hAnsi="Times New Roman" w:cs="Times New Roman"/>
          <w:i/>
          <w:sz w:val="28"/>
          <w:szCs w:val="28"/>
        </w:rPr>
        <w:t xml:space="preserve"> </w:t>
      </w:r>
      <w:r w:rsidR="006A4FDF" w:rsidRPr="0009083F">
        <w:rPr>
          <w:rFonts w:ascii="Times New Roman" w:hAnsi="Times New Roman" w:cs="Times New Roman"/>
          <w:i/>
          <w:sz w:val="28"/>
          <w:szCs w:val="28"/>
        </w:rPr>
        <w:t>Control Program</w:t>
      </w:r>
      <w:r w:rsidR="0085377A" w:rsidRPr="0009083F">
        <w:rPr>
          <w:rFonts w:ascii="Times New Roman" w:hAnsi="Times New Roman" w:cs="Times New Roman"/>
          <w:i/>
          <w:sz w:val="28"/>
          <w:szCs w:val="28"/>
        </w:rPr>
        <w:t xml:space="preserve"> and Uganda </w:t>
      </w:r>
      <w:r w:rsidR="006A4FDF" w:rsidRPr="0009083F">
        <w:rPr>
          <w:rFonts w:ascii="Times New Roman" w:hAnsi="Times New Roman" w:cs="Times New Roman"/>
          <w:i/>
          <w:sz w:val="28"/>
          <w:szCs w:val="28"/>
        </w:rPr>
        <w:t>A</w:t>
      </w:r>
      <w:r w:rsidR="0085377A" w:rsidRPr="0009083F">
        <w:rPr>
          <w:rFonts w:ascii="Times New Roman" w:hAnsi="Times New Roman" w:cs="Times New Roman"/>
          <w:i/>
          <w:sz w:val="28"/>
          <w:szCs w:val="28"/>
        </w:rPr>
        <w:t xml:space="preserve">ids </w:t>
      </w:r>
      <w:r w:rsidR="006A4FDF" w:rsidRPr="0009083F">
        <w:rPr>
          <w:rFonts w:ascii="Times New Roman" w:hAnsi="Times New Roman" w:cs="Times New Roman"/>
          <w:i/>
          <w:sz w:val="28"/>
          <w:szCs w:val="28"/>
        </w:rPr>
        <w:t>C</w:t>
      </w:r>
      <w:r w:rsidR="0085377A" w:rsidRPr="0009083F">
        <w:rPr>
          <w:rFonts w:ascii="Times New Roman" w:hAnsi="Times New Roman" w:cs="Times New Roman"/>
          <w:i/>
          <w:sz w:val="28"/>
          <w:szCs w:val="28"/>
        </w:rPr>
        <w:t>ommission offer fantastic programs including prevention activities, patient care&amp; provision of anti-retro viral</w:t>
      </w:r>
      <w:r w:rsidR="006A4FDF" w:rsidRPr="0009083F">
        <w:rPr>
          <w:rFonts w:ascii="Times New Roman" w:hAnsi="Times New Roman" w:cs="Times New Roman"/>
          <w:i/>
          <w:sz w:val="28"/>
          <w:szCs w:val="28"/>
        </w:rPr>
        <w:t xml:space="preserve"> </w:t>
      </w:r>
      <w:r w:rsidR="0085377A" w:rsidRPr="0009083F">
        <w:rPr>
          <w:rFonts w:ascii="Times New Roman" w:hAnsi="Times New Roman" w:cs="Times New Roman"/>
          <w:i/>
          <w:sz w:val="28"/>
          <w:szCs w:val="28"/>
        </w:rPr>
        <w:t>(ARVs) therapy.</w:t>
      </w:r>
    </w:p>
    <w:p w:rsidR="0085377A" w:rsidRPr="0009083F" w:rsidRDefault="00182BF0" w:rsidP="0009083F">
      <w:pPr>
        <w:ind w:left="360"/>
        <w:jc w:val="both"/>
        <w:rPr>
          <w:rFonts w:ascii="Times New Roman" w:hAnsi="Times New Roman" w:cs="Times New Roman"/>
          <w:i/>
          <w:sz w:val="28"/>
          <w:szCs w:val="28"/>
        </w:rPr>
      </w:pPr>
      <w:r>
        <w:rPr>
          <w:rFonts w:ascii="Times New Roman" w:hAnsi="Times New Roman" w:cs="Times New Roman"/>
          <w:i/>
          <w:sz w:val="28"/>
          <w:szCs w:val="28"/>
        </w:rPr>
        <w:t>d</w:t>
      </w:r>
      <w:r w:rsidR="000817E6" w:rsidRPr="0009083F">
        <w:rPr>
          <w:rFonts w:ascii="Times New Roman" w:hAnsi="Times New Roman" w:cs="Times New Roman"/>
          <w:i/>
          <w:sz w:val="28"/>
          <w:szCs w:val="28"/>
        </w:rPr>
        <w:t xml:space="preserve">) </w:t>
      </w:r>
      <w:r w:rsidR="0085377A" w:rsidRPr="0009083F">
        <w:rPr>
          <w:rFonts w:ascii="Times New Roman" w:hAnsi="Times New Roman" w:cs="Times New Roman"/>
          <w:i/>
          <w:sz w:val="28"/>
          <w:szCs w:val="28"/>
        </w:rPr>
        <w:t>Some of the disability specific health care services &amp; programs include;</w:t>
      </w:r>
    </w:p>
    <w:p w:rsidR="0085377A" w:rsidRPr="0009083F" w:rsidRDefault="000817E6" w:rsidP="0009083F">
      <w:pPr>
        <w:ind w:left="720"/>
        <w:jc w:val="both"/>
        <w:rPr>
          <w:rFonts w:ascii="Times New Roman" w:hAnsi="Times New Roman" w:cs="Times New Roman"/>
          <w:i/>
          <w:sz w:val="28"/>
          <w:szCs w:val="28"/>
        </w:rPr>
      </w:pPr>
      <w:r w:rsidRPr="0009083F">
        <w:rPr>
          <w:rFonts w:ascii="Times New Roman" w:hAnsi="Times New Roman" w:cs="Times New Roman"/>
          <w:i/>
          <w:sz w:val="28"/>
          <w:szCs w:val="28"/>
        </w:rPr>
        <w:t xml:space="preserve">i) </w:t>
      </w:r>
      <w:r w:rsidR="000A257C" w:rsidRPr="0009083F">
        <w:rPr>
          <w:rFonts w:ascii="Times New Roman" w:hAnsi="Times New Roman" w:cs="Times New Roman"/>
          <w:i/>
          <w:sz w:val="28"/>
          <w:szCs w:val="28"/>
        </w:rPr>
        <w:t>Orthopedic</w:t>
      </w:r>
      <w:r w:rsidR="0085377A" w:rsidRPr="0009083F">
        <w:rPr>
          <w:rFonts w:ascii="Times New Roman" w:hAnsi="Times New Roman" w:cs="Times New Roman"/>
          <w:i/>
          <w:sz w:val="28"/>
          <w:szCs w:val="28"/>
        </w:rPr>
        <w:t xml:space="preserve"> </w:t>
      </w:r>
      <w:r w:rsidR="000A257C" w:rsidRPr="0009083F">
        <w:rPr>
          <w:rFonts w:ascii="Times New Roman" w:hAnsi="Times New Roman" w:cs="Times New Roman"/>
          <w:i/>
          <w:sz w:val="28"/>
          <w:szCs w:val="28"/>
        </w:rPr>
        <w:t>W</w:t>
      </w:r>
      <w:r w:rsidR="0085377A" w:rsidRPr="0009083F">
        <w:rPr>
          <w:rFonts w:ascii="Times New Roman" w:hAnsi="Times New Roman" w:cs="Times New Roman"/>
          <w:i/>
          <w:sz w:val="28"/>
          <w:szCs w:val="28"/>
        </w:rPr>
        <w:t xml:space="preserve">orkshops in </w:t>
      </w:r>
      <w:r w:rsidRPr="0009083F">
        <w:rPr>
          <w:rFonts w:ascii="Times New Roman" w:hAnsi="Times New Roman" w:cs="Times New Roman"/>
          <w:i/>
          <w:sz w:val="28"/>
          <w:szCs w:val="28"/>
        </w:rPr>
        <w:t>R</w:t>
      </w:r>
      <w:r w:rsidR="0085377A" w:rsidRPr="0009083F">
        <w:rPr>
          <w:rFonts w:ascii="Times New Roman" w:hAnsi="Times New Roman" w:cs="Times New Roman"/>
          <w:i/>
          <w:sz w:val="28"/>
          <w:szCs w:val="28"/>
        </w:rPr>
        <w:t xml:space="preserve">egional </w:t>
      </w:r>
      <w:r w:rsidRPr="0009083F">
        <w:rPr>
          <w:rFonts w:ascii="Times New Roman" w:hAnsi="Times New Roman" w:cs="Times New Roman"/>
          <w:i/>
          <w:sz w:val="28"/>
          <w:szCs w:val="28"/>
        </w:rPr>
        <w:t>H</w:t>
      </w:r>
      <w:r w:rsidR="0085377A" w:rsidRPr="0009083F">
        <w:rPr>
          <w:rFonts w:ascii="Times New Roman" w:hAnsi="Times New Roman" w:cs="Times New Roman"/>
          <w:i/>
          <w:sz w:val="28"/>
          <w:szCs w:val="28"/>
        </w:rPr>
        <w:t>ospitals that fabricate assistive devices.</w:t>
      </w:r>
    </w:p>
    <w:p w:rsidR="0085377A" w:rsidRPr="0009083F" w:rsidRDefault="000817E6" w:rsidP="0009083F">
      <w:pPr>
        <w:ind w:left="720"/>
        <w:jc w:val="both"/>
        <w:rPr>
          <w:rFonts w:ascii="Times New Roman" w:hAnsi="Times New Roman" w:cs="Times New Roman"/>
          <w:i/>
          <w:sz w:val="28"/>
          <w:szCs w:val="28"/>
        </w:rPr>
      </w:pPr>
      <w:r w:rsidRPr="0009083F">
        <w:rPr>
          <w:rFonts w:ascii="Times New Roman" w:hAnsi="Times New Roman" w:cs="Times New Roman"/>
          <w:i/>
          <w:sz w:val="28"/>
          <w:szCs w:val="28"/>
        </w:rPr>
        <w:t>ii )</w:t>
      </w:r>
      <w:r w:rsidR="0085377A" w:rsidRPr="0009083F">
        <w:rPr>
          <w:rFonts w:ascii="Times New Roman" w:hAnsi="Times New Roman" w:cs="Times New Roman"/>
          <w:i/>
          <w:sz w:val="28"/>
          <w:szCs w:val="28"/>
        </w:rPr>
        <w:t xml:space="preserve">National </w:t>
      </w:r>
      <w:r w:rsidRPr="0009083F">
        <w:rPr>
          <w:rFonts w:ascii="Times New Roman" w:hAnsi="Times New Roman" w:cs="Times New Roman"/>
          <w:i/>
          <w:sz w:val="28"/>
          <w:szCs w:val="28"/>
        </w:rPr>
        <w:t>O</w:t>
      </w:r>
      <w:r w:rsidR="0085377A" w:rsidRPr="0009083F">
        <w:rPr>
          <w:rFonts w:ascii="Times New Roman" w:hAnsi="Times New Roman" w:cs="Times New Roman"/>
          <w:i/>
          <w:sz w:val="28"/>
          <w:szCs w:val="28"/>
        </w:rPr>
        <w:t xml:space="preserve">ptical </w:t>
      </w:r>
      <w:r w:rsidRPr="0009083F">
        <w:rPr>
          <w:rFonts w:ascii="Times New Roman" w:hAnsi="Times New Roman" w:cs="Times New Roman"/>
          <w:i/>
          <w:sz w:val="28"/>
          <w:szCs w:val="28"/>
        </w:rPr>
        <w:t>W</w:t>
      </w:r>
      <w:r w:rsidR="0085377A" w:rsidRPr="0009083F">
        <w:rPr>
          <w:rFonts w:ascii="Times New Roman" w:hAnsi="Times New Roman" w:cs="Times New Roman"/>
          <w:i/>
          <w:sz w:val="28"/>
          <w:szCs w:val="28"/>
        </w:rPr>
        <w:t>orkshop in Entebbe that assembles &amp;disseminates spectacles to persons with refractive errors to prevent/correct visual impairment&amp; blindness.</w:t>
      </w:r>
    </w:p>
    <w:p w:rsidR="000817E6" w:rsidRPr="0009083F" w:rsidRDefault="000817E6" w:rsidP="0009083F">
      <w:pPr>
        <w:ind w:left="720"/>
        <w:jc w:val="both"/>
        <w:rPr>
          <w:rFonts w:ascii="Times New Roman" w:hAnsi="Times New Roman" w:cs="Times New Roman"/>
          <w:i/>
          <w:sz w:val="28"/>
          <w:szCs w:val="28"/>
        </w:rPr>
      </w:pPr>
      <w:r w:rsidRPr="0009083F">
        <w:rPr>
          <w:rFonts w:ascii="Times New Roman" w:hAnsi="Times New Roman" w:cs="Times New Roman"/>
          <w:i/>
          <w:sz w:val="28"/>
          <w:szCs w:val="28"/>
        </w:rPr>
        <w:t>iii)</w:t>
      </w:r>
      <w:r w:rsidR="00182BF0">
        <w:rPr>
          <w:rFonts w:ascii="Times New Roman" w:hAnsi="Times New Roman" w:cs="Times New Roman"/>
          <w:i/>
          <w:sz w:val="28"/>
          <w:szCs w:val="28"/>
        </w:rPr>
        <w:t xml:space="preserve"> </w:t>
      </w:r>
      <w:r w:rsidR="0085377A" w:rsidRPr="0009083F">
        <w:rPr>
          <w:rFonts w:ascii="Times New Roman" w:hAnsi="Times New Roman" w:cs="Times New Roman"/>
          <w:i/>
          <w:sz w:val="28"/>
          <w:szCs w:val="28"/>
        </w:rPr>
        <w:t xml:space="preserve">Provision of wheel chairs both as the </w:t>
      </w:r>
      <w:r w:rsidRPr="0009083F">
        <w:rPr>
          <w:rFonts w:ascii="Times New Roman" w:hAnsi="Times New Roman" w:cs="Times New Roman"/>
          <w:i/>
          <w:sz w:val="28"/>
          <w:szCs w:val="28"/>
        </w:rPr>
        <w:t>M</w:t>
      </w:r>
      <w:r w:rsidR="0085377A" w:rsidRPr="0009083F">
        <w:rPr>
          <w:rFonts w:ascii="Times New Roman" w:hAnsi="Times New Roman" w:cs="Times New Roman"/>
          <w:i/>
          <w:sz w:val="28"/>
          <w:szCs w:val="28"/>
        </w:rPr>
        <w:t xml:space="preserve">inistry </w:t>
      </w:r>
      <w:r w:rsidRPr="0009083F">
        <w:rPr>
          <w:rFonts w:ascii="Times New Roman" w:hAnsi="Times New Roman" w:cs="Times New Roman"/>
          <w:i/>
          <w:sz w:val="28"/>
          <w:szCs w:val="28"/>
        </w:rPr>
        <w:t xml:space="preserve">of Health </w:t>
      </w:r>
      <w:r w:rsidR="0085377A" w:rsidRPr="0009083F">
        <w:rPr>
          <w:rFonts w:ascii="Times New Roman" w:hAnsi="Times New Roman" w:cs="Times New Roman"/>
          <w:i/>
          <w:sz w:val="28"/>
          <w:szCs w:val="28"/>
        </w:rPr>
        <w:t xml:space="preserve">but also with partners following the </w:t>
      </w:r>
      <w:r w:rsidRPr="0009083F">
        <w:rPr>
          <w:rFonts w:ascii="Times New Roman" w:hAnsi="Times New Roman" w:cs="Times New Roman"/>
          <w:i/>
          <w:sz w:val="28"/>
          <w:szCs w:val="28"/>
        </w:rPr>
        <w:t>N</w:t>
      </w:r>
      <w:r w:rsidR="0085377A" w:rsidRPr="0009083F">
        <w:rPr>
          <w:rFonts w:ascii="Times New Roman" w:hAnsi="Times New Roman" w:cs="Times New Roman"/>
          <w:i/>
          <w:sz w:val="28"/>
          <w:szCs w:val="28"/>
        </w:rPr>
        <w:t xml:space="preserve">ational </w:t>
      </w:r>
      <w:r w:rsidRPr="0009083F">
        <w:rPr>
          <w:rFonts w:ascii="Times New Roman" w:hAnsi="Times New Roman" w:cs="Times New Roman"/>
          <w:i/>
          <w:sz w:val="28"/>
          <w:szCs w:val="28"/>
        </w:rPr>
        <w:t>W</w:t>
      </w:r>
      <w:r w:rsidR="0085377A" w:rsidRPr="0009083F">
        <w:rPr>
          <w:rFonts w:ascii="Times New Roman" w:hAnsi="Times New Roman" w:cs="Times New Roman"/>
          <w:i/>
          <w:sz w:val="28"/>
          <w:szCs w:val="28"/>
        </w:rPr>
        <w:t xml:space="preserve">heel </w:t>
      </w:r>
      <w:r w:rsidR="00182BF0">
        <w:rPr>
          <w:rFonts w:ascii="Times New Roman" w:hAnsi="Times New Roman" w:cs="Times New Roman"/>
          <w:i/>
          <w:sz w:val="28"/>
          <w:szCs w:val="28"/>
        </w:rPr>
        <w:t>C</w:t>
      </w:r>
      <w:r w:rsidR="0085377A" w:rsidRPr="0009083F">
        <w:rPr>
          <w:rFonts w:ascii="Times New Roman" w:hAnsi="Times New Roman" w:cs="Times New Roman"/>
          <w:i/>
          <w:sz w:val="28"/>
          <w:szCs w:val="28"/>
        </w:rPr>
        <w:t xml:space="preserve">hair </w:t>
      </w:r>
      <w:r w:rsidRPr="0009083F">
        <w:rPr>
          <w:rFonts w:ascii="Times New Roman" w:hAnsi="Times New Roman" w:cs="Times New Roman"/>
          <w:i/>
          <w:sz w:val="28"/>
          <w:szCs w:val="28"/>
        </w:rPr>
        <w:t>G</w:t>
      </w:r>
      <w:r w:rsidR="0085377A" w:rsidRPr="0009083F">
        <w:rPr>
          <w:rFonts w:ascii="Times New Roman" w:hAnsi="Times New Roman" w:cs="Times New Roman"/>
          <w:i/>
          <w:sz w:val="28"/>
          <w:szCs w:val="28"/>
        </w:rPr>
        <w:t>uidelines</w:t>
      </w:r>
      <w:r w:rsidRPr="0009083F">
        <w:rPr>
          <w:rFonts w:ascii="Times New Roman" w:hAnsi="Times New Roman" w:cs="Times New Roman"/>
          <w:i/>
          <w:sz w:val="28"/>
          <w:szCs w:val="28"/>
        </w:rPr>
        <w:t>,</w:t>
      </w:r>
    </w:p>
    <w:p w:rsidR="0085377A" w:rsidRDefault="000817E6" w:rsidP="0009083F">
      <w:pPr>
        <w:ind w:left="720"/>
        <w:jc w:val="both"/>
        <w:rPr>
          <w:rFonts w:ascii="Times New Roman" w:hAnsi="Times New Roman" w:cs="Times New Roman"/>
          <w:i/>
          <w:sz w:val="28"/>
          <w:szCs w:val="28"/>
        </w:rPr>
      </w:pPr>
      <w:r w:rsidRPr="0009083F">
        <w:rPr>
          <w:rFonts w:ascii="Times New Roman" w:hAnsi="Times New Roman" w:cs="Times New Roman"/>
          <w:i/>
          <w:sz w:val="28"/>
          <w:szCs w:val="28"/>
        </w:rPr>
        <w:t xml:space="preserve">iv) </w:t>
      </w:r>
      <w:r w:rsidR="00182BF0">
        <w:rPr>
          <w:rFonts w:ascii="Times New Roman" w:hAnsi="Times New Roman" w:cs="Times New Roman"/>
          <w:i/>
          <w:sz w:val="28"/>
          <w:szCs w:val="28"/>
        </w:rPr>
        <w:t xml:space="preserve"> </w:t>
      </w:r>
      <w:r w:rsidR="009D74CB" w:rsidRPr="0009083F">
        <w:rPr>
          <w:rFonts w:ascii="Times New Roman" w:hAnsi="Times New Roman" w:cs="Times New Roman"/>
          <w:i/>
          <w:sz w:val="28"/>
          <w:szCs w:val="28"/>
        </w:rPr>
        <w:t xml:space="preserve"> </w:t>
      </w:r>
      <w:r w:rsidRPr="0009083F">
        <w:rPr>
          <w:rFonts w:ascii="Times New Roman" w:hAnsi="Times New Roman" w:cs="Times New Roman"/>
          <w:i/>
          <w:sz w:val="28"/>
          <w:szCs w:val="28"/>
        </w:rPr>
        <w:t xml:space="preserve">The Community Based Rehabilitation Program that targets persons with disabilities within their communities </w:t>
      </w:r>
      <w:r w:rsidR="00182BF0">
        <w:rPr>
          <w:rFonts w:ascii="Times New Roman" w:hAnsi="Times New Roman" w:cs="Times New Roman"/>
          <w:i/>
          <w:sz w:val="28"/>
          <w:szCs w:val="28"/>
        </w:rPr>
        <w:t xml:space="preserve">has </w:t>
      </w:r>
      <w:r w:rsidRPr="0009083F">
        <w:rPr>
          <w:rFonts w:ascii="Times New Roman" w:hAnsi="Times New Roman" w:cs="Times New Roman"/>
          <w:i/>
          <w:sz w:val="28"/>
          <w:szCs w:val="28"/>
        </w:rPr>
        <w:t xml:space="preserve">a health component of promotion, prevention, medical care, rehabilitation and provision of assistive devices. </w:t>
      </w:r>
    </w:p>
    <w:p w:rsidR="000A25C1" w:rsidRPr="0009083F" w:rsidRDefault="000A25C1" w:rsidP="0009083F">
      <w:pPr>
        <w:ind w:left="720"/>
        <w:jc w:val="both"/>
        <w:rPr>
          <w:rFonts w:ascii="Times New Roman" w:hAnsi="Times New Roman" w:cs="Times New Roman"/>
          <w:i/>
          <w:sz w:val="28"/>
          <w:szCs w:val="28"/>
        </w:rPr>
      </w:pPr>
      <w:r>
        <w:rPr>
          <w:rFonts w:ascii="Times New Roman" w:hAnsi="Times New Roman" w:cs="Times New Roman"/>
          <w:i/>
          <w:sz w:val="28"/>
          <w:szCs w:val="28"/>
        </w:rPr>
        <w:lastRenderedPageBreak/>
        <w:t>v) Habilitation and Rehabilitation services include a new program in Wakiso, one of the districts surrounding Kampala Capital City for early identification and interventions for the deaf-blind children that is expected to be scaled up to other districts.</w:t>
      </w:r>
    </w:p>
    <w:p w:rsidR="00CF302F" w:rsidRPr="0009083F" w:rsidRDefault="002869AF" w:rsidP="002869AF">
      <w:pPr>
        <w:jc w:val="both"/>
        <w:rPr>
          <w:rFonts w:ascii="Times New Roman" w:hAnsi="Times New Roman" w:cs="Times New Roman"/>
          <w:b/>
          <w:sz w:val="28"/>
          <w:szCs w:val="28"/>
        </w:rPr>
      </w:pPr>
      <w:r w:rsidRPr="0009083F">
        <w:rPr>
          <w:rFonts w:ascii="Times New Roman" w:hAnsi="Times New Roman" w:cs="Times New Roman"/>
          <w:b/>
          <w:sz w:val="28"/>
          <w:szCs w:val="28"/>
        </w:rPr>
        <w:t>3. Please</w:t>
      </w:r>
      <w:r w:rsidR="00CF302F" w:rsidRPr="0009083F">
        <w:rPr>
          <w:rFonts w:ascii="Times New Roman" w:hAnsi="Times New Roman" w:cs="Times New Roman"/>
          <w:b/>
          <w:sz w:val="28"/>
          <w:szCs w:val="28"/>
        </w:rPr>
        <w:t xml:space="preserve"> provide information on discrimination against persons with disabilities in provision of healthcare, health insurance and/or life insurance by public or private service providers,</w:t>
      </w:r>
    </w:p>
    <w:p w:rsidR="0085377A" w:rsidRPr="0009083F" w:rsidRDefault="005A7C99" w:rsidP="0009083F">
      <w:pPr>
        <w:ind w:left="360"/>
        <w:jc w:val="both"/>
        <w:rPr>
          <w:rFonts w:ascii="Times New Roman" w:hAnsi="Times New Roman" w:cs="Times New Roman"/>
          <w:i/>
          <w:sz w:val="28"/>
          <w:szCs w:val="28"/>
        </w:rPr>
      </w:pPr>
      <w:r>
        <w:rPr>
          <w:rFonts w:ascii="Times New Roman" w:hAnsi="Times New Roman" w:cs="Times New Roman"/>
          <w:i/>
          <w:sz w:val="28"/>
          <w:szCs w:val="28"/>
        </w:rPr>
        <w:t>There is no intended discrimination against persons with disabilities in the provision of health services by the public sector. However barriers to access to health by persons with disabilities may arise from;</w:t>
      </w:r>
      <w:r w:rsidR="003438F8" w:rsidRPr="0009083F">
        <w:rPr>
          <w:rFonts w:ascii="Times New Roman" w:hAnsi="Times New Roman" w:cs="Times New Roman"/>
          <w:i/>
          <w:sz w:val="28"/>
          <w:szCs w:val="28"/>
        </w:rPr>
        <w:t xml:space="preserve"> </w:t>
      </w:r>
      <w:r w:rsidR="0085377A" w:rsidRPr="0009083F">
        <w:rPr>
          <w:rFonts w:ascii="Times New Roman" w:hAnsi="Times New Roman" w:cs="Times New Roman"/>
          <w:i/>
          <w:sz w:val="28"/>
          <w:szCs w:val="28"/>
        </w:rPr>
        <w:t xml:space="preserve"> </w:t>
      </w:r>
    </w:p>
    <w:p w:rsidR="003438F8" w:rsidRPr="0009083F" w:rsidRDefault="00E534BF" w:rsidP="0009083F">
      <w:pPr>
        <w:ind w:left="360"/>
        <w:jc w:val="both"/>
        <w:rPr>
          <w:rFonts w:ascii="Times New Roman" w:hAnsi="Times New Roman" w:cs="Times New Roman"/>
          <w:sz w:val="28"/>
          <w:szCs w:val="28"/>
        </w:rPr>
      </w:pPr>
      <w:r w:rsidRPr="0009083F">
        <w:rPr>
          <w:rFonts w:ascii="Times New Roman" w:hAnsi="Times New Roman" w:cs="Times New Roman"/>
          <w:sz w:val="28"/>
          <w:szCs w:val="28"/>
        </w:rPr>
        <w:t>a)</w:t>
      </w:r>
      <w:r w:rsidR="005A7C99">
        <w:rPr>
          <w:rFonts w:ascii="Times New Roman" w:hAnsi="Times New Roman" w:cs="Times New Roman"/>
          <w:sz w:val="28"/>
          <w:szCs w:val="28"/>
        </w:rPr>
        <w:t xml:space="preserve"> </w:t>
      </w:r>
      <w:r w:rsidR="003438F8" w:rsidRPr="0009083F">
        <w:rPr>
          <w:rFonts w:ascii="Times New Roman" w:hAnsi="Times New Roman" w:cs="Times New Roman"/>
          <w:sz w:val="28"/>
          <w:szCs w:val="28"/>
        </w:rPr>
        <w:t>Limited awareness of their human rights</w:t>
      </w:r>
      <w:r w:rsidR="001A3EEE" w:rsidRPr="0009083F">
        <w:rPr>
          <w:rFonts w:ascii="Times New Roman" w:hAnsi="Times New Roman" w:cs="Times New Roman"/>
          <w:sz w:val="28"/>
          <w:szCs w:val="28"/>
        </w:rPr>
        <w:t>;</w:t>
      </w:r>
    </w:p>
    <w:p w:rsidR="000C6E92" w:rsidRPr="0009083F" w:rsidRDefault="00E534BF" w:rsidP="0009083F">
      <w:pPr>
        <w:ind w:left="360"/>
        <w:jc w:val="both"/>
        <w:rPr>
          <w:rFonts w:ascii="Times New Roman" w:hAnsi="Times New Roman" w:cs="Times New Roman"/>
          <w:sz w:val="28"/>
          <w:szCs w:val="28"/>
        </w:rPr>
      </w:pPr>
      <w:r w:rsidRPr="0009083F">
        <w:rPr>
          <w:rFonts w:ascii="Times New Roman" w:hAnsi="Times New Roman" w:cs="Times New Roman"/>
          <w:sz w:val="28"/>
          <w:szCs w:val="28"/>
        </w:rPr>
        <w:t>b)</w:t>
      </w:r>
      <w:r w:rsidR="005A7C99">
        <w:rPr>
          <w:rFonts w:ascii="Times New Roman" w:hAnsi="Times New Roman" w:cs="Times New Roman"/>
          <w:sz w:val="28"/>
          <w:szCs w:val="28"/>
        </w:rPr>
        <w:t xml:space="preserve"> </w:t>
      </w:r>
      <w:r w:rsidR="001A3EEE" w:rsidRPr="0009083F">
        <w:rPr>
          <w:rFonts w:ascii="Times New Roman" w:hAnsi="Times New Roman" w:cs="Times New Roman"/>
          <w:sz w:val="28"/>
          <w:szCs w:val="28"/>
        </w:rPr>
        <w:t>Gaps in</w:t>
      </w:r>
      <w:r w:rsidR="005A7C99">
        <w:rPr>
          <w:rFonts w:ascii="Times New Roman" w:hAnsi="Times New Roman" w:cs="Times New Roman"/>
          <w:sz w:val="28"/>
          <w:szCs w:val="28"/>
        </w:rPr>
        <w:t xml:space="preserve"> the provisions of some </w:t>
      </w:r>
      <w:r w:rsidR="005A7C99" w:rsidRPr="0009083F">
        <w:rPr>
          <w:rFonts w:ascii="Times New Roman" w:hAnsi="Times New Roman" w:cs="Times New Roman"/>
          <w:sz w:val="28"/>
          <w:szCs w:val="28"/>
        </w:rPr>
        <w:t>health</w:t>
      </w:r>
      <w:r w:rsidR="001A3EEE" w:rsidRPr="0009083F">
        <w:rPr>
          <w:rFonts w:ascii="Times New Roman" w:hAnsi="Times New Roman" w:cs="Times New Roman"/>
          <w:sz w:val="28"/>
          <w:szCs w:val="28"/>
        </w:rPr>
        <w:t xml:space="preserve"> legal and policy frameworks and </w:t>
      </w:r>
      <w:r w:rsidR="005A7C99" w:rsidRPr="0009083F">
        <w:rPr>
          <w:rFonts w:ascii="Times New Roman" w:hAnsi="Times New Roman" w:cs="Times New Roman"/>
          <w:sz w:val="28"/>
          <w:szCs w:val="28"/>
        </w:rPr>
        <w:t>guidelines;</w:t>
      </w:r>
    </w:p>
    <w:p w:rsidR="001A3EEE" w:rsidRPr="0009083F" w:rsidRDefault="00E534BF" w:rsidP="0009083F">
      <w:pPr>
        <w:ind w:left="360"/>
        <w:jc w:val="both"/>
        <w:rPr>
          <w:rFonts w:ascii="Times New Roman" w:hAnsi="Times New Roman" w:cs="Times New Roman"/>
          <w:sz w:val="28"/>
          <w:szCs w:val="28"/>
        </w:rPr>
      </w:pPr>
      <w:r w:rsidRPr="0009083F">
        <w:rPr>
          <w:rFonts w:ascii="Times New Roman" w:hAnsi="Times New Roman" w:cs="Times New Roman"/>
          <w:sz w:val="28"/>
          <w:szCs w:val="28"/>
        </w:rPr>
        <w:t>c)</w:t>
      </w:r>
      <w:r w:rsidR="005A7C99">
        <w:rPr>
          <w:rFonts w:ascii="Times New Roman" w:hAnsi="Times New Roman" w:cs="Times New Roman"/>
          <w:sz w:val="28"/>
          <w:szCs w:val="28"/>
        </w:rPr>
        <w:t xml:space="preserve"> </w:t>
      </w:r>
      <w:r w:rsidR="000C6E92" w:rsidRPr="0009083F">
        <w:rPr>
          <w:rFonts w:ascii="Times New Roman" w:hAnsi="Times New Roman" w:cs="Times New Roman"/>
          <w:sz w:val="28"/>
          <w:szCs w:val="28"/>
        </w:rPr>
        <w:t>Limited knowledge and skills in sign</w:t>
      </w:r>
      <w:r w:rsidR="00D946A2" w:rsidRPr="0009083F">
        <w:rPr>
          <w:rFonts w:ascii="Times New Roman" w:hAnsi="Times New Roman" w:cs="Times New Roman"/>
          <w:sz w:val="28"/>
          <w:szCs w:val="28"/>
        </w:rPr>
        <w:t xml:space="preserve"> </w:t>
      </w:r>
      <w:r w:rsidR="000C6E92" w:rsidRPr="0009083F">
        <w:rPr>
          <w:rFonts w:ascii="Times New Roman" w:hAnsi="Times New Roman" w:cs="Times New Roman"/>
          <w:sz w:val="28"/>
          <w:szCs w:val="28"/>
        </w:rPr>
        <w:t>language;</w:t>
      </w:r>
      <w:r w:rsidR="001A3EEE" w:rsidRPr="0009083F">
        <w:rPr>
          <w:rFonts w:ascii="Times New Roman" w:hAnsi="Times New Roman" w:cs="Times New Roman"/>
          <w:sz w:val="28"/>
          <w:szCs w:val="28"/>
        </w:rPr>
        <w:t xml:space="preserve"> </w:t>
      </w:r>
    </w:p>
    <w:p w:rsidR="0085377A" w:rsidRPr="0009083F" w:rsidRDefault="00E534BF" w:rsidP="0009083F">
      <w:pPr>
        <w:ind w:left="360"/>
        <w:jc w:val="both"/>
        <w:rPr>
          <w:rFonts w:ascii="Times New Roman" w:hAnsi="Times New Roman" w:cs="Times New Roman"/>
          <w:sz w:val="28"/>
          <w:szCs w:val="28"/>
        </w:rPr>
      </w:pPr>
      <w:r w:rsidRPr="0009083F">
        <w:rPr>
          <w:rFonts w:ascii="Times New Roman" w:hAnsi="Times New Roman" w:cs="Times New Roman"/>
          <w:sz w:val="28"/>
          <w:szCs w:val="28"/>
        </w:rPr>
        <w:t>d)</w:t>
      </w:r>
      <w:r w:rsidR="005A7C99">
        <w:rPr>
          <w:rFonts w:ascii="Times New Roman" w:hAnsi="Times New Roman" w:cs="Times New Roman"/>
          <w:sz w:val="28"/>
          <w:szCs w:val="28"/>
        </w:rPr>
        <w:t xml:space="preserve">  </w:t>
      </w:r>
      <w:r w:rsidR="00D946A2" w:rsidRPr="0009083F">
        <w:rPr>
          <w:rFonts w:ascii="Times New Roman" w:hAnsi="Times New Roman" w:cs="Times New Roman"/>
          <w:sz w:val="28"/>
          <w:szCs w:val="28"/>
        </w:rPr>
        <w:t xml:space="preserve">Inaccessible </w:t>
      </w:r>
      <w:r w:rsidR="00F97CAF" w:rsidRPr="0009083F">
        <w:rPr>
          <w:rFonts w:ascii="Times New Roman" w:hAnsi="Times New Roman" w:cs="Times New Roman"/>
          <w:sz w:val="28"/>
          <w:szCs w:val="28"/>
        </w:rPr>
        <w:t xml:space="preserve">structures and services. For example, some deaf persons </w:t>
      </w:r>
      <w:r w:rsidR="005A7C99">
        <w:rPr>
          <w:rFonts w:ascii="Times New Roman" w:hAnsi="Times New Roman" w:cs="Times New Roman"/>
          <w:sz w:val="28"/>
          <w:szCs w:val="28"/>
        </w:rPr>
        <w:t xml:space="preserve">at times </w:t>
      </w:r>
      <w:r w:rsidR="00F97CAF" w:rsidRPr="0009083F">
        <w:rPr>
          <w:rFonts w:ascii="Times New Roman" w:hAnsi="Times New Roman" w:cs="Times New Roman"/>
          <w:sz w:val="28"/>
          <w:szCs w:val="28"/>
        </w:rPr>
        <w:t>miss</w:t>
      </w:r>
      <w:r w:rsidR="005A7C99">
        <w:rPr>
          <w:rFonts w:ascii="Times New Roman" w:hAnsi="Times New Roman" w:cs="Times New Roman"/>
          <w:sz w:val="28"/>
          <w:szCs w:val="28"/>
        </w:rPr>
        <w:t xml:space="preserve"> </w:t>
      </w:r>
      <w:r w:rsidR="00F97CAF" w:rsidRPr="0009083F">
        <w:rPr>
          <w:rFonts w:ascii="Times New Roman" w:hAnsi="Times New Roman" w:cs="Times New Roman"/>
          <w:sz w:val="28"/>
          <w:szCs w:val="28"/>
        </w:rPr>
        <w:t xml:space="preserve"> out on health messages and information  given   due to lack of sign language</w:t>
      </w:r>
      <w:r w:rsidR="005A7C99">
        <w:rPr>
          <w:rFonts w:ascii="Times New Roman" w:hAnsi="Times New Roman" w:cs="Times New Roman"/>
          <w:sz w:val="28"/>
          <w:szCs w:val="28"/>
        </w:rPr>
        <w:t xml:space="preserve"> interpreters</w:t>
      </w:r>
      <w:r w:rsidR="00F97CAF" w:rsidRPr="0009083F">
        <w:rPr>
          <w:rFonts w:ascii="Times New Roman" w:hAnsi="Times New Roman" w:cs="Times New Roman"/>
          <w:sz w:val="28"/>
          <w:szCs w:val="28"/>
        </w:rPr>
        <w:t xml:space="preserve">, persons with  wheelchairs may not access some  health  </w:t>
      </w:r>
      <w:r w:rsidR="005A7C99">
        <w:rPr>
          <w:rFonts w:ascii="Times New Roman" w:hAnsi="Times New Roman" w:cs="Times New Roman"/>
          <w:sz w:val="28"/>
          <w:szCs w:val="28"/>
        </w:rPr>
        <w:t xml:space="preserve">services due to  inaccessible buildings, </w:t>
      </w:r>
      <w:r w:rsidR="00F97CAF" w:rsidRPr="0009083F">
        <w:rPr>
          <w:rFonts w:ascii="Times New Roman" w:hAnsi="Times New Roman" w:cs="Times New Roman"/>
          <w:sz w:val="28"/>
          <w:szCs w:val="28"/>
        </w:rPr>
        <w:t xml:space="preserve"> inaccessible labour beds,</w:t>
      </w:r>
      <w:r w:rsidR="00C465DA" w:rsidRPr="0009083F">
        <w:rPr>
          <w:rFonts w:ascii="Times New Roman" w:hAnsi="Times New Roman" w:cs="Times New Roman"/>
          <w:sz w:val="28"/>
          <w:szCs w:val="28"/>
        </w:rPr>
        <w:t xml:space="preserve"> </w:t>
      </w:r>
      <w:r w:rsidR="00F97CAF" w:rsidRPr="0009083F">
        <w:rPr>
          <w:rFonts w:ascii="Times New Roman" w:hAnsi="Times New Roman" w:cs="Times New Roman"/>
          <w:sz w:val="28"/>
          <w:szCs w:val="28"/>
        </w:rPr>
        <w:t>to name but a few</w:t>
      </w:r>
      <w:r w:rsidR="005A7C99">
        <w:rPr>
          <w:rFonts w:ascii="Times New Roman" w:hAnsi="Times New Roman" w:cs="Times New Roman"/>
          <w:sz w:val="28"/>
          <w:szCs w:val="28"/>
        </w:rPr>
        <w:t>;</w:t>
      </w:r>
    </w:p>
    <w:p w:rsidR="0085377A" w:rsidRPr="0009083F" w:rsidRDefault="00E534BF" w:rsidP="0009083F">
      <w:pPr>
        <w:ind w:left="360"/>
        <w:jc w:val="both"/>
        <w:rPr>
          <w:rFonts w:ascii="Times New Roman" w:hAnsi="Times New Roman" w:cs="Times New Roman"/>
          <w:sz w:val="28"/>
          <w:szCs w:val="28"/>
        </w:rPr>
      </w:pPr>
      <w:r w:rsidRPr="0009083F">
        <w:rPr>
          <w:rFonts w:ascii="Times New Roman" w:hAnsi="Times New Roman" w:cs="Times New Roman"/>
          <w:sz w:val="28"/>
          <w:szCs w:val="28"/>
        </w:rPr>
        <w:t>e)</w:t>
      </w:r>
      <w:r w:rsidR="005A7C99">
        <w:rPr>
          <w:rFonts w:ascii="Times New Roman" w:hAnsi="Times New Roman" w:cs="Times New Roman"/>
          <w:sz w:val="28"/>
          <w:szCs w:val="28"/>
        </w:rPr>
        <w:t xml:space="preserve"> </w:t>
      </w:r>
      <w:r w:rsidR="0085377A" w:rsidRPr="0009083F">
        <w:rPr>
          <w:rFonts w:ascii="Times New Roman" w:hAnsi="Times New Roman" w:cs="Times New Roman"/>
          <w:sz w:val="28"/>
          <w:szCs w:val="28"/>
        </w:rPr>
        <w:t>Poverty</w:t>
      </w:r>
      <w:r w:rsidR="00AC491C" w:rsidRPr="0009083F">
        <w:rPr>
          <w:rFonts w:ascii="Times New Roman" w:hAnsi="Times New Roman" w:cs="Times New Roman"/>
          <w:sz w:val="28"/>
          <w:szCs w:val="28"/>
        </w:rPr>
        <w:t xml:space="preserve"> among persons with disabilities </w:t>
      </w:r>
      <w:r w:rsidR="005A7C99">
        <w:rPr>
          <w:rFonts w:ascii="Times New Roman" w:hAnsi="Times New Roman" w:cs="Times New Roman"/>
          <w:sz w:val="28"/>
          <w:szCs w:val="28"/>
        </w:rPr>
        <w:t>and their fa</w:t>
      </w:r>
      <w:r w:rsidR="00531E30">
        <w:rPr>
          <w:rFonts w:ascii="Times New Roman" w:hAnsi="Times New Roman" w:cs="Times New Roman"/>
          <w:sz w:val="28"/>
          <w:szCs w:val="28"/>
        </w:rPr>
        <w:t>m</w:t>
      </w:r>
      <w:r w:rsidR="005A7C99">
        <w:rPr>
          <w:rFonts w:ascii="Times New Roman" w:hAnsi="Times New Roman" w:cs="Times New Roman"/>
          <w:sz w:val="28"/>
          <w:szCs w:val="28"/>
        </w:rPr>
        <w:t>ilies</w:t>
      </w:r>
    </w:p>
    <w:p w:rsidR="0085377A" w:rsidRPr="0009083F" w:rsidRDefault="00E534BF" w:rsidP="0009083F">
      <w:pPr>
        <w:ind w:left="360"/>
        <w:jc w:val="both"/>
        <w:rPr>
          <w:rFonts w:ascii="Times New Roman" w:hAnsi="Times New Roman" w:cs="Times New Roman"/>
          <w:sz w:val="28"/>
          <w:szCs w:val="28"/>
        </w:rPr>
      </w:pPr>
      <w:r w:rsidRPr="0009083F">
        <w:rPr>
          <w:rFonts w:ascii="Times New Roman" w:hAnsi="Times New Roman" w:cs="Times New Roman"/>
          <w:sz w:val="28"/>
          <w:szCs w:val="28"/>
        </w:rPr>
        <w:t>f)</w:t>
      </w:r>
      <w:r w:rsidR="005A7C99">
        <w:rPr>
          <w:rFonts w:ascii="Times New Roman" w:hAnsi="Times New Roman" w:cs="Times New Roman"/>
          <w:sz w:val="28"/>
          <w:szCs w:val="28"/>
        </w:rPr>
        <w:t xml:space="preserve"> </w:t>
      </w:r>
      <w:r w:rsidR="0085377A" w:rsidRPr="0009083F">
        <w:rPr>
          <w:rFonts w:ascii="Times New Roman" w:hAnsi="Times New Roman" w:cs="Times New Roman"/>
          <w:sz w:val="28"/>
          <w:szCs w:val="28"/>
        </w:rPr>
        <w:t>Negative cultural beliefs</w:t>
      </w:r>
      <w:r w:rsidR="008D1B13" w:rsidRPr="0009083F">
        <w:rPr>
          <w:rFonts w:ascii="Times New Roman" w:hAnsi="Times New Roman" w:cs="Times New Roman"/>
          <w:sz w:val="28"/>
          <w:szCs w:val="28"/>
        </w:rPr>
        <w:t xml:space="preserve"> and myths arising from fear, ignorance, superstitions, neglect and lack of awareness of persons with disabilities rights.</w:t>
      </w:r>
    </w:p>
    <w:p w:rsidR="00CF302F" w:rsidRPr="0009083F" w:rsidRDefault="00E534BF" w:rsidP="002869AF">
      <w:pPr>
        <w:jc w:val="both"/>
        <w:rPr>
          <w:rFonts w:ascii="Times New Roman" w:hAnsi="Times New Roman" w:cs="Times New Roman"/>
          <w:b/>
          <w:sz w:val="28"/>
          <w:szCs w:val="28"/>
        </w:rPr>
      </w:pPr>
      <w:r w:rsidRPr="0009083F">
        <w:rPr>
          <w:rFonts w:ascii="Times New Roman" w:hAnsi="Times New Roman" w:cs="Times New Roman"/>
          <w:b/>
          <w:sz w:val="28"/>
          <w:szCs w:val="28"/>
        </w:rPr>
        <w:t>4.</w:t>
      </w:r>
      <w:r w:rsidR="0009083F">
        <w:rPr>
          <w:rFonts w:ascii="Times New Roman" w:hAnsi="Times New Roman" w:cs="Times New Roman"/>
          <w:b/>
          <w:sz w:val="28"/>
          <w:szCs w:val="28"/>
        </w:rPr>
        <w:t xml:space="preserve"> </w:t>
      </w:r>
      <w:r w:rsidR="00CF302F" w:rsidRPr="0009083F">
        <w:rPr>
          <w:rFonts w:ascii="Times New Roman" w:hAnsi="Times New Roman" w:cs="Times New Roman"/>
          <w:b/>
          <w:sz w:val="28"/>
          <w:szCs w:val="28"/>
        </w:rPr>
        <w:t>Please provide information on the observance of the right to free and informed consent of persons with disabilities regarding healthcare, including sexual and reproductive health and mental health services.</w:t>
      </w:r>
    </w:p>
    <w:p w:rsidR="00041BC6" w:rsidRDefault="0085377A" w:rsidP="0009083F">
      <w:pPr>
        <w:jc w:val="both"/>
        <w:rPr>
          <w:rFonts w:ascii="Times New Roman" w:hAnsi="Times New Roman" w:cs="Times New Roman"/>
          <w:i/>
          <w:sz w:val="28"/>
          <w:szCs w:val="28"/>
        </w:rPr>
      </w:pPr>
      <w:r w:rsidRPr="0009083F">
        <w:rPr>
          <w:rFonts w:ascii="Times New Roman" w:hAnsi="Times New Roman" w:cs="Times New Roman"/>
          <w:i/>
          <w:sz w:val="28"/>
          <w:szCs w:val="28"/>
        </w:rPr>
        <w:t>Observance of the right to free</w:t>
      </w:r>
      <w:r w:rsidR="00AC491C" w:rsidRPr="0009083F">
        <w:rPr>
          <w:rFonts w:ascii="Times New Roman" w:hAnsi="Times New Roman" w:cs="Times New Roman"/>
          <w:i/>
          <w:sz w:val="28"/>
          <w:szCs w:val="28"/>
        </w:rPr>
        <w:t xml:space="preserve"> </w:t>
      </w:r>
      <w:r w:rsidR="00486A80" w:rsidRPr="0009083F">
        <w:rPr>
          <w:rFonts w:ascii="Times New Roman" w:hAnsi="Times New Roman" w:cs="Times New Roman"/>
          <w:i/>
          <w:sz w:val="28"/>
          <w:szCs w:val="28"/>
        </w:rPr>
        <w:t xml:space="preserve">and </w:t>
      </w:r>
      <w:r w:rsidRPr="0009083F">
        <w:rPr>
          <w:rFonts w:ascii="Times New Roman" w:hAnsi="Times New Roman" w:cs="Times New Roman"/>
          <w:i/>
          <w:sz w:val="28"/>
          <w:szCs w:val="28"/>
        </w:rPr>
        <w:t>informed consent to P</w:t>
      </w:r>
      <w:r w:rsidR="00486A80" w:rsidRPr="0009083F">
        <w:rPr>
          <w:rFonts w:ascii="Times New Roman" w:hAnsi="Times New Roman" w:cs="Times New Roman"/>
          <w:i/>
          <w:sz w:val="28"/>
          <w:szCs w:val="28"/>
        </w:rPr>
        <w:t>ersons with Disabilities</w:t>
      </w:r>
      <w:r w:rsidRPr="0009083F">
        <w:rPr>
          <w:rFonts w:ascii="Times New Roman" w:hAnsi="Times New Roman" w:cs="Times New Roman"/>
          <w:i/>
          <w:sz w:val="28"/>
          <w:szCs w:val="28"/>
        </w:rPr>
        <w:t xml:space="preserve"> </w:t>
      </w:r>
      <w:r w:rsidR="00AC491C" w:rsidRPr="0009083F">
        <w:rPr>
          <w:rFonts w:ascii="Times New Roman" w:hAnsi="Times New Roman" w:cs="Times New Roman"/>
          <w:i/>
          <w:sz w:val="28"/>
          <w:szCs w:val="28"/>
        </w:rPr>
        <w:t>regarding health</w:t>
      </w:r>
      <w:r w:rsidRPr="0009083F">
        <w:rPr>
          <w:rFonts w:ascii="Times New Roman" w:hAnsi="Times New Roman" w:cs="Times New Roman"/>
          <w:i/>
          <w:sz w:val="28"/>
          <w:szCs w:val="28"/>
        </w:rPr>
        <w:t xml:space="preserve"> related issues is in built in the well observed policy</w:t>
      </w:r>
      <w:r w:rsidR="00486A80" w:rsidRPr="0009083F">
        <w:rPr>
          <w:rFonts w:ascii="Times New Roman" w:hAnsi="Times New Roman" w:cs="Times New Roman"/>
          <w:i/>
          <w:sz w:val="28"/>
          <w:szCs w:val="28"/>
        </w:rPr>
        <w:t xml:space="preserve"> </w:t>
      </w:r>
      <w:r w:rsidR="00461BF5">
        <w:rPr>
          <w:rFonts w:ascii="Times New Roman" w:hAnsi="Times New Roman" w:cs="Times New Roman"/>
          <w:i/>
          <w:sz w:val="28"/>
          <w:szCs w:val="28"/>
        </w:rPr>
        <w:t xml:space="preserve">and </w:t>
      </w:r>
      <w:r w:rsidRPr="0009083F">
        <w:rPr>
          <w:rFonts w:ascii="Times New Roman" w:hAnsi="Times New Roman" w:cs="Times New Roman"/>
          <w:i/>
          <w:sz w:val="28"/>
          <w:szCs w:val="28"/>
        </w:rPr>
        <w:t>ethical requirement that before any health intervention</w:t>
      </w:r>
      <w:r w:rsidR="00461BF5">
        <w:rPr>
          <w:rFonts w:ascii="Times New Roman" w:hAnsi="Times New Roman" w:cs="Times New Roman"/>
          <w:i/>
          <w:sz w:val="28"/>
          <w:szCs w:val="28"/>
        </w:rPr>
        <w:t>,</w:t>
      </w:r>
      <w:r w:rsidR="00486A80" w:rsidRPr="0009083F">
        <w:rPr>
          <w:rFonts w:ascii="Times New Roman" w:hAnsi="Times New Roman" w:cs="Times New Roman"/>
          <w:i/>
          <w:sz w:val="28"/>
          <w:szCs w:val="28"/>
        </w:rPr>
        <w:t xml:space="preserve">  </w:t>
      </w:r>
      <w:r w:rsidRPr="0009083F">
        <w:rPr>
          <w:rFonts w:ascii="Times New Roman" w:hAnsi="Times New Roman" w:cs="Times New Roman"/>
          <w:i/>
          <w:sz w:val="28"/>
          <w:szCs w:val="28"/>
        </w:rPr>
        <w:t xml:space="preserve"> a person must be well informed a</w:t>
      </w:r>
      <w:r w:rsidR="00461BF5">
        <w:rPr>
          <w:rFonts w:ascii="Times New Roman" w:hAnsi="Times New Roman" w:cs="Times New Roman"/>
          <w:i/>
          <w:sz w:val="28"/>
          <w:szCs w:val="28"/>
        </w:rPr>
        <w:t>nd should give his/her consent</w:t>
      </w:r>
      <w:r w:rsidR="00041BC6">
        <w:rPr>
          <w:rFonts w:ascii="Times New Roman" w:hAnsi="Times New Roman" w:cs="Times New Roman"/>
          <w:i/>
          <w:sz w:val="28"/>
          <w:szCs w:val="28"/>
        </w:rPr>
        <w:t>.</w:t>
      </w:r>
    </w:p>
    <w:p w:rsidR="00461BF5" w:rsidRDefault="00041BC6" w:rsidP="0009083F">
      <w:pPr>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The Ministry of Health   developed </w:t>
      </w:r>
      <w:r w:rsidR="002869AF">
        <w:rPr>
          <w:rFonts w:ascii="Times New Roman" w:hAnsi="Times New Roman" w:cs="Times New Roman"/>
          <w:i/>
          <w:sz w:val="28"/>
          <w:szCs w:val="28"/>
        </w:rPr>
        <w:t>a Booklet</w:t>
      </w:r>
      <w:r>
        <w:rPr>
          <w:rFonts w:ascii="Times New Roman" w:hAnsi="Times New Roman" w:cs="Times New Roman"/>
          <w:i/>
          <w:sz w:val="28"/>
          <w:szCs w:val="28"/>
        </w:rPr>
        <w:t xml:space="preserve"> on ethical code for health workers.</w:t>
      </w:r>
    </w:p>
    <w:p w:rsidR="0085377A" w:rsidRPr="0009083F" w:rsidRDefault="0009083F" w:rsidP="0009083F">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2869AF">
        <w:rPr>
          <w:rFonts w:ascii="Times New Roman" w:hAnsi="Times New Roman" w:cs="Times New Roman"/>
          <w:b/>
          <w:sz w:val="28"/>
          <w:szCs w:val="28"/>
        </w:rPr>
        <w:t xml:space="preserve">5. </w:t>
      </w:r>
      <w:r w:rsidR="00CF302F" w:rsidRPr="0009083F">
        <w:rPr>
          <w:rFonts w:ascii="Times New Roman" w:hAnsi="Times New Roman" w:cs="Times New Roman"/>
          <w:b/>
          <w:sz w:val="28"/>
          <w:szCs w:val="28"/>
        </w:rPr>
        <w:t>Please describe to what extent and how are persons with disabilities and their representative organizations involved in the design, planning, implementation an</w:t>
      </w:r>
      <w:r w:rsidR="00E534BF" w:rsidRPr="0009083F">
        <w:rPr>
          <w:rFonts w:ascii="Times New Roman" w:hAnsi="Times New Roman" w:cs="Times New Roman"/>
          <w:b/>
          <w:sz w:val="28"/>
          <w:szCs w:val="28"/>
        </w:rPr>
        <w:t xml:space="preserve">d evaluation of health policies, programs and services. </w:t>
      </w:r>
      <w:r w:rsidR="0085377A" w:rsidRPr="0009083F">
        <w:rPr>
          <w:rFonts w:ascii="Times New Roman" w:hAnsi="Times New Roman" w:cs="Times New Roman"/>
          <w:b/>
          <w:sz w:val="28"/>
          <w:szCs w:val="28"/>
        </w:rPr>
        <w:t xml:space="preserve"> </w:t>
      </w:r>
    </w:p>
    <w:p w:rsidR="0085377A" w:rsidRPr="0009083F" w:rsidRDefault="0085377A" w:rsidP="0009083F">
      <w:pPr>
        <w:jc w:val="both"/>
        <w:rPr>
          <w:rFonts w:ascii="Times New Roman" w:hAnsi="Times New Roman" w:cs="Times New Roman"/>
          <w:i/>
          <w:sz w:val="28"/>
          <w:szCs w:val="28"/>
        </w:rPr>
      </w:pPr>
      <w:r w:rsidRPr="0009083F">
        <w:rPr>
          <w:rFonts w:ascii="Times New Roman" w:hAnsi="Times New Roman" w:cs="Times New Roman"/>
          <w:i/>
          <w:sz w:val="28"/>
          <w:szCs w:val="28"/>
        </w:rPr>
        <w:t>Involvement of P</w:t>
      </w:r>
      <w:r w:rsidR="00C465DA" w:rsidRPr="0009083F">
        <w:rPr>
          <w:rFonts w:ascii="Times New Roman" w:hAnsi="Times New Roman" w:cs="Times New Roman"/>
          <w:i/>
          <w:sz w:val="28"/>
          <w:szCs w:val="28"/>
        </w:rPr>
        <w:t>ersons with disabilities and their</w:t>
      </w:r>
      <w:r w:rsidRPr="0009083F">
        <w:rPr>
          <w:rFonts w:ascii="Times New Roman" w:hAnsi="Times New Roman" w:cs="Times New Roman"/>
          <w:i/>
          <w:sz w:val="28"/>
          <w:szCs w:val="28"/>
        </w:rPr>
        <w:t xml:space="preserve"> organi</w:t>
      </w:r>
      <w:r w:rsidR="00C465DA" w:rsidRPr="0009083F">
        <w:rPr>
          <w:rFonts w:ascii="Times New Roman" w:hAnsi="Times New Roman" w:cs="Times New Roman"/>
          <w:i/>
          <w:sz w:val="28"/>
          <w:szCs w:val="28"/>
        </w:rPr>
        <w:t>z</w:t>
      </w:r>
      <w:r w:rsidRPr="0009083F">
        <w:rPr>
          <w:rFonts w:ascii="Times New Roman" w:hAnsi="Times New Roman" w:cs="Times New Roman"/>
          <w:i/>
          <w:sz w:val="28"/>
          <w:szCs w:val="28"/>
        </w:rPr>
        <w:t>ations in planning &amp; implementation of disability services is done under some of these legal &amp; institutional frameworks;</w:t>
      </w:r>
    </w:p>
    <w:p w:rsidR="003656B2" w:rsidRPr="00041BC6" w:rsidRDefault="00041BC6" w:rsidP="00041BC6">
      <w:pPr>
        <w:jc w:val="both"/>
        <w:rPr>
          <w:rFonts w:ascii="Times New Roman" w:hAnsi="Times New Roman" w:cs="Times New Roman"/>
          <w:i/>
          <w:sz w:val="28"/>
          <w:szCs w:val="28"/>
        </w:rPr>
      </w:pPr>
      <w:r>
        <w:rPr>
          <w:i/>
        </w:rPr>
        <w:t>a</w:t>
      </w:r>
      <w:r w:rsidRPr="00041BC6">
        <w:rPr>
          <w:rFonts w:ascii="Times New Roman" w:hAnsi="Times New Roman" w:cs="Times New Roman"/>
          <w:i/>
          <w:sz w:val="28"/>
          <w:szCs w:val="28"/>
        </w:rPr>
        <w:t xml:space="preserve">) </w:t>
      </w:r>
      <w:r w:rsidR="00C465DA" w:rsidRPr="00041BC6">
        <w:rPr>
          <w:rFonts w:ascii="Times New Roman" w:hAnsi="Times New Roman" w:cs="Times New Roman"/>
          <w:i/>
          <w:sz w:val="28"/>
          <w:szCs w:val="28"/>
        </w:rPr>
        <w:t xml:space="preserve">The </w:t>
      </w:r>
      <w:r w:rsidR="003656B2" w:rsidRPr="00041BC6">
        <w:rPr>
          <w:rFonts w:ascii="Times New Roman" w:hAnsi="Times New Roman" w:cs="Times New Roman"/>
          <w:i/>
          <w:sz w:val="28"/>
          <w:szCs w:val="28"/>
        </w:rPr>
        <w:t>principle</w:t>
      </w:r>
      <w:r w:rsidR="00C465DA" w:rsidRPr="00041BC6">
        <w:rPr>
          <w:rFonts w:ascii="Times New Roman" w:hAnsi="Times New Roman" w:cs="Times New Roman"/>
          <w:i/>
          <w:sz w:val="28"/>
          <w:szCs w:val="28"/>
        </w:rPr>
        <w:t xml:space="preserve"> of </w:t>
      </w:r>
      <w:r w:rsidR="003656B2" w:rsidRPr="00041BC6">
        <w:rPr>
          <w:rFonts w:ascii="Times New Roman" w:hAnsi="Times New Roman" w:cs="Times New Roman"/>
          <w:i/>
          <w:sz w:val="28"/>
          <w:szCs w:val="28"/>
        </w:rPr>
        <w:t>the National</w:t>
      </w:r>
      <w:r w:rsidR="00C465DA" w:rsidRPr="00041BC6">
        <w:rPr>
          <w:rFonts w:ascii="Times New Roman" w:hAnsi="Times New Roman" w:cs="Times New Roman"/>
          <w:i/>
          <w:sz w:val="28"/>
          <w:szCs w:val="28"/>
        </w:rPr>
        <w:t xml:space="preserve"> Policy on Disability 2006 which is the guiding framework on disability interventions</w:t>
      </w:r>
      <w:r w:rsidR="003656B2" w:rsidRPr="00041BC6">
        <w:rPr>
          <w:rFonts w:ascii="Times New Roman" w:hAnsi="Times New Roman" w:cs="Times New Roman"/>
          <w:i/>
          <w:sz w:val="28"/>
          <w:szCs w:val="28"/>
        </w:rPr>
        <w:t xml:space="preserve"> of all stakeholders emphasizes the human rights approach to programming and participation. Full participation and representation of persons with disabilities and their careers in planning, implementation, monitoring and evaluation of their programs at all levels.</w:t>
      </w:r>
    </w:p>
    <w:p w:rsidR="003656B2" w:rsidRPr="0009083F" w:rsidRDefault="003656B2" w:rsidP="0009083F">
      <w:pPr>
        <w:jc w:val="both"/>
        <w:rPr>
          <w:rFonts w:ascii="Times New Roman" w:hAnsi="Times New Roman" w:cs="Times New Roman"/>
          <w:i/>
          <w:sz w:val="28"/>
          <w:szCs w:val="28"/>
        </w:rPr>
      </w:pPr>
      <w:r w:rsidRPr="0009083F">
        <w:rPr>
          <w:rFonts w:ascii="Times New Roman" w:hAnsi="Times New Roman" w:cs="Times New Roman"/>
          <w:i/>
          <w:sz w:val="28"/>
          <w:szCs w:val="28"/>
        </w:rPr>
        <w:t>b)</w:t>
      </w:r>
      <w:r w:rsidR="00811608">
        <w:rPr>
          <w:rFonts w:ascii="Times New Roman" w:hAnsi="Times New Roman" w:cs="Times New Roman"/>
          <w:i/>
          <w:sz w:val="28"/>
          <w:szCs w:val="28"/>
        </w:rPr>
        <w:t xml:space="preserve"> </w:t>
      </w:r>
      <w:r w:rsidR="00C465DA" w:rsidRPr="0009083F">
        <w:rPr>
          <w:rFonts w:ascii="Times New Roman" w:hAnsi="Times New Roman" w:cs="Times New Roman"/>
          <w:i/>
          <w:sz w:val="28"/>
          <w:szCs w:val="28"/>
        </w:rPr>
        <w:t xml:space="preserve">The National </w:t>
      </w:r>
      <w:r w:rsidR="0085377A" w:rsidRPr="0009083F">
        <w:rPr>
          <w:rFonts w:ascii="Times New Roman" w:hAnsi="Times New Roman" w:cs="Times New Roman"/>
          <w:i/>
          <w:sz w:val="28"/>
          <w:szCs w:val="28"/>
        </w:rPr>
        <w:t xml:space="preserve">  </w:t>
      </w:r>
      <w:r w:rsidR="00C465DA" w:rsidRPr="0009083F">
        <w:rPr>
          <w:rFonts w:ascii="Times New Roman" w:hAnsi="Times New Roman" w:cs="Times New Roman"/>
          <w:i/>
          <w:sz w:val="28"/>
          <w:szCs w:val="28"/>
        </w:rPr>
        <w:t>C</w:t>
      </w:r>
      <w:r w:rsidR="0085377A" w:rsidRPr="0009083F">
        <w:rPr>
          <w:rFonts w:ascii="Times New Roman" w:hAnsi="Times New Roman" w:cs="Times New Roman"/>
          <w:i/>
          <w:sz w:val="28"/>
          <w:szCs w:val="28"/>
        </w:rPr>
        <w:t xml:space="preserve">ouncil for </w:t>
      </w:r>
      <w:r w:rsidR="00C465DA" w:rsidRPr="0009083F">
        <w:rPr>
          <w:rFonts w:ascii="Times New Roman" w:hAnsi="Times New Roman" w:cs="Times New Roman"/>
          <w:i/>
          <w:sz w:val="28"/>
          <w:szCs w:val="28"/>
        </w:rPr>
        <w:t>D</w:t>
      </w:r>
      <w:r w:rsidR="0085377A" w:rsidRPr="0009083F">
        <w:rPr>
          <w:rFonts w:ascii="Times New Roman" w:hAnsi="Times New Roman" w:cs="Times New Roman"/>
          <w:i/>
          <w:sz w:val="28"/>
          <w:szCs w:val="28"/>
        </w:rPr>
        <w:t>isability</w:t>
      </w:r>
      <w:r w:rsidRPr="0009083F">
        <w:rPr>
          <w:rFonts w:ascii="Times New Roman" w:hAnsi="Times New Roman" w:cs="Times New Roman"/>
          <w:i/>
          <w:sz w:val="28"/>
          <w:szCs w:val="28"/>
        </w:rPr>
        <w:t xml:space="preserve"> </w:t>
      </w:r>
      <w:r w:rsidR="00826805">
        <w:rPr>
          <w:rFonts w:ascii="Times New Roman" w:hAnsi="Times New Roman" w:cs="Times New Roman"/>
          <w:i/>
          <w:sz w:val="28"/>
          <w:szCs w:val="28"/>
        </w:rPr>
        <w:t>Act 2003</w:t>
      </w:r>
      <w:r w:rsidRPr="0009083F">
        <w:rPr>
          <w:rFonts w:ascii="Times New Roman" w:hAnsi="Times New Roman" w:cs="Times New Roman"/>
          <w:i/>
          <w:sz w:val="28"/>
          <w:szCs w:val="28"/>
        </w:rPr>
        <w:t xml:space="preserve"> </w:t>
      </w:r>
      <w:r w:rsidR="0085377A" w:rsidRPr="0009083F">
        <w:rPr>
          <w:rFonts w:ascii="Times New Roman" w:hAnsi="Times New Roman" w:cs="Times New Roman"/>
          <w:i/>
          <w:sz w:val="28"/>
          <w:szCs w:val="28"/>
        </w:rPr>
        <w:t xml:space="preserve">  </w:t>
      </w:r>
      <w:r w:rsidR="00811608" w:rsidRPr="0009083F">
        <w:rPr>
          <w:rFonts w:ascii="Times New Roman" w:hAnsi="Times New Roman" w:cs="Times New Roman"/>
          <w:i/>
          <w:sz w:val="28"/>
          <w:szCs w:val="28"/>
        </w:rPr>
        <w:t>mandate</w:t>
      </w:r>
      <w:r w:rsidR="00811608">
        <w:rPr>
          <w:rFonts w:ascii="Times New Roman" w:hAnsi="Times New Roman" w:cs="Times New Roman"/>
          <w:i/>
          <w:sz w:val="28"/>
          <w:szCs w:val="28"/>
        </w:rPr>
        <w:t xml:space="preserve">s </w:t>
      </w:r>
      <w:r w:rsidR="00811608" w:rsidRPr="0009083F">
        <w:rPr>
          <w:rFonts w:ascii="Times New Roman" w:hAnsi="Times New Roman" w:cs="Times New Roman"/>
          <w:i/>
          <w:sz w:val="28"/>
          <w:szCs w:val="28"/>
        </w:rPr>
        <w:t>the</w:t>
      </w:r>
      <w:r w:rsidRPr="0009083F">
        <w:rPr>
          <w:rFonts w:ascii="Times New Roman" w:hAnsi="Times New Roman" w:cs="Times New Roman"/>
          <w:i/>
          <w:sz w:val="28"/>
          <w:szCs w:val="28"/>
        </w:rPr>
        <w:t xml:space="preserve"> Council </w:t>
      </w:r>
      <w:r w:rsidR="0085377A" w:rsidRPr="0009083F">
        <w:rPr>
          <w:rFonts w:ascii="Times New Roman" w:hAnsi="Times New Roman" w:cs="Times New Roman"/>
          <w:i/>
          <w:sz w:val="28"/>
          <w:szCs w:val="28"/>
        </w:rPr>
        <w:t>to monitor all</w:t>
      </w:r>
      <w:r w:rsidRPr="0009083F">
        <w:rPr>
          <w:rFonts w:ascii="Times New Roman" w:hAnsi="Times New Roman" w:cs="Times New Roman"/>
          <w:i/>
          <w:sz w:val="28"/>
          <w:szCs w:val="28"/>
        </w:rPr>
        <w:t xml:space="preserve"> interventions to persons with disabilities and to advise government and other stakeholders on gaps to address.</w:t>
      </w:r>
    </w:p>
    <w:p w:rsidR="0085377A" w:rsidRPr="0009083F" w:rsidRDefault="003656B2" w:rsidP="0009083F">
      <w:pPr>
        <w:jc w:val="both"/>
        <w:rPr>
          <w:rFonts w:ascii="Times New Roman" w:hAnsi="Times New Roman" w:cs="Times New Roman"/>
          <w:i/>
          <w:color w:val="000000" w:themeColor="text1"/>
          <w:sz w:val="28"/>
          <w:szCs w:val="28"/>
        </w:rPr>
      </w:pPr>
      <w:r w:rsidRPr="0009083F">
        <w:rPr>
          <w:rFonts w:ascii="Times New Roman" w:hAnsi="Times New Roman" w:cs="Times New Roman"/>
          <w:i/>
          <w:sz w:val="28"/>
          <w:szCs w:val="28"/>
        </w:rPr>
        <w:t>c</w:t>
      </w:r>
      <w:r w:rsidR="0085377A" w:rsidRPr="0009083F">
        <w:rPr>
          <w:rFonts w:ascii="Times New Roman" w:hAnsi="Times New Roman" w:cs="Times New Roman"/>
          <w:i/>
          <w:color w:val="000000" w:themeColor="text1"/>
          <w:sz w:val="28"/>
          <w:szCs w:val="28"/>
        </w:rPr>
        <w:t xml:space="preserve">) </w:t>
      </w:r>
      <w:r w:rsidRPr="0009083F">
        <w:rPr>
          <w:rFonts w:ascii="Times New Roman" w:hAnsi="Times New Roman" w:cs="Times New Roman"/>
          <w:i/>
          <w:color w:val="000000" w:themeColor="text1"/>
          <w:sz w:val="28"/>
          <w:szCs w:val="28"/>
        </w:rPr>
        <w:t xml:space="preserve">The Public  Finance Act  mandates  </w:t>
      </w:r>
      <w:r w:rsidR="0085377A" w:rsidRPr="0009083F">
        <w:rPr>
          <w:rFonts w:ascii="Times New Roman" w:hAnsi="Times New Roman" w:cs="Times New Roman"/>
          <w:i/>
          <w:color w:val="000000" w:themeColor="text1"/>
          <w:sz w:val="28"/>
          <w:szCs w:val="28"/>
        </w:rPr>
        <w:t>Equal</w:t>
      </w:r>
      <w:r w:rsidRPr="0009083F">
        <w:rPr>
          <w:rFonts w:ascii="Times New Roman" w:hAnsi="Times New Roman" w:cs="Times New Roman"/>
          <w:i/>
          <w:color w:val="000000" w:themeColor="text1"/>
          <w:sz w:val="28"/>
          <w:szCs w:val="28"/>
        </w:rPr>
        <w:t xml:space="preserve"> O</w:t>
      </w:r>
      <w:r w:rsidR="0085377A" w:rsidRPr="0009083F">
        <w:rPr>
          <w:rFonts w:ascii="Times New Roman" w:hAnsi="Times New Roman" w:cs="Times New Roman"/>
          <w:i/>
          <w:color w:val="000000" w:themeColor="text1"/>
          <w:sz w:val="28"/>
          <w:szCs w:val="28"/>
        </w:rPr>
        <w:t xml:space="preserve">pportunities </w:t>
      </w:r>
      <w:r w:rsidRPr="0009083F">
        <w:rPr>
          <w:rFonts w:ascii="Times New Roman" w:hAnsi="Times New Roman" w:cs="Times New Roman"/>
          <w:i/>
          <w:color w:val="000000" w:themeColor="text1"/>
          <w:sz w:val="28"/>
          <w:szCs w:val="28"/>
        </w:rPr>
        <w:t>C</w:t>
      </w:r>
      <w:r w:rsidR="0085377A" w:rsidRPr="0009083F">
        <w:rPr>
          <w:rFonts w:ascii="Times New Roman" w:hAnsi="Times New Roman" w:cs="Times New Roman"/>
          <w:i/>
          <w:color w:val="000000" w:themeColor="text1"/>
          <w:sz w:val="28"/>
          <w:szCs w:val="28"/>
        </w:rPr>
        <w:t>ommission</w:t>
      </w:r>
      <w:r w:rsidRPr="0009083F">
        <w:rPr>
          <w:rFonts w:ascii="Times New Roman" w:hAnsi="Times New Roman" w:cs="Times New Roman"/>
          <w:i/>
          <w:color w:val="000000" w:themeColor="text1"/>
          <w:sz w:val="28"/>
          <w:szCs w:val="28"/>
        </w:rPr>
        <w:t xml:space="preserve"> reviews all sectoral budgets and Plans to ensure that they are compliant to gender and equity.</w:t>
      </w:r>
    </w:p>
    <w:p w:rsidR="00F2708D" w:rsidRPr="0009083F" w:rsidRDefault="00F2708D" w:rsidP="0009083F">
      <w:pPr>
        <w:spacing w:after="0"/>
        <w:jc w:val="both"/>
        <w:rPr>
          <w:rFonts w:ascii="Times New Roman" w:hAnsi="Times New Roman" w:cs="Times New Roman"/>
          <w:i/>
          <w:color w:val="000000" w:themeColor="text1"/>
          <w:sz w:val="28"/>
          <w:szCs w:val="28"/>
        </w:rPr>
      </w:pPr>
      <w:r w:rsidRPr="0009083F">
        <w:rPr>
          <w:rFonts w:ascii="Times New Roman" w:hAnsi="Times New Roman" w:cs="Times New Roman"/>
          <w:i/>
          <w:color w:val="000000" w:themeColor="text1"/>
          <w:sz w:val="28"/>
          <w:szCs w:val="28"/>
        </w:rPr>
        <w:t>d)</w:t>
      </w:r>
      <w:r w:rsidR="0085377A" w:rsidRPr="0009083F">
        <w:rPr>
          <w:rFonts w:ascii="Times New Roman" w:hAnsi="Times New Roman" w:cs="Times New Roman"/>
          <w:i/>
          <w:color w:val="000000" w:themeColor="text1"/>
          <w:sz w:val="28"/>
          <w:szCs w:val="28"/>
        </w:rPr>
        <w:t xml:space="preserve"> </w:t>
      </w:r>
      <w:r w:rsidRPr="0009083F">
        <w:rPr>
          <w:rFonts w:ascii="Times New Roman" w:eastAsiaTheme="minorEastAsia" w:hAnsi="Times New Roman" w:cs="Times New Roman"/>
          <w:bCs/>
          <w:i/>
          <w:color w:val="000000" w:themeColor="text1"/>
          <w:kern w:val="24"/>
          <w:sz w:val="28"/>
          <w:szCs w:val="28"/>
        </w:rPr>
        <w:t>The Local Government Act cap 243</w:t>
      </w:r>
      <w:r w:rsidRPr="0009083F">
        <w:rPr>
          <w:rFonts w:ascii="Times New Roman" w:eastAsiaTheme="minorEastAsia" w:hAnsi="Times New Roman" w:cs="Times New Roman"/>
          <w:i/>
          <w:color w:val="000000" w:themeColor="text1"/>
          <w:kern w:val="24"/>
          <w:sz w:val="28"/>
          <w:szCs w:val="28"/>
        </w:rPr>
        <w:t>of 1997 provides for affirmative action in representatives of P</w:t>
      </w:r>
      <w:r w:rsidR="00811608">
        <w:rPr>
          <w:rFonts w:ascii="Times New Roman" w:eastAsiaTheme="minorEastAsia" w:hAnsi="Times New Roman" w:cs="Times New Roman"/>
          <w:i/>
          <w:color w:val="000000" w:themeColor="text1"/>
          <w:kern w:val="24"/>
          <w:sz w:val="28"/>
          <w:szCs w:val="28"/>
        </w:rPr>
        <w:t>ersons with disabilities ,</w:t>
      </w:r>
      <w:r w:rsidRPr="0009083F">
        <w:rPr>
          <w:rFonts w:ascii="Times New Roman" w:eastAsiaTheme="minorEastAsia" w:hAnsi="Times New Roman" w:cs="Times New Roman"/>
          <w:i/>
          <w:color w:val="000000" w:themeColor="text1"/>
          <w:kern w:val="24"/>
          <w:sz w:val="28"/>
          <w:szCs w:val="28"/>
        </w:rPr>
        <w:t xml:space="preserve"> a female and male in local councils at various levels and at parliamentary level </w:t>
      </w:r>
      <w:r w:rsidR="00E534BF" w:rsidRPr="0009083F">
        <w:rPr>
          <w:rFonts w:ascii="Times New Roman" w:eastAsiaTheme="minorEastAsia" w:hAnsi="Times New Roman" w:cs="Times New Roman"/>
          <w:i/>
          <w:color w:val="000000" w:themeColor="text1"/>
          <w:kern w:val="24"/>
          <w:sz w:val="28"/>
          <w:szCs w:val="28"/>
        </w:rPr>
        <w:t>for fair representation in planning, implementation and , monitoring at all levels.</w:t>
      </w:r>
    </w:p>
    <w:p w:rsidR="00864FC7" w:rsidRPr="0009083F" w:rsidRDefault="00864FC7" w:rsidP="0009083F">
      <w:pPr>
        <w:jc w:val="both"/>
        <w:rPr>
          <w:rFonts w:ascii="Times New Roman" w:hAnsi="Times New Roman" w:cs="Times New Roman"/>
          <w:b/>
          <w:sz w:val="28"/>
          <w:szCs w:val="28"/>
        </w:rPr>
      </w:pPr>
      <w:r w:rsidRPr="0009083F">
        <w:rPr>
          <w:rFonts w:ascii="Times New Roman" w:hAnsi="Times New Roman" w:cs="Times New Roman"/>
          <w:b/>
          <w:sz w:val="28"/>
          <w:szCs w:val="28"/>
        </w:rPr>
        <w:t>CROSS CUTTING CHALLENGES</w:t>
      </w:r>
    </w:p>
    <w:p w:rsidR="00864FC7" w:rsidRPr="0009083F" w:rsidRDefault="002869AF" w:rsidP="0009083F">
      <w:pPr>
        <w:ind w:left="270"/>
        <w:jc w:val="both"/>
        <w:rPr>
          <w:rFonts w:ascii="Times New Roman" w:hAnsi="Times New Roman" w:cs="Times New Roman"/>
          <w:i/>
          <w:sz w:val="28"/>
          <w:szCs w:val="28"/>
        </w:rPr>
      </w:pPr>
      <w:r w:rsidRPr="0009083F">
        <w:rPr>
          <w:rFonts w:ascii="Times New Roman" w:hAnsi="Times New Roman" w:cs="Times New Roman"/>
          <w:i/>
          <w:sz w:val="28"/>
          <w:szCs w:val="28"/>
        </w:rPr>
        <w:t>a) Inadequate</w:t>
      </w:r>
      <w:r w:rsidR="00864FC7" w:rsidRPr="0009083F">
        <w:rPr>
          <w:rFonts w:ascii="Times New Roman" w:hAnsi="Times New Roman" w:cs="Times New Roman"/>
          <w:i/>
          <w:sz w:val="28"/>
          <w:szCs w:val="28"/>
        </w:rPr>
        <w:t xml:space="preserve"> numbers of </w:t>
      </w:r>
      <w:r w:rsidR="00F81ABF">
        <w:rPr>
          <w:rFonts w:ascii="Times New Roman" w:hAnsi="Times New Roman" w:cs="Times New Roman"/>
          <w:i/>
          <w:sz w:val="28"/>
          <w:szCs w:val="28"/>
        </w:rPr>
        <w:t>R</w:t>
      </w:r>
      <w:r w:rsidR="00864FC7" w:rsidRPr="0009083F">
        <w:rPr>
          <w:rFonts w:ascii="Times New Roman" w:hAnsi="Times New Roman" w:cs="Times New Roman"/>
          <w:i/>
          <w:sz w:val="28"/>
          <w:szCs w:val="28"/>
        </w:rPr>
        <w:t xml:space="preserve">ehabilitative </w:t>
      </w:r>
      <w:r w:rsidR="00F81ABF">
        <w:rPr>
          <w:rFonts w:ascii="Times New Roman" w:hAnsi="Times New Roman" w:cs="Times New Roman"/>
          <w:i/>
          <w:sz w:val="28"/>
          <w:szCs w:val="28"/>
        </w:rPr>
        <w:t>H</w:t>
      </w:r>
      <w:r w:rsidR="00864FC7" w:rsidRPr="0009083F">
        <w:rPr>
          <w:rFonts w:ascii="Times New Roman" w:hAnsi="Times New Roman" w:cs="Times New Roman"/>
          <w:i/>
          <w:sz w:val="28"/>
          <w:szCs w:val="28"/>
        </w:rPr>
        <w:t>ealth care workers at all levels.</w:t>
      </w:r>
    </w:p>
    <w:p w:rsidR="00864FC7" w:rsidRPr="0009083F" w:rsidRDefault="00E534BF" w:rsidP="0009083F">
      <w:pPr>
        <w:ind w:left="270"/>
        <w:jc w:val="both"/>
        <w:rPr>
          <w:rFonts w:ascii="Times New Roman" w:hAnsi="Times New Roman" w:cs="Times New Roman"/>
          <w:i/>
          <w:sz w:val="28"/>
          <w:szCs w:val="28"/>
        </w:rPr>
      </w:pPr>
      <w:r w:rsidRPr="0009083F">
        <w:rPr>
          <w:rFonts w:ascii="Times New Roman" w:hAnsi="Times New Roman" w:cs="Times New Roman"/>
          <w:i/>
          <w:sz w:val="28"/>
          <w:szCs w:val="28"/>
        </w:rPr>
        <w:t>b)</w:t>
      </w:r>
      <w:r w:rsidR="00F81ABF">
        <w:rPr>
          <w:rFonts w:ascii="Times New Roman" w:hAnsi="Times New Roman" w:cs="Times New Roman"/>
          <w:i/>
          <w:sz w:val="28"/>
          <w:szCs w:val="28"/>
        </w:rPr>
        <w:t xml:space="preserve"> </w:t>
      </w:r>
      <w:r w:rsidR="00864FC7" w:rsidRPr="0009083F">
        <w:rPr>
          <w:rFonts w:ascii="Times New Roman" w:hAnsi="Times New Roman" w:cs="Times New Roman"/>
          <w:i/>
          <w:sz w:val="28"/>
          <w:szCs w:val="28"/>
        </w:rPr>
        <w:t>Inadequate budgetary provisions for rehabilitative health care</w:t>
      </w:r>
    </w:p>
    <w:p w:rsidR="00864FC7" w:rsidRDefault="00E534BF" w:rsidP="0009083F">
      <w:pPr>
        <w:ind w:left="270"/>
        <w:jc w:val="both"/>
        <w:rPr>
          <w:rFonts w:ascii="Times New Roman" w:hAnsi="Times New Roman" w:cs="Times New Roman"/>
          <w:i/>
          <w:sz w:val="28"/>
          <w:szCs w:val="28"/>
        </w:rPr>
      </w:pPr>
      <w:r w:rsidRPr="0009083F">
        <w:rPr>
          <w:rFonts w:ascii="Times New Roman" w:hAnsi="Times New Roman" w:cs="Times New Roman"/>
          <w:i/>
          <w:sz w:val="28"/>
          <w:szCs w:val="28"/>
        </w:rPr>
        <w:t>c)</w:t>
      </w:r>
      <w:r w:rsidR="00864FC7" w:rsidRPr="0009083F">
        <w:rPr>
          <w:rFonts w:ascii="Times New Roman" w:hAnsi="Times New Roman" w:cs="Times New Roman"/>
          <w:i/>
          <w:sz w:val="28"/>
          <w:szCs w:val="28"/>
        </w:rPr>
        <w:t xml:space="preserve"> New technologies in rehabilitative health care provision </w:t>
      </w:r>
      <w:r w:rsidR="00F81ABF" w:rsidRPr="0009083F">
        <w:rPr>
          <w:rFonts w:ascii="Times New Roman" w:hAnsi="Times New Roman" w:cs="Times New Roman"/>
          <w:i/>
          <w:sz w:val="28"/>
          <w:szCs w:val="28"/>
        </w:rPr>
        <w:t>require</w:t>
      </w:r>
      <w:r w:rsidR="00864FC7" w:rsidRPr="0009083F">
        <w:rPr>
          <w:rFonts w:ascii="Times New Roman" w:hAnsi="Times New Roman" w:cs="Times New Roman"/>
          <w:i/>
          <w:sz w:val="28"/>
          <w:szCs w:val="28"/>
        </w:rPr>
        <w:t xml:space="preserve"> regular skills development for our service providers.</w:t>
      </w:r>
    </w:p>
    <w:sectPr w:rsidR="00864FC7" w:rsidSect="009D2D2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B32" w:rsidRDefault="001B3B32" w:rsidP="002869AF">
      <w:pPr>
        <w:spacing w:after="0" w:line="240" w:lineRule="auto"/>
      </w:pPr>
      <w:r>
        <w:separator/>
      </w:r>
    </w:p>
  </w:endnote>
  <w:endnote w:type="continuationSeparator" w:id="0">
    <w:p w:rsidR="001B3B32" w:rsidRDefault="001B3B32" w:rsidP="0028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073757"/>
      <w:docPartObj>
        <w:docPartGallery w:val="Page Numbers (Bottom of Page)"/>
        <w:docPartUnique/>
      </w:docPartObj>
    </w:sdtPr>
    <w:sdtEndPr>
      <w:rPr>
        <w:noProof/>
      </w:rPr>
    </w:sdtEndPr>
    <w:sdtContent>
      <w:p w:rsidR="002869AF" w:rsidRDefault="002869AF">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2869AF" w:rsidRDefault="00286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B32" w:rsidRDefault="001B3B32" w:rsidP="002869AF">
      <w:pPr>
        <w:spacing w:after="0" w:line="240" w:lineRule="auto"/>
      </w:pPr>
      <w:r>
        <w:separator/>
      </w:r>
    </w:p>
  </w:footnote>
  <w:footnote w:type="continuationSeparator" w:id="0">
    <w:p w:rsidR="001B3B32" w:rsidRDefault="001B3B32" w:rsidP="002869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42C9"/>
    <w:multiLevelType w:val="hybridMultilevel"/>
    <w:tmpl w:val="135A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F6321"/>
    <w:multiLevelType w:val="hybridMultilevel"/>
    <w:tmpl w:val="A1802FBA"/>
    <w:lvl w:ilvl="0" w:tplc="86AA9C4C">
      <w:start w:val="1"/>
      <w:numFmt w:val="lowerRoman"/>
      <w:lvlText w:val="%1)"/>
      <w:lvlJc w:val="left"/>
      <w:pPr>
        <w:ind w:left="13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FB41C1"/>
    <w:multiLevelType w:val="hybridMultilevel"/>
    <w:tmpl w:val="9618B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86E03ED"/>
    <w:multiLevelType w:val="hybridMultilevel"/>
    <w:tmpl w:val="366E8950"/>
    <w:lvl w:ilvl="0" w:tplc="A548585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F1716E4"/>
    <w:multiLevelType w:val="hybridMultilevel"/>
    <w:tmpl w:val="B0820A3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33B4FDE"/>
    <w:multiLevelType w:val="hybridMultilevel"/>
    <w:tmpl w:val="8060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446BF"/>
    <w:multiLevelType w:val="hybridMultilevel"/>
    <w:tmpl w:val="36E429A6"/>
    <w:lvl w:ilvl="0" w:tplc="0D2A6814">
      <w:start w:val="1"/>
      <w:numFmt w:val="lowerLetter"/>
      <w:pStyle w:val="ListParagraph"/>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01D9F"/>
    <w:multiLevelType w:val="hybridMultilevel"/>
    <w:tmpl w:val="AA74D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0704F6"/>
    <w:multiLevelType w:val="hybridMultilevel"/>
    <w:tmpl w:val="20F23608"/>
    <w:lvl w:ilvl="0" w:tplc="68BC946E">
      <w:start w:val="1"/>
      <w:numFmt w:val="bullet"/>
      <w:lvlText w:val="•"/>
      <w:lvlJc w:val="left"/>
      <w:pPr>
        <w:tabs>
          <w:tab w:val="num" w:pos="720"/>
        </w:tabs>
        <w:ind w:left="720" w:hanging="360"/>
      </w:pPr>
      <w:rPr>
        <w:rFonts w:ascii="Arial" w:hAnsi="Arial" w:hint="default"/>
      </w:rPr>
    </w:lvl>
    <w:lvl w:ilvl="1" w:tplc="A510DC46" w:tentative="1">
      <w:start w:val="1"/>
      <w:numFmt w:val="bullet"/>
      <w:lvlText w:val="•"/>
      <w:lvlJc w:val="left"/>
      <w:pPr>
        <w:tabs>
          <w:tab w:val="num" w:pos="1440"/>
        </w:tabs>
        <w:ind w:left="1440" w:hanging="360"/>
      </w:pPr>
      <w:rPr>
        <w:rFonts w:ascii="Arial" w:hAnsi="Arial" w:hint="default"/>
      </w:rPr>
    </w:lvl>
    <w:lvl w:ilvl="2" w:tplc="29CE0A94" w:tentative="1">
      <w:start w:val="1"/>
      <w:numFmt w:val="bullet"/>
      <w:lvlText w:val="•"/>
      <w:lvlJc w:val="left"/>
      <w:pPr>
        <w:tabs>
          <w:tab w:val="num" w:pos="2160"/>
        </w:tabs>
        <w:ind w:left="2160" w:hanging="360"/>
      </w:pPr>
      <w:rPr>
        <w:rFonts w:ascii="Arial" w:hAnsi="Arial" w:hint="default"/>
      </w:rPr>
    </w:lvl>
    <w:lvl w:ilvl="3" w:tplc="208AB58A" w:tentative="1">
      <w:start w:val="1"/>
      <w:numFmt w:val="bullet"/>
      <w:lvlText w:val="•"/>
      <w:lvlJc w:val="left"/>
      <w:pPr>
        <w:tabs>
          <w:tab w:val="num" w:pos="2880"/>
        </w:tabs>
        <w:ind w:left="2880" w:hanging="360"/>
      </w:pPr>
      <w:rPr>
        <w:rFonts w:ascii="Arial" w:hAnsi="Arial" w:hint="default"/>
      </w:rPr>
    </w:lvl>
    <w:lvl w:ilvl="4" w:tplc="1E7E4148" w:tentative="1">
      <w:start w:val="1"/>
      <w:numFmt w:val="bullet"/>
      <w:lvlText w:val="•"/>
      <w:lvlJc w:val="left"/>
      <w:pPr>
        <w:tabs>
          <w:tab w:val="num" w:pos="3600"/>
        </w:tabs>
        <w:ind w:left="3600" w:hanging="360"/>
      </w:pPr>
      <w:rPr>
        <w:rFonts w:ascii="Arial" w:hAnsi="Arial" w:hint="default"/>
      </w:rPr>
    </w:lvl>
    <w:lvl w:ilvl="5" w:tplc="B422E8F6" w:tentative="1">
      <w:start w:val="1"/>
      <w:numFmt w:val="bullet"/>
      <w:lvlText w:val="•"/>
      <w:lvlJc w:val="left"/>
      <w:pPr>
        <w:tabs>
          <w:tab w:val="num" w:pos="4320"/>
        </w:tabs>
        <w:ind w:left="4320" w:hanging="360"/>
      </w:pPr>
      <w:rPr>
        <w:rFonts w:ascii="Arial" w:hAnsi="Arial" w:hint="default"/>
      </w:rPr>
    </w:lvl>
    <w:lvl w:ilvl="6" w:tplc="E5580986" w:tentative="1">
      <w:start w:val="1"/>
      <w:numFmt w:val="bullet"/>
      <w:lvlText w:val="•"/>
      <w:lvlJc w:val="left"/>
      <w:pPr>
        <w:tabs>
          <w:tab w:val="num" w:pos="5040"/>
        </w:tabs>
        <w:ind w:left="5040" w:hanging="360"/>
      </w:pPr>
      <w:rPr>
        <w:rFonts w:ascii="Arial" w:hAnsi="Arial" w:hint="default"/>
      </w:rPr>
    </w:lvl>
    <w:lvl w:ilvl="7" w:tplc="B9CE8A1A" w:tentative="1">
      <w:start w:val="1"/>
      <w:numFmt w:val="bullet"/>
      <w:lvlText w:val="•"/>
      <w:lvlJc w:val="left"/>
      <w:pPr>
        <w:tabs>
          <w:tab w:val="num" w:pos="5760"/>
        </w:tabs>
        <w:ind w:left="5760" w:hanging="360"/>
      </w:pPr>
      <w:rPr>
        <w:rFonts w:ascii="Arial" w:hAnsi="Arial" w:hint="default"/>
      </w:rPr>
    </w:lvl>
    <w:lvl w:ilvl="8" w:tplc="67049706" w:tentative="1">
      <w:start w:val="1"/>
      <w:numFmt w:val="bullet"/>
      <w:lvlText w:val="•"/>
      <w:lvlJc w:val="left"/>
      <w:pPr>
        <w:tabs>
          <w:tab w:val="num" w:pos="6480"/>
        </w:tabs>
        <w:ind w:left="6480" w:hanging="360"/>
      </w:pPr>
      <w:rPr>
        <w:rFonts w:ascii="Arial" w:hAnsi="Arial" w:hint="default"/>
      </w:rPr>
    </w:lvl>
  </w:abstractNum>
  <w:abstractNum w:abstractNumId="9">
    <w:nsid w:val="6DC566AF"/>
    <w:multiLevelType w:val="hybridMultilevel"/>
    <w:tmpl w:val="1AE295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FEA3BA0"/>
    <w:multiLevelType w:val="hybridMultilevel"/>
    <w:tmpl w:val="AB8A5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1E7B5C"/>
    <w:multiLevelType w:val="hybridMultilevel"/>
    <w:tmpl w:val="9058294C"/>
    <w:lvl w:ilvl="0" w:tplc="D47E66EA">
      <w:start w:val="1"/>
      <w:numFmt w:val="bullet"/>
      <w:lvlText w:val="•"/>
      <w:lvlJc w:val="left"/>
      <w:pPr>
        <w:tabs>
          <w:tab w:val="num" w:pos="720"/>
        </w:tabs>
        <w:ind w:left="720" w:hanging="360"/>
      </w:pPr>
      <w:rPr>
        <w:rFonts w:ascii="Arial" w:hAnsi="Arial" w:hint="default"/>
      </w:rPr>
    </w:lvl>
    <w:lvl w:ilvl="1" w:tplc="AB1E335C" w:tentative="1">
      <w:start w:val="1"/>
      <w:numFmt w:val="bullet"/>
      <w:lvlText w:val="•"/>
      <w:lvlJc w:val="left"/>
      <w:pPr>
        <w:tabs>
          <w:tab w:val="num" w:pos="1440"/>
        </w:tabs>
        <w:ind w:left="1440" w:hanging="360"/>
      </w:pPr>
      <w:rPr>
        <w:rFonts w:ascii="Arial" w:hAnsi="Arial" w:hint="default"/>
      </w:rPr>
    </w:lvl>
    <w:lvl w:ilvl="2" w:tplc="A2285AC2" w:tentative="1">
      <w:start w:val="1"/>
      <w:numFmt w:val="bullet"/>
      <w:lvlText w:val="•"/>
      <w:lvlJc w:val="left"/>
      <w:pPr>
        <w:tabs>
          <w:tab w:val="num" w:pos="2160"/>
        </w:tabs>
        <w:ind w:left="2160" w:hanging="360"/>
      </w:pPr>
      <w:rPr>
        <w:rFonts w:ascii="Arial" w:hAnsi="Arial" w:hint="default"/>
      </w:rPr>
    </w:lvl>
    <w:lvl w:ilvl="3" w:tplc="5518E7AE" w:tentative="1">
      <w:start w:val="1"/>
      <w:numFmt w:val="bullet"/>
      <w:lvlText w:val="•"/>
      <w:lvlJc w:val="left"/>
      <w:pPr>
        <w:tabs>
          <w:tab w:val="num" w:pos="2880"/>
        </w:tabs>
        <w:ind w:left="2880" w:hanging="360"/>
      </w:pPr>
      <w:rPr>
        <w:rFonts w:ascii="Arial" w:hAnsi="Arial" w:hint="default"/>
      </w:rPr>
    </w:lvl>
    <w:lvl w:ilvl="4" w:tplc="C23058D0" w:tentative="1">
      <w:start w:val="1"/>
      <w:numFmt w:val="bullet"/>
      <w:lvlText w:val="•"/>
      <w:lvlJc w:val="left"/>
      <w:pPr>
        <w:tabs>
          <w:tab w:val="num" w:pos="3600"/>
        </w:tabs>
        <w:ind w:left="3600" w:hanging="360"/>
      </w:pPr>
      <w:rPr>
        <w:rFonts w:ascii="Arial" w:hAnsi="Arial" w:hint="default"/>
      </w:rPr>
    </w:lvl>
    <w:lvl w:ilvl="5" w:tplc="7E84EB6E" w:tentative="1">
      <w:start w:val="1"/>
      <w:numFmt w:val="bullet"/>
      <w:lvlText w:val="•"/>
      <w:lvlJc w:val="left"/>
      <w:pPr>
        <w:tabs>
          <w:tab w:val="num" w:pos="4320"/>
        </w:tabs>
        <w:ind w:left="4320" w:hanging="360"/>
      </w:pPr>
      <w:rPr>
        <w:rFonts w:ascii="Arial" w:hAnsi="Arial" w:hint="default"/>
      </w:rPr>
    </w:lvl>
    <w:lvl w:ilvl="6" w:tplc="77427F14" w:tentative="1">
      <w:start w:val="1"/>
      <w:numFmt w:val="bullet"/>
      <w:lvlText w:val="•"/>
      <w:lvlJc w:val="left"/>
      <w:pPr>
        <w:tabs>
          <w:tab w:val="num" w:pos="5040"/>
        </w:tabs>
        <w:ind w:left="5040" w:hanging="360"/>
      </w:pPr>
      <w:rPr>
        <w:rFonts w:ascii="Arial" w:hAnsi="Arial" w:hint="default"/>
      </w:rPr>
    </w:lvl>
    <w:lvl w:ilvl="7" w:tplc="959ACD94" w:tentative="1">
      <w:start w:val="1"/>
      <w:numFmt w:val="bullet"/>
      <w:lvlText w:val="•"/>
      <w:lvlJc w:val="left"/>
      <w:pPr>
        <w:tabs>
          <w:tab w:val="num" w:pos="5760"/>
        </w:tabs>
        <w:ind w:left="5760" w:hanging="360"/>
      </w:pPr>
      <w:rPr>
        <w:rFonts w:ascii="Arial" w:hAnsi="Arial" w:hint="default"/>
      </w:rPr>
    </w:lvl>
    <w:lvl w:ilvl="8" w:tplc="5CFA7720" w:tentative="1">
      <w:start w:val="1"/>
      <w:numFmt w:val="bullet"/>
      <w:lvlText w:val="•"/>
      <w:lvlJc w:val="left"/>
      <w:pPr>
        <w:tabs>
          <w:tab w:val="num" w:pos="6480"/>
        </w:tabs>
        <w:ind w:left="6480" w:hanging="360"/>
      </w:pPr>
      <w:rPr>
        <w:rFonts w:ascii="Arial" w:hAnsi="Arial" w:hint="default"/>
      </w:rPr>
    </w:lvl>
  </w:abstractNum>
  <w:abstractNum w:abstractNumId="12">
    <w:nsid w:val="703F76B3"/>
    <w:multiLevelType w:val="hybridMultilevel"/>
    <w:tmpl w:val="FEE421AA"/>
    <w:lvl w:ilvl="0" w:tplc="3EB86F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F32EAB"/>
    <w:multiLevelType w:val="hybridMultilevel"/>
    <w:tmpl w:val="9A7872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A30A68"/>
    <w:multiLevelType w:val="hybridMultilevel"/>
    <w:tmpl w:val="B9E883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9"/>
  </w:num>
  <w:num w:numId="5">
    <w:abstractNumId w:val="3"/>
  </w:num>
  <w:num w:numId="6">
    <w:abstractNumId w:val="4"/>
  </w:num>
  <w:num w:numId="7">
    <w:abstractNumId w:val="14"/>
  </w:num>
  <w:num w:numId="8">
    <w:abstractNumId w:val="1"/>
  </w:num>
  <w:num w:numId="9">
    <w:abstractNumId w:val="0"/>
  </w:num>
  <w:num w:numId="10">
    <w:abstractNumId w:val="13"/>
  </w:num>
  <w:num w:numId="11">
    <w:abstractNumId w:val="12"/>
  </w:num>
  <w:num w:numId="12">
    <w:abstractNumId w:val="6"/>
  </w:num>
  <w:num w:numId="13">
    <w:abstractNumId w:val="8"/>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1788"/>
    <w:rsid w:val="0001413A"/>
    <w:rsid w:val="0002666D"/>
    <w:rsid w:val="00027113"/>
    <w:rsid w:val="00041BC6"/>
    <w:rsid w:val="000817E6"/>
    <w:rsid w:val="0009083F"/>
    <w:rsid w:val="000A1C09"/>
    <w:rsid w:val="000A257C"/>
    <w:rsid w:val="000A25C1"/>
    <w:rsid w:val="000C6E92"/>
    <w:rsid w:val="00182BF0"/>
    <w:rsid w:val="001A3EEE"/>
    <w:rsid w:val="001B3B32"/>
    <w:rsid w:val="002869AF"/>
    <w:rsid w:val="002C1A36"/>
    <w:rsid w:val="002E3326"/>
    <w:rsid w:val="00311612"/>
    <w:rsid w:val="003438F8"/>
    <w:rsid w:val="003656B2"/>
    <w:rsid w:val="003E7669"/>
    <w:rsid w:val="0045047C"/>
    <w:rsid w:val="00461BF5"/>
    <w:rsid w:val="00476FD9"/>
    <w:rsid w:val="00486A80"/>
    <w:rsid w:val="004E228D"/>
    <w:rsid w:val="004E51A4"/>
    <w:rsid w:val="00531E30"/>
    <w:rsid w:val="00562FA9"/>
    <w:rsid w:val="00576298"/>
    <w:rsid w:val="005956B6"/>
    <w:rsid w:val="005A7C99"/>
    <w:rsid w:val="005F7FDE"/>
    <w:rsid w:val="00674A54"/>
    <w:rsid w:val="00681788"/>
    <w:rsid w:val="006A4FDF"/>
    <w:rsid w:val="006F42DE"/>
    <w:rsid w:val="0079714C"/>
    <w:rsid w:val="00804722"/>
    <w:rsid w:val="00811608"/>
    <w:rsid w:val="008151AF"/>
    <w:rsid w:val="00826805"/>
    <w:rsid w:val="0085377A"/>
    <w:rsid w:val="00864FC7"/>
    <w:rsid w:val="008D1B13"/>
    <w:rsid w:val="008E0F24"/>
    <w:rsid w:val="00975D2F"/>
    <w:rsid w:val="009B347A"/>
    <w:rsid w:val="009D2D24"/>
    <w:rsid w:val="009D68A2"/>
    <w:rsid w:val="009D74CB"/>
    <w:rsid w:val="00A36D0D"/>
    <w:rsid w:val="00A578DF"/>
    <w:rsid w:val="00A66CAD"/>
    <w:rsid w:val="00AC491C"/>
    <w:rsid w:val="00B1281D"/>
    <w:rsid w:val="00B23043"/>
    <w:rsid w:val="00BC0BB5"/>
    <w:rsid w:val="00C465DA"/>
    <w:rsid w:val="00C606F0"/>
    <w:rsid w:val="00CA6153"/>
    <w:rsid w:val="00CC23B3"/>
    <w:rsid w:val="00CF302F"/>
    <w:rsid w:val="00D15BFE"/>
    <w:rsid w:val="00D63075"/>
    <w:rsid w:val="00D644F2"/>
    <w:rsid w:val="00D84460"/>
    <w:rsid w:val="00D946A2"/>
    <w:rsid w:val="00E450D0"/>
    <w:rsid w:val="00E534BF"/>
    <w:rsid w:val="00EA62E2"/>
    <w:rsid w:val="00EF4469"/>
    <w:rsid w:val="00F2708D"/>
    <w:rsid w:val="00F52F42"/>
    <w:rsid w:val="00F81ABF"/>
    <w:rsid w:val="00F97CAF"/>
    <w:rsid w:val="00FE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1D862-BB4A-4EE0-AA0E-D4ACADDB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113"/>
    <w:rPr>
      <w:rFonts w:ascii="Tahoma" w:hAnsi="Tahoma" w:cs="Tahoma"/>
      <w:sz w:val="16"/>
      <w:szCs w:val="16"/>
    </w:rPr>
  </w:style>
  <w:style w:type="paragraph" w:styleId="ListParagraph">
    <w:name w:val="List Paragraph"/>
    <w:basedOn w:val="Normal"/>
    <w:uiPriority w:val="34"/>
    <w:qFormat/>
    <w:rsid w:val="003656B2"/>
    <w:pPr>
      <w:numPr>
        <w:numId w:val="12"/>
      </w:numPr>
      <w:contextualSpacing/>
      <w:jc w:val="both"/>
    </w:pPr>
    <w:rPr>
      <w:rFonts w:ascii="Times New Roman" w:hAnsi="Times New Roman" w:cs="Times New Roman"/>
      <w:sz w:val="28"/>
      <w:szCs w:val="28"/>
    </w:rPr>
  </w:style>
  <w:style w:type="character" w:styleId="Strong">
    <w:name w:val="Strong"/>
    <w:basedOn w:val="DefaultParagraphFont"/>
    <w:uiPriority w:val="22"/>
    <w:qFormat/>
    <w:rsid w:val="00D84460"/>
    <w:rPr>
      <w:b/>
      <w:bCs/>
    </w:rPr>
  </w:style>
  <w:style w:type="paragraph" w:styleId="Header">
    <w:name w:val="header"/>
    <w:basedOn w:val="Normal"/>
    <w:link w:val="HeaderChar"/>
    <w:uiPriority w:val="99"/>
    <w:unhideWhenUsed/>
    <w:rsid w:val="00286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9AF"/>
  </w:style>
  <w:style w:type="paragraph" w:styleId="Footer">
    <w:name w:val="footer"/>
    <w:basedOn w:val="Normal"/>
    <w:link w:val="FooterChar"/>
    <w:uiPriority w:val="99"/>
    <w:unhideWhenUsed/>
    <w:rsid w:val="00286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6325">
      <w:bodyDiv w:val="1"/>
      <w:marLeft w:val="0"/>
      <w:marRight w:val="0"/>
      <w:marTop w:val="0"/>
      <w:marBottom w:val="0"/>
      <w:divBdr>
        <w:top w:val="none" w:sz="0" w:space="0" w:color="auto"/>
        <w:left w:val="none" w:sz="0" w:space="0" w:color="auto"/>
        <w:bottom w:val="none" w:sz="0" w:space="0" w:color="auto"/>
        <w:right w:val="none" w:sz="0" w:space="0" w:color="auto"/>
      </w:divBdr>
      <w:divsChild>
        <w:div w:id="1151292983">
          <w:marLeft w:val="547"/>
          <w:marRight w:val="0"/>
          <w:marTop w:val="72"/>
          <w:marBottom w:val="0"/>
          <w:divBdr>
            <w:top w:val="none" w:sz="0" w:space="0" w:color="auto"/>
            <w:left w:val="none" w:sz="0" w:space="0" w:color="auto"/>
            <w:bottom w:val="none" w:sz="0" w:space="0" w:color="auto"/>
            <w:right w:val="none" w:sz="0" w:space="0" w:color="auto"/>
          </w:divBdr>
        </w:div>
        <w:div w:id="403838621">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7960BD-3F7F-4E36-B98E-21658F0A3EA8}"/>
</file>

<file path=customXml/itemProps2.xml><?xml version="1.0" encoding="utf-8"?>
<ds:datastoreItem xmlns:ds="http://schemas.openxmlformats.org/officeDocument/2006/customXml" ds:itemID="{954F756E-F35C-4B2C-B0E0-5C7881E4644E}"/>
</file>

<file path=customXml/itemProps3.xml><?xml version="1.0" encoding="utf-8"?>
<ds:datastoreItem xmlns:ds="http://schemas.openxmlformats.org/officeDocument/2006/customXml" ds:itemID="{D01C2C28-0CD0-41AD-948B-2F337C10CE94}"/>
</file>

<file path=docProps/app.xml><?xml version="1.0" encoding="utf-8"?>
<Properties xmlns="http://schemas.openxmlformats.org/officeDocument/2006/extended-properties" xmlns:vt="http://schemas.openxmlformats.org/officeDocument/2006/docPropsVTypes">
  <Template>Normal</Template>
  <TotalTime>6</TotalTime>
  <Pages>6</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commisioner</dc:creator>
  <cp:lastModifiedBy>Windows User</cp:lastModifiedBy>
  <cp:revision>3</cp:revision>
  <cp:lastPrinted>2018-04-23T11:20:00Z</cp:lastPrinted>
  <dcterms:created xsi:type="dcterms:W3CDTF">2018-05-07T10:02:00Z</dcterms:created>
  <dcterms:modified xsi:type="dcterms:W3CDTF">2018-05-08T04:27:00Z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