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5C11E" w14:textId="6D20D721" w:rsidR="0051324A" w:rsidRDefault="0051324A" w:rsidP="006D1645">
      <w:pPr>
        <w:pStyle w:val="Title"/>
        <w:rPr>
          <w:shd w:val="clear" w:color="auto" w:fill="FFFFFF"/>
        </w:rPr>
      </w:pPr>
      <w:r>
        <w:rPr>
          <w:shd w:val="clear" w:color="auto" w:fill="FFFFFF"/>
        </w:rPr>
        <w:t>Sightsav</w:t>
      </w:r>
      <w:bookmarkStart w:id="0" w:name="_GoBack"/>
      <w:bookmarkEnd w:id="0"/>
      <w:r>
        <w:rPr>
          <w:shd w:val="clear" w:color="auto" w:fill="FFFFFF"/>
        </w:rPr>
        <w:t>ers</w:t>
      </w:r>
      <w:r w:rsidR="00FB3A7D">
        <w:rPr>
          <w:shd w:val="clear" w:color="auto" w:fill="FFFFFF"/>
        </w:rPr>
        <w:t>’</w:t>
      </w:r>
      <w:r>
        <w:rPr>
          <w:shd w:val="clear" w:color="auto" w:fill="FFFFFF"/>
        </w:rPr>
        <w:t xml:space="preserve"> input into the Special Rapporteur’s report on international cooperation </w:t>
      </w:r>
    </w:p>
    <w:p w14:paraId="2D2D65DA" w14:textId="77777777" w:rsidR="006D1645" w:rsidRPr="009535CC" w:rsidRDefault="006D1645" w:rsidP="006D1645">
      <w:pPr>
        <w:pStyle w:val="Title"/>
        <w:rPr>
          <w:sz w:val="24"/>
          <w:szCs w:val="24"/>
          <w:shd w:val="clear" w:color="auto" w:fill="FFFFFF"/>
        </w:rPr>
      </w:pPr>
    </w:p>
    <w:p w14:paraId="30FC6174" w14:textId="336DBEBA" w:rsidR="00A5103E" w:rsidRPr="008C3980" w:rsidRDefault="00FB3A7D" w:rsidP="009A7353">
      <w:pPr>
        <w:rPr>
          <w:rFonts w:ascii="Lato" w:hAnsi="Lato"/>
          <w:i/>
          <w:iCs/>
          <w:color w:val="000000"/>
          <w:szCs w:val="24"/>
          <w:shd w:val="clear" w:color="auto" w:fill="FFFFFF"/>
        </w:rPr>
      </w:pPr>
      <w:r>
        <w:rPr>
          <w:rFonts w:ascii="Lato" w:hAnsi="Lato"/>
          <w:color w:val="000000"/>
          <w:szCs w:val="24"/>
          <w:shd w:val="clear" w:color="auto" w:fill="FFFFFF"/>
        </w:rPr>
        <w:t>Sightsavers</w:t>
      </w:r>
      <w:r w:rsidRPr="00502374">
        <w:rPr>
          <w:rFonts w:ascii="Lato" w:hAnsi="Lato"/>
          <w:color w:val="000000"/>
          <w:szCs w:val="24"/>
          <w:shd w:val="clear" w:color="auto" w:fill="FFFFFF"/>
        </w:rPr>
        <w:t xml:space="preserve"> </w:t>
      </w:r>
      <w:r w:rsidR="00802210" w:rsidRPr="00502374">
        <w:rPr>
          <w:rFonts w:ascii="Lato" w:hAnsi="Lato"/>
          <w:color w:val="000000"/>
          <w:szCs w:val="24"/>
          <w:shd w:val="clear" w:color="auto" w:fill="FFFFFF"/>
        </w:rPr>
        <w:t>welcome this t</w:t>
      </w:r>
      <w:r w:rsidR="009A7353" w:rsidRPr="00502374">
        <w:rPr>
          <w:rFonts w:ascii="Lato" w:hAnsi="Lato"/>
          <w:color w:val="000000"/>
          <w:szCs w:val="24"/>
          <w:shd w:val="clear" w:color="auto" w:fill="FFFFFF"/>
        </w:rPr>
        <w:t>hematic study on </w:t>
      </w:r>
      <w:r w:rsidR="009A7353" w:rsidRPr="00502374">
        <w:rPr>
          <w:rStyle w:val="Emphasis"/>
          <w:rFonts w:ascii="Lato" w:hAnsi="Lato"/>
          <w:i w:val="0"/>
          <w:iCs w:val="0"/>
          <w:color w:val="000000"/>
          <w:szCs w:val="24"/>
          <w:shd w:val="clear" w:color="auto" w:fill="FFFFFF"/>
        </w:rPr>
        <w:t>disability-inclusive international cooperation</w:t>
      </w:r>
      <w:r w:rsidR="009535CC" w:rsidRPr="00502374">
        <w:rPr>
          <w:rStyle w:val="Emphasis"/>
          <w:rFonts w:ascii="Lato" w:hAnsi="Lato"/>
          <w:i w:val="0"/>
          <w:iCs w:val="0"/>
          <w:color w:val="000000"/>
          <w:szCs w:val="24"/>
          <w:shd w:val="clear" w:color="auto" w:fill="FFFFFF"/>
        </w:rPr>
        <w:t xml:space="preserve">. </w:t>
      </w:r>
      <w:r w:rsidR="008C3980">
        <w:rPr>
          <w:rFonts w:ascii="Lato" w:eastAsia="Calibri" w:hAnsi="Lato"/>
          <w:szCs w:val="24"/>
        </w:rPr>
        <w:t>Below</w:t>
      </w:r>
      <w:r w:rsidR="00802210" w:rsidRPr="00502374">
        <w:rPr>
          <w:rFonts w:ascii="Lato" w:eastAsia="Calibri" w:hAnsi="Lato"/>
          <w:szCs w:val="24"/>
        </w:rPr>
        <w:t xml:space="preserve"> we have </w:t>
      </w:r>
      <w:r w:rsidR="00AC5DF3" w:rsidRPr="00502374">
        <w:rPr>
          <w:rFonts w:ascii="Lato" w:eastAsia="Calibri" w:hAnsi="Lato"/>
          <w:szCs w:val="24"/>
        </w:rPr>
        <w:t xml:space="preserve">1) </w:t>
      </w:r>
      <w:r w:rsidR="00DE6605" w:rsidRPr="00502374">
        <w:rPr>
          <w:rFonts w:ascii="Lato" w:eastAsia="Calibri" w:hAnsi="Lato"/>
          <w:szCs w:val="24"/>
        </w:rPr>
        <w:t>shar</w:t>
      </w:r>
      <w:r w:rsidR="00AC5DF3" w:rsidRPr="00502374">
        <w:rPr>
          <w:rFonts w:ascii="Lato" w:eastAsia="Calibri" w:hAnsi="Lato"/>
          <w:szCs w:val="24"/>
        </w:rPr>
        <w:t>ed</w:t>
      </w:r>
      <w:r w:rsidR="00DE6605" w:rsidRPr="00502374">
        <w:rPr>
          <w:rFonts w:ascii="Lato" w:eastAsia="Calibri" w:hAnsi="Lato"/>
          <w:szCs w:val="24"/>
        </w:rPr>
        <w:t xml:space="preserve"> analysis from the new OECD DAC policy marker on disabilit</w:t>
      </w:r>
      <w:r w:rsidR="00AC5DF3" w:rsidRPr="00502374">
        <w:rPr>
          <w:rFonts w:ascii="Lato" w:eastAsia="Calibri" w:hAnsi="Lato"/>
          <w:szCs w:val="24"/>
        </w:rPr>
        <w:t xml:space="preserve">y 2) shared information </w:t>
      </w:r>
      <w:r w:rsidR="0002779F">
        <w:rPr>
          <w:rFonts w:ascii="Lato" w:eastAsia="Calibri" w:hAnsi="Lato"/>
          <w:szCs w:val="24"/>
        </w:rPr>
        <w:t>on</w:t>
      </w:r>
      <w:r w:rsidR="00AC5DF3" w:rsidRPr="00502374">
        <w:rPr>
          <w:rFonts w:ascii="Lato" w:eastAsia="Calibri" w:hAnsi="Lato"/>
          <w:szCs w:val="24"/>
        </w:rPr>
        <w:t xml:space="preserve"> different donors’ approaches to disability-inclusive international cooperation and drawn together key lessons</w:t>
      </w:r>
      <w:r w:rsidR="0002779F">
        <w:rPr>
          <w:rFonts w:ascii="Lato" w:eastAsia="Calibri" w:hAnsi="Lato"/>
          <w:szCs w:val="24"/>
        </w:rPr>
        <w:t xml:space="preserve"> and recommendations. </w:t>
      </w:r>
    </w:p>
    <w:p w14:paraId="4CCB2B5B" w14:textId="0E523ACC" w:rsidR="0051324A" w:rsidRPr="00802210" w:rsidRDefault="0051324A" w:rsidP="00802210">
      <w:pPr>
        <w:pStyle w:val="Heading1"/>
      </w:pPr>
      <w:r w:rsidRPr="00802210">
        <w:t xml:space="preserve">Donor’s spending on disability inclusion </w:t>
      </w:r>
    </w:p>
    <w:p w14:paraId="3A0FF372" w14:textId="0148C4D0" w:rsidR="004930AD" w:rsidRPr="00502374" w:rsidRDefault="002F034A" w:rsidP="009A7353">
      <w:pPr>
        <w:rPr>
          <w:rFonts w:ascii="Lato" w:hAnsi="Lato"/>
          <w:szCs w:val="24"/>
        </w:rPr>
      </w:pPr>
      <w:r w:rsidRPr="00502374">
        <w:rPr>
          <w:rFonts w:ascii="Lato" w:hAnsi="Lato"/>
          <w:szCs w:val="24"/>
        </w:rPr>
        <w:t xml:space="preserve">The lack of </w:t>
      </w:r>
      <w:r w:rsidR="004930AD" w:rsidRPr="00502374">
        <w:rPr>
          <w:rFonts w:ascii="Lato" w:hAnsi="Lato"/>
          <w:szCs w:val="24"/>
        </w:rPr>
        <w:t xml:space="preserve">data on </w:t>
      </w:r>
      <w:r w:rsidR="00802210" w:rsidRPr="00502374">
        <w:rPr>
          <w:rFonts w:ascii="Lato" w:hAnsi="Lato"/>
          <w:szCs w:val="24"/>
        </w:rPr>
        <w:t xml:space="preserve">the amount of </w:t>
      </w:r>
      <w:r w:rsidR="00A5103E" w:rsidRPr="00502374">
        <w:rPr>
          <w:rFonts w:ascii="Lato" w:hAnsi="Lato"/>
          <w:szCs w:val="24"/>
        </w:rPr>
        <w:t xml:space="preserve">overseas development assistance </w:t>
      </w:r>
      <w:r w:rsidR="008C3980">
        <w:rPr>
          <w:rFonts w:ascii="Lato" w:hAnsi="Lato"/>
          <w:szCs w:val="24"/>
        </w:rPr>
        <w:t xml:space="preserve">(ODA) </w:t>
      </w:r>
      <w:r w:rsidR="00802210" w:rsidRPr="00502374">
        <w:rPr>
          <w:rFonts w:ascii="Lato" w:hAnsi="Lato"/>
          <w:szCs w:val="24"/>
        </w:rPr>
        <w:t>spent on disability is a significant challenge</w:t>
      </w:r>
      <w:r w:rsidR="006D1645" w:rsidRPr="00502374">
        <w:rPr>
          <w:rFonts w:ascii="Lato" w:hAnsi="Lato"/>
          <w:szCs w:val="24"/>
        </w:rPr>
        <w:t xml:space="preserve"> to assessing the extent to which international cooperation is inclusive of people with disabilities</w:t>
      </w:r>
      <w:r w:rsidR="00802210" w:rsidRPr="00502374">
        <w:rPr>
          <w:rFonts w:ascii="Lato" w:hAnsi="Lato"/>
          <w:szCs w:val="24"/>
        </w:rPr>
        <w:t>. This has been highlighted by many actors</w:t>
      </w:r>
      <w:r w:rsidR="006D1645" w:rsidRPr="00502374">
        <w:rPr>
          <w:rFonts w:ascii="Lato" w:hAnsi="Lato"/>
          <w:szCs w:val="24"/>
        </w:rPr>
        <w:t>,</w:t>
      </w:r>
      <w:r w:rsidR="00802210" w:rsidRPr="00502374">
        <w:rPr>
          <w:rFonts w:ascii="Lato" w:hAnsi="Lato"/>
          <w:szCs w:val="24"/>
        </w:rPr>
        <w:t xml:space="preserve"> including the</w:t>
      </w:r>
      <w:r w:rsidR="008C3980">
        <w:rPr>
          <w:rFonts w:ascii="Lato" w:hAnsi="Lato"/>
          <w:szCs w:val="24"/>
        </w:rPr>
        <w:t xml:space="preserve"> </w:t>
      </w:r>
      <w:r w:rsidR="00802210" w:rsidRPr="00502374">
        <w:rPr>
          <w:rFonts w:ascii="Lato" w:hAnsi="Lato"/>
          <w:szCs w:val="24"/>
        </w:rPr>
        <w:t>C</w:t>
      </w:r>
      <w:r w:rsidR="00A5103E" w:rsidRPr="00502374">
        <w:rPr>
          <w:rFonts w:ascii="Lato" w:hAnsi="Lato"/>
          <w:szCs w:val="24"/>
        </w:rPr>
        <w:t>RPD Committee</w:t>
      </w:r>
      <w:r w:rsidR="00802210" w:rsidRPr="00502374">
        <w:rPr>
          <w:rFonts w:ascii="Lato" w:hAnsi="Lato"/>
          <w:szCs w:val="24"/>
        </w:rPr>
        <w:t>, for example in their concluding observations of Germany and the EU</w:t>
      </w:r>
      <w:r w:rsidR="00802210" w:rsidRPr="00502374">
        <w:rPr>
          <w:rStyle w:val="FootnoteReference"/>
          <w:rFonts w:ascii="Lato" w:hAnsi="Lato"/>
          <w:szCs w:val="24"/>
        </w:rPr>
        <w:footnoteReference w:id="1"/>
      </w:r>
      <w:r w:rsidR="00802210" w:rsidRPr="00502374">
        <w:rPr>
          <w:rFonts w:ascii="Lato" w:hAnsi="Lato"/>
          <w:szCs w:val="24"/>
        </w:rPr>
        <w:t xml:space="preserve">. </w:t>
      </w:r>
    </w:p>
    <w:p w14:paraId="2A5CA1E4" w14:textId="7D7E425C" w:rsidR="00802210" w:rsidRPr="00502374" w:rsidRDefault="00802210" w:rsidP="00802210">
      <w:pPr>
        <w:rPr>
          <w:rFonts w:ascii="Lato" w:hAnsi="Lato" w:cstheme="minorHAnsi"/>
          <w:color w:val="0000FF" w:themeColor="hyperlink"/>
          <w:szCs w:val="24"/>
          <w:u w:val="single"/>
        </w:rPr>
      </w:pPr>
      <w:r w:rsidRPr="00502374">
        <w:rPr>
          <w:rFonts w:ascii="Lato" w:hAnsi="Lato" w:cstheme="minorHAnsi"/>
          <w:szCs w:val="24"/>
        </w:rPr>
        <w:t xml:space="preserve">In June 2018 the OECD DAC approved a </w:t>
      </w:r>
      <w:hyperlink r:id="rId8" w:history="1">
        <w:r w:rsidRPr="00502374">
          <w:rPr>
            <w:rStyle w:val="BodyTextChar"/>
            <w:rFonts w:ascii="Lato" w:hAnsi="Lato"/>
          </w:rPr>
          <w:t>policy marker</w:t>
        </w:r>
      </w:hyperlink>
      <w:r w:rsidRPr="00502374">
        <w:rPr>
          <w:rStyle w:val="Hyperlink"/>
          <w:rFonts w:ascii="Lato" w:hAnsi="Lato" w:cstheme="minorHAnsi"/>
          <w:color w:val="FFFFFF" w:themeColor="background1"/>
          <w:szCs w:val="24"/>
        </w:rPr>
        <w:t xml:space="preserve"> </w:t>
      </w:r>
      <w:r w:rsidRPr="00502374">
        <w:rPr>
          <w:rFonts w:ascii="Lato" w:hAnsi="Lato" w:cstheme="minorHAnsi"/>
          <w:szCs w:val="24"/>
        </w:rPr>
        <w:t>to ‘track development finance that promotes the inclusion and empowerment of persons with disabilities’ (disability marker) for voluntary use</w:t>
      </w:r>
      <w:r w:rsidR="008C3980">
        <w:rPr>
          <w:rStyle w:val="FootnoteReference"/>
          <w:rFonts w:ascii="Lato" w:hAnsi="Lato" w:cstheme="minorHAnsi"/>
          <w:szCs w:val="24"/>
        </w:rPr>
        <w:footnoteReference w:id="2"/>
      </w:r>
      <w:r w:rsidRPr="00502374">
        <w:rPr>
          <w:rFonts w:ascii="Lato" w:hAnsi="Lato" w:cstheme="minorHAnsi"/>
          <w:szCs w:val="24"/>
        </w:rPr>
        <w:t xml:space="preserve">.  The voluntary adoption of the disability marker means that DAC members can choose to state whether their ODA is disability inclusive, but they are not required to. </w:t>
      </w:r>
    </w:p>
    <w:p w14:paraId="3EBB70E2" w14:textId="287A78EF" w:rsidR="00802210" w:rsidRPr="00502374" w:rsidRDefault="00802210" w:rsidP="00802210">
      <w:pPr>
        <w:rPr>
          <w:rFonts w:ascii="Lato" w:hAnsi="Lato" w:cstheme="minorHAnsi"/>
          <w:szCs w:val="24"/>
        </w:rPr>
      </w:pPr>
      <w:r w:rsidRPr="00502374">
        <w:rPr>
          <w:rFonts w:ascii="Lato" w:hAnsi="Lato" w:cstheme="minorHAnsi"/>
          <w:szCs w:val="24"/>
        </w:rPr>
        <w:t>DAC members can mark each programme as either ‘not-target</w:t>
      </w:r>
      <w:r w:rsidR="009C7E88">
        <w:rPr>
          <w:rFonts w:ascii="Lato" w:hAnsi="Lato" w:cstheme="minorHAnsi"/>
          <w:szCs w:val="24"/>
        </w:rPr>
        <w:t>ed</w:t>
      </w:r>
      <w:r w:rsidRPr="00502374">
        <w:rPr>
          <w:rFonts w:ascii="Lato" w:hAnsi="Lato" w:cstheme="minorHAnsi"/>
          <w:szCs w:val="24"/>
        </w:rPr>
        <w:t xml:space="preserve">’ (score 0), ‘significant’ (score 1) or ‘principle’ (score 2). A principle score means that disability inclusion is the main objective of a programme. Significant means that disability inclusion is not the principles objective of the programme but is an important objective. </w:t>
      </w:r>
    </w:p>
    <w:p w14:paraId="37E66BC3" w14:textId="77777777" w:rsidR="00802210" w:rsidRPr="00502374" w:rsidRDefault="00802210" w:rsidP="00802210">
      <w:pPr>
        <w:rPr>
          <w:rFonts w:ascii="Lato" w:hAnsi="Lato" w:cstheme="minorHAnsi"/>
          <w:szCs w:val="24"/>
        </w:rPr>
      </w:pPr>
      <w:r w:rsidRPr="00502374">
        <w:rPr>
          <w:rFonts w:ascii="Lato" w:hAnsi="Lato" w:cstheme="minorHAnsi"/>
          <w:szCs w:val="24"/>
        </w:rPr>
        <w:t>A principal score is not by definition better than a significant score, as donors should be adopting a twin-track approach to disability across their portfolio combining dedicated/targeted interventions (usually score 2) with disability mainstreaming (usually score 1).</w:t>
      </w:r>
    </w:p>
    <w:p w14:paraId="7F4F9038" w14:textId="0F418FA7" w:rsidR="00802210" w:rsidRPr="00502374" w:rsidRDefault="00802210" w:rsidP="00802210">
      <w:pPr>
        <w:pStyle w:val="BodyText"/>
        <w:rPr>
          <w:rFonts w:ascii="Lato" w:hAnsi="Lato" w:cstheme="minorHAnsi"/>
        </w:rPr>
      </w:pPr>
      <w:r w:rsidRPr="00502374">
        <w:rPr>
          <w:rFonts w:ascii="Lato" w:hAnsi="Lato" w:cstheme="minorHAnsi"/>
        </w:rPr>
        <w:t xml:space="preserve">The marker is the only tool, common across donors, which can track ODA supporting disability inclusion. The data generated by the marker plays a key monitoring and accountability role and can contribute to identifying gaps between policy commitments and their implementation. </w:t>
      </w:r>
      <w:r w:rsidR="00A5103E" w:rsidRPr="00502374">
        <w:rPr>
          <w:rFonts w:ascii="Lato" w:hAnsi="Lato" w:cstheme="minorHAnsi"/>
        </w:rPr>
        <w:t xml:space="preserve">While the marker is aimed at DAC members, multilateral actors could also use the marker. </w:t>
      </w:r>
    </w:p>
    <w:p w14:paraId="5B574DF8" w14:textId="72D4158F" w:rsidR="009A7353" w:rsidRPr="00502374" w:rsidRDefault="009C7E88" w:rsidP="009A7353">
      <w:pPr>
        <w:rPr>
          <w:rFonts w:ascii="Lato" w:hAnsi="Lato"/>
          <w:szCs w:val="24"/>
        </w:rPr>
      </w:pPr>
      <w:r w:rsidRPr="009C7E88">
        <w:rPr>
          <w:rFonts w:ascii="Lato" w:hAnsi="Lato"/>
          <w:szCs w:val="24"/>
        </w:rPr>
        <w:t xml:space="preserve">The existence and use of the disability marker </w:t>
      </w:r>
      <w:proofErr w:type="gramStart"/>
      <w:r w:rsidRPr="009C7E88">
        <w:rPr>
          <w:rFonts w:ascii="Lato" w:hAnsi="Lato"/>
          <w:szCs w:val="24"/>
        </w:rPr>
        <w:t>goes</w:t>
      </w:r>
      <w:proofErr w:type="gramEnd"/>
      <w:r w:rsidRPr="009C7E88">
        <w:rPr>
          <w:rFonts w:ascii="Lato" w:hAnsi="Lato"/>
          <w:szCs w:val="24"/>
        </w:rPr>
        <w:t xml:space="preserve"> some way to address the lack of data on disability, with first year data starting to paint a picture of the extent to which ODA is inclusive of people with disabilities</w:t>
      </w:r>
      <w:r w:rsidRPr="00502374">
        <w:rPr>
          <w:rStyle w:val="FootnoteReference"/>
          <w:rFonts w:ascii="Lato" w:hAnsi="Lato"/>
          <w:szCs w:val="24"/>
        </w:rPr>
        <w:footnoteReference w:id="3"/>
      </w:r>
      <w:r w:rsidRPr="009C7E88">
        <w:rPr>
          <w:rFonts w:ascii="Lato" w:hAnsi="Lato"/>
          <w:szCs w:val="24"/>
        </w:rPr>
        <w:t xml:space="preserve">. </w:t>
      </w:r>
      <w:r w:rsidR="009A7353" w:rsidRPr="00502374">
        <w:rPr>
          <w:rFonts w:ascii="Lato" w:hAnsi="Lato"/>
          <w:szCs w:val="24"/>
        </w:rPr>
        <w:t xml:space="preserve">The data shows that only a small percentage of ODA is disability inclusive, that there is a big discrepancy between donors, and that more donors need to report against the marker in order to give a full picture of disability inclusive ODA. </w:t>
      </w:r>
    </w:p>
    <w:p w14:paraId="3F571536" w14:textId="6130B8AE" w:rsidR="009A7353" w:rsidRPr="00802210" w:rsidRDefault="009A7353" w:rsidP="00802210">
      <w:pPr>
        <w:pStyle w:val="Heading2"/>
      </w:pPr>
      <w:r w:rsidRPr="00802210">
        <w:lastRenderedPageBreak/>
        <w:t>Use of the marker</w:t>
      </w:r>
      <w:r w:rsidR="00A5103E">
        <w:rPr>
          <w:rStyle w:val="FootnoteReference"/>
        </w:rPr>
        <w:footnoteReference w:id="4"/>
      </w:r>
      <w:r w:rsidRPr="00802210">
        <w:t xml:space="preserve"> </w:t>
      </w:r>
    </w:p>
    <w:p w14:paraId="3C4C9C1A" w14:textId="4D4C0689" w:rsidR="009A7353" w:rsidRPr="00502374" w:rsidRDefault="006D1645" w:rsidP="009A7353">
      <w:pPr>
        <w:rPr>
          <w:rFonts w:ascii="Lato" w:hAnsi="Lato"/>
          <w:szCs w:val="24"/>
        </w:rPr>
      </w:pPr>
      <w:r w:rsidRPr="00502374">
        <w:rPr>
          <w:rFonts w:ascii="Lato" w:hAnsi="Lato"/>
          <w:szCs w:val="24"/>
        </w:rPr>
        <w:t>There has been some good uptake of the marker in the first year</w:t>
      </w:r>
      <w:r w:rsidR="009A7353" w:rsidRPr="00502374">
        <w:rPr>
          <w:rFonts w:ascii="Lato" w:hAnsi="Lato"/>
          <w:szCs w:val="24"/>
        </w:rPr>
        <w:t xml:space="preserve"> – with a number of countries ma</w:t>
      </w:r>
      <w:r w:rsidR="0049091E" w:rsidRPr="00502374">
        <w:rPr>
          <w:rFonts w:ascii="Lato" w:hAnsi="Lato"/>
          <w:szCs w:val="24"/>
        </w:rPr>
        <w:t>r</w:t>
      </w:r>
      <w:r w:rsidR="009A7353" w:rsidRPr="00502374">
        <w:rPr>
          <w:rFonts w:ascii="Lato" w:hAnsi="Lato"/>
          <w:szCs w:val="24"/>
        </w:rPr>
        <w:t xml:space="preserve">king close to 100% of their programmes. But progress needs to be made to ensure that we have a full picture of DAC members’ spending on disability. Out of the 29 DAC members – 12 have marked over 50% of their </w:t>
      </w:r>
      <w:r w:rsidR="008C3980">
        <w:rPr>
          <w:rFonts w:ascii="Lato" w:hAnsi="Lato"/>
          <w:szCs w:val="24"/>
        </w:rPr>
        <w:t xml:space="preserve">eligible </w:t>
      </w:r>
      <w:r w:rsidR="009A7353" w:rsidRPr="00502374">
        <w:rPr>
          <w:rFonts w:ascii="Lato" w:hAnsi="Lato"/>
          <w:szCs w:val="24"/>
        </w:rPr>
        <w:t>ODA against the marker, eight have marked less than 50% of their programmes and nine have not used the marker</w:t>
      </w:r>
      <w:r w:rsidRPr="00502374">
        <w:rPr>
          <w:rFonts w:ascii="Lato" w:hAnsi="Lato"/>
          <w:szCs w:val="24"/>
        </w:rPr>
        <w:t>.</w:t>
      </w:r>
    </w:p>
    <w:p w14:paraId="620D65F6" w14:textId="7BAA5ED7" w:rsidR="009A7353" w:rsidRPr="00502374" w:rsidRDefault="009A7353" w:rsidP="009A7353">
      <w:pPr>
        <w:rPr>
          <w:rFonts w:ascii="Lato" w:hAnsi="Lato"/>
          <w:szCs w:val="24"/>
        </w:rPr>
      </w:pPr>
      <w:r w:rsidRPr="00502374">
        <w:rPr>
          <w:rFonts w:ascii="Lato" w:hAnsi="Lato"/>
          <w:szCs w:val="24"/>
        </w:rPr>
        <w:t xml:space="preserve">While the majority of donors are making some programmes against the marker – only 35% of </w:t>
      </w:r>
      <w:r w:rsidR="008C3980">
        <w:rPr>
          <w:rFonts w:ascii="Lato" w:hAnsi="Lato"/>
          <w:szCs w:val="24"/>
        </w:rPr>
        <w:t xml:space="preserve">eligible </w:t>
      </w:r>
      <w:r w:rsidRPr="00502374">
        <w:rPr>
          <w:rFonts w:ascii="Lato" w:hAnsi="Lato"/>
          <w:szCs w:val="24"/>
        </w:rPr>
        <w:t xml:space="preserve">ODA has been marked. </w:t>
      </w:r>
      <w:r w:rsidR="0066196E">
        <w:rPr>
          <w:rFonts w:ascii="Lato" w:hAnsi="Lato"/>
          <w:szCs w:val="24"/>
        </w:rPr>
        <w:t>S</w:t>
      </w:r>
      <w:r w:rsidRPr="00502374">
        <w:rPr>
          <w:rFonts w:ascii="Lato" w:hAnsi="Lato"/>
          <w:szCs w:val="24"/>
        </w:rPr>
        <w:t xml:space="preserve">ignificant gaps </w:t>
      </w:r>
      <w:r w:rsidR="0066196E">
        <w:rPr>
          <w:rFonts w:ascii="Lato" w:hAnsi="Lato"/>
          <w:szCs w:val="24"/>
        </w:rPr>
        <w:t xml:space="preserve">remain </w:t>
      </w:r>
      <w:r w:rsidRPr="00502374">
        <w:rPr>
          <w:rFonts w:ascii="Lato" w:hAnsi="Lato"/>
          <w:szCs w:val="24"/>
        </w:rPr>
        <w:t xml:space="preserve">in our knowledge </w:t>
      </w:r>
      <w:r w:rsidR="0066196E">
        <w:rPr>
          <w:rFonts w:ascii="Lato" w:hAnsi="Lato"/>
          <w:szCs w:val="24"/>
        </w:rPr>
        <w:t>of</w:t>
      </w:r>
      <w:r w:rsidR="006D1645" w:rsidRPr="00502374">
        <w:rPr>
          <w:rFonts w:ascii="Lato" w:hAnsi="Lato"/>
          <w:szCs w:val="24"/>
        </w:rPr>
        <w:t xml:space="preserve"> what extent </w:t>
      </w:r>
      <w:r w:rsidR="0066196E">
        <w:rPr>
          <w:rFonts w:ascii="Lato" w:hAnsi="Lato"/>
          <w:szCs w:val="24"/>
        </w:rPr>
        <w:t xml:space="preserve">of </w:t>
      </w:r>
      <w:r w:rsidR="006D1645" w:rsidRPr="00502374">
        <w:rPr>
          <w:rFonts w:ascii="Lato" w:hAnsi="Lato"/>
          <w:szCs w:val="24"/>
        </w:rPr>
        <w:t xml:space="preserve">ODA is inclusive of persons with disabilities. </w:t>
      </w:r>
      <w:r w:rsidRPr="00502374">
        <w:rPr>
          <w:rFonts w:ascii="Lato" w:hAnsi="Lato"/>
          <w:szCs w:val="24"/>
        </w:rPr>
        <w:t xml:space="preserve"> </w:t>
      </w:r>
    </w:p>
    <w:p w14:paraId="47DBCDEC" w14:textId="2B4F5BDE" w:rsidR="006D1645" w:rsidRPr="00502374" w:rsidRDefault="009C7E88" w:rsidP="009A7353">
      <w:pPr>
        <w:spacing w:after="0"/>
        <w:rPr>
          <w:rFonts w:ascii="Lato" w:hAnsi="Lato"/>
          <w:szCs w:val="24"/>
        </w:rPr>
      </w:pPr>
      <w:r>
        <w:rPr>
          <w:rFonts w:ascii="Lato" w:hAnsi="Lato"/>
          <w:szCs w:val="24"/>
        </w:rPr>
        <w:t>Countries</w:t>
      </w:r>
      <w:r w:rsidR="009A7353" w:rsidRPr="00502374">
        <w:rPr>
          <w:rFonts w:ascii="Lato" w:hAnsi="Lato"/>
          <w:szCs w:val="24"/>
        </w:rPr>
        <w:t xml:space="preserve"> not using the marker represent just over 50% of ODA spending and so ensuring that they use the marker in future will be crucial to ensure there is a full picture of how much aid is disability inclusive. </w:t>
      </w:r>
    </w:p>
    <w:p w14:paraId="1D824FF5" w14:textId="4A592D69" w:rsidR="009A7353" w:rsidRPr="00502374" w:rsidRDefault="009A7353" w:rsidP="009A7353">
      <w:pPr>
        <w:spacing w:after="0"/>
        <w:rPr>
          <w:rFonts w:ascii="Lato" w:hAnsi="Lato"/>
          <w:szCs w:val="24"/>
        </w:rPr>
      </w:pPr>
    </w:p>
    <w:p w14:paraId="2B421DA2" w14:textId="77777777" w:rsidR="009A7353" w:rsidRPr="00802210" w:rsidRDefault="009A7353" w:rsidP="00802210">
      <w:pPr>
        <w:pStyle w:val="Heading2"/>
      </w:pPr>
      <w:r w:rsidRPr="00802210">
        <w:t>Disability inclusion in donors’ programmes</w:t>
      </w:r>
      <w:r w:rsidRPr="00802210">
        <w:tab/>
      </w:r>
    </w:p>
    <w:p w14:paraId="22778919" w14:textId="0B6BB2F9" w:rsidR="009A7353" w:rsidRPr="00502374" w:rsidRDefault="0066196E" w:rsidP="009A7353">
      <w:pPr>
        <w:pStyle w:val="BodyText"/>
        <w:rPr>
          <w:rFonts w:ascii="Lato" w:hAnsi="Lato"/>
        </w:rPr>
      </w:pPr>
      <w:r>
        <w:rPr>
          <w:rFonts w:ascii="Lato" w:hAnsi="Lato"/>
        </w:rPr>
        <w:t>D</w:t>
      </w:r>
      <w:r w:rsidR="009A7353" w:rsidRPr="00502374">
        <w:rPr>
          <w:rFonts w:ascii="Lato" w:hAnsi="Lato"/>
        </w:rPr>
        <w:t>ata from the marker shows that a low number of programmes are being reported as disability inclusive</w:t>
      </w:r>
      <w:r w:rsidR="009A7353" w:rsidRPr="00502374">
        <w:rPr>
          <w:rStyle w:val="FootnoteReference"/>
          <w:rFonts w:ascii="Lato" w:hAnsi="Lato"/>
        </w:rPr>
        <w:footnoteReference w:id="5"/>
      </w:r>
      <w:r w:rsidR="009A7353" w:rsidRPr="00502374">
        <w:rPr>
          <w:rFonts w:ascii="Lato" w:hAnsi="Lato"/>
        </w:rPr>
        <w:t xml:space="preserve">. Only 2.75% of ODA is currently reported as inclusive. Even excluding countries which have not used the marker this number only rises to 3.7%. </w:t>
      </w:r>
    </w:p>
    <w:p w14:paraId="5ED3553A" w14:textId="419CC5EC" w:rsidR="009A7353" w:rsidRPr="00502374" w:rsidRDefault="009A7353" w:rsidP="009A7353">
      <w:pPr>
        <w:pStyle w:val="BodyText"/>
        <w:rPr>
          <w:rFonts w:ascii="Lato" w:hAnsi="Lato"/>
        </w:rPr>
      </w:pPr>
      <w:r w:rsidRPr="00502374">
        <w:rPr>
          <w:rFonts w:ascii="Lato" w:hAnsi="Lato"/>
        </w:rPr>
        <w:t>There is significant variation amongst donors</w:t>
      </w:r>
      <w:r w:rsidR="00802210" w:rsidRPr="00502374">
        <w:rPr>
          <w:rFonts w:ascii="Lato" w:hAnsi="Lato"/>
        </w:rPr>
        <w:t xml:space="preserve">. </w:t>
      </w:r>
      <w:r w:rsidRPr="00502374">
        <w:rPr>
          <w:rFonts w:ascii="Lato" w:hAnsi="Lato"/>
        </w:rPr>
        <w:t>The UK, Iceland and Ireland have reported the highest amount of their ODA as disability inclusive - with 20-25% of their ODA being marked as inclusive</w:t>
      </w:r>
      <w:r w:rsidR="00502374" w:rsidRPr="00502374">
        <w:rPr>
          <w:rStyle w:val="FootnoteReference"/>
          <w:rFonts w:ascii="Lato" w:hAnsi="Lato"/>
        </w:rPr>
        <w:footnoteReference w:id="6"/>
      </w:r>
      <w:r w:rsidRPr="00502374">
        <w:rPr>
          <w:rFonts w:ascii="Lato" w:hAnsi="Lato"/>
        </w:rPr>
        <w:t xml:space="preserve">. </w:t>
      </w:r>
    </w:p>
    <w:p w14:paraId="0D4C8BDB" w14:textId="0E25A3D0" w:rsidR="009A7353" w:rsidRPr="00502374" w:rsidRDefault="009A7353" w:rsidP="009A7353">
      <w:pPr>
        <w:pStyle w:val="BodyText"/>
        <w:rPr>
          <w:rFonts w:ascii="Lato" w:hAnsi="Lato"/>
        </w:rPr>
      </w:pPr>
      <w:r w:rsidRPr="00502374">
        <w:rPr>
          <w:rFonts w:ascii="Lato" w:hAnsi="Lato"/>
        </w:rPr>
        <w:t xml:space="preserve">It is also important to note that these numbers represent the total programme spend, not the proportion that is being spent on disability inclusion. </w:t>
      </w:r>
    </w:p>
    <w:p w14:paraId="4C9E19C3" w14:textId="77777777" w:rsidR="009A7353" w:rsidRPr="00802210" w:rsidRDefault="009A7353" w:rsidP="00802210">
      <w:pPr>
        <w:pStyle w:val="Heading2"/>
      </w:pPr>
      <w:r w:rsidRPr="00802210">
        <w:t xml:space="preserve">Mainstreaming disability and disability specific programming </w:t>
      </w:r>
    </w:p>
    <w:p w14:paraId="5B5C1220" w14:textId="7A37D950" w:rsidR="0051324A" w:rsidRPr="00502374" w:rsidRDefault="009A7353" w:rsidP="00802210">
      <w:pPr>
        <w:pStyle w:val="BodyText"/>
        <w:rPr>
          <w:rFonts w:ascii="Lato" w:hAnsi="Lato"/>
        </w:rPr>
      </w:pPr>
      <w:r w:rsidRPr="00502374">
        <w:rPr>
          <w:rFonts w:ascii="Lato" w:hAnsi="Lato"/>
        </w:rPr>
        <w:t xml:space="preserve">Unsurprisingly, the majority of donors are marking more of their ODA as ‘significant’ than as ‘principle.’ </w:t>
      </w:r>
      <w:r w:rsidR="00802210" w:rsidRPr="00502374">
        <w:rPr>
          <w:rFonts w:ascii="Lato" w:hAnsi="Lato"/>
        </w:rPr>
        <w:t>Finland has marked the highest amount of their ODA as principle (</w:t>
      </w:r>
      <w:r w:rsidRPr="00502374">
        <w:rPr>
          <w:rFonts w:ascii="Lato" w:hAnsi="Lato"/>
        </w:rPr>
        <w:t>4%</w:t>
      </w:r>
      <w:r w:rsidR="00802210" w:rsidRPr="00502374">
        <w:rPr>
          <w:rFonts w:ascii="Lato" w:hAnsi="Lato"/>
        </w:rPr>
        <w:t>). The vast majority of countries have marked much less than 1% of their ODA as ‘principle</w:t>
      </w:r>
      <w:r w:rsidR="007B3B10" w:rsidRPr="00502374">
        <w:rPr>
          <w:rFonts w:ascii="Lato" w:hAnsi="Lato"/>
        </w:rPr>
        <w:t>.</w:t>
      </w:r>
      <w:r w:rsidR="00802210" w:rsidRPr="00502374">
        <w:rPr>
          <w:rFonts w:ascii="Lato" w:hAnsi="Lato"/>
        </w:rPr>
        <w:t xml:space="preserve">’ </w:t>
      </w:r>
      <w:r w:rsidR="00502374">
        <w:rPr>
          <w:rFonts w:ascii="Lato" w:hAnsi="Lato"/>
        </w:rPr>
        <w:t xml:space="preserve">This raises concerns about whether the scale of disability-specific programming is sufficient to ensure an effective twin-track approach. </w:t>
      </w:r>
    </w:p>
    <w:p w14:paraId="2D57D34C" w14:textId="21EBFC04" w:rsidR="00802210" w:rsidRPr="00802210" w:rsidRDefault="00802210" w:rsidP="00802210">
      <w:pPr>
        <w:pStyle w:val="Heading2"/>
      </w:pPr>
      <w:r>
        <w:lastRenderedPageBreak/>
        <w:t xml:space="preserve">Points to consider and recommendations </w:t>
      </w:r>
    </w:p>
    <w:p w14:paraId="5D6C9CCA" w14:textId="77777777" w:rsidR="00802210" w:rsidRPr="00730C29" w:rsidRDefault="00802210" w:rsidP="00802210">
      <w:pPr>
        <w:pStyle w:val="BodyText"/>
        <w:rPr>
          <w:rFonts w:ascii="Lato" w:hAnsi="Lato"/>
        </w:rPr>
      </w:pPr>
      <w:r w:rsidRPr="00730C29">
        <w:rPr>
          <w:rFonts w:ascii="Lato" w:hAnsi="Lato"/>
        </w:rPr>
        <w:t xml:space="preserve">There has been good take up of the marker amongst some donors in the first year, but 65% of ODA has not been marked and there a still a large number of donors who are either </w:t>
      </w:r>
      <w:r w:rsidRPr="00730C29">
        <w:rPr>
          <w:rFonts w:ascii="Lato" w:hAnsi="Lato"/>
          <w:b/>
          <w:bCs/>
        </w:rPr>
        <w:t>not using the marker or are using it inconsistently</w:t>
      </w:r>
      <w:r w:rsidRPr="00730C29">
        <w:rPr>
          <w:rFonts w:ascii="Lato" w:hAnsi="Lato"/>
        </w:rPr>
        <w:t xml:space="preserve">. </w:t>
      </w:r>
    </w:p>
    <w:p w14:paraId="2AC7D351" w14:textId="2AF90578" w:rsidR="00802210" w:rsidRPr="00730C29" w:rsidRDefault="007B3B10" w:rsidP="00802210">
      <w:pPr>
        <w:pStyle w:val="BodyText"/>
        <w:rPr>
          <w:rFonts w:ascii="Lato" w:hAnsi="Lato"/>
        </w:rPr>
      </w:pPr>
      <w:r w:rsidRPr="00730C29">
        <w:rPr>
          <w:rFonts w:ascii="Lato" w:hAnsi="Lato"/>
        </w:rPr>
        <w:t>All d</w:t>
      </w:r>
      <w:r w:rsidR="00802210" w:rsidRPr="00730C29">
        <w:rPr>
          <w:rFonts w:ascii="Lato" w:hAnsi="Lato"/>
        </w:rPr>
        <w:t xml:space="preserve">onors should work to ensure that </w:t>
      </w:r>
      <w:r w:rsidR="00802210" w:rsidRPr="00730C29">
        <w:rPr>
          <w:rFonts w:ascii="Lato" w:hAnsi="Lato"/>
          <w:b/>
          <w:bCs/>
        </w:rPr>
        <w:t>all of their programmes are being assessed</w:t>
      </w:r>
      <w:r w:rsidR="00802210" w:rsidRPr="00730C29">
        <w:rPr>
          <w:rFonts w:ascii="Lato" w:hAnsi="Lato"/>
        </w:rPr>
        <w:t xml:space="preserve"> against the marker to ensure a fuller picture on how inclusive </w:t>
      </w:r>
      <w:r w:rsidRPr="00730C29">
        <w:rPr>
          <w:rFonts w:ascii="Lato" w:hAnsi="Lato"/>
        </w:rPr>
        <w:t>aid</w:t>
      </w:r>
      <w:r w:rsidR="00802210" w:rsidRPr="00730C29">
        <w:rPr>
          <w:rFonts w:ascii="Lato" w:hAnsi="Lato"/>
        </w:rPr>
        <w:t xml:space="preserve"> is of people with disabilities</w:t>
      </w:r>
      <w:r w:rsidR="00653E60">
        <w:rPr>
          <w:rFonts w:ascii="Lato" w:hAnsi="Lato"/>
        </w:rPr>
        <w:t xml:space="preserve">, and therefore improving data on how effective international cooperation is. </w:t>
      </w:r>
      <w:r w:rsidR="00802210" w:rsidRPr="00730C29">
        <w:rPr>
          <w:rFonts w:ascii="Lato" w:hAnsi="Lato"/>
        </w:rPr>
        <w:t xml:space="preserve">  </w:t>
      </w:r>
    </w:p>
    <w:p w14:paraId="4F028D69" w14:textId="6066FE00" w:rsidR="00802210" w:rsidRPr="00730C29" w:rsidRDefault="00802210" w:rsidP="00802210">
      <w:pPr>
        <w:pStyle w:val="BodyText"/>
        <w:rPr>
          <w:rFonts w:ascii="Lato" w:hAnsi="Lato"/>
        </w:rPr>
      </w:pPr>
      <w:r w:rsidRPr="00730C29">
        <w:rPr>
          <w:rFonts w:ascii="Lato" w:hAnsi="Lato"/>
        </w:rPr>
        <w:t>The take up demonstrates that there is willingness amongst</w:t>
      </w:r>
      <w:r w:rsidR="009C7E88">
        <w:rPr>
          <w:rFonts w:ascii="Lato" w:hAnsi="Lato"/>
        </w:rPr>
        <w:t xml:space="preserve"> some</w:t>
      </w:r>
      <w:r w:rsidRPr="00730C29">
        <w:rPr>
          <w:rFonts w:ascii="Lato" w:hAnsi="Lato"/>
        </w:rPr>
        <w:t xml:space="preserve"> DAC members to use the marker, but also demonstrates the need for the </w:t>
      </w:r>
      <w:r w:rsidRPr="00730C29">
        <w:rPr>
          <w:rFonts w:ascii="Lato" w:hAnsi="Lato"/>
          <w:b/>
          <w:bCs/>
        </w:rPr>
        <w:t xml:space="preserve">marker to be made compulsory </w:t>
      </w:r>
      <w:r w:rsidRPr="00730C29">
        <w:rPr>
          <w:rFonts w:ascii="Lato" w:hAnsi="Lato"/>
        </w:rPr>
        <w:t>to ensure that it is used</w:t>
      </w:r>
      <w:r w:rsidRPr="00730C29">
        <w:rPr>
          <w:rFonts w:ascii="Lato" w:hAnsi="Lato"/>
          <w:b/>
          <w:bCs/>
        </w:rPr>
        <w:t xml:space="preserve"> </w:t>
      </w:r>
      <w:r w:rsidRPr="00730C29">
        <w:rPr>
          <w:rFonts w:ascii="Lato" w:hAnsi="Lato"/>
        </w:rPr>
        <w:t>consistently</w:t>
      </w:r>
      <w:r w:rsidR="00653E60">
        <w:rPr>
          <w:rFonts w:ascii="Lato" w:hAnsi="Lato"/>
        </w:rPr>
        <w:t xml:space="preserve"> and the need for increased advocacy in countries where the marker is not being used. </w:t>
      </w:r>
    </w:p>
    <w:p w14:paraId="2FF7DDD2" w14:textId="02ECE5E9" w:rsidR="00802210" w:rsidRPr="00730C29" w:rsidRDefault="00802210" w:rsidP="00802210">
      <w:pPr>
        <w:pStyle w:val="BodyText"/>
        <w:rPr>
          <w:rFonts w:ascii="Lato" w:hAnsi="Lato"/>
        </w:rPr>
      </w:pPr>
      <w:r w:rsidRPr="00730C29">
        <w:rPr>
          <w:rFonts w:ascii="Lato" w:hAnsi="Lato"/>
        </w:rPr>
        <w:t>Crucially, the data shows us that the</w:t>
      </w:r>
      <w:r w:rsidRPr="00730C29">
        <w:rPr>
          <w:rFonts w:ascii="Lato" w:hAnsi="Lato"/>
          <w:b/>
          <w:bCs/>
        </w:rPr>
        <w:t xml:space="preserve"> amount of ODA which is disability inclusive remains incredibly low</w:t>
      </w:r>
      <w:r w:rsidRPr="00730C29">
        <w:rPr>
          <w:rFonts w:ascii="Lato" w:hAnsi="Lato"/>
        </w:rPr>
        <w:t xml:space="preserve">. This will restrict donor’s ability to meet their obligations under the Convention on the Rights of Persons with Disabilities and their commitment to Agenda 2030. Even amongst the leading DAC members, disability inclusive ODA makes up </w:t>
      </w:r>
      <w:r w:rsidR="009C7E88">
        <w:rPr>
          <w:rFonts w:ascii="Lato" w:hAnsi="Lato"/>
        </w:rPr>
        <w:t>a small proportion</w:t>
      </w:r>
      <w:r w:rsidRPr="00730C29">
        <w:rPr>
          <w:rFonts w:ascii="Lato" w:hAnsi="Lato"/>
        </w:rPr>
        <w:t xml:space="preserve"> of their overall spending. </w:t>
      </w:r>
    </w:p>
    <w:p w14:paraId="5305919D" w14:textId="77777777" w:rsidR="00802210" w:rsidRPr="00730C29" w:rsidRDefault="00802210" w:rsidP="00802210">
      <w:pPr>
        <w:pStyle w:val="BodyText"/>
        <w:rPr>
          <w:rFonts w:ascii="Lato" w:hAnsi="Lato"/>
        </w:rPr>
      </w:pPr>
      <w:r w:rsidRPr="00730C29">
        <w:rPr>
          <w:rFonts w:ascii="Lato" w:hAnsi="Lato"/>
        </w:rPr>
        <w:t xml:space="preserve">Across all countries, </w:t>
      </w:r>
      <w:r w:rsidRPr="00730C29">
        <w:rPr>
          <w:rFonts w:ascii="Lato" w:hAnsi="Lato"/>
          <w:b/>
          <w:bCs/>
        </w:rPr>
        <w:t>spending on programmes where the principle objective is disability inclusion is very low</w:t>
      </w:r>
      <w:r w:rsidRPr="00730C29">
        <w:rPr>
          <w:rFonts w:ascii="Lato" w:hAnsi="Lato"/>
        </w:rPr>
        <w:t xml:space="preserve">, with the majority of countries reporting less than 1%. While we would expect this to be relatively low, more work needs to be done to establish how much donors should be aiming to spend on disability specific programmes vs mainstreaming disability. </w:t>
      </w:r>
    </w:p>
    <w:p w14:paraId="7524B3D3" w14:textId="61D90641" w:rsidR="00AC5DF3" w:rsidRPr="00730C29" w:rsidRDefault="00802210" w:rsidP="00802210">
      <w:pPr>
        <w:pStyle w:val="BodyText"/>
        <w:rPr>
          <w:rFonts w:ascii="Lato" w:hAnsi="Lato"/>
        </w:rPr>
      </w:pPr>
      <w:r w:rsidRPr="00730C29">
        <w:rPr>
          <w:rFonts w:ascii="Lato" w:hAnsi="Lato"/>
        </w:rPr>
        <w:t xml:space="preserve">The first-year data should be </w:t>
      </w:r>
      <w:r w:rsidRPr="00730C29">
        <w:rPr>
          <w:rFonts w:ascii="Lato" w:hAnsi="Lato"/>
          <w:b/>
          <w:bCs/>
        </w:rPr>
        <w:t>approached with an element of caution</w:t>
      </w:r>
      <w:r w:rsidRPr="00730C29">
        <w:rPr>
          <w:rFonts w:ascii="Lato" w:hAnsi="Lato"/>
        </w:rPr>
        <w:t>. There is a risk of over-reporting the extent to which programmes are disability inclusive. This highlights the need for a Handbook to guide donors</w:t>
      </w:r>
      <w:r w:rsidR="00AC5DF3" w:rsidRPr="00730C29">
        <w:rPr>
          <w:rFonts w:ascii="Lato" w:hAnsi="Lato"/>
        </w:rPr>
        <w:t xml:space="preserve"> and more </w:t>
      </w:r>
      <w:r w:rsidR="009C7E88">
        <w:rPr>
          <w:rFonts w:ascii="Lato" w:hAnsi="Lato"/>
        </w:rPr>
        <w:t xml:space="preserve">technical </w:t>
      </w:r>
      <w:r w:rsidR="00AC5DF3" w:rsidRPr="00730C29">
        <w:rPr>
          <w:rFonts w:ascii="Lato" w:hAnsi="Lato"/>
        </w:rPr>
        <w:t xml:space="preserve">support </w:t>
      </w:r>
      <w:r w:rsidR="009C7E88">
        <w:rPr>
          <w:rFonts w:ascii="Lato" w:hAnsi="Lato"/>
        </w:rPr>
        <w:t xml:space="preserve">to enhance staff’s understanding of inclusive programming. </w:t>
      </w:r>
    </w:p>
    <w:p w14:paraId="17B00316" w14:textId="5DD1E0CD" w:rsidR="00802210" w:rsidRPr="00730C29" w:rsidRDefault="00802210" w:rsidP="00802210">
      <w:pPr>
        <w:pStyle w:val="BodyText"/>
        <w:rPr>
          <w:rFonts w:ascii="Lato" w:hAnsi="Lato"/>
        </w:rPr>
      </w:pPr>
      <w:r w:rsidRPr="00730C29">
        <w:rPr>
          <w:rFonts w:ascii="Lato" w:hAnsi="Lato"/>
        </w:rPr>
        <w:t xml:space="preserve">More in depth work also need to be done to assess the </w:t>
      </w:r>
      <w:r w:rsidRPr="00730C29">
        <w:rPr>
          <w:rFonts w:ascii="Lato" w:hAnsi="Lato"/>
          <w:b/>
          <w:bCs/>
        </w:rPr>
        <w:t>quality of the reporting</w:t>
      </w:r>
      <w:r w:rsidRPr="00730C29">
        <w:rPr>
          <w:rFonts w:ascii="Lato" w:hAnsi="Lato"/>
        </w:rPr>
        <w:t xml:space="preserve"> by donors, to ensure that programmes which are being marked as disability inclusive include sufficient measures to ensure that they are disability inclusive in practice. </w:t>
      </w:r>
    </w:p>
    <w:p w14:paraId="66E76FD4" w14:textId="77777777" w:rsidR="0002779F" w:rsidRDefault="00802210" w:rsidP="0002779F">
      <w:pPr>
        <w:pStyle w:val="BodyText"/>
        <w:rPr>
          <w:rFonts w:ascii="Lato" w:hAnsi="Lato"/>
        </w:rPr>
      </w:pPr>
      <w:r w:rsidRPr="00730C29">
        <w:rPr>
          <w:rFonts w:ascii="Lato" w:hAnsi="Lato"/>
        </w:rPr>
        <w:t xml:space="preserve">This </w:t>
      </w:r>
      <w:r w:rsidRPr="00730C29">
        <w:rPr>
          <w:rFonts w:ascii="Lato" w:hAnsi="Lato"/>
          <w:b/>
          <w:bCs/>
        </w:rPr>
        <w:t>data is on a commitment basis</w:t>
      </w:r>
      <w:r w:rsidRPr="00730C29">
        <w:rPr>
          <w:rFonts w:ascii="Lato" w:hAnsi="Lato"/>
        </w:rPr>
        <w:t xml:space="preserve"> and therefore gives us information on what donors </w:t>
      </w:r>
      <w:r w:rsidRPr="00730C29">
        <w:rPr>
          <w:rFonts w:ascii="Lato" w:hAnsi="Lato"/>
          <w:i/>
          <w:iCs/>
        </w:rPr>
        <w:t xml:space="preserve">intend </w:t>
      </w:r>
      <w:r w:rsidRPr="00730C29">
        <w:rPr>
          <w:rFonts w:ascii="Lato" w:hAnsi="Lato"/>
        </w:rPr>
        <w:t xml:space="preserve">to do in relation to disability – further research and data is needed to assess to what extent these commitments are taken forward and the impact they have on people with disabilities. </w:t>
      </w:r>
    </w:p>
    <w:p w14:paraId="6CC85CB1" w14:textId="6C2F1FE4" w:rsidR="00DE6605" w:rsidRPr="0002779F" w:rsidRDefault="00AC5DF3" w:rsidP="0002779F">
      <w:pPr>
        <w:pStyle w:val="Heading1"/>
        <w:rPr>
          <w:rFonts w:ascii="Lato" w:hAnsi="Lato"/>
        </w:rPr>
      </w:pPr>
      <w:r>
        <w:t>Key elements to consider for disability-inclusive international cooperation</w:t>
      </w:r>
    </w:p>
    <w:p w14:paraId="6E1850B1" w14:textId="6694CE9B" w:rsidR="006F463F" w:rsidRPr="00FE19F0" w:rsidRDefault="009C7E88" w:rsidP="006F463F">
      <w:pPr>
        <w:rPr>
          <w:rFonts w:ascii="Lato" w:eastAsia="Calibri" w:hAnsi="Lato"/>
          <w:szCs w:val="24"/>
        </w:rPr>
      </w:pPr>
      <w:r>
        <w:rPr>
          <w:rFonts w:ascii="Lato" w:eastAsia="Calibri" w:hAnsi="Lato"/>
          <w:szCs w:val="24"/>
        </w:rPr>
        <w:t xml:space="preserve">Disability inclusion remains a neglected issue in international co-operation, although it has </w:t>
      </w:r>
      <w:r w:rsidR="00AC5DF3" w:rsidRPr="00FE19F0">
        <w:rPr>
          <w:rFonts w:ascii="Lato" w:eastAsia="Calibri" w:hAnsi="Lato"/>
          <w:szCs w:val="24"/>
        </w:rPr>
        <w:t>risen up the agenda of many international donors in recent years</w:t>
      </w:r>
      <w:r>
        <w:rPr>
          <w:rFonts w:ascii="Lato" w:eastAsia="Calibri" w:hAnsi="Lato"/>
          <w:szCs w:val="24"/>
        </w:rPr>
        <w:t xml:space="preserve">. </w:t>
      </w:r>
      <w:r w:rsidR="006F463F" w:rsidRPr="00FE19F0">
        <w:rPr>
          <w:rFonts w:ascii="Lato" w:eastAsia="Calibri" w:hAnsi="Lato"/>
          <w:szCs w:val="24"/>
        </w:rPr>
        <w:t>For example, the UK, Finland, Norway, Australia and Germany</w:t>
      </w:r>
      <w:r w:rsidR="006F463F" w:rsidRPr="00FE19F0">
        <w:rPr>
          <w:rStyle w:val="FootnoteReference"/>
          <w:rFonts w:ascii="Lato" w:eastAsia="Calibri" w:hAnsi="Lato"/>
          <w:szCs w:val="24"/>
        </w:rPr>
        <w:footnoteReference w:id="7"/>
      </w:r>
      <w:r w:rsidR="006F463F" w:rsidRPr="00FE19F0">
        <w:rPr>
          <w:rFonts w:ascii="Lato" w:eastAsia="Calibri" w:hAnsi="Lato"/>
          <w:szCs w:val="24"/>
        </w:rPr>
        <w:t xml:space="preserve"> have all taken steps to strengthen their work on disability. </w:t>
      </w:r>
    </w:p>
    <w:p w14:paraId="4A9C3584" w14:textId="5B2479C3" w:rsidR="009535CC" w:rsidRPr="00FE19F0" w:rsidRDefault="00AC5DF3" w:rsidP="009A7353">
      <w:pPr>
        <w:rPr>
          <w:rFonts w:ascii="Lato" w:eastAsia="Calibri" w:hAnsi="Lato"/>
          <w:szCs w:val="24"/>
        </w:rPr>
      </w:pPr>
      <w:r w:rsidRPr="00FE19F0">
        <w:rPr>
          <w:rFonts w:ascii="Lato" w:eastAsia="Calibri" w:hAnsi="Lato"/>
          <w:szCs w:val="24"/>
        </w:rPr>
        <w:lastRenderedPageBreak/>
        <w:t>There are clear lessons from the successes and challenges that donors have had</w:t>
      </w:r>
      <w:r w:rsidR="009535CC" w:rsidRPr="00FE19F0">
        <w:rPr>
          <w:rFonts w:ascii="Lato" w:eastAsia="Calibri" w:hAnsi="Lato"/>
          <w:szCs w:val="24"/>
        </w:rPr>
        <w:t xml:space="preserve"> when working towards disability-inclusive international cooperation.</w:t>
      </w:r>
      <w:r w:rsidR="0002779F">
        <w:rPr>
          <w:rFonts w:ascii="Lato" w:eastAsia="Calibri" w:hAnsi="Lato"/>
          <w:szCs w:val="24"/>
        </w:rPr>
        <w:t xml:space="preserve"> This is not a comprehensive list but gives an overview of some key issues. </w:t>
      </w:r>
      <w:r w:rsidR="009535CC" w:rsidRPr="00FE19F0">
        <w:rPr>
          <w:rFonts w:ascii="Lato" w:eastAsia="Calibri" w:hAnsi="Lato"/>
          <w:szCs w:val="24"/>
        </w:rPr>
        <w:t xml:space="preserve"> </w:t>
      </w:r>
    </w:p>
    <w:p w14:paraId="15C4FA00" w14:textId="28095F11" w:rsidR="00AC5DF3" w:rsidRPr="00FE19F0" w:rsidRDefault="00AC5DF3" w:rsidP="00A5103E">
      <w:pPr>
        <w:pStyle w:val="Heading2"/>
        <w:rPr>
          <w:rFonts w:eastAsia="Calibri"/>
          <w:szCs w:val="24"/>
        </w:rPr>
      </w:pPr>
      <w:r w:rsidRPr="00FE19F0">
        <w:rPr>
          <w:rFonts w:eastAsia="Calibri"/>
          <w:szCs w:val="24"/>
        </w:rPr>
        <w:t xml:space="preserve">Political leadership </w:t>
      </w:r>
    </w:p>
    <w:p w14:paraId="409E88DE" w14:textId="6A2B30EC" w:rsidR="00A5103E" w:rsidRPr="00FE19F0" w:rsidRDefault="00A5103E" w:rsidP="00AD605A">
      <w:pPr>
        <w:rPr>
          <w:rFonts w:ascii="Lato" w:eastAsia="Calibri" w:hAnsi="Lato"/>
          <w:szCs w:val="24"/>
        </w:rPr>
      </w:pPr>
      <w:r w:rsidRPr="00FE19F0">
        <w:rPr>
          <w:rFonts w:ascii="Lato" w:eastAsia="Calibri" w:hAnsi="Lato"/>
          <w:szCs w:val="24"/>
        </w:rPr>
        <w:t>Political leadership is crucial to secure progress on disability-inclusive international cooperation. In the UK, for example, successive Ministers in the Department for International Development showed leadership on disability-inclusive development. Ministerial interest was a clear driver of progress in the UK. Some progress was made on disability between 2014 and 2016 (including the publication of the first Disability Framework</w:t>
      </w:r>
      <w:r w:rsidR="009C7E88">
        <w:rPr>
          <w:rStyle w:val="FootnoteReference"/>
          <w:rFonts w:ascii="Lato" w:eastAsia="Calibri" w:hAnsi="Lato"/>
          <w:szCs w:val="24"/>
        </w:rPr>
        <w:footnoteReference w:id="8"/>
      </w:r>
      <w:r w:rsidRPr="00FE19F0">
        <w:rPr>
          <w:rFonts w:ascii="Lato" w:eastAsia="Calibri" w:hAnsi="Lato"/>
          <w:szCs w:val="24"/>
        </w:rPr>
        <w:t xml:space="preserve">), however, a major shift in emphasis came in late 2016, when the Secretary of State </w:t>
      </w:r>
      <w:r w:rsidRPr="00FE19F0">
        <w:rPr>
          <w:rFonts w:ascii="Lato" w:hAnsi="Lato"/>
          <w:szCs w:val="24"/>
        </w:rPr>
        <w:t>announced an aim to establish DFID as “the global leader in this neglected and under prioritised area”</w:t>
      </w:r>
      <w:r w:rsidR="00823B27" w:rsidRPr="00FE19F0">
        <w:rPr>
          <w:rStyle w:val="FootnoteReference"/>
          <w:rFonts w:ascii="Lato" w:hAnsi="Lato"/>
          <w:szCs w:val="24"/>
        </w:rPr>
        <w:footnoteReference w:id="9"/>
      </w:r>
      <w:r w:rsidRPr="00FE19F0">
        <w:rPr>
          <w:rFonts w:ascii="Lato" w:hAnsi="Lato"/>
          <w:szCs w:val="24"/>
        </w:rPr>
        <w:t xml:space="preserve">. This led to the UK holding the Global Disability Summit and </w:t>
      </w:r>
      <w:r w:rsidR="00823B27" w:rsidRPr="00FE19F0">
        <w:rPr>
          <w:rFonts w:ascii="Lato" w:hAnsi="Lato"/>
          <w:szCs w:val="24"/>
        </w:rPr>
        <w:t>publish</w:t>
      </w:r>
      <w:r w:rsidR="002C66B3">
        <w:rPr>
          <w:rFonts w:ascii="Lato" w:hAnsi="Lato"/>
          <w:szCs w:val="24"/>
        </w:rPr>
        <w:t>ing</w:t>
      </w:r>
      <w:r w:rsidR="00823B27" w:rsidRPr="00FE19F0">
        <w:rPr>
          <w:rFonts w:ascii="Lato" w:hAnsi="Lato"/>
          <w:szCs w:val="24"/>
        </w:rPr>
        <w:t xml:space="preserve"> their first Disability </w:t>
      </w:r>
      <w:r w:rsidRPr="00FE19F0">
        <w:rPr>
          <w:rFonts w:ascii="Lato" w:hAnsi="Lato"/>
          <w:szCs w:val="24"/>
        </w:rPr>
        <w:t xml:space="preserve">Strategy </w:t>
      </w:r>
      <w:r w:rsidR="00823B27" w:rsidRPr="00FE19F0">
        <w:rPr>
          <w:rFonts w:ascii="Lato" w:hAnsi="Lato"/>
          <w:szCs w:val="24"/>
        </w:rPr>
        <w:t>i</w:t>
      </w:r>
      <w:r w:rsidRPr="00FE19F0">
        <w:rPr>
          <w:rFonts w:ascii="Lato" w:hAnsi="Lato"/>
          <w:szCs w:val="24"/>
        </w:rPr>
        <w:t>n 2018</w:t>
      </w:r>
      <w:r w:rsidR="00823B27" w:rsidRPr="00FE19F0">
        <w:rPr>
          <w:rStyle w:val="FootnoteReference"/>
          <w:rFonts w:ascii="Lato" w:hAnsi="Lato"/>
          <w:szCs w:val="24"/>
        </w:rPr>
        <w:footnoteReference w:id="10"/>
      </w:r>
      <w:r w:rsidRPr="00FE19F0">
        <w:rPr>
          <w:rFonts w:ascii="Lato" w:hAnsi="Lato"/>
          <w:szCs w:val="24"/>
        </w:rPr>
        <w:t xml:space="preserve">. </w:t>
      </w:r>
    </w:p>
    <w:p w14:paraId="1BE6A50C" w14:textId="788B75F9" w:rsidR="00CE6786" w:rsidRDefault="009A7353" w:rsidP="00AD605A">
      <w:pPr>
        <w:rPr>
          <w:rFonts w:ascii="Lato" w:eastAsia="Calibri" w:hAnsi="Lato"/>
          <w:bCs/>
          <w:szCs w:val="24"/>
        </w:rPr>
      </w:pPr>
      <w:r w:rsidRPr="00FE19F0">
        <w:rPr>
          <w:rFonts w:ascii="Lato" w:eastAsia="Calibri" w:hAnsi="Lato"/>
          <w:szCs w:val="24"/>
        </w:rPr>
        <w:t>The experience of Norway offers a valuable warning</w:t>
      </w:r>
      <w:r w:rsidR="00AC5DF3" w:rsidRPr="00FE19F0">
        <w:rPr>
          <w:rFonts w:ascii="Lato" w:eastAsia="Calibri" w:hAnsi="Lato"/>
          <w:szCs w:val="24"/>
        </w:rPr>
        <w:t xml:space="preserve"> about the importance of political leadership. </w:t>
      </w:r>
      <w:r w:rsidRPr="00FE19F0">
        <w:rPr>
          <w:rFonts w:ascii="Lato" w:eastAsia="Calibri" w:hAnsi="Lato"/>
          <w:szCs w:val="24"/>
        </w:rPr>
        <w:t xml:space="preserve">Norway had been a driving force for a shift to a social understanding of disability in the international community. Parliament approved a White Paper with a section on mainstreaming disability in development cooperation, the Ministry of Affairs created a plan and NORAD produced guidelines. </w:t>
      </w:r>
      <w:r w:rsidR="009C7E88">
        <w:rPr>
          <w:rFonts w:ascii="Lato" w:eastAsia="Calibri" w:hAnsi="Lato"/>
          <w:szCs w:val="24"/>
        </w:rPr>
        <w:t>However, in 2012</w:t>
      </w:r>
      <w:r w:rsidRPr="00FE19F0">
        <w:rPr>
          <w:rFonts w:ascii="Lato" w:eastAsia="Calibri" w:hAnsi="Lato"/>
          <w:szCs w:val="24"/>
        </w:rPr>
        <w:t xml:space="preserve"> NORAD’s evaluation concluded that the documents were largely </w:t>
      </w:r>
      <w:r w:rsidRPr="00FE19F0">
        <w:rPr>
          <w:rFonts w:ascii="Lato" w:eastAsia="Calibri" w:hAnsi="Lato"/>
          <w:bCs/>
          <w:szCs w:val="24"/>
        </w:rPr>
        <w:t xml:space="preserve">ignored and forgotten. There were no indicators to monitor if they had been used by </w:t>
      </w:r>
      <w:r w:rsidR="00AC5DF3" w:rsidRPr="00FE19F0">
        <w:rPr>
          <w:rFonts w:ascii="Lato" w:eastAsia="Calibri" w:hAnsi="Lato"/>
          <w:bCs/>
          <w:szCs w:val="24"/>
        </w:rPr>
        <w:t>partners or</w:t>
      </w:r>
      <w:r w:rsidRPr="00FE19F0">
        <w:rPr>
          <w:rFonts w:ascii="Lato" w:eastAsia="Calibri" w:hAnsi="Lato"/>
          <w:bCs/>
          <w:szCs w:val="24"/>
        </w:rPr>
        <w:t xml:space="preserve"> incorporated into development programmes and foreign policy. Disability became less of a political priority, and people with disabilities were even removed as a target group from NORAD’s statistical database</w:t>
      </w:r>
      <w:r w:rsidRPr="00FE19F0">
        <w:rPr>
          <w:rFonts w:ascii="Lato" w:eastAsia="Calibri" w:hAnsi="Lato"/>
          <w:bCs/>
          <w:szCs w:val="24"/>
          <w:vertAlign w:val="superscript"/>
        </w:rPr>
        <w:footnoteReference w:id="11"/>
      </w:r>
      <w:r w:rsidRPr="00FE19F0">
        <w:rPr>
          <w:rFonts w:ascii="Lato" w:eastAsia="Calibri" w:hAnsi="Lato"/>
          <w:bCs/>
          <w:szCs w:val="24"/>
        </w:rPr>
        <w:t>.</w:t>
      </w:r>
      <w:r w:rsidR="00AC5DF3" w:rsidRPr="00FE19F0">
        <w:rPr>
          <w:rFonts w:ascii="Lato" w:eastAsia="Calibri" w:hAnsi="Lato"/>
          <w:bCs/>
          <w:szCs w:val="24"/>
        </w:rPr>
        <w:t xml:space="preserve"> We are now seeing an increase in focus </w:t>
      </w:r>
      <w:r w:rsidR="00AD605A" w:rsidRPr="00FE19F0">
        <w:rPr>
          <w:rFonts w:ascii="Lato" w:eastAsia="Calibri" w:hAnsi="Lato"/>
          <w:bCs/>
          <w:szCs w:val="24"/>
        </w:rPr>
        <w:t>on disability in Norway, with recent funding announcements and commitments</w:t>
      </w:r>
      <w:r w:rsidR="00823B27" w:rsidRPr="00FE19F0">
        <w:rPr>
          <w:rFonts w:ascii="Lato" w:eastAsia="Calibri" w:hAnsi="Lato"/>
          <w:bCs/>
          <w:szCs w:val="24"/>
        </w:rPr>
        <w:t xml:space="preserve">. </w:t>
      </w:r>
    </w:p>
    <w:p w14:paraId="6EEB0FC2" w14:textId="03ED4981" w:rsidR="0002779F" w:rsidRDefault="0002779F" w:rsidP="0002779F">
      <w:pPr>
        <w:pStyle w:val="Heading2"/>
        <w:rPr>
          <w:rFonts w:eastAsia="Calibri"/>
        </w:rPr>
      </w:pPr>
      <w:r>
        <w:rPr>
          <w:rFonts w:eastAsia="Calibri"/>
        </w:rPr>
        <w:t xml:space="preserve">Systematically embedding disability inclusion </w:t>
      </w:r>
    </w:p>
    <w:p w14:paraId="41299129" w14:textId="7355AE44" w:rsidR="0002779F" w:rsidRPr="0002779F" w:rsidRDefault="0002779F" w:rsidP="0002779F">
      <w:pPr>
        <w:rPr>
          <w:rFonts w:ascii="Lato" w:hAnsi="Lato"/>
        </w:rPr>
      </w:pPr>
      <w:r w:rsidRPr="0002779F">
        <w:rPr>
          <w:rFonts w:ascii="Lato" w:hAnsi="Lato"/>
        </w:rPr>
        <w:t>The above example demonstrates the importance of systematically embedding disability inclusion. As DFID recognises embedding disability across all ‘structures and culture will take time and is complex and multi-dimensional</w:t>
      </w:r>
      <w:r w:rsidR="008C3980">
        <w:rPr>
          <w:rStyle w:val="FootnoteReference"/>
          <w:rFonts w:ascii="Lato" w:hAnsi="Lato"/>
        </w:rPr>
        <w:footnoteReference w:id="12"/>
      </w:r>
      <w:r w:rsidR="002C66B3">
        <w:rPr>
          <w:rFonts w:ascii="Lato" w:hAnsi="Lato"/>
        </w:rPr>
        <w:t>,</w:t>
      </w:r>
      <w:r w:rsidRPr="0002779F">
        <w:rPr>
          <w:rFonts w:ascii="Lato" w:hAnsi="Lato"/>
        </w:rPr>
        <w:t xml:space="preserve">’ </w:t>
      </w:r>
      <w:r w:rsidR="002C66B3">
        <w:rPr>
          <w:rFonts w:ascii="Lato" w:hAnsi="Lato"/>
        </w:rPr>
        <w:t>o</w:t>
      </w:r>
      <w:r w:rsidRPr="0002779F">
        <w:rPr>
          <w:rFonts w:ascii="Lato" w:hAnsi="Lato"/>
        </w:rPr>
        <w:t>ne approach that the UK government has taken is to introduce a set of ‘Minimum Standards</w:t>
      </w:r>
      <w:r w:rsidR="009C7E88">
        <w:rPr>
          <w:rStyle w:val="FootnoteReference"/>
          <w:rFonts w:ascii="Lato" w:hAnsi="Lato"/>
        </w:rPr>
        <w:footnoteReference w:id="13"/>
      </w:r>
      <w:r w:rsidRPr="0002779F">
        <w:rPr>
          <w:rFonts w:ascii="Lato" w:hAnsi="Lato"/>
        </w:rPr>
        <w:t xml:space="preserve">’ that all business units must meet. The standards are ambitious and if met would be an effective way of ensuring that different team and country offices are beginning to systematically embed disability inclusion within their work. </w:t>
      </w:r>
      <w:r>
        <w:rPr>
          <w:rFonts w:ascii="Lato" w:hAnsi="Lato"/>
        </w:rPr>
        <w:t>Specific initiative</w:t>
      </w:r>
      <w:r w:rsidR="00B12F07">
        <w:rPr>
          <w:rFonts w:ascii="Lato" w:hAnsi="Lato"/>
        </w:rPr>
        <w:t>s</w:t>
      </w:r>
      <w:r>
        <w:rPr>
          <w:rFonts w:ascii="Lato" w:hAnsi="Lato"/>
        </w:rPr>
        <w:t xml:space="preserve"> such as this</w:t>
      </w:r>
      <w:r w:rsidR="008C3980">
        <w:rPr>
          <w:rFonts w:ascii="Lato" w:hAnsi="Lato"/>
        </w:rPr>
        <w:t xml:space="preserve"> a</w:t>
      </w:r>
      <w:r>
        <w:rPr>
          <w:rFonts w:ascii="Lato" w:hAnsi="Lato"/>
        </w:rPr>
        <w:t xml:space="preserve">re an important way of beginning to systematically embed disability inclusion into international cooperation. However, there also needs to be increased effort to embed disability inclusion into the ways in which decisions are made and programmes are designed across departments. </w:t>
      </w:r>
      <w:r w:rsidR="008C3980">
        <w:rPr>
          <w:rFonts w:ascii="Lato" w:hAnsi="Lato"/>
        </w:rPr>
        <w:t xml:space="preserve">For example, donors should ensure that they have developed mechanisms to ensure that overall programmatic and funding decisions take into account the differing impact on people with disabilities, that </w:t>
      </w:r>
      <w:r w:rsidR="008C3980">
        <w:rPr>
          <w:rFonts w:ascii="Lato" w:hAnsi="Lato"/>
        </w:rPr>
        <w:lastRenderedPageBreak/>
        <w:t xml:space="preserve">budgeting processes are inclusive, and that monitoring, and evaluation consistently assesses the extent to which programmes are inclusive of people with disabilities. </w:t>
      </w:r>
    </w:p>
    <w:p w14:paraId="5B5D852B" w14:textId="3E3AC4C6" w:rsidR="009535CC" w:rsidRDefault="009535CC" w:rsidP="009535CC">
      <w:pPr>
        <w:pStyle w:val="Heading2"/>
        <w:rPr>
          <w:rFonts w:eastAsia="Calibri"/>
        </w:rPr>
      </w:pPr>
      <w:r>
        <w:rPr>
          <w:rFonts w:eastAsia="Calibri"/>
        </w:rPr>
        <w:t xml:space="preserve">Financing </w:t>
      </w:r>
      <w:r w:rsidR="006F463F">
        <w:rPr>
          <w:rFonts w:eastAsia="Calibri"/>
        </w:rPr>
        <w:t>disability-inclusive international cooperation</w:t>
      </w:r>
    </w:p>
    <w:p w14:paraId="3976BFD1" w14:textId="20D6D9CF" w:rsidR="00FE19F0" w:rsidRDefault="006F463F" w:rsidP="009535CC">
      <w:pPr>
        <w:rPr>
          <w:rFonts w:ascii="Lato" w:hAnsi="Lato"/>
        </w:rPr>
      </w:pPr>
      <w:r w:rsidRPr="00502374">
        <w:rPr>
          <w:rFonts w:ascii="Lato" w:hAnsi="Lato"/>
        </w:rPr>
        <w:t>A review</w:t>
      </w:r>
      <w:r w:rsidR="005624C3">
        <w:rPr>
          <w:rStyle w:val="FootnoteReference"/>
          <w:rFonts w:ascii="Lato" w:hAnsi="Lato"/>
        </w:rPr>
        <w:footnoteReference w:id="14"/>
      </w:r>
      <w:r w:rsidRPr="00502374">
        <w:rPr>
          <w:rFonts w:ascii="Lato" w:hAnsi="Lato"/>
        </w:rPr>
        <w:t xml:space="preserve"> of the UK’s work on disability inclusion </w:t>
      </w:r>
      <w:r w:rsidR="002723B1" w:rsidRPr="00502374">
        <w:rPr>
          <w:rFonts w:ascii="Lato" w:hAnsi="Lato"/>
        </w:rPr>
        <w:t xml:space="preserve">by the Independent Commission for Aid Impact (ICAI) </w:t>
      </w:r>
      <w:r w:rsidRPr="00502374">
        <w:rPr>
          <w:rFonts w:ascii="Lato" w:hAnsi="Lato"/>
        </w:rPr>
        <w:t>found two interesting conclusion</w:t>
      </w:r>
      <w:r w:rsidR="002723B1" w:rsidRPr="00502374">
        <w:rPr>
          <w:rFonts w:ascii="Lato" w:hAnsi="Lato"/>
        </w:rPr>
        <w:t>s</w:t>
      </w:r>
      <w:r w:rsidRPr="00502374">
        <w:rPr>
          <w:rFonts w:ascii="Lato" w:hAnsi="Lato"/>
        </w:rPr>
        <w:t xml:space="preserve"> in relation </w:t>
      </w:r>
      <w:r w:rsidR="00FE19F0">
        <w:rPr>
          <w:rFonts w:ascii="Lato" w:hAnsi="Lato"/>
        </w:rPr>
        <w:t xml:space="preserve">to financing </w:t>
      </w:r>
      <w:r w:rsidRPr="00502374">
        <w:rPr>
          <w:rFonts w:ascii="Lato" w:hAnsi="Lato"/>
        </w:rPr>
        <w:t>disability</w:t>
      </w:r>
      <w:r w:rsidR="00FE19F0">
        <w:rPr>
          <w:rFonts w:ascii="Lato" w:hAnsi="Lato"/>
        </w:rPr>
        <w:t>-</w:t>
      </w:r>
      <w:r w:rsidRPr="00502374">
        <w:rPr>
          <w:rFonts w:ascii="Lato" w:hAnsi="Lato"/>
        </w:rPr>
        <w:t>inclusive</w:t>
      </w:r>
      <w:r w:rsidR="00FE19F0">
        <w:rPr>
          <w:rFonts w:ascii="Lato" w:hAnsi="Lato"/>
        </w:rPr>
        <w:t xml:space="preserve"> international cooperation</w:t>
      </w:r>
      <w:r w:rsidRPr="00502374">
        <w:rPr>
          <w:rFonts w:ascii="Lato" w:hAnsi="Lato"/>
        </w:rPr>
        <w:t>. Firstly, they highlighted that the lack of funding to cover the start-up costs of mainstreaming was hindering DFID’s efforts to mainstream disability within the department. This echoes Sightsavers</w:t>
      </w:r>
      <w:r w:rsidR="002C66B3">
        <w:rPr>
          <w:rFonts w:ascii="Lato" w:hAnsi="Lato"/>
        </w:rPr>
        <w:t>’</w:t>
      </w:r>
      <w:r w:rsidRPr="00502374">
        <w:rPr>
          <w:rFonts w:ascii="Lato" w:hAnsi="Lato"/>
        </w:rPr>
        <w:t xml:space="preserve"> and other NGOs</w:t>
      </w:r>
      <w:r w:rsidR="002C66B3">
        <w:rPr>
          <w:rFonts w:ascii="Lato" w:hAnsi="Lato"/>
        </w:rPr>
        <w:t>’</w:t>
      </w:r>
      <w:r w:rsidRPr="00502374">
        <w:rPr>
          <w:rFonts w:ascii="Lato" w:hAnsi="Lato"/>
        </w:rPr>
        <w:t xml:space="preserve"> experience of discussing disability with DFID country offices, because although willingness to work on disability </w:t>
      </w:r>
      <w:r w:rsidR="004021B1">
        <w:rPr>
          <w:rFonts w:ascii="Lato" w:hAnsi="Lato"/>
        </w:rPr>
        <w:t>exists</w:t>
      </w:r>
      <w:r w:rsidRPr="00502374">
        <w:rPr>
          <w:rFonts w:ascii="Lato" w:hAnsi="Lato"/>
        </w:rPr>
        <w:t xml:space="preserve"> – staff feel they lack the resources to do more</w:t>
      </w:r>
      <w:r w:rsidR="00FE19F0">
        <w:rPr>
          <w:rFonts w:ascii="Lato" w:hAnsi="Lato"/>
        </w:rPr>
        <w:t xml:space="preserve"> within </w:t>
      </w:r>
      <w:r w:rsidR="004021B1">
        <w:rPr>
          <w:rFonts w:ascii="Lato" w:hAnsi="Lato"/>
        </w:rPr>
        <w:t xml:space="preserve">already allocated </w:t>
      </w:r>
      <w:r w:rsidR="00FE19F0">
        <w:rPr>
          <w:rFonts w:ascii="Lato" w:hAnsi="Lato"/>
        </w:rPr>
        <w:t>budgets</w:t>
      </w:r>
      <w:r w:rsidR="002723B1" w:rsidRPr="00502374">
        <w:rPr>
          <w:rStyle w:val="FootnoteReference"/>
          <w:rFonts w:ascii="Lato" w:hAnsi="Lato"/>
        </w:rPr>
        <w:footnoteReference w:id="15"/>
      </w:r>
      <w:r w:rsidRPr="00502374">
        <w:rPr>
          <w:rFonts w:ascii="Lato" w:hAnsi="Lato"/>
        </w:rPr>
        <w:t xml:space="preserve">. </w:t>
      </w:r>
    </w:p>
    <w:p w14:paraId="27907AA9" w14:textId="57976FF7" w:rsidR="006F463F" w:rsidRPr="00502374" w:rsidRDefault="006F463F" w:rsidP="009535CC">
      <w:pPr>
        <w:rPr>
          <w:rFonts w:ascii="Lato" w:hAnsi="Lato"/>
        </w:rPr>
      </w:pPr>
      <w:r w:rsidRPr="00502374">
        <w:rPr>
          <w:rFonts w:ascii="Lato" w:hAnsi="Lato"/>
        </w:rPr>
        <w:t xml:space="preserve">Australia </w:t>
      </w:r>
      <w:r w:rsidR="002723B1" w:rsidRPr="00502374">
        <w:rPr>
          <w:rFonts w:ascii="Lato" w:hAnsi="Lato"/>
        </w:rPr>
        <w:t>adopted a different approach, where a fund for mainstreaming disability-inclusion was available, which</w:t>
      </w:r>
      <w:r w:rsidR="00B12F07">
        <w:rPr>
          <w:rFonts w:ascii="Lato" w:hAnsi="Lato"/>
        </w:rPr>
        <w:t xml:space="preserve"> was </w:t>
      </w:r>
      <w:r w:rsidR="00EB7D0D">
        <w:rPr>
          <w:rFonts w:ascii="Lato" w:hAnsi="Lato"/>
        </w:rPr>
        <w:t xml:space="preserve">evaluated </w:t>
      </w:r>
      <w:r w:rsidR="00B12F07">
        <w:rPr>
          <w:rFonts w:ascii="Lato" w:hAnsi="Lato"/>
        </w:rPr>
        <w:t>as successful</w:t>
      </w:r>
      <w:r w:rsidR="002723B1" w:rsidRPr="00502374">
        <w:rPr>
          <w:rFonts w:ascii="Lato" w:hAnsi="Lato"/>
        </w:rPr>
        <w:t>. Not only did the money support mainstreaming but the process of planning and applying for the funding was considered to have enabled deeper thinking and concerted effort to ensure each investment mainstreamed disability inclusion. Australia also provided specific allocations of funding for reasonable accommodation which the evaluation found has also enabled disability inclusion and is often key to people with disabilities being able to genuinely participate in and benefit from development program</w:t>
      </w:r>
      <w:r w:rsidR="00EB7D0D">
        <w:rPr>
          <w:rFonts w:ascii="Lato" w:hAnsi="Lato"/>
        </w:rPr>
        <w:t>me</w:t>
      </w:r>
      <w:r w:rsidR="002723B1" w:rsidRPr="00502374">
        <w:rPr>
          <w:rFonts w:ascii="Lato" w:hAnsi="Lato"/>
        </w:rPr>
        <w:t>s</w:t>
      </w:r>
      <w:r w:rsidR="00FE19F0">
        <w:rPr>
          <w:rFonts w:ascii="Lato" w:hAnsi="Lato"/>
        </w:rPr>
        <w:t xml:space="preserve">. </w:t>
      </w:r>
    </w:p>
    <w:p w14:paraId="3F43C47E" w14:textId="2A373CB1" w:rsidR="00730C29" w:rsidRPr="00730C29" w:rsidRDefault="002723B1" w:rsidP="00730C29">
      <w:pPr>
        <w:rPr>
          <w:rFonts w:ascii="Lato" w:hAnsi="Lato"/>
        </w:rPr>
      </w:pPr>
      <w:r w:rsidRPr="00502374">
        <w:rPr>
          <w:rFonts w:ascii="Lato" w:hAnsi="Lato"/>
        </w:rPr>
        <w:t xml:space="preserve">The ICAI review into DFID’s approach also found </w:t>
      </w:r>
      <w:r w:rsidR="00502374" w:rsidRPr="00502374">
        <w:rPr>
          <w:rFonts w:ascii="Lato" w:hAnsi="Lato"/>
        </w:rPr>
        <w:t>that ‘disability-targeted programming in key sectors is too modest in scale and reach to be likely to deliver transformational results.’</w:t>
      </w:r>
      <w:r w:rsidR="00502374" w:rsidRPr="00502374">
        <w:rPr>
          <w:rStyle w:val="FootnoteReference"/>
          <w:rFonts w:ascii="Lato" w:hAnsi="Lato"/>
        </w:rPr>
        <w:footnoteReference w:id="16"/>
      </w:r>
      <w:r w:rsidR="00502374" w:rsidRPr="00502374">
        <w:rPr>
          <w:rFonts w:ascii="Lato" w:hAnsi="Lato"/>
        </w:rPr>
        <w:t xml:space="preserve"> </w:t>
      </w:r>
      <w:r w:rsidR="00FE19F0">
        <w:rPr>
          <w:rFonts w:ascii="Lato" w:hAnsi="Lato"/>
        </w:rPr>
        <w:t>Data from the OECD DAC marker, discussed above, demonstrates that this is likely to be a wider trend. Crucial lessons could be learnt by looking in more detail at the amount spent by donors on disability-specific programming</w:t>
      </w:r>
      <w:r w:rsidR="00740976">
        <w:rPr>
          <w:rFonts w:ascii="Lato" w:hAnsi="Lato"/>
        </w:rPr>
        <w:t xml:space="preserve"> and to understand how significant disability-specific funding needs to be to drive progress</w:t>
      </w:r>
      <w:r w:rsidR="009C7E88">
        <w:rPr>
          <w:rFonts w:ascii="Lato" w:hAnsi="Lato"/>
        </w:rPr>
        <w:t xml:space="preserve">. </w:t>
      </w:r>
    </w:p>
    <w:p w14:paraId="20119422" w14:textId="4C391F8D" w:rsidR="00802210" w:rsidRPr="00802210" w:rsidRDefault="00AD605A" w:rsidP="00AD605A">
      <w:pPr>
        <w:pStyle w:val="Heading1"/>
        <w:rPr>
          <w:rFonts w:eastAsia="Calibri"/>
        </w:rPr>
      </w:pPr>
      <w:r>
        <w:rPr>
          <w:rFonts w:eastAsia="Calibri"/>
        </w:rPr>
        <w:t xml:space="preserve">Recommendations </w:t>
      </w:r>
    </w:p>
    <w:p w14:paraId="575CFEF8" w14:textId="24202DA4" w:rsidR="00740976" w:rsidRPr="00730C29" w:rsidRDefault="00740976" w:rsidP="00740976">
      <w:pPr>
        <w:spacing w:after="200"/>
        <w:rPr>
          <w:rFonts w:ascii="Lato" w:hAnsi="Lato"/>
          <w:szCs w:val="24"/>
        </w:rPr>
      </w:pPr>
      <w:r w:rsidRPr="00730C29">
        <w:rPr>
          <w:rFonts w:ascii="Lato" w:hAnsi="Lato"/>
          <w:szCs w:val="24"/>
        </w:rPr>
        <w:t xml:space="preserve">The following recommendations draw on the documents, strategies and reviews mentioned above, aswell as </w:t>
      </w:r>
      <w:r w:rsidR="00A7758A">
        <w:rPr>
          <w:rFonts w:ascii="Lato" w:hAnsi="Lato"/>
          <w:szCs w:val="24"/>
        </w:rPr>
        <w:t>Sightsavers’</w:t>
      </w:r>
      <w:r w:rsidR="00A7758A" w:rsidRPr="00730C29">
        <w:rPr>
          <w:rFonts w:ascii="Lato" w:hAnsi="Lato"/>
          <w:szCs w:val="24"/>
        </w:rPr>
        <w:t xml:space="preserve"> </w:t>
      </w:r>
      <w:r w:rsidRPr="00730C29">
        <w:rPr>
          <w:rFonts w:ascii="Lato" w:hAnsi="Lato"/>
          <w:szCs w:val="24"/>
        </w:rPr>
        <w:t>experience of interacting with a number of bilateral and multilateral donors on disability inclusion. Donors should ensure tha</w:t>
      </w:r>
      <w:r w:rsidR="00730C29" w:rsidRPr="00730C29">
        <w:rPr>
          <w:rFonts w:ascii="Lato" w:hAnsi="Lato"/>
          <w:szCs w:val="24"/>
        </w:rPr>
        <w:t xml:space="preserve">t they: </w:t>
      </w:r>
    </w:p>
    <w:p w14:paraId="647E21B1" w14:textId="340A0EF4" w:rsidR="009A7353" w:rsidRPr="00730C29" w:rsidRDefault="00730C29" w:rsidP="009A7353">
      <w:pPr>
        <w:pStyle w:val="ListParagraph"/>
        <w:numPr>
          <w:ilvl w:val="0"/>
          <w:numId w:val="25"/>
        </w:numPr>
        <w:spacing w:after="200"/>
        <w:rPr>
          <w:rFonts w:ascii="Lato" w:hAnsi="Lato"/>
          <w:szCs w:val="24"/>
        </w:rPr>
      </w:pPr>
      <w:r w:rsidRPr="00730C29">
        <w:rPr>
          <w:rFonts w:ascii="Lato" w:hAnsi="Lato"/>
          <w:szCs w:val="24"/>
        </w:rPr>
        <w:t>H</w:t>
      </w:r>
      <w:r w:rsidR="00740976" w:rsidRPr="00730C29">
        <w:rPr>
          <w:rFonts w:ascii="Lato" w:hAnsi="Lato"/>
          <w:szCs w:val="24"/>
        </w:rPr>
        <w:t xml:space="preserve">ave </w:t>
      </w:r>
      <w:r w:rsidR="00AC5DF3" w:rsidRPr="00730C29">
        <w:rPr>
          <w:rFonts w:ascii="Lato" w:hAnsi="Lato"/>
          <w:szCs w:val="24"/>
        </w:rPr>
        <w:t>a clear or</w:t>
      </w:r>
      <w:r w:rsidR="009A7353" w:rsidRPr="00730C29">
        <w:rPr>
          <w:rFonts w:ascii="Lato" w:hAnsi="Lato"/>
          <w:szCs w:val="24"/>
        </w:rPr>
        <w:t>ganisational definition of disability-inclusive development</w:t>
      </w:r>
      <w:r w:rsidR="00740976" w:rsidRPr="00730C29">
        <w:rPr>
          <w:rFonts w:ascii="Lato" w:hAnsi="Lato"/>
          <w:szCs w:val="24"/>
        </w:rPr>
        <w:t xml:space="preserve">, </w:t>
      </w:r>
      <w:r w:rsidR="009A7353" w:rsidRPr="00730C29">
        <w:rPr>
          <w:rFonts w:ascii="Lato" w:hAnsi="Lato"/>
          <w:szCs w:val="24"/>
        </w:rPr>
        <w:t>communicated, and supported by internal guidance and information documents</w:t>
      </w:r>
      <w:r w:rsidR="00740976" w:rsidRPr="00730C29">
        <w:rPr>
          <w:rFonts w:ascii="Lato" w:hAnsi="Lato"/>
          <w:szCs w:val="24"/>
        </w:rPr>
        <w:t>;</w:t>
      </w:r>
    </w:p>
    <w:p w14:paraId="16C2EE9B" w14:textId="49DE51BB" w:rsidR="00730C29" w:rsidRPr="00730C29" w:rsidRDefault="00730C29" w:rsidP="009A7353">
      <w:pPr>
        <w:pStyle w:val="ListParagraph"/>
        <w:numPr>
          <w:ilvl w:val="0"/>
          <w:numId w:val="25"/>
        </w:numPr>
        <w:spacing w:after="200"/>
        <w:rPr>
          <w:rFonts w:ascii="Lato" w:hAnsi="Lato"/>
          <w:szCs w:val="24"/>
        </w:rPr>
      </w:pPr>
      <w:r w:rsidRPr="00730C29">
        <w:rPr>
          <w:rFonts w:ascii="Lato" w:hAnsi="Lato"/>
          <w:szCs w:val="24"/>
        </w:rPr>
        <w:t xml:space="preserve">Collect data on disability inclusion, including but not limited to, using the OECD DAC marker; </w:t>
      </w:r>
    </w:p>
    <w:p w14:paraId="70F24906" w14:textId="4E981CF9" w:rsidR="00730C29" w:rsidRDefault="00730C29" w:rsidP="009A7353">
      <w:pPr>
        <w:pStyle w:val="ListParagraph"/>
        <w:numPr>
          <w:ilvl w:val="0"/>
          <w:numId w:val="25"/>
        </w:numPr>
        <w:spacing w:after="200"/>
        <w:rPr>
          <w:rFonts w:ascii="Lato" w:hAnsi="Lato"/>
          <w:szCs w:val="24"/>
        </w:rPr>
      </w:pPr>
      <w:r w:rsidRPr="00730C29">
        <w:rPr>
          <w:rFonts w:ascii="Lato" w:hAnsi="Lato"/>
          <w:szCs w:val="24"/>
        </w:rPr>
        <w:lastRenderedPageBreak/>
        <w:t>Systematise disability inclusion by ensuring that it is including in internal processes;</w:t>
      </w:r>
      <w:r w:rsidRPr="00730C29">
        <w:rPr>
          <w:rStyle w:val="FootnoteReference"/>
          <w:rFonts w:ascii="Lato" w:hAnsi="Lato"/>
          <w:szCs w:val="24"/>
        </w:rPr>
        <w:footnoteReference w:id="17"/>
      </w:r>
    </w:p>
    <w:p w14:paraId="552A5F59" w14:textId="1AA9D297" w:rsidR="00730C29" w:rsidRPr="00730C29" w:rsidRDefault="00730C29" w:rsidP="00730C29">
      <w:pPr>
        <w:pStyle w:val="ListParagraph"/>
        <w:numPr>
          <w:ilvl w:val="0"/>
          <w:numId w:val="25"/>
        </w:numPr>
        <w:spacing w:after="200"/>
        <w:rPr>
          <w:rFonts w:ascii="Lato" w:hAnsi="Lato"/>
          <w:szCs w:val="24"/>
        </w:rPr>
      </w:pPr>
      <w:r w:rsidRPr="00730C29">
        <w:rPr>
          <w:rFonts w:ascii="Lato" w:hAnsi="Lato"/>
          <w:szCs w:val="24"/>
        </w:rPr>
        <w:t>Consider disability inclusion at all stages of a program</w:t>
      </w:r>
      <w:r w:rsidR="00A7758A">
        <w:rPr>
          <w:rFonts w:ascii="Lato" w:hAnsi="Lato"/>
          <w:szCs w:val="24"/>
        </w:rPr>
        <w:t>me</w:t>
      </w:r>
      <w:r w:rsidRPr="00730C29">
        <w:rPr>
          <w:rFonts w:ascii="Lato" w:hAnsi="Lato"/>
          <w:szCs w:val="24"/>
        </w:rPr>
        <w:t>’s development, implementation and assessment</w:t>
      </w:r>
      <w:r w:rsidRPr="00730C29">
        <w:rPr>
          <w:rStyle w:val="FootnoteReference"/>
          <w:rFonts w:ascii="Lato" w:hAnsi="Lato"/>
          <w:szCs w:val="24"/>
        </w:rPr>
        <w:footnoteReference w:id="18"/>
      </w:r>
      <w:r w:rsidRPr="00730C29">
        <w:rPr>
          <w:rFonts w:ascii="Lato" w:hAnsi="Lato"/>
          <w:szCs w:val="24"/>
        </w:rPr>
        <w:t>;</w:t>
      </w:r>
    </w:p>
    <w:p w14:paraId="3523B03B" w14:textId="522712E4" w:rsidR="00730C29" w:rsidRPr="00730C29" w:rsidRDefault="00730C29" w:rsidP="00730C29">
      <w:pPr>
        <w:pStyle w:val="ListParagraph"/>
        <w:numPr>
          <w:ilvl w:val="0"/>
          <w:numId w:val="25"/>
        </w:numPr>
        <w:spacing w:after="200"/>
        <w:rPr>
          <w:rFonts w:ascii="Lato" w:hAnsi="Lato"/>
          <w:szCs w:val="24"/>
        </w:rPr>
      </w:pPr>
      <w:r w:rsidRPr="00730C29">
        <w:rPr>
          <w:rFonts w:ascii="Lato" w:hAnsi="Lato"/>
          <w:szCs w:val="24"/>
        </w:rPr>
        <w:t xml:space="preserve">Ensure they are taking a twin track approach – </w:t>
      </w:r>
      <w:r>
        <w:rPr>
          <w:rFonts w:ascii="Lato" w:hAnsi="Lato"/>
          <w:szCs w:val="24"/>
        </w:rPr>
        <w:t>e</w:t>
      </w:r>
      <w:r w:rsidRPr="00730C29">
        <w:rPr>
          <w:rFonts w:ascii="Lato" w:hAnsi="Lato"/>
          <w:szCs w:val="24"/>
        </w:rPr>
        <w:t>nsuring that investments in disability specific programming are sufficient and that mainstreaming is resourced</w:t>
      </w:r>
      <w:r>
        <w:rPr>
          <w:rFonts w:ascii="Lato" w:hAnsi="Lato"/>
          <w:szCs w:val="24"/>
        </w:rPr>
        <w:t>;</w:t>
      </w:r>
    </w:p>
    <w:p w14:paraId="0B46B225" w14:textId="77777777" w:rsidR="00730C29" w:rsidRPr="00730C29" w:rsidRDefault="00730C29" w:rsidP="00730C29">
      <w:pPr>
        <w:pStyle w:val="ListParagraph"/>
        <w:numPr>
          <w:ilvl w:val="0"/>
          <w:numId w:val="25"/>
        </w:numPr>
        <w:spacing w:after="200"/>
        <w:rPr>
          <w:rFonts w:ascii="Lato" w:hAnsi="Lato"/>
          <w:szCs w:val="24"/>
        </w:rPr>
      </w:pPr>
      <w:r w:rsidRPr="00730C29">
        <w:rPr>
          <w:rFonts w:ascii="Lato" w:hAnsi="Lato"/>
          <w:szCs w:val="24"/>
        </w:rPr>
        <w:t>Place responsibility for disability-inclusion on all staff and not just the central disability team,</w:t>
      </w:r>
      <w:r w:rsidR="00740976" w:rsidRPr="00730C29">
        <w:rPr>
          <w:rFonts w:ascii="Lato" w:hAnsi="Lato"/>
          <w:szCs w:val="24"/>
        </w:rPr>
        <w:t xml:space="preserve"> and</w:t>
      </w:r>
      <w:r w:rsidRPr="00730C29">
        <w:rPr>
          <w:rFonts w:ascii="Lato" w:hAnsi="Lato"/>
          <w:szCs w:val="24"/>
        </w:rPr>
        <w:t xml:space="preserve"> ensure</w:t>
      </w:r>
      <w:r w:rsidR="00740976" w:rsidRPr="00730C29">
        <w:rPr>
          <w:rFonts w:ascii="Lato" w:hAnsi="Lato"/>
          <w:szCs w:val="24"/>
        </w:rPr>
        <w:t xml:space="preserve"> that staff can access guidance</w:t>
      </w:r>
      <w:r w:rsidRPr="00730C29">
        <w:rPr>
          <w:rFonts w:ascii="Lato" w:hAnsi="Lato"/>
          <w:szCs w:val="24"/>
        </w:rPr>
        <w:t xml:space="preserve"> and support;</w:t>
      </w:r>
      <w:r w:rsidR="00740976" w:rsidRPr="00730C29">
        <w:rPr>
          <w:rStyle w:val="FootnoteReference"/>
          <w:rFonts w:ascii="Lato" w:hAnsi="Lato"/>
          <w:szCs w:val="24"/>
        </w:rPr>
        <w:footnoteReference w:id="19"/>
      </w:r>
    </w:p>
    <w:p w14:paraId="7176AF70" w14:textId="0FE3D515" w:rsidR="00740976" w:rsidRPr="00730C29" w:rsidRDefault="00730C29" w:rsidP="00730C29">
      <w:pPr>
        <w:pStyle w:val="ListParagraph"/>
        <w:numPr>
          <w:ilvl w:val="0"/>
          <w:numId w:val="25"/>
        </w:numPr>
        <w:spacing w:after="200"/>
        <w:rPr>
          <w:rFonts w:ascii="Lato" w:hAnsi="Lato"/>
          <w:szCs w:val="24"/>
        </w:rPr>
      </w:pPr>
      <w:r w:rsidRPr="00730C29">
        <w:rPr>
          <w:rFonts w:ascii="Lato" w:hAnsi="Lato"/>
          <w:szCs w:val="24"/>
        </w:rPr>
        <w:t>P</w:t>
      </w:r>
      <w:r w:rsidR="00740976" w:rsidRPr="00730C29">
        <w:rPr>
          <w:rFonts w:ascii="Lato" w:hAnsi="Lato"/>
          <w:szCs w:val="24"/>
        </w:rPr>
        <w:t>ut in place a clear disability-inclusion strategy and ensure that its implementation is resourced</w:t>
      </w:r>
      <w:r w:rsidRPr="00730C29">
        <w:rPr>
          <w:rFonts w:ascii="Lato" w:hAnsi="Lato"/>
          <w:szCs w:val="24"/>
        </w:rPr>
        <w:t>;</w:t>
      </w:r>
    </w:p>
    <w:p w14:paraId="3F012C9C" w14:textId="09061849" w:rsidR="00740976" w:rsidRPr="00730C29" w:rsidRDefault="00730C29" w:rsidP="009A7353">
      <w:pPr>
        <w:pStyle w:val="ListParagraph"/>
        <w:numPr>
          <w:ilvl w:val="0"/>
          <w:numId w:val="25"/>
        </w:numPr>
        <w:spacing w:after="200"/>
        <w:rPr>
          <w:rFonts w:ascii="Lato" w:hAnsi="Lato"/>
          <w:szCs w:val="24"/>
        </w:rPr>
      </w:pPr>
      <w:r w:rsidRPr="00730C29">
        <w:rPr>
          <w:rFonts w:ascii="Lato" w:hAnsi="Lato"/>
          <w:szCs w:val="24"/>
        </w:rPr>
        <w:t xml:space="preserve">Evaluate strategies and approaches to </w:t>
      </w:r>
      <w:r w:rsidR="00740976" w:rsidRPr="00730C29">
        <w:rPr>
          <w:rFonts w:ascii="Lato" w:hAnsi="Lato"/>
          <w:szCs w:val="24"/>
        </w:rPr>
        <w:t>disability-inclusion</w:t>
      </w:r>
      <w:r w:rsidRPr="00730C29">
        <w:rPr>
          <w:rFonts w:ascii="Lato" w:hAnsi="Lato"/>
          <w:szCs w:val="24"/>
        </w:rPr>
        <w:t xml:space="preserve">, </w:t>
      </w:r>
      <w:r w:rsidR="00740976" w:rsidRPr="00730C29">
        <w:rPr>
          <w:rFonts w:ascii="Lato" w:hAnsi="Lato"/>
          <w:szCs w:val="24"/>
        </w:rPr>
        <w:t>this is especially crucial given that this area of work is relatively new;</w:t>
      </w:r>
    </w:p>
    <w:p w14:paraId="757ADA72" w14:textId="480196D7" w:rsidR="009A7353" w:rsidRPr="00730C29" w:rsidRDefault="00730C29" w:rsidP="00730C29">
      <w:pPr>
        <w:pStyle w:val="ListParagraph"/>
        <w:numPr>
          <w:ilvl w:val="0"/>
          <w:numId w:val="25"/>
        </w:numPr>
        <w:spacing w:after="200"/>
        <w:rPr>
          <w:rFonts w:ascii="Lato" w:hAnsi="Lato"/>
          <w:szCs w:val="24"/>
        </w:rPr>
      </w:pPr>
      <w:r w:rsidRPr="00730C29">
        <w:rPr>
          <w:rFonts w:ascii="Lato" w:hAnsi="Lato"/>
          <w:szCs w:val="24"/>
        </w:rPr>
        <w:t>I</w:t>
      </w:r>
      <w:r w:rsidR="009A7353" w:rsidRPr="00730C29">
        <w:rPr>
          <w:rFonts w:ascii="Lato" w:hAnsi="Lato"/>
          <w:szCs w:val="24"/>
        </w:rPr>
        <w:t>ntroduce a process to ensure country offices take ownership</w:t>
      </w:r>
      <w:r w:rsidRPr="00730C29">
        <w:rPr>
          <w:rFonts w:ascii="Lato" w:hAnsi="Lato"/>
          <w:szCs w:val="24"/>
        </w:rPr>
        <w:t xml:space="preserve"> and are able to push forward the agenda; </w:t>
      </w:r>
    </w:p>
    <w:p w14:paraId="00048D67" w14:textId="2A22ABCE" w:rsidR="00730C29" w:rsidRDefault="00730C29" w:rsidP="00730C29">
      <w:pPr>
        <w:pStyle w:val="ListParagraph"/>
        <w:numPr>
          <w:ilvl w:val="0"/>
          <w:numId w:val="25"/>
        </w:numPr>
        <w:spacing w:after="200"/>
        <w:rPr>
          <w:rFonts w:ascii="Lato" w:hAnsi="Lato"/>
          <w:szCs w:val="24"/>
        </w:rPr>
      </w:pPr>
      <w:r w:rsidRPr="00730C29">
        <w:rPr>
          <w:rFonts w:ascii="Lato" w:hAnsi="Lato"/>
          <w:szCs w:val="24"/>
        </w:rPr>
        <w:t>Build on political leadership, and ensure that political will is used to systematically embed disability inclusion</w:t>
      </w:r>
      <w:r w:rsidR="0002779F">
        <w:rPr>
          <w:rFonts w:ascii="Lato" w:hAnsi="Lato"/>
          <w:szCs w:val="24"/>
        </w:rPr>
        <w:t>;</w:t>
      </w:r>
    </w:p>
    <w:p w14:paraId="0F25CA7E" w14:textId="5F8A287B" w:rsidR="0002779F" w:rsidRPr="00730C29" w:rsidRDefault="0002779F" w:rsidP="00730C29">
      <w:pPr>
        <w:pStyle w:val="ListParagraph"/>
        <w:numPr>
          <w:ilvl w:val="0"/>
          <w:numId w:val="25"/>
        </w:numPr>
        <w:spacing w:after="200"/>
        <w:rPr>
          <w:rFonts w:ascii="Lato" w:hAnsi="Lato"/>
          <w:szCs w:val="24"/>
        </w:rPr>
      </w:pPr>
      <w:r>
        <w:rPr>
          <w:rFonts w:ascii="Lato" w:hAnsi="Lato"/>
          <w:szCs w:val="24"/>
        </w:rPr>
        <w:t xml:space="preserve">Ensure that approaches </w:t>
      </w:r>
      <w:r w:rsidR="008C3980">
        <w:rPr>
          <w:rFonts w:ascii="Lato" w:hAnsi="Lato"/>
          <w:szCs w:val="24"/>
        </w:rPr>
        <w:t>consider</w:t>
      </w:r>
      <w:r>
        <w:rPr>
          <w:rFonts w:ascii="Lato" w:hAnsi="Lato"/>
          <w:szCs w:val="24"/>
        </w:rPr>
        <w:t xml:space="preserve"> the intersecting inequalities that people with disabilities experience and make specific efforts to reach those who are most marginalised. </w:t>
      </w:r>
    </w:p>
    <w:p w14:paraId="17EF06CD" w14:textId="5F8082D4" w:rsidR="00A5103E" w:rsidRDefault="00A5103E" w:rsidP="00A5103E">
      <w:pPr>
        <w:spacing w:after="200"/>
        <w:rPr>
          <w:rFonts w:ascii="Lato" w:hAnsi="Lato"/>
          <w:sz w:val="22"/>
        </w:rPr>
      </w:pPr>
    </w:p>
    <w:p w14:paraId="6027DC73" w14:textId="00EC7C5D" w:rsidR="00A5103E" w:rsidRDefault="00A5103E" w:rsidP="00A5103E">
      <w:pPr>
        <w:spacing w:after="200"/>
        <w:rPr>
          <w:rFonts w:ascii="Lato" w:hAnsi="Lato"/>
          <w:sz w:val="22"/>
        </w:rPr>
      </w:pPr>
      <w:r w:rsidRPr="0002779F">
        <w:rPr>
          <w:rFonts w:ascii="Lato" w:hAnsi="Lato"/>
          <w:szCs w:val="24"/>
        </w:rPr>
        <w:t xml:space="preserve">This submission was written by Hannah Loryman, </w:t>
      </w:r>
      <w:r w:rsidR="0084599A">
        <w:rPr>
          <w:rFonts w:ascii="Lato" w:hAnsi="Lato"/>
          <w:szCs w:val="24"/>
        </w:rPr>
        <w:t>Policy Adviser – Social Inclusion and Education. F</w:t>
      </w:r>
      <w:r w:rsidRPr="0002779F">
        <w:rPr>
          <w:rFonts w:ascii="Lato" w:hAnsi="Lato"/>
          <w:szCs w:val="24"/>
        </w:rPr>
        <w:t xml:space="preserve">or further information please contact </w:t>
      </w:r>
      <w:hyperlink r:id="rId9" w:history="1">
        <w:r w:rsidRPr="0002779F">
          <w:rPr>
            <w:rStyle w:val="Hyperlink"/>
            <w:rFonts w:ascii="Lato" w:hAnsi="Lato"/>
            <w:szCs w:val="24"/>
          </w:rPr>
          <w:t>hloryman@sightsavers.org</w:t>
        </w:r>
      </w:hyperlink>
      <w:r>
        <w:rPr>
          <w:rFonts w:ascii="Lato" w:hAnsi="Lato"/>
          <w:sz w:val="22"/>
        </w:rPr>
        <w:t xml:space="preserve"> </w:t>
      </w:r>
    </w:p>
    <w:sectPr w:rsidR="00A5103E" w:rsidSect="00B4003B">
      <w:footerReference w:type="default" r:id="rId10"/>
      <w:pgSz w:w="11906" w:h="16838" w:code="9"/>
      <w:pgMar w:top="1134" w:right="680" w:bottom="1701"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15470" w16cex:dateUtc="2020-04-15T08:37:00Z"/>
  <w16cex:commentExtensible w16cex:durableId="224154FA" w16cex:dateUtc="2020-04-15T08:40:00Z"/>
  <w16cex:commentExtensible w16cex:durableId="22415588" w16cex:dateUtc="2020-04-15T08:42:00Z"/>
  <w16cex:commentExtensible w16cex:durableId="2241569D" w16cex:dateUtc="2020-04-15T08:47:00Z"/>
  <w16cex:commentExtensible w16cex:durableId="224156D7" w16cex:dateUtc="2020-04-15T08:48:00Z"/>
  <w16cex:commentExtensible w16cex:durableId="22415BF7" w16cex:dateUtc="2020-04-15T09:09:00Z"/>
  <w16cex:commentExtensible w16cex:durableId="22415C59" w16cex:dateUtc="2020-04-15T09:11:00Z"/>
  <w16cex:commentExtensible w16cex:durableId="22415EED" w16cex:dateUtc="2020-04-15T09:22:00Z"/>
  <w16cex:commentExtensible w16cex:durableId="22415F9E" w16cex:dateUtc="2020-04-15T09:25:00Z"/>
  <w16cex:commentExtensible w16cex:durableId="22415FF2" w16cex:dateUtc="2020-04-15T09:26:00Z"/>
  <w16cex:commentExtensible w16cex:durableId="2241602F" w16cex:dateUtc="2020-04-15T09:27:00Z"/>
  <w16cex:commentExtensible w16cex:durableId="2241607E" w16cex:dateUtc="2020-04-15T09:29:00Z"/>
  <w16cex:commentExtensible w16cex:durableId="2241610C" w16cex:dateUtc="2020-04-15T09:31:00Z"/>
  <w16cex:commentExtensible w16cex:durableId="22416199" w16cex:dateUtc="2020-04-15T09:34:00Z"/>
  <w16cex:commentExtensible w16cex:durableId="22416276" w16cex:dateUtc="2020-04-15T09:37:00Z"/>
  <w16cex:commentExtensible w16cex:durableId="224162D8" w16cex:dateUtc="2020-04-15T09:39:00Z"/>
  <w16cex:commentExtensible w16cex:durableId="2241631C" w16cex:dateUtc="2020-04-15T09:40:00Z"/>
  <w16cex:commentExtensible w16cex:durableId="224163F4" w16cex:dateUtc="2020-04-15T09:44:00Z"/>
  <w16cex:commentExtensible w16cex:durableId="2241641D" w16cex:dateUtc="2020-04-15T09:44:00Z"/>
  <w16cex:commentExtensible w16cex:durableId="22416565" w16cex:dateUtc="2020-04-15T09:50:00Z"/>
  <w16cex:commentExtensible w16cex:durableId="224165AB" w16cex:dateUtc="2020-04-15T09: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823D0" w14:textId="77777777" w:rsidR="0015314E" w:rsidRDefault="0015314E" w:rsidP="004D189A">
      <w:pPr>
        <w:spacing w:after="0" w:line="240" w:lineRule="auto"/>
      </w:pPr>
      <w:r>
        <w:separator/>
      </w:r>
    </w:p>
  </w:endnote>
  <w:endnote w:type="continuationSeparator" w:id="0">
    <w:p w14:paraId="0F86552B" w14:textId="77777777" w:rsidR="0015314E" w:rsidRDefault="0015314E" w:rsidP="004D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Medium">
    <w:altName w:val="Raleway Medium"/>
    <w:panose1 w:val="00000000000000000000"/>
    <w:charset w:val="00"/>
    <w:family w:val="swiss"/>
    <w:notTrueType/>
    <w:pitch w:val="default"/>
    <w:sig w:usb0="00000003" w:usb1="00000000" w:usb2="00000000" w:usb3="00000000" w:csb0="00000001" w:csb1="00000000"/>
  </w:font>
  <w:font w:name="Lato">
    <w:altName w:val="Calibr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6FD6" w14:textId="5ACD28B9" w:rsidR="008C3980" w:rsidRPr="00AF03AB" w:rsidRDefault="008C3980">
    <w:pPr>
      <w:pStyle w:val="Footer"/>
      <w:rPr>
        <w:rFonts w:ascii="Lato" w:hAnsi="Lato"/>
      </w:rPr>
    </w:pPr>
    <w:r w:rsidRPr="00AF03AB">
      <w:rPr>
        <w:rFonts w:ascii="Lato" w:hAnsi="Lato"/>
        <w:noProof/>
        <w:lang w:eastAsia="en-GB"/>
      </w:rPr>
      <w:drawing>
        <wp:anchor distT="0" distB="0" distL="114300" distR="114300" simplePos="0" relativeHeight="251666432" behindDoc="1" locked="0" layoutInCell="1" allowOverlap="1" wp14:anchorId="259E1F62" wp14:editId="3E26C1CD">
          <wp:simplePos x="0" y="0"/>
          <wp:positionH relativeFrom="column">
            <wp:posOffset>5280231</wp:posOffset>
          </wp:positionH>
          <wp:positionV relativeFrom="paragraph">
            <wp:posOffset>-115846</wp:posOffset>
          </wp:positionV>
          <wp:extent cx="1403985" cy="340525"/>
          <wp:effectExtent l="0" t="0" r="571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Z_RY_TK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340525"/>
                  </a:xfrm>
                  <a:prstGeom prst="rect">
                    <a:avLst/>
                  </a:prstGeom>
                </pic:spPr>
              </pic:pic>
            </a:graphicData>
          </a:graphic>
          <wp14:sizeRelH relativeFrom="page">
            <wp14:pctWidth>0</wp14:pctWidth>
          </wp14:sizeRelH>
          <wp14:sizeRelV relativeFrom="page">
            <wp14:pctHeight>0</wp14:pctHeight>
          </wp14:sizeRelV>
        </wp:anchor>
      </w:drawing>
    </w:r>
    <w:r w:rsidRPr="00AF03AB">
      <w:rPr>
        <w:rFonts w:ascii="Lato" w:hAnsi="Lato"/>
      </w:rPr>
      <w:fldChar w:fldCharType="begin"/>
    </w:r>
    <w:r w:rsidRPr="00AF03AB">
      <w:rPr>
        <w:rFonts w:ascii="Lato" w:hAnsi="Lato"/>
      </w:rPr>
      <w:instrText xml:space="preserve"> PAGE   \* MERGEFORMAT </w:instrText>
    </w:r>
    <w:r w:rsidRPr="00AF03AB">
      <w:rPr>
        <w:rFonts w:ascii="Lato" w:hAnsi="Lato"/>
      </w:rPr>
      <w:fldChar w:fldCharType="separate"/>
    </w:r>
    <w:r>
      <w:rPr>
        <w:rFonts w:ascii="Lato" w:hAnsi="Lato"/>
        <w:noProof/>
      </w:rPr>
      <w:t>1</w:t>
    </w:r>
    <w:r w:rsidRPr="00AF03AB">
      <w:rPr>
        <w:rFonts w:ascii="Lato" w:hAnsi="Lato"/>
        <w:noProof/>
      </w:rPr>
      <w:fldChar w:fldCharType="end"/>
    </w:r>
    <w:r w:rsidRPr="00AF03AB">
      <w:rPr>
        <w:rFonts w:ascii="Lato" w:hAnsi="Lato"/>
        <w:noProof/>
        <w:lang w:eastAsia="en-GB"/>
      </w:rPr>
      <mc:AlternateContent>
        <mc:Choice Requires="wps">
          <w:drawing>
            <wp:anchor distT="0" distB="0" distL="114300" distR="114300" simplePos="0" relativeHeight="251656192" behindDoc="0" locked="0" layoutInCell="1" allowOverlap="1" wp14:anchorId="6FE5AF16" wp14:editId="597AC21F">
              <wp:simplePos x="0" y="0"/>
              <wp:positionH relativeFrom="page">
                <wp:posOffset>0</wp:posOffset>
              </wp:positionH>
              <wp:positionV relativeFrom="page">
                <wp:posOffset>9792970</wp:posOffset>
              </wp:positionV>
              <wp:extent cx="7560000" cy="0"/>
              <wp:effectExtent l="0" t="19050" r="3175" b="19050"/>
              <wp:wrapNone/>
              <wp:docPr id="35" name="Straight Connector 35"/>
              <wp:cNvGraphicFramePr/>
              <a:graphic xmlns:a="http://schemas.openxmlformats.org/drawingml/2006/main">
                <a:graphicData uri="http://schemas.microsoft.com/office/word/2010/wordprocessingShape">
                  <wps:wsp>
                    <wps:cNvCnPr/>
                    <wps:spPr>
                      <a:xfrm>
                        <a:off x="0" y="0"/>
                        <a:ext cx="7560000"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6E6D148B" id="Straight Connector 35"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" strokecolor="#ffb513 [3044]" strokeweight="2.25pt">
              <v:stroke dashstyle="1 1"/>
              <w10:wrap anchorx="page" anchory="page"/>
            </v:line>
          </w:pict>
        </mc:Fallback>
      </mc:AlternateContent>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AAEE0" w14:textId="77777777" w:rsidR="0015314E" w:rsidRDefault="0015314E" w:rsidP="004D189A">
      <w:pPr>
        <w:spacing w:after="0" w:line="240" w:lineRule="auto"/>
      </w:pPr>
      <w:r>
        <w:separator/>
      </w:r>
    </w:p>
  </w:footnote>
  <w:footnote w:type="continuationSeparator" w:id="0">
    <w:p w14:paraId="6E558789" w14:textId="77777777" w:rsidR="0015314E" w:rsidRDefault="0015314E" w:rsidP="004D189A">
      <w:pPr>
        <w:spacing w:after="0" w:line="240" w:lineRule="auto"/>
      </w:pPr>
      <w:r>
        <w:continuationSeparator/>
      </w:r>
    </w:p>
  </w:footnote>
  <w:footnote w:id="1">
    <w:p w14:paraId="4046E7FC" w14:textId="739141BF" w:rsidR="008C3980" w:rsidRPr="0002779F" w:rsidRDefault="008C3980">
      <w:pPr>
        <w:pStyle w:val="FootnoteText"/>
        <w:rPr>
          <w:rFonts w:ascii="Lato" w:hAnsi="Lato"/>
        </w:rPr>
      </w:pPr>
      <w:r w:rsidRPr="0002779F">
        <w:rPr>
          <w:rStyle w:val="FootnoteReference"/>
          <w:rFonts w:ascii="Lato" w:hAnsi="Lato"/>
        </w:rPr>
        <w:footnoteRef/>
      </w:r>
      <w:r w:rsidRPr="0002779F">
        <w:rPr>
          <w:rFonts w:ascii="Lato" w:hAnsi="Lato"/>
        </w:rPr>
        <w:t xml:space="preserve"> CRPD Committee, </w:t>
      </w:r>
      <w:hyperlink r:id="rId1" w:history="1">
        <w:r w:rsidRPr="008C3980">
          <w:rPr>
            <w:rStyle w:val="Hyperlink"/>
            <w:rFonts w:ascii="Lato" w:hAnsi="Lato"/>
          </w:rPr>
          <w:t>Concluding observations</w:t>
        </w:r>
      </w:hyperlink>
      <w:r>
        <w:rPr>
          <w:rFonts w:ascii="Lato" w:hAnsi="Lato"/>
        </w:rPr>
        <w:t xml:space="preserve">. </w:t>
      </w:r>
    </w:p>
  </w:footnote>
  <w:footnote w:id="2">
    <w:p w14:paraId="72646A05" w14:textId="06AFF998" w:rsidR="008C3980" w:rsidRDefault="008C3980">
      <w:pPr>
        <w:pStyle w:val="FootnoteText"/>
      </w:pPr>
      <w:r>
        <w:rPr>
          <w:rStyle w:val="FootnoteReference"/>
        </w:rPr>
        <w:footnoteRef/>
      </w:r>
      <w:r>
        <w:t xml:space="preserve"> </w:t>
      </w:r>
      <w:r w:rsidR="00660F98">
        <w:t xml:space="preserve">OECD DAC, </w:t>
      </w:r>
      <w:hyperlink r:id="rId2" w:history="1">
        <w:r w:rsidRPr="008C3980">
          <w:rPr>
            <w:rStyle w:val="Hyperlink"/>
          </w:rPr>
          <w:t>Disability marker</w:t>
        </w:r>
      </w:hyperlink>
      <w:r>
        <w:t xml:space="preserve"> </w:t>
      </w:r>
    </w:p>
  </w:footnote>
  <w:footnote w:id="3">
    <w:p w14:paraId="25D83774" w14:textId="77777777" w:rsidR="009C7E88" w:rsidRPr="00EB1AAA" w:rsidRDefault="009C7E88" w:rsidP="009C7E88">
      <w:pPr>
        <w:pStyle w:val="FootnoteText"/>
        <w:rPr>
          <w:rFonts w:ascii="Lato" w:hAnsi="Lato"/>
          <w:szCs w:val="16"/>
        </w:rPr>
      </w:pPr>
      <w:r w:rsidRPr="0002779F">
        <w:rPr>
          <w:rStyle w:val="FootnoteReference"/>
          <w:rFonts w:ascii="Lato" w:hAnsi="Lato"/>
        </w:rPr>
        <w:footnoteRef/>
      </w:r>
      <w:r w:rsidRPr="0002779F">
        <w:rPr>
          <w:rFonts w:ascii="Lato" w:hAnsi="Lato"/>
        </w:rPr>
        <w:t xml:space="preserve"> </w:t>
      </w:r>
      <w:r w:rsidRPr="0002779F">
        <w:rPr>
          <w:rFonts w:ascii="Lato" w:hAnsi="Lato"/>
          <w:szCs w:val="16"/>
        </w:rPr>
        <w:t>The data used is from the OECD DAC’s CRS database. The data is self-reported data by donors on a commitment basis. This is 2018 data, the latest available data. The analysis omits donors’ administrative costs.</w:t>
      </w:r>
      <w:r>
        <w:rPr>
          <w:rFonts w:ascii="Lato" w:hAnsi="Lato"/>
          <w:szCs w:val="16"/>
        </w:rPr>
        <w:t xml:space="preserve"> The data only includes bilateral allocatable aid, and therefore does not cover all ODA. We can share the data and analysis in more detail if that would be helpful. </w:t>
      </w:r>
      <w:r w:rsidRPr="0002779F">
        <w:rPr>
          <w:rFonts w:ascii="Lato" w:hAnsi="Lato"/>
          <w:szCs w:val="16"/>
        </w:rPr>
        <w:t xml:space="preserve"> </w:t>
      </w:r>
    </w:p>
  </w:footnote>
  <w:footnote w:id="4">
    <w:p w14:paraId="2529E233" w14:textId="25F5E334" w:rsidR="008C3980" w:rsidRPr="00502374" w:rsidRDefault="008C3980">
      <w:pPr>
        <w:pStyle w:val="FootnoteText"/>
        <w:rPr>
          <w:rFonts w:ascii="Lato" w:hAnsi="Lato"/>
        </w:rPr>
      </w:pPr>
      <w:r w:rsidRPr="00502374">
        <w:rPr>
          <w:rStyle w:val="FootnoteReference"/>
          <w:rFonts w:ascii="Lato" w:hAnsi="Lato"/>
        </w:rPr>
        <w:footnoteRef/>
      </w:r>
      <w:r w:rsidRPr="00502374">
        <w:rPr>
          <w:rFonts w:ascii="Lato" w:hAnsi="Lato"/>
        </w:rPr>
        <w:t xml:space="preserve"> We would be happy to share further analysis on the use of the marker if helpful to support the development of the report </w:t>
      </w:r>
    </w:p>
  </w:footnote>
  <w:footnote w:id="5">
    <w:p w14:paraId="23F061CE" w14:textId="77777777" w:rsidR="008C3980" w:rsidRPr="00502374" w:rsidRDefault="008C3980" w:rsidP="009A7353">
      <w:pPr>
        <w:pStyle w:val="FootnoteText"/>
        <w:rPr>
          <w:rFonts w:ascii="Lato" w:hAnsi="Lato"/>
          <w:sz w:val="22"/>
          <w:szCs w:val="22"/>
        </w:rPr>
      </w:pPr>
      <w:r w:rsidRPr="00502374">
        <w:rPr>
          <w:rStyle w:val="FootnoteReference"/>
          <w:rFonts w:ascii="Lato" w:hAnsi="Lato"/>
        </w:rPr>
        <w:footnoteRef/>
      </w:r>
      <w:r w:rsidRPr="00502374">
        <w:rPr>
          <w:rFonts w:ascii="Lato" w:hAnsi="Lato"/>
        </w:rPr>
        <w:t xml:space="preserve"> ‘Disability inclusive’ is defined as programmes either marked as 1 or 2 </w:t>
      </w:r>
    </w:p>
  </w:footnote>
  <w:footnote w:id="6">
    <w:p w14:paraId="3661D550" w14:textId="736EC61B" w:rsidR="008C3980" w:rsidRDefault="008C3980">
      <w:pPr>
        <w:pStyle w:val="FootnoteText"/>
      </w:pPr>
      <w:r w:rsidRPr="00502374">
        <w:rPr>
          <w:rStyle w:val="FootnoteReference"/>
          <w:rFonts w:ascii="Lato" w:hAnsi="Lato"/>
        </w:rPr>
        <w:footnoteRef/>
      </w:r>
      <w:r w:rsidRPr="00502374">
        <w:rPr>
          <w:rFonts w:ascii="Lato" w:hAnsi="Lato"/>
        </w:rPr>
        <w:t xml:space="preserve"> In some cases, donor’s DAC data is not demonstrating the same commitment to disability-inclusion as their own data. For example, the DAC data shows a low number of disability inclusive programmes for Australia. However, their evaluation of ‘Development for All’ sets out that:  40 per cent of all aid investments were reported to be disability inclusive. Larger-value investments are more likely to be disability inclusive so assessing disability inclusion using the percentage of investments rated disability inclusive underestimates the overall level of inclusion. For about 60 per cent of the aid program’s expenditure, more than half of investments are disability inclusive.</w:t>
      </w:r>
    </w:p>
  </w:footnote>
  <w:footnote w:id="7">
    <w:p w14:paraId="52F34F47" w14:textId="24931733" w:rsidR="008C3980" w:rsidRDefault="008C3980" w:rsidP="006F463F">
      <w:pPr>
        <w:pStyle w:val="FootnoteText"/>
      </w:pPr>
      <w:r>
        <w:rPr>
          <w:rStyle w:val="FootnoteReference"/>
        </w:rPr>
        <w:footnoteRef/>
      </w:r>
      <w:r>
        <w:t xml:space="preserve"> Given that Germany was a clear leader in disability-inclusive cooperation it is disappointing to see that they have not adopted the disability marker and have rolled back on previous commitments to use the marker in their latest strategy: </w:t>
      </w:r>
      <w:hyperlink r:id="rId3" w:history="1">
        <w:r w:rsidRPr="00875303">
          <w:rPr>
            <w:rStyle w:val="Hyperlink"/>
          </w:rPr>
          <w:t>www.bmz.de/de/mediathek/publikationen/reihen/strategiepapiere/Strategiepapier495_12_2019.pdf</w:t>
        </w:r>
      </w:hyperlink>
      <w:r>
        <w:t xml:space="preserve">    </w:t>
      </w:r>
    </w:p>
  </w:footnote>
  <w:footnote w:id="8">
    <w:p w14:paraId="6C5376FD" w14:textId="50951ECE" w:rsidR="009C7E88" w:rsidRDefault="009C7E88">
      <w:pPr>
        <w:pStyle w:val="FootnoteText"/>
      </w:pPr>
      <w:r>
        <w:rPr>
          <w:rStyle w:val="FootnoteReference"/>
        </w:rPr>
        <w:footnoteRef/>
      </w:r>
      <w:r>
        <w:t xml:space="preserve"> </w:t>
      </w:r>
      <w:r w:rsidR="00653E60">
        <w:t xml:space="preserve">DFID, 2015, </w:t>
      </w:r>
      <w:hyperlink r:id="rId4" w:history="1">
        <w:r w:rsidR="00653E60" w:rsidRPr="00653E60">
          <w:rPr>
            <w:rStyle w:val="Hyperlink"/>
          </w:rPr>
          <w:t>DFID Disability Framework</w:t>
        </w:r>
      </w:hyperlink>
      <w:r w:rsidR="005624C3">
        <w:t xml:space="preserve">. </w:t>
      </w:r>
    </w:p>
  </w:footnote>
  <w:footnote w:id="9">
    <w:p w14:paraId="1A6DB111" w14:textId="30EBA009" w:rsidR="008C3980" w:rsidRDefault="008C3980">
      <w:pPr>
        <w:pStyle w:val="FootnoteText"/>
      </w:pPr>
      <w:r>
        <w:rPr>
          <w:rStyle w:val="FootnoteReference"/>
        </w:rPr>
        <w:footnoteRef/>
      </w:r>
      <w:r>
        <w:t xml:space="preserve"> </w:t>
      </w:r>
      <w:r w:rsidR="00653E60">
        <w:t>DFID, 2016,</w:t>
      </w:r>
      <w:r>
        <w:t xml:space="preserve"> </w:t>
      </w:r>
      <w:hyperlink r:id="rId5" w:history="1">
        <w:r w:rsidR="005624C3" w:rsidRPr="005624C3">
          <w:rPr>
            <w:rStyle w:val="Hyperlink"/>
          </w:rPr>
          <w:t>Rising to the challenge of ending poverty: the Bilateral Development Review</w:t>
        </w:r>
      </w:hyperlink>
      <w:r w:rsidR="005624C3">
        <w:t xml:space="preserve">. </w:t>
      </w:r>
    </w:p>
  </w:footnote>
  <w:footnote w:id="10">
    <w:p w14:paraId="4F6867F7" w14:textId="5A922DF4" w:rsidR="008C3980" w:rsidRDefault="008C3980">
      <w:pPr>
        <w:pStyle w:val="FootnoteText"/>
      </w:pPr>
      <w:r>
        <w:rPr>
          <w:rStyle w:val="FootnoteReference"/>
        </w:rPr>
        <w:footnoteRef/>
      </w:r>
      <w:r>
        <w:t xml:space="preserve"> DFID, 2018, </w:t>
      </w:r>
      <w:hyperlink r:id="rId6" w:history="1">
        <w:r w:rsidRPr="005624C3">
          <w:rPr>
            <w:rStyle w:val="Hyperlink"/>
          </w:rPr>
          <w:t>Strategy for Disability Inclusive Development</w:t>
        </w:r>
      </w:hyperlink>
      <w:r w:rsidR="005624C3">
        <w:t xml:space="preserve">. </w:t>
      </w:r>
    </w:p>
  </w:footnote>
  <w:footnote w:id="11">
    <w:p w14:paraId="02000A12" w14:textId="06618585" w:rsidR="008C3980" w:rsidRPr="005F71FA" w:rsidRDefault="008C3980" w:rsidP="009A7353">
      <w:pPr>
        <w:pStyle w:val="FootnoteText"/>
      </w:pPr>
      <w:r w:rsidRPr="005F71FA">
        <w:rPr>
          <w:rStyle w:val="FootnoteReference"/>
        </w:rPr>
        <w:footnoteRef/>
      </w:r>
      <w:r w:rsidRPr="005F71FA">
        <w:t xml:space="preserve"> NORAD, 2012. </w:t>
      </w:r>
      <w:hyperlink r:id="rId7" w:history="1">
        <w:r w:rsidRPr="005624C3">
          <w:rPr>
            <w:rStyle w:val="Hyperlink"/>
          </w:rPr>
          <w:t>Evaluation of Norwegian support to promote the rights of persons with disabilities</w:t>
        </w:r>
      </w:hyperlink>
      <w:r w:rsidRPr="005F71FA">
        <w:t>. Page 85</w:t>
      </w:r>
    </w:p>
  </w:footnote>
  <w:footnote w:id="12">
    <w:p w14:paraId="7803D5C2" w14:textId="6E3B1267" w:rsidR="008C3980" w:rsidRDefault="008C3980">
      <w:pPr>
        <w:pStyle w:val="FootnoteText"/>
      </w:pPr>
      <w:r>
        <w:rPr>
          <w:rStyle w:val="FootnoteReference"/>
        </w:rPr>
        <w:footnoteRef/>
      </w:r>
      <w:r>
        <w:t xml:space="preserve"> DFID, 2019, </w:t>
      </w:r>
      <w:hyperlink r:id="rId8" w:history="1">
        <w:r w:rsidRPr="008C3980">
          <w:rPr>
            <w:rStyle w:val="Hyperlink"/>
          </w:rPr>
          <w:t>Written evidence to the CRPD committee</w:t>
        </w:r>
      </w:hyperlink>
      <w:r>
        <w:t xml:space="preserve">. </w:t>
      </w:r>
    </w:p>
  </w:footnote>
  <w:footnote w:id="13">
    <w:p w14:paraId="7BC43D7C" w14:textId="55527139" w:rsidR="009C7E88" w:rsidRDefault="009C7E88">
      <w:pPr>
        <w:pStyle w:val="FootnoteText"/>
      </w:pPr>
      <w:r>
        <w:rPr>
          <w:rStyle w:val="FootnoteReference"/>
        </w:rPr>
        <w:footnoteRef/>
      </w:r>
      <w:r>
        <w:t xml:space="preserve"> </w:t>
      </w:r>
      <w:r w:rsidR="005624C3">
        <w:t xml:space="preserve">DFID, 2018, </w:t>
      </w:r>
      <w:hyperlink r:id="rId9" w:history="1">
        <w:r w:rsidR="005624C3" w:rsidRPr="005624C3">
          <w:rPr>
            <w:rStyle w:val="Hyperlink"/>
          </w:rPr>
          <w:t>Minimum Standards</w:t>
        </w:r>
      </w:hyperlink>
      <w:r w:rsidR="005624C3">
        <w:t xml:space="preserve">. </w:t>
      </w:r>
    </w:p>
  </w:footnote>
  <w:footnote w:id="14">
    <w:p w14:paraId="7B872FB3" w14:textId="203EB5F2" w:rsidR="005624C3" w:rsidRDefault="005624C3">
      <w:pPr>
        <w:pStyle w:val="FootnoteText"/>
      </w:pPr>
      <w:r>
        <w:rPr>
          <w:rStyle w:val="FootnoteReference"/>
        </w:rPr>
        <w:footnoteRef/>
      </w:r>
      <w:r>
        <w:t xml:space="preserve"> </w:t>
      </w:r>
      <w:r>
        <w:t xml:space="preserve">ICAI, 2018, </w:t>
      </w:r>
      <w:hyperlink r:id="rId10" w:history="1">
        <w:r w:rsidRPr="005624C3">
          <w:rPr>
            <w:rStyle w:val="Hyperlink"/>
          </w:rPr>
          <w:t>DFID’s approach to disability in Development</w:t>
        </w:r>
      </w:hyperlink>
      <w:r>
        <w:t>.</w:t>
      </w:r>
      <w:r>
        <w:t xml:space="preserve"> A </w:t>
      </w:r>
      <w:hyperlink r:id="rId11" w:history="1">
        <w:r w:rsidRPr="005624C3">
          <w:rPr>
            <w:rStyle w:val="Hyperlink"/>
          </w:rPr>
          <w:t>parliamentary review</w:t>
        </w:r>
      </w:hyperlink>
      <w:r>
        <w:t xml:space="preserve"> was also conducted in 2019 and the </w:t>
      </w:r>
      <w:hyperlink r:id="rId12" w:history="1">
        <w:r w:rsidRPr="005624C3">
          <w:rPr>
            <w:rStyle w:val="Hyperlink"/>
          </w:rPr>
          <w:t>Government’s response</w:t>
        </w:r>
      </w:hyperlink>
      <w:r>
        <w:t xml:space="preserve"> is also available. </w:t>
      </w:r>
    </w:p>
  </w:footnote>
  <w:footnote w:id="15">
    <w:p w14:paraId="779A9E2A" w14:textId="2FBD59DD" w:rsidR="008C3980" w:rsidRDefault="008C3980">
      <w:pPr>
        <w:pStyle w:val="FootnoteText"/>
      </w:pPr>
      <w:r>
        <w:rPr>
          <w:rStyle w:val="FootnoteReference"/>
        </w:rPr>
        <w:footnoteRef/>
      </w:r>
      <w:r>
        <w:t xml:space="preserve"> Sightsavers, 2019, </w:t>
      </w:r>
      <w:hyperlink r:id="rId13" w:history="1">
        <w:r w:rsidRPr="005624C3">
          <w:rPr>
            <w:rStyle w:val="Hyperlink"/>
          </w:rPr>
          <w:t>Sightsavers’ evidence to the International Development Select Committee inquiry on DFID’s work on Disability</w:t>
        </w:r>
      </w:hyperlink>
      <w:r w:rsidR="005624C3">
        <w:t xml:space="preserve">. </w:t>
      </w:r>
    </w:p>
  </w:footnote>
  <w:footnote w:id="16">
    <w:p w14:paraId="3FC5E446" w14:textId="287ABADD" w:rsidR="008C3980" w:rsidRDefault="008C3980">
      <w:pPr>
        <w:pStyle w:val="FootnoteText"/>
      </w:pPr>
      <w:r>
        <w:rPr>
          <w:rStyle w:val="FootnoteReference"/>
        </w:rPr>
        <w:footnoteRef/>
      </w:r>
      <w:r>
        <w:t xml:space="preserve"> It is worth noting that since the review was written DFID have finalised its largest disability-specific programme to date, the Disability Inclusive Development programme, which is working across multiple sectors. This is a significant programme and is a significant step-up from previous programmes. However, given the scale of DFID’s work this is still relatively modest. </w:t>
      </w:r>
    </w:p>
  </w:footnote>
  <w:footnote w:id="17">
    <w:p w14:paraId="1DF75627" w14:textId="69B1C5FE" w:rsidR="008C3980" w:rsidRDefault="008C3980">
      <w:pPr>
        <w:pStyle w:val="FootnoteText"/>
      </w:pPr>
      <w:r>
        <w:rPr>
          <w:rStyle w:val="FootnoteReference"/>
        </w:rPr>
        <w:footnoteRef/>
      </w:r>
      <w:r>
        <w:t xml:space="preserve"> Good examples include: the inclusion of disability in DFID’s Business Case template, Finland’s Quality Assurance Board that regularity checks all financing proposals against the human rights-based approach criteria, </w:t>
      </w:r>
    </w:p>
  </w:footnote>
  <w:footnote w:id="18">
    <w:p w14:paraId="6073B4CB" w14:textId="1B6CF968" w:rsidR="008C3980" w:rsidRDefault="008C3980">
      <w:pPr>
        <w:pStyle w:val="FootnoteText"/>
      </w:pPr>
      <w:r>
        <w:rPr>
          <w:rStyle w:val="FootnoteReference"/>
        </w:rPr>
        <w:footnoteRef/>
      </w:r>
      <w:r>
        <w:t xml:space="preserve"> This is crucial, as we have seen that while DFID has made significant improvements in including disability in Business Cases this does not always follow through into other programme documents. </w:t>
      </w:r>
    </w:p>
  </w:footnote>
  <w:footnote w:id="19">
    <w:p w14:paraId="674F4AA2" w14:textId="2267D075" w:rsidR="008C3980" w:rsidRDefault="008C3980">
      <w:pPr>
        <w:pStyle w:val="FootnoteText"/>
      </w:pPr>
      <w:r>
        <w:rPr>
          <w:rStyle w:val="FootnoteReference"/>
        </w:rPr>
        <w:footnoteRef/>
      </w:r>
      <w:r>
        <w:t xml:space="preserve"> DFID’s Disability Helpdesk is a good example of this.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D4044F4"/>
    <w:lvl w:ilvl="0">
      <w:start w:val="1"/>
      <w:numFmt w:val="bullet"/>
      <w:pStyle w:val="ListBullet"/>
      <w:lvlText w:val="·"/>
      <w:lvlJc w:val="left"/>
      <w:pPr>
        <w:ind w:left="360" w:hanging="360"/>
      </w:pPr>
      <w:rPr>
        <w:rFonts w:ascii="Symbol" w:hAnsi="Symbol" w:hint="default"/>
        <w:color w:val="960051"/>
      </w:rPr>
    </w:lvl>
  </w:abstractNum>
  <w:abstractNum w:abstractNumId="1" w15:restartNumberingAfterBreak="0">
    <w:nsid w:val="084571FA"/>
    <w:multiLevelType w:val="hybridMultilevel"/>
    <w:tmpl w:val="44EA38AE"/>
    <w:lvl w:ilvl="0" w:tplc="D9A886DC">
      <w:start w:val="1"/>
      <w:numFmt w:val="bullet"/>
      <w:lvlText w:val=""/>
      <w:lvlJc w:val="left"/>
      <w:pPr>
        <w:ind w:left="720" w:hanging="360"/>
      </w:pPr>
      <w:rPr>
        <w:rFonts w:ascii="Symbol" w:hAnsi="Symbol" w:hint="default"/>
        <w:color w:val="821D23"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97402"/>
    <w:multiLevelType w:val="hybridMultilevel"/>
    <w:tmpl w:val="A962ACC6"/>
    <w:lvl w:ilvl="0" w:tplc="A1443350">
      <w:start w:val="1"/>
      <w:numFmt w:val="bullet"/>
      <w:pStyle w:val="Casestudybullet"/>
      <w:lvlText w:val="·"/>
      <w:lvlJc w:val="left"/>
      <w:pPr>
        <w:ind w:left="720" w:hanging="360"/>
      </w:pPr>
      <w:rPr>
        <w:rFonts w:ascii="Symbol" w:hAnsi="Symbol" w:hint="default"/>
        <w:color w:val="9600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E7B1F"/>
    <w:multiLevelType w:val="hybridMultilevel"/>
    <w:tmpl w:val="2EC6B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986FE6"/>
    <w:multiLevelType w:val="hybridMultilevel"/>
    <w:tmpl w:val="4EA4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7091"/>
    <w:multiLevelType w:val="hybridMultilevel"/>
    <w:tmpl w:val="656AFF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482B6C"/>
    <w:multiLevelType w:val="hybridMultilevel"/>
    <w:tmpl w:val="0AE6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97ECD"/>
    <w:multiLevelType w:val="hybridMultilevel"/>
    <w:tmpl w:val="B49E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A288F"/>
    <w:multiLevelType w:val="hybridMultilevel"/>
    <w:tmpl w:val="7680A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0677F1"/>
    <w:multiLevelType w:val="hybridMultilevel"/>
    <w:tmpl w:val="422E4F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B114BA"/>
    <w:multiLevelType w:val="hybridMultilevel"/>
    <w:tmpl w:val="A766A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A5968"/>
    <w:multiLevelType w:val="hybridMultilevel"/>
    <w:tmpl w:val="75CCA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D86FB0"/>
    <w:multiLevelType w:val="hybridMultilevel"/>
    <w:tmpl w:val="2696A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FB0C49"/>
    <w:multiLevelType w:val="hybridMultilevel"/>
    <w:tmpl w:val="F9AE1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592151"/>
    <w:multiLevelType w:val="hybridMultilevel"/>
    <w:tmpl w:val="B0A0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B7BF2"/>
    <w:multiLevelType w:val="hybridMultilevel"/>
    <w:tmpl w:val="9046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E6DEF"/>
    <w:multiLevelType w:val="hybridMultilevel"/>
    <w:tmpl w:val="5EBE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90A9A"/>
    <w:multiLevelType w:val="hybridMultilevel"/>
    <w:tmpl w:val="BFC44626"/>
    <w:lvl w:ilvl="0" w:tplc="ED5ECF48">
      <w:start w:val="1"/>
      <w:numFmt w:val="bullet"/>
      <w:pStyle w:val="Bullet2"/>
      <w:lvlText w:val="–"/>
      <w:lvlJc w:val="left"/>
      <w:pPr>
        <w:ind w:left="890" w:hanging="360"/>
      </w:pPr>
      <w:rPr>
        <w:rFonts w:ascii="Georgia" w:hAnsi="Georgia"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5DFB1E66"/>
    <w:multiLevelType w:val="hybridMultilevel"/>
    <w:tmpl w:val="ABA8E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043D2"/>
    <w:multiLevelType w:val="hybridMultilevel"/>
    <w:tmpl w:val="C826D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D172A6"/>
    <w:multiLevelType w:val="hybridMultilevel"/>
    <w:tmpl w:val="1BA6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B5291E"/>
    <w:multiLevelType w:val="hybridMultilevel"/>
    <w:tmpl w:val="0A664CA8"/>
    <w:lvl w:ilvl="0" w:tplc="D2FA5F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C46365"/>
    <w:multiLevelType w:val="hybridMultilevel"/>
    <w:tmpl w:val="F176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14712"/>
    <w:multiLevelType w:val="hybridMultilevel"/>
    <w:tmpl w:val="807A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0C688C"/>
    <w:multiLevelType w:val="hybridMultilevel"/>
    <w:tmpl w:val="3E721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BC35FB"/>
    <w:multiLevelType w:val="hybridMultilevel"/>
    <w:tmpl w:val="FE8CFE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7"/>
  </w:num>
  <w:num w:numId="3">
    <w:abstractNumId w:val="2"/>
  </w:num>
  <w:num w:numId="4">
    <w:abstractNumId w:val="9"/>
  </w:num>
  <w:num w:numId="5">
    <w:abstractNumId w:val="3"/>
  </w:num>
  <w:num w:numId="6">
    <w:abstractNumId w:val="5"/>
  </w:num>
  <w:num w:numId="7">
    <w:abstractNumId w:val="12"/>
  </w:num>
  <w:num w:numId="8">
    <w:abstractNumId w:val="11"/>
  </w:num>
  <w:num w:numId="9">
    <w:abstractNumId w:val="8"/>
  </w:num>
  <w:num w:numId="10">
    <w:abstractNumId w:val="24"/>
  </w:num>
  <w:num w:numId="11">
    <w:abstractNumId w:val="13"/>
  </w:num>
  <w:num w:numId="12">
    <w:abstractNumId w:val="10"/>
  </w:num>
  <w:num w:numId="13">
    <w:abstractNumId w:val="25"/>
  </w:num>
  <w:num w:numId="14">
    <w:abstractNumId w:val="16"/>
  </w:num>
  <w:num w:numId="15">
    <w:abstractNumId w:val="22"/>
  </w:num>
  <w:num w:numId="16">
    <w:abstractNumId w:val="21"/>
  </w:num>
  <w:num w:numId="17">
    <w:abstractNumId w:val="19"/>
  </w:num>
  <w:num w:numId="18">
    <w:abstractNumId w:val="7"/>
  </w:num>
  <w:num w:numId="19">
    <w:abstractNumId w:val="14"/>
  </w:num>
  <w:num w:numId="20">
    <w:abstractNumId w:val="4"/>
  </w:num>
  <w:num w:numId="21">
    <w:abstractNumId w:val="15"/>
  </w:num>
  <w:num w:numId="22">
    <w:abstractNumId w:val="23"/>
  </w:num>
  <w:num w:numId="23">
    <w:abstractNumId w:val="6"/>
  </w:num>
  <w:num w:numId="24">
    <w:abstractNumId w:val="20"/>
  </w:num>
  <w:num w:numId="25">
    <w:abstractNumId w:val="18"/>
  </w:num>
  <w:num w:numId="2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DC"/>
    <w:rsid w:val="000033C7"/>
    <w:rsid w:val="00014423"/>
    <w:rsid w:val="00017E97"/>
    <w:rsid w:val="00020B8C"/>
    <w:rsid w:val="00022CA7"/>
    <w:rsid w:val="0002381C"/>
    <w:rsid w:val="0002779F"/>
    <w:rsid w:val="0003087D"/>
    <w:rsid w:val="000315F5"/>
    <w:rsid w:val="00032D08"/>
    <w:rsid w:val="0004194B"/>
    <w:rsid w:val="00041B68"/>
    <w:rsid w:val="00044AC7"/>
    <w:rsid w:val="00045B32"/>
    <w:rsid w:val="00047300"/>
    <w:rsid w:val="00054D72"/>
    <w:rsid w:val="00056148"/>
    <w:rsid w:val="00056BEC"/>
    <w:rsid w:val="0006161D"/>
    <w:rsid w:val="00067822"/>
    <w:rsid w:val="000708D3"/>
    <w:rsid w:val="0007199D"/>
    <w:rsid w:val="000732BC"/>
    <w:rsid w:val="00073790"/>
    <w:rsid w:val="0007593E"/>
    <w:rsid w:val="00077BAE"/>
    <w:rsid w:val="00080A9A"/>
    <w:rsid w:val="00080AF3"/>
    <w:rsid w:val="00081BCD"/>
    <w:rsid w:val="00082C9F"/>
    <w:rsid w:val="0009072E"/>
    <w:rsid w:val="000942C2"/>
    <w:rsid w:val="0009592E"/>
    <w:rsid w:val="00096DE3"/>
    <w:rsid w:val="000A0794"/>
    <w:rsid w:val="000A0FE5"/>
    <w:rsid w:val="000A28D9"/>
    <w:rsid w:val="000A3D4B"/>
    <w:rsid w:val="000A533A"/>
    <w:rsid w:val="000B0E96"/>
    <w:rsid w:val="000B47FF"/>
    <w:rsid w:val="000B4DCA"/>
    <w:rsid w:val="000B5153"/>
    <w:rsid w:val="000B6D66"/>
    <w:rsid w:val="000B7574"/>
    <w:rsid w:val="000C5A3E"/>
    <w:rsid w:val="000C5BCC"/>
    <w:rsid w:val="000C76F8"/>
    <w:rsid w:val="000D15BC"/>
    <w:rsid w:val="000D7E05"/>
    <w:rsid w:val="000E0336"/>
    <w:rsid w:val="000E0E55"/>
    <w:rsid w:val="000E1859"/>
    <w:rsid w:val="000E1D8A"/>
    <w:rsid w:val="000E425C"/>
    <w:rsid w:val="000E4BDB"/>
    <w:rsid w:val="000E7365"/>
    <w:rsid w:val="000F13C0"/>
    <w:rsid w:val="000F4305"/>
    <w:rsid w:val="00102102"/>
    <w:rsid w:val="00102AF7"/>
    <w:rsid w:val="00105B86"/>
    <w:rsid w:val="001107E9"/>
    <w:rsid w:val="001126DB"/>
    <w:rsid w:val="00113CA5"/>
    <w:rsid w:val="00114040"/>
    <w:rsid w:val="0012248C"/>
    <w:rsid w:val="00123A46"/>
    <w:rsid w:val="00124D93"/>
    <w:rsid w:val="001255E9"/>
    <w:rsid w:val="00125B64"/>
    <w:rsid w:val="00126EB4"/>
    <w:rsid w:val="0013528A"/>
    <w:rsid w:val="00135B17"/>
    <w:rsid w:val="00137136"/>
    <w:rsid w:val="00141DCB"/>
    <w:rsid w:val="00143D2F"/>
    <w:rsid w:val="00147025"/>
    <w:rsid w:val="00150086"/>
    <w:rsid w:val="0015314E"/>
    <w:rsid w:val="00155402"/>
    <w:rsid w:val="00161868"/>
    <w:rsid w:val="00162810"/>
    <w:rsid w:val="0016331C"/>
    <w:rsid w:val="00170ED3"/>
    <w:rsid w:val="0017274D"/>
    <w:rsid w:val="00177181"/>
    <w:rsid w:val="00177A89"/>
    <w:rsid w:val="001834B0"/>
    <w:rsid w:val="001921FD"/>
    <w:rsid w:val="00192554"/>
    <w:rsid w:val="001A036D"/>
    <w:rsid w:val="001A120A"/>
    <w:rsid w:val="001A1E10"/>
    <w:rsid w:val="001A30F3"/>
    <w:rsid w:val="001A4244"/>
    <w:rsid w:val="001A679F"/>
    <w:rsid w:val="001A6ECA"/>
    <w:rsid w:val="001B4690"/>
    <w:rsid w:val="001B68D7"/>
    <w:rsid w:val="001B7DCE"/>
    <w:rsid w:val="001C0FA5"/>
    <w:rsid w:val="001C5CF1"/>
    <w:rsid w:val="001C778E"/>
    <w:rsid w:val="001D0DB3"/>
    <w:rsid w:val="001D1B66"/>
    <w:rsid w:val="001D371D"/>
    <w:rsid w:val="001E1314"/>
    <w:rsid w:val="001E2F77"/>
    <w:rsid w:val="001E781E"/>
    <w:rsid w:val="001F0283"/>
    <w:rsid w:val="001F40EE"/>
    <w:rsid w:val="001F61F2"/>
    <w:rsid w:val="001F7982"/>
    <w:rsid w:val="001F799B"/>
    <w:rsid w:val="00204850"/>
    <w:rsid w:val="00207EDC"/>
    <w:rsid w:val="00212863"/>
    <w:rsid w:val="00212CDA"/>
    <w:rsid w:val="00214101"/>
    <w:rsid w:val="00215375"/>
    <w:rsid w:val="002156D4"/>
    <w:rsid w:val="00216ADF"/>
    <w:rsid w:val="00217BB6"/>
    <w:rsid w:val="00220835"/>
    <w:rsid w:val="00223219"/>
    <w:rsid w:val="00233BB4"/>
    <w:rsid w:val="00237C05"/>
    <w:rsid w:val="00241613"/>
    <w:rsid w:val="002438A3"/>
    <w:rsid w:val="002464AE"/>
    <w:rsid w:val="00247A48"/>
    <w:rsid w:val="00250842"/>
    <w:rsid w:val="00253883"/>
    <w:rsid w:val="002541DA"/>
    <w:rsid w:val="0025678D"/>
    <w:rsid w:val="00256B27"/>
    <w:rsid w:val="00265FC5"/>
    <w:rsid w:val="002672B1"/>
    <w:rsid w:val="00267FF4"/>
    <w:rsid w:val="00271415"/>
    <w:rsid w:val="002717BB"/>
    <w:rsid w:val="002723B1"/>
    <w:rsid w:val="002726D3"/>
    <w:rsid w:val="002754EE"/>
    <w:rsid w:val="00277129"/>
    <w:rsid w:val="00281675"/>
    <w:rsid w:val="00290E45"/>
    <w:rsid w:val="00291AE6"/>
    <w:rsid w:val="00296711"/>
    <w:rsid w:val="002A27AD"/>
    <w:rsid w:val="002A2804"/>
    <w:rsid w:val="002A2D92"/>
    <w:rsid w:val="002A51C9"/>
    <w:rsid w:val="002B44DD"/>
    <w:rsid w:val="002B4EA7"/>
    <w:rsid w:val="002C66B3"/>
    <w:rsid w:val="002D005E"/>
    <w:rsid w:val="002D1EC9"/>
    <w:rsid w:val="002D313E"/>
    <w:rsid w:val="002D4209"/>
    <w:rsid w:val="002D4BCD"/>
    <w:rsid w:val="002D643A"/>
    <w:rsid w:val="002D79B1"/>
    <w:rsid w:val="002E1B86"/>
    <w:rsid w:val="002E2231"/>
    <w:rsid w:val="002E39B7"/>
    <w:rsid w:val="002E50BB"/>
    <w:rsid w:val="002E7552"/>
    <w:rsid w:val="002F034A"/>
    <w:rsid w:val="002F22E7"/>
    <w:rsid w:val="00304081"/>
    <w:rsid w:val="0030450B"/>
    <w:rsid w:val="003055D0"/>
    <w:rsid w:val="00316F7A"/>
    <w:rsid w:val="0032071C"/>
    <w:rsid w:val="00321BA5"/>
    <w:rsid w:val="00321C9E"/>
    <w:rsid w:val="00321EB0"/>
    <w:rsid w:val="00323BF6"/>
    <w:rsid w:val="003256E5"/>
    <w:rsid w:val="0033020A"/>
    <w:rsid w:val="00332072"/>
    <w:rsid w:val="00332AC2"/>
    <w:rsid w:val="00333950"/>
    <w:rsid w:val="00333BA9"/>
    <w:rsid w:val="003358F8"/>
    <w:rsid w:val="003410B8"/>
    <w:rsid w:val="003435FD"/>
    <w:rsid w:val="0034476D"/>
    <w:rsid w:val="00344BF4"/>
    <w:rsid w:val="003466B6"/>
    <w:rsid w:val="00350DBB"/>
    <w:rsid w:val="00353525"/>
    <w:rsid w:val="00354223"/>
    <w:rsid w:val="00354A9B"/>
    <w:rsid w:val="00355296"/>
    <w:rsid w:val="00361303"/>
    <w:rsid w:val="0036425A"/>
    <w:rsid w:val="00364980"/>
    <w:rsid w:val="00366F7A"/>
    <w:rsid w:val="003710B4"/>
    <w:rsid w:val="00372200"/>
    <w:rsid w:val="00372B48"/>
    <w:rsid w:val="003737B2"/>
    <w:rsid w:val="00374FE1"/>
    <w:rsid w:val="003945EA"/>
    <w:rsid w:val="003946DF"/>
    <w:rsid w:val="00394CC2"/>
    <w:rsid w:val="00395E45"/>
    <w:rsid w:val="003960E1"/>
    <w:rsid w:val="00396C2D"/>
    <w:rsid w:val="0039774E"/>
    <w:rsid w:val="003A48A5"/>
    <w:rsid w:val="003A5440"/>
    <w:rsid w:val="003B1E01"/>
    <w:rsid w:val="003B26CC"/>
    <w:rsid w:val="003B46F5"/>
    <w:rsid w:val="003B48FD"/>
    <w:rsid w:val="003B54EF"/>
    <w:rsid w:val="003C3044"/>
    <w:rsid w:val="003C4999"/>
    <w:rsid w:val="003D0CA2"/>
    <w:rsid w:val="003D244C"/>
    <w:rsid w:val="003D46A9"/>
    <w:rsid w:val="003D788B"/>
    <w:rsid w:val="003E1790"/>
    <w:rsid w:val="003E2561"/>
    <w:rsid w:val="003E3166"/>
    <w:rsid w:val="003E51AD"/>
    <w:rsid w:val="003E7029"/>
    <w:rsid w:val="003F0C03"/>
    <w:rsid w:val="003F1BA0"/>
    <w:rsid w:val="003F1D38"/>
    <w:rsid w:val="003F45D2"/>
    <w:rsid w:val="003F6E18"/>
    <w:rsid w:val="00400191"/>
    <w:rsid w:val="004021B1"/>
    <w:rsid w:val="00403761"/>
    <w:rsid w:val="00407123"/>
    <w:rsid w:val="00407E15"/>
    <w:rsid w:val="004150BD"/>
    <w:rsid w:val="00417BCB"/>
    <w:rsid w:val="00421DD2"/>
    <w:rsid w:val="0043074A"/>
    <w:rsid w:val="004335F6"/>
    <w:rsid w:val="00433780"/>
    <w:rsid w:val="00434320"/>
    <w:rsid w:val="0043768A"/>
    <w:rsid w:val="00437F42"/>
    <w:rsid w:val="00440FE9"/>
    <w:rsid w:val="00441592"/>
    <w:rsid w:val="00441DE3"/>
    <w:rsid w:val="00447754"/>
    <w:rsid w:val="0045051D"/>
    <w:rsid w:val="004522CD"/>
    <w:rsid w:val="004524CC"/>
    <w:rsid w:val="00455847"/>
    <w:rsid w:val="00455C6D"/>
    <w:rsid w:val="004578DE"/>
    <w:rsid w:val="0046606F"/>
    <w:rsid w:val="004669B7"/>
    <w:rsid w:val="00472356"/>
    <w:rsid w:val="00472A09"/>
    <w:rsid w:val="0048050B"/>
    <w:rsid w:val="00482347"/>
    <w:rsid w:val="004874E7"/>
    <w:rsid w:val="0049091E"/>
    <w:rsid w:val="00492350"/>
    <w:rsid w:val="004930AD"/>
    <w:rsid w:val="00496F5F"/>
    <w:rsid w:val="00497CD9"/>
    <w:rsid w:val="004A3874"/>
    <w:rsid w:val="004A7D6B"/>
    <w:rsid w:val="004B04C6"/>
    <w:rsid w:val="004B0905"/>
    <w:rsid w:val="004B0FB4"/>
    <w:rsid w:val="004B2264"/>
    <w:rsid w:val="004B3BF5"/>
    <w:rsid w:val="004C443D"/>
    <w:rsid w:val="004D05ED"/>
    <w:rsid w:val="004D189A"/>
    <w:rsid w:val="004D243C"/>
    <w:rsid w:val="004D3801"/>
    <w:rsid w:val="004D463B"/>
    <w:rsid w:val="004D59D4"/>
    <w:rsid w:val="004D7D67"/>
    <w:rsid w:val="004E1A5E"/>
    <w:rsid w:val="004E1E37"/>
    <w:rsid w:val="004E25CF"/>
    <w:rsid w:val="004E4336"/>
    <w:rsid w:val="004E4B7F"/>
    <w:rsid w:val="004E4C71"/>
    <w:rsid w:val="004E5F97"/>
    <w:rsid w:val="004E683C"/>
    <w:rsid w:val="004E790D"/>
    <w:rsid w:val="004F1E19"/>
    <w:rsid w:val="004F4FB0"/>
    <w:rsid w:val="004F57B0"/>
    <w:rsid w:val="004F6F51"/>
    <w:rsid w:val="004F72C6"/>
    <w:rsid w:val="004F7BDB"/>
    <w:rsid w:val="00502374"/>
    <w:rsid w:val="00504E40"/>
    <w:rsid w:val="005064D8"/>
    <w:rsid w:val="0051324A"/>
    <w:rsid w:val="005136A5"/>
    <w:rsid w:val="00514134"/>
    <w:rsid w:val="005145F0"/>
    <w:rsid w:val="0052083D"/>
    <w:rsid w:val="005232B0"/>
    <w:rsid w:val="0052345E"/>
    <w:rsid w:val="00523D7C"/>
    <w:rsid w:val="00525055"/>
    <w:rsid w:val="005258B5"/>
    <w:rsid w:val="00527ABC"/>
    <w:rsid w:val="00534BBF"/>
    <w:rsid w:val="005352A4"/>
    <w:rsid w:val="00537E2B"/>
    <w:rsid w:val="00541833"/>
    <w:rsid w:val="00543674"/>
    <w:rsid w:val="0054577C"/>
    <w:rsid w:val="0055169E"/>
    <w:rsid w:val="00551D7C"/>
    <w:rsid w:val="005526B7"/>
    <w:rsid w:val="00555FEE"/>
    <w:rsid w:val="00557B1A"/>
    <w:rsid w:val="00557CB9"/>
    <w:rsid w:val="005600BE"/>
    <w:rsid w:val="005624C3"/>
    <w:rsid w:val="00562B6A"/>
    <w:rsid w:val="00563602"/>
    <w:rsid w:val="00566D8D"/>
    <w:rsid w:val="005756AB"/>
    <w:rsid w:val="005756EA"/>
    <w:rsid w:val="00584498"/>
    <w:rsid w:val="005851DF"/>
    <w:rsid w:val="00594A9D"/>
    <w:rsid w:val="005A158F"/>
    <w:rsid w:val="005A2CAB"/>
    <w:rsid w:val="005A566E"/>
    <w:rsid w:val="005A7DDD"/>
    <w:rsid w:val="005B75AD"/>
    <w:rsid w:val="005B796B"/>
    <w:rsid w:val="005C3170"/>
    <w:rsid w:val="005C50A4"/>
    <w:rsid w:val="005C52B4"/>
    <w:rsid w:val="005C598B"/>
    <w:rsid w:val="005D03B9"/>
    <w:rsid w:val="005D0803"/>
    <w:rsid w:val="005D2EEB"/>
    <w:rsid w:val="005D5547"/>
    <w:rsid w:val="005D653B"/>
    <w:rsid w:val="005D754B"/>
    <w:rsid w:val="005D799A"/>
    <w:rsid w:val="005E0623"/>
    <w:rsid w:val="005E1CD8"/>
    <w:rsid w:val="005E332B"/>
    <w:rsid w:val="005E6943"/>
    <w:rsid w:val="005E7029"/>
    <w:rsid w:val="005F0F1F"/>
    <w:rsid w:val="005F48C2"/>
    <w:rsid w:val="0060267A"/>
    <w:rsid w:val="006149B0"/>
    <w:rsid w:val="00616524"/>
    <w:rsid w:val="006203DD"/>
    <w:rsid w:val="00625775"/>
    <w:rsid w:val="0063241F"/>
    <w:rsid w:val="00635390"/>
    <w:rsid w:val="006356ED"/>
    <w:rsid w:val="0063630C"/>
    <w:rsid w:val="00643E59"/>
    <w:rsid w:val="00651B98"/>
    <w:rsid w:val="00652522"/>
    <w:rsid w:val="00653E60"/>
    <w:rsid w:val="0065610E"/>
    <w:rsid w:val="00657288"/>
    <w:rsid w:val="00660F98"/>
    <w:rsid w:val="0066196E"/>
    <w:rsid w:val="006636D7"/>
    <w:rsid w:val="00665F34"/>
    <w:rsid w:val="00670077"/>
    <w:rsid w:val="00672B71"/>
    <w:rsid w:val="006746D8"/>
    <w:rsid w:val="00674CF3"/>
    <w:rsid w:val="006751A3"/>
    <w:rsid w:val="00681D22"/>
    <w:rsid w:val="006820EB"/>
    <w:rsid w:val="00687E27"/>
    <w:rsid w:val="00690C19"/>
    <w:rsid w:val="006937DC"/>
    <w:rsid w:val="00694858"/>
    <w:rsid w:val="006967D0"/>
    <w:rsid w:val="00697B47"/>
    <w:rsid w:val="006A0537"/>
    <w:rsid w:val="006A1021"/>
    <w:rsid w:val="006A1300"/>
    <w:rsid w:val="006A3149"/>
    <w:rsid w:val="006A413F"/>
    <w:rsid w:val="006A5B3C"/>
    <w:rsid w:val="006A6A6E"/>
    <w:rsid w:val="006A6E73"/>
    <w:rsid w:val="006B05AE"/>
    <w:rsid w:val="006B0D03"/>
    <w:rsid w:val="006B21DE"/>
    <w:rsid w:val="006B53C1"/>
    <w:rsid w:val="006B6C6A"/>
    <w:rsid w:val="006C02B2"/>
    <w:rsid w:val="006C02B6"/>
    <w:rsid w:val="006C5740"/>
    <w:rsid w:val="006C62DA"/>
    <w:rsid w:val="006C65AA"/>
    <w:rsid w:val="006C7F01"/>
    <w:rsid w:val="006D011B"/>
    <w:rsid w:val="006D1645"/>
    <w:rsid w:val="006D3DD8"/>
    <w:rsid w:val="006D4166"/>
    <w:rsid w:val="006D7A3A"/>
    <w:rsid w:val="006D7E18"/>
    <w:rsid w:val="006E176E"/>
    <w:rsid w:val="006E1EE2"/>
    <w:rsid w:val="006E773C"/>
    <w:rsid w:val="006F28DF"/>
    <w:rsid w:val="006F463F"/>
    <w:rsid w:val="00700F94"/>
    <w:rsid w:val="007036D0"/>
    <w:rsid w:val="00704075"/>
    <w:rsid w:val="00711129"/>
    <w:rsid w:val="00712C6C"/>
    <w:rsid w:val="00715AFC"/>
    <w:rsid w:val="00715E42"/>
    <w:rsid w:val="00717CD4"/>
    <w:rsid w:val="007244B3"/>
    <w:rsid w:val="007246F9"/>
    <w:rsid w:val="00724A05"/>
    <w:rsid w:val="00725A09"/>
    <w:rsid w:val="00730C29"/>
    <w:rsid w:val="0073443C"/>
    <w:rsid w:val="007353EE"/>
    <w:rsid w:val="00736B5C"/>
    <w:rsid w:val="00740976"/>
    <w:rsid w:val="007417CE"/>
    <w:rsid w:val="00744891"/>
    <w:rsid w:val="0074518D"/>
    <w:rsid w:val="007466C2"/>
    <w:rsid w:val="0075146D"/>
    <w:rsid w:val="00756100"/>
    <w:rsid w:val="00757CCD"/>
    <w:rsid w:val="00763916"/>
    <w:rsid w:val="00763AEC"/>
    <w:rsid w:val="007662B4"/>
    <w:rsid w:val="007672DB"/>
    <w:rsid w:val="00773705"/>
    <w:rsid w:val="00776ECA"/>
    <w:rsid w:val="007878CF"/>
    <w:rsid w:val="00790C82"/>
    <w:rsid w:val="00791115"/>
    <w:rsid w:val="00793472"/>
    <w:rsid w:val="007A02C3"/>
    <w:rsid w:val="007A1EEE"/>
    <w:rsid w:val="007B11FA"/>
    <w:rsid w:val="007B3B10"/>
    <w:rsid w:val="007B3DFD"/>
    <w:rsid w:val="007C1101"/>
    <w:rsid w:val="007C16A5"/>
    <w:rsid w:val="007C2BC6"/>
    <w:rsid w:val="007C2FA8"/>
    <w:rsid w:val="007C3A34"/>
    <w:rsid w:val="007C5865"/>
    <w:rsid w:val="007D3AF1"/>
    <w:rsid w:val="007D3B7F"/>
    <w:rsid w:val="007D4425"/>
    <w:rsid w:val="007D4909"/>
    <w:rsid w:val="007D5AE4"/>
    <w:rsid w:val="007E21C7"/>
    <w:rsid w:val="007E5B00"/>
    <w:rsid w:val="007E5B3F"/>
    <w:rsid w:val="007F563C"/>
    <w:rsid w:val="007F698E"/>
    <w:rsid w:val="007F6CD7"/>
    <w:rsid w:val="007F6F3C"/>
    <w:rsid w:val="00802210"/>
    <w:rsid w:val="008025F4"/>
    <w:rsid w:val="00807B77"/>
    <w:rsid w:val="00811C46"/>
    <w:rsid w:val="00813C35"/>
    <w:rsid w:val="0081404C"/>
    <w:rsid w:val="00814868"/>
    <w:rsid w:val="00816C24"/>
    <w:rsid w:val="00820E66"/>
    <w:rsid w:val="00822102"/>
    <w:rsid w:val="00822A2E"/>
    <w:rsid w:val="008235C9"/>
    <w:rsid w:val="00823B27"/>
    <w:rsid w:val="00824153"/>
    <w:rsid w:val="00826D96"/>
    <w:rsid w:val="00827AE8"/>
    <w:rsid w:val="0083177F"/>
    <w:rsid w:val="00831882"/>
    <w:rsid w:val="00831C8E"/>
    <w:rsid w:val="00834326"/>
    <w:rsid w:val="00835251"/>
    <w:rsid w:val="00836B6B"/>
    <w:rsid w:val="00837AE5"/>
    <w:rsid w:val="00844C34"/>
    <w:rsid w:val="0084599A"/>
    <w:rsid w:val="00845EE4"/>
    <w:rsid w:val="00846813"/>
    <w:rsid w:val="00847FE1"/>
    <w:rsid w:val="008549D3"/>
    <w:rsid w:val="00854E72"/>
    <w:rsid w:val="008601F7"/>
    <w:rsid w:val="00864BBA"/>
    <w:rsid w:val="00864DD0"/>
    <w:rsid w:val="00870869"/>
    <w:rsid w:val="00881DE9"/>
    <w:rsid w:val="00883FF1"/>
    <w:rsid w:val="0088639C"/>
    <w:rsid w:val="00886AD9"/>
    <w:rsid w:val="008910BB"/>
    <w:rsid w:val="008941FB"/>
    <w:rsid w:val="008A0755"/>
    <w:rsid w:val="008A52B7"/>
    <w:rsid w:val="008C1526"/>
    <w:rsid w:val="008C1876"/>
    <w:rsid w:val="008C199E"/>
    <w:rsid w:val="008C269E"/>
    <w:rsid w:val="008C369E"/>
    <w:rsid w:val="008C3980"/>
    <w:rsid w:val="008C3E5D"/>
    <w:rsid w:val="008C5749"/>
    <w:rsid w:val="008D017A"/>
    <w:rsid w:val="008D28A7"/>
    <w:rsid w:val="008D52D9"/>
    <w:rsid w:val="008E0D73"/>
    <w:rsid w:val="008F45EF"/>
    <w:rsid w:val="008F5637"/>
    <w:rsid w:val="009028E9"/>
    <w:rsid w:val="009039FD"/>
    <w:rsid w:val="00911441"/>
    <w:rsid w:val="00913582"/>
    <w:rsid w:val="00915C55"/>
    <w:rsid w:val="0091724D"/>
    <w:rsid w:val="00923BF7"/>
    <w:rsid w:val="00923DF5"/>
    <w:rsid w:val="00924478"/>
    <w:rsid w:val="00924C65"/>
    <w:rsid w:val="009256C3"/>
    <w:rsid w:val="00925A0B"/>
    <w:rsid w:val="0093367A"/>
    <w:rsid w:val="0093411B"/>
    <w:rsid w:val="00935C8E"/>
    <w:rsid w:val="009413D6"/>
    <w:rsid w:val="009465E8"/>
    <w:rsid w:val="00947979"/>
    <w:rsid w:val="00951F70"/>
    <w:rsid w:val="00953440"/>
    <w:rsid w:val="009535CC"/>
    <w:rsid w:val="00957508"/>
    <w:rsid w:val="009575FD"/>
    <w:rsid w:val="00961FDD"/>
    <w:rsid w:val="0096211F"/>
    <w:rsid w:val="00970353"/>
    <w:rsid w:val="00970BBC"/>
    <w:rsid w:val="00971FD3"/>
    <w:rsid w:val="00981E8B"/>
    <w:rsid w:val="00983D85"/>
    <w:rsid w:val="00984523"/>
    <w:rsid w:val="00987591"/>
    <w:rsid w:val="00994671"/>
    <w:rsid w:val="0099632F"/>
    <w:rsid w:val="0099697E"/>
    <w:rsid w:val="009A349C"/>
    <w:rsid w:val="009A3911"/>
    <w:rsid w:val="009A5690"/>
    <w:rsid w:val="009A56AD"/>
    <w:rsid w:val="009A652A"/>
    <w:rsid w:val="009A727A"/>
    <w:rsid w:val="009A7353"/>
    <w:rsid w:val="009B22A3"/>
    <w:rsid w:val="009B2AA2"/>
    <w:rsid w:val="009B3BA8"/>
    <w:rsid w:val="009B791B"/>
    <w:rsid w:val="009B7C0F"/>
    <w:rsid w:val="009C1E41"/>
    <w:rsid w:val="009C4223"/>
    <w:rsid w:val="009C4B8B"/>
    <w:rsid w:val="009C727D"/>
    <w:rsid w:val="009C7E88"/>
    <w:rsid w:val="009D0ECB"/>
    <w:rsid w:val="009D152F"/>
    <w:rsid w:val="009D2530"/>
    <w:rsid w:val="009E2271"/>
    <w:rsid w:val="009E402C"/>
    <w:rsid w:val="009E746E"/>
    <w:rsid w:val="009F2E56"/>
    <w:rsid w:val="009F5B39"/>
    <w:rsid w:val="009F7D6F"/>
    <w:rsid w:val="00A00759"/>
    <w:rsid w:val="00A01F38"/>
    <w:rsid w:val="00A02010"/>
    <w:rsid w:val="00A027BC"/>
    <w:rsid w:val="00A02E39"/>
    <w:rsid w:val="00A03AFF"/>
    <w:rsid w:val="00A047DD"/>
    <w:rsid w:val="00A04AF3"/>
    <w:rsid w:val="00A0773D"/>
    <w:rsid w:val="00A1080A"/>
    <w:rsid w:val="00A1252E"/>
    <w:rsid w:val="00A130E3"/>
    <w:rsid w:val="00A1651A"/>
    <w:rsid w:val="00A208BF"/>
    <w:rsid w:val="00A23061"/>
    <w:rsid w:val="00A24AD1"/>
    <w:rsid w:val="00A2516C"/>
    <w:rsid w:val="00A25A8A"/>
    <w:rsid w:val="00A32124"/>
    <w:rsid w:val="00A325DC"/>
    <w:rsid w:val="00A35018"/>
    <w:rsid w:val="00A35068"/>
    <w:rsid w:val="00A42419"/>
    <w:rsid w:val="00A42AA6"/>
    <w:rsid w:val="00A4346C"/>
    <w:rsid w:val="00A449C2"/>
    <w:rsid w:val="00A47045"/>
    <w:rsid w:val="00A5103E"/>
    <w:rsid w:val="00A51047"/>
    <w:rsid w:val="00A55BAB"/>
    <w:rsid w:val="00A612EB"/>
    <w:rsid w:val="00A624D7"/>
    <w:rsid w:val="00A6347E"/>
    <w:rsid w:val="00A64B56"/>
    <w:rsid w:val="00A65598"/>
    <w:rsid w:val="00A6635B"/>
    <w:rsid w:val="00A67526"/>
    <w:rsid w:val="00A67AE8"/>
    <w:rsid w:val="00A708E8"/>
    <w:rsid w:val="00A7263C"/>
    <w:rsid w:val="00A7277F"/>
    <w:rsid w:val="00A76FDE"/>
    <w:rsid w:val="00A7758A"/>
    <w:rsid w:val="00A8449E"/>
    <w:rsid w:val="00A850BA"/>
    <w:rsid w:val="00A85413"/>
    <w:rsid w:val="00A85498"/>
    <w:rsid w:val="00A97D23"/>
    <w:rsid w:val="00AA06DD"/>
    <w:rsid w:val="00AA532D"/>
    <w:rsid w:val="00AB100F"/>
    <w:rsid w:val="00AB3974"/>
    <w:rsid w:val="00AC0C17"/>
    <w:rsid w:val="00AC4BD1"/>
    <w:rsid w:val="00AC51B0"/>
    <w:rsid w:val="00AC5DF3"/>
    <w:rsid w:val="00AC6D11"/>
    <w:rsid w:val="00AD1155"/>
    <w:rsid w:val="00AD2D1C"/>
    <w:rsid w:val="00AD605A"/>
    <w:rsid w:val="00AE00B8"/>
    <w:rsid w:val="00AE0877"/>
    <w:rsid w:val="00AE1D59"/>
    <w:rsid w:val="00AE3BEF"/>
    <w:rsid w:val="00AE7154"/>
    <w:rsid w:val="00AF03AB"/>
    <w:rsid w:val="00AF1579"/>
    <w:rsid w:val="00AF34B9"/>
    <w:rsid w:val="00AF5F78"/>
    <w:rsid w:val="00B0433D"/>
    <w:rsid w:val="00B04832"/>
    <w:rsid w:val="00B04FB2"/>
    <w:rsid w:val="00B05436"/>
    <w:rsid w:val="00B079E7"/>
    <w:rsid w:val="00B10FAE"/>
    <w:rsid w:val="00B11C4A"/>
    <w:rsid w:val="00B12F07"/>
    <w:rsid w:val="00B16E39"/>
    <w:rsid w:val="00B208C9"/>
    <w:rsid w:val="00B20F0B"/>
    <w:rsid w:val="00B22796"/>
    <w:rsid w:val="00B22AF2"/>
    <w:rsid w:val="00B243E2"/>
    <w:rsid w:val="00B2479E"/>
    <w:rsid w:val="00B2634C"/>
    <w:rsid w:val="00B266FA"/>
    <w:rsid w:val="00B270E1"/>
    <w:rsid w:val="00B2798F"/>
    <w:rsid w:val="00B36B78"/>
    <w:rsid w:val="00B4003B"/>
    <w:rsid w:val="00B400C2"/>
    <w:rsid w:val="00B4037F"/>
    <w:rsid w:val="00B4400D"/>
    <w:rsid w:val="00B44861"/>
    <w:rsid w:val="00B46529"/>
    <w:rsid w:val="00B476BB"/>
    <w:rsid w:val="00B47F15"/>
    <w:rsid w:val="00B51F8A"/>
    <w:rsid w:val="00B52B3C"/>
    <w:rsid w:val="00B532B4"/>
    <w:rsid w:val="00B5556D"/>
    <w:rsid w:val="00B5610A"/>
    <w:rsid w:val="00B60204"/>
    <w:rsid w:val="00B62463"/>
    <w:rsid w:val="00B63281"/>
    <w:rsid w:val="00B637FA"/>
    <w:rsid w:val="00B63B50"/>
    <w:rsid w:val="00B65EA2"/>
    <w:rsid w:val="00B707E6"/>
    <w:rsid w:val="00B71912"/>
    <w:rsid w:val="00B726F2"/>
    <w:rsid w:val="00B72E97"/>
    <w:rsid w:val="00B746A9"/>
    <w:rsid w:val="00B75448"/>
    <w:rsid w:val="00B7762A"/>
    <w:rsid w:val="00B81638"/>
    <w:rsid w:val="00B82F64"/>
    <w:rsid w:val="00B842F8"/>
    <w:rsid w:val="00B919AD"/>
    <w:rsid w:val="00B973F8"/>
    <w:rsid w:val="00BA2171"/>
    <w:rsid w:val="00BA405F"/>
    <w:rsid w:val="00BA6D6E"/>
    <w:rsid w:val="00BB38D7"/>
    <w:rsid w:val="00BB4228"/>
    <w:rsid w:val="00BB7C17"/>
    <w:rsid w:val="00BC02D0"/>
    <w:rsid w:val="00BC0BF4"/>
    <w:rsid w:val="00BC3088"/>
    <w:rsid w:val="00BC4F0D"/>
    <w:rsid w:val="00BC77C3"/>
    <w:rsid w:val="00BD09F5"/>
    <w:rsid w:val="00BD1BF7"/>
    <w:rsid w:val="00BD79DD"/>
    <w:rsid w:val="00BE28D4"/>
    <w:rsid w:val="00BE65A6"/>
    <w:rsid w:val="00BF0B9F"/>
    <w:rsid w:val="00BF6147"/>
    <w:rsid w:val="00BF7295"/>
    <w:rsid w:val="00C01321"/>
    <w:rsid w:val="00C02C5F"/>
    <w:rsid w:val="00C0333A"/>
    <w:rsid w:val="00C038CA"/>
    <w:rsid w:val="00C03FF9"/>
    <w:rsid w:val="00C06350"/>
    <w:rsid w:val="00C07D9B"/>
    <w:rsid w:val="00C11057"/>
    <w:rsid w:val="00C129E0"/>
    <w:rsid w:val="00C20BEE"/>
    <w:rsid w:val="00C225C4"/>
    <w:rsid w:val="00C22E12"/>
    <w:rsid w:val="00C2532D"/>
    <w:rsid w:val="00C26BEE"/>
    <w:rsid w:val="00C26E32"/>
    <w:rsid w:val="00C27AC5"/>
    <w:rsid w:val="00C33329"/>
    <w:rsid w:val="00C33C9A"/>
    <w:rsid w:val="00C355E2"/>
    <w:rsid w:val="00C360D4"/>
    <w:rsid w:val="00C406C3"/>
    <w:rsid w:val="00C427B9"/>
    <w:rsid w:val="00C442A7"/>
    <w:rsid w:val="00C45416"/>
    <w:rsid w:val="00C60003"/>
    <w:rsid w:val="00C61BF0"/>
    <w:rsid w:val="00C628A2"/>
    <w:rsid w:val="00C63481"/>
    <w:rsid w:val="00C6454F"/>
    <w:rsid w:val="00C6483A"/>
    <w:rsid w:val="00C66A75"/>
    <w:rsid w:val="00C75228"/>
    <w:rsid w:val="00C76208"/>
    <w:rsid w:val="00C82036"/>
    <w:rsid w:val="00C825AB"/>
    <w:rsid w:val="00C83933"/>
    <w:rsid w:val="00C92791"/>
    <w:rsid w:val="00C9348D"/>
    <w:rsid w:val="00C96636"/>
    <w:rsid w:val="00CA04A6"/>
    <w:rsid w:val="00CA7BE9"/>
    <w:rsid w:val="00CB081F"/>
    <w:rsid w:val="00CB0C93"/>
    <w:rsid w:val="00CB1B18"/>
    <w:rsid w:val="00CB23CA"/>
    <w:rsid w:val="00CB33E7"/>
    <w:rsid w:val="00CC36F7"/>
    <w:rsid w:val="00CD18E5"/>
    <w:rsid w:val="00CD19C1"/>
    <w:rsid w:val="00CD1BC6"/>
    <w:rsid w:val="00CD4A1A"/>
    <w:rsid w:val="00CE1C06"/>
    <w:rsid w:val="00CE242F"/>
    <w:rsid w:val="00CE2941"/>
    <w:rsid w:val="00CE3379"/>
    <w:rsid w:val="00CE3994"/>
    <w:rsid w:val="00CE6786"/>
    <w:rsid w:val="00CE68DA"/>
    <w:rsid w:val="00CE7F68"/>
    <w:rsid w:val="00CF0C28"/>
    <w:rsid w:val="00CF1DDE"/>
    <w:rsid w:val="00CF46AA"/>
    <w:rsid w:val="00D11106"/>
    <w:rsid w:val="00D12204"/>
    <w:rsid w:val="00D1275E"/>
    <w:rsid w:val="00D15A84"/>
    <w:rsid w:val="00D176F8"/>
    <w:rsid w:val="00D20244"/>
    <w:rsid w:val="00D208DE"/>
    <w:rsid w:val="00D222DF"/>
    <w:rsid w:val="00D2547B"/>
    <w:rsid w:val="00D27E74"/>
    <w:rsid w:val="00D32F68"/>
    <w:rsid w:val="00D33219"/>
    <w:rsid w:val="00D35144"/>
    <w:rsid w:val="00D42200"/>
    <w:rsid w:val="00D425C9"/>
    <w:rsid w:val="00D42B52"/>
    <w:rsid w:val="00D44D7B"/>
    <w:rsid w:val="00D47865"/>
    <w:rsid w:val="00D47F42"/>
    <w:rsid w:val="00D50167"/>
    <w:rsid w:val="00D51C0B"/>
    <w:rsid w:val="00D52EF8"/>
    <w:rsid w:val="00D54B0B"/>
    <w:rsid w:val="00D607DA"/>
    <w:rsid w:val="00D61964"/>
    <w:rsid w:val="00D623AE"/>
    <w:rsid w:val="00D63A36"/>
    <w:rsid w:val="00D65A1D"/>
    <w:rsid w:val="00D66BBE"/>
    <w:rsid w:val="00D66D66"/>
    <w:rsid w:val="00D71A86"/>
    <w:rsid w:val="00D71B18"/>
    <w:rsid w:val="00D71E2C"/>
    <w:rsid w:val="00D761F0"/>
    <w:rsid w:val="00D76522"/>
    <w:rsid w:val="00D80818"/>
    <w:rsid w:val="00D853A2"/>
    <w:rsid w:val="00D8721F"/>
    <w:rsid w:val="00D908D5"/>
    <w:rsid w:val="00D922B9"/>
    <w:rsid w:val="00D92BEB"/>
    <w:rsid w:val="00D93B3C"/>
    <w:rsid w:val="00DA15AB"/>
    <w:rsid w:val="00DA4139"/>
    <w:rsid w:val="00DA5123"/>
    <w:rsid w:val="00DA5D31"/>
    <w:rsid w:val="00DB088A"/>
    <w:rsid w:val="00DB794E"/>
    <w:rsid w:val="00DC08E2"/>
    <w:rsid w:val="00DC3740"/>
    <w:rsid w:val="00DD1BFC"/>
    <w:rsid w:val="00DD6609"/>
    <w:rsid w:val="00DE109B"/>
    <w:rsid w:val="00DE17FB"/>
    <w:rsid w:val="00DE5C64"/>
    <w:rsid w:val="00DE647B"/>
    <w:rsid w:val="00DE6605"/>
    <w:rsid w:val="00DF108A"/>
    <w:rsid w:val="00E0067C"/>
    <w:rsid w:val="00E00C60"/>
    <w:rsid w:val="00E016B7"/>
    <w:rsid w:val="00E01E17"/>
    <w:rsid w:val="00E02CD1"/>
    <w:rsid w:val="00E0488E"/>
    <w:rsid w:val="00E04B5B"/>
    <w:rsid w:val="00E04BE7"/>
    <w:rsid w:val="00E04CA6"/>
    <w:rsid w:val="00E05FC6"/>
    <w:rsid w:val="00E07197"/>
    <w:rsid w:val="00E10A55"/>
    <w:rsid w:val="00E13246"/>
    <w:rsid w:val="00E1588C"/>
    <w:rsid w:val="00E218E8"/>
    <w:rsid w:val="00E23F59"/>
    <w:rsid w:val="00E24617"/>
    <w:rsid w:val="00E25B9E"/>
    <w:rsid w:val="00E30A25"/>
    <w:rsid w:val="00E311F5"/>
    <w:rsid w:val="00E31571"/>
    <w:rsid w:val="00E34918"/>
    <w:rsid w:val="00E35341"/>
    <w:rsid w:val="00E42036"/>
    <w:rsid w:val="00E43B39"/>
    <w:rsid w:val="00E44911"/>
    <w:rsid w:val="00E45128"/>
    <w:rsid w:val="00E51944"/>
    <w:rsid w:val="00E52924"/>
    <w:rsid w:val="00E56EE7"/>
    <w:rsid w:val="00E66DBD"/>
    <w:rsid w:val="00E6798C"/>
    <w:rsid w:val="00E7423C"/>
    <w:rsid w:val="00E74870"/>
    <w:rsid w:val="00E768DD"/>
    <w:rsid w:val="00E774D4"/>
    <w:rsid w:val="00E81078"/>
    <w:rsid w:val="00E8126C"/>
    <w:rsid w:val="00E821B2"/>
    <w:rsid w:val="00E82C84"/>
    <w:rsid w:val="00E84E8E"/>
    <w:rsid w:val="00E862CF"/>
    <w:rsid w:val="00E9242F"/>
    <w:rsid w:val="00E93C16"/>
    <w:rsid w:val="00E94AC6"/>
    <w:rsid w:val="00E95655"/>
    <w:rsid w:val="00EA0708"/>
    <w:rsid w:val="00EA13ED"/>
    <w:rsid w:val="00EA67BC"/>
    <w:rsid w:val="00EA7A91"/>
    <w:rsid w:val="00EB26B8"/>
    <w:rsid w:val="00EB3CFC"/>
    <w:rsid w:val="00EB5583"/>
    <w:rsid w:val="00EB7D0D"/>
    <w:rsid w:val="00EC14E7"/>
    <w:rsid w:val="00EC483D"/>
    <w:rsid w:val="00EC4C72"/>
    <w:rsid w:val="00EC6AFE"/>
    <w:rsid w:val="00EC7AC3"/>
    <w:rsid w:val="00EE1E14"/>
    <w:rsid w:val="00EE2BDB"/>
    <w:rsid w:val="00EE5476"/>
    <w:rsid w:val="00EE669B"/>
    <w:rsid w:val="00EE786F"/>
    <w:rsid w:val="00EE78F0"/>
    <w:rsid w:val="00EF16BE"/>
    <w:rsid w:val="00EF30EE"/>
    <w:rsid w:val="00EF361E"/>
    <w:rsid w:val="00EF4564"/>
    <w:rsid w:val="00EF69A8"/>
    <w:rsid w:val="00F02BE4"/>
    <w:rsid w:val="00F0523C"/>
    <w:rsid w:val="00F075D4"/>
    <w:rsid w:val="00F14773"/>
    <w:rsid w:val="00F2015B"/>
    <w:rsid w:val="00F24A52"/>
    <w:rsid w:val="00F27157"/>
    <w:rsid w:val="00F274A6"/>
    <w:rsid w:val="00F27507"/>
    <w:rsid w:val="00F306E4"/>
    <w:rsid w:val="00F319CB"/>
    <w:rsid w:val="00F33D7C"/>
    <w:rsid w:val="00F37483"/>
    <w:rsid w:val="00F37D7B"/>
    <w:rsid w:val="00F41A6F"/>
    <w:rsid w:val="00F41AF3"/>
    <w:rsid w:val="00F4269B"/>
    <w:rsid w:val="00F430DC"/>
    <w:rsid w:val="00F44972"/>
    <w:rsid w:val="00F46516"/>
    <w:rsid w:val="00F50B54"/>
    <w:rsid w:val="00F530C4"/>
    <w:rsid w:val="00F54E75"/>
    <w:rsid w:val="00F5611F"/>
    <w:rsid w:val="00F61254"/>
    <w:rsid w:val="00F62401"/>
    <w:rsid w:val="00F700C4"/>
    <w:rsid w:val="00F70497"/>
    <w:rsid w:val="00F70A9A"/>
    <w:rsid w:val="00F71880"/>
    <w:rsid w:val="00F77BB7"/>
    <w:rsid w:val="00F804B3"/>
    <w:rsid w:val="00F82292"/>
    <w:rsid w:val="00F86160"/>
    <w:rsid w:val="00F932D5"/>
    <w:rsid w:val="00FA107C"/>
    <w:rsid w:val="00FA168B"/>
    <w:rsid w:val="00FA36F8"/>
    <w:rsid w:val="00FA44F5"/>
    <w:rsid w:val="00FA6B4E"/>
    <w:rsid w:val="00FB3A7D"/>
    <w:rsid w:val="00FB4631"/>
    <w:rsid w:val="00FB5AF6"/>
    <w:rsid w:val="00FB5D71"/>
    <w:rsid w:val="00FC1047"/>
    <w:rsid w:val="00FC2616"/>
    <w:rsid w:val="00FC3473"/>
    <w:rsid w:val="00FC3FEE"/>
    <w:rsid w:val="00FC617D"/>
    <w:rsid w:val="00FC7350"/>
    <w:rsid w:val="00FC7A6F"/>
    <w:rsid w:val="00FD3AFA"/>
    <w:rsid w:val="00FD603D"/>
    <w:rsid w:val="00FD68AE"/>
    <w:rsid w:val="00FE19F0"/>
    <w:rsid w:val="00FE3BBE"/>
    <w:rsid w:val="00FE3BF5"/>
    <w:rsid w:val="00FE5136"/>
    <w:rsid w:val="00FE707D"/>
    <w:rsid w:val="00FF017A"/>
    <w:rsid w:val="00FF6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90EC7B"/>
  <w15:docId w15:val="{B28A24CA-6F61-4A0E-AA12-3E3F2FE8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7DCE"/>
    <w:pPr>
      <w:spacing w:after="160"/>
    </w:pPr>
    <w:rPr>
      <w:rFonts w:ascii="Arial" w:hAnsi="Arial"/>
      <w:sz w:val="24"/>
    </w:rPr>
  </w:style>
  <w:style w:type="paragraph" w:styleId="Heading1">
    <w:name w:val="heading 1"/>
    <w:basedOn w:val="Heading3"/>
    <w:next w:val="Normal"/>
    <w:link w:val="Heading1Char"/>
    <w:uiPriority w:val="2"/>
    <w:qFormat/>
    <w:rsid w:val="00F02BE4"/>
    <w:pPr>
      <w:outlineLvl w:val="0"/>
    </w:pPr>
    <w:rPr>
      <w:sz w:val="32"/>
    </w:rPr>
  </w:style>
  <w:style w:type="paragraph" w:styleId="Heading2">
    <w:name w:val="heading 2"/>
    <w:basedOn w:val="Normal"/>
    <w:next w:val="Normal"/>
    <w:link w:val="Heading2Char"/>
    <w:uiPriority w:val="2"/>
    <w:qFormat/>
    <w:rsid w:val="00B4400D"/>
    <w:pPr>
      <w:keepNext/>
      <w:keepLines/>
      <w:spacing w:after="240"/>
      <w:outlineLvl w:val="1"/>
    </w:pPr>
    <w:rPr>
      <w:rFonts w:eastAsiaTheme="majorEastAsia" w:cstheme="majorBidi"/>
      <w:b/>
      <w:bCs/>
      <w:color w:val="002060"/>
      <w:szCs w:val="26"/>
    </w:rPr>
  </w:style>
  <w:style w:type="paragraph" w:styleId="Heading3">
    <w:name w:val="heading 3"/>
    <w:basedOn w:val="Normal"/>
    <w:next w:val="Normal"/>
    <w:link w:val="Heading3Char"/>
    <w:uiPriority w:val="2"/>
    <w:qFormat/>
    <w:rsid w:val="00F306E4"/>
    <w:pPr>
      <w:keepNext/>
      <w:keepLines/>
      <w:pBdr>
        <w:bottom w:val="dotted" w:sz="18" w:space="1" w:color="FFBB22"/>
      </w:pBdr>
      <w:spacing w:after="240"/>
      <w:outlineLvl w:val="2"/>
    </w:pPr>
    <w:rPr>
      <w:rFonts w:eastAsiaTheme="majorEastAsia" w:cstheme="majorBidi"/>
      <w:b/>
      <w:bCs/>
      <w:color w:val="960051"/>
      <w:sz w:val="36"/>
    </w:rPr>
  </w:style>
  <w:style w:type="paragraph" w:styleId="Heading4">
    <w:name w:val="heading 4"/>
    <w:basedOn w:val="Normal"/>
    <w:next w:val="Normal"/>
    <w:link w:val="Heading4Char"/>
    <w:uiPriority w:val="2"/>
    <w:qFormat/>
    <w:rsid w:val="00F306E4"/>
    <w:pPr>
      <w:keepNext/>
      <w:keepLines/>
      <w:spacing w:after="240"/>
      <w:outlineLvl w:val="3"/>
    </w:pPr>
    <w:rPr>
      <w:rFonts w:eastAsiaTheme="majorEastAsia" w:cstheme="majorBidi"/>
      <w:b/>
      <w:bCs/>
      <w:iCs/>
      <w:color w:val="403A60"/>
      <w:sz w:val="36"/>
    </w:rPr>
  </w:style>
  <w:style w:type="paragraph" w:styleId="Heading5">
    <w:name w:val="heading 5"/>
    <w:basedOn w:val="Normal"/>
    <w:next w:val="Normal"/>
    <w:link w:val="Heading5Char"/>
    <w:uiPriority w:val="2"/>
    <w:qFormat/>
    <w:rsid w:val="00F306E4"/>
    <w:pPr>
      <w:keepNext/>
      <w:keepLines/>
      <w:spacing w:after="240"/>
      <w:outlineLvl w:val="4"/>
    </w:pPr>
    <w:rPr>
      <w:rFonts w:eastAsiaTheme="majorEastAsia" w:cstheme="majorBidi"/>
      <w:b/>
      <w:color w:val="403A60"/>
      <w:sz w:val="28"/>
    </w:rPr>
  </w:style>
  <w:style w:type="paragraph" w:styleId="Heading6">
    <w:name w:val="heading 6"/>
    <w:basedOn w:val="Normal"/>
    <w:next w:val="Normal"/>
    <w:link w:val="Heading6Char"/>
    <w:uiPriority w:val="2"/>
    <w:qFormat/>
    <w:rsid w:val="002B44DD"/>
    <w:pPr>
      <w:keepNext/>
      <w:keepLines/>
      <w:spacing w:after="240"/>
      <w:outlineLvl w:val="5"/>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02BE4"/>
    <w:rPr>
      <w:rFonts w:ascii="Arial" w:eastAsiaTheme="majorEastAsia" w:hAnsi="Arial" w:cstheme="majorBidi"/>
      <w:b/>
      <w:bCs/>
      <w:color w:val="960051"/>
      <w:sz w:val="32"/>
    </w:rPr>
  </w:style>
  <w:style w:type="character" w:customStyle="1" w:styleId="Heading2Char">
    <w:name w:val="Heading 2 Char"/>
    <w:basedOn w:val="DefaultParagraphFont"/>
    <w:link w:val="Heading2"/>
    <w:uiPriority w:val="2"/>
    <w:rsid w:val="00B4400D"/>
    <w:rPr>
      <w:rFonts w:ascii="Arial" w:eastAsiaTheme="majorEastAsia" w:hAnsi="Arial" w:cstheme="majorBidi"/>
      <w:b/>
      <w:bCs/>
      <w:color w:val="002060"/>
      <w:sz w:val="24"/>
      <w:szCs w:val="26"/>
    </w:rPr>
  </w:style>
  <w:style w:type="character" w:customStyle="1" w:styleId="Heading3Char">
    <w:name w:val="Heading 3 Char"/>
    <w:basedOn w:val="DefaultParagraphFont"/>
    <w:link w:val="Heading3"/>
    <w:uiPriority w:val="2"/>
    <w:rsid w:val="00674CF3"/>
    <w:rPr>
      <w:rFonts w:ascii="Arial" w:eastAsiaTheme="majorEastAsia" w:hAnsi="Arial" w:cstheme="majorBidi"/>
      <w:b/>
      <w:bCs/>
      <w:color w:val="960051"/>
      <w:sz w:val="36"/>
    </w:rPr>
  </w:style>
  <w:style w:type="character" w:customStyle="1" w:styleId="Heading4Char">
    <w:name w:val="Heading 4 Char"/>
    <w:basedOn w:val="DefaultParagraphFont"/>
    <w:link w:val="Heading4"/>
    <w:uiPriority w:val="2"/>
    <w:rsid w:val="00674CF3"/>
    <w:rPr>
      <w:rFonts w:ascii="Arial" w:eastAsiaTheme="majorEastAsia" w:hAnsi="Arial" w:cstheme="majorBidi"/>
      <w:b/>
      <w:bCs/>
      <w:iCs/>
      <w:color w:val="403A60"/>
      <w:sz w:val="36"/>
    </w:rPr>
  </w:style>
  <w:style w:type="character" w:customStyle="1" w:styleId="Heading5Char">
    <w:name w:val="Heading 5 Char"/>
    <w:basedOn w:val="DefaultParagraphFont"/>
    <w:link w:val="Heading5"/>
    <w:uiPriority w:val="2"/>
    <w:rsid w:val="00674CF3"/>
    <w:rPr>
      <w:rFonts w:ascii="Arial" w:eastAsiaTheme="majorEastAsia" w:hAnsi="Arial" w:cstheme="majorBidi"/>
      <w:b/>
      <w:color w:val="403A60"/>
      <w:sz w:val="28"/>
    </w:rPr>
  </w:style>
  <w:style w:type="character" w:customStyle="1" w:styleId="Heading6Char">
    <w:name w:val="Heading 6 Char"/>
    <w:basedOn w:val="DefaultParagraphFont"/>
    <w:link w:val="Heading6"/>
    <w:uiPriority w:val="2"/>
    <w:rsid w:val="00674CF3"/>
    <w:rPr>
      <w:rFonts w:asciiTheme="majorHAnsi" w:eastAsiaTheme="majorEastAsia" w:hAnsiTheme="majorHAnsi" w:cstheme="majorBidi"/>
      <w:b/>
      <w:iCs/>
      <w:sz w:val="24"/>
    </w:rPr>
  </w:style>
  <w:style w:type="paragraph" w:styleId="ListBullet">
    <w:name w:val="List Bullet"/>
    <w:basedOn w:val="Normal"/>
    <w:uiPriority w:val="99"/>
    <w:semiHidden/>
    <w:rsid w:val="002B44DD"/>
    <w:pPr>
      <w:numPr>
        <w:numId w:val="1"/>
      </w:numPr>
      <w:ind w:left="170" w:hanging="170"/>
      <w:contextualSpacing/>
    </w:pPr>
  </w:style>
  <w:style w:type="paragraph" w:customStyle="1" w:styleId="Bullet1">
    <w:name w:val="Bullet1"/>
    <w:basedOn w:val="ListBullet"/>
    <w:uiPriority w:val="2"/>
    <w:qFormat/>
    <w:rsid w:val="00694858"/>
    <w:pPr>
      <w:ind w:left="227" w:hanging="227"/>
    </w:pPr>
  </w:style>
  <w:style w:type="paragraph" w:customStyle="1" w:styleId="Bullet2">
    <w:name w:val="Bullet2"/>
    <w:basedOn w:val="Bullet1"/>
    <w:uiPriority w:val="2"/>
    <w:qFormat/>
    <w:rsid w:val="00694858"/>
    <w:pPr>
      <w:numPr>
        <w:numId w:val="2"/>
      </w:numPr>
      <w:ind w:left="454" w:hanging="227"/>
    </w:pPr>
  </w:style>
  <w:style w:type="paragraph" w:styleId="Quote">
    <w:name w:val="Quote"/>
    <w:basedOn w:val="Normal"/>
    <w:next w:val="Normal"/>
    <w:link w:val="QuoteChar"/>
    <w:uiPriority w:val="29"/>
    <w:semiHidden/>
    <w:qFormat/>
    <w:rsid w:val="00B842F8"/>
    <w:rPr>
      <w:iCs/>
      <w:color w:val="960051"/>
      <w:sz w:val="28"/>
    </w:rPr>
  </w:style>
  <w:style w:type="character" w:customStyle="1" w:styleId="QuoteChar">
    <w:name w:val="Quote Char"/>
    <w:basedOn w:val="DefaultParagraphFont"/>
    <w:link w:val="Quote"/>
    <w:uiPriority w:val="29"/>
    <w:semiHidden/>
    <w:rsid w:val="003B46F5"/>
    <w:rPr>
      <w:rFonts w:ascii="Arial" w:hAnsi="Arial"/>
      <w:iCs/>
      <w:color w:val="960051"/>
      <w:sz w:val="28"/>
    </w:rPr>
  </w:style>
  <w:style w:type="paragraph" w:styleId="Caption">
    <w:name w:val="caption"/>
    <w:basedOn w:val="Normal"/>
    <w:next w:val="Normal"/>
    <w:uiPriority w:val="4"/>
    <w:qFormat/>
    <w:rsid w:val="004D189A"/>
    <w:pPr>
      <w:spacing w:after="120" w:line="240" w:lineRule="auto"/>
    </w:pPr>
    <w:rPr>
      <w:bCs/>
      <w:sz w:val="18"/>
      <w:szCs w:val="18"/>
    </w:rPr>
  </w:style>
  <w:style w:type="paragraph" w:styleId="Header">
    <w:name w:val="header"/>
    <w:basedOn w:val="Normal"/>
    <w:link w:val="HeaderChar"/>
    <w:uiPriority w:val="99"/>
    <w:unhideWhenUsed/>
    <w:rsid w:val="004D1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89A"/>
    <w:rPr>
      <w:rFonts w:ascii="Arial" w:hAnsi="Arial"/>
      <w:sz w:val="24"/>
    </w:rPr>
  </w:style>
  <w:style w:type="paragraph" w:styleId="Footer">
    <w:name w:val="footer"/>
    <w:basedOn w:val="Normal"/>
    <w:link w:val="FooterChar"/>
    <w:uiPriority w:val="99"/>
    <w:unhideWhenUsed/>
    <w:rsid w:val="00FA36F8"/>
    <w:pPr>
      <w:tabs>
        <w:tab w:val="left" w:pos="1021"/>
      </w:tabs>
      <w:spacing w:after="0" w:line="240" w:lineRule="auto"/>
    </w:pPr>
  </w:style>
  <w:style w:type="character" w:customStyle="1" w:styleId="FooterChar">
    <w:name w:val="Footer Char"/>
    <w:basedOn w:val="DefaultParagraphFont"/>
    <w:link w:val="Footer"/>
    <w:uiPriority w:val="99"/>
    <w:rsid w:val="00FA36F8"/>
    <w:rPr>
      <w:rFonts w:ascii="Arial" w:hAnsi="Arial"/>
      <w:sz w:val="24"/>
    </w:rPr>
  </w:style>
  <w:style w:type="character" w:styleId="PlaceholderText">
    <w:name w:val="Placeholder Text"/>
    <w:basedOn w:val="DefaultParagraphFont"/>
    <w:uiPriority w:val="99"/>
    <w:semiHidden/>
    <w:rsid w:val="00FA36F8"/>
    <w:rPr>
      <w:color w:val="808080"/>
    </w:rPr>
  </w:style>
  <w:style w:type="paragraph" w:styleId="BalloonText">
    <w:name w:val="Balloon Text"/>
    <w:basedOn w:val="Normal"/>
    <w:link w:val="BalloonTextChar"/>
    <w:uiPriority w:val="99"/>
    <w:semiHidden/>
    <w:unhideWhenUsed/>
    <w:rsid w:val="00FA3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6F8"/>
    <w:rPr>
      <w:rFonts w:ascii="Tahoma" w:hAnsi="Tahoma" w:cs="Tahoma"/>
      <w:sz w:val="16"/>
      <w:szCs w:val="16"/>
    </w:rPr>
  </w:style>
  <w:style w:type="table" w:styleId="TableGrid">
    <w:name w:val="Table Grid"/>
    <w:basedOn w:val="TableNormal"/>
    <w:uiPriority w:val="39"/>
    <w:rsid w:val="00F62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2401"/>
    <w:pPr>
      <w:spacing w:after="0" w:line="240" w:lineRule="auto"/>
    </w:pPr>
    <w:rPr>
      <w:rFonts w:ascii="Arial" w:hAnsi="Arial"/>
      <w:sz w:val="24"/>
    </w:rPr>
  </w:style>
  <w:style w:type="paragraph" w:styleId="Title">
    <w:name w:val="Title"/>
    <w:basedOn w:val="Normal"/>
    <w:link w:val="TitleChar"/>
    <w:uiPriority w:val="4"/>
    <w:qFormat/>
    <w:rsid w:val="00F02BE4"/>
    <w:pPr>
      <w:spacing w:after="0" w:line="240" w:lineRule="auto"/>
      <w:contextualSpacing/>
    </w:pPr>
    <w:rPr>
      <w:rFonts w:eastAsiaTheme="majorEastAsia" w:cstheme="majorBidi"/>
      <w:b/>
      <w:color w:val="960051" w:themeColor="background2"/>
      <w:spacing w:val="5"/>
      <w:kern w:val="28"/>
      <w:sz w:val="32"/>
      <w:szCs w:val="52"/>
      <w:lang w:val="en-US" w:eastAsia="ja-JP"/>
    </w:rPr>
  </w:style>
  <w:style w:type="character" w:customStyle="1" w:styleId="TitleChar">
    <w:name w:val="Title Char"/>
    <w:basedOn w:val="DefaultParagraphFont"/>
    <w:link w:val="Title"/>
    <w:uiPriority w:val="4"/>
    <w:rsid w:val="00F02BE4"/>
    <w:rPr>
      <w:rFonts w:ascii="Arial" w:eastAsiaTheme="majorEastAsia" w:hAnsi="Arial" w:cstheme="majorBidi"/>
      <w:b/>
      <w:color w:val="960051" w:themeColor="background2"/>
      <w:spacing w:val="5"/>
      <w:kern w:val="28"/>
      <w:sz w:val="32"/>
      <w:szCs w:val="52"/>
      <w:lang w:val="en-US" w:eastAsia="ja-JP"/>
    </w:rPr>
  </w:style>
  <w:style w:type="paragraph" w:styleId="Subtitle">
    <w:name w:val="Subtitle"/>
    <w:basedOn w:val="Normal"/>
    <w:link w:val="SubtitleChar"/>
    <w:uiPriority w:val="4"/>
    <w:qFormat/>
    <w:rsid w:val="00265FC5"/>
    <w:pPr>
      <w:numPr>
        <w:ilvl w:val="1"/>
      </w:numPr>
      <w:spacing w:after="0" w:line="240" w:lineRule="auto"/>
    </w:pPr>
    <w:rPr>
      <w:rFonts w:eastAsiaTheme="majorEastAsia" w:cstheme="majorBidi"/>
      <w:iCs/>
      <w:color w:val="FFFFFF"/>
      <w:spacing w:val="15"/>
      <w:sz w:val="56"/>
      <w:szCs w:val="24"/>
      <w:lang w:val="en-US" w:eastAsia="ja-JP"/>
    </w:rPr>
  </w:style>
  <w:style w:type="character" w:customStyle="1" w:styleId="SubtitleChar">
    <w:name w:val="Subtitle Char"/>
    <w:basedOn w:val="DefaultParagraphFont"/>
    <w:link w:val="Subtitle"/>
    <w:uiPriority w:val="4"/>
    <w:rsid w:val="003B46F5"/>
    <w:rPr>
      <w:rFonts w:ascii="Arial" w:eastAsiaTheme="majorEastAsia" w:hAnsi="Arial" w:cstheme="majorBidi"/>
      <w:iCs/>
      <w:color w:val="FFFFFF"/>
      <w:spacing w:val="15"/>
      <w:sz w:val="56"/>
      <w:szCs w:val="24"/>
      <w:lang w:val="en-US" w:eastAsia="ja-JP"/>
    </w:rPr>
  </w:style>
  <w:style w:type="paragraph" w:customStyle="1" w:styleId="Titleblack">
    <w:name w:val="Title black"/>
    <w:basedOn w:val="Title"/>
    <w:uiPriority w:val="4"/>
    <w:qFormat/>
    <w:rsid w:val="0063630C"/>
    <w:rPr>
      <w:color w:val="auto"/>
    </w:rPr>
  </w:style>
  <w:style w:type="paragraph" w:customStyle="1" w:styleId="Subtitleblack">
    <w:name w:val="Subtitle black"/>
    <w:basedOn w:val="Subtitle"/>
    <w:uiPriority w:val="4"/>
    <w:qFormat/>
    <w:rsid w:val="0063630C"/>
    <w:rPr>
      <w:color w:val="auto"/>
    </w:rPr>
  </w:style>
  <w:style w:type="character" w:customStyle="1" w:styleId="A12">
    <w:name w:val="A12"/>
    <w:uiPriority w:val="99"/>
    <w:semiHidden/>
    <w:rsid w:val="00B5610A"/>
    <w:rPr>
      <w:color w:val="FFFFFF"/>
      <w:sz w:val="44"/>
      <w:szCs w:val="44"/>
    </w:rPr>
  </w:style>
  <w:style w:type="paragraph" w:customStyle="1" w:styleId="Casestudytext">
    <w:name w:val="Case study text"/>
    <w:basedOn w:val="NoSpacing"/>
    <w:uiPriority w:val="3"/>
    <w:qFormat/>
    <w:rsid w:val="000E0336"/>
    <w:pPr>
      <w:spacing w:after="120"/>
    </w:pPr>
    <w:rPr>
      <w:color w:val="403A60"/>
      <w:sz w:val="22"/>
    </w:rPr>
  </w:style>
  <w:style w:type="paragraph" w:customStyle="1" w:styleId="Casestudybullet">
    <w:name w:val="Case study bullet"/>
    <w:basedOn w:val="Casestudytext"/>
    <w:uiPriority w:val="3"/>
    <w:qFormat/>
    <w:rsid w:val="000E0336"/>
    <w:pPr>
      <w:numPr>
        <w:numId w:val="3"/>
      </w:numPr>
      <w:ind w:left="227" w:hanging="227"/>
    </w:pPr>
  </w:style>
  <w:style w:type="table" w:styleId="ColorfulList-Accent2">
    <w:name w:val="Colorful List Accent 2"/>
    <w:basedOn w:val="TableNormal"/>
    <w:uiPriority w:val="72"/>
    <w:rsid w:val="000E0336"/>
    <w:pPr>
      <w:spacing w:after="0" w:line="240" w:lineRule="auto"/>
    </w:pPr>
    <w:rPr>
      <w:rFonts w:ascii="Arial" w:hAnsi="Arial"/>
      <w:color w:val="000000" w:themeColor="text1"/>
    </w:rPr>
    <w:tblPr>
      <w:tblStyleRowBandSize w:val="1"/>
      <w:tblStyleColBandSize w:val="1"/>
      <w:tblBorders>
        <w:insideH w:val="single" w:sz="8" w:space="0" w:color="FFFFFF" w:themeColor="background1"/>
        <w:insideV w:val="single" w:sz="8" w:space="0" w:color="FFFFFF" w:themeColor="background1"/>
      </w:tblBorders>
    </w:tblPr>
    <w:tcPr>
      <w:shd w:val="clear" w:color="auto" w:fill="D9D9D9" w:themeFill="background1" w:themeFillShade="D9"/>
    </w:tcPr>
    <w:tblStylePr w:type="firstRow">
      <w:rPr>
        <w:b w:val="0"/>
        <w:bCs/>
        <w:color w:val="FFFFFF" w:themeColor="background1"/>
      </w:rPr>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780040" w:themeFill="accent2" w:themeFillShade="CC"/>
      </w:tcPr>
    </w:tblStylePr>
    <w:tblStylePr w:type="lastRow">
      <w:rPr>
        <w:b/>
        <w:bCs/>
        <w:color w:val="7800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2Vert">
      <w:tblPr/>
      <w:tcPr>
        <w:shd w:val="clear" w:color="auto" w:fill="D9D9D9" w:themeFill="background1" w:themeFillShade="D9"/>
      </w:tcPr>
    </w:tblStylePr>
    <w:tblStylePr w:type="band1Horz">
      <w:tblPr/>
      <w:tcPr>
        <w:tcBorders>
          <w:insideH w:val="nil"/>
        </w:tcBorders>
        <w:shd w:val="clear" w:color="auto" w:fill="D9D9D9" w:themeFill="background1" w:themeFillShade="D9"/>
      </w:tcPr>
    </w:tblStylePr>
    <w:tblStylePr w:type="band2Horz">
      <w:tblPr/>
      <w:tcPr>
        <w:tcBorders>
          <w:insideH w:val="nil"/>
        </w:tcBorders>
        <w:shd w:val="clear" w:color="auto" w:fill="D9D9D9" w:themeFill="background1" w:themeFillShade="D9"/>
      </w:tcPr>
    </w:tblStylePr>
  </w:style>
  <w:style w:type="paragraph" w:customStyle="1" w:styleId="Pa13">
    <w:name w:val="Pa13"/>
    <w:basedOn w:val="Normal"/>
    <w:next w:val="Normal"/>
    <w:uiPriority w:val="99"/>
    <w:rsid w:val="000E0336"/>
    <w:pPr>
      <w:autoSpaceDE w:val="0"/>
      <w:autoSpaceDN w:val="0"/>
      <w:adjustRightInd w:val="0"/>
      <w:spacing w:after="0" w:line="221" w:lineRule="atLeast"/>
    </w:pPr>
    <w:rPr>
      <w:rFonts w:cs="Arial"/>
      <w:szCs w:val="24"/>
    </w:rPr>
  </w:style>
  <w:style w:type="character" w:styleId="Hyperlink">
    <w:name w:val="Hyperlink"/>
    <w:basedOn w:val="DefaultParagraphFont"/>
    <w:uiPriority w:val="99"/>
    <w:unhideWhenUsed/>
    <w:rsid w:val="00AF03AB"/>
    <w:rPr>
      <w:color w:val="0000FF" w:themeColor="hyperlink"/>
      <w:u w:val="single"/>
    </w:rPr>
  </w:style>
  <w:style w:type="paragraph" w:styleId="ListParagraph">
    <w:name w:val="List Paragraph"/>
    <w:basedOn w:val="Normal"/>
    <w:uiPriority w:val="34"/>
    <w:qFormat/>
    <w:rsid w:val="00AF03AB"/>
    <w:pPr>
      <w:ind w:left="720"/>
      <w:contextualSpacing/>
    </w:pPr>
  </w:style>
  <w:style w:type="paragraph" w:styleId="FootnoteText">
    <w:name w:val="footnote text"/>
    <w:basedOn w:val="Normal"/>
    <w:link w:val="FootnoteTextChar"/>
    <w:uiPriority w:val="99"/>
    <w:unhideWhenUsed/>
    <w:rsid w:val="009E746E"/>
    <w:pPr>
      <w:spacing w:after="0" w:line="240" w:lineRule="auto"/>
    </w:pPr>
    <w:rPr>
      <w:sz w:val="20"/>
      <w:szCs w:val="20"/>
    </w:rPr>
  </w:style>
  <w:style w:type="character" w:customStyle="1" w:styleId="FootnoteTextChar">
    <w:name w:val="Footnote Text Char"/>
    <w:basedOn w:val="DefaultParagraphFont"/>
    <w:link w:val="FootnoteText"/>
    <w:uiPriority w:val="99"/>
    <w:rsid w:val="009E746E"/>
    <w:rPr>
      <w:rFonts w:ascii="Arial" w:hAnsi="Arial"/>
      <w:sz w:val="20"/>
      <w:szCs w:val="20"/>
    </w:rPr>
  </w:style>
  <w:style w:type="character" w:styleId="FootnoteReference">
    <w:name w:val="footnote reference"/>
    <w:basedOn w:val="DefaultParagraphFont"/>
    <w:uiPriority w:val="99"/>
    <w:unhideWhenUsed/>
    <w:rsid w:val="009E746E"/>
    <w:rPr>
      <w:vertAlign w:val="superscript"/>
    </w:rPr>
  </w:style>
  <w:style w:type="character" w:styleId="CommentReference">
    <w:name w:val="annotation reference"/>
    <w:basedOn w:val="DefaultParagraphFont"/>
    <w:uiPriority w:val="99"/>
    <w:semiHidden/>
    <w:unhideWhenUsed/>
    <w:rsid w:val="00FC7A6F"/>
    <w:rPr>
      <w:sz w:val="16"/>
      <w:szCs w:val="16"/>
    </w:rPr>
  </w:style>
  <w:style w:type="paragraph" w:styleId="CommentText">
    <w:name w:val="annotation text"/>
    <w:basedOn w:val="Normal"/>
    <w:link w:val="CommentTextChar"/>
    <w:uiPriority w:val="99"/>
    <w:unhideWhenUsed/>
    <w:rsid w:val="00FC7A6F"/>
    <w:pPr>
      <w:spacing w:line="240" w:lineRule="auto"/>
    </w:pPr>
    <w:rPr>
      <w:sz w:val="20"/>
      <w:szCs w:val="20"/>
    </w:rPr>
  </w:style>
  <w:style w:type="character" w:customStyle="1" w:styleId="CommentTextChar">
    <w:name w:val="Comment Text Char"/>
    <w:basedOn w:val="DefaultParagraphFont"/>
    <w:link w:val="CommentText"/>
    <w:uiPriority w:val="99"/>
    <w:rsid w:val="00FC7A6F"/>
    <w:rPr>
      <w:rFonts w:ascii="Arial" w:hAnsi="Arial"/>
      <w:sz w:val="20"/>
      <w:szCs w:val="20"/>
    </w:rPr>
  </w:style>
  <w:style w:type="paragraph" w:styleId="EndnoteText">
    <w:name w:val="endnote text"/>
    <w:basedOn w:val="Normal"/>
    <w:link w:val="EndnoteTextChar"/>
    <w:uiPriority w:val="99"/>
    <w:semiHidden/>
    <w:unhideWhenUsed/>
    <w:rsid w:val="003552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5296"/>
    <w:rPr>
      <w:rFonts w:ascii="Arial" w:hAnsi="Arial"/>
      <w:sz w:val="20"/>
      <w:szCs w:val="20"/>
    </w:rPr>
  </w:style>
  <w:style w:type="character" w:styleId="EndnoteReference">
    <w:name w:val="endnote reference"/>
    <w:basedOn w:val="DefaultParagraphFont"/>
    <w:uiPriority w:val="99"/>
    <w:semiHidden/>
    <w:unhideWhenUsed/>
    <w:rsid w:val="00355296"/>
    <w:rPr>
      <w:vertAlign w:val="superscript"/>
    </w:rPr>
  </w:style>
  <w:style w:type="character" w:customStyle="1" w:styleId="UnresolvedMention1">
    <w:name w:val="Unresolved Mention1"/>
    <w:basedOn w:val="DefaultParagraphFont"/>
    <w:uiPriority w:val="99"/>
    <w:semiHidden/>
    <w:unhideWhenUsed/>
    <w:rsid w:val="003552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5C55"/>
    <w:rPr>
      <w:b/>
      <w:bCs/>
    </w:rPr>
  </w:style>
  <w:style w:type="character" w:customStyle="1" w:styleId="CommentSubjectChar">
    <w:name w:val="Comment Subject Char"/>
    <w:basedOn w:val="CommentTextChar"/>
    <w:link w:val="CommentSubject"/>
    <w:uiPriority w:val="99"/>
    <w:semiHidden/>
    <w:rsid w:val="00915C55"/>
    <w:rPr>
      <w:rFonts w:ascii="Arial" w:hAnsi="Arial"/>
      <w:b/>
      <w:bCs/>
      <w:sz w:val="20"/>
      <w:szCs w:val="20"/>
    </w:rPr>
  </w:style>
  <w:style w:type="character" w:styleId="FollowedHyperlink">
    <w:name w:val="FollowedHyperlink"/>
    <w:basedOn w:val="DefaultParagraphFont"/>
    <w:uiPriority w:val="99"/>
    <w:semiHidden/>
    <w:unhideWhenUsed/>
    <w:rsid w:val="00A85413"/>
    <w:rPr>
      <w:color w:val="800080" w:themeColor="followedHyperlink"/>
      <w:u w:val="single"/>
    </w:rPr>
  </w:style>
  <w:style w:type="character" w:styleId="Emphasis">
    <w:name w:val="Emphasis"/>
    <w:basedOn w:val="DefaultParagraphFont"/>
    <w:uiPriority w:val="20"/>
    <w:qFormat/>
    <w:rsid w:val="000A0FE5"/>
    <w:rPr>
      <w:i/>
      <w:iCs/>
    </w:rPr>
  </w:style>
  <w:style w:type="character" w:customStyle="1" w:styleId="UnresolvedMention2">
    <w:name w:val="Unresolved Mention2"/>
    <w:basedOn w:val="DefaultParagraphFont"/>
    <w:uiPriority w:val="99"/>
    <w:semiHidden/>
    <w:unhideWhenUsed/>
    <w:rsid w:val="00EC14E7"/>
    <w:rPr>
      <w:color w:val="605E5C"/>
      <w:shd w:val="clear" w:color="auto" w:fill="E1DFDD"/>
    </w:rPr>
  </w:style>
  <w:style w:type="paragraph" w:styleId="Revision">
    <w:name w:val="Revision"/>
    <w:hidden/>
    <w:uiPriority w:val="99"/>
    <w:semiHidden/>
    <w:rsid w:val="009C4B8B"/>
    <w:pPr>
      <w:spacing w:after="0" w:line="240" w:lineRule="auto"/>
    </w:pPr>
    <w:rPr>
      <w:rFonts w:ascii="Arial" w:hAnsi="Arial"/>
      <w:sz w:val="24"/>
    </w:rPr>
  </w:style>
  <w:style w:type="character" w:customStyle="1" w:styleId="UnresolvedMention3">
    <w:name w:val="Unresolved Mention3"/>
    <w:basedOn w:val="DefaultParagraphFont"/>
    <w:uiPriority w:val="99"/>
    <w:semiHidden/>
    <w:unhideWhenUsed/>
    <w:rsid w:val="001834B0"/>
    <w:rPr>
      <w:color w:val="605E5C"/>
      <w:shd w:val="clear" w:color="auto" w:fill="E1DFDD"/>
    </w:rPr>
  </w:style>
  <w:style w:type="character" w:customStyle="1" w:styleId="UnresolvedMention4">
    <w:name w:val="Unresolved Mention4"/>
    <w:basedOn w:val="DefaultParagraphFont"/>
    <w:uiPriority w:val="99"/>
    <w:semiHidden/>
    <w:unhideWhenUsed/>
    <w:rsid w:val="004E1A5E"/>
    <w:rPr>
      <w:color w:val="605E5C"/>
      <w:shd w:val="clear" w:color="auto" w:fill="E1DFDD"/>
    </w:rPr>
  </w:style>
  <w:style w:type="character" w:styleId="UnresolvedMention">
    <w:name w:val="Unresolved Mention"/>
    <w:basedOn w:val="DefaultParagraphFont"/>
    <w:uiPriority w:val="99"/>
    <w:semiHidden/>
    <w:unhideWhenUsed/>
    <w:rsid w:val="00EE2BDB"/>
    <w:rPr>
      <w:color w:val="605E5C"/>
      <w:shd w:val="clear" w:color="auto" w:fill="E1DFDD"/>
    </w:rPr>
  </w:style>
  <w:style w:type="character" w:styleId="Strong">
    <w:name w:val="Strong"/>
    <w:basedOn w:val="DefaultParagraphFont"/>
    <w:uiPriority w:val="22"/>
    <w:qFormat/>
    <w:rsid w:val="00EB3CFC"/>
    <w:rPr>
      <w:b/>
      <w:bCs/>
    </w:rPr>
  </w:style>
  <w:style w:type="paragraph" w:customStyle="1" w:styleId="Default">
    <w:name w:val="Default"/>
    <w:rsid w:val="00773705"/>
    <w:pPr>
      <w:autoSpaceDE w:val="0"/>
      <w:autoSpaceDN w:val="0"/>
      <w:adjustRightInd w:val="0"/>
      <w:spacing w:after="0" w:line="240" w:lineRule="auto"/>
    </w:pPr>
    <w:rPr>
      <w:rFonts w:ascii="Raleway Medium" w:hAnsi="Raleway Medium" w:cs="Raleway Medium"/>
      <w:color w:val="000000"/>
      <w:sz w:val="24"/>
      <w:szCs w:val="24"/>
    </w:rPr>
  </w:style>
  <w:style w:type="paragraph" w:styleId="BodyText">
    <w:name w:val="Body Text"/>
    <w:basedOn w:val="Normal"/>
    <w:link w:val="BodyTextChar"/>
    <w:qFormat/>
    <w:rsid w:val="009A7353"/>
    <w:pPr>
      <w:suppressAutoHyphens/>
      <w:spacing w:before="40" w:line="264" w:lineRule="auto"/>
    </w:pPr>
    <w:rPr>
      <w:rFonts w:asciiTheme="minorHAnsi" w:hAnsiTheme="minorHAnsi"/>
      <w:color w:val="000000" w:themeColor="text1"/>
      <w:szCs w:val="24"/>
    </w:rPr>
  </w:style>
  <w:style w:type="character" w:customStyle="1" w:styleId="BodyTextChar">
    <w:name w:val="Body Text Char"/>
    <w:basedOn w:val="DefaultParagraphFont"/>
    <w:link w:val="BodyText"/>
    <w:rsid w:val="009A7353"/>
    <w:rPr>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19989">
      <w:bodyDiv w:val="1"/>
      <w:marLeft w:val="0"/>
      <w:marRight w:val="0"/>
      <w:marTop w:val="0"/>
      <w:marBottom w:val="0"/>
      <w:divBdr>
        <w:top w:val="none" w:sz="0" w:space="0" w:color="auto"/>
        <w:left w:val="none" w:sz="0" w:space="0" w:color="auto"/>
        <w:bottom w:val="none" w:sz="0" w:space="0" w:color="auto"/>
        <w:right w:val="none" w:sz="0" w:space="0" w:color="auto"/>
      </w:divBdr>
    </w:div>
    <w:div w:id="100954631">
      <w:bodyDiv w:val="1"/>
      <w:marLeft w:val="0"/>
      <w:marRight w:val="0"/>
      <w:marTop w:val="0"/>
      <w:marBottom w:val="0"/>
      <w:divBdr>
        <w:top w:val="none" w:sz="0" w:space="0" w:color="auto"/>
        <w:left w:val="none" w:sz="0" w:space="0" w:color="auto"/>
        <w:bottom w:val="none" w:sz="0" w:space="0" w:color="auto"/>
        <w:right w:val="none" w:sz="0" w:space="0" w:color="auto"/>
      </w:divBdr>
    </w:div>
    <w:div w:id="748770085">
      <w:bodyDiv w:val="1"/>
      <w:marLeft w:val="0"/>
      <w:marRight w:val="0"/>
      <w:marTop w:val="0"/>
      <w:marBottom w:val="0"/>
      <w:divBdr>
        <w:top w:val="none" w:sz="0" w:space="0" w:color="auto"/>
        <w:left w:val="none" w:sz="0" w:space="0" w:color="auto"/>
        <w:bottom w:val="none" w:sz="0" w:space="0" w:color="auto"/>
        <w:right w:val="none" w:sz="0" w:space="0" w:color="auto"/>
      </w:divBdr>
    </w:div>
    <w:div w:id="1398285151">
      <w:bodyDiv w:val="1"/>
      <w:marLeft w:val="0"/>
      <w:marRight w:val="0"/>
      <w:marTop w:val="0"/>
      <w:marBottom w:val="0"/>
      <w:divBdr>
        <w:top w:val="none" w:sz="0" w:space="0" w:color="auto"/>
        <w:left w:val="none" w:sz="0" w:space="0" w:color="auto"/>
        <w:bottom w:val="none" w:sz="0" w:space="0" w:color="auto"/>
        <w:right w:val="none" w:sz="0" w:space="0" w:color="auto"/>
      </w:divBdr>
    </w:div>
    <w:div w:id="1540630370">
      <w:bodyDiv w:val="1"/>
      <w:marLeft w:val="0"/>
      <w:marRight w:val="0"/>
      <w:marTop w:val="0"/>
      <w:marBottom w:val="0"/>
      <w:divBdr>
        <w:top w:val="none" w:sz="0" w:space="0" w:color="auto"/>
        <w:left w:val="none" w:sz="0" w:space="0" w:color="auto"/>
        <w:bottom w:val="none" w:sz="0" w:space="0" w:color="auto"/>
        <w:right w:val="none" w:sz="0" w:space="0" w:color="auto"/>
      </w:divBdr>
    </w:div>
    <w:div w:id="1602641173">
      <w:bodyDiv w:val="1"/>
      <w:marLeft w:val="0"/>
      <w:marRight w:val="0"/>
      <w:marTop w:val="0"/>
      <w:marBottom w:val="0"/>
      <w:divBdr>
        <w:top w:val="none" w:sz="0" w:space="0" w:color="auto"/>
        <w:left w:val="none" w:sz="0" w:space="0" w:color="auto"/>
        <w:bottom w:val="none" w:sz="0" w:space="0" w:color="auto"/>
        <w:right w:val="none" w:sz="0" w:space="0" w:color="auto"/>
      </w:divBdr>
    </w:div>
    <w:div w:id="2043170313">
      <w:bodyDiv w:val="1"/>
      <w:marLeft w:val="0"/>
      <w:marRight w:val="0"/>
      <w:marTop w:val="0"/>
      <w:marBottom w:val="0"/>
      <w:divBdr>
        <w:top w:val="none" w:sz="0" w:space="0" w:color="auto"/>
        <w:left w:val="none" w:sz="0" w:space="0" w:color="auto"/>
        <w:bottom w:val="none" w:sz="0" w:space="0" w:color="auto"/>
        <w:right w:val="none" w:sz="0" w:space="0" w:color="auto"/>
      </w:divBdr>
    </w:div>
    <w:div w:id="207122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officialdocuments/publicdisplaydocumentpdf/?cote=DCD/DAC/STAT(2018)39/REV1&amp;docLanguage=En"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loryman@sightsavers.org"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data.parliament.uk/writtenevidence/committeeevidence.svc/evidencedocument/international-development-committee/dfids-work-on-disability/written/100360.pdf" TargetMode="External"/><Relationship Id="rId13" Type="http://schemas.openxmlformats.org/officeDocument/2006/relationships/hyperlink" Target="http://data.parliament.uk/writtenevidence/committeeevidence.svc/evidencedocument/international-development-committee/dfids-work-on-disability/written/96858.pdf" TargetMode="External"/><Relationship Id="rId3" Type="http://schemas.openxmlformats.org/officeDocument/2006/relationships/hyperlink" Target="http://www.bmz.de/de/mediathek/publikationen/reihen/strategiepapiere/Strategiepapier495_12_2019.pdf" TargetMode="External"/><Relationship Id="rId7" Type="http://schemas.openxmlformats.org/officeDocument/2006/relationships/hyperlink" Target="https://norad.no/om-bistand/publikasjon/2012/mainstreaming-disability-in-the-new-development-paradigm-evaluation-of-norwegian-support-to-promote-the-rights-of-persons-with-disabilities/" TargetMode="External"/><Relationship Id="rId12" Type="http://schemas.openxmlformats.org/officeDocument/2006/relationships/hyperlink" Target="https://publications.parliament.uk/pa/cm201719/cmselect/cmintdev/2680/268002.htm" TargetMode="External"/><Relationship Id="rId2" Type="http://schemas.openxmlformats.org/officeDocument/2006/relationships/hyperlink" Target="http://www.oecd.org/officialdocuments/publicdisplaydocumentpdf/?cote=DCD/DAC/STAT(2018)39/REV1&amp;docLanguage=En" TargetMode="External"/><Relationship Id="rId1" Type="http://schemas.openxmlformats.org/officeDocument/2006/relationships/hyperlink" Target="https://tbinternet.ohchr.org/_layouts/15/treatybodyexternal/TBSearch.aspx?Lang=en&amp;TreatyID=4&amp;DocTypeID=5" TargetMode="External"/><Relationship Id="rId6" Type="http://schemas.openxmlformats.org/officeDocument/2006/relationships/hyperlink" Target="https://www.gov.uk/government/publications/dfids-disability-inclusion-strategy-2018-to-2023" TargetMode="External"/><Relationship Id="rId11" Type="http://schemas.openxmlformats.org/officeDocument/2006/relationships/hyperlink" Target="https://publications.parliament.uk/pa/cm201719/cmselect/cmintdev/1880/188002.htm" TargetMode="External"/><Relationship Id="rId5" Type="http://schemas.openxmlformats.org/officeDocument/2006/relationships/hyperlink" Target="https://assets.publishing.service.gov.uk/government/uploads/system/uploads/attachment_data/file/573889/Bilateral-Development-Review-2016.pdf" TargetMode="External"/><Relationship Id="rId10" Type="http://schemas.openxmlformats.org/officeDocument/2006/relationships/hyperlink" Target="https://icai.independent.gov.uk/wp-content/uploads/ICAI-Disability-Review.pdf" TargetMode="External"/><Relationship Id="rId4" Type="http://schemas.openxmlformats.org/officeDocument/2006/relationships/hyperlink" Target="https://www.gov.uk/government/publications/dfid-disability-framework-2015" TargetMode="External"/><Relationship Id="rId9" Type="http://schemas.openxmlformats.org/officeDocument/2006/relationships/hyperlink" Target="https://assets.publishing.service.gov.uk/government/uploads/system/uploads/attachment_data/file/773358/DFID-_Disability-Inclusion-Standards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mith\Downloads\sightsavers_40866260420.dotx" TargetMode="External"/></Relationships>
</file>

<file path=word/theme/theme1.xml><?xml version="1.0" encoding="utf-8"?>
<a:theme xmlns:a="http://schemas.openxmlformats.org/drawingml/2006/main" name="Office Theme">
  <a:themeElements>
    <a:clrScheme name="Sightsavers">
      <a:dk1>
        <a:sysClr val="windowText" lastClr="000000"/>
      </a:dk1>
      <a:lt1>
        <a:sysClr val="window" lastClr="FFFFFF"/>
      </a:lt1>
      <a:dk2>
        <a:srgbClr val="FFBB22"/>
      </a:dk2>
      <a:lt2>
        <a:srgbClr val="960051"/>
      </a:lt2>
      <a:accent1>
        <a:srgbClr val="FFBB22"/>
      </a:accent1>
      <a:accent2>
        <a:srgbClr val="960051"/>
      </a:accent2>
      <a:accent3>
        <a:srgbClr val="403A60"/>
      </a:accent3>
      <a:accent4>
        <a:srgbClr val="612141"/>
      </a:accent4>
      <a:accent5>
        <a:srgbClr val="80276C"/>
      </a:accent5>
      <a:accent6>
        <a:srgbClr val="AF272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284BBC-2631-4873-8A59-ECD3A57BF762}">
  <ds:schemaRefs>
    <ds:schemaRef ds:uri="http://schemas.openxmlformats.org/officeDocument/2006/bibliography"/>
  </ds:schemaRefs>
</ds:datastoreItem>
</file>

<file path=customXml/itemProps2.xml><?xml version="1.0" encoding="utf-8"?>
<ds:datastoreItem xmlns:ds="http://schemas.openxmlformats.org/officeDocument/2006/customXml" ds:itemID="{5DE12ACA-6FC8-43D2-AC4B-C10274B55945}"/>
</file>

<file path=customXml/itemProps3.xml><?xml version="1.0" encoding="utf-8"?>
<ds:datastoreItem xmlns:ds="http://schemas.openxmlformats.org/officeDocument/2006/customXml" ds:itemID="{D4EA5DD6-C41B-4F85-A997-753629578985}"/>
</file>

<file path=customXml/itemProps4.xml><?xml version="1.0" encoding="utf-8"?>
<ds:datastoreItem xmlns:ds="http://schemas.openxmlformats.org/officeDocument/2006/customXml" ds:itemID="{F77A058E-0340-4128-A484-49D225C46D54}"/>
</file>

<file path=docProps/app.xml><?xml version="1.0" encoding="utf-8"?>
<Properties xmlns="http://schemas.openxmlformats.org/officeDocument/2006/extended-properties" xmlns:vt="http://schemas.openxmlformats.org/officeDocument/2006/docPropsVTypes">
  <Template>sightsavers_40866260420</Template>
  <TotalTime>1</TotalTime>
  <Pages>6</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Sightsavers</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Smith</dc:creator>
  <cp:lastModifiedBy>Hannah Loryman</cp:lastModifiedBy>
  <cp:revision>2</cp:revision>
  <cp:lastPrinted>2019-02-14T15:10:00Z</cp:lastPrinted>
  <dcterms:created xsi:type="dcterms:W3CDTF">2020-04-15T16:13:00Z</dcterms:created>
  <dcterms:modified xsi:type="dcterms:W3CDTF">2020-04-15T16:13:00Z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