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6A" w:rsidRDefault="009B6CE7" w:rsidP="009839B0">
      <w:pPr>
        <w:spacing w:after="120"/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9839B0">
        <w:rPr>
          <w:rFonts w:cstheme="minorHAnsi"/>
          <w:b/>
          <w:sz w:val="28"/>
          <w:szCs w:val="28"/>
        </w:rPr>
        <w:t>Respuesta de</w:t>
      </w:r>
      <w:r w:rsidR="00527970">
        <w:rPr>
          <w:rFonts w:cstheme="minorHAnsi"/>
          <w:b/>
          <w:sz w:val="28"/>
          <w:szCs w:val="28"/>
        </w:rPr>
        <w:t xml:space="preserve"> </w:t>
      </w:r>
      <w:r w:rsidRPr="009839B0">
        <w:rPr>
          <w:rFonts w:cstheme="minorHAnsi"/>
          <w:b/>
          <w:sz w:val="28"/>
          <w:szCs w:val="28"/>
        </w:rPr>
        <w:t>l</w:t>
      </w:r>
      <w:r w:rsidR="00527970">
        <w:rPr>
          <w:rFonts w:cstheme="minorHAnsi"/>
          <w:b/>
          <w:sz w:val="28"/>
          <w:szCs w:val="28"/>
        </w:rPr>
        <w:t xml:space="preserve">a Dirección de Equidad de Género e Igualdad de Oportunidades en el Trabajo del </w:t>
      </w:r>
      <w:r w:rsidRPr="009839B0">
        <w:rPr>
          <w:rFonts w:cstheme="minorHAnsi"/>
          <w:b/>
          <w:sz w:val="28"/>
          <w:szCs w:val="28"/>
        </w:rPr>
        <w:t>Ministerio de Trabajo</w:t>
      </w:r>
      <w:r w:rsidR="009839B0" w:rsidRPr="009839B0">
        <w:rPr>
          <w:rFonts w:cstheme="minorHAnsi"/>
          <w:b/>
          <w:sz w:val="28"/>
          <w:szCs w:val="28"/>
        </w:rPr>
        <w:t>, Empleo y Seguridad Social</w:t>
      </w:r>
      <w:r w:rsidRPr="009839B0">
        <w:rPr>
          <w:rFonts w:cstheme="minorHAnsi"/>
          <w:b/>
          <w:sz w:val="28"/>
          <w:szCs w:val="28"/>
        </w:rPr>
        <w:t xml:space="preserve"> </w:t>
      </w:r>
      <w:r w:rsidR="00A553D9">
        <w:rPr>
          <w:rFonts w:cstheme="minorHAnsi"/>
          <w:b/>
          <w:sz w:val="28"/>
          <w:szCs w:val="28"/>
        </w:rPr>
        <w:t xml:space="preserve">a pedido de </w:t>
      </w:r>
      <w:r w:rsidR="00A553D9" w:rsidRPr="00A553D9">
        <w:rPr>
          <w:rFonts w:cstheme="minorHAnsi"/>
          <w:b/>
          <w:sz w:val="28"/>
          <w:szCs w:val="28"/>
        </w:rPr>
        <w:t>la Dirección de la</w:t>
      </w:r>
      <w:r w:rsidR="00A553D9">
        <w:rPr>
          <w:rFonts w:cstheme="minorHAnsi"/>
          <w:b/>
          <w:sz w:val="28"/>
          <w:szCs w:val="28"/>
        </w:rPr>
        <w:t xml:space="preserve"> Mujer  de la Cancillería Argentina sobre el informe solicitado por la R</w:t>
      </w:r>
      <w:r w:rsidR="00A553D9" w:rsidRPr="00A553D9">
        <w:rPr>
          <w:rFonts w:cstheme="minorHAnsi"/>
          <w:b/>
          <w:sz w:val="28"/>
          <w:szCs w:val="28"/>
        </w:rPr>
        <w:t>esolución A/HRC/RES/30/15 - "El derecho al trabajo" aprobada por e</w:t>
      </w:r>
      <w:r w:rsidR="00A553D9">
        <w:rPr>
          <w:rFonts w:cstheme="minorHAnsi"/>
          <w:b/>
          <w:sz w:val="28"/>
          <w:szCs w:val="28"/>
        </w:rPr>
        <w:t>l Consejo de Derechos Humanos el</w:t>
      </w:r>
      <w:r w:rsidR="00A553D9" w:rsidRPr="00A553D9">
        <w:rPr>
          <w:rFonts w:cstheme="minorHAnsi"/>
          <w:b/>
          <w:sz w:val="28"/>
          <w:szCs w:val="28"/>
        </w:rPr>
        <w:t xml:space="preserve"> 23 de marzo de 2016</w:t>
      </w:r>
      <w:r w:rsidR="00A553D9" w:rsidRPr="00A553D9">
        <w:rPr>
          <w:rFonts w:ascii="Times New Roman" w:hAnsi="Times New Roman" w:cs="Times New Roman"/>
          <w:color w:val="000000"/>
          <w:lang w:val="es-MX"/>
        </w:rPr>
        <w:t xml:space="preserve">. </w:t>
      </w:r>
    </w:p>
    <w:p w:rsidR="00A553D9" w:rsidRDefault="00A553D9" w:rsidP="00A55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es-MX"/>
        </w:rPr>
      </w:pPr>
    </w:p>
    <w:p w:rsidR="00FD1CE7" w:rsidRPr="009839B0" w:rsidRDefault="00342CCA" w:rsidP="009839B0">
      <w:pPr>
        <w:spacing w:after="120"/>
        <w:jc w:val="both"/>
        <w:rPr>
          <w:rFonts w:cstheme="minorHAnsi"/>
          <w:b/>
          <w:sz w:val="28"/>
          <w:szCs w:val="28"/>
        </w:rPr>
      </w:pPr>
      <w:r w:rsidRPr="009839B0">
        <w:rPr>
          <w:rFonts w:cstheme="minorHAnsi"/>
          <w:b/>
          <w:sz w:val="28"/>
          <w:szCs w:val="28"/>
        </w:rPr>
        <w:t>Los a</w:t>
      </w:r>
      <w:r w:rsidR="00FD1CE7" w:rsidRPr="009839B0">
        <w:rPr>
          <w:rFonts w:cstheme="minorHAnsi"/>
          <w:b/>
          <w:sz w:val="28"/>
          <w:szCs w:val="28"/>
        </w:rPr>
        <w:t>vances normativos</w:t>
      </w:r>
    </w:p>
    <w:p w:rsidR="00FB03FD" w:rsidRPr="00897B15" w:rsidRDefault="00342CCA" w:rsidP="009839B0">
      <w:pPr>
        <w:spacing w:after="120"/>
        <w:jc w:val="both"/>
        <w:rPr>
          <w:rFonts w:cstheme="minorHAnsi"/>
          <w:sz w:val="24"/>
          <w:szCs w:val="24"/>
        </w:rPr>
      </w:pPr>
      <w:r w:rsidRPr="00897B15">
        <w:rPr>
          <w:rFonts w:cstheme="minorHAnsi"/>
          <w:sz w:val="24"/>
          <w:szCs w:val="24"/>
        </w:rPr>
        <w:t>S</w:t>
      </w:r>
      <w:r w:rsidR="00FB03FD" w:rsidRPr="00897B15">
        <w:rPr>
          <w:rFonts w:cstheme="minorHAnsi"/>
          <w:sz w:val="24"/>
          <w:szCs w:val="24"/>
        </w:rPr>
        <w:t>e sancionaron las siguientes leyes vincu</w:t>
      </w:r>
      <w:r w:rsidR="00584314" w:rsidRPr="00897B15">
        <w:rPr>
          <w:rFonts w:cstheme="minorHAnsi"/>
          <w:sz w:val="24"/>
          <w:szCs w:val="24"/>
        </w:rPr>
        <w:t>ladas</w:t>
      </w:r>
      <w:r w:rsidR="009839B0">
        <w:rPr>
          <w:rFonts w:cstheme="minorHAnsi"/>
          <w:sz w:val="24"/>
          <w:szCs w:val="24"/>
        </w:rPr>
        <w:t xml:space="preserve"> </w:t>
      </w:r>
      <w:r w:rsidR="00584314" w:rsidRPr="00897B15">
        <w:rPr>
          <w:rFonts w:cstheme="minorHAnsi"/>
          <w:sz w:val="24"/>
          <w:szCs w:val="24"/>
        </w:rPr>
        <w:t>a la</w:t>
      </w:r>
      <w:r w:rsidR="009839B0">
        <w:rPr>
          <w:rFonts w:cstheme="minorHAnsi"/>
          <w:sz w:val="24"/>
          <w:szCs w:val="24"/>
        </w:rPr>
        <w:t xml:space="preserve"> </w:t>
      </w:r>
      <w:r w:rsidR="00584314" w:rsidRPr="00897B15">
        <w:rPr>
          <w:rFonts w:cstheme="minorHAnsi"/>
          <w:sz w:val="24"/>
          <w:szCs w:val="24"/>
        </w:rPr>
        <w:t>igualdad de género, la autonomía económica y el acceso al</w:t>
      </w:r>
      <w:r w:rsidR="009839B0">
        <w:rPr>
          <w:rFonts w:cstheme="minorHAnsi"/>
          <w:sz w:val="24"/>
          <w:szCs w:val="24"/>
        </w:rPr>
        <w:t xml:space="preserve"> </w:t>
      </w:r>
      <w:r w:rsidR="00FB03FD" w:rsidRPr="00897B15">
        <w:rPr>
          <w:rFonts w:cstheme="minorHAnsi"/>
          <w:sz w:val="24"/>
          <w:szCs w:val="24"/>
        </w:rPr>
        <w:t xml:space="preserve">lugar de trabajo: </w:t>
      </w:r>
    </w:p>
    <w:p w:rsidR="009839B0" w:rsidRPr="009839B0" w:rsidRDefault="00B03E6A" w:rsidP="009839B0">
      <w:pPr>
        <w:pStyle w:val="ListParagraph"/>
        <w:numPr>
          <w:ilvl w:val="0"/>
          <w:numId w:val="1"/>
        </w:numPr>
        <w:shd w:val="clear" w:color="auto" w:fill="FFFFFF"/>
        <w:tabs>
          <w:tab w:val="left" w:pos="284"/>
        </w:tabs>
        <w:spacing w:after="120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897B15">
        <w:rPr>
          <w:rFonts w:asciiTheme="minorHAnsi" w:hAnsiTheme="minorHAnsi" w:cstheme="minorHAnsi"/>
          <w:b/>
          <w:sz w:val="24"/>
          <w:szCs w:val="24"/>
          <w:lang w:val="es-MX"/>
        </w:rPr>
        <w:t>Ley 26.485</w:t>
      </w:r>
      <w:r w:rsidR="00401785" w:rsidRPr="00897B15">
        <w:rPr>
          <w:rFonts w:asciiTheme="minorHAnsi" w:hAnsiTheme="minorHAnsi" w:cstheme="minorHAnsi"/>
          <w:b/>
          <w:sz w:val="24"/>
          <w:szCs w:val="24"/>
          <w:lang w:val="es-MX"/>
        </w:rPr>
        <w:t>/2009</w:t>
      </w:r>
      <w:r w:rsidR="009839B0">
        <w:rPr>
          <w:rFonts w:asciiTheme="minorHAnsi" w:hAnsiTheme="minorHAnsi" w:cstheme="minorHAnsi"/>
          <w:b/>
          <w:sz w:val="24"/>
          <w:szCs w:val="24"/>
          <w:lang w:val="es-MX"/>
        </w:rPr>
        <w:t xml:space="preserve"> Violencia contra la</w:t>
      </w:r>
      <w:r w:rsidR="00527970">
        <w:rPr>
          <w:rFonts w:asciiTheme="minorHAnsi" w:hAnsiTheme="minorHAnsi" w:cstheme="minorHAnsi"/>
          <w:b/>
          <w:sz w:val="24"/>
          <w:szCs w:val="24"/>
          <w:lang w:val="es-MX"/>
        </w:rPr>
        <w:t xml:space="preserve">s </w:t>
      </w:r>
      <w:r w:rsidR="009839B0">
        <w:rPr>
          <w:rFonts w:asciiTheme="minorHAnsi" w:hAnsiTheme="minorHAnsi" w:cstheme="minorHAnsi"/>
          <w:b/>
          <w:sz w:val="24"/>
          <w:szCs w:val="24"/>
          <w:lang w:val="es-MX"/>
        </w:rPr>
        <w:t>mujer</w:t>
      </w:r>
      <w:r w:rsidR="00527970">
        <w:rPr>
          <w:rFonts w:asciiTheme="minorHAnsi" w:hAnsiTheme="minorHAnsi" w:cstheme="minorHAnsi"/>
          <w:b/>
          <w:sz w:val="24"/>
          <w:szCs w:val="24"/>
          <w:lang w:val="es-MX"/>
        </w:rPr>
        <w:t>es</w:t>
      </w:r>
    </w:p>
    <w:p w:rsidR="00B03E6A" w:rsidRPr="00897B15" w:rsidRDefault="009839B0" w:rsidP="009839B0">
      <w:pPr>
        <w:pStyle w:val="ListParagraph"/>
        <w:shd w:val="clear" w:color="auto" w:fill="FFFFFF"/>
        <w:tabs>
          <w:tab w:val="left" w:pos="284"/>
        </w:tabs>
        <w:spacing w:after="120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sz w:val="24"/>
          <w:szCs w:val="24"/>
          <w:lang w:val="es-MX"/>
        </w:rPr>
        <w:t xml:space="preserve">Esta Ley busca prevenir, </w:t>
      </w:r>
      <w:r w:rsidR="00B03E6A" w:rsidRPr="00897B15">
        <w:rPr>
          <w:rFonts w:asciiTheme="minorHAnsi" w:hAnsiTheme="minorHAnsi" w:cstheme="minorHAnsi"/>
          <w:sz w:val="24"/>
          <w:szCs w:val="24"/>
          <w:lang w:val="es-MX"/>
        </w:rPr>
        <w:t xml:space="preserve">sancionar y erradicar la violencia contra las mujeres en diferentes dimensiones. </w:t>
      </w:r>
    </w:p>
    <w:p w:rsidR="00B03E6A" w:rsidRPr="00897B15" w:rsidRDefault="00EA1A72" w:rsidP="009839B0">
      <w:pPr>
        <w:spacing w:after="120"/>
        <w:jc w:val="both"/>
        <w:rPr>
          <w:rFonts w:cstheme="minorHAnsi"/>
          <w:sz w:val="24"/>
          <w:szCs w:val="24"/>
        </w:rPr>
      </w:pPr>
      <w:r w:rsidRPr="00897B15">
        <w:rPr>
          <w:rFonts w:cstheme="minorHAnsi"/>
          <w:sz w:val="24"/>
          <w:szCs w:val="24"/>
        </w:rPr>
        <w:t>En el ARTÍCULO</w:t>
      </w:r>
      <w:r w:rsidR="009839B0">
        <w:rPr>
          <w:rFonts w:cstheme="minorHAnsi"/>
          <w:sz w:val="24"/>
          <w:szCs w:val="24"/>
        </w:rPr>
        <w:t xml:space="preserve"> </w:t>
      </w:r>
      <w:r w:rsidR="00B03E6A" w:rsidRPr="00897B15">
        <w:rPr>
          <w:rFonts w:cstheme="minorHAnsi"/>
          <w:sz w:val="24"/>
          <w:szCs w:val="24"/>
        </w:rPr>
        <w:t>5º</w:t>
      </w:r>
      <w:r w:rsidR="009839B0">
        <w:rPr>
          <w:rFonts w:cstheme="minorHAnsi"/>
          <w:sz w:val="24"/>
          <w:szCs w:val="24"/>
        </w:rPr>
        <w:t xml:space="preserve"> </w:t>
      </w:r>
      <w:r w:rsidRPr="00897B15">
        <w:rPr>
          <w:rFonts w:cstheme="minorHAnsi"/>
          <w:sz w:val="24"/>
          <w:szCs w:val="24"/>
        </w:rPr>
        <w:t xml:space="preserve">se tipifica la violencia económica y patrimonial contra las mujeres que consiste en </w:t>
      </w:r>
      <w:r w:rsidR="00B03E6A" w:rsidRPr="00897B15">
        <w:rPr>
          <w:rFonts w:cstheme="minorHAnsi"/>
          <w:sz w:val="24"/>
          <w:szCs w:val="24"/>
        </w:rPr>
        <w:t>ocasionar</w:t>
      </w:r>
      <w:r w:rsidR="009839B0">
        <w:rPr>
          <w:rFonts w:cstheme="minorHAnsi"/>
          <w:sz w:val="24"/>
          <w:szCs w:val="24"/>
        </w:rPr>
        <w:t xml:space="preserve"> </w:t>
      </w:r>
      <w:r w:rsidR="00B03E6A" w:rsidRPr="00897B15">
        <w:rPr>
          <w:rFonts w:cstheme="minorHAnsi"/>
          <w:sz w:val="24"/>
          <w:szCs w:val="24"/>
        </w:rPr>
        <w:t>un</w:t>
      </w:r>
      <w:r w:rsidR="009839B0">
        <w:rPr>
          <w:rFonts w:cstheme="minorHAnsi"/>
          <w:sz w:val="24"/>
          <w:szCs w:val="24"/>
        </w:rPr>
        <w:t xml:space="preserve"> </w:t>
      </w:r>
      <w:r w:rsidR="00B03E6A" w:rsidRPr="00897B15">
        <w:rPr>
          <w:rFonts w:cstheme="minorHAnsi"/>
          <w:sz w:val="24"/>
          <w:szCs w:val="24"/>
        </w:rPr>
        <w:t>menoscabo</w:t>
      </w:r>
      <w:r w:rsidR="009839B0">
        <w:rPr>
          <w:rFonts w:cstheme="minorHAnsi"/>
          <w:sz w:val="24"/>
          <w:szCs w:val="24"/>
        </w:rPr>
        <w:t xml:space="preserve"> </w:t>
      </w:r>
      <w:r w:rsidR="00B03E6A" w:rsidRPr="00897B15">
        <w:rPr>
          <w:rFonts w:cstheme="minorHAnsi"/>
          <w:sz w:val="24"/>
          <w:szCs w:val="24"/>
        </w:rPr>
        <w:t>en</w:t>
      </w:r>
      <w:r w:rsidR="009839B0">
        <w:rPr>
          <w:rFonts w:cstheme="minorHAnsi"/>
          <w:sz w:val="24"/>
          <w:szCs w:val="24"/>
        </w:rPr>
        <w:t xml:space="preserve"> </w:t>
      </w:r>
      <w:r w:rsidR="00B03E6A" w:rsidRPr="00897B15">
        <w:rPr>
          <w:rFonts w:cstheme="minorHAnsi"/>
          <w:sz w:val="24"/>
          <w:szCs w:val="24"/>
        </w:rPr>
        <w:t>los</w:t>
      </w:r>
      <w:r w:rsidR="009839B0">
        <w:rPr>
          <w:rFonts w:cstheme="minorHAnsi"/>
          <w:sz w:val="24"/>
          <w:szCs w:val="24"/>
        </w:rPr>
        <w:t xml:space="preserve"> </w:t>
      </w:r>
      <w:r w:rsidR="00B03E6A" w:rsidRPr="00897B15">
        <w:rPr>
          <w:rFonts w:cstheme="minorHAnsi"/>
          <w:sz w:val="24"/>
          <w:szCs w:val="24"/>
        </w:rPr>
        <w:t>recursos económicos o patrimoniales de la</w:t>
      </w:r>
      <w:r w:rsidRPr="00897B15">
        <w:rPr>
          <w:rFonts w:cstheme="minorHAnsi"/>
          <w:sz w:val="24"/>
          <w:szCs w:val="24"/>
        </w:rPr>
        <w:t>s</w:t>
      </w:r>
      <w:r w:rsidR="00B03E6A" w:rsidRPr="00897B15">
        <w:rPr>
          <w:rFonts w:cstheme="minorHAnsi"/>
          <w:sz w:val="24"/>
          <w:szCs w:val="24"/>
        </w:rPr>
        <w:t xml:space="preserve"> mujer</w:t>
      </w:r>
      <w:r w:rsidRPr="00897B15">
        <w:rPr>
          <w:rFonts w:cstheme="minorHAnsi"/>
          <w:sz w:val="24"/>
          <w:szCs w:val="24"/>
        </w:rPr>
        <w:t>es</w:t>
      </w:r>
      <w:r w:rsidR="00B03E6A" w:rsidRPr="00897B15">
        <w:rPr>
          <w:rFonts w:cstheme="minorHAnsi"/>
          <w:sz w:val="24"/>
          <w:szCs w:val="24"/>
        </w:rPr>
        <w:t>, a través de:</w:t>
      </w:r>
    </w:p>
    <w:p w:rsidR="00B03E6A" w:rsidRPr="00897B15" w:rsidRDefault="00B03E6A" w:rsidP="009839B0">
      <w:pPr>
        <w:spacing w:after="120"/>
        <w:jc w:val="both"/>
        <w:rPr>
          <w:rFonts w:cstheme="minorHAnsi"/>
          <w:sz w:val="24"/>
          <w:szCs w:val="24"/>
        </w:rPr>
      </w:pPr>
      <w:r w:rsidRPr="00897B15">
        <w:rPr>
          <w:rFonts w:cstheme="minorHAnsi"/>
          <w:sz w:val="24"/>
          <w:szCs w:val="24"/>
        </w:rPr>
        <w:t>a) La perturbación de la posesión, tenencia o propiedad de sus bienes;</w:t>
      </w:r>
    </w:p>
    <w:p w:rsidR="00B03E6A" w:rsidRPr="00897B15" w:rsidRDefault="00B03E6A" w:rsidP="009839B0">
      <w:pPr>
        <w:spacing w:after="120"/>
        <w:jc w:val="both"/>
        <w:rPr>
          <w:rFonts w:cstheme="minorHAnsi"/>
          <w:sz w:val="24"/>
          <w:szCs w:val="24"/>
        </w:rPr>
      </w:pPr>
      <w:r w:rsidRPr="00897B15">
        <w:rPr>
          <w:rFonts w:cstheme="minorHAnsi"/>
          <w:sz w:val="24"/>
          <w:szCs w:val="24"/>
        </w:rPr>
        <w:t>b) La pérdida, sustracción, destrucción, retención o distracción indebida de objetos, instrumentos de trabajo, documentos personales, bienes, valores y derechos patrimoniales;</w:t>
      </w:r>
    </w:p>
    <w:p w:rsidR="00B03E6A" w:rsidRPr="00897B15" w:rsidRDefault="00B03E6A" w:rsidP="009839B0">
      <w:pPr>
        <w:spacing w:after="120"/>
        <w:jc w:val="both"/>
        <w:rPr>
          <w:rFonts w:cstheme="minorHAnsi"/>
          <w:sz w:val="24"/>
          <w:szCs w:val="24"/>
        </w:rPr>
      </w:pPr>
      <w:r w:rsidRPr="00897B15">
        <w:rPr>
          <w:rFonts w:cstheme="minorHAnsi"/>
          <w:sz w:val="24"/>
          <w:szCs w:val="24"/>
        </w:rPr>
        <w:t>c) La limitación de los recursos económicos destinados a satisfacer sus necesidades o privación de los medios indispensables para vivir una vida digna;</w:t>
      </w:r>
    </w:p>
    <w:p w:rsidR="00B03E6A" w:rsidRPr="00897B15" w:rsidRDefault="00B03E6A" w:rsidP="009839B0">
      <w:pPr>
        <w:spacing w:after="120"/>
        <w:jc w:val="both"/>
        <w:rPr>
          <w:rFonts w:cstheme="minorHAnsi"/>
          <w:sz w:val="24"/>
          <w:szCs w:val="24"/>
        </w:rPr>
      </w:pPr>
      <w:r w:rsidRPr="00897B15">
        <w:rPr>
          <w:rFonts w:cstheme="minorHAnsi"/>
          <w:sz w:val="24"/>
          <w:szCs w:val="24"/>
        </w:rPr>
        <w:t>d) La limitación o control de sus ingresos, así como la percepción de un salario menor por igual tarea, dentro de un mismo lugar de trabajo.</w:t>
      </w:r>
    </w:p>
    <w:p w:rsidR="00395C91" w:rsidRPr="00897B15" w:rsidRDefault="00395C91" w:rsidP="009839B0">
      <w:pPr>
        <w:shd w:val="clear" w:color="auto" w:fill="FFFFFF"/>
        <w:spacing w:after="120"/>
        <w:jc w:val="both"/>
        <w:rPr>
          <w:rFonts w:cstheme="minorHAnsi"/>
          <w:sz w:val="24"/>
          <w:szCs w:val="24"/>
          <w:lang w:val="es-MX"/>
        </w:rPr>
      </w:pPr>
      <w:r w:rsidRPr="00897B15">
        <w:rPr>
          <w:rFonts w:cstheme="minorHAnsi"/>
          <w:bCs/>
          <w:sz w:val="24"/>
          <w:szCs w:val="24"/>
        </w:rPr>
        <w:t xml:space="preserve">Con respecto a </w:t>
      </w:r>
      <w:r w:rsidR="00EA1A72" w:rsidRPr="00897B15">
        <w:rPr>
          <w:rFonts w:cstheme="minorHAnsi"/>
          <w:bCs/>
          <w:sz w:val="24"/>
          <w:szCs w:val="24"/>
        </w:rPr>
        <w:t xml:space="preserve">la discriminación, violencia laboral y </w:t>
      </w:r>
      <w:r w:rsidR="00FD1CE7" w:rsidRPr="00897B15">
        <w:rPr>
          <w:rFonts w:cstheme="minorHAnsi"/>
          <w:bCs/>
          <w:sz w:val="24"/>
          <w:szCs w:val="24"/>
        </w:rPr>
        <w:t>hostigamiento psicológico</w:t>
      </w:r>
      <w:r w:rsidRPr="00897B15">
        <w:rPr>
          <w:rFonts w:cstheme="minorHAnsi"/>
          <w:bCs/>
          <w:sz w:val="24"/>
          <w:szCs w:val="24"/>
        </w:rPr>
        <w:t xml:space="preserve"> </w:t>
      </w:r>
      <w:r w:rsidR="00EA1A72" w:rsidRPr="00897B15">
        <w:rPr>
          <w:rFonts w:cstheme="minorHAnsi"/>
          <w:sz w:val="24"/>
          <w:szCs w:val="24"/>
          <w:lang w:val="es-MX"/>
        </w:rPr>
        <w:t xml:space="preserve">en el </w:t>
      </w:r>
      <w:r w:rsidR="00600CEF" w:rsidRPr="00897B15">
        <w:rPr>
          <w:rFonts w:cstheme="minorHAnsi"/>
          <w:sz w:val="24"/>
          <w:szCs w:val="24"/>
          <w:lang w:val="es-MX"/>
        </w:rPr>
        <w:t>artículo</w:t>
      </w:r>
      <w:r w:rsidR="00EA1A72" w:rsidRPr="00897B15">
        <w:rPr>
          <w:rFonts w:cstheme="minorHAnsi"/>
          <w:sz w:val="24"/>
          <w:szCs w:val="24"/>
          <w:lang w:val="es-MX"/>
        </w:rPr>
        <w:t xml:space="preserve"> 6 </w:t>
      </w:r>
      <w:r w:rsidR="00836D6E" w:rsidRPr="00897B15">
        <w:rPr>
          <w:rFonts w:cstheme="minorHAnsi"/>
          <w:sz w:val="24"/>
          <w:szCs w:val="24"/>
          <w:lang w:val="es-MX"/>
        </w:rPr>
        <w:t xml:space="preserve">en referencia al ámbito público </w:t>
      </w:r>
      <w:r w:rsidRPr="00897B15">
        <w:rPr>
          <w:rFonts w:cstheme="minorHAnsi"/>
          <w:sz w:val="24"/>
          <w:szCs w:val="24"/>
          <w:lang w:val="es-MX"/>
        </w:rPr>
        <w:t xml:space="preserve">se establece que: </w:t>
      </w:r>
    </w:p>
    <w:p w:rsidR="00B03E6A" w:rsidRPr="00897B15" w:rsidRDefault="00395C91" w:rsidP="009839B0">
      <w:pPr>
        <w:shd w:val="clear" w:color="auto" w:fill="FFFFFF"/>
        <w:spacing w:after="120"/>
        <w:jc w:val="both"/>
        <w:rPr>
          <w:rFonts w:cstheme="minorHAnsi"/>
          <w:sz w:val="24"/>
          <w:szCs w:val="24"/>
        </w:rPr>
      </w:pPr>
      <w:r w:rsidRPr="00897B15">
        <w:rPr>
          <w:rFonts w:cstheme="minorHAnsi"/>
          <w:sz w:val="24"/>
          <w:szCs w:val="24"/>
          <w:lang w:val="es-MX"/>
        </w:rPr>
        <w:t xml:space="preserve">La </w:t>
      </w:r>
      <w:r w:rsidRPr="00897B15">
        <w:rPr>
          <w:rFonts w:cstheme="minorHAnsi"/>
          <w:sz w:val="24"/>
          <w:szCs w:val="24"/>
        </w:rPr>
        <w:t>violencia</w:t>
      </w:r>
      <w:r w:rsidR="009839B0">
        <w:rPr>
          <w:rFonts w:cstheme="minorHAnsi"/>
          <w:sz w:val="24"/>
          <w:szCs w:val="24"/>
        </w:rPr>
        <w:t xml:space="preserve"> </w:t>
      </w:r>
      <w:r w:rsidR="00B03E6A" w:rsidRPr="00897B15">
        <w:rPr>
          <w:rFonts w:cstheme="minorHAnsi"/>
          <w:sz w:val="24"/>
          <w:szCs w:val="24"/>
        </w:rPr>
        <w:t>institu</w:t>
      </w:r>
      <w:r w:rsidRPr="00897B15">
        <w:rPr>
          <w:rFonts w:cstheme="minorHAnsi"/>
          <w:sz w:val="24"/>
          <w:szCs w:val="24"/>
        </w:rPr>
        <w:t>cional</w:t>
      </w:r>
      <w:r w:rsidR="009839B0">
        <w:rPr>
          <w:rFonts w:cstheme="minorHAnsi"/>
          <w:sz w:val="24"/>
          <w:szCs w:val="24"/>
        </w:rPr>
        <w:t xml:space="preserve"> </w:t>
      </w:r>
      <w:r w:rsidRPr="00897B15">
        <w:rPr>
          <w:rFonts w:cstheme="minorHAnsi"/>
          <w:sz w:val="24"/>
          <w:szCs w:val="24"/>
        </w:rPr>
        <w:t>contra</w:t>
      </w:r>
      <w:r w:rsidR="009839B0">
        <w:rPr>
          <w:rFonts w:cstheme="minorHAnsi"/>
          <w:sz w:val="24"/>
          <w:szCs w:val="24"/>
        </w:rPr>
        <w:t xml:space="preserve"> </w:t>
      </w:r>
      <w:r w:rsidRPr="00897B15">
        <w:rPr>
          <w:rFonts w:cstheme="minorHAnsi"/>
          <w:sz w:val="24"/>
          <w:szCs w:val="24"/>
        </w:rPr>
        <w:t>las</w:t>
      </w:r>
      <w:r w:rsidR="009839B0">
        <w:rPr>
          <w:rFonts w:cstheme="minorHAnsi"/>
          <w:sz w:val="24"/>
          <w:szCs w:val="24"/>
        </w:rPr>
        <w:t xml:space="preserve"> </w:t>
      </w:r>
      <w:r w:rsidRPr="00897B15">
        <w:rPr>
          <w:rFonts w:cstheme="minorHAnsi"/>
          <w:sz w:val="24"/>
          <w:szCs w:val="24"/>
        </w:rPr>
        <w:t>mujeres es</w:t>
      </w:r>
      <w:r w:rsidR="009839B0">
        <w:rPr>
          <w:rFonts w:cstheme="minorHAnsi"/>
          <w:sz w:val="24"/>
          <w:szCs w:val="24"/>
        </w:rPr>
        <w:t xml:space="preserve"> </w:t>
      </w:r>
      <w:r w:rsidR="00B03E6A" w:rsidRPr="00897B15">
        <w:rPr>
          <w:rFonts w:cstheme="minorHAnsi"/>
          <w:sz w:val="24"/>
          <w:szCs w:val="24"/>
        </w:rPr>
        <w:t>aquella</w:t>
      </w:r>
      <w:r w:rsidR="009839B0">
        <w:rPr>
          <w:rFonts w:cstheme="minorHAnsi"/>
          <w:sz w:val="24"/>
          <w:szCs w:val="24"/>
        </w:rPr>
        <w:t xml:space="preserve"> </w:t>
      </w:r>
      <w:r w:rsidR="00B03E6A" w:rsidRPr="00897B15">
        <w:rPr>
          <w:rFonts w:cstheme="minorHAnsi"/>
          <w:sz w:val="24"/>
          <w:szCs w:val="24"/>
        </w:rPr>
        <w:t>realizada</w:t>
      </w:r>
      <w:r w:rsidR="009839B0">
        <w:rPr>
          <w:rFonts w:cstheme="minorHAnsi"/>
          <w:sz w:val="24"/>
          <w:szCs w:val="24"/>
        </w:rPr>
        <w:t xml:space="preserve"> </w:t>
      </w:r>
      <w:r w:rsidR="00B03E6A" w:rsidRPr="00897B15">
        <w:rPr>
          <w:rFonts w:cstheme="minorHAnsi"/>
          <w:sz w:val="24"/>
          <w:szCs w:val="24"/>
        </w:rPr>
        <w:t>por</w:t>
      </w:r>
      <w:r w:rsidR="009839B0">
        <w:rPr>
          <w:rFonts w:cstheme="minorHAnsi"/>
          <w:sz w:val="24"/>
          <w:szCs w:val="24"/>
        </w:rPr>
        <w:t xml:space="preserve"> </w:t>
      </w:r>
      <w:r w:rsidR="00B03E6A" w:rsidRPr="00897B15">
        <w:rPr>
          <w:rFonts w:cstheme="minorHAnsi"/>
          <w:sz w:val="24"/>
          <w:szCs w:val="24"/>
        </w:rPr>
        <w:t>las/los</w:t>
      </w:r>
      <w:r w:rsidR="009839B0">
        <w:rPr>
          <w:rFonts w:cstheme="minorHAnsi"/>
          <w:sz w:val="24"/>
          <w:szCs w:val="24"/>
        </w:rPr>
        <w:t xml:space="preserve"> </w:t>
      </w:r>
      <w:r w:rsidR="00B03E6A" w:rsidRPr="00897B15">
        <w:rPr>
          <w:rFonts w:cstheme="minorHAnsi"/>
          <w:sz w:val="24"/>
          <w:szCs w:val="24"/>
        </w:rPr>
        <w:t>funcionarias/os, profesionales, personal y agentes pertenecientes a cualquier órgano, ente o institución pública, que tenga</w:t>
      </w:r>
      <w:r w:rsidR="009839B0">
        <w:rPr>
          <w:rFonts w:cstheme="minorHAnsi"/>
          <w:sz w:val="24"/>
          <w:szCs w:val="24"/>
        </w:rPr>
        <w:t xml:space="preserve"> </w:t>
      </w:r>
      <w:r w:rsidR="00B03E6A" w:rsidRPr="00897B15">
        <w:rPr>
          <w:rFonts w:cstheme="minorHAnsi"/>
          <w:sz w:val="24"/>
          <w:szCs w:val="24"/>
        </w:rPr>
        <w:t>como</w:t>
      </w:r>
      <w:r w:rsidR="009839B0">
        <w:rPr>
          <w:rFonts w:cstheme="minorHAnsi"/>
          <w:sz w:val="24"/>
          <w:szCs w:val="24"/>
        </w:rPr>
        <w:t xml:space="preserve"> </w:t>
      </w:r>
      <w:r w:rsidR="00B03E6A" w:rsidRPr="00897B15">
        <w:rPr>
          <w:rFonts w:cstheme="minorHAnsi"/>
          <w:sz w:val="24"/>
          <w:szCs w:val="24"/>
        </w:rPr>
        <w:t>fin</w:t>
      </w:r>
      <w:r w:rsidR="009839B0">
        <w:rPr>
          <w:rFonts w:cstheme="minorHAnsi"/>
          <w:sz w:val="24"/>
          <w:szCs w:val="24"/>
        </w:rPr>
        <w:t xml:space="preserve"> </w:t>
      </w:r>
      <w:r w:rsidR="00B03E6A" w:rsidRPr="00897B15">
        <w:rPr>
          <w:rFonts w:cstheme="minorHAnsi"/>
          <w:sz w:val="24"/>
          <w:szCs w:val="24"/>
        </w:rPr>
        <w:t>retardar,</w:t>
      </w:r>
      <w:r w:rsidR="009839B0">
        <w:rPr>
          <w:rFonts w:cstheme="minorHAnsi"/>
          <w:sz w:val="24"/>
          <w:szCs w:val="24"/>
        </w:rPr>
        <w:t xml:space="preserve"> </w:t>
      </w:r>
      <w:r w:rsidR="00B03E6A" w:rsidRPr="00897B15">
        <w:rPr>
          <w:rFonts w:cstheme="minorHAnsi"/>
          <w:sz w:val="24"/>
          <w:szCs w:val="24"/>
        </w:rPr>
        <w:t>obstaculizar</w:t>
      </w:r>
      <w:r w:rsidR="009839B0">
        <w:rPr>
          <w:rFonts w:cstheme="minorHAnsi"/>
          <w:sz w:val="24"/>
          <w:szCs w:val="24"/>
        </w:rPr>
        <w:t xml:space="preserve"> </w:t>
      </w:r>
      <w:r w:rsidR="00B03E6A" w:rsidRPr="00897B15">
        <w:rPr>
          <w:rFonts w:cstheme="minorHAnsi"/>
          <w:sz w:val="24"/>
          <w:szCs w:val="24"/>
        </w:rPr>
        <w:t>o</w:t>
      </w:r>
      <w:r w:rsidR="009839B0">
        <w:rPr>
          <w:rFonts w:cstheme="minorHAnsi"/>
          <w:sz w:val="24"/>
          <w:szCs w:val="24"/>
        </w:rPr>
        <w:t xml:space="preserve"> </w:t>
      </w:r>
      <w:r w:rsidR="00B03E6A" w:rsidRPr="00897B15">
        <w:rPr>
          <w:rFonts w:cstheme="minorHAnsi"/>
          <w:sz w:val="24"/>
          <w:szCs w:val="24"/>
        </w:rPr>
        <w:t>impedir</w:t>
      </w:r>
      <w:r w:rsidR="009839B0">
        <w:rPr>
          <w:rFonts w:cstheme="minorHAnsi"/>
          <w:sz w:val="24"/>
          <w:szCs w:val="24"/>
        </w:rPr>
        <w:t xml:space="preserve"> </w:t>
      </w:r>
      <w:r w:rsidR="00B03E6A" w:rsidRPr="00897B15">
        <w:rPr>
          <w:rFonts w:cstheme="minorHAnsi"/>
          <w:sz w:val="24"/>
          <w:szCs w:val="24"/>
        </w:rPr>
        <w:t>que</w:t>
      </w:r>
      <w:r w:rsidR="009839B0">
        <w:rPr>
          <w:rFonts w:cstheme="minorHAnsi"/>
          <w:sz w:val="24"/>
          <w:szCs w:val="24"/>
        </w:rPr>
        <w:t xml:space="preserve"> </w:t>
      </w:r>
      <w:r w:rsidR="00B03E6A" w:rsidRPr="00897B15">
        <w:rPr>
          <w:rFonts w:cstheme="minorHAnsi"/>
          <w:sz w:val="24"/>
          <w:szCs w:val="24"/>
        </w:rPr>
        <w:t>las</w:t>
      </w:r>
      <w:r w:rsidR="009839B0">
        <w:rPr>
          <w:rFonts w:cstheme="minorHAnsi"/>
          <w:sz w:val="24"/>
          <w:szCs w:val="24"/>
        </w:rPr>
        <w:t xml:space="preserve"> </w:t>
      </w:r>
      <w:r w:rsidR="00B03E6A" w:rsidRPr="00897B15">
        <w:rPr>
          <w:rFonts w:cstheme="minorHAnsi"/>
          <w:sz w:val="24"/>
          <w:szCs w:val="24"/>
        </w:rPr>
        <w:t>mujeres</w:t>
      </w:r>
      <w:r w:rsidR="009839B0">
        <w:rPr>
          <w:rFonts w:cstheme="minorHAnsi"/>
          <w:sz w:val="24"/>
          <w:szCs w:val="24"/>
        </w:rPr>
        <w:t xml:space="preserve"> </w:t>
      </w:r>
      <w:r w:rsidR="00B03E6A" w:rsidRPr="00897B15">
        <w:rPr>
          <w:rFonts w:cstheme="minorHAnsi"/>
          <w:sz w:val="24"/>
          <w:szCs w:val="24"/>
        </w:rPr>
        <w:t>tengan</w:t>
      </w:r>
      <w:r w:rsidR="009839B0">
        <w:rPr>
          <w:rFonts w:cstheme="minorHAnsi"/>
          <w:sz w:val="24"/>
          <w:szCs w:val="24"/>
        </w:rPr>
        <w:t xml:space="preserve"> </w:t>
      </w:r>
      <w:r w:rsidR="00B03E6A" w:rsidRPr="00897B15">
        <w:rPr>
          <w:rFonts w:cstheme="minorHAnsi"/>
          <w:sz w:val="24"/>
          <w:szCs w:val="24"/>
        </w:rPr>
        <w:t>acceso</w:t>
      </w:r>
      <w:r w:rsidR="009839B0">
        <w:rPr>
          <w:rFonts w:cstheme="minorHAnsi"/>
          <w:sz w:val="24"/>
          <w:szCs w:val="24"/>
        </w:rPr>
        <w:t xml:space="preserve"> </w:t>
      </w:r>
      <w:r w:rsidR="00B03E6A" w:rsidRPr="00897B15">
        <w:rPr>
          <w:rFonts w:cstheme="minorHAnsi"/>
          <w:sz w:val="24"/>
          <w:szCs w:val="24"/>
        </w:rPr>
        <w:t>a</w:t>
      </w:r>
      <w:r w:rsidR="009839B0">
        <w:rPr>
          <w:rFonts w:cstheme="minorHAnsi"/>
          <w:sz w:val="24"/>
          <w:szCs w:val="24"/>
        </w:rPr>
        <w:t xml:space="preserve"> </w:t>
      </w:r>
      <w:r w:rsidR="00B03E6A" w:rsidRPr="00897B15">
        <w:rPr>
          <w:rFonts w:cstheme="minorHAnsi"/>
          <w:sz w:val="24"/>
          <w:szCs w:val="24"/>
        </w:rPr>
        <w:t>las</w:t>
      </w:r>
      <w:r w:rsidR="009839B0">
        <w:rPr>
          <w:rFonts w:cstheme="minorHAnsi"/>
          <w:sz w:val="24"/>
          <w:szCs w:val="24"/>
        </w:rPr>
        <w:t xml:space="preserve"> </w:t>
      </w:r>
      <w:r w:rsidR="00B03E6A" w:rsidRPr="00897B15">
        <w:rPr>
          <w:rFonts w:cstheme="minorHAnsi"/>
          <w:sz w:val="24"/>
          <w:szCs w:val="24"/>
        </w:rPr>
        <w:t xml:space="preserve">políticas públicas y ejerzan los derechos previstos en esta ley. Quedan comprendidas, además, las </w:t>
      </w:r>
      <w:r w:rsidR="00836D6E" w:rsidRPr="00897B15">
        <w:rPr>
          <w:rFonts w:cstheme="minorHAnsi"/>
          <w:sz w:val="24"/>
          <w:szCs w:val="24"/>
        </w:rPr>
        <w:t>acciones de discriminación o violencia que se ejercen en los ámbitos de los</w:t>
      </w:r>
      <w:r w:rsidR="009839B0">
        <w:rPr>
          <w:rFonts w:cstheme="minorHAnsi"/>
          <w:sz w:val="24"/>
          <w:szCs w:val="24"/>
        </w:rPr>
        <w:t xml:space="preserve"> </w:t>
      </w:r>
      <w:r w:rsidR="00B03E6A" w:rsidRPr="00897B15">
        <w:rPr>
          <w:rFonts w:cstheme="minorHAnsi"/>
          <w:sz w:val="24"/>
          <w:szCs w:val="24"/>
        </w:rPr>
        <w:t>partidos</w:t>
      </w:r>
      <w:r w:rsidR="009839B0">
        <w:rPr>
          <w:rFonts w:cstheme="minorHAnsi"/>
          <w:sz w:val="24"/>
          <w:szCs w:val="24"/>
        </w:rPr>
        <w:t xml:space="preserve"> </w:t>
      </w:r>
      <w:r w:rsidR="00B03E6A" w:rsidRPr="00897B15">
        <w:rPr>
          <w:rFonts w:cstheme="minorHAnsi"/>
          <w:sz w:val="24"/>
          <w:szCs w:val="24"/>
        </w:rPr>
        <w:t>políticos,</w:t>
      </w:r>
      <w:r w:rsidR="009839B0">
        <w:rPr>
          <w:rFonts w:cstheme="minorHAnsi"/>
          <w:sz w:val="24"/>
          <w:szCs w:val="24"/>
        </w:rPr>
        <w:t xml:space="preserve"> </w:t>
      </w:r>
      <w:r w:rsidR="00B03E6A" w:rsidRPr="00897B15">
        <w:rPr>
          <w:rFonts w:cstheme="minorHAnsi"/>
          <w:sz w:val="24"/>
          <w:szCs w:val="24"/>
        </w:rPr>
        <w:t>sindicatos,</w:t>
      </w:r>
      <w:r w:rsidR="009839B0">
        <w:rPr>
          <w:rFonts w:cstheme="minorHAnsi"/>
          <w:sz w:val="24"/>
          <w:szCs w:val="24"/>
        </w:rPr>
        <w:t xml:space="preserve"> </w:t>
      </w:r>
      <w:r w:rsidR="00B03E6A" w:rsidRPr="00897B15">
        <w:rPr>
          <w:rFonts w:cstheme="minorHAnsi"/>
          <w:sz w:val="24"/>
          <w:szCs w:val="24"/>
        </w:rPr>
        <w:t>organizaciones</w:t>
      </w:r>
      <w:r w:rsidR="009839B0">
        <w:rPr>
          <w:rFonts w:cstheme="minorHAnsi"/>
          <w:sz w:val="24"/>
          <w:szCs w:val="24"/>
        </w:rPr>
        <w:t xml:space="preserve"> </w:t>
      </w:r>
      <w:r w:rsidR="00B03E6A" w:rsidRPr="00897B15">
        <w:rPr>
          <w:rFonts w:cstheme="minorHAnsi"/>
          <w:sz w:val="24"/>
          <w:szCs w:val="24"/>
        </w:rPr>
        <w:t>empresariales,</w:t>
      </w:r>
      <w:r w:rsidR="009839B0">
        <w:rPr>
          <w:rFonts w:cstheme="minorHAnsi"/>
          <w:sz w:val="24"/>
          <w:szCs w:val="24"/>
        </w:rPr>
        <w:t xml:space="preserve"> </w:t>
      </w:r>
      <w:r w:rsidR="00B03E6A" w:rsidRPr="00897B15">
        <w:rPr>
          <w:rFonts w:cstheme="minorHAnsi"/>
          <w:sz w:val="24"/>
          <w:szCs w:val="24"/>
        </w:rPr>
        <w:t>deportiv</w:t>
      </w:r>
      <w:r w:rsidRPr="00897B15">
        <w:rPr>
          <w:rFonts w:cstheme="minorHAnsi"/>
          <w:sz w:val="24"/>
          <w:szCs w:val="24"/>
        </w:rPr>
        <w:t>as</w:t>
      </w:r>
      <w:r w:rsidR="009839B0">
        <w:rPr>
          <w:rFonts w:cstheme="minorHAnsi"/>
          <w:sz w:val="24"/>
          <w:szCs w:val="24"/>
        </w:rPr>
        <w:t xml:space="preserve"> </w:t>
      </w:r>
      <w:r w:rsidRPr="00897B15">
        <w:rPr>
          <w:rFonts w:cstheme="minorHAnsi"/>
          <w:sz w:val="24"/>
          <w:szCs w:val="24"/>
        </w:rPr>
        <w:t>y</w:t>
      </w:r>
      <w:r w:rsidR="009839B0">
        <w:rPr>
          <w:rFonts w:cstheme="minorHAnsi"/>
          <w:sz w:val="24"/>
          <w:szCs w:val="24"/>
        </w:rPr>
        <w:t xml:space="preserve"> </w:t>
      </w:r>
      <w:r w:rsidRPr="00897B15">
        <w:rPr>
          <w:rFonts w:cstheme="minorHAnsi"/>
          <w:sz w:val="24"/>
          <w:szCs w:val="24"/>
        </w:rPr>
        <w:t>de</w:t>
      </w:r>
      <w:r w:rsidR="009839B0">
        <w:rPr>
          <w:rFonts w:cstheme="minorHAnsi"/>
          <w:sz w:val="24"/>
          <w:szCs w:val="24"/>
        </w:rPr>
        <w:t xml:space="preserve"> </w:t>
      </w:r>
      <w:r w:rsidRPr="00897B15">
        <w:rPr>
          <w:rFonts w:cstheme="minorHAnsi"/>
          <w:sz w:val="24"/>
          <w:szCs w:val="24"/>
        </w:rPr>
        <w:t xml:space="preserve">la sociedad civil. </w:t>
      </w:r>
    </w:p>
    <w:p w:rsidR="00395C91" w:rsidRPr="00714D66" w:rsidRDefault="00395C91" w:rsidP="009839B0">
      <w:pPr>
        <w:shd w:val="clear" w:color="auto" w:fill="FFFFFF"/>
        <w:spacing w:after="120"/>
        <w:jc w:val="both"/>
        <w:rPr>
          <w:rFonts w:cstheme="minorHAnsi"/>
          <w:sz w:val="24"/>
          <w:szCs w:val="24"/>
          <w:lang w:val="es-MX"/>
        </w:rPr>
      </w:pPr>
      <w:r w:rsidRPr="00897B15">
        <w:rPr>
          <w:rFonts w:cstheme="minorHAnsi"/>
          <w:sz w:val="24"/>
          <w:szCs w:val="24"/>
          <w:lang w:val="es-MX"/>
        </w:rPr>
        <w:t xml:space="preserve">Por otro lado </w:t>
      </w:r>
      <w:r w:rsidR="00836D6E" w:rsidRPr="00897B15">
        <w:rPr>
          <w:rFonts w:cstheme="minorHAnsi"/>
          <w:sz w:val="24"/>
          <w:szCs w:val="24"/>
          <w:lang w:val="es-MX"/>
        </w:rPr>
        <w:t>la Ley</w:t>
      </w:r>
      <w:r w:rsidR="009839B0">
        <w:rPr>
          <w:rFonts w:cstheme="minorHAnsi"/>
          <w:sz w:val="24"/>
          <w:szCs w:val="24"/>
          <w:lang w:val="es-MX"/>
        </w:rPr>
        <w:t xml:space="preserve"> </w:t>
      </w:r>
      <w:r w:rsidRPr="00897B15">
        <w:rPr>
          <w:rFonts w:cstheme="minorHAnsi"/>
          <w:sz w:val="24"/>
          <w:szCs w:val="24"/>
          <w:lang w:val="es-MX"/>
        </w:rPr>
        <w:t>define</w:t>
      </w:r>
      <w:r w:rsidR="009839B0">
        <w:rPr>
          <w:rFonts w:cstheme="minorHAnsi"/>
          <w:sz w:val="24"/>
          <w:szCs w:val="24"/>
          <w:lang w:val="es-MX"/>
        </w:rPr>
        <w:t xml:space="preserve"> </w:t>
      </w:r>
      <w:r w:rsidRPr="00897B15">
        <w:rPr>
          <w:rFonts w:cstheme="minorHAnsi"/>
          <w:sz w:val="24"/>
          <w:szCs w:val="24"/>
          <w:lang w:val="es-MX"/>
        </w:rPr>
        <w:t>v</w:t>
      </w:r>
      <w:r w:rsidR="00B03E6A" w:rsidRPr="00897B15">
        <w:rPr>
          <w:rFonts w:cstheme="minorHAnsi"/>
          <w:sz w:val="24"/>
          <w:szCs w:val="24"/>
          <w:lang w:val="es-MX"/>
        </w:rPr>
        <w:t>iolen</w:t>
      </w:r>
      <w:r w:rsidRPr="00897B15">
        <w:rPr>
          <w:rFonts w:cstheme="minorHAnsi"/>
          <w:sz w:val="24"/>
          <w:szCs w:val="24"/>
          <w:lang w:val="es-MX"/>
        </w:rPr>
        <w:t xml:space="preserve">cia laboral contra las mujeres, </w:t>
      </w:r>
      <w:r w:rsidR="00836D6E" w:rsidRPr="00897B15">
        <w:rPr>
          <w:rFonts w:cstheme="minorHAnsi"/>
          <w:sz w:val="24"/>
          <w:szCs w:val="24"/>
          <w:lang w:val="es-MX"/>
        </w:rPr>
        <w:t>como</w:t>
      </w:r>
      <w:r w:rsidRPr="00897B15">
        <w:rPr>
          <w:rFonts w:cstheme="minorHAnsi"/>
          <w:sz w:val="24"/>
          <w:szCs w:val="24"/>
          <w:lang w:val="es-MX"/>
        </w:rPr>
        <w:t xml:space="preserve"> </w:t>
      </w:r>
      <w:r w:rsidR="00B03E6A" w:rsidRPr="00897B15">
        <w:rPr>
          <w:rFonts w:cstheme="minorHAnsi"/>
          <w:sz w:val="24"/>
          <w:szCs w:val="24"/>
          <w:lang w:val="es-MX"/>
        </w:rPr>
        <w:t xml:space="preserve">aquella que discrimina a las mujeres en los ámbitos de trabajo públicos o </w:t>
      </w:r>
      <w:r w:rsidR="00B03E6A" w:rsidRPr="00714D66">
        <w:rPr>
          <w:rFonts w:cstheme="minorHAnsi"/>
          <w:sz w:val="24"/>
          <w:szCs w:val="24"/>
          <w:lang w:val="es-MX"/>
        </w:rPr>
        <w:t xml:space="preserve">privados y que obstaculiza su acceso al empleo, contratación, ascenso, estabilidad o permanencia en </w:t>
      </w:r>
      <w:r w:rsidR="00B03E6A" w:rsidRPr="00714D66">
        <w:rPr>
          <w:rFonts w:cstheme="minorHAnsi"/>
          <w:sz w:val="24"/>
          <w:szCs w:val="24"/>
          <w:lang w:val="es-MX"/>
        </w:rPr>
        <w:lastRenderedPageBreak/>
        <w:t>el mismo, exigiendo requisitos sobre estado civil, maternidad, edad, apariencia física o la realización de test de embarazo.</w:t>
      </w:r>
    </w:p>
    <w:p w:rsidR="00FB03FD" w:rsidRPr="00897B15" w:rsidRDefault="00B03E6A" w:rsidP="009839B0">
      <w:pPr>
        <w:shd w:val="clear" w:color="auto" w:fill="FFFFFF"/>
        <w:spacing w:after="120"/>
        <w:jc w:val="both"/>
        <w:rPr>
          <w:rFonts w:cstheme="minorHAnsi"/>
          <w:sz w:val="24"/>
          <w:szCs w:val="24"/>
          <w:lang w:val="es-MX"/>
        </w:rPr>
      </w:pPr>
      <w:r w:rsidRPr="00897B15">
        <w:rPr>
          <w:rFonts w:cstheme="minorHAnsi"/>
          <w:sz w:val="24"/>
          <w:szCs w:val="24"/>
          <w:lang w:val="es-MX"/>
        </w:rPr>
        <w:t>Constituye también violencia contra las mujeres en el ámbito laboral quebrantar el derecho de igual remuneración por igual tarea o función. Asimismo, incluye el hostigamiento psicológico en forma sistemática sobre una determinada trabajadora con el fin</w:t>
      </w:r>
      <w:r w:rsidR="00395C91" w:rsidRPr="00897B15">
        <w:rPr>
          <w:rFonts w:cstheme="minorHAnsi"/>
          <w:sz w:val="24"/>
          <w:szCs w:val="24"/>
          <w:lang w:val="es-MX"/>
        </w:rPr>
        <w:t xml:space="preserve"> de lograr su exclusión laboral. </w:t>
      </w:r>
    </w:p>
    <w:p w:rsidR="000F0813" w:rsidRPr="000F0813" w:rsidRDefault="00FB03FD" w:rsidP="009839B0">
      <w:pPr>
        <w:pStyle w:val="ListParagraph"/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20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897B15">
        <w:rPr>
          <w:rFonts w:asciiTheme="minorHAnsi" w:hAnsiTheme="minorHAnsi" w:cstheme="minorHAnsi"/>
          <w:b/>
          <w:bCs/>
          <w:sz w:val="24"/>
          <w:szCs w:val="24"/>
          <w:lang w:val="es-AR"/>
        </w:rPr>
        <w:t>Nuevo estatuto del peón rural</w:t>
      </w:r>
      <w:r w:rsidRPr="00897B15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. Ley de Trabajo Agrario 26727/11. </w:t>
      </w:r>
      <w:r w:rsidRPr="00897B15">
        <w:rPr>
          <w:rFonts w:asciiTheme="minorHAnsi" w:hAnsiTheme="minorHAnsi" w:cstheme="minorHAnsi"/>
          <w:sz w:val="24"/>
          <w:szCs w:val="24"/>
          <w:lang w:val="es-AR"/>
        </w:rPr>
        <w:t>Introduce la modalidad de contrato permanente de prestación discontinua, marca diferencia con el contrato de trabajo temporario, pone fin al trabajo a destajo, garantiza condiciones dignas de trabajo (vacaciones, cobertura de salud) y fija licencias por maternidad</w:t>
      </w:r>
      <w:r w:rsidR="009839B0">
        <w:rPr>
          <w:rFonts w:asciiTheme="minorHAnsi" w:hAnsiTheme="minorHAnsi" w:cstheme="minorHAnsi"/>
          <w:sz w:val="24"/>
          <w:szCs w:val="24"/>
          <w:lang w:val="es-AR"/>
        </w:rPr>
        <w:t xml:space="preserve"> </w:t>
      </w:r>
      <w:r w:rsidRPr="00897B15">
        <w:rPr>
          <w:rFonts w:asciiTheme="minorHAnsi" w:hAnsiTheme="minorHAnsi" w:cstheme="minorHAnsi"/>
          <w:sz w:val="24"/>
          <w:szCs w:val="24"/>
          <w:lang w:val="es-AR"/>
        </w:rPr>
        <w:t>y paternidad. Esta última de 30 días. Además se exige que el empleador coloque guarderías y espacios de cu</w:t>
      </w:r>
      <w:r w:rsidR="00F75701">
        <w:rPr>
          <w:rFonts w:asciiTheme="minorHAnsi" w:hAnsiTheme="minorHAnsi" w:cstheme="minorHAnsi"/>
          <w:sz w:val="24"/>
          <w:szCs w:val="24"/>
          <w:lang w:val="es-AR"/>
        </w:rPr>
        <w:t>idado en los lugares de trabajo.</w:t>
      </w:r>
    </w:p>
    <w:p w:rsidR="009839B0" w:rsidRPr="009839B0" w:rsidRDefault="00FB03FD" w:rsidP="009839B0">
      <w:pPr>
        <w:pStyle w:val="ListParagraph"/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20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897B15">
        <w:rPr>
          <w:rFonts w:asciiTheme="minorHAnsi" w:hAnsiTheme="minorHAnsi" w:cstheme="minorHAnsi"/>
          <w:b/>
          <w:sz w:val="24"/>
          <w:szCs w:val="24"/>
          <w:lang w:val="es-MX"/>
        </w:rPr>
        <w:t>Régimen especial de contrato de trabajo para el personal de casas particulares.</w:t>
      </w:r>
      <w:r w:rsidR="009839B0"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  <w:r w:rsidRPr="00897B15">
        <w:rPr>
          <w:rFonts w:asciiTheme="minorHAnsi" w:hAnsiTheme="minorHAnsi" w:cstheme="minorHAnsi"/>
          <w:b/>
          <w:sz w:val="24"/>
          <w:szCs w:val="24"/>
          <w:lang w:val="es-MX"/>
        </w:rPr>
        <w:t>Ley N°26.844</w:t>
      </w:r>
      <w:r w:rsidR="009839B0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9839B0">
        <w:rPr>
          <w:rFonts w:asciiTheme="minorHAnsi" w:hAnsiTheme="minorHAnsi" w:cstheme="minorHAnsi"/>
          <w:b/>
          <w:sz w:val="24"/>
          <w:szCs w:val="24"/>
          <w:lang w:val="es-MX"/>
        </w:rPr>
        <w:t>Marzo de 2013.</w:t>
      </w:r>
      <w:r w:rsidRPr="00897B15"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</w:p>
    <w:p w:rsidR="00FB03FD" w:rsidRPr="00897B15" w:rsidRDefault="00FB03FD" w:rsidP="009839B0">
      <w:pPr>
        <w:pStyle w:val="ListParagraph"/>
        <w:shd w:val="clear" w:color="auto" w:fill="FFFFFF"/>
        <w:tabs>
          <w:tab w:val="left" w:pos="284"/>
        </w:tabs>
        <w:spacing w:before="100" w:beforeAutospacing="1" w:after="120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897B15">
        <w:rPr>
          <w:rFonts w:asciiTheme="minorHAnsi" w:hAnsiTheme="minorHAnsi" w:cstheme="minorHAnsi"/>
          <w:sz w:val="24"/>
          <w:szCs w:val="24"/>
          <w:lang w:val="es-MX"/>
        </w:rPr>
        <w:t>Aproximadamente un millón de trabajadoras desarrollan sus actividades en el sector del trabajo doméstico remunerado en la Argentina. Su trabajo estuvo durante años</w:t>
      </w:r>
      <w:r w:rsidR="009839B0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897B15">
        <w:rPr>
          <w:rFonts w:asciiTheme="minorHAnsi" w:hAnsiTheme="minorHAnsi" w:cstheme="minorHAnsi"/>
          <w:sz w:val="24"/>
          <w:szCs w:val="24"/>
          <w:lang w:val="es-MX"/>
        </w:rPr>
        <w:t>regulado por un estatuto redactado en 1956. La Ley de trabajadoras de casas particulares constituyo un gran</w:t>
      </w:r>
      <w:r w:rsidR="009839B0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897B15">
        <w:rPr>
          <w:rFonts w:asciiTheme="minorHAnsi" w:hAnsiTheme="minorHAnsi" w:cstheme="minorHAnsi"/>
          <w:sz w:val="24"/>
          <w:szCs w:val="24"/>
          <w:lang w:val="es-MX"/>
        </w:rPr>
        <w:t>avance en el reconocimiento de estas trabajadoras, de su trabajo y sus derechos. Fija las Condiciones del Trabajo Doméstico</w:t>
      </w:r>
      <w:r w:rsidR="005C5F3F" w:rsidRPr="00897B15">
        <w:rPr>
          <w:rFonts w:asciiTheme="minorHAnsi" w:hAnsiTheme="minorHAnsi" w:cstheme="minorHAnsi"/>
          <w:sz w:val="24"/>
          <w:szCs w:val="24"/>
          <w:lang w:val="es-MX"/>
        </w:rPr>
        <w:t xml:space="preserve"> y rige</w:t>
      </w:r>
      <w:r w:rsidRPr="00897B15">
        <w:rPr>
          <w:rFonts w:asciiTheme="minorHAnsi" w:hAnsiTheme="minorHAnsi" w:cstheme="minorHAnsi"/>
          <w:sz w:val="24"/>
          <w:szCs w:val="24"/>
          <w:lang w:val="es-MX"/>
        </w:rPr>
        <w:t xml:space="preserve"> en todo el territorio de la Nación las relaciones laborales que se entablen con los empleados y empleadas por el trabajo que presten en casas particulares o en el ámbito de la vida familiar y que no importe para el empleador lucro o beneficio económico directo, cualquiera fuere la cantidad de horas diarias o de jornadas semanales en que sean ocupados para tales labores.</w:t>
      </w:r>
    </w:p>
    <w:p w:rsidR="00AD2CF0" w:rsidRPr="00897B15" w:rsidRDefault="00FB03FD" w:rsidP="009839B0">
      <w:pPr>
        <w:pStyle w:val="ListParagraph"/>
        <w:tabs>
          <w:tab w:val="left" w:pos="284"/>
        </w:tabs>
        <w:autoSpaceDE w:val="0"/>
        <w:autoSpaceDN w:val="0"/>
        <w:adjustRightInd w:val="0"/>
        <w:spacing w:after="120"/>
        <w:ind w:left="0"/>
        <w:contextualSpacing w:val="0"/>
        <w:jc w:val="both"/>
        <w:outlineLvl w:val="1"/>
        <w:rPr>
          <w:rFonts w:asciiTheme="minorHAnsi" w:hAnsiTheme="minorHAnsi" w:cstheme="minorHAnsi"/>
          <w:sz w:val="24"/>
          <w:szCs w:val="24"/>
          <w:lang w:val="es-MX"/>
        </w:rPr>
      </w:pPr>
      <w:r w:rsidRPr="00897B15">
        <w:rPr>
          <w:rFonts w:asciiTheme="minorHAnsi" w:hAnsiTheme="minorHAnsi" w:cstheme="minorHAnsi"/>
          <w:sz w:val="24"/>
          <w:szCs w:val="24"/>
          <w:lang w:val="es-MX"/>
        </w:rPr>
        <w:t>También establece aportes y contribuciones</w:t>
      </w:r>
      <w:r w:rsidR="005C5F3F" w:rsidRPr="00897B15">
        <w:rPr>
          <w:rFonts w:asciiTheme="minorHAnsi" w:hAnsiTheme="minorHAnsi" w:cstheme="minorHAnsi"/>
          <w:sz w:val="24"/>
          <w:szCs w:val="24"/>
          <w:lang w:val="es-MX"/>
        </w:rPr>
        <w:t xml:space="preserve">, </w:t>
      </w:r>
      <w:r w:rsidRPr="00897B15">
        <w:rPr>
          <w:rFonts w:asciiTheme="minorHAnsi" w:hAnsiTheme="minorHAnsi" w:cstheme="minorHAnsi"/>
          <w:sz w:val="24"/>
          <w:szCs w:val="24"/>
          <w:lang w:val="es-MX"/>
        </w:rPr>
        <w:t>define las modalidades de trabajo del sector, fija licencias por enfermedad, examen, por nacimiento, maternidad, matrimonio fallecimient</w:t>
      </w:r>
      <w:r w:rsidR="005C5F3F" w:rsidRPr="00897B15">
        <w:rPr>
          <w:rFonts w:asciiTheme="minorHAnsi" w:hAnsiTheme="minorHAnsi" w:cstheme="minorHAnsi"/>
          <w:sz w:val="24"/>
          <w:szCs w:val="24"/>
          <w:lang w:val="es-MX"/>
        </w:rPr>
        <w:t>o de cónyuge, hijos, o hermanos y e</w:t>
      </w:r>
      <w:r w:rsidRPr="00897B15">
        <w:rPr>
          <w:rFonts w:asciiTheme="minorHAnsi" w:hAnsiTheme="minorHAnsi" w:cstheme="minorHAnsi"/>
          <w:sz w:val="24"/>
          <w:szCs w:val="24"/>
          <w:lang w:val="es-MX"/>
        </w:rPr>
        <w:t>stablece el aguinaldo, las vacaciones e indemnización en caso de despido.</w:t>
      </w:r>
    </w:p>
    <w:p w:rsidR="00527970" w:rsidRDefault="00527970" w:rsidP="00A553D9">
      <w:pPr>
        <w:spacing w:after="120"/>
        <w:jc w:val="both"/>
        <w:rPr>
          <w:rFonts w:cstheme="minorHAnsi"/>
          <w:b/>
          <w:sz w:val="28"/>
          <w:szCs w:val="28"/>
        </w:rPr>
      </w:pPr>
    </w:p>
    <w:p w:rsidR="007E6F08" w:rsidRPr="00A553D9" w:rsidRDefault="00A553D9" w:rsidP="00A553D9">
      <w:pPr>
        <w:spacing w:after="12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Avances en </w:t>
      </w:r>
      <w:r w:rsidR="007E6F08" w:rsidRPr="00A553D9">
        <w:rPr>
          <w:rFonts w:cstheme="minorHAnsi"/>
          <w:b/>
          <w:sz w:val="28"/>
          <w:szCs w:val="28"/>
        </w:rPr>
        <w:t>p</w:t>
      </w:r>
      <w:r w:rsidR="00D2038A" w:rsidRPr="00A553D9">
        <w:rPr>
          <w:rFonts w:cstheme="minorHAnsi"/>
          <w:b/>
          <w:sz w:val="28"/>
          <w:szCs w:val="28"/>
        </w:rPr>
        <w:t xml:space="preserve">olíticas </w:t>
      </w:r>
      <w:r w:rsidR="007E6F08" w:rsidRPr="00A553D9">
        <w:rPr>
          <w:rFonts w:cstheme="minorHAnsi"/>
          <w:b/>
          <w:sz w:val="28"/>
          <w:szCs w:val="28"/>
        </w:rPr>
        <w:t xml:space="preserve">públicas </w:t>
      </w:r>
      <w:r w:rsidR="00115114">
        <w:rPr>
          <w:rFonts w:cstheme="minorHAnsi"/>
          <w:b/>
          <w:sz w:val="28"/>
          <w:szCs w:val="28"/>
        </w:rPr>
        <w:t xml:space="preserve">y buenas prácticas del </w:t>
      </w:r>
      <w:r w:rsidR="009E2165">
        <w:rPr>
          <w:rFonts w:cstheme="minorHAnsi"/>
          <w:b/>
          <w:sz w:val="28"/>
          <w:szCs w:val="28"/>
        </w:rPr>
        <w:t>Ministerio de Trabajo</w:t>
      </w:r>
    </w:p>
    <w:p w:rsidR="009E2165" w:rsidRPr="009E2165" w:rsidRDefault="009E2165" w:rsidP="009E2165">
      <w:pPr>
        <w:pStyle w:val="ListParagraph"/>
        <w:spacing w:after="120"/>
        <w:jc w:val="both"/>
        <w:rPr>
          <w:rFonts w:cstheme="minorHAnsi"/>
          <w:b/>
          <w:sz w:val="24"/>
          <w:szCs w:val="24"/>
          <w:lang w:val="es-MX"/>
        </w:rPr>
      </w:pPr>
    </w:p>
    <w:p w:rsidR="00D27AB3" w:rsidRPr="009E2165" w:rsidRDefault="00D27AB3" w:rsidP="00A553D9">
      <w:pPr>
        <w:pStyle w:val="ListParagraph"/>
        <w:numPr>
          <w:ilvl w:val="0"/>
          <w:numId w:val="5"/>
        </w:numPr>
        <w:spacing w:after="120"/>
        <w:jc w:val="both"/>
        <w:rPr>
          <w:rFonts w:cstheme="minorHAnsi"/>
          <w:b/>
          <w:sz w:val="24"/>
          <w:szCs w:val="24"/>
          <w:lang w:val="es-MX"/>
        </w:rPr>
      </w:pPr>
      <w:r w:rsidRPr="009E2165">
        <w:rPr>
          <w:rFonts w:cstheme="minorHAnsi"/>
          <w:b/>
          <w:sz w:val="24"/>
          <w:szCs w:val="24"/>
          <w:lang w:val="es-MX"/>
        </w:rPr>
        <w:t>Programa Nuevos Oficios para Mujeres</w:t>
      </w:r>
    </w:p>
    <w:p w:rsidR="005C5F3F" w:rsidRPr="00897B15" w:rsidRDefault="005C5F3F" w:rsidP="009839B0">
      <w:pPr>
        <w:spacing w:after="120"/>
        <w:jc w:val="both"/>
        <w:rPr>
          <w:rFonts w:cstheme="minorHAnsi"/>
          <w:sz w:val="24"/>
          <w:szCs w:val="24"/>
        </w:rPr>
      </w:pPr>
      <w:r w:rsidRPr="00897B15">
        <w:rPr>
          <w:rFonts w:cstheme="minorHAnsi"/>
          <w:sz w:val="24"/>
          <w:szCs w:val="24"/>
        </w:rPr>
        <w:t>Creado por</w:t>
      </w:r>
      <w:r w:rsidR="00D44D4B" w:rsidRPr="00897B15">
        <w:rPr>
          <w:rFonts w:cstheme="minorHAnsi"/>
          <w:sz w:val="24"/>
          <w:szCs w:val="24"/>
        </w:rPr>
        <w:t xml:space="preserve"> Resolución 1553/2010 </w:t>
      </w:r>
      <w:r w:rsidRPr="00897B15">
        <w:rPr>
          <w:rFonts w:cstheme="minorHAnsi"/>
          <w:sz w:val="24"/>
          <w:szCs w:val="24"/>
        </w:rPr>
        <w:t>destinado a la formación de mujeres,</w:t>
      </w:r>
      <w:r w:rsidR="009839B0">
        <w:rPr>
          <w:rFonts w:cstheme="minorHAnsi"/>
          <w:sz w:val="24"/>
          <w:szCs w:val="24"/>
        </w:rPr>
        <w:t xml:space="preserve"> </w:t>
      </w:r>
      <w:r w:rsidRPr="00897B15">
        <w:rPr>
          <w:rFonts w:cstheme="minorHAnsi"/>
          <w:sz w:val="24"/>
          <w:szCs w:val="24"/>
        </w:rPr>
        <w:t xml:space="preserve">en actividades no tradicionales para el género a fin de contribuir a mejorar sus condiciones de empleabilidad y promover su inserción laboral. </w:t>
      </w:r>
    </w:p>
    <w:p w:rsidR="005C5F3F" w:rsidRPr="00897B15" w:rsidRDefault="005C5F3F" w:rsidP="009839B0">
      <w:pPr>
        <w:spacing w:after="120"/>
        <w:jc w:val="both"/>
        <w:rPr>
          <w:rFonts w:cstheme="minorHAnsi"/>
          <w:sz w:val="24"/>
          <w:szCs w:val="24"/>
        </w:rPr>
      </w:pPr>
      <w:r w:rsidRPr="00897B15">
        <w:rPr>
          <w:rFonts w:cstheme="minorHAnsi"/>
          <w:sz w:val="24"/>
          <w:szCs w:val="24"/>
        </w:rPr>
        <w:lastRenderedPageBreak/>
        <w:t>El objetivo es promover la capacitación y el acceso de las mujeres</w:t>
      </w:r>
      <w:r w:rsidR="009839B0">
        <w:rPr>
          <w:rFonts w:cstheme="minorHAnsi"/>
          <w:sz w:val="24"/>
          <w:szCs w:val="24"/>
        </w:rPr>
        <w:t xml:space="preserve"> </w:t>
      </w:r>
      <w:r w:rsidRPr="00897B15">
        <w:rPr>
          <w:rFonts w:cstheme="minorHAnsi"/>
          <w:sz w:val="24"/>
          <w:szCs w:val="24"/>
        </w:rPr>
        <w:t>a</w:t>
      </w:r>
      <w:r w:rsidR="009839B0">
        <w:rPr>
          <w:rFonts w:cstheme="minorHAnsi"/>
          <w:sz w:val="24"/>
          <w:szCs w:val="24"/>
        </w:rPr>
        <w:t xml:space="preserve"> </w:t>
      </w:r>
      <w:r w:rsidR="00D44D4B" w:rsidRPr="00897B15">
        <w:rPr>
          <w:rFonts w:cstheme="minorHAnsi"/>
          <w:sz w:val="24"/>
          <w:szCs w:val="24"/>
        </w:rPr>
        <w:t xml:space="preserve">puestos de trabajo más calificados, </w:t>
      </w:r>
      <w:r w:rsidRPr="00897B15">
        <w:rPr>
          <w:rFonts w:cstheme="minorHAnsi"/>
          <w:sz w:val="24"/>
          <w:szCs w:val="24"/>
        </w:rPr>
        <w:t xml:space="preserve">mejor remunerados y </w:t>
      </w:r>
      <w:r w:rsidR="00D44D4B" w:rsidRPr="00897B15">
        <w:rPr>
          <w:rFonts w:cstheme="minorHAnsi"/>
          <w:sz w:val="24"/>
          <w:szCs w:val="24"/>
        </w:rPr>
        <w:t>con mejor desarrollo de carrera.</w:t>
      </w:r>
    </w:p>
    <w:p w:rsidR="00A23AFD" w:rsidRPr="00897B15" w:rsidRDefault="00A23AFD" w:rsidP="009839B0">
      <w:pPr>
        <w:spacing w:after="120"/>
        <w:jc w:val="both"/>
        <w:rPr>
          <w:rFonts w:cstheme="minorHAnsi"/>
          <w:sz w:val="24"/>
          <w:szCs w:val="24"/>
        </w:rPr>
      </w:pPr>
      <w:r w:rsidRPr="00897B15">
        <w:rPr>
          <w:rFonts w:cstheme="minorHAnsi"/>
          <w:sz w:val="24"/>
          <w:szCs w:val="24"/>
        </w:rPr>
        <w:t>Se denominan</w:t>
      </w:r>
      <w:r w:rsidR="009839B0">
        <w:rPr>
          <w:rFonts w:cstheme="minorHAnsi"/>
          <w:sz w:val="24"/>
          <w:szCs w:val="24"/>
        </w:rPr>
        <w:t xml:space="preserve"> </w:t>
      </w:r>
      <w:r w:rsidRPr="00897B15">
        <w:rPr>
          <w:rFonts w:cstheme="minorHAnsi"/>
          <w:sz w:val="24"/>
          <w:szCs w:val="24"/>
        </w:rPr>
        <w:t>“actividades no tradicionales”</w:t>
      </w:r>
      <w:r w:rsidR="009839B0">
        <w:rPr>
          <w:rFonts w:cstheme="minorHAnsi"/>
          <w:sz w:val="24"/>
          <w:szCs w:val="24"/>
        </w:rPr>
        <w:t xml:space="preserve"> </w:t>
      </w:r>
      <w:r w:rsidRPr="00897B15">
        <w:rPr>
          <w:rFonts w:cstheme="minorHAnsi"/>
          <w:sz w:val="24"/>
          <w:szCs w:val="24"/>
        </w:rPr>
        <w:t>para mujeres a</w:t>
      </w:r>
      <w:r w:rsidR="009839B0">
        <w:rPr>
          <w:rFonts w:cstheme="minorHAnsi"/>
          <w:sz w:val="24"/>
          <w:szCs w:val="24"/>
        </w:rPr>
        <w:t xml:space="preserve"> </w:t>
      </w:r>
      <w:r w:rsidRPr="00897B15">
        <w:rPr>
          <w:rFonts w:cstheme="minorHAnsi"/>
          <w:sz w:val="24"/>
          <w:szCs w:val="24"/>
        </w:rPr>
        <w:t>aquellos</w:t>
      </w:r>
      <w:r w:rsidR="009839B0">
        <w:rPr>
          <w:rFonts w:cstheme="minorHAnsi"/>
          <w:sz w:val="24"/>
          <w:szCs w:val="24"/>
        </w:rPr>
        <w:t xml:space="preserve"> </w:t>
      </w:r>
      <w:r w:rsidRPr="00897B15">
        <w:rPr>
          <w:rFonts w:cstheme="minorHAnsi"/>
          <w:sz w:val="24"/>
          <w:szCs w:val="24"/>
        </w:rPr>
        <w:t>oficios, puestos de trabajo, empleos, sectores de actividad que requieren saberes y prácticas que se ubican en un área de conocimientos y calificaciones</w:t>
      </w:r>
      <w:r w:rsidR="009839B0">
        <w:rPr>
          <w:rFonts w:cstheme="minorHAnsi"/>
          <w:sz w:val="24"/>
          <w:szCs w:val="24"/>
        </w:rPr>
        <w:t xml:space="preserve"> </w:t>
      </w:r>
      <w:r w:rsidRPr="00897B15">
        <w:rPr>
          <w:rFonts w:cstheme="minorHAnsi"/>
          <w:sz w:val="24"/>
          <w:szCs w:val="24"/>
        </w:rPr>
        <w:t>ajenas a los que social y culturalmente se asigna como roles y capacidades “na</w:t>
      </w:r>
      <w:r w:rsidR="00A51458" w:rsidRPr="00897B15">
        <w:rPr>
          <w:rFonts w:cstheme="minorHAnsi"/>
          <w:sz w:val="24"/>
          <w:szCs w:val="24"/>
        </w:rPr>
        <w:t>turales”</w:t>
      </w:r>
      <w:r w:rsidR="009839B0">
        <w:rPr>
          <w:rFonts w:cstheme="minorHAnsi"/>
          <w:sz w:val="24"/>
          <w:szCs w:val="24"/>
        </w:rPr>
        <w:t xml:space="preserve"> </w:t>
      </w:r>
      <w:r w:rsidRPr="00897B15">
        <w:rPr>
          <w:rFonts w:cstheme="minorHAnsi"/>
          <w:sz w:val="24"/>
          <w:szCs w:val="24"/>
        </w:rPr>
        <w:t>de las mujeres.</w:t>
      </w:r>
    </w:p>
    <w:p w:rsidR="002237D3" w:rsidRDefault="002237D3" w:rsidP="009839B0">
      <w:pPr>
        <w:spacing w:after="120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Durante los años 2012 y 2013 se capacitaron a mujeres en mecánica de motos en 5 localidades del todo el país. Villa </w:t>
      </w:r>
      <w:proofErr w:type="spellStart"/>
      <w:r>
        <w:rPr>
          <w:rFonts w:cstheme="minorHAnsi"/>
          <w:sz w:val="24"/>
          <w:szCs w:val="24"/>
          <w:lang w:val="es-ES"/>
        </w:rPr>
        <w:t>Maria</w:t>
      </w:r>
      <w:proofErr w:type="spellEnd"/>
      <w:r>
        <w:rPr>
          <w:rFonts w:cstheme="minorHAnsi"/>
          <w:sz w:val="24"/>
          <w:szCs w:val="24"/>
          <w:lang w:val="es-ES"/>
        </w:rPr>
        <w:t xml:space="preserve"> (</w:t>
      </w:r>
      <w:proofErr w:type="spellStart"/>
      <w:r>
        <w:rPr>
          <w:rFonts w:cstheme="minorHAnsi"/>
          <w:sz w:val="24"/>
          <w:szCs w:val="24"/>
          <w:lang w:val="es-ES"/>
        </w:rPr>
        <w:t>Cordoba</w:t>
      </w:r>
      <w:proofErr w:type="spellEnd"/>
      <w:r>
        <w:rPr>
          <w:rFonts w:cstheme="minorHAnsi"/>
          <w:sz w:val="24"/>
          <w:szCs w:val="24"/>
          <w:lang w:val="es-ES"/>
        </w:rPr>
        <w:t xml:space="preserve">), Salta (Salta), CABA, Caseros y Florencio Varela (Provincia de Buenos Aires). </w:t>
      </w:r>
    </w:p>
    <w:p w:rsidR="00D44D4B" w:rsidRPr="00897B15" w:rsidRDefault="00D44D4B" w:rsidP="009839B0">
      <w:pPr>
        <w:spacing w:after="120"/>
        <w:jc w:val="both"/>
        <w:rPr>
          <w:rFonts w:cstheme="minorHAnsi"/>
          <w:sz w:val="24"/>
          <w:szCs w:val="24"/>
          <w:lang w:val="es-ES"/>
        </w:rPr>
      </w:pPr>
      <w:r w:rsidRPr="00897B15">
        <w:rPr>
          <w:rFonts w:cstheme="minorHAnsi"/>
          <w:sz w:val="24"/>
          <w:szCs w:val="24"/>
          <w:lang w:val="es-ES"/>
        </w:rPr>
        <w:t>Una de las líneas de este programa comprende el asesoramiento técnico a organismos gubernamentales, entre otros, para implementar la perspectiva de género.</w:t>
      </w:r>
    </w:p>
    <w:p w:rsidR="002237D3" w:rsidRDefault="002237D3" w:rsidP="009839B0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A23AFD" w:rsidRPr="00897B15">
        <w:rPr>
          <w:rFonts w:cstheme="minorHAnsi"/>
          <w:sz w:val="24"/>
          <w:szCs w:val="24"/>
        </w:rPr>
        <w:t xml:space="preserve">n el caso de la Provincia de Salta a partir del fallo judicial motivado por la imposibilidad de una mujer de incorporarse como conductora de colectivos se estableció una cuota del 30% para mujeres en esa ocupación. </w:t>
      </w:r>
    </w:p>
    <w:p w:rsidR="00A23AFD" w:rsidRPr="00897B15" w:rsidRDefault="00A23AFD" w:rsidP="009839B0">
      <w:pPr>
        <w:spacing w:after="120"/>
        <w:jc w:val="both"/>
        <w:rPr>
          <w:rFonts w:cstheme="minorHAnsi"/>
          <w:sz w:val="24"/>
          <w:szCs w:val="24"/>
        </w:rPr>
      </w:pPr>
      <w:r w:rsidRPr="00897B15">
        <w:rPr>
          <w:rFonts w:cstheme="minorHAnsi"/>
          <w:sz w:val="24"/>
          <w:szCs w:val="24"/>
        </w:rPr>
        <w:t>Desde el Ministerio de Trabajo</w:t>
      </w:r>
      <w:r w:rsidR="002237D3">
        <w:rPr>
          <w:rFonts w:cstheme="minorHAnsi"/>
          <w:sz w:val="24"/>
          <w:szCs w:val="24"/>
        </w:rPr>
        <w:t xml:space="preserve">, conjuntamente con la Autoridad Metropolitana de Transporte, </w:t>
      </w:r>
      <w:r w:rsidRPr="00897B15">
        <w:rPr>
          <w:rFonts w:cstheme="minorHAnsi"/>
          <w:sz w:val="24"/>
          <w:szCs w:val="24"/>
        </w:rPr>
        <w:t xml:space="preserve"> se desarrolla</w:t>
      </w:r>
      <w:r w:rsidR="00786949">
        <w:rPr>
          <w:rFonts w:cstheme="minorHAnsi"/>
          <w:sz w:val="24"/>
          <w:szCs w:val="24"/>
        </w:rPr>
        <w:t>ron</w:t>
      </w:r>
      <w:r w:rsidRPr="00897B15">
        <w:rPr>
          <w:rFonts w:cstheme="minorHAnsi"/>
          <w:sz w:val="24"/>
          <w:szCs w:val="24"/>
        </w:rPr>
        <w:t xml:space="preserve"> acciones de capacitación con el sector empresario, las trabajadoras y el organismo regulador del transporte. </w:t>
      </w:r>
    </w:p>
    <w:p w:rsidR="00B32AC9" w:rsidRPr="00A553D9" w:rsidRDefault="00B32AC9" w:rsidP="00A553D9">
      <w:pPr>
        <w:pStyle w:val="ListParagraph"/>
        <w:numPr>
          <w:ilvl w:val="0"/>
          <w:numId w:val="5"/>
        </w:numPr>
        <w:spacing w:after="120"/>
        <w:jc w:val="both"/>
        <w:rPr>
          <w:rFonts w:cstheme="minorHAnsi"/>
          <w:b/>
          <w:sz w:val="24"/>
          <w:szCs w:val="24"/>
          <w:lang w:val="es-MX"/>
        </w:rPr>
      </w:pPr>
      <w:r w:rsidRPr="00A553D9">
        <w:rPr>
          <w:rFonts w:cstheme="minorHAnsi"/>
          <w:b/>
          <w:sz w:val="24"/>
          <w:szCs w:val="24"/>
          <w:lang w:val="es-MX"/>
        </w:rPr>
        <w:t>Capacitación al inte</w:t>
      </w:r>
      <w:r w:rsidR="00865B0D" w:rsidRPr="00A553D9">
        <w:rPr>
          <w:rFonts w:cstheme="minorHAnsi"/>
          <w:b/>
          <w:sz w:val="24"/>
          <w:szCs w:val="24"/>
          <w:lang w:val="es-MX"/>
        </w:rPr>
        <w:t>rior del Ministerio de Trabajo</w:t>
      </w:r>
    </w:p>
    <w:p w:rsidR="00A23AFD" w:rsidRPr="00897B15" w:rsidRDefault="00A23AFD" w:rsidP="009839B0">
      <w:pPr>
        <w:spacing w:after="120"/>
        <w:jc w:val="both"/>
        <w:rPr>
          <w:rFonts w:cstheme="minorHAnsi"/>
          <w:sz w:val="24"/>
          <w:szCs w:val="24"/>
        </w:rPr>
      </w:pPr>
      <w:r w:rsidRPr="00897B15">
        <w:rPr>
          <w:rFonts w:cstheme="minorHAnsi"/>
          <w:sz w:val="24"/>
          <w:szCs w:val="24"/>
          <w:lang w:val="es-MX"/>
        </w:rPr>
        <w:t>D</w:t>
      </w:r>
      <w:r w:rsidRPr="00897B15">
        <w:rPr>
          <w:rFonts w:cstheme="minorHAnsi"/>
          <w:sz w:val="24"/>
          <w:szCs w:val="24"/>
        </w:rPr>
        <w:t xml:space="preserve">esde el año 2014 </w:t>
      </w:r>
      <w:r w:rsidR="006B43CE" w:rsidRPr="00897B15">
        <w:rPr>
          <w:rFonts w:cstheme="minorHAnsi"/>
          <w:sz w:val="24"/>
          <w:szCs w:val="24"/>
        </w:rPr>
        <w:t>se desarrolla una línea de</w:t>
      </w:r>
      <w:r w:rsidRPr="00897B15">
        <w:rPr>
          <w:rFonts w:cstheme="minorHAnsi"/>
          <w:sz w:val="24"/>
          <w:szCs w:val="24"/>
        </w:rPr>
        <w:t xml:space="preserve"> capacitación interna al interior del Ministerio de Trabajo a través de la modalidad virtual y presencial. </w:t>
      </w:r>
    </w:p>
    <w:p w:rsidR="009839B0" w:rsidRPr="00897B15" w:rsidRDefault="00A553D9" w:rsidP="009839B0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el mes de Junio de 2016</w:t>
      </w:r>
      <w:r w:rsidR="00CF2935" w:rsidRPr="00897B15">
        <w:rPr>
          <w:rFonts w:cstheme="minorHAnsi"/>
          <w:sz w:val="24"/>
          <w:szCs w:val="24"/>
        </w:rPr>
        <w:t xml:space="preserve"> s</w:t>
      </w:r>
      <w:r w:rsidR="00D72C1C" w:rsidRPr="00897B15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 xml:space="preserve">terminó de implementar la última edición del </w:t>
      </w:r>
      <w:r w:rsidR="00D72C1C" w:rsidRPr="00897B15">
        <w:rPr>
          <w:rFonts w:cstheme="minorHAnsi"/>
          <w:sz w:val="24"/>
          <w:szCs w:val="24"/>
        </w:rPr>
        <w:t xml:space="preserve"> curso sobre introducción a la perspectiva de género en el mundo del trabajo en la plataforma</w:t>
      </w:r>
      <w:r w:rsidR="00CF2935" w:rsidRPr="00897B15">
        <w:rPr>
          <w:rFonts w:cstheme="minorHAnsi"/>
          <w:sz w:val="24"/>
          <w:szCs w:val="24"/>
        </w:rPr>
        <w:t xml:space="preserve"> de capacitación del Ministerio.</w:t>
      </w:r>
      <w:r w:rsidR="009839B0">
        <w:rPr>
          <w:rFonts w:cstheme="minorHAnsi"/>
          <w:sz w:val="24"/>
          <w:szCs w:val="24"/>
        </w:rPr>
        <w:t xml:space="preserve"> </w:t>
      </w:r>
    </w:p>
    <w:p w:rsidR="00B32AC9" w:rsidRPr="00156E05" w:rsidRDefault="00B32AC9" w:rsidP="00156E05">
      <w:pPr>
        <w:pStyle w:val="ListParagraph"/>
        <w:numPr>
          <w:ilvl w:val="0"/>
          <w:numId w:val="5"/>
        </w:numPr>
        <w:spacing w:after="120"/>
        <w:jc w:val="both"/>
        <w:rPr>
          <w:rFonts w:cstheme="minorHAnsi"/>
          <w:b/>
          <w:sz w:val="24"/>
          <w:szCs w:val="24"/>
          <w:lang w:val="es-MX"/>
        </w:rPr>
      </w:pPr>
      <w:r w:rsidRPr="00156E05">
        <w:rPr>
          <w:rFonts w:cstheme="minorHAnsi"/>
          <w:b/>
          <w:sz w:val="24"/>
          <w:szCs w:val="24"/>
          <w:lang w:val="es-MX"/>
        </w:rPr>
        <w:t xml:space="preserve">Sistematización de la información estadística </w:t>
      </w:r>
    </w:p>
    <w:p w:rsidR="00B32AC9" w:rsidRPr="00897B15" w:rsidRDefault="00CA0AE3" w:rsidP="009839B0">
      <w:pPr>
        <w:spacing w:after="120"/>
        <w:jc w:val="both"/>
        <w:rPr>
          <w:rFonts w:cstheme="minorHAnsi"/>
          <w:sz w:val="24"/>
          <w:szCs w:val="24"/>
          <w:lang w:val="es-MX"/>
        </w:rPr>
      </w:pPr>
      <w:r w:rsidRPr="00897B15">
        <w:rPr>
          <w:rFonts w:cstheme="minorHAnsi"/>
          <w:sz w:val="24"/>
          <w:szCs w:val="24"/>
          <w:lang w:val="es-MX"/>
        </w:rPr>
        <w:t xml:space="preserve">El Ministerio de Trabajo desarrolla </w:t>
      </w:r>
      <w:r w:rsidR="00D72C1C" w:rsidRPr="00897B15">
        <w:rPr>
          <w:rFonts w:cstheme="minorHAnsi"/>
          <w:sz w:val="24"/>
          <w:szCs w:val="24"/>
          <w:lang w:val="es-MX"/>
        </w:rPr>
        <w:t>el Boletín de G</w:t>
      </w:r>
      <w:r w:rsidR="00B32AC9" w:rsidRPr="00897B15">
        <w:rPr>
          <w:rFonts w:cstheme="minorHAnsi"/>
          <w:sz w:val="24"/>
          <w:szCs w:val="24"/>
          <w:lang w:val="es-MX"/>
        </w:rPr>
        <w:t xml:space="preserve">énero </w:t>
      </w:r>
      <w:r w:rsidRPr="00897B15">
        <w:rPr>
          <w:rFonts w:cstheme="minorHAnsi"/>
          <w:sz w:val="24"/>
          <w:szCs w:val="24"/>
          <w:lang w:val="es-MX"/>
        </w:rPr>
        <w:t xml:space="preserve">que contiene indicadores sobre </w:t>
      </w:r>
      <w:r w:rsidR="00B32AC9" w:rsidRPr="00897B15">
        <w:rPr>
          <w:rFonts w:cstheme="minorHAnsi"/>
          <w:sz w:val="24"/>
          <w:szCs w:val="24"/>
          <w:lang w:val="es-MX"/>
        </w:rPr>
        <w:t>la situación de las mujeres en el mercado de trabajo desarrollado por la Subsecretaria de Programación Técnica y</w:t>
      </w:r>
      <w:r w:rsidR="009839B0">
        <w:rPr>
          <w:rFonts w:cstheme="minorHAnsi"/>
          <w:sz w:val="24"/>
          <w:szCs w:val="24"/>
          <w:lang w:val="es-MX"/>
        </w:rPr>
        <w:t xml:space="preserve"> </w:t>
      </w:r>
      <w:r w:rsidR="00B32AC9" w:rsidRPr="00897B15">
        <w:rPr>
          <w:rFonts w:cstheme="minorHAnsi"/>
          <w:sz w:val="24"/>
          <w:szCs w:val="24"/>
          <w:lang w:val="es-MX"/>
        </w:rPr>
        <w:t>Estudios Laborales</w:t>
      </w:r>
      <w:r w:rsidRPr="00897B15">
        <w:rPr>
          <w:rFonts w:cstheme="minorHAnsi"/>
          <w:sz w:val="24"/>
          <w:szCs w:val="24"/>
          <w:lang w:val="es-MX"/>
        </w:rPr>
        <w:t>, y difundido y promovido por la DEGIOT</w:t>
      </w:r>
      <w:r w:rsidR="00B32AC9" w:rsidRPr="00897B15">
        <w:rPr>
          <w:rFonts w:cstheme="minorHAnsi"/>
          <w:sz w:val="24"/>
          <w:szCs w:val="24"/>
          <w:lang w:val="es-MX"/>
        </w:rPr>
        <w:t>.</w:t>
      </w:r>
    </w:p>
    <w:p w:rsidR="00035971" w:rsidRPr="00156E05" w:rsidRDefault="00CA0AE3" w:rsidP="00156E05">
      <w:pPr>
        <w:pStyle w:val="ListParagraph"/>
        <w:numPr>
          <w:ilvl w:val="0"/>
          <w:numId w:val="5"/>
        </w:numPr>
        <w:shd w:val="clear" w:color="auto" w:fill="FFFFFF"/>
        <w:tabs>
          <w:tab w:val="left" w:pos="426"/>
        </w:tabs>
        <w:spacing w:before="100" w:beforeAutospacing="1" w:after="120"/>
        <w:contextualSpacing w:val="0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156E05">
        <w:rPr>
          <w:rFonts w:asciiTheme="minorHAnsi" w:hAnsiTheme="minorHAnsi" w:cstheme="minorHAnsi"/>
          <w:b/>
          <w:sz w:val="24"/>
          <w:szCs w:val="24"/>
          <w:lang w:val="es-MX"/>
        </w:rPr>
        <w:t>Comisión Tripartita de Igualdad de Oportunidades</w:t>
      </w:r>
    </w:p>
    <w:p w:rsidR="00CA0AE3" w:rsidRPr="00897B15" w:rsidRDefault="00CA0AE3" w:rsidP="009839B0">
      <w:pPr>
        <w:spacing w:after="120"/>
        <w:jc w:val="both"/>
        <w:rPr>
          <w:rFonts w:cstheme="minorHAnsi"/>
          <w:sz w:val="24"/>
          <w:szCs w:val="24"/>
          <w:lang w:val="es-MX"/>
        </w:rPr>
      </w:pPr>
      <w:r w:rsidRPr="00897B15">
        <w:rPr>
          <w:rFonts w:cstheme="minorHAnsi"/>
          <w:sz w:val="24"/>
          <w:szCs w:val="24"/>
          <w:lang w:val="es-MX"/>
        </w:rPr>
        <w:t>En el M</w:t>
      </w:r>
      <w:r w:rsidR="000B12AB" w:rsidRPr="00897B15">
        <w:rPr>
          <w:rFonts w:cstheme="minorHAnsi"/>
          <w:sz w:val="24"/>
          <w:szCs w:val="24"/>
          <w:lang w:val="es-MX"/>
        </w:rPr>
        <w:t xml:space="preserve">inisterio </w:t>
      </w:r>
      <w:r w:rsidRPr="00897B15">
        <w:rPr>
          <w:rFonts w:cstheme="minorHAnsi"/>
          <w:sz w:val="24"/>
          <w:szCs w:val="24"/>
          <w:lang w:val="es-MX"/>
        </w:rPr>
        <w:t>de Trabajo</w:t>
      </w:r>
      <w:r w:rsidR="00156E05">
        <w:rPr>
          <w:rFonts w:cstheme="minorHAnsi"/>
          <w:sz w:val="24"/>
          <w:szCs w:val="24"/>
          <w:lang w:val="es-MX"/>
        </w:rPr>
        <w:t>, desde el año 1998,</w:t>
      </w:r>
      <w:r w:rsidRPr="00897B15">
        <w:rPr>
          <w:rFonts w:cstheme="minorHAnsi"/>
          <w:sz w:val="24"/>
          <w:szCs w:val="24"/>
          <w:lang w:val="es-MX"/>
        </w:rPr>
        <w:t xml:space="preserve"> funciona </w:t>
      </w:r>
      <w:r w:rsidR="00D44D4B" w:rsidRPr="00897B15">
        <w:rPr>
          <w:rFonts w:cstheme="minorHAnsi"/>
          <w:sz w:val="24"/>
          <w:szCs w:val="24"/>
          <w:lang w:val="es-MX"/>
        </w:rPr>
        <w:t>l</w:t>
      </w:r>
      <w:r w:rsidR="000B12AB" w:rsidRPr="00897B15">
        <w:rPr>
          <w:rFonts w:cstheme="minorHAnsi"/>
          <w:sz w:val="24"/>
          <w:szCs w:val="24"/>
          <w:lang w:val="es-MX"/>
        </w:rPr>
        <w:t>a C</w:t>
      </w:r>
      <w:r w:rsidRPr="00897B15">
        <w:rPr>
          <w:rFonts w:cstheme="minorHAnsi"/>
          <w:sz w:val="24"/>
          <w:szCs w:val="24"/>
          <w:lang w:val="es-MX"/>
        </w:rPr>
        <w:t>omisión Tripartita de Igualdad de Oportunidades (C</w:t>
      </w:r>
      <w:r w:rsidR="000B12AB" w:rsidRPr="00897B15">
        <w:rPr>
          <w:rFonts w:cstheme="minorHAnsi"/>
          <w:sz w:val="24"/>
          <w:szCs w:val="24"/>
          <w:lang w:val="es-MX"/>
        </w:rPr>
        <w:t>TIO</w:t>
      </w:r>
      <w:r w:rsidRPr="00897B15">
        <w:rPr>
          <w:rFonts w:cstheme="minorHAnsi"/>
          <w:sz w:val="24"/>
          <w:szCs w:val="24"/>
          <w:lang w:val="es-MX"/>
        </w:rPr>
        <w:t>), organismo tripartito integrado por los empresarios, los sindicatos y el sector estatal. La misma</w:t>
      </w:r>
      <w:r w:rsidR="009839B0">
        <w:rPr>
          <w:rFonts w:cstheme="minorHAnsi"/>
          <w:sz w:val="24"/>
          <w:szCs w:val="24"/>
          <w:lang w:val="es-MX"/>
        </w:rPr>
        <w:t xml:space="preserve"> </w:t>
      </w:r>
      <w:r w:rsidR="00B32AC9" w:rsidRPr="00897B15">
        <w:rPr>
          <w:rFonts w:cstheme="minorHAnsi"/>
          <w:sz w:val="24"/>
          <w:szCs w:val="24"/>
          <w:lang w:val="es-MX"/>
        </w:rPr>
        <w:t xml:space="preserve">tiene como objetivo </w:t>
      </w:r>
      <w:r w:rsidRPr="00897B15">
        <w:rPr>
          <w:rFonts w:cstheme="minorHAnsi"/>
          <w:sz w:val="24"/>
          <w:szCs w:val="24"/>
          <w:lang w:val="es-MX"/>
        </w:rPr>
        <w:t>p</w:t>
      </w:r>
      <w:r w:rsidR="00B32AC9" w:rsidRPr="00897B15">
        <w:rPr>
          <w:rFonts w:cstheme="minorHAnsi"/>
          <w:sz w:val="24"/>
          <w:szCs w:val="24"/>
          <w:lang w:val="es-MX"/>
        </w:rPr>
        <w:t xml:space="preserve">romover la igualdad de trato y oportunidades en el mundo laboral desde la perspectiva </w:t>
      </w:r>
      <w:r w:rsidRPr="00897B15">
        <w:rPr>
          <w:rFonts w:cstheme="minorHAnsi"/>
          <w:sz w:val="24"/>
          <w:szCs w:val="24"/>
          <w:lang w:val="es-MX"/>
        </w:rPr>
        <w:t xml:space="preserve">a través del diálogo social. </w:t>
      </w:r>
    </w:p>
    <w:p w:rsidR="00B8069D" w:rsidRDefault="00156E05" w:rsidP="00B8069D">
      <w:pPr>
        <w:spacing w:after="120"/>
        <w:jc w:val="both"/>
        <w:rPr>
          <w:rFonts w:cstheme="minorHAnsi"/>
          <w:sz w:val="24"/>
          <w:szCs w:val="24"/>
          <w:lang w:val="es-MX"/>
        </w:rPr>
      </w:pPr>
      <w:r w:rsidRPr="00156E05">
        <w:rPr>
          <w:rFonts w:cstheme="minorHAnsi"/>
          <w:sz w:val="24"/>
          <w:szCs w:val="24"/>
          <w:lang w:val="es-MX"/>
        </w:rPr>
        <w:t xml:space="preserve">Actualmente </w:t>
      </w:r>
      <w:r>
        <w:rPr>
          <w:rFonts w:cstheme="minorHAnsi"/>
          <w:sz w:val="24"/>
          <w:szCs w:val="24"/>
          <w:lang w:val="es-MX"/>
        </w:rPr>
        <w:t>s</w:t>
      </w:r>
      <w:r w:rsidR="00CA0AE3" w:rsidRPr="00897B15">
        <w:rPr>
          <w:rFonts w:cstheme="minorHAnsi"/>
          <w:sz w:val="24"/>
          <w:szCs w:val="24"/>
          <w:lang w:val="es-MX"/>
        </w:rPr>
        <w:t xml:space="preserve">e </w:t>
      </w:r>
      <w:r w:rsidR="00AD121D" w:rsidRPr="00897B15">
        <w:rPr>
          <w:rFonts w:cstheme="minorHAnsi"/>
          <w:sz w:val="24"/>
          <w:szCs w:val="24"/>
          <w:lang w:val="es-MX"/>
        </w:rPr>
        <w:t xml:space="preserve">impulsa </w:t>
      </w:r>
      <w:r>
        <w:rPr>
          <w:rFonts w:cstheme="minorHAnsi"/>
          <w:sz w:val="24"/>
          <w:szCs w:val="24"/>
          <w:lang w:val="es-MX"/>
        </w:rPr>
        <w:t>el trabajo en 5 subcomisiones que abordan las siguientes temáticas</w:t>
      </w:r>
      <w:r w:rsidR="00B8069D">
        <w:rPr>
          <w:rFonts w:cstheme="minorHAnsi"/>
          <w:sz w:val="24"/>
          <w:szCs w:val="24"/>
          <w:lang w:val="es-MX"/>
        </w:rPr>
        <w:t xml:space="preserve">:  </w:t>
      </w:r>
    </w:p>
    <w:p w:rsidR="00B8069D" w:rsidRPr="00B8069D" w:rsidRDefault="00B8069D" w:rsidP="00B8069D">
      <w:pPr>
        <w:pStyle w:val="Prrafodelista1"/>
        <w:numPr>
          <w:ilvl w:val="0"/>
          <w:numId w:val="6"/>
        </w:numPr>
        <w:ind w:left="720"/>
        <w:jc w:val="both"/>
        <w:rPr>
          <w:rFonts w:asciiTheme="minorHAnsi" w:eastAsiaTheme="minorHAnsi" w:hAnsiTheme="minorHAnsi" w:cstheme="minorHAnsi"/>
          <w:sz w:val="24"/>
          <w:szCs w:val="24"/>
          <w:lang w:val="es-MX"/>
        </w:rPr>
      </w:pPr>
      <w:r w:rsidRPr="00B8069D">
        <w:rPr>
          <w:rFonts w:asciiTheme="minorHAnsi" w:hAnsiTheme="minorHAnsi"/>
          <w:b/>
          <w:i/>
          <w:sz w:val="24"/>
          <w:szCs w:val="24"/>
          <w:lang w:val="es-AR"/>
        </w:rPr>
        <w:lastRenderedPageBreak/>
        <w:t>Trabajo y Familia en el Marco de la Corresponsabilidad Social de los Cuidados Familiares</w:t>
      </w:r>
      <w:r w:rsidRPr="005D566B">
        <w:rPr>
          <w:rFonts w:ascii="Times New Roman" w:hAnsi="Times New Roman"/>
          <w:b/>
          <w:i/>
          <w:sz w:val="24"/>
          <w:szCs w:val="24"/>
          <w:lang w:val="es-AR"/>
        </w:rPr>
        <w:t xml:space="preserve">: </w:t>
      </w:r>
      <w:r w:rsidRPr="00B8069D">
        <w:rPr>
          <w:rFonts w:asciiTheme="minorHAnsi" w:eastAsiaTheme="minorHAnsi" w:hAnsiTheme="minorHAnsi" w:cstheme="minorHAnsi"/>
          <w:sz w:val="24"/>
          <w:szCs w:val="24"/>
          <w:lang w:val="es-MX"/>
        </w:rPr>
        <w:t>Análisis y revisión de la normativa vigente sobre responsabilidades familiares y normativa que facilite la conciliación de la vida laboral y familiar; Comparación regional e internacional; Convenios colectivos de trabajo y cláusulas de género; Gestión empresarial de compensaciones y beneficios no conveniados sobre conciliación y corresponsabilidad entre la vida familiar y laboral.</w:t>
      </w:r>
    </w:p>
    <w:p w:rsidR="00B8069D" w:rsidRDefault="00B8069D" w:rsidP="00B8069D">
      <w:pPr>
        <w:pStyle w:val="Prrafodelista1"/>
        <w:ind w:left="360"/>
        <w:jc w:val="both"/>
        <w:rPr>
          <w:rFonts w:ascii="Times New Roman" w:hAnsi="Times New Roman"/>
          <w:b/>
          <w:i/>
          <w:sz w:val="24"/>
          <w:szCs w:val="24"/>
          <w:lang w:val="es-AR"/>
        </w:rPr>
      </w:pPr>
    </w:p>
    <w:p w:rsidR="00B8069D" w:rsidRPr="00B8069D" w:rsidRDefault="00B8069D" w:rsidP="00B8069D">
      <w:pPr>
        <w:pStyle w:val="Prrafodelista1"/>
        <w:numPr>
          <w:ilvl w:val="0"/>
          <w:numId w:val="6"/>
        </w:numPr>
        <w:ind w:left="720"/>
        <w:jc w:val="both"/>
        <w:rPr>
          <w:rFonts w:asciiTheme="minorHAnsi" w:hAnsiTheme="minorHAnsi"/>
          <w:b/>
          <w:i/>
          <w:sz w:val="24"/>
          <w:szCs w:val="24"/>
          <w:lang w:val="es-AR"/>
        </w:rPr>
      </w:pPr>
      <w:r w:rsidRPr="00B8069D">
        <w:rPr>
          <w:rFonts w:asciiTheme="minorHAnsi" w:hAnsiTheme="minorHAnsi"/>
          <w:b/>
          <w:i/>
          <w:sz w:val="24"/>
          <w:szCs w:val="24"/>
          <w:lang w:val="es-AR"/>
        </w:rPr>
        <w:t xml:space="preserve">Participación Igualitaria de Mujeres y Varones en el Ámbito Laboral: </w:t>
      </w:r>
      <w:r w:rsidRPr="00B8069D">
        <w:rPr>
          <w:rFonts w:asciiTheme="minorHAnsi" w:hAnsiTheme="minorHAnsi"/>
          <w:sz w:val="24"/>
          <w:szCs w:val="24"/>
          <w:lang w:val="es-AR"/>
        </w:rPr>
        <w:t>Segregación por género vertical (techo de cristal) y horizontal (ocupacional); Planes de Igualdad en las Empresas.</w:t>
      </w:r>
    </w:p>
    <w:p w:rsidR="00B8069D" w:rsidRPr="00B8069D" w:rsidRDefault="00B8069D" w:rsidP="00B8069D">
      <w:pPr>
        <w:pStyle w:val="Prrafodelista1"/>
        <w:ind w:left="360"/>
        <w:jc w:val="both"/>
        <w:rPr>
          <w:rFonts w:asciiTheme="minorHAnsi" w:hAnsiTheme="minorHAnsi"/>
          <w:b/>
          <w:i/>
          <w:sz w:val="24"/>
          <w:szCs w:val="24"/>
          <w:lang w:val="es-AR"/>
        </w:rPr>
      </w:pPr>
    </w:p>
    <w:p w:rsidR="00B8069D" w:rsidRPr="00B8069D" w:rsidRDefault="00B8069D" w:rsidP="00B8069D">
      <w:pPr>
        <w:pStyle w:val="Prrafodelista1"/>
        <w:numPr>
          <w:ilvl w:val="0"/>
          <w:numId w:val="6"/>
        </w:numPr>
        <w:ind w:left="720"/>
        <w:jc w:val="both"/>
        <w:rPr>
          <w:rFonts w:asciiTheme="minorHAnsi" w:hAnsiTheme="minorHAnsi"/>
          <w:b/>
          <w:i/>
          <w:sz w:val="24"/>
          <w:szCs w:val="24"/>
          <w:lang w:val="es-AR"/>
        </w:rPr>
      </w:pPr>
      <w:r w:rsidRPr="00B8069D">
        <w:rPr>
          <w:rFonts w:asciiTheme="minorHAnsi" w:hAnsiTheme="minorHAnsi"/>
          <w:b/>
          <w:i/>
          <w:sz w:val="24"/>
          <w:szCs w:val="24"/>
          <w:lang w:val="es-AR"/>
        </w:rPr>
        <w:t xml:space="preserve">Comunicación: </w:t>
      </w:r>
      <w:r w:rsidRPr="00B8069D">
        <w:rPr>
          <w:rFonts w:asciiTheme="minorHAnsi" w:hAnsiTheme="minorHAnsi"/>
          <w:sz w:val="24"/>
          <w:szCs w:val="24"/>
          <w:lang w:val="es-AR"/>
        </w:rPr>
        <w:t>Diseño de campañas institucionales para visibilizar y concientizar acerca de la discriminación de las mujeres en el acceso y posicionamiento en el trabajo; Redes sociales, medios y periodistas especializados; Folletería; Piezas audiovisuales.</w:t>
      </w:r>
    </w:p>
    <w:p w:rsidR="00B8069D" w:rsidRPr="00B8069D" w:rsidRDefault="00B8069D" w:rsidP="00B8069D">
      <w:pPr>
        <w:pStyle w:val="Prrafodelista1"/>
        <w:ind w:left="360"/>
        <w:jc w:val="both"/>
        <w:rPr>
          <w:rFonts w:asciiTheme="minorHAnsi" w:hAnsiTheme="minorHAnsi"/>
          <w:b/>
          <w:i/>
          <w:sz w:val="24"/>
          <w:szCs w:val="24"/>
          <w:lang w:val="es-AR"/>
        </w:rPr>
      </w:pPr>
    </w:p>
    <w:p w:rsidR="00B8069D" w:rsidRPr="00B8069D" w:rsidRDefault="00B8069D" w:rsidP="00B8069D">
      <w:pPr>
        <w:pStyle w:val="Prrafodelista1"/>
        <w:numPr>
          <w:ilvl w:val="0"/>
          <w:numId w:val="6"/>
        </w:numPr>
        <w:ind w:left="720"/>
        <w:jc w:val="both"/>
        <w:rPr>
          <w:rFonts w:asciiTheme="minorHAnsi" w:hAnsiTheme="minorHAnsi"/>
          <w:b/>
          <w:i/>
          <w:sz w:val="24"/>
          <w:szCs w:val="24"/>
          <w:lang w:val="es-AR"/>
        </w:rPr>
      </w:pPr>
      <w:r w:rsidRPr="00B8069D">
        <w:rPr>
          <w:rFonts w:asciiTheme="minorHAnsi" w:hAnsiTheme="minorHAnsi"/>
          <w:b/>
          <w:i/>
          <w:sz w:val="24"/>
          <w:szCs w:val="24"/>
          <w:lang w:val="es-AR"/>
        </w:rPr>
        <w:t xml:space="preserve">Herramientas e Insumos para el Análisis y la Toma de Decisiones: </w:t>
      </w:r>
      <w:r w:rsidRPr="00B8069D">
        <w:rPr>
          <w:rFonts w:asciiTheme="minorHAnsi" w:hAnsiTheme="minorHAnsi"/>
          <w:sz w:val="24"/>
          <w:szCs w:val="24"/>
          <w:lang w:val="es-AR"/>
        </w:rPr>
        <w:t>Relevamiento de estudios, informes e investigaciones existentes en las temáticas de incumbencia; Construcción de insumos y soportes conceptuales para las estrategias de acción de las subcomisiones; Articulación con las áreas de estadísticas de género.</w:t>
      </w:r>
    </w:p>
    <w:p w:rsidR="00B8069D" w:rsidRPr="00B8069D" w:rsidRDefault="00B8069D" w:rsidP="00B8069D">
      <w:pPr>
        <w:pStyle w:val="Prrafodelista1"/>
        <w:ind w:left="360"/>
        <w:jc w:val="both"/>
        <w:rPr>
          <w:rFonts w:asciiTheme="minorHAnsi" w:hAnsiTheme="minorHAnsi"/>
          <w:b/>
          <w:i/>
          <w:sz w:val="24"/>
          <w:szCs w:val="24"/>
          <w:lang w:val="es-AR"/>
        </w:rPr>
      </w:pPr>
    </w:p>
    <w:p w:rsidR="00B8069D" w:rsidRPr="00B8069D" w:rsidRDefault="00B8069D" w:rsidP="00B8069D">
      <w:pPr>
        <w:pStyle w:val="Prrafodelista1"/>
        <w:numPr>
          <w:ilvl w:val="0"/>
          <w:numId w:val="6"/>
        </w:numPr>
        <w:ind w:left="720"/>
        <w:jc w:val="both"/>
        <w:rPr>
          <w:rFonts w:asciiTheme="minorHAnsi" w:hAnsiTheme="minorHAnsi"/>
          <w:b/>
          <w:i/>
          <w:sz w:val="24"/>
          <w:szCs w:val="24"/>
          <w:lang w:val="es-AR"/>
        </w:rPr>
      </w:pPr>
      <w:r w:rsidRPr="00B8069D">
        <w:rPr>
          <w:rFonts w:asciiTheme="minorHAnsi" w:hAnsiTheme="minorHAnsi"/>
          <w:b/>
          <w:i/>
          <w:sz w:val="24"/>
          <w:szCs w:val="24"/>
          <w:lang w:val="es-AR"/>
        </w:rPr>
        <w:t xml:space="preserve">Formación y Capacitación: </w:t>
      </w:r>
      <w:r w:rsidRPr="00B8069D">
        <w:rPr>
          <w:rFonts w:asciiTheme="minorHAnsi" w:hAnsiTheme="minorHAnsi"/>
          <w:sz w:val="24"/>
          <w:szCs w:val="24"/>
          <w:lang w:val="es-AR"/>
        </w:rPr>
        <w:t>Formación profesional y técnica; Incidencia de los estereotipos de género en la constitución de las ofertas educativas, los programas de capacitación, las matrículas, los oficios, etc.</w:t>
      </w:r>
    </w:p>
    <w:p w:rsidR="00B8069D" w:rsidRPr="00B8069D" w:rsidRDefault="00B8069D" w:rsidP="00B8069D">
      <w:pPr>
        <w:pStyle w:val="Prrafodelista1"/>
        <w:ind w:left="360"/>
        <w:jc w:val="both"/>
        <w:rPr>
          <w:rFonts w:asciiTheme="minorHAnsi" w:hAnsiTheme="minorHAnsi"/>
          <w:b/>
          <w:i/>
          <w:sz w:val="24"/>
          <w:szCs w:val="24"/>
          <w:lang w:val="es-AR"/>
        </w:rPr>
      </w:pPr>
    </w:p>
    <w:p w:rsidR="00B8069D" w:rsidRPr="00B8069D" w:rsidRDefault="00B8069D" w:rsidP="009839B0">
      <w:pPr>
        <w:spacing w:after="120"/>
        <w:jc w:val="both"/>
        <w:rPr>
          <w:rFonts w:cstheme="minorHAnsi"/>
          <w:sz w:val="24"/>
          <w:szCs w:val="24"/>
          <w:lang w:val="es-MX"/>
        </w:rPr>
      </w:pPr>
    </w:p>
    <w:sectPr w:rsidR="00B8069D" w:rsidRPr="00B8069D" w:rsidSect="00897B15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3D9" w:rsidRDefault="00A553D9" w:rsidP="00781A4B">
      <w:pPr>
        <w:spacing w:after="0" w:line="240" w:lineRule="auto"/>
      </w:pPr>
      <w:r>
        <w:separator/>
      </w:r>
    </w:p>
  </w:endnote>
  <w:endnote w:type="continuationSeparator" w:id="0">
    <w:p w:rsidR="00A553D9" w:rsidRDefault="00A553D9" w:rsidP="0078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267672"/>
      <w:docPartObj>
        <w:docPartGallery w:val="Page Numbers (Bottom of Page)"/>
        <w:docPartUnique/>
      </w:docPartObj>
    </w:sdtPr>
    <w:sdtEndPr/>
    <w:sdtContent>
      <w:p w:rsidR="00A553D9" w:rsidRDefault="00D279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53D9" w:rsidRDefault="00A553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3D9" w:rsidRDefault="00A553D9" w:rsidP="00781A4B">
      <w:pPr>
        <w:spacing w:after="0" w:line="240" w:lineRule="auto"/>
      </w:pPr>
      <w:r>
        <w:separator/>
      </w:r>
    </w:p>
  </w:footnote>
  <w:footnote w:type="continuationSeparator" w:id="0">
    <w:p w:rsidR="00A553D9" w:rsidRDefault="00A553D9" w:rsidP="00781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057ED"/>
    <w:multiLevelType w:val="hybridMultilevel"/>
    <w:tmpl w:val="AF32B9C8"/>
    <w:lvl w:ilvl="0" w:tplc="BA5616D0">
      <w:start w:val="1"/>
      <w:numFmt w:val="decimal"/>
      <w:lvlText w:val="%1."/>
      <w:lvlJc w:val="left"/>
      <w:pPr>
        <w:ind w:left="360" w:hanging="360"/>
      </w:pPr>
      <w:rPr>
        <w:rFonts w:cs="Times New Roman"/>
        <w:lang w:val="es-MX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C0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C0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C0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08801DE"/>
    <w:multiLevelType w:val="hybridMultilevel"/>
    <w:tmpl w:val="AAE2448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56AF3"/>
    <w:multiLevelType w:val="hybridMultilevel"/>
    <w:tmpl w:val="A118B0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0624C"/>
    <w:multiLevelType w:val="hybridMultilevel"/>
    <w:tmpl w:val="71FE78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C3C29"/>
    <w:multiLevelType w:val="hybridMultilevel"/>
    <w:tmpl w:val="01FA2E3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B4579"/>
    <w:multiLevelType w:val="hybridMultilevel"/>
    <w:tmpl w:val="6610CF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5102BD5"/>
    <w:multiLevelType w:val="hybridMultilevel"/>
    <w:tmpl w:val="3E72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8C4AA3"/>
    <w:multiLevelType w:val="hybridMultilevel"/>
    <w:tmpl w:val="86ECAF60"/>
    <w:lvl w:ilvl="0" w:tplc="546E8082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FA"/>
    <w:rsid w:val="00017709"/>
    <w:rsid w:val="00035971"/>
    <w:rsid w:val="0008437B"/>
    <w:rsid w:val="000B12AB"/>
    <w:rsid w:val="000F0813"/>
    <w:rsid w:val="00112484"/>
    <w:rsid w:val="00115114"/>
    <w:rsid w:val="00123FFA"/>
    <w:rsid w:val="0014272C"/>
    <w:rsid w:val="00156E05"/>
    <w:rsid w:val="001637E6"/>
    <w:rsid w:val="001759D6"/>
    <w:rsid w:val="002237D3"/>
    <w:rsid w:val="00245C24"/>
    <w:rsid w:val="002B5F01"/>
    <w:rsid w:val="00342CCA"/>
    <w:rsid w:val="00354699"/>
    <w:rsid w:val="00395C91"/>
    <w:rsid w:val="003B6E11"/>
    <w:rsid w:val="003C1CFE"/>
    <w:rsid w:val="003C3FAA"/>
    <w:rsid w:val="00401785"/>
    <w:rsid w:val="00413810"/>
    <w:rsid w:val="004B7212"/>
    <w:rsid w:val="004D677C"/>
    <w:rsid w:val="004E10DC"/>
    <w:rsid w:val="005234CE"/>
    <w:rsid w:val="00527970"/>
    <w:rsid w:val="00560D6A"/>
    <w:rsid w:val="005627C3"/>
    <w:rsid w:val="00562876"/>
    <w:rsid w:val="00584314"/>
    <w:rsid w:val="005C5F3F"/>
    <w:rsid w:val="005E08BE"/>
    <w:rsid w:val="00600CEF"/>
    <w:rsid w:val="006661C0"/>
    <w:rsid w:val="00681772"/>
    <w:rsid w:val="006B43CE"/>
    <w:rsid w:val="00714D66"/>
    <w:rsid w:val="00747829"/>
    <w:rsid w:val="00781A4B"/>
    <w:rsid w:val="00786949"/>
    <w:rsid w:val="007A1C7C"/>
    <w:rsid w:val="007E6F08"/>
    <w:rsid w:val="00836D6E"/>
    <w:rsid w:val="008601F2"/>
    <w:rsid w:val="00865A7C"/>
    <w:rsid w:val="00865B0D"/>
    <w:rsid w:val="008670CE"/>
    <w:rsid w:val="00897B15"/>
    <w:rsid w:val="008C4270"/>
    <w:rsid w:val="008F2B37"/>
    <w:rsid w:val="0090629E"/>
    <w:rsid w:val="0092493D"/>
    <w:rsid w:val="00955BA7"/>
    <w:rsid w:val="00964939"/>
    <w:rsid w:val="00983076"/>
    <w:rsid w:val="009839B0"/>
    <w:rsid w:val="009B6CE7"/>
    <w:rsid w:val="009E2165"/>
    <w:rsid w:val="00A23AFD"/>
    <w:rsid w:val="00A46299"/>
    <w:rsid w:val="00A51458"/>
    <w:rsid w:val="00A553D9"/>
    <w:rsid w:val="00A6322E"/>
    <w:rsid w:val="00AB0D5A"/>
    <w:rsid w:val="00AC4E3E"/>
    <w:rsid w:val="00AD121D"/>
    <w:rsid w:val="00AD2CF0"/>
    <w:rsid w:val="00B02A47"/>
    <w:rsid w:val="00B03E6A"/>
    <w:rsid w:val="00B31555"/>
    <w:rsid w:val="00B32AC9"/>
    <w:rsid w:val="00B41FB0"/>
    <w:rsid w:val="00B620EE"/>
    <w:rsid w:val="00B8069D"/>
    <w:rsid w:val="00BF61F5"/>
    <w:rsid w:val="00C26476"/>
    <w:rsid w:val="00CA0AE3"/>
    <w:rsid w:val="00CF2935"/>
    <w:rsid w:val="00D2038A"/>
    <w:rsid w:val="00D2799F"/>
    <w:rsid w:val="00D27AB3"/>
    <w:rsid w:val="00D44D4B"/>
    <w:rsid w:val="00D72C1C"/>
    <w:rsid w:val="00D9392D"/>
    <w:rsid w:val="00DE64BD"/>
    <w:rsid w:val="00DF3C65"/>
    <w:rsid w:val="00E07C92"/>
    <w:rsid w:val="00E151E5"/>
    <w:rsid w:val="00E26E59"/>
    <w:rsid w:val="00E32D80"/>
    <w:rsid w:val="00E832F4"/>
    <w:rsid w:val="00E954AD"/>
    <w:rsid w:val="00EA1A72"/>
    <w:rsid w:val="00ED7A50"/>
    <w:rsid w:val="00F13A53"/>
    <w:rsid w:val="00F2125C"/>
    <w:rsid w:val="00F640AB"/>
    <w:rsid w:val="00F75701"/>
    <w:rsid w:val="00F86522"/>
    <w:rsid w:val="00FA2DBF"/>
    <w:rsid w:val="00FA77BD"/>
    <w:rsid w:val="00FB03FD"/>
    <w:rsid w:val="00FD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4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03FD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C4E3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semiHidden/>
    <w:unhideWhenUsed/>
    <w:rsid w:val="00AC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A4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A4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1A4B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0843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437B"/>
  </w:style>
  <w:style w:type="paragraph" w:styleId="Footer">
    <w:name w:val="footer"/>
    <w:basedOn w:val="Normal"/>
    <w:link w:val="FooterChar"/>
    <w:uiPriority w:val="99"/>
    <w:unhideWhenUsed/>
    <w:rsid w:val="000843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37B"/>
  </w:style>
  <w:style w:type="paragraph" w:customStyle="1" w:styleId="Default">
    <w:name w:val="Default"/>
    <w:rsid w:val="00A55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B8069D"/>
    <w:pPr>
      <w:spacing w:after="0" w:line="240" w:lineRule="auto"/>
    </w:pPr>
    <w:rPr>
      <w:rFonts w:ascii="Arial" w:eastAsia="Times New Roman" w:hAnsi="Arial" w:cs="Times New Roman"/>
      <w:b/>
      <w:sz w:val="28"/>
      <w:szCs w:val="20"/>
      <w:u w:val="single"/>
      <w:lang w:eastAsia="es-ES"/>
    </w:rPr>
  </w:style>
  <w:style w:type="character" w:customStyle="1" w:styleId="BodyTextChar">
    <w:name w:val="Body Text Char"/>
    <w:basedOn w:val="DefaultParagraphFont"/>
    <w:link w:val="BodyText"/>
    <w:rsid w:val="00B8069D"/>
    <w:rPr>
      <w:rFonts w:ascii="Arial" w:eastAsia="Times New Roman" w:hAnsi="Arial" w:cs="Times New Roman"/>
      <w:b/>
      <w:sz w:val="28"/>
      <w:szCs w:val="20"/>
      <w:u w:val="single"/>
      <w:lang w:eastAsia="es-ES"/>
    </w:rPr>
  </w:style>
  <w:style w:type="paragraph" w:customStyle="1" w:styleId="Prrafodelista1">
    <w:name w:val="Párrafo de lista1"/>
    <w:basedOn w:val="Normal"/>
    <w:rsid w:val="00B8069D"/>
    <w:pPr>
      <w:ind w:left="720"/>
      <w:contextualSpacing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4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03FD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C4E3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semiHidden/>
    <w:unhideWhenUsed/>
    <w:rsid w:val="00AC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A4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A4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1A4B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0843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437B"/>
  </w:style>
  <w:style w:type="paragraph" w:styleId="Footer">
    <w:name w:val="footer"/>
    <w:basedOn w:val="Normal"/>
    <w:link w:val="FooterChar"/>
    <w:uiPriority w:val="99"/>
    <w:unhideWhenUsed/>
    <w:rsid w:val="000843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37B"/>
  </w:style>
  <w:style w:type="paragraph" w:customStyle="1" w:styleId="Default">
    <w:name w:val="Default"/>
    <w:rsid w:val="00A55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B8069D"/>
    <w:pPr>
      <w:spacing w:after="0" w:line="240" w:lineRule="auto"/>
    </w:pPr>
    <w:rPr>
      <w:rFonts w:ascii="Arial" w:eastAsia="Times New Roman" w:hAnsi="Arial" w:cs="Times New Roman"/>
      <w:b/>
      <w:sz w:val="28"/>
      <w:szCs w:val="20"/>
      <w:u w:val="single"/>
      <w:lang w:eastAsia="es-ES"/>
    </w:rPr>
  </w:style>
  <w:style w:type="character" w:customStyle="1" w:styleId="BodyTextChar">
    <w:name w:val="Body Text Char"/>
    <w:basedOn w:val="DefaultParagraphFont"/>
    <w:link w:val="BodyText"/>
    <w:rsid w:val="00B8069D"/>
    <w:rPr>
      <w:rFonts w:ascii="Arial" w:eastAsia="Times New Roman" w:hAnsi="Arial" w:cs="Times New Roman"/>
      <w:b/>
      <w:sz w:val="28"/>
      <w:szCs w:val="20"/>
      <w:u w:val="single"/>
      <w:lang w:eastAsia="es-ES"/>
    </w:rPr>
  </w:style>
  <w:style w:type="paragraph" w:customStyle="1" w:styleId="Prrafodelista1">
    <w:name w:val="Párrafo de lista1"/>
    <w:basedOn w:val="Normal"/>
    <w:rsid w:val="00B8069D"/>
    <w:pPr>
      <w:ind w:left="720"/>
      <w:contextualSpacing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54977-C911-4083-A524-623294B2F7B5}"/>
</file>

<file path=customXml/itemProps2.xml><?xml version="1.0" encoding="utf-8"?>
<ds:datastoreItem xmlns:ds="http://schemas.openxmlformats.org/officeDocument/2006/customXml" ds:itemID="{06EFEB15-5F61-4BDD-AF16-DD75C2F4B367}"/>
</file>

<file path=customXml/itemProps3.xml><?xml version="1.0" encoding="utf-8"?>
<ds:datastoreItem xmlns:ds="http://schemas.openxmlformats.org/officeDocument/2006/customXml" ds:itemID="{C315CFA4-51C7-43C5-A525-34C4C51AAB4E}"/>
</file>

<file path=customXml/itemProps4.xml><?xml version="1.0" encoding="utf-8"?>
<ds:datastoreItem xmlns:ds="http://schemas.openxmlformats.org/officeDocument/2006/customXml" ds:itemID="{B43EA3D9-40B7-4E48-9F0B-4E7C5DE5D2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1294</Words>
  <Characters>7379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MTEySS</Company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Ottolenghi</dc:creator>
  <cp:lastModifiedBy>Christian Courtis</cp:lastModifiedBy>
  <cp:revision>2</cp:revision>
  <cp:lastPrinted>2016-05-03T16:40:00Z</cp:lastPrinted>
  <dcterms:created xsi:type="dcterms:W3CDTF">2016-09-22T14:00:00Z</dcterms:created>
  <dcterms:modified xsi:type="dcterms:W3CDTF">2016-09-22T14:00:00Z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3901100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