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A225A" w14:textId="77777777" w:rsidR="00554D89" w:rsidRPr="00AD7873" w:rsidRDefault="00554D89" w:rsidP="009C5500">
      <w:pPr>
        <w:spacing w:line="240" w:lineRule="auto"/>
        <w:ind w:left="-567" w:right="-483"/>
        <w:rPr>
          <w:rFonts w:asciiTheme="minorHAnsi" w:hAnsiTheme="minorHAnsi"/>
          <w:b/>
          <w:szCs w:val="28"/>
        </w:rPr>
      </w:pPr>
      <w:bookmarkStart w:id="0" w:name="_GoBack"/>
      <w:bookmarkEnd w:id="0"/>
      <w:r w:rsidRPr="00AD7873">
        <w:rPr>
          <w:rFonts w:asciiTheme="minorHAnsi" w:hAnsiTheme="minorHAnsi"/>
          <w:b/>
          <w:szCs w:val="28"/>
        </w:rPr>
        <w:t>Submission to the United Nations High Commissioner for Human Rights on the right of everyone to the enjoyment of the highest attainable standard of physical and mental health in the implementation of the 2030 Agenda for Sustainable Development</w:t>
      </w:r>
    </w:p>
    <w:p w14:paraId="29F4BAA7" w14:textId="5A9613F4" w:rsidR="002D67D7" w:rsidRPr="009C5500" w:rsidRDefault="00345E64" w:rsidP="009C5500">
      <w:pPr>
        <w:spacing w:after="0" w:line="240" w:lineRule="auto"/>
        <w:ind w:left="-567" w:right="-483"/>
        <w:rPr>
          <w:rFonts w:asciiTheme="minorHAnsi" w:hAnsiTheme="minorHAnsi"/>
          <w:color w:val="000000" w:themeColor="text1"/>
          <w:szCs w:val="24"/>
          <w:lang w:eastAsia="en-AU"/>
        </w:rPr>
      </w:pPr>
      <w:r>
        <w:rPr>
          <w:rFonts w:asciiTheme="minorHAnsi" w:hAnsiTheme="minorHAnsi"/>
          <w:color w:val="000000" w:themeColor="text1"/>
          <w:szCs w:val="24"/>
          <w:lang w:eastAsia="en-AU"/>
        </w:rPr>
        <w:t xml:space="preserve">Australia </w:t>
      </w:r>
      <w:r w:rsidR="00C056A8">
        <w:rPr>
          <w:rFonts w:asciiTheme="minorHAnsi" w:hAnsiTheme="minorHAnsi"/>
          <w:color w:val="000000" w:themeColor="text1"/>
          <w:szCs w:val="24"/>
          <w:lang w:eastAsia="en-AU"/>
        </w:rPr>
        <w:t xml:space="preserve">promotes </w:t>
      </w:r>
      <w:r>
        <w:rPr>
          <w:rFonts w:asciiTheme="minorHAnsi" w:hAnsiTheme="minorHAnsi"/>
          <w:color w:val="000000" w:themeColor="text1"/>
          <w:szCs w:val="24"/>
          <w:lang w:eastAsia="en-AU"/>
        </w:rPr>
        <w:t xml:space="preserve">the right of </w:t>
      </w:r>
      <w:r w:rsidR="002E70CD">
        <w:rPr>
          <w:rFonts w:asciiTheme="minorHAnsi" w:hAnsiTheme="minorHAnsi"/>
          <w:color w:val="000000" w:themeColor="text1"/>
          <w:szCs w:val="24"/>
          <w:lang w:eastAsia="en-AU"/>
        </w:rPr>
        <w:t xml:space="preserve">its </w:t>
      </w:r>
      <w:r>
        <w:rPr>
          <w:rFonts w:asciiTheme="minorHAnsi" w:hAnsiTheme="minorHAnsi"/>
          <w:color w:val="000000" w:themeColor="text1"/>
          <w:szCs w:val="24"/>
          <w:lang w:eastAsia="en-AU"/>
        </w:rPr>
        <w:t xml:space="preserve">population to achieve the highest attainable standard of </w:t>
      </w:r>
      <w:r w:rsidR="003C33BF">
        <w:rPr>
          <w:rFonts w:asciiTheme="minorHAnsi" w:hAnsiTheme="minorHAnsi"/>
          <w:color w:val="000000" w:themeColor="text1"/>
          <w:szCs w:val="24"/>
          <w:lang w:eastAsia="en-AU"/>
        </w:rPr>
        <w:t xml:space="preserve">physical and mental </w:t>
      </w:r>
      <w:r>
        <w:rPr>
          <w:rFonts w:asciiTheme="minorHAnsi" w:hAnsiTheme="minorHAnsi"/>
          <w:color w:val="000000" w:themeColor="text1"/>
          <w:szCs w:val="24"/>
          <w:lang w:eastAsia="en-AU"/>
        </w:rPr>
        <w:t xml:space="preserve">health. </w:t>
      </w:r>
      <w:r w:rsidR="00456124">
        <w:rPr>
          <w:rFonts w:asciiTheme="minorHAnsi" w:hAnsiTheme="minorHAnsi"/>
          <w:color w:val="000000" w:themeColor="text1"/>
          <w:szCs w:val="24"/>
          <w:lang w:eastAsia="en-AU"/>
        </w:rPr>
        <w:t>As a</w:t>
      </w:r>
      <w:r w:rsidR="00C056A8">
        <w:rPr>
          <w:rFonts w:asciiTheme="minorHAnsi" w:hAnsiTheme="minorHAnsi"/>
          <w:color w:val="000000" w:themeColor="text1"/>
          <w:szCs w:val="24"/>
          <w:lang w:eastAsia="en-AU"/>
        </w:rPr>
        <w:t xml:space="preserve"> member of the World Health Organization (WHO)</w:t>
      </w:r>
      <w:r w:rsidR="00456124">
        <w:rPr>
          <w:rFonts w:asciiTheme="minorHAnsi" w:hAnsiTheme="minorHAnsi"/>
          <w:color w:val="000000" w:themeColor="text1"/>
          <w:szCs w:val="24"/>
          <w:lang w:eastAsia="en-AU"/>
        </w:rPr>
        <w:t>, Australia is</w:t>
      </w:r>
      <w:r w:rsidR="00C056A8">
        <w:rPr>
          <w:rFonts w:asciiTheme="minorHAnsi" w:hAnsiTheme="minorHAnsi"/>
          <w:color w:val="000000" w:themeColor="text1"/>
          <w:szCs w:val="24"/>
          <w:lang w:eastAsia="en-AU"/>
        </w:rPr>
        <w:t xml:space="preserve"> strongly align</w:t>
      </w:r>
      <w:r w:rsidR="00AB07C7">
        <w:rPr>
          <w:rFonts w:asciiTheme="minorHAnsi" w:hAnsiTheme="minorHAnsi"/>
          <w:color w:val="000000" w:themeColor="text1"/>
          <w:szCs w:val="24"/>
          <w:lang w:eastAsia="en-AU"/>
        </w:rPr>
        <w:t>ed</w:t>
      </w:r>
      <w:r w:rsidR="00C056A8">
        <w:rPr>
          <w:rFonts w:asciiTheme="minorHAnsi" w:hAnsiTheme="minorHAnsi"/>
          <w:color w:val="000000" w:themeColor="text1"/>
          <w:szCs w:val="24"/>
          <w:lang w:eastAsia="en-AU"/>
        </w:rPr>
        <w:t xml:space="preserve"> with the WHO’s right to health objectives. </w:t>
      </w:r>
      <w:r w:rsidR="002D67D7" w:rsidRPr="009C5500">
        <w:rPr>
          <w:rFonts w:asciiTheme="minorHAnsi" w:hAnsiTheme="minorHAnsi"/>
          <w:color w:val="000000" w:themeColor="text1"/>
          <w:szCs w:val="24"/>
          <w:lang w:eastAsia="en-AU"/>
        </w:rPr>
        <w:t xml:space="preserve">Australia </w:t>
      </w:r>
      <w:r w:rsidR="00AB07C7">
        <w:rPr>
          <w:rFonts w:asciiTheme="minorHAnsi" w:hAnsiTheme="minorHAnsi"/>
          <w:color w:val="000000" w:themeColor="text1"/>
          <w:szCs w:val="24"/>
          <w:lang w:eastAsia="en-AU"/>
        </w:rPr>
        <w:t>is</w:t>
      </w:r>
      <w:r w:rsidR="00456124">
        <w:rPr>
          <w:rFonts w:asciiTheme="minorHAnsi" w:hAnsiTheme="minorHAnsi"/>
          <w:color w:val="000000" w:themeColor="text1"/>
          <w:szCs w:val="24"/>
          <w:lang w:eastAsia="en-AU"/>
        </w:rPr>
        <w:t xml:space="preserve"> </w:t>
      </w:r>
      <w:proofErr w:type="gramStart"/>
      <w:r w:rsidR="00456124">
        <w:rPr>
          <w:rFonts w:asciiTheme="minorHAnsi" w:hAnsiTheme="minorHAnsi"/>
          <w:color w:val="000000" w:themeColor="text1"/>
          <w:szCs w:val="24"/>
          <w:lang w:eastAsia="en-AU"/>
        </w:rPr>
        <w:t>fully supportive</w:t>
      </w:r>
      <w:proofErr w:type="gramEnd"/>
      <w:r w:rsidR="00456124">
        <w:rPr>
          <w:rFonts w:asciiTheme="minorHAnsi" w:hAnsiTheme="minorHAnsi"/>
          <w:color w:val="000000" w:themeColor="text1"/>
          <w:szCs w:val="24"/>
          <w:lang w:eastAsia="en-AU"/>
        </w:rPr>
        <w:t xml:space="preserve"> of measures to promote the </w:t>
      </w:r>
      <w:r w:rsidR="002D67D7" w:rsidRPr="009C5500">
        <w:rPr>
          <w:rFonts w:asciiTheme="minorHAnsi" w:hAnsiTheme="minorHAnsi"/>
          <w:color w:val="000000" w:themeColor="text1"/>
          <w:szCs w:val="24"/>
          <w:lang w:eastAsia="en-AU"/>
        </w:rPr>
        <w:t xml:space="preserve">2030 Agenda </w:t>
      </w:r>
      <w:r w:rsidR="002E08D7">
        <w:rPr>
          <w:rFonts w:asciiTheme="minorHAnsi" w:hAnsiTheme="minorHAnsi"/>
          <w:color w:val="000000" w:themeColor="text1"/>
          <w:szCs w:val="24"/>
          <w:lang w:eastAsia="en-AU"/>
        </w:rPr>
        <w:t>in the work of the</w:t>
      </w:r>
      <w:r w:rsidR="002D67D7" w:rsidRPr="009C5500">
        <w:rPr>
          <w:rFonts w:asciiTheme="minorHAnsi" w:hAnsiTheme="minorHAnsi"/>
          <w:color w:val="000000" w:themeColor="text1"/>
          <w:szCs w:val="24"/>
          <w:lang w:eastAsia="en-AU"/>
        </w:rPr>
        <w:t xml:space="preserve"> </w:t>
      </w:r>
      <w:r w:rsidR="002E70CD">
        <w:rPr>
          <w:rFonts w:asciiTheme="minorHAnsi" w:hAnsiTheme="minorHAnsi"/>
          <w:color w:val="000000" w:themeColor="text1"/>
          <w:szCs w:val="24"/>
          <w:lang w:eastAsia="en-AU"/>
        </w:rPr>
        <w:t>WHO</w:t>
      </w:r>
      <w:r w:rsidR="002E08D7">
        <w:rPr>
          <w:rFonts w:asciiTheme="minorHAnsi" w:hAnsiTheme="minorHAnsi"/>
          <w:color w:val="000000" w:themeColor="text1"/>
          <w:szCs w:val="24"/>
          <w:lang w:eastAsia="en-AU"/>
        </w:rPr>
        <w:t xml:space="preserve"> at the </w:t>
      </w:r>
      <w:r w:rsidR="00AB07C7">
        <w:rPr>
          <w:rFonts w:asciiTheme="minorHAnsi" w:hAnsiTheme="minorHAnsi"/>
          <w:color w:val="000000" w:themeColor="text1"/>
          <w:szCs w:val="24"/>
          <w:lang w:eastAsia="en-AU"/>
        </w:rPr>
        <w:t xml:space="preserve">national, </w:t>
      </w:r>
      <w:r w:rsidR="002E08D7">
        <w:rPr>
          <w:rFonts w:asciiTheme="minorHAnsi" w:hAnsiTheme="minorHAnsi"/>
          <w:color w:val="000000" w:themeColor="text1"/>
          <w:szCs w:val="24"/>
          <w:lang w:eastAsia="en-AU"/>
        </w:rPr>
        <w:t>regional and global levels,</w:t>
      </w:r>
      <w:r w:rsidR="002D67D7" w:rsidRPr="009C5500">
        <w:rPr>
          <w:rFonts w:asciiTheme="minorHAnsi" w:hAnsiTheme="minorHAnsi"/>
          <w:color w:val="000000" w:themeColor="text1"/>
          <w:szCs w:val="24"/>
          <w:lang w:eastAsia="en-AU"/>
        </w:rPr>
        <w:t xml:space="preserve"> and </w:t>
      </w:r>
      <w:r w:rsidR="002E08D7">
        <w:rPr>
          <w:rFonts w:asciiTheme="minorHAnsi" w:hAnsiTheme="minorHAnsi"/>
          <w:color w:val="000000" w:themeColor="text1"/>
          <w:szCs w:val="24"/>
          <w:lang w:eastAsia="en-AU"/>
        </w:rPr>
        <w:t xml:space="preserve">across </w:t>
      </w:r>
      <w:r w:rsidR="002D67D7" w:rsidRPr="009C5500">
        <w:rPr>
          <w:rFonts w:asciiTheme="minorHAnsi" w:hAnsiTheme="minorHAnsi"/>
          <w:color w:val="000000" w:themeColor="text1"/>
          <w:szCs w:val="24"/>
          <w:lang w:eastAsia="en-AU"/>
        </w:rPr>
        <w:t>other multilateral fora, to strengthen action towards achieving the hea</w:t>
      </w:r>
      <w:r w:rsidR="00073442" w:rsidRPr="00073442">
        <w:rPr>
          <w:rFonts w:asciiTheme="minorHAnsi" w:hAnsiTheme="minorHAnsi"/>
          <w:color w:val="000000" w:themeColor="text1"/>
          <w:szCs w:val="24"/>
          <w:lang w:eastAsia="en-AU"/>
        </w:rPr>
        <w:t>lth-related aspects of the S</w:t>
      </w:r>
      <w:r w:rsidR="00B52530">
        <w:rPr>
          <w:rFonts w:asciiTheme="minorHAnsi" w:hAnsiTheme="minorHAnsi"/>
          <w:color w:val="000000" w:themeColor="text1"/>
          <w:szCs w:val="24"/>
          <w:lang w:eastAsia="en-AU"/>
        </w:rPr>
        <w:t xml:space="preserve">ustainable </w:t>
      </w:r>
      <w:r w:rsidR="00073442" w:rsidRPr="00073442">
        <w:rPr>
          <w:rFonts w:asciiTheme="minorHAnsi" w:hAnsiTheme="minorHAnsi"/>
          <w:color w:val="000000" w:themeColor="text1"/>
          <w:szCs w:val="24"/>
          <w:lang w:eastAsia="en-AU"/>
        </w:rPr>
        <w:t>D</w:t>
      </w:r>
      <w:r w:rsidR="00B52530">
        <w:rPr>
          <w:rFonts w:asciiTheme="minorHAnsi" w:hAnsiTheme="minorHAnsi"/>
          <w:color w:val="000000" w:themeColor="text1"/>
          <w:szCs w:val="24"/>
          <w:lang w:eastAsia="en-AU"/>
        </w:rPr>
        <w:t xml:space="preserve">evelopment </w:t>
      </w:r>
      <w:r w:rsidR="00073442" w:rsidRPr="00073442">
        <w:rPr>
          <w:rFonts w:asciiTheme="minorHAnsi" w:hAnsiTheme="minorHAnsi"/>
          <w:color w:val="000000" w:themeColor="text1"/>
          <w:szCs w:val="24"/>
          <w:lang w:eastAsia="en-AU"/>
        </w:rPr>
        <w:t>G</w:t>
      </w:r>
      <w:r w:rsidR="00B52530">
        <w:rPr>
          <w:rFonts w:asciiTheme="minorHAnsi" w:hAnsiTheme="minorHAnsi"/>
          <w:color w:val="000000" w:themeColor="text1"/>
          <w:szCs w:val="24"/>
          <w:lang w:eastAsia="en-AU"/>
        </w:rPr>
        <w:t>oals (SDGs)</w:t>
      </w:r>
      <w:r w:rsidR="00073442" w:rsidRPr="00073442">
        <w:rPr>
          <w:rFonts w:asciiTheme="minorHAnsi" w:hAnsiTheme="minorHAnsi"/>
          <w:color w:val="000000" w:themeColor="text1"/>
          <w:szCs w:val="24"/>
          <w:lang w:eastAsia="en-AU"/>
        </w:rPr>
        <w:t>.</w:t>
      </w:r>
    </w:p>
    <w:p w14:paraId="2CA957FC" w14:textId="77777777" w:rsidR="00073442" w:rsidRDefault="00073442" w:rsidP="009C5500">
      <w:pPr>
        <w:spacing w:after="0" w:line="240" w:lineRule="auto"/>
        <w:ind w:left="-567" w:right="-483"/>
        <w:rPr>
          <w:rFonts w:asciiTheme="minorHAnsi" w:hAnsiTheme="minorHAnsi"/>
          <w:color w:val="000000" w:themeColor="text1"/>
          <w:szCs w:val="24"/>
          <w:lang w:eastAsia="en-AU"/>
        </w:rPr>
      </w:pPr>
    </w:p>
    <w:p w14:paraId="7E149FF0" w14:textId="1FC00439" w:rsidR="002E08D7" w:rsidRDefault="00F2445C" w:rsidP="009C5500">
      <w:pPr>
        <w:spacing w:after="0" w:line="240" w:lineRule="auto"/>
        <w:ind w:left="-567" w:right="-483"/>
        <w:rPr>
          <w:rFonts w:asciiTheme="minorHAnsi" w:hAnsiTheme="minorHAnsi"/>
          <w:color w:val="000000" w:themeColor="text1"/>
          <w:szCs w:val="24"/>
          <w:lang w:eastAsia="en-AU"/>
        </w:rPr>
      </w:pPr>
      <w:r w:rsidRPr="00935430">
        <w:rPr>
          <w:rFonts w:asciiTheme="minorHAnsi" w:hAnsiTheme="minorHAnsi"/>
          <w:color w:val="000000" w:themeColor="text1"/>
          <w:szCs w:val="24"/>
          <w:lang w:eastAsia="en-AU"/>
        </w:rPr>
        <w:t xml:space="preserve">Australia is </w:t>
      </w:r>
      <w:r w:rsidR="00AB07C7">
        <w:rPr>
          <w:rFonts w:asciiTheme="minorHAnsi" w:hAnsiTheme="minorHAnsi"/>
          <w:color w:val="000000" w:themeColor="text1"/>
          <w:szCs w:val="24"/>
          <w:lang w:eastAsia="en-AU"/>
        </w:rPr>
        <w:t>developing</w:t>
      </w:r>
      <w:r w:rsidRPr="00935430">
        <w:rPr>
          <w:rFonts w:asciiTheme="minorHAnsi" w:hAnsiTheme="minorHAnsi"/>
          <w:color w:val="000000" w:themeColor="text1"/>
          <w:szCs w:val="24"/>
          <w:lang w:eastAsia="en-AU"/>
        </w:rPr>
        <w:t xml:space="preserve"> a response to the 2030 Agenda</w:t>
      </w:r>
      <w:r w:rsidR="00C056A8">
        <w:rPr>
          <w:rFonts w:asciiTheme="minorHAnsi" w:hAnsiTheme="minorHAnsi"/>
          <w:color w:val="000000" w:themeColor="text1"/>
          <w:szCs w:val="24"/>
          <w:lang w:eastAsia="en-AU"/>
        </w:rPr>
        <w:t>, which will m</w:t>
      </w:r>
      <w:r w:rsidRPr="009C5500">
        <w:rPr>
          <w:rFonts w:asciiTheme="minorHAnsi" w:hAnsiTheme="minorHAnsi"/>
          <w:color w:val="000000" w:themeColor="text1"/>
          <w:szCs w:val="24"/>
          <w:lang w:eastAsia="en-AU"/>
        </w:rPr>
        <w:t xml:space="preserve">ap existing government initiatives </w:t>
      </w:r>
      <w:r w:rsidR="00C056A8">
        <w:rPr>
          <w:rFonts w:asciiTheme="minorHAnsi" w:hAnsiTheme="minorHAnsi"/>
          <w:color w:val="000000" w:themeColor="text1"/>
          <w:szCs w:val="24"/>
          <w:lang w:eastAsia="en-AU"/>
        </w:rPr>
        <w:t>aligned</w:t>
      </w:r>
      <w:r w:rsidRPr="009C5500">
        <w:rPr>
          <w:rFonts w:asciiTheme="minorHAnsi" w:hAnsiTheme="minorHAnsi"/>
          <w:color w:val="000000" w:themeColor="text1"/>
          <w:szCs w:val="24"/>
          <w:lang w:eastAsia="en-AU"/>
        </w:rPr>
        <w:t xml:space="preserve"> with the 2030 Agenda;</w:t>
      </w:r>
      <w:r w:rsidR="00C056A8">
        <w:rPr>
          <w:rFonts w:asciiTheme="minorHAnsi" w:hAnsiTheme="minorHAnsi"/>
          <w:color w:val="000000" w:themeColor="text1"/>
          <w:szCs w:val="24"/>
          <w:lang w:eastAsia="en-AU"/>
        </w:rPr>
        <w:t xml:space="preserve"> </w:t>
      </w:r>
      <w:r w:rsidRPr="00935430">
        <w:rPr>
          <w:rFonts w:asciiTheme="minorHAnsi" w:hAnsiTheme="minorHAnsi"/>
          <w:color w:val="000000" w:themeColor="text1"/>
          <w:szCs w:val="24"/>
          <w:lang w:eastAsia="en-AU"/>
        </w:rPr>
        <w:t>strengthen government communications on the 2030</w:t>
      </w:r>
      <w:r w:rsidR="00FD4B02">
        <w:rPr>
          <w:rFonts w:asciiTheme="minorHAnsi" w:hAnsiTheme="minorHAnsi"/>
          <w:color w:val="000000" w:themeColor="text1"/>
          <w:szCs w:val="24"/>
          <w:lang w:eastAsia="en-AU"/>
        </w:rPr>
        <w:t> </w:t>
      </w:r>
      <w:r w:rsidRPr="00935430">
        <w:rPr>
          <w:rFonts w:asciiTheme="minorHAnsi" w:hAnsiTheme="minorHAnsi"/>
          <w:color w:val="000000" w:themeColor="text1"/>
          <w:szCs w:val="24"/>
          <w:lang w:eastAsia="en-AU"/>
        </w:rPr>
        <w:t>Agenda;</w:t>
      </w:r>
      <w:r w:rsidR="00C056A8">
        <w:rPr>
          <w:rFonts w:asciiTheme="minorHAnsi" w:hAnsiTheme="minorHAnsi"/>
          <w:color w:val="000000" w:themeColor="text1"/>
          <w:szCs w:val="24"/>
          <w:lang w:eastAsia="en-AU"/>
        </w:rPr>
        <w:t xml:space="preserve"> and </w:t>
      </w:r>
      <w:r w:rsidRPr="00935430">
        <w:rPr>
          <w:rFonts w:asciiTheme="minorHAnsi" w:hAnsiTheme="minorHAnsi"/>
          <w:color w:val="000000" w:themeColor="text1"/>
          <w:szCs w:val="24"/>
          <w:lang w:eastAsia="en-AU"/>
        </w:rPr>
        <w:t>identify new opportunities to give effect to the 2030 Agenda</w:t>
      </w:r>
      <w:r w:rsidR="00C056A8">
        <w:rPr>
          <w:rFonts w:asciiTheme="minorHAnsi" w:hAnsiTheme="minorHAnsi"/>
          <w:color w:val="000000" w:themeColor="text1"/>
          <w:szCs w:val="24"/>
          <w:lang w:eastAsia="en-AU"/>
        </w:rPr>
        <w:t xml:space="preserve">. </w:t>
      </w:r>
      <w:r w:rsidRPr="00935430">
        <w:rPr>
          <w:rFonts w:asciiTheme="minorHAnsi" w:hAnsiTheme="minorHAnsi"/>
          <w:color w:val="000000" w:themeColor="text1"/>
          <w:szCs w:val="24"/>
          <w:lang w:eastAsia="en-AU"/>
        </w:rPr>
        <w:t>Australia</w:t>
      </w:r>
      <w:r w:rsidR="00C056A8">
        <w:rPr>
          <w:rFonts w:asciiTheme="minorHAnsi" w:hAnsiTheme="minorHAnsi"/>
          <w:color w:val="000000" w:themeColor="text1"/>
          <w:szCs w:val="24"/>
          <w:lang w:eastAsia="en-AU"/>
        </w:rPr>
        <w:t xml:space="preserve"> will deliver its</w:t>
      </w:r>
      <w:r w:rsidRPr="00935430">
        <w:rPr>
          <w:rFonts w:asciiTheme="minorHAnsi" w:hAnsiTheme="minorHAnsi"/>
          <w:color w:val="000000" w:themeColor="text1"/>
          <w:szCs w:val="24"/>
          <w:lang w:eastAsia="en-AU"/>
        </w:rPr>
        <w:t xml:space="preserve"> first Voluntary National Review</w:t>
      </w:r>
      <w:r w:rsidR="00C056A8">
        <w:rPr>
          <w:rFonts w:asciiTheme="minorHAnsi" w:hAnsiTheme="minorHAnsi"/>
          <w:color w:val="000000" w:themeColor="text1"/>
          <w:szCs w:val="24"/>
          <w:lang w:eastAsia="en-AU"/>
        </w:rPr>
        <w:t xml:space="preserve"> on the 2030 Agenda</w:t>
      </w:r>
      <w:r w:rsidRPr="00935430">
        <w:rPr>
          <w:rFonts w:asciiTheme="minorHAnsi" w:hAnsiTheme="minorHAnsi"/>
          <w:color w:val="000000" w:themeColor="text1"/>
          <w:szCs w:val="24"/>
          <w:lang w:eastAsia="en-AU"/>
        </w:rPr>
        <w:t xml:space="preserve"> </w:t>
      </w:r>
      <w:r w:rsidR="00C056A8">
        <w:rPr>
          <w:rFonts w:asciiTheme="minorHAnsi" w:hAnsiTheme="minorHAnsi"/>
          <w:color w:val="000000" w:themeColor="text1"/>
          <w:szCs w:val="24"/>
          <w:lang w:eastAsia="en-AU"/>
        </w:rPr>
        <w:t>at the United Nations High Level Political Forum in</w:t>
      </w:r>
      <w:r w:rsidRPr="00935430">
        <w:rPr>
          <w:rFonts w:asciiTheme="minorHAnsi" w:hAnsiTheme="minorHAnsi"/>
          <w:color w:val="000000" w:themeColor="text1"/>
          <w:szCs w:val="24"/>
          <w:lang w:eastAsia="en-AU"/>
        </w:rPr>
        <w:t xml:space="preserve"> July 2018.</w:t>
      </w:r>
    </w:p>
    <w:p w14:paraId="18DB8363" w14:textId="77777777" w:rsidR="00073442" w:rsidRPr="009C5500" w:rsidRDefault="00073442" w:rsidP="002F06ED">
      <w:pPr>
        <w:spacing w:after="0" w:line="240" w:lineRule="auto"/>
        <w:ind w:left="-567" w:right="-483"/>
        <w:rPr>
          <w:rFonts w:asciiTheme="minorHAnsi" w:hAnsiTheme="minorHAnsi"/>
          <w:color w:val="000000" w:themeColor="text1"/>
          <w:szCs w:val="24"/>
          <w:u w:val="single"/>
          <w:lang w:eastAsia="en-AU"/>
        </w:rPr>
      </w:pPr>
    </w:p>
    <w:p w14:paraId="384C21F1" w14:textId="77777777" w:rsidR="00F2445C" w:rsidRPr="009C5500" w:rsidRDefault="00F2445C" w:rsidP="00A87054">
      <w:pPr>
        <w:spacing w:after="0" w:line="240" w:lineRule="auto"/>
        <w:ind w:left="-567" w:right="-483"/>
        <w:rPr>
          <w:rFonts w:asciiTheme="minorHAnsi" w:hAnsiTheme="minorHAnsi"/>
          <w:b/>
          <w:i/>
          <w:color w:val="000000" w:themeColor="text1"/>
          <w:szCs w:val="24"/>
          <w:lang w:eastAsia="en-AU"/>
        </w:rPr>
      </w:pPr>
      <w:r w:rsidRPr="009C5500">
        <w:rPr>
          <w:rFonts w:asciiTheme="minorHAnsi" w:hAnsiTheme="minorHAnsi"/>
          <w:b/>
          <w:i/>
          <w:color w:val="000000" w:themeColor="text1"/>
          <w:szCs w:val="24"/>
          <w:lang w:eastAsia="en-AU"/>
        </w:rPr>
        <w:t>Australia’s approach to healthcare</w:t>
      </w:r>
    </w:p>
    <w:p w14:paraId="5BBEDE22" w14:textId="70777CA2" w:rsidR="00345E64" w:rsidRDefault="00AD7873" w:rsidP="00A87054">
      <w:pPr>
        <w:spacing w:after="0" w:line="240" w:lineRule="auto"/>
        <w:ind w:left="-567" w:right="-483"/>
        <w:rPr>
          <w:rFonts w:asciiTheme="minorHAnsi" w:hAnsiTheme="minorHAnsi"/>
          <w:color w:val="000000" w:themeColor="text1"/>
          <w:szCs w:val="24"/>
          <w:lang w:eastAsia="en-AU"/>
        </w:rPr>
      </w:pPr>
      <w:r>
        <w:rPr>
          <w:rFonts w:asciiTheme="minorHAnsi" w:hAnsiTheme="minorHAnsi"/>
          <w:color w:val="000000" w:themeColor="text1"/>
          <w:szCs w:val="24"/>
          <w:lang w:eastAsia="en-AU"/>
        </w:rPr>
        <w:t xml:space="preserve">The </w:t>
      </w:r>
      <w:r w:rsidR="00345E64">
        <w:rPr>
          <w:rFonts w:asciiTheme="minorHAnsi" w:hAnsiTheme="minorHAnsi"/>
          <w:color w:val="000000" w:themeColor="text1"/>
          <w:szCs w:val="24"/>
          <w:lang w:eastAsia="en-AU"/>
        </w:rPr>
        <w:t>A</w:t>
      </w:r>
      <w:r w:rsidR="00345E64" w:rsidRPr="00345E64">
        <w:rPr>
          <w:rFonts w:asciiTheme="minorHAnsi" w:hAnsiTheme="minorHAnsi"/>
          <w:color w:val="000000" w:themeColor="text1"/>
          <w:szCs w:val="24"/>
          <w:lang w:eastAsia="en-AU"/>
        </w:rPr>
        <w:t>ustralia</w:t>
      </w:r>
      <w:r>
        <w:rPr>
          <w:rFonts w:asciiTheme="minorHAnsi" w:hAnsiTheme="minorHAnsi"/>
          <w:color w:val="000000" w:themeColor="text1"/>
          <w:szCs w:val="24"/>
          <w:lang w:eastAsia="en-AU"/>
        </w:rPr>
        <w:t>n Government</w:t>
      </w:r>
      <w:r w:rsidR="00345E64" w:rsidRPr="00345E64">
        <w:rPr>
          <w:rFonts w:asciiTheme="minorHAnsi" w:hAnsiTheme="minorHAnsi"/>
          <w:color w:val="000000" w:themeColor="text1"/>
          <w:szCs w:val="24"/>
          <w:lang w:eastAsia="en-AU"/>
        </w:rPr>
        <w:t xml:space="preserve"> has a steadfast and ongoing commitment to </w:t>
      </w:r>
      <w:r w:rsidR="00AB07C7">
        <w:rPr>
          <w:rFonts w:asciiTheme="minorHAnsi" w:hAnsiTheme="minorHAnsi"/>
          <w:color w:val="000000" w:themeColor="text1"/>
          <w:szCs w:val="24"/>
          <w:lang w:eastAsia="en-AU"/>
        </w:rPr>
        <w:t>remain</w:t>
      </w:r>
      <w:r w:rsidR="00AB07C7" w:rsidRPr="00345E64">
        <w:rPr>
          <w:rFonts w:asciiTheme="minorHAnsi" w:hAnsiTheme="minorHAnsi"/>
          <w:color w:val="000000" w:themeColor="text1"/>
          <w:szCs w:val="24"/>
          <w:lang w:eastAsia="en-AU"/>
        </w:rPr>
        <w:t xml:space="preserve"> </w:t>
      </w:r>
      <w:r w:rsidR="00345E64" w:rsidRPr="00345E64">
        <w:rPr>
          <w:rFonts w:asciiTheme="minorHAnsi" w:hAnsiTheme="minorHAnsi"/>
          <w:color w:val="000000" w:themeColor="text1"/>
          <w:szCs w:val="24"/>
          <w:lang w:eastAsia="en-AU"/>
        </w:rPr>
        <w:t xml:space="preserve">at the forefront of </w:t>
      </w:r>
      <w:r w:rsidR="00345E64">
        <w:rPr>
          <w:rFonts w:asciiTheme="minorHAnsi" w:hAnsiTheme="minorHAnsi"/>
          <w:color w:val="000000" w:themeColor="text1"/>
          <w:szCs w:val="24"/>
          <w:lang w:eastAsia="en-AU"/>
        </w:rPr>
        <w:t xml:space="preserve">global </w:t>
      </w:r>
      <w:r w:rsidR="00345E64" w:rsidRPr="00345E64">
        <w:rPr>
          <w:rFonts w:asciiTheme="minorHAnsi" w:hAnsiTheme="minorHAnsi"/>
          <w:color w:val="000000" w:themeColor="text1"/>
          <w:szCs w:val="24"/>
          <w:lang w:eastAsia="en-AU"/>
        </w:rPr>
        <w:t xml:space="preserve">efforts to achieve high life expectancy, healthy lifestyles and </w:t>
      </w:r>
      <w:r w:rsidR="00AB07C7">
        <w:rPr>
          <w:rFonts w:asciiTheme="minorHAnsi" w:hAnsiTheme="minorHAnsi"/>
          <w:color w:val="000000" w:themeColor="text1"/>
          <w:szCs w:val="24"/>
          <w:lang w:eastAsia="en-AU"/>
        </w:rPr>
        <w:t xml:space="preserve">high </w:t>
      </w:r>
      <w:r w:rsidR="00715260">
        <w:rPr>
          <w:rFonts w:asciiTheme="minorHAnsi" w:hAnsiTheme="minorHAnsi"/>
          <w:color w:val="000000" w:themeColor="text1"/>
          <w:szCs w:val="24"/>
          <w:lang w:eastAsia="en-AU"/>
        </w:rPr>
        <w:t xml:space="preserve">quality </w:t>
      </w:r>
      <w:r w:rsidR="00345E64" w:rsidRPr="00345E64">
        <w:rPr>
          <w:rFonts w:asciiTheme="minorHAnsi" w:hAnsiTheme="minorHAnsi"/>
          <w:color w:val="000000" w:themeColor="text1"/>
          <w:szCs w:val="24"/>
          <w:lang w:eastAsia="en-AU"/>
        </w:rPr>
        <w:t>health services.</w:t>
      </w:r>
      <w:r w:rsidR="008D605D">
        <w:rPr>
          <w:rFonts w:asciiTheme="minorHAnsi" w:hAnsiTheme="minorHAnsi"/>
          <w:color w:val="000000" w:themeColor="text1"/>
          <w:szCs w:val="24"/>
          <w:lang w:eastAsia="en-AU"/>
        </w:rPr>
        <w:t xml:space="preserve"> </w:t>
      </w:r>
      <w:r w:rsidR="00345E64">
        <w:rPr>
          <w:rFonts w:asciiTheme="minorHAnsi" w:hAnsiTheme="minorHAnsi"/>
          <w:color w:val="000000" w:themeColor="text1"/>
          <w:szCs w:val="24"/>
          <w:lang w:eastAsia="en-AU"/>
        </w:rPr>
        <w:t>Australia acknowledges that the right to health is inclusive, contains freedoms</w:t>
      </w:r>
      <w:r w:rsidR="00E52A00">
        <w:rPr>
          <w:rFonts w:asciiTheme="minorHAnsi" w:hAnsiTheme="minorHAnsi"/>
          <w:color w:val="000000" w:themeColor="text1"/>
          <w:szCs w:val="24"/>
          <w:lang w:eastAsia="en-AU"/>
        </w:rPr>
        <w:t xml:space="preserve"> that are fundamental to </w:t>
      </w:r>
      <w:r w:rsidR="00C25E4C">
        <w:rPr>
          <w:rFonts w:asciiTheme="minorHAnsi" w:hAnsiTheme="minorHAnsi"/>
          <w:color w:val="000000" w:themeColor="text1"/>
          <w:szCs w:val="24"/>
          <w:lang w:eastAsia="en-AU"/>
        </w:rPr>
        <w:t>safeguarding</w:t>
      </w:r>
      <w:r w:rsidR="00A64D34">
        <w:rPr>
          <w:rFonts w:asciiTheme="minorHAnsi" w:hAnsiTheme="minorHAnsi"/>
          <w:color w:val="000000" w:themeColor="text1"/>
          <w:szCs w:val="24"/>
          <w:lang w:eastAsia="en-AU"/>
        </w:rPr>
        <w:t xml:space="preserve"> </w:t>
      </w:r>
      <w:r w:rsidR="00E52A00">
        <w:rPr>
          <w:rFonts w:asciiTheme="minorHAnsi" w:hAnsiTheme="minorHAnsi"/>
          <w:color w:val="000000" w:themeColor="text1"/>
          <w:szCs w:val="24"/>
          <w:lang w:eastAsia="en-AU"/>
        </w:rPr>
        <w:t>human rights</w:t>
      </w:r>
      <w:r w:rsidR="00455EBD">
        <w:rPr>
          <w:rFonts w:asciiTheme="minorHAnsi" w:hAnsiTheme="minorHAnsi"/>
          <w:color w:val="000000" w:themeColor="text1"/>
          <w:szCs w:val="24"/>
          <w:lang w:eastAsia="en-AU"/>
        </w:rPr>
        <w:t xml:space="preserve"> for</w:t>
      </w:r>
      <w:r w:rsidR="00E52A00">
        <w:rPr>
          <w:rFonts w:asciiTheme="minorHAnsi" w:hAnsiTheme="minorHAnsi"/>
          <w:color w:val="000000" w:themeColor="text1"/>
          <w:szCs w:val="24"/>
          <w:lang w:eastAsia="en-AU"/>
        </w:rPr>
        <w:t xml:space="preserve"> Australians,</w:t>
      </w:r>
      <w:r w:rsidR="00345E64">
        <w:rPr>
          <w:rFonts w:asciiTheme="minorHAnsi" w:hAnsiTheme="minorHAnsi"/>
          <w:color w:val="000000" w:themeColor="text1"/>
          <w:szCs w:val="24"/>
          <w:lang w:eastAsia="en-AU"/>
        </w:rPr>
        <w:t xml:space="preserve"> and entitles the population to have access to </w:t>
      </w:r>
      <w:r w:rsidR="00ED69A9">
        <w:rPr>
          <w:rFonts w:asciiTheme="minorHAnsi" w:hAnsiTheme="minorHAnsi"/>
          <w:color w:val="000000" w:themeColor="text1"/>
          <w:szCs w:val="24"/>
          <w:lang w:eastAsia="en-AU"/>
        </w:rPr>
        <w:t xml:space="preserve">timely, </w:t>
      </w:r>
      <w:r w:rsidR="00345E64">
        <w:rPr>
          <w:rFonts w:asciiTheme="minorHAnsi" w:hAnsiTheme="minorHAnsi"/>
          <w:color w:val="000000" w:themeColor="text1"/>
          <w:szCs w:val="24"/>
          <w:lang w:eastAsia="en-AU"/>
        </w:rPr>
        <w:t xml:space="preserve">high quality health services that </w:t>
      </w:r>
      <w:proofErr w:type="gramStart"/>
      <w:r w:rsidR="00345E64">
        <w:rPr>
          <w:rFonts w:asciiTheme="minorHAnsi" w:hAnsiTheme="minorHAnsi"/>
          <w:color w:val="000000" w:themeColor="text1"/>
          <w:szCs w:val="24"/>
          <w:lang w:eastAsia="en-AU"/>
        </w:rPr>
        <w:t>are del</w:t>
      </w:r>
      <w:r w:rsidR="00ED69A9">
        <w:rPr>
          <w:rFonts w:asciiTheme="minorHAnsi" w:hAnsiTheme="minorHAnsi"/>
          <w:color w:val="000000" w:themeColor="text1"/>
          <w:szCs w:val="24"/>
          <w:lang w:eastAsia="en-AU"/>
        </w:rPr>
        <w:t>ivered</w:t>
      </w:r>
      <w:proofErr w:type="gramEnd"/>
      <w:r w:rsidR="00ED69A9">
        <w:rPr>
          <w:rFonts w:asciiTheme="minorHAnsi" w:hAnsiTheme="minorHAnsi"/>
          <w:color w:val="000000" w:themeColor="text1"/>
          <w:szCs w:val="24"/>
          <w:lang w:eastAsia="en-AU"/>
        </w:rPr>
        <w:t xml:space="preserve"> without discrimination.</w:t>
      </w:r>
      <w:r w:rsidR="00E7621B">
        <w:rPr>
          <w:rFonts w:asciiTheme="minorHAnsi" w:hAnsiTheme="minorHAnsi"/>
          <w:color w:val="000000" w:themeColor="text1"/>
          <w:szCs w:val="24"/>
          <w:lang w:eastAsia="en-AU"/>
        </w:rPr>
        <w:t xml:space="preserve"> </w:t>
      </w:r>
    </w:p>
    <w:p w14:paraId="445CB869" w14:textId="77777777" w:rsidR="00192A27" w:rsidRDefault="00192A27" w:rsidP="00A87054">
      <w:pPr>
        <w:pStyle w:val="Default"/>
        <w:ind w:left="-567" w:right="-483"/>
        <w:rPr>
          <w:rFonts w:asciiTheme="minorHAnsi" w:hAnsiTheme="minorHAnsi"/>
          <w:color w:val="000000" w:themeColor="text1"/>
        </w:rPr>
      </w:pPr>
    </w:p>
    <w:p w14:paraId="341B69DD" w14:textId="3F343732" w:rsidR="00192A27" w:rsidRPr="009C5500" w:rsidRDefault="00192A27" w:rsidP="009C5500">
      <w:pPr>
        <w:spacing w:after="0" w:line="240" w:lineRule="auto"/>
        <w:ind w:left="-567" w:right="-483"/>
        <w:rPr>
          <w:rFonts w:asciiTheme="minorHAnsi" w:hAnsiTheme="minorHAnsi"/>
          <w:color w:val="000000" w:themeColor="text1"/>
        </w:rPr>
      </w:pPr>
      <w:r w:rsidRPr="009C5500">
        <w:rPr>
          <w:rFonts w:asciiTheme="minorHAnsi" w:hAnsiTheme="minorHAnsi"/>
          <w:color w:val="000000" w:themeColor="text1"/>
          <w:szCs w:val="24"/>
          <w:lang w:eastAsia="en-AU"/>
        </w:rPr>
        <w:t xml:space="preserve">Australia’s health system </w:t>
      </w:r>
      <w:r w:rsidR="00315009" w:rsidRPr="009C5500">
        <w:rPr>
          <w:rFonts w:asciiTheme="minorHAnsi" w:hAnsiTheme="minorHAnsi"/>
          <w:color w:val="000000" w:themeColor="text1"/>
          <w:szCs w:val="24"/>
          <w:lang w:eastAsia="en-AU"/>
        </w:rPr>
        <w:t xml:space="preserve">faces </w:t>
      </w:r>
      <w:r w:rsidRPr="009C5500">
        <w:rPr>
          <w:rFonts w:asciiTheme="minorHAnsi" w:hAnsiTheme="minorHAnsi"/>
          <w:color w:val="000000" w:themeColor="text1"/>
          <w:szCs w:val="24"/>
          <w:lang w:eastAsia="en-AU"/>
        </w:rPr>
        <w:t>challenges common to many other countries: an ageing population; the rising incidence of non</w:t>
      </w:r>
      <w:r w:rsidR="0086424C" w:rsidRPr="009C5500">
        <w:rPr>
          <w:rFonts w:asciiTheme="minorHAnsi" w:hAnsiTheme="minorHAnsi"/>
          <w:color w:val="000000" w:themeColor="text1"/>
          <w:szCs w:val="24"/>
          <w:lang w:eastAsia="en-AU"/>
        </w:rPr>
        <w:t>-</w:t>
      </w:r>
      <w:r w:rsidRPr="009C5500">
        <w:rPr>
          <w:rFonts w:asciiTheme="minorHAnsi" w:hAnsiTheme="minorHAnsi"/>
          <w:color w:val="000000" w:themeColor="text1"/>
          <w:szCs w:val="24"/>
          <w:lang w:eastAsia="en-AU"/>
        </w:rPr>
        <w:t xml:space="preserve">communicable diseases; emerging and re-emerging communicable diseases; and poorer health outcomes for subpopulation groups including indigenous people, people living with mental illness, and those living in rural and remote areas. </w:t>
      </w:r>
    </w:p>
    <w:p w14:paraId="24EB3824" w14:textId="77777777" w:rsidR="00B52530" w:rsidRDefault="00B52530" w:rsidP="00F2445C">
      <w:pPr>
        <w:pStyle w:val="Default"/>
        <w:spacing w:after="120"/>
        <w:ind w:left="-567" w:right="-483"/>
        <w:rPr>
          <w:rFonts w:asciiTheme="minorHAnsi" w:hAnsiTheme="minorHAnsi"/>
        </w:rPr>
      </w:pPr>
    </w:p>
    <w:p w14:paraId="50C2D075" w14:textId="294F5F3D" w:rsidR="00AD7873" w:rsidRPr="00AD7873" w:rsidRDefault="00AD7873" w:rsidP="00F2445C">
      <w:pPr>
        <w:pStyle w:val="Default"/>
        <w:spacing w:after="120"/>
        <w:ind w:left="-567" w:right="-483"/>
        <w:rPr>
          <w:rFonts w:asciiTheme="minorHAnsi" w:hAnsiTheme="minorHAnsi"/>
          <w:color w:val="000000" w:themeColor="text1"/>
          <w:u w:val="single"/>
        </w:rPr>
      </w:pPr>
      <w:r w:rsidRPr="00AD7873">
        <w:rPr>
          <w:rFonts w:asciiTheme="minorHAnsi" w:hAnsiTheme="minorHAnsi"/>
          <w:color w:val="000000" w:themeColor="text1"/>
          <w:u w:val="single"/>
        </w:rPr>
        <w:t xml:space="preserve">Universal </w:t>
      </w:r>
      <w:r w:rsidR="00C056A8">
        <w:rPr>
          <w:rFonts w:asciiTheme="minorHAnsi" w:hAnsiTheme="minorHAnsi"/>
          <w:color w:val="000000" w:themeColor="text1"/>
          <w:u w:val="single"/>
        </w:rPr>
        <w:t>h</w:t>
      </w:r>
      <w:r w:rsidRPr="00AD7873">
        <w:rPr>
          <w:rFonts w:asciiTheme="minorHAnsi" w:hAnsiTheme="minorHAnsi"/>
          <w:color w:val="000000" w:themeColor="text1"/>
          <w:u w:val="single"/>
        </w:rPr>
        <w:t xml:space="preserve">ealth </w:t>
      </w:r>
      <w:r w:rsidR="00C056A8">
        <w:rPr>
          <w:rFonts w:asciiTheme="minorHAnsi" w:hAnsiTheme="minorHAnsi"/>
          <w:color w:val="000000" w:themeColor="text1"/>
          <w:u w:val="single"/>
        </w:rPr>
        <w:t>c</w:t>
      </w:r>
      <w:r w:rsidRPr="00AD7873">
        <w:rPr>
          <w:rFonts w:asciiTheme="minorHAnsi" w:hAnsiTheme="minorHAnsi"/>
          <w:color w:val="000000" w:themeColor="text1"/>
          <w:u w:val="single"/>
        </w:rPr>
        <w:t>overage</w:t>
      </w:r>
    </w:p>
    <w:p w14:paraId="5CC3F0C5" w14:textId="1DAEA022" w:rsidR="00ED69A9" w:rsidRDefault="00192A27" w:rsidP="00A87054">
      <w:pPr>
        <w:pStyle w:val="Default"/>
        <w:ind w:left="-567" w:right="-483"/>
        <w:rPr>
          <w:rFonts w:asciiTheme="minorHAnsi" w:hAnsiTheme="minorHAnsi"/>
          <w:color w:val="000000" w:themeColor="text1"/>
        </w:rPr>
      </w:pPr>
      <w:r>
        <w:rPr>
          <w:rFonts w:asciiTheme="minorHAnsi" w:hAnsiTheme="minorHAnsi"/>
          <w:color w:val="000000" w:themeColor="text1"/>
        </w:rPr>
        <w:t>The design of Australia’s health system provides a</w:t>
      </w:r>
      <w:r w:rsidR="00315009">
        <w:rPr>
          <w:rFonts w:asciiTheme="minorHAnsi" w:hAnsiTheme="minorHAnsi"/>
          <w:color w:val="000000" w:themeColor="text1"/>
        </w:rPr>
        <w:t xml:space="preserve"> strong</w:t>
      </w:r>
      <w:r>
        <w:rPr>
          <w:rFonts w:asciiTheme="minorHAnsi" w:hAnsiTheme="minorHAnsi"/>
          <w:color w:val="000000" w:themeColor="text1"/>
        </w:rPr>
        <w:t xml:space="preserve"> foundation on which responses to these challenges </w:t>
      </w:r>
      <w:proofErr w:type="gramStart"/>
      <w:r>
        <w:rPr>
          <w:rFonts w:asciiTheme="minorHAnsi" w:hAnsiTheme="minorHAnsi"/>
          <w:color w:val="000000" w:themeColor="text1"/>
        </w:rPr>
        <w:t>can be built</w:t>
      </w:r>
      <w:proofErr w:type="gramEnd"/>
      <w:r>
        <w:rPr>
          <w:rFonts w:asciiTheme="minorHAnsi" w:hAnsiTheme="minorHAnsi"/>
          <w:color w:val="000000" w:themeColor="text1"/>
        </w:rPr>
        <w:t xml:space="preserve">. </w:t>
      </w:r>
      <w:r w:rsidR="00F43402">
        <w:rPr>
          <w:rFonts w:asciiTheme="minorHAnsi" w:hAnsiTheme="minorHAnsi"/>
          <w:color w:val="000000" w:themeColor="text1"/>
        </w:rPr>
        <w:t>To support the entitlement of the population and their right to health, t</w:t>
      </w:r>
      <w:r w:rsidR="00503698">
        <w:rPr>
          <w:rFonts w:asciiTheme="minorHAnsi" w:hAnsiTheme="minorHAnsi"/>
          <w:color w:val="000000" w:themeColor="text1"/>
        </w:rPr>
        <w:t xml:space="preserve">he design of </w:t>
      </w:r>
      <w:r w:rsidR="00BB0810" w:rsidRPr="00345E64">
        <w:rPr>
          <w:rFonts w:asciiTheme="minorHAnsi" w:hAnsiTheme="minorHAnsi"/>
          <w:color w:val="000000" w:themeColor="text1"/>
        </w:rPr>
        <w:t xml:space="preserve">Australia’s health system </w:t>
      </w:r>
      <w:proofErr w:type="gramStart"/>
      <w:r w:rsidR="00BB0810" w:rsidRPr="00345E64">
        <w:rPr>
          <w:rFonts w:asciiTheme="minorHAnsi" w:hAnsiTheme="minorHAnsi"/>
          <w:color w:val="000000" w:themeColor="text1"/>
        </w:rPr>
        <w:t>is based</w:t>
      </w:r>
      <w:proofErr w:type="gramEnd"/>
      <w:r w:rsidR="00BB0810" w:rsidRPr="00345E64">
        <w:rPr>
          <w:rFonts w:asciiTheme="minorHAnsi" w:hAnsiTheme="minorHAnsi"/>
          <w:color w:val="000000" w:themeColor="text1"/>
        </w:rPr>
        <w:t xml:space="preserve"> </w:t>
      </w:r>
      <w:r w:rsidR="00503698">
        <w:rPr>
          <w:rFonts w:asciiTheme="minorHAnsi" w:hAnsiTheme="minorHAnsi"/>
          <w:color w:val="000000" w:themeColor="text1"/>
        </w:rPr>
        <w:t>around</w:t>
      </w:r>
      <w:r w:rsidR="00BB0810" w:rsidRPr="00345E64">
        <w:rPr>
          <w:rFonts w:asciiTheme="minorHAnsi" w:hAnsiTheme="minorHAnsi"/>
          <w:color w:val="000000" w:themeColor="text1"/>
        </w:rPr>
        <w:t xml:space="preserve"> the principle of universal health coverage, </w:t>
      </w:r>
      <w:r w:rsidR="00ED69A9">
        <w:rPr>
          <w:rFonts w:asciiTheme="minorHAnsi" w:hAnsiTheme="minorHAnsi"/>
          <w:color w:val="000000" w:themeColor="text1"/>
        </w:rPr>
        <w:t>a focal point of</w:t>
      </w:r>
      <w:r w:rsidR="00A87054">
        <w:rPr>
          <w:rFonts w:asciiTheme="minorHAnsi" w:hAnsiTheme="minorHAnsi"/>
          <w:color w:val="000000" w:themeColor="text1"/>
        </w:rPr>
        <w:t xml:space="preserve"> all </w:t>
      </w:r>
      <w:r w:rsidR="00762629">
        <w:rPr>
          <w:rFonts w:asciiTheme="minorHAnsi" w:hAnsiTheme="minorHAnsi"/>
          <w:color w:val="000000" w:themeColor="text1"/>
        </w:rPr>
        <w:t>health</w:t>
      </w:r>
      <w:r w:rsidR="00C056A8">
        <w:rPr>
          <w:rFonts w:asciiTheme="minorHAnsi" w:hAnsiTheme="minorHAnsi"/>
          <w:color w:val="000000" w:themeColor="text1"/>
        </w:rPr>
        <w:t>-</w:t>
      </w:r>
      <w:r w:rsidR="00762629">
        <w:rPr>
          <w:rFonts w:asciiTheme="minorHAnsi" w:hAnsiTheme="minorHAnsi"/>
          <w:color w:val="000000" w:themeColor="text1"/>
        </w:rPr>
        <w:t>related SDGs.</w:t>
      </w:r>
    </w:p>
    <w:p w14:paraId="63F88E5B" w14:textId="77777777" w:rsidR="00ED69A9" w:rsidRDefault="00ED69A9" w:rsidP="00A87054">
      <w:pPr>
        <w:pStyle w:val="Default"/>
        <w:ind w:left="-567" w:right="-483"/>
        <w:rPr>
          <w:rFonts w:asciiTheme="minorHAnsi" w:hAnsiTheme="minorHAnsi"/>
          <w:color w:val="000000" w:themeColor="text1"/>
        </w:rPr>
      </w:pPr>
    </w:p>
    <w:p w14:paraId="517A1C43" w14:textId="77777777" w:rsidR="00256E84" w:rsidRPr="00256E84" w:rsidRDefault="00BB0810" w:rsidP="00A87054">
      <w:pPr>
        <w:pStyle w:val="Default"/>
        <w:ind w:left="-567" w:right="-483"/>
        <w:rPr>
          <w:rFonts w:asciiTheme="minorHAnsi" w:hAnsiTheme="minorHAnsi"/>
          <w:color w:val="000000" w:themeColor="text1"/>
        </w:rPr>
      </w:pPr>
      <w:r w:rsidRPr="00345E64">
        <w:rPr>
          <w:rFonts w:asciiTheme="minorHAnsi" w:hAnsiTheme="minorHAnsi"/>
          <w:color w:val="000000" w:themeColor="text1"/>
        </w:rPr>
        <w:t xml:space="preserve">Australia's universal health insurance program, Medicare, ensures that all Australian permanent residents have access to a broad range of </w:t>
      </w:r>
      <w:r w:rsidR="00ED69A9">
        <w:rPr>
          <w:rFonts w:asciiTheme="minorHAnsi" w:hAnsiTheme="minorHAnsi"/>
          <w:color w:val="000000" w:themeColor="text1"/>
        </w:rPr>
        <w:t xml:space="preserve">high </w:t>
      </w:r>
      <w:r w:rsidRPr="00345E64">
        <w:rPr>
          <w:rFonts w:asciiTheme="minorHAnsi" w:hAnsiTheme="minorHAnsi"/>
          <w:color w:val="000000" w:themeColor="text1"/>
        </w:rPr>
        <w:t>quality</w:t>
      </w:r>
      <w:r w:rsidR="009B0E32">
        <w:rPr>
          <w:rFonts w:asciiTheme="minorHAnsi" w:hAnsiTheme="minorHAnsi"/>
          <w:color w:val="000000" w:themeColor="text1"/>
        </w:rPr>
        <w:t>,</w:t>
      </w:r>
      <w:r w:rsidRPr="00345E64">
        <w:rPr>
          <w:rFonts w:asciiTheme="minorHAnsi" w:hAnsiTheme="minorHAnsi"/>
          <w:color w:val="000000" w:themeColor="text1"/>
        </w:rPr>
        <w:t xml:space="preserve"> free or low-cost</w:t>
      </w:r>
      <w:r w:rsidR="009B0E32">
        <w:rPr>
          <w:rFonts w:asciiTheme="minorHAnsi" w:hAnsiTheme="minorHAnsi"/>
          <w:color w:val="000000" w:themeColor="text1"/>
        </w:rPr>
        <w:t>,</w:t>
      </w:r>
      <w:r w:rsidRPr="00345E64">
        <w:rPr>
          <w:rFonts w:asciiTheme="minorHAnsi" w:hAnsiTheme="minorHAnsi"/>
          <w:color w:val="000000" w:themeColor="text1"/>
        </w:rPr>
        <w:t xml:space="preserve"> health ser</w:t>
      </w:r>
      <w:r w:rsidR="00256E84">
        <w:rPr>
          <w:rFonts w:asciiTheme="minorHAnsi" w:hAnsiTheme="minorHAnsi"/>
          <w:color w:val="000000" w:themeColor="text1"/>
        </w:rPr>
        <w:t>vices, including hospital care.</w:t>
      </w:r>
      <w:r w:rsidR="00256E84" w:rsidRPr="00256E84">
        <w:rPr>
          <w:rFonts w:asciiTheme="minorHAnsi" w:hAnsiTheme="minorHAnsi"/>
          <w:color w:val="000000" w:themeColor="text1"/>
        </w:rPr>
        <w:t xml:space="preserve"> Medicare </w:t>
      </w:r>
      <w:proofErr w:type="gramStart"/>
      <w:r w:rsidR="00256E84" w:rsidRPr="00256E84">
        <w:rPr>
          <w:rFonts w:asciiTheme="minorHAnsi" w:hAnsiTheme="minorHAnsi"/>
          <w:color w:val="000000" w:themeColor="text1"/>
        </w:rPr>
        <w:t>is based</w:t>
      </w:r>
      <w:proofErr w:type="gramEnd"/>
      <w:r w:rsidR="00256E84" w:rsidRPr="00256E84">
        <w:rPr>
          <w:rFonts w:asciiTheme="minorHAnsi" w:hAnsiTheme="minorHAnsi"/>
          <w:color w:val="000000" w:themeColor="text1"/>
        </w:rPr>
        <w:t xml:space="preserve"> on the principles of choice, access and universality, and it combines free access to publi</w:t>
      </w:r>
      <w:r w:rsidR="00ED69A9">
        <w:rPr>
          <w:rFonts w:asciiTheme="minorHAnsi" w:hAnsiTheme="minorHAnsi"/>
          <w:color w:val="000000" w:themeColor="text1"/>
        </w:rPr>
        <w:t>c hospital services and subsidis</w:t>
      </w:r>
      <w:r w:rsidR="00256E84" w:rsidRPr="00256E84">
        <w:rPr>
          <w:rFonts w:asciiTheme="minorHAnsi" w:hAnsiTheme="minorHAnsi"/>
          <w:color w:val="000000" w:themeColor="text1"/>
        </w:rPr>
        <w:t xml:space="preserve">ed access to medical services and pharmaceuticals, with higher subsidies for those using a higher volume of services and people with low incomes. It includes targeted assistance for particular groups, such as funding </w:t>
      </w:r>
      <w:r w:rsidR="00642ED2">
        <w:rPr>
          <w:rFonts w:asciiTheme="minorHAnsi" w:hAnsiTheme="minorHAnsi"/>
          <w:color w:val="000000" w:themeColor="text1"/>
        </w:rPr>
        <w:t xml:space="preserve">elements of </w:t>
      </w:r>
      <w:r w:rsidR="00256E84" w:rsidRPr="00256E84">
        <w:rPr>
          <w:rFonts w:asciiTheme="minorHAnsi" w:hAnsiTheme="minorHAnsi"/>
          <w:color w:val="000000" w:themeColor="text1"/>
        </w:rPr>
        <w:t>community-controlled health services for Aboriginal and Torres Strait Islander peoples.</w:t>
      </w:r>
      <w:r w:rsidR="00256E84">
        <w:rPr>
          <w:rFonts w:ascii="DINOT" w:hAnsi="DINOT"/>
          <w:sz w:val="22"/>
          <w:szCs w:val="22"/>
        </w:rPr>
        <w:t xml:space="preserve"> </w:t>
      </w:r>
    </w:p>
    <w:p w14:paraId="549B230F" w14:textId="4F718EBD" w:rsidR="00622329" w:rsidRDefault="00622329">
      <w:pPr>
        <w:spacing w:after="0" w:line="240" w:lineRule="auto"/>
        <w:rPr>
          <w:rFonts w:asciiTheme="minorHAnsi" w:eastAsia="Times New Roman" w:hAnsiTheme="minorHAnsi" w:cs="Arial"/>
          <w:color w:val="000000" w:themeColor="text1"/>
          <w:szCs w:val="24"/>
          <w:lang w:eastAsia="en-AU"/>
        </w:rPr>
      </w:pPr>
      <w:r>
        <w:rPr>
          <w:rFonts w:asciiTheme="minorHAnsi" w:hAnsiTheme="minorHAnsi"/>
          <w:color w:val="000000" w:themeColor="text1"/>
        </w:rPr>
        <w:br w:type="page"/>
      </w:r>
    </w:p>
    <w:p w14:paraId="5E9CE5CB" w14:textId="77777777" w:rsidR="00256E84" w:rsidRDefault="002B24B0" w:rsidP="00A87054">
      <w:pPr>
        <w:spacing w:after="0" w:line="240" w:lineRule="auto"/>
        <w:ind w:left="-567" w:right="-483"/>
        <w:rPr>
          <w:rFonts w:asciiTheme="minorHAnsi" w:hAnsiTheme="minorHAnsi"/>
          <w:color w:val="000000" w:themeColor="text1"/>
          <w:szCs w:val="24"/>
          <w:lang w:eastAsia="en-AU"/>
        </w:rPr>
      </w:pPr>
      <w:r>
        <w:rPr>
          <w:rFonts w:asciiTheme="minorHAnsi" w:hAnsiTheme="minorHAnsi"/>
          <w:color w:val="000000" w:themeColor="text1"/>
          <w:szCs w:val="24"/>
          <w:lang w:eastAsia="en-AU"/>
        </w:rPr>
        <w:lastRenderedPageBreak/>
        <w:t xml:space="preserve">Under Australia’s federated system, responsibility for health service provision </w:t>
      </w:r>
      <w:proofErr w:type="gramStart"/>
      <w:r>
        <w:rPr>
          <w:rFonts w:asciiTheme="minorHAnsi" w:hAnsiTheme="minorHAnsi"/>
          <w:color w:val="000000" w:themeColor="text1"/>
          <w:szCs w:val="24"/>
          <w:lang w:eastAsia="en-AU"/>
        </w:rPr>
        <w:t>is shared</w:t>
      </w:r>
      <w:proofErr w:type="gramEnd"/>
      <w:r>
        <w:rPr>
          <w:rFonts w:asciiTheme="minorHAnsi" w:hAnsiTheme="minorHAnsi"/>
          <w:color w:val="000000" w:themeColor="text1"/>
          <w:szCs w:val="24"/>
          <w:lang w:eastAsia="en-AU"/>
        </w:rPr>
        <w:t xml:space="preserve"> across the Commonweal</w:t>
      </w:r>
      <w:r w:rsidR="0086424C">
        <w:rPr>
          <w:rFonts w:asciiTheme="minorHAnsi" w:hAnsiTheme="minorHAnsi"/>
          <w:color w:val="000000" w:themeColor="text1"/>
          <w:szCs w:val="24"/>
          <w:lang w:eastAsia="en-AU"/>
        </w:rPr>
        <w:t>th (national)</w:t>
      </w:r>
      <w:r w:rsidR="009B0E32">
        <w:rPr>
          <w:rFonts w:asciiTheme="minorHAnsi" w:hAnsiTheme="minorHAnsi"/>
          <w:color w:val="000000" w:themeColor="text1"/>
          <w:szCs w:val="24"/>
          <w:lang w:eastAsia="en-AU"/>
        </w:rPr>
        <w:t xml:space="preserve"> and</w:t>
      </w:r>
      <w:r>
        <w:rPr>
          <w:rFonts w:asciiTheme="minorHAnsi" w:hAnsiTheme="minorHAnsi"/>
          <w:color w:val="000000" w:themeColor="text1"/>
          <w:szCs w:val="24"/>
          <w:lang w:eastAsia="en-AU"/>
        </w:rPr>
        <w:t xml:space="preserve"> state and</w:t>
      </w:r>
      <w:r w:rsidR="0086424C">
        <w:rPr>
          <w:rFonts w:asciiTheme="minorHAnsi" w:hAnsiTheme="minorHAnsi"/>
          <w:color w:val="000000" w:themeColor="text1"/>
          <w:szCs w:val="24"/>
          <w:lang w:eastAsia="en-AU"/>
        </w:rPr>
        <w:t xml:space="preserve"> territory governments. At the national </w:t>
      </w:r>
      <w:r>
        <w:rPr>
          <w:rFonts w:asciiTheme="minorHAnsi" w:hAnsiTheme="minorHAnsi"/>
          <w:color w:val="000000" w:themeColor="text1"/>
          <w:szCs w:val="24"/>
          <w:lang w:eastAsia="en-AU"/>
        </w:rPr>
        <w:t>level, collaboration across Australian Government portfolios also ensures a shared understanding of the inter-relationship between Government-funded clinical services, disability support and employment support services. This approach also allows for a more holistic understanding of the underlying determinants of health.</w:t>
      </w:r>
      <w:r w:rsidR="00A275F8">
        <w:rPr>
          <w:rFonts w:asciiTheme="minorHAnsi" w:hAnsiTheme="minorHAnsi"/>
          <w:color w:val="000000" w:themeColor="text1"/>
          <w:szCs w:val="24"/>
          <w:lang w:eastAsia="en-AU"/>
        </w:rPr>
        <w:br/>
      </w:r>
    </w:p>
    <w:p w14:paraId="44287370" w14:textId="19D67320" w:rsidR="00B566F8" w:rsidRPr="00B566F8" w:rsidRDefault="00AB63F1" w:rsidP="00A87054">
      <w:pPr>
        <w:spacing w:after="0" w:line="240" w:lineRule="auto"/>
        <w:ind w:left="-567" w:right="-483"/>
        <w:rPr>
          <w:rFonts w:asciiTheme="minorHAnsi" w:hAnsiTheme="minorHAnsi"/>
          <w:color w:val="000000" w:themeColor="text1"/>
          <w:szCs w:val="24"/>
          <w:lang w:eastAsia="en-AU"/>
        </w:rPr>
      </w:pPr>
      <w:r>
        <w:rPr>
          <w:rFonts w:asciiTheme="minorHAnsi" w:hAnsiTheme="minorHAnsi"/>
          <w:color w:val="000000" w:themeColor="text1"/>
          <w:szCs w:val="24"/>
          <w:lang w:eastAsia="en-AU"/>
        </w:rPr>
        <w:t xml:space="preserve">To support access to health services for the population, </w:t>
      </w:r>
      <w:r w:rsidR="00B566F8" w:rsidRPr="00B566F8">
        <w:rPr>
          <w:rFonts w:asciiTheme="minorHAnsi" w:hAnsiTheme="minorHAnsi"/>
          <w:color w:val="000000" w:themeColor="text1"/>
          <w:szCs w:val="24"/>
          <w:lang w:eastAsia="en-AU"/>
        </w:rPr>
        <w:t>Australia</w:t>
      </w:r>
      <w:r>
        <w:rPr>
          <w:rFonts w:asciiTheme="minorHAnsi" w:hAnsiTheme="minorHAnsi"/>
          <w:color w:val="000000" w:themeColor="text1"/>
          <w:szCs w:val="24"/>
          <w:lang w:eastAsia="en-AU"/>
        </w:rPr>
        <w:t xml:space="preserve"> is proud to have</w:t>
      </w:r>
      <w:r w:rsidR="00B566F8" w:rsidRPr="00B566F8">
        <w:rPr>
          <w:rFonts w:asciiTheme="minorHAnsi" w:hAnsiTheme="minorHAnsi"/>
          <w:color w:val="000000" w:themeColor="text1"/>
          <w:szCs w:val="24"/>
          <w:lang w:eastAsia="en-AU"/>
        </w:rPr>
        <w:t xml:space="preserve"> a highly skilled and motivated health </w:t>
      </w:r>
      <w:r>
        <w:rPr>
          <w:rFonts w:asciiTheme="minorHAnsi" w:hAnsiTheme="minorHAnsi"/>
          <w:color w:val="000000" w:themeColor="text1"/>
          <w:szCs w:val="24"/>
          <w:lang w:eastAsia="en-AU"/>
        </w:rPr>
        <w:t>workforce. However, t</w:t>
      </w:r>
      <w:r w:rsidR="00B566F8" w:rsidRPr="00B566F8">
        <w:rPr>
          <w:rFonts w:asciiTheme="minorHAnsi" w:hAnsiTheme="minorHAnsi"/>
          <w:color w:val="000000" w:themeColor="text1"/>
          <w:szCs w:val="24"/>
          <w:lang w:eastAsia="en-AU"/>
        </w:rPr>
        <w:t xml:space="preserve">he biggest challenge for Australia’s health workforce </w:t>
      </w:r>
      <w:r>
        <w:rPr>
          <w:rFonts w:asciiTheme="minorHAnsi" w:hAnsiTheme="minorHAnsi"/>
          <w:color w:val="000000" w:themeColor="text1"/>
          <w:szCs w:val="24"/>
          <w:lang w:eastAsia="en-AU"/>
        </w:rPr>
        <w:t>remains the</w:t>
      </w:r>
      <w:r w:rsidR="00B566F8" w:rsidRPr="00B566F8">
        <w:rPr>
          <w:rFonts w:asciiTheme="minorHAnsi" w:hAnsiTheme="minorHAnsi"/>
          <w:color w:val="000000" w:themeColor="text1"/>
          <w:szCs w:val="24"/>
          <w:lang w:eastAsia="en-AU"/>
        </w:rPr>
        <w:t xml:space="preserve"> unequal distribution of heal</w:t>
      </w:r>
      <w:r>
        <w:rPr>
          <w:rFonts w:asciiTheme="minorHAnsi" w:hAnsiTheme="minorHAnsi"/>
          <w:color w:val="000000" w:themeColor="text1"/>
          <w:szCs w:val="24"/>
          <w:lang w:eastAsia="en-AU"/>
        </w:rPr>
        <w:t>th professionals between inner</w:t>
      </w:r>
      <w:r w:rsidR="00622329">
        <w:rPr>
          <w:rFonts w:asciiTheme="minorHAnsi" w:hAnsiTheme="minorHAnsi"/>
          <w:color w:val="000000" w:themeColor="text1"/>
          <w:szCs w:val="24"/>
          <w:lang w:eastAsia="en-AU"/>
        </w:rPr>
        <w:noBreakHyphen/>
      </w:r>
      <w:r w:rsidR="00B566F8" w:rsidRPr="00B566F8">
        <w:rPr>
          <w:rFonts w:asciiTheme="minorHAnsi" w:hAnsiTheme="minorHAnsi"/>
          <w:color w:val="000000" w:themeColor="text1"/>
          <w:szCs w:val="24"/>
          <w:lang w:eastAsia="en-AU"/>
        </w:rPr>
        <w:t>metropolitan and rural/remote areas. To address this issue</w:t>
      </w:r>
      <w:r w:rsidR="00AE72C3">
        <w:rPr>
          <w:rFonts w:asciiTheme="minorHAnsi" w:hAnsiTheme="minorHAnsi"/>
          <w:color w:val="000000" w:themeColor="text1"/>
          <w:szCs w:val="24"/>
          <w:lang w:eastAsia="en-AU"/>
        </w:rPr>
        <w:t>,</w:t>
      </w:r>
      <w:r w:rsidR="00B566F8" w:rsidRPr="00B566F8">
        <w:rPr>
          <w:rFonts w:asciiTheme="minorHAnsi" w:hAnsiTheme="minorHAnsi"/>
          <w:color w:val="000000" w:themeColor="text1"/>
          <w:szCs w:val="24"/>
          <w:lang w:eastAsia="en-AU"/>
        </w:rPr>
        <w:t xml:space="preserve"> </w:t>
      </w:r>
      <w:r>
        <w:rPr>
          <w:rFonts w:asciiTheme="minorHAnsi" w:hAnsiTheme="minorHAnsi"/>
          <w:color w:val="000000" w:themeColor="text1"/>
          <w:szCs w:val="24"/>
          <w:lang w:eastAsia="en-AU"/>
        </w:rPr>
        <w:t>Australia</w:t>
      </w:r>
      <w:r w:rsidR="00B566F8" w:rsidRPr="00B566F8">
        <w:rPr>
          <w:rFonts w:asciiTheme="minorHAnsi" w:hAnsiTheme="minorHAnsi"/>
          <w:color w:val="000000" w:themeColor="text1"/>
          <w:szCs w:val="24"/>
          <w:lang w:eastAsia="en-AU"/>
        </w:rPr>
        <w:t xml:space="preserve"> has introduced a range of strategies including rural training pathways, incentives for health workers to relocate to rural areas</w:t>
      </w:r>
      <w:r w:rsidR="00315009">
        <w:rPr>
          <w:rFonts w:asciiTheme="minorHAnsi" w:hAnsiTheme="minorHAnsi"/>
          <w:color w:val="000000" w:themeColor="text1"/>
          <w:szCs w:val="24"/>
          <w:lang w:eastAsia="en-AU"/>
        </w:rPr>
        <w:t>,</w:t>
      </w:r>
      <w:r w:rsidR="00B566F8" w:rsidRPr="00B566F8">
        <w:rPr>
          <w:rFonts w:asciiTheme="minorHAnsi" w:hAnsiTheme="minorHAnsi"/>
          <w:color w:val="000000" w:themeColor="text1"/>
          <w:szCs w:val="24"/>
          <w:lang w:eastAsia="en-AU"/>
        </w:rPr>
        <w:t xml:space="preserve"> and international recruitment, as well as support for telehealth and outreach services. </w:t>
      </w:r>
    </w:p>
    <w:p w14:paraId="5EE16F98" w14:textId="77777777" w:rsidR="00B566F8" w:rsidRDefault="00B566F8" w:rsidP="00A87054">
      <w:pPr>
        <w:spacing w:after="0" w:line="240" w:lineRule="auto"/>
        <w:ind w:left="-567" w:right="-483"/>
        <w:rPr>
          <w:rFonts w:asciiTheme="minorHAnsi" w:hAnsiTheme="minorHAnsi"/>
          <w:color w:val="000000" w:themeColor="text1"/>
          <w:szCs w:val="24"/>
          <w:lang w:eastAsia="en-AU"/>
        </w:rPr>
      </w:pPr>
    </w:p>
    <w:p w14:paraId="0983073E" w14:textId="1F3B4C79" w:rsidR="00AD7873" w:rsidRPr="00C135FD" w:rsidRDefault="00AD7873" w:rsidP="00A87054">
      <w:pPr>
        <w:spacing w:after="120"/>
        <w:ind w:left="-567" w:right="-483"/>
        <w:outlineLvl w:val="0"/>
        <w:rPr>
          <w:rFonts w:asciiTheme="minorHAnsi" w:hAnsiTheme="minorHAnsi"/>
          <w:u w:val="single"/>
        </w:rPr>
      </w:pPr>
      <w:r w:rsidRPr="00C135FD">
        <w:rPr>
          <w:rFonts w:asciiTheme="minorHAnsi" w:hAnsiTheme="minorHAnsi"/>
          <w:u w:val="single"/>
        </w:rPr>
        <w:t>Maternal and child health</w:t>
      </w:r>
    </w:p>
    <w:p w14:paraId="7D14EBCD" w14:textId="09A5007B" w:rsidR="00B52530" w:rsidRDefault="00AD7873" w:rsidP="009C5500">
      <w:pPr>
        <w:spacing w:after="0" w:line="240" w:lineRule="auto"/>
        <w:ind w:left="-567" w:right="-483"/>
        <w:rPr>
          <w:rFonts w:asciiTheme="minorHAnsi" w:hAnsiTheme="minorHAnsi"/>
          <w:color w:val="000000" w:themeColor="text1"/>
          <w:szCs w:val="24"/>
          <w:lang w:eastAsia="en-AU"/>
        </w:rPr>
      </w:pPr>
      <w:r>
        <w:rPr>
          <w:rFonts w:asciiTheme="minorHAnsi" w:hAnsiTheme="minorHAnsi"/>
          <w:color w:val="000000" w:themeColor="text1"/>
          <w:szCs w:val="24"/>
          <w:lang w:eastAsia="en-AU"/>
        </w:rPr>
        <w:t>SDG3.1 and 3.2 focus on reducing global maternal mortality rates, whilst also reducing preventable deaths of newborns and children. In Australia, m</w:t>
      </w:r>
      <w:r w:rsidRPr="00C135FD">
        <w:rPr>
          <w:rFonts w:asciiTheme="minorHAnsi" w:hAnsiTheme="minorHAnsi"/>
          <w:color w:val="000000" w:themeColor="text1"/>
          <w:szCs w:val="24"/>
          <w:lang w:eastAsia="en-AU"/>
        </w:rPr>
        <w:t xml:space="preserve">aternity care is amongst the safest in the world, and maternal death rates in Australia are lower </w:t>
      </w:r>
      <w:proofErr w:type="gramStart"/>
      <w:r w:rsidRPr="00C135FD">
        <w:rPr>
          <w:rFonts w:asciiTheme="minorHAnsi" w:hAnsiTheme="minorHAnsi"/>
          <w:color w:val="000000" w:themeColor="text1"/>
          <w:szCs w:val="24"/>
          <w:lang w:eastAsia="en-AU"/>
        </w:rPr>
        <w:t>than those of other comparable countries</w:t>
      </w:r>
      <w:proofErr w:type="gramEnd"/>
      <w:r w:rsidRPr="00C135FD">
        <w:rPr>
          <w:rFonts w:asciiTheme="minorHAnsi" w:hAnsiTheme="minorHAnsi"/>
          <w:color w:val="000000" w:themeColor="text1"/>
          <w:szCs w:val="24"/>
          <w:lang w:eastAsia="en-AU"/>
        </w:rPr>
        <w:t>.</w:t>
      </w:r>
      <w:r>
        <w:rPr>
          <w:rFonts w:asciiTheme="minorHAnsi" w:hAnsiTheme="minorHAnsi"/>
          <w:color w:val="000000" w:themeColor="text1"/>
          <w:szCs w:val="24"/>
          <w:lang w:eastAsia="en-AU"/>
        </w:rPr>
        <w:t xml:space="preserve"> </w:t>
      </w:r>
      <w:r w:rsidR="006632BD">
        <w:rPr>
          <w:rFonts w:asciiTheme="minorHAnsi" w:hAnsiTheme="minorHAnsi"/>
          <w:color w:val="000000" w:themeColor="text1"/>
          <w:szCs w:val="24"/>
          <w:lang w:eastAsia="en-AU"/>
        </w:rPr>
        <w:t xml:space="preserve">In Australia, the vast majority of births occur at full term and are within the normal birth weight range. </w:t>
      </w:r>
      <w:r w:rsidR="006632BD" w:rsidRPr="00C135FD">
        <w:rPr>
          <w:rFonts w:asciiTheme="minorHAnsi" w:hAnsiTheme="minorHAnsi"/>
          <w:color w:val="000000" w:themeColor="text1"/>
          <w:szCs w:val="24"/>
          <w:lang w:eastAsia="en-AU"/>
        </w:rPr>
        <w:t xml:space="preserve"> </w:t>
      </w:r>
      <w:r w:rsidR="006632BD">
        <w:rPr>
          <w:rFonts w:asciiTheme="minorHAnsi" w:hAnsiTheme="minorHAnsi"/>
          <w:color w:val="000000" w:themeColor="text1"/>
          <w:szCs w:val="24"/>
          <w:lang w:eastAsia="en-AU"/>
        </w:rPr>
        <w:t xml:space="preserve">However, factors such as </w:t>
      </w:r>
      <w:r w:rsidR="006632BD" w:rsidRPr="00C135FD">
        <w:rPr>
          <w:rFonts w:asciiTheme="minorHAnsi" w:hAnsiTheme="minorHAnsi"/>
          <w:color w:val="000000" w:themeColor="text1"/>
          <w:szCs w:val="24"/>
          <w:lang w:eastAsia="en-AU"/>
        </w:rPr>
        <w:t xml:space="preserve">younger maternal age, remoteness and socioeconomic disadvantage of areas of usual residence are </w:t>
      </w:r>
      <w:r w:rsidR="006632BD">
        <w:rPr>
          <w:rFonts w:asciiTheme="minorHAnsi" w:hAnsiTheme="minorHAnsi"/>
          <w:color w:val="000000" w:themeColor="text1"/>
          <w:szCs w:val="24"/>
          <w:lang w:eastAsia="en-AU"/>
        </w:rPr>
        <w:t xml:space="preserve">still </w:t>
      </w:r>
      <w:r w:rsidR="006632BD" w:rsidRPr="00C135FD">
        <w:rPr>
          <w:rFonts w:asciiTheme="minorHAnsi" w:hAnsiTheme="minorHAnsi"/>
          <w:color w:val="000000" w:themeColor="text1"/>
          <w:szCs w:val="24"/>
          <w:lang w:eastAsia="en-AU"/>
        </w:rPr>
        <w:t>associated with increased risk of a number of poorer maternal and perinatal outcomes.</w:t>
      </w:r>
      <w:r w:rsidR="006632BD">
        <w:rPr>
          <w:rFonts w:asciiTheme="minorHAnsi" w:hAnsiTheme="minorHAnsi"/>
          <w:color w:val="000000" w:themeColor="text1"/>
          <w:szCs w:val="24"/>
          <w:lang w:eastAsia="en-AU"/>
        </w:rPr>
        <w:t xml:space="preserve"> </w:t>
      </w:r>
    </w:p>
    <w:p w14:paraId="26A70D69" w14:textId="77777777" w:rsidR="00B52530" w:rsidRDefault="00B52530" w:rsidP="009C5500">
      <w:pPr>
        <w:spacing w:after="0" w:line="240" w:lineRule="auto"/>
        <w:ind w:left="-567" w:right="-483"/>
        <w:rPr>
          <w:rFonts w:asciiTheme="minorHAnsi" w:hAnsiTheme="minorHAnsi"/>
          <w:color w:val="000000" w:themeColor="text1"/>
          <w:szCs w:val="24"/>
          <w:lang w:eastAsia="en-AU"/>
        </w:rPr>
      </w:pPr>
    </w:p>
    <w:p w14:paraId="71BA4B62" w14:textId="12170C93" w:rsidR="00EA35C6" w:rsidRPr="009C5500" w:rsidRDefault="006632BD" w:rsidP="009C5500">
      <w:pPr>
        <w:spacing w:after="0" w:line="240" w:lineRule="auto"/>
        <w:ind w:left="-567" w:right="-483"/>
        <w:rPr>
          <w:rFonts w:asciiTheme="minorHAnsi" w:hAnsiTheme="minorHAnsi"/>
          <w:color w:val="000000" w:themeColor="text1"/>
          <w:szCs w:val="24"/>
          <w:lang w:eastAsia="en-AU"/>
        </w:rPr>
      </w:pPr>
      <w:r w:rsidRPr="009C5500">
        <w:rPr>
          <w:rFonts w:asciiTheme="minorHAnsi" w:hAnsiTheme="minorHAnsi"/>
          <w:color w:val="000000" w:themeColor="text1"/>
          <w:szCs w:val="24"/>
          <w:lang w:eastAsia="en-AU"/>
        </w:rPr>
        <w:t>A</w:t>
      </w:r>
      <w:r w:rsidR="00812305" w:rsidRPr="009C5500">
        <w:rPr>
          <w:rFonts w:asciiTheme="minorHAnsi" w:hAnsiTheme="minorHAnsi"/>
          <w:color w:val="000000" w:themeColor="text1"/>
          <w:szCs w:val="24"/>
          <w:lang w:eastAsia="en-AU"/>
        </w:rPr>
        <w:t>ustralia</w:t>
      </w:r>
      <w:r w:rsidRPr="009C5500">
        <w:rPr>
          <w:rFonts w:asciiTheme="minorHAnsi" w:hAnsiTheme="minorHAnsi"/>
          <w:color w:val="000000" w:themeColor="text1"/>
          <w:szCs w:val="24"/>
          <w:lang w:eastAsia="en-AU"/>
        </w:rPr>
        <w:t xml:space="preserve"> recognises the importance of providing national coordination and leadership for maternity services to improve outcomes for mothers, babies and their families</w:t>
      </w:r>
      <w:r w:rsidR="002E606E">
        <w:rPr>
          <w:rFonts w:asciiTheme="minorHAnsi" w:hAnsiTheme="minorHAnsi"/>
          <w:color w:val="000000" w:themeColor="text1"/>
          <w:szCs w:val="24"/>
          <w:lang w:eastAsia="en-AU"/>
        </w:rPr>
        <w:t>, according to up-to-date research and best practice.</w:t>
      </w:r>
      <w:r w:rsidR="00C06AF0" w:rsidRPr="009C5500">
        <w:rPr>
          <w:rFonts w:asciiTheme="minorHAnsi" w:hAnsiTheme="minorHAnsi"/>
          <w:color w:val="000000" w:themeColor="text1"/>
          <w:szCs w:val="24"/>
          <w:lang w:eastAsia="en-AU"/>
        </w:rPr>
        <w:t xml:space="preserve"> </w:t>
      </w:r>
      <w:r w:rsidR="002E606E">
        <w:rPr>
          <w:rFonts w:asciiTheme="minorHAnsi" w:hAnsiTheme="minorHAnsi"/>
          <w:color w:val="000000" w:themeColor="text1"/>
          <w:szCs w:val="24"/>
          <w:lang w:eastAsia="en-AU"/>
        </w:rPr>
        <w:t>A</w:t>
      </w:r>
      <w:r w:rsidR="007F0613" w:rsidRPr="009C5500">
        <w:rPr>
          <w:rFonts w:asciiTheme="minorHAnsi" w:hAnsiTheme="minorHAnsi"/>
          <w:color w:val="000000" w:themeColor="text1"/>
          <w:szCs w:val="24"/>
          <w:lang w:eastAsia="en-AU"/>
        </w:rPr>
        <w:t xml:space="preserve"> high</w:t>
      </w:r>
      <w:r w:rsidR="002E606E">
        <w:rPr>
          <w:rFonts w:asciiTheme="minorHAnsi" w:hAnsiTheme="minorHAnsi"/>
          <w:color w:val="000000" w:themeColor="text1"/>
          <w:szCs w:val="24"/>
          <w:lang w:eastAsia="en-AU"/>
        </w:rPr>
        <w:t>-</w:t>
      </w:r>
      <w:r w:rsidR="007F0613" w:rsidRPr="009C5500">
        <w:rPr>
          <w:rFonts w:asciiTheme="minorHAnsi" w:hAnsiTheme="minorHAnsi"/>
          <w:color w:val="000000" w:themeColor="text1"/>
          <w:szCs w:val="24"/>
          <w:lang w:eastAsia="en-AU"/>
        </w:rPr>
        <w:t>level</w:t>
      </w:r>
      <w:r w:rsidR="002E606E">
        <w:rPr>
          <w:rFonts w:asciiTheme="minorHAnsi" w:hAnsiTheme="minorHAnsi"/>
          <w:color w:val="000000" w:themeColor="text1"/>
          <w:szCs w:val="24"/>
          <w:lang w:eastAsia="en-AU"/>
        </w:rPr>
        <w:t>,</w:t>
      </w:r>
      <w:r w:rsidR="007F0613" w:rsidRPr="009C5500">
        <w:rPr>
          <w:rFonts w:asciiTheme="minorHAnsi" w:hAnsiTheme="minorHAnsi"/>
          <w:color w:val="000000" w:themeColor="text1"/>
          <w:szCs w:val="24"/>
          <w:lang w:eastAsia="en-AU"/>
        </w:rPr>
        <w:t xml:space="preserve"> enduring strategy to support breastfeeding in Australia, addressing the barriers that prevent women establishing and maintaining breastfeeding</w:t>
      </w:r>
      <w:r w:rsidR="002E606E">
        <w:rPr>
          <w:rFonts w:asciiTheme="minorHAnsi" w:hAnsiTheme="minorHAnsi"/>
          <w:color w:val="000000" w:themeColor="text1"/>
          <w:szCs w:val="24"/>
          <w:lang w:eastAsia="en-AU"/>
        </w:rPr>
        <w:t xml:space="preserve">, </w:t>
      </w:r>
      <w:proofErr w:type="gramStart"/>
      <w:r w:rsidR="002E606E">
        <w:rPr>
          <w:rFonts w:asciiTheme="minorHAnsi" w:hAnsiTheme="minorHAnsi"/>
          <w:color w:val="000000" w:themeColor="text1"/>
          <w:szCs w:val="24"/>
          <w:lang w:eastAsia="en-AU"/>
        </w:rPr>
        <w:t>is currently being developed</w:t>
      </w:r>
      <w:proofErr w:type="gramEnd"/>
      <w:r w:rsidR="007F0613" w:rsidRPr="009C5500">
        <w:rPr>
          <w:rFonts w:asciiTheme="minorHAnsi" w:hAnsiTheme="minorHAnsi"/>
          <w:color w:val="000000" w:themeColor="text1"/>
          <w:szCs w:val="24"/>
          <w:lang w:eastAsia="en-AU"/>
        </w:rPr>
        <w:t xml:space="preserve">. </w:t>
      </w:r>
      <w:r w:rsidR="00EA35C6">
        <w:rPr>
          <w:rFonts w:asciiTheme="minorHAnsi" w:hAnsiTheme="minorHAnsi"/>
          <w:color w:val="000000" w:themeColor="text1"/>
          <w:szCs w:val="24"/>
          <w:lang w:eastAsia="en-AU"/>
        </w:rPr>
        <w:t xml:space="preserve">Further, </w:t>
      </w:r>
      <w:r w:rsidR="00EA35C6" w:rsidRPr="009C5500">
        <w:rPr>
          <w:rFonts w:asciiTheme="minorHAnsi" w:hAnsiTheme="minorHAnsi"/>
          <w:color w:val="000000" w:themeColor="text1"/>
          <w:szCs w:val="24"/>
          <w:lang w:eastAsia="en-AU"/>
        </w:rPr>
        <w:t xml:space="preserve">Australian Health Ministers are working together to further improve maternity services through the development of an enduring </w:t>
      </w:r>
      <w:r w:rsidR="00EA35C6" w:rsidRPr="009C5500">
        <w:rPr>
          <w:rFonts w:asciiTheme="minorHAnsi" w:hAnsiTheme="minorHAnsi"/>
          <w:i/>
          <w:color w:val="000000" w:themeColor="text1"/>
          <w:szCs w:val="24"/>
          <w:lang w:eastAsia="en-AU"/>
        </w:rPr>
        <w:t>National Strategic Approach to Maternity Services</w:t>
      </w:r>
      <w:r w:rsidR="00EA35C6" w:rsidRPr="009C5500">
        <w:rPr>
          <w:rFonts w:asciiTheme="minorHAnsi" w:hAnsiTheme="minorHAnsi"/>
          <w:color w:val="000000" w:themeColor="text1"/>
          <w:szCs w:val="24"/>
          <w:lang w:eastAsia="en-AU"/>
        </w:rPr>
        <w:t>. This will align the delivery of maternity services with the available evidence and support best practice care</w:t>
      </w:r>
      <w:r w:rsidR="007B7E8F">
        <w:rPr>
          <w:rFonts w:asciiTheme="minorHAnsi" w:hAnsiTheme="minorHAnsi"/>
          <w:color w:val="000000" w:themeColor="text1"/>
          <w:szCs w:val="24"/>
          <w:lang w:eastAsia="en-AU"/>
        </w:rPr>
        <w:t>,</w:t>
      </w:r>
      <w:r w:rsidR="00EA35C6" w:rsidRPr="009C5500">
        <w:rPr>
          <w:rFonts w:asciiTheme="minorHAnsi" w:hAnsiTheme="minorHAnsi"/>
          <w:color w:val="000000" w:themeColor="text1"/>
          <w:szCs w:val="24"/>
          <w:lang w:eastAsia="en-AU"/>
        </w:rPr>
        <w:t xml:space="preserve"> articulating clear priorities for action.  </w:t>
      </w:r>
      <w:r w:rsidR="0064614B">
        <w:rPr>
          <w:rFonts w:asciiTheme="minorHAnsi" w:hAnsiTheme="minorHAnsi"/>
          <w:color w:val="000000" w:themeColor="text1"/>
          <w:szCs w:val="24"/>
          <w:lang w:eastAsia="en-AU"/>
        </w:rPr>
        <w:t xml:space="preserve">Australia also advocates for the ongoing implementation of the </w:t>
      </w:r>
      <w:r w:rsidR="0064614B" w:rsidRPr="006B2844">
        <w:rPr>
          <w:rFonts w:asciiTheme="minorHAnsi" w:hAnsiTheme="minorHAnsi"/>
          <w:i/>
          <w:color w:val="000000" w:themeColor="text1"/>
          <w:szCs w:val="24"/>
          <w:lang w:eastAsia="en-AU"/>
        </w:rPr>
        <w:t xml:space="preserve">WHO-UNICEF </w:t>
      </w:r>
      <w:r w:rsidR="0064614B">
        <w:rPr>
          <w:rFonts w:asciiTheme="minorHAnsi" w:hAnsiTheme="minorHAnsi"/>
          <w:i/>
          <w:color w:val="000000" w:themeColor="text1"/>
          <w:szCs w:val="24"/>
          <w:lang w:eastAsia="en-AU"/>
        </w:rPr>
        <w:t>B</w:t>
      </w:r>
      <w:r w:rsidR="0064614B" w:rsidRPr="006B2844">
        <w:rPr>
          <w:rFonts w:asciiTheme="minorHAnsi" w:hAnsiTheme="minorHAnsi"/>
          <w:i/>
          <w:color w:val="000000" w:themeColor="text1"/>
          <w:szCs w:val="24"/>
          <w:lang w:eastAsia="en-AU"/>
        </w:rPr>
        <w:t xml:space="preserve">aby </w:t>
      </w:r>
      <w:r w:rsidR="0064614B">
        <w:rPr>
          <w:rFonts w:asciiTheme="minorHAnsi" w:hAnsiTheme="minorHAnsi"/>
          <w:i/>
          <w:color w:val="000000" w:themeColor="text1"/>
          <w:szCs w:val="24"/>
          <w:lang w:eastAsia="en-AU"/>
        </w:rPr>
        <w:t>F</w:t>
      </w:r>
      <w:r w:rsidR="0064614B" w:rsidRPr="006B2844">
        <w:rPr>
          <w:rFonts w:asciiTheme="minorHAnsi" w:hAnsiTheme="minorHAnsi"/>
          <w:i/>
          <w:color w:val="000000" w:themeColor="text1"/>
          <w:szCs w:val="24"/>
          <w:lang w:eastAsia="en-AU"/>
        </w:rPr>
        <w:t xml:space="preserve">riendly </w:t>
      </w:r>
      <w:r w:rsidR="0064614B">
        <w:rPr>
          <w:rFonts w:asciiTheme="minorHAnsi" w:hAnsiTheme="minorHAnsi"/>
          <w:i/>
          <w:color w:val="000000" w:themeColor="text1"/>
          <w:szCs w:val="24"/>
          <w:lang w:eastAsia="en-AU"/>
        </w:rPr>
        <w:t>H</w:t>
      </w:r>
      <w:r w:rsidR="0064614B" w:rsidRPr="006B2844">
        <w:rPr>
          <w:rFonts w:asciiTheme="minorHAnsi" w:hAnsiTheme="minorHAnsi"/>
          <w:i/>
          <w:color w:val="000000" w:themeColor="text1"/>
          <w:szCs w:val="24"/>
          <w:lang w:eastAsia="en-AU"/>
        </w:rPr>
        <w:t xml:space="preserve">ospitals </w:t>
      </w:r>
      <w:r w:rsidR="0064614B">
        <w:rPr>
          <w:rFonts w:asciiTheme="minorHAnsi" w:hAnsiTheme="minorHAnsi"/>
          <w:i/>
          <w:color w:val="000000" w:themeColor="text1"/>
          <w:szCs w:val="24"/>
          <w:lang w:eastAsia="en-AU"/>
        </w:rPr>
        <w:t>I</w:t>
      </w:r>
      <w:r w:rsidR="0064614B" w:rsidRPr="006B2844">
        <w:rPr>
          <w:rFonts w:asciiTheme="minorHAnsi" w:hAnsiTheme="minorHAnsi"/>
          <w:i/>
          <w:color w:val="000000" w:themeColor="text1"/>
          <w:szCs w:val="24"/>
          <w:lang w:eastAsia="en-AU"/>
        </w:rPr>
        <w:t>nitiative</w:t>
      </w:r>
      <w:r w:rsidR="0064614B">
        <w:rPr>
          <w:rFonts w:asciiTheme="minorHAnsi" w:hAnsiTheme="minorHAnsi"/>
          <w:color w:val="000000" w:themeColor="text1"/>
          <w:szCs w:val="24"/>
          <w:lang w:eastAsia="en-AU"/>
        </w:rPr>
        <w:t>.</w:t>
      </w:r>
    </w:p>
    <w:p w14:paraId="12EAF16E" w14:textId="77777777" w:rsidR="006632BD" w:rsidRDefault="006632BD" w:rsidP="00A87054">
      <w:pPr>
        <w:spacing w:after="0" w:line="240" w:lineRule="auto"/>
        <w:ind w:left="-567" w:right="-483"/>
        <w:rPr>
          <w:rFonts w:asciiTheme="minorHAnsi" w:hAnsiTheme="minorHAnsi"/>
          <w:color w:val="000000" w:themeColor="text1"/>
          <w:szCs w:val="24"/>
          <w:lang w:eastAsia="en-AU"/>
        </w:rPr>
      </w:pPr>
    </w:p>
    <w:p w14:paraId="5A3CC221" w14:textId="77777777" w:rsidR="00AD7873" w:rsidRDefault="00AD7873" w:rsidP="00A87054">
      <w:pPr>
        <w:spacing w:after="0" w:line="240" w:lineRule="auto"/>
        <w:ind w:left="-567" w:right="-483"/>
        <w:rPr>
          <w:rFonts w:asciiTheme="minorHAnsi" w:hAnsiTheme="minorHAnsi"/>
          <w:color w:val="000000" w:themeColor="text1"/>
          <w:szCs w:val="24"/>
          <w:lang w:eastAsia="en-AU"/>
        </w:rPr>
      </w:pPr>
      <w:r w:rsidRPr="00025673">
        <w:rPr>
          <w:rFonts w:asciiTheme="minorHAnsi" w:hAnsiTheme="minorHAnsi"/>
          <w:color w:val="000000" w:themeColor="text1"/>
          <w:szCs w:val="24"/>
          <w:lang w:eastAsia="en-AU"/>
        </w:rPr>
        <w:t>Australia has</w:t>
      </w:r>
      <w:r>
        <w:rPr>
          <w:rFonts w:asciiTheme="minorHAnsi" w:hAnsiTheme="minorHAnsi"/>
          <w:color w:val="000000" w:themeColor="text1"/>
          <w:szCs w:val="24"/>
          <w:lang w:eastAsia="en-AU"/>
        </w:rPr>
        <w:t xml:space="preserve"> also</w:t>
      </w:r>
      <w:r w:rsidRPr="00025673">
        <w:rPr>
          <w:rFonts w:asciiTheme="minorHAnsi" w:hAnsiTheme="minorHAnsi"/>
          <w:color w:val="000000" w:themeColor="text1"/>
          <w:szCs w:val="24"/>
          <w:lang w:eastAsia="en-AU"/>
        </w:rPr>
        <w:t xml:space="preserve"> shown significant progress in reducing infant and child deaths, particularly through the work of neonatal intensive care units, increased community awareness of the risk factors for sud</w:t>
      </w:r>
      <w:r w:rsidR="005B1DF7">
        <w:rPr>
          <w:rFonts w:asciiTheme="minorHAnsi" w:hAnsiTheme="minorHAnsi"/>
          <w:color w:val="000000" w:themeColor="text1"/>
          <w:szCs w:val="24"/>
          <w:lang w:eastAsia="en-AU"/>
        </w:rPr>
        <w:t>den infant death syndrome</w:t>
      </w:r>
      <w:r w:rsidRPr="00025673">
        <w:rPr>
          <w:rFonts w:asciiTheme="minorHAnsi" w:hAnsiTheme="minorHAnsi"/>
          <w:color w:val="000000" w:themeColor="text1"/>
          <w:szCs w:val="24"/>
          <w:lang w:eastAsia="en-AU"/>
        </w:rPr>
        <w:t>, and reductions in vaccine-preventable diseases through national childhood immunisation programs.</w:t>
      </w:r>
    </w:p>
    <w:p w14:paraId="67F05C87" w14:textId="77777777" w:rsidR="00AD7873" w:rsidRDefault="00AD7873" w:rsidP="00A87054">
      <w:pPr>
        <w:spacing w:after="0" w:line="240" w:lineRule="auto"/>
        <w:ind w:left="-567" w:right="-483"/>
        <w:rPr>
          <w:rFonts w:asciiTheme="minorHAnsi" w:hAnsiTheme="minorHAnsi"/>
          <w:color w:val="000000" w:themeColor="text1"/>
          <w:szCs w:val="24"/>
          <w:lang w:eastAsia="en-AU"/>
        </w:rPr>
      </w:pPr>
    </w:p>
    <w:p w14:paraId="04748596" w14:textId="77777777" w:rsidR="00AD7873" w:rsidRPr="00762629" w:rsidRDefault="00AD7873" w:rsidP="00A87054">
      <w:pPr>
        <w:spacing w:after="120" w:line="240" w:lineRule="auto"/>
        <w:ind w:left="-567" w:right="-483"/>
        <w:rPr>
          <w:rFonts w:asciiTheme="minorHAnsi" w:hAnsiTheme="minorHAnsi"/>
          <w:color w:val="000000" w:themeColor="text1"/>
          <w:szCs w:val="24"/>
          <w:u w:val="single"/>
          <w:lang w:eastAsia="en-AU"/>
        </w:rPr>
      </w:pPr>
      <w:r w:rsidRPr="00762629">
        <w:rPr>
          <w:rFonts w:asciiTheme="minorHAnsi" w:hAnsiTheme="minorHAnsi"/>
          <w:color w:val="000000" w:themeColor="text1"/>
          <w:szCs w:val="24"/>
          <w:u w:val="single"/>
          <w:lang w:eastAsia="en-AU"/>
        </w:rPr>
        <w:t>Immunisation</w:t>
      </w:r>
    </w:p>
    <w:p w14:paraId="6C2FB72A" w14:textId="77777777" w:rsidR="00C37E93" w:rsidRDefault="000E2597" w:rsidP="00A87054">
      <w:pPr>
        <w:spacing w:after="0" w:line="240" w:lineRule="auto"/>
        <w:ind w:left="-567" w:right="-483"/>
        <w:rPr>
          <w:rFonts w:asciiTheme="minorHAnsi" w:hAnsiTheme="minorHAnsi"/>
          <w:color w:val="000000" w:themeColor="text1"/>
          <w:szCs w:val="24"/>
          <w:lang w:eastAsia="en-AU"/>
        </w:rPr>
      </w:pPr>
      <w:r>
        <w:rPr>
          <w:rFonts w:asciiTheme="minorHAnsi" w:hAnsiTheme="minorHAnsi"/>
          <w:color w:val="000000" w:themeColor="text1"/>
          <w:szCs w:val="24"/>
          <w:lang w:eastAsia="en-AU"/>
        </w:rPr>
        <w:t xml:space="preserve">SDG3.3 </w:t>
      </w:r>
      <w:r w:rsidR="00AD4B2C">
        <w:rPr>
          <w:rFonts w:asciiTheme="minorHAnsi" w:hAnsiTheme="minorHAnsi"/>
          <w:color w:val="000000" w:themeColor="text1"/>
          <w:szCs w:val="24"/>
          <w:lang w:eastAsia="en-AU"/>
        </w:rPr>
        <w:t xml:space="preserve">and 3.4 </w:t>
      </w:r>
      <w:r w:rsidR="007018D6">
        <w:rPr>
          <w:rFonts w:asciiTheme="minorHAnsi" w:hAnsiTheme="minorHAnsi"/>
          <w:color w:val="000000" w:themeColor="text1"/>
          <w:szCs w:val="24"/>
          <w:lang w:eastAsia="en-AU"/>
        </w:rPr>
        <w:t>encourage</w:t>
      </w:r>
      <w:r w:rsidR="00AD4B2C">
        <w:rPr>
          <w:rFonts w:asciiTheme="minorHAnsi" w:hAnsiTheme="minorHAnsi"/>
          <w:color w:val="000000" w:themeColor="text1"/>
          <w:szCs w:val="24"/>
          <w:lang w:eastAsia="en-AU"/>
        </w:rPr>
        <w:t xml:space="preserve"> </w:t>
      </w:r>
      <w:r>
        <w:rPr>
          <w:rFonts w:asciiTheme="minorHAnsi" w:hAnsiTheme="minorHAnsi"/>
          <w:color w:val="000000" w:themeColor="text1"/>
          <w:szCs w:val="24"/>
          <w:lang w:eastAsia="en-AU"/>
        </w:rPr>
        <w:t xml:space="preserve">countries to combat </w:t>
      </w:r>
      <w:r w:rsidR="00AD4B2C">
        <w:rPr>
          <w:rFonts w:asciiTheme="minorHAnsi" w:hAnsiTheme="minorHAnsi"/>
          <w:color w:val="000000" w:themeColor="text1"/>
          <w:szCs w:val="24"/>
          <w:lang w:eastAsia="en-AU"/>
        </w:rPr>
        <w:t xml:space="preserve">hepatitis, water-borne diseases and other </w:t>
      </w:r>
      <w:r>
        <w:rPr>
          <w:rFonts w:asciiTheme="minorHAnsi" w:hAnsiTheme="minorHAnsi"/>
          <w:color w:val="000000" w:themeColor="text1"/>
          <w:szCs w:val="24"/>
          <w:lang w:eastAsia="en-AU"/>
        </w:rPr>
        <w:t>communicable diseases</w:t>
      </w:r>
      <w:r w:rsidR="00AD4B2C">
        <w:rPr>
          <w:rFonts w:asciiTheme="minorHAnsi" w:hAnsiTheme="minorHAnsi"/>
          <w:color w:val="000000" w:themeColor="text1"/>
          <w:szCs w:val="24"/>
          <w:lang w:eastAsia="en-AU"/>
        </w:rPr>
        <w:t>, whilst also reducing premature mortality from non</w:t>
      </w:r>
      <w:r w:rsidR="009C5500">
        <w:rPr>
          <w:rFonts w:asciiTheme="minorHAnsi" w:hAnsiTheme="minorHAnsi"/>
          <w:color w:val="000000" w:themeColor="text1"/>
          <w:szCs w:val="24"/>
          <w:lang w:eastAsia="en-AU"/>
        </w:rPr>
        <w:noBreakHyphen/>
      </w:r>
      <w:r w:rsidR="00AD4B2C">
        <w:rPr>
          <w:rFonts w:asciiTheme="minorHAnsi" w:hAnsiTheme="minorHAnsi"/>
          <w:color w:val="000000" w:themeColor="text1"/>
          <w:szCs w:val="24"/>
          <w:lang w:eastAsia="en-AU"/>
        </w:rPr>
        <w:t xml:space="preserve">communicable diseases. </w:t>
      </w:r>
      <w:r w:rsidR="00AD7873">
        <w:rPr>
          <w:rFonts w:asciiTheme="minorHAnsi" w:hAnsiTheme="minorHAnsi"/>
          <w:color w:val="000000" w:themeColor="text1"/>
          <w:szCs w:val="24"/>
          <w:lang w:eastAsia="en-AU"/>
        </w:rPr>
        <w:t>Australia</w:t>
      </w:r>
      <w:r w:rsidR="00AD7873" w:rsidRPr="003F7D92">
        <w:rPr>
          <w:rFonts w:asciiTheme="minorHAnsi" w:hAnsiTheme="minorHAnsi"/>
          <w:color w:val="000000" w:themeColor="text1"/>
          <w:szCs w:val="24"/>
          <w:lang w:eastAsia="en-AU"/>
        </w:rPr>
        <w:t xml:space="preserve"> </w:t>
      </w:r>
      <w:r w:rsidR="007018D6">
        <w:rPr>
          <w:rFonts w:asciiTheme="minorHAnsi" w:hAnsiTheme="minorHAnsi"/>
          <w:color w:val="000000" w:themeColor="text1"/>
          <w:szCs w:val="24"/>
          <w:lang w:eastAsia="en-AU"/>
        </w:rPr>
        <w:t>believes that immunisation is an important component of improving</w:t>
      </w:r>
      <w:r w:rsidR="00AD7873" w:rsidRPr="003F7D92">
        <w:rPr>
          <w:rFonts w:asciiTheme="minorHAnsi" w:hAnsiTheme="minorHAnsi"/>
          <w:color w:val="000000" w:themeColor="text1"/>
          <w:szCs w:val="24"/>
          <w:lang w:eastAsia="en-AU"/>
        </w:rPr>
        <w:t xml:space="preserve"> public health outcomes and protecting the com</w:t>
      </w:r>
      <w:r w:rsidR="00AD7873">
        <w:rPr>
          <w:rFonts w:asciiTheme="minorHAnsi" w:hAnsiTheme="minorHAnsi"/>
          <w:color w:val="000000" w:themeColor="text1"/>
          <w:szCs w:val="24"/>
          <w:lang w:eastAsia="en-AU"/>
        </w:rPr>
        <w:t>munity</w:t>
      </w:r>
      <w:r w:rsidR="00AD7873" w:rsidRPr="003F7D92">
        <w:rPr>
          <w:rFonts w:asciiTheme="minorHAnsi" w:hAnsiTheme="minorHAnsi"/>
          <w:color w:val="000000" w:themeColor="text1"/>
          <w:szCs w:val="24"/>
          <w:lang w:eastAsia="en-AU"/>
        </w:rPr>
        <w:t xml:space="preserve">. </w:t>
      </w:r>
    </w:p>
    <w:p w14:paraId="0F9AD310" w14:textId="77777777" w:rsidR="00C37E93" w:rsidRDefault="00C37E93" w:rsidP="00A87054">
      <w:pPr>
        <w:spacing w:after="0" w:line="240" w:lineRule="auto"/>
        <w:ind w:left="-567" w:right="-483"/>
        <w:rPr>
          <w:rFonts w:asciiTheme="minorHAnsi" w:hAnsiTheme="minorHAnsi"/>
          <w:color w:val="000000" w:themeColor="text1"/>
          <w:szCs w:val="24"/>
          <w:lang w:eastAsia="en-AU"/>
        </w:rPr>
      </w:pPr>
    </w:p>
    <w:p w14:paraId="0E092366" w14:textId="77777777" w:rsidR="00FD4B02" w:rsidRDefault="00FD4B02">
      <w:pPr>
        <w:spacing w:after="0" w:line="240" w:lineRule="auto"/>
        <w:rPr>
          <w:rFonts w:asciiTheme="minorHAnsi" w:hAnsiTheme="minorHAnsi"/>
          <w:color w:val="000000" w:themeColor="text1"/>
          <w:szCs w:val="24"/>
          <w:lang w:eastAsia="en-AU"/>
        </w:rPr>
      </w:pPr>
      <w:r>
        <w:rPr>
          <w:rFonts w:asciiTheme="minorHAnsi" w:hAnsiTheme="minorHAnsi"/>
          <w:color w:val="000000" w:themeColor="text1"/>
          <w:szCs w:val="24"/>
          <w:lang w:eastAsia="en-AU"/>
        </w:rPr>
        <w:br w:type="page"/>
      </w:r>
    </w:p>
    <w:p w14:paraId="56522BF9" w14:textId="3EB3AD38" w:rsidR="002E08D7" w:rsidRDefault="00AD7873" w:rsidP="00A87054">
      <w:pPr>
        <w:spacing w:after="0" w:line="240" w:lineRule="auto"/>
        <w:ind w:left="-567" w:right="-483"/>
        <w:rPr>
          <w:rFonts w:asciiTheme="minorHAnsi" w:hAnsiTheme="minorHAnsi"/>
          <w:color w:val="000000" w:themeColor="text1"/>
          <w:szCs w:val="24"/>
          <w:lang w:eastAsia="en-AU"/>
        </w:rPr>
      </w:pPr>
      <w:r w:rsidRPr="00F24959">
        <w:rPr>
          <w:rFonts w:asciiTheme="minorHAnsi" w:hAnsiTheme="minorHAnsi"/>
          <w:color w:val="000000" w:themeColor="text1"/>
          <w:szCs w:val="24"/>
          <w:lang w:eastAsia="en-AU"/>
        </w:rPr>
        <w:lastRenderedPageBreak/>
        <w:t xml:space="preserve">The National Immunisation Program (NIP) is a joint initiative of the Commonwealth Government and state and territory governments, providing </w:t>
      </w:r>
      <w:r w:rsidR="00762629">
        <w:rPr>
          <w:rFonts w:asciiTheme="minorHAnsi" w:hAnsiTheme="minorHAnsi"/>
          <w:color w:val="000000" w:themeColor="text1"/>
          <w:szCs w:val="24"/>
          <w:lang w:eastAsia="en-AU"/>
        </w:rPr>
        <w:t xml:space="preserve">universal, </w:t>
      </w:r>
      <w:r w:rsidRPr="00F24959">
        <w:rPr>
          <w:rFonts w:asciiTheme="minorHAnsi" w:hAnsiTheme="minorHAnsi"/>
          <w:color w:val="000000" w:themeColor="text1"/>
          <w:szCs w:val="24"/>
          <w:lang w:eastAsia="en-AU"/>
        </w:rPr>
        <w:t>free vaccines through primary health care providers such as General Practitioners, local government and other community clinics,</w:t>
      </w:r>
      <w:r w:rsidR="009C3048" w:rsidRPr="009C3048">
        <w:rPr>
          <w:rStyle w:val="Emphasis"/>
          <w:rFonts w:ascii="Arial" w:hAnsi="Arial" w:cs="Arial"/>
          <w:color w:val="545454"/>
        </w:rPr>
        <w:t xml:space="preserve"> </w:t>
      </w:r>
      <w:r w:rsidR="009C3048" w:rsidRPr="009C5500">
        <w:rPr>
          <w:rFonts w:asciiTheme="minorHAnsi" w:hAnsiTheme="minorHAnsi"/>
          <w:color w:val="000000" w:themeColor="text1"/>
          <w:szCs w:val="24"/>
          <w:lang w:eastAsia="en-AU"/>
        </w:rPr>
        <w:t>Aboriginal Community Controlled Health Services</w:t>
      </w:r>
      <w:r w:rsidRPr="00F24959">
        <w:rPr>
          <w:rFonts w:asciiTheme="minorHAnsi" w:hAnsiTheme="minorHAnsi"/>
          <w:color w:val="000000" w:themeColor="text1"/>
          <w:szCs w:val="24"/>
          <w:lang w:eastAsia="en-AU"/>
        </w:rPr>
        <w:t xml:space="preserve">, and aged care facilities. </w:t>
      </w:r>
      <w:r>
        <w:rPr>
          <w:rFonts w:asciiTheme="minorHAnsi" w:hAnsiTheme="minorHAnsi"/>
          <w:color w:val="000000" w:themeColor="text1"/>
          <w:szCs w:val="24"/>
          <w:lang w:eastAsia="en-AU"/>
        </w:rPr>
        <w:t>Through the NIP, Australia provides</w:t>
      </w:r>
      <w:r w:rsidRPr="003F7D92">
        <w:rPr>
          <w:rFonts w:asciiTheme="minorHAnsi" w:hAnsiTheme="minorHAnsi"/>
          <w:color w:val="000000" w:themeColor="text1"/>
          <w:szCs w:val="24"/>
          <w:lang w:eastAsia="en-AU"/>
        </w:rPr>
        <w:t xml:space="preserve"> vaccines against 1</w:t>
      </w:r>
      <w:r>
        <w:rPr>
          <w:rFonts w:asciiTheme="minorHAnsi" w:hAnsiTheme="minorHAnsi"/>
          <w:color w:val="000000" w:themeColor="text1"/>
          <w:szCs w:val="24"/>
          <w:lang w:eastAsia="en-AU"/>
        </w:rPr>
        <w:t>7</w:t>
      </w:r>
      <w:r w:rsidRPr="003F7D92">
        <w:rPr>
          <w:rFonts w:asciiTheme="minorHAnsi" w:hAnsiTheme="minorHAnsi"/>
          <w:color w:val="000000" w:themeColor="text1"/>
          <w:szCs w:val="24"/>
          <w:lang w:eastAsia="en-AU"/>
        </w:rPr>
        <w:t xml:space="preserve"> diseases including meas</w:t>
      </w:r>
      <w:r>
        <w:rPr>
          <w:rFonts w:asciiTheme="minorHAnsi" w:hAnsiTheme="minorHAnsi"/>
          <w:color w:val="000000" w:themeColor="text1"/>
          <w:szCs w:val="24"/>
          <w:lang w:eastAsia="en-AU"/>
        </w:rPr>
        <w:t xml:space="preserve">les, diphtheria, </w:t>
      </w:r>
      <w:r w:rsidRPr="003F7D92">
        <w:rPr>
          <w:rFonts w:asciiTheme="minorHAnsi" w:hAnsiTheme="minorHAnsi"/>
          <w:color w:val="000000" w:themeColor="text1"/>
          <w:szCs w:val="24"/>
          <w:lang w:eastAsia="en-AU"/>
        </w:rPr>
        <w:t xml:space="preserve">whooping cough (pertussis), Human Papillomavirus (HPV) </w:t>
      </w:r>
      <w:r>
        <w:rPr>
          <w:rFonts w:asciiTheme="minorHAnsi" w:hAnsiTheme="minorHAnsi"/>
          <w:color w:val="000000" w:themeColor="text1"/>
          <w:szCs w:val="24"/>
          <w:lang w:eastAsia="en-AU"/>
        </w:rPr>
        <w:t xml:space="preserve">and the meningococcal C </w:t>
      </w:r>
      <w:proofErr w:type="gramStart"/>
      <w:r>
        <w:rPr>
          <w:rFonts w:asciiTheme="minorHAnsi" w:hAnsiTheme="minorHAnsi"/>
          <w:color w:val="000000" w:themeColor="text1"/>
          <w:szCs w:val="24"/>
          <w:lang w:eastAsia="en-AU"/>
        </w:rPr>
        <w:t>vaccine which</w:t>
      </w:r>
      <w:proofErr w:type="gramEnd"/>
      <w:r>
        <w:rPr>
          <w:rFonts w:asciiTheme="minorHAnsi" w:hAnsiTheme="minorHAnsi"/>
          <w:color w:val="000000" w:themeColor="text1"/>
          <w:szCs w:val="24"/>
          <w:lang w:eastAsia="en-AU"/>
        </w:rPr>
        <w:t xml:space="preserve"> children, families and </w:t>
      </w:r>
      <w:r w:rsidR="00315009">
        <w:rPr>
          <w:rFonts w:asciiTheme="minorHAnsi" w:hAnsiTheme="minorHAnsi"/>
          <w:color w:val="000000" w:themeColor="text1"/>
          <w:szCs w:val="24"/>
          <w:lang w:eastAsia="en-AU"/>
        </w:rPr>
        <w:t xml:space="preserve">older Australians </w:t>
      </w:r>
      <w:r>
        <w:rPr>
          <w:rFonts w:asciiTheme="minorHAnsi" w:hAnsiTheme="minorHAnsi"/>
          <w:color w:val="000000" w:themeColor="text1"/>
          <w:szCs w:val="24"/>
          <w:lang w:eastAsia="en-AU"/>
        </w:rPr>
        <w:t>can access at no cost.</w:t>
      </w:r>
    </w:p>
    <w:p w14:paraId="296DDFDA" w14:textId="77777777" w:rsidR="007F0613" w:rsidRDefault="007F0613" w:rsidP="00A87054">
      <w:pPr>
        <w:spacing w:after="0" w:line="240" w:lineRule="auto"/>
        <w:ind w:left="-567" w:right="-483"/>
        <w:rPr>
          <w:rFonts w:asciiTheme="minorHAnsi" w:hAnsiTheme="minorHAnsi"/>
          <w:color w:val="000000" w:themeColor="text1"/>
          <w:szCs w:val="24"/>
          <w:lang w:eastAsia="en-AU"/>
        </w:rPr>
      </w:pPr>
    </w:p>
    <w:p w14:paraId="7731735A" w14:textId="77777777" w:rsidR="002E08D7" w:rsidRPr="009C5500" w:rsidRDefault="002E08D7" w:rsidP="00A87054">
      <w:pPr>
        <w:spacing w:after="0" w:line="240" w:lineRule="auto"/>
        <w:ind w:left="-567" w:right="-483"/>
        <w:rPr>
          <w:rFonts w:asciiTheme="minorHAnsi" w:hAnsiTheme="minorHAnsi"/>
          <w:color w:val="000000" w:themeColor="text1"/>
          <w:szCs w:val="24"/>
          <w:u w:val="single"/>
          <w:lang w:eastAsia="en-AU"/>
        </w:rPr>
      </w:pPr>
      <w:r w:rsidRPr="009C5500">
        <w:rPr>
          <w:rFonts w:asciiTheme="minorHAnsi" w:hAnsiTheme="minorHAnsi"/>
          <w:color w:val="000000" w:themeColor="text1"/>
          <w:szCs w:val="24"/>
          <w:u w:val="single"/>
          <w:lang w:eastAsia="en-AU"/>
        </w:rPr>
        <w:t>Chronic Diseases</w:t>
      </w:r>
    </w:p>
    <w:p w14:paraId="44F3D744" w14:textId="0DF5B5BD" w:rsidR="007F0613" w:rsidRPr="009C5500" w:rsidRDefault="007F0613" w:rsidP="009C5500">
      <w:pPr>
        <w:pStyle w:val="Default"/>
        <w:spacing w:after="120"/>
        <w:ind w:left="-567" w:right="-483"/>
        <w:contextualSpacing/>
        <w:rPr>
          <w:rFonts w:asciiTheme="minorHAnsi" w:hAnsiTheme="minorHAnsi"/>
          <w:lang w:val="en-US"/>
        </w:rPr>
      </w:pPr>
      <w:r w:rsidRPr="009C5500">
        <w:rPr>
          <w:rFonts w:asciiTheme="minorHAnsi" w:hAnsiTheme="minorHAnsi"/>
          <w:lang w:val="en-US"/>
        </w:rPr>
        <w:t xml:space="preserve">Cancer, cardiovascular disease, mental and substance-use disorders, musculoskeletal disorders and injury account for around two-thirds of the disease burden in Australia.  </w:t>
      </w:r>
      <w:r w:rsidR="00C37E93">
        <w:rPr>
          <w:rFonts w:asciiTheme="minorHAnsi" w:hAnsiTheme="minorHAnsi"/>
          <w:lang w:val="en-US"/>
        </w:rPr>
        <w:br w:type="textWrapping" w:clear="all"/>
      </w:r>
      <w:r w:rsidRPr="009C5500">
        <w:rPr>
          <w:rFonts w:asciiTheme="minorHAnsi" w:hAnsiTheme="minorHAnsi"/>
          <w:lang w:val="en-US"/>
        </w:rPr>
        <w:t>Furthermore, coronary heart disease is the underlying leading cause of death for people over forty-five.</w:t>
      </w:r>
    </w:p>
    <w:p w14:paraId="5996338D" w14:textId="77777777" w:rsidR="007F0613" w:rsidRPr="009C5500" w:rsidRDefault="007F0613" w:rsidP="009C5500">
      <w:pPr>
        <w:pStyle w:val="Default"/>
        <w:spacing w:after="120"/>
        <w:ind w:left="-567" w:right="-483"/>
        <w:contextualSpacing/>
        <w:rPr>
          <w:rFonts w:asciiTheme="minorHAnsi" w:hAnsiTheme="minorHAnsi"/>
          <w:lang w:val="en-US"/>
        </w:rPr>
      </w:pPr>
    </w:p>
    <w:p w14:paraId="72449EFB" w14:textId="42A1C7B3" w:rsidR="007F0613" w:rsidRPr="009C5500" w:rsidRDefault="002E606E" w:rsidP="009C5500">
      <w:pPr>
        <w:pStyle w:val="Default"/>
        <w:spacing w:after="120"/>
        <w:ind w:left="-567" w:right="-483"/>
        <w:contextualSpacing/>
        <w:rPr>
          <w:rFonts w:asciiTheme="minorHAnsi" w:hAnsiTheme="minorHAnsi"/>
          <w:lang w:val="en-US"/>
        </w:rPr>
      </w:pPr>
      <w:r>
        <w:rPr>
          <w:rFonts w:asciiTheme="minorHAnsi" w:hAnsiTheme="minorHAnsi"/>
          <w:lang w:val="en-US"/>
        </w:rPr>
        <w:t>T</w:t>
      </w:r>
      <w:r w:rsidR="007F0613" w:rsidRPr="009C5500">
        <w:rPr>
          <w:rFonts w:asciiTheme="minorHAnsi" w:hAnsiTheme="minorHAnsi"/>
          <w:lang w:val="en-US"/>
        </w:rPr>
        <w:t xml:space="preserve">he </w:t>
      </w:r>
      <w:r w:rsidR="007F0613" w:rsidRPr="009C5500">
        <w:rPr>
          <w:rFonts w:asciiTheme="minorHAnsi" w:hAnsiTheme="minorHAnsi"/>
          <w:i/>
          <w:lang w:val="en-US"/>
        </w:rPr>
        <w:t>National Strategic Framework for Chronic Conditions</w:t>
      </w:r>
      <w:r w:rsidR="007F0613" w:rsidRPr="009C5500">
        <w:rPr>
          <w:rFonts w:asciiTheme="minorHAnsi" w:hAnsiTheme="minorHAnsi"/>
          <w:lang w:val="en-US"/>
        </w:rPr>
        <w:t xml:space="preserve"> addresses primary, secondary and tertiary prevention of chronic conditions</w:t>
      </w:r>
      <w:r>
        <w:rPr>
          <w:rFonts w:asciiTheme="minorHAnsi" w:hAnsiTheme="minorHAnsi"/>
          <w:lang w:val="en-US"/>
        </w:rPr>
        <w:t xml:space="preserve">. </w:t>
      </w:r>
      <w:proofErr w:type="spellStart"/>
      <w:r>
        <w:rPr>
          <w:rFonts w:asciiTheme="minorHAnsi" w:hAnsiTheme="minorHAnsi"/>
          <w:lang w:val="en-US"/>
        </w:rPr>
        <w:t>R</w:t>
      </w:r>
      <w:r w:rsidR="007F0613" w:rsidRPr="009C5500">
        <w:rPr>
          <w:rFonts w:asciiTheme="minorHAnsi" w:hAnsiTheme="minorHAnsi"/>
          <w:lang w:val="en-US"/>
        </w:rPr>
        <w:t>ecognising</w:t>
      </w:r>
      <w:proofErr w:type="spellEnd"/>
      <w:r w:rsidR="007F0613" w:rsidRPr="009C5500">
        <w:rPr>
          <w:rFonts w:asciiTheme="minorHAnsi" w:hAnsiTheme="minorHAnsi"/>
          <w:lang w:val="en-US"/>
        </w:rPr>
        <w:t xml:space="preserve"> that there are often similar underlying principles for the prevention and management of many chronic conditions</w:t>
      </w:r>
      <w:r>
        <w:rPr>
          <w:rFonts w:asciiTheme="minorHAnsi" w:hAnsiTheme="minorHAnsi"/>
          <w:lang w:val="en-US"/>
        </w:rPr>
        <w:t>, the Framework</w:t>
      </w:r>
      <w:r w:rsidR="007F0613" w:rsidRPr="009C5500">
        <w:rPr>
          <w:rFonts w:asciiTheme="minorHAnsi" w:hAnsiTheme="minorHAnsi"/>
          <w:lang w:val="en-US"/>
        </w:rPr>
        <w:t xml:space="preserve"> will better cater for shared health determinants, risk factors and multi</w:t>
      </w:r>
      <w:r w:rsidR="00C37E93">
        <w:rPr>
          <w:rFonts w:asciiTheme="minorHAnsi" w:hAnsiTheme="minorHAnsi"/>
          <w:lang w:val="en-US"/>
        </w:rPr>
        <w:t>-</w:t>
      </w:r>
      <w:r w:rsidR="007F0613" w:rsidRPr="009C5500">
        <w:rPr>
          <w:rFonts w:asciiTheme="minorHAnsi" w:hAnsiTheme="minorHAnsi"/>
          <w:lang w:val="en-US"/>
        </w:rPr>
        <w:t>morbidities across a broad range of chronic conditions.</w:t>
      </w:r>
    </w:p>
    <w:p w14:paraId="4D93FF90" w14:textId="77777777" w:rsidR="007F0613" w:rsidRPr="003F7D92" w:rsidRDefault="007F0613" w:rsidP="00A87054">
      <w:pPr>
        <w:spacing w:after="0" w:line="240" w:lineRule="auto"/>
        <w:ind w:left="-567" w:right="-483"/>
        <w:rPr>
          <w:rFonts w:asciiTheme="minorHAnsi" w:hAnsiTheme="minorHAnsi"/>
          <w:color w:val="000000" w:themeColor="text1"/>
          <w:szCs w:val="24"/>
          <w:lang w:eastAsia="en-AU"/>
        </w:rPr>
      </w:pPr>
    </w:p>
    <w:p w14:paraId="41C0253C" w14:textId="77777777" w:rsidR="00AD7873" w:rsidRDefault="00AD7873" w:rsidP="00A87054">
      <w:pPr>
        <w:spacing w:after="120"/>
        <w:ind w:left="-567" w:right="-483"/>
        <w:contextualSpacing/>
        <w:outlineLvl w:val="0"/>
        <w:rPr>
          <w:rFonts w:asciiTheme="minorHAnsi" w:hAnsiTheme="minorHAnsi"/>
          <w:u w:val="single"/>
        </w:rPr>
      </w:pPr>
      <w:r>
        <w:rPr>
          <w:rFonts w:asciiTheme="minorHAnsi" w:hAnsiTheme="minorHAnsi"/>
          <w:u w:val="single"/>
        </w:rPr>
        <w:t>Use of tobacco, i</w:t>
      </w:r>
      <w:r w:rsidRPr="00EF7F88">
        <w:rPr>
          <w:rFonts w:asciiTheme="minorHAnsi" w:hAnsiTheme="minorHAnsi"/>
          <w:u w:val="single"/>
        </w:rPr>
        <w:t>llicit drug</w:t>
      </w:r>
      <w:r>
        <w:rPr>
          <w:rFonts w:asciiTheme="minorHAnsi" w:hAnsiTheme="minorHAnsi"/>
          <w:u w:val="single"/>
        </w:rPr>
        <w:t>s</w:t>
      </w:r>
      <w:r w:rsidRPr="00EF7F88">
        <w:rPr>
          <w:rFonts w:asciiTheme="minorHAnsi" w:hAnsiTheme="minorHAnsi"/>
          <w:u w:val="single"/>
        </w:rPr>
        <w:t xml:space="preserve"> and other substance</w:t>
      </w:r>
      <w:r>
        <w:rPr>
          <w:rFonts w:asciiTheme="minorHAnsi" w:hAnsiTheme="minorHAnsi"/>
          <w:u w:val="single"/>
        </w:rPr>
        <w:t>s</w:t>
      </w:r>
      <w:r w:rsidR="00D54432">
        <w:rPr>
          <w:rFonts w:asciiTheme="minorHAnsi" w:hAnsiTheme="minorHAnsi"/>
          <w:u w:val="single"/>
        </w:rPr>
        <w:t xml:space="preserve"> </w:t>
      </w:r>
    </w:p>
    <w:p w14:paraId="175CFFB5" w14:textId="38E84D0D" w:rsidR="00F61431" w:rsidRDefault="00382B48" w:rsidP="009C5500">
      <w:pPr>
        <w:pStyle w:val="Default"/>
        <w:spacing w:after="120"/>
        <w:ind w:left="-567" w:right="-483"/>
        <w:contextualSpacing/>
        <w:rPr>
          <w:rFonts w:asciiTheme="minorHAnsi" w:hAnsiTheme="minorHAnsi"/>
          <w:lang w:val="en-US"/>
        </w:rPr>
      </w:pPr>
      <w:r>
        <w:rPr>
          <w:rFonts w:asciiTheme="minorHAnsi" w:hAnsiTheme="minorHAnsi"/>
          <w:lang w:val="en-US"/>
        </w:rPr>
        <w:t>Consistent with SDG</w:t>
      </w:r>
      <w:r w:rsidR="00F61431">
        <w:rPr>
          <w:rFonts w:asciiTheme="minorHAnsi" w:hAnsiTheme="minorHAnsi"/>
          <w:lang w:val="en-US"/>
        </w:rPr>
        <w:t xml:space="preserve">3.5, which calls to strengthen the prevention and treatment of substance abuse,  </w:t>
      </w:r>
      <w:r w:rsidR="00F61431" w:rsidRPr="009C5500">
        <w:rPr>
          <w:rFonts w:asciiTheme="minorHAnsi" w:hAnsiTheme="minorHAnsi"/>
          <w:lang w:val="en-US"/>
        </w:rPr>
        <w:t xml:space="preserve">Australia’s new </w:t>
      </w:r>
      <w:r w:rsidR="00F61431" w:rsidRPr="009C5500">
        <w:rPr>
          <w:rFonts w:asciiTheme="minorHAnsi" w:hAnsiTheme="minorHAnsi"/>
          <w:i/>
          <w:lang w:val="en-US"/>
        </w:rPr>
        <w:t>National Drug Strategy (2017-2026)</w:t>
      </w:r>
      <w:r w:rsidR="00F61431" w:rsidRPr="009C5500">
        <w:rPr>
          <w:rFonts w:asciiTheme="minorHAnsi" w:hAnsiTheme="minorHAnsi"/>
          <w:lang w:val="en-US"/>
        </w:rPr>
        <w:t xml:space="preserve"> aims to build safe, healthy and resilient communities by preventing and </w:t>
      </w:r>
      <w:proofErr w:type="spellStart"/>
      <w:r w:rsidR="00F61431" w:rsidRPr="009C5500">
        <w:rPr>
          <w:rFonts w:asciiTheme="minorHAnsi" w:hAnsiTheme="minorHAnsi"/>
          <w:lang w:val="en-US"/>
        </w:rPr>
        <w:t>minimising</w:t>
      </w:r>
      <w:proofErr w:type="spellEnd"/>
      <w:r w:rsidR="00F61431" w:rsidRPr="009C5500">
        <w:rPr>
          <w:rFonts w:asciiTheme="minorHAnsi" w:hAnsiTheme="minorHAnsi"/>
          <w:lang w:val="en-US"/>
        </w:rPr>
        <w:t xml:space="preserve"> alcohol, tobacco and other drug-related health, social, cultural and economic harms among individuals, families and communities. </w:t>
      </w:r>
      <w:r>
        <w:rPr>
          <w:rFonts w:asciiTheme="minorHAnsi" w:hAnsiTheme="minorHAnsi"/>
          <w:lang w:val="en-US"/>
        </w:rPr>
        <w:br w:type="textWrapping" w:clear="all"/>
      </w:r>
      <w:r w:rsidR="00F61431" w:rsidRPr="009C5500">
        <w:rPr>
          <w:rFonts w:asciiTheme="minorHAnsi" w:hAnsiTheme="minorHAnsi"/>
          <w:lang w:val="en-US"/>
        </w:rPr>
        <w:t xml:space="preserve">It strives for a balanced approach across the three pillars of harm </w:t>
      </w:r>
      <w:proofErr w:type="spellStart"/>
      <w:r w:rsidR="00F61431" w:rsidRPr="009C5500">
        <w:rPr>
          <w:rFonts w:asciiTheme="minorHAnsi" w:hAnsiTheme="minorHAnsi"/>
          <w:lang w:val="en-US"/>
        </w:rPr>
        <w:t>minimisation</w:t>
      </w:r>
      <w:proofErr w:type="spellEnd"/>
      <w:r w:rsidR="00F61431" w:rsidRPr="009C5500">
        <w:rPr>
          <w:rFonts w:asciiTheme="minorHAnsi" w:hAnsiTheme="minorHAnsi"/>
          <w:lang w:val="en-US"/>
        </w:rPr>
        <w:t>: demand reduction; supply reduction; and harm reduction.</w:t>
      </w:r>
    </w:p>
    <w:p w14:paraId="65CA776D" w14:textId="77777777" w:rsidR="002E08D7" w:rsidRPr="009C5500" w:rsidRDefault="002E08D7" w:rsidP="009C5500">
      <w:pPr>
        <w:pStyle w:val="Default"/>
        <w:spacing w:after="120"/>
        <w:ind w:left="-567" w:right="-483"/>
        <w:contextualSpacing/>
        <w:rPr>
          <w:rFonts w:asciiTheme="minorHAnsi" w:hAnsiTheme="minorHAnsi"/>
          <w:lang w:val="en-US"/>
        </w:rPr>
      </w:pPr>
    </w:p>
    <w:p w14:paraId="6AE5A5FF" w14:textId="2123E2B5" w:rsidR="00AD7873" w:rsidRPr="00EF7F88" w:rsidRDefault="00AD7873" w:rsidP="00A87054">
      <w:pPr>
        <w:pStyle w:val="Default"/>
        <w:spacing w:after="120"/>
        <w:ind w:left="-567" w:right="-483"/>
        <w:contextualSpacing/>
        <w:rPr>
          <w:rFonts w:asciiTheme="minorHAnsi" w:hAnsiTheme="minorHAnsi"/>
          <w:lang w:val="en-US"/>
        </w:rPr>
      </w:pPr>
      <w:r w:rsidRPr="00EF7F88">
        <w:rPr>
          <w:rFonts w:asciiTheme="minorHAnsi" w:hAnsiTheme="minorHAnsi"/>
          <w:lang w:val="en-US"/>
        </w:rPr>
        <w:t xml:space="preserve">In addition to this, Australia </w:t>
      </w:r>
      <w:proofErr w:type="spellStart"/>
      <w:r w:rsidRPr="00EF7F88">
        <w:rPr>
          <w:rFonts w:asciiTheme="minorHAnsi" w:hAnsiTheme="minorHAnsi"/>
          <w:lang w:val="en-US"/>
        </w:rPr>
        <w:t>recognise</w:t>
      </w:r>
      <w:r w:rsidR="00812305">
        <w:rPr>
          <w:rFonts w:asciiTheme="minorHAnsi" w:hAnsiTheme="minorHAnsi"/>
          <w:lang w:val="en-US"/>
        </w:rPr>
        <w:t>s</w:t>
      </w:r>
      <w:proofErr w:type="spellEnd"/>
      <w:r w:rsidRPr="00EF7F88">
        <w:rPr>
          <w:rFonts w:asciiTheme="minorHAnsi" w:hAnsiTheme="minorHAnsi"/>
          <w:lang w:val="en-US"/>
        </w:rPr>
        <w:t xml:space="preserve"> the serious harm and suffering caused to </w:t>
      </w:r>
      <w:r>
        <w:rPr>
          <w:rFonts w:asciiTheme="minorHAnsi" w:hAnsiTheme="minorHAnsi"/>
          <w:lang w:val="en-US"/>
        </w:rPr>
        <w:t>Aboriginal and Torres Strait Islander</w:t>
      </w:r>
      <w:r w:rsidRPr="00EF7F88">
        <w:rPr>
          <w:rFonts w:asciiTheme="minorHAnsi" w:hAnsiTheme="minorHAnsi"/>
          <w:lang w:val="en-US"/>
        </w:rPr>
        <w:t xml:space="preserve"> people, their families and communities, by the use of tobacco, alcohol and illicit substances.</w:t>
      </w:r>
      <w:r>
        <w:rPr>
          <w:rFonts w:asciiTheme="minorHAnsi" w:hAnsiTheme="minorHAnsi"/>
          <w:lang w:val="en-US"/>
        </w:rPr>
        <w:t xml:space="preserve"> </w:t>
      </w:r>
      <w:r w:rsidRPr="00890574">
        <w:rPr>
          <w:rFonts w:asciiTheme="minorHAnsi" w:hAnsiTheme="minorHAnsi"/>
          <w:lang w:val="en-US"/>
        </w:rPr>
        <w:t xml:space="preserve"> The </w:t>
      </w:r>
      <w:r w:rsidRPr="00890574">
        <w:rPr>
          <w:rFonts w:asciiTheme="minorHAnsi" w:hAnsiTheme="minorHAnsi"/>
          <w:i/>
          <w:lang w:val="en-US"/>
        </w:rPr>
        <w:t xml:space="preserve">National Aboriginal and Torres Strait Islander Peoples’ Drug </w:t>
      </w:r>
      <w:r w:rsidR="00C37E93">
        <w:rPr>
          <w:rFonts w:asciiTheme="minorHAnsi" w:hAnsiTheme="minorHAnsi"/>
          <w:i/>
          <w:lang w:val="en-US"/>
        </w:rPr>
        <w:t>S</w:t>
      </w:r>
      <w:r w:rsidRPr="00890574">
        <w:rPr>
          <w:rFonts w:asciiTheme="minorHAnsi" w:hAnsiTheme="minorHAnsi"/>
          <w:i/>
          <w:lang w:val="en-US"/>
        </w:rPr>
        <w:t>trategy</w:t>
      </w:r>
      <w:r w:rsidR="00C37E93">
        <w:rPr>
          <w:rFonts w:asciiTheme="minorHAnsi" w:hAnsiTheme="minorHAnsi"/>
          <w:i/>
          <w:lang w:val="en-US"/>
        </w:rPr>
        <w:t xml:space="preserve"> </w:t>
      </w:r>
      <w:r w:rsidRPr="00890574">
        <w:rPr>
          <w:rFonts w:asciiTheme="minorHAnsi" w:hAnsiTheme="minorHAnsi"/>
          <w:i/>
          <w:lang w:val="en-US"/>
        </w:rPr>
        <w:t xml:space="preserve">2014-2019 </w:t>
      </w:r>
      <w:r w:rsidRPr="00890574">
        <w:rPr>
          <w:rFonts w:asciiTheme="minorHAnsi" w:hAnsiTheme="minorHAnsi"/>
          <w:lang w:val="en-US"/>
        </w:rPr>
        <w:t>has been developed to identify key issues and priority areas for action in this particular cohort of the population.</w:t>
      </w:r>
    </w:p>
    <w:p w14:paraId="071E07C6" w14:textId="77777777" w:rsidR="00AD7873" w:rsidRDefault="00AD7873" w:rsidP="00A87054">
      <w:pPr>
        <w:pStyle w:val="Default"/>
        <w:ind w:left="-567" w:right="-483"/>
        <w:rPr>
          <w:rFonts w:asciiTheme="minorHAnsi" w:hAnsiTheme="minorHAnsi"/>
        </w:rPr>
      </w:pPr>
    </w:p>
    <w:p w14:paraId="261CEC35" w14:textId="0AB41331" w:rsidR="00AD7873" w:rsidRPr="00E739DE" w:rsidRDefault="00AD7873" w:rsidP="00A87054">
      <w:pPr>
        <w:pStyle w:val="Default"/>
        <w:ind w:left="-567" w:right="-483"/>
        <w:rPr>
          <w:rFonts w:asciiTheme="minorHAnsi" w:hAnsiTheme="minorHAnsi"/>
        </w:rPr>
      </w:pPr>
      <w:proofErr w:type="gramStart"/>
      <w:r w:rsidRPr="00E739DE">
        <w:rPr>
          <w:rFonts w:asciiTheme="minorHAnsi" w:hAnsiTheme="minorHAnsi"/>
        </w:rPr>
        <w:t>Smoking rates in Australia are amongst the lowest in the world and are still falling.</w:t>
      </w:r>
      <w:proofErr w:type="gramEnd"/>
      <w:r w:rsidRPr="00E739DE">
        <w:rPr>
          <w:rFonts w:asciiTheme="minorHAnsi" w:hAnsiTheme="minorHAnsi"/>
        </w:rPr>
        <w:t xml:space="preserve"> </w:t>
      </w:r>
      <w:r w:rsidR="00382B48">
        <w:rPr>
          <w:rFonts w:asciiTheme="minorHAnsi" w:hAnsiTheme="minorHAnsi"/>
        </w:rPr>
        <w:br w:type="textWrapping" w:clear="all"/>
        <w:t>Consistent with SDG</w:t>
      </w:r>
      <w:r>
        <w:rPr>
          <w:rFonts w:asciiTheme="minorHAnsi" w:hAnsiTheme="minorHAnsi"/>
        </w:rPr>
        <w:t xml:space="preserve">3a, </w:t>
      </w:r>
      <w:r w:rsidRPr="00E739DE">
        <w:rPr>
          <w:rFonts w:asciiTheme="minorHAnsi" w:hAnsiTheme="minorHAnsi"/>
        </w:rPr>
        <w:t>Australia is</w:t>
      </w:r>
      <w:r>
        <w:rPr>
          <w:rFonts w:asciiTheme="minorHAnsi" w:hAnsiTheme="minorHAnsi"/>
        </w:rPr>
        <w:t xml:space="preserve"> proud to be</w:t>
      </w:r>
      <w:r w:rsidRPr="00E739DE">
        <w:rPr>
          <w:rFonts w:asciiTheme="minorHAnsi" w:hAnsiTheme="minorHAnsi"/>
        </w:rPr>
        <w:t xml:space="preserve"> a world leader in tobacco control and has been a </w:t>
      </w:r>
      <w:r w:rsidR="00455EBD">
        <w:rPr>
          <w:rFonts w:asciiTheme="minorHAnsi" w:hAnsiTheme="minorHAnsi"/>
        </w:rPr>
        <w:t>P</w:t>
      </w:r>
      <w:r w:rsidRPr="00E739DE">
        <w:rPr>
          <w:rFonts w:asciiTheme="minorHAnsi" w:hAnsiTheme="minorHAnsi"/>
        </w:rPr>
        <w:t xml:space="preserve">arty to the </w:t>
      </w:r>
      <w:r w:rsidRPr="009C5500">
        <w:rPr>
          <w:rFonts w:asciiTheme="minorHAnsi" w:hAnsiTheme="minorHAnsi"/>
          <w:i/>
        </w:rPr>
        <w:t>WHO Framework Convention on Tobacco Control</w:t>
      </w:r>
      <w:r w:rsidRPr="00E739DE">
        <w:rPr>
          <w:rFonts w:asciiTheme="minorHAnsi" w:hAnsiTheme="minorHAnsi"/>
        </w:rPr>
        <w:t xml:space="preserve"> since it entered into force. </w:t>
      </w:r>
      <w:r>
        <w:rPr>
          <w:rFonts w:asciiTheme="minorHAnsi" w:hAnsiTheme="minorHAnsi"/>
        </w:rPr>
        <w:t xml:space="preserve"> </w:t>
      </w:r>
      <w:r w:rsidR="00382B48">
        <w:rPr>
          <w:rFonts w:asciiTheme="minorHAnsi" w:hAnsiTheme="minorHAnsi"/>
        </w:rPr>
        <w:br w:type="textWrapping" w:clear="all"/>
      </w:r>
      <w:r w:rsidR="00315009">
        <w:rPr>
          <w:rFonts w:asciiTheme="minorHAnsi" w:hAnsiTheme="minorHAnsi"/>
        </w:rPr>
        <w:t xml:space="preserve">As part of our ongoing </w:t>
      </w:r>
      <w:r w:rsidRPr="00E739DE">
        <w:rPr>
          <w:rFonts w:asciiTheme="minorHAnsi" w:hAnsiTheme="minorHAnsi"/>
        </w:rPr>
        <w:t>commitment to the reduction of global tobacco smoking prevalence, Australia frequently shares its tobacco control expertise and materials with other countries</w:t>
      </w:r>
      <w:r>
        <w:rPr>
          <w:rFonts w:asciiTheme="minorHAnsi" w:hAnsiTheme="minorHAnsi"/>
        </w:rPr>
        <w:t xml:space="preserve">. </w:t>
      </w:r>
    </w:p>
    <w:p w14:paraId="761850B6" w14:textId="77777777" w:rsidR="00CE2EDA" w:rsidRDefault="00CE2EDA">
      <w:pPr>
        <w:spacing w:after="0" w:line="240" w:lineRule="auto"/>
        <w:rPr>
          <w:rFonts w:asciiTheme="minorHAnsi" w:eastAsia="Times New Roman" w:hAnsiTheme="minorHAnsi" w:cs="Arial"/>
          <w:b/>
          <w:i/>
          <w:color w:val="000000"/>
          <w:szCs w:val="24"/>
          <w:lang w:eastAsia="en-AU"/>
        </w:rPr>
      </w:pPr>
      <w:r>
        <w:rPr>
          <w:rFonts w:asciiTheme="minorHAnsi" w:hAnsiTheme="minorHAnsi"/>
          <w:b/>
          <w:i/>
        </w:rPr>
        <w:br w:type="page"/>
      </w:r>
    </w:p>
    <w:p w14:paraId="5DC94DE8" w14:textId="7418CA5D" w:rsidR="002B24B0" w:rsidRPr="00AD7873" w:rsidRDefault="00347C96" w:rsidP="00A87054">
      <w:pPr>
        <w:pStyle w:val="Default"/>
        <w:spacing w:after="120"/>
        <w:ind w:left="-567" w:right="-483"/>
        <w:outlineLvl w:val="0"/>
        <w:rPr>
          <w:rFonts w:asciiTheme="minorHAnsi" w:hAnsiTheme="minorHAnsi"/>
          <w:b/>
          <w:i/>
        </w:rPr>
      </w:pPr>
      <w:r w:rsidRPr="00890574">
        <w:rPr>
          <w:rFonts w:asciiTheme="minorHAnsi" w:hAnsiTheme="minorHAnsi"/>
          <w:b/>
          <w:i/>
        </w:rPr>
        <w:t>Access to healt</w:t>
      </w:r>
      <w:r w:rsidR="00234A57">
        <w:rPr>
          <w:rFonts w:asciiTheme="minorHAnsi" w:hAnsiTheme="minorHAnsi"/>
          <w:b/>
          <w:i/>
        </w:rPr>
        <w:t xml:space="preserve">hcare for vulnerable </w:t>
      </w:r>
      <w:r w:rsidR="00F43402">
        <w:rPr>
          <w:rFonts w:asciiTheme="minorHAnsi" w:hAnsiTheme="minorHAnsi"/>
          <w:b/>
          <w:i/>
        </w:rPr>
        <w:t>groups</w:t>
      </w:r>
    </w:p>
    <w:p w14:paraId="0EBE9480" w14:textId="77777777" w:rsidR="00256E84" w:rsidRDefault="00662148" w:rsidP="00A87054">
      <w:pPr>
        <w:spacing w:after="120"/>
        <w:ind w:left="-567" w:right="-483"/>
        <w:outlineLvl w:val="0"/>
        <w:rPr>
          <w:rFonts w:asciiTheme="minorHAnsi" w:hAnsiTheme="minorHAnsi"/>
          <w:u w:val="single"/>
        </w:rPr>
      </w:pPr>
      <w:r>
        <w:rPr>
          <w:rFonts w:asciiTheme="minorHAnsi" w:hAnsiTheme="minorHAnsi"/>
          <w:u w:val="single"/>
        </w:rPr>
        <w:t xml:space="preserve">Aboriginal and Torres Strait Islander </w:t>
      </w:r>
      <w:r w:rsidR="00256E84">
        <w:rPr>
          <w:rFonts w:asciiTheme="minorHAnsi" w:hAnsiTheme="minorHAnsi"/>
          <w:u w:val="single"/>
        </w:rPr>
        <w:t>peoples</w:t>
      </w:r>
    </w:p>
    <w:p w14:paraId="6D6108BE" w14:textId="561F8124" w:rsidR="00C37E93" w:rsidRDefault="0086424C" w:rsidP="00A87054">
      <w:pPr>
        <w:spacing w:after="0" w:line="240" w:lineRule="auto"/>
        <w:ind w:left="-567" w:right="-483"/>
        <w:rPr>
          <w:rFonts w:asciiTheme="minorHAnsi" w:hAnsiTheme="minorHAnsi"/>
          <w:color w:val="000000" w:themeColor="text1"/>
          <w:szCs w:val="24"/>
          <w:lang w:eastAsia="en-AU"/>
        </w:rPr>
      </w:pPr>
      <w:r>
        <w:rPr>
          <w:rFonts w:asciiTheme="minorHAnsi" w:hAnsiTheme="minorHAnsi"/>
          <w:color w:val="000000" w:themeColor="text1"/>
          <w:szCs w:val="24"/>
          <w:lang w:eastAsia="en-AU"/>
        </w:rPr>
        <w:t>The</w:t>
      </w:r>
      <w:r w:rsidR="00662148" w:rsidRPr="00662148">
        <w:rPr>
          <w:rFonts w:asciiTheme="minorHAnsi" w:hAnsiTheme="minorHAnsi"/>
          <w:color w:val="000000" w:themeColor="text1"/>
          <w:szCs w:val="24"/>
          <w:lang w:eastAsia="en-AU"/>
        </w:rPr>
        <w:t xml:space="preserve"> </w:t>
      </w:r>
      <w:r w:rsidR="00662148" w:rsidRPr="0086424C">
        <w:rPr>
          <w:rFonts w:asciiTheme="minorHAnsi" w:hAnsiTheme="minorHAnsi"/>
          <w:i/>
          <w:color w:val="000000" w:themeColor="text1"/>
          <w:szCs w:val="24"/>
          <w:lang w:eastAsia="en-AU"/>
        </w:rPr>
        <w:t>National Aboriginal and Torres Strait Islander Health Plan 2013-2023</w:t>
      </w:r>
      <w:r w:rsidR="00662148" w:rsidRPr="00662148">
        <w:rPr>
          <w:rFonts w:asciiTheme="minorHAnsi" w:hAnsiTheme="minorHAnsi"/>
          <w:color w:val="000000" w:themeColor="text1"/>
          <w:szCs w:val="24"/>
          <w:lang w:eastAsia="en-AU"/>
        </w:rPr>
        <w:t xml:space="preserve"> is an overarching framework designed to focus investment and effort in improving health outcomes for Aboriginal and</w:t>
      </w:r>
      <w:r w:rsidR="00662148">
        <w:rPr>
          <w:rFonts w:asciiTheme="minorHAnsi" w:hAnsiTheme="minorHAnsi"/>
          <w:color w:val="000000" w:themeColor="text1"/>
          <w:szCs w:val="24"/>
          <w:lang w:eastAsia="en-AU"/>
        </w:rPr>
        <w:t xml:space="preserve"> Torres Strait Islander peoples. </w:t>
      </w:r>
      <w:r w:rsidR="00A37041">
        <w:rPr>
          <w:rFonts w:asciiTheme="minorHAnsi" w:hAnsiTheme="minorHAnsi"/>
          <w:color w:val="000000" w:themeColor="text1"/>
          <w:szCs w:val="24"/>
          <w:lang w:eastAsia="en-AU"/>
        </w:rPr>
        <w:t>Consistent with the principles of the 2030</w:t>
      </w:r>
      <w:r w:rsidR="00382B48">
        <w:rPr>
          <w:rFonts w:asciiTheme="minorHAnsi" w:hAnsiTheme="minorHAnsi"/>
          <w:color w:val="000000" w:themeColor="text1"/>
          <w:szCs w:val="24"/>
          <w:lang w:eastAsia="en-AU"/>
        </w:rPr>
        <w:t> </w:t>
      </w:r>
      <w:r w:rsidR="00A37041">
        <w:rPr>
          <w:rFonts w:asciiTheme="minorHAnsi" w:hAnsiTheme="minorHAnsi"/>
          <w:color w:val="000000" w:themeColor="text1"/>
          <w:szCs w:val="24"/>
          <w:lang w:eastAsia="en-AU"/>
        </w:rPr>
        <w:t xml:space="preserve">Agenda, the Plan uses a health equality and human rights methodology to improve the availability, accessibility and quality of health services for Aboriginal and Torres Strait Islander people. </w:t>
      </w:r>
    </w:p>
    <w:p w14:paraId="0C7317D1" w14:textId="77777777" w:rsidR="00C37E93" w:rsidRDefault="00C37E93" w:rsidP="00A87054">
      <w:pPr>
        <w:spacing w:after="0" w:line="240" w:lineRule="auto"/>
        <w:ind w:left="-567" w:right="-483"/>
        <w:rPr>
          <w:rFonts w:asciiTheme="minorHAnsi" w:hAnsiTheme="minorHAnsi"/>
          <w:color w:val="000000" w:themeColor="text1"/>
          <w:szCs w:val="24"/>
          <w:lang w:eastAsia="en-AU"/>
        </w:rPr>
      </w:pPr>
    </w:p>
    <w:p w14:paraId="1514701D" w14:textId="0A2E6A32" w:rsidR="001D6840" w:rsidRDefault="00503698" w:rsidP="00A87054">
      <w:pPr>
        <w:spacing w:after="0" w:line="240" w:lineRule="auto"/>
        <w:ind w:left="-567" w:right="-483"/>
        <w:rPr>
          <w:rFonts w:asciiTheme="minorHAnsi" w:hAnsiTheme="minorHAnsi"/>
          <w:color w:val="000000" w:themeColor="text1"/>
          <w:szCs w:val="24"/>
          <w:lang w:eastAsia="en-AU"/>
        </w:rPr>
      </w:pPr>
      <w:r w:rsidRPr="002B24B0">
        <w:rPr>
          <w:rFonts w:asciiTheme="minorHAnsi" w:hAnsiTheme="minorHAnsi"/>
          <w:color w:val="000000" w:themeColor="text1"/>
          <w:szCs w:val="24"/>
          <w:lang w:eastAsia="en-AU"/>
        </w:rPr>
        <w:t xml:space="preserve">The </w:t>
      </w:r>
      <w:r w:rsidR="00A37041">
        <w:rPr>
          <w:rFonts w:asciiTheme="minorHAnsi" w:hAnsiTheme="minorHAnsi"/>
          <w:color w:val="000000" w:themeColor="text1"/>
          <w:szCs w:val="24"/>
          <w:lang w:eastAsia="en-AU"/>
        </w:rPr>
        <w:t xml:space="preserve">associated </w:t>
      </w:r>
      <w:r w:rsidRPr="0086424C">
        <w:rPr>
          <w:rFonts w:asciiTheme="minorHAnsi" w:hAnsiTheme="minorHAnsi"/>
          <w:i/>
          <w:color w:val="000000" w:themeColor="text1"/>
          <w:szCs w:val="24"/>
          <w:lang w:eastAsia="en-AU"/>
        </w:rPr>
        <w:t>Implementation Plan for the National Aboriginal and Torres Strait Islander Health Plan 2013-2023</w:t>
      </w:r>
      <w:r w:rsidRPr="002B24B0">
        <w:rPr>
          <w:rFonts w:asciiTheme="minorHAnsi" w:hAnsiTheme="minorHAnsi"/>
          <w:color w:val="000000" w:themeColor="text1"/>
          <w:szCs w:val="24"/>
          <w:lang w:eastAsia="en-AU"/>
        </w:rPr>
        <w:t xml:space="preserve"> </w:t>
      </w:r>
      <w:r w:rsidR="00662148">
        <w:rPr>
          <w:rFonts w:asciiTheme="minorHAnsi" w:hAnsiTheme="minorHAnsi"/>
          <w:color w:val="000000" w:themeColor="text1"/>
          <w:szCs w:val="24"/>
          <w:lang w:eastAsia="en-AU"/>
        </w:rPr>
        <w:t>recognises the importance of the holistic concept of health for Aboriginal an</w:t>
      </w:r>
      <w:r w:rsidR="00A37041">
        <w:rPr>
          <w:rFonts w:asciiTheme="minorHAnsi" w:hAnsiTheme="minorHAnsi"/>
          <w:color w:val="000000" w:themeColor="text1"/>
          <w:szCs w:val="24"/>
          <w:lang w:eastAsia="en-AU"/>
        </w:rPr>
        <w:t>d Torres Strait Islander people</w:t>
      </w:r>
      <w:r w:rsidRPr="002B24B0">
        <w:rPr>
          <w:rFonts w:asciiTheme="minorHAnsi" w:hAnsiTheme="minorHAnsi"/>
          <w:color w:val="000000" w:themeColor="text1"/>
          <w:szCs w:val="24"/>
          <w:lang w:eastAsia="en-AU"/>
        </w:rPr>
        <w:t xml:space="preserve">. The focus of the </w:t>
      </w:r>
      <w:r w:rsidR="00B52530">
        <w:rPr>
          <w:rFonts w:asciiTheme="minorHAnsi" w:hAnsiTheme="minorHAnsi"/>
          <w:color w:val="000000" w:themeColor="text1"/>
          <w:szCs w:val="24"/>
          <w:lang w:eastAsia="en-AU"/>
        </w:rPr>
        <w:t>Plan</w:t>
      </w:r>
      <w:r w:rsidRPr="002B24B0">
        <w:rPr>
          <w:rFonts w:asciiTheme="minorHAnsi" w:hAnsiTheme="minorHAnsi"/>
          <w:color w:val="000000" w:themeColor="text1"/>
          <w:szCs w:val="24"/>
          <w:lang w:eastAsia="en-AU"/>
        </w:rPr>
        <w:t xml:space="preserve"> is to ensure that the Australian health system delivers primary, secondary and tertia</w:t>
      </w:r>
      <w:r w:rsidR="00C37E93">
        <w:rPr>
          <w:rFonts w:asciiTheme="minorHAnsi" w:hAnsiTheme="minorHAnsi"/>
          <w:color w:val="000000" w:themeColor="text1"/>
          <w:szCs w:val="24"/>
          <w:lang w:eastAsia="en-AU"/>
        </w:rPr>
        <w:t>ry health care that is evidence</w:t>
      </w:r>
      <w:r w:rsidR="00C37E93">
        <w:rPr>
          <w:rFonts w:asciiTheme="minorHAnsi" w:hAnsiTheme="minorHAnsi"/>
          <w:color w:val="000000" w:themeColor="text1"/>
          <w:szCs w:val="24"/>
          <w:lang w:eastAsia="en-AU"/>
        </w:rPr>
        <w:noBreakHyphen/>
      </w:r>
      <w:r w:rsidRPr="002B24B0">
        <w:rPr>
          <w:rFonts w:asciiTheme="minorHAnsi" w:hAnsiTheme="minorHAnsi"/>
          <w:color w:val="000000" w:themeColor="text1"/>
          <w:szCs w:val="24"/>
          <w:lang w:eastAsia="en-AU"/>
        </w:rPr>
        <w:t>based, culturally safe, high quality, responsive and accessible for Aboriginal and Torres Strait Islander peoples and that health care is free of racism and inequality.</w:t>
      </w:r>
      <w:r w:rsidR="001D6840" w:rsidRPr="001D6840">
        <w:rPr>
          <w:rFonts w:asciiTheme="minorHAnsi" w:hAnsiTheme="minorHAnsi"/>
          <w:color w:val="000000" w:themeColor="text1"/>
          <w:szCs w:val="24"/>
          <w:lang w:eastAsia="en-AU"/>
        </w:rPr>
        <w:t> </w:t>
      </w:r>
      <w:r w:rsidR="00C37E93">
        <w:rPr>
          <w:rFonts w:asciiTheme="minorHAnsi" w:hAnsiTheme="minorHAnsi"/>
          <w:color w:val="000000" w:themeColor="text1"/>
          <w:szCs w:val="24"/>
          <w:lang w:eastAsia="en-AU"/>
        </w:rPr>
        <w:br w:type="textWrapping" w:clear="all"/>
      </w:r>
      <w:r w:rsidR="001D6840" w:rsidRPr="001D6840">
        <w:rPr>
          <w:rFonts w:asciiTheme="minorHAnsi" w:hAnsiTheme="minorHAnsi"/>
          <w:color w:val="000000" w:themeColor="text1"/>
          <w:szCs w:val="24"/>
          <w:lang w:eastAsia="en-AU"/>
        </w:rPr>
        <w:t xml:space="preserve">The Implementation Plan </w:t>
      </w:r>
      <w:proofErr w:type="gramStart"/>
      <w:r w:rsidR="001D6840" w:rsidRPr="001D6840">
        <w:rPr>
          <w:rFonts w:asciiTheme="minorHAnsi" w:hAnsiTheme="minorHAnsi"/>
          <w:color w:val="000000" w:themeColor="text1"/>
          <w:szCs w:val="24"/>
          <w:lang w:eastAsia="en-AU"/>
        </w:rPr>
        <w:t>will be updated</w:t>
      </w:r>
      <w:proofErr w:type="gramEnd"/>
      <w:r w:rsidR="001D6840" w:rsidRPr="001D6840">
        <w:rPr>
          <w:rFonts w:asciiTheme="minorHAnsi" w:hAnsiTheme="minorHAnsi"/>
          <w:color w:val="000000" w:themeColor="text1"/>
          <w:szCs w:val="24"/>
          <w:lang w:eastAsia="en-AU"/>
        </w:rPr>
        <w:t xml:space="preserve"> in 2018, with a strengthened focus on the social determinants and cultural determinants of Aboriginal and Torres Strait Islander health. </w:t>
      </w:r>
      <w:r w:rsidR="00C37E93">
        <w:rPr>
          <w:rFonts w:asciiTheme="minorHAnsi" w:hAnsiTheme="minorHAnsi"/>
          <w:color w:val="000000" w:themeColor="text1"/>
          <w:szCs w:val="24"/>
          <w:lang w:eastAsia="en-AU"/>
        </w:rPr>
        <w:br w:type="textWrapping" w:clear="all"/>
      </w:r>
      <w:r w:rsidR="001D6840" w:rsidRPr="001D6840">
        <w:rPr>
          <w:rFonts w:asciiTheme="minorHAnsi" w:hAnsiTheme="minorHAnsi"/>
          <w:color w:val="000000" w:themeColor="text1"/>
          <w:szCs w:val="24"/>
          <w:lang w:eastAsia="en-AU"/>
        </w:rPr>
        <w:t xml:space="preserve">A consultation process </w:t>
      </w:r>
      <w:proofErr w:type="gramStart"/>
      <w:r w:rsidR="001D6840" w:rsidRPr="001D6840">
        <w:rPr>
          <w:rFonts w:asciiTheme="minorHAnsi" w:hAnsiTheme="minorHAnsi"/>
          <w:color w:val="000000" w:themeColor="text1"/>
          <w:szCs w:val="24"/>
          <w:lang w:eastAsia="en-AU"/>
        </w:rPr>
        <w:t>was undertaken</w:t>
      </w:r>
      <w:proofErr w:type="gramEnd"/>
      <w:r w:rsidR="001D6840" w:rsidRPr="001D6840">
        <w:rPr>
          <w:rFonts w:asciiTheme="minorHAnsi" w:hAnsiTheme="minorHAnsi"/>
          <w:color w:val="000000" w:themeColor="text1"/>
          <w:szCs w:val="24"/>
          <w:lang w:eastAsia="en-AU"/>
        </w:rPr>
        <w:t xml:space="preserve"> in the first half of 2017 to inform this work, reaching over 600 participants, and attracting more than 100 written submissions.</w:t>
      </w:r>
    </w:p>
    <w:p w14:paraId="4C1DB617" w14:textId="77777777" w:rsidR="0086424C" w:rsidRPr="002B24B0" w:rsidRDefault="0086424C" w:rsidP="00A87054">
      <w:pPr>
        <w:spacing w:after="0" w:line="240" w:lineRule="auto"/>
        <w:ind w:left="-567" w:right="-483"/>
        <w:rPr>
          <w:rFonts w:asciiTheme="minorHAnsi" w:hAnsiTheme="minorHAnsi"/>
          <w:color w:val="000000" w:themeColor="text1"/>
          <w:szCs w:val="24"/>
          <w:lang w:eastAsia="en-AU"/>
        </w:rPr>
      </w:pPr>
    </w:p>
    <w:p w14:paraId="5A7DB4DE" w14:textId="3E39290F" w:rsidR="00B52530" w:rsidRDefault="001D6840" w:rsidP="002F06ED">
      <w:pPr>
        <w:spacing w:after="0" w:line="240" w:lineRule="auto"/>
        <w:ind w:left="-567" w:right="-483"/>
        <w:rPr>
          <w:rFonts w:asciiTheme="minorHAnsi" w:hAnsiTheme="minorHAnsi"/>
          <w:color w:val="000000" w:themeColor="text1"/>
          <w:szCs w:val="24"/>
          <w:lang w:eastAsia="en-AU"/>
        </w:rPr>
      </w:pPr>
      <w:r w:rsidRPr="001D6840">
        <w:rPr>
          <w:rFonts w:asciiTheme="minorHAnsi" w:hAnsiTheme="minorHAnsi"/>
          <w:color w:val="000000" w:themeColor="text1"/>
          <w:szCs w:val="24"/>
          <w:lang w:eastAsia="en-AU"/>
        </w:rPr>
        <w:t>The </w:t>
      </w:r>
      <w:r w:rsidRPr="00B8420D">
        <w:rPr>
          <w:rFonts w:asciiTheme="minorHAnsi" w:hAnsiTheme="minorHAnsi"/>
          <w:i/>
          <w:color w:val="000000" w:themeColor="text1"/>
          <w:szCs w:val="24"/>
          <w:lang w:eastAsia="en-AU"/>
        </w:rPr>
        <w:t>Cultural Respect Framework for Aboriginal and Torres Strait Islander Health 2016</w:t>
      </w:r>
      <w:r w:rsidR="009C5500">
        <w:rPr>
          <w:rFonts w:asciiTheme="minorHAnsi" w:hAnsiTheme="minorHAnsi"/>
          <w:i/>
          <w:color w:val="000000" w:themeColor="text1"/>
          <w:szCs w:val="24"/>
          <w:lang w:eastAsia="en-AU"/>
        </w:rPr>
        <w:noBreakHyphen/>
      </w:r>
      <w:r w:rsidRPr="00B8420D">
        <w:rPr>
          <w:rFonts w:asciiTheme="minorHAnsi" w:hAnsiTheme="minorHAnsi"/>
          <w:i/>
          <w:color w:val="000000" w:themeColor="text1"/>
          <w:szCs w:val="24"/>
          <w:lang w:eastAsia="en-AU"/>
        </w:rPr>
        <w:t>2026 </w:t>
      </w:r>
      <w:r w:rsidRPr="008529A5">
        <w:rPr>
          <w:rFonts w:asciiTheme="minorHAnsi" w:hAnsiTheme="minorHAnsi"/>
          <w:color w:val="000000" w:themeColor="text1"/>
          <w:szCs w:val="24"/>
          <w:lang w:eastAsia="en-AU"/>
        </w:rPr>
        <w:t>e</w:t>
      </w:r>
      <w:r w:rsidRPr="001D6840">
        <w:rPr>
          <w:rFonts w:asciiTheme="minorHAnsi" w:hAnsiTheme="minorHAnsi"/>
          <w:color w:val="000000" w:themeColor="text1"/>
          <w:szCs w:val="24"/>
          <w:lang w:eastAsia="en-AU"/>
        </w:rPr>
        <w:t>mbeds cultural respect principles into the Australian health system.</w:t>
      </w:r>
      <w:r>
        <w:rPr>
          <w:rFonts w:asciiTheme="minorHAnsi" w:hAnsiTheme="minorHAnsi"/>
          <w:color w:val="000000" w:themeColor="text1"/>
          <w:szCs w:val="24"/>
          <w:lang w:eastAsia="en-AU"/>
        </w:rPr>
        <w:t xml:space="preserve"> </w:t>
      </w:r>
      <w:r w:rsidR="00382B48">
        <w:rPr>
          <w:rFonts w:asciiTheme="minorHAnsi" w:hAnsiTheme="minorHAnsi"/>
          <w:color w:val="000000" w:themeColor="text1"/>
          <w:szCs w:val="24"/>
          <w:lang w:eastAsia="en-AU"/>
        </w:rPr>
        <w:br w:type="textWrapping" w:clear="all"/>
      </w:r>
      <w:r w:rsidR="00503698" w:rsidRPr="002B24B0">
        <w:rPr>
          <w:rFonts w:asciiTheme="minorHAnsi" w:hAnsiTheme="minorHAnsi"/>
          <w:color w:val="000000" w:themeColor="text1"/>
          <w:szCs w:val="24"/>
          <w:lang w:eastAsia="en-AU"/>
        </w:rPr>
        <w:t>An appropriately trained Indigenous health workforce</w:t>
      </w:r>
      <w:r w:rsidR="00662148">
        <w:rPr>
          <w:rFonts w:asciiTheme="minorHAnsi" w:hAnsiTheme="minorHAnsi"/>
          <w:color w:val="000000" w:themeColor="text1"/>
          <w:szCs w:val="24"/>
          <w:lang w:eastAsia="en-AU"/>
        </w:rPr>
        <w:t xml:space="preserve"> </w:t>
      </w:r>
      <w:r w:rsidR="00503698" w:rsidRPr="002B24B0">
        <w:rPr>
          <w:rFonts w:asciiTheme="minorHAnsi" w:hAnsiTheme="minorHAnsi"/>
          <w:color w:val="000000" w:themeColor="text1"/>
          <w:szCs w:val="24"/>
          <w:lang w:eastAsia="en-AU"/>
        </w:rPr>
        <w:t xml:space="preserve">helps build the cultural competence of mainstream primary health care services and supports the </w:t>
      </w:r>
      <w:r w:rsidR="00C37E93">
        <w:rPr>
          <w:rFonts w:asciiTheme="minorHAnsi" w:hAnsiTheme="minorHAnsi"/>
          <w:color w:val="000000" w:themeColor="text1"/>
          <w:szCs w:val="24"/>
          <w:lang w:eastAsia="en-AU"/>
        </w:rPr>
        <w:t>ongoing viability of Indigenous</w:t>
      </w:r>
      <w:r w:rsidR="00C37E93">
        <w:rPr>
          <w:rFonts w:asciiTheme="minorHAnsi" w:hAnsiTheme="minorHAnsi"/>
          <w:color w:val="000000" w:themeColor="text1"/>
          <w:szCs w:val="24"/>
          <w:lang w:eastAsia="en-AU"/>
        </w:rPr>
        <w:noBreakHyphen/>
      </w:r>
      <w:r w:rsidR="00503698" w:rsidRPr="002B24B0">
        <w:rPr>
          <w:rFonts w:asciiTheme="minorHAnsi" w:hAnsiTheme="minorHAnsi"/>
          <w:color w:val="000000" w:themeColor="text1"/>
          <w:szCs w:val="24"/>
          <w:lang w:eastAsia="en-AU"/>
        </w:rPr>
        <w:t>specific health services, particularly those delivered through Aboriginal Commun</w:t>
      </w:r>
      <w:r w:rsidR="00662148">
        <w:rPr>
          <w:rFonts w:asciiTheme="minorHAnsi" w:hAnsiTheme="minorHAnsi"/>
          <w:color w:val="000000" w:themeColor="text1"/>
          <w:szCs w:val="24"/>
          <w:lang w:eastAsia="en-AU"/>
        </w:rPr>
        <w:t xml:space="preserve">ity Controlled Health Services, </w:t>
      </w:r>
      <w:r w:rsidR="00315009">
        <w:rPr>
          <w:rFonts w:asciiTheme="minorHAnsi" w:hAnsiTheme="minorHAnsi"/>
          <w:color w:val="000000" w:themeColor="text1"/>
          <w:szCs w:val="24"/>
          <w:lang w:eastAsia="en-AU"/>
        </w:rPr>
        <w:t xml:space="preserve">which </w:t>
      </w:r>
      <w:r w:rsidR="00662148">
        <w:rPr>
          <w:rFonts w:asciiTheme="minorHAnsi" w:hAnsiTheme="minorHAnsi"/>
          <w:color w:val="000000" w:themeColor="text1"/>
          <w:szCs w:val="24"/>
          <w:lang w:eastAsia="en-AU"/>
        </w:rPr>
        <w:t xml:space="preserve"> play a key part in improving the health outcomes for Aboriginal and Torres Strait Islander communities.</w:t>
      </w:r>
      <w:r>
        <w:rPr>
          <w:rFonts w:asciiTheme="minorHAnsi" w:hAnsiTheme="minorHAnsi"/>
          <w:color w:val="000000" w:themeColor="text1"/>
          <w:szCs w:val="24"/>
          <w:lang w:eastAsia="en-AU"/>
        </w:rPr>
        <w:t xml:space="preserve"> </w:t>
      </w:r>
      <w:r w:rsidRPr="001D6840">
        <w:rPr>
          <w:rFonts w:asciiTheme="minorHAnsi" w:hAnsiTheme="minorHAnsi"/>
          <w:color w:val="000000" w:themeColor="text1"/>
          <w:szCs w:val="24"/>
          <w:lang w:eastAsia="en-AU"/>
        </w:rPr>
        <w:t>Th</w:t>
      </w:r>
      <w:r w:rsidR="00812305">
        <w:rPr>
          <w:rFonts w:asciiTheme="minorHAnsi" w:hAnsiTheme="minorHAnsi"/>
          <w:color w:val="000000" w:themeColor="text1"/>
          <w:szCs w:val="24"/>
          <w:lang w:eastAsia="en-AU"/>
        </w:rPr>
        <w:t>is f</w:t>
      </w:r>
      <w:r w:rsidRPr="001D6840">
        <w:rPr>
          <w:rFonts w:asciiTheme="minorHAnsi" w:hAnsiTheme="minorHAnsi"/>
          <w:color w:val="000000" w:themeColor="text1"/>
          <w:szCs w:val="24"/>
          <w:lang w:eastAsia="en-AU"/>
        </w:rPr>
        <w:t>ramework outlines a national approach to building a culturally respectful health system, including across workforce development, communication and consumer participation. </w:t>
      </w:r>
    </w:p>
    <w:p w14:paraId="59A48869" w14:textId="77777777" w:rsidR="00B8420D" w:rsidRDefault="00B8420D" w:rsidP="00B8420D">
      <w:pPr>
        <w:spacing w:after="0" w:line="240" w:lineRule="auto"/>
        <w:ind w:left="-567" w:right="-483"/>
        <w:rPr>
          <w:rFonts w:asciiTheme="minorHAnsi" w:hAnsiTheme="minorHAnsi"/>
          <w:color w:val="000000" w:themeColor="text1"/>
          <w:szCs w:val="24"/>
          <w:lang w:eastAsia="en-AU"/>
        </w:rPr>
      </w:pPr>
    </w:p>
    <w:p w14:paraId="1812099A" w14:textId="77777777" w:rsidR="00192A27" w:rsidRPr="00256E84" w:rsidRDefault="00192A27" w:rsidP="00A87054">
      <w:pPr>
        <w:spacing w:after="120"/>
        <w:ind w:left="-567" w:right="-483"/>
        <w:outlineLvl w:val="0"/>
        <w:rPr>
          <w:rFonts w:asciiTheme="minorHAnsi" w:hAnsiTheme="minorHAnsi"/>
          <w:u w:val="single"/>
        </w:rPr>
      </w:pPr>
      <w:r>
        <w:rPr>
          <w:rFonts w:asciiTheme="minorHAnsi" w:hAnsiTheme="minorHAnsi"/>
          <w:u w:val="single"/>
        </w:rPr>
        <w:t>People living with mental illness</w:t>
      </w:r>
    </w:p>
    <w:p w14:paraId="07070A2D" w14:textId="169C6CB5" w:rsidR="00192A27" w:rsidRPr="00D54432" w:rsidRDefault="00382B48" w:rsidP="00A87054">
      <w:pPr>
        <w:autoSpaceDE w:val="0"/>
        <w:autoSpaceDN w:val="0"/>
        <w:spacing w:after="120" w:line="240" w:lineRule="auto"/>
        <w:ind w:left="-567" w:right="-483"/>
        <w:rPr>
          <w:rFonts w:asciiTheme="minorHAnsi" w:hAnsiTheme="minorHAnsi"/>
          <w:szCs w:val="24"/>
          <w:lang w:val="en-GB"/>
        </w:rPr>
      </w:pPr>
      <w:r>
        <w:rPr>
          <w:rFonts w:asciiTheme="minorHAnsi" w:hAnsiTheme="minorHAnsi"/>
          <w:szCs w:val="24"/>
          <w:lang w:val="en-GB"/>
        </w:rPr>
        <w:t>SDG</w:t>
      </w:r>
      <w:r w:rsidR="00B52530">
        <w:rPr>
          <w:rFonts w:asciiTheme="minorHAnsi" w:hAnsiTheme="minorHAnsi"/>
          <w:szCs w:val="24"/>
          <w:lang w:val="en-GB"/>
        </w:rPr>
        <w:t xml:space="preserve">3.4 seeks to promote mental health and wellbeing within the population. To support this, </w:t>
      </w:r>
      <w:r w:rsidR="00A275F8" w:rsidRPr="00D54432">
        <w:rPr>
          <w:rFonts w:asciiTheme="minorHAnsi" w:hAnsiTheme="minorHAnsi"/>
          <w:szCs w:val="24"/>
          <w:lang w:val="en-GB"/>
        </w:rPr>
        <w:t xml:space="preserve">Australia </w:t>
      </w:r>
      <w:r w:rsidR="00B52530">
        <w:rPr>
          <w:rFonts w:asciiTheme="minorHAnsi" w:hAnsiTheme="minorHAnsi"/>
          <w:szCs w:val="24"/>
          <w:lang w:val="en-GB"/>
        </w:rPr>
        <w:t>utilises</w:t>
      </w:r>
      <w:r w:rsidR="00B52530" w:rsidRPr="00D54432">
        <w:rPr>
          <w:rFonts w:asciiTheme="minorHAnsi" w:hAnsiTheme="minorHAnsi"/>
          <w:szCs w:val="24"/>
          <w:lang w:val="en-GB"/>
        </w:rPr>
        <w:t xml:space="preserve"> </w:t>
      </w:r>
      <w:r w:rsidR="00A275F8" w:rsidRPr="00D54432">
        <w:rPr>
          <w:rFonts w:asciiTheme="minorHAnsi" w:hAnsiTheme="minorHAnsi"/>
          <w:szCs w:val="24"/>
          <w:lang w:val="en-GB"/>
        </w:rPr>
        <w:t xml:space="preserve">a human rights-based approach </w:t>
      </w:r>
      <w:r w:rsidR="00B52530">
        <w:rPr>
          <w:rFonts w:asciiTheme="minorHAnsi" w:hAnsiTheme="minorHAnsi"/>
          <w:szCs w:val="24"/>
          <w:lang w:val="en-GB"/>
        </w:rPr>
        <w:t xml:space="preserve">on promoting mental health and wellbeing that focuses </w:t>
      </w:r>
      <w:r w:rsidR="00192A27" w:rsidRPr="00073442">
        <w:rPr>
          <w:rFonts w:asciiTheme="minorHAnsi" w:hAnsiTheme="minorHAnsi"/>
          <w:szCs w:val="24"/>
          <w:lang w:val="en-GB"/>
        </w:rPr>
        <w:t>on the whole lifespan</w:t>
      </w:r>
      <w:r w:rsidR="0081625D" w:rsidRPr="00073442">
        <w:rPr>
          <w:rFonts w:asciiTheme="minorHAnsi" w:hAnsiTheme="minorHAnsi"/>
          <w:szCs w:val="24"/>
          <w:lang w:val="en-GB"/>
        </w:rPr>
        <w:t>—</w:t>
      </w:r>
      <w:r w:rsidR="00192A27" w:rsidRPr="00073442">
        <w:rPr>
          <w:rFonts w:asciiTheme="minorHAnsi" w:hAnsiTheme="minorHAnsi"/>
          <w:szCs w:val="24"/>
          <w:lang w:val="en-GB"/>
        </w:rPr>
        <w:t xml:space="preserve">in early childhood, schools, post-education, and entry to </w:t>
      </w:r>
      <w:r w:rsidR="00192A27" w:rsidRPr="00F2445C">
        <w:rPr>
          <w:rFonts w:asciiTheme="minorHAnsi" w:hAnsiTheme="minorHAnsi"/>
          <w:szCs w:val="24"/>
          <w:lang w:val="en-GB"/>
        </w:rPr>
        <w:t>employment, workplaces, and the broader community</w:t>
      </w:r>
      <w:r w:rsidR="0081625D" w:rsidRPr="00F2445C">
        <w:rPr>
          <w:rFonts w:asciiTheme="minorHAnsi" w:hAnsiTheme="minorHAnsi"/>
          <w:szCs w:val="24"/>
          <w:lang w:val="en-GB"/>
        </w:rPr>
        <w:t>—</w:t>
      </w:r>
      <w:r w:rsidR="001D6840" w:rsidRPr="00F2445C">
        <w:rPr>
          <w:rFonts w:asciiTheme="minorHAnsi" w:hAnsiTheme="minorHAnsi"/>
          <w:szCs w:val="24"/>
          <w:lang w:val="en-GB"/>
        </w:rPr>
        <w:t xml:space="preserve">and </w:t>
      </w:r>
      <w:r w:rsidR="00C37E93">
        <w:rPr>
          <w:rFonts w:asciiTheme="minorHAnsi" w:hAnsiTheme="minorHAnsi"/>
          <w:szCs w:val="24"/>
          <w:lang w:val="en-GB"/>
        </w:rPr>
        <w:t>takes a whole</w:t>
      </w:r>
      <w:r w:rsidR="00C37E93">
        <w:rPr>
          <w:rFonts w:asciiTheme="minorHAnsi" w:hAnsiTheme="minorHAnsi"/>
          <w:szCs w:val="24"/>
          <w:lang w:val="en-GB"/>
        </w:rPr>
        <w:noBreakHyphen/>
      </w:r>
      <w:r w:rsidR="00315009" w:rsidRPr="00F2445C">
        <w:rPr>
          <w:rFonts w:asciiTheme="minorHAnsi" w:hAnsiTheme="minorHAnsi"/>
          <w:szCs w:val="24"/>
          <w:lang w:val="en-GB"/>
        </w:rPr>
        <w:t>of</w:t>
      </w:r>
      <w:r w:rsidR="00C37E93">
        <w:rPr>
          <w:rFonts w:asciiTheme="minorHAnsi" w:hAnsiTheme="minorHAnsi"/>
          <w:szCs w:val="24"/>
          <w:lang w:val="en-GB"/>
        </w:rPr>
        <w:noBreakHyphen/>
      </w:r>
      <w:r w:rsidR="00315009" w:rsidRPr="00F2445C">
        <w:rPr>
          <w:rFonts w:asciiTheme="minorHAnsi" w:hAnsiTheme="minorHAnsi"/>
          <w:szCs w:val="24"/>
          <w:lang w:val="en-GB"/>
        </w:rPr>
        <w:t xml:space="preserve">government approach to improving outcomes for people with mental illness. </w:t>
      </w:r>
      <w:r w:rsidR="00812305">
        <w:rPr>
          <w:rFonts w:asciiTheme="minorHAnsi" w:hAnsiTheme="minorHAnsi"/>
          <w:szCs w:val="24"/>
          <w:lang w:val="en-GB"/>
        </w:rPr>
        <w:t>Australia</w:t>
      </w:r>
      <w:r w:rsidR="00192A27" w:rsidRPr="002D67D7">
        <w:rPr>
          <w:rFonts w:asciiTheme="minorHAnsi" w:hAnsiTheme="minorHAnsi"/>
          <w:szCs w:val="24"/>
          <w:lang w:val="en-GB"/>
        </w:rPr>
        <w:t xml:space="preserve"> </w:t>
      </w:r>
      <w:r w:rsidR="00E05DD0" w:rsidRPr="002D67D7">
        <w:rPr>
          <w:rFonts w:asciiTheme="minorHAnsi" w:hAnsiTheme="minorHAnsi"/>
          <w:szCs w:val="24"/>
          <w:lang w:val="en-GB"/>
        </w:rPr>
        <w:t>recognises that particular groups, such as Indigenous Australians, children and young people</w:t>
      </w:r>
      <w:r>
        <w:rPr>
          <w:rFonts w:asciiTheme="minorHAnsi" w:hAnsiTheme="minorHAnsi"/>
          <w:szCs w:val="24"/>
          <w:lang w:val="en-GB"/>
        </w:rPr>
        <w:t>,</w:t>
      </w:r>
      <w:r w:rsidR="00E05DD0" w:rsidRPr="002D67D7">
        <w:rPr>
          <w:rFonts w:asciiTheme="minorHAnsi" w:hAnsiTheme="minorHAnsi"/>
          <w:szCs w:val="24"/>
          <w:lang w:val="en-GB"/>
        </w:rPr>
        <w:t xml:space="preserve"> and people at risk of suicide</w:t>
      </w:r>
      <w:r w:rsidR="00E05DD0" w:rsidRPr="00073442">
        <w:rPr>
          <w:rFonts w:asciiTheme="minorHAnsi" w:hAnsiTheme="minorHAnsi"/>
          <w:szCs w:val="24"/>
          <w:lang w:val="en-GB"/>
        </w:rPr>
        <w:t xml:space="preserve">, have specific vulnerabilities and </w:t>
      </w:r>
      <w:r w:rsidR="00192A27" w:rsidRPr="00F2445C">
        <w:rPr>
          <w:rFonts w:asciiTheme="minorHAnsi" w:hAnsiTheme="minorHAnsi"/>
          <w:szCs w:val="24"/>
          <w:lang w:val="en-GB"/>
        </w:rPr>
        <w:t xml:space="preserve">funds </w:t>
      </w:r>
      <w:r w:rsidR="00E05DD0" w:rsidRPr="00F2445C">
        <w:rPr>
          <w:rFonts w:asciiTheme="minorHAnsi" w:hAnsiTheme="minorHAnsi"/>
          <w:szCs w:val="24"/>
          <w:lang w:val="en-GB"/>
        </w:rPr>
        <w:t xml:space="preserve">targeted </w:t>
      </w:r>
      <w:r>
        <w:rPr>
          <w:rFonts w:asciiTheme="minorHAnsi" w:hAnsiTheme="minorHAnsi"/>
          <w:szCs w:val="24"/>
          <w:lang w:val="en-GB"/>
        </w:rPr>
        <w:t>mental health services</w:t>
      </w:r>
      <w:r w:rsidR="00E05DD0" w:rsidRPr="00F2445C">
        <w:rPr>
          <w:rFonts w:asciiTheme="minorHAnsi" w:hAnsiTheme="minorHAnsi"/>
          <w:szCs w:val="24"/>
          <w:lang w:val="en-GB"/>
        </w:rPr>
        <w:t>.</w:t>
      </w:r>
      <w:r w:rsidR="00192A27" w:rsidRPr="00D54432">
        <w:rPr>
          <w:rFonts w:asciiTheme="minorHAnsi" w:hAnsiTheme="minorHAnsi"/>
          <w:szCs w:val="24"/>
          <w:lang w:val="en-GB"/>
        </w:rPr>
        <w:t xml:space="preserve"> </w:t>
      </w:r>
    </w:p>
    <w:p w14:paraId="02DCA0F4" w14:textId="10B6F485" w:rsidR="00F2445C" w:rsidRDefault="00192A27" w:rsidP="009C5500">
      <w:pPr>
        <w:autoSpaceDE w:val="0"/>
        <w:autoSpaceDN w:val="0"/>
        <w:spacing w:after="120" w:line="240" w:lineRule="auto"/>
        <w:ind w:left="-567" w:right="-483"/>
        <w:rPr>
          <w:rFonts w:asciiTheme="minorHAnsi" w:hAnsiTheme="minorHAnsi"/>
          <w:szCs w:val="24"/>
          <w:lang w:eastAsia="en-AU"/>
        </w:rPr>
      </w:pPr>
      <w:r w:rsidRPr="00D54432">
        <w:rPr>
          <w:rFonts w:asciiTheme="minorHAnsi" w:hAnsiTheme="minorHAnsi"/>
          <w:szCs w:val="24"/>
          <w:lang w:val="en-GB"/>
        </w:rPr>
        <w:t>Australia</w:t>
      </w:r>
      <w:r w:rsidR="00812305">
        <w:rPr>
          <w:rFonts w:asciiTheme="minorHAnsi" w:hAnsiTheme="minorHAnsi"/>
          <w:szCs w:val="24"/>
          <w:lang w:val="en-GB"/>
        </w:rPr>
        <w:t xml:space="preserve"> i</w:t>
      </w:r>
      <w:r w:rsidR="00A87054" w:rsidRPr="00D54432">
        <w:rPr>
          <w:rFonts w:asciiTheme="minorHAnsi" w:hAnsiTheme="minorHAnsi"/>
          <w:szCs w:val="24"/>
          <w:lang w:val="en-GB"/>
        </w:rPr>
        <w:t>s implementing</w:t>
      </w:r>
      <w:r w:rsidRPr="00D54432">
        <w:rPr>
          <w:rFonts w:asciiTheme="minorHAnsi" w:hAnsiTheme="minorHAnsi"/>
          <w:szCs w:val="24"/>
          <w:lang w:val="en-GB"/>
        </w:rPr>
        <w:t xml:space="preserve"> significant mental health system reform</w:t>
      </w:r>
      <w:r w:rsidR="00A87054" w:rsidRPr="00D54432">
        <w:rPr>
          <w:rFonts w:asciiTheme="minorHAnsi" w:hAnsiTheme="minorHAnsi"/>
          <w:szCs w:val="24"/>
          <w:lang w:val="en-GB"/>
        </w:rPr>
        <w:t xml:space="preserve"> to promote</w:t>
      </w:r>
      <w:r w:rsidRPr="00D54432">
        <w:rPr>
          <w:rFonts w:asciiTheme="minorHAnsi" w:hAnsiTheme="minorHAnsi"/>
          <w:szCs w:val="24"/>
          <w:lang w:val="en-GB"/>
        </w:rPr>
        <w:t xml:space="preserve"> mental health and wellbeing</w:t>
      </w:r>
      <w:r w:rsidR="002D67D7">
        <w:rPr>
          <w:rFonts w:asciiTheme="minorHAnsi" w:hAnsiTheme="minorHAnsi"/>
          <w:szCs w:val="24"/>
          <w:lang w:val="en-GB"/>
        </w:rPr>
        <w:t xml:space="preserve"> through person centred care, and to improve the efficiency and sustainability of the mental health system. </w:t>
      </w:r>
      <w:r w:rsidR="00812305">
        <w:rPr>
          <w:rFonts w:asciiTheme="minorHAnsi" w:hAnsiTheme="minorHAnsi"/>
          <w:szCs w:val="24"/>
          <w:lang w:val="en-GB"/>
        </w:rPr>
        <w:t>In Australia, m</w:t>
      </w:r>
      <w:r w:rsidR="002D67D7">
        <w:rPr>
          <w:rFonts w:asciiTheme="minorHAnsi" w:hAnsiTheme="minorHAnsi"/>
          <w:szCs w:val="24"/>
          <w:lang w:val="en-GB"/>
        </w:rPr>
        <w:t xml:space="preserve">ental health services </w:t>
      </w:r>
      <w:proofErr w:type="gramStart"/>
      <w:r w:rsidR="002D67D7">
        <w:rPr>
          <w:rFonts w:asciiTheme="minorHAnsi" w:hAnsiTheme="minorHAnsi"/>
          <w:szCs w:val="24"/>
          <w:lang w:val="en-GB"/>
        </w:rPr>
        <w:t>are</w:t>
      </w:r>
      <w:r w:rsidRPr="002D67D7">
        <w:rPr>
          <w:rFonts w:asciiTheme="minorHAnsi" w:hAnsiTheme="minorHAnsi"/>
          <w:szCs w:val="24"/>
          <w:lang w:val="en-GB"/>
        </w:rPr>
        <w:t xml:space="preserve"> primarily </w:t>
      </w:r>
      <w:r w:rsidR="00ED69A9" w:rsidRPr="002D67D7">
        <w:rPr>
          <w:rFonts w:asciiTheme="minorHAnsi" w:hAnsiTheme="minorHAnsi"/>
          <w:szCs w:val="24"/>
          <w:lang w:val="en-GB"/>
        </w:rPr>
        <w:t>delivered</w:t>
      </w:r>
      <w:proofErr w:type="gramEnd"/>
      <w:r w:rsidRPr="002D67D7">
        <w:rPr>
          <w:rFonts w:asciiTheme="minorHAnsi" w:hAnsiTheme="minorHAnsi"/>
          <w:szCs w:val="24"/>
          <w:lang w:val="en-GB"/>
        </w:rPr>
        <w:t xml:space="preserve"> through a </w:t>
      </w:r>
      <w:r w:rsidR="008529A5" w:rsidRPr="002D67D7">
        <w:rPr>
          <w:rFonts w:asciiTheme="minorHAnsi" w:hAnsiTheme="minorHAnsi"/>
          <w:szCs w:val="24"/>
          <w:lang w:val="en-GB"/>
        </w:rPr>
        <w:t>‘</w:t>
      </w:r>
      <w:r w:rsidRPr="002D67D7">
        <w:rPr>
          <w:rFonts w:asciiTheme="minorHAnsi" w:hAnsiTheme="minorHAnsi"/>
          <w:szCs w:val="24"/>
          <w:lang w:val="en-GB"/>
        </w:rPr>
        <w:t>stepped care</w:t>
      </w:r>
      <w:r w:rsidR="008529A5" w:rsidRPr="002D67D7">
        <w:rPr>
          <w:rFonts w:asciiTheme="minorHAnsi" w:hAnsiTheme="minorHAnsi"/>
          <w:szCs w:val="24"/>
          <w:lang w:val="en-GB"/>
        </w:rPr>
        <w:t>’</w:t>
      </w:r>
      <w:r w:rsidRPr="002D67D7">
        <w:rPr>
          <w:rFonts w:asciiTheme="minorHAnsi" w:hAnsiTheme="minorHAnsi"/>
          <w:szCs w:val="24"/>
          <w:lang w:val="en-GB"/>
        </w:rPr>
        <w:t xml:space="preserve"> model of service delivery</w:t>
      </w:r>
      <w:r w:rsidR="008529A5" w:rsidRPr="00073442">
        <w:rPr>
          <w:rFonts w:asciiTheme="minorHAnsi" w:hAnsiTheme="minorHAnsi"/>
          <w:szCs w:val="24"/>
          <w:lang w:val="en-GB"/>
        </w:rPr>
        <w:t>,</w:t>
      </w:r>
      <w:r w:rsidRPr="00073442">
        <w:rPr>
          <w:rFonts w:asciiTheme="minorHAnsi" w:hAnsiTheme="minorHAnsi"/>
          <w:szCs w:val="24"/>
          <w:lang w:val="en-GB"/>
        </w:rPr>
        <w:t xml:space="preserve"> where services are targeted to individual and community need through regional planning, integration and commissioning of services at a local level. </w:t>
      </w:r>
      <w:r w:rsidR="00E05DD0" w:rsidRPr="00F2445C">
        <w:rPr>
          <w:rFonts w:asciiTheme="minorHAnsi" w:hAnsiTheme="minorHAnsi"/>
          <w:szCs w:val="24"/>
          <w:lang w:val="en-GB"/>
        </w:rPr>
        <w:t xml:space="preserve">These reforms </w:t>
      </w:r>
      <w:r w:rsidR="00ED69A9" w:rsidRPr="00F2445C">
        <w:rPr>
          <w:rFonts w:asciiTheme="minorHAnsi" w:hAnsiTheme="minorHAnsi"/>
          <w:szCs w:val="24"/>
          <w:lang w:val="en-GB"/>
        </w:rPr>
        <w:t>aim to</w:t>
      </w:r>
      <w:r w:rsidRPr="00F2445C">
        <w:rPr>
          <w:rFonts w:asciiTheme="minorHAnsi" w:hAnsiTheme="minorHAnsi"/>
          <w:szCs w:val="24"/>
          <w:lang w:val="en-GB"/>
        </w:rPr>
        <w:t xml:space="preserve"> address some of the key concerns and challenges in the Australian mental health system by shifting the focus towards self-care and early intervention services and away from more costly face-to-face, high intensity interventions, where </w:t>
      </w:r>
      <w:r w:rsidR="002D67D7">
        <w:rPr>
          <w:rFonts w:asciiTheme="minorHAnsi" w:hAnsiTheme="minorHAnsi"/>
          <w:szCs w:val="24"/>
          <w:lang w:val="en-GB"/>
        </w:rPr>
        <w:t>possible</w:t>
      </w:r>
      <w:r w:rsidRPr="002D67D7">
        <w:rPr>
          <w:rFonts w:asciiTheme="minorHAnsi" w:hAnsiTheme="minorHAnsi"/>
          <w:szCs w:val="24"/>
          <w:lang w:val="en-GB"/>
        </w:rPr>
        <w:t>.</w:t>
      </w:r>
      <w:r w:rsidR="00F2445C">
        <w:rPr>
          <w:rFonts w:asciiTheme="minorHAnsi" w:hAnsiTheme="minorHAnsi"/>
          <w:szCs w:val="24"/>
          <w:lang w:eastAsia="en-AU"/>
        </w:rPr>
        <w:t xml:space="preserve"> </w:t>
      </w:r>
    </w:p>
    <w:p w14:paraId="651773A0" w14:textId="35A21BF9" w:rsidR="00E444FC" w:rsidRDefault="00192A27" w:rsidP="009C5500">
      <w:pPr>
        <w:autoSpaceDE w:val="0"/>
        <w:autoSpaceDN w:val="0"/>
        <w:spacing w:after="120" w:line="240" w:lineRule="auto"/>
        <w:ind w:left="-567" w:right="-483"/>
        <w:rPr>
          <w:rFonts w:asciiTheme="minorHAnsi" w:hAnsiTheme="minorHAnsi"/>
        </w:rPr>
      </w:pPr>
      <w:r w:rsidRPr="002D67D7">
        <w:rPr>
          <w:rFonts w:asciiTheme="minorHAnsi" w:hAnsiTheme="minorHAnsi"/>
          <w:szCs w:val="24"/>
          <w:lang w:eastAsia="en-AU"/>
        </w:rPr>
        <w:t>One such intervention approach uses</w:t>
      </w:r>
      <w:r w:rsidRPr="002D67D7">
        <w:rPr>
          <w:rFonts w:asciiTheme="minorHAnsi" w:hAnsiTheme="minorHAnsi"/>
          <w:bCs/>
          <w:szCs w:val="24"/>
        </w:rPr>
        <w:t xml:space="preserve"> </w:t>
      </w:r>
      <w:r w:rsidRPr="00073442">
        <w:rPr>
          <w:rFonts w:asciiTheme="minorHAnsi" w:hAnsiTheme="minorHAnsi"/>
        </w:rPr>
        <w:t>digital mental health services and technology, including through the development of a consumer-</w:t>
      </w:r>
      <w:r w:rsidR="00554D89" w:rsidRPr="00073442">
        <w:rPr>
          <w:rFonts w:asciiTheme="minorHAnsi" w:hAnsiTheme="minorHAnsi"/>
        </w:rPr>
        <w:t xml:space="preserve">friendly </w:t>
      </w:r>
      <w:r w:rsidRPr="00073442">
        <w:rPr>
          <w:rFonts w:asciiTheme="minorHAnsi" w:hAnsiTheme="minorHAnsi"/>
          <w:i/>
        </w:rPr>
        <w:t>Digital Mental Health Gateway</w:t>
      </w:r>
      <w:r w:rsidRPr="00382B48">
        <w:rPr>
          <w:rFonts w:asciiTheme="minorHAnsi" w:hAnsiTheme="minorHAnsi"/>
        </w:rPr>
        <w:t>.</w:t>
      </w:r>
      <w:r w:rsidRPr="00073442">
        <w:rPr>
          <w:rFonts w:asciiTheme="minorHAnsi" w:hAnsiTheme="minorHAnsi"/>
        </w:rPr>
        <w:t xml:space="preserve"> The Gateway comprises a website and a contact centre that provides the general community, consumers, carers, health professionals and se</w:t>
      </w:r>
      <w:r w:rsidRPr="00F2445C">
        <w:rPr>
          <w:rFonts w:asciiTheme="minorHAnsi" w:hAnsiTheme="minorHAnsi"/>
        </w:rPr>
        <w:t>rvice providers with access to evidence-based information, advice, and digital mental health treatment options. It is responsive to a person’s unique needs and makes it simpler, faster and easier to navigate services, support and information currently available.</w:t>
      </w:r>
      <w:r>
        <w:rPr>
          <w:rFonts w:asciiTheme="minorHAnsi" w:hAnsiTheme="minorHAnsi"/>
        </w:rPr>
        <w:t xml:space="preserve"> </w:t>
      </w:r>
    </w:p>
    <w:p w14:paraId="4FBBA9CD" w14:textId="77777777" w:rsidR="00762629" w:rsidRPr="00762629" w:rsidRDefault="00762629" w:rsidP="00A87054">
      <w:pPr>
        <w:spacing w:after="0" w:line="240" w:lineRule="auto"/>
        <w:ind w:left="-567" w:right="-483"/>
        <w:rPr>
          <w:rFonts w:asciiTheme="minorHAnsi" w:hAnsiTheme="minorHAnsi"/>
        </w:rPr>
      </w:pPr>
    </w:p>
    <w:p w14:paraId="6D6E04CC" w14:textId="77777777" w:rsidR="00B566F8" w:rsidRPr="00C135FD" w:rsidRDefault="00E444FC" w:rsidP="00A87054">
      <w:pPr>
        <w:spacing w:after="120"/>
        <w:ind w:left="-567" w:right="-483"/>
        <w:outlineLvl w:val="0"/>
        <w:rPr>
          <w:rFonts w:asciiTheme="minorHAnsi" w:hAnsiTheme="minorHAnsi"/>
          <w:b/>
          <w:i/>
        </w:rPr>
      </w:pPr>
      <w:r w:rsidRPr="00C135FD">
        <w:rPr>
          <w:rFonts w:asciiTheme="minorHAnsi" w:hAnsiTheme="minorHAnsi"/>
          <w:b/>
          <w:i/>
        </w:rPr>
        <w:t>Australian support for health and medical r</w:t>
      </w:r>
      <w:r w:rsidR="00890574" w:rsidRPr="00C135FD">
        <w:rPr>
          <w:rFonts w:asciiTheme="minorHAnsi" w:hAnsiTheme="minorHAnsi"/>
          <w:b/>
          <w:i/>
        </w:rPr>
        <w:t>esearch</w:t>
      </w:r>
    </w:p>
    <w:p w14:paraId="30BAF275" w14:textId="1DD162A6" w:rsidR="00890574" w:rsidRPr="009B23F9" w:rsidRDefault="00B566F8" w:rsidP="00A87054">
      <w:pPr>
        <w:pStyle w:val="Default"/>
        <w:ind w:left="-567" w:right="-483"/>
        <w:rPr>
          <w:rFonts w:asciiTheme="minorHAnsi" w:hAnsiTheme="minorHAnsi"/>
        </w:rPr>
      </w:pPr>
      <w:r w:rsidRPr="00B566F8">
        <w:rPr>
          <w:rFonts w:asciiTheme="minorHAnsi" w:hAnsiTheme="minorHAnsi"/>
        </w:rPr>
        <w:t>Australia</w:t>
      </w:r>
      <w:r w:rsidR="00384919">
        <w:rPr>
          <w:rFonts w:asciiTheme="minorHAnsi" w:hAnsiTheme="minorHAnsi"/>
        </w:rPr>
        <w:t xml:space="preserve"> supports the research and development of vaccines and medicines for communicable and non-communicable diseases, with an acknowledgement</w:t>
      </w:r>
      <w:r w:rsidR="009B23F9">
        <w:rPr>
          <w:rFonts w:asciiTheme="minorHAnsi" w:hAnsiTheme="minorHAnsi"/>
        </w:rPr>
        <w:t xml:space="preserve"> that </w:t>
      </w:r>
      <w:r w:rsidR="00905F48">
        <w:rPr>
          <w:rFonts w:asciiTheme="minorHAnsi" w:hAnsiTheme="minorHAnsi"/>
        </w:rPr>
        <w:t>investing in</w:t>
      </w:r>
      <w:r w:rsidR="009B23F9">
        <w:rPr>
          <w:rFonts w:asciiTheme="minorHAnsi" w:hAnsiTheme="minorHAnsi"/>
        </w:rPr>
        <w:t xml:space="preserve"> </w:t>
      </w:r>
      <w:r w:rsidR="00890574" w:rsidRPr="00B566F8">
        <w:rPr>
          <w:rFonts w:asciiTheme="minorHAnsi" w:hAnsiTheme="minorHAnsi"/>
        </w:rPr>
        <w:t xml:space="preserve">health and medical research brings a range of benefits to Australia’s communities, economy and health system. </w:t>
      </w:r>
      <w:r w:rsidRPr="00B566F8">
        <w:rPr>
          <w:rFonts w:asciiTheme="minorHAnsi" w:hAnsiTheme="minorHAnsi"/>
        </w:rPr>
        <w:t>T</w:t>
      </w:r>
      <w:r w:rsidR="00890574" w:rsidRPr="00B566F8">
        <w:rPr>
          <w:rFonts w:asciiTheme="minorHAnsi" w:hAnsiTheme="minorHAnsi"/>
        </w:rPr>
        <w:t xml:space="preserve">he National Health and Medical Research Council (NHMRC) is </w:t>
      </w:r>
      <w:r w:rsidR="00812305">
        <w:rPr>
          <w:rFonts w:asciiTheme="minorHAnsi" w:hAnsiTheme="minorHAnsi"/>
        </w:rPr>
        <w:t>Australia’s</w:t>
      </w:r>
      <w:r w:rsidR="00890574" w:rsidRPr="00B566F8">
        <w:rPr>
          <w:rFonts w:asciiTheme="minorHAnsi" w:hAnsiTheme="minorHAnsi"/>
        </w:rPr>
        <w:t xml:space="preserve"> main health and medical research funding body, </w:t>
      </w:r>
      <w:r w:rsidR="00905F48">
        <w:rPr>
          <w:rFonts w:asciiTheme="minorHAnsi" w:hAnsiTheme="minorHAnsi"/>
        </w:rPr>
        <w:t xml:space="preserve">and </w:t>
      </w:r>
      <w:r w:rsidR="00A87054">
        <w:rPr>
          <w:rFonts w:asciiTheme="minorHAnsi" w:hAnsiTheme="minorHAnsi"/>
        </w:rPr>
        <w:t>disburses</w:t>
      </w:r>
      <w:r w:rsidR="00554D89">
        <w:rPr>
          <w:rFonts w:asciiTheme="minorHAnsi" w:hAnsiTheme="minorHAnsi"/>
        </w:rPr>
        <w:t xml:space="preserve"> over </w:t>
      </w:r>
      <w:r w:rsidR="001D6840">
        <w:rPr>
          <w:rFonts w:asciiTheme="minorHAnsi" w:hAnsiTheme="minorHAnsi"/>
        </w:rPr>
        <w:t>AU</w:t>
      </w:r>
      <w:r w:rsidR="001E0172">
        <w:rPr>
          <w:rFonts w:asciiTheme="minorHAnsi" w:hAnsiTheme="minorHAnsi"/>
        </w:rPr>
        <w:t>D</w:t>
      </w:r>
      <w:r w:rsidR="001D6840">
        <w:rPr>
          <w:rFonts w:asciiTheme="minorHAnsi" w:hAnsiTheme="minorHAnsi"/>
        </w:rPr>
        <w:t xml:space="preserve"> </w:t>
      </w:r>
      <w:r w:rsidR="00554D89">
        <w:rPr>
          <w:rFonts w:asciiTheme="minorHAnsi" w:hAnsiTheme="minorHAnsi"/>
        </w:rPr>
        <w:t xml:space="preserve">800 million </w:t>
      </w:r>
      <w:r w:rsidR="00A87054">
        <w:rPr>
          <w:rFonts w:asciiTheme="minorHAnsi" w:hAnsiTheme="minorHAnsi"/>
        </w:rPr>
        <w:t>every year</w:t>
      </w:r>
      <w:r w:rsidR="00554D89">
        <w:rPr>
          <w:rFonts w:asciiTheme="minorHAnsi" w:hAnsiTheme="minorHAnsi"/>
        </w:rPr>
        <w:t xml:space="preserve"> for h</w:t>
      </w:r>
      <w:r w:rsidR="00890574" w:rsidRPr="00B566F8">
        <w:rPr>
          <w:rFonts w:asciiTheme="minorHAnsi" w:hAnsiTheme="minorHAnsi"/>
        </w:rPr>
        <w:t>ealth and medical research through a variety of funding schemes, funding high-quality resear</w:t>
      </w:r>
      <w:r w:rsidR="00A87054">
        <w:rPr>
          <w:rFonts w:asciiTheme="minorHAnsi" w:hAnsiTheme="minorHAnsi"/>
        </w:rPr>
        <w:t>ch</w:t>
      </w:r>
      <w:r w:rsidR="00890574" w:rsidRPr="00B566F8">
        <w:rPr>
          <w:rFonts w:asciiTheme="minorHAnsi" w:hAnsiTheme="minorHAnsi"/>
        </w:rPr>
        <w:t xml:space="preserve">. </w:t>
      </w:r>
      <w:r w:rsidR="00C37E93">
        <w:rPr>
          <w:rFonts w:asciiTheme="minorHAnsi" w:hAnsiTheme="minorHAnsi"/>
        </w:rPr>
        <w:br w:type="textWrapping" w:clear="all"/>
      </w:r>
      <w:r w:rsidR="00890574" w:rsidRPr="00B566F8">
        <w:rPr>
          <w:rFonts w:asciiTheme="minorHAnsi" w:hAnsiTheme="minorHAnsi"/>
        </w:rPr>
        <w:t xml:space="preserve">Each scheme </w:t>
      </w:r>
      <w:proofErr w:type="gramStart"/>
      <w:r w:rsidR="00890574" w:rsidRPr="00B566F8">
        <w:rPr>
          <w:rFonts w:asciiTheme="minorHAnsi" w:hAnsiTheme="minorHAnsi"/>
        </w:rPr>
        <w:t>is designed</w:t>
      </w:r>
      <w:proofErr w:type="gramEnd"/>
      <w:r w:rsidR="00890574" w:rsidRPr="00B566F8">
        <w:rPr>
          <w:rFonts w:asciiTheme="minorHAnsi" w:hAnsiTheme="minorHAnsi"/>
        </w:rPr>
        <w:t xml:space="preserve"> to address strategic outcomes, including the creation of knowledge, translation of research, development of future capability, partnerships and international collaborations. </w:t>
      </w:r>
    </w:p>
    <w:p w14:paraId="0EF43F29" w14:textId="77777777" w:rsidR="00B566F8" w:rsidRPr="00B566F8" w:rsidRDefault="00B566F8" w:rsidP="00A87054">
      <w:pPr>
        <w:pStyle w:val="Default"/>
        <w:ind w:left="-567" w:right="-483"/>
        <w:rPr>
          <w:rFonts w:asciiTheme="minorHAnsi" w:hAnsiTheme="minorHAnsi"/>
        </w:rPr>
      </w:pPr>
    </w:p>
    <w:p w14:paraId="4B27B467" w14:textId="7E956794" w:rsidR="000B4D53" w:rsidRDefault="00890574" w:rsidP="00A87054">
      <w:pPr>
        <w:pStyle w:val="Default"/>
        <w:ind w:left="-567" w:right="-483"/>
        <w:rPr>
          <w:rFonts w:asciiTheme="minorHAnsi" w:hAnsiTheme="minorHAnsi"/>
        </w:rPr>
      </w:pPr>
      <w:r w:rsidRPr="00B566F8">
        <w:rPr>
          <w:rFonts w:asciiTheme="minorHAnsi" w:hAnsiTheme="minorHAnsi"/>
        </w:rPr>
        <w:t xml:space="preserve">The Medical Research Future Fund (MRFF) and the Biomedical Translation Fund are also </w:t>
      </w:r>
      <w:r w:rsidR="00905F48">
        <w:rPr>
          <w:rFonts w:asciiTheme="minorHAnsi" w:hAnsiTheme="minorHAnsi"/>
        </w:rPr>
        <w:t xml:space="preserve">Australian </w:t>
      </w:r>
      <w:r w:rsidRPr="00B566F8">
        <w:rPr>
          <w:rFonts w:asciiTheme="minorHAnsi" w:hAnsiTheme="minorHAnsi"/>
        </w:rPr>
        <w:t>programs that stimulate discovery, translation and commerciali</w:t>
      </w:r>
      <w:r w:rsidR="002F06ED">
        <w:rPr>
          <w:rFonts w:asciiTheme="minorHAnsi" w:hAnsiTheme="minorHAnsi"/>
        </w:rPr>
        <w:t>s</w:t>
      </w:r>
      <w:r w:rsidRPr="00B566F8">
        <w:rPr>
          <w:rFonts w:asciiTheme="minorHAnsi" w:hAnsiTheme="minorHAnsi"/>
        </w:rPr>
        <w:t xml:space="preserve">ation of great Australian ideas. </w:t>
      </w:r>
      <w:r w:rsidR="00A87054">
        <w:rPr>
          <w:rFonts w:asciiTheme="minorHAnsi" w:hAnsiTheme="minorHAnsi"/>
        </w:rPr>
        <w:t xml:space="preserve">Australia will invest </w:t>
      </w:r>
      <w:r w:rsidR="001D6840">
        <w:rPr>
          <w:rFonts w:asciiTheme="minorHAnsi" w:hAnsiTheme="minorHAnsi"/>
        </w:rPr>
        <w:t>AU</w:t>
      </w:r>
      <w:r w:rsidR="001E0172">
        <w:rPr>
          <w:rFonts w:asciiTheme="minorHAnsi" w:hAnsiTheme="minorHAnsi"/>
        </w:rPr>
        <w:t xml:space="preserve">D </w:t>
      </w:r>
      <w:r w:rsidR="00A87054">
        <w:rPr>
          <w:rFonts w:asciiTheme="minorHAnsi" w:hAnsiTheme="minorHAnsi"/>
        </w:rPr>
        <w:t xml:space="preserve">65.9 million from the first round of MRFF disbursements to deliver </w:t>
      </w:r>
      <w:r w:rsidR="00A87054" w:rsidRPr="00A87054">
        <w:rPr>
          <w:rFonts w:asciiTheme="minorHAnsi" w:hAnsiTheme="minorHAnsi"/>
        </w:rPr>
        <w:t xml:space="preserve">new medical breakthroughs, enhance patient care, improve health system outcomes, ensure Australia’s health security and drive innovation.  The </w:t>
      </w:r>
      <w:r w:rsidRPr="00B566F8">
        <w:rPr>
          <w:rFonts w:asciiTheme="minorHAnsi" w:hAnsiTheme="minorHAnsi"/>
        </w:rPr>
        <w:t xml:space="preserve">MRFF complements the work of the NHMRC by providing </w:t>
      </w:r>
      <w:r w:rsidR="00147FB6">
        <w:rPr>
          <w:rFonts w:asciiTheme="minorHAnsi" w:hAnsiTheme="minorHAnsi"/>
        </w:rPr>
        <w:t xml:space="preserve">funding </w:t>
      </w:r>
      <w:r w:rsidRPr="00B566F8">
        <w:rPr>
          <w:rFonts w:asciiTheme="minorHAnsi" w:hAnsiTheme="minorHAnsi"/>
        </w:rPr>
        <w:t xml:space="preserve">grants to support health and medical research and innovation, with the objective of improving the health and wellbeing of Australians. </w:t>
      </w:r>
    </w:p>
    <w:p w14:paraId="44A855A2" w14:textId="77777777" w:rsidR="00A32D96" w:rsidRDefault="00A32D96" w:rsidP="00A87054">
      <w:pPr>
        <w:pStyle w:val="Default"/>
        <w:ind w:left="-567" w:right="-483"/>
        <w:rPr>
          <w:rFonts w:asciiTheme="minorHAnsi" w:hAnsiTheme="minorHAnsi"/>
        </w:rPr>
      </w:pPr>
    </w:p>
    <w:p w14:paraId="131942F1" w14:textId="77777777" w:rsidR="00F95651" w:rsidRPr="00F2445C" w:rsidRDefault="00715260" w:rsidP="009C5500">
      <w:pPr>
        <w:spacing w:after="120"/>
        <w:ind w:left="-567" w:right="-483"/>
        <w:outlineLvl w:val="0"/>
        <w:rPr>
          <w:rFonts w:asciiTheme="minorHAnsi" w:hAnsiTheme="minorHAnsi"/>
          <w:b/>
          <w:i/>
        </w:rPr>
      </w:pPr>
      <w:r w:rsidRPr="009C5500">
        <w:rPr>
          <w:rFonts w:asciiTheme="minorHAnsi" w:eastAsia="Times New Roman" w:hAnsiTheme="minorHAnsi" w:cs="Arial"/>
          <w:b/>
          <w:i/>
          <w:color w:val="000000"/>
          <w:szCs w:val="24"/>
          <w:lang w:eastAsia="en-AU"/>
        </w:rPr>
        <w:t>Australia’s development assistance</w:t>
      </w:r>
    </w:p>
    <w:p w14:paraId="4B29E1A8" w14:textId="556C77C6" w:rsidR="00F95651" w:rsidRPr="009C5500" w:rsidRDefault="00F44E22" w:rsidP="009C5500">
      <w:pPr>
        <w:autoSpaceDE w:val="0"/>
        <w:autoSpaceDN w:val="0"/>
        <w:spacing w:after="120" w:line="240" w:lineRule="auto"/>
        <w:ind w:left="-567" w:right="-483"/>
        <w:rPr>
          <w:rFonts w:asciiTheme="minorHAnsi" w:hAnsiTheme="minorHAnsi"/>
          <w:lang w:val="en-GB"/>
        </w:rPr>
      </w:pPr>
      <w:r w:rsidRPr="009C5500">
        <w:rPr>
          <w:rFonts w:asciiTheme="minorHAnsi" w:hAnsiTheme="minorHAnsi"/>
          <w:szCs w:val="24"/>
          <w:lang w:val="en-GB"/>
        </w:rPr>
        <w:t>Health</w:t>
      </w:r>
      <w:r w:rsidR="007E7997" w:rsidRPr="009C5500">
        <w:rPr>
          <w:rFonts w:asciiTheme="minorHAnsi" w:hAnsiTheme="minorHAnsi"/>
          <w:szCs w:val="24"/>
          <w:lang w:val="en-GB"/>
        </w:rPr>
        <w:t xml:space="preserve"> is an</w:t>
      </w:r>
      <w:r w:rsidRPr="009C5500">
        <w:rPr>
          <w:rFonts w:asciiTheme="minorHAnsi" w:hAnsiTheme="minorHAnsi"/>
          <w:szCs w:val="24"/>
          <w:lang w:val="en-GB"/>
        </w:rPr>
        <w:t xml:space="preserve"> investment priorit</w:t>
      </w:r>
      <w:r w:rsidR="007E7997" w:rsidRPr="009C5500">
        <w:rPr>
          <w:rFonts w:asciiTheme="minorHAnsi" w:hAnsiTheme="minorHAnsi"/>
          <w:szCs w:val="24"/>
          <w:lang w:val="en-GB"/>
        </w:rPr>
        <w:t>y</w:t>
      </w:r>
      <w:r w:rsidRPr="009C5500">
        <w:rPr>
          <w:rFonts w:asciiTheme="minorHAnsi" w:hAnsiTheme="minorHAnsi"/>
          <w:szCs w:val="24"/>
          <w:lang w:val="en-GB"/>
        </w:rPr>
        <w:t xml:space="preserve"> under Australia’s aid policy, </w:t>
      </w:r>
      <w:r w:rsidRPr="009C5500">
        <w:rPr>
          <w:rFonts w:asciiTheme="minorHAnsi" w:hAnsiTheme="minorHAnsi"/>
          <w:i/>
          <w:szCs w:val="24"/>
          <w:lang w:val="en-GB"/>
        </w:rPr>
        <w:t>Australian aid: Promoting prosperity, reducing poverty, enhancing stability</w:t>
      </w:r>
      <w:r w:rsidRPr="009C5500">
        <w:rPr>
          <w:rFonts w:asciiTheme="minorHAnsi" w:hAnsiTheme="minorHAnsi"/>
          <w:szCs w:val="24"/>
          <w:lang w:val="en-GB"/>
        </w:rPr>
        <w:t xml:space="preserve">. Australia’s health sector support </w:t>
      </w:r>
      <w:r w:rsidR="00AC5AB6" w:rsidRPr="009C5500">
        <w:rPr>
          <w:rFonts w:asciiTheme="minorHAnsi" w:hAnsiTheme="minorHAnsi"/>
          <w:szCs w:val="24"/>
          <w:lang w:val="en-GB"/>
        </w:rPr>
        <w:t>aligns with</w:t>
      </w:r>
      <w:r w:rsidRPr="009C5500">
        <w:rPr>
          <w:rFonts w:asciiTheme="minorHAnsi" w:hAnsiTheme="minorHAnsi"/>
          <w:szCs w:val="24"/>
          <w:lang w:val="en-GB"/>
        </w:rPr>
        <w:t xml:space="preserve"> </w:t>
      </w:r>
      <w:r w:rsidR="001E0172" w:rsidRPr="009C5500">
        <w:rPr>
          <w:rFonts w:asciiTheme="minorHAnsi" w:hAnsiTheme="minorHAnsi"/>
          <w:szCs w:val="24"/>
          <w:lang w:val="en-GB"/>
        </w:rPr>
        <w:t xml:space="preserve">SDG </w:t>
      </w:r>
      <w:r w:rsidRPr="009C5500">
        <w:rPr>
          <w:rFonts w:asciiTheme="minorHAnsi" w:hAnsiTheme="minorHAnsi"/>
          <w:szCs w:val="24"/>
          <w:lang w:val="en-GB"/>
        </w:rPr>
        <w:t>Goal 3</w:t>
      </w:r>
      <w:r w:rsidR="00A67483">
        <w:rPr>
          <w:rFonts w:asciiTheme="minorHAnsi" w:hAnsiTheme="minorHAnsi"/>
          <w:szCs w:val="24"/>
          <w:lang w:val="en-GB"/>
        </w:rPr>
        <w:t>,</w:t>
      </w:r>
      <w:r w:rsidRPr="009C5500">
        <w:rPr>
          <w:rFonts w:asciiTheme="minorHAnsi" w:hAnsiTheme="minorHAnsi"/>
          <w:szCs w:val="24"/>
          <w:lang w:val="en-GB"/>
        </w:rPr>
        <w:t xml:space="preserve"> and contributes to meeting other </w:t>
      </w:r>
      <w:r w:rsidR="005262ED" w:rsidRPr="009C5500">
        <w:rPr>
          <w:rFonts w:asciiTheme="minorHAnsi" w:hAnsiTheme="minorHAnsi"/>
          <w:szCs w:val="24"/>
          <w:lang w:val="en-GB"/>
        </w:rPr>
        <w:t>health-related G</w:t>
      </w:r>
      <w:r w:rsidRPr="009C5500">
        <w:rPr>
          <w:rFonts w:asciiTheme="minorHAnsi" w:hAnsiTheme="minorHAnsi"/>
          <w:szCs w:val="24"/>
          <w:lang w:val="en-GB"/>
        </w:rPr>
        <w:t>oals</w:t>
      </w:r>
      <w:r w:rsidR="005262ED" w:rsidRPr="009C5500">
        <w:rPr>
          <w:rFonts w:asciiTheme="minorHAnsi" w:hAnsiTheme="minorHAnsi"/>
          <w:szCs w:val="24"/>
          <w:lang w:val="en-GB"/>
        </w:rPr>
        <w:t xml:space="preserve"> and targets</w:t>
      </w:r>
      <w:r w:rsidR="00A67483">
        <w:rPr>
          <w:rFonts w:asciiTheme="minorHAnsi" w:hAnsiTheme="minorHAnsi"/>
          <w:szCs w:val="24"/>
          <w:lang w:val="en-GB"/>
        </w:rPr>
        <w:t xml:space="preserve"> </w:t>
      </w:r>
      <w:r w:rsidRPr="009C5500">
        <w:rPr>
          <w:rFonts w:asciiTheme="minorHAnsi" w:hAnsiTheme="minorHAnsi"/>
          <w:szCs w:val="24"/>
          <w:lang w:val="en-GB"/>
        </w:rPr>
        <w:t>given their interlinked nature and the importance of good health to the 2030 Agenda more broadly.</w:t>
      </w:r>
    </w:p>
    <w:p w14:paraId="20C2B629" w14:textId="5806DD47" w:rsidR="00AC5AB6" w:rsidRPr="009C5500" w:rsidRDefault="007E7997" w:rsidP="009C5500">
      <w:pPr>
        <w:autoSpaceDE w:val="0"/>
        <w:autoSpaceDN w:val="0"/>
        <w:spacing w:after="120" w:line="240" w:lineRule="auto"/>
        <w:ind w:left="-567" w:right="-483"/>
        <w:rPr>
          <w:rFonts w:asciiTheme="minorHAnsi" w:hAnsiTheme="minorHAnsi"/>
          <w:lang w:val="en-GB"/>
        </w:rPr>
      </w:pPr>
      <w:r w:rsidRPr="009C5500">
        <w:rPr>
          <w:rFonts w:asciiTheme="minorHAnsi" w:hAnsiTheme="minorHAnsi"/>
          <w:i/>
          <w:szCs w:val="24"/>
          <w:lang w:val="en-GB"/>
        </w:rPr>
        <w:t>Australia’s</w:t>
      </w:r>
      <w:r w:rsidR="00AC5AB6" w:rsidRPr="009C5500">
        <w:rPr>
          <w:rFonts w:asciiTheme="minorHAnsi" w:hAnsiTheme="minorHAnsi"/>
          <w:i/>
          <w:szCs w:val="24"/>
          <w:lang w:val="en-GB"/>
        </w:rPr>
        <w:t xml:space="preserve"> Health for Development Strategy 2015-2020</w:t>
      </w:r>
      <w:r w:rsidRPr="009C5500">
        <w:rPr>
          <w:rFonts w:asciiTheme="minorHAnsi" w:hAnsiTheme="minorHAnsi"/>
          <w:szCs w:val="24"/>
          <w:lang w:val="en-GB"/>
        </w:rPr>
        <w:t xml:space="preserve"> guides investment decisions to: help build country-level systems and services that are responsive to people’s health needs</w:t>
      </w:r>
      <w:proofErr w:type="gramStart"/>
      <w:r w:rsidRPr="009C5500">
        <w:rPr>
          <w:rFonts w:asciiTheme="minorHAnsi" w:hAnsiTheme="minorHAnsi"/>
          <w:szCs w:val="24"/>
          <w:lang w:val="en-GB"/>
        </w:rPr>
        <w:t>;</w:t>
      </w:r>
      <w:proofErr w:type="gramEnd"/>
      <w:r w:rsidRPr="009C5500">
        <w:rPr>
          <w:rFonts w:asciiTheme="minorHAnsi" w:hAnsiTheme="minorHAnsi"/>
          <w:szCs w:val="24"/>
          <w:lang w:val="en-GB"/>
        </w:rPr>
        <w:t xml:space="preserve"> and to strengthen</w:t>
      </w:r>
      <w:r w:rsidR="00AC5AB6" w:rsidRPr="009C5500">
        <w:rPr>
          <w:rFonts w:asciiTheme="minorHAnsi" w:hAnsiTheme="minorHAnsi"/>
          <w:szCs w:val="24"/>
          <w:lang w:val="en-GB"/>
        </w:rPr>
        <w:t xml:space="preserve"> regional preparedness and capacity to respond to emerging health threats. </w:t>
      </w:r>
      <w:r w:rsidR="00C37E93">
        <w:rPr>
          <w:rFonts w:asciiTheme="minorHAnsi" w:hAnsiTheme="minorHAnsi"/>
          <w:szCs w:val="24"/>
          <w:lang w:val="en-GB"/>
        </w:rPr>
        <w:br w:type="textWrapping" w:clear="all"/>
      </w:r>
      <w:r w:rsidR="00AC5AB6" w:rsidRPr="009C5500">
        <w:rPr>
          <w:rFonts w:asciiTheme="minorHAnsi" w:hAnsiTheme="minorHAnsi"/>
          <w:szCs w:val="24"/>
          <w:lang w:val="en-GB"/>
        </w:rPr>
        <w:t>We recognise that strong, resilient public health systems are the foundation for country and regional health security.</w:t>
      </w:r>
    </w:p>
    <w:p w14:paraId="68D30B59" w14:textId="36503C36" w:rsidR="007E7997" w:rsidRPr="009C5500" w:rsidRDefault="007E7997" w:rsidP="009C5500">
      <w:pPr>
        <w:autoSpaceDE w:val="0"/>
        <w:autoSpaceDN w:val="0"/>
        <w:spacing w:after="120" w:line="240" w:lineRule="auto"/>
        <w:ind w:left="-567" w:right="-483"/>
        <w:rPr>
          <w:rFonts w:asciiTheme="minorHAnsi" w:hAnsiTheme="minorHAnsi"/>
          <w:lang w:val="en-GB"/>
        </w:rPr>
      </w:pPr>
      <w:r w:rsidRPr="009C5500">
        <w:rPr>
          <w:rFonts w:asciiTheme="minorHAnsi" w:hAnsiTheme="minorHAnsi"/>
          <w:szCs w:val="24"/>
          <w:lang w:val="en-GB"/>
        </w:rPr>
        <w:t>Australia</w:t>
      </w:r>
      <w:r w:rsidR="004B4B17" w:rsidRPr="009C5500">
        <w:rPr>
          <w:rFonts w:asciiTheme="minorHAnsi" w:hAnsiTheme="minorHAnsi"/>
          <w:szCs w:val="24"/>
          <w:lang w:val="en-GB"/>
        </w:rPr>
        <w:t>’s largest bilateral health investments are currently in P</w:t>
      </w:r>
      <w:r w:rsidR="00A67483">
        <w:rPr>
          <w:rFonts w:asciiTheme="minorHAnsi" w:hAnsiTheme="minorHAnsi"/>
          <w:szCs w:val="24"/>
          <w:lang w:val="en-GB"/>
        </w:rPr>
        <w:t xml:space="preserve">apua </w:t>
      </w:r>
      <w:r w:rsidR="004B4B17" w:rsidRPr="009C5500">
        <w:rPr>
          <w:rFonts w:asciiTheme="minorHAnsi" w:hAnsiTheme="minorHAnsi"/>
          <w:szCs w:val="24"/>
          <w:lang w:val="en-GB"/>
        </w:rPr>
        <w:t>N</w:t>
      </w:r>
      <w:r w:rsidR="00A67483">
        <w:rPr>
          <w:rFonts w:asciiTheme="minorHAnsi" w:hAnsiTheme="minorHAnsi"/>
          <w:szCs w:val="24"/>
          <w:lang w:val="en-GB"/>
        </w:rPr>
        <w:t xml:space="preserve">ew </w:t>
      </w:r>
      <w:r w:rsidR="004B4B17" w:rsidRPr="009C5500">
        <w:rPr>
          <w:rFonts w:asciiTheme="minorHAnsi" w:hAnsiTheme="minorHAnsi"/>
          <w:szCs w:val="24"/>
          <w:lang w:val="en-GB"/>
        </w:rPr>
        <w:t>G</w:t>
      </w:r>
      <w:r w:rsidR="00A67483">
        <w:rPr>
          <w:rFonts w:asciiTheme="minorHAnsi" w:hAnsiTheme="minorHAnsi"/>
          <w:szCs w:val="24"/>
          <w:lang w:val="en-GB"/>
        </w:rPr>
        <w:t>uinea</w:t>
      </w:r>
      <w:r w:rsidR="004B4B17" w:rsidRPr="009C5500">
        <w:rPr>
          <w:rFonts w:asciiTheme="minorHAnsi" w:hAnsiTheme="minorHAnsi"/>
          <w:szCs w:val="24"/>
          <w:lang w:val="en-GB"/>
        </w:rPr>
        <w:t>, the</w:t>
      </w:r>
      <w:r w:rsidR="00382B48">
        <w:rPr>
          <w:rFonts w:asciiTheme="minorHAnsi" w:hAnsiTheme="minorHAnsi"/>
          <w:szCs w:val="24"/>
          <w:lang w:val="en-GB"/>
        </w:rPr>
        <w:t> </w:t>
      </w:r>
      <w:r w:rsidR="004B4B17" w:rsidRPr="009C5500">
        <w:rPr>
          <w:rFonts w:asciiTheme="minorHAnsi" w:hAnsiTheme="minorHAnsi"/>
          <w:szCs w:val="24"/>
          <w:lang w:val="en-GB"/>
        </w:rPr>
        <w:t>Solomon</w:t>
      </w:r>
      <w:r w:rsidR="00382B48">
        <w:rPr>
          <w:rFonts w:asciiTheme="minorHAnsi" w:hAnsiTheme="minorHAnsi"/>
          <w:szCs w:val="24"/>
          <w:lang w:val="en-GB"/>
        </w:rPr>
        <w:t> </w:t>
      </w:r>
      <w:r w:rsidR="004B4B17" w:rsidRPr="009C5500">
        <w:rPr>
          <w:rFonts w:asciiTheme="minorHAnsi" w:hAnsiTheme="minorHAnsi"/>
          <w:szCs w:val="24"/>
          <w:lang w:val="en-GB"/>
        </w:rPr>
        <w:t xml:space="preserve">Islands, Cambodia and Timor-Leste with a focus on strengthening health systems for improved health outcomes. Australia also </w:t>
      </w:r>
      <w:r w:rsidRPr="009C5500">
        <w:rPr>
          <w:rFonts w:asciiTheme="minorHAnsi" w:hAnsiTheme="minorHAnsi"/>
          <w:szCs w:val="24"/>
          <w:lang w:val="en-GB"/>
        </w:rPr>
        <w:t xml:space="preserve">provides </w:t>
      </w:r>
      <w:r w:rsidR="004B4B17" w:rsidRPr="009C5500">
        <w:rPr>
          <w:rFonts w:asciiTheme="minorHAnsi" w:hAnsiTheme="minorHAnsi"/>
          <w:szCs w:val="24"/>
          <w:lang w:val="en-GB"/>
        </w:rPr>
        <w:t xml:space="preserve">support to global public-private partnerships, multilateral agencies and international </w:t>
      </w:r>
      <w:r w:rsidR="002F06ED">
        <w:rPr>
          <w:rFonts w:asciiTheme="minorHAnsi" w:hAnsiTheme="minorHAnsi"/>
          <w:szCs w:val="24"/>
          <w:lang w:val="en-GB"/>
        </w:rPr>
        <w:t>n</w:t>
      </w:r>
      <w:r w:rsidR="00A67483">
        <w:rPr>
          <w:rFonts w:asciiTheme="minorHAnsi" w:hAnsiTheme="minorHAnsi"/>
          <w:szCs w:val="24"/>
          <w:lang w:val="en-GB"/>
        </w:rPr>
        <w:t>on-</w:t>
      </w:r>
      <w:r w:rsidR="002F06ED">
        <w:rPr>
          <w:rFonts w:asciiTheme="minorHAnsi" w:hAnsiTheme="minorHAnsi"/>
          <w:szCs w:val="24"/>
          <w:lang w:val="en-GB"/>
        </w:rPr>
        <w:t>g</w:t>
      </w:r>
      <w:r w:rsidR="00A67483">
        <w:rPr>
          <w:rFonts w:asciiTheme="minorHAnsi" w:hAnsiTheme="minorHAnsi"/>
          <w:szCs w:val="24"/>
          <w:lang w:val="en-GB"/>
        </w:rPr>
        <w:t xml:space="preserve">overnment </w:t>
      </w:r>
      <w:r w:rsidR="002F06ED">
        <w:rPr>
          <w:rFonts w:asciiTheme="minorHAnsi" w:hAnsiTheme="minorHAnsi"/>
          <w:szCs w:val="24"/>
          <w:lang w:val="en-GB"/>
        </w:rPr>
        <w:t>o</w:t>
      </w:r>
      <w:r w:rsidR="00A67483">
        <w:rPr>
          <w:rFonts w:asciiTheme="minorHAnsi" w:hAnsiTheme="minorHAnsi"/>
          <w:szCs w:val="24"/>
          <w:lang w:val="en-GB"/>
        </w:rPr>
        <w:t>rgani</w:t>
      </w:r>
      <w:r w:rsidR="002F06ED">
        <w:rPr>
          <w:rFonts w:asciiTheme="minorHAnsi" w:hAnsiTheme="minorHAnsi"/>
          <w:szCs w:val="24"/>
          <w:lang w:val="en-GB"/>
        </w:rPr>
        <w:t>s</w:t>
      </w:r>
      <w:r w:rsidR="00A67483">
        <w:rPr>
          <w:rFonts w:asciiTheme="minorHAnsi" w:hAnsiTheme="minorHAnsi"/>
          <w:szCs w:val="24"/>
          <w:lang w:val="en-GB"/>
        </w:rPr>
        <w:t>ation</w:t>
      </w:r>
      <w:r w:rsidR="004B4B17" w:rsidRPr="009C5500">
        <w:rPr>
          <w:rFonts w:asciiTheme="minorHAnsi" w:hAnsiTheme="minorHAnsi"/>
          <w:szCs w:val="24"/>
          <w:lang w:val="en-GB"/>
        </w:rPr>
        <w:t xml:space="preserve">s to extend the reach of our aid program to more countries and people to promote health investment in our region. For example, through contributions to the Global Fund to Fight AIDS, Tuberculosis and Malaria, </w:t>
      </w:r>
      <w:proofErr w:type="spellStart"/>
      <w:r w:rsidR="004B4B17" w:rsidRPr="009C5500">
        <w:rPr>
          <w:rFonts w:asciiTheme="minorHAnsi" w:hAnsiTheme="minorHAnsi"/>
          <w:szCs w:val="24"/>
          <w:lang w:val="en-GB"/>
        </w:rPr>
        <w:t>Gavi</w:t>
      </w:r>
      <w:proofErr w:type="spellEnd"/>
      <w:r w:rsidR="004B4B17" w:rsidRPr="009C5500">
        <w:rPr>
          <w:rFonts w:asciiTheme="minorHAnsi" w:hAnsiTheme="minorHAnsi"/>
          <w:szCs w:val="24"/>
          <w:lang w:val="en-GB"/>
        </w:rPr>
        <w:t xml:space="preserve"> the Vaccine Alliance, </w:t>
      </w:r>
      <w:r w:rsidRPr="009C5500">
        <w:rPr>
          <w:rFonts w:asciiTheme="minorHAnsi" w:hAnsiTheme="minorHAnsi"/>
          <w:szCs w:val="24"/>
          <w:lang w:val="en-GB"/>
        </w:rPr>
        <w:t>WHO, U</w:t>
      </w:r>
      <w:r w:rsidR="00A67483">
        <w:rPr>
          <w:rFonts w:asciiTheme="minorHAnsi" w:hAnsiTheme="minorHAnsi"/>
          <w:szCs w:val="24"/>
          <w:lang w:val="en-GB"/>
        </w:rPr>
        <w:t>nited Nations Population Fund</w:t>
      </w:r>
      <w:r w:rsidRPr="009C5500">
        <w:rPr>
          <w:rFonts w:asciiTheme="minorHAnsi" w:hAnsiTheme="minorHAnsi"/>
          <w:szCs w:val="24"/>
          <w:lang w:val="en-GB"/>
        </w:rPr>
        <w:t>,</w:t>
      </w:r>
      <w:r w:rsidR="004B4B17" w:rsidRPr="009C5500">
        <w:rPr>
          <w:rFonts w:asciiTheme="minorHAnsi" w:hAnsiTheme="minorHAnsi"/>
          <w:szCs w:val="24"/>
          <w:lang w:val="en-GB"/>
        </w:rPr>
        <w:t xml:space="preserve"> </w:t>
      </w:r>
      <w:r w:rsidRPr="009C5500">
        <w:rPr>
          <w:rFonts w:asciiTheme="minorHAnsi" w:hAnsiTheme="minorHAnsi"/>
          <w:szCs w:val="24"/>
          <w:lang w:val="en-GB"/>
        </w:rPr>
        <w:t xml:space="preserve">and </w:t>
      </w:r>
      <w:r w:rsidR="00A67483">
        <w:rPr>
          <w:rFonts w:asciiTheme="minorHAnsi" w:hAnsiTheme="minorHAnsi"/>
          <w:szCs w:val="24"/>
          <w:lang w:val="en-GB"/>
        </w:rPr>
        <w:t>the United Nations Programme on HIV/AIDS</w:t>
      </w:r>
      <w:r w:rsidR="004B4B17" w:rsidRPr="009C5500">
        <w:rPr>
          <w:rFonts w:asciiTheme="minorHAnsi" w:hAnsiTheme="minorHAnsi"/>
          <w:szCs w:val="24"/>
          <w:lang w:val="en-GB"/>
        </w:rPr>
        <w:t>.</w:t>
      </w:r>
    </w:p>
    <w:p w14:paraId="036747FA" w14:textId="2314A561" w:rsidR="00787642" w:rsidRPr="00435BB3" w:rsidRDefault="00787642" w:rsidP="00787642">
      <w:pPr>
        <w:spacing w:after="120"/>
        <w:ind w:left="-567" w:right="-483"/>
        <w:outlineLvl w:val="0"/>
        <w:rPr>
          <w:rFonts w:asciiTheme="minorHAnsi" w:hAnsiTheme="minorHAnsi"/>
        </w:rPr>
      </w:pPr>
      <w:r w:rsidRPr="00435BB3">
        <w:rPr>
          <w:rFonts w:asciiTheme="minorHAnsi" w:eastAsia="Times New Roman" w:hAnsiTheme="minorHAnsi" w:cs="Arial"/>
          <w:color w:val="000000"/>
          <w:szCs w:val="24"/>
          <w:lang w:eastAsia="en-AU"/>
        </w:rPr>
        <w:t xml:space="preserve">Australia’s health investments seek to address the financial, cultural and social barriers to health for vulnerable populations and lowest-income groups, including women, children and people with a disability. For example, Australia </w:t>
      </w:r>
      <w:r>
        <w:rPr>
          <w:rFonts w:asciiTheme="minorHAnsi" w:eastAsia="Times New Roman" w:hAnsiTheme="minorHAnsi" w:cs="Arial"/>
          <w:color w:val="000000"/>
          <w:szCs w:val="24"/>
          <w:lang w:eastAsia="en-AU"/>
        </w:rPr>
        <w:t xml:space="preserve">is </w:t>
      </w:r>
      <w:proofErr w:type="gramStart"/>
      <w:r>
        <w:rPr>
          <w:rFonts w:asciiTheme="minorHAnsi" w:eastAsia="Times New Roman" w:hAnsiTheme="minorHAnsi" w:cs="Arial"/>
          <w:color w:val="000000"/>
          <w:szCs w:val="24"/>
          <w:lang w:eastAsia="en-AU"/>
        </w:rPr>
        <w:t>partnering</w:t>
      </w:r>
      <w:proofErr w:type="gramEnd"/>
      <w:r>
        <w:rPr>
          <w:rFonts w:asciiTheme="minorHAnsi" w:eastAsia="Times New Roman" w:hAnsiTheme="minorHAnsi" w:cs="Arial"/>
          <w:color w:val="000000"/>
          <w:szCs w:val="24"/>
          <w:lang w:eastAsia="en-AU"/>
        </w:rPr>
        <w:t xml:space="preserve"> with the Cambodian </w:t>
      </w:r>
      <w:r w:rsidRPr="00435BB3">
        <w:rPr>
          <w:rFonts w:asciiTheme="minorHAnsi" w:eastAsia="Times New Roman" w:hAnsiTheme="minorHAnsi" w:cs="Arial"/>
          <w:color w:val="000000"/>
          <w:szCs w:val="24"/>
          <w:lang w:eastAsia="en-AU"/>
        </w:rPr>
        <w:t>Government and development partners to provide free essential health care to the poorest 20 per cent of Cambodians (approximately 3 million people) through the Health Equity and Quality Improvement Initiative. This is reducing health-related debt for Cambodians in the lowest</w:t>
      </w:r>
      <w:r w:rsidR="009C5500">
        <w:rPr>
          <w:rFonts w:asciiTheme="minorHAnsi" w:eastAsia="Times New Roman" w:hAnsiTheme="minorHAnsi" w:cs="Arial"/>
          <w:color w:val="000000"/>
          <w:szCs w:val="24"/>
          <w:lang w:eastAsia="en-AU"/>
        </w:rPr>
        <w:noBreakHyphen/>
      </w:r>
      <w:r w:rsidRPr="00435BB3">
        <w:rPr>
          <w:rFonts w:asciiTheme="minorHAnsi" w:eastAsia="Times New Roman" w:hAnsiTheme="minorHAnsi" w:cs="Arial"/>
          <w:color w:val="000000"/>
          <w:szCs w:val="24"/>
          <w:lang w:eastAsia="en-AU"/>
        </w:rPr>
        <w:t xml:space="preserve">income group and improving the quality and availability of health care services.  </w:t>
      </w:r>
    </w:p>
    <w:p w14:paraId="2C40F1DA" w14:textId="2971A518" w:rsidR="00787642" w:rsidRPr="00435BB3" w:rsidRDefault="00787642" w:rsidP="00787642">
      <w:pPr>
        <w:spacing w:after="120"/>
        <w:ind w:left="-567" w:right="-483"/>
        <w:outlineLvl w:val="0"/>
        <w:rPr>
          <w:rFonts w:asciiTheme="minorHAnsi" w:eastAsia="Times New Roman" w:hAnsiTheme="minorHAnsi" w:cs="Arial"/>
          <w:color w:val="000000"/>
          <w:szCs w:val="24"/>
          <w:lang w:eastAsia="en-AU"/>
        </w:rPr>
      </w:pPr>
      <w:r w:rsidRPr="00435BB3">
        <w:rPr>
          <w:rFonts w:asciiTheme="minorHAnsi" w:eastAsia="Times New Roman" w:hAnsiTheme="minorHAnsi" w:cs="Arial"/>
          <w:color w:val="000000"/>
          <w:szCs w:val="24"/>
          <w:lang w:eastAsia="en-AU"/>
        </w:rPr>
        <w:t xml:space="preserve">The Indo-Pacific region </w:t>
      </w:r>
      <w:proofErr w:type="gramStart"/>
      <w:r w:rsidRPr="00435BB3">
        <w:rPr>
          <w:rFonts w:asciiTheme="minorHAnsi" w:eastAsia="Times New Roman" w:hAnsiTheme="minorHAnsi" w:cs="Arial"/>
          <w:color w:val="000000"/>
          <w:szCs w:val="24"/>
          <w:lang w:eastAsia="en-AU"/>
        </w:rPr>
        <w:t>is recognised</w:t>
      </w:r>
      <w:proofErr w:type="gramEnd"/>
      <w:r w:rsidRPr="00435BB3">
        <w:rPr>
          <w:rFonts w:asciiTheme="minorHAnsi" w:eastAsia="Times New Roman" w:hAnsiTheme="minorHAnsi" w:cs="Arial"/>
          <w:color w:val="000000"/>
          <w:szCs w:val="24"/>
          <w:lang w:eastAsia="en-AU"/>
        </w:rPr>
        <w:t xml:space="preserve"> as a global epicentre for emerging infectious diseases, and the site of growing antimicrobial drug resistance. New outbreaks of communicable diseases have the potential to cause significant illness and death, and pose a major threat to trade, investment and tourism in Australia’s region and beyond. Responding to these challenges, Australia is implementing a Health Security Initiative for the Indo-Pacific. With funding of AUD</w:t>
      </w:r>
      <w:r w:rsidR="009C5500">
        <w:rPr>
          <w:rFonts w:asciiTheme="minorHAnsi" w:eastAsia="Times New Roman" w:hAnsiTheme="minorHAnsi" w:cs="Arial"/>
          <w:color w:val="000000"/>
          <w:szCs w:val="24"/>
          <w:lang w:eastAsia="en-AU"/>
        </w:rPr>
        <w:t> </w:t>
      </w:r>
      <w:r w:rsidRPr="00435BB3">
        <w:rPr>
          <w:rFonts w:asciiTheme="minorHAnsi" w:eastAsia="Times New Roman" w:hAnsiTheme="minorHAnsi" w:cs="Arial"/>
          <w:color w:val="000000"/>
          <w:szCs w:val="24"/>
          <w:lang w:eastAsia="en-AU"/>
        </w:rPr>
        <w:t xml:space="preserve">300 million over five years (2017-2022), the Health Security Initiative will contribute to avoiding and containing </w:t>
      </w:r>
      <w:r w:rsidRPr="009C5500">
        <w:rPr>
          <w:rFonts w:asciiTheme="minorHAnsi" w:eastAsia="Times New Roman" w:hAnsiTheme="minorHAnsi" w:cs="Arial"/>
          <w:color w:val="000000"/>
          <w:szCs w:val="24"/>
          <w:lang w:eastAsia="en-AU"/>
        </w:rPr>
        <w:t>emerging and re-emerging</w:t>
      </w:r>
      <w:r>
        <w:rPr>
          <w:rFonts w:asciiTheme="minorHAnsi" w:eastAsia="Times New Roman" w:hAnsiTheme="minorHAnsi" w:cs="Arial"/>
          <w:color w:val="000000"/>
          <w:szCs w:val="24"/>
          <w:lang w:eastAsia="en-AU"/>
        </w:rPr>
        <w:t xml:space="preserve"> </w:t>
      </w:r>
      <w:r w:rsidRPr="00435BB3">
        <w:rPr>
          <w:rFonts w:asciiTheme="minorHAnsi" w:eastAsia="Times New Roman" w:hAnsiTheme="minorHAnsi" w:cs="Arial"/>
          <w:color w:val="000000"/>
          <w:szCs w:val="24"/>
          <w:lang w:eastAsia="en-AU"/>
        </w:rPr>
        <w:t xml:space="preserve">infectious disease threats with the potential to cause social and economic harms on a national, regional or global scale.   </w:t>
      </w:r>
    </w:p>
    <w:p w14:paraId="528AFC3B" w14:textId="41DDE39D" w:rsidR="00787642" w:rsidRPr="00435BB3" w:rsidRDefault="00787642" w:rsidP="00787642">
      <w:pPr>
        <w:spacing w:after="120"/>
        <w:ind w:left="-567" w:right="-483"/>
        <w:outlineLvl w:val="0"/>
        <w:rPr>
          <w:rFonts w:asciiTheme="minorHAnsi" w:eastAsia="Times New Roman" w:hAnsiTheme="minorHAnsi" w:cs="Arial"/>
          <w:color w:val="000000"/>
          <w:szCs w:val="24"/>
          <w:lang w:eastAsia="en-AU"/>
        </w:rPr>
      </w:pPr>
      <w:r w:rsidRPr="00435BB3">
        <w:rPr>
          <w:rFonts w:asciiTheme="minorHAnsi" w:eastAsia="Times New Roman" w:hAnsiTheme="minorHAnsi" w:cs="Arial"/>
          <w:color w:val="000000"/>
          <w:szCs w:val="24"/>
          <w:lang w:eastAsia="en-AU"/>
        </w:rPr>
        <w:t xml:space="preserve">Australia’s support for medical research, through Product Development Partnerships (PDPs), </w:t>
      </w:r>
      <w:proofErr w:type="gramStart"/>
      <w:r w:rsidRPr="00435BB3">
        <w:rPr>
          <w:rFonts w:asciiTheme="minorHAnsi" w:eastAsia="Times New Roman" w:hAnsiTheme="minorHAnsi" w:cs="Arial"/>
          <w:color w:val="000000"/>
          <w:szCs w:val="24"/>
          <w:lang w:eastAsia="en-AU"/>
        </w:rPr>
        <w:t>is being expanded</w:t>
      </w:r>
      <w:proofErr w:type="gramEnd"/>
      <w:r w:rsidRPr="00435BB3">
        <w:rPr>
          <w:rFonts w:asciiTheme="minorHAnsi" w:eastAsia="Times New Roman" w:hAnsiTheme="minorHAnsi" w:cs="Arial"/>
          <w:color w:val="000000"/>
          <w:szCs w:val="24"/>
          <w:lang w:eastAsia="en-AU"/>
        </w:rPr>
        <w:t xml:space="preserve"> under the Health Security Initiative. PDPs innovatively pool and leverage funding with other donor governments and philanthropic foundations for research and development in diseases that lack commercial value. Our support for PDPs so far has resulted in a number of achievements, including the release of the first ever child-friendly treatment product for children suffering from tuberculosis.  As of July 2016, more than 155,000 course</w:t>
      </w:r>
      <w:r w:rsidR="009C5500">
        <w:rPr>
          <w:rFonts w:asciiTheme="minorHAnsi" w:eastAsia="Times New Roman" w:hAnsiTheme="minorHAnsi" w:cs="Arial"/>
          <w:color w:val="000000"/>
          <w:szCs w:val="24"/>
          <w:lang w:eastAsia="en-AU"/>
        </w:rPr>
        <w:t>s</w:t>
      </w:r>
      <w:r w:rsidRPr="00435BB3">
        <w:rPr>
          <w:rFonts w:asciiTheme="minorHAnsi" w:eastAsia="Times New Roman" w:hAnsiTheme="minorHAnsi" w:cs="Arial"/>
          <w:color w:val="000000"/>
          <w:szCs w:val="24"/>
          <w:lang w:eastAsia="en-AU"/>
        </w:rPr>
        <w:t xml:space="preserve"> of the new treatment </w:t>
      </w:r>
      <w:proofErr w:type="gramStart"/>
      <w:r w:rsidRPr="00435BB3">
        <w:rPr>
          <w:rFonts w:asciiTheme="minorHAnsi" w:eastAsia="Times New Roman" w:hAnsiTheme="minorHAnsi" w:cs="Arial"/>
          <w:color w:val="000000"/>
          <w:szCs w:val="24"/>
          <w:lang w:eastAsia="en-AU"/>
        </w:rPr>
        <w:t>had been ordered</w:t>
      </w:r>
      <w:proofErr w:type="gramEnd"/>
      <w:r w:rsidRPr="00435BB3">
        <w:rPr>
          <w:rFonts w:asciiTheme="minorHAnsi" w:eastAsia="Times New Roman" w:hAnsiTheme="minorHAnsi" w:cs="Arial"/>
          <w:color w:val="000000"/>
          <w:szCs w:val="24"/>
          <w:lang w:eastAsia="en-AU"/>
        </w:rPr>
        <w:t xml:space="preserve"> by 18 countries.  </w:t>
      </w:r>
    </w:p>
    <w:p w14:paraId="38FB3A93" w14:textId="584C6E9B" w:rsidR="00787642" w:rsidRPr="00435BB3" w:rsidRDefault="00787642" w:rsidP="00787642">
      <w:pPr>
        <w:spacing w:after="120"/>
        <w:ind w:left="-567" w:right="-483"/>
        <w:outlineLvl w:val="0"/>
        <w:rPr>
          <w:rFonts w:asciiTheme="minorHAnsi" w:hAnsiTheme="minorHAnsi"/>
        </w:rPr>
      </w:pPr>
      <w:r w:rsidRPr="00435BB3">
        <w:rPr>
          <w:rFonts w:asciiTheme="minorHAnsi" w:eastAsia="Times New Roman" w:hAnsiTheme="minorHAnsi" w:cs="Arial"/>
          <w:color w:val="000000"/>
          <w:szCs w:val="24"/>
          <w:lang w:eastAsia="en-AU"/>
        </w:rPr>
        <w:t>Under a new Product Development Partnerships Fund, Australia will invest up to an additional AUD</w:t>
      </w:r>
      <w:r w:rsidR="009C5500">
        <w:rPr>
          <w:rFonts w:asciiTheme="minorHAnsi" w:eastAsia="Times New Roman" w:hAnsiTheme="minorHAnsi" w:cs="Arial"/>
          <w:color w:val="000000"/>
          <w:szCs w:val="24"/>
          <w:lang w:eastAsia="en-AU"/>
        </w:rPr>
        <w:t> </w:t>
      </w:r>
      <w:r w:rsidRPr="00435BB3">
        <w:rPr>
          <w:rFonts w:asciiTheme="minorHAnsi" w:eastAsia="Times New Roman" w:hAnsiTheme="minorHAnsi" w:cs="Arial"/>
          <w:color w:val="000000"/>
          <w:szCs w:val="24"/>
          <w:lang w:eastAsia="en-AU"/>
        </w:rPr>
        <w:t>75 million i</w:t>
      </w:r>
      <w:r w:rsidR="009C5500">
        <w:rPr>
          <w:rFonts w:asciiTheme="minorHAnsi" w:eastAsia="Times New Roman" w:hAnsiTheme="minorHAnsi" w:cs="Arial"/>
          <w:color w:val="000000"/>
          <w:szCs w:val="24"/>
          <w:lang w:eastAsia="en-AU"/>
        </w:rPr>
        <w:t xml:space="preserve">n PDPs until 2022, building on AUD 40 </w:t>
      </w:r>
      <w:proofErr w:type="gramStart"/>
      <w:r w:rsidR="009C5500">
        <w:rPr>
          <w:rFonts w:asciiTheme="minorHAnsi" w:eastAsia="Times New Roman" w:hAnsiTheme="minorHAnsi" w:cs="Arial"/>
          <w:color w:val="000000"/>
          <w:szCs w:val="24"/>
          <w:lang w:eastAsia="en-AU"/>
        </w:rPr>
        <w:t>million</w:t>
      </w:r>
      <w:proofErr w:type="gramEnd"/>
      <w:r w:rsidR="009C5500">
        <w:rPr>
          <w:rFonts w:asciiTheme="minorHAnsi" w:eastAsia="Times New Roman" w:hAnsiTheme="minorHAnsi" w:cs="Arial"/>
          <w:color w:val="000000"/>
          <w:szCs w:val="24"/>
          <w:lang w:eastAsia="en-AU"/>
        </w:rPr>
        <w:t xml:space="preserve"> provided from 2013</w:t>
      </w:r>
      <w:r w:rsidR="009C5500">
        <w:rPr>
          <w:rFonts w:asciiTheme="minorHAnsi" w:eastAsia="Times New Roman" w:hAnsiTheme="minorHAnsi" w:cs="Arial"/>
          <w:color w:val="000000"/>
          <w:szCs w:val="24"/>
          <w:lang w:eastAsia="en-AU"/>
        </w:rPr>
        <w:noBreakHyphen/>
      </w:r>
      <w:r w:rsidRPr="00435BB3">
        <w:rPr>
          <w:rFonts w:asciiTheme="minorHAnsi" w:eastAsia="Times New Roman" w:hAnsiTheme="minorHAnsi" w:cs="Arial"/>
          <w:color w:val="000000"/>
          <w:szCs w:val="24"/>
          <w:lang w:eastAsia="en-AU"/>
        </w:rPr>
        <w:t xml:space="preserve">2018. </w:t>
      </w:r>
      <w:r w:rsidR="00E12FF0">
        <w:rPr>
          <w:rFonts w:asciiTheme="minorHAnsi" w:eastAsia="Times New Roman" w:hAnsiTheme="minorHAnsi" w:cs="Arial"/>
          <w:color w:val="000000"/>
          <w:szCs w:val="24"/>
          <w:lang w:eastAsia="en-AU"/>
        </w:rPr>
        <w:br w:type="textWrapping" w:clear="all"/>
      </w:r>
      <w:r w:rsidRPr="00435BB3">
        <w:rPr>
          <w:rFonts w:asciiTheme="minorHAnsi" w:eastAsia="Times New Roman" w:hAnsiTheme="minorHAnsi" w:cs="Arial"/>
          <w:color w:val="000000"/>
          <w:szCs w:val="24"/>
          <w:lang w:eastAsia="en-AU"/>
        </w:rPr>
        <w:t xml:space="preserve">This research will accelerate access to new and effective tools to combat </w:t>
      </w:r>
      <w:r>
        <w:rPr>
          <w:rFonts w:asciiTheme="minorHAnsi" w:eastAsia="Times New Roman" w:hAnsiTheme="minorHAnsi" w:cs="Arial"/>
          <w:color w:val="000000"/>
          <w:szCs w:val="24"/>
          <w:lang w:eastAsia="en-AU"/>
        </w:rPr>
        <w:t>tuberculosis</w:t>
      </w:r>
      <w:r w:rsidRPr="00435BB3">
        <w:rPr>
          <w:rFonts w:asciiTheme="minorHAnsi" w:eastAsia="Times New Roman" w:hAnsiTheme="minorHAnsi" w:cs="Arial"/>
          <w:color w:val="000000"/>
          <w:szCs w:val="24"/>
          <w:lang w:eastAsia="en-AU"/>
        </w:rPr>
        <w:t xml:space="preserve">, malaria and other high burden, mosquito borne diseases, thus improving the health and wellbeing of populations in our region.      </w:t>
      </w:r>
    </w:p>
    <w:p w14:paraId="2C97DE86" w14:textId="77777777" w:rsidR="00F44E22" w:rsidRPr="009C5500" w:rsidRDefault="00F44E22" w:rsidP="009C5500">
      <w:pPr>
        <w:autoSpaceDE w:val="0"/>
        <w:autoSpaceDN w:val="0"/>
        <w:spacing w:after="120" w:line="240" w:lineRule="auto"/>
        <w:ind w:left="-567" w:right="-483"/>
        <w:rPr>
          <w:rFonts w:asciiTheme="minorHAnsi" w:hAnsiTheme="minorHAnsi"/>
          <w:lang w:val="en-GB"/>
        </w:rPr>
      </w:pPr>
    </w:p>
    <w:sectPr w:rsidR="00F44E22" w:rsidRPr="009C5500" w:rsidSect="00FD4B02">
      <w:headerReference w:type="default" r:id="rId8"/>
      <w:footerReference w:type="default" r:id="rId9"/>
      <w:headerReference w:type="first" r:id="rId10"/>
      <w:footerReference w:type="first" r:id="rId11"/>
      <w:pgSz w:w="11906" w:h="16838"/>
      <w:pgMar w:top="344" w:right="1800" w:bottom="993" w:left="1800" w:header="708"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6FECD" w14:textId="77777777" w:rsidR="00C642F7" w:rsidRDefault="00C642F7" w:rsidP="00345E64">
      <w:pPr>
        <w:spacing w:after="0" w:line="240" w:lineRule="auto"/>
      </w:pPr>
      <w:r>
        <w:separator/>
      </w:r>
    </w:p>
  </w:endnote>
  <w:endnote w:type="continuationSeparator" w:id="0">
    <w:p w14:paraId="18E1AF89" w14:textId="77777777" w:rsidR="00C642F7" w:rsidRDefault="00C642F7" w:rsidP="0034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361527"/>
      <w:docPartObj>
        <w:docPartGallery w:val="Page Numbers (Bottom of Page)"/>
        <w:docPartUnique/>
      </w:docPartObj>
    </w:sdtPr>
    <w:sdtEndPr>
      <w:rPr>
        <w:noProof/>
      </w:rPr>
    </w:sdtEndPr>
    <w:sdtContent>
      <w:p w14:paraId="38BC999B" w14:textId="27F67064" w:rsidR="00622329" w:rsidRDefault="00622329">
        <w:pPr>
          <w:pStyle w:val="Footer"/>
          <w:jc w:val="right"/>
        </w:pPr>
        <w:r>
          <w:fldChar w:fldCharType="begin"/>
        </w:r>
        <w:r>
          <w:instrText xml:space="preserve"> PAGE   \* MERGEFORMAT </w:instrText>
        </w:r>
        <w:r>
          <w:fldChar w:fldCharType="separate"/>
        </w:r>
        <w:r w:rsidR="0027398F">
          <w:rPr>
            <w:noProof/>
          </w:rPr>
          <w:t>6</w:t>
        </w:r>
        <w:r>
          <w:rPr>
            <w:noProof/>
          </w:rPr>
          <w:fldChar w:fldCharType="end"/>
        </w:r>
      </w:p>
    </w:sdtContent>
  </w:sdt>
  <w:p w14:paraId="53213DD0" w14:textId="77777777" w:rsidR="00622329" w:rsidRDefault="00622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192248"/>
      <w:docPartObj>
        <w:docPartGallery w:val="Page Numbers (Bottom of Page)"/>
        <w:docPartUnique/>
      </w:docPartObj>
    </w:sdtPr>
    <w:sdtEndPr>
      <w:rPr>
        <w:noProof/>
      </w:rPr>
    </w:sdtEndPr>
    <w:sdtContent>
      <w:p w14:paraId="6567D048" w14:textId="368E3887" w:rsidR="00622329" w:rsidRDefault="00622329">
        <w:pPr>
          <w:pStyle w:val="Footer"/>
          <w:jc w:val="right"/>
        </w:pPr>
        <w:r>
          <w:fldChar w:fldCharType="begin"/>
        </w:r>
        <w:r>
          <w:instrText xml:space="preserve"> PAGE   \* MERGEFORMAT </w:instrText>
        </w:r>
        <w:r>
          <w:fldChar w:fldCharType="separate"/>
        </w:r>
        <w:r w:rsidR="0027398F">
          <w:rPr>
            <w:noProof/>
          </w:rPr>
          <w:t>1</w:t>
        </w:r>
        <w:r>
          <w:rPr>
            <w:noProof/>
          </w:rPr>
          <w:fldChar w:fldCharType="end"/>
        </w:r>
      </w:p>
    </w:sdtContent>
  </w:sdt>
  <w:p w14:paraId="26131AAC" w14:textId="77777777" w:rsidR="00622329" w:rsidRDefault="0062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2CC5B" w14:textId="77777777" w:rsidR="00C642F7" w:rsidRDefault="00C642F7" w:rsidP="00345E64">
      <w:pPr>
        <w:spacing w:after="0" w:line="240" w:lineRule="auto"/>
      </w:pPr>
      <w:r>
        <w:separator/>
      </w:r>
    </w:p>
  </w:footnote>
  <w:footnote w:type="continuationSeparator" w:id="0">
    <w:p w14:paraId="2A7672BE" w14:textId="77777777" w:rsidR="00C642F7" w:rsidRDefault="00C642F7" w:rsidP="00345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B7D1E" w14:textId="600107E5" w:rsidR="009C5500" w:rsidRDefault="00622329" w:rsidP="00622329">
    <w:pPr>
      <w:pStyle w:val="Header"/>
      <w:tabs>
        <w:tab w:val="left" w:pos="3390"/>
      </w:tabs>
    </w:pPr>
    <w:r>
      <w:tab/>
    </w:r>
  </w:p>
  <w:p w14:paraId="6CBBABB5" w14:textId="77777777" w:rsidR="009C5500" w:rsidRDefault="009C5500" w:rsidP="009C55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91721" w14:textId="71B1EBE0" w:rsidR="00622329" w:rsidRDefault="00622329" w:rsidP="00622329">
    <w:pPr>
      <w:pStyle w:val="Header"/>
      <w:jc w:val="center"/>
    </w:pPr>
    <w:r>
      <w:rPr>
        <w:noProof/>
        <w:lang w:val="en-GB" w:eastAsia="en-GB"/>
      </w:rPr>
      <w:drawing>
        <wp:inline distT="0" distB="0" distL="0" distR="0" wp14:anchorId="5C184E33" wp14:editId="2B7CE6E0">
          <wp:extent cx="1572768" cy="820973"/>
          <wp:effectExtent l="0" t="0" r="8890" b="0"/>
          <wp:docPr id="33" name="Picture 33" descr="http://dfat.gov.au/about-us/corporate/PublishingImages/australian-government-stacke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fat.gov.au/about-us/corporate/PublishingImages/australian-government-stacked-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124" cy="873358"/>
                  </a:xfrm>
                  <a:prstGeom prst="rect">
                    <a:avLst/>
                  </a:prstGeom>
                  <a:noFill/>
                  <a:ln>
                    <a:noFill/>
                  </a:ln>
                </pic:spPr>
              </pic:pic>
            </a:graphicData>
          </a:graphic>
        </wp:inline>
      </w:drawing>
    </w:r>
  </w:p>
  <w:p w14:paraId="51B2DBAC" w14:textId="77777777" w:rsidR="00622329" w:rsidRDefault="00622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6673"/>
    <w:multiLevelType w:val="hybridMultilevel"/>
    <w:tmpl w:val="993635D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12FE57D0"/>
    <w:multiLevelType w:val="multilevel"/>
    <w:tmpl w:val="17FA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47E01"/>
    <w:multiLevelType w:val="hybridMultilevel"/>
    <w:tmpl w:val="381838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B4E451E"/>
    <w:multiLevelType w:val="hybridMultilevel"/>
    <w:tmpl w:val="B2B6A1E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1D5D27CA"/>
    <w:multiLevelType w:val="hybridMultilevel"/>
    <w:tmpl w:val="5AC6C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E346614"/>
    <w:multiLevelType w:val="hybridMultilevel"/>
    <w:tmpl w:val="C5CCC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D171E8"/>
    <w:multiLevelType w:val="hybridMultilevel"/>
    <w:tmpl w:val="29F4F6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5C30D0"/>
    <w:multiLevelType w:val="multilevel"/>
    <w:tmpl w:val="33386B8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8"/>
        <w:szCs w:val="28"/>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515527"/>
    <w:multiLevelType w:val="hybridMultilevel"/>
    <w:tmpl w:val="15B63D9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CF61FF0"/>
    <w:multiLevelType w:val="multilevel"/>
    <w:tmpl w:val="BE00AF1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985469"/>
    <w:multiLevelType w:val="multilevel"/>
    <w:tmpl w:val="14F2E77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8"/>
        <w:szCs w:val="28"/>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2A21BC"/>
    <w:multiLevelType w:val="multilevel"/>
    <w:tmpl w:val="A78E80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2492"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2E0478"/>
    <w:multiLevelType w:val="singleLevel"/>
    <w:tmpl w:val="EA6E1C66"/>
    <w:lvl w:ilvl="0">
      <w:start w:val="2"/>
      <w:numFmt w:val="decimal"/>
      <w:pStyle w:val="Paragraphnumbered"/>
      <w:lvlText w:val="%1."/>
      <w:legacy w:legacy="1" w:legacySpace="0" w:legacyIndent="567"/>
      <w:lvlJc w:val="left"/>
      <w:pPr>
        <w:ind w:left="567" w:hanging="567"/>
      </w:pPr>
    </w:lvl>
  </w:abstractNum>
  <w:abstractNum w:abstractNumId="13" w15:restartNumberingAfterBreak="0">
    <w:nsid w:val="5B4542B3"/>
    <w:multiLevelType w:val="hybridMultilevel"/>
    <w:tmpl w:val="0FFC9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20" w:hanging="360"/>
      </w:pPr>
      <w:rPr>
        <w:rFonts w:ascii="Courier New" w:hAnsi="Courier New" w:cs="Times New Roman" w:hint="default"/>
      </w:rPr>
    </w:lvl>
    <w:lvl w:ilvl="2" w:tplc="57BC44AE">
      <w:start w:val="1"/>
      <w:numFmt w:val="bullet"/>
      <w:lvlText w:val="꞉"/>
      <w:lvlJc w:val="left"/>
      <w:pPr>
        <w:ind w:left="1440" w:hanging="360"/>
      </w:pPr>
      <w:rPr>
        <w:rFonts w:ascii="Times New Roman" w:eastAsia="Times New Roman" w:hAnsi="Times New Roman" w:cs="Times New Roman"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Times New Roman"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Times New Roman" w:hint="default"/>
      </w:rPr>
    </w:lvl>
    <w:lvl w:ilvl="8" w:tplc="0C090005">
      <w:start w:val="1"/>
      <w:numFmt w:val="bullet"/>
      <w:lvlText w:val=""/>
      <w:lvlJc w:val="left"/>
      <w:pPr>
        <w:ind w:left="5760" w:hanging="360"/>
      </w:pPr>
      <w:rPr>
        <w:rFonts w:ascii="Wingdings" w:hAnsi="Wingdings" w:hint="default"/>
      </w:rPr>
    </w:lvl>
  </w:abstractNum>
  <w:abstractNum w:abstractNumId="14" w15:restartNumberingAfterBreak="0">
    <w:nsid w:val="5D902FE1"/>
    <w:multiLevelType w:val="hybridMultilevel"/>
    <w:tmpl w:val="FAAC34D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460064"/>
    <w:multiLevelType w:val="hybridMultilevel"/>
    <w:tmpl w:val="FD42660C"/>
    <w:lvl w:ilvl="0" w:tplc="2E7C92A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87BDB"/>
    <w:multiLevelType w:val="multilevel"/>
    <w:tmpl w:val="0E2032F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8"/>
        <w:szCs w:val="28"/>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9D6BB3"/>
    <w:multiLevelType w:val="hybridMultilevel"/>
    <w:tmpl w:val="4A2A89F6"/>
    <w:lvl w:ilvl="0" w:tplc="D2F2357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53B35AA"/>
    <w:multiLevelType w:val="hybridMultilevel"/>
    <w:tmpl w:val="D3B454F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15:restartNumberingAfterBreak="0">
    <w:nsid w:val="7A015392"/>
    <w:multiLevelType w:val="hybridMultilevel"/>
    <w:tmpl w:val="97BA3632"/>
    <w:lvl w:ilvl="0" w:tplc="D60E6302">
      <w:start w:val="1"/>
      <w:numFmt w:val="bullet"/>
      <w:lvlText w:val=""/>
      <w:lvlJc w:val="left"/>
      <w:pPr>
        <w:ind w:left="720" w:hanging="360"/>
      </w:pPr>
      <w:rPr>
        <w:rFonts w:ascii="Symbol" w:hAnsi="Symbol" w:hint="default"/>
        <w:sz w:val="20"/>
        <w:szCs w:val="20"/>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4"/>
  </w:num>
  <w:num w:numId="5">
    <w:abstractNumId w:val="1"/>
  </w:num>
  <w:num w:numId="6">
    <w:abstractNumId w:val="15"/>
  </w:num>
  <w:num w:numId="7">
    <w:abstractNumId w:val="10"/>
  </w:num>
  <w:num w:numId="8">
    <w:abstractNumId w:val="6"/>
  </w:num>
  <w:num w:numId="9">
    <w:abstractNumId w:val="14"/>
  </w:num>
  <w:num w:numId="10">
    <w:abstractNumId w:val="16"/>
  </w:num>
  <w:num w:numId="11">
    <w:abstractNumId w:val="7"/>
  </w:num>
  <w:num w:numId="12">
    <w:abstractNumId w:val="9"/>
  </w:num>
  <w:num w:numId="13">
    <w:abstractNumId w:val="11"/>
  </w:num>
  <w:num w:numId="14">
    <w:abstractNumId w:val="12"/>
    <w:lvlOverride w:ilvl="0">
      <w:startOverride w:val="2"/>
    </w:lvlOverride>
  </w:num>
  <w:num w:numId="15">
    <w:abstractNumId w:val="17"/>
  </w:num>
  <w:num w:numId="16">
    <w:abstractNumId w:val="13"/>
  </w:num>
  <w:num w:numId="17">
    <w:abstractNumId w:val="19"/>
  </w:num>
  <w:num w:numId="18">
    <w:abstractNumId w:val="8"/>
  </w:num>
  <w:num w:numId="19">
    <w:abstractNumId w:val="1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10"/>
    <w:rsid w:val="00003743"/>
    <w:rsid w:val="00025673"/>
    <w:rsid w:val="00065511"/>
    <w:rsid w:val="000665F8"/>
    <w:rsid w:val="00067456"/>
    <w:rsid w:val="00073442"/>
    <w:rsid w:val="00095322"/>
    <w:rsid w:val="000B4D53"/>
    <w:rsid w:val="000D1188"/>
    <w:rsid w:val="000E2597"/>
    <w:rsid w:val="00147FB6"/>
    <w:rsid w:val="00192A27"/>
    <w:rsid w:val="001B3443"/>
    <w:rsid w:val="001C0F82"/>
    <w:rsid w:val="001C63AF"/>
    <w:rsid w:val="001D6840"/>
    <w:rsid w:val="001E0172"/>
    <w:rsid w:val="002243C5"/>
    <w:rsid w:val="00234A57"/>
    <w:rsid w:val="00250A71"/>
    <w:rsid w:val="00253A8F"/>
    <w:rsid w:val="00256E84"/>
    <w:rsid w:val="0027398F"/>
    <w:rsid w:val="00274918"/>
    <w:rsid w:val="002B24B0"/>
    <w:rsid w:val="002C3E73"/>
    <w:rsid w:val="002D67D7"/>
    <w:rsid w:val="002E08D7"/>
    <w:rsid w:val="002E315D"/>
    <w:rsid w:val="002E606E"/>
    <w:rsid w:val="002E70CD"/>
    <w:rsid w:val="002F06ED"/>
    <w:rsid w:val="002F3AE3"/>
    <w:rsid w:val="0030786C"/>
    <w:rsid w:val="00315009"/>
    <w:rsid w:val="00345E64"/>
    <w:rsid w:val="00347C96"/>
    <w:rsid w:val="003769F6"/>
    <w:rsid w:val="00382B48"/>
    <w:rsid w:val="00384919"/>
    <w:rsid w:val="003C33BF"/>
    <w:rsid w:val="003D119E"/>
    <w:rsid w:val="003D17F9"/>
    <w:rsid w:val="003F7D92"/>
    <w:rsid w:val="0040353A"/>
    <w:rsid w:val="00414A72"/>
    <w:rsid w:val="004376BF"/>
    <w:rsid w:val="004377AB"/>
    <w:rsid w:val="00455EBD"/>
    <w:rsid w:val="00456124"/>
    <w:rsid w:val="004867E2"/>
    <w:rsid w:val="004B4B17"/>
    <w:rsid w:val="00503698"/>
    <w:rsid w:val="00520930"/>
    <w:rsid w:val="005262ED"/>
    <w:rsid w:val="00554D89"/>
    <w:rsid w:val="005907D0"/>
    <w:rsid w:val="005B1DF7"/>
    <w:rsid w:val="005B5179"/>
    <w:rsid w:val="00622329"/>
    <w:rsid w:val="00642ED2"/>
    <w:rsid w:val="0064614B"/>
    <w:rsid w:val="00662148"/>
    <w:rsid w:val="006632BD"/>
    <w:rsid w:val="00697AAC"/>
    <w:rsid w:val="007018D6"/>
    <w:rsid w:val="00706B13"/>
    <w:rsid w:val="00710FEF"/>
    <w:rsid w:val="00715260"/>
    <w:rsid w:val="0075395A"/>
    <w:rsid w:val="00755A70"/>
    <w:rsid w:val="00762629"/>
    <w:rsid w:val="00785BC2"/>
    <w:rsid w:val="00787642"/>
    <w:rsid w:val="0079049D"/>
    <w:rsid w:val="007B7E8F"/>
    <w:rsid w:val="007D027E"/>
    <w:rsid w:val="007E6F4C"/>
    <w:rsid w:val="007E7997"/>
    <w:rsid w:val="007E7A53"/>
    <w:rsid w:val="007F0613"/>
    <w:rsid w:val="007F55DF"/>
    <w:rsid w:val="00812305"/>
    <w:rsid w:val="0081625D"/>
    <w:rsid w:val="00817F42"/>
    <w:rsid w:val="008264EB"/>
    <w:rsid w:val="008529A5"/>
    <w:rsid w:val="00854C29"/>
    <w:rsid w:val="0086424C"/>
    <w:rsid w:val="00890574"/>
    <w:rsid w:val="008D605D"/>
    <w:rsid w:val="00905F48"/>
    <w:rsid w:val="00916E40"/>
    <w:rsid w:val="009378FD"/>
    <w:rsid w:val="00944D2F"/>
    <w:rsid w:val="009B0E32"/>
    <w:rsid w:val="009B23F9"/>
    <w:rsid w:val="009C3048"/>
    <w:rsid w:val="009C5500"/>
    <w:rsid w:val="009F5CD9"/>
    <w:rsid w:val="00A275F8"/>
    <w:rsid w:val="00A32D96"/>
    <w:rsid w:val="00A37041"/>
    <w:rsid w:val="00A419B8"/>
    <w:rsid w:val="00A4512D"/>
    <w:rsid w:val="00A5422E"/>
    <w:rsid w:val="00A64D34"/>
    <w:rsid w:val="00A65999"/>
    <w:rsid w:val="00A67483"/>
    <w:rsid w:val="00A705AF"/>
    <w:rsid w:val="00A87054"/>
    <w:rsid w:val="00AB07C7"/>
    <w:rsid w:val="00AB63F1"/>
    <w:rsid w:val="00AC5AB6"/>
    <w:rsid w:val="00AD4B2C"/>
    <w:rsid w:val="00AD7873"/>
    <w:rsid w:val="00AE1129"/>
    <w:rsid w:val="00AE72C3"/>
    <w:rsid w:val="00B07D03"/>
    <w:rsid w:val="00B42851"/>
    <w:rsid w:val="00B47749"/>
    <w:rsid w:val="00B52530"/>
    <w:rsid w:val="00B566F8"/>
    <w:rsid w:val="00B8420D"/>
    <w:rsid w:val="00BB0810"/>
    <w:rsid w:val="00BB4539"/>
    <w:rsid w:val="00BD0821"/>
    <w:rsid w:val="00BF3EBF"/>
    <w:rsid w:val="00C056A8"/>
    <w:rsid w:val="00C06AF0"/>
    <w:rsid w:val="00C135FD"/>
    <w:rsid w:val="00C25E4C"/>
    <w:rsid w:val="00C3382F"/>
    <w:rsid w:val="00C37E93"/>
    <w:rsid w:val="00C539E8"/>
    <w:rsid w:val="00C642F7"/>
    <w:rsid w:val="00CB5B1A"/>
    <w:rsid w:val="00CB6E68"/>
    <w:rsid w:val="00CC409E"/>
    <w:rsid w:val="00CE2EDA"/>
    <w:rsid w:val="00CE7430"/>
    <w:rsid w:val="00CF1510"/>
    <w:rsid w:val="00D35679"/>
    <w:rsid w:val="00D54432"/>
    <w:rsid w:val="00D73D8D"/>
    <w:rsid w:val="00DB33F9"/>
    <w:rsid w:val="00DD00E1"/>
    <w:rsid w:val="00E05DD0"/>
    <w:rsid w:val="00E12FF0"/>
    <w:rsid w:val="00E444FC"/>
    <w:rsid w:val="00E47E66"/>
    <w:rsid w:val="00E52A00"/>
    <w:rsid w:val="00E607D3"/>
    <w:rsid w:val="00E739DE"/>
    <w:rsid w:val="00E7621B"/>
    <w:rsid w:val="00EA35C6"/>
    <w:rsid w:val="00ED69A9"/>
    <w:rsid w:val="00EF3FA3"/>
    <w:rsid w:val="00EF6734"/>
    <w:rsid w:val="00EF7F88"/>
    <w:rsid w:val="00F2445C"/>
    <w:rsid w:val="00F24959"/>
    <w:rsid w:val="00F43402"/>
    <w:rsid w:val="00F44E22"/>
    <w:rsid w:val="00F61431"/>
    <w:rsid w:val="00F8259B"/>
    <w:rsid w:val="00F95651"/>
    <w:rsid w:val="00F964EC"/>
    <w:rsid w:val="00FA1801"/>
    <w:rsid w:val="00FA36E0"/>
    <w:rsid w:val="00FA4A6B"/>
    <w:rsid w:val="00FD4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5F6D528"/>
  <w15:docId w15:val="{DB8442A8-3407-4947-A37E-A7CE1982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E64"/>
    <w:pPr>
      <w:spacing w:after="200" w:line="276" w:lineRule="auto"/>
    </w:pPr>
    <w:rPr>
      <w:rFonts w:eastAsiaTheme="minorHAnsi" w:cstheme="minorBidi"/>
      <w:sz w:val="24"/>
      <w:szCs w:val="22"/>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CV t"/>
    <w:basedOn w:val="Normal"/>
    <w:link w:val="ListParagraphChar"/>
    <w:uiPriority w:val="34"/>
    <w:qFormat/>
    <w:rsid w:val="00A4512D"/>
    <w:pPr>
      <w:ind w:left="720"/>
      <w:contextualSpacing/>
    </w:pPr>
  </w:style>
  <w:style w:type="paragraph" w:customStyle="1" w:styleId="Default">
    <w:name w:val="Default"/>
    <w:rsid w:val="00BB0810"/>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345E64"/>
    <w:rPr>
      <w:color w:val="0000FF"/>
      <w:u w:val="single"/>
    </w:rPr>
  </w:style>
  <w:style w:type="paragraph" w:styleId="FootnoteText">
    <w:name w:val="footnote text"/>
    <w:basedOn w:val="Normal"/>
    <w:link w:val="FootnoteTextChar"/>
    <w:uiPriority w:val="99"/>
    <w:unhideWhenUsed/>
    <w:rsid w:val="00345E64"/>
    <w:pPr>
      <w:spacing w:after="0" w:line="240" w:lineRule="auto"/>
    </w:pPr>
    <w:rPr>
      <w:sz w:val="20"/>
      <w:szCs w:val="20"/>
    </w:rPr>
  </w:style>
  <w:style w:type="character" w:customStyle="1" w:styleId="FootnoteTextChar">
    <w:name w:val="Footnote Text Char"/>
    <w:basedOn w:val="DefaultParagraphFont"/>
    <w:link w:val="FootnoteText"/>
    <w:uiPriority w:val="99"/>
    <w:rsid w:val="00345E64"/>
    <w:rPr>
      <w:rFonts w:eastAsiaTheme="minorHAnsi" w:cstheme="minorBidi"/>
      <w:lang w:eastAsia="en-US"/>
    </w:rPr>
  </w:style>
  <w:style w:type="character" w:styleId="FootnoteReference">
    <w:name w:val="footnote reference"/>
    <w:basedOn w:val="DefaultParagraphFont"/>
    <w:uiPriority w:val="99"/>
    <w:unhideWhenUsed/>
    <w:rsid w:val="00345E64"/>
    <w:rPr>
      <w:vertAlign w:val="superscript"/>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0D1188"/>
    <w:rPr>
      <w:rFonts w:eastAsiaTheme="minorHAnsi" w:cstheme="minorBidi"/>
      <w:sz w:val="24"/>
      <w:szCs w:val="22"/>
      <w:lang w:eastAsia="en-US"/>
    </w:rPr>
  </w:style>
  <w:style w:type="paragraph" w:styleId="NormalWeb">
    <w:name w:val="Normal (Web)"/>
    <w:basedOn w:val="Normal"/>
    <w:uiPriority w:val="99"/>
    <w:unhideWhenUsed/>
    <w:rsid w:val="000B4D53"/>
    <w:pPr>
      <w:spacing w:before="100" w:beforeAutospacing="1" w:after="100" w:afterAutospacing="1" w:line="240" w:lineRule="auto"/>
    </w:pPr>
    <w:rPr>
      <w:rFonts w:eastAsia="Times New Roman" w:cs="Times New Roman"/>
      <w:szCs w:val="24"/>
      <w:lang w:val="en-US"/>
    </w:rPr>
  </w:style>
  <w:style w:type="paragraph" w:styleId="Header">
    <w:name w:val="header"/>
    <w:basedOn w:val="Normal"/>
    <w:link w:val="HeaderChar"/>
    <w:unhideWhenUsed/>
    <w:rsid w:val="00AB63F1"/>
    <w:pPr>
      <w:tabs>
        <w:tab w:val="center" w:pos="4513"/>
        <w:tab w:val="right" w:pos="9026"/>
      </w:tabs>
      <w:spacing w:after="0" w:line="240" w:lineRule="auto"/>
    </w:pPr>
  </w:style>
  <w:style w:type="character" w:customStyle="1" w:styleId="HeaderChar">
    <w:name w:val="Header Char"/>
    <w:basedOn w:val="DefaultParagraphFont"/>
    <w:link w:val="Header"/>
    <w:rsid w:val="00AB63F1"/>
    <w:rPr>
      <w:rFonts w:eastAsiaTheme="minorHAnsi" w:cstheme="minorBidi"/>
      <w:sz w:val="24"/>
      <w:szCs w:val="22"/>
      <w:lang w:eastAsia="en-US"/>
    </w:rPr>
  </w:style>
  <w:style w:type="paragraph" w:styleId="Footer">
    <w:name w:val="footer"/>
    <w:basedOn w:val="Normal"/>
    <w:link w:val="FooterChar"/>
    <w:uiPriority w:val="99"/>
    <w:unhideWhenUsed/>
    <w:rsid w:val="00AB6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3F1"/>
    <w:rPr>
      <w:rFonts w:eastAsiaTheme="minorHAnsi" w:cstheme="minorBidi"/>
      <w:sz w:val="24"/>
      <w:szCs w:val="22"/>
      <w:lang w:eastAsia="en-US"/>
    </w:rPr>
  </w:style>
  <w:style w:type="paragraph" w:styleId="CommentText">
    <w:name w:val="annotation text"/>
    <w:basedOn w:val="Normal"/>
    <w:link w:val="CommentTextChar"/>
    <w:uiPriority w:val="99"/>
    <w:unhideWhenUsed/>
    <w:rsid w:val="003F7D92"/>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7D92"/>
    <w:rPr>
      <w:rFonts w:asciiTheme="minorHAnsi" w:eastAsiaTheme="minorHAnsi" w:hAnsiTheme="minorHAnsi" w:cstheme="minorBidi"/>
      <w:lang w:eastAsia="en-US"/>
    </w:rPr>
  </w:style>
  <w:style w:type="paragraph" w:customStyle="1" w:styleId="Paragraphnumbered">
    <w:name w:val="Paragraph (numbered)"/>
    <w:basedOn w:val="Normal"/>
    <w:uiPriority w:val="99"/>
    <w:rsid w:val="000665F8"/>
    <w:pPr>
      <w:numPr>
        <w:numId w:val="14"/>
      </w:numPr>
      <w:spacing w:before="240" w:after="0" w:line="360" w:lineRule="auto"/>
    </w:pPr>
    <w:rPr>
      <w:rFonts w:cs="Times New Roman"/>
      <w:szCs w:val="24"/>
      <w:lang w:eastAsia="en-AU"/>
    </w:rPr>
  </w:style>
  <w:style w:type="character" w:styleId="CommentReference">
    <w:name w:val="annotation reference"/>
    <w:basedOn w:val="DefaultParagraphFont"/>
    <w:semiHidden/>
    <w:unhideWhenUsed/>
    <w:rsid w:val="00ED69A9"/>
    <w:rPr>
      <w:sz w:val="16"/>
      <w:szCs w:val="16"/>
    </w:rPr>
  </w:style>
  <w:style w:type="paragraph" w:styleId="CommentSubject">
    <w:name w:val="annotation subject"/>
    <w:basedOn w:val="CommentText"/>
    <w:next w:val="CommentText"/>
    <w:link w:val="CommentSubjectChar"/>
    <w:semiHidden/>
    <w:unhideWhenUsed/>
    <w:rsid w:val="00ED69A9"/>
    <w:rPr>
      <w:rFonts w:ascii="Times New Roman" w:hAnsi="Times New Roman"/>
      <w:b/>
      <w:bCs/>
    </w:rPr>
  </w:style>
  <w:style w:type="character" w:customStyle="1" w:styleId="CommentSubjectChar">
    <w:name w:val="Comment Subject Char"/>
    <w:basedOn w:val="CommentTextChar"/>
    <w:link w:val="CommentSubject"/>
    <w:semiHidden/>
    <w:rsid w:val="00ED69A9"/>
    <w:rPr>
      <w:rFonts w:asciiTheme="minorHAnsi" w:eastAsiaTheme="minorHAnsi" w:hAnsiTheme="minorHAnsi" w:cstheme="minorBidi"/>
      <w:b/>
      <w:bCs/>
      <w:lang w:eastAsia="en-US"/>
    </w:rPr>
  </w:style>
  <w:style w:type="paragraph" w:styleId="BalloonText">
    <w:name w:val="Balloon Text"/>
    <w:basedOn w:val="Normal"/>
    <w:link w:val="BalloonTextChar"/>
    <w:semiHidden/>
    <w:unhideWhenUsed/>
    <w:rsid w:val="00ED6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D69A9"/>
    <w:rPr>
      <w:rFonts w:ascii="Tahoma" w:eastAsiaTheme="minorHAnsi" w:hAnsi="Tahoma" w:cs="Tahoma"/>
      <w:sz w:val="16"/>
      <w:szCs w:val="16"/>
      <w:lang w:eastAsia="en-US"/>
    </w:rPr>
  </w:style>
  <w:style w:type="character" w:customStyle="1" w:styleId="st1">
    <w:name w:val="st1"/>
    <w:basedOn w:val="DefaultParagraphFont"/>
    <w:rsid w:val="009C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0424">
      <w:bodyDiv w:val="1"/>
      <w:marLeft w:val="0"/>
      <w:marRight w:val="0"/>
      <w:marTop w:val="0"/>
      <w:marBottom w:val="0"/>
      <w:divBdr>
        <w:top w:val="none" w:sz="0" w:space="0" w:color="auto"/>
        <w:left w:val="none" w:sz="0" w:space="0" w:color="auto"/>
        <w:bottom w:val="none" w:sz="0" w:space="0" w:color="auto"/>
        <w:right w:val="none" w:sz="0" w:space="0" w:color="auto"/>
      </w:divBdr>
      <w:divsChild>
        <w:div w:id="1518622029">
          <w:marLeft w:val="0"/>
          <w:marRight w:val="0"/>
          <w:marTop w:val="0"/>
          <w:marBottom w:val="0"/>
          <w:divBdr>
            <w:top w:val="none" w:sz="0" w:space="0" w:color="auto"/>
            <w:left w:val="none" w:sz="0" w:space="0" w:color="auto"/>
            <w:bottom w:val="none" w:sz="0" w:space="0" w:color="auto"/>
            <w:right w:val="none" w:sz="0" w:space="0" w:color="auto"/>
          </w:divBdr>
          <w:divsChild>
            <w:div w:id="693383324">
              <w:marLeft w:val="0"/>
              <w:marRight w:val="0"/>
              <w:marTop w:val="0"/>
              <w:marBottom w:val="0"/>
              <w:divBdr>
                <w:top w:val="none" w:sz="0" w:space="0" w:color="auto"/>
                <w:left w:val="none" w:sz="0" w:space="0" w:color="auto"/>
                <w:bottom w:val="none" w:sz="0" w:space="0" w:color="auto"/>
                <w:right w:val="none" w:sz="0" w:space="0" w:color="auto"/>
              </w:divBdr>
              <w:divsChild>
                <w:div w:id="1950117383">
                  <w:marLeft w:val="0"/>
                  <w:marRight w:val="0"/>
                  <w:marTop w:val="0"/>
                  <w:marBottom w:val="0"/>
                  <w:divBdr>
                    <w:top w:val="none" w:sz="0" w:space="0" w:color="auto"/>
                    <w:left w:val="none" w:sz="0" w:space="0" w:color="auto"/>
                    <w:bottom w:val="none" w:sz="0" w:space="0" w:color="auto"/>
                    <w:right w:val="none" w:sz="0" w:space="0" w:color="auto"/>
                  </w:divBdr>
                  <w:divsChild>
                    <w:div w:id="12576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3288">
      <w:bodyDiv w:val="1"/>
      <w:marLeft w:val="0"/>
      <w:marRight w:val="0"/>
      <w:marTop w:val="0"/>
      <w:marBottom w:val="0"/>
      <w:divBdr>
        <w:top w:val="none" w:sz="0" w:space="0" w:color="auto"/>
        <w:left w:val="none" w:sz="0" w:space="0" w:color="auto"/>
        <w:bottom w:val="none" w:sz="0" w:space="0" w:color="auto"/>
        <w:right w:val="none" w:sz="0" w:space="0" w:color="auto"/>
      </w:divBdr>
    </w:div>
    <w:div w:id="255407525">
      <w:bodyDiv w:val="1"/>
      <w:marLeft w:val="0"/>
      <w:marRight w:val="0"/>
      <w:marTop w:val="0"/>
      <w:marBottom w:val="0"/>
      <w:divBdr>
        <w:top w:val="none" w:sz="0" w:space="0" w:color="auto"/>
        <w:left w:val="none" w:sz="0" w:space="0" w:color="auto"/>
        <w:bottom w:val="none" w:sz="0" w:space="0" w:color="auto"/>
        <w:right w:val="none" w:sz="0" w:space="0" w:color="auto"/>
      </w:divBdr>
      <w:divsChild>
        <w:div w:id="1723555193">
          <w:marLeft w:val="0"/>
          <w:marRight w:val="0"/>
          <w:marTop w:val="0"/>
          <w:marBottom w:val="0"/>
          <w:divBdr>
            <w:top w:val="none" w:sz="0" w:space="0" w:color="auto"/>
            <w:left w:val="none" w:sz="0" w:space="0" w:color="auto"/>
            <w:bottom w:val="none" w:sz="0" w:space="0" w:color="auto"/>
            <w:right w:val="none" w:sz="0" w:space="0" w:color="auto"/>
          </w:divBdr>
          <w:divsChild>
            <w:div w:id="771316865">
              <w:marLeft w:val="0"/>
              <w:marRight w:val="0"/>
              <w:marTop w:val="0"/>
              <w:marBottom w:val="0"/>
              <w:divBdr>
                <w:top w:val="none" w:sz="0" w:space="0" w:color="auto"/>
                <w:left w:val="none" w:sz="0" w:space="0" w:color="auto"/>
                <w:bottom w:val="none" w:sz="0" w:space="0" w:color="auto"/>
                <w:right w:val="none" w:sz="0" w:space="0" w:color="auto"/>
              </w:divBdr>
              <w:divsChild>
                <w:div w:id="1777283301">
                  <w:marLeft w:val="0"/>
                  <w:marRight w:val="0"/>
                  <w:marTop w:val="0"/>
                  <w:marBottom w:val="0"/>
                  <w:divBdr>
                    <w:top w:val="none" w:sz="0" w:space="0" w:color="auto"/>
                    <w:left w:val="none" w:sz="0" w:space="0" w:color="auto"/>
                    <w:bottom w:val="none" w:sz="0" w:space="0" w:color="auto"/>
                    <w:right w:val="none" w:sz="0" w:space="0" w:color="auto"/>
                  </w:divBdr>
                  <w:divsChild>
                    <w:div w:id="928540402">
                      <w:marLeft w:val="0"/>
                      <w:marRight w:val="0"/>
                      <w:marTop w:val="0"/>
                      <w:marBottom w:val="0"/>
                      <w:divBdr>
                        <w:top w:val="none" w:sz="0" w:space="0" w:color="auto"/>
                        <w:left w:val="none" w:sz="0" w:space="0" w:color="auto"/>
                        <w:bottom w:val="none" w:sz="0" w:space="0" w:color="auto"/>
                        <w:right w:val="none" w:sz="0" w:space="0" w:color="auto"/>
                      </w:divBdr>
                    </w:div>
                  </w:divsChild>
                </w:div>
                <w:div w:id="1803034287">
                  <w:marLeft w:val="0"/>
                  <w:marRight w:val="0"/>
                  <w:marTop w:val="0"/>
                  <w:marBottom w:val="0"/>
                  <w:divBdr>
                    <w:top w:val="none" w:sz="0" w:space="0" w:color="auto"/>
                    <w:left w:val="none" w:sz="0" w:space="0" w:color="auto"/>
                    <w:bottom w:val="none" w:sz="0" w:space="0" w:color="auto"/>
                    <w:right w:val="none" w:sz="0" w:space="0" w:color="auto"/>
                  </w:divBdr>
                  <w:divsChild>
                    <w:div w:id="13349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07174">
      <w:bodyDiv w:val="1"/>
      <w:marLeft w:val="0"/>
      <w:marRight w:val="0"/>
      <w:marTop w:val="0"/>
      <w:marBottom w:val="0"/>
      <w:divBdr>
        <w:top w:val="none" w:sz="0" w:space="0" w:color="auto"/>
        <w:left w:val="none" w:sz="0" w:space="0" w:color="auto"/>
        <w:bottom w:val="none" w:sz="0" w:space="0" w:color="auto"/>
        <w:right w:val="none" w:sz="0" w:space="0" w:color="auto"/>
      </w:divBdr>
    </w:div>
    <w:div w:id="656350315">
      <w:bodyDiv w:val="1"/>
      <w:marLeft w:val="0"/>
      <w:marRight w:val="0"/>
      <w:marTop w:val="0"/>
      <w:marBottom w:val="0"/>
      <w:divBdr>
        <w:top w:val="none" w:sz="0" w:space="0" w:color="auto"/>
        <w:left w:val="none" w:sz="0" w:space="0" w:color="auto"/>
        <w:bottom w:val="none" w:sz="0" w:space="0" w:color="auto"/>
        <w:right w:val="none" w:sz="0" w:space="0" w:color="auto"/>
      </w:divBdr>
    </w:div>
    <w:div w:id="710495258">
      <w:bodyDiv w:val="1"/>
      <w:marLeft w:val="0"/>
      <w:marRight w:val="0"/>
      <w:marTop w:val="0"/>
      <w:marBottom w:val="0"/>
      <w:divBdr>
        <w:top w:val="none" w:sz="0" w:space="0" w:color="auto"/>
        <w:left w:val="none" w:sz="0" w:space="0" w:color="auto"/>
        <w:bottom w:val="none" w:sz="0" w:space="0" w:color="auto"/>
        <w:right w:val="none" w:sz="0" w:space="0" w:color="auto"/>
      </w:divBdr>
      <w:divsChild>
        <w:div w:id="1132601881">
          <w:marLeft w:val="0"/>
          <w:marRight w:val="0"/>
          <w:marTop w:val="0"/>
          <w:marBottom w:val="0"/>
          <w:divBdr>
            <w:top w:val="none" w:sz="0" w:space="0" w:color="auto"/>
            <w:left w:val="none" w:sz="0" w:space="0" w:color="auto"/>
            <w:bottom w:val="none" w:sz="0" w:space="0" w:color="auto"/>
            <w:right w:val="none" w:sz="0" w:space="0" w:color="auto"/>
          </w:divBdr>
          <w:divsChild>
            <w:div w:id="1017123669">
              <w:marLeft w:val="0"/>
              <w:marRight w:val="0"/>
              <w:marTop w:val="0"/>
              <w:marBottom w:val="0"/>
              <w:divBdr>
                <w:top w:val="none" w:sz="0" w:space="0" w:color="auto"/>
                <w:left w:val="none" w:sz="0" w:space="0" w:color="auto"/>
                <w:bottom w:val="none" w:sz="0" w:space="0" w:color="auto"/>
                <w:right w:val="none" w:sz="0" w:space="0" w:color="auto"/>
              </w:divBdr>
              <w:divsChild>
                <w:div w:id="302850252">
                  <w:marLeft w:val="0"/>
                  <w:marRight w:val="0"/>
                  <w:marTop w:val="0"/>
                  <w:marBottom w:val="0"/>
                  <w:divBdr>
                    <w:top w:val="none" w:sz="0" w:space="0" w:color="auto"/>
                    <w:left w:val="none" w:sz="0" w:space="0" w:color="auto"/>
                    <w:bottom w:val="none" w:sz="0" w:space="0" w:color="auto"/>
                    <w:right w:val="none" w:sz="0" w:space="0" w:color="auto"/>
                  </w:divBdr>
                  <w:divsChild>
                    <w:div w:id="13682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519677">
      <w:bodyDiv w:val="1"/>
      <w:marLeft w:val="0"/>
      <w:marRight w:val="0"/>
      <w:marTop w:val="0"/>
      <w:marBottom w:val="0"/>
      <w:divBdr>
        <w:top w:val="none" w:sz="0" w:space="0" w:color="auto"/>
        <w:left w:val="none" w:sz="0" w:space="0" w:color="auto"/>
        <w:bottom w:val="none" w:sz="0" w:space="0" w:color="auto"/>
        <w:right w:val="none" w:sz="0" w:space="0" w:color="auto"/>
      </w:divBdr>
    </w:div>
    <w:div w:id="812451132">
      <w:bodyDiv w:val="1"/>
      <w:marLeft w:val="0"/>
      <w:marRight w:val="0"/>
      <w:marTop w:val="0"/>
      <w:marBottom w:val="0"/>
      <w:divBdr>
        <w:top w:val="none" w:sz="0" w:space="0" w:color="auto"/>
        <w:left w:val="none" w:sz="0" w:space="0" w:color="auto"/>
        <w:bottom w:val="none" w:sz="0" w:space="0" w:color="auto"/>
        <w:right w:val="none" w:sz="0" w:space="0" w:color="auto"/>
      </w:divBdr>
      <w:divsChild>
        <w:div w:id="701908041">
          <w:marLeft w:val="0"/>
          <w:marRight w:val="0"/>
          <w:marTop w:val="0"/>
          <w:marBottom w:val="0"/>
          <w:divBdr>
            <w:top w:val="none" w:sz="0" w:space="0" w:color="auto"/>
            <w:left w:val="none" w:sz="0" w:space="0" w:color="auto"/>
            <w:bottom w:val="none" w:sz="0" w:space="0" w:color="auto"/>
            <w:right w:val="none" w:sz="0" w:space="0" w:color="auto"/>
          </w:divBdr>
          <w:divsChild>
            <w:div w:id="1212695354">
              <w:marLeft w:val="0"/>
              <w:marRight w:val="0"/>
              <w:marTop w:val="0"/>
              <w:marBottom w:val="0"/>
              <w:divBdr>
                <w:top w:val="none" w:sz="0" w:space="0" w:color="auto"/>
                <w:left w:val="none" w:sz="0" w:space="0" w:color="auto"/>
                <w:bottom w:val="none" w:sz="0" w:space="0" w:color="auto"/>
                <w:right w:val="none" w:sz="0" w:space="0" w:color="auto"/>
              </w:divBdr>
              <w:divsChild>
                <w:div w:id="1706098950">
                  <w:marLeft w:val="0"/>
                  <w:marRight w:val="0"/>
                  <w:marTop w:val="0"/>
                  <w:marBottom w:val="0"/>
                  <w:divBdr>
                    <w:top w:val="none" w:sz="0" w:space="0" w:color="auto"/>
                    <w:left w:val="none" w:sz="0" w:space="0" w:color="auto"/>
                    <w:bottom w:val="none" w:sz="0" w:space="0" w:color="auto"/>
                    <w:right w:val="none" w:sz="0" w:space="0" w:color="auto"/>
                  </w:divBdr>
                  <w:divsChild>
                    <w:div w:id="5929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183005">
      <w:bodyDiv w:val="1"/>
      <w:marLeft w:val="0"/>
      <w:marRight w:val="0"/>
      <w:marTop w:val="0"/>
      <w:marBottom w:val="0"/>
      <w:divBdr>
        <w:top w:val="none" w:sz="0" w:space="0" w:color="auto"/>
        <w:left w:val="none" w:sz="0" w:space="0" w:color="auto"/>
        <w:bottom w:val="none" w:sz="0" w:space="0" w:color="auto"/>
        <w:right w:val="none" w:sz="0" w:space="0" w:color="auto"/>
      </w:divBdr>
    </w:div>
    <w:div w:id="868906801">
      <w:bodyDiv w:val="1"/>
      <w:marLeft w:val="0"/>
      <w:marRight w:val="0"/>
      <w:marTop w:val="0"/>
      <w:marBottom w:val="0"/>
      <w:divBdr>
        <w:top w:val="none" w:sz="0" w:space="0" w:color="auto"/>
        <w:left w:val="none" w:sz="0" w:space="0" w:color="auto"/>
        <w:bottom w:val="none" w:sz="0" w:space="0" w:color="auto"/>
        <w:right w:val="none" w:sz="0" w:space="0" w:color="auto"/>
      </w:divBdr>
      <w:divsChild>
        <w:div w:id="1799301594">
          <w:marLeft w:val="0"/>
          <w:marRight w:val="0"/>
          <w:marTop w:val="0"/>
          <w:marBottom w:val="0"/>
          <w:divBdr>
            <w:top w:val="none" w:sz="0" w:space="0" w:color="auto"/>
            <w:left w:val="none" w:sz="0" w:space="0" w:color="auto"/>
            <w:bottom w:val="none" w:sz="0" w:space="0" w:color="auto"/>
            <w:right w:val="none" w:sz="0" w:space="0" w:color="auto"/>
          </w:divBdr>
          <w:divsChild>
            <w:div w:id="21640152">
              <w:marLeft w:val="0"/>
              <w:marRight w:val="0"/>
              <w:marTop w:val="0"/>
              <w:marBottom w:val="0"/>
              <w:divBdr>
                <w:top w:val="none" w:sz="0" w:space="0" w:color="auto"/>
                <w:left w:val="none" w:sz="0" w:space="0" w:color="auto"/>
                <w:bottom w:val="none" w:sz="0" w:space="0" w:color="auto"/>
                <w:right w:val="none" w:sz="0" w:space="0" w:color="auto"/>
              </w:divBdr>
              <w:divsChild>
                <w:div w:id="180097092">
                  <w:marLeft w:val="0"/>
                  <w:marRight w:val="0"/>
                  <w:marTop w:val="0"/>
                  <w:marBottom w:val="0"/>
                  <w:divBdr>
                    <w:top w:val="none" w:sz="0" w:space="0" w:color="auto"/>
                    <w:left w:val="none" w:sz="0" w:space="0" w:color="auto"/>
                    <w:bottom w:val="none" w:sz="0" w:space="0" w:color="auto"/>
                    <w:right w:val="none" w:sz="0" w:space="0" w:color="auto"/>
                  </w:divBdr>
                  <w:divsChild>
                    <w:div w:id="909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53768">
      <w:bodyDiv w:val="1"/>
      <w:marLeft w:val="0"/>
      <w:marRight w:val="0"/>
      <w:marTop w:val="0"/>
      <w:marBottom w:val="0"/>
      <w:divBdr>
        <w:top w:val="none" w:sz="0" w:space="0" w:color="auto"/>
        <w:left w:val="none" w:sz="0" w:space="0" w:color="auto"/>
        <w:bottom w:val="none" w:sz="0" w:space="0" w:color="auto"/>
        <w:right w:val="none" w:sz="0" w:space="0" w:color="auto"/>
      </w:divBdr>
      <w:divsChild>
        <w:div w:id="588857554">
          <w:marLeft w:val="0"/>
          <w:marRight w:val="0"/>
          <w:marTop w:val="0"/>
          <w:marBottom w:val="0"/>
          <w:divBdr>
            <w:top w:val="none" w:sz="0" w:space="0" w:color="auto"/>
            <w:left w:val="none" w:sz="0" w:space="0" w:color="auto"/>
            <w:bottom w:val="none" w:sz="0" w:space="0" w:color="auto"/>
            <w:right w:val="none" w:sz="0" w:space="0" w:color="auto"/>
          </w:divBdr>
          <w:divsChild>
            <w:div w:id="12650994">
              <w:marLeft w:val="0"/>
              <w:marRight w:val="0"/>
              <w:marTop w:val="0"/>
              <w:marBottom w:val="0"/>
              <w:divBdr>
                <w:top w:val="none" w:sz="0" w:space="0" w:color="auto"/>
                <w:left w:val="none" w:sz="0" w:space="0" w:color="auto"/>
                <w:bottom w:val="none" w:sz="0" w:space="0" w:color="auto"/>
                <w:right w:val="none" w:sz="0" w:space="0" w:color="auto"/>
              </w:divBdr>
              <w:divsChild>
                <w:div w:id="263155283">
                  <w:marLeft w:val="0"/>
                  <w:marRight w:val="0"/>
                  <w:marTop w:val="0"/>
                  <w:marBottom w:val="0"/>
                  <w:divBdr>
                    <w:top w:val="none" w:sz="0" w:space="0" w:color="auto"/>
                    <w:left w:val="none" w:sz="0" w:space="0" w:color="auto"/>
                    <w:bottom w:val="none" w:sz="0" w:space="0" w:color="auto"/>
                    <w:right w:val="none" w:sz="0" w:space="0" w:color="auto"/>
                  </w:divBdr>
                  <w:divsChild>
                    <w:div w:id="16407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6772">
      <w:bodyDiv w:val="1"/>
      <w:marLeft w:val="0"/>
      <w:marRight w:val="0"/>
      <w:marTop w:val="0"/>
      <w:marBottom w:val="0"/>
      <w:divBdr>
        <w:top w:val="none" w:sz="0" w:space="0" w:color="auto"/>
        <w:left w:val="none" w:sz="0" w:space="0" w:color="auto"/>
        <w:bottom w:val="none" w:sz="0" w:space="0" w:color="auto"/>
        <w:right w:val="none" w:sz="0" w:space="0" w:color="auto"/>
      </w:divBdr>
      <w:divsChild>
        <w:div w:id="273055431">
          <w:marLeft w:val="0"/>
          <w:marRight w:val="0"/>
          <w:marTop w:val="0"/>
          <w:marBottom w:val="0"/>
          <w:divBdr>
            <w:top w:val="none" w:sz="0" w:space="0" w:color="auto"/>
            <w:left w:val="none" w:sz="0" w:space="0" w:color="auto"/>
            <w:bottom w:val="none" w:sz="0" w:space="0" w:color="auto"/>
            <w:right w:val="none" w:sz="0" w:space="0" w:color="auto"/>
          </w:divBdr>
          <w:divsChild>
            <w:div w:id="611909979">
              <w:marLeft w:val="0"/>
              <w:marRight w:val="0"/>
              <w:marTop w:val="0"/>
              <w:marBottom w:val="0"/>
              <w:divBdr>
                <w:top w:val="none" w:sz="0" w:space="0" w:color="auto"/>
                <w:left w:val="none" w:sz="0" w:space="0" w:color="auto"/>
                <w:bottom w:val="none" w:sz="0" w:space="0" w:color="auto"/>
                <w:right w:val="none" w:sz="0" w:space="0" w:color="auto"/>
              </w:divBdr>
              <w:divsChild>
                <w:div w:id="2063362567">
                  <w:marLeft w:val="0"/>
                  <w:marRight w:val="0"/>
                  <w:marTop w:val="0"/>
                  <w:marBottom w:val="0"/>
                  <w:divBdr>
                    <w:top w:val="none" w:sz="0" w:space="0" w:color="auto"/>
                    <w:left w:val="none" w:sz="0" w:space="0" w:color="auto"/>
                    <w:bottom w:val="none" w:sz="0" w:space="0" w:color="auto"/>
                    <w:right w:val="none" w:sz="0" w:space="0" w:color="auto"/>
                  </w:divBdr>
                  <w:divsChild>
                    <w:div w:id="5380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72017">
      <w:bodyDiv w:val="1"/>
      <w:marLeft w:val="0"/>
      <w:marRight w:val="0"/>
      <w:marTop w:val="0"/>
      <w:marBottom w:val="0"/>
      <w:divBdr>
        <w:top w:val="none" w:sz="0" w:space="0" w:color="auto"/>
        <w:left w:val="none" w:sz="0" w:space="0" w:color="auto"/>
        <w:bottom w:val="none" w:sz="0" w:space="0" w:color="auto"/>
        <w:right w:val="none" w:sz="0" w:space="0" w:color="auto"/>
      </w:divBdr>
    </w:div>
    <w:div w:id="1408723554">
      <w:bodyDiv w:val="1"/>
      <w:marLeft w:val="0"/>
      <w:marRight w:val="0"/>
      <w:marTop w:val="0"/>
      <w:marBottom w:val="0"/>
      <w:divBdr>
        <w:top w:val="none" w:sz="0" w:space="0" w:color="auto"/>
        <w:left w:val="none" w:sz="0" w:space="0" w:color="auto"/>
        <w:bottom w:val="none" w:sz="0" w:space="0" w:color="auto"/>
        <w:right w:val="none" w:sz="0" w:space="0" w:color="auto"/>
      </w:divBdr>
      <w:divsChild>
        <w:div w:id="1383754058">
          <w:marLeft w:val="0"/>
          <w:marRight w:val="0"/>
          <w:marTop w:val="0"/>
          <w:marBottom w:val="0"/>
          <w:divBdr>
            <w:top w:val="none" w:sz="0" w:space="0" w:color="auto"/>
            <w:left w:val="none" w:sz="0" w:space="0" w:color="auto"/>
            <w:bottom w:val="none" w:sz="0" w:space="0" w:color="auto"/>
            <w:right w:val="none" w:sz="0" w:space="0" w:color="auto"/>
          </w:divBdr>
          <w:divsChild>
            <w:div w:id="62143197">
              <w:marLeft w:val="0"/>
              <w:marRight w:val="0"/>
              <w:marTop w:val="0"/>
              <w:marBottom w:val="0"/>
              <w:divBdr>
                <w:top w:val="none" w:sz="0" w:space="0" w:color="auto"/>
                <w:left w:val="none" w:sz="0" w:space="0" w:color="auto"/>
                <w:bottom w:val="none" w:sz="0" w:space="0" w:color="auto"/>
                <w:right w:val="none" w:sz="0" w:space="0" w:color="auto"/>
              </w:divBdr>
              <w:divsChild>
                <w:div w:id="1282767006">
                  <w:marLeft w:val="0"/>
                  <w:marRight w:val="0"/>
                  <w:marTop w:val="0"/>
                  <w:marBottom w:val="0"/>
                  <w:divBdr>
                    <w:top w:val="none" w:sz="0" w:space="0" w:color="auto"/>
                    <w:left w:val="none" w:sz="0" w:space="0" w:color="auto"/>
                    <w:bottom w:val="none" w:sz="0" w:space="0" w:color="auto"/>
                    <w:right w:val="none" w:sz="0" w:space="0" w:color="auto"/>
                  </w:divBdr>
                  <w:divsChild>
                    <w:div w:id="18333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71320">
      <w:bodyDiv w:val="1"/>
      <w:marLeft w:val="0"/>
      <w:marRight w:val="0"/>
      <w:marTop w:val="0"/>
      <w:marBottom w:val="0"/>
      <w:divBdr>
        <w:top w:val="none" w:sz="0" w:space="0" w:color="auto"/>
        <w:left w:val="none" w:sz="0" w:space="0" w:color="auto"/>
        <w:bottom w:val="none" w:sz="0" w:space="0" w:color="auto"/>
        <w:right w:val="none" w:sz="0" w:space="0" w:color="auto"/>
      </w:divBdr>
    </w:div>
    <w:div w:id="1455978253">
      <w:bodyDiv w:val="1"/>
      <w:marLeft w:val="0"/>
      <w:marRight w:val="0"/>
      <w:marTop w:val="0"/>
      <w:marBottom w:val="0"/>
      <w:divBdr>
        <w:top w:val="none" w:sz="0" w:space="0" w:color="auto"/>
        <w:left w:val="none" w:sz="0" w:space="0" w:color="auto"/>
        <w:bottom w:val="none" w:sz="0" w:space="0" w:color="auto"/>
        <w:right w:val="none" w:sz="0" w:space="0" w:color="auto"/>
      </w:divBdr>
      <w:divsChild>
        <w:div w:id="2117282868">
          <w:marLeft w:val="0"/>
          <w:marRight w:val="0"/>
          <w:marTop w:val="0"/>
          <w:marBottom w:val="0"/>
          <w:divBdr>
            <w:top w:val="none" w:sz="0" w:space="0" w:color="auto"/>
            <w:left w:val="none" w:sz="0" w:space="0" w:color="auto"/>
            <w:bottom w:val="none" w:sz="0" w:space="0" w:color="auto"/>
            <w:right w:val="none" w:sz="0" w:space="0" w:color="auto"/>
          </w:divBdr>
          <w:divsChild>
            <w:div w:id="1859612439">
              <w:marLeft w:val="0"/>
              <w:marRight w:val="0"/>
              <w:marTop w:val="0"/>
              <w:marBottom w:val="0"/>
              <w:divBdr>
                <w:top w:val="none" w:sz="0" w:space="0" w:color="auto"/>
                <w:left w:val="none" w:sz="0" w:space="0" w:color="auto"/>
                <w:bottom w:val="none" w:sz="0" w:space="0" w:color="auto"/>
                <w:right w:val="none" w:sz="0" w:space="0" w:color="auto"/>
              </w:divBdr>
              <w:divsChild>
                <w:div w:id="370957288">
                  <w:marLeft w:val="0"/>
                  <w:marRight w:val="0"/>
                  <w:marTop w:val="0"/>
                  <w:marBottom w:val="0"/>
                  <w:divBdr>
                    <w:top w:val="none" w:sz="0" w:space="0" w:color="auto"/>
                    <w:left w:val="none" w:sz="0" w:space="0" w:color="auto"/>
                    <w:bottom w:val="none" w:sz="0" w:space="0" w:color="auto"/>
                    <w:right w:val="none" w:sz="0" w:space="0" w:color="auto"/>
                  </w:divBdr>
                  <w:divsChild>
                    <w:div w:id="1892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53818">
      <w:bodyDiv w:val="1"/>
      <w:marLeft w:val="0"/>
      <w:marRight w:val="0"/>
      <w:marTop w:val="0"/>
      <w:marBottom w:val="0"/>
      <w:divBdr>
        <w:top w:val="none" w:sz="0" w:space="0" w:color="auto"/>
        <w:left w:val="none" w:sz="0" w:space="0" w:color="auto"/>
        <w:bottom w:val="none" w:sz="0" w:space="0" w:color="auto"/>
        <w:right w:val="none" w:sz="0" w:space="0" w:color="auto"/>
      </w:divBdr>
    </w:div>
    <w:div w:id="1659839722">
      <w:bodyDiv w:val="1"/>
      <w:marLeft w:val="0"/>
      <w:marRight w:val="0"/>
      <w:marTop w:val="0"/>
      <w:marBottom w:val="0"/>
      <w:divBdr>
        <w:top w:val="none" w:sz="0" w:space="0" w:color="auto"/>
        <w:left w:val="none" w:sz="0" w:space="0" w:color="auto"/>
        <w:bottom w:val="none" w:sz="0" w:space="0" w:color="auto"/>
        <w:right w:val="none" w:sz="0" w:space="0" w:color="auto"/>
      </w:divBdr>
    </w:div>
    <w:div w:id="1701467924">
      <w:bodyDiv w:val="1"/>
      <w:marLeft w:val="0"/>
      <w:marRight w:val="0"/>
      <w:marTop w:val="0"/>
      <w:marBottom w:val="0"/>
      <w:divBdr>
        <w:top w:val="none" w:sz="0" w:space="0" w:color="auto"/>
        <w:left w:val="none" w:sz="0" w:space="0" w:color="auto"/>
        <w:bottom w:val="none" w:sz="0" w:space="0" w:color="auto"/>
        <w:right w:val="none" w:sz="0" w:space="0" w:color="auto"/>
      </w:divBdr>
    </w:div>
    <w:div w:id="1771579795">
      <w:bodyDiv w:val="1"/>
      <w:marLeft w:val="0"/>
      <w:marRight w:val="0"/>
      <w:marTop w:val="0"/>
      <w:marBottom w:val="0"/>
      <w:divBdr>
        <w:top w:val="none" w:sz="0" w:space="0" w:color="auto"/>
        <w:left w:val="none" w:sz="0" w:space="0" w:color="auto"/>
        <w:bottom w:val="none" w:sz="0" w:space="0" w:color="auto"/>
        <w:right w:val="none" w:sz="0" w:space="0" w:color="auto"/>
      </w:divBdr>
      <w:divsChild>
        <w:div w:id="953637253">
          <w:marLeft w:val="0"/>
          <w:marRight w:val="0"/>
          <w:marTop w:val="0"/>
          <w:marBottom w:val="0"/>
          <w:divBdr>
            <w:top w:val="none" w:sz="0" w:space="0" w:color="auto"/>
            <w:left w:val="none" w:sz="0" w:space="0" w:color="auto"/>
            <w:bottom w:val="none" w:sz="0" w:space="0" w:color="auto"/>
            <w:right w:val="none" w:sz="0" w:space="0" w:color="auto"/>
          </w:divBdr>
          <w:divsChild>
            <w:div w:id="2121802405">
              <w:marLeft w:val="0"/>
              <w:marRight w:val="0"/>
              <w:marTop w:val="0"/>
              <w:marBottom w:val="0"/>
              <w:divBdr>
                <w:top w:val="none" w:sz="0" w:space="0" w:color="auto"/>
                <w:left w:val="none" w:sz="0" w:space="0" w:color="auto"/>
                <w:bottom w:val="none" w:sz="0" w:space="0" w:color="auto"/>
                <w:right w:val="none" w:sz="0" w:space="0" w:color="auto"/>
              </w:divBdr>
              <w:divsChild>
                <w:div w:id="1994412821">
                  <w:marLeft w:val="0"/>
                  <w:marRight w:val="0"/>
                  <w:marTop w:val="0"/>
                  <w:marBottom w:val="0"/>
                  <w:divBdr>
                    <w:top w:val="none" w:sz="0" w:space="0" w:color="auto"/>
                    <w:left w:val="none" w:sz="0" w:space="0" w:color="auto"/>
                    <w:bottom w:val="none" w:sz="0" w:space="0" w:color="auto"/>
                    <w:right w:val="none" w:sz="0" w:space="0" w:color="auto"/>
                  </w:divBdr>
                  <w:divsChild>
                    <w:div w:id="272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9278">
      <w:bodyDiv w:val="1"/>
      <w:marLeft w:val="0"/>
      <w:marRight w:val="0"/>
      <w:marTop w:val="0"/>
      <w:marBottom w:val="0"/>
      <w:divBdr>
        <w:top w:val="none" w:sz="0" w:space="0" w:color="auto"/>
        <w:left w:val="none" w:sz="0" w:space="0" w:color="auto"/>
        <w:bottom w:val="none" w:sz="0" w:space="0" w:color="auto"/>
        <w:right w:val="none" w:sz="0" w:space="0" w:color="auto"/>
      </w:divBdr>
      <w:divsChild>
        <w:div w:id="1017198662">
          <w:marLeft w:val="0"/>
          <w:marRight w:val="0"/>
          <w:marTop w:val="0"/>
          <w:marBottom w:val="0"/>
          <w:divBdr>
            <w:top w:val="none" w:sz="0" w:space="0" w:color="auto"/>
            <w:left w:val="none" w:sz="0" w:space="0" w:color="auto"/>
            <w:bottom w:val="none" w:sz="0" w:space="0" w:color="auto"/>
            <w:right w:val="none" w:sz="0" w:space="0" w:color="auto"/>
          </w:divBdr>
          <w:divsChild>
            <w:div w:id="867106907">
              <w:marLeft w:val="0"/>
              <w:marRight w:val="0"/>
              <w:marTop w:val="0"/>
              <w:marBottom w:val="0"/>
              <w:divBdr>
                <w:top w:val="none" w:sz="0" w:space="0" w:color="auto"/>
                <w:left w:val="none" w:sz="0" w:space="0" w:color="auto"/>
                <w:bottom w:val="none" w:sz="0" w:space="0" w:color="auto"/>
                <w:right w:val="none" w:sz="0" w:space="0" w:color="auto"/>
              </w:divBdr>
              <w:divsChild>
                <w:div w:id="277761324">
                  <w:marLeft w:val="0"/>
                  <w:marRight w:val="0"/>
                  <w:marTop w:val="0"/>
                  <w:marBottom w:val="0"/>
                  <w:divBdr>
                    <w:top w:val="none" w:sz="0" w:space="0" w:color="auto"/>
                    <w:left w:val="none" w:sz="0" w:space="0" w:color="auto"/>
                    <w:bottom w:val="none" w:sz="0" w:space="0" w:color="auto"/>
                    <w:right w:val="none" w:sz="0" w:space="0" w:color="auto"/>
                  </w:divBdr>
                  <w:divsChild>
                    <w:div w:id="8755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014F91-4042-4055-97F6-21A8A86BBC40}">
  <ds:schemaRefs>
    <ds:schemaRef ds:uri="http://schemas.openxmlformats.org/officeDocument/2006/bibliography"/>
  </ds:schemaRefs>
</ds:datastoreItem>
</file>

<file path=customXml/itemProps2.xml><?xml version="1.0" encoding="utf-8"?>
<ds:datastoreItem xmlns:ds="http://schemas.openxmlformats.org/officeDocument/2006/customXml" ds:itemID="{ECEF1267-42CB-4A29-A6B3-7A6B647927CC}"/>
</file>

<file path=customXml/itemProps3.xml><?xml version="1.0" encoding="utf-8"?>
<ds:datastoreItem xmlns:ds="http://schemas.openxmlformats.org/officeDocument/2006/customXml" ds:itemID="{9AC63818-7706-4998-BE1B-807614480EF4}"/>
</file>

<file path=customXml/itemProps4.xml><?xml version="1.0" encoding="utf-8"?>
<ds:datastoreItem xmlns:ds="http://schemas.openxmlformats.org/officeDocument/2006/customXml" ds:itemID="{65E980CF-4451-4EBE-AC5C-990A2B07771B}"/>
</file>

<file path=docProps/app.xml><?xml version="1.0" encoding="utf-8"?>
<Properties xmlns="http://schemas.openxmlformats.org/officeDocument/2006/extended-properties" xmlns:vt="http://schemas.openxmlformats.org/officeDocument/2006/docPropsVTypes">
  <Template>Normal.dotm</Template>
  <TotalTime>0</TotalTime>
  <Pages>6</Pages>
  <Words>2576</Words>
  <Characters>15820</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Cadman Susan</dc:creator>
  <cp:lastModifiedBy>Lynn Gentile</cp:lastModifiedBy>
  <cp:revision>2</cp:revision>
  <cp:lastPrinted>2018-01-09T02:58:00Z</cp:lastPrinted>
  <dcterms:created xsi:type="dcterms:W3CDTF">2018-01-15T14:17:00Z</dcterms:created>
  <dcterms:modified xsi:type="dcterms:W3CDTF">2018-01-15T14:17:00Z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71f8af84-cbb8-40b7-8cb0-1b94c92917fe</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0x0101008822B9E06671B54FA89F14538B9B0FEA</vt:lpwstr>
  </property>
</Properties>
</file>