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C37E6" w14:textId="4A49D959" w:rsidR="00F35AE8" w:rsidRPr="00C100FB" w:rsidRDefault="00F35AE8" w:rsidP="00EA75AF">
      <w:pPr>
        <w:jc w:val="both"/>
        <w:rPr>
          <w:rFonts w:ascii="Georgia" w:hAnsi="Georgia"/>
        </w:rPr>
      </w:pPr>
    </w:p>
    <w:p w14:paraId="5684DB5C" w14:textId="41E04E82" w:rsidR="004B6728" w:rsidRPr="004B6728" w:rsidRDefault="004B6728" w:rsidP="00EA75AF">
      <w:pPr>
        <w:jc w:val="both"/>
        <w:rPr>
          <w:rFonts w:ascii="Georgia" w:hAnsi="Georgia"/>
          <w:b/>
        </w:rPr>
      </w:pPr>
      <w:r w:rsidRPr="004B6728">
        <w:rPr>
          <w:rFonts w:ascii="Georgia" w:hAnsi="Georgia"/>
          <w:b/>
        </w:rPr>
        <w:t xml:space="preserve">Introduction </w:t>
      </w:r>
    </w:p>
    <w:p w14:paraId="786B8F13" w14:textId="7152BC99" w:rsidR="00C100FB" w:rsidRDefault="00C100FB" w:rsidP="00EA75AF">
      <w:pPr>
        <w:jc w:val="both"/>
        <w:rPr>
          <w:rFonts w:ascii="Georgia" w:hAnsi="Georgia"/>
        </w:rPr>
      </w:pPr>
      <w:r w:rsidRPr="00C100FB">
        <w:rPr>
          <w:rFonts w:ascii="Georgia" w:hAnsi="Georgia"/>
        </w:rPr>
        <w:t xml:space="preserve">WFP </w:t>
      </w:r>
      <w:r>
        <w:rPr>
          <w:rFonts w:ascii="Georgia" w:hAnsi="Georgia"/>
        </w:rPr>
        <w:t>affirms our support for Resolution A</w:t>
      </w:r>
      <w:r w:rsidRPr="00C100FB">
        <w:rPr>
          <w:rFonts w:ascii="Georgia" w:hAnsi="Georgia"/>
        </w:rPr>
        <w:t>/HRC/RES/35/23</w:t>
      </w:r>
      <w:r>
        <w:rPr>
          <w:rFonts w:ascii="Georgia" w:hAnsi="Georgia"/>
        </w:rPr>
        <w:t xml:space="preserve"> in line with our commitment to </w:t>
      </w:r>
      <w:r w:rsidRPr="00C100FB">
        <w:rPr>
          <w:rFonts w:ascii="Georgia" w:hAnsi="Georgia"/>
        </w:rPr>
        <w:t>the Agenda for Sustainable Development</w:t>
      </w:r>
      <w:r w:rsidR="00B016FF">
        <w:rPr>
          <w:rFonts w:ascii="Georgia" w:hAnsi="Georgia"/>
        </w:rPr>
        <w:t>.</w:t>
      </w:r>
      <w:r w:rsidR="003C19E3">
        <w:rPr>
          <w:rFonts w:ascii="Georgia" w:hAnsi="Georgia"/>
        </w:rPr>
        <w:t xml:space="preserve"> We would also like to take this opportunity to recognize the work that </w:t>
      </w:r>
      <w:r w:rsidR="00B708BE">
        <w:rPr>
          <w:rFonts w:ascii="Georgia" w:hAnsi="Georgia"/>
        </w:rPr>
        <w:t xml:space="preserve">the </w:t>
      </w:r>
      <w:r w:rsidR="00B708BE" w:rsidRPr="00B708BE">
        <w:rPr>
          <w:rFonts w:ascii="Georgia" w:hAnsi="Georgia"/>
        </w:rPr>
        <w:t>Office of the United Nations High Commissioner for Human Rights</w:t>
      </w:r>
      <w:r w:rsidR="00B708BE">
        <w:rPr>
          <w:rFonts w:ascii="Georgia" w:hAnsi="Georgia"/>
        </w:rPr>
        <w:t xml:space="preserve"> is </w:t>
      </w:r>
      <w:r w:rsidR="003C19E3">
        <w:rPr>
          <w:rFonts w:ascii="Georgia" w:hAnsi="Georgia"/>
        </w:rPr>
        <w:t xml:space="preserve">doing to ensure that human rights are put at the center of Agenda 2030. </w:t>
      </w:r>
      <w:r w:rsidR="00B016FF">
        <w:rPr>
          <w:rFonts w:ascii="Georgia" w:hAnsi="Georgia"/>
        </w:rPr>
        <w:t xml:space="preserve"> </w:t>
      </w:r>
    </w:p>
    <w:p w14:paraId="2E332BC2" w14:textId="7CBF7FBD" w:rsidR="00B708BE" w:rsidRDefault="00B016FF" w:rsidP="00EA75AF">
      <w:pPr>
        <w:jc w:val="both"/>
        <w:rPr>
          <w:rFonts w:ascii="Georgia" w:hAnsi="Georgia"/>
        </w:rPr>
      </w:pPr>
      <w:r w:rsidRPr="00B016FF">
        <w:rPr>
          <w:rFonts w:ascii="Georgia" w:hAnsi="Georgia"/>
        </w:rPr>
        <w:t>Eradic</w:t>
      </w:r>
      <w:r w:rsidR="00E81F29">
        <w:rPr>
          <w:rFonts w:ascii="Georgia" w:hAnsi="Georgia"/>
        </w:rPr>
        <w:t>ating hunger and malnutrition</w:t>
      </w:r>
      <w:r w:rsidR="00B708BE">
        <w:rPr>
          <w:rFonts w:ascii="Georgia" w:hAnsi="Georgia"/>
        </w:rPr>
        <w:t xml:space="preserve"> (SDG 2)</w:t>
      </w:r>
      <w:r w:rsidR="006D24A6">
        <w:rPr>
          <w:rFonts w:ascii="Georgia" w:hAnsi="Georgia"/>
        </w:rPr>
        <w:t xml:space="preserve"> and ensuring the right to food</w:t>
      </w:r>
      <w:r w:rsidR="00A73736">
        <w:rPr>
          <w:rFonts w:ascii="Georgia" w:hAnsi="Georgia"/>
        </w:rPr>
        <w:t xml:space="preserve"> as </w:t>
      </w:r>
      <w:r w:rsidR="00A73736" w:rsidRPr="00A73736">
        <w:rPr>
          <w:rFonts w:ascii="Georgia" w:hAnsi="Georgia"/>
        </w:rPr>
        <w:t>recognized in article 25 of the Universal Declaration on Human Rights and article 11 of the International Covenant on Economic, Social and Cultural Rights (ICESCR)</w:t>
      </w:r>
      <w:r w:rsidR="00A73736">
        <w:rPr>
          <w:rFonts w:ascii="Georgia" w:hAnsi="Georgia"/>
        </w:rPr>
        <w:t>,</w:t>
      </w:r>
      <w:r w:rsidR="006D24A6">
        <w:rPr>
          <w:rFonts w:ascii="Georgia" w:hAnsi="Georgia"/>
        </w:rPr>
        <w:t xml:space="preserve"> </w:t>
      </w:r>
      <w:r w:rsidR="00E81F29">
        <w:rPr>
          <w:rFonts w:ascii="Georgia" w:hAnsi="Georgia"/>
        </w:rPr>
        <w:t>will be essential if we are to collectively achieve many of the health related outcomes enshrined in this resolution.</w:t>
      </w:r>
      <w:r w:rsidR="003C19E3">
        <w:rPr>
          <w:rFonts w:ascii="Georgia" w:hAnsi="Georgia"/>
        </w:rPr>
        <w:t xml:space="preserve"> </w:t>
      </w:r>
    </w:p>
    <w:p w14:paraId="655CB7BC" w14:textId="1B452841" w:rsidR="00B708BE" w:rsidRDefault="00B708BE" w:rsidP="00EA75AF">
      <w:pPr>
        <w:jc w:val="both"/>
        <w:rPr>
          <w:rFonts w:ascii="Georgia" w:hAnsi="Georgia"/>
        </w:rPr>
      </w:pPr>
      <w:r w:rsidRPr="00B708BE">
        <w:rPr>
          <w:rFonts w:ascii="Georgia" w:hAnsi="Georgia"/>
        </w:rPr>
        <w:t xml:space="preserve">Every day, WFP and its partners work to bring us closer to a zero hunger world. With our humanitarian food assistance, we provide nutritious food to those in urgent need. Meanwhile our complementary programmes address the root causes of hunger, building </w:t>
      </w:r>
      <w:r>
        <w:rPr>
          <w:rFonts w:ascii="Georgia" w:hAnsi="Georgia"/>
        </w:rPr>
        <w:t>r</w:t>
      </w:r>
      <w:r w:rsidRPr="00B708BE">
        <w:rPr>
          <w:rFonts w:ascii="Georgia" w:hAnsi="Georgia"/>
        </w:rPr>
        <w:t>esilience</w:t>
      </w:r>
      <w:r>
        <w:rPr>
          <w:rFonts w:ascii="Georgia" w:hAnsi="Georgia"/>
        </w:rPr>
        <w:t xml:space="preserve"> and safeguarding health. </w:t>
      </w:r>
    </w:p>
    <w:p w14:paraId="2ACFB890" w14:textId="02EDE38B" w:rsidR="003C19E3" w:rsidRDefault="001265B5" w:rsidP="003C19E3">
      <w:pPr>
        <w:jc w:val="both"/>
        <w:rPr>
          <w:rFonts w:ascii="Georgia" w:hAnsi="Georgia"/>
        </w:rPr>
      </w:pPr>
      <w:r>
        <w:rPr>
          <w:rFonts w:ascii="Georgia" w:hAnsi="Georgia"/>
        </w:rPr>
        <w:t>WFP is working towards the achievement of this r</w:t>
      </w:r>
      <w:r w:rsidR="00561B13">
        <w:rPr>
          <w:rFonts w:ascii="Georgia" w:hAnsi="Georgia"/>
        </w:rPr>
        <w:t>esolution in the following ways:</w:t>
      </w:r>
      <w:bookmarkStart w:id="0" w:name="_GoBack"/>
      <w:bookmarkEnd w:id="0"/>
      <w:r>
        <w:rPr>
          <w:rFonts w:ascii="Georgia" w:hAnsi="Georgia"/>
        </w:rPr>
        <w:t xml:space="preserve"> </w:t>
      </w:r>
    </w:p>
    <w:p w14:paraId="3CF64180" w14:textId="1438CFB0" w:rsidR="001265B5" w:rsidRPr="00AD6AE4" w:rsidRDefault="0051611B" w:rsidP="00C9033C">
      <w:pPr>
        <w:pStyle w:val="ListParagraph"/>
        <w:numPr>
          <w:ilvl w:val="0"/>
          <w:numId w:val="30"/>
        </w:numPr>
        <w:spacing w:after="0"/>
        <w:jc w:val="both"/>
        <w:rPr>
          <w:rFonts w:ascii="Georgia" w:hAnsi="Georgia"/>
          <w:b/>
        </w:rPr>
      </w:pPr>
      <w:r>
        <w:rPr>
          <w:rFonts w:ascii="Georgia" w:hAnsi="Georgia"/>
          <w:b/>
        </w:rPr>
        <w:t>Through our work i</w:t>
      </w:r>
      <w:r w:rsidR="001265B5" w:rsidRPr="00AD6AE4">
        <w:rPr>
          <w:rFonts w:ascii="Georgia" w:hAnsi="Georgia"/>
          <w:b/>
        </w:rPr>
        <w:t>n the fight against HIV and AIDS</w:t>
      </w:r>
    </w:p>
    <w:p w14:paraId="61079FEE" w14:textId="46CF5321" w:rsidR="008979F3" w:rsidRDefault="00BF5E5F" w:rsidP="008979F3">
      <w:pPr>
        <w:spacing w:after="0"/>
        <w:ind w:left="720"/>
        <w:jc w:val="both"/>
        <w:rPr>
          <w:rFonts w:ascii="Georgia" w:hAnsi="Georgia"/>
        </w:rPr>
      </w:pPr>
      <w:r w:rsidRPr="001265B5">
        <w:rPr>
          <w:rFonts w:ascii="Georgia" w:hAnsi="Georgia"/>
        </w:rPr>
        <w:t xml:space="preserve">WFP is one of </w:t>
      </w:r>
      <w:r w:rsidR="00861E09">
        <w:rPr>
          <w:rFonts w:ascii="Georgia" w:hAnsi="Georgia"/>
        </w:rPr>
        <w:t xml:space="preserve">the </w:t>
      </w:r>
      <w:r w:rsidRPr="001265B5">
        <w:rPr>
          <w:rFonts w:ascii="Georgia" w:hAnsi="Georgia"/>
        </w:rPr>
        <w:t xml:space="preserve">11 </w:t>
      </w:r>
      <w:r w:rsidR="00FD180A">
        <w:rPr>
          <w:rFonts w:ascii="Georgia" w:hAnsi="Georgia"/>
        </w:rPr>
        <w:t>C</w:t>
      </w:r>
      <w:r w:rsidRPr="001265B5">
        <w:rPr>
          <w:rFonts w:ascii="Georgia" w:hAnsi="Georgia"/>
        </w:rPr>
        <w:t xml:space="preserve">osponsors of UNAIDS. For over </w:t>
      </w:r>
      <w:r w:rsidR="00861E09">
        <w:rPr>
          <w:rFonts w:ascii="Georgia" w:hAnsi="Georgia"/>
        </w:rPr>
        <w:t>a decade</w:t>
      </w:r>
      <w:r w:rsidRPr="001265B5">
        <w:rPr>
          <w:rFonts w:ascii="Georgia" w:hAnsi="Georgia"/>
        </w:rPr>
        <w:t>, WFP has been working with</w:t>
      </w:r>
      <w:r w:rsidR="00861E09">
        <w:rPr>
          <w:rFonts w:ascii="Georgia" w:hAnsi="Georgia"/>
        </w:rPr>
        <w:t xml:space="preserve">in the </w:t>
      </w:r>
      <w:r w:rsidRPr="001265B5">
        <w:rPr>
          <w:rFonts w:ascii="Georgia" w:hAnsi="Georgia"/>
        </w:rPr>
        <w:t>UNAIDS</w:t>
      </w:r>
      <w:r w:rsidR="00861E09">
        <w:rPr>
          <w:rFonts w:ascii="Georgia" w:hAnsi="Georgia"/>
        </w:rPr>
        <w:t xml:space="preserve"> partnership </w:t>
      </w:r>
      <w:r w:rsidRPr="001265B5">
        <w:rPr>
          <w:rFonts w:ascii="Georgia" w:hAnsi="Georgia"/>
        </w:rPr>
        <w:t xml:space="preserve">to make multi-sectoral links and address the needs of those </w:t>
      </w:r>
      <w:r w:rsidR="00861E09">
        <w:rPr>
          <w:rFonts w:ascii="Georgia" w:hAnsi="Georgia"/>
        </w:rPr>
        <w:t xml:space="preserve">living with and affected by HIV and </w:t>
      </w:r>
      <w:r w:rsidRPr="001265B5">
        <w:rPr>
          <w:rFonts w:ascii="Georgia" w:hAnsi="Georgia"/>
        </w:rPr>
        <w:t xml:space="preserve">AIDS. As a UNAIDS Cosponsor, WFP shares the vision of achieving zero new HIV infections, zero discrimination and zero AIDS-related deaths. WFP’s HIV </w:t>
      </w:r>
      <w:r w:rsidR="00EA75AF" w:rsidRPr="001265B5">
        <w:rPr>
          <w:rFonts w:ascii="Georgia" w:hAnsi="Georgia"/>
        </w:rPr>
        <w:t xml:space="preserve">and health related </w:t>
      </w:r>
      <w:r w:rsidRPr="001265B5">
        <w:rPr>
          <w:rFonts w:ascii="Georgia" w:hAnsi="Georgia"/>
        </w:rPr>
        <w:t>work is focused on linking food and health systems for impact. WFP maint</w:t>
      </w:r>
      <w:r w:rsidR="00906058">
        <w:rPr>
          <w:rFonts w:ascii="Georgia" w:hAnsi="Georgia"/>
        </w:rPr>
        <w:t xml:space="preserve">ains a holistic approach to HIV and </w:t>
      </w:r>
      <w:r w:rsidRPr="001265B5">
        <w:rPr>
          <w:rFonts w:ascii="Georgia" w:hAnsi="Georgia"/>
        </w:rPr>
        <w:t>AIDS and health p</w:t>
      </w:r>
      <w:r w:rsidR="00B708BE">
        <w:rPr>
          <w:rFonts w:ascii="Georgia" w:hAnsi="Georgia"/>
        </w:rPr>
        <w:t xml:space="preserve">rogramming, leveraging multiple </w:t>
      </w:r>
      <w:r w:rsidRPr="001265B5">
        <w:rPr>
          <w:rFonts w:ascii="Georgia" w:hAnsi="Georgia"/>
        </w:rPr>
        <w:t>context-appropriate entry points, including: food and nutrition support</w:t>
      </w:r>
      <w:r w:rsidR="00AF18DD">
        <w:rPr>
          <w:rFonts w:ascii="Georgia" w:hAnsi="Georgia"/>
        </w:rPr>
        <w:t>;</w:t>
      </w:r>
      <w:r w:rsidRPr="001265B5">
        <w:rPr>
          <w:rFonts w:ascii="Georgia" w:hAnsi="Georgia"/>
        </w:rPr>
        <w:t xml:space="preserve"> social safety nets</w:t>
      </w:r>
      <w:r w:rsidR="00AF18DD">
        <w:rPr>
          <w:rFonts w:ascii="Georgia" w:hAnsi="Georgia"/>
        </w:rPr>
        <w:t>;</w:t>
      </w:r>
      <w:r w:rsidRPr="001265B5">
        <w:rPr>
          <w:rFonts w:ascii="Georgia" w:hAnsi="Georgia"/>
        </w:rPr>
        <w:t xml:space="preserve"> technical support to governments and national partners</w:t>
      </w:r>
      <w:r w:rsidR="00AF18DD">
        <w:rPr>
          <w:rFonts w:ascii="Georgia" w:hAnsi="Georgia"/>
        </w:rPr>
        <w:t>;</w:t>
      </w:r>
      <w:r w:rsidRPr="001265B5">
        <w:rPr>
          <w:rFonts w:ascii="Georgia" w:hAnsi="Georgia"/>
        </w:rPr>
        <w:t xml:space="preserve"> school meals</w:t>
      </w:r>
      <w:r w:rsidR="00AF18DD">
        <w:rPr>
          <w:rFonts w:ascii="Georgia" w:hAnsi="Georgia"/>
        </w:rPr>
        <w:t>;</w:t>
      </w:r>
      <w:r w:rsidRPr="001265B5">
        <w:rPr>
          <w:rFonts w:ascii="Georgia" w:hAnsi="Georgia"/>
        </w:rPr>
        <w:t xml:space="preserve"> and supply chain and logistics support services. WFP is also mandated to co-lead in addressing HIV in humanitarian emergencies with UNHCR and co-convenes the Inter-Agency Task Team (IATT) on H</w:t>
      </w:r>
      <w:r w:rsidR="00167EED">
        <w:rPr>
          <w:rFonts w:ascii="Georgia" w:hAnsi="Georgia"/>
        </w:rPr>
        <w:t xml:space="preserve">IV in Humanitarian Settings. </w:t>
      </w:r>
      <w:r w:rsidR="00167EED" w:rsidRPr="00167EED">
        <w:rPr>
          <w:rFonts w:ascii="Georgia" w:hAnsi="Georgia"/>
        </w:rPr>
        <w:t xml:space="preserve">In 2016, WFP assisted 318,555 people living with HIV (PLHIV), TB patients and their households in 24 countries </w:t>
      </w:r>
      <w:r w:rsidR="00167EED">
        <w:rPr>
          <w:rFonts w:ascii="Georgia" w:hAnsi="Georgia"/>
        </w:rPr>
        <w:t xml:space="preserve">through HIV-specific programmes and </w:t>
      </w:r>
      <w:r w:rsidR="00167EED" w:rsidRPr="00167EED">
        <w:rPr>
          <w:rFonts w:ascii="Georgia" w:hAnsi="Georgia"/>
        </w:rPr>
        <w:t>many more through general food assistance</w:t>
      </w:r>
      <w:r w:rsidR="00167EED">
        <w:rPr>
          <w:rFonts w:ascii="Georgia" w:hAnsi="Georgia"/>
        </w:rPr>
        <w:t>.</w:t>
      </w:r>
      <w:r w:rsidR="00B708BE">
        <w:rPr>
          <w:rFonts w:ascii="Georgia" w:hAnsi="Georgia"/>
        </w:rPr>
        <w:t xml:space="preserve"> </w:t>
      </w:r>
    </w:p>
    <w:p w14:paraId="1F618A23" w14:textId="77777777" w:rsidR="008979F3" w:rsidRDefault="008979F3" w:rsidP="008979F3">
      <w:pPr>
        <w:spacing w:after="0"/>
        <w:ind w:left="720"/>
        <w:jc w:val="both"/>
        <w:rPr>
          <w:rFonts w:ascii="Georgia" w:hAnsi="Georgia"/>
        </w:rPr>
      </w:pPr>
    </w:p>
    <w:p w14:paraId="3A6816AC" w14:textId="45E311C4" w:rsidR="00AD6AE4" w:rsidRDefault="00861E09" w:rsidP="008979F3">
      <w:pPr>
        <w:spacing w:after="0"/>
        <w:ind w:left="720"/>
        <w:jc w:val="both"/>
        <w:rPr>
          <w:rFonts w:ascii="Georgia" w:hAnsi="Georgia"/>
        </w:rPr>
      </w:pPr>
      <w:r w:rsidRPr="00861E09">
        <w:rPr>
          <w:rFonts w:ascii="Georgia" w:hAnsi="Georgia"/>
        </w:rPr>
        <w:t>In 2016, WFP was the Chair of the Committee of Cosponsoring Organizations (CCO</w:t>
      </w:r>
      <w:r>
        <w:rPr>
          <w:rFonts w:ascii="Georgia" w:hAnsi="Georgia"/>
        </w:rPr>
        <w:t>) at the Head of Agency level</w:t>
      </w:r>
      <w:r w:rsidR="00167EED">
        <w:rPr>
          <w:rFonts w:ascii="Georgia" w:hAnsi="Georgia"/>
        </w:rPr>
        <w:t>. I</w:t>
      </w:r>
      <w:r>
        <w:rPr>
          <w:rFonts w:ascii="Georgia" w:hAnsi="Georgia"/>
        </w:rPr>
        <w:t xml:space="preserve">n this role </w:t>
      </w:r>
      <w:r w:rsidR="00167EED">
        <w:rPr>
          <w:rFonts w:ascii="Georgia" w:hAnsi="Georgia"/>
        </w:rPr>
        <w:t xml:space="preserve">WFP </w:t>
      </w:r>
      <w:r>
        <w:rPr>
          <w:rFonts w:ascii="Georgia" w:hAnsi="Georgia"/>
        </w:rPr>
        <w:t xml:space="preserve">worked with partners to </w:t>
      </w:r>
      <w:r w:rsidR="00167EED">
        <w:rPr>
          <w:rFonts w:ascii="Georgia" w:hAnsi="Georgia"/>
        </w:rPr>
        <w:t>advocate</w:t>
      </w:r>
      <w:r>
        <w:rPr>
          <w:rFonts w:ascii="Georgia" w:hAnsi="Georgia"/>
        </w:rPr>
        <w:t xml:space="preserve"> for the rights of people living with HIV impacted by emergencies and for HIV and AIDS </w:t>
      </w:r>
      <w:r w:rsidR="00167EED">
        <w:rPr>
          <w:rFonts w:ascii="Georgia" w:hAnsi="Georgia"/>
        </w:rPr>
        <w:t>to be taken out of isolation and mainstreamed across all SDGs.</w:t>
      </w:r>
      <w:r w:rsidR="00AD6AE4">
        <w:rPr>
          <w:rFonts w:ascii="Georgia" w:hAnsi="Georgia"/>
        </w:rPr>
        <w:t xml:space="preserve"> </w:t>
      </w:r>
      <w:r w:rsidR="00B07936">
        <w:rPr>
          <w:rFonts w:ascii="Georgia" w:hAnsi="Georgia"/>
        </w:rPr>
        <w:t>WFP</w:t>
      </w:r>
      <w:r w:rsidR="00FD180A">
        <w:rPr>
          <w:rFonts w:ascii="Georgia" w:hAnsi="Georgia"/>
        </w:rPr>
        <w:t>,</w:t>
      </w:r>
      <w:r w:rsidR="00B07936">
        <w:rPr>
          <w:rFonts w:ascii="Georgia" w:hAnsi="Georgia"/>
        </w:rPr>
        <w:t xml:space="preserve"> along with other</w:t>
      </w:r>
      <w:r w:rsidR="00602327">
        <w:rPr>
          <w:rFonts w:ascii="Georgia" w:hAnsi="Georgia"/>
        </w:rPr>
        <w:t xml:space="preserve"> UN</w:t>
      </w:r>
      <w:r w:rsidR="00B07936">
        <w:rPr>
          <w:rFonts w:ascii="Georgia" w:hAnsi="Georgia"/>
        </w:rPr>
        <w:t xml:space="preserve"> partners</w:t>
      </w:r>
      <w:r w:rsidR="00FD180A">
        <w:rPr>
          <w:rFonts w:ascii="Georgia" w:hAnsi="Georgia"/>
        </w:rPr>
        <w:t>,</w:t>
      </w:r>
      <w:r w:rsidR="00B07936">
        <w:rPr>
          <w:rFonts w:ascii="Georgia" w:hAnsi="Georgia"/>
        </w:rPr>
        <w:t xml:space="preserve"> </w:t>
      </w:r>
      <w:r w:rsidR="00602327">
        <w:rPr>
          <w:rFonts w:ascii="Georgia" w:hAnsi="Georgia"/>
        </w:rPr>
        <w:t xml:space="preserve">also cosponsored a </w:t>
      </w:r>
      <w:r w:rsidR="00602327" w:rsidRPr="00602327">
        <w:rPr>
          <w:rFonts w:ascii="Georgia" w:hAnsi="Georgia"/>
        </w:rPr>
        <w:t>Joint U</w:t>
      </w:r>
      <w:r w:rsidR="00602327">
        <w:rPr>
          <w:rFonts w:ascii="Georgia" w:hAnsi="Georgia"/>
        </w:rPr>
        <w:t>N</w:t>
      </w:r>
      <w:r w:rsidR="00602327" w:rsidRPr="00602327">
        <w:rPr>
          <w:rFonts w:ascii="Georgia" w:hAnsi="Georgia"/>
        </w:rPr>
        <w:t xml:space="preserve"> Statement</w:t>
      </w:r>
      <w:r w:rsidR="00602327">
        <w:rPr>
          <w:rFonts w:ascii="Georgia" w:hAnsi="Georgia"/>
        </w:rPr>
        <w:t xml:space="preserve"> </w:t>
      </w:r>
      <w:r w:rsidR="00602327" w:rsidRPr="00602327">
        <w:rPr>
          <w:rFonts w:ascii="Georgia" w:hAnsi="Georgia"/>
        </w:rPr>
        <w:t>on Ending Discrimination in Health Care Settings</w:t>
      </w:r>
      <w:r w:rsidR="00602327">
        <w:rPr>
          <w:rFonts w:ascii="Georgia" w:hAnsi="Georgia"/>
        </w:rPr>
        <w:t xml:space="preserve">. </w:t>
      </w:r>
    </w:p>
    <w:p w14:paraId="55D7521C" w14:textId="77777777" w:rsidR="008979F3" w:rsidRDefault="008979F3" w:rsidP="008979F3">
      <w:pPr>
        <w:spacing w:after="0"/>
        <w:ind w:left="720"/>
        <w:jc w:val="both"/>
        <w:rPr>
          <w:rFonts w:ascii="Georgia" w:hAnsi="Georgia"/>
        </w:rPr>
      </w:pPr>
    </w:p>
    <w:p w14:paraId="131C9D26" w14:textId="591C5690" w:rsidR="00AD6AE4" w:rsidRPr="00AD6AE4" w:rsidRDefault="0076025E" w:rsidP="00AD6AE4">
      <w:pPr>
        <w:pStyle w:val="ListParagraph"/>
        <w:numPr>
          <w:ilvl w:val="0"/>
          <w:numId w:val="30"/>
        </w:numPr>
        <w:jc w:val="both"/>
        <w:rPr>
          <w:rFonts w:ascii="Georgia" w:hAnsi="Georgia"/>
          <w:b/>
        </w:rPr>
      </w:pPr>
      <w:r w:rsidRPr="00AD6AE4">
        <w:rPr>
          <w:rFonts w:ascii="Georgia" w:hAnsi="Georgia"/>
          <w:b/>
        </w:rPr>
        <w:t>Through partnership</w:t>
      </w:r>
      <w:r w:rsidR="00525581">
        <w:rPr>
          <w:rFonts w:ascii="Georgia" w:hAnsi="Georgia"/>
          <w:b/>
        </w:rPr>
        <w:t>s</w:t>
      </w:r>
      <w:r w:rsidR="00AD6AE4" w:rsidRPr="00AD6AE4">
        <w:rPr>
          <w:rFonts w:ascii="Georgia" w:hAnsi="Georgia"/>
          <w:b/>
        </w:rPr>
        <w:t xml:space="preserve"> to reach those most in need</w:t>
      </w:r>
      <w:r w:rsidR="00525581">
        <w:rPr>
          <w:rFonts w:ascii="Georgia" w:hAnsi="Georgia"/>
          <w:b/>
        </w:rPr>
        <w:t xml:space="preserve"> with health commodities </w:t>
      </w:r>
      <w:r w:rsidR="00AD6AE4" w:rsidRPr="00AD6AE4">
        <w:rPr>
          <w:rFonts w:ascii="Georgia" w:hAnsi="Georgia"/>
          <w:b/>
        </w:rPr>
        <w:t xml:space="preserve"> </w:t>
      </w:r>
      <w:r w:rsidRPr="00AD6AE4">
        <w:rPr>
          <w:rFonts w:ascii="Georgia" w:hAnsi="Georgia"/>
          <w:b/>
        </w:rPr>
        <w:t xml:space="preserve"> </w:t>
      </w:r>
    </w:p>
    <w:p w14:paraId="639D303C" w14:textId="1AB4F4A1" w:rsidR="003C19E3" w:rsidRDefault="00B07936" w:rsidP="0051611B">
      <w:pPr>
        <w:pStyle w:val="ListParagraph"/>
        <w:jc w:val="both"/>
        <w:rPr>
          <w:rFonts w:ascii="Georgia" w:hAnsi="Georgia"/>
        </w:rPr>
      </w:pPr>
      <w:r w:rsidRPr="00B07936">
        <w:rPr>
          <w:rFonts w:ascii="Georgia" w:hAnsi="Georgia"/>
        </w:rPr>
        <w:t>WFP works with partners to help ensure that lifesaving medicines and health commodities reach those most in need,</w:t>
      </w:r>
      <w:r>
        <w:rPr>
          <w:rFonts w:ascii="Georgia" w:hAnsi="Georgia"/>
        </w:rPr>
        <w:t xml:space="preserve"> </w:t>
      </w:r>
      <w:r w:rsidR="00AF18DD">
        <w:rPr>
          <w:rFonts w:ascii="Georgia" w:hAnsi="Georgia"/>
        </w:rPr>
        <w:t xml:space="preserve">and </w:t>
      </w:r>
      <w:r>
        <w:rPr>
          <w:rFonts w:ascii="Georgia" w:hAnsi="Georgia"/>
        </w:rPr>
        <w:t xml:space="preserve">examples of this can be seen in WFP’s work supporting </w:t>
      </w:r>
      <w:r w:rsidRPr="00B07936">
        <w:rPr>
          <w:rFonts w:ascii="Georgia" w:hAnsi="Georgia"/>
        </w:rPr>
        <w:t>The Global Fund to Fight AIDS, Tuberculosis and Malaria implementing partners: UNDP in Zimbabwe and Chad</w:t>
      </w:r>
      <w:r w:rsidR="00906058">
        <w:rPr>
          <w:rFonts w:ascii="Georgia" w:hAnsi="Georgia"/>
        </w:rPr>
        <w:t>;</w:t>
      </w:r>
      <w:r w:rsidRPr="00B07936">
        <w:rPr>
          <w:rFonts w:ascii="Georgia" w:hAnsi="Georgia"/>
        </w:rPr>
        <w:t xml:space="preserve"> and </w:t>
      </w:r>
      <w:r w:rsidR="00906058">
        <w:rPr>
          <w:rFonts w:ascii="Georgia" w:hAnsi="Georgia"/>
        </w:rPr>
        <w:t xml:space="preserve">WHO and </w:t>
      </w:r>
      <w:r w:rsidRPr="00B07936">
        <w:rPr>
          <w:rFonts w:ascii="Georgia" w:hAnsi="Georgia"/>
        </w:rPr>
        <w:t>The Partnership for Supply Chain Management in Yemen and Burundi to prevent stock-outs of medicines and health commodities.</w:t>
      </w:r>
      <w:r>
        <w:rPr>
          <w:rFonts w:ascii="Georgia" w:hAnsi="Georgia"/>
        </w:rPr>
        <w:t xml:space="preserve"> This support helps ensure that </w:t>
      </w:r>
      <w:r w:rsidR="0070421A">
        <w:rPr>
          <w:rFonts w:ascii="Georgia" w:hAnsi="Georgia"/>
        </w:rPr>
        <w:t xml:space="preserve">the </w:t>
      </w:r>
      <w:r>
        <w:rPr>
          <w:rFonts w:ascii="Georgia" w:hAnsi="Georgia"/>
        </w:rPr>
        <w:t xml:space="preserve">right to access medical care and treatment is maintained </w:t>
      </w:r>
      <w:r>
        <w:rPr>
          <w:rFonts w:ascii="Georgia" w:hAnsi="Georgia"/>
        </w:rPr>
        <w:lastRenderedPageBreak/>
        <w:t xml:space="preserve">even in emergency settings. </w:t>
      </w:r>
      <w:r w:rsidR="00FF372B" w:rsidRPr="00B07936">
        <w:rPr>
          <w:rFonts w:ascii="Georgia" w:hAnsi="Georgia"/>
        </w:rPr>
        <w:t>WFP’s Supply Chain partnerships for health impact is a pr</w:t>
      </w:r>
      <w:r w:rsidR="00525581">
        <w:rPr>
          <w:rFonts w:ascii="Georgia" w:hAnsi="Georgia"/>
        </w:rPr>
        <w:t>ime example of SDG 17 in action</w:t>
      </w:r>
      <w:r w:rsidR="00AF18DD">
        <w:rPr>
          <w:rFonts w:ascii="Georgia" w:hAnsi="Georgia"/>
        </w:rPr>
        <w:t xml:space="preserve"> and</w:t>
      </w:r>
      <w:r w:rsidR="00525581">
        <w:rPr>
          <w:rFonts w:ascii="Georgia" w:hAnsi="Georgia"/>
        </w:rPr>
        <w:t xml:space="preserve"> </w:t>
      </w:r>
      <w:r w:rsidR="00FF372B" w:rsidRPr="00B07936">
        <w:rPr>
          <w:rFonts w:ascii="Georgia" w:hAnsi="Georgia"/>
        </w:rPr>
        <w:t xml:space="preserve">the </w:t>
      </w:r>
      <w:r w:rsidR="00525581">
        <w:rPr>
          <w:rFonts w:ascii="Georgia" w:hAnsi="Georgia"/>
        </w:rPr>
        <w:t>Humanitarian Development Nexus</w:t>
      </w:r>
      <w:r w:rsidR="00AF18DD">
        <w:rPr>
          <w:rFonts w:ascii="Georgia" w:hAnsi="Georgia"/>
        </w:rPr>
        <w:t>,</w:t>
      </w:r>
      <w:r w:rsidR="00525581">
        <w:rPr>
          <w:rFonts w:ascii="Georgia" w:hAnsi="Georgia"/>
        </w:rPr>
        <w:t xml:space="preserve"> and demonstrates what we can achieve when we work together.  </w:t>
      </w:r>
    </w:p>
    <w:p w14:paraId="0958E837" w14:textId="77777777" w:rsidR="00525581" w:rsidRPr="00FF372B" w:rsidRDefault="00525581" w:rsidP="0051611B">
      <w:pPr>
        <w:pStyle w:val="ListParagraph"/>
        <w:jc w:val="both"/>
        <w:rPr>
          <w:rFonts w:ascii="Georgia" w:hAnsi="Georgia"/>
        </w:rPr>
      </w:pPr>
    </w:p>
    <w:p w14:paraId="55E0D769" w14:textId="3245A16D" w:rsidR="0051611B" w:rsidRPr="00C9033C" w:rsidRDefault="00167EED" w:rsidP="00C9033C">
      <w:pPr>
        <w:pStyle w:val="ListParagraph"/>
        <w:numPr>
          <w:ilvl w:val="0"/>
          <w:numId w:val="30"/>
        </w:numPr>
        <w:jc w:val="both"/>
        <w:rPr>
          <w:rFonts w:ascii="Georgia" w:hAnsi="Georgia"/>
          <w:b/>
        </w:rPr>
      </w:pPr>
      <w:r w:rsidRPr="0051611B">
        <w:rPr>
          <w:rFonts w:ascii="Georgia" w:hAnsi="Georgia"/>
          <w:b/>
        </w:rPr>
        <w:t>Through our fight against malnutrition</w:t>
      </w:r>
    </w:p>
    <w:p w14:paraId="2DB4C67D" w14:textId="22E2B907" w:rsidR="0051611B" w:rsidRPr="00D41F64" w:rsidRDefault="0051611B" w:rsidP="00D41F64">
      <w:pPr>
        <w:pStyle w:val="ListParagraph"/>
        <w:jc w:val="both"/>
        <w:rPr>
          <w:rFonts w:ascii="Georgia" w:hAnsi="Georgia"/>
        </w:rPr>
      </w:pPr>
      <w:r w:rsidRPr="0051611B">
        <w:rPr>
          <w:rFonts w:ascii="Georgia" w:hAnsi="Georgia"/>
        </w:rPr>
        <w:t xml:space="preserve">Good nutrition is widely recognized </w:t>
      </w:r>
      <w:r w:rsidR="003A1E92">
        <w:rPr>
          <w:rFonts w:ascii="Georgia" w:hAnsi="Georgia"/>
        </w:rPr>
        <w:t>as</w:t>
      </w:r>
      <w:r w:rsidRPr="0051611B">
        <w:rPr>
          <w:rFonts w:ascii="Georgia" w:hAnsi="Georgia"/>
        </w:rPr>
        <w:t xml:space="preserve"> an essential </w:t>
      </w:r>
      <w:r w:rsidR="007A3B20">
        <w:rPr>
          <w:rFonts w:ascii="Georgia" w:hAnsi="Georgia"/>
        </w:rPr>
        <w:t>component</w:t>
      </w:r>
      <w:r w:rsidR="007A3B20" w:rsidRPr="0051611B">
        <w:rPr>
          <w:rFonts w:ascii="Georgia" w:hAnsi="Georgia"/>
        </w:rPr>
        <w:t xml:space="preserve"> </w:t>
      </w:r>
      <w:r w:rsidRPr="0051611B">
        <w:rPr>
          <w:rFonts w:ascii="Georgia" w:hAnsi="Georgia"/>
        </w:rPr>
        <w:t>to lead a healthy and productive life. Yet poor nutrition remains a critical global problem</w:t>
      </w:r>
      <w:r w:rsidR="00C9033C">
        <w:rPr>
          <w:rFonts w:ascii="Georgia" w:hAnsi="Georgia"/>
        </w:rPr>
        <w:t xml:space="preserve">. </w:t>
      </w:r>
      <w:r w:rsidRPr="00C9033C">
        <w:rPr>
          <w:rFonts w:ascii="Georgia" w:hAnsi="Georgia"/>
        </w:rPr>
        <w:t>Ending malnutrition by 2030 is a core element of the Sustainable Development Goals and underpins WFP’s work towards Zero Hunger.</w:t>
      </w:r>
      <w:r w:rsidR="00075041">
        <w:rPr>
          <w:rFonts w:ascii="Georgia" w:hAnsi="Georgia"/>
        </w:rPr>
        <w:t xml:space="preserve"> </w:t>
      </w:r>
      <w:r w:rsidRPr="00075041">
        <w:rPr>
          <w:rFonts w:ascii="Georgia" w:hAnsi="Georgia"/>
        </w:rPr>
        <w:t>As well as designing programmes that directly treat and prevent malnutrition, WFP also works to develop national capacity for finding long-term solutions, and to influence the broader policy dialogue on food and nutrition security. Along with our direct nutrition interventions</w:t>
      </w:r>
      <w:r w:rsidR="00075041">
        <w:rPr>
          <w:rFonts w:ascii="Georgia" w:hAnsi="Georgia"/>
        </w:rPr>
        <w:t xml:space="preserve"> (</w:t>
      </w:r>
      <w:r w:rsidR="00D41F64">
        <w:rPr>
          <w:rFonts w:ascii="Georgia" w:hAnsi="Georgia"/>
        </w:rPr>
        <w:t xml:space="preserve">which </w:t>
      </w:r>
      <w:r w:rsidR="00075041">
        <w:rPr>
          <w:rFonts w:ascii="Georgia" w:hAnsi="Georgia"/>
        </w:rPr>
        <w:t xml:space="preserve">reached </w:t>
      </w:r>
      <w:r w:rsidR="00075041" w:rsidRPr="00075041">
        <w:rPr>
          <w:rFonts w:ascii="Georgia" w:hAnsi="Georgia"/>
        </w:rPr>
        <w:t>7.6 million</w:t>
      </w:r>
      <w:r w:rsidR="00D41F64">
        <w:rPr>
          <w:rFonts w:ascii="Georgia" w:hAnsi="Georgia"/>
        </w:rPr>
        <w:t xml:space="preserve"> </w:t>
      </w:r>
      <w:r w:rsidR="00AC1BB9" w:rsidRPr="00D41F64">
        <w:rPr>
          <w:rFonts w:ascii="Georgia" w:hAnsi="Georgia"/>
        </w:rPr>
        <w:t xml:space="preserve">malnourished children </w:t>
      </w:r>
      <w:r w:rsidR="00075041" w:rsidRPr="00D41F64">
        <w:rPr>
          <w:rFonts w:ascii="Georgia" w:hAnsi="Georgia"/>
        </w:rPr>
        <w:t>with specialized nutritional support in 2015)</w:t>
      </w:r>
      <w:r w:rsidRPr="00D41F64">
        <w:rPr>
          <w:rFonts w:ascii="Georgia" w:hAnsi="Georgia"/>
        </w:rPr>
        <w:t>, we are integrating nutrition considerations into other areas of our work in order to address the underlying causes of malnutrition. We work with partners across sectors such as agriculture, education and social protection to create environments that foster good nutrition</w:t>
      </w:r>
      <w:r w:rsidR="00525581" w:rsidRPr="00D41F64">
        <w:rPr>
          <w:rFonts w:ascii="Georgia" w:hAnsi="Georgia"/>
        </w:rPr>
        <w:t xml:space="preserve"> and health</w:t>
      </w:r>
      <w:r w:rsidRPr="00D41F64">
        <w:rPr>
          <w:rFonts w:ascii="Georgia" w:hAnsi="Georgia"/>
        </w:rPr>
        <w:t>.</w:t>
      </w:r>
    </w:p>
    <w:p w14:paraId="787EEB26" w14:textId="77777777" w:rsidR="0097022B" w:rsidRDefault="0097022B" w:rsidP="00C9033C">
      <w:pPr>
        <w:pStyle w:val="ListParagraph"/>
        <w:jc w:val="both"/>
        <w:rPr>
          <w:rFonts w:ascii="Georgia" w:hAnsi="Georgia"/>
        </w:rPr>
      </w:pPr>
    </w:p>
    <w:p w14:paraId="38100445" w14:textId="132363EF" w:rsidR="0097022B" w:rsidRPr="0097022B" w:rsidRDefault="0097022B" w:rsidP="0097022B">
      <w:pPr>
        <w:pStyle w:val="ListParagraph"/>
        <w:numPr>
          <w:ilvl w:val="0"/>
          <w:numId w:val="30"/>
        </w:numPr>
        <w:jc w:val="both"/>
        <w:rPr>
          <w:rFonts w:ascii="Georgia" w:hAnsi="Georgia"/>
          <w:b/>
        </w:rPr>
      </w:pPr>
      <w:r w:rsidRPr="0097022B">
        <w:rPr>
          <w:rFonts w:ascii="Georgia" w:hAnsi="Georgia"/>
          <w:b/>
        </w:rPr>
        <w:t xml:space="preserve">Through </w:t>
      </w:r>
      <w:r w:rsidR="00525581" w:rsidRPr="0097022B">
        <w:rPr>
          <w:rFonts w:ascii="Georgia" w:hAnsi="Georgia"/>
          <w:b/>
        </w:rPr>
        <w:t xml:space="preserve">our work to achieve </w:t>
      </w:r>
      <w:r w:rsidR="00525581">
        <w:rPr>
          <w:rFonts w:ascii="Georgia" w:hAnsi="Georgia"/>
          <w:b/>
        </w:rPr>
        <w:t>gender e</w:t>
      </w:r>
      <w:r w:rsidR="00525581" w:rsidRPr="0097022B">
        <w:rPr>
          <w:rFonts w:ascii="Georgia" w:hAnsi="Georgia"/>
          <w:b/>
        </w:rPr>
        <w:t>quality</w:t>
      </w:r>
    </w:p>
    <w:p w14:paraId="0EAA52BB" w14:textId="6EE102CE" w:rsidR="0097022B" w:rsidRPr="0097022B" w:rsidRDefault="0097022B" w:rsidP="0097022B">
      <w:pPr>
        <w:pStyle w:val="ListParagraph"/>
        <w:jc w:val="both"/>
        <w:rPr>
          <w:rFonts w:ascii="Georgia" w:hAnsi="Georgia"/>
        </w:rPr>
      </w:pPr>
      <w:r w:rsidRPr="0097022B">
        <w:rPr>
          <w:rFonts w:ascii="Georgia" w:hAnsi="Georgia"/>
        </w:rPr>
        <w:t xml:space="preserve">Gender equality is a prerequisite for a world </w:t>
      </w:r>
      <w:r w:rsidR="003A1E92">
        <w:rPr>
          <w:rFonts w:ascii="Georgia" w:hAnsi="Georgia"/>
        </w:rPr>
        <w:t>with</w:t>
      </w:r>
      <w:r w:rsidR="003A1E92" w:rsidRPr="0097022B">
        <w:rPr>
          <w:rFonts w:ascii="Georgia" w:hAnsi="Georgia"/>
        </w:rPr>
        <w:t xml:space="preserve"> </w:t>
      </w:r>
      <w:r w:rsidRPr="0097022B">
        <w:rPr>
          <w:rFonts w:ascii="Georgia" w:hAnsi="Georgia"/>
        </w:rPr>
        <w:t>zero hunger – for all women, men, girls and boys to be able to exercise their human rights, including the right to adequate food.</w:t>
      </w:r>
    </w:p>
    <w:p w14:paraId="3E51DC17" w14:textId="72027D87" w:rsidR="0097022B" w:rsidRPr="000E55D2" w:rsidRDefault="0097022B" w:rsidP="000E55D2">
      <w:pPr>
        <w:pStyle w:val="ListParagraph"/>
        <w:jc w:val="both"/>
        <w:rPr>
          <w:rFonts w:ascii="Georgia" w:hAnsi="Georgia"/>
        </w:rPr>
      </w:pPr>
      <w:r w:rsidRPr="0097022B">
        <w:rPr>
          <w:rFonts w:ascii="Georgia" w:hAnsi="Georgia"/>
        </w:rPr>
        <w:t>This is why the pursuit of gender equality and women’s empowerment (S</w:t>
      </w:r>
      <w:r w:rsidR="000E55D2">
        <w:rPr>
          <w:rFonts w:ascii="Georgia" w:hAnsi="Georgia"/>
        </w:rPr>
        <w:t>DG</w:t>
      </w:r>
      <w:r w:rsidRPr="0097022B">
        <w:rPr>
          <w:rFonts w:ascii="Georgia" w:hAnsi="Georgia"/>
        </w:rPr>
        <w:t xml:space="preserve"> 5) is central to fulfi</w:t>
      </w:r>
      <w:r>
        <w:rPr>
          <w:rFonts w:ascii="Georgia" w:hAnsi="Georgia"/>
        </w:rPr>
        <w:t>lling WFP</w:t>
      </w:r>
      <w:r w:rsidRPr="0097022B">
        <w:rPr>
          <w:rFonts w:ascii="Georgia" w:hAnsi="Georgia"/>
        </w:rPr>
        <w:t xml:space="preserve">’s mandate. </w:t>
      </w:r>
      <w:r w:rsidRPr="000E55D2">
        <w:rPr>
          <w:rFonts w:ascii="Georgia" w:hAnsi="Georgia"/>
        </w:rPr>
        <w:t>Over the last 20 years, gender policies at WFP have evolved from a women-</w:t>
      </w:r>
      <w:r w:rsidR="000E55D2" w:rsidRPr="000E55D2">
        <w:rPr>
          <w:rFonts w:ascii="Georgia" w:hAnsi="Georgia"/>
        </w:rPr>
        <w:t>centered</w:t>
      </w:r>
      <w:r w:rsidRPr="000E55D2">
        <w:rPr>
          <w:rFonts w:ascii="Georgia" w:hAnsi="Georgia"/>
        </w:rPr>
        <w:t xml:space="preserve"> approach to </w:t>
      </w:r>
      <w:r w:rsidR="003A1E92">
        <w:rPr>
          <w:rFonts w:ascii="Georgia" w:hAnsi="Georgia"/>
        </w:rPr>
        <w:t xml:space="preserve">a </w:t>
      </w:r>
      <w:r w:rsidRPr="000E55D2">
        <w:rPr>
          <w:rFonts w:ascii="Georgia" w:hAnsi="Georgia"/>
        </w:rPr>
        <w:t>focus on gender equality. In 2015, 31 percent of our beneficiaries were girls, 30 percent boys, 21 percent women and 18 percent men.</w:t>
      </w:r>
      <w:r w:rsidR="000E55D2">
        <w:rPr>
          <w:rFonts w:ascii="Georgia" w:hAnsi="Georgia"/>
        </w:rPr>
        <w:t xml:space="preserve"> WFP will continue to support vulnerable beneficiaries across all operations without discrimination.   </w:t>
      </w:r>
    </w:p>
    <w:p w14:paraId="795EB5D9" w14:textId="3A774903" w:rsidR="00C9033C" w:rsidRDefault="0097022B" w:rsidP="00C9033C">
      <w:pPr>
        <w:jc w:val="both"/>
        <w:rPr>
          <w:rFonts w:ascii="Georgia" w:hAnsi="Georgia"/>
        </w:rPr>
      </w:pPr>
      <w:r>
        <w:rPr>
          <w:rFonts w:ascii="Georgia" w:hAnsi="Georgia"/>
        </w:rPr>
        <w:t>Through the aforementioned programming</w:t>
      </w:r>
      <w:r w:rsidR="00D2522B">
        <w:rPr>
          <w:rFonts w:ascii="Georgia" w:hAnsi="Georgia"/>
        </w:rPr>
        <w:t xml:space="preserve"> and policies</w:t>
      </w:r>
      <w:r>
        <w:rPr>
          <w:rFonts w:ascii="Georgia" w:hAnsi="Georgia"/>
        </w:rPr>
        <w:t xml:space="preserve"> WFP is working towards </w:t>
      </w:r>
      <w:r w:rsidRPr="0097022B">
        <w:rPr>
          <w:rFonts w:ascii="Georgia" w:hAnsi="Georgia"/>
        </w:rPr>
        <w:t>Resolution A/HRC/RES/35/23 in line with our commitment to the Agenda for Sustainable Development.</w:t>
      </w:r>
      <w:r w:rsidR="00D2522B">
        <w:rPr>
          <w:rFonts w:ascii="Georgia" w:hAnsi="Georgia"/>
        </w:rPr>
        <w:t xml:space="preserve"> WFP will continue to put people and human rights at the center of our responses in order to ensure we leave no one behind.  </w:t>
      </w:r>
      <w:r>
        <w:rPr>
          <w:rFonts w:ascii="Georgia" w:hAnsi="Georgia"/>
        </w:rPr>
        <w:t xml:space="preserve">  </w:t>
      </w:r>
    </w:p>
    <w:p w14:paraId="49357AB1" w14:textId="39ADAAF9" w:rsidR="00932460" w:rsidRDefault="00932460" w:rsidP="00C9033C">
      <w:pPr>
        <w:jc w:val="both"/>
        <w:rPr>
          <w:rFonts w:ascii="Georgia" w:hAnsi="Georgia"/>
        </w:rPr>
      </w:pPr>
    </w:p>
    <w:p w14:paraId="23B0BAD5" w14:textId="77777777" w:rsidR="00932460" w:rsidRPr="00C9033C" w:rsidRDefault="00932460" w:rsidP="00C9033C">
      <w:pPr>
        <w:jc w:val="both"/>
        <w:rPr>
          <w:rFonts w:ascii="Georgia" w:hAnsi="Georgia"/>
        </w:rPr>
      </w:pPr>
    </w:p>
    <w:p w14:paraId="3EA75C75" w14:textId="07806486" w:rsidR="003C19E3" w:rsidRPr="003C19E3" w:rsidRDefault="003C19E3" w:rsidP="0076025E">
      <w:pPr>
        <w:pStyle w:val="ListParagraph"/>
        <w:jc w:val="both"/>
        <w:rPr>
          <w:rFonts w:ascii="Georgia" w:hAnsi="Georgia"/>
        </w:rPr>
      </w:pPr>
    </w:p>
    <w:p w14:paraId="01A5741C" w14:textId="77777777" w:rsidR="003C19E3" w:rsidRDefault="003C19E3" w:rsidP="001265B5">
      <w:pPr>
        <w:ind w:left="360"/>
        <w:jc w:val="both"/>
        <w:rPr>
          <w:rFonts w:ascii="Georgia" w:hAnsi="Georgia"/>
        </w:rPr>
      </w:pPr>
    </w:p>
    <w:p w14:paraId="436419C2" w14:textId="77777777" w:rsidR="003C19E3" w:rsidRPr="003C19E3" w:rsidRDefault="003C19E3" w:rsidP="003C19E3">
      <w:pPr>
        <w:jc w:val="both"/>
        <w:rPr>
          <w:rFonts w:ascii="Georgia" w:hAnsi="Georgia"/>
        </w:rPr>
      </w:pPr>
    </w:p>
    <w:p w14:paraId="3F25D644" w14:textId="77777777" w:rsidR="001265B5" w:rsidRPr="001265B5" w:rsidRDefault="001265B5" w:rsidP="001265B5">
      <w:pPr>
        <w:ind w:left="360"/>
        <w:jc w:val="both"/>
        <w:rPr>
          <w:rFonts w:ascii="Georgia" w:hAnsi="Georgia"/>
        </w:rPr>
      </w:pPr>
    </w:p>
    <w:p w14:paraId="1BBAEB71" w14:textId="7A9C381D" w:rsidR="006D24A6" w:rsidRDefault="00195898" w:rsidP="00B016FF">
      <w:pPr>
        <w:rPr>
          <w:rFonts w:ascii="Georgia" w:hAnsi="Georgia"/>
        </w:rPr>
      </w:pPr>
      <w:r>
        <w:rPr>
          <w:rFonts w:ascii="Georgia" w:hAnsi="Georgia"/>
        </w:rPr>
        <w:t xml:space="preserve"> </w:t>
      </w:r>
      <w:r w:rsidR="006D24A6">
        <w:rPr>
          <w:rFonts w:ascii="Georgia" w:hAnsi="Georgia"/>
        </w:rPr>
        <w:t xml:space="preserve">  </w:t>
      </w:r>
      <w:r w:rsidR="00B016FF" w:rsidRPr="00B016FF">
        <w:rPr>
          <w:rFonts w:ascii="Georgia" w:hAnsi="Georgia"/>
        </w:rPr>
        <w:t xml:space="preserve"> </w:t>
      </w:r>
    </w:p>
    <w:p w14:paraId="74FA355E" w14:textId="77777777" w:rsidR="00B016FF" w:rsidRPr="00C100FB" w:rsidRDefault="00B016FF" w:rsidP="00B016FF">
      <w:pPr>
        <w:rPr>
          <w:rFonts w:ascii="Georgia" w:hAnsi="Georgia"/>
        </w:rPr>
      </w:pPr>
    </w:p>
    <w:sectPr w:rsidR="00B016FF" w:rsidRPr="00C100FB" w:rsidSect="00361455">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B3EDD" w14:textId="77777777" w:rsidR="009B6E64" w:rsidRDefault="009B6E64" w:rsidP="00361455">
      <w:pPr>
        <w:spacing w:after="0" w:line="240" w:lineRule="auto"/>
      </w:pPr>
      <w:r>
        <w:separator/>
      </w:r>
    </w:p>
  </w:endnote>
  <w:endnote w:type="continuationSeparator" w:id="0">
    <w:p w14:paraId="2E6C05F5" w14:textId="77777777" w:rsidR="009B6E64" w:rsidRDefault="009B6E64" w:rsidP="0036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286370"/>
      <w:docPartObj>
        <w:docPartGallery w:val="Page Numbers (Bottom of Page)"/>
        <w:docPartUnique/>
      </w:docPartObj>
    </w:sdtPr>
    <w:sdtEndPr>
      <w:rPr>
        <w:noProof/>
      </w:rPr>
    </w:sdtEndPr>
    <w:sdtContent>
      <w:p w14:paraId="0F77FE8F" w14:textId="77777777" w:rsidR="00123D70" w:rsidRDefault="00123D70">
        <w:pPr>
          <w:pStyle w:val="Footer"/>
          <w:jc w:val="right"/>
        </w:pPr>
        <w:r>
          <w:fldChar w:fldCharType="begin"/>
        </w:r>
        <w:r>
          <w:instrText xml:space="preserve"> PAGE   \* MERGEFORMAT </w:instrText>
        </w:r>
        <w:r>
          <w:fldChar w:fldCharType="separate"/>
        </w:r>
        <w:r w:rsidR="00561B13">
          <w:rPr>
            <w:noProof/>
          </w:rPr>
          <w:t>2</w:t>
        </w:r>
        <w:r>
          <w:rPr>
            <w:noProof/>
          </w:rPr>
          <w:fldChar w:fldCharType="end"/>
        </w:r>
      </w:p>
    </w:sdtContent>
  </w:sdt>
  <w:p w14:paraId="096D7EA8" w14:textId="77777777" w:rsidR="00123D70" w:rsidRDefault="00123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53861" w14:textId="77777777" w:rsidR="009B6E64" w:rsidRDefault="009B6E64" w:rsidP="00361455">
      <w:pPr>
        <w:spacing w:after="0" w:line="240" w:lineRule="auto"/>
      </w:pPr>
      <w:r>
        <w:separator/>
      </w:r>
    </w:p>
  </w:footnote>
  <w:footnote w:type="continuationSeparator" w:id="0">
    <w:p w14:paraId="32EFEB64" w14:textId="77777777" w:rsidR="009B6E64" w:rsidRDefault="009B6E64" w:rsidP="00361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D1703" w14:textId="77777777" w:rsidR="00123D70" w:rsidRPr="0099559D" w:rsidRDefault="00123D70">
    <w:pPr>
      <w:pStyle w:val="Header"/>
      <w:rPr>
        <w:rFonts w:ascii="Georgia" w:hAnsi="Georgia"/>
        <w:sz w:val="24"/>
      </w:rPr>
    </w:pPr>
    <w:r w:rsidRPr="00DB2A6E">
      <w:rPr>
        <w:rFonts w:ascii="Georgia" w:hAnsi="Georgia"/>
        <w:b/>
        <w:noProof/>
      </w:rPr>
      <w:drawing>
        <wp:anchor distT="0" distB="0" distL="114300" distR="114300" simplePos="0" relativeHeight="251658240" behindDoc="0" locked="0" layoutInCell="1" allowOverlap="1" wp14:anchorId="575D8796" wp14:editId="3A276613">
          <wp:simplePos x="0" y="0"/>
          <wp:positionH relativeFrom="column">
            <wp:posOffset>4629150</wp:posOffset>
          </wp:positionH>
          <wp:positionV relativeFrom="paragraph">
            <wp:posOffset>-238125</wp:posOffset>
          </wp:positionV>
          <wp:extent cx="1485900" cy="657225"/>
          <wp:effectExtent l="0" t="0" r="0" b="9525"/>
          <wp:wrapSquare wrapText="bothSides"/>
          <wp:docPr id="6" name="Picture 6" descr="C:\ALLI\Admin\Images\WFP logos\wfp english blue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LI\Admin\Images\WFP logos\wfp english blue transpar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A9D"/>
    <w:multiLevelType w:val="hybridMultilevel"/>
    <w:tmpl w:val="341C6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23C56"/>
    <w:multiLevelType w:val="hybridMultilevel"/>
    <w:tmpl w:val="E90E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76421"/>
    <w:multiLevelType w:val="hybridMultilevel"/>
    <w:tmpl w:val="12CC7C6E"/>
    <w:lvl w:ilvl="0" w:tplc="19AC1C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B5220"/>
    <w:multiLevelType w:val="hybridMultilevel"/>
    <w:tmpl w:val="E478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4675B"/>
    <w:multiLevelType w:val="hybridMultilevel"/>
    <w:tmpl w:val="A0E05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6E2"/>
    <w:multiLevelType w:val="hybridMultilevel"/>
    <w:tmpl w:val="42203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A7BF8"/>
    <w:multiLevelType w:val="hybridMultilevel"/>
    <w:tmpl w:val="C8C26AE0"/>
    <w:lvl w:ilvl="0" w:tplc="F558F5F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25A99"/>
    <w:multiLevelType w:val="hybridMultilevel"/>
    <w:tmpl w:val="F0D6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61B62"/>
    <w:multiLevelType w:val="hybridMultilevel"/>
    <w:tmpl w:val="8900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82917"/>
    <w:multiLevelType w:val="hybridMultilevel"/>
    <w:tmpl w:val="28A48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155B4"/>
    <w:multiLevelType w:val="hybridMultilevel"/>
    <w:tmpl w:val="66846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FE65ED"/>
    <w:multiLevelType w:val="hybridMultilevel"/>
    <w:tmpl w:val="FFCA71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35D1"/>
    <w:multiLevelType w:val="hybridMultilevel"/>
    <w:tmpl w:val="A6267AB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F7545FF"/>
    <w:multiLevelType w:val="hybridMultilevel"/>
    <w:tmpl w:val="CE80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70D66"/>
    <w:multiLevelType w:val="hybridMultilevel"/>
    <w:tmpl w:val="8E14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C67E8"/>
    <w:multiLevelType w:val="hybridMultilevel"/>
    <w:tmpl w:val="00AC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10AB1"/>
    <w:multiLevelType w:val="hybridMultilevel"/>
    <w:tmpl w:val="D778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62E5D"/>
    <w:multiLevelType w:val="hybridMultilevel"/>
    <w:tmpl w:val="B2FE6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66748"/>
    <w:multiLevelType w:val="hybridMultilevel"/>
    <w:tmpl w:val="194CB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F161E"/>
    <w:multiLevelType w:val="hybridMultilevel"/>
    <w:tmpl w:val="82E8A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85D60"/>
    <w:multiLevelType w:val="hybridMultilevel"/>
    <w:tmpl w:val="07B2A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43A09"/>
    <w:multiLevelType w:val="hybridMultilevel"/>
    <w:tmpl w:val="4CCA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925B4"/>
    <w:multiLevelType w:val="hybridMultilevel"/>
    <w:tmpl w:val="35C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F6457"/>
    <w:multiLevelType w:val="hybridMultilevel"/>
    <w:tmpl w:val="594AD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647E3"/>
    <w:multiLevelType w:val="hybridMultilevel"/>
    <w:tmpl w:val="0186DA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D03EEC"/>
    <w:multiLevelType w:val="hybridMultilevel"/>
    <w:tmpl w:val="44223E36"/>
    <w:lvl w:ilvl="0" w:tplc="70004D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C56B6"/>
    <w:multiLevelType w:val="hybridMultilevel"/>
    <w:tmpl w:val="8FB248C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1272D2E"/>
    <w:multiLevelType w:val="hybridMultilevel"/>
    <w:tmpl w:val="0C42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D544D"/>
    <w:multiLevelType w:val="hybridMultilevel"/>
    <w:tmpl w:val="BCF484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DBB4DFB"/>
    <w:multiLevelType w:val="hybridMultilevel"/>
    <w:tmpl w:val="59208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4"/>
  </w:num>
  <w:num w:numId="4">
    <w:abstractNumId w:val="27"/>
  </w:num>
  <w:num w:numId="5">
    <w:abstractNumId w:val="6"/>
  </w:num>
  <w:num w:numId="6">
    <w:abstractNumId w:val="25"/>
  </w:num>
  <w:num w:numId="7">
    <w:abstractNumId w:val="19"/>
  </w:num>
  <w:num w:numId="8">
    <w:abstractNumId w:val="16"/>
  </w:num>
  <w:num w:numId="9">
    <w:abstractNumId w:val="4"/>
  </w:num>
  <w:num w:numId="10">
    <w:abstractNumId w:val="29"/>
  </w:num>
  <w:num w:numId="11">
    <w:abstractNumId w:val="22"/>
  </w:num>
  <w:num w:numId="12">
    <w:abstractNumId w:val="13"/>
  </w:num>
  <w:num w:numId="13">
    <w:abstractNumId w:val="21"/>
  </w:num>
  <w:num w:numId="14">
    <w:abstractNumId w:val="24"/>
  </w:num>
  <w:num w:numId="15">
    <w:abstractNumId w:val="1"/>
  </w:num>
  <w:num w:numId="16">
    <w:abstractNumId w:val="28"/>
  </w:num>
  <w:num w:numId="17">
    <w:abstractNumId w:val="7"/>
  </w:num>
  <w:num w:numId="18">
    <w:abstractNumId w:val="12"/>
  </w:num>
  <w:num w:numId="19">
    <w:abstractNumId w:val="0"/>
  </w:num>
  <w:num w:numId="20">
    <w:abstractNumId w:val="10"/>
  </w:num>
  <w:num w:numId="21">
    <w:abstractNumId w:val="26"/>
  </w:num>
  <w:num w:numId="22">
    <w:abstractNumId w:val="20"/>
  </w:num>
  <w:num w:numId="23">
    <w:abstractNumId w:val="15"/>
  </w:num>
  <w:num w:numId="24">
    <w:abstractNumId w:val="18"/>
  </w:num>
  <w:num w:numId="25">
    <w:abstractNumId w:val="5"/>
  </w:num>
  <w:num w:numId="26">
    <w:abstractNumId w:val="23"/>
  </w:num>
  <w:num w:numId="27">
    <w:abstractNumId w:val="11"/>
  </w:num>
  <w:num w:numId="28">
    <w:abstractNumId w:val="2"/>
  </w:num>
  <w:num w:numId="29">
    <w:abstractNumId w:val="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55"/>
    <w:rsid w:val="00011FDD"/>
    <w:rsid w:val="0001311C"/>
    <w:rsid w:val="00014929"/>
    <w:rsid w:val="000257BD"/>
    <w:rsid w:val="00027C95"/>
    <w:rsid w:val="0003057F"/>
    <w:rsid w:val="00030DA0"/>
    <w:rsid w:val="00030FB3"/>
    <w:rsid w:val="00033898"/>
    <w:rsid w:val="000349D3"/>
    <w:rsid w:val="00034E8B"/>
    <w:rsid w:val="00037991"/>
    <w:rsid w:val="00043424"/>
    <w:rsid w:val="000521A8"/>
    <w:rsid w:val="00055A30"/>
    <w:rsid w:val="000660F0"/>
    <w:rsid w:val="00074CA9"/>
    <w:rsid w:val="00075041"/>
    <w:rsid w:val="00084091"/>
    <w:rsid w:val="000877F6"/>
    <w:rsid w:val="000947B5"/>
    <w:rsid w:val="000975AA"/>
    <w:rsid w:val="000C06CB"/>
    <w:rsid w:val="000C223C"/>
    <w:rsid w:val="000D45E0"/>
    <w:rsid w:val="000E2AD8"/>
    <w:rsid w:val="000E55D2"/>
    <w:rsid w:val="000E7428"/>
    <w:rsid w:val="00110299"/>
    <w:rsid w:val="00110ABF"/>
    <w:rsid w:val="001118A0"/>
    <w:rsid w:val="001149D5"/>
    <w:rsid w:val="001171C6"/>
    <w:rsid w:val="001235B6"/>
    <w:rsid w:val="00123D70"/>
    <w:rsid w:val="001265B5"/>
    <w:rsid w:val="0015278B"/>
    <w:rsid w:val="0015427B"/>
    <w:rsid w:val="00164A91"/>
    <w:rsid w:val="00167EED"/>
    <w:rsid w:val="00171FAF"/>
    <w:rsid w:val="00194D2D"/>
    <w:rsid w:val="00195898"/>
    <w:rsid w:val="00196BCA"/>
    <w:rsid w:val="001A09AC"/>
    <w:rsid w:val="001B75FE"/>
    <w:rsid w:val="001D0254"/>
    <w:rsid w:val="001D0C4E"/>
    <w:rsid w:val="001D5EC0"/>
    <w:rsid w:val="001E16A3"/>
    <w:rsid w:val="001F1AB2"/>
    <w:rsid w:val="00201C3B"/>
    <w:rsid w:val="00206113"/>
    <w:rsid w:val="00206CEA"/>
    <w:rsid w:val="002116BF"/>
    <w:rsid w:val="00214BD8"/>
    <w:rsid w:val="00220E9A"/>
    <w:rsid w:val="00245D37"/>
    <w:rsid w:val="00246ADD"/>
    <w:rsid w:val="00247E05"/>
    <w:rsid w:val="00257AA3"/>
    <w:rsid w:val="00270F26"/>
    <w:rsid w:val="0027340F"/>
    <w:rsid w:val="00286365"/>
    <w:rsid w:val="00297B25"/>
    <w:rsid w:val="002A0CA1"/>
    <w:rsid w:val="002A3419"/>
    <w:rsid w:val="002B2B68"/>
    <w:rsid w:val="002B41EC"/>
    <w:rsid w:val="002B7FF9"/>
    <w:rsid w:val="002D4E6A"/>
    <w:rsid w:val="002E7343"/>
    <w:rsid w:val="002F29B9"/>
    <w:rsid w:val="002F39E8"/>
    <w:rsid w:val="002F76E6"/>
    <w:rsid w:val="0030077B"/>
    <w:rsid w:val="003014C0"/>
    <w:rsid w:val="00342BFF"/>
    <w:rsid w:val="00352736"/>
    <w:rsid w:val="0035567E"/>
    <w:rsid w:val="00361455"/>
    <w:rsid w:val="003618EB"/>
    <w:rsid w:val="003629F0"/>
    <w:rsid w:val="00374701"/>
    <w:rsid w:val="00375389"/>
    <w:rsid w:val="00382A94"/>
    <w:rsid w:val="003861DA"/>
    <w:rsid w:val="00392EE1"/>
    <w:rsid w:val="00394029"/>
    <w:rsid w:val="003A1E92"/>
    <w:rsid w:val="003A3064"/>
    <w:rsid w:val="003B1E57"/>
    <w:rsid w:val="003C19E3"/>
    <w:rsid w:val="003C451C"/>
    <w:rsid w:val="003D0370"/>
    <w:rsid w:val="003D0AA3"/>
    <w:rsid w:val="003E3A70"/>
    <w:rsid w:val="003E4CA0"/>
    <w:rsid w:val="003E7A4F"/>
    <w:rsid w:val="003F0C8D"/>
    <w:rsid w:val="004047D5"/>
    <w:rsid w:val="00405D9A"/>
    <w:rsid w:val="00413FC7"/>
    <w:rsid w:val="004243CA"/>
    <w:rsid w:val="00426F7F"/>
    <w:rsid w:val="00434F7D"/>
    <w:rsid w:val="0043510C"/>
    <w:rsid w:val="0043515D"/>
    <w:rsid w:val="004514DA"/>
    <w:rsid w:val="00456183"/>
    <w:rsid w:val="004572B3"/>
    <w:rsid w:val="00462653"/>
    <w:rsid w:val="0047210D"/>
    <w:rsid w:val="00481173"/>
    <w:rsid w:val="00481F12"/>
    <w:rsid w:val="00484360"/>
    <w:rsid w:val="00485217"/>
    <w:rsid w:val="00494FF5"/>
    <w:rsid w:val="004A063C"/>
    <w:rsid w:val="004B05D8"/>
    <w:rsid w:val="004B63B4"/>
    <w:rsid w:val="004B6728"/>
    <w:rsid w:val="004C0E7C"/>
    <w:rsid w:val="004D68C1"/>
    <w:rsid w:val="004F0B68"/>
    <w:rsid w:val="00500BAE"/>
    <w:rsid w:val="00504A02"/>
    <w:rsid w:val="00505410"/>
    <w:rsid w:val="00512543"/>
    <w:rsid w:val="00513D12"/>
    <w:rsid w:val="00515DC1"/>
    <w:rsid w:val="0051611B"/>
    <w:rsid w:val="00520CED"/>
    <w:rsid w:val="00524E56"/>
    <w:rsid w:val="00525581"/>
    <w:rsid w:val="00527979"/>
    <w:rsid w:val="0053528B"/>
    <w:rsid w:val="00544828"/>
    <w:rsid w:val="005511CE"/>
    <w:rsid w:val="0055171F"/>
    <w:rsid w:val="005548DC"/>
    <w:rsid w:val="00561B13"/>
    <w:rsid w:val="005643E0"/>
    <w:rsid w:val="005731D0"/>
    <w:rsid w:val="00573C9C"/>
    <w:rsid w:val="0058072C"/>
    <w:rsid w:val="00587577"/>
    <w:rsid w:val="005945F5"/>
    <w:rsid w:val="005B17B5"/>
    <w:rsid w:val="005B1BF8"/>
    <w:rsid w:val="005B3E03"/>
    <w:rsid w:val="005C0645"/>
    <w:rsid w:val="005C5F0C"/>
    <w:rsid w:val="005E0A53"/>
    <w:rsid w:val="005E1F5F"/>
    <w:rsid w:val="005F168B"/>
    <w:rsid w:val="005F356E"/>
    <w:rsid w:val="00601739"/>
    <w:rsid w:val="00602327"/>
    <w:rsid w:val="006161CE"/>
    <w:rsid w:val="00616B89"/>
    <w:rsid w:val="0062592A"/>
    <w:rsid w:val="00631C49"/>
    <w:rsid w:val="006431C4"/>
    <w:rsid w:val="00654CD5"/>
    <w:rsid w:val="00665FD8"/>
    <w:rsid w:val="006748B2"/>
    <w:rsid w:val="00682AEC"/>
    <w:rsid w:val="006903A9"/>
    <w:rsid w:val="006B177F"/>
    <w:rsid w:val="006B6CFE"/>
    <w:rsid w:val="006C32D5"/>
    <w:rsid w:val="006C3F74"/>
    <w:rsid w:val="006D0A15"/>
    <w:rsid w:val="006D24A6"/>
    <w:rsid w:val="006E5FE8"/>
    <w:rsid w:val="006E75A5"/>
    <w:rsid w:val="006F18B0"/>
    <w:rsid w:val="00700143"/>
    <w:rsid w:val="0070421A"/>
    <w:rsid w:val="0070449D"/>
    <w:rsid w:val="0071119D"/>
    <w:rsid w:val="0074240F"/>
    <w:rsid w:val="00751298"/>
    <w:rsid w:val="00754A3D"/>
    <w:rsid w:val="0076025E"/>
    <w:rsid w:val="007764F0"/>
    <w:rsid w:val="007A3B20"/>
    <w:rsid w:val="007B51C9"/>
    <w:rsid w:val="007B7DD7"/>
    <w:rsid w:val="007D41F4"/>
    <w:rsid w:val="007F03E7"/>
    <w:rsid w:val="007F26E1"/>
    <w:rsid w:val="007F354C"/>
    <w:rsid w:val="0082071E"/>
    <w:rsid w:val="00837DD7"/>
    <w:rsid w:val="00840E10"/>
    <w:rsid w:val="00843235"/>
    <w:rsid w:val="0085005A"/>
    <w:rsid w:val="00861E09"/>
    <w:rsid w:val="0086764A"/>
    <w:rsid w:val="00867EAC"/>
    <w:rsid w:val="00870471"/>
    <w:rsid w:val="00887C42"/>
    <w:rsid w:val="00893C74"/>
    <w:rsid w:val="008979F3"/>
    <w:rsid w:val="008A7B71"/>
    <w:rsid w:val="008B04B7"/>
    <w:rsid w:val="008B3250"/>
    <w:rsid w:val="008C1540"/>
    <w:rsid w:val="008F692F"/>
    <w:rsid w:val="0090010C"/>
    <w:rsid w:val="00906058"/>
    <w:rsid w:val="00915C7F"/>
    <w:rsid w:val="00916F6E"/>
    <w:rsid w:val="00921186"/>
    <w:rsid w:val="00922290"/>
    <w:rsid w:val="00924DFE"/>
    <w:rsid w:val="00927CA4"/>
    <w:rsid w:val="00932460"/>
    <w:rsid w:val="00943276"/>
    <w:rsid w:val="00952FAA"/>
    <w:rsid w:val="009675C8"/>
    <w:rsid w:val="0097022B"/>
    <w:rsid w:val="009747E2"/>
    <w:rsid w:val="00986195"/>
    <w:rsid w:val="00987842"/>
    <w:rsid w:val="0099559D"/>
    <w:rsid w:val="009A5D03"/>
    <w:rsid w:val="009B6E64"/>
    <w:rsid w:val="009C0915"/>
    <w:rsid w:val="009D0107"/>
    <w:rsid w:val="009D1919"/>
    <w:rsid w:val="009E1F0F"/>
    <w:rsid w:val="009E4159"/>
    <w:rsid w:val="009E4863"/>
    <w:rsid w:val="009F1907"/>
    <w:rsid w:val="009F1DEB"/>
    <w:rsid w:val="009F2792"/>
    <w:rsid w:val="009F3CA8"/>
    <w:rsid w:val="00A015D2"/>
    <w:rsid w:val="00A1052A"/>
    <w:rsid w:val="00A133E9"/>
    <w:rsid w:val="00A16E95"/>
    <w:rsid w:val="00A17597"/>
    <w:rsid w:val="00A34A3C"/>
    <w:rsid w:val="00A53BDC"/>
    <w:rsid w:val="00A60587"/>
    <w:rsid w:val="00A70BD0"/>
    <w:rsid w:val="00A73736"/>
    <w:rsid w:val="00A73DD3"/>
    <w:rsid w:val="00A9600A"/>
    <w:rsid w:val="00AA3471"/>
    <w:rsid w:val="00AB4393"/>
    <w:rsid w:val="00AB7384"/>
    <w:rsid w:val="00AB74F2"/>
    <w:rsid w:val="00AB7C8A"/>
    <w:rsid w:val="00AC1BB9"/>
    <w:rsid w:val="00AC5F70"/>
    <w:rsid w:val="00AD1B55"/>
    <w:rsid w:val="00AD2C97"/>
    <w:rsid w:val="00AD372B"/>
    <w:rsid w:val="00AD6AE4"/>
    <w:rsid w:val="00AE2DAE"/>
    <w:rsid w:val="00AE60B4"/>
    <w:rsid w:val="00AE65A1"/>
    <w:rsid w:val="00AF059E"/>
    <w:rsid w:val="00AF18DD"/>
    <w:rsid w:val="00AF4339"/>
    <w:rsid w:val="00B016FF"/>
    <w:rsid w:val="00B07936"/>
    <w:rsid w:val="00B15BC7"/>
    <w:rsid w:val="00B24D2C"/>
    <w:rsid w:val="00B35557"/>
    <w:rsid w:val="00B366DD"/>
    <w:rsid w:val="00B434AB"/>
    <w:rsid w:val="00B47489"/>
    <w:rsid w:val="00B545DF"/>
    <w:rsid w:val="00B62E20"/>
    <w:rsid w:val="00B708BE"/>
    <w:rsid w:val="00B812EE"/>
    <w:rsid w:val="00B91422"/>
    <w:rsid w:val="00BA47B3"/>
    <w:rsid w:val="00BB51AD"/>
    <w:rsid w:val="00BC6BFB"/>
    <w:rsid w:val="00BD3165"/>
    <w:rsid w:val="00BE0041"/>
    <w:rsid w:val="00BE788C"/>
    <w:rsid w:val="00BF124D"/>
    <w:rsid w:val="00BF5E5F"/>
    <w:rsid w:val="00BF6C59"/>
    <w:rsid w:val="00BF707F"/>
    <w:rsid w:val="00C01F4D"/>
    <w:rsid w:val="00C045AE"/>
    <w:rsid w:val="00C05363"/>
    <w:rsid w:val="00C0638D"/>
    <w:rsid w:val="00C07F26"/>
    <w:rsid w:val="00C100FB"/>
    <w:rsid w:val="00C1093A"/>
    <w:rsid w:val="00C14BDB"/>
    <w:rsid w:val="00C1568A"/>
    <w:rsid w:val="00C24315"/>
    <w:rsid w:val="00C4682F"/>
    <w:rsid w:val="00C5670F"/>
    <w:rsid w:val="00C609C4"/>
    <w:rsid w:val="00C634E2"/>
    <w:rsid w:val="00C64CDE"/>
    <w:rsid w:val="00C656F8"/>
    <w:rsid w:val="00C72E2B"/>
    <w:rsid w:val="00C73655"/>
    <w:rsid w:val="00C74A36"/>
    <w:rsid w:val="00C755F1"/>
    <w:rsid w:val="00C81C4B"/>
    <w:rsid w:val="00C9033C"/>
    <w:rsid w:val="00CA02B2"/>
    <w:rsid w:val="00CB114E"/>
    <w:rsid w:val="00CC5102"/>
    <w:rsid w:val="00CC6F03"/>
    <w:rsid w:val="00CD5C37"/>
    <w:rsid w:val="00CE46DF"/>
    <w:rsid w:val="00CF0605"/>
    <w:rsid w:val="00CF5540"/>
    <w:rsid w:val="00CF73FA"/>
    <w:rsid w:val="00D052AF"/>
    <w:rsid w:val="00D05CB6"/>
    <w:rsid w:val="00D1154E"/>
    <w:rsid w:val="00D125DF"/>
    <w:rsid w:val="00D15A73"/>
    <w:rsid w:val="00D22471"/>
    <w:rsid w:val="00D2522B"/>
    <w:rsid w:val="00D26A99"/>
    <w:rsid w:val="00D27F2B"/>
    <w:rsid w:val="00D33B9E"/>
    <w:rsid w:val="00D41F64"/>
    <w:rsid w:val="00D603B0"/>
    <w:rsid w:val="00D609AC"/>
    <w:rsid w:val="00D62B24"/>
    <w:rsid w:val="00D676AB"/>
    <w:rsid w:val="00D74442"/>
    <w:rsid w:val="00D8706C"/>
    <w:rsid w:val="00D908FF"/>
    <w:rsid w:val="00D925CE"/>
    <w:rsid w:val="00DA2BEC"/>
    <w:rsid w:val="00DA46AF"/>
    <w:rsid w:val="00DA4D18"/>
    <w:rsid w:val="00DB2A6E"/>
    <w:rsid w:val="00DC2B95"/>
    <w:rsid w:val="00DC6744"/>
    <w:rsid w:val="00DD2098"/>
    <w:rsid w:val="00DE04CC"/>
    <w:rsid w:val="00DE4DE0"/>
    <w:rsid w:val="00DF5F79"/>
    <w:rsid w:val="00E0095B"/>
    <w:rsid w:val="00E00C87"/>
    <w:rsid w:val="00E12849"/>
    <w:rsid w:val="00E17CE3"/>
    <w:rsid w:val="00E24C74"/>
    <w:rsid w:val="00E32FC9"/>
    <w:rsid w:val="00E4474D"/>
    <w:rsid w:val="00E46293"/>
    <w:rsid w:val="00E563F3"/>
    <w:rsid w:val="00E57035"/>
    <w:rsid w:val="00E57C67"/>
    <w:rsid w:val="00E61616"/>
    <w:rsid w:val="00E638B1"/>
    <w:rsid w:val="00E81F29"/>
    <w:rsid w:val="00EA1049"/>
    <w:rsid w:val="00EA75AF"/>
    <w:rsid w:val="00EB469D"/>
    <w:rsid w:val="00EC4A03"/>
    <w:rsid w:val="00EC58BE"/>
    <w:rsid w:val="00ED66B9"/>
    <w:rsid w:val="00ED6A3F"/>
    <w:rsid w:val="00ED6A56"/>
    <w:rsid w:val="00F04965"/>
    <w:rsid w:val="00F13080"/>
    <w:rsid w:val="00F14FCB"/>
    <w:rsid w:val="00F1623D"/>
    <w:rsid w:val="00F30844"/>
    <w:rsid w:val="00F35AE8"/>
    <w:rsid w:val="00F4170B"/>
    <w:rsid w:val="00F45501"/>
    <w:rsid w:val="00F5408B"/>
    <w:rsid w:val="00F60E90"/>
    <w:rsid w:val="00F63C96"/>
    <w:rsid w:val="00F807AE"/>
    <w:rsid w:val="00F910A9"/>
    <w:rsid w:val="00F91C9E"/>
    <w:rsid w:val="00F940C3"/>
    <w:rsid w:val="00FA6162"/>
    <w:rsid w:val="00FC63CC"/>
    <w:rsid w:val="00FC7AFD"/>
    <w:rsid w:val="00FD0693"/>
    <w:rsid w:val="00FD180A"/>
    <w:rsid w:val="00FD3844"/>
    <w:rsid w:val="00FD5B81"/>
    <w:rsid w:val="00FD6105"/>
    <w:rsid w:val="00FE06D9"/>
    <w:rsid w:val="00FE7BF5"/>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C61C6"/>
  <w15:chartTrackingRefBased/>
  <w15:docId w15:val="{5B15E53F-B71F-4C3E-8D80-07CBE810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455"/>
  </w:style>
  <w:style w:type="paragraph" w:styleId="Footer">
    <w:name w:val="footer"/>
    <w:basedOn w:val="Normal"/>
    <w:link w:val="FooterChar"/>
    <w:uiPriority w:val="99"/>
    <w:unhideWhenUsed/>
    <w:rsid w:val="00361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455"/>
  </w:style>
  <w:style w:type="table" w:styleId="TableGrid">
    <w:name w:val="Table Grid"/>
    <w:basedOn w:val="TableNormal"/>
    <w:uiPriority w:val="39"/>
    <w:rsid w:val="00361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36145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Paragraph">
    <w:name w:val="List Paragraph"/>
    <w:basedOn w:val="Normal"/>
    <w:uiPriority w:val="34"/>
    <w:qFormat/>
    <w:rsid w:val="00A53BDC"/>
    <w:pPr>
      <w:ind w:left="720"/>
      <w:contextualSpacing/>
    </w:pPr>
  </w:style>
  <w:style w:type="character" w:styleId="CommentReference">
    <w:name w:val="annotation reference"/>
    <w:basedOn w:val="DefaultParagraphFont"/>
    <w:uiPriority w:val="99"/>
    <w:semiHidden/>
    <w:unhideWhenUsed/>
    <w:rsid w:val="00D22471"/>
    <w:rPr>
      <w:sz w:val="16"/>
      <w:szCs w:val="16"/>
    </w:rPr>
  </w:style>
  <w:style w:type="paragraph" w:styleId="CommentText">
    <w:name w:val="annotation text"/>
    <w:basedOn w:val="Normal"/>
    <w:link w:val="CommentTextChar"/>
    <w:uiPriority w:val="99"/>
    <w:semiHidden/>
    <w:unhideWhenUsed/>
    <w:rsid w:val="00D22471"/>
    <w:pPr>
      <w:spacing w:line="240" w:lineRule="auto"/>
    </w:pPr>
    <w:rPr>
      <w:sz w:val="20"/>
      <w:szCs w:val="20"/>
    </w:rPr>
  </w:style>
  <w:style w:type="character" w:customStyle="1" w:styleId="CommentTextChar">
    <w:name w:val="Comment Text Char"/>
    <w:basedOn w:val="DefaultParagraphFont"/>
    <w:link w:val="CommentText"/>
    <w:uiPriority w:val="99"/>
    <w:semiHidden/>
    <w:rsid w:val="00D22471"/>
    <w:rPr>
      <w:sz w:val="20"/>
      <w:szCs w:val="20"/>
    </w:rPr>
  </w:style>
  <w:style w:type="paragraph" w:styleId="CommentSubject">
    <w:name w:val="annotation subject"/>
    <w:basedOn w:val="CommentText"/>
    <w:next w:val="CommentText"/>
    <w:link w:val="CommentSubjectChar"/>
    <w:uiPriority w:val="99"/>
    <w:semiHidden/>
    <w:unhideWhenUsed/>
    <w:rsid w:val="00D22471"/>
    <w:rPr>
      <w:b/>
      <w:bCs/>
    </w:rPr>
  </w:style>
  <w:style w:type="character" w:customStyle="1" w:styleId="CommentSubjectChar">
    <w:name w:val="Comment Subject Char"/>
    <w:basedOn w:val="CommentTextChar"/>
    <w:link w:val="CommentSubject"/>
    <w:uiPriority w:val="99"/>
    <w:semiHidden/>
    <w:rsid w:val="00D22471"/>
    <w:rPr>
      <w:b/>
      <w:bCs/>
      <w:sz w:val="20"/>
      <w:szCs w:val="20"/>
    </w:rPr>
  </w:style>
  <w:style w:type="paragraph" w:styleId="BalloonText">
    <w:name w:val="Balloon Text"/>
    <w:basedOn w:val="Normal"/>
    <w:link w:val="BalloonTextChar"/>
    <w:uiPriority w:val="99"/>
    <w:semiHidden/>
    <w:unhideWhenUsed/>
    <w:rsid w:val="00D22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471"/>
    <w:rPr>
      <w:rFonts w:ascii="Segoe UI" w:hAnsi="Segoe UI" w:cs="Segoe UI"/>
      <w:sz w:val="18"/>
      <w:szCs w:val="18"/>
    </w:rPr>
  </w:style>
  <w:style w:type="paragraph" w:styleId="FootnoteText">
    <w:name w:val="footnote text"/>
    <w:basedOn w:val="Normal"/>
    <w:link w:val="FootnoteTextChar"/>
    <w:uiPriority w:val="99"/>
    <w:semiHidden/>
    <w:unhideWhenUsed/>
    <w:rsid w:val="000257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7BD"/>
    <w:rPr>
      <w:sz w:val="20"/>
      <w:szCs w:val="20"/>
    </w:rPr>
  </w:style>
  <w:style w:type="character" w:styleId="FootnoteReference">
    <w:name w:val="footnote reference"/>
    <w:basedOn w:val="DefaultParagraphFont"/>
    <w:uiPriority w:val="99"/>
    <w:semiHidden/>
    <w:unhideWhenUsed/>
    <w:rsid w:val="000257BD"/>
    <w:rPr>
      <w:vertAlign w:val="superscript"/>
    </w:rPr>
  </w:style>
  <w:style w:type="character" w:styleId="Hyperlink">
    <w:name w:val="Hyperlink"/>
    <w:basedOn w:val="DefaultParagraphFont"/>
    <w:uiPriority w:val="99"/>
    <w:unhideWhenUsed/>
    <w:rsid w:val="002D4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312AB8-DA0C-444C-A8DB-FBCDA5CBD97E}">
  <ds:schemaRefs>
    <ds:schemaRef ds:uri="http://schemas.openxmlformats.org/officeDocument/2006/bibliography"/>
  </ds:schemaRefs>
</ds:datastoreItem>
</file>

<file path=customXml/itemProps2.xml><?xml version="1.0" encoding="utf-8"?>
<ds:datastoreItem xmlns:ds="http://schemas.openxmlformats.org/officeDocument/2006/customXml" ds:itemID="{295CD086-A30B-496A-B250-46510A86723D}"/>
</file>

<file path=customXml/itemProps3.xml><?xml version="1.0" encoding="utf-8"?>
<ds:datastoreItem xmlns:ds="http://schemas.openxmlformats.org/officeDocument/2006/customXml" ds:itemID="{40C53565-18F5-42F7-B27D-F0889C940E8C}"/>
</file>

<file path=customXml/itemProps4.xml><?xml version="1.0" encoding="utf-8"?>
<ds:datastoreItem xmlns:ds="http://schemas.openxmlformats.org/officeDocument/2006/customXml" ds:itemID="{61CE024F-4005-48C5-89FA-578206A6520C}"/>
</file>

<file path=docProps/app.xml><?xml version="1.0" encoding="utf-8"?>
<Properties xmlns="http://schemas.openxmlformats.org/officeDocument/2006/extended-properties" xmlns:vt="http://schemas.openxmlformats.org/officeDocument/2006/docPropsVTypes">
  <Template>Normal</Template>
  <TotalTime>18</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benjamin.syme@wfp.org</dc:creator>
  <cp:keywords/>
  <dc:description/>
  <cp:lastModifiedBy>WFP HIV</cp:lastModifiedBy>
  <cp:revision>7</cp:revision>
  <cp:lastPrinted>2017-10-05T10:11:00Z</cp:lastPrinted>
  <dcterms:created xsi:type="dcterms:W3CDTF">2017-10-12T08:36:00Z</dcterms:created>
  <dcterms:modified xsi:type="dcterms:W3CDTF">2017-10-12T08:51:00Z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