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71C" w:rsidRDefault="00D5671C" w:rsidP="00F35850">
      <w:bookmarkStart w:id="0" w:name="_GoBack"/>
      <w:bookmarkEnd w:id="0"/>
    </w:p>
    <w:tbl>
      <w:tblPr>
        <w:tblW w:w="9468" w:type="dxa"/>
        <w:tblInd w:w="180" w:type="dxa"/>
        <w:tblBorders>
          <w:top w:val="nil"/>
          <w:left w:val="nil"/>
          <w:bottom w:val="nil"/>
          <w:right w:val="nil"/>
        </w:tblBorders>
        <w:tblLayout w:type="fixed"/>
        <w:tblLook w:val="0000" w:firstRow="0" w:lastRow="0" w:firstColumn="0" w:lastColumn="0" w:noHBand="0" w:noVBand="0"/>
      </w:tblPr>
      <w:tblGrid>
        <w:gridCol w:w="9468"/>
      </w:tblGrid>
      <w:tr w:rsidR="006A5ED9" w:rsidRPr="006A5ED9" w:rsidTr="00C4238C">
        <w:trPr>
          <w:trHeight w:val="159"/>
        </w:trPr>
        <w:tc>
          <w:tcPr>
            <w:tcW w:w="9468" w:type="dxa"/>
          </w:tcPr>
          <w:p w:rsidR="006A5ED9" w:rsidRPr="006A5ED9" w:rsidRDefault="006A5ED9" w:rsidP="006A5ED9">
            <w:pPr>
              <w:autoSpaceDE w:val="0"/>
              <w:autoSpaceDN w:val="0"/>
              <w:adjustRightInd w:val="0"/>
              <w:spacing w:before="0" w:after="0"/>
              <w:jc w:val="center"/>
              <w:rPr>
                <w:rFonts w:eastAsia="Times New Roman"/>
                <w:color w:val="000000"/>
                <w:sz w:val="23"/>
                <w:szCs w:val="23"/>
                <w:lang w:val="en-ZA"/>
              </w:rPr>
            </w:pPr>
            <w:r w:rsidRPr="006A5ED9">
              <w:rPr>
                <w:rFonts w:eastAsia="Times New Roman"/>
                <w:b/>
                <w:bCs/>
                <w:color w:val="000000"/>
                <w:sz w:val="23"/>
                <w:szCs w:val="23"/>
                <w:lang w:val="en-ZA"/>
              </w:rPr>
              <w:t>UNITED NATIONS</w:t>
            </w:r>
          </w:p>
        </w:tc>
      </w:tr>
    </w:tbl>
    <w:p w:rsidR="006A5ED9" w:rsidRPr="006A5ED9" w:rsidRDefault="006A5ED9" w:rsidP="006A5ED9">
      <w:pPr>
        <w:spacing w:before="0" w:after="0"/>
        <w:rPr>
          <w:rFonts w:eastAsia="Times New Roman"/>
          <w:b/>
          <w:lang w:val="en-ZA"/>
        </w:rPr>
      </w:pPr>
    </w:p>
    <w:p w:rsidR="006A5ED9" w:rsidRPr="006A5ED9" w:rsidRDefault="006A5ED9" w:rsidP="006A5ED9">
      <w:pPr>
        <w:spacing w:before="0" w:after="0"/>
        <w:jc w:val="center"/>
        <w:rPr>
          <w:rFonts w:eastAsia="Times New Roman"/>
          <w:b/>
          <w:lang w:val="en-ZA"/>
        </w:rPr>
      </w:pPr>
      <w:r w:rsidRPr="006A5ED9">
        <w:rPr>
          <w:rFonts w:eastAsia="Times New Roman"/>
          <w:b/>
          <w:bCs/>
          <w:lang w:val="en-ZA"/>
        </w:rPr>
        <w:t>OFFICE OF THE UNITED NATIONS</w:t>
      </w:r>
    </w:p>
    <w:p w:rsidR="006A5ED9" w:rsidRPr="006A5ED9" w:rsidRDefault="006A5ED9" w:rsidP="006A5ED9">
      <w:pPr>
        <w:spacing w:before="0" w:after="0"/>
        <w:jc w:val="center"/>
        <w:rPr>
          <w:rFonts w:eastAsia="Times New Roman"/>
          <w:b/>
          <w:lang w:val="en-US"/>
        </w:rPr>
      </w:pPr>
      <w:r w:rsidRPr="006A5ED9">
        <w:rPr>
          <w:rFonts w:eastAsia="Times New Roman"/>
          <w:b/>
          <w:bCs/>
          <w:lang w:val="en-ZA"/>
        </w:rPr>
        <w:t xml:space="preserve">HIGH COMMISSIONER FOR HUMAN RIGHTS </w:t>
      </w:r>
    </w:p>
    <w:p w:rsidR="006A5ED9" w:rsidRPr="006A5ED9" w:rsidRDefault="006A5ED9" w:rsidP="006A5ED9">
      <w:pPr>
        <w:spacing w:before="0" w:after="0"/>
        <w:rPr>
          <w:rFonts w:eastAsia="Times New Roman"/>
          <w:b/>
          <w:lang w:val="en-US"/>
        </w:rPr>
      </w:pPr>
    </w:p>
    <w:p w:rsidR="006A5ED9" w:rsidRPr="006A5ED9" w:rsidRDefault="006A5ED9" w:rsidP="006A5ED9">
      <w:pPr>
        <w:autoSpaceDE w:val="0"/>
        <w:autoSpaceDN w:val="0"/>
        <w:adjustRightInd w:val="0"/>
        <w:spacing w:before="0" w:after="0"/>
        <w:rPr>
          <w:rFonts w:eastAsia="Times New Roman"/>
          <w:color w:val="000000"/>
          <w:lang w:val="en-ZA"/>
        </w:rPr>
      </w:pPr>
    </w:p>
    <w:p w:rsidR="006A5ED9" w:rsidRPr="006A5ED9" w:rsidRDefault="006A5ED9" w:rsidP="006A5ED9">
      <w:pPr>
        <w:spacing w:before="0" w:after="0"/>
        <w:jc w:val="center"/>
        <w:rPr>
          <w:rFonts w:eastAsia="Times New Roman"/>
          <w:b/>
          <w:lang w:val="en-US"/>
        </w:rPr>
      </w:pPr>
      <w:r w:rsidRPr="006A5ED9">
        <w:rPr>
          <w:rFonts w:eastAsia="Times New Roman"/>
          <w:b/>
          <w:bCs/>
          <w:sz w:val="18"/>
          <w:szCs w:val="18"/>
          <w:lang w:val="en-US"/>
        </w:rPr>
        <w:t>SPECIAL PROCEDURES OF THE UNITED NATIONS HUMAN RIGHTS COUNCIL</w:t>
      </w:r>
    </w:p>
    <w:p w:rsidR="006A5ED9" w:rsidRPr="006A5ED9" w:rsidRDefault="006A5ED9" w:rsidP="006A5ED9">
      <w:pPr>
        <w:spacing w:before="0" w:after="0"/>
        <w:rPr>
          <w:rFonts w:eastAsia="Times New Roman"/>
          <w:b/>
          <w:lang w:val="en-US"/>
        </w:rPr>
      </w:pPr>
    </w:p>
    <w:p w:rsidR="006A5ED9" w:rsidRPr="006A5ED9" w:rsidRDefault="006A5ED9" w:rsidP="006A5ED9">
      <w:pPr>
        <w:spacing w:before="0" w:after="0"/>
        <w:rPr>
          <w:rFonts w:eastAsia="Times New Roman"/>
          <w:b/>
          <w:lang w:val="en-US"/>
        </w:rPr>
      </w:pPr>
      <w:r w:rsidRPr="006A5ED9">
        <w:rPr>
          <w:rFonts w:eastAsia="Times New Roman"/>
          <w:b/>
          <w:noProof/>
          <w:lang w:val="en-US"/>
        </w:rPr>
        <w:drawing>
          <wp:anchor distT="0" distB="0" distL="114300" distR="114300" simplePos="0" relativeHeight="251659264" behindDoc="0" locked="0" layoutInCell="1" allowOverlap="1">
            <wp:simplePos x="0" y="0"/>
            <wp:positionH relativeFrom="column">
              <wp:posOffset>2611120</wp:posOffset>
            </wp:positionH>
            <wp:positionV relativeFrom="paragraph">
              <wp:posOffset>97790</wp:posOffset>
            </wp:positionV>
            <wp:extent cx="712470" cy="619760"/>
            <wp:effectExtent l="19050" t="0" r="0" b="0"/>
            <wp:wrapSquare wrapText="bothSides"/>
            <wp:docPr id="4"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srcRect/>
                    <a:stretch>
                      <a:fillRect/>
                    </a:stretch>
                  </pic:blipFill>
                  <pic:spPr bwMode="auto">
                    <a:xfrm>
                      <a:off x="0" y="0"/>
                      <a:ext cx="712470" cy="619760"/>
                    </a:xfrm>
                    <a:prstGeom prst="rect">
                      <a:avLst/>
                    </a:prstGeom>
                    <a:noFill/>
                    <a:ln w="9525">
                      <a:noFill/>
                      <a:miter lim="800000"/>
                      <a:headEnd/>
                      <a:tailEnd/>
                    </a:ln>
                  </pic:spPr>
                </pic:pic>
              </a:graphicData>
            </a:graphic>
          </wp:anchor>
        </w:drawing>
      </w:r>
    </w:p>
    <w:p w:rsidR="006A5ED9" w:rsidRPr="006A5ED9" w:rsidRDefault="006A5ED9" w:rsidP="006A5ED9">
      <w:pPr>
        <w:spacing w:before="0" w:after="0"/>
        <w:jc w:val="center"/>
        <w:rPr>
          <w:rFonts w:eastAsia="Times New Roman"/>
          <w:b/>
          <w:lang w:val="en-US"/>
        </w:rPr>
      </w:pPr>
    </w:p>
    <w:p w:rsidR="006A5ED9" w:rsidRPr="006A5ED9" w:rsidRDefault="006A5ED9" w:rsidP="006A5ED9">
      <w:pPr>
        <w:spacing w:before="0" w:after="0"/>
        <w:jc w:val="center"/>
        <w:rPr>
          <w:rFonts w:eastAsia="Times New Roman"/>
          <w:b/>
          <w:lang w:val="en-US"/>
        </w:rPr>
      </w:pPr>
    </w:p>
    <w:p w:rsidR="006A5ED9" w:rsidRPr="006A5ED9" w:rsidRDefault="006A5ED9" w:rsidP="006A5ED9">
      <w:pPr>
        <w:spacing w:before="0" w:after="0"/>
        <w:jc w:val="center"/>
        <w:rPr>
          <w:rFonts w:eastAsia="Times New Roman"/>
          <w:b/>
          <w:lang w:val="en-US"/>
        </w:rPr>
      </w:pPr>
    </w:p>
    <w:p w:rsidR="006A5ED9" w:rsidRPr="006A5ED9" w:rsidRDefault="006A5ED9" w:rsidP="006A5ED9">
      <w:pPr>
        <w:spacing w:before="0" w:after="0"/>
        <w:jc w:val="center"/>
        <w:rPr>
          <w:rFonts w:eastAsia="Times New Roman"/>
          <w:b/>
          <w:lang w:val="en-US"/>
        </w:rPr>
      </w:pPr>
    </w:p>
    <w:p w:rsidR="006A5ED9" w:rsidRPr="006A5ED9" w:rsidRDefault="006A5ED9" w:rsidP="006A5ED9">
      <w:pPr>
        <w:spacing w:before="0" w:after="0"/>
        <w:jc w:val="center"/>
        <w:rPr>
          <w:rFonts w:eastAsia="Times New Roman"/>
          <w:b/>
          <w:lang w:val="en-US"/>
        </w:rPr>
      </w:pPr>
    </w:p>
    <w:p w:rsidR="006A5ED9" w:rsidRPr="006A5ED9" w:rsidRDefault="006A5ED9" w:rsidP="006A5ED9">
      <w:pPr>
        <w:spacing w:before="0" w:after="0"/>
        <w:rPr>
          <w:rFonts w:eastAsia="Times New Roman"/>
          <w:b/>
          <w:lang w:val="en-US"/>
        </w:rPr>
      </w:pPr>
      <w:r w:rsidRPr="006A5ED9">
        <w:rPr>
          <w:rFonts w:eastAsia="Times New Roman"/>
          <w:b/>
          <w:lang w:val="en-US"/>
        </w:rPr>
        <w:tab/>
      </w:r>
    </w:p>
    <w:p w:rsidR="006A5ED9" w:rsidRPr="006A5ED9" w:rsidRDefault="006A5ED9" w:rsidP="006A5ED9">
      <w:pPr>
        <w:spacing w:before="0" w:after="0"/>
        <w:jc w:val="center"/>
        <w:rPr>
          <w:rFonts w:eastAsia="Times New Roman"/>
          <w:b/>
          <w:lang w:val="en-US"/>
        </w:rPr>
      </w:pPr>
    </w:p>
    <w:p w:rsidR="006A5ED9" w:rsidRPr="006A5ED9" w:rsidRDefault="006A5ED9" w:rsidP="006A5ED9">
      <w:pPr>
        <w:keepNext/>
        <w:spacing w:before="0"/>
        <w:jc w:val="center"/>
        <w:rPr>
          <w:rFonts w:eastAsia="Times New Roman"/>
          <w:b/>
          <w:bCs/>
          <w:caps/>
          <w:sz w:val="32"/>
          <w:szCs w:val="32"/>
          <w:lang w:val="en-US"/>
        </w:rPr>
      </w:pPr>
      <w:r w:rsidRPr="006A5ED9">
        <w:rPr>
          <w:rFonts w:eastAsia="Times New Roman"/>
          <w:b/>
          <w:sz w:val="32"/>
          <w:szCs w:val="32"/>
          <w:lang w:val="en-US"/>
        </w:rPr>
        <w:t>Mapping Human Rights Obligations Relating to the Enjoyment of a Safe, Clean, Healthy and Sustainable Environment</w:t>
      </w:r>
    </w:p>
    <w:p w:rsidR="00D5671C" w:rsidRPr="00DC5522" w:rsidRDefault="00D5671C" w:rsidP="00D5671C">
      <w:pPr>
        <w:pStyle w:val="BodyText"/>
        <w:spacing w:line="240" w:lineRule="auto"/>
        <w:ind w:firstLine="0"/>
        <w:jc w:val="center"/>
        <w:rPr>
          <w:rFonts w:eastAsia="MS Mincho"/>
          <w:b/>
          <w:sz w:val="32"/>
          <w:szCs w:val="32"/>
          <w:lang w:eastAsia="ja-JP"/>
        </w:rPr>
      </w:pPr>
    </w:p>
    <w:p w:rsidR="00B94C22" w:rsidRDefault="00D5671C" w:rsidP="00D5671C">
      <w:pPr>
        <w:pStyle w:val="Header"/>
        <w:jc w:val="center"/>
        <w:rPr>
          <w:b/>
          <w:sz w:val="32"/>
        </w:rPr>
      </w:pPr>
      <w:r w:rsidRPr="00DC5522">
        <w:rPr>
          <w:b/>
          <w:sz w:val="32"/>
        </w:rPr>
        <w:t xml:space="preserve">Individual Report on </w:t>
      </w:r>
      <w:r w:rsidR="00C96786">
        <w:rPr>
          <w:b/>
          <w:sz w:val="32"/>
        </w:rPr>
        <w:t>the Asia</w:t>
      </w:r>
      <w:r w:rsidR="00B37FC6">
        <w:rPr>
          <w:b/>
          <w:sz w:val="32"/>
        </w:rPr>
        <w:t>-</w:t>
      </w:r>
      <w:r w:rsidR="00C96786">
        <w:rPr>
          <w:b/>
          <w:sz w:val="32"/>
        </w:rPr>
        <w:t>Pacific,</w:t>
      </w:r>
      <w:r w:rsidR="005F2E1A">
        <w:rPr>
          <w:b/>
          <w:sz w:val="32"/>
        </w:rPr>
        <w:t xml:space="preserve"> Arab and African Regions</w:t>
      </w:r>
    </w:p>
    <w:p w:rsidR="00D5671C" w:rsidRPr="00DC5522" w:rsidRDefault="005F2E1A" w:rsidP="00D5671C">
      <w:pPr>
        <w:pStyle w:val="Header"/>
        <w:jc w:val="center"/>
        <w:rPr>
          <w:b/>
          <w:sz w:val="32"/>
        </w:rPr>
      </w:pPr>
      <w:r>
        <w:rPr>
          <w:b/>
          <w:sz w:val="32"/>
        </w:rPr>
        <w:t>as well as the European Social Charter</w:t>
      </w:r>
    </w:p>
    <w:p w:rsidR="00D5671C" w:rsidRDefault="00D5671C" w:rsidP="00D5671C">
      <w:pPr>
        <w:pStyle w:val="Header"/>
        <w:jc w:val="center"/>
        <w:rPr>
          <w:b/>
          <w:caps/>
          <w:sz w:val="32"/>
        </w:rPr>
      </w:pPr>
    </w:p>
    <w:p w:rsidR="00D5671C" w:rsidRPr="00DC5522" w:rsidRDefault="00D5671C" w:rsidP="00D5671C">
      <w:pPr>
        <w:pStyle w:val="Header"/>
        <w:rPr>
          <w:b/>
          <w:caps/>
        </w:rPr>
      </w:pPr>
    </w:p>
    <w:p w:rsidR="00C52525" w:rsidRDefault="00C52525" w:rsidP="00D5671C">
      <w:pPr>
        <w:pStyle w:val="Header"/>
        <w:jc w:val="center"/>
      </w:pPr>
      <w:r>
        <w:t>Report No. 1</w:t>
      </w:r>
      <w:r w:rsidR="00AE000B">
        <w:t>2</w:t>
      </w:r>
    </w:p>
    <w:p w:rsidR="00C52525" w:rsidRDefault="00C52525" w:rsidP="00D5671C">
      <w:pPr>
        <w:pStyle w:val="Header"/>
        <w:jc w:val="center"/>
      </w:pPr>
    </w:p>
    <w:p w:rsidR="00D5671C" w:rsidRPr="00DC5522" w:rsidRDefault="00D5671C" w:rsidP="00D5671C">
      <w:pPr>
        <w:pStyle w:val="Header"/>
        <w:jc w:val="center"/>
        <w:rPr>
          <w:b/>
          <w:caps/>
        </w:rPr>
      </w:pPr>
      <w:r w:rsidRPr="00DC5522">
        <w:t>Prepared for the Independent Expert on the Issue of Human Rights Obligations Relating to the Enjoyment of a Safe, Clean, Healthy, and Sustainable Environment</w:t>
      </w:r>
    </w:p>
    <w:p w:rsidR="00D5671C" w:rsidRPr="00DC5522" w:rsidRDefault="00D5671C" w:rsidP="00D5671C">
      <w:pPr>
        <w:pStyle w:val="Header"/>
        <w:rPr>
          <w:b/>
          <w:caps/>
        </w:rPr>
      </w:pPr>
    </w:p>
    <w:p w:rsidR="00D5671C" w:rsidRDefault="00D5671C" w:rsidP="00D5671C">
      <w:pPr>
        <w:pStyle w:val="Header"/>
        <w:rPr>
          <w:b/>
          <w:caps/>
        </w:rPr>
      </w:pPr>
    </w:p>
    <w:p w:rsidR="006A5ED9" w:rsidRDefault="006A5ED9" w:rsidP="00D5671C">
      <w:pPr>
        <w:pStyle w:val="Header"/>
        <w:rPr>
          <w:b/>
          <w:caps/>
        </w:rPr>
      </w:pPr>
    </w:p>
    <w:p w:rsidR="006A5ED9" w:rsidRDefault="006A5ED9" w:rsidP="00D5671C">
      <w:pPr>
        <w:pStyle w:val="Header"/>
        <w:rPr>
          <w:b/>
          <w:caps/>
        </w:rPr>
      </w:pPr>
    </w:p>
    <w:p w:rsidR="006A5ED9" w:rsidRPr="00DC5522" w:rsidRDefault="006A5ED9" w:rsidP="00D5671C">
      <w:pPr>
        <w:pStyle w:val="Header"/>
        <w:rPr>
          <w:b/>
          <w:caps/>
        </w:rPr>
      </w:pPr>
    </w:p>
    <w:p w:rsidR="00D5671C" w:rsidRPr="00DC5522" w:rsidRDefault="00D5671C" w:rsidP="00D5671C">
      <w:pPr>
        <w:spacing w:before="0" w:after="0"/>
        <w:jc w:val="center"/>
        <w:rPr>
          <w:rFonts w:asciiTheme="majorHAnsi" w:eastAsiaTheme="majorEastAsia" w:hAnsiTheme="majorHAnsi" w:cstheme="majorBidi"/>
          <w:b/>
          <w:bCs/>
          <w:color w:val="365F91" w:themeColor="accent1" w:themeShade="BF"/>
          <w:sz w:val="28"/>
          <w:szCs w:val="28"/>
        </w:rPr>
      </w:pPr>
      <w:r w:rsidRPr="00DC5522">
        <w:t xml:space="preserve">December </w:t>
      </w:r>
      <w:r w:rsidRPr="00DC5522">
        <w:rPr>
          <w:caps/>
        </w:rPr>
        <w:t>2013</w:t>
      </w:r>
      <w:r w:rsidRPr="00DC5522">
        <w:br w:type="page"/>
      </w:r>
    </w:p>
    <w:p w:rsidR="00D5671C" w:rsidRPr="00DC5522" w:rsidRDefault="00D5671C" w:rsidP="00A76039">
      <w:pPr>
        <w:pStyle w:val="Heading1"/>
      </w:pPr>
      <w:r w:rsidRPr="00DC5522">
        <w:lastRenderedPageBreak/>
        <w:t>Introduction</w:t>
      </w:r>
    </w:p>
    <w:p w:rsidR="00D5671C" w:rsidRPr="00DC5522" w:rsidRDefault="000D7738" w:rsidP="00A76039">
      <w:pPr>
        <w:pStyle w:val="Heading1"/>
      </w:pPr>
      <w:r>
        <w:t>African region</w:t>
      </w:r>
    </w:p>
    <w:p w:rsidR="00D5671C" w:rsidRPr="00DC5522" w:rsidRDefault="00283568" w:rsidP="00A76039">
      <w:pPr>
        <w:pStyle w:val="Heading2"/>
        <w:numPr>
          <w:ilvl w:val="1"/>
          <w:numId w:val="38"/>
        </w:numPr>
      </w:pPr>
      <w:r>
        <w:t>Human Rights Threatened by Environmental Harm</w:t>
      </w:r>
    </w:p>
    <w:p w:rsidR="00D5671C" w:rsidRPr="00DC5522" w:rsidRDefault="00283568" w:rsidP="00A76039">
      <w:pPr>
        <w:pStyle w:val="Heading2"/>
      </w:pPr>
      <w:r>
        <w:t xml:space="preserve">Obligations on </w:t>
      </w:r>
      <w:r w:rsidR="00B37FC6">
        <w:t>S</w:t>
      </w:r>
      <w:r>
        <w:t>tates relating to the Environment</w:t>
      </w:r>
    </w:p>
    <w:p w:rsidR="00D5671C" w:rsidRPr="00DC5522" w:rsidRDefault="00283568" w:rsidP="00A76039">
      <w:pPr>
        <w:pStyle w:val="Heading2"/>
      </w:pPr>
      <w:r>
        <w:t>Cross-Cutting Issues</w:t>
      </w:r>
    </w:p>
    <w:p w:rsidR="00D5671C" w:rsidRDefault="000D7738" w:rsidP="00A76039">
      <w:pPr>
        <w:pStyle w:val="Heading1"/>
        <w:ind w:left="720" w:hanging="720"/>
      </w:pPr>
      <w:r>
        <w:t>Asia</w:t>
      </w:r>
      <w:r w:rsidR="00B37FC6">
        <w:t>-</w:t>
      </w:r>
      <w:r>
        <w:t>Pacific and Arab Regions</w:t>
      </w:r>
    </w:p>
    <w:p w:rsidR="00283568" w:rsidRPr="00DC5522" w:rsidRDefault="00283568" w:rsidP="00283568">
      <w:pPr>
        <w:pStyle w:val="Heading2"/>
        <w:numPr>
          <w:ilvl w:val="1"/>
          <w:numId w:val="38"/>
        </w:numPr>
      </w:pPr>
      <w:r>
        <w:t>Human Rights Threatened by Environmental Harm</w:t>
      </w:r>
    </w:p>
    <w:p w:rsidR="00283568" w:rsidRPr="00DC5522" w:rsidRDefault="00283568" w:rsidP="00283568">
      <w:pPr>
        <w:pStyle w:val="Heading2"/>
      </w:pPr>
      <w:r>
        <w:t xml:space="preserve">Obligations on </w:t>
      </w:r>
      <w:r w:rsidR="00B37FC6">
        <w:t>S</w:t>
      </w:r>
      <w:r>
        <w:t>tates relating to the Environment</w:t>
      </w:r>
    </w:p>
    <w:p w:rsidR="00283568" w:rsidRPr="00DC5522" w:rsidRDefault="00283568" w:rsidP="00283568">
      <w:pPr>
        <w:pStyle w:val="Heading2"/>
      </w:pPr>
      <w:r>
        <w:t>Cross-Cutting Issues</w:t>
      </w:r>
    </w:p>
    <w:p w:rsidR="000D7738" w:rsidRDefault="000D7738" w:rsidP="00A76039">
      <w:pPr>
        <w:pStyle w:val="Heading1"/>
      </w:pPr>
      <w:r>
        <w:t>European Social Charter</w:t>
      </w:r>
    </w:p>
    <w:p w:rsidR="00283568" w:rsidRPr="00DC5522" w:rsidRDefault="00283568" w:rsidP="00283568">
      <w:pPr>
        <w:pStyle w:val="Heading2"/>
        <w:numPr>
          <w:ilvl w:val="1"/>
          <w:numId w:val="38"/>
        </w:numPr>
      </w:pPr>
      <w:r>
        <w:t>Human Rights Threatened by Environmental Harm</w:t>
      </w:r>
    </w:p>
    <w:p w:rsidR="00283568" w:rsidRPr="00DC5522" w:rsidRDefault="00283568" w:rsidP="00283568">
      <w:pPr>
        <w:pStyle w:val="Heading2"/>
      </w:pPr>
      <w:r>
        <w:t xml:space="preserve">Obligations on </w:t>
      </w:r>
      <w:r w:rsidR="00B37FC6">
        <w:t>S</w:t>
      </w:r>
      <w:r>
        <w:t>tates relating to the Environment</w:t>
      </w:r>
    </w:p>
    <w:p w:rsidR="00283568" w:rsidRPr="00DC5522" w:rsidRDefault="00283568" w:rsidP="00283568">
      <w:pPr>
        <w:pStyle w:val="Heading2"/>
      </w:pPr>
      <w:r>
        <w:t>Cross-Cutting Issues</w:t>
      </w:r>
    </w:p>
    <w:p w:rsidR="00D5671C" w:rsidRPr="00DC5522" w:rsidRDefault="00D5671C">
      <w:pPr>
        <w:spacing w:before="0" w:after="0"/>
      </w:pPr>
    </w:p>
    <w:p w:rsidR="00283568" w:rsidRDefault="00283568">
      <w:pPr>
        <w:spacing w:before="0" w:after="0"/>
      </w:pPr>
      <w:r>
        <w:br w:type="page"/>
      </w:r>
    </w:p>
    <w:p w:rsidR="00C139E8" w:rsidRPr="00DC5522" w:rsidRDefault="001C432B" w:rsidP="00FC2645">
      <w:pPr>
        <w:pStyle w:val="Heading1"/>
        <w:numPr>
          <w:ilvl w:val="0"/>
          <w:numId w:val="30"/>
        </w:numPr>
      </w:pPr>
      <w:r w:rsidRPr="00DC5522">
        <w:lastRenderedPageBreak/>
        <w:t>Introduction</w:t>
      </w:r>
    </w:p>
    <w:p w:rsidR="00D5671C" w:rsidRPr="00DC5522" w:rsidRDefault="00D5671C" w:rsidP="00A76039">
      <w:pPr>
        <w:pStyle w:val="NoSpacing"/>
      </w:pPr>
      <w:r w:rsidRPr="00DC5522">
        <w:t xml:space="preserve">This report </w:t>
      </w:r>
      <w:r w:rsidRPr="00A76039">
        <w:t>examines</w:t>
      </w:r>
      <w:r w:rsidRPr="00DC5522">
        <w:t xml:space="preserve"> States’ human rights obligations related to the environment as they have been elaborated in </w:t>
      </w:r>
      <w:r w:rsidR="00C96786">
        <w:t>the African, Arab, and Asia</w:t>
      </w:r>
      <w:r w:rsidR="00B37FC6">
        <w:t>-</w:t>
      </w:r>
      <w:r w:rsidR="005F2E1A">
        <w:t>Pacific region</w:t>
      </w:r>
      <w:r w:rsidR="00B37FC6">
        <w:t>al human rights systems</w:t>
      </w:r>
      <w:r w:rsidR="005F2E1A">
        <w:t xml:space="preserve"> as well as </w:t>
      </w:r>
      <w:r w:rsidR="00B37FC6">
        <w:t xml:space="preserve">under </w:t>
      </w:r>
      <w:r w:rsidR="005F2E1A">
        <w:t>the European Social Charter</w:t>
      </w:r>
      <w:r w:rsidRPr="00DC5522">
        <w:t xml:space="preserve">.  </w:t>
      </w:r>
    </w:p>
    <w:p w:rsidR="00802AA3" w:rsidRPr="00802AA3" w:rsidRDefault="00802AA3" w:rsidP="00802AA3">
      <w:pPr>
        <w:pStyle w:val="NoSpacing"/>
        <w:rPr>
          <w:lang w:val="en-US"/>
        </w:rPr>
      </w:pPr>
      <w:r w:rsidRPr="00802AA3">
        <w:rPr>
          <w:lang w:val="en-US"/>
        </w:rPr>
        <w:t>This report is one of a series of 14 reports that examine human rights obligations related to the environment</w:t>
      </w:r>
      <w:r w:rsidR="00B37FC6">
        <w:rPr>
          <w:lang w:val="en-US"/>
        </w:rPr>
        <w:t>,</w:t>
      </w:r>
      <w:r w:rsidRPr="00802AA3">
        <w:rPr>
          <w:lang w:val="en-US"/>
        </w:rPr>
        <w:t xml:space="preserve"> as they have been described by various sources of international law in the following categories: (a) UN human rights bodies and mechanisms; (b) global human rights treaties; (c) regional human rights systems; and (d) international environmental instruments. Each report focuses on one source or set of sources, and all reports follow the same format.   </w:t>
      </w:r>
    </w:p>
    <w:p w:rsidR="00802AA3" w:rsidRPr="00802AA3" w:rsidRDefault="00802AA3" w:rsidP="00802AA3">
      <w:pPr>
        <w:pStyle w:val="NoSpacing"/>
        <w:rPr>
          <w:lang w:val="en-US"/>
        </w:rPr>
      </w:pPr>
      <w:r w:rsidRPr="00802AA3">
        <w:rPr>
          <w:lang w:val="en-US"/>
        </w:rPr>
        <w:t xml:space="preserve">These reports were researched and written by legal experts working </w:t>
      </w:r>
      <w:r w:rsidRPr="00802AA3">
        <w:rPr>
          <w:i/>
          <w:lang w:val="en-US"/>
        </w:rPr>
        <w:t xml:space="preserve">pro bono </w:t>
      </w:r>
      <w:r w:rsidRPr="00802AA3">
        <w:rPr>
          <w:lang w:val="en-US"/>
        </w:rPr>
        <w:t xml:space="preserve">under the supervision of John H. Knox, the UN Independent Expert on the issue of human rights obligations relating to the enjoyment of a safe, clean, healthy and sustainable environment.  In March 2012, in Resolution 19/10, the Human Rights Council established the mandate of the Independent Expert, which includes, </w:t>
      </w:r>
      <w:r w:rsidRPr="00802AA3">
        <w:rPr>
          <w:i/>
          <w:lang w:val="en-US"/>
        </w:rPr>
        <w:t>inter alia</w:t>
      </w:r>
      <w:r w:rsidRPr="00802AA3">
        <w:rPr>
          <w:lang w:val="en-US"/>
        </w:rPr>
        <w:t xml:space="preserve">, studying the human rights obligations relating to the enjoyment of a safe, clean, healthy and sustainable environment and reporting to the Council on those obligations.   </w:t>
      </w:r>
    </w:p>
    <w:p w:rsidR="00802AA3" w:rsidRPr="00802AA3" w:rsidRDefault="00802AA3" w:rsidP="00802AA3">
      <w:pPr>
        <w:pStyle w:val="NoSpacing"/>
        <w:rPr>
          <w:lang w:val="en-US"/>
        </w:rPr>
      </w:pPr>
      <w:r w:rsidRPr="00802AA3">
        <w:rPr>
          <w:lang w:val="en-US"/>
        </w:rPr>
        <w:t xml:space="preserve">In his first report to the Council, U.N. Doc. A/HRC/22/43 (24 December 2012), the Independent Expert stated that his first priority would be to provide greater conceptual clarity to the application of human rights obligations related to the environment by taking an evidence-based approach to determining the nature, scope and content of the obligations. To that end, he assembled a team of volunteers to map the human rights obligations pertaining to environmental protection in as much detail as possible. The results of the research are contained in this and the other reports in this series. </w:t>
      </w:r>
    </w:p>
    <w:p w:rsidR="00177257" w:rsidRPr="00DC5522" w:rsidRDefault="00802AA3" w:rsidP="00802AA3">
      <w:pPr>
        <w:pStyle w:val="NoSpacing"/>
      </w:pPr>
      <w:r w:rsidRPr="00802AA3">
        <w:rPr>
          <w:lang w:val="en-US"/>
        </w:rPr>
        <w:lastRenderedPageBreak/>
        <w:t>The Independent Expert’s second report to the Council, U.N. Doc. A/HRC/25/53 (30 December 2013), describes the mapping project and summarizes its conclusions on the basis of the findings of the 14 specific reports.  In brief, the main conclusions are that the human rights obligations relating to the environment include procedural obligations of States to assess environmental impacts on human rights and to make environmental information public, to facilitate participation in environmental decision-making, and to provide access to remedies, as well as substantive obligations to adopt legal and institutional frameworks that protect against environmental harm that interferes with the enjoyment of human rights, including harm caused by private actors. States are also subject to a general requirement of non-discrimination in the application of environmental laws, and have additional obligations to members of groups particularly vulnerable to environmental harm, including women, children and indigenous peoples</w:t>
      </w:r>
    </w:p>
    <w:p w:rsidR="00DB402C" w:rsidRPr="00DC5522" w:rsidRDefault="00D5671C" w:rsidP="004D500D">
      <w:pPr>
        <w:pStyle w:val="NoSpacing"/>
      </w:pPr>
      <w:r w:rsidRPr="00DC5522">
        <w:t xml:space="preserve">This report synthesises provisions in regional </w:t>
      </w:r>
      <w:r w:rsidR="005F2E1A">
        <w:t>agreements, i</w:t>
      </w:r>
      <w:r w:rsidRPr="00DC5522">
        <w:t>nstruments</w:t>
      </w:r>
      <w:r w:rsidR="005F2E1A">
        <w:t xml:space="preserve"> and </w:t>
      </w:r>
      <w:r w:rsidR="00C7719A">
        <w:t>jurisprudence</w:t>
      </w:r>
      <w:r w:rsidR="005F2E1A">
        <w:t xml:space="preserve"> from the African, Asia</w:t>
      </w:r>
      <w:r w:rsidR="00B37FC6">
        <w:t>-Pacific</w:t>
      </w:r>
      <w:r w:rsidR="005F2E1A">
        <w:t xml:space="preserve"> and Arab region</w:t>
      </w:r>
      <w:r w:rsidR="00B37FC6">
        <w:t>al human rights system</w:t>
      </w:r>
      <w:r w:rsidR="005F2E1A">
        <w:t>s</w:t>
      </w:r>
      <w:r w:rsidR="00C7719A">
        <w:t xml:space="preserve">, as well as the European Social </w:t>
      </w:r>
      <w:r w:rsidR="00802AA3">
        <w:t>Charter,</w:t>
      </w:r>
      <w:r w:rsidR="00802AA3" w:rsidRPr="00DC5522">
        <w:t xml:space="preserve"> which</w:t>
      </w:r>
      <w:r w:rsidRPr="00DC5522">
        <w:t xml:space="preserve"> can be characterised as human rights obligations</w:t>
      </w:r>
      <w:r w:rsidR="00C7719A">
        <w:t>.</w:t>
      </w:r>
      <w:r w:rsidR="004D500D">
        <w:t xml:space="preserve">  </w:t>
      </w:r>
    </w:p>
    <w:p w:rsidR="00D732BF" w:rsidRPr="000C38D9" w:rsidRDefault="00254334" w:rsidP="00A76039">
      <w:pPr>
        <w:pStyle w:val="NoSpacing"/>
        <w:rPr>
          <w:b/>
        </w:rPr>
      </w:pPr>
      <w:r>
        <w:t xml:space="preserve">The remainder </w:t>
      </w:r>
      <w:r w:rsidR="004D500D">
        <w:t xml:space="preserve">of this report </w:t>
      </w:r>
      <w:r>
        <w:t xml:space="preserve">presents the main findings of the research. </w:t>
      </w:r>
      <w:r w:rsidR="001D2B6D" w:rsidRPr="00DC5522">
        <w:t xml:space="preserve">Section II </w:t>
      </w:r>
      <w:r w:rsidR="00D32BB0">
        <w:t xml:space="preserve">reviews the African region, </w:t>
      </w:r>
      <w:r w:rsidR="001D2B6D" w:rsidRPr="00DC5522">
        <w:t>Section III</w:t>
      </w:r>
      <w:r w:rsidR="00D32BB0">
        <w:t xml:space="preserve"> revie</w:t>
      </w:r>
      <w:r w:rsidR="00DA6545">
        <w:t>w</w:t>
      </w:r>
      <w:r w:rsidR="00D32BB0">
        <w:t>s the Asia</w:t>
      </w:r>
      <w:r w:rsidR="00B37FC6">
        <w:t>-</w:t>
      </w:r>
      <w:r w:rsidR="00D32BB0">
        <w:t>Pacific and Arab regions</w:t>
      </w:r>
      <w:r w:rsidR="00B37FC6">
        <w:t xml:space="preserve"> and</w:t>
      </w:r>
      <w:r w:rsidR="00D32BB0">
        <w:t xml:space="preserve"> Section IV addresses the European Social Charter.</w:t>
      </w:r>
      <w:r w:rsidR="00DA6545">
        <w:t xml:space="preserve"> </w:t>
      </w:r>
      <w:r w:rsidR="00D32BB0">
        <w:t xml:space="preserve"> </w:t>
      </w:r>
      <w:r w:rsidR="001D2B6D" w:rsidRPr="00DC5522">
        <w:t>Section V makes some concluding observations</w:t>
      </w:r>
      <w:r w:rsidR="00D570DC">
        <w:t xml:space="preserve">. </w:t>
      </w:r>
      <w:r w:rsidR="00B37FC6">
        <w:t xml:space="preserve"> </w:t>
      </w:r>
      <w:r w:rsidR="00D570DC">
        <w:t xml:space="preserve">Each section begins by reviewing how </w:t>
      </w:r>
      <w:r w:rsidR="00F02864">
        <w:t>the respective regional systems</w:t>
      </w:r>
      <w:r w:rsidR="00D570DC">
        <w:t xml:space="preserve"> have </w:t>
      </w:r>
      <w:r w:rsidR="00D570DC" w:rsidRPr="00D570DC">
        <w:rPr>
          <w:lang w:val="en-US"/>
        </w:rPr>
        <w:t xml:space="preserve">connected environmental harm  to infringements of particular human rights. </w:t>
      </w:r>
      <w:r w:rsidR="00D570DC">
        <w:rPr>
          <w:lang w:val="en-US"/>
        </w:rPr>
        <w:t xml:space="preserve"> </w:t>
      </w:r>
      <w:r w:rsidR="00D570DC" w:rsidRPr="00D570DC">
        <w:rPr>
          <w:lang w:val="en-US"/>
        </w:rPr>
        <w:t xml:space="preserve"> </w:t>
      </w:r>
      <w:r w:rsidR="00D570DC">
        <w:rPr>
          <w:lang w:val="en-US"/>
        </w:rPr>
        <w:t>The discussion then reviews</w:t>
      </w:r>
      <w:r w:rsidR="00D570DC" w:rsidRPr="00D570DC">
        <w:rPr>
          <w:lang w:val="en-US"/>
        </w:rPr>
        <w:t xml:space="preserve"> human rights obligations relating to the environment.  These obligations include procedural obligations, substantive obligations, and obligatio</w:t>
      </w:r>
      <w:r w:rsidR="00DB7C3C">
        <w:rPr>
          <w:lang w:val="en-US"/>
        </w:rPr>
        <w:t>ns relating to members of</w:t>
      </w:r>
      <w:r w:rsidR="00D570DC" w:rsidRPr="00D570DC">
        <w:rPr>
          <w:lang w:val="en-US"/>
        </w:rPr>
        <w:t xml:space="preserve"> </w:t>
      </w:r>
      <w:r w:rsidR="00D570DC">
        <w:rPr>
          <w:lang w:val="en-US"/>
        </w:rPr>
        <w:t>groups in vulnerable situations</w:t>
      </w:r>
      <w:r w:rsidR="00D570DC" w:rsidRPr="00D570DC">
        <w:rPr>
          <w:lang w:val="en-US"/>
        </w:rPr>
        <w:t xml:space="preserve">.  </w:t>
      </w:r>
      <w:r w:rsidR="00D570DC">
        <w:rPr>
          <w:lang w:val="en-US"/>
        </w:rPr>
        <w:t>Finally, each section</w:t>
      </w:r>
      <w:r w:rsidR="00D570DC" w:rsidRPr="00D570DC">
        <w:rPr>
          <w:lang w:val="en-US"/>
        </w:rPr>
        <w:t xml:space="preserve"> addresses rights and obligations pertaining to various cross-cutting issues </w:t>
      </w:r>
      <w:r w:rsidR="00D570DC" w:rsidRPr="00D570DC">
        <w:rPr>
          <w:lang w:val="en-US"/>
        </w:rPr>
        <w:lastRenderedPageBreak/>
        <w:t xml:space="preserve">that cut across a range </w:t>
      </w:r>
      <w:r w:rsidR="00D570DC">
        <w:rPr>
          <w:lang w:val="en-US"/>
        </w:rPr>
        <w:t>of possible rights and duties, such as</w:t>
      </w:r>
      <w:r w:rsidR="00D570DC" w:rsidRPr="00D570DC">
        <w:rPr>
          <w:lang w:val="en-US"/>
        </w:rPr>
        <w:t xml:space="preserve"> </w:t>
      </w:r>
      <w:r w:rsidR="00D570DC">
        <w:rPr>
          <w:lang w:val="en-US"/>
        </w:rPr>
        <w:t xml:space="preserve">obligations </w:t>
      </w:r>
      <w:r w:rsidR="00D570DC" w:rsidRPr="00D570DC">
        <w:rPr>
          <w:lang w:val="en-US"/>
        </w:rPr>
        <w:t>relating to transboundary</w:t>
      </w:r>
      <w:r w:rsidR="00D570DC">
        <w:rPr>
          <w:lang w:val="en-US"/>
        </w:rPr>
        <w:t xml:space="preserve"> environmental harm and obligations</w:t>
      </w:r>
      <w:r w:rsidR="00D570DC" w:rsidRPr="00D570DC">
        <w:rPr>
          <w:lang w:val="en-US"/>
        </w:rPr>
        <w:t xml:space="preserve"> relating to non-state actors.</w:t>
      </w:r>
      <w:r w:rsidR="00D570DC">
        <w:t xml:space="preserve"> </w:t>
      </w:r>
    </w:p>
    <w:p w:rsidR="001C432B" w:rsidRPr="00DC5522" w:rsidRDefault="00254334" w:rsidP="007E7B15">
      <w:pPr>
        <w:pStyle w:val="Heading1"/>
      </w:pPr>
      <w:r>
        <w:t>African Region</w:t>
      </w:r>
      <w:r w:rsidR="00C139E8" w:rsidRPr="00DC5522">
        <w:t xml:space="preserve"> </w:t>
      </w:r>
    </w:p>
    <w:p w:rsidR="00BF26FB" w:rsidRPr="00BF26FB" w:rsidRDefault="00997208" w:rsidP="00A76039">
      <w:pPr>
        <w:pStyle w:val="NoSpacing"/>
        <w:rPr>
          <w:b/>
        </w:rPr>
      </w:pPr>
      <w:r>
        <w:t>The African Charter on Human and Peoples’ Rights (African Charter) sets out a wide spectrum of human rights, including a right to a healthy environment.</w:t>
      </w:r>
      <w:r w:rsidRPr="00997208">
        <w:rPr>
          <w:vertAlign w:val="superscript"/>
        </w:rPr>
        <w:footnoteReference w:id="1"/>
      </w:r>
      <w:r>
        <w:t xml:space="preserve">  </w:t>
      </w:r>
      <w:r w:rsidRPr="0045066C">
        <w:rPr>
          <w:lang w:val="en-ZA"/>
        </w:rPr>
        <w:t xml:space="preserve">The African Charter established the African Commission on Human and Peoples’ Rights (African Commission) to, </w:t>
      </w:r>
      <w:r w:rsidRPr="0045066C">
        <w:rPr>
          <w:i/>
          <w:lang w:val="en-ZA"/>
        </w:rPr>
        <w:t>inter alia</w:t>
      </w:r>
      <w:r w:rsidRPr="0045066C">
        <w:rPr>
          <w:lang w:val="en-ZA"/>
        </w:rPr>
        <w:t>, protect and promote human and peoples</w:t>
      </w:r>
      <w:r w:rsidR="00B37FC6">
        <w:rPr>
          <w:lang w:val="en-ZA"/>
        </w:rPr>
        <w:t>’</w:t>
      </w:r>
      <w:r w:rsidRPr="0045066C">
        <w:rPr>
          <w:lang w:val="en-ZA"/>
        </w:rPr>
        <w:t xml:space="preserve"> rights under the Charter and to interpret the Charter.</w:t>
      </w:r>
      <w:r>
        <w:rPr>
          <w:rStyle w:val="FootnoteReference"/>
          <w:lang w:val="en-ZA"/>
        </w:rPr>
        <w:footnoteReference w:id="2"/>
      </w:r>
      <w:r w:rsidR="0045066C">
        <w:rPr>
          <w:lang w:val="en-ZA"/>
        </w:rPr>
        <w:t xml:space="preserve"> </w:t>
      </w:r>
      <w:r w:rsidR="00B37FC6">
        <w:rPr>
          <w:lang w:val="en-ZA"/>
        </w:rPr>
        <w:t xml:space="preserve"> </w:t>
      </w:r>
      <w:r w:rsidRPr="00997208">
        <w:t>Anyone may bring a complaint to the attention of the African Commission alleging that a State party to the African Charter  has violated one or more of the rights contained therein.</w:t>
      </w:r>
      <w:r>
        <w:rPr>
          <w:rStyle w:val="FootnoteReference"/>
        </w:rPr>
        <w:footnoteReference w:id="3"/>
      </w:r>
    </w:p>
    <w:p w:rsidR="00BF26FB" w:rsidRPr="00BF26FB" w:rsidRDefault="00BE3F93" w:rsidP="00A76039">
      <w:pPr>
        <w:pStyle w:val="NoSpacing"/>
        <w:rPr>
          <w:b/>
        </w:rPr>
      </w:pPr>
      <w:r w:rsidRPr="00BF26FB">
        <w:t>Articles 6 and 15 of the Revised Treaty of the Economic Community of West African States (ECOWAS)</w:t>
      </w:r>
      <w:r>
        <w:t xml:space="preserve"> establish the ECOWAS </w:t>
      </w:r>
      <w:r w:rsidR="00BF26FB" w:rsidRPr="00BE3F93">
        <w:t>Court of</w:t>
      </w:r>
      <w:r>
        <w:t xml:space="preserve"> Justice</w:t>
      </w:r>
      <w:r w:rsidR="00BF26FB" w:rsidRPr="00BF26FB">
        <w:t>.</w:t>
      </w:r>
      <w:r w:rsidR="006A5ED9">
        <w:rPr>
          <w:rStyle w:val="FootnoteReference"/>
        </w:rPr>
        <w:footnoteReference w:id="4"/>
      </w:r>
      <w:r w:rsidR="00BF26FB">
        <w:t xml:space="preserve"> The ECOWAS Court of Justice is mandated to </w:t>
      </w:r>
      <w:r w:rsidR="00BF26FB" w:rsidRPr="00BF26FB">
        <w:t>ensure the observance of law and of the principles of equity and interpret and appl</w:t>
      </w:r>
      <w:r w:rsidR="00BC6F52">
        <w:t>y</w:t>
      </w:r>
      <w:r w:rsidR="00BF26FB" w:rsidRPr="00BF26FB">
        <w:t xml:space="preserve"> the provisions of the Revised </w:t>
      </w:r>
      <w:r w:rsidR="00BF26FB">
        <w:t>ECOWAS Treaty</w:t>
      </w:r>
      <w:r w:rsidR="00BF26FB" w:rsidRPr="00BF26FB">
        <w:t xml:space="preserve"> and all other subsidiary legal </w:t>
      </w:r>
      <w:r w:rsidR="00BF26FB" w:rsidRPr="00BF26FB">
        <w:lastRenderedPageBreak/>
        <w:t xml:space="preserve">instruments adopted by </w:t>
      </w:r>
      <w:r w:rsidR="00BC6F52">
        <w:t xml:space="preserve">the </w:t>
      </w:r>
      <w:r w:rsidR="00BF26FB" w:rsidRPr="00BF26FB">
        <w:t>Community.</w:t>
      </w:r>
      <w:r w:rsidR="00BF26FB">
        <w:rPr>
          <w:rStyle w:val="FootnoteReference"/>
        </w:rPr>
        <w:footnoteReference w:id="5"/>
      </w:r>
      <w:r w:rsidR="00BF26FB">
        <w:t xml:space="preserve">  Among other powers, the</w:t>
      </w:r>
      <w:r w:rsidR="00BF26FB" w:rsidRPr="00BF26FB">
        <w:t xml:space="preserve"> Court has jurisdiction to determine cases of violation of human rights that occur in any Member State</w:t>
      </w:r>
      <w:r w:rsidR="00BF26FB">
        <w:t>.</w:t>
      </w:r>
      <w:r w:rsidR="002523AA" w:rsidRPr="002523AA">
        <w:rPr>
          <w:vertAlign w:val="superscript"/>
        </w:rPr>
        <w:footnoteReference w:id="6"/>
      </w:r>
    </w:p>
    <w:p w:rsidR="006901A2" w:rsidRPr="0045066C" w:rsidRDefault="00997208" w:rsidP="00A76039">
      <w:pPr>
        <w:pStyle w:val="NoSpacing"/>
        <w:rPr>
          <w:b/>
        </w:rPr>
      </w:pPr>
      <w:r>
        <w:t xml:space="preserve"> </w:t>
      </w:r>
      <w:r w:rsidR="0045066C">
        <w:t>The following discussion reviews human rights obligations as set out in the Charter, and selected materials from the African Commission, including its jurisprudence and resolutions</w:t>
      </w:r>
      <w:r w:rsidR="00BF26FB">
        <w:t>, as well as jurisprudence from the ECOWAS Court of Justice</w:t>
      </w:r>
      <w:r w:rsidR="0045066C">
        <w:t>.</w:t>
      </w:r>
      <w:r w:rsidR="00BF26FB">
        <w:t xml:space="preserve"> </w:t>
      </w:r>
      <w:r w:rsidR="0045066C">
        <w:t xml:space="preserve"> In addition, it reviews the </w:t>
      </w:r>
      <w:r w:rsidR="00E7613B" w:rsidRPr="0045066C">
        <w:rPr>
          <w:lang w:val="en-US"/>
        </w:rPr>
        <w:t>Protocol to the African Charter on Human and Peoples’ Rights on the Rights of Women in Africa</w:t>
      </w:r>
      <w:r w:rsidR="0045066C">
        <w:rPr>
          <w:lang w:val="en-US"/>
        </w:rPr>
        <w:t>.</w:t>
      </w:r>
      <w:r w:rsidR="00E7613B" w:rsidRPr="0045066C">
        <w:rPr>
          <w:vertAlign w:val="superscript"/>
          <w:lang w:val="en-US"/>
        </w:rPr>
        <w:footnoteReference w:id="7"/>
      </w:r>
      <w:r w:rsidR="00BF26FB">
        <w:rPr>
          <w:lang w:val="en-US"/>
        </w:rPr>
        <w:t xml:space="preserve"> </w:t>
      </w:r>
    </w:p>
    <w:p w:rsidR="00254334" w:rsidRDefault="003F27B7" w:rsidP="00A76039">
      <w:pPr>
        <w:pStyle w:val="Heading2"/>
      </w:pPr>
      <w:r>
        <w:t>Human Rights Threatened by Environmental Harm</w:t>
      </w:r>
    </w:p>
    <w:p w:rsidR="00A42EEA" w:rsidRDefault="00A42EEA" w:rsidP="00A42EEA">
      <w:pPr>
        <w:pStyle w:val="Heading3"/>
      </w:pPr>
      <w:r>
        <w:t>Right to health and right to healthy environment</w:t>
      </w:r>
    </w:p>
    <w:p w:rsidR="00842CC3" w:rsidRDefault="00842CC3" w:rsidP="00A76039">
      <w:pPr>
        <w:pStyle w:val="NoSpacing"/>
      </w:pPr>
      <w:r>
        <w:t xml:space="preserve">Article 16 of the African Charter </w:t>
      </w:r>
      <w:r w:rsidR="00BC6F52">
        <w:t>states</w:t>
      </w:r>
      <w:r>
        <w:t>:</w:t>
      </w:r>
    </w:p>
    <w:p w:rsidR="00842CC3" w:rsidRDefault="00842CC3" w:rsidP="00D928C9">
      <w:pPr>
        <w:pStyle w:val="NoSpacing"/>
        <w:numPr>
          <w:ilvl w:val="0"/>
          <w:numId w:val="0"/>
        </w:numPr>
        <w:spacing w:line="240" w:lineRule="auto"/>
        <w:ind w:left="1440" w:right="1440"/>
        <w:jc w:val="both"/>
      </w:pPr>
      <w:r w:rsidRPr="00842CC3">
        <w:t xml:space="preserve">1. Every individual shall have the right to enjoy the best attainable state of physical and mental health. </w:t>
      </w:r>
    </w:p>
    <w:p w:rsidR="00D928C9" w:rsidRDefault="00D928C9" w:rsidP="00D928C9">
      <w:pPr>
        <w:pStyle w:val="NoSpacing"/>
        <w:numPr>
          <w:ilvl w:val="0"/>
          <w:numId w:val="0"/>
        </w:numPr>
        <w:spacing w:line="240" w:lineRule="auto"/>
        <w:ind w:left="1440" w:right="1440"/>
        <w:jc w:val="both"/>
      </w:pPr>
    </w:p>
    <w:p w:rsidR="00842CC3" w:rsidRDefault="00842CC3" w:rsidP="00D928C9">
      <w:pPr>
        <w:pStyle w:val="NoSpacing"/>
        <w:numPr>
          <w:ilvl w:val="0"/>
          <w:numId w:val="0"/>
        </w:numPr>
        <w:spacing w:line="240" w:lineRule="auto"/>
        <w:ind w:left="1440" w:right="1440"/>
        <w:contextualSpacing w:val="0"/>
        <w:jc w:val="both"/>
      </w:pPr>
      <w:r w:rsidRPr="00842CC3">
        <w:t>2. States Parties to the present Charter shall take the necessary measures to protect the health of their people and to ensure that they receive medical attention when they are sick.</w:t>
      </w:r>
    </w:p>
    <w:p w:rsidR="00842CC3" w:rsidRDefault="00842CC3" w:rsidP="00D928C9">
      <w:pPr>
        <w:pStyle w:val="NoSpacing"/>
        <w:spacing w:after="0"/>
        <w:contextualSpacing w:val="0"/>
      </w:pPr>
      <w:r>
        <w:t>Article 24 of the Africa</w:t>
      </w:r>
      <w:r w:rsidR="006D67BC">
        <w:t>n</w:t>
      </w:r>
      <w:r>
        <w:t xml:space="preserve"> Charter states:</w:t>
      </w:r>
    </w:p>
    <w:p w:rsidR="00842CC3" w:rsidRDefault="00842CC3" w:rsidP="00D928C9">
      <w:pPr>
        <w:spacing w:before="0"/>
        <w:ind w:left="1440" w:right="1440"/>
      </w:pPr>
      <w:r w:rsidRPr="00842CC3">
        <w:t xml:space="preserve">All peoples shall have the right to a general satisfactory environment </w:t>
      </w:r>
      <w:r w:rsidR="002523AA" w:rsidRPr="00842CC3">
        <w:t>favourable</w:t>
      </w:r>
      <w:r w:rsidRPr="00842CC3">
        <w:t xml:space="preserve"> to their development.</w:t>
      </w:r>
    </w:p>
    <w:p w:rsidR="00961D61" w:rsidRDefault="00961D61" w:rsidP="00A76039">
      <w:pPr>
        <w:pStyle w:val="NoSpacing"/>
      </w:pPr>
      <w:r>
        <w:lastRenderedPageBreak/>
        <w:t>I</w:t>
      </w:r>
      <w:r w:rsidR="00842CC3">
        <w:t xml:space="preserve">n </w:t>
      </w:r>
      <w:r w:rsidR="00D50621" w:rsidRPr="00D50621">
        <w:rPr>
          <w:i/>
        </w:rPr>
        <w:t xml:space="preserve">Social and Economic Rights Action </w:t>
      </w:r>
      <w:r w:rsidR="002523AA" w:rsidRPr="00D50621">
        <w:rPr>
          <w:i/>
        </w:rPr>
        <w:t>Centre</w:t>
      </w:r>
      <w:r w:rsidR="002523AA">
        <w:rPr>
          <w:i/>
        </w:rPr>
        <w:t xml:space="preserve"> </w:t>
      </w:r>
      <w:r w:rsidR="00D50621" w:rsidRPr="00D50621">
        <w:rPr>
          <w:i/>
        </w:rPr>
        <w:t>and another v. Federal Republic of Nigeria</w:t>
      </w:r>
      <w:r w:rsidR="00D50621">
        <w:rPr>
          <w:i/>
        </w:rPr>
        <w:t xml:space="preserve"> </w:t>
      </w:r>
      <w:r w:rsidR="00D50621">
        <w:t>(</w:t>
      </w:r>
      <w:proofErr w:type="spellStart"/>
      <w:r w:rsidR="00D50621" w:rsidRPr="00D50621">
        <w:rPr>
          <w:i/>
        </w:rPr>
        <w:t>Ogoniland</w:t>
      </w:r>
      <w:proofErr w:type="spellEnd"/>
      <w:r w:rsidR="00D50621" w:rsidRPr="00D50621">
        <w:rPr>
          <w:i/>
        </w:rPr>
        <w:t xml:space="preserve"> </w:t>
      </w:r>
      <w:r w:rsidR="00D50621" w:rsidRPr="00D50621">
        <w:t>case</w:t>
      </w:r>
      <w:r w:rsidR="00D50621">
        <w:t>)</w:t>
      </w:r>
      <w:r>
        <w:t>,</w:t>
      </w:r>
      <w:r w:rsidR="00490864" w:rsidRPr="00490864">
        <w:rPr>
          <w:rStyle w:val="FootnoteReference"/>
        </w:rPr>
        <w:footnoteReference w:id="8"/>
      </w:r>
      <w:r w:rsidRPr="000E57C0">
        <w:t xml:space="preserve"> </w:t>
      </w:r>
      <w:r>
        <w:t xml:space="preserve">the </w:t>
      </w:r>
      <w:proofErr w:type="spellStart"/>
      <w:r>
        <w:t>Ogoni</w:t>
      </w:r>
      <w:proofErr w:type="spellEnd"/>
      <w:r>
        <w:t xml:space="preserve"> Communities in Nigeria alleged environmental degradation and health problem</w:t>
      </w:r>
      <w:r w:rsidR="004B7CB3">
        <w:t>s</w:t>
      </w:r>
      <w:r>
        <w:t xml:space="preserve"> resulting from </w:t>
      </w:r>
      <w:r w:rsidR="004B7CB3">
        <w:t>an oil consortium’s</w:t>
      </w:r>
      <w:r>
        <w:t xml:space="preserve"> contamination of the envi</w:t>
      </w:r>
      <w:r w:rsidR="004B7CB3">
        <w:t>ronment</w:t>
      </w:r>
      <w:r>
        <w:t xml:space="preserve">.  The </w:t>
      </w:r>
      <w:proofErr w:type="spellStart"/>
      <w:r>
        <w:t>Ogoni</w:t>
      </w:r>
      <w:proofErr w:type="spellEnd"/>
      <w:r>
        <w:t xml:space="preserve"> People alleged that the oil consortium</w:t>
      </w:r>
      <w:r w:rsidR="004B7CB3">
        <w:t>’s</w:t>
      </w:r>
      <w:r>
        <w:t xml:space="preserve"> exploitation of oil reserves in </w:t>
      </w:r>
      <w:proofErr w:type="spellStart"/>
      <w:r>
        <w:t>Ogoniland</w:t>
      </w:r>
      <w:proofErr w:type="spellEnd"/>
      <w:r>
        <w:t xml:space="preserve"> </w:t>
      </w:r>
      <w:r w:rsidR="00B1754A">
        <w:t xml:space="preserve">resulted in contamination of water, soil and air and </w:t>
      </w:r>
      <w:r w:rsidR="00423557">
        <w:t>“</w:t>
      </w:r>
      <w:r w:rsidR="00B1754A">
        <w:t>has had serious short and long-term health impacts, including skin infections, gastrointestinal and respiratory ailments, and increased risk of cancers, and neurological and reproductive problems.”</w:t>
      </w:r>
      <w:r w:rsidR="00B1754A">
        <w:rPr>
          <w:rStyle w:val="FootnoteReference"/>
        </w:rPr>
        <w:footnoteReference w:id="9"/>
      </w:r>
      <w:r>
        <w:t xml:space="preserve"> </w:t>
      </w:r>
    </w:p>
    <w:p w:rsidR="00761651" w:rsidRDefault="000B186D" w:rsidP="00311BDA">
      <w:pPr>
        <w:pStyle w:val="NoSpacing"/>
        <w:spacing w:after="120"/>
      </w:pPr>
      <w:r>
        <w:t>T</w:t>
      </w:r>
      <w:r w:rsidR="00961D61">
        <w:t xml:space="preserve">he </w:t>
      </w:r>
      <w:r w:rsidR="00266765" w:rsidRPr="00266765">
        <w:t xml:space="preserve">African Commission </w:t>
      </w:r>
      <w:r>
        <w:t xml:space="preserve">stated </w:t>
      </w:r>
      <w:r w:rsidR="00761651">
        <w:t>that Articles 16 and 24</w:t>
      </w:r>
      <w:r>
        <w:t xml:space="preserve"> of the African Charter</w:t>
      </w:r>
      <w:r w:rsidR="00761651">
        <w:t>:</w:t>
      </w:r>
    </w:p>
    <w:p w:rsidR="00842CC3" w:rsidRDefault="00761651" w:rsidP="00311BDA">
      <w:pPr>
        <w:spacing w:before="0"/>
        <w:ind w:left="1440" w:right="1440"/>
        <w:jc w:val="both"/>
      </w:pPr>
      <w:r>
        <w:t xml:space="preserve">recognise the importance of </w:t>
      </w:r>
      <w:r w:rsidR="007041B1">
        <w:t xml:space="preserve">a </w:t>
      </w:r>
      <w:r>
        <w:t xml:space="preserve">clean and safe environment that is closely linked to economic and social rights in so far as the environment affects the quality of life and safety of the individual. As has been rightly observed by Alexander Kiss, </w:t>
      </w:r>
      <w:r w:rsidR="007041B1">
        <w:t>“</w:t>
      </w:r>
      <w:r>
        <w:t xml:space="preserve">an environment degraded by pollution and defaced by the destruction of all beauty and variety is as contrary to satisfactory living conditions and the development as the breakdown of the fundamental ecologic </w:t>
      </w:r>
      <w:proofErr w:type="spellStart"/>
      <w:r>
        <w:t>equilibria</w:t>
      </w:r>
      <w:proofErr w:type="spellEnd"/>
      <w:r>
        <w:t xml:space="preserve"> is harmful to physical and moral health.</w:t>
      </w:r>
      <w:r w:rsidR="007041B1">
        <w:t>”</w:t>
      </w:r>
      <w:r w:rsidR="00961D61">
        <w:rPr>
          <w:rStyle w:val="FootnoteReference"/>
        </w:rPr>
        <w:footnoteReference w:id="10"/>
      </w:r>
    </w:p>
    <w:p w:rsidR="00980AE6" w:rsidRDefault="00980AE6" w:rsidP="000B186D">
      <w:pPr>
        <w:pStyle w:val="NoSpacing"/>
      </w:pPr>
      <w:r>
        <w:t xml:space="preserve">The ECOWAS Court of Justice in </w:t>
      </w:r>
      <w:r w:rsidRPr="000B186D">
        <w:rPr>
          <w:i/>
        </w:rPr>
        <w:t>SERAP v. N</w:t>
      </w:r>
      <w:r w:rsidR="005B5416" w:rsidRPr="000B186D">
        <w:rPr>
          <w:i/>
        </w:rPr>
        <w:t>igeria</w:t>
      </w:r>
      <w:r w:rsidR="005B5416">
        <w:t xml:space="preserve"> affirmed that </w:t>
      </w:r>
      <w:r w:rsidR="000B186D">
        <w:t>“it is public knowledge that oil spills pollute water, destroy aquatic life and soil fertility with resultant adverse effect on the health and means of livelihood of people in its vicinity” in the course of finding a violation of Article 24 of the Charter.</w:t>
      </w:r>
      <w:r w:rsidR="005B5416">
        <w:rPr>
          <w:rStyle w:val="FootnoteReference"/>
        </w:rPr>
        <w:footnoteReference w:id="11"/>
      </w:r>
      <w:r w:rsidR="005B5416">
        <w:t xml:space="preserve"> </w:t>
      </w:r>
    </w:p>
    <w:p w:rsidR="00A42EEA" w:rsidRDefault="00A42EEA" w:rsidP="00A42EEA">
      <w:pPr>
        <w:pStyle w:val="Heading3"/>
      </w:pPr>
      <w:r>
        <w:lastRenderedPageBreak/>
        <w:t>Right to Property</w:t>
      </w:r>
    </w:p>
    <w:p w:rsidR="00A42EEA" w:rsidRDefault="00A42EEA" w:rsidP="002523AA">
      <w:pPr>
        <w:pStyle w:val="NoSpacing"/>
        <w:spacing w:after="0"/>
        <w:contextualSpacing w:val="0"/>
      </w:pPr>
      <w:r>
        <w:t>The Africa Charter provides for the right to property in Article 14:</w:t>
      </w:r>
    </w:p>
    <w:p w:rsidR="00A42EEA" w:rsidRDefault="00A42EEA" w:rsidP="002523AA">
      <w:pPr>
        <w:spacing w:before="0"/>
        <w:ind w:left="1440" w:right="1440"/>
        <w:jc w:val="both"/>
      </w:pPr>
      <w:r w:rsidRPr="00A42EEA">
        <w:t>The right to property shall be guaranteed. It may only be encroached upon in the interest of public need or in the general interest of the community and in accordance with the provisions of appropriate laws.</w:t>
      </w:r>
    </w:p>
    <w:p w:rsidR="00A42EEA" w:rsidRPr="002B5AF8" w:rsidRDefault="00A42EEA" w:rsidP="00A76039">
      <w:pPr>
        <w:pStyle w:val="NoSpacing"/>
        <w:rPr>
          <w:b/>
          <w:lang w:val="en-ZA"/>
        </w:rPr>
      </w:pPr>
      <w:r>
        <w:t xml:space="preserve">In </w:t>
      </w:r>
      <w:proofErr w:type="spellStart"/>
      <w:r w:rsidRPr="00A42EEA">
        <w:rPr>
          <w:i/>
          <w:lang w:val="en-ZA"/>
        </w:rPr>
        <w:t>Endorois</w:t>
      </w:r>
      <w:proofErr w:type="spellEnd"/>
      <w:r w:rsidRPr="00A42EEA">
        <w:rPr>
          <w:i/>
          <w:lang w:val="en-ZA"/>
        </w:rPr>
        <w:t xml:space="preserve"> Welfare Council vs. Kenya</w:t>
      </w:r>
      <w:r>
        <w:rPr>
          <w:lang w:val="en-ZA"/>
        </w:rPr>
        <w:t xml:space="preserve">, the African Commission found that the removal of the </w:t>
      </w:r>
      <w:proofErr w:type="spellStart"/>
      <w:r>
        <w:rPr>
          <w:lang w:val="en-ZA"/>
        </w:rPr>
        <w:t>Endorois</w:t>
      </w:r>
      <w:proofErr w:type="spellEnd"/>
      <w:r>
        <w:rPr>
          <w:lang w:val="en-ZA"/>
        </w:rPr>
        <w:t xml:space="preserve"> people from their land in order to build a game reserve and </w:t>
      </w:r>
      <w:r w:rsidR="000B186D">
        <w:rPr>
          <w:lang w:val="en-ZA"/>
        </w:rPr>
        <w:t xml:space="preserve">to </w:t>
      </w:r>
      <w:r>
        <w:rPr>
          <w:lang w:val="en-ZA"/>
        </w:rPr>
        <w:t>gra</w:t>
      </w:r>
      <w:r w:rsidR="000B186D">
        <w:rPr>
          <w:lang w:val="en-ZA"/>
        </w:rPr>
        <w:t>n</w:t>
      </w:r>
      <w:r>
        <w:rPr>
          <w:lang w:val="en-ZA"/>
        </w:rPr>
        <w:t>t a ruby mining concession constituted violations of their right to property.</w:t>
      </w:r>
      <w:r>
        <w:rPr>
          <w:rStyle w:val="FootnoteReference"/>
          <w:bCs/>
          <w:lang w:val="en-ZA"/>
        </w:rPr>
        <w:footnoteReference w:id="12"/>
      </w:r>
      <w:r w:rsidR="002B5AF8">
        <w:rPr>
          <w:lang w:val="en-ZA"/>
        </w:rPr>
        <w:t xml:space="preserve">  The Commission noted that “access roads, gates, game lodges and a hotel have all been buil</w:t>
      </w:r>
      <w:r w:rsidR="00CB5EFA">
        <w:rPr>
          <w:lang w:val="en-ZA"/>
        </w:rPr>
        <w:t>t</w:t>
      </w:r>
      <w:r w:rsidR="002B5AF8">
        <w:rPr>
          <w:lang w:val="en-ZA"/>
        </w:rPr>
        <w:t xml:space="preserve"> on the ancestral land of the </w:t>
      </w:r>
      <w:proofErr w:type="spellStart"/>
      <w:r w:rsidR="002B5AF8">
        <w:rPr>
          <w:lang w:val="en-ZA"/>
        </w:rPr>
        <w:t>Endorois</w:t>
      </w:r>
      <w:proofErr w:type="spellEnd"/>
      <w:r w:rsidR="002B5AF8">
        <w:rPr>
          <w:lang w:val="en-ZA"/>
        </w:rPr>
        <w:t xml:space="preserve"> community around Lake </w:t>
      </w:r>
      <w:proofErr w:type="spellStart"/>
      <w:r w:rsidR="002B5AF8">
        <w:rPr>
          <w:lang w:val="en-ZA"/>
        </w:rPr>
        <w:t>Bogoria</w:t>
      </w:r>
      <w:proofErr w:type="spellEnd"/>
      <w:r w:rsidR="002B5AF8">
        <w:rPr>
          <w:lang w:val="en-ZA"/>
        </w:rPr>
        <w:t xml:space="preserve"> and imminent mining operations also threatens to cause irreparable damage to the land.”</w:t>
      </w:r>
      <w:r w:rsidR="00CB5EFA" w:rsidRPr="00CB5EFA">
        <w:rPr>
          <w:vertAlign w:val="superscript"/>
          <w:lang w:val="en-ZA"/>
        </w:rPr>
        <w:footnoteReference w:id="13"/>
      </w:r>
      <w:r w:rsidR="002B5AF8">
        <w:rPr>
          <w:lang w:val="en-ZA"/>
        </w:rPr>
        <w:t xml:space="preserve">  The Commission further found that “in the pursuit of creating a </w:t>
      </w:r>
      <w:r w:rsidR="00FF7BC5">
        <w:rPr>
          <w:lang w:val="en-ZA"/>
        </w:rPr>
        <w:t>G</w:t>
      </w:r>
      <w:r w:rsidR="002B5AF8">
        <w:rPr>
          <w:lang w:val="en-ZA"/>
        </w:rPr>
        <w:t>a</w:t>
      </w:r>
      <w:r w:rsidR="00CB5EFA">
        <w:rPr>
          <w:lang w:val="en-ZA"/>
        </w:rPr>
        <w:t xml:space="preserve">me </w:t>
      </w:r>
      <w:r w:rsidR="00FF7BC5">
        <w:rPr>
          <w:lang w:val="en-ZA"/>
        </w:rPr>
        <w:t>R</w:t>
      </w:r>
      <w:r w:rsidR="00CB5EFA">
        <w:rPr>
          <w:lang w:val="en-ZA"/>
        </w:rPr>
        <w:t>eserve, [Kenya]</w:t>
      </w:r>
      <w:r w:rsidR="002B5AF8">
        <w:rPr>
          <w:lang w:val="en-ZA"/>
        </w:rPr>
        <w:t xml:space="preserve"> h</w:t>
      </w:r>
      <w:r w:rsidR="00CB5EFA">
        <w:rPr>
          <w:lang w:val="en-ZA"/>
        </w:rPr>
        <w:t xml:space="preserve">as unlawfully evicted the </w:t>
      </w:r>
      <w:proofErr w:type="spellStart"/>
      <w:r w:rsidR="00CB5EFA">
        <w:rPr>
          <w:lang w:val="en-ZA"/>
        </w:rPr>
        <w:t>Endor</w:t>
      </w:r>
      <w:r w:rsidR="002B5AF8">
        <w:rPr>
          <w:lang w:val="en-ZA"/>
        </w:rPr>
        <w:t>ois</w:t>
      </w:r>
      <w:proofErr w:type="spellEnd"/>
      <w:r w:rsidR="002B5AF8">
        <w:rPr>
          <w:lang w:val="en-ZA"/>
        </w:rPr>
        <w:t xml:space="preserve"> from their ancestral land and destroyed their possessions.”</w:t>
      </w:r>
      <w:r w:rsidR="002B5AF8">
        <w:rPr>
          <w:rStyle w:val="FootnoteReference"/>
          <w:bCs/>
          <w:lang w:val="en-ZA"/>
        </w:rPr>
        <w:footnoteReference w:id="14"/>
      </w:r>
    </w:p>
    <w:p w:rsidR="00CB5EFA" w:rsidRDefault="00CB5EFA" w:rsidP="002B5AF8">
      <w:pPr>
        <w:pStyle w:val="Heading3"/>
        <w:rPr>
          <w:lang w:val="en-ZA"/>
        </w:rPr>
      </w:pPr>
      <w:r>
        <w:rPr>
          <w:lang w:val="en-ZA"/>
        </w:rPr>
        <w:t>Right to life and physical integrity</w:t>
      </w:r>
    </w:p>
    <w:p w:rsidR="00CB5EFA" w:rsidRPr="005B5416" w:rsidRDefault="00BF2E7C" w:rsidP="00A76039">
      <w:pPr>
        <w:pStyle w:val="NoSpacing"/>
        <w:rPr>
          <w:lang w:val="en-ZA"/>
        </w:rPr>
      </w:pPr>
      <w:r>
        <w:rPr>
          <w:lang w:val="en-ZA"/>
        </w:rPr>
        <w:t>In a resolution on climate change and human rights, t</w:t>
      </w:r>
      <w:r w:rsidR="00CB5EFA">
        <w:rPr>
          <w:lang w:val="en-ZA"/>
        </w:rPr>
        <w:t>he African Commission noted its concern that the “</w:t>
      </w:r>
      <w:r w:rsidR="00CB5EFA" w:rsidRPr="00CB5EFA">
        <w:t>lack of human rights safeguards in various draft texts of the</w:t>
      </w:r>
      <w:r w:rsidR="00CB5EFA">
        <w:t xml:space="preserve"> [climate change]</w:t>
      </w:r>
      <w:r w:rsidR="00CB5EFA" w:rsidRPr="00CB5EFA">
        <w:t xml:space="preserve"> conventions under negotiation could put at risk the life, physical integrity and livelihood </w:t>
      </w:r>
      <w:r w:rsidR="00CB5EFA" w:rsidRPr="00CB5EFA">
        <w:lastRenderedPageBreak/>
        <w:t>of the most vulnerable members of society notably isolated indigenous and local communities, women, and</w:t>
      </w:r>
      <w:r w:rsidR="00CB5EFA">
        <w:t xml:space="preserve"> other vulnerable social groups.”</w:t>
      </w:r>
      <w:r w:rsidR="00CB5EFA">
        <w:rPr>
          <w:rStyle w:val="FootnoteReference"/>
        </w:rPr>
        <w:footnoteReference w:id="15"/>
      </w:r>
    </w:p>
    <w:p w:rsidR="005B5416" w:rsidRPr="00CB5EFA" w:rsidRDefault="005B5416" w:rsidP="00A76039">
      <w:pPr>
        <w:pStyle w:val="NoSpacing"/>
        <w:rPr>
          <w:lang w:val="en-ZA"/>
        </w:rPr>
      </w:pPr>
      <w:r>
        <w:t xml:space="preserve">In </w:t>
      </w:r>
      <w:r>
        <w:rPr>
          <w:i/>
        </w:rPr>
        <w:t>SERAP v. Nigeria</w:t>
      </w:r>
      <w:r>
        <w:t>, the ECOWAS Court of Justice confirmed that “</w:t>
      </w:r>
      <w:r w:rsidR="00FF7BC5">
        <w:t>[</w:t>
      </w:r>
      <w:r>
        <w:t>t</w:t>
      </w:r>
      <w:r w:rsidR="00FF7BC5">
        <w:t>]</w:t>
      </w:r>
      <w:r>
        <w:t>he environment is esse</w:t>
      </w:r>
      <w:r w:rsidR="00C85AD4">
        <w:t xml:space="preserve">ntial to every human being,” </w:t>
      </w:r>
      <w:r>
        <w:t>stating that “[t]he quality of human life depends on the quality of the environment.”</w:t>
      </w:r>
      <w:r>
        <w:rPr>
          <w:rStyle w:val="FootnoteReference"/>
        </w:rPr>
        <w:footnoteReference w:id="16"/>
      </w:r>
      <w:r>
        <w:t xml:space="preserve"> The Court also </w:t>
      </w:r>
      <w:r w:rsidR="00BF2E7C">
        <w:t xml:space="preserve">quoted </w:t>
      </w:r>
      <w:r>
        <w:t>the International Court of Justice</w:t>
      </w:r>
      <w:r w:rsidR="001D69AE">
        <w:t>’s observation that the environment “is not an abstraction but represents the living space, the quality of life and very health of human beings, including generations unborn.”</w:t>
      </w:r>
      <w:r w:rsidR="001D69AE">
        <w:rPr>
          <w:rStyle w:val="FootnoteReference"/>
        </w:rPr>
        <w:footnoteReference w:id="17"/>
      </w:r>
    </w:p>
    <w:p w:rsidR="002B5AF8" w:rsidRDefault="002B5AF8" w:rsidP="002B5AF8">
      <w:pPr>
        <w:pStyle w:val="Heading3"/>
        <w:rPr>
          <w:lang w:val="en-ZA"/>
        </w:rPr>
      </w:pPr>
      <w:r>
        <w:rPr>
          <w:lang w:val="en-ZA"/>
        </w:rPr>
        <w:t xml:space="preserve">Cultural </w:t>
      </w:r>
      <w:r w:rsidR="005160CB">
        <w:rPr>
          <w:lang w:val="en-ZA"/>
        </w:rPr>
        <w:t>r</w:t>
      </w:r>
      <w:r>
        <w:rPr>
          <w:lang w:val="en-ZA"/>
        </w:rPr>
        <w:t>ights</w:t>
      </w:r>
    </w:p>
    <w:p w:rsidR="002B5AF8" w:rsidRDefault="002B5AF8" w:rsidP="00A76039">
      <w:pPr>
        <w:pStyle w:val="NoSpacing"/>
        <w:rPr>
          <w:lang w:val="en-ZA"/>
        </w:rPr>
      </w:pPr>
      <w:r>
        <w:rPr>
          <w:lang w:val="en-ZA"/>
        </w:rPr>
        <w:t>Article 17 of the African Charter states:</w:t>
      </w:r>
    </w:p>
    <w:p w:rsidR="00C4238C" w:rsidRDefault="002B5AF8">
      <w:pPr>
        <w:pStyle w:val="NoSpacing"/>
        <w:numPr>
          <w:ilvl w:val="0"/>
          <w:numId w:val="0"/>
        </w:numPr>
        <w:ind w:firstLine="720"/>
      </w:pPr>
      <w:r>
        <w:t xml:space="preserve">(2) </w:t>
      </w:r>
      <w:r w:rsidRPr="002B5AF8">
        <w:t>Every individual may freely take part in the cultural life of his community.</w:t>
      </w:r>
    </w:p>
    <w:p w:rsidR="00C4238C" w:rsidRDefault="002B5AF8">
      <w:pPr>
        <w:pStyle w:val="NoSpacing"/>
        <w:numPr>
          <w:ilvl w:val="0"/>
          <w:numId w:val="0"/>
        </w:numPr>
        <w:ind w:left="720"/>
      </w:pPr>
      <w:r>
        <w:t>(3)</w:t>
      </w:r>
      <w:r w:rsidRPr="002B5AF8">
        <w:t xml:space="preserve"> The promotion and protection of morals and traditional values recognized by the community shall be the duty of the State.</w:t>
      </w:r>
    </w:p>
    <w:p w:rsidR="002B5AF8" w:rsidRDefault="002B5AF8" w:rsidP="00A76039">
      <w:pPr>
        <w:pStyle w:val="NoSpacing"/>
        <w:rPr>
          <w:lang w:val="en-ZA"/>
        </w:rPr>
      </w:pPr>
      <w:r>
        <w:rPr>
          <w:lang w:val="en-ZA"/>
        </w:rPr>
        <w:t xml:space="preserve">In </w:t>
      </w:r>
      <w:proofErr w:type="spellStart"/>
      <w:r w:rsidRPr="002B5AF8">
        <w:rPr>
          <w:i/>
          <w:lang w:val="en-ZA"/>
        </w:rPr>
        <w:t>Endorois</w:t>
      </w:r>
      <w:proofErr w:type="spellEnd"/>
      <w:r w:rsidR="003D5714">
        <w:rPr>
          <w:i/>
          <w:lang w:val="en-ZA"/>
        </w:rPr>
        <w:t xml:space="preserve"> v. Kenya</w:t>
      </w:r>
      <w:r>
        <w:rPr>
          <w:lang w:val="en-ZA"/>
        </w:rPr>
        <w:t xml:space="preserve">, the African Commission found that the removal of the </w:t>
      </w:r>
      <w:proofErr w:type="spellStart"/>
      <w:r>
        <w:rPr>
          <w:lang w:val="en-ZA"/>
        </w:rPr>
        <w:t>Endorois</w:t>
      </w:r>
      <w:proofErr w:type="spellEnd"/>
      <w:r>
        <w:rPr>
          <w:lang w:val="en-ZA"/>
        </w:rPr>
        <w:t xml:space="preserve"> </w:t>
      </w:r>
      <w:r w:rsidR="005160CB">
        <w:rPr>
          <w:lang w:val="en-ZA"/>
        </w:rPr>
        <w:t>people to establish a</w:t>
      </w:r>
      <w:r>
        <w:rPr>
          <w:lang w:val="en-ZA"/>
        </w:rPr>
        <w:t xml:space="preserve"> game reserve violated their cultural rights.  The Commission found that the State “has not taken into consideration the fa</w:t>
      </w:r>
      <w:r w:rsidR="005160CB">
        <w:rPr>
          <w:lang w:val="en-ZA"/>
        </w:rPr>
        <w:t>c</w:t>
      </w:r>
      <w:r>
        <w:rPr>
          <w:lang w:val="en-ZA"/>
        </w:rPr>
        <w:t xml:space="preserve">t that by restricting access to Lake </w:t>
      </w:r>
      <w:proofErr w:type="spellStart"/>
      <w:r>
        <w:rPr>
          <w:lang w:val="en-ZA"/>
        </w:rPr>
        <w:t>Bogoria</w:t>
      </w:r>
      <w:proofErr w:type="spellEnd"/>
      <w:r>
        <w:rPr>
          <w:lang w:val="en-ZA"/>
        </w:rPr>
        <w:t xml:space="preserve">, it has denied the community access to an integrated system of beliefs, values, norms, mores, traditions and </w:t>
      </w:r>
      <w:proofErr w:type="spellStart"/>
      <w:r>
        <w:rPr>
          <w:lang w:val="en-ZA"/>
        </w:rPr>
        <w:t>artifacts</w:t>
      </w:r>
      <w:proofErr w:type="spellEnd"/>
      <w:r>
        <w:rPr>
          <w:lang w:val="en-ZA"/>
        </w:rPr>
        <w:t xml:space="preserve"> closely linked to access to the Lake.”</w:t>
      </w:r>
      <w:r>
        <w:rPr>
          <w:rStyle w:val="FootnoteReference"/>
          <w:lang w:val="en-ZA"/>
        </w:rPr>
        <w:footnoteReference w:id="18"/>
      </w:r>
      <w:r>
        <w:rPr>
          <w:lang w:val="en-ZA"/>
        </w:rPr>
        <w:t xml:space="preserve"> </w:t>
      </w:r>
    </w:p>
    <w:p w:rsidR="005160CB" w:rsidRDefault="005160CB" w:rsidP="005160CB">
      <w:pPr>
        <w:pStyle w:val="Heading3"/>
        <w:rPr>
          <w:lang w:val="en-ZA"/>
        </w:rPr>
      </w:pPr>
      <w:r>
        <w:rPr>
          <w:lang w:val="en-ZA"/>
        </w:rPr>
        <w:lastRenderedPageBreak/>
        <w:t>Right to development</w:t>
      </w:r>
    </w:p>
    <w:p w:rsidR="005160CB" w:rsidRDefault="005160CB" w:rsidP="00A76039">
      <w:pPr>
        <w:pStyle w:val="NoSpacing"/>
        <w:rPr>
          <w:lang w:val="en-ZA"/>
        </w:rPr>
      </w:pPr>
      <w:r>
        <w:rPr>
          <w:lang w:val="en-ZA"/>
        </w:rPr>
        <w:t xml:space="preserve">The African Commission in </w:t>
      </w:r>
      <w:proofErr w:type="spellStart"/>
      <w:r>
        <w:rPr>
          <w:i/>
          <w:lang w:val="en-ZA"/>
        </w:rPr>
        <w:t>Endorois</w:t>
      </w:r>
      <w:proofErr w:type="spellEnd"/>
      <w:r>
        <w:rPr>
          <w:lang w:val="en-ZA"/>
        </w:rPr>
        <w:t xml:space="preserve"> noted the impacts to the </w:t>
      </w:r>
      <w:proofErr w:type="spellStart"/>
      <w:r>
        <w:rPr>
          <w:lang w:val="en-ZA"/>
        </w:rPr>
        <w:t>Endorois</w:t>
      </w:r>
      <w:proofErr w:type="spellEnd"/>
      <w:r>
        <w:rPr>
          <w:lang w:val="en-ZA"/>
        </w:rPr>
        <w:t xml:space="preserve"> people’s right to development from the loss of access to their ancestral lands.  The Commission found that </w:t>
      </w:r>
    </w:p>
    <w:p w:rsidR="00A42EEA" w:rsidRPr="002D42F7" w:rsidRDefault="005160CB" w:rsidP="00311BDA">
      <w:pPr>
        <w:pStyle w:val="NoSpacing"/>
        <w:numPr>
          <w:ilvl w:val="0"/>
          <w:numId w:val="0"/>
        </w:numPr>
        <w:spacing w:line="240" w:lineRule="auto"/>
        <w:ind w:left="1440" w:right="1440"/>
        <w:jc w:val="both"/>
        <w:rPr>
          <w:lang w:val="en-ZA"/>
        </w:rPr>
      </w:pPr>
      <w:r w:rsidRPr="005160CB">
        <w:t xml:space="preserve">access to clean drinking water was severely undermined as a result of loss of their ancestral land (Lake </w:t>
      </w:r>
      <w:proofErr w:type="spellStart"/>
      <w:r w:rsidRPr="005160CB">
        <w:t>Bogoria</w:t>
      </w:r>
      <w:proofErr w:type="spellEnd"/>
      <w:r w:rsidRPr="005160CB">
        <w:t>) which has ample fresh water sources. Similarly, their traditional means of subsistence – through grazing their animals – has been curtailed due to lack of access to the green pastures of their traditional land. Elders commonly cite having lost more than half of their cattle since the displacement</w:t>
      </w:r>
      <w:r>
        <w:t>.</w:t>
      </w:r>
      <w:r w:rsidR="0056799E">
        <w:rPr>
          <w:rStyle w:val="FootnoteReference"/>
        </w:rPr>
        <w:footnoteReference w:id="19"/>
      </w:r>
    </w:p>
    <w:p w:rsidR="00D732BF" w:rsidRPr="00DC5522" w:rsidRDefault="00E1182A" w:rsidP="00A76039">
      <w:pPr>
        <w:pStyle w:val="Heading2"/>
      </w:pPr>
      <w:r>
        <w:t>Obligations on</w:t>
      </w:r>
      <w:r w:rsidR="00254334">
        <w:t xml:space="preserve"> States relating to the Environment</w:t>
      </w:r>
    </w:p>
    <w:p w:rsidR="00257289" w:rsidRDefault="00266765" w:rsidP="00A76039">
      <w:pPr>
        <w:pStyle w:val="NoSpacing"/>
        <w:rPr>
          <w:lang w:val="en-US"/>
        </w:rPr>
      </w:pPr>
      <w:r>
        <w:rPr>
          <w:lang w:val="en-US"/>
        </w:rPr>
        <w:t xml:space="preserve">The African Commission </w:t>
      </w:r>
      <w:r w:rsidR="00072EAB">
        <w:rPr>
          <w:lang w:val="en-US"/>
        </w:rPr>
        <w:t>and the ECOWAS Court of Justice have</w:t>
      </w:r>
      <w:r>
        <w:rPr>
          <w:lang w:val="en-US"/>
        </w:rPr>
        <w:t xml:space="preserve"> identified human rights obligations related to environment protection</w:t>
      </w:r>
      <w:r w:rsidR="00072EAB">
        <w:rPr>
          <w:lang w:val="en-US"/>
        </w:rPr>
        <w:t>, including procedural and substantive obligations, as well as obligations relating to members of groups in vulnerable situations</w:t>
      </w:r>
      <w:r w:rsidR="00CC55F1">
        <w:rPr>
          <w:lang w:val="en-US"/>
        </w:rPr>
        <w:t>.</w:t>
      </w:r>
    </w:p>
    <w:p w:rsidR="00710280" w:rsidRDefault="00710280" w:rsidP="00C441DE">
      <w:pPr>
        <w:pStyle w:val="Heading3"/>
        <w:rPr>
          <w:lang w:val="en-US"/>
        </w:rPr>
      </w:pPr>
      <w:r>
        <w:rPr>
          <w:lang w:val="en-US"/>
        </w:rPr>
        <w:t xml:space="preserve">Procedural obligations </w:t>
      </w:r>
    </w:p>
    <w:p w:rsidR="002F60B1" w:rsidRPr="002F60B1" w:rsidRDefault="002F60B1" w:rsidP="002F60B1">
      <w:pPr>
        <w:pStyle w:val="Heading4"/>
      </w:pPr>
      <w:r>
        <w:t xml:space="preserve">Access to information and public </w:t>
      </w:r>
      <w:r w:rsidR="00072EAB">
        <w:t>participation</w:t>
      </w:r>
    </w:p>
    <w:p w:rsidR="00710280" w:rsidRDefault="00710280" w:rsidP="00A76039">
      <w:pPr>
        <w:pStyle w:val="NoSpacing"/>
        <w:rPr>
          <w:lang w:val="en-US"/>
        </w:rPr>
      </w:pPr>
      <w:r>
        <w:rPr>
          <w:lang w:val="en-US"/>
        </w:rPr>
        <w:t xml:space="preserve">The African Commission has identified several procedural obligations related to Articles 16 and 24 of the African Charter, including </w:t>
      </w:r>
      <w:r w:rsidR="003D5714">
        <w:rPr>
          <w:lang w:val="en-US"/>
        </w:rPr>
        <w:t xml:space="preserve">with respect to </w:t>
      </w:r>
      <w:r>
        <w:rPr>
          <w:lang w:val="en-US"/>
        </w:rPr>
        <w:t xml:space="preserve">monitoring, undertaking environmental and social impact studies, disseminating information and providing for meaningful public participation in decisions affecting communities.  In </w:t>
      </w:r>
      <w:r w:rsidR="00072EAB" w:rsidRPr="00072EAB">
        <w:rPr>
          <w:lang w:val="en-US"/>
        </w:rPr>
        <w:t>the</w:t>
      </w:r>
      <w:r w:rsidR="00072EAB">
        <w:rPr>
          <w:i/>
          <w:lang w:val="en-US"/>
        </w:rPr>
        <w:t xml:space="preserve"> </w:t>
      </w:r>
      <w:proofErr w:type="spellStart"/>
      <w:r w:rsidR="00072EAB">
        <w:rPr>
          <w:i/>
          <w:lang w:val="en-US"/>
        </w:rPr>
        <w:t>Ogoniland</w:t>
      </w:r>
      <w:proofErr w:type="spellEnd"/>
      <w:r w:rsidR="00072EAB">
        <w:rPr>
          <w:i/>
          <w:lang w:val="en-US"/>
        </w:rPr>
        <w:t xml:space="preserve"> </w:t>
      </w:r>
      <w:r w:rsidR="00072EAB" w:rsidRPr="00072EAB">
        <w:rPr>
          <w:lang w:val="en-US"/>
        </w:rPr>
        <w:t>case</w:t>
      </w:r>
      <w:r>
        <w:rPr>
          <w:i/>
          <w:lang w:val="en-US"/>
        </w:rPr>
        <w:t>,</w:t>
      </w:r>
      <w:r>
        <w:rPr>
          <w:lang w:val="en-US"/>
        </w:rPr>
        <w:t xml:space="preserve"> the Commission stated</w:t>
      </w:r>
      <w:r w:rsidR="003D5714">
        <w:rPr>
          <w:lang w:val="en-US"/>
        </w:rPr>
        <w:t xml:space="preserve">: </w:t>
      </w:r>
    </w:p>
    <w:p w:rsidR="00710280" w:rsidRDefault="003D5714" w:rsidP="00072EAB">
      <w:pPr>
        <w:pStyle w:val="NoSpacing"/>
        <w:numPr>
          <w:ilvl w:val="0"/>
          <w:numId w:val="0"/>
        </w:numPr>
        <w:spacing w:line="240" w:lineRule="auto"/>
        <w:ind w:left="1440" w:right="1440"/>
        <w:jc w:val="both"/>
        <w:rPr>
          <w:lang w:val="en-US"/>
        </w:rPr>
      </w:pPr>
      <w:r w:rsidRPr="003D5714">
        <w:rPr>
          <w:lang w:val="en-US"/>
        </w:rPr>
        <w:t>Government compliance with the spirit of Articles 16 and 24 of the African Charter</w:t>
      </w:r>
      <w:r>
        <w:rPr>
          <w:lang w:val="en-US"/>
        </w:rPr>
        <w:t xml:space="preserve"> </w:t>
      </w:r>
      <w:r w:rsidR="00E74C6A">
        <w:rPr>
          <w:lang w:val="en-US"/>
        </w:rPr>
        <w:t xml:space="preserve">must also </w:t>
      </w:r>
      <w:r>
        <w:rPr>
          <w:lang w:val="en-US"/>
        </w:rPr>
        <w:t xml:space="preserve">include </w:t>
      </w:r>
      <w:r w:rsidR="00710280" w:rsidRPr="00710280">
        <w:rPr>
          <w:lang w:val="en-US"/>
        </w:rPr>
        <w:t xml:space="preserve">ordering or at least permitting independent scientific monitoring of threatened environments, requiring and </w:t>
      </w:r>
      <w:proofErr w:type="spellStart"/>
      <w:r w:rsidR="00710280" w:rsidRPr="00710280">
        <w:rPr>
          <w:lang w:val="en-US"/>
        </w:rPr>
        <w:t>publicising</w:t>
      </w:r>
      <w:proofErr w:type="spellEnd"/>
      <w:r w:rsidR="00710280" w:rsidRPr="00710280">
        <w:rPr>
          <w:lang w:val="en-US"/>
        </w:rPr>
        <w:t xml:space="preserve"> environmental and social impact studies prior to any major industrial development, undertaking appropriate monitoring and providing information to those communities exposed to hazardous materials and activities and providing </w:t>
      </w:r>
      <w:r w:rsidR="00710280" w:rsidRPr="00710280">
        <w:rPr>
          <w:lang w:val="en-US"/>
        </w:rPr>
        <w:lastRenderedPageBreak/>
        <w:t xml:space="preserve">meaningful opportunities for </w:t>
      </w:r>
      <w:r w:rsidR="009E3671" w:rsidRPr="009E3671">
        <w:rPr>
          <w:lang w:val="en-US"/>
        </w:rPr>
        <w:t>individuals to be heard and to participate in the development decisions affecting</w:t>
      </w:r>
      <w:r w:rsidR="009E3671">
        <w:rPr>
          <w:lang w:val="en-US"/>
        </w:rPr>
        <w:t xml:space="preserve"> their communities.</w:t>
      </w:r>
      <w:r w:rsidR="009E3671">
        <w:rPr>
          <w:rStyle w:val="FootnoteReference"/>
          <w:lang w:val="en-US"/>
        </w:rPr>
        <w:footnoteReference w:id="20"/>
      </w:r>
      <w:r w:rsidR="009E3671">
        <w:rPr>
          <w:lang w:val="en-US"/>
        </w:rPr>
        <w:t xml:space="preserve"> </w:t>
      </w:r>
    </w:p>
    <w:p w:rsidR="002F60B1" w:rsidRDefault="002F60B1" w:rsidP="002F60B1">
      <w:pPr>
        <w:pStyle w:val="Heading4"/>
      </w:pPr>
      <w:r>
        <w:t>Access to justice and remedy</w:t>
      </w:r>
    </w:p>
    <w:p w:rsidR="009E3671" w:rsidRPr="00D27C8E" w:rsidRDefault="00BC45AB" w:rsidP="00D27C8E">
      <w:pPr>
        <w:pStyle w:val="NoSpacing"/>
        <w:rPr>
          <w:lang w:val="en-US"/>
        </w:rPr>
      </w:pPr>
      <w:r w:rsidRPr="00D27C8E">
        <w:rPr>
          <w:lang w:val="en-US"/>
        </w:rPr>
        <w:t xml:space="preserve">The ECOWAS Court of Justice in </w:t>
      </w:r>
      <w:r w:rsidRPr="00D27C8E">
        <w:rPr>
          <w:i/>
          <w:lang w:val="en-US"/>
        </w:rPr>
        <w:t>SERAP v. Nigeria</w:t>
      </w:r>
      <w:r w:rsidRPr="00D27C8E">
        <w:rPr>
          <w:lang w:val="en-US"/>
        </w:rPr>
        <w:t xml:space="preserve"> stressed the need for the State to hold </w:t>
      </w:r>
      <w:r w:rsidR="003D5714" w:rsidRPr="00D27C8E">
        <w:rPr>
          <w:lang w:val="en-US"/>
        </w:rPr>
        <w:t xml:space="preserve">accountable </w:t>
      </w:r>
      <w:r w:rsidRPr="00D27C8E">
        <w:rPr>
          <w:lang w:val="en-US"/>
        </w:rPr>
        <w:t>actors who cause environmental harm through oil pollution</w:t>
      </w:r>
      <w:r w:rsidR="003D5714" w:rsidRPr="00D27C8E">
        <w:rPr>
          <w:lang w:val="en-US"/>
        </w:rPr>
        <w:t>,</w:t>
      </w:r>
      <w:r w:rsidRPr="00D27C8E">
        <w:rPr>
          <w:lang w:val="en-US"/>
        </w:rPr>
        <w:t xml:space="preserve"> and to ensure adequate reparation </w:t>
      </w:r>
      <w:r w:rsidR="00CE5212" w:rsidRPr="00D27C8E">
        <w:rPr>
          <w:lang w:val="en-US"/>
        </w:rPr>
        <w:t xml:space="preserve">is provided </w:t>
      </w:r>
      <w:r w:rsidRPr="00D27C8E">
        <w:rPr>
          <w:lang w:val="en-US"/>
        </w:rPr>
        <w:t>for</w:t>
      </w:r>
      <w:r w:rsidR="00CE5212" w:rsidRPr="00D27C8E">
        <w:rPr>
          <w:lang w:val="en-US"/>
        </w:rPr>
        <w:t xml:space="preserve"> the </w:t>
      </w:r>
      <w:r w:rsidRPr="00D27C8E">
        <w:rPr>
          <w:lang w:val="en-US"/>
        </w:rPr>
        <w:t>victims.</w:t>
      </w:r>
      <w:r w:rsidR="00D27C8E" w:rsidRPr="00D27C8E">
        <w:rPr>
          <w:vertAlign w:val="superscript"/>
          <w:lang w:val="en-US" w:eastAsia="en-US"/>
        </w:rPr>
        <w:t xml:space="preserve"> </w:t>
      </w:r>
      <w:r w:rsidR="00D27C8E" w:rsidRPr="00D27C8E">
        <w:rPr>
          <w:vertAlign w:val="superscript"/>
          <w:lang w:val="en-US"/>
        </w:rPr>
        <w:footnoteReference w:id="21"/>
      </w:r>
      <w:r w:rsidR="00814A09" w:rsidRPr="00D27C8E">
        <w:rPr>
          <w:lang w:val="en-US"/>
        </w:rPr>
        <w:t xml:space="preserve">  </w:t>
      </w:r>
      <w:r w:rsidR="00D27C8E">
        <w:rPr>
          <w:lang w:val="en-US"/>
        </w:rPr>
        <w:t>The Court explained that Nigeria was under an obligation to take “</w:t>
      </w:r>
      <w:r w:rsidR="00D27C8E" w:rsidRPr="00D27C8E">
        <w:rPr>
          <w:lang w:val="en-US"/>
        </w:rPr>
        <w:t>additional and concrete measures aimed at preventing the occurrence of damage or ensuring accountability, with the effective reparation of the environmental damage suffered.</w:t>
      </w:r>
      <w:r w:rsidR="00D27C8E">
        <w:rPr>
          <w:lang w:val="en-US"/>
        </w:rPr>
        <w:t>”</w:t>
      </w:r>
      <w:r w:rsidR="00D27C8E">
        <w:rPr>
          <w:rStyle w:val="FootnoteReference"/>
          <w:lang w:val="en-US"/>
        </w:rPr>
        <w:footnoteReference w:id="22"/>
      </w:r>
      <w:r w:rsidR="00814A09" w:rsidRPr="00D27C8E">
        <w:rPr>
          <w:lang w:val="en-US"/>
        </w:rPr>
        <w:t xml:space="preserve">  In this case, the Court found that Nigeria had not seriously and diligently held accountable any of the perpetrators of the many acts of environmental degradation which occurred in the Niger Delta Region.</w:t>
      </w:r>
      <w:r w:rsidR="00D27C8E" w:rsidRPr="00D27C8E">
        <w:rPr>
          <w:vertAlign w:val="superscript"/>
          <w:lang w:val="en-US"/>
        </w:rPr>
        <w:footnoteReference w:id="23"/>
      </w:r>
      <w:r w:rsidR="00814A09" w:rsidRPr="00D27C8E">
        <w:rPr>
          <w:lang w:val="en-US"/>
        </w:rPr>
        <w:t xml:space="preserve"> </w:t>
      </w:r>
    </w:p>
    <w:p w:rsidR="005B7153" w:rsidRDefault="005B7153" w:rsidP="00C441DE">
      <w:pPr>
        <w:pStyle w:val="Heading3"/>
        <w:rPr>
          <w:lang w:val="en-US"/>
        </w:rPr>
      </w:pPr>
      <w:r>
        <w:rPr>
          <w:lang w:val="en-US"/>
        </w:rPr>
        <w:t>Substantive Obligations</w:t>
      </w:r>
    </w:p>
    <w:p w:rsidR="00266765" w:rsidRDefault="001958F2" w:rsidP="00E7613B">
      <w:pPr>
        <w:pStyle w:val="Heading4"/>
      </w:pPr>
      <w:r>
        <w:t xml:space="preserve">Obligation to adopt and implement </w:t>
      </w:r>
      <w:r w:rsidR="00C441DE">
        <w:t>reasonable measures</w:t>
      </w:r>
      <w:r>
        <w:t xml:space="preserve"> to protect the environment</w:t>
      </w:r>
    </w:p>
    <w:p w:rsidR="00CC55F1" w:rsidRPr="00165491" w:rsidRDefault="00165491" w:rsidP="00165491">
      <w:pPr>
        <w:pStyle w:val="NoSpacing"/>
        <w:rPr>
          <w:lang w:val="en-US"/>
        </w:rPr>
      </w:pPr>
      <w:r w:rsidRPr="00165491">
        <w:rPr>
          <w:lang w:val="en-US"/>
        </w:rPr>
        <w:t>The obligation to protect human rights from environmental harm does not require the cessation of all activities that may cause any environmental degradation. The African Commission has made it clear that the African Charter does not require States to forego all oil development.</w:t>
      </w:r>
      <w:r w:rsidRPr="00165491">
        <w:rPr>
          <w:vertAlign w:val="superscript"/>
          <w:lang w:val="en-US"/>
        </w:rPr>
        <w:footnoteReference w:id="24"/>
      </w:r>
      <w:r w:rsidRPr="00165491">
        <w:rPr>
          <w:lang w:val="en-US"/>
        </w:rPr>
        <w:t xml:space="preserve">  However, as stated i</w:t>
      </w:r>
      <w:r w:rsidR="00C441DE" w:rsidRPr="00165491">
        <w:rPr>
          <w:lang w:val="en-US"/>
        </w:rPr>
        <w:t xml:space="preserve">n </w:t>
      </w:r>
      <w:r w:rsidRPr="00165491">
        <w:rPr>
          <w:lang w:val="en-US"/>
        </w:rPr>
        <w:t xml:space="preserve">the </w:t>
      </w:r>
      <w:proofErr w:type="spellStart"/>
      <w:r w:rsidRPr="00165491">
        <w:rPr>
          <w:i/>
          <w:lang w:val="en-US"/>
        </w:rPr>
        <w:t>Ogoniland</w:t>
      </w:r>
      <w:proofErr w:type="spellEnd"/>
      <w:r w:rsidRPr="00165491">
        <w:rPr>
          <w:i/>
          <w:lang w:val="en-US"/>
        </w:rPr>
        <w:t xml:space="preserve"> </w:t>
      </w:r>
      <w:r w:rsidRPr="00165491">
        <w:rPr>
          <w:lang w:val="en-US"/>
        </w:rPr>
        <w:t>case</w:t>
      </w:r>
      <w:r w:rsidR="00C441DE" w:rsidRPr="00165491">
        <w:rPr>
          <w:lang w:val="en-US"/>
        </w:rPr>
        <w:t xml:space="preserve">, Article 24 of the Charter </w:t>
      </w:r>
      <w:r w:rsidR="00CB5D97">
        <w:rPr>
          <w:lang w:val="en-US"/>
        </w:rPr>
        <w:t xml:space="preserve">does </w:t>
      </w:r>
      <w:r w:rsidR="00C441DE" w:rsidRPr="00165491">
        <w:rPr>
          <w:lang w:val="en-US"/>
        </w:rPr>
        <w:t xml:space="preserve">require the State to take “reasonable and other measures to prevent pollution and ecological degradation, </w:t>
      </w:r>
      <w:r w:rsidR="00C441DE" w:rsidRPr="00165491">
        <w:rPr>
          <w:lang w:val="en-US"/>
        </w:rPr>
        <w:lastRenderedPageBreak/>
        <w:t xml:space="preserve">to promote conservation, and to secure an ecologically </w:t>
      </w:r>
      <w:r w:rsidR="00CC55F1" w:rsidRPr="00165491">
        <w:rPr>
          <w:lang w:val="en-US"/>
        </w:rPr>
        <w:t>sustainable</w:t>
      </w:r>
      <w:r w:rsidR="00C441DE" w:rsidRPr="00165491">
        <w:rPr>
          <w:lang w:val="en-US"/>
        </w:rPr>
        <w:t xml:space="preserve"> development and use of natural resources.”</w:t>
      </w:r>
      <w:r w:rsidR="00CC55F1">
        <w:rPr>
          <w:rStyle w:val="FootnoteReference"/>
          <w:lang w:val="en-US"/>
        </w:rPr>
        <w:footnoteReference w:id="25"/>
      </w:r>
      <w:r>
        <w:rPr>
          <w:lang w:val="en-US"/>
        </w:rPr>
        <w:t xml:space="preserve">  </w:t>
      </w:r>
      <w:r w:rsidR="00CC55F1" w:rsidRPr="00165491">
        <w:rPr>
          <w:lang w:val="en-US"/>
        </w:rPr>
        <w:t>The Commission also noted that Article 12 of the International Covenant on Economic, Social and Cultural Rights (ICESCR) requires “governments to take necessary steps for the improvement of all aspects</w:t>
      </w:r>
      <w:r w:rsidR="001C1BE8">
        <w:rPr>
          <w:lang w:val="en-US"/>
        </w:rPr>
        <w:t xml:space="preserve"> of</w:t>
      </w:r>
      <w:r w:rsidR="00CC55F1" w:rsidRPr="00165491">
        <w:rPr>
          <w:lang w:val="en-US"/>
        </w:rPr>
        <w:t xml:space="preserve"> environmental and industrial hygiene.”</w:t>
      </w:r>
      <w:r w:rsidR="00CC55F1">
        <w:rPr>
          <w:rStyle w:val="FootnoteReference"/>
          <w:lang w:val="en-US"/>
        </w:rPr>
        <w:footnoteReference w:id="26"/>
      </w:r>
      <w:r>
        <w:rPr>
          <w:lang w:val="en-US"/>
        </w:rPr>
        <w:t xml:space="preserve">  In the </w:t>
      </w:r>
      <w:proofErr w:type="spellStart"/>
      <w:r>
        <w:rPr>
          <w:i/>
          <w:lang w:val="en-US"/>
        </w:rPr>
        <w:t>Ogoniland</w:t>
      </w:r>
      <w:proofErr w:type="spellEnd"/>
      <w:r>
        <w:rPr>
          <w:i/>
          <w:lang w:val="en-US"/>
        </w:rPr>
        <w:t xml:space="preserve"> </w:t>
      </w:r>
      <w:r w:rsidRPr="00207E6C">
        <w:rPr>
          <w:iCs/>
          <w:lang w:val="en-US"/>
        </w:rPr>
        <w:t>case,</w:t>
      </w:r>
      <w:r>
        <w:rPr>
          <w:lang w:val="en-US"/>
        </w:rPr>
        <w:t xml:space="preserve"> the African Commission cited the enormous environmental harm to the rights of those in the Niger delta region in finding that “</w:t>
      </w:r>
      <w:r w:rsidRPr="00CA78F9">
        <w:rPr>
          <w:lang w:val="en-US"/>
        </w:rPr>
        <w:t>the care that should have been taken</w:t>
      </w:r>
      <w:r>
        <w:rPr>
          <w:lang w:val="en-US"/>
        </w:rPr>
        <w:t>”, including by taking reasonable measures to prevent pollution and ecological degradation from oil production, “was not taken.”</w:t>
      </w:r>
      <w:r>
        <w:rPr>
          <w:rStyle w:val="FootnoteReference"/>
          <w:lang w:val="en-US"/>
        </w:rPr>
        <w:footnoteReference w:id="27"/>
      </w:r>
    </w:p>
    <w:p w:rsidR="00C85AD4" w:rsidRDefault="00CB5D97" w:rsidP="00A76039">
      <w:pPr>
        <w:pStyle w:val="NoSpacing"/>
        <w:rPr>
          <w:lang w:val="en-US"/>
        </w:rPr>
      </w:pPr>
      <w:r>
        <w:rPr>
          <w:lang w:val="en-US"/>
        </w:rPr>
        <w:t xml:space="preserve">In </w:t>
      </w:r>
      <w:r>
        <w:rPr>
          <w:i/>
          <w:lang w:val="en-US"/>
        </w:rPr>
        <w:t xml:space="preserve">SERAP v. Nigeria, </w:t>
      </w:r>
      <w:r>
        <w:rPr>
          <w:lang w:val="en-US"/>
        </w:rPr>
        <w:t>t</w:t>
      </w:r>
      <w:r w:rsidR="00C85AD4">
        <w:rPr>
          <w:lang w:val="en-US"/>
        </w:rPr>
        <w:t xml:space="preserve">he ECOWAS Court of Justice also applied Article 24 of the African Charter to allegations that </w:t>
      </w:r>
      <w:r w:rsidR="00235E8C">
        <w:rPr>
          <w:lang w:val="en-US"/>
        </w:rPr>
        <w:t xml:space="preserve">Nigeria </w:t>
      </w:r>
      <w:r w:rsidR="00C85AD4">
        <w:rPr>
          <w:lang w:val="en-US"/>
        </w:rPr>
        <w:t>did not prevent oil contamination from third parties.  In interpret</w:t>
      </w:r>
      <w:r w:rsidR="00BC45AB">
        <w:rPr>
          <w:lang w:val="en-US"/>
        </w:rPr>
        <w:t>ing</w:t>
      </w:r>
      <w:r w:rsidR="00C85AD4">
        <w:rPr>
          <w:lang w:val="en-US"/>
        </w:rPr>
        <w:t xml:space="preserve"> the Charter, the Court found that the duty assigned by Article 24 is “both an obligation of attitude and an obligation of result,” and that Article 24 requires the State to adopt legislative or other measures to give effect to the right.</w:t>
      </w:r>
      <w:r w:rsidR="00C85AD4">
        <w:rPr>
          <w:rStyle w:val="FootnoteReference"/>
          <w:lang w:val="en-US"/>
        </w:rPr>
        <w:footnoteReference w:id="28"/>
      </w:r>
      <w:r w:rsidR="00C85AD4">
        <w:rPr>
          <w:lang w:val="en-US"/>
        </w:rPr>
        <w:t xml:space="preserve">  The Court elaborated on this duty, explaining that:</w:t>
      </w:r>
    </w:p>
    <w:p w:rsidR="00C85AD4" w:rsidRDefault="00C85AD4" w:rsidP="00BC45AB">
      <w:pPr>
        <w:ind w:left="1440" w:right="1440"/>
        <w:jc w:val="both"/>
        <w:rPr>
          <w:lang w:val="en-US"/>
        </w:rPr>
      </w:pPr>
      <w:r w:rsidRPr="00C85AD4">
        <w:rPr>
          <w:lang w:val="en-US"/>
        </w:rPr>
        <w:t xml:space="preserve">Article 24 of the Charter thus requires every State to take every measure to maintain the quality of the environment understood as an integrated whole, such that the state of the environment may satisfy the human beings who live there, and enhance their sustainable development. It is by examining the state of the environment and entirely objective factors, that one judges, by the result, whether the State has fulfilled this obligation. If the State is taking all the appropriate legislative, administrative and other </w:t>
      </w:r>
      <w:r w:rsidRPr="00C85AD4">
        <w:rPr>
          <w:lang w:val="en-US"/>
        </w:rPr>
        <w:lastRenderedPageBreak/>
        <w:t>measures, it must ensure that vigilance and diligence are being applied and observed towards attaining concrete results.</w:t>
      </w:r>
      <w:r w:rsidR="00BC45AB">
        <w:rPr>
          <w:rStyle w:val="FootnoteReference"/>
          <w:lang w:val="en-US"/>
        </w:rPr>
        <w:footnoteReference w:id="29"/>
      </w:r>
      <w:r w:rsidR="00BC45AB">
        <w:rPr>
          <w:lang w:val="en-US"/>
        </w:rPr>
        <w:t xml:space="preserve"> </w:t>
      </w:r>
    </w:p>
    <w:p w:rsidR="00BC45AB" w:rsidRDefault="00BC45AB" w:rsidP="00727394">
      <w:pPr>
        <w:pStyle w:val="NoSpacing"/>
        <w:contextualSpacing w:val="0"/>
        <w:rPr>
          <w:lang w:val="en-US"/>
        </w:rPr>
      </w:pPr>
      <w:r>
        <w:rPr>
          <w:lang w:val="en-US"/>
        </w:rPr>
        <w:t>Moreover, the Court noted that it is not enough to adopt legislation or other measures, but that such measures must be implemented to promote accountability and to ensure adequate reparation should environmental damage occur. The Court explained:</w:t>
      </w:r>
    </w:p>
    <w:p w:rsidR="00BC45AB" w:rsidRDefault="00BC45AB" w:rsidP="00727394">
      <w:pPr>
        <w:spacing w:before="0"/>
        <w:ind w:left="1440" w:right="1440"/>
        <w:jc w:val="both"/>
        <w:rPr>
          <w:lang w:val="en-US"/>
        </w:rPr>
      </w:pPr>
      <w:r w:rsidRPr="00BC45AB">
        <w:rPr>
          <w:lang w:val="en-US"/>
        </w:rPr>
        <w:t xml:space="preserve">the adoption of the legislation, no matter how advanced it may be, or the creation of agencies inspired by the world's best models, as well as the allocation of financial resources in equitable amounts, may still fall short of compliance with international obligations in matters of environmental protection if these measures just remain </w:t>
      </w:r>
      <w:r>
        <w:rPr>
          <w:lang w:val="en-US"/>
        </w:rPr>
        <w:t>o</w:t>
      </w:r>
      <w:r w:rsidRPr="00BC45AB">
        <w:rPr>
          <w:lang w:val="en-US"/>
        </w:rPr>
        <w:t xml:space="preserve">n paper and are not accompanied by additional and concrete measures aimed at preventing the occurrence of </w:t>
      </w:r>
      <w:r>
        <w:rPr>
          <w:lang w:val="en-US"/>
        </w:rPr>
        <w:t>damage or ensuring a</w:t>
      </w:r>
      <w:r w:rsidRPr="00BC45AB">
        <w:rPr>
          <w:lang w:val="en-US"/>
        </w:rPr>
        <w:t>ccountability, with the effective reparation of the</w:t>
      </w:r>
      <w:r>
        <w:rPr>
          <w:lang w:val="en-US"/>
        </w:rPr>
        <w:t xml:space="preserve"> </w:t>
      </w:r>
      <w:r w:rsidRPr="00BC45AB">
        <w:rPr>
          <w:lang w:val="en-US"/>
        </w:rPr>
        <w:t>environmental damage suffered.</w:t>
      </w:r>
      <w:r>
        <w:rPr>
          <w:rStyle w:val="FootnoteReference"/>
          <w:lang w:val="en-US"/>
        </w:rPr>
        <w:footnoteReference w:id="30"/>
      </w:r>
    </w:p>
    <w:p w:rsidR="00CC55F1" w:rsidRDefault="00CC55F1" w:rsidP="00E7613B">
      <w:pPr>
        <w:pStyle w:val="Heading4"/>
      </w:pPr>
      <w:r>
        <w:t>Obligations to respect the health and environment of citizens</w:t>
      </w:r>
    </w:p>
    <w:p w:rsidR="00E011D4" w:rsidRPr="00D076BF" w:rsidRDefault="00CC55F1" w:rsidP="00D076BF">
      <w:pPr>
        <w:pStyle w:val="NoSpacing"/>
        <w:rPr>
          <w:lang w:val="en-US"/>
        </w:rPr>
      </w:pPr>
      <w:r>
        <w:rPr>
          <w:lang w:val="en-US"/>
        </w:rPr>
        <w:t>The African Commission has found that the right to health and right to a healthy environment “obligate governments to desist from directly threatening the health and environment of their citizens.”</w:t>
      </w:r>
      <w:r w:rsidR="00A93C6A">
        <w:rPr>
          <w:rStyle w:val="FootnoteReference"/>
          <w:lang w:val="en-US"/>
        </w:rPr>
        <w:footnoteReference w:id="31"/>
      </w:r>
      <w:r>
        <w:rPr>
          <w:lang w:val="en-US"/>
        </w:rPr>
        <w:t xml:space="preserve">  It further noted that “the State </w:t>
      </w:r>
      <w:r w:rsidR="001958F2">
        <w:rPr>
          <w:lang w:val="en-US"/>
        </w:rPr>
        <w:t>i</w:t>
      </w:r>
      <w:r>
        <w:rPr>
          <w:lang w:val="en-US"/>
        </w:rPr>
        <w:t xml:space="preserve">s under an obligation to respect the </w:t>
      </w:r>
      <w:r w:rsidR="001C1BE8">
        <w:rPr>
          <w:lang w:val="en-US"/>
        </w:rPr>
        <w:t xml:space="preserve">just noted rights </w:t>
      </w:r>
      <w:r>
        <w:rPr>
          <w:lang w:val="en-US"/>
        </w:rPr>
        <w:t>[to health and</w:t>
      </w:r>
      <w:r w:rsidR="00A93C6A">
        <w:rPr>
          <w:lang w:val="en-US"/>
        </w:rPr>
        <w:t xml:space="preserve"> to a healthy environment] and this entail</w:t>
      </w:r>
      <w:r w:rsidR="001958F2">
        <w:rPr>
          <w:lang w:val="en-US"/>
        </w:rPr>
        <w:t>s</w:t>
      </w:r>
      <w:r w:rsidR="00A93C6A">
        <w:rPr>
          <w:lang w:val="en-US"/>
        </w:rPr>
        <w:t xml:space="preserve"> largely non-interventionist conduct from the State  for example, not from carrying out, sponsoring or tolerating any practice, policy or legal measures violating the integrity of the individual.”</w:t>
      </w:r>
      <w:r w:rsidR="00A93C6A">
        <w:rPr>
          <w:rStyle w:val="FootnoteReference"/>
          <w:lang w:val="en-US"/>
        </w:rPr>
        <w:footnoteReference w:id="32"/>
      </w:r>
    </w:p>
    <w:p w:rsidR="005B7153" w:rsidRDefault="005B7153" w:rsidP="005B7153">
      <w:pPr>
        <w:pStyle w:val="Heading3"/>
        <w:rPr>
          <w:lang w:val="en-US"/>
        </w:rPr>
      </w:pPr>
      <w:r>
        <w:rPr>
          <w:lang w:val="en-US"/>
        </w:rPr>
        <w:lastRenderedPageBreak/>
        <w:t xml:space="preserve">Obligations </w:t>
      </w:r>
      <w:r w:rsidR="00E1182A">
        <w:rPr>
          <w:lang w:val="en-US"/>
        </w:rPr>
        <w:t>Relating to Members of Groups in Vulnerable Situations</w:t>
      </w:r>
    </w:p>
    <w:p w:rsidR="00E7613B" w:rsidRPr="00E7613B" w:rsidRDefault="00E7613B" w:rsidP="00E7613B">
      <w:pPr>
        <w:pStyle w:val="Heading4"/>
      </w:pPr>
      <w:r>
        <w:t>Indigenous peoples</w:t>
      </w:r>
    </w:p>
    <w:p w:rsidR="005B7153" w:rsidRDefault="000E2096" w:rsidP="00A76039">
      <w:pPr>
        <w:pStyle w:val="NoSpacing"/>
        <w:rPr>
          <w:lang w:val="en-US"/>
        </w:rPr>
      </w:pPr>
      <w:r>
        <w:rPr>
          <w:lang w:val="en-US"/>
        </w:rPr>
        <w:t xml:space="preserve">In </w:t>
      </w:r>
      <w:proofErr w:type="spellStart"/>
      <w:r>
        <w:rPr>
          <w:i/>
          <w:lang w:val="en-US"/>
        </w:rPr>
        <w:t>Endorois</w:t>
      </w:r>
      <w:proofErr w:type="spellEnd"/>
      <w:r w:rsidR="001958F2">
        <w:rPr>
          <w:i/>
          <w:lang w:val="en-US"/>
        </w:rPr>
        <w:t xml:space="preserve"> v. Kenya</w:t>
      </w:r>
      <w:r>
        <w:rPr>
          <w:i/>
          <w:lang w:val="en-US"/>
        </w:rPr>
        <w:t xml:space="preserve">, </w:t>
      </w:r>
      <w:r>
        <w:rPr>
          <w:lang w:val="en-US"/>
        </w:rPr>
        <w:t>the African Commission identified several obligations necessary to protect the rights of indigenous peoples.</w:t>
      </w:r>
    </w:p>
    <w:p w:rsidR="001C474F" w:rsidRDefault="009B0E2A" w:rsidP="00A76039">
      <w:pPr>
        <w:pStyle w:val="NoSpacing"/>
        <w:rPr>
          <w:lang w:val="en-US"/>
        </w:rPr>
      </w:pPr>
      <w:r>
        <w:rPr>
          <w:lang w:val="en-US"/>
        </w:rPr>
        <w:t xml:space="preserve">The Commission laid out a two prong test under Article 14 of the Charter to determine whether </w:t>
      </w:r>
      <w:r w:rsidR="001958F2">
        <w:rPr>
          <w:lang w:val="en-US"/>
        </w:rPr>
        <w:t xml:space="preserve">the land of </w:t>
      </w:r>
      <w:r>
        <w:rPr>
          <w:lang w:val="en-US"/>
        </w:rPr>
        <w:t>indigenous people is lawfully encroached upon</w:t>
      </w:r>
      <w:r w:rsidR="00727394">
        <w:rPr>
          <w:lang w:val="en-US"/>
        </w:rPr>
        <w:t>.  I</w:t>
      </w:r>
      <w:r>
        <w:rPr>
          <w:lang w:val="en-US"/>
        </w:rPr>
        <w:t xml:space="preserve">n the case of the </w:t>
      </w:r>
      <w:proofErr w:type="spellStart"/>
      <w:r>
        <w:rPr>
          <w:lang w:val="en-US"/>
        </w:rPr>
        <w:t>Endorois</w:t>
      </w:r>
      <w:proofErr w:type="spellEnd"/>
      <w:r>
        <w:rPr>
          <w:lang w:val="en-US"/>
        </w:rPr>
        <w:t xml:space="preserve"> </w:t>
      </w:r>
      <w:r w:rsidR="001958F2">
        <w:rPr>
          <w:lang w:val="en-US"/>
        </w:rPr>
        <w:t>p</w:t>
      </w:r>
      <w:r>
        <w:rPr>
          <w:lang w:val="en-US"/>
        </w:rPr>
        <w:t>eople the encroachment was due to the construction of a game reserve</w:t>
      </w:r>
      <w:r w:rsidR="008B48E2">
        <w:rPr>
          <w:lang w:val="en-US"/>
        </w:rPr>
        <w:t xml:space="preserve"> and mining activities</w:t>
      </w:r>
      <w:r>
        <w:rPr>
          <w:lang w:val="en-US"/>
        </w:rPr>
        <w:t>.  First, the State must demonstrate that the encroachment is “in the interest of public need” proportionate to the point of overriding the rights of indigenous peoples to their ancestral lands.</w:t>
      </w:r>
      <w:r>
        <w:rPr>
          <w:rStyle w:val="FootnoteReference"/>
          <w:lang w:val="en-US"/>
        </w:rPr>
        <w:footnoteReference w:id="33"/>
      </w:r>
      <w:r>
        <w:rPr>
          <w:lang w:val="en-US"/>
        </w:rPr>
        <w:t xml:space="preserve"> </w:t>
      </w:r>
      <w:r w:rsidR="001958F2">
        <w:rPr>
          <w:lang w:val="en-US"/>
        </w:rPr>
        <w:t xml:space="preserve"> </w:t>
      </w:r>
      <w:r>
        <w:rPr>
          <w:lang w:val="en-US"/>
        </w:rPr>
        <w:t xml:space="preserve">In the case </w:t>
      </w:r>
      <w:r w:rsidR="001958F2">
        <w:rPr>
          <w:lang w:val="en-US"/>
        </w:rPr>
        <w:t xml:space="preserve">of </w:t>
      </w:r>
      <w:r>
        <w:rPr>
          <w:lang w:val="en-US"/>
        </w:rPr>
        <w:t>indigenous people in particular, th</w:t>
      </w:r>
      <w:r w:rsidR="001C474F">
        <w:rPr>
          <w:lang w:val="en-US"/>
        </w:rPr>
        <w:t xml:space="preserve">e “public interest” test is much more stringent </w:t>
      </w:r>
      <w:r>
        <w:rPr>
          <w:lang w:val="en-US"/>
        </w:rPr>
        <w:t>than when applied to</w:t>
      </w:r>
      <w:r w:rsidR="001C1BE8">
        <w:rPr>
          <w:lang w:val="en-US"/>
        </w:rPr>
        <w:t xml:space="preserve"> individual</w:t>
      </w:r>
      <w:r>
        <w:rPr>
          <w:lang w:val="en-US"/>
        </w:rPr>
        <w:t xml:space="preserve"> private property.</w:t>
      </w:r>
      <w:r>
        <w:rPr>
          <w:rStyle w:val="FootnoteReference"/>
          <w:lang w:val="en-US"/>
        </w:rPr>
        <w:footnoteReference w:id="34"/>
      </w:r>
      <w:r>
        <w:rPr>
          <w:lang w:val="en-US"/>
        </w:rPr>
        <w:t xml:space="preserve"> </w:t>
      </w:r>
      <w:r w:rsidR="001C474F">
        <w:rPr>
          <w:lang w:val="en-US"/>
        </w:rPr>
        <w:t xml:space="preserve"> In applying the first prong to the </w:t>
      </w:r>
      <w:proofErr w:type="spellStart"/>
      <w:r w:rsidR="001C474F">
        <w:rPr>
          <w:lang w:val="en-US"/>
        </w:rPr>
        <w:t>Endorois</w:t>
      </w:r>
      <w:proofErr w:type="spellEnd"/>
      <w:r w:rsidR="001C474F">
        <w:rPr>
          <w:lang w:val="en-US"/>
        </w:rPr>
        <w:t xml:space="preserve"> </w:t>
      </w:r>
      <w:r w:rsidR="008D13D8">
        <w:rPr>
          <w:lang w:val="en-US"/>
        </w:rPr>
        <w:t>p</w:t>
      </w:r>
      <w:r w:rsidR="001C474F">
        <w:rPr>
          <w:lang w:val="en-US"/>
        </w:rPr>
        <w:t>eople, the Commission found that:</w:t>
      </w:r>
    </w:p>
    <w:p w:rsidR="009B0E2A" w:rsidRDefault="001C474F" w:rsidP="00727394">
      <w:pPr>
        <w:pStyle w:val="NoSpacing"/>
        <w:numPr>
          <w:ilvl w:val="0"/>
          <w:numId w:val="0"/>
        </w:numPr>
        <w:spacing w:line="240" w:lineRule="auto"/>
        <w:ind w:left="1440" w:right="1440"/>
        <w:contextualSpacing w:val="0"/>
        <w:jc w:val="both"/>
        <w:rPr>
          <w:lang w:val="en-US"/>
        </w:rPr>
      </w:pPr>
      <w:r>
        <w:rPr>
          <w:lang w:val="en-US"/>
        </w:rPr>
        <w:t>i</w:t>
      </w:r>
      <w:r w:rsidR="00B94C22">
        <w:rPr>
          <w:lang w:val="en-US"/>
        </w:rPr>
        <w:t>n</w:t>
      </w:r>
      <w:r w:rsidRPr="001C474F">
        <w:t xml:space="preserve"> the pursuit of creating a </w:t>
      </w:r>
      <w:r w:rsidR="00903653">
        <w:t>G</w:t>
      </w:r>
      <w:r w:rsidRPr="001C474F">
        <w:t xml:space="preserve">ame </w:t>
      </w:r>
      <w:r w:rsidR="00903653">
        <w:t>R</w:t>
      </w:r>
      <w:r w:rsidRPr="001C474F">
        <w:t xml:space="preserve">eserve, the Respondent State has unlawfully evicted the </w:t>
      </w:r>
      <w:proofErr w:type="spellStart"/>
      <w:r w:rsidRPr="001C474F">
        <w:t>Endorois</w:t>
      </w:r>
      <w:proofErr w:type="spellEnd"/>
      <w:r w:rsidRPr="001C474F">
        <w:t xml:space="preserve"> from their ancestral land and destroyed their possessions. </w:t>
      </w:r>
      <w:r w:rsidR="001958F2">
        <w:t>[The Commission]</w:t>
      </w:r>
      <w:r w:rsidRPr="001C474F">
        <w:t xml:space="preserve"> is of the view that the upheaval and displacement of the </w:t>
      </w:r>
      <w:proofErr w:type="spellStart"/>
      <w:r w:rsidRPr="001C474F">
        <w:t>Endorois</w:t>
      </w:r>
      <w:proofErr w:type="spellEnd"/>
      <w:r w:rsidRPr="001C474F">
        <w:t xml:space="preserve"> from the land they call home and the denial of their property rights over their ancestral land is disproportionate to any public need served by the </w:t>
      </w:r>
      <w:r w:rsidR="00903653">
        <w:t>G</w:t>
      </w:r>
      <w:r w:rsidRPr="001C474F">
        <w:t xml:space="preserve">ame </w:t>
      </w:r>
      <w:r w:rsidR="00903653">
        <w:t>R</w:t>
      </w:r>
      <w:r w:rsidRPr="001C474F">
        <w:t>eserve.</w:t>
      </w:r>
      <w:r>
        <w:rPr>
          <w:rStyle w:val="FootnoteReference"/>
        </w:rPr>
        <w:footnoteReference w:id="35"/>
      </w:r>
    </w:p>
    <w:p w:rsidR="000614CF" w:rsidRDefault="008B48E2" w:rsidP="00A76039">
      <w:pPr>
        <w:pStyle w:val="NoSpacing"/>
        <w:rPr>
          <w:lang w:val="en-US"/>
        </w:rPr>
      </w:pPr>
      <w:r>
        <w:rPr>
          <w:lang w:val="en-US"/>
        </w:rPr>
        <w:t>Second</w:t>
      </w:r>
      <w:r w:rsidR="001C474F" w:rsidRPr="00671C96">
        <w:rPr>
          <w:lang w:val="en-US"/>
        </w:rPr>
        <w:t>, any encroachment must be done “in accordance with the law</w:t>
      </w:r>
      <w:r w:rsidR="001958F2">
        <w:rPr>
          <w:lang w:val="en-US"/>
        </w:rPr>
        <w:t>,</w:t>
      </w:r>
      <w:r w:rsidR="001C474F" w:rsidRPr="00671C96">
        <w:rPr>
          <w:lang w:val="en-US"/>
        </w:rPr>
        <w:t>” which the Commission has interpreted to mean that the removal satisfie</w:t>
      </w:r>
      <w:r w:rsidR="001958F2">
        <w:rPr>
          <w:lang w:val="en-US"/>
        </w:rPr>
        <w:t>s</w:t>
      </w:r>
      <w:r w:rsidR="001C474F" w:rsidRPr="00671C96">
        <w:rPr>
          <w:lang w:val="en-US"/>
        </w:rPr>
        <w:t xml:space="preserve"> both domestic and international </w:t>
      </w:r>
      <w:r w:rsidR="001C474F" w:rsidRPr="00671C96">
        <w:rPr>
          <w:lang w:val="en-US"/>
        </w:rPr>
        <w:lastRenderedPageBreak/>
        <w:t>law.</w:t>
      </w:r>
      <w:r w:rsidR="001C474F">
        <w:rPr>
          <w:rStyle w:val="FootnoteReference"/>
          <w:lang w:val="en-US"/>
        </w:rPr>
        <w:footnoteReference w:id="36"/>
      </w:r>
      <w:r w:rsidR="00E81BBC" w:rsidRPr="00671C96">
        <w:rPr>
          <w:lang w:val="en-US"/>
        </w:rPr>
        <w:t xml:space="preserve">  Two important elements to satisfy this prong relate to consultation and </w:t>
      </w:r>
      <w:r w:rsidR="00903653">
        <w:rPr>
          <w:lang w:val="en-US"/>
        </w:rPr>
        <w:t xml:space="preserve">adequate </w:t>
      </w:r>
      <w:r w:rsidR="00E81BBC" w:rsidRPr="00671C96">
        <w:rPr>
          <w:lang w:val="en-US"/>
        </w:rPr>
        <w:t>compensation.</w:t>
      </w:r>
      <w:r w:rsidR="00E81BBC">
        <w:rPr>
          <w:rStyle w:val="FootnoteReference"/>
          <w:lang w:val="en-US"/>
        </w:rPr>
        <w:footnoteReference w:id="37"/>
      </w:r>
      <w:r w:rsidR="00671C96" w:rsidRPr="00671C96">
        <w:rPr>
          <w:lang w:val="en-US"/>
        </w:rPr>
        <w:t xml:space="preserve"> </w:t>
      </w:r>
      <w:r w:rsidR="00671C96">
        <w:rPr>
          <w:lang w:val="en-US"/>
        </w:rPr>
        <w:t xml:space="preserve"> </w:t>
      </w:r>
    </w:p>
    <w:p w:rsidR="00071477" w:rsidRPr="00071477" w:rsidRDefault="00727394" w:rsidP="00A76039">
      <w:pPr>
        <w:pStyle w:val="NoSpacing"/>
        <w:rPr>
          <w:lang w:val="en-US"/>
        </w:rPr>
      </w:pPr>
      <w:r>
        <w:rPr>
          <w:lang w:val="en-US"/>
        </w:rPr>
        <w:t xml:space="preserve">With respect to the first </w:t>
      </w:r>
      <w:r w:rsidR="001958F2">
        <w:rPr>
          <w:lang w:val="en-US"/>
        </w:rPr>
        <w:t>of these elements</w:t>
      </w:r>
      <w:r>
        <w:rPr>
          <w:lang w:val="en-US"/>
        </w:rPr>
        <w:t>, th</w:t>
      </w:r>
      <w:r w:rsidR="00671C96" w:rsidRPr="000614CF">
        <w:rPr>
          <w:lang w:val="en-US"/>
        </w:rPr>
        <w:t xml:space="preserve">e Commission has </w:t>
      </w:r>
      <w:r w:rsidR="001958F2">
        <w:rPr>
          <w:lang w:val="en-US"/>
        </w:rPr>
        <w:t>stated</w:t>
      </w:r>
      <w:r w:rsidR="00671C96" w:rsidRPr="000614CF">
        <w:rPr>
          <w:lang w:val="en-US"/>
        </w:rPr>
        <w:t xml:space="preserve"> that “</w:t>
      </w:r>
      <w:r w:rsidR="00903653">
        <w:rPr>
          <w:lang w:val="en-US"/>
        </w:rPr>
        <w:t>[</w:t>
      </w:r>
      <w:r w:rsidR="00671C96" w:rsidRPr="000614CF">
        <w:rPr>
          <w:lang w:val="en-US"/>
        </w:rPr>
        <w:t>i</w:t>
      </w:r>
      <w:r w:rsidR="00903653">
        <w:rPr>
          <w:lang w:val="en-US"/>
        </w:rPr>
        <w:t>]</w:t>
      </w:r>
      <w:r w:rsidR="00671C96" w:rsidRPr="000614CF">
        <w:rPr>
          <w:lang w:val="en-US"/>
        </w:rPr>
        <w:t xml:space="preserve">n terms of consultation, the threshold is especially stringent in </w:t>
      </w:r>
      <w:proofErr w:type="spellStart"/>
      <w:r w:rsidR="00671C96" w:rsidRPr="000614CF">
        <w:rPr>
          <w:lang w:val="en-US"/>
        </w:rPr>
        <w:t>favour</w:t>
      </w:r>
      <w:proofErr w:type="spellEnd"/>
      <w:r w:rsidR="00671C96" w:rsidRPr="000614CF">
        <w:rPr>
          <w:lang w:val="en-US"/>
        </w:rPr>
        <w:t xml:space="preserve"> of indigenous peoples” as it also places the duty on the State to obtain indigenous people’s </w:t>
      </w:r>
      <w:r w:rsidR="00903653">
        <w:rPr>
          <w:lang w:val="en-US"/>
        </w:rPr>
        <w:t>consent</w:t>
      </w:r>
      <w:r w:rsidR="00671C96" w:rsidRPr="000614CF">
        <w:rPr>
          <w:lang w:val="en-US"/>
        </w:rPr>
        <w:t>.</w:t>
      </w:r>
      <w:r w:rsidR="00671C96" w:rsidRPr="00671C96">
        <w:rPr>
          <w:vertAlign w:val="superscript"/>
          <w:lang w:val="en-US"/>
        </w:rPr>
        <w:footnoteReference w:id="38"/>
      </w:r>
      <w:r w:rsidR="00671C96" w:rsidRPr="000614CF">
        <w:rPr>
          <w:lang w:val="en-US"/>
        </w:rPr>
        <w:t xml:space="preserve">  </w:t>
      </w:r>
      <w:r w:rsidR="000614CF">
        <w:rPr>
          <w:lang w:val="en-US"/>
        </w:rPr>
        <w:t>Moreover, i</w:t>
      </w:r>
      <w:r w:rsidR="000614CF" w:rsidRPr="000614CF">
        <w:rPr>
          <w:lang w:val="en-US"/>
        </w:rPr>
        <w:t>n order to</w:t>
      </w:r>
      <w:r w:rsidR="000614CF">
        <w:rPr>
          <w:lang w:val="en-US"/>
        </w:rPr>
        <w:t xml:space="preserve"> flesh out the obligations related to adequate consultation, the</w:t>
      </w:r>
      <w:r w:rsidR="000614CF" w:rsidRPr="000614CF">
        <w:rPr>
          <w:lang w:val="en-US"/>
        </w:rPr>
        <w:t xml:space="preserve"> Commission relie</w:t>
      </w:r>
      <w:r w:rsidR="001958F2">
        <w:rPr>
          <w:lang w:val="en-US"/>
        </w:rPr>
        <w:t>d</w:t>
      </w:r>
      <w:r w:rsidR="000614CF" w:rsidRPr="000614CF">
        <w:rPr>
          <w:lang w:val="en-US"/>
        </w:rPr>
        <w:t xml:space="preserve"> on</w:t>
      </w:r>
      <w:r w:rsidR="001958F2">
        <w:rPr>
          <w:lang w:val="en-US"/>
        </w:rPr>
        <w:t xml:space="preserve"> the</w:t>
      </w:r>
      <w:r w:rsidR="000614CF" w:rsidRPr="000614CF">
        <w:rPr>
          <w:lang w:val="en-US"/>
        </w:rPr>
        <w:t xml:space="preserve"> </w:t>
      </w:r>
      <w:r w:rsidR="001958F2">
        <w:rPr>
          <w:lang w:val="en-US"/>
        </w:rPr>
        <w:t xml:space="preserve">decision of the Inter-American Court of Human Rights in </w:t>
      </w:r>
      <w:proofErr w:type="spellStart"/>
      <w:r w:rsidR="000614CF" w:rsidRPr="000614CF">
        <w:rPr>
          <w:i/>
          <w:lang w:val="en-US"/>
        </w:rPr>
        <w:t>Saramaka</w:t>
      </w:r>
      <w:proofErr w:type="spellEnd"/>
      <w:r w:rsidR="000614CF" w:rsidRPr="000614CF">
        <w:rPr>
          <w:i/>
          <w:lang w:val="en-US"/>
        </w:rPr>
        <w:t xml:space="preserve"> </w:t>
      </w:r>
      <w:r w:rsidR="001958F2">
        <w:rPr>
          <w:i/>
          <w:lang w:val="en-US"/>
        </w:rPr>
        <w:t xml:space="preserve">People </w:t>
      </w:r>
      <w:r w:rsidR="000614CF" w:rsidRPr="000614CF">
        <w:rPr>
          <w:i/>
          <w:lang w:val="en-US"/>
        </w:rPr>
        <w:t>v. Suriname</w:t>
      </w:r>
      <w:r w:rsidR="000614CF" w:rsidRPr="000614CF">
        <w:rPr>
          <w:lang w:val="en-US"/>
        </w:rPr>
        <w:t>,</w:t>
      </w:r>
      <w:r w:rsidR="000614CF">
        <w:rPr>
          <w:rStyle w:val="FootnoteReference"/>
          <w:lang w:val="en-US"/>
        </w:rPr>
        <w:footnoteReference w:id="39"/>
      </w:r>
      <w:r w:rsidR="000614CF" w:rsidRPr="000614CF">
        <w:rPr>
          <w:lang w:val="en-US"/>
        </w:rPr>
        <w:t xml:space="preserve"> </w:t>
      </w:r>
      <w:r w:rsidR="000614CF">
        <w:rPr>
          <w:lang w:val="en-US"/>
        </w:rPr>
        <w:t xml:space="preserve"> to set out three additional duties: 1) to ensure effective participation of the indigenous peoples</w:t>
      </w:r>
      <w:r w:rsidR="00667049">
        <w:rPr>
          <w:lang w:val="en-US"/>
        </w:rPr>
        <w:t xml:space="preserve"> in conformity with their customs and traditions</w:t>
      </w:r>
      <w:r w:rsidR="000614CF">
        <w:rPr>
          <w:lang w:val="en-US"/>
        </w:rPr>
        <w:t>; 2) to provide reasonable benefit</w:t>
      </w:r>
      <w:r w:rsidR="00071477">
        <w:rPr>
          <w:lang w:val="en-US"/>
        </w:rPr>
        <w:t xml:space="preserve"> to the community; </w:t>
      </w:r>
      <w:r w:rsidR="000614CF">
        <w:rPr>
          <w:lang w:val="en-US"/>
        </w:rPr>
        <w:t xml:space="preserve">and 3) </w:t>
      </w:r>
      <w:r w:rsidR="00071477">
        <w:rPr>
          <w:lang w:val="en-US"/>
        </w:rPr>
        <w:t>to</w:t>
      </w:r>
      <w:r w:rsidR="00304115">
        <w:rPr>
          <w:lang w:val="en-US"/>
        </w:rPr>
        <w:t xml:space="preserve"> </w:t>
      </w:r>
      <w:r w:rsidR="00667049">
        <w:rPr>
          <w:lang w:val="en-US"/>
        </w:rPr>
        <w:t>perform</w:t>
      </w:r>
      <w:r w:rsidR="00071477">
        <w:rPr>
          <w:lang w:val="en-US"/>
        </w:rPr>
        <w:t xml:space="preserve"> a prior environment</w:t>
      </w:r>
      <w:r w:rsidR="00422292">
        <w:rPr>
          <w:lang w:val="en-US"/>
        </w:rPr>
        <w:t>al</w:t>
      </w:r>
      <w:r w:rsidR="00071477">
        <w:rPr>
          <w:lang w:val="en-US"/>
        </w:rPr>
        <w:t xml:space="preserve"> and social impact assessment.</w:t>
      </w:r>
      <w:r w:rsidR="00671C96" w:rsidRPr="000614CF">
        <w:rPr>
          <w:lang w:val="en-US"/>
        </w:rPr>
        <w:t xml:space="preserve"> </w:t>
      </w:r>
      <w:r w:rsidR="00071477">
        <w:rPr>
          <w:lang w:val="en-US"/>
        </w:rPr>
        <w:t xml:space="preserve"> In this regard, the </w:t>
      </w:r>
      <w:r w:rsidR="00422292">
        <w:rPr>
          <w:lang w:val="en-US"/>
        </w:rPr>
        <w:t xml:space="preserve">African </w:t>
      </w:r>
      <w:r w:rsidR="00071477">
        <w:rPr>
          <w:lang w:val="en-US"/>
        </w:rPr>
        <w:t>Commission found</w:t>
      </w:r>
      <w:r w:rsidR="00422292">
        <w:rPr>
          <w:lang w:val="en-US"/>
        </w:rPr>
        <w:t xml:space="preserve"> that</w:t>
      </w:r>
      <w:r w:rsidR="00071477">
        <w:rPr>
          <w:lang w:val="en-US"/>
        </w:rPr>
        <w:t>:</w:t>
      </w:r>
      <w:r w:rsidR="00071477" w:rsidRPr="00071477">
        <w:rPr>
          <w:rFonts w:ascii="Arial" w:hAnsi="Arial" w:cs="Arial"/>
          <w:color w:val="000000"/>
          <w:sz w:val="20"/>
          <w:szCs w:val="20"/>
          <w:lang w:eastAsia="en-US"/>
        </w:rPr>
        <w:t xml:space="preserve"> </w:t>
      </w:r>
    </w:p>
    <w:p w:rsidR="009B0E2A" w:rsidRDefault="00071477" w:rsidP="00304115">
      <w:pPr>
        <w:pStyle w:val="NoSpacing"/>
        <w:numPr>
          <w:ilvl w:val="0"/>
          <w:numId w:val="0"/>
        </w:numPr>
        <w:spacing w:line="240" w:lineRule="auto"/>
        <w:ind w:left="1440" w:right="1440"/>
        <w:contextualSpacing w:val="0"/>
        <w:jc w:val="both"/>
        <w:rPr>
          <w:lang w:val="en-US"/>
        </w:rPr>
      </w:pPr>
      <w:r w:rsidRPr="00071477">
        <w:t xml:space="preserve">no effective participation was allowed for the </w:t>
      </w:r>
      <w:proofErr w:type="spellStart"/>
      <w:r w:rsidRPr="00071477">
        <w:t>Endorois</w:t>
      </w:r>
      <w:proofErr w:type="spellEnd"/>
      <w:r w:rsidRPr="00071477">
        <w:t>, nor has there been any reasonable benefit enjoyed by the community. Moreover, a</w:t>
      </w:r>
      <w:r w:rsidR="0045066C">
        <w:t xml:space="preserve"> </w:t>
      </w:r>
      <w:r w:rsidRPr="00071477">
        <w:rPr>
          <w:i/>
          <w:iCs/>
        </w:rPr>
        <w:t>prior</w:t>
      </w:r>
      <w:r w:rsidRPr="00071477">
        <w:t> environment and social impact assessment was not carried out. The absence of these three elements of the ‘test’ is tantamount to a violation of </w:t>
      </w:r>
      <w:r w:rsidRPr="00746711">
        <w:t>Article 14</w:t>
      </w:r>
      <w:r w:rsidRPr="00071477">
        <w:t xml:space="preserve">, the right to property, under the Charter. The failure to guarantee effective participation and to guarantee a reasonable share in the profits of the </w:t>
      </w:r>
      <w:r w:rsidR="00667049">
        <w:t>G</w:t>
      </w:r>
      <w:r w:rsidRPr="00071477">
        <w:t xml:space="preserve">ame </w:t>
      </w:r>
      <w:r w:rsidR="00667049">
        <w:t>R</w:t>
      </w:r>
      <w:r w:rsidRPr="00071477">
        <w:t>eserve (or other adequate forms of compensation) also extends to a violation of the right to development.</w:t>
      </w:r>
      <w:r>
        <w:rPr>
          <w:rStyle w:val="FootnoteReference"/>
        </w:rPr>
        <w:footnoteReference w:id="40"/>
      </w:r>
    </w:p>
    <w:p w:rsidR="00071477" w:rsidRDefault="00071477" w:rsidP="00A76039">
      <w:pPr>
        <w:pStyle w:val="NoSpacing"/>
        <w:rPr>
          <w:lang w:val="en-US"/>
        </w:rPr>
      </w:pPr>
      <w:r>
        <w:rPr>
          <w:lang w:val="en-US"/>
        </w:rPr>
        <w:lastRenderedPageBreak/>
        <w:t xml:space="preserve">With respect to </w:t>
      </w:r>
      <w:r w:rsidR="00422292">
        <w:rPr>
          <w:lang w:val="en-US"/>
        </w:rPr>
        <w:t xml:space="preserve">compensation, </w:t>
      </w:r>
      <w:r w:rsidR="00727394">
        <w:rPr>
          <w:lang w:val="en-US"/>
        </w:rPr>
        <w:t xml:space="preserve">the second </w:t>
      </w:r>
      <w:r w:rsidR="00422292">
        <w:rPr>
          <w:lang w:val="en-US"/>
        </w:rPr>
        <w:t xml:space="preserve">element of the second </w:t>
      </w:r>
      <w:r w:rsidR="00727394">
        <w:rPr>
          <w:lang w:val="en-US"/>
        </w:rPr>
        <w:t xml:space="preserve">prong of </w:t>
      </w:r>
      <w:r w:rsidR="00422292">
        <w:rPr>
          <w:lang w:val="en-US"/>
        </w:rPr>
        <w:t xml:space="preserve">this test, </w:t>
      </w:r>
      <w:r>
        <w:rPr>
          <w:lang w:val="en-US"/>
        </w:rPr>
        <w:t xml:space="preserve"> the Commission refer</w:t>
      </w:r>
      <w:r w:rsidR="00422292">
        <w:rPr>
          <w:lang w:val="en-US"/>
        </w:rPr>
        <w:t>red</w:t>
      </w:r>
      <w:r>
        <w:rPr>
          <w:lang w:val="en-US"/>
        </w:rPr>
        <w:t xml:space="preserve"> to the requirements set out in the United Nations Declaration on the Rights of Indigenous Peoples, </w:t>
      </w:r>
      <w:r w:rsidR="00422292">
        <w:rPr>
          <w:lang w:val="en-US"/>
        </w:rPr>
        <w:t xml:space="preserve">and stated: </w:t>
      </w:r>
    </w:p>
    <w:p w:rsidR="00071477" w:rsidRDefault="00AB0C62" w:rsidP="00727394">
      <w:pPr>
        <w:pStyle w:val="NoSpacing"/>
        <w:numPr>
          <w:ilvl w:val="0"/>
          <w:numId w:val="0"/>
        </w:numPr>
        <w:spacing w:line="240" w:lineRule="auto"/>
        <w:ind w:left="1440" w:right="1440"/>
        <w:jc w:val="both"/>
      </w:pPr>
      <w:r>
        <w:t>i</w:t>
      </w:r>
      <w:r w:rsidRPr="00AB0C62">
        <w:t xml:space="preserve">ndigenous peoples have the right to restitution of the lands, territories and resources which they have traditionally owned or otherwise occupied or used; and which have been confiscated, occupied, used or damaged without their free and informed consent. Where this is not possible, they have the right to just and fair compensation. Unless otherwise freely agreed upon by the peoples concerned, </w:t>
      </w:r>
      <w:r w:rsidRPr="00727394">
        <w:rPr>
          <w:i/>
        </w:rPr>
        <w:t>compensation shall take the form of lands, territories and resources equal in quality, size and legal status</w:t>
      </w:r>
      <w:r w:rsidRPr="00AB0C62">
        <w:t>.</w:t>
      </w:r>
      <w:r w:rsidR="00490864" w:rsidRPr="00490864">
        <w:rPr>
          <w:rStyle w:val="FootnoteReference"/>
          <w:iCs/>
        </w:rPr>
        <w:footnoteReference w:id="41"/>
      </w:r>
    </w:p>
    <w:p w:rsidR="00E7613B" w:rsidRDefault="00E7613B" w:rsidP="00E7613B">
      <w:pPr>
        <w:pStyle w:val="Heading4"/>
      </w:pPr>
      <w:r>
        <w:t>Women</w:t>
      </w:r>
    </w:p>
    <w:p w:rsidR="00E7613B" w:rsidRDefault="00E7613B" w:rsidP="00A76039">
      <w:pPr>
        <w:pStyle w:val="NoSpacing"/>
        <w:rPr>
          <w:lang w:val="en-US"/>
        </w:rPr>
      </w:pPr>
      <w:r w:rsidRPr="00E7613B">
        <w:rPr>
          <w:lang w:val="en-US"/>
        </w:rPr>
        <w:t>In 2003, the African Union adopted the Protocol to the African Charter on Human and Peoples’ Rights on the Rights of Women in Africa, which states that women “shall have the right to live in a healthy and sustainable environment” and “the right to fully enjoy their right to sustainable development</w:t>
      </w:r>
      <w:r w:rsidR="00422292">
        <w:rPr>
          <w:lang w:val="en-US"/>
        </w:rPr>
        <w:t>.</w:t>
      </w:r>
      <w:r w:rsidRPr="00E7613B">
        <w:rPr>
          <w:lang w:val="en-US"/>
        </w:rPr>
        <w:t>”</w:t>
      </w:r>
      <w:r>
        <w:rPr>
          <w:rStyle w:val="FootnoteReference"/>
          <w:lang w:val="en-US"/>
        </w:rPr>
        <w:footnoteReference w:id="42"/>
      </w:r>
      <w:r w:rsidRPr="00E7613B">
        <w:rPr>
          <w:lang w:val="en-US"/>
        </w:rPr>
        <w:t xml:space="preserve"> </w:t>
      </w:r>
      <w:r>
        <w:rPr>
          <w:lang w:val="en-US"/>
        </w:rPr>
        <w:t xml:space="preserve"> </w:t>
      </w:r>
    </w:p>
    <w:p w:rsidR="00E7613B" w:rsidRDefault="00422292" w:rsidP="00A76039">
      <w:pPr>
        <w:pStyle w:val="NoSpacing"/>
        <w:rPr>
          <w:lang w:val="en-US"/>
        </w:rPr>
      </w:pPr>
      <w:r>
        <w:rPr>
          <w:lang w:val="en-US"/>
        </w:rPr>
        <w:t xml:space="preserve">In its </w:t>
      </w:r>
      <w:r w:rsidR="00E7613B">
        <w:rPr>
          <w:lang w:val="en-US"/>
        </w:rPr>
        <w:t>Article 18</w:t>
      </w:r>
      <w:r>
        <w:rPr>
          <w:lang w:val="en-US"/>
        </w:rPr>
        <w:t>, the Protocol</w:t>
      </w:r>
      <w:r w:rsidR="00E7613B">
        <w:rPr>
          <w:lang w:val="en-US"/>
        </w:rPr>
        <w:t xml:space="preserve"> sets out specific duties </w:t>
      </w:r>
      <w:r>
        <w:rPr>
          <w:lang w:val="en-US"/>
        </w:rPr>
        <w:t xml:space="preserve">in relation to </w:t>
      </w:r>
      <w:r w:rsidR="00E7613B">
        <w:rPr>
          <w:lang w:val="en-US"/>
        </w:rPr>
        <w:t xml:space="preserve">this right, </w:t>
      </w:r>
      <w:r>
        <w:rPr>
          <w:lang w:val="en-US"/>
        </w:rPr>
        <w:t xml:space="preserve">which </w:t>
      </w:r>
      <w:r w:rsidR="00E7613B">
        <w:rPr>
          <w:lang w:val="en-US"/>
        </w:rPr>
        <w:t>requir</w:t>
      </w:r>
      <w:r>
        <w:rPr>
          <w:lang w:val="en-US"/>
        </w:rPr>
        <w:t>e</w:t>
      </w:r>
      <w:r w:rsidR="00E7613B">
        <w:rPr>
          <w:lang w:val="en-US"/>
        </w:rPr>
        <w:t xml:space="preserve"> State </w:t>
      </w:r>
      <w:r>
        <w:rPr>
          <w:lang w:val="en-US"/>
        </w:rPr>
        <w:t>p</w:t>
      </w:r>
      <w:r w:rsidR="00E7613B">
        <w:rPr>
          <w:lang w:val="en-US"/>
        </w:rPr>
        <w:t xml:space="preserve">arties to take all appropriate measures to: </w:t>
      </w:r>
    </w:p>
    <w:p w:rsidR="00E7613B" w:rsidRDefault="00E7613B" w:rsidP="008B48E2">
      <w:pPr>
        <w:ind w:left="1440" w:right="1440"/>
        <w:jc w:val="both"/>
        <w:rPr>
          <w:lang w:val="en-US"/>
        </w:rPr>
      </w:pPr>
      <w:r w:rsidRPr="00E7613B">
        <w:rPr>
          <w:lang w:val="en-US"/>
        </w:rPr>
        <w:t>a) ensure greater participation of women</w:t>
      </w:r>
      <w:r>
        <w:rPr>
          <w:lang w:val="en-US"/>
        </w:rPr>
        <w:t xml:space="preserve"> </w:t>
      </w:r>
      <w:r w:rsidRPr="00E7613B">
        <w:rPr>
          <w:lang w:val="en-US"/>
        </w:rPr>
        <w:t xml:space="preserve">in the planning, management and preservation of the environment and the sustainable use of natural resources at all levels;  </w:t>
      </w:r>
    </w:p>
    <w:p w:rsidR="00E7613B" w:rsidRDefault="00E7613B" w:rsidP="008B48E2">
      <w:pPr>
        <w:ind w:left="1440" w:right="1440"/>
        <w:jc w:val="both"/>
        <w:rPr>
          <w:lang w:val="en-US"/>
        </w:rPr>
      </w:pPr>
      <w:r w:rsidRPr="00E7613B">
        <w:rPr>
          <w:lang w:val="en-US"/>
        </w:rPr>
        <w:t>b) promote research and investment in new and renewable energy sources and appropriate technologies, including information technologies and facilitate women</w:t>
      </w:r>
      <w:r w:rsidR="008D13D8">
        <w:rPr>
          <w:lang w:val="en-US"/>
        </w:rPr>
        <w:t>’</w:t>
      </w:r>
      <w:r w:rsidRPr="00E7613B">
        <w:rPr>
          <w:lang w:val="en-US"/>
        </w:rPr>
        <w:t>s access to, and participation in their control;</w:t>
      </w:r>
    </w:p>
    <w:p w:rsidR="008B48E2" w:rsidRDefault="00E7613B" w:rsidP="008B48E2">
      <w:pPr>
        <w:ind w:left="1440" w:right="1440"/>
        <w:jc w:val="both"/>
        <w:rPr>
          <w:lang w:val="en-US"/>
        </w:rPr>
      </w:pPr>
      <w:r>
        <w:rPr>
          <w:lang w:val="en-US"/>
        </w:rPr>
        <w:t xml:space="preserve"> </w:t>
      </w:r>
      <w:r w:rsidRPr="00E7613B">
        <w:rPr>
          <w:lang w:val="en-US"/>
        </w:rPr>
        <w:t xml:space="preserve">c) protect and enable the development of women’s indigenous knowledge systems; </w:t>
      </w:r>
    </w:p>
    <w:p w:rsidR="008B48E2" w:rsidRDefault="008B48E2" w:rsidP="008B48E2">
      <w:pPr>
        <w:ind w:left="1440" w:right="1440"/>
        <w:jc w:val="both"/>
        <w:rPr>
          <w:lang w:val="en-US"/>
        </w:rPr>
      </w:pPr>
      <w:r>
        <w:rPr>
          <w:lang w:val="en-US"/>
        </w:rPr>
        <w:lastRenderedPageBreak/>
        <w:t>d</w:t>
      </w:r>
      <w:r w:rsidR="00E7613B" w:rsidRPr="00E7613B">
        <w:rPr>
          <w:lang w:val="en-US"/>
        </w:rPr>
        <w:t>) regulate the management, processing, storage and disposal</w:t>
      </w:r>
      <w:r w:rsidR="00E7613B">
        <w:rPr>
          <w:lang w:val="en-US"/>
        </w:rPr>
        <w:t xml:space="preserve"> </w:t>
      </w:r>
      <w:r w:rsidR="00E7613B" w:rsidRPr="00E7613B">
        <w:rPr>
          <w:lang w:val="en-US"/>
        </w:rPr>
        <w:t xml:space="preserve">of domestic waste; </w:t>
      </w:r>
    </w:p>
    <w:p w:rsidR="00E7613B" w:rsidRDefault="008B48E2" w:rsidP="008B48E2">
      <w:pPr>
        <w:ind w:left="1440" w:right="1440"/>
        <w:jc w:val="both"/>
        <w:rPr>
          <w:lang w:val="en-US"/>
        </w:rPr>
      </w:pPr>
      <w:r>
        <w:rPr>
          <w:lang w:val="en-US"/>
        </w:rPr>
        <w:t>e</w:t>
      </w:r>
      <w:r w:rsidR="00E7613B" w:rsidRPr="00E7613B">
        <w:rPr>
          <w:lang w:val="en-US"/>
        </w:rPr>
        <w:t xml:space="preserve">) ensure that proper standards are followed for the storage, transportation and disposal of toxic waste. </w:t>
      </w:r>
    </w:p>
    <w:p w:rsidR="008B48E2" w:rsidRDefault="008B48E2" w:rsidP="00A76039">
      <w:pPr>
        <w:pStyle w:val="NoSpacing"/>
        <w:rPr>
          <w:lang w:val="en-US"/>
        </w:rPr>
      </w:pPr>
      <w:r>
        <w:rPr>
          <w:lang w:val="en-US"/>
        </w:rPr>
        <w:t xml:space="preserve">Article 19 sets out, </w:t>
      </w:r>
      <w:r>
        <w:rPr>
          <w:i/>
          <w:lang w:val="en-US"/>
        </w:rPr>
        <w:t>inter alia</w:t>
      </w:r>
      <w:r>
        <w:rPr>
          <w:lang w:val="en-US"/>
        </w:rPr>
        <w:t>, the following requirements on State Parties that are relevant to environmental protection:</w:t>
      </w:r>
    </w:p>
    <w:p w:rsidR="008B48E2" w:rsidRDefault="008B48E2" w:rsidP="008B48E2">
      <w:pPr>
        <w:ind w:left="1440" w:right="1440"/>
        <w:jc w:val="both"/>
        <w:rPr>
          <w:lang w:val="en-US"/>
        </w:rPr>
      </w:pPr>
      <w:r w:rsidRPr="008B48E2">
        <w:rPr>
          <w:lang w:val="en-US"/>
        </w:rPr>
        <w:t xml:space="preserve">b) ensure participation of women at all levels in the </w:t>
      </w:r>
      <w:proofErr w:type="spellStart"/>
      <w:r w:rsidRPr="008B48E2">
        <w:rPr>
          <w:lang w:val="en-US"/>
        </w:rPr>
        <w:t>conceptualisation</w:t>
      </w:r>
      <w:proofErr w:type="spellEnd"/>
      <w:r w:rsidRPr="008B48E2">
        <w:rPr>
          <w:lang w:val="en-US"/>
        </w:rPr>
        <w:t xml:space="preserve">, decision-making, implementation and evaluation of development policies and </w:t>
      </w:r>
      <w:proofErr w:type="spellStart"/>
      <w:r w:rsidRPr="008B48E2">
        <w:rPr>
          <w:lang w:val="en-US"/>
        </w:rPr>
        <w:t>programmes</w:t>
      </w:r>
      <w:proofErr w:type="spellEnd"/>
      <w:r w:rsidRPr="008B48E2">
        <w:rPr>
          <w:lang w:val="en-US"/>
        </w:rPr>
        <w:t xml:space="preserve">; </w:t>
      </w:r>
    </w:p>
    <w:p w:rsidR="008B48E2" w:rsidRPr="00E7613B" w:rsidRDefault="008B48E2" w:rsidP="008B48E2">
      <w:pPr>
        <w:ind w:left="1440" w:right="1440"/>
        <w:jc w:val="both"/>
        <w:rPr>
          <w:lang w:val="en-US"/>
        </w:rPr>
      </w:pPr>
      <w:r w:rsidRPr="008B48E2">
        <w:rPr>
          <w:lang w:val="en-US"/>
        </w:rPr>
        <w:t xml:space="preserve">c) promote women’s </w:t>
      </w:r>
      <w:r>
        <w:rPr>
          <w:lang w:val="en-US"/>
        </w:rPr>
        <w:t>a</w:t>
      </w:r>
      <w:r w:rsidRPr="008B48E2">
        <w:rPr>
          <w:lang w:val="en-US"/>
        </w:rPr>
        <w:t>ccess to and control over productive resources such as land and guar</w:t>
      </w:r>
      <w:r>
        <w:rPr>
          <w:lang w:val="en-US"/>
        </w:rPr>
        <w:t>antee their right to property.</w:t>
      </w:r>
    </w:p>
    <w:p w:rsidR="00B95DA7" w:rsidRDefault="00CC55F1" w:rsidP="00A76039">
      <w:pPr>
        <w:pStyle w:val="Heading2"/>
        <w:rPr>
          <w:lang w:val="en-US"/>
        </w:rPr>
      </w:pPr>
      <w:r>
        <w:rPr>
          <w:lang w:val="en-US"/>
        </w:rPr>
        <w:t xml:space="preserve"> </w:t>
      </w:r>
      <w:r w:rsidR="00B95DA7" w:rsidRPr="00DC5522">
        <w:rPr>
          <w:lang w:val="en-US"/>
        </w:rPr>
        <w:t xml:space="preserve"> </w:t>
      </w:r>
      <w:r w:rsidR="00CB5EFA">
        <w:rPr>
          <w:lang w:val="en-US"/>
        </w:rPr>
        <w:t>Cross-cutting Issues</w:t>
      </w:r>
    </w:p>
    <w:p w:rsidR="00CB5EFA" w:rsidRDefault="00D076BF" w:rsidP="00CB5EFA">
      <w:pPr>
        <w:pStyle w:val="Heading3"/>
        <w:rPr>
          <w:lang w:val="en-US"/>
        </w:rPr>
      </w:pPr>
      <w:r>
        <w:rPr>
          <w:lang w:val="en-US"/>
        </w:rPr>
        <w:t>Obligations relating to transboundary environmental h</w:t>
      </w:r>
      <w:r w:rsidR="00CB5EFA">
        <w:rPr>
          <w:lang w:val="en-US"/>
        </w:rPr>
        <w:t>arm</w:t>
      </w:r>
    </w:p>
    <w:p w:rsidR="00092701" w:rsidRDefault="00CB5EFA" w:rsidP="00A76039">
      <w:pPr>
        <w:pStyle w:val="NoSpacing"/>
        <w:rPr>
          <w:lang w:val="en-ZA"/>
        </w:rPr>
      </w:pPr>
      <w:r w:rsidRPr="00092701">
        <w:rPr>
          <w:lang w:val="en-US"/>
        </w:rPr>
        <w:t xml:space="preserve">The African Commission </w:t>
      </w:r>
      <w:r w:rsidR="00422292">
        <w:rPr>
          <w:lang w:val="en-US"/>
        </w:rPr>
        <w:t xml:space="preserve">has adopted a </w:t>
      </w:r>
      <w:r w:rsidRPr="00092701">
        <w:rPr>
          <w:lang w:val="en-US"/>
        </w:rPr>
        <w:t>resolution on climate change and human rights</w:t>
      </w:r>
      <w:r w:rsidR="00422292">
        <w:rPr>
          <w:lang w:val="en-US"/>
        </w:rPr>
        <w:t xml:space="preserve">, which </w:t>
      </w:r>
      <w:r w:rsidRPr="00092701">
        <w:rPr>
          <w:lang w:val="en-US"/>
        </w:rPr>
        <w:t>request</w:t>
      </w:r>
      <w:r w:rsidR="00422292">
        <w:rPr>
          <w:lang w:val="en-US"/>
        </w:rPr>
        <w:t>s</w:t>
      </w:r>
      <w:r w:rsidRPr="00092701">
        <w:rPr>
          <w:lang w:val="en-US"/>
        </w:rPr>
        <w:t xml:space="preserve"> States to </w:t>
      </w:r>
      <w:r w:rsidR="00C41A08" w:rsidRPr="00092701">
        <w:rPr>
          <w:lang w:val="en-US"/>
        </w:rPr>
        <w:t>ensure that certain provision</w:t>
      </w:r>
      <w:r w:rsidR="00092701" w:rsidRPr="00092701">
        <w:rPr>
          <w:lang w:val="en-US"/>
        </w:rPr>
        <w:t>s</w:t>
      </w:r>
      <w:r w:rsidR="00C41A08" w:rsidRPr="00092701">
        <w:rPr>
          <w:lang w:val="en-US"/>
        </w:rPr>
        <w:t xml:space="preserve"> be included in any agreement</w:t>
      </w:r>
      <w:r w:rsidR="00092701" w:rsidRPr="00092701">
        <w:rPr>
          <w:lang w:val="en-US"/>
        </w:rPr>
        <w:t>, instrument</w:t>
      </w:r>
      <w:r w:rsidR="00C41A08" w:rsidRPr="00092701">
        <w:rPr>
          <w:lang w:val="en-US"/>
        </w:rPr>
        <w:t xml:space="preserve"> or text on climate change.  </w:t>
      </w:r>
      <w:r w:rsidR="00422292">
        <w:rPr>
          <w:lang w:val="en-US"/>
        </w:rPr>
        <w:t>Specifically, the resolution urges</w:t>
      </w:r>
      <w:r w:rsidR="00092701" w:rsidRPr="00092701">
        <w:rPr>
          <w:lang w:val="en-ZA"/>
        </w:rPr>
        <w:t xml:space="preserve"> </w:t>
      </w:r>
      <w:r w:rsidR="00DC1C29">
        <w:rPr>
          <w:lang w:val="en-ZA"/>
        </w:rPr>
        <w:t xml:space="preserve">the Assembly of </w:t>
      </w:r>
      <w:r w:rsidR="00092701" w:rsidRPr="00092701">
        <w:rPr>
          <w:lang w:val="en-ZA"/>
        </w:rPr>
        <w:t xml:space="preserve">Heads of State and </w:t>
      </w:r>
      <w:r w:rsidR="00DC1C29">
        <w:rPr>
          <w:lang w:val="en-ZA"/>
        </w:rPr>
        <w:t>G</w:t>
      </w:r>
      <w:r w:rsidR="00092701" w:rsidRPr="00092701">
        <w:rPr>
          <w:lang w:val="en-ZA"/>
        </w:rPr>
        <w:t>overnment of the African Union to “ensure that human rights standards safeguards, such as the principle of free, prior and informed consent, be included into any adopted legal text on climate change as preventive measures against forced relocation, unfair dispossession of properties, loss of livelihoods and similar human rights violations</w:t>
      </w:r>
      <w:r w:rsidR="00422292">
        <w:rPr>
          <w:lang w:val="en-ZA"/>
        </w:rPr>
        <w:t>.</w:t>
      </w:r>
      <w:r w:rsidR="00092701" w:rsidRPr="00092701">
        <w:rPr>
          <w:lang w:val="en-ZA"/>
        </w:rPr>
        <w:t>”</w:t>
      </w:r>
      <w:r w:rsidR="00092701">
        <w:rPr>
          <w:rStyle w:val="FootnoteReference"/>
          <w:lang w:val="en-ZA"/>
        </w:rPr>
        <w:footnoteReference w:id="43"/>
      </w:r>
      <w:r w:rsidR="00E011D4">
        <w:rPr>
          <w:lang w:val="en-ZA"/>
        </w:rPr>
        <w:t xml:space="preserve">  </w:t>
      </w:r>
      <w:r w:rsidR="00422292">
        <w:rPr>
          <w:lang w:val="en-ZA"/>
        </w:rPr>
        <w:t xml:space="preserve">The resolution also </w:t>
      </w:r>
      <w:r w:rsidR="00092701" w:rsidRPr="00092701">
        <w:rPr>
          <w:lang w:val="en-ZA"/>
        </w:rPr>
        <w:t>urge</w:t>
      </w:r>
      <w:r w:rsidR="00422292">
        <w:rPr>
          <w:lang w:val="en-ZA"/>
        </w:rPr>
        <w:t>s</w:t>
      </w:r>
      <w:r w:rsidR="00DC1C29">
        <w:rPr>
          <w:lang w:val="en-ZA"/>
        </w:rPr>
        <w:t xml:space="preserve"> the Assembly of </w:t>
      </w:r>
      <w:r w:rsidR="00092701" w:rsidRPr="00092701">
        <w:rPr>
          <w:lang w:val="en-ZA"/>
        </w:rPr>
        <w:t xml:space="preserve">Heads of State and </w:t>
      </w:r>
      <w:r w:rsidR="00304115">
        <w:rPr>
          <w:lang w:val="en-ZA"/>
        </w:rPr>
        <w:t>G</w:t>
      </w:r>
      <w:r w:rsidR="00092701" w:rsidRPr="00092701">
        <w:rPr>
          <w:lang w:val="en-ZA"/>
        </w:rPr>
        <w:t xml:space="preserve">overnment of the African Union to ensure “that special measure of protection for vulnerable groups such as children, women, the </w:t>
      </w:r>
      <w:r w:rsidR="00092701" w:rsidRPr="00092701">
        <w:rPr>
          <w:lang w:val="en-ZA"/>
        </w:rPr>
        <w:lastRenderedPageBreak/>
        <w:t>elderly, indigenous communities and victims of natural disasters and conflicts are included in any international agreement or instruments on climate change.”</w:t>
      </w:r>
      <w:r w:rsidR="00092701">
        <w:rPr>
          <w:rStyle w:val="FootnoteReference"/>
          <w:lang w:val="en-ZA"/>
        </w:rPr>
        <w:footnoteReference w:id="44"/>
      </w:r>
    </w:p>
    <w:p w:rsidR="00E8204F" w:rsidRPr="00E8204F" w:rsidRDefault="00D076BF" w:rsidP="00E8204F">
      <w:pPr>
        <w:pStyle w:val="Heading3"/>
        <w:rPr>
          <w:lang w:val="en-ZA"/>
        </w:rPr>
      </w:pPr>
      <w:r>
        <w:rPr>
          <w:lang w:val="en-ZA"/>
        </w:rPr>
        <w:t>Obligations related to non-State actors</w:t>
      </w:r>
    </w:p>
    <w:p w:rsidR="00D076BF" w:rsidRPr="00092701" w:rsidRDefault="001758FB" w:rsidP="00A76039">
      <w:pPr>
        <w:pStyle w:val="NoSpacing"/>
        <w:rPr>
          <w:lang w:val="en-ZA"/>
        </w:rPr>
      </w:pPr>
      <w:r>
        <w:rPr>
          <w:lang w:val="en-ZA"/>
        </w:rPr>
        <w:t xml:space="preserve">In the </w:t>
      </w:r>
      <w:proofErr w:type="spellStart"/>
      <w:r>
        <w:rPr>
          <w:i/>
          <w:lang w:val="en-ZA"/>
        </w:rPr>
        <w:t>Ogoniland</w:t>
      </w:r>
      <w:proofErr w:type="spellEnd"/>
      <w:r>
        <w:rPr>
          <w:lang w:val="en-ZA"/>
        </w:rPr>
        <w:t xml:space="preserve"> case</w:t>
      </w:r>
      <w:r w:rsidR="003C0FC3">
        <w:rPr>
          <w:lang w:val="en-ZA"/>
        </w:rPr>
        <w:t xml:space="preserve">, </w:t>
      </w:r>
      <w:r w:rsidR="00E8204F">
        <w:rPr>
          <w:lang w:val="en-US"/>
        </w:rPr>
        <w:t>t</w:t>
      </w:r>
      <w:r w:rsidR="003C0FC3">
        <w:rPr>
          <w:lang w:val="en-US"/>
        </w:rPr>
        <w:t xml:space="preserve">he African Commission stated that </w:t>
      </w:r>
      <w:r w:rsidR="003C0FC3" w:rsidRPr="00B9124F">
        <w:rPr>
          <w:lang w:val="en-US"/>
        </w:rPr>
        <w:t>“</w:t>
      </w:r>
      <w:r w:rsidR="003C0FC3" w:rsidRPr="00B9124F">
        <w:t>Governments have a duty to protect their citizens, not only through appropriate legislation and effective enforcement but also by protecting them from damaging acts that may be perpetrated by private parties</w:t>
      </w:r>
      <w:r w:rsidR="00422292">
        <w:t>,</w:t>
      </w:r>
      <w:r w:rsidR="003C0FC3" w:rsidRPr="00B9124F">
        <w:rPr>
          <w:lang w:val="en-US"/>
        </w:rPr>
        <w:t xml:space="preserve">” and </w:t>
      </w:r>
      <w:r w:rsidR="003C0FC3">
        <w:rPr>
          <w:lang w:val="en-US"/>
        </w:rPr>
        <w:t xml:space="preserve">held </w:t>
      </w:r>
      <w:r w:rsidR="003C0FC3" w:rsidRPr="00B9124F">
        <w:rPr>
          <w:lang w:val="en-US"/>
        </w:rPr>
        <w:t xml:space="preserve">that by </w:t>
      </w:r>
      <w:r w:rsidR="003C0FC3">
        <w:rPr>
          <w:lang w:val="en-US"/>
        </w:rPr>
        <w:t xml:space="preserve">allowing </w:t>
      </w:r>
      <w:r w:rsidR="003C0FC3" w:rsidRPr="00B9124F">
        <w:rPr>
          <w:lang w:val="en-US"/>
        </w:rPr>
        <w:t xml:space="preserve">oil companies “to </w:t>
      </w:r>
      <w:r w:rsidR="003C0FC3" w:rsidRPr="00B9124F">
        <w:t xml:space="preserve">devastatingly affect the well-being of the </w:t>
      </w:r>
      <w:proofErr w:type="spellStart"/>
      <w:r w:rsidR="003C0FC3" w:rsidRPr="00B9124F">
        <w:t>Ogonis</w:t>
      </w:r>
      <w:proofErr w:type="spellEnd"/>
      <w:r w:rsidR="00422292">
        <w:t>,</w:t>
      </w:r>
      <w:r w:rsidR="003C0FC3" w:rsidRPr="00B9124F">
        <w:rPr>
          <w:lang w:val="en-US"/>
        </w:rPr>
        <w:t>” the State “fall</w:t>
      </w:r>
      <w:r w:rsidR="00DF4366">
        <w:rPr>
          <w:lang w:val="en-US"/>
        </w:rPr>
        <w:t>s</w:t>
      </w:r>
      <w:r w:rsidR="003C0FC3" w:rsidRPr="00B9124F">
        <w:rPr>
          <w:lang w:val="en-US"/>
        </w:rPr>
        <w:t xml:space="preserve"> short of the </w:t>
      </w:r>
      <w:r w:rsidR="003C0FC3" w:rsidRPr="00B9124F">
        <w:t>minimum conduct expected of governments</w:t>
      </w:r>
      <w:r w:rsidR="003C0FC3" w:rsidRPr="00B9124F">
        <w:rPr>
          <w:lang w:val="en-US"/>
        </w:rPr>
        <w:t>.”</w:t>
      </w:r>
      <w:r w:rsidR="003C0FC3">
        <w:rPr>
          <w:rStyle w:val="FootnoteReference"/>
          <w:lang w:val="en-US"/>
        </w:rPr>
        <w:footnoteReference w:id="45"/>
      </w:r>
    </w:p>
    <w:p w:rsidR="00092701" w:rsidRDefault="0045066C" w:rsidP="0045066C">
      <w:pPr>
        <w:pStyle w:val="Heading1"/>
        <w:rPr>
          <w:lang w:val="en-US"/>
        </w:rPr>
      </w:pPr>
      <w:r>
        <w:rPr>
          <w:lang w:val="en-US"/>
        </w:rPr>
        <w:t>Asia</w:t>
      </w:r>
      <w:r w:rsidR="008D13D8">
        <w:rPr>
          <w:lang w:val="en-US"/>
        </w:rPr>
        <w:t>-</w:t>
      </w:r>
      <w:r>
        <w:rPr>
          <w:lang w:val="en-US"/>
        </w:rPr>
        <w:t xml:space="preserve">Pacific </w:t>
      </w:r>
      <w:r w:rsidR="00CD637D">
        <w:rPr>
          <w:lang w:val="en-US"/>
        </w:rPr>
        <w:t xml:space="preserve">and Arab </w:t>
      </w:r>
      <w:r>
        <w:rPr>
          <w:lang w:val="en-US"/>
        </w:rPr>
        <w:t>region</w:t>
      </w:r>
      <w:r w:rsidR="00CD637D">
        <w:rPr>
          <w:lang w:val="en-US"/>
        </w:rPr>
        <w:t>s</w:t>
      </w:r>
    </w:p>
    <w:p w:rsidR="00A56DE2" w:rsidRDefault="00E011D4" w:rsidP="00A76039">
      <w:pPr>
        <w:pStyle w:val="Heading2"/>
      </w:pPr>
      <w:r>
        <w:t>Human Rights Threatened by Environmental Harm</w:t>
      </w:r>
    </w:p>
    <w:p w:rsidR="00CD637D" w:rsidRPr="00CD637D" w:rsidRDefault="00CD637D" w:rsidP="00A76039">
      <w:pPr>
        <w:pStyle w:val="NoSpacing"/>
      </w:pPr>
      <w:r w:rsidRPr="00724C43">
        <w:rPr>
          <w:lang w:val="en-US"/>
        </w:rPr>
        <w:t>The 2004 Arab Charter on Human Rights includes a right to a healthy environment as part of the right to an adequate standard of living that ensures well-being and a decent life</w:t>
      </w:r>
      <w:r>
        <w:rPr>
          <w:lang w:val="en-US"/>
        </w:rPr>
        <w:t>.</w:t>
      </w:r>
      <w:r>
        <w:rPr>
          <w:rStyle w:val="FootnoteReference"/>
          <w:lang w:val="en-US"/>
        </w:rPr>
        <w:footnoteReference w:id="46"/>
      </w:r>
    </w:p>
    <w:p w:rsidR="00812F58" w:rsidRPr="009A30E6" w:rsidRDefault="00812F58" w:rsidP="00A76039">
      <w:pPr>
        <w:pStyle w:val="NoSpacing"/>
      </w:pPr>
      <w:r>
        <w:rPr>
          <w:lang w:val="en-US"/>
        </w:rPr>
        <w:t>The ASEAN</w:t>
      </w:r>
      <w:r w:rsidRPr="00812F58">
        <w:rPr>
          <w:lang w:val="en-US"/>
        </w:rPr>
        <w:t xml:space="preserve"> Human Rights Declaration adopted by the Association of Southeast Asian Nations incorporates a “right to a safe, clean and sustainable environment” as an element of the right to an adequate standard of living (</w:t>
      </w:r>
      <w:proofErr w:type="spellStart"/>
      <w:r w:rsidRPr="00812F58">
        <w:rPr>
          <w:lang w:val="en-US"/>
        </w:rPr>
        <w:t>para</w:t>
      </w:r>
      <w:proofErr w:type="spellEnd"/>
      <w:r w:rsidRPr="00812F58">
        <w:rPr>
          <w:lang w:val="en-US"/>
        </w:rPr>
        <w:t>. 28 (f)).</w:t>
      </w:r>
      <w:r w:rsidR="0031283D">
        <w:rPr>
          <w:rStyle w:val="FootnoteReference"/>
          <w:lang w:val="en-US"/>
        </w:rPr>
        <w:footnoteReference w:id="47"/>
      </w:r>
    </w:p>
    <w:p w:rsidR="009A30E6" w:rsidRPr="000555AF" w:rsidRDefault="009A30E6" w:rsidP="00A76039">
      <w:pPr>
        <w:pStyle w:val="NoSpacing"/>
      </w:pPr>
      <w:r>
        <w:rPr>
          <w:lang w:val="en-US"/>
        </w:rPr>
        <w:lastRenderedPageBreak/>
        <w:t>Various Asian and Pacific regional instruments have linked environmental threats to harms to humans.</w:t>
      </w:r>
    </w:p>
    <w:p w:rsidR="009A30E6" w:rsidRDefault="000555AF" w:rsidP="00A76039">
      <w:pPr>
        <w:pStyle w:val="NoSpacing"/>
      </w:pPr>
      <w:r w:rsidRPr="009A30E6">
        <w:rPr>
          <w:lang w:val="en-US"/>
        </w:rPr>
        <w:t xml:space="preserve">The </w:t>
      </w:r>
      <w:r>
        <w:t>Asian and Pacific Declaration on P</w:t>
      </w:r>
      <w:r w:rsidRPr="000555AF">
        <w:t xml:space="preserve">opulation and </w:t>
      </w:r>
      <w:r>
        <w:t>D</w:t>
      </w:r>
      <w:r w:rsidRPr="000555AF">
        <w:t>evelopment,</w:t>
      </w:r>
      <w:r>
        <w:t xml:space="preserve"> adopted in September 2013, recognises that the international community has been challenged by multiple and interrelated crises, including “</w:t>
      </w:r>
      <w:r w:rsidR="00112A8A">
        <w:t>the increasing challenges posed by natural disasters, conflicts, complex emergencies, climate change and the loss of biodiversity, all of which have increased vulnerabilities and inequalities and have adversely affected development gains</w:t>
      </w:r>
      <w:r>
        <w:t>.”</w:t>
      </w:r>
      <w:r w:rsidR="00112A8A">
        <w:rPr>
          <w:rStyle w:val="FootnoteReference"/>
        </w:rPr>
        <w:footnoteReference w:id="48"/>
      </w:r>
      <w:r w:rsidR="00112A8A">
        <w:t xml:space="preserve"> </w:t>
      </w:r>
    </w:p>
    <w:p w:rsidR="009A30E6" w:rsidRDefault="009A30E6" w:rsidP="00A76039">
      <w:pPr>
        <w:pStyle w:val="NoSpacing"/>
      </w:pPr>
      <w:r>
        <w:t>The 2010 Ministerial Declaration on Environment and Development in Asia and the Pacific recognises that “[a]</w:t>
      </w:r>
      <w:proofErr w:type="spellStart"/>
      <w:r>
        <w:t>ir</w:t>
      </w:r>
      <w:proofErr w:type="spellEnd"/>
      <w:r>
        <w:t>, water, land and biodiversity in ecosystems are essential for supporting economies and societies alike in the Asian and Pacific region,” and that “unsustainable consumption and production patterns could put increasing pressure on the carrying capacity and result in declining quality of life.”</w:t>
      </w:r>
      <w:r>
        <w:rPr>
          <w:rStyle w:val="FootnoteReference"/>
        </w:rPr>
        <w:footnoteReference w:id="49"/>
      </w:r>
    </w:p>
    <w:p w:rsidR="009A30E6" w:rsidRDefault="009A30E6" w:rsidP="00A76039">
      <w:pPr>
        <w:pStyle w:val="NoSpacing"/>
      </w:pPr>
      <w:r>
        <w:t>The Yangon Resolution on Sustainable Development recognises “</w:t>
      </w:r>
      <w:r w:rsidRPr="0060757A">
        <w:t>that effective environmental and natural resources management, and sustainable utilisation of these resources are critical to alleviate poverty, promote healthy living, reduce the incidence of diseases, and enhancing economic growth in the ASEAN region</w:t>
      </w:r>
      <w:r>
        <w:t>.”</w:t>
      </w:r>
      <w:r>
        <w:rPr>
          <w:rStyle w:val="FootnoteReference"/>
        </w:rPr>
        <w:footnoteReference w:id="50"/>
      </w:r>
    </w:p>
    <w:p w:rsidR="009A30E6" w:rsidRPr="009A30E6" w:rsidRDefault="009A30E6" w:rsidP="00A76039">
      <w:pPr>
        <w:pStyle w:val="NoSpacing"/>
      </w:pPr>
      <w:r>
        <w:t>Some instruments also note the impacts of climate change on humans.</w:t>
      </w:r>
    </w:p>
    <w:p w:rsidR="009D1F83" w:rsidRDefault="008D13D8" w:rsidP="00A76039">
      <w:pPr>
        <w:pStyle w:val="NoSpacing"/>
      </w:pPr>
      <w:r>
        <w:rPr>
          <w:bCs/>
        </w:rPr>
        <w:t>T</w:t>
      </w:r>
      <w:r w:rsidR="009D1F83" w:rsidRPr="009A30E6">
        <w:rPr>
          <w:bCs/>
        </w:rPr>
        <w:t>he ASEAN Declaration on Environmental Sustainability note</w:t>
      </w:r>
      <w:r>
        <w:rPr>
          <w:bCs/>
        </w:rPr>
        <w:t>s</w:t>
      </w:r>
      <w:r w:rsidR="009D1F83" w:rsidRPr="009A30E6">
        <w:rPr>
          <w:bCs/>
        </w:rPr>
        <w:t xml:space="preserve"> “</w:t>
      </w:r>
      <w:r w:rsidR="009D1F83" w:rsidRPr="009D1F83">
        <w:t xml:space="preserve">with concern, the adverse impacts of climate change caused by global emissions of greenhouse gases, </w:t>
      </w:r>
      <w:r w:rsidR="009D1F83" w:rsidRPr="009D1F83">
        <w:lastRenderedPageBreak/>
        <w:t>particularly to the developing countries, such as the loss of biodiversity and severe environmental, social, h</w:t>
      </w:r>
      <w:r w:rsidR="009D1F83">
        <w:t>ealth and economic consequences.”</w:t>
      </w:r>
      <w:r w:rsidR="009D1F83">
        <w:rPr>
          <w:rStyle w:val="FootnoteReference"/>
        </w:rPr>
        <w:footnoteReference w:id="51"/>
      </w:r>
    </w:p>
    <w:p w:rsidR="00B06762" w:rsidRDefault="00B06762" w:rsidP="00A76039">
      <w:pPr>
        <w:pStyle w:val="NoSpacing"/>
      </w:pPr>
      <w:r w:rsidRPr="00B06762">
        <w:rPr>
          <w:bCs/>
          <w:lang w:val="en-ZA"/>
        </w:rPr>
        <w:t>The Singapore Declaration on Climate Change, Energy and the Environment expresse</w:t>
      </w:r>
      <w:r>
        <w:rPr>
          <w:bCs/>
          <w:lang w:val="en-ZA"/>
        </w:rPr>
        <w:t>s</w:t>
      </w:r>
      <w:r w:rsidRPr="00B06762">
        <w:rPr>
          <w:bCs/>
          <w:lang w:val="en-ZA"/>
        </w:rPr>
        <w:t xml:space="preserve"> concern</w:t>
      </w:r>
      <w:r w:rsidRPr="00B06762">
        <w:t> about the adverse impact of climate change on socio-economic development, health and the environment, particularly in developing countries</w:t>
      </w:r>
      <w:r>
        <w:t>.</w:t>
      </w:r>
      <w:r>
        <w:rPr>
          <w:rStyle w:val="FootnoteReference"/>
        </w:rPr>
        <w:footnoteReference w:id="52"/>
      </w:r>
    </w:p>
    <w:p w:rsidR="00BC5F9D" w:rsidRDefault="00BC5F9D" w:rsidP="00A76039">
      <w:pPr>
        <w:pStyle w:val="NoSpacing"/>
      </w:pPr>
      <w:r>
        <w:t>The</w:t>
      </w:r>
      <w:r w:rsidR="00FC0A5F">
        <w:t xml:space="preserve"> 2009</w:t>
      </w:r>
      <w:r>
        <w:t xml:space="preserve"> </w:t>
      </w:r>
      <w:r w:rsidRPr="00BC5F9D">
        <w:t>ASEAN Joint Statement on Climate Change to the 15th Session of the Conference of the Parties to the United Nations Framework Convention on Climate Change and the 5th Session of the Conference of Parties serving as the Meeting of Parties to the Kyoto Protocol</w:t>
      </w:r>
      <w:r>
        <w:t xml:space="preserve"> (</w:t>
      </w:r>
      <w:r w:rsidR="00FC0A5F">
        <w:t xml:space="preserve">2009 </w:t>
      </w:r>
      <w:r>
        <w:t>A</w:t>
      </w:r>
      <w:r w:rsidR="00C72C95">
        <w:t>SEAN</w:t>
      </w:r>
      <w:r>
        <w:t xml:space="preserve"> Joint Statement on Climate Change) recognises the threat of climate change to food production and sustainable economic development.</w:t>
      </w:r>
      <w:r>
        <w:rPr>
          <w:rStyle w:val="FootnoteReference"/>
        </w:rPr>
        <w:footnoteReference w:id="53"/>
      </w:r>
    </w:p>
    <w:p w:rsidR="00A56DE2" w:rsidRDefault="00A56DE2" w:rsidP="00A76039">
      <w:pPr>
        <w:pStyle w:val="Heading2"/>
      </w:pPr>
      <w:r>
        <w:t>Obligations of States relating to the Environment</w:t>
      </w:r>
    </w:p>
    <w:p w:rsidR="000F7FF5" w:rsidRPr="000F7FF5" w:rsidRDefault="000F7FF5" w:rsidP="000F7FF5">
      <w:pPr>
        <w:pStyle w:val="Heading3"/>
      </w:pPr>
      <w:r>
        <w:t xml:space="preserve">Procedural </w:t>
      </w:r>
      <w:r w:rsidR="009A30E6">
        <w:t>and substantive o</w:t>
      </w:r>
      <w:r>
        <w:t>bligations</w:t>
      </w:r>
    </w:p>
    <w:p w:rsidR="009A30E6" w:rsidRDefault="009A30E6" w:rsidP="00A76039">
      <w:pPr>
        <w:pStyle w:val="NoSpacing"/>
      </w:pPr>
      <w:r>
        <w:t>Few instruments from the Asia</w:t>
      </w:r>
      <w:r w:rsidR="007F4128">
        <w:t>-</w:t>
      </w:r>
      <w:r>
        <w:t xml:space="preserve">Pacific and Arab regions set out </w:t>
      </w:r>
      <w:r w:rsidR="007F4128">
        <w:t xml:space="preserve">explicit </w:t>
      </w:r>
      <w:r>
        <w:t>obligations related to protecting humans from environmental harm.</w:t>
      </w:r>
    </w:p>
    <w:p w:rsidR="000B0A5F" w:rsidRDefault="00B123D4" w:rsidP="00A76039">
      <w:pPr>
        <w:pStyle w:val="NoSpacing"/>
      </w:pPr>
      <w:r>
        <w:t xml:space="preserve">The </w:t>
      </w:r>
      <w:r w:rsidRPr="00B123D4">
        <w:t xml:space="preserve">Asian and Pacific Declaration on Population and Development </w:t>
      </w:r>
      <w:r>
        <w:t>sets out various duties on States related to addressing natural disasters.</w:t>
      </w:r>
      <w:r w:rsidR="009A30E6">
        <w:t xml:space="preserve"> </w:t>
      </w:r>
      <w:r>
        <w:t>It lists as priority action</w:t>
      </w:r>
      <w:r w:rsidR="008D13D8">
        <w:t>s</w:t>
      </w:r>
      <w:r>
        <w:t xml:space="preserve"> for </w:t>
      </w:r>
      <w:r>
        <w:lastRenderedPageBreak/>
        <w:t xml:space="preserve">States to </w:t>
      </w:r>
      <w:r w:rsidR="000B0A5F">
        <w:t>“</w:t>
      </w:r>
      <w:r w:rsidR="00FF4408">
        <w:t>[</w:t>
      </w:r>
      <w:r>
        <w:t>p</w:t>
      </w:r>
      <w:r w:rsidR="00FF4408">
        <w:t>]</w:t>
      </w:r>
      <w:proofErr w:type="spellStart"/>
      <w:r w:rsidR="00567D5E">
        <w:t>romote</w:t>
      </w:r>
      <w:proofErr w:type="spellEnd"/>
      <w:r w:rsidR="00567D5E">
        <w:t xml:space="preserve"> participation of the affected sections of the population in the planning and decision-making processes on relevant natural disaster risk</w:t>
      </w:r>
      <w:r>
        <w:t xml:space="preserve"> </w:t>
      </w:r>
      <w:r w:rsidR="000B0A5F">
        <w:t>reduction strategies,” and to “[e]</w:t>
      </w:r>
      <w:proofErr w:type="spellStart"/>
      <w:r w:rsidR="00567D5E">
        <w:t>nsure</w:t>
      </w:r>
      <w:proofErr w:type="spellEnd"/>
      <w:r w:rsidR="00567D5E">
        <w:t xml:space="preserve"> forecasting of the consequences of climate conditions and climate change, and prioritize addressing the needs of people living in fragile ecosystems in planning and decision-making processes on economic activities that affect the environment, including through such policies as those for promoting employment</w:t>
      </w:r>
      <w:r w:rsidR="000B0A5F">
        <w:t>.”</w:t>
      </w:r>
      <w:r w:rsidR="00567D5E">
        <w:rPr>
          <w:rStyle w:val="FootnoteReference"/>
        </w:rPr>
        <w:footnoteReference w:id="54"/>
      </w:r>
    </w:p>
    <w:p w:rsidR="00CD637D" w:rsidRDefault="00CD637D" w:rsidP="00A76039">
      <w:pPr>
        <w:pStyle w:val="NoSpacing"/>
      </w:pPr>
      <w:r>
        <w:t>The 1991</w:t>
      </w:r>
      <w:r w:rsidR="007F4128">
        <w:t xml:space="preserve"> </w:t>
      </w:r>
      <w:r>
        <w:t xml:space="preserve">Arab Declaration on Environment and Development and Future Perspectives refers to </w:t>
      </w:r>
      <w:r w:rsidRPr="00724C43">
        <w:t>the right of individuals and non-governmental organizations to acquire information about environmental issues relevant to them</w:t>
      </w:r>
      <w:r>
        <w:t>.</w:t>
      </w:r>
      <w:r>
        <w:rPr>
          <w:rStyle w:val="FootnoteReference"/>
        </w:rPr>
        <w:footnoteReference w:id="55"/>
      </w:r>
    </w:p>
    <w:p w:rsidR="00A56DE2" w:rsidRDefault="00A56DE2" w:rsidP="000F7FF5">
      <w:pPr>
        <w:pStyle w:val="Heading3"/>
        <w:rPr>
          <w:lang w:val="en-US"/>
        </w:rPr>
      </w:pPr>
      <w:r>
        <w:rPr>
          <w:lang w:val="en-US"/>
        </w:rPr>
        <w:t xml:space="preserve">Obligations </w:t>
      </w:r>
      <w:r w:rsidR="00D652B2">
        <w:rPr>
          <w:lang w:val="en-US"/>
        </w:rPr>
        <w:t>Relating to Members of Groups in Vulnerable Situations</w:t>
      </w:r>
    </w:p>
    <w:p w:rsidR="000B0A5F" w:rsidRDefault="000B0A5F" w:rsidP="000F7FF5">
      <w:pPr>
        <w:pStyle w:val="Heading4"/>
      </w:pPr>
      <w:r>
        <w:t>Vulnerable groups</w:t>
      </w:r>
      <w:r w:rsidR="00D652B2">
        <w:t xml:space="preserve"> generally</w:t>
      </w:r>
      <w:r>
        <w:t xml:space="preserve"> </w:t>
      </w:r>
    </w:p>
    <w:p w:rsidR="000B0A5F" w:rsidRDefault="000F7FF5" w:rsidP="00A76039">
      <w:pPr>
        <w:pStyle w:val="NoSpacing"/>
        <w:rPr>
          <w:lang w:val="en-US"/>
        </w:rPr>
      </w:pPr>
      <w:r>
        <w:t xml:space="preserve">The </w:t>
      </w:r>
      <w:r w:rsidRPr="000F7FF5">
        <w:t>Asian and Pacific Declaration on Population and Development</w:t>
      </w:r>
      <w:r w:rsidRPr="000F7FF5">
        <w:rPr>
          <w:lang w:val="en-US"/>
        </w:rPr>
        <w:t xml:space="preserve"> </w:t>
      </w:r>
      <w:r>
        <w:rPr>
          <w:lang w:val="en-US"/>
        </w:rPr>
        <w:t>calls on States to “</w:t>
      </w:r>
      <w:r w:rsidR="00FF4408">
        <w:rPr>
          <w:lang w:val="en-US"/>
        </w:rPr>
        <w:t>[</w:t>
      </w:r>
      <w:r>
        <w:rPr>
          <w:lang w:val="en-US"/>
        </w:rPr>
        <w:t>d</w:t>
      </w:r>
      <w:r w:rsidR="00FF4408">
        <w:rPr>
          <w:lang w:val="en-US"/>
        </w:rPr>
        <w:t>]</w:t>
      </w:r>
      <w:proofErr w:type="spellStart"/>
      <w:r>
        <w:rPr>
          <w:lang w:val="en-US"/>
        </w:rPr>
        <w:t>evelop</w:t>
      </w:r>
      <w:proofErr w:type="spellEnd"/>
      <w:r w:rsidR="000B0A5F" w:rsidRPr="00224499">
        <w:rPr>
          <w:lang w:val="en-US"/>
        </w:rPr>
        <w:t xml:space="preserve"> measures to prevent and mitigate the effects of natural disasters in urban areas, and ensure the provision of necessary and prompt assistance to affected populations, especially vulnerable groups, such as persons with disability, migrants and older adults.</w:t>
      </w:r>
      <w:r>
        <w:rPr>
          <w:lang w:val="en-US"/>
        </w:rPr>
        <w:t>”</w:t>
      </w:r>
      <w:r w:rsidR="000B0A5F">
        <w:rPr>
          <w:rStyle w:val="FootnoteReference"/>
          <w:lang w:val="en-US"/>
        </w:rPr>
        <w:footnoteReference w:id="56"/>
      </w:r>
    </w:p>
    <w:p w:rsidR="000B0A5F" w:rsidRPr="000B0A5F" w:rsidRDefault="000B0A5F" w:rsidP="000F7FF5">
      <w:pPr>
        <w:pStyle w:val="Heading4"/>
      </w:pPr>
      <w:r>
        <w:t>Youth</w:t>
      </w:r>
    </w:p>
    <w:p w:rsidR="00112A8A" w:rsidRDefault="000F7FF5" w:rsidP="00A76039">
      <w:pPr>
        <w:pStyle w:val="NoSpacing"/>
        <w:rPr>
          <w:lang w:val="en-US"/>
        </w:rPr>
      </w:pPr>
      <w:r>
        <w:t xml:space="preserve">The </w:t>
      </w:r>
      <w:r w:rsidRPr="000F7FF5">
        <w:t>Asian and Pacific Declaration on Population and Development</w:t>
      </w:r>
      <w:r w:rsidRPr="000F7FF5">
        <w:rPr>
          <w:lang w:val="en-US"/>
        </w:rPr>
        <w:t xml:space="preserve"> </w:t>
      </w:r>
      <w:r>
        <w:rPr>
          <w:lang w:val="en-US"/>
        </w:rPr>
        <w:t>requests States as a priority action to “[p]</w:t>
      </w:r>
      <w:proofErr w:type="spellStart"/>
      <w:r>
        <w:rPr>
          <w:lang w:val="en-US"/>
        </w:rPr>
        <w:t>romote</w:t>
      </w:r>
      <w:proofErr w:type="spellEnd"/>
      <w:r>
        <w:rPr>
          <w:lang w:val="en-US"/>
        </w:rPr>
        <w:t xml:space="preserve"> </w:t>
      </w:r>
      <w:r w:rsidR="00112A8A" w:rsidRPr="00112A8A">
        <w:rPr>
          <w:lang w:val="en-US"/>
        </w:rPr>
        <w:t xml:space="preserve">public education, giving special attention to youth, about </w:t>
      </w:r>
      <w:r w:rsidR="00112A8A" w:rsidRPr="00112A8A">
        <w:rPr>
          <w:lang w:val="en-US"/>
        </w:rPr>
        <w:lastRenderedPageBreak/>
        <w:t>the need for sustainable production and consumptions patterns, sustainable natural resource use and prevention of environmental degradation</w:t>
      </w:r>
      <w:r>
        <w:rPr>
          <w:lang w:val="en-US"/>
        </w:rPr>
        <w:t>.”</w:t>
      </w:r>
      <w:r w:rsidR="00535482">
        <w:rPr>
          <w:rStyle w:val="FootnoteReference"/>
          <w:lang w:val="en-US"/>
        </w:rPr>
        <w:footnoteReference w:id="57"/>
      </w:r>
    </w:p>
    <w:p w:rsidR="000B0A5F" w:rsidRDefault="000B0A5F" w:rsidP="000F7FF5">
      <w:pPr>
        <w:pStyle w:val="Heading4"/>
      </w:pPr>
      <w:r>
        <w:t>Women</w:t>
      </w:r>
    </w:p>
    <w:p w:rsidR="000F7FF5" w:rsidRDefault="000F7FF5" w:rsidP="00A76039">
      <w:pPr>
        <w:pStyle w:val="NoSpacing"/>
      </w:pPr>
      <w:r>
        <w:t xml:space="preserve">The </w:t>
      </w:r>
      <w:r w:rsidRPr="000F7FF5">
        <w:t>Asian and Pacific Declaration on Population and Development</w:t>
      </w:r>
      <w:r>
        <w:t xml:space="preserve"> requests States as a priority action to:</w:t>
      </w:r>
    </w:p>
    <w:p w:rsidR="004A018B" w:rsidRDefault="00F21AA1" w:rsidP="000F7FF5">
      <w:pPr>
        <w:ind w:left="1440" w:right="1440"/>
        <w:jc w:val="both"/>
        <w:rPr>
          <w:lang w:val="en-US"/>
        </w:rPr>
      </w:pPr>
      <w:r>
        <w:rPr>
          <w:lang w:val="en-US"/>
        </w:rPr>
        <w:t>U</w:t>
      </w:r>
      <w:r w:rsidR="00AD6DAB" w:rsidRPr="00AD6DAB">
        <w:rPr>
          <w:lang w:val="en-US"/>
        </w:rPr>
        <w:t xml:space="preserve">ndertake, where appropriate, legislative, administrative, financial and other measures to give women full and equal access to economic resources, particularly women facing multiple and intersecting forms of discrimination, including the right to inheritance and to ownership of land </w:t>
      </w:r>
      <w:r w:rsidR="000F7FF5">
        <w:rPr>
          <w:lang w:val="en-US"/>
        </w:rPr>
        <w:t xml:space="preserve"> a</w:t>
      </w:r>
      <w:r w:rsidR="00AD6DAB" w:rsidRPr="00AD6DAB">
        <w:rPr>
          <w:lang w:val="en-US"/>
        </w:rPr>
        <w:t>nd other property, assets, investments, credit, natural resources and appropriate technologies, among other things, by means of international cooperation</w:t>
      </w:r>
      <w:r w:rsidR="000F7FF5">
        <w:rPr>
          <w:lang w:val="en-US"/>
        </w:rPr>
        <w:t>.</w:t>
      </w:r>
      <w:r w:rsidR="00AD6DAB">
        <w:rPr>
          <w:rStyle w:val="FootnoteReference"/>
          <w:lang w:val="en-US"/>
        </w:rPr>
        <w:footnoteReference w:id="58"/>
      </w:r>
    </w:p>
    <w:p w:rsidR="000B0A5F" w:rsidRDefault="00D908CA" w:rsidP="00A76039">
      <w:pPr>
        <w:pStyle w:val="Heading2"/>
        <w:rPr>
          <w:lang w:val="en-US"/>
        </w:rPr>
      </w:pPr>
      <w:r>
        <w:rPr>
          <w:lang w:val="en-US"/>
        </w:rPr>
        <w:t xml:space="preserve">Cross-cutting </w:t>
      </w:r>
      <w:r w:rsidR="00092780">
        <w:rPr>
          <w:lang w:val="en-US"/>
        </w:rPr>
        <w:t>I</w:t>
      </w:r>
      <w:r>
        <w:rPr>
          <w:lang w:val="en-US"/>
        </w:rPr>
        <w:t>ssues</w:t>
      </w:r>
    </w:p>
    <w:p w:rsidR="00D908CA" w:rsidRPr="00D908CA" w:rsidRDefault="00946B64" w:rsidP="00D908CA">
      <w:pPr>
        <w:pStyle w:val="Heading3"/>
        <w:rPr>
          <w:lang w:val="en-US"/>
        </w:rPr>
      </w:pPr>
      <w:r>
        <w:rPr>
          <w:lang w:val="en-US"/>
        </w:rPr>
        <w:t>Obligations relating to t</w:t>
      </w:r>
      <w:r w:rsidR="00D908CA">
        <w:rPr>
          <w:lang w:val="en-US"/>
        </w:rPr>
        <w:t xml:space="preserve">ransboundary </w:t>
      </w:r>
      <w:r w:rsidR="00D652B2">
        <w:rPr>
          <w:rFonts w:hint="eastAsia"/>
          <w:lang w:val="en-US"/>
        </w:rPr>
        <w:t>environmental</w:t>
      </w:r>
      <w:r w:rsidR="00D652B2">
        <w:rPr>
          <w:lang w:val="en-US"/>
        </w:rPr>
        <w:t xml:space="preserve"> h</w:t>
      </w:r>
      <w:r w:rsidR="00D908CA">
        <w:rPr>
          <w:lang w:val="en-US"/>
        </w:rPr>
        <w:t>arm</w:t>
      </w:r>
    </w:p>
    <w:p w:rsidR="00946B64" w:rsidRPr="00946B64" w:rsidRDefault="008D13D8" w:rsidP="00A76039">
      <w:pPr>
        <w:pStyle w:val="NoSpacing"/>
        <w:rPr>
          <w:lang w:val="en-ZA"/>
        </w:rPr>
      </w:pPr>
      <w:r>
        <w:rPr>
          <w:bCs/>
        </w:rPr>
        <w:t xml:space="preserve">In </w:t>
      </w:r>
      <w:r w:rsidR="00946B64">
        <w:rPr>
          <w:bCs/>
        </w:rPr>
        <w:t xml:space="preserve">the </w:t>
      </w:r>
      <w:r w:rsidR="00946B64" w:rsidRPr="00946B64">
        <w:rPr>
          <w:bCs/>
        </w:rPr>
        <w:t>ASEAN Declaration on Environmental Sustainability</w:t>
      </w:r>
      <w:r>
        <w:rPr>
          <w:bCs/>
        </w:rPr>
        <w:t>, States</w:t>
      </w:r>
      <w:r w:rsidR="00946B64" w:rsidRPr="00946B64">
        <w:rPr>
          <w:bCs/>
        </w:rPr>
        <w:t xml:space="preserve"> </w:t>
      </w:r>
      <w:r w:rsidR="00946B64">
        <w:rPr>
          <w:bCs/>
        </w:rPr>
        <w:t>declare</w:t>
      </w:r>
      <w:r w:rsidR="00946B64" w:rsidRPr="00946B64">
        <w:rPr>
          <w:bCs/>
        </w:rPr>
        <w:t xml:space="preserve"> t</w:t>
      </w:r>
      <w:r w:rsidR="00946B64" w:rsidRPr="00946B64">
        <w:rPr>
          <w:bCs/>
          <w:lang w:val="en-ZA"/>
        </w:rPr>
        <w:t>o “adopt</w:t>
      </w:r>
      <w:r w:rsidR="00946B64" w:rsidRPr="00946B64">
        <w:rPr>
          <w:lang w:val="en-ZA"/>
        </w:rPr>
        <w:t> a holistic approach in fostering regional cooperation on environmental issues, with the participation of all relevant stakeholders; including business, academics, NGOs and civil societ</w:t>
      </w:r>
      <w:r w:rsidR="00946B64">
        <w:rPr>
          <w:lang w:val="en-ZA"/>
        </w:rPr>
        <w:t>y organizations.”</w:t>
      </w:r>
      <w:r w:rsidR="00946B64">
        <w:rPr>
          <w:rStyle w:val="FootnoteReference"/>
          <w:lang w:val="en-ZA"/>
        </w:rPr>
        <w:footnoteReference w:id="59"/>
      </w:r>
    </w:p>
    <w:p w:rsidR="000B0A5F" w:rsidRPr="003046AA" w:rsidRDefault="000B0A5F" w:rsidP="00A76039">
      <w:pPr>
        <w:pStyle w:val="NoSpacing"/>
      </w:pPr>
      <w:r>
        <w:t xml:space="preserve">With respect to climate change, the </w:t>
      </w:r>
      <w:r w:rsidRPr="000B0A5F">
        <w:t xml:space="preserve">Asian and Pacific Declaration on Population and Development </w:t>
      </w:r>
      <w:r>
        <w:t xml:space="preserve">calls on States as a priority action to “ensure collective efforts to halt global carbon dioxide and greenhouse gas emissions, as part of protecting livelihoods and ensuring survival, as well as to support and facilitate adaptation and/or migration with dignity and respect </w:t>
      </w:r>
      <w:r>
        <w:lastRenderedPageBreak/>
        <w:t xml:space="preserve">for identity where countries can no longer support the lives of people due to adverse changes in their circumstances and </w:t>
      </w:r>
      <w:r w:rsidRPr="00D908CA">
        <w:t>environment resulting from climate change.”</w:t>
      </w:r>
      <w:r w:rsidRPr="00D908CA">
        <w:rPr>
          <w:vertAlign w:val="superscript"/>
        </w:rPr>
        <w:t xml:space="preserve"> </w:t>
      </w:r>
      <w:r w:rsidRPr="00D908CA">
        <w:rPr>
          <w:vertAlign w:val="superscript"/>
        </w:rPr>
        <w:footnoteReference w:id="60"/>
      </w:r>
    </w:p>
    <w:p w:rsidR="003046AA" w:rsidRPr="00D652B2" w:rsidRDefault="003046AA" w:rsidP="00D652B2">
      <w:pPr>
        <w:pStyle w:val="NoSpacing"/>
      </w:pPr>
      <w:r w:rsidRPr="00B06762">
        <w:rPr>
          <w:lang w:val="en-ZA"/>
        </w:rPr>
        <w:t>The Singapore Declaration on Climate Change, Energy and the Environment</w:t>
      </w:r>
      <w:r>
        <w:rPr>
          <w:lang w:val="en-ZA"/>
        </w:rPr>
        <w:t xml:space="preserve"> </w:t>
      </w:r>
      <w:r w:rsidR="00530534">
        <w:rPr>
          <w:lang w:val="en-ZA"/>
        </w:rPr>
        <w:t>sets out the need to deepen</w:t>
      </w:r>
      <w:r w:rsidR="00530534" w:rsidRPr="00530534">
        <w:t xml:space="preserve"> understanding of the region's vulnerability to climate change and implement appropriate mitigation and adapta</w:t>
      </w:r>
      <w:r w:rsidR="00530534">
        <w:t>tion measures, including through promoting</w:t>
      </w:r>
      <w:r w:rsidRPr="003046AA">
        <w:t xml:space="preserve"> </w:t>
      </w:r>
      <w:r>
        <w:t>“</w:t>
      </w:r>
      <w:r w:rsidRPr="003046AA">
        <w:t>public awareness of the impacts of climate change and enhancing participation in efforts to mitigate t</w:t>
      </w:r>
      <w:r>
        <w:t>he effects of climate change.”</w:t>
      </w:r>
      <w:r w:rsidRPr="003046AA">
        <w:rPr>
          <w:vertAlign w:val="superscript"/>
        </w:rPr>
        <w:t xml:space="preserve"> </w:t>
      </w:r>
      <w:r>
        <w:rPr>
          <w:rStyle w:val="FootnoteReference"/>
        </w:rPr>
        <w:footnoteReference w:id="61"/>
      </w:r>
    </w:p>
    <w:p w:rsidR="00224499" w:rsidRPr="00D908CA" w:rsidRDefault="00D652B2" w:rsidP="00BC5F9D">
      <w:pPr>
        <w:pStyle w:val="Heading3"/>
        <w:rPr>
          <w:lang w:val="en-US"/>
        </w:rPr>
      </w:pPr>
      <w:r>
        <w:rPr>
          <w:lang w:val="en-US"/>
        </w:rPr>
        <w:t>Obligations relating to f</w:t>
      </w:r>
      <w:r w:rsidR="00D908CA" w:rsidRPr="00D908CA">
        <w:rPr>
          <w:lang w:val="en-US"/>
        </w:rPr>
        <w:t xml:space="preserve">uture </w:t>
      </w:r>
      <w:r>
        <w:t>g</w:t>
      </w:r>
      <w:r w:rsidR="00D908CA" w:rsidRPr="00BC5F9D">
        <w:t>enerations</w:t>
      </w:r>
    </w:p>
    <w:p w:rsidR="00D908CA" w:rsidRPr="00BC5F9D" w:rsidRDefault="00D908CA" w:rsidP="00A76039">
      <w:pPr>
        <w:pStyle w:val="NoSpacing"/>
        <w:rPr>
          <w:lang w:val="en-US"/>
        </w:rPr>
      </w:pPr>
      <w:r>
        <w:rPr>
          <w:bCs/>
        </w:rPr>
        <w:t xml:space="preserve">States in the </w:t>
      </w:r>
      <w:r w:rsidRPr="00D908CA">
        <w:rPr>
          <w:bCs/>
        </w:rPr>
        <w:t xml:space="preserve">ASEAN Declaration on Environmental Sustainability </w:t>
      </w:r>
      <w:r>
        <w:rPr>
          <w:bCs/>
        </w:rPr>
        <w:t>reiterate “</w:t>
      </w:r>
      <w:r w:rsidRPr="00D908CA">
        <w:t>the need to build an ASEAN Community that is economically vibrant and environmentally friendly, so that the present and future generations can enjoy a clean and sustainable environment</w:t>
      </w:r>
      <w:r>
        <w:t>.”</w:t>
      </w:r>
      <w:r>
        <w:rPr>
          <w:rStyle w:val="FootnoteReference"/>
        </w:rPr>
        <w:footnoteReference w:id="62"/>
      </w:r>
    </w:p>
    <w:p w:rsidR="00BC5F9D" w:rsidRPr="00BC5F9D" w:rsidRDefault="00FC0A5F" w:rsidP="00A76039">
      <w:pPr>
        <w:pStyle w:val="NoSpacing"/>
        <w:rPr>
          <w:lang w:val="en-US"/>
        </w:rPr>
      </w:pPr>
      <w:r>
        <w:t xml:space="preserve">The 2009 </w:t>
      </w:r>
      <w:r w:rsidR="00BC5F9D">
        <w:t xml:space="preserve">ASEAN Joint Statement on Climate </w:t>
      </w:r>
      <w:r>
        <w:t>reaffirms “</w:t>
      </w:r>
      <w:r w:rsidR="00BC5F9D" w:rsidRPr="00BC5F9D">
        <w:t>that Parties should protect the climate system for the benefit of present and future generations of humankind on the basis of equity and in accordance with their common but differentiated responsibilities and respective capabilitie</w:t>
      </w:r>
      <w:r w:rsidR="00BC5F9D">
        <w:t>s.</w:t>
      </w:r>
      <w:r>
        <w:t>”</w:t>
      </w:r>
      <w:r w:rsidR="00BC5F9D">
        <w:rPr>
          <w:rStyle w:val="FootnoteReference"/>
        </w:rPr>
        <w:footnoteReference w:id="63"/>
      </w:r>
    </w:p>
    <w:p w:rsidR="0045066C" w:rsidRDefault="0045066C" w:rsidP="0045066C">
      <w:pPr>
        <w:pStyle w:val="Heading1"/>
        <w:rPr>
          <w:lang w:val="en-US"/>
        </w:rPr>
      </w:pPr>
      <w:r>
        <w:rPr>
          <w:lang w:val="en-US"/>
        </w:rPr>
        <w:lastRenderedPageBreak/>
        <w:t>European Social Charter</w:t>
      </w:r>
    </w:p>
    <w:p w:rsidR="00A519BB" w:rsidRDefault="00613662" w:rsidP="00A76039">
      <w:pPr>
        <w:pStyle w:val="NoSpacing"/>
      </w:pPr>
      <w:r>
        <w:t>This section</w:t>
      </w:r>
      <w:r w:rsidR="004B7CB3">
        <w:t xml:space="preserve"> examines environmental and health related human rights provided in the European Social Charter as well as the procedural and substantive</w:t>
      </w:r>
      <w:r w:rsidR="00A519BB">
        <w:t xml:space="preserve"> obligations</w:t>
      </w:r>
      <w:r w:rsidR="004B7CB3">
        <w:t xml:space="preserve"> attached to these rights in specific judicial cases examined by the European Committee of Social Rights.</w:t>
      </w:r>
    </w:p>
    <w:p w:rsidR="004B7CB3" w:rsidRDefault="004B7CB3" w:rsidP="00A76039">
      <w:pPr>
        <w:pStyle w:val="NoSpacing"/>
      </w:pPr>
      <w:r>
        <w:t xml:space="preserve"> The European Social Charter (“the Charter”) is a Council of Europe Treaty that secures social and economic human rights. The Charter was first adopted in 1961 and was revised in 1996. The European Committee of Social Rights (“the Committee”) </w:t>
      </w:r>
      <w:r w:rsidR="00092780">
        <w:t xml:space="preserve">oversees </w:t>
      </w:r>
      <w:r>
        <w:t>compliance with the European Social Charter, the 1998 Additional Protocol and the Revised European Social Charter.</w:t>
      </w:r>
      <w:r>
        <w:rPr>
          <w:rStyle w:val="FootnoteReference"/>
        </w:rPr>
        <w:footnoteReference w:id="64"/>
      </w:r>
      <w:r>
        <w:t xml:space="preserve"> The Committee</w:t>
      </w:r>
      <w:r w:rsidR="00092780">
        <w:t xml:space="preserve"> consists of </w:t>
      </w:r>
      <w:r>
        <w:t xml:space="preserve">15 independent, impartial experts, elected by the Committee of Ministers for a </w:t>
      </w:r>
      <w:r w:rsidR="00092780">
        <w:t>six</w:t>
      </w:r>
      <w:r>
        <w:t>-year term, which is renewable on</w:t>
      </w:r>
      <w:r w:rsidR="00092780">
        <w:t>c</w:t>
      </w:r>
      <w:r>
        <w:t>e.</w:t>
      </w:r>
      <w:r>
        <w:rPr>
          <w:rStyle w:val="FootnoteReference"/>
        </w:rPr>
        <w:footnoteReference w:id="65"/>
      </w:r>
      <w:r>
        <w:t xml:space="preserve"> The Committee adopts conclusions in regard to national reports</w:t>
      </w:r>
      <w:r>
        <w:rPr>
          <w:rStyle w:val="FootnoteReference"/>
        </w:rPr>
        <w:footnoteReference w:id="66"/>
      </w:r>
      <w:r>
        <w:t xml:space="preserve"> and adopts decisions in regard to collective complaints.</w:t>
      </w:r>
      <w:r>
        <w:rPr>
          <w:rStyle w:val="FootnoteReference"/>
        </w:rPr>
        <w:footnoteReference w:id="67"/>
      </w:r>
      <w:r>
        <w:t xml:space="preserve"> </w:t>
      </w:r>
    </w:p>
    <w:p w:rsidR="00613662" w:rsidRDefault="00613662" w:rsidP="00A76039">
      <w:pPr>
        <w:pStyle w:val="NoSpacing"/>
      </w:pPr>
      <w:r>
        <w:lastRenderedPageBreak/>
        <w:t>The cases examined in this report were selected by conducting searches of both decisions on admissibility and on the merits on the European Committee of Human Rights Search Screen.</w:t>
      </w:r>
      <w:r>
        <w:rPr>
          <w:rStyle w:val="FootnoteReference"/>
        </w:rPr>
        <w:footnoteReference w:id="68"/>
      </w:r>
      <w:r>
        <w:t xml:space="preserve"> The following search terms were used: </w:t>
      </w:r>
      <w:r w:rsidR="00490864" w:rsidRPr="00490864">
        <w:rPr>
          <w:i/>
        </w:rPr>
        <w:t>environment</w:t>
      </w:r>
      <w:r>
        <w:t xml:space="preserve">, </w:t>
      </w:r>
      <w:r w:rsidR="00490864" w:rsidRPr="00490864">
        <w:rPr>
          <w:i/>
        </w:rPr>
        <w:t>pollution</w:t>
      </w:r>
      <w:r>
        <w:t xml:space="preserve">, </w:t>
      </w:r>
      <w:r w:rsidR="00490864" w:rsidRPr="00490864">
        <w:rPr>
          <w:i/>
        </w:rPr>
        <w:t>prevention of disease</w:t>
      </w:r>
      <w:r>
        <w:t xml:space="preserve">, </w:t>
      </w:r>
      <w:r w:rsidR="00490864" w:rsidRPr="00490864">
        <w:rPr>
          <w:i/>
        </w:rPr>
        <w:t>promotion of health</w:t>
      </w:r>
      <w:r>
        <w:t xml:space="preserve">, </w:t>
      </w:r>
      <w:r w:rsidR="00490864" w:rsidRPr="00490864">
        <w:rPr>
          <w:i/>
        </w:rPr>
        <w:t>removal of causes of illness</w:t>
      </w:r>
      <w:r>
        <w:t xml:space="preserve">, </w:t>
      </w:r>
      <w:r w:rsidR="00490864" w:rsidRPr="00490864">
        <w:rPr>
          <w:i/>
        </w:rPr>
        <w:t>health</w:t>
      </w:r>
      <w:r>
        <w:t xml:space="preserve">, and </w:t>
      </w:r>
      <w:r w:rsidR="00490864" w:rsidRPr="00490864">
        <w:rPr>
          <w:i/>
        </w:rPr>
        <w:t>promotion of disease</w:t>
      </w:r>
      <w:r>
        <w:t>.</w:t>
      </w:r>
    </w:p>
    <w:p w:rsidR="00613662" w:rsidRPr="0026460C" w:rsidRDefault="000D6A9D" w:rsidP="00A76039">
      <w:pPr>
        <w:pStyle w:val="NoSpacing"/>
      </w:pPr>
      <w:r>
        <w:rPr>
          <w:lang w:val="en-US"/>
        </w:rPr>
        <w:t>I</w:t>
      </w:r>
      <w:r w:rsidR="00613662" w:rsidRPr="00613662">
        <w:rPr>
          <w:lang w:val="en-US"/>
        </w:rPr>
        <w:t>n the cases discussed in this report</w:t>
      </w:r>
      <w:r>
        <w:rPr>
          <w:lang w:val="en-US"/>
        </w:rPr>
        <w:t>, the Committee</w:t>
      </w:r>
      <w:r w:rsidR="00613662" w:rsidRPr="00613662">
        <w:rPr>
          <w:lang w:val="en-US"/>
        </w:rPr>
        <w:t xml:space="preserve"> addresses a wide range of human rights as they pertain to the environment, ranging from working conditions to housing and to fair treatment.</w:t>
      </w:r>
      <w:r w:rsidR="00613662">
        <w:rPr>
          <w:lang w:val="en-US"/>
        </w:rPr>
        <w:t xml:space="preserve"> </w:t>
      </w:r>
      <w:r w:rsidR="00A519BB">
        <w:rPr>
          <w:lang w:val="en-US"/>
        </w:rPr>
        <w:t xml:space="preserve"> Subsection</w:t>
      </w:r>
      <w:r w:rsidR="00613662">
        <w:rPr>
          <w:lang w:val="en-US"/>
        </w:rPr>
        <w:t xml:space="preserve"> A</w:t>
      </w:r>
      <w:r w:rsidR="00613662" w:rsidRPr="00613662">
        <w:rPr>
          <w:lang w:val="en-US"/>
        </w:rPr>
        <w:t xml:space="preserve"> addresses </w:t>
      </w:r>
      <w:r w:rsidR="00A519BB">
        <w:rPr>
          <w:lang w:val="en-US"/>
        </w:rPr>
        <w:t xml:space="preserve">human rights </w:t>
      </w:r>
      <w:r w:rsidR="00613662" w:rsidRPr="00613662">
        <w:rPr>
          <w:lang w:val="en-US"/>
        </w:rPr>
        <w:t>threatened</w:t>
      </w:r>
      <w:r w:rsidR="00A519BB">
        <w:rPr>
          <w:lang w:val="en-US"/>
        </w:rPr>
        <w:t xml:space="preserve"> by</w:t>
      </w:r>
      <w:r w:rsidR="00613662" w:rsidRPr="00613662">
        <w:rPr>
          <w:lang w:val="en-US"/>
        </w:rPr>
        <w:t xml:space="preserve"> environmental</w:t>
      </w:r>
      <w:r w:rsidR="00A519BB">
        <w:rPr>
          <w:lang w:val="en-US"/>
        </w:rPr>
        <w:t xml:space="preserve"> harm</w:t>
      </w:r>
      <w:r w:rsidR="00613662" w:rsidRPr="00613662">
        <w:rPr>
          <w:lang w:val="en-US"/>
        </w:rPr>
        <w:t xml:space="preserve"> as recognized in the Charter and by the Committee in selected cases. </w:t>
      </w:r>
      <w:r w:rsidR="00613662">
        <w:rPr>
          <w:lang w:val="en-US"/>
        </w:rPr>
        <w:t>Subsection B</w:t>
      </w:r>
      <w:r w:rsidR="00613662" w:rsidRPr="00613662">
        <w:rPr>
          <w:lang w:val="en-US"/>
        </w:rPr>
        <w:t xml:space="preserve"> speaks to the obligations on the</w:t>
      </w:r>
      <w:r w:rsidR="00A519BB">
        <w:rPr>
          <w:lang w:val="en-US"/>
        </w:rPr>
        <w:t xml:space="preserve"> State Parties relating to the e</w:t>
      </w:r>
      <w:r w:rsidR="00613662" w:rsidRPr="00613662">
        <w:rPr>
          <w:lang w:val="en-US"/>
        </w:rPr>
        <w:t>nvironment, including both procedural and substantive obligations</w:t>
      </w:r>
      <w:r w:rsidR="00A519BB">
        <w:rPr>
          <w:lang w:val="en-US"/>
        </w:rPr>
        <w:t>, as well as obligations relating to member so groups in vulnerable situations.</w:t>
      </w:r>
      <w:r w:rsidR="00613662" w:rsidRPr="00613662">
        <w:rPr>
          <w:lang w:val="en-US"/>
        </w:rPr>
        <w:t xml:space="preserve"> </w:t>
      </w:r>
    </w:p>
    <w:p w:rsidR="0026460C" w:rsidRDefault="00D23A8B" w:rsidP="00A76039">
      <w:pPr>
        <w:pStyle w:val="Heading2"/>
      </w:pPr>
      <w:r>
        <w:t>Human Rights Threatened by Environmental Harm</w:t>
      </w:r>
    </w:p>
    <w:p w:rsidR="006C1A4E" w:rsidRDefault="006C1A4E" w:rsidP="00A76039">
      <w:pPr>
        <w:pStyle w:val="NoSpacing"/>
      </w:pPr>
      <w:r>
        <w:t>The European Social Charter and the European Committee for Social Rights have recognized the following as rights that have been threatened or infringed by environmental harm: the rig</w:t>
      </w:r>
      <w:r w:rsidR="006E7410">
        <w:t>ht to just conditions of work</w:t>
      </w:r>
      <w:r w:rsidR="00D27C8E">
        <w:t xml:space="preserve"> (Article 2 of the Charter)</w:t>
      </w:r>
      <w:r w:rsidR="006E7410">
        <w:t>,</w:t>
      </w:r>
      <w:r>
        <w:t xml:space="preserve"> the right to enjoy the highest possible standard of health attainable</w:t>
      </w:r>
      <w:r w:rsidR="00D27C8E">
        <w:t xml:space="preserve"> (Article 11 of the Charter)</w:t>
      </w:r>
      <w:r>
        <w:t xml:space="preserve">, </w:t>
      </w:r>
      <w:r w:rsidR="00BA6C66">
        <w:t xml:space="preserve">and </w:t>
      </w:r>
      <w:r>
        <w:t>the right to a healthy environment</w:t>
      </w:r>
      <w:r w:rsidR="00BA6C66">
        <w:t>.</w:t>
      </w:r>
      <w:r>
        <w:t xml:space="preserve"> </w:t>
      </w:r>
    </w:p>
    <w:p w:rsidR="006E7410" w:rsidRDefault="006E7410" w:rsidP="00A76039">
      <w:pPr>
        <w:pStyle w:val="NoSpacing"/>
      </w:pPr>
      <w:r>
        <w:lastRenderedPageBreak/>
        <w:t xml:space="preserve">The two main cases discussed below are </w:t>
      </w:r>
      <w:proofErr w:type="spellStart"/>
      <w:r w:rsidRPr="00CF5D1E">
        <w:rPr>
          <w:i/>
        </w:rPr>
        <w:t>Marangopoulos</w:t>
      </w:r>
      <w:proofErr w:type="spellEnd"/>
      <w:r w:rsidRPr="00CF5D1E">
        <w:rPr>
          <w:i/>
        </w:rPr>
        <w:t xml:space="preserve"> Foundation for Human Rights (MFHR) v. Greece</w:t>
      </w:r>
      <w:r w:rsidRPr="006E7410">
        <w:rPr>
          <w:vertAlign w:val="superscript"/>
        </w:rPr>
        <w:footnoteReference w:id="69"/>
      </w:r>
      <w:r>
        <w:t xml:space="preserve"> </w:t>
      </w:r>
      <w:r w:rsidRPr="006E7410">
        <w:t>and</w:t>
      </w:r>
      <w:r>
        <w:t xml:space="preserve"> </w:t>
      </w:r>
      <w:r w:rsidRPr="00CF5D1E">
        <w:rPr>
          <w:i/>
        </w:rPr>
        <w:t>International Federation for Human Rights (FIDH) v. Greece</w:t>
      </w:r>
      <w:r w:rsidR="000D6A9D">
        <w:rPr>
          <w:i/>
        </w:rPr>
        <w:t>.</w:t>
      </w:r>
      <w:r w:rsidRPr="006E7410">
        <w:rPr>
          <w:vertAlign w:val="superscript"/>
        </w:rPr>
        <w:footnoteReference w:id="70"/>
      </w:r>
    </w:p>
    <w:p w:rsidR="006E7410" w:rsidRDefault="00CF5D1E" w:rsidP="00A76039">
      <w:pPr>
        <w:pStyle w:val="NoSpacing"/>
      </w:pPr>
      <w:r>
        <w:t>In</w:t>
      </w:r>
      <w:r w:rsidR="006E7410">
        <w:t xml:space="preserve"> </w:t>
      </w:r>
      <w:proofErr w:type="spellStart"/>
      <w:r w:rsidR="006E7410">
        <w:rPr>
          <w:i/>
        </w:rPr>
        <w:t>Marangopoulos</w:t>
      </w:r>
      <w:proofErr w:type="spellEnd"/>
      <w:r>
        <w:t>,</w:t>
      </w:r>
      <w:r w:rsidR="006E7410" w:rsidRPr="006E7410">
        <w:t xml:space="preserve"> </w:t>
      </w:r>
      <w:r w:rsidR="00B24BFD" w:rsidRPr="006E7410">
        <w:t xml:space="preserve">claimants alleged, </w:t>
      </w:r>
      <w:r w:rsidR="00B24BFD" w:rsidRPr="006E7410">
        <w:rPr>
          <w:i/>
        </w:rPr>
        <w:t>inter alia</w:t>
      </w:r>
      <w:r w:rsidR="00B24BFD" w:rsidRPr="006E7410">
        <w:t>, that Greece violated Article 11 of the European Social Charter because it did not take proper affirmative or preventive action to fight public health risks due to environmental harm in the lignite mining region. Specifically, claimants alleged that Greece was not protecting its citizens from air pollution “in accordance with Article 11</w:t>
      </w:r>
      <w:r w:rsidR="00DE0B59">
        <w:t>§</w:t>
      </w:r>
      <w:r w:rsidR="00B24BFD" w:rsidRPr="006E7410">
        <w:t>1 of the Charter, by authorizing the Public Power Corporation (DEH) to operate lignite mines and power stations fuelled by lignite, without taking sufficient account of the environmental impact and without taking all necessary steps to reduce this impact.”</w:t>
      </w:r>
      <w:r w:rsidR="00B24BFD" w:rsidRPr="006E7410">
        <w:rPr>
          <w:vertAlign w:val="superscript"/>
        </w:rPr>
        <w:footnoteReference w:id="71"/>
      </w:r>
    </w:p>
    <w:p w:rsidR="006E7410" w:rsidRDefault="006E7410" w:rsidP="00A76039">
      <w:pPr>
        <w:pStyle w:val="NoSpacing"/>
      </w:pPr>
      <w:r w:rsidRPr="006E7410">
        <w:rPr>
          <w:i/>
        </w:rPr>
        <w:t>FIDH</w:t>
      </w:r>
      <w:r w:rsidRPr="006E7410">
        <w:t xml:space="preserve"> concerned severe surface and groundwater pollution of the Greek River </w:t>
      </w:r>
      <w:proofErr w:type="spellStart"/>
      <w:r w:rsidRPr="006E7410">
        <w:t>Asopos</w:t>
      </w:r>
      <w:proofErr w:type="spellEnd"/>
      <w:r w:rsidRPr="006E7410">
        <w:t xml:space="preserve"> and of the area adjacent to the </w:t>
      </w:r>
      <w:proofErr w:type="spellStart"/>
      <w:r w:rsidRPr="006E7410">
        <w:t>Oinofyta</w:t>
      </w:r>
      <w:proofErr w:type="spellEnd"/>
      <w:r w:rsidRPr="006E7410">
        <w:t xml:space="preserve"> industrial region from the emission of industrial liquid waste.</w:t>
      </w:r>
      <w:r w:rsidRPr="006E7410">
        <w:rPr>
          <w:vertAlign w:val="superscript"/>
        </w:rPr>
        <w:footnoteReference w:id="72"/>
      </w:r>
      <w:r w:rsidRPr="006E7410">
        <w:t xml:space="preserve"> At the time of the decision, more than a thousand heavy and light industry units were functioning in the </w:t>
      </w:r>
      <w:proofErr w:type="spellStart"/>
      <w:r w:rsidRPr="006E7410">
        <w:t>Asopos</w:t>
      </w:r>
      <w:proofErr w:type="spellEnd"/>
      <w:r w:rsidRPr="006E7410">
        <w:t xml:space="preserve"> River region.</w:t>
      </w:r>
      <w:r w:rsidRPr="006E7410">
        <w:rPr>
          <w:vertAlign w:val="superscript"/>
        </w:rPr>
        <w:footnoteReference w:id="73"/>
      </w:r>
      <w:r w:rsidRPr="006E7410">
        <w:t xml:space="preserve"> This waste resulted in detrimental health consequences to the people situated in the area, constituting a breach of the right to health enunciated in Article 11.</w:t>
      </w:r>
      <w:r w:rsidRPr="006E7410">
        <w:rPr>
          <w:vertAlign w:val="superscript"/>
        </w:rPr>
        <w:footnoteReference w:id="74"/>
      </w:r>
    </w:p>
    <w:p w:rsidR="009D5F61" w:rsidRDefault="009D5F61" w:rsidP="009D5F61">
      <w:pPr>
        <w:pStyle w:val="Heading3"/>
      </w:pPr>
      <w:r>
        <w:lastRenderedPageBreak/>
        <w:t>Right to just conditions of work</w:t>
      </w:r>
    </w:p>
    <w:p w:rsidR="009D5F61" w:rsidRDefault="009D5F61" w:rsidP="00A76039">
      <w:pPr>
        <w:pStyle w:val="NoSpacing"/>
      </w:pPr>
      <w:r>
        <w:t>The European Social Charter provides the right to just conditions to work in Article 2</w:t>
      </w:r>
      <w:r>
        <w:rPr>
          <w:rFonts w:ascii="Times" w:hAnsi="Times" w:cs="Lucida Grande"/>
          <w:color w:val="000000"/>
        </w:rPr>
        <w:t>(</w:t>
      </w:r>
      <w:r>
        <w:t>4), which elaborates that the Parties “undertake:…(4) to eliminate risks in inherently dangerous or unhealthy occupations, and where it has not yet been possible to eliminate or reduce sufficiently these risks, to provide for either a reduction of working hours or additional paid holidays for workers engaged in such occupations.”</w:t>
      </w:r>
      <w:r>
        <w:rPr>
          <w:rStyle w:val="FootnoteReference"/>
        </w:rPr>
        <w:footnoteReference w:id="75"/>
      </w:r>
      <w:r>
        <w:t xml:space="preserve"> </w:t>
      </w:r>
    </w:p>
    <w:p w:rsidR="00707490" w:rsidRDefault="009D5F61" w:rsidP="00707490">
      <w:pPr>
        <w:pStyle w:val="NoSpacing"/>
      </w:pPr>
      <w:r>
        <w:t xml:space="preserve">The Committee in </w:t>
      </w:r>
      <w:proofErr w:type="spellStart"/>
      <w:r w:rsidRPr="00707490">
        <w:rPr>
          <w:i/>
        </w:rPr>
        <w:t>Marangopoulos</w:t>
      </w:r>
      <w:proofErr w:type="spellEnd"/>
      <w:r w:rsidRPr="00707490">
        <w:rPr>
          <w:i/>
        </w:rPr>
        <w:t xml:space="preserve"> </w:t>
      </w:r>
      <w:r>
        <w:t>connected environmental hazards of the mining industry with workers’ health and safety obligations.</w:t>
      </w:r>
      <w:r w:rsidR="00707490">
        <w:t xml:space="preserve"> According to the Committee:</w:t>
      </w:r>
    </w:p>
    <w:p w:rsidR="009D5F61" w:rsidRDefault="00707490" w:rsidP="00707490">
      <w:pPr>
        <w:pStyle w:val="NoSpacing"/>
        <w:numPr>
          <w:ilvl w:val="0"/>
          <w:numId w:val="0"/>
        </w:numPr>
        <w:spacing w:before="0" w:line="240" w:lineRule="auto"/>
        <w:ind w:left="1440" w:right="1440"/>
        <w:jc w:val="both"/>
      </w:pPr>
      <w:r>
        <w:t>the mining industry is still one of the particularly dangerous industries in which workers’ health and safety risks cannot be eliminated, and that Greek law still classifies mining as an arduous and hazardous occupation. It therefore considers that, in addition to preventive and protective measure, the state was required to provide for compensation in this sector.</w:t>
      </w:r>
      <w:r w:rsidR="009D5F61">
        <w:rPr>
          <w:rStyle w:val="FootnoteReference"/>
        </w:rPr>
        <w:footnoteReference w:id="76"/>
      </w:r>
      <w:r w:rsidR="009D5F61">
        <w:t xml:space="preserve"> </w:t>
      </w:r>
    </w:p>
    <w:p w:rsidR="009D5F61" w:rsidRDefault="003B7B47" w:rsidP="003B7B47">
      <w:pPr>
        <w:pStyle w:val="Heading3"/>
        <w:rPr>
          <w:lang w:val="en-US"/>
        </w:rPr>
      </w:pPr>
      <w:r w:rsidRPr="003B7B47">
        <w:rPr>
          <w:lang w:val="en-US"/>
        </w:rPr>
        <w:t>Right to enjoy the highest possible standard of health attainable</w:t>
      </w:r>
    </w:p>
    <w:p w:rsidR="003B7B47" w:rsidRDefault="003B7B47" w:rsidP="00A76039">
      <w:pPr>
        <w:pStyle w:val="NoSpacing"/>
      </w:pPr>
      <w:r>
        <w:t>The European Social Charter provides in Article 11 that “[e]</w:t>
      </w:r>
      <w:proofErr w:type="spellStart"/>
      <w:r>
        <w:t>veryone</w:t>
      </w:r>
      <w:proofErr w:type="spellEnd"/>
      <w:r>
        <w:t xml:space="preserve"> has the right to benefit from any measures enabling him to enjoy the highest possible standard of health attainable.” Furthermore, the Charter elaborates:</w:t>
      </w:r>
    </w:p>
    <w:p w:rsidR="003B7B47" w:rsidRDefault="003B7B47" w:rsidP="003B7B47">
      <w:pPr>
        <w:ind w:left="1440" w:right="1440"/>
      </w:pPr>
      <w:r>
        <w:t xml:space="preserve">With a view to ensuring the effective exercise of the right to protection of health, the Parties undertake, either directly or in cooperation with public or private organisations, to take appropriate measures designed inter alia: </w:t>
      </w:r>
    </w:p>
    <w:p w:rsidR="003B7B47" w:rsidRDefault="003B7B47" w:rsidP="003B7B47">
      <w:pPr>
        <w:ind w:left="1440" w:right="1440"/>
      </w:pPr>
      <w:r>
        <w:t xml:space="preserve">(1) to remove as far as possible the causes of ill-health; </w:t>
      </w:r>
    </w:p>
    <w:p w:rsidR="003B7B47" w:rsidRDefault="003B7B47" w:rsidP="003B7B47">
      <w:pPr>
        <w:ind w:left="1440" w:right="1440"/>
      </w:pPr>
      <w:r>
        <w:t xml:space="preserve">(2) to provide advisory and educational facilities for the promotion of health and the encouragement of individual responsibility in matters of health; </w:t>
      </w:r>
    </w:p>
    <w:p w:rsidR="003B7B47" w:rsidRDefault="003B7B47" w:rsidP="003B7B47">
      <w:pPr>
        <w:ind w:left="1440" w:right="1440"/>
      </w:pPr>
      <w:r>
        <w:lastRenderedPageBreak/>
        <w:t>(3) to prevent as far as possible epidemic, endemic and other diseases, as well as accidents.</w:t>
      </w:r>
      <w:r>
        <w:rPr>
          <w:rStyle w:val="FootnoteReference"/>
        </w:rPr>
        <w:footnoteReference w:id="77"/>
      </w:r>
      <w:r>
        <w:t xml:space="preserve"> </w:t>
      </w:r>
    </w:p>
    <w:p w:rsidR="002E77D7" w:rsidRDefault="002E77D7" w:rsidP="00A76039">
      <w:pPr>
        <w:pStyle w:val="NoSpacing"/>
      </w:pPr>
      <w:r>
        <w:t xml:space="preserve">The Committee in </w:t>
      </w:r>
      <w:r w:rsidR="00CF5D1E">
        <w:rPr>
          <w:i/>
        </w:rPr>
        <w:t>FIDH</w:t>
      </w:r>
      <w:r>
        <w:rPr>
          <w:i/>
        </w:rPr>
        <w:t xml:space="preserve"> v. Greece</w:t>
      </w:r>
      <w:r>
        <w:t>,</w:t>
      </w:r>
      <w:r>
        <w:rPr>
          <w:rStyle w:val="FootnoteReference"/>
        </w:rPr>
        <w:footnoteReference w:id="78"/>
      </w:r>
      <w:r w:rsidR="00762F44">
        <w:t xml:space="preserve"> </w:t>
      </w:r>
      <w:r>
        <w:t>with a view to Article 11(2)</w:t>
      </w:r>
      <w:r>
        <w:rPr>
          <w:rFonts w:ascii="Times" w:hAnsi="Times" w:cs="Lucida Grande"/>
          <w:color w:val="000000"/>
        </w:rPr>
        <w:t>,</w:t>
      </w:r>
      <w:r>
        <w:rPr>
          <w:i/>
        </w:rPr>
        <w:t xml:space="preserve"> </w:t>
      </w:r>
      <w:r>
        <w:t xml:space="preserve">linked large-scale water pollution to its harmful effects on human health. </w:t>
      </w:r>
    </w:p>
    <w:p w:rsidR="002E77D7" w:rsidRDefault="002E77D7" w:rsidP="00A76039">
      <w:pPr>
        <w:pStyle w:val="NoSpacing"/>
      </w:pPr>
      <w:r>
        <w:t xml:space="preserve">In </w:t>
      </w:r>
      <w:proofErr w:type="spellStart"/>
      <w:r w:rsidR="00CF5D1E" w:rsidRPr="00CF5D1E">
        <w:rPr>
          <w:i/>
        </w:rPr>
        <w:t>Marangopoulos</w:t>
      </w:r>
      <w:proofErr w:type="spellEnd"/>
      <w:r>
        <w:t>,</w:t>
      </w:r>
      <w:r>
        <w:rPr>
          <w:i/>
        </w:rPr>
        <w:t xml:space="preserve"> </w:t>
      </w:r>
      <w:r>
        <w:t>the Committee linked the environmental pollution and harm resulting from lignite mining to a “higher prevalence of respiratory diseases such as rhinitis and chronic bronchitis, and even of cardiovascular diseases or cancers.</w:t>
      </w:r>
      <w:r w:rsidR="00924771">
        <w:t>”</w:t>
      </w:r>
      <w:r>
        <w:rPr>
          <w:rStyle w:val="FootnoteReference"/>
        </w:rPr>
        <w:footnoteReference w:id="79"/>
      </w:r>
      <w:r>
        <w:t xml:space="preserve"> </w:t>
      </w:r>
    </w:p>
    <w:p w:rsidR="00BA6C66" w:rsidRDefault="00BA6C66" w:rsidP="00BA6C66">
      <w:pPr>
        <w:pStyle w:val="Heading3"/>
      </w:pPr>
      <w:r>
        <w:t>Right to healthy environment</w:t>
      </w:r>
    </w:p>
    <w:p w:rsidR="00BA6C66" w:rsidRDefault="00BA6C66" w:rsidP="00A76039">
      <w:pPr>
        <w:pStyle w:val="NoSpacing"/>
      </w:pPr>
      <w:r>
        <w:t>The Committee interprets Article 11 as including the right to a healthy environment.</w:t>
      </w:r>
      <w:r>
        <w:rPr>
          <w:rStyle w:val="FootnoteReference"/>
        </w:rPr>
        <w:footnoteReference w:id="80"/>
      </w:r>
      <w:r>
        <w:t xml:space="preserve"> </w:t>
      </w:r>
      <w:r w:rsidR="00A33DFE">
        <w:t>I</w:t>
      </w:r>
      <w:r>
        <w:t xml:space="preserve">n </w:t>
      </w:r>
      <w:proofErr w:type="spellStart"/>
      <w:r w:rsidRPr="00120F91">
        <w:rPr>
          <w:i/>
        </w:rPr>
        <w:t>Marangopoulos</w:t>
      </w:r>
      <w:proofErr w:type="spellEnd"/>
      <w:r w:rsidR="00A33DFE">
        <w:rPr>
          <w:i/>
        </w:rPr>
        <w:t xml:space="preserve">, </w:t>
      </w:r>
      <w:r w:rsidR="00A33DFE">
        <w:t>the Committee</w:t>
      </w:r>
      <w:r w:rsidRPr="00120F91">
        <w:rPr>
          <w:i/>
        </w:rPr>
        <w:t xml:space="preserve"> </w:t>
      </w:r>
      <w:r>
        <w:t>state</w:t>
      </w:r>
      <w:r w:rsidR="00A33DFE">
        <w:t>d</w:t>
      </w:r>
      <w:r>
        <w:t xml:space="preserve"> that it has “taken account of the growing link that states party to the Charter and other international bodies </w:t>
      </w:r>
      <w:r w:rsidR="00332192">
        <w:t xml:space="preserve">... </w:t>
      </w:r>
      <w:r>
        <w:t>now make between the protection of health and a healthy environment, and has interpreted Article 11 of the Charter (right to protection of health) as including the right to a healthy environment.”</w:t>
      </w:r>
      <w:r>
        <w:rPr>
          <w:rStyle w:val="FootnoteReference"/>
        </w:rPr>
        <w:footnoteReference w:id="81"/>
      </w:r>
    </w:p>
    <w:p w:rsidR="00BA6C66" w:rsidRPr="00BA6C66" w:rsidRDefault="00BA6C66" w:rsidP="00A76039">
      <w:pPr>
        <w:pStyle w:val="NoSpacing"/>
      </w:pPr>
      <w:r>
        <w:t xml:space="preserve">The Committee reaffirmed in </w:t>
      </w:r>
      <w:r>
        <w:rPr>
          <w:i/>
        </w:rPr>
        <w:t>FIDH</w:t>
      </w:r>
      <w:r>
        <w:t xml:space="preserve"> that Article 11 includes the right to a healthy environment.</w:t>
      </w:r>
      <w:r>
        <w:rPr>
          <w:rStyle w:val="FootnoteReference"/>
        </w:rPr>
        <w:footnoteReference w:id="82"/>
      </w:r>
    </w:p>
    <w:p w:rsidR="003B7B47" w:rsidRDefault="001D5665" w:rsidP="00A76039">
      <w:pPr>
        <w:pStyle w:val="Heading2"/>
        <w:rPr>
          <w:lang w:val="en-US"/>
        </w:rPr>
      </w:pPr>
      <w:r>
        <w:rPr>
          <w:lang w:val="en-US"/>
        </w:rPr>
        <w:lastRenderedPageBreak/>
        <w:t xml:space="preserve">Obligations on States relating to the </w:t>
      </w:r>
      <w:r w:rsidR="00A33DFE">
        <w:rPr>
          <w:lang w:val="en-US"/>
        </w:rPr>
        <w:t>E</w:t>
      </w:r>
      <w:r>
        <w:rPr>
          <w:lang w:val="en-US"/>
        </w:rPr>
        <w:t>nvironment</w:t>
      </w:r>
    </w:p>
    <w:p w:rsidR="001D5665" w:rsidRDefault="001D5665" w:rsidP="00A76039">
      <w:pPr>
        <w:pStyle w:val="NoSpacing"/>
      </w:pPr>
      <w:r w:rsidRPr="0004736E">
        <w:t>This section describes the</w:t>
      </w:r>
      <w:r w:rsidR="00CF5D1E">
        <w:t xml:space="preserve"> obligations </w:t>
      </w:r>
      <w:r w:rsidRPr="0004736E">
        <w:t xml:space="preserve">that the </w:t>
      </w:r>
      <w:r>
        <w:t>Committee has</w:t>
      </w:r>
      <w:r w:rsidRPr="0004736E">
        <w:t xml:space="preserve"> placed on State Parties to secure compliance with the European Social Charter</w:t>
      </w:r>
      <w:r w:rsidR="00A33DFE">
        <w:t xml:space="preserve"> in relation to the environment</w:t>
      </w:r>
      <w:r w:rsidRPr="0004736E">
        <w:t xml:space="preserve">. </w:t>
      </w:r>
    </w:p>
    <w:p w:rsidR="001D5665" w:rsidRDefault="001D5665" w:rsidP="001D5665">
      <w:pPr>
        <w:pStyle w:val="Heading3"/>
      </w:pPr>
      <w:r>
        <w:t>Procedural obligations</w:t>
      </w:r>
    </w:p>
    <w:p w:rsidR="001D5665" w:rsidRPr="00A63818" w:rsidRDefault="00A63818" w:rsidP="00A76039">
      <w:pPr>
        <w:pStyle w:val="NoSpacing"/>
      </w:pPr>
      <w:r w:rsidRPr="00A63818">
        <w:rPr>
          <w:lang w:val="en-US"/>
        </w:rPr>
        <w:t xml:space="preserve">The </w:t>
      </w:r>
      <w:r w:rsidR="00CF5D1E">
        <w:rPr>
          <w:lang w:val="en-US"/>
        </w:rPr>
        <w:t xml:space="preserve">Committee has provided for the </w:t>
      </w:r>
      <w:r w:rsidRPr="00A63818">
        <w:rPr>
          <w:lang w:val="en-US"/>
        </w:rPr>
        <w:t xml:space="preserve">following procedural </w:t>
      </w:r>
      <w:r w:rsidR="00CF5D1E">
        <w:rPr>
          <w:lang w:val="en-US"/>
        </w:rPr>
        <w:t>obligations: (1) the obligation</w:t>
      </w:r>
      <w:r w:rsidR="00ED7890">
        <w:rPr>
          <w:lang w:val="en-US"/>
        </w:rPr>
        <w:t xml:space="preserve"> to take precautionary measures</w:t>
      </w:r>
      <w:r w:rsidR="00A33DFE">
        <w:rPr>
          <w:lang w:val="en-US"/>
        </w:rPr>
        <w:t>,</w:t>
      </w:r>
      <w:r w:rsidR="00ED7890">
        <w:rPr>
          <w:lang w:val="en-US"/>
        </w:rPr>
        <w:t xml:space="preserve"> and</w:t>
      </w:r>
      <w:r w:rsidRPr="00A63818">
        <w:rPr>
          <w:lang w:val="en-US"/>
        </w:rPr>
        <w:t xml:space="preserve"> </w:t>
      </w:r>
      <w:r w:rsidRPr="00A63818">
        <w:rPr>
          <w:bCs/>
          <w:lang w:val="en-US"/>
        </w:rPr>
        <w:t xml:space="preserve">(2) </w:t>
      </w:r>
      <w:r w:rsidR="00CF5D1E">
        <w:rPr>
          <w:lang w:val="en-US"/>
        </w:rPr>
        <w:t>the obligation</w:t>
      </w:r>
      <w:r w:rsidRPr="00A63818">
        <w:rPr>
          <w:lang w:val="en-US"/>
        </w:rPr>
        <w:t xml:space="preserve"> to provide informa</w:t>
      </w:r>
      <w:r w:rsidR="00ED7890">
        <w:rPr>
          <w:lang w:val="en-US"/>
        </w:rPr>
        <w:t>tion about environmental harm.</w:t>
      </w:r>
      <w:r>
        <w:rPr>
          <w:lang w:val="en-US"/>
        </w:rPr>
        <w:t xml:space="preserve"> </w:t>
      </w:r>
    </w:p>
    <w:p w:rsidR="00A63818" w:rsidRDefault="00A63818" w:rsidP="00A63818">
      <w:pPr>
        <w:pStyle w:val="Heading4"/>
        <w:rPr>
          <w:lang w:val="en-GB"/>
        </w:rPr>
      </w:pPr>
      <w:r w:rsidRPr="00A63818">
        <w:rPr>
          <w:lang w:val="en-GB"/>
        </w:rPr>
        <w:t xml:space="preserve">The </w:t>
      </w:r>
      <w:r w:rsidR="00093845">
        <w:rPr>
          <w:lang w:val="en-GB"/>
        </w:rPr>
        <w:t>obligation</w:t>
      </w:r>
      <w:r w:rsidRPr="00A63818">
        <w:rPr>
          <w:lang w:val="en-GB"/>
        </w:rPr>
        <w:t xml:space="preserve"> to take precautionary measures</w:t>
      </w:r>
    </w:p>
    <w:p w:rsidR="006854B9" w:rsidRDefault="00227858" w:rsidP="00A76039">
      <w:pPr>
        <w:pStyle w:val="NoSpacing"/>
      </w:pPr>
      <w:r>
        <w:rPr>
          <w:kern w:val="1"/>
        </w:rPr>
        <w:t xml:space="preserve">The Committee discussed the duty to take precautionary measures in </w:t>
      </w:r>
      <w:r>
        <w:rPr>
          <w:i/>
        </w:rPr>
        <w:t xml:space="preserve">FIDH </w:t>
      </w:r>
      <w:r>
        <w:rPr>
          <w:i/>
          <w:kern w:val="1"/>
        </w:rPr>
        <w:t>v. Greece</w:t>
      </w:r>
      <w:r w:rsidR="00A33DFE">
        <w:rPr>
          <w:i/>
          <w:kern w:val="1"/>
        </w:rPr>
        <w:t xml:space="preserve">, </w:t>
      </w:r>
      <w:r w:rsidR="00A33DFE">
        <w:rPr>
          <w:kern w:val="1"/>
        </w:rPr>
        <w:t xml:space="preserve">in which </w:t>
      </w:r>
      <w:r w:rsidRPr="006854B9">
        <w:rPr>
          <w:kern w:val="1"/>
        </w:rPr>
        <w:t xml:space="preserve">FIDH claimed that the Greek authorities did not take sufficient measures to remove or diminish the adverse effects of the pollution on the health of the people in the </w:t>
      </w:r>
      <w:proofErr w:type="spellStart"/>
      <w:r w:rsidRPr="006854B9">
        <w:rPr>
          <w:kern w:val="1"/>
        </w:rPr>
        <w:t>Oinofyta</w:t>
      </w:r>
      <w:proofErr w:type="spellEnd"/>
      <w:r w:rsidRPr="006854B9">
        <w:rPr>
          <w:kern w:val="1"/>
        </w:rPr>
        <w:t xml:space="preserve"> region and to secure that these individuals could wholly enjoy their right to protection of health.</w:t>
      </w:r>
      <w:r w:rsidRPr="006854B9">
        <w:rPr>
          <w:rStyle w:val="FootnoteReference"/>
          <w:rFonts w:ascii="Times" w:hAnsi="Times" w:cs="Arial"/>
          <w:kern w:val="1"/>
        </w:rPr>
        <w:footnoteReference w:id="83"/>
      </w:r>
    </w:p>
    <w:p w:rsidR="006854B9" w:rsidRPr="006854B9" w:rsidRDefault="006854B9" w:rsidP="00E34497">
      <w:pPr>
        <w:pStyle w:val="NoSpacing"/>
        <w:spacing w:after="120"/>
      </w:pPr>
      <w:r w:rsidRPr="006854B9">
        <w:rPr>
          <w:kern w:val="1"/>
        </w:rPr>
        <w:t xml:space="preserve">The Committee acknowledged evidence presented by FIDH which showed, among other things, heavy metal and other contamination in the </w:t>
      </w:r>
      <w:proofErr w:type="spellStart"/>
      <w:r w:rsidRPr="006854B9">
        <w:rPr>
          <w:kern w:val="1"/>
        </w:rPr>
        <w:t>Asopos</w:t>
      </w:r>
      <w:proofErr w:type="spellEnd"/>
      <w:r w:rsidRPr="006854B9">
        <w:rPr>
          <w:kern w:val="1"/>
        </w:rPr>
        <w:t xml:space="preserve"> and groundwater, an increase in cancer mortalities in the region, and a high rate of respiratory disorders in children</w:t>
      </w:r>
      <w:r w:rsidR="00A33DFE">
        <w:rPr>
          <w:kern w:val="1"/>
        </w:rPr>
        <w:t>.  The Committee</w:t>
      </w:r>
      <w:r w:rsidRPr="006854B9">
        <w:rPr>
          <w:kern w:val="1"/>
        </w:rPr>
        <w:t xml:space="preserve"> concluded that a </w:t>
      </w:r>
      <w:r w:rsidR="00A33DFE">
        <w:rPr>
          <w:kern w:val="1"/>
        </w:rPr>
        <w:t>S</w:t>
      </w:r>
      <w:r w:rsidRPr="006854B9">
        <w:rPr>
          <w:kern w:val="1"/>
        </w:rPr>
        <w:t xml:space="preserve">tate </w:t>
      </w:r>
      <w:r w:rsidR="00332192">
        <w:rPr>
          <w:kern w:val="1"/>
        </w:rPr>
        <w:t>must</w:t>
      </w:r>
      <w:r w:rsidRPr="006854B9">
        <w:rPr>
          <w:kern w:val="1"/>
        </w:rPr>
        <w:t xml:space="preserve"> take precautionary measures “consistent with the high level of protection established by Article 11</w:t>
      </w:r>
      <w:r w:rsidR="00A33DFE">
        <w:rPr>
          <w:kern w:val="1"/>
        </w:rPr>
        <w:t>,</w:t>
      </w:r>
      <w:r w:rsidRPr="006854B9">
        <w:rPr>
          <w:kern w:val="1"/>
        </w:rPr>
        <w:t>” “when a preliminary scientific evaluation indicates that there are reasonable grounds for concern regarding potentially dangerous effects on human health.”</w:t>
      </w:r>
      <w:r>
        <w:rPr>
          <w:rStyle w:val="FootnoteReference"/>
          <w:rFonts w:ascii="Times" w:hAnsi="Times" w:cs="Arial"/>
          <w:kern w:val="1"/>
        </w:rPr>
        <w:footnoteReference w:id="84"/>
      </w:r>
      <w:r w:rsidRPr="006854B9">
        <w:rPr>
          <w:kern w:val="1"/>
        </w:rPr>
        <w:t xml:space="preserve"> The Committee elaborated that when appropriate, such measures need to be </w:t>
      </w:r>
      <w:r w:rsidRPr="006854B9">
        <w:rPr>
          <w:kern w:val="1"/>
        </w:rPr>
        <w:lastRenderedPageBreak/>
        <w:t>enacted in compliance with applicable national legislation and regulations.</w:t>
      </w:r>
      <w:r>
        <w:rPr>
          <w:rStyle w:val="FootnoteReference"/>
          <w:rFonts w:ascii="Times" w:hAnsi="Times" w:cs="Arial"/>
          <w:kern w:val="1"/>
        </w:rPr>
        <w:footnoteReference w:id="85"/>
      </w:r>
      <w:r w:rsidRPr="006854B9">
        <w:rPr>
          <w:kern w:val="1"/>
        </w:rPr>
        <w:t xml:space="preserve"> According to the Committee:</w:t>
      </w:r>
    </w:p>
    <w:p w:rsidR="006854B9" w:rsidRDefault="006854B9" w:rsidP="006854B9">
      <w:pPr>
        <w:widowControl w:val="0"/>
        <w:autoSpaceDE w:val="0"/>
        <w:autoSpaceDN w:val="0"/>
        <w:adjustRightInd w:val="0"/>
        <w:ind w:left="1440" w:right="1440"/>
        <w:jc w:val="both"/>
        <w:rPr>
          <w:rFonts w:ascii="Times" w:hAnsi="Times" w:cs="Arial"/>
          <w:kern w:val="1"/>
        </w:rPr>
      </w:pPr>
      <w:r w:rsidRPr="001B0563">
        <w:rPr>
          <w:rFonts w:ascii="Times" w:hAnsi="Times" w:cs="Arial"/>
          <w:kern w:val="1"/>
        </w:rPr>
        <w:t xml:space="preserve">More specifically, such measures should have included regular analyses of the surface and ground water in the region of </w:t>
      </w:r>
      <w:proofErr w:type="spellStart"/>
      <w:r w:rsidRPr="001B0563">
        <w:rPr>
          <w:rFonts w:ascii="Times" w:hAnsi="Times" w:cs="Arial"/>
          <w:kern w:val="1"/>
        </w:rPr>
        <w:t>Oinofyta</w:t>
      </w:r>
      <w:proofErr w:type="spellEnd"/>
      <w:r w:rsidRPr="001B0563">
        <w:rPr>
          <w:rFonts w:ascii="Times" w:hAnsi="Times" w:cs="Arial"/>
          <w:kern w:val="1"/>
        </w:rPr>
        <w:t>, scientific investigation of possible threats to human health linked to heavy metals (including Cr-6) and comprehensive epidemiological studies. In this framework, given the scientific uncertainty related to the health problems caused by the ingestion of Cr-6, the Greek authorities should also have taken urgent measures, including - at least for the areas directly concerned by the pollution - the setting of maximum contaminant levels concerning Cr-6 in drinking water and water for agricultural use.</w:t>
      </w:r>
      <w:r w:rsidRPr="001B0563">
        <w:rPr>
          <w:rStyle w:val="FootnoteReference"/>
          <w:rFonts w:ascii="Times" w:hAnsi="Times" w:cs="Arial"/>
          <w:kern w:val="1"/>
        </w:rPr>
        <w:footnoteReference w:id="86"/>
      </w:r>
    </w:p>
    <w:p w:rsidR="006854B9" w:rsidRDefault="001A6FF7" w:rsidP="006854B9">
      <w:pPr>
        <w:pStyle w:val="Heading4"/>
        <w:rPr>
          <w:kern w:val="1"/>
        </w:rPr>
      </w:pPr>
      <w:r>
        <w:rPr>
          <w:kern w:val="1"/>
        </w:rPr>
        <w:t>The duty to provide information about environmental harm</w:t>
      </w:r>
    </w:p>
    <w:p w:rsidR="001A6FF7" w:rsidRPr="006E7410" w:rsidRDefault="001A6FF7" w:rsidP="00A76039">
      <w:pPr>
        <w:pStyle w:val="NoSpacing"/>
      </w:pPr>
      <w:r>
        <w:t xml:space="preserve">In </w:t>
      </w:r>
      <w:r w:rsidRPr="00B07ABD">
        <w:rPr>
          <w:i/>
        </w:rPr>
        <w:t xml:space="preserve">FIDH, </w:t>
      </w:r>
      <w:r w:rsidR="00762F44" w:rsidRPr="00762F44">
        <w:t>the Committee discussed how harmful effects of pollution should have necessitated a systematic public information system at the national, regional and local level</w:t>
      </w:r>
      <w:r w:rsidR="00A33DFE">
        <w:t>s</w:t>
      </w:r>
      <w:r w:rsidR="00762F44" w:rsidRPr="00762F44">
        <w:t>.</w:t>
      </w:r>
      <w:r w:rsidR="00762F44" w:rsidRPr="00762F44">
        <w:rPr>
          <w:vertAlign w:val="superscript"/>
        </w:rPr>
        <w:footnoteReference w:id="87"/>
      </w:r>
      <w:r w:rsidR="00762F44" w:rsidRPr="00B07ABD">
        <w:rPr>
          <w:i/>
        </w:rPr>
        <w:t xml:space="preserve"> </w:t>
      </w:r>
      <w:r w:rsidR="00A16EF3">
        <w:t xml:space="preserve">The Committee found </w:t>
      </w:r>
      <w:r w:rsidR="00762F44">
        <w:t xml:space="preserve">that the Greek authorities </w:t>
      </w:r>
      <w:r w:rsidR="00762F44" w:rsidRPr="00762F44">
        <w:t>were aware for extended amounts of time of the extreme pollution and its negative effects on human health</w:t>
      </w:r>
      <w:r w:rsidR="00B07ABD">
        <w:t xml:space="preserve"> and that “the public information initiatives described by the Government in its reply to the Committee were not only initiated too late, but also, in most cases, sporadic and insufficiently co-ordinated.”</w:t>
      </w:r>
      <w:r w:rsidR="00B07ABD">
        <w:rPr>
          <w:rStyle w:val="FootnoteReference"/>
        </w:rPr>
        <w:footnoteReference w:id="88"/>
      </w:r>
      <w:r w:rsidR="00B07ABD">
        <w:t xml:space="preserve"> The Greek </w:t>
      </w:r>
      <w:r w:rsidR="00A33DFE">
        <w:t>a</w:t>
      </w:r>
      <w:r w:rsidR="00B07ABD">
        <w:t>uthorities</w:t>
      </w:r>
      <w:r>
        <w:t xml:space="preserve"> “should have required the design and implementation of a systematic information and awareness-raising programme for the population concerned, with the active and regular contribution of all the administrative institutions concerned (at national, regional, and local level).</w:t>
      </w:r>
      <w:r w:rsidR="00E34497">
        <w:t>”</w:t>
      </w:r>
      <w:r>
        <w:rPr>
          <w:rStyle w:val="FootnoteReference"/>
        </w:rPr>
        <w:footnoteReference w:id="89"/>
      </w:r>
      <w:r w:rsidR="00A16EF3">
        <w:t xml:space="preserve"> Specifically, the Committee, referring to precedent, </w:t>
      </w:r>
      <w:r w:rsidR="00A33DFE">
        <w:t>stated</w:t>
      </w:r>
      <w:r>
        <w:t xml:space="preserve"> that</w:t>
      </w:r>
      <w:r w:rsidR="00A16EF3">
        <w:t xml:space="preserve"> “[i]</w:t>
      </w:r>
      <w:proofErr w:type="spellStart"/>
      <w:r w:rsidRPr="00B07ABD">
        <w:rPr>
          <w:rFonts w:ascii="Times" w:hAnsi="Times" w:cs="Arial"/>
          <w:kern w:val="1"/>
        </w:rPr>
        <w:t>nforming</w:t>
      </w:r>
      <w:proofErr w:type="spellEnd"/>
      <w:r w:rsidRPr="00B07ABD">
        <w:rPr>
          <w:rFonts w:ascii="Times" w:hAnsi="Times" w:cs="Arial"/>
          <w:kern w:val="1"/>
        </w:rPr>
        <w:t xml:space="preserve"> the public, particularly through </w:t>
      </w:r>
      <w:r w:rsidRPr="00B07ABD">
        <w:rPr>
          <w:rFonts w:ascii="Times" w:hAnsi="Times" w:cs="Arial"/>
          <w:kern w:val="1"/>
        </w:rPr>
        <w:lastRenderedPageBreak/>
        <w:t>awareness-raising campaigns, must be a public health priority.</w:t>
      </w:r>
      <w:r w:rsidR="00A16EF3" w:rsidRPr="00B07ABD">
        <w:rPr>
          <w:rFonts w:ascii="Times" w:hAnsi="Times" w:cs="Arial"/>
          <w:kern w:val="1"/>
        </w:rPr>
        <w:t xml:space="preserve"> </w:t>
      </w:r>
      <w:r w:rsidRPr="00B07ABD">
        <w:rPr>
          <w:rFonts w:ascii="Times" w:hAnsi="Times" w:cs="Arial"/>
          <w:kern w:val="1"/>
        </w:rPr>
        <w:t xml:space="preserve"> The precise extent of these activities may vary according to the nature of the public health problems in the countries concerned</w:t>
      </w:r>
      <w:r w:rsidR="00A809CE">
        <w:rPr>
          <w:rFonts w:ascii="Times" w:hAnsi="Times" w:cs="Arial"/>
          <w:kern w:val="1"/>
        </w:rPr>
        <w:t xml:space="preserve"> </w:t>
      </w:r>
      <w:r w:rsidR="00A809CE" w:rsidRPr="00A809CE">
        <w:rPr>
          <w:rFonts w:ascii="Times" w:hAnsi="Times" w:cs="Arial"/>
          <w:kern w:val="1"/>
        </w:rPr>
        <w:t>(Conclusions XV-2, Belgium)</w:t>
      </w:r>
      <w:r w:rsidRPr="00B07ABD">
        <w:rPr>
          <w:rFonts w:ascii="Times" w:hAnsi="Times" w:cs="Arial"/>
          <w:kern w:val="1"/>
        </w:rPr>
        <w:t>”</w:t>
      </w:r>
      <w:r w:rsidR="00BF0F7E">
        <w:rPr>
          <w:rFonts w:ascii="Times" w:hAnsi="Times" w:cs="Arial"/>
          <w:kern w:val="1"/>
        </w:rPr>
        <w:t>,</w:t>
      </w:r>
      <w:r w:rsidR="00A809CE">
        <w:rPr>
          <w:rStyle w:val="FootnoteReference"/>
          <w:rFonts w:ascii="Times" w:hAnsi="Times" w:cs="Arial"/>
          <w:kern w:val="1"/>
        </w:rPr>
        <w:footnoteReference w:id="90"/>
      </w:r>
      <w:r w:rsidR="00A16EF3" w:rsidRPr="00B07ABD">
        <w:rPr>
          <w:rFonts w:ascii="Times" w:hAnsi="Times" w:cs="Arial"/>
          <w:kern w:val="1"/>
        </w:rPr>
        <w:t xml:space="preserve"> and that “</w:t>
      </w:r>
      <w:r w:rsidRPr="00B07ABD">
        <w:rPr>
          <w:rFonts w:ascii="Times" w:hAnsi="Times" w:cs="Arial"/>
          <w:kern w:val="1"/>
        </w:rPr>
        <w:t xml:space="preserve">States must demonstrate through concrete measures that they implement a public health education policy in favour of (…) population groups </w:t>
      </w:r>
      <w:r w:rsidR="00A16EF3" w:rsidRPr="00B07ABD">
        <w:rPr>
          <w:rFonts w:ascii="Times" w:hAnsi="Times" w:cs="Arial"/>
          <w:kern w:val="1"/>
        </w:rPr>
        <w:t>affected by specific problems</w:t>
      </w:r>
      <w:r w:rsidRPr="00B07ABD">
        <w:rPr>
          <w:rFonts w:ascii="Times" w:hAnsi="Times" w:cs="Arial"/>
          <w:kern w:val="1"/>
        </w:rPr>
        <w:t>.</w:t>
      </w:r>
      <w:r w:rsidR="00E34497">
        <w:rPr>
          <w:rFonts w:ascii="Times" w:hAnsi="Times" w:cs="Arial"/>
          <w:kern w:val="1"/>
        </w:rPr>
        <w:t>”</w:t>
      </w:r>
      <w:r w:rsidR="00762F44">
        <w:rPr>
          <w:rStyle w:val="FootnoteReference"/>
          <w:rFonts w:ascii="Times" w:hAnsi="Times" w:cs="Arial"/>
          <w:kern w:val="1"/>
        </w:rPr>
        <w:footnoteReference w:id="91"/>
      </w:r>
    </w:p>
    <w:p w:rsidR="006E7410" w:rsidRDefault="006E7410" w:rsidP="00A76039">
      <w:pPr>
        <w:pStyle w:val="NoSpacing"/>
      </w:pPr>
      <w:r>
        <w:t xml:space="preserve">In </w:t>
      </w:r>
      <w:proofErr w:type="spellStart"/>
      <w:r w:rsidR="001A6FF7" w:rsidRPr="006E7410">
        <w:rPr>
          <w:i/>
        </w:rPr>
        <w:t>Marangopoulos</w:t>
      </w:r>
      <w:proofErr w:type="spellEnd"/>
      <w:r>
        <w:t>, the Committee found that</w:t>
      </w:r>
      <w:r w:rsidR="000C58A4">
        <w:t xml:space="preserve"> in or</w:t>
      </w:r>
      <w:r>
        <w:t>der to comply with Article 11</w:t>
      </w:r>
      <w:r w:rsidR="00E36DDC">
        <w:t>, Greece</w:t>
      </w:r>
      <w:r>
        <w:t xml:space="preserve"> must, among other things, “inform and educate the public, including pupils and students at school, about both general an</w:t>
      </w:r>
      <w:r w:rsidR="00E34497">
        <w:t>d local environmental problems</w:t>
      </w:r>
      <w:r w:rsidR="00E36DDC">
        <w:t>.</w:t>
      </w:r>
      <w:r w:rsidR="00E34497">
        <w:t>”</w:t>
      </w:r>
      <w:r>
        <w:rPr>
          <w:rStyle w:val="FootnoteReference"/>
        </w:rPr>
        <w:footnoteReference w:id="92"/>
      </w:r>
      <w:r>
        <w:t xml:space="preserve"> </w:t>
      </w:r>
    </w:p>
    <w:p w:rsidR="006E7410" w:rsidRDefault="00E34497" w:rsidP="00864DC5">
      <w:pPr>
        <w:pStyle w:val="Heading3"/>
      </w:pPr>
      <w:r>
        <w:t>Substantive obligations</w:t>
      </w:r>
    </w:p>
    <w:p w:rsidR="00864DC5" w:rsidRPr="00864DC5" w:rsidRDefault="00E34497" w:rsidP="00864DC5">
      <w:pPr>
        <w:pStyle w:val="Heading4"/>
        <w:rPr>
          <w:lang w:val="en-GB"/>
        </w:rPr>
      </w:pPr>
      <w:r>
        <w:t>Obligation</w:t>
      </w:r>
      <w:r w:rsidR="00864DC5">
        <w:t xml:space="preserve"> to adopt measures</w:t>
      </w:r>
    </w:p>
    <w:p w:rsidR="00864DC5" w:rsidRPr="00304115" w:rsidRDefault="00864DC5" w:rsidP="00037CE6">
      <w:pPr>
        <w:pStyle w:val="NoSpacing"/>
        <w:rPr>
          <w:lang w:val="en-US"/>
        </w:rPr>
      </w:pPr>
      <w:r>
        <w:t>T</w:t>
      </w:r>
      <w:r w:rsidRPr="00864DC5">
        <w:t xml:space="preserve">he Committee </w:t>
      </w:r>
      <w:r>
        <w:t xml:space="preserve">has required States to take various measures to guarantee a healthy environment.  For example, in </w:t>
      </w:r>
      <w:proofErr w:type="spellStart"/>
      <w:r w:rsidR="001A6FF7" w:rsidRPr="00864DC5">
        <w:rPr>
          <w:i/>
        </w:rPr>
        <w:t>Marangopoulos</w:t>
      </w:r>
      <w:proofErr w:type="spellEnd"/>
      <w:r>
        <w:t>, the Committee held that Greece must</w:t>
      </w:r>
      <w:r w:rsidR="00E36DDC">
        <w:t xml:space="preserve"> </w:t>
      </w:r>
      <w:r>
        <w:t>“</w:t>
      </w:r>
      <w:r w:rsidRPr="00864DC5">
        <w:rPr>
          <w:lang w:val="en-US"/>
        </w:rPr>
        <w:t>develop and regularly update sufficiently comprehensive environmental legislation and regulations</w:t>
      </w:r>
      <w:r>
        <w:rPr>
          <w:lang w:val="en-US"/>
        </w:rPr>
        <w:t>” and “</w:t>
      </w:r>
      <w:r w:rsidRPr="00864DC5">
        <w:rPr>
          <w:lang w:val="en-US"/>
        </w:rPr>
        <w:t>take specific steps, such as modifying equipment, introducing threshold values for emissions and measuring air quality, to prevent air pollution at local level and to help it reduce on a global scale</w:t>
      </w:r>
      <w:r>
        <w:rPr>
          <w:lang w:val="en-US"/>
        </w:rPr>
        <w:t>.”</w:t>
      </w:r>
      <w:r w:rsidRPr="00864DC5">
        <w:rPr>
          <w:vertAlign w:val="superscript"/>
        </w:rPr>
        <w:footnoteReference w:id="93"/>
      </w:r>
      <w:r w:rsidR="00037CE6" w:rsidRPr="00037CE6">
        <w:rPr>
          <w:lang w:val="en-US"/>
        </w:rPr>
        <w:t xml:space="preserve"> </w:t>
      </w:r>
      <w:r w:rsidR="00037CE6">
        <w:rPr>
          <w:lang w:val="en-US"/>
        </w:rPr>
        <w:t xml:space="preserve">In addition, the Committee in </w:t>
      </w:r>
      <w:proofErr w:type="spellStart"/>
      <w:r w:rsidR="00037CE6" w:rsidRPr="00037CE6">
        <w:rPr>
          <w:i/>
        </w:rPr>
        <w:t>Marangopoulos</w:t>
      </w:r>
      <w:proofErr w:type="spellEnd"/>
      <w:r w:rsidR="00037CE6">
        <w:rPr>
          <w:lang w:val="en-US"/>
        </w:rPr>
        <w:t xml:space="preserve"> required Greece to undertake monitoring to access health risks from mining activities, holding that Greece should “</w:t>
      </w:r>
      <w:r w:rsidR="00037CE6" w:rsidRPr="00452220">
        <w:t>assess health risks through epidemiological monitoring of the groups concerned.</w:t>
      </w:r>
      <w:r w:rsidR="00037CE6">
        <w:t>”</w:t>
      </w:r>
      <w:r w:rsidR="00037CE6" w:rsidRPr="00452220">
        <w:rPr>
          <w:vertAlign w:val="superscript"/>
        </w:rPr>
        <w:footnoteReference w:id="94"/>
      </w:r>
    </w:p>
    <w:p w:rsidR="00452220" w:rsidRPr="00864DC5" w:rsidRDefault="00452220" w:rsidP="00A76039">
      <w:pPr>
        <w:pStyle w:val="NoSpacing"/>
      </w:pPr>
      <w:r>
        <w:rPr>
          <w:kern w:val="1"/>
        </w:rPr>
        <w:lastRenderedPageBreak/>
        <w:t xml:space="preserve">In </w:t>
      </w:r>
      <w:r w:rsidRPr="0061670F">
        <w:rPr>
          <w:i/>
          <w:kern w:val="1"/>
        </w:rPr>
        <w:t>FIDH</w:t>
      </w:r>
      <w:r w:rsidR="00E36DDC">
        <w:rPr>
          <w:i/>
          <w:kern w:val="1"/>
        </w:rPr>
        <w:t>,</w:t>
      </w:r>
      <w:r>
        <w:rPr>
          <w:kern w:val="1"/>
        </w:rPr>
        <w:t xml:space="preserve"> t</w:t>
      </w:r>
      <w:r w:rsidRPr="005A4F16">
        <w:rPr>
          <w:kern w:val="1"/>
        </w:rPr>
        <w:t>he Committee also f</w:t>
      </w:r>
      <w:r w:rsidR="000E1A5E">
        <w:rPr>
          <w:kern w:val="1"/>
        </w:rPr>
        <w:t>ound violations of Article 11</w:t>
      </w:r>
      <w:r>
        <w:rPr>
          <w:kern w:val="1"/>
        </w:rPr>
        <w:t>(1)</w:t>
      </w:r>
      <w:r w:rsidRPr="005A4F16">
        <w:rPr>
          <w:kern w:val="1"/>
        </w:rPr>
        <w:t xml:space="preserve"> and </w:t>
      </w:r>
      <w:r>
        <w:rPr>
          <w:kern w:val="1"/>
        </w:rPr>
        <w:t>(</w:t>
      </w:r>
      <w:r w:rsidRPr="005A4F16">
        <w:rPr>
          <w:kern w:val="1"/>
        </w:rPr>
        <w:t>3</w:t>
      </w:r>
      <w:r>
        <w:rPr>
          <w:kern w:val="1"/>
        </w:rPr>
        <w:t>)</w:t>
      </w:r>
      <w:r w:rsidRPr="005A4F16">
        <w:rPr>
          <w:kern w:val="1"/>
        </w:rPr>
        <w:t xml:space="preserve"> because Greece did not take appropriate actions to reduce and prevent as much as possible the causes of illness due to the failure to timely implement adequate measures, </w:t>
      </w:r>
      <w:r>
        <w:rPr>
          <w:kern w:val="1"/>
        </w:rPr>
        <w:t xml:space="preserve">did not adequately apply existing pollution laws, </w:t>
      </w:r>
      <w:r w:rsidR="00E36DDC">
        <w:rPr>
          <w:kern w:val="1"/>
        </w:rPr>
        <w:t>and did not</w:t>
      </w:r>
      <w:r>
        <w:rPr>
          <w:kern w:val="1"/>
        </w:rPr>
        <w:t xml:space="preserve"> take sufficient initiatives to limit the hazardous waste.</w:t>
      </w:r>
      <w:r>
        <w:rPr>
          <w:rStyle w:val="FootnoteReference"/>
          <w:rFonts w:ascii="Times" w:hAnsi="Times" w:cs="Arial"/>
          <w:kern w:val="1"/>
        </w:rPr>
        <w:footnoteReference w:id="95"/>
      </w:r>
      <w:r>
        <w:rPr>
          <w:kern w:val="1"/>
        </w:rPr>
        <w:t xml:space="preserve"> Due to these findings, the Com</w:t>
      </w:r>
      <w:r w:rsidR="000E1A5E">
        <w:rPr>
          <w:kern w:val="1"/>
        </w:rPr>
        <w:t>mittee declared that Article 11(</w:t>
      </w:r>
      <w:r w:rsidRPr="005A4F16">
        <w:rPr>
          <w:kern w:val="1"/>
        </w:rPr>
        <w:t>1</w:t>
      </w:r>
      <w:r w:rsidR="000E1A5E">
        <w:rPr>
          <w:kern w:val="1"/>
        </w:rPr>
        <w:t>)</w:t>
      </w:r>
      <w:r>
        <w:rPr>
          <w:kern w:val="1"/>
        </w:rPr>
        <w:t xml:space="preserve"> of the Charter requires that a State “</w:t>
      </w:r>
      <w:r w:rsidRPr="000E1A5E">
        <w:rPr>
          <w:kern w:val="1"/>
        </w:rPr>
        <w:t>respond appropriately to avoidable health risks</w:t>
      </w:r>
      <w:r>
        <w:rPr>
          <w:kern w:val="1"/>
        </w:rPr>
        <w:t>, i.e. ones that can be controlled by human action, and states must guarantee the best results in line with the available knowledge.”</w:t>
      </w:r>
      <w:r>
        <w:rPr>
          <w:rStyle w:val="FootnoteReference"/>
          <w:rFonts w:ascii="Times" w:hAnsi="Times" w:cs="Arial"/>
          <w:kern w:val="1"/>
        </w:rPr>
        <w:footnoteReference w:id="96"/>
      </w:r>
      <w:r w:rsidR="000E1A5E">
        <w:rPr>
          <w:kern w:val="1"/>
        </w:rPr>
        <w:t xml:space="preserve">  </w:t>
      </w:r>
      <w:r>
        <w:rPr>
          <w:kern w:val="1"/>
        </w:rPr>
        <w:t>Furthermore, the Committee declar</w:t>
      </w:r>
      <w:r w:rsidR="000E1A5E">
        <w:rPr>
          <w:kern w:val="1"/>
        </w:rPr>
        <w:t>ed that Article 11(</w:t>
      </w:r>
      <w:r>
        <w:rPr>
          <w:kern w:val="1"/>
        </w:rPr>
        <w:t>3</w:t>
      </w:r>
      <w:r w:rsidR="000E1A5E">
        <w:rPr>
          <w:kern w:val="1"/>
        </w:rPr>
        <w:t>)</w:t>
      </w:r>
      <w:r>
        <w:rPr>
          <w:kern w:val="1"/>
        </w:rPr>
        <w:t xml:space="preserve"> of the Charter requires Greek authorities to implement “appropriate measures </w:t>
      </w:r>
      <w:r w:rsidR="00707490">
        <w:rPr>
          <w:kern w:val="1"/>
        </w:rPr>
        <w:t xml:space="preserve">to prevent </w:t>
      </w:r>
      <w:r>
        <w:rPr>
          <w:kern w:val="1"/>
        </w:rPr>
        <w:t xml:space="preserve">as </w:t>
      </w:r>
      <w:r w:rsidRPr="00B65BC5">
        <w:rPr>
          <w:kern w:val="1"/>
        </w:rPr>
        <w:t>far as possible activities which are detrimental to human health (diseases and accidents). The Committee is of the view that where there are threats of serious damage to human health, lack of full scientific certainty should not be used as a reason for postponing appropriate measures.”</w:t>
      </w:r>
      <w:r w:rsidRPr="00B65BC5">
        <w:rPr>
          <w:rStyle w:val="FootnoteReference"/>
          <w:rFonts w:ascii="Times" w:hAnsi="Times" w:cs="Arial"/>
          <w:kern w:val="1"/>
        </w:rPr>
        <w:footnoteReference w:id="97"/>
      </w:r>
    </w:p>
    <w:p w:rsidR="00864DC5" w:rsidRPr="00452220" w:rsidRDefault="00452220" w:rsidP="00A76039">
      <w:pPr>
        <w:pStyle w:val="NoSpacing"/>
      </w:pPr>
      <w:r>
        <w:t>Moreover, it is not sufficient to enact measures</w:t>
      </w:r>
      <w:r w:rsidR="00BF0F7E">
        <w:t xml:space="preserve">; States must ensure </w:t>
      </w:r>
      <w:r>
        <w:t>that such measures are adequately imple</w:t>
      </w:r>
      <w:r w:rsidR="00E34497">
        <w:t>mented. The Committee stated</w:t>
      </w:r>
      <w:r>
        <w:t xml:space="preserve"> that Greece must “</w:t>
      </w:r>
      <w:r w:rsidR="00864DC5" w:rsidRPr="00452220">
        <w:rPr>
          <w:lang w:val="en-US"/>
        </w:rPr>
        <w:t>ensure that environmental standards and rules are properly applied, through appropriate supervisory machinery</w:t>
      </w:r>
      <w:r>
        <w:rPr>
          <w:lang w:val="en-US"/>
        </w:rPr>
        <w:t>.”</w:t>
      </w:r>
      <w:r w:rsidR="00864DC5" w:rsidRPr="00864DC5">
        <w:rPr>
          <w:vertAlign w:val="superscript"/>
        </w:rPr>
        <w:footnoteReference w:id="98"/>
      </w:r>
    </w:p>
    <w:p w:rsidR="00B24BFD" w:rsidRPr="00003C44" w:rsidRDefault="00B24BFD" w:rsidP="00A76039">
      <w:pPr>
        <w:pStyle w:val="NoSpacing"/>
      </w:pPr>
      <w:r>
        <w:t xml:space="preserve">Furthermore, </w:t>
      </w:r>
      <w:r w:rsidR="00452220">
        <w:t>any measures</w:t>
      </w:r>
      <w:r>
        <w:t xml:space="preserve"> should be calculated to eliminate the sources of illness caused by environmental harm.</w:t>
      </w:r>
      <w:r>
        <w:rPr>
          <w:rStyle w:val="FootnoteReference"/>
        </w:rPr>
        <w:footnoteReference w:id="99"/>
      </w:r>
      <w:r w:rsidR="00452220">
        <w:t xml:space="preserve"> In </w:t>
      </w:r>
      <w:proofErr w:type="spellStart"/>
      <w:r w:rsidR="00452220" w:rsidRPr="00452220">
        <w:rPr>
          <w:i/>
        </w:rPr>
        <w:t>Marangopoulos</w:t>
      </w:r>
      <w:proofErr w:type="spellEnd"/>
      <w:r w:rsidR="00452220">
        <w:t>, t</w:t>
      </w:r>
      <w:r>
        <w:t xml:space="preserve">he Committee found in a violation of sections 1, 2, and 3 of Article 11 of the Charter because “Greece has not managed to strike a </w:t>
      </w:r>
      <w:r>
        <w:lastRenderedPageBreak/>
        <w:t xml:space="preserve">reasonable balance between the interests of persons living in the lignite mining areas and the </w:t>
      </w:r>
      <w:r w:rsidRPr="00003C44">
        <w:t>general interests.”</w:t>
      </w:r>
      <w:r w:rsidRPr="00003C44">
        <w:rPr>
          <w:rStyle w:val="FootnoteReference"/>
        </w:rPr>
        <w:footnoteReference w:id="100"/>
      </w:r>
      <w:r w:rsidRPr="00003C44">
        <w:t xml:space="preserve"> </w:t>
      </w:r>
    </w:p>
    <w:p w:rsidR="00B24BFD" w:rsidRPr="00003C44" w:rsidRDefault="00E34497" w:rsidP="00452220">
      <w:pPr>
        <w:pStyle w:val="Heading4"/>
        <w:rPr>
          <w:kern w:val="1"/>
        </w:rPr>
      </w:pPr>
      <w:r>
        <w:rPr>
          <w:kern w:val="1"/>
        </w:rPr>
        <w:t>Obligation</w:t>
      </w:r>
      <w:r w:rsidR="00452220">
        <w:rPr>
          <w:kern w:val="1"/>
        </w:rPr>
        <w:t xml:space="preserve"> to create </w:t>
      </w:r>
      <w:r w:rsidR="00B07ABD">
        <w:rPr>
          <w:kern w:val="1"/>
        </w:rPr>
        <w:t xml:space="preserve">and comply with </w:t>
      </w:r>
      <w:r w:rsidR="00452220">
        <w:rPr>
          <w:kern w:val="1"/>
        </w:rPr>
        <w:t>threshold values for emissions</w:t>
      </w:r>
    </w:p>
    <w:p w:rsidR="00B24BFD" w:rsidRPr="00240D4B" w:rsidRDefault="00B24BFD" w:rsidP="00A76039">
      <w:pPr>
        <w:pStyle w:val="NoSpacing"/>
      </w:pPr>
      <w:r w:rsidRPr="00FA3201">
        <w:rPr>
          <w:kern w:val="1"/>
        </w:rPr>
        <w:t xml:space="preserve">The Committee in </w:t>
      </w:r>
      <w:r w:rsidRPr="00FA3201">
        <w:rPr>
          <w:i/>
          <w:kern w:val="1"/>
        </w:rPr>
        <w:t xml:space="preserve">FIDH </w:t>
      </w:r>
      <w:r w:rsidRPr="00FA3201">
        <w:rPr>
          <w:kern w:val="1"/>
        </w:rPr>
        <w:t xml:space="preserve">cited </w:t>
      </w:r>
      <w:proofErr w:type="spellStart"/>
      <w:r w:rsidR="00452220" w:rsidRPr="00FA3201">
        <w:rPr>
          <w:i/>
          <w:kern w:val="1"/>
        </w:rPr>
        <w:t>Marangopoulos</w:t>
      </w:r>
      <w:proofErr w:type="spellEnd"/>
      <w:r w:rsidR="00452220" w:rsidRPr="00FA3201">
        <w:rPr>
          <w:i/>
          <w:kern w:val="1"/>
        </w:rPr>
        <w:t xml:space="preserve"> </w:t>
      </w:r>
      <w:r w:rsidRPr="00FA3201">
        <w:rPr>
          <w:kern w:val="1"/>
        </w:rPr>
        <w:t>when reaffirm</w:t>
      </w:r>
      <w:r w:rsidR="00452220" w:rsidRPr="00FA3201">
        <w:rPr>
          <w:kern w:val="1"/>
        </w:rPr>
        <w:t>ing the duty</w:t>
      </w:r>
      <w:r w:rsidR="00B07ABD" w:rsidRPr="00FA3201">
        <w:rPr>
          <w:kern w:val="1"/>
        </w:rPr>
        <w:t xml:space="preserve"> to take steps </w:t>
      </w:r>
      <w:r w:rsidR="00452220" w:rsidRPr="00FA3201">
        <w:rPr>
          <w:kern w:val="1"/>
        </w:rPr>
        <w:t xml:space="preserve">under Article 11 </w:t>
      </w:r>
      <w:r w:rsidR="00B07ABD" w:rsidRPr="00FA3201">
        <w:rPr>
          <w:kern w:val="1"/>
        </w:rPr>
        <w:t>requires introducing</w:t>
      </w:r>
      <w:r w:rsidRPr="00FA3201">
        <w:rPr>
          <w:kern w:val="1"/>
        </w:rPr>
        <w:t xml:space="preserve"> threshold values for emissions.</w:t>
      </w:r>
      <w:r w:rsidRPr="00003C44">
        <w:rPr>
          <w:rStyle w:val="FootnoteReference"/>
          <w:rFonts w:ascii="Times" w:hAnsi="Times" w:cs="Arial"/>
          <w:kern w:val="1"/>
        </w:rPr>
        <w:footnoteReference w:id="101"/>
      </w:r>
      <w:r w:rsidRPr="00FA3201">
        <w:rPr>
          <w:kern w:val="1"/>
        </w:rPr>
        <w:t xml:space="preserve"> </w:t>
      </w:r>
      <w:r w:rsidR="00514521" w:rsidRPr="00FA3201">
        <w:rPr>
          <w:kern w:val="1"/>
        </w:rPr>
        <w:t xml:space="preserve"> In order to evaluate whether a State is in compliance with such thresholds, the Committee will look to </w:t>
      </w:r>
      <w:r w:rsidR="00FA3201" w:rsidRPr="00FA3201">
        <w:rPr>
          <w:kern w:val="1"/>
        </w:rPr>
        <w:t>“the norms and guidelines established by various public bodies and national and international level.”</w:t>
      </w:r>
      <w:r w:rsidR="00FA3201">
        <w:rPr>
          <w:rStyle w:val="FootnoteReference"/>
          <w:kern w:val="1"/>
        </w:rPr>
        <w:footnoteReference w:id="102"/>
      </w:r>
      <w:r w:rsidR="00FA3201" w:rsidRPr="00FA3201">
        <w:rPr>
          <w:kern w:val="1"/>
        </w:rPr>
        <w:t xml:space="preserve"> </w:t>
      </w:r>
      <w:r w:rsidR="00514521" w:rsidRPr="00FA3201">
        <w:rPr>
          <w:kern w:val="1"/>
        </w:rPr>
        <w:t xml:space="preserve"> </w:t>
      </w:r>
      <w:r w:rsidR="00FA3201" w:rsidRPr="00FA3201">
        <w:rPr>
          <w:kern w:val="1"/>
        </w:rPr>
        <w:t xml:space="preserve">In this case, the Committee looked to, among other things, World Health Organisation Guidelines on Drinking Water, to find that </w:t>
      </w:r>
      <w:r w:rsidR="00FA3201">
        <w:rPr>
          <w:kern w:val="1"/>
        </w:rPr>
        <w:t>the level o</w:t>
      </w:r>
      <w:r w:rsidRPr="00FA3201">
        <w:rPr>
          <w:kern w:val="1"/>
        </w:rPr>
        <w:t xml:space="preserve">f Cr-6 in the water of the </w:t>
      </w:r>
      <w:proofErr w:type="spellStart"/>
      <w:r w:rsidRPr="00FA3201">
        <w:rPr>
          <w:kern w:val="1"/>
        </w:rPr>
        <w:t>Oinofyta</w:t>
      </w:r>
      <w:proofErr w:type="spellEnd"/>
      <w:r w:rsidRPr="00FA3201">
        <w:rPr>
          <w:kern w:val="1"/>
        </w:rPr>
        <w:t xml:space="preserve"> area for drinking and agricultural functions is likely to be adverse to human health and as a result would mandate the state to take precautionary measures</w:t>
      </w:r>
      <w:r w:rsidR="00FA3201">
        <w:rPr>
          <w:kern w:val="1"/>
        </w:rPr>
        <w:t>.</w:t>
      </w:r>
      <w:r w:rsidR="00FA3201">
        <w:rPr>
          <w:rStyle w:val="FootnoteReference"/>
          <w:kern w:val="1"/>
        </w:rPr>
        <w:footnoteReference w:id="103"/>
      </w:r>
    </w:p>
    <w:p w:rsidR="00240D4B" w:rsidRDefault="00240D4B" w:rsidP="00240D4B">
      <w:pPr>
        <w:pStyle w:val="Heading3"/>
      </w:pPr>
      <w:r>
        <w:t xml:space="preserve">Obligations </w:t>
      </w:r>
      <w:r w:rsidR="00E34497">
        <w:t xml:space="preserve">relating </w:t>
      </w:r>
      <w:r>
        <w:t xml:space="preserve">to members of </w:t>
      </w:r>
      <w:r w:rsidR="00E34497">
        <w:t>groups in vulnerable situations</w:t>
      </w:r>
    </w:p>
    <w:p w:rsidR="00240D4B" w:rsidRDefault="0097726F" w:rsidP="00A76039">
      <w:pPr>
        <w:pStyle w:val="NoSpacing"/>
      </w:pPr>
      <w:r>
        <w:t xml:space="preserve">In </w:t>
      </w:r>
      <w:r w:rsidRPr="003E2B4D">
        <w:rPr>
          <w:i/>
        </w:rPr>
        <w:t>European Roma Rights Centre (ERRC) v. Bulgaria</w:t>
      </w:r>
      <w:r>
        <w:t>,</w:t>
      </w:r>
      <w:r>
        <w:rPr>
          <w:rStyle w:val="FootnoteReference"/>
        </w:rPr>
        <w:footnoteReference w:id="104"/>
      </w:r>
      <w:r>
        <w:t xml:space="preserve"> the Committee found that </w:t>
      </w:r>
      <w:r w:rsidR="00E34497">
        <w:t>because Bulgaria failed</w:t>
      </w:r>
      <w:r>
        <w:t xml:space="preserve"> </w:t>
      </w:r>
      <w:r w:rsidRPr="0097726F">
        <w:t>to take reasonable measures to deal with the problems confront</w:t>
      </w:r>
      <w:r w:rsidR="00BF0F7E">
        <w:t xml:space="preserve">ing </w:t>
      </w:r>
      <w:r w:rsidRPr="0097726F">
        <w:t>the Roma people due to their unhealthy living circumstances</w:t>
      </w:r>
      <w:r>
        <w:t xml:space="preserve"> and inability to access adequate health care, Bulgaria failed to reach its positive obligations to secure the Roma’s adequate access </w:t>
      </w:r>
      <w:r>
        <w:lastRenderedPageBreak/>
        <w:t>to health care.</w:t>
      </w:r>
      <w:r>
        <w:rPr>
          <w:rStyle w:val="FootnoteReference"/>
        </w:rPr>
        <w:footnoteReference w:id="105"/>
      </w:r>
      <w:r>
        <w:t xml:space="preserve"> As such, Bulgaria violated Article 1</w:t>
      </w:r>
      <w:r w:rsidRPr="003E2B4D">
        <w:rPr>
          <w:rFonts w:ascii="Times" w:hAnsi="Times" w:cs="Lucida Grande"/>
          <w:color w:val="000000"/>
        </w:rPr>
        <w:t xml:space="preserve">1(1)-(3) of the Revised Charter in conjunction with Article E </w:t>
      </w:r>
      <w:r w:rsidR="00707490">
        <w:rPr>
          <w:rFonts w:ascii="Times" w:hAnsi="Times" w:cs="Lucida Grande"/>
          <w:color w:val="000000"/>
        </w:rPr>
        <w:t xml:space="preserve">on non-discrimination </w:t>
      </w:r>
      <w:r w:rsidRPr="003E2B4D">
        <w:rPr>
          <w:rFonts w:ascii="Times" w:hAnsi="Times" w:cs="Lucida Grande"/>
          <w:color w:val="000000"/>
        </w:rPr>
        <w:t xml:space="preserve">due to the “failure of the authorities to take appropriate measures </w:t>
      </w:r>
      <w:r w:rsidR="00E36DDC">
        <w:rPr>
          <w:rFonts w:ascii="Times" w:hAnsi="Times" w:cs="Lucida Grande"/>
          <w:color w:val="000000"/>
        </w:rPr>
        <w:t xml:space="preserve">to </w:t>
      </w:r>
      <w:r>
        <w:t xml:space="preserve">address the exclusion, marginalization and </w:t>
      </w:r>
      <w:r w:rsidRPr="003E2B4D">
        <w:rPr>
          <w:i/>
        </w:rPr>
        <w:t>environmental hazards which Romani communities are exposed</w:t>
      </w:r>
      <w:r w:rsidRPr="003E2B4D">
        <w:rPr>
          <w:b/>
        </w:rPr>
        <w:t xml:space="preserve"> </w:t>
      </w:r>
      <w:r>
        <w:t>to in Bulgaria, as well as the problems encountered by many Roma in accessing health care services.”</w:t>
      </w:r>
      <w:r>
        <w:rPr>
          <w:rStyle w:val="FootnoteReference"/>
        </w:rPr>
        <w:footnoteReference w:id="106"/>
      </w:r>
      <w:r>
        <w:t xml:space="preserve"> </w:t>
      </w:r>
      <w:r w:rsidR="003E2B4D">
        <w:t>To support its holding, the Committee found that  the “</w:t>
      </w:r>
      <w:r w:rsidR="003E2B4D" w:rsidRPr="00A57120">
        <w:t>Roma communities do not live in healthy environments</w:t>
      </w:r>
      <w:r w:rsidR="003E2B4D">
        <w:t>,” in part due to the lack of prevention measures  by the State, such as the lack of guarantees to clean water in Romani areas and the failure to provide public health standards in housing in Romani areas.</w:t>
      </w:r>
      <w:r w:rsidR="003E2B4D">
        <w:rPr>
          <w:rStyle w:val="FootnoteReference"/>
        </w:rPr>
        <w:footnoteReference w:id="107"/>
      </w:r>
      <w:r w:rsidR="003E2B4D">
        <w:t xml:space="preserve"> </w:t>
      </w:r>
    </w:p>
    <w:p w:rsidR="00701428" w:rsidRDefault="00701428" w:rsidP="00A76039">
      <w:pPr>
        <w:pStyle w:val="NoSpacing"/>
      </w:pPr>
      <w:r>
        <w:t xml:space="preserve">In another </w:t>
      </w:r>
      <w:r w:rsidRPr="0061670F">
        <w:t xml:space="preserve">case recognizing discrimination </w:t>
      </w:r>
      <w:r w:rsidR="00E34497">
        <w:t xml:space="preserve">against the </w:t>
      </w:r>
      <w:r w:rsidRPr="00B65BC5">
        <w:t>Roma people,</w:t>
      </w:r>
      <w:r w:rsidRPr="0061670F">
        <w:t xml:space="preserve"> </w:t>
      </w:r>
      <w:proofErr w:type="spellStart"/>
      <w:r w:rsidRPr="0061670F">
        <w:rPr>
          <w:i/>
        </w:rPr>
        <w:t>Medecin</w:t>
      </w:r>
      <w:proofErr w:type="spellEnd"/>
      <w:r w:rsidRPr="0061670F">
        <w:rPr>
          <w:i/>
        </w:rPr>
        <w:t xml:space="preserve"> du Monde v. France</w:t>
      </w:r>
      <w:r w:rsidRPr="0061670F">
        <w:t>, the Committee</w:t>
      </w:r>
      <w:r w:rsidRPr="004C19F8">
        <w:t xml:space="preserve"> found </w:t>
      </w:r>
      <w:r w:rsidRPr="004C19F8">
        <w:rPr>
          <w:rFonts w:cs="Arial"/>
          <w:kern w:val="1"/>
        </w:rPr>
        <w:t>a violation of Article E taken in conjunction with Article 11</w:t>
      </w:r>
      <w:r w:rsidR="000D4283">
        <w:rPr>
          <w:rFonts w:cs="Arial"/>
          <w:kern w:val="1"/>
        </w:rPr>
        <w:t>(</w:t>
      </w:r>
      <w:r w:rsidRPr="004C19F8">
        <w:rPr>
          <w:rFonts w:cs="Arial"/>
          <w:kern w:val="1"/>
        </w:rPr>
        <w:t>3</w:t>
      </w:r>
      <w:r w:rsidR="000D4283">
        <w:rPr>
          <w:rFonts w:cs="Arial"/>
          <w:kern w:val="1"/>
        </w:rPr>
        <w:t>)</w:t>
      </w:r>
      <w:r>
        <w:rPr>
          <w:rFonts w:cs="Arial"/>
          <w:kern w:val="1"/>
        </w:rPr>
        <w:t>.</w:t>
      </w:r>
      <w:r w:rsidR="00230CE9" w:rsidRPr="0061670F">
        <w:rPr>
          <w:rStyle w:val="FootnoteReference"/>
          <w:rFonts w:ascii="Times" w:hAnsi="Times"/>
        </w:rPr>
        <w:footnoteReference w:id="108"/>
      </w:r>
      <w:r w:rsidRPr="004C19F8">
        <w:rPr>
          <w:rFonts w:cs="Arial"/>
          <w:kern w:val="1"/>
        </w:rPr>
        <w:t xml:space="preserve"> </w:t>
      </w:r>
      <w:r w:rsidR="00230CE9">
        <w:rPr>
          <w:rFonts w:cs="Arial"/>
          <w:kern w:val="1"/>
        </w:rPr>
        <w:t xml:space="preserve"> </w:t>
      </w:r>
      <w:r w:rsidRPr="004C19F8">
        <w:t>This case noted Recommendation “Rec(2005)4 of the Committee of Ministers to member states on improving the housing conditions of Roma and Travellers in Europe, adopted on 23 February 2005” entitled</w:t>
      </w:r>
      <w:r>
        <w:t>,</w:t>
      </w:r>
      <w:r w:rsidRPr="004C19F8">
        <w:t xml:space="preserve"> “Preventing segregation in </w:t>
      </w:r>
      <w:r>
        <w:t>environmentally hazardous areas.</w:t>
      </w:r>
      <w:r w:rsidRPr="004C19F8">
        <w:t>”</w:t>
      </w:r>
      <w:r>
        <w:rPr>
          <w:rStyle w:val="FootnoteReference"/>
          <w:rFonts w:ascii="Times" w:hAnsi="Times"/>
        </w:rPr>
        <w:footnoteReference w:id="109"/>
      </w:r>
      <w:r>
        <w:t xml:space="preserve"> Relevant provisions referred to by the Committee are quoted below:</w:t>
      </w:r>
      <w:r w:rsidRPr="004C19F8">
        <w:t xml:space="preserve"> </w:t>
      </w:r>
    </w:p>
    <w:p w:rsidR="00701428" w:rsidRPr="00CD4E0A" w:rsidRDefault="00490864" w:rsidP="00701428">
      <w:pPr>
        <w:widowControl w:val="0"/>
        <w:autoSpaceDE w:val="0"/>
        <w:autoSpaceDN w:val="0"/>
        <w:adjustRightInd w:val="0"/>
        <w:ind w:left="1440" w:right="1440"/>
        <w:jc w:val="both"/>
        <w:rPr>
          <w:rFonts w:ascii="Times" w:hAnsi="Times" w:cs="Garamond"/>
          <w:kern w:val="1"/>
        </w:rPr>
      </w:pPr>
      <w:r w:rsidRPr="00490864">
        <w:rPr>
          <w:rFonts w:ascii="Times" w:hAnsi="Times" w:cs="Arial"/>
          <w:iCs/>
          <w:kern w:val="1"/>
        </w:rPr>
        <w:t xml:space="preserve">21. Member states should take measures to combat any forms of segregation on racial grounds in </w:t>
      </w:r>
      <w:r w:rsidRPr="00304115">
        <w:rPr>
          <w:rFonts w:ascii="Times" w:hAnsi="Times" w:cs="Arial"/>
          <w:i/>
          <w:iCs/>
          <w:kern w:val="1"/>
        </w:rPr>
        <w:t>environmentally hazardous areas</w:t>
      </w:r>
      <w:r w:rsidRPr="00490864">
        <w:rPr>
          <w:rFonts w:ascii="Times" w:hAnsi="Times" w:cs="Arial"/>
          <w:iCs/>
          <w:kern w:val="1"/>
        </w:rPr>
        <w:t>. This includes investing in the development of safe locations and taking steps to ensure that Roma communities have practical and affordable housing alternatives, so as to discourage settlements in, near or on hazardous areas. (…)</w:t>
      </w:r>
      <w:r w:rsidR="00701428" w:rsidRPr="000D4283">
        <w:rPr>
          <w:rFonts w:ascii="Times" w:hAnsi="Times" w:cs="Garamond"/>
          <w:kern w:val="1"/>
        </w:rPr>
        <w:t>;</w:t>
      </w:r>
      <w:r w:rsidR="00701428" w:rsidRPr="00CD4E0A">
        <w:rPr>
          <w:rFonts w:ascii="Times" w:hAnsi="Times" w:cs="Garamond"/>
          <w:kern w:val="1"/>
        </w:rPr>
        <w:t xml:space="preserve"> </w:t>
      </w:r>
    </w:p>
    <w:p w:rsidR="00701428" w:rsidRPr="000D4283" w:rsidRDefault="00490864" w:rsidP="00701428">
      <w:pPr>
        <w:widowControl w:val="0"/>
        <w:autoSpaceDE w:val="0"/>
        <w:autoSpaceDN w:val="0"/>
        <w:adjustRightInd w:val="0"/>
        <w:ind w:left="1440" w:right="1440"/>
        <w:jc w:val="both"/>
        <w:rPr>
          <w:rFonts w:ascii="Times" w:hAnsi="Times" w:cs="Garamond"/>
          <w:kern w:val="1"/>
        </w:rPr>
      </w:pPr>
      <w:r w:rsidRPr="00490864">
        <w:rPr>
          <w:rFonts w:ascii="Times" w:hAnsi="Times" w:cs="Arial"/>
          <w:iCs/>
          <w:kern w:val="1"/>
        </w:rPr>
        <w:t>Access to health and sanitary services</w:t>
      </w:r>
    </w:p>
    <w:p w:rsidR="00701428" w:rsidRPr="000D4283" w:rsidRDefault="00490864" w:rsidP="00701428">
      <w:pPr>
        <w:widowControl w:val="0"/>
        <w:autoSpaceDE w:val="0"/>
        <w:autoSpaceDN w:val="0"/>
        <w:adjustRightInd w:val="0"/>
        <w:ind w:left="1440" w:right="1440"/>
        <w:jc w:val="both"/>
        <w:rPr>
          <w:rFonts w:ascii="Times" w:hAnsi="Times" w:cs="Garamond"/>
          <w:kern w:val="1"/>
        </w:rPr>
      </w:pPr>
      <w:r w:rsidRPr="00490864">
        <w:rPr>
          <w:rFonts w:ascii="Times" w:hAnsi="Times" w:cs="Arial"/>
          <w:iCs/>
          <w:kern w:val="1"/>
        </w:rPr>
        <w:lastRenderedPageBreak/>
        <w:t>34. (…) Roma who are permanently and legally settled in derelict or unhealthy surroundings should receive assistance in order to improve the sanitary conditions of their homes (help for repairs, assistance in improving their living conditions and environment, measures to allow them better access to short-term loans for acquiring better housing, mediation in their relations with administrations or public services). (…)</w:t>
      </w:r>
    </w:p>
    <w:p w:rsidR="00701428" w:rsidRPr="000D4283" w:rsidRDefault="00490864" w:rsidP="00701428">
      <w:pPr>
        <w:widowControl w:val="0"/>
        <w:autoSpaceDE w:val="0"/>
        <w:autoSpaceDN w:val="0"/>
        <w:adjustRightInd w:val="0"/>
        <w:ind w:left="1440" w:right="1440"/>
        <w:jc w:val="both"/>
        <w:rPr>
          <w:rFonts w:ascii="Times" w:hAnsi="Times" w:cs="Garamond"/>
          <w:kern w:val="1"/>
        </w:rPr>
      </w:pPr>
      <w:r w:rsidRPr="00490864">
        <w:rPr>
          <w:rFonts w:ascii="Times" w:hAnsi="Times" w:cs="Arial"/>
          <w:iCs/>
          <w:kern w:val="1"/>
        </w:rPr>
        <w:t>VIII. Housing standards</w:t>
      </w:r>
    </w:p>
    <w:p w:rsidR="00701428" w:rsidRPr="000D4283" w:rsidRDefault="00490864" w:rsidP="00701428">
      <w:pPr>
        <w:widowControl w:val="0"/>
        <w:autoSpaceDE w:val="0"/>
        <w:autoSpaceDN w:val="0"/>
        <w:adjustRightInd w:val="0"/>
        <w:ind w:left="1440" w:right="1440"/>
        <w:jc w:val="both"/>
        <w:rPr>
          <w:rFonts w:ascii="Times" w:hAnsi="Times" w:cs="Garamond"/>
          <w:kern w:val="1"/>
        </w:rPr>
      </w:pPr>
      <w:r w:rsidRPr="00490864">
        <w:rPr>
          <w:rFonts w:ascii="Times" w:hAnsi="Times" w:cs="Arial"/>
          <w:iCs/>
          <w:kern w:val="1"/>
        </w:rPr>
        <w:t>(…)</w:t>
      </w:r>
    </w:p>
    <w:p w:rsidR="00701428" w:rsidRPr="000D4283" w:rsidRDefault="00490864" w:rsidP="00701428">
      <w:pPr>
        <w:widowControl w:val="0"/>
        <w:autoSpaceDE w:val="0"/>
        <w:autoSpaceDN w:val="0"/>
        <w:adjustRightInd w:val="0"/>
        <w:ind w:left="1440" w:right="1440"/>
        <w:jc w:val="both"/>
        <w:rPr>
          <w:rFonts w:ascii="Times" w:hAnsi="Times" w:cs="Garamond"/>
          <w:kern w:val="1"/>
        </w:rPr>
      </w:pPr>
      <w:r w:rsidRPr="00490864">
        <w:rPr>
          <w:rFonts w:ascii="Times" w:hAnsi="Times" w:cs="Arial"/>
          <w:iCs/>
          <w:kern w:val="1"/>
        </w:rPr>
        <w:t>Standard for housing location and surroundings</w:t>
      </w:r>
    </w:p>
    <w:p w:rsidR="00701428" w:rsidRPr="000D4283" w:rsidRDefault="00490864" w:rsidP="00701428">
      <w:pPr>
        <w:widowControl w:val="0"/>
        <w:autoSpaceDE w:val="0"/>
        <w:autoSpaceDN w:val="0"/>
        <w:adjustRightInd w:val="0"/>
        <w:ind w:left="1440" w:right="1440"/>
        <w:jc w:val="both"/>
        <w:rPr>
          <w:rFonts w:ascii="Times" w:hAnsi="Times" w:cs="Garamond"/>
          <w:b/>
          <w:kern w:val="1"/>
        </w:rPr>
      </w:pPr>
      <w:r w:rsidRPr="00490864">
        <w:rPr>
          <w:rFonts w:ascii="Times" w:hAnsi="Times" w:cs="Arial"/>
          <w:iCs/>
          <w:kern w:val="1"/>
        </w:rPr>
        <w:t>48. Member states, through their relevant authorities, should ensure that Roma housing is located in areas that are fit for habitation or suitable for construction under current legislation, and in ecologically healthy surroundings. (…) The existing settlements which cannot be removed from unsuitable locations should be improved by appropriate and constructive environmental measures.</w:t>
      </w:r>
      <w:r w:rsidR="00701428" w:rsidRPr="000D4283">
        <w:rPr>
          <w:rStyle w:val="FootnoteReference"/>
          <w:rFonts w:ascii="Times" w:hAnsi="Times" w:cs="Arial"/>
          <w:iCs/>
          <w:kern w:val="1"/>
        </w:rPr>
        <w:footnoteReference w:id="110"/>
      </w:r>
      <w:r w:rsidR="00701428" w:rsidRPr="000D4283">
        <w:rPr>
          <w:rFonts w:ascii="Times" w:hAnsi="Times" w:cs="Arial"/>
          <w:iCs/>
          <w:kern w:val="1"/>
        </w:rPr>
        <w:t xml:space="preserve"> </w:t>
      </w:r>
    </w:p>
    <w:p w:rsidR="00701428" w:rsidRPr="00240D4B" w:rsidRDefault="00701428" w:rsidP="00A76039">
      <w:pPr>
        <w:pStyle w:val="NoSpacing"/>
      </w:pPr>
      <w:r w:rsidRPr="00050CC3">
        <w:rPr>
          <w:kern w:val="1"/>
        </w:rPr>
        <w:t>The Committee determined that the Roma do no</w:t>
      </w:r>
      <w:r>
        <w:rPr>
          <w:kern w:val="1"/>
        </w:rPr>
        <w:t>t live in healthy environments</w:t>
      </w:r>
      <w:r>
        <w:rPr>
          <w:rStyle w:val="FootnoteReference"/>
          <w:rFonts w:ascii="Times" w:hAnsi="Times" w:cs="Arial"/>
          <w:bCs/>
          <w:kern w:val="1"/>
        </w:rPr>
        <w:footnoteReference w:id="111"/>
      </w:r>
      <w:r>
        <w:rPr>
          <w:kern w:val="1"/>
        </w:rPr>
        <w:t xml:space="preserve"> </w:t>
      </w:r>
      <w:r w:rsidRPr="00050CC3">
        <w:rPr>
          <w:kern w:val="1"/>
        </w:rPr>
        <w:t>due to their poor living circumstances and as such, the state parties have a duty to “take appropriate measures to prevent, as far as possible, epidemic, endemic, and other diseases as well as ac</w:t>
      </w:r>
      <w:r>
        <w:rPr>
          <w:kern w:val="1"/>
        </w:rPr>
        <w:t>cidents.”</w:t>
      </w:r>
      <w:r>
        <w:rPr>
          <w:rStyle w:val="FootnoteReference"/>
          <w:rFonts w:ascii="Times" w:hAnsi="Times" w:cs="Arial"/>
          <w:bCs/>
          <w:kern w:val="1"/>
        </w:rPr>
        <w:footnoteReference w:id="112"/>
      </w:r>
      <w:r>
        <w:rPr>
          <w:kern w:val="1"/>
        </w:rPr>
        <w:t xml:space="preserve">  </w:t>
      </w:r>
    </w:p>
    <w:p w:rsidR="001C432B" w:rsidRDefault="001C432B" w:rsidP="00304115">
      <w:pPr>
        <w:pStyle w:val="NoSpacing"/>
        <w:numPr>
          <w:ilvl w:val="0"/>
          <w:numId w:val="0"/>
        </w:numPr>
        <w:ind w:left="720"/>
      </w:pPr>
    </w:p>
    <w:sectPr w:rsidR="001C432B" w:rsidSect="004E697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F47" w:rsidRDefault="00B76F47" w:rsidP="004C0E91">
      <w:pPr>
        <w:spacing w:before="0" w:after="0"/>
      </w:pPr>
      <w:r>
        <w:separator/>
      </w:r>
    </w:p>
  </w:endnote>
  <w:endnote w:type="continuationSeparator" w:id="0">
    <w:p w:rsidR="00B76F47" w:rsidRDefault="00B76F47" w:rsidP="004C0E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34570"/>
      <w:docPartObj>
        <w:docPartGallery w:val="Page Numbers (Bottom of Page)"/>
        <w:docPartUnique/>
      </w:docPartObj>
    </w:sdtPr>
    <w:sdtEndPr/>
    <w:sdtContent>
      <w:p w:rsidR="00304115" w:rsidRDefault="00FC4B80">
        <w:pPr>
          <w:pStyle w:val="Footer"/>
          <w:jc w:val="center"/>
        </w:pPr>
        <w:r>
          <w:fldChar w:fldCharType="begin"/>
        </w:r>
        <w:r w:rsidR="00304115">
          <w:instrText xml:space="preserve"> PAGE   \* MERGEFORMAT </w:instrText>
        </w:r>
        <w:r>
          <w:fldChar w:fldCharType="separate"/>
        </w:r>
        <w:r w:rsidR="007E1379">
          <w:rPr>
            <w:noProof/>
          </w:rPr>
          <w:t>1</w:t>
        </w:r>
        <w:r>
          <w:rPr>
            <w:noProof/>
          </w:rPr>
          <w:fldChar w:fldCharType="end"/>
        </w:r>
      </w:p>
    </w:sdtContent>
  </w:sdt>
  <w:p w:rsidR="00304115" w:rsidRDefault="003041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F47" w:rsidRDefault="00B76F47" w:rsidP="004C0E91">
      <w:pPr>
        <w:spacing w:before="0" w:after="0"/>
      </w:pPr>
      <w:r>
        <w:separator/>
      </w:r>
    </w:p>
  </w:footnote>
  <w:footnote w:type="continuationSeparator" w:id="0">
    <w:p w:rsidR="00B76F47" w:rsidRDefault="00B76F47" w:rsidP="004C0E91">
      <w:pPr>
        <w:spacing w:before="0" w:after="0"/>
      </w:pPr>
      <w:r>
        <w:continuationSeparator/>
      </w:r>
    </w:p>
  </w:footnote>
  <w:footnote w:id="1">
    <w:p w:rsidR="00304115" w:rsidRPr="001C76A9" w:rsidRDefault="00304115" w:rsidP="00997208">
      <w:pPr>
        <w:pStyle w:val="FootnoteText"/>
        <w:rPr>
          <w:sz w:val="22"/>
          <w:szCs w:val="22"/>
          <w:lang w:val="en-US"/>
        </w:rPr>
      </w:pPr>
      <w:r w:rsidRPr="001C76A9">
        <w:rPr>
          <w:rStyle w:val="FootnoteReference"/>
          <w:sz w:val="22"/>
          <w:szCs w:val="22"/>
        </w:rPr>
        <w:footnoteRef/>
      </w:r>
      <w:r w:rsidRPr="001C76A9">
        <w:rPr>
          <w:sz w:val="22"/>
          <w:szCs w:val="22"/>
        </w:rPr>
        <w:t xml:space="preserve"> African Charter on Human and Peoples’ Rights, 27 June 1981, OAU Doc.CAB/LEG/76/3 rev.5, 21 I.L.M. 58. </w:t>
      </w:r>
    </w:p>
  </w:footnote>
  <w:footnote w:id="2">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lang w:val="en-US"/>
        </w:rPr>
        <w:t>Ibid</w:t>
      </w:r>
      <w:r w:rsidRPr="001C76A9">
        <w:rPr>
          <w:sz w:val="22"/>
          <w:szCs w:val="22"/>
          <w:lang w:val="en-US"/>
        </w:rPr>
        <w:t>. art. 45.</w:t>
      </w:r>
    </w:p>
  </w:footnote>
  <w:footnote w:id="3">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Information about the </w:t>
      </w:r>
      <w:r w:rsidRPr="001C76A9">
        <w:rPr>
          <w:sz w:val="22"/>
          <w:szCs w:val="22"/>
          <w:lang w:val="en-US"/>
        </w:rPr>
        <w:t xml:space="preserve">African Commission is available on its web page, </w:t>
      </w:r>
      <w:r w:rsidRPr="001C76A9">
        <w:rPr>
          <w:sz w:val="22"/>
          <w:szCs w:val="22"/>
        </w:rPr>
        <w:t xml:space="preserve">http://www.achpr.org/. </w:t>
      </w:r>
    </w:p>
  </w:footnote>
  <w:footnote w:id="4">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rPr>
        <w:t xml:space="preserve">See </w:t>
      </w:r>
      <w:r w:rsidRPr="001C76A9">
        <w:rPr>
          <w:sz w:val="22"/>
          <w:szCs w:val="22"/>
        </w:rPr>
        <w:t>Economic Community of West African States (ECOWAS),</w:t>
      </w:r>
      <w:r w:rsidR="00B94C22" w:rsidRPr="001C76A9">
        <w:rPr>
          <w:sz w:val="22"/>
          <w:szCs w:val="22"/>
        </w:rPr>
        <w:t xml:space="preserve"> </w:t>
      </w:r>
      <w:r w:rsidRPr="001C76A9">
        <w:rPr>
          <w:iCs/>
          <w:sz w:val="22"/>
          <w:szCs w:val="22"/>
        </w:rPr>
        <w:t>Revised Treaty of the Economic Community of West African States</w:t>
      </w:r>
      <w:r w:rsidRPr="001C76A9">
        <w:rPr>
          <w:sz w:val="22"/>
          <w:szCs w:val="22"/>
        </w:rPr>
        <w:t>, 24 July 1993, available at http://www.comm.ecowas.int/sec/?id=treaty&amp;lang=en.</w:t>
      </w:r>
    </w:p>
  </w:footnote>
  <w:footnote w:id="5">
    <w:p w:rsidR="00304115" w:rsidRPr="001C76A9" w:rsidRDefault="00304115" w:rsidP="00C4238C">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rPr>
        <w:t xml:space="preserve">See </w:t>
      </w:r>
      <w:r w:rsidRPr="001C76A9">
        <w:rPr>
          <w:sz w:val="22"/>
          <w:szCs w:val="22"/>
        </w:rPr>
        <w:t xml:space="preserve">Supplementary Protocol A/SP.1/01/05 Amending the Preamble and Articles 1, 2, 9 and 30 of Protocol A/P.1/7/91 relating to the Community Court of Justice and Article 4 Paragraph 1 of the English Version of the Said Protocol, 19 January 2005, available at http://www.courtecowas.org/site2012/pdf_files/supplementary_protocol.pdf. </w:t>
      </w:r>
      <w:r w:rsidRPr="001C76A9">
        <w:rPr>
          <w:i/>
          <w:sz w:val="22"/>
          <w:szCs w:val="22"/>
        </w:rPr>
        <w:cr/>
      </w:r>
      <w:r w:rsidRPr="001C76A9">
        <w:rPr>
          <w:sz w:val="22"/>
          <w:szCs w:val="22"/>
        </w:rPr>
        <w:t xml:space="preserve">Additional information about the </w:t>
      </w:r>
      <w:r w:rsidRPr="001C76A9">
        <w:rPr>
          <w:sz w:val="22"/>
          <w:szCs w:val="22"/>
          <w:lang w:val="en-US"/>
        </w:rPr>
        <w:t xml:space="preserve">ECOWAS Court of Justice is available at its website, </w:t>
      </w:r>
      <w:hyperlink r:id="rId1" w:history="1">
        <w:r w:rsidRPr="001C76A9">
          <w:rPr>
            <w:rStyle w:val="Hyperlink"/>
            <w:sz w:val="22"/>
            <w:szCs w:val="22"/>
          </w:rPr>
          <w:t>http://www.courtecowas.org/site2012/index.php?option=com_content&amp;view=article&amp;id=2&amp;Itemid=5</w:t>
        </w:r>
      </w:hyperlink>
      <w:r w:rsidRPr="001C76A9">
        <w:rPr>
          <w:sz w:val="22"/>
          <w:szCs w:val="22"/>
          <w:lang w:val="en-US"/>
        </w:rPr>
        <w:t>.</w:t>
      </w:r>
    </w:p>
  </w:footnote>
  <w:footnote w:id="6">
    <w:p w:rsidR="00304115" w:rsidRPr="001C76A9" w:rsidRDefault="00304115" w:rsidP="002523AA">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lang w:val="en-US"/>
        </w:rPr>
        <w:t>Ibid</w:t>
      </w:r>
      <w:r w:rsidRPr="001C76A9">
        <w:rPr>
          <w:sz w:val="22"/>
          <w:szCs w:val="22"/>
          <w:lang w:val="en-US"/>
        </w:rPr>
        <w:t>.</w:t>
      </w:r>
    </w:p>
  </w:footnote>
  <w:footnote w:id="7">
    <w:p w:rsidR="00304115" w:rsidRPr="001C76A9" w:rsidRDefault="00304115" w:rsidP="0045066C">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sz w:val="22"/>
          <w:szCs w:val="22"/>
          <w:lang w:val="en-US"/>
        </w:rPr>
        <w:t>Protocol to the African Charter on Human and Peoples’ Rights on the Rights of Women in Africa, 11 July 2003, available at the African Commission website, http://www.achpr.org/instruments/women-protocol/.</w:t>
      </w:r>
    </w:p>
  </w:footnote>
  <w:footnote w:id="8">
    <w:p w:rsidR="00304115" w:rsidRPr="001C76A9" w:rsidRDefault="00304115" w:rsidP="006D67BC">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rPr>
        <w:t>Social and Economic Rights Action Centre and another v. Federal Republic of Nigeria</w:t>
      </w:r>
      <w:r w:rsidRPr="001C76A9">
        <w:rPr>
          <w:sz w:val="22"/>
          <w:szCs w:val="22"/>
        </w:rPr>
        <w:t xml:space="preserve">, Communication 155/96 (African Commission on Human and Peoples’ Rights 2001), available at </w:t>
      </w:r>
      <w:hyperlink r:id="rId2" w:history="1">
        <w:r w:rsidRPr="001C76A9">
          <w:rPr>
            <w:rStyle w:val="Hyperlink"/>
            <w:sz w:val="22"/>
            <w:szCs w:val="22"/>
          </w:rPr>
          <w:t>http://www.cesr.org/downloads/AfricanCommissionDecision.pdf</w:t>
        </w:r>
      </w:hyperlink>
      <w:r w:rsidRPr="001C76A9">
        <w:rPr>
          <w:sz w:val="22"/>
          <w:szCs w:val="22"/>
        </w:rPr>
        <w:t xml:space="preserve"> (hereafter </w:t>
      </w:r>
      <w:proofErr w:type="spellStart"/>
      <w:r w:rsidRPr="001C76A9">
        <w:rPr>
          <w:i/>
          <w:sz w:val="22"/>
          <w:szCs w:val="22"/>
        </w:rPr>
        <w:t>Ogoniland</w:t>
      </w:r>
      <w:proofErr w:type="spellEnd"/>
      <w:r w:rsidRPr="001C76A9">
        <w:rPr>
          <w:sz w:val="22"/>
          <w:szCs w:val="22"/>
        </w:rPr>
        <w:t xml:space="preserve"> case).</w:t>
      </w:r>
    </w:p>
  </w:footnote>
  <w:footnote w:id="9">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lang w:val="en-US"/>
        </w:rPr>
        <w:t>Ibid.</w:t>
      </w:r>
      <w:r w:rsidRPr="001C76A9">
        <w:rPr>
          <w:sz w:val="22"/>
          <w:szCs w:val="22"/>
          <w:lang w:val="en-US"/>
        </w:rPr>
        <w:t xml:space="preserve"> ¶ 2</w:t>
      </w:r>
    </w:p>
  </w:footnote>
  <w:footnote w:id="10">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rPr>
        <w:t>Ibid.</w:t>
      </w:r>
      <w:r w:rsidRPr="001C76A9">
        <w:rPr>
          <w:sz w:val="22"/>
          <w:szCs w:val="22"/>
        </w:rPr>
        <w:t xml:space="preserve"> ¶ 51.</w:t>
      </w:r>
    </w:p>
  </w:footnote>
  <w:footnote w:id="11">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lang w:val="en-US"/>
        </w:rPr>
        <w:t>SERAP v. Nigeria</w:t>
      </w:r>
      <w:r w:rsidRPr="001C76A9">
        <w:rPr>
          <w:sz w:val="22"/>
          <w:szCs w:val="22"/>
          <w:lang w:val="en-US"/>
        </w:rPr>
        <w:t>,  No. ECW/CCJ/JUD/18/12 (ECOWAS Court of Justice 2012), ¶ 96.</w:t>
      </w:r>
    </w:p>
  </w:footnote>
  <w:footnote w:id="12">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proofErr w:type="spellStart"/>
      <w:r w:rsidRPr="001C76A9">
        <w:rPr>
          <w:sz w:val="22"/>
          <w:szCs w:val="22"/>
        </w:rPr>
        <w:t>Center</w:t>
      </w:r>
      <w:proofErr w:type="spellEnd"/>
      <w:r w:rsidRPr="001C76A9">
        <w:rPr>
          <w:sz w:val="22"/>
          <w:szCs w:val="22"/>
        </w:rPr>
        <w:t xml:space="preserve"> for Minority Rights Development (Kenya) and Minority Rights Group International on behalf of the </w:t>
      </w:r>
      <w:proofErr w:type="spellStart"/>
      <w:r w:rsidRPr="001C76A9">
        <w:rPr>
          <w:sz w:val="22"/>
          <w:szCs w:val="22"/>
        </w:rPr>
        <w:t>Endorois</w:t>
      </w:r>
      <w:proofErr w:type="spellEnd"/>
      <w:r w:rsidRPr="001C76A9">
        <w:rPr>
          <w:sz w:val="22"/>
          <w:szCs w:val="22"/>
        </w:rPr>
        <w:t xml:space="preserve"> Welfare Council v. Kenya, Case No. 276/2003 (African Commission for Human and Peoples’ Rights 2009).</w:t>
      </w:r>
    </w:p>
  </w:footnote>
  <w:footnote w:id="13">
    <w:p w:rsidR="00304115" w:rsidRPr="001C76A9" w:rsidRDefault="00304115" w:rsidP="00CB5EFA">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lang w:val="en-US"/>
        </w:rPr>
        <w:t>Ibid.</w:t>
      </w:r>
      <w:r w:rsidRPr="001C76A9">
        <w:rPr>
          <w:sz w:val="22"/>
          <w:szCs w:val="22"/>
          <w:lang w:val="en-US"/>
        </w:rPr>
        <w:t xml:space="preserve"> </w:t>
      </w:r>
      <w:r w:rsidRPr="001C76A9">
        <w:rPr>
          <w:sz w:val="22"/>
          <w:szCs w:val="22"/>
        </w:rPr>
        <w:t>¶ 210.</w:t>
      </w:r>
    </w:p>
  </w:footnote>
  <w:footnote w:id="14">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lang w:val="en-US"/>
        </w:rPr>
        <w:t>Ibid.</w:t>
      </w:r>
      <w:r w:rsidRPr="001C76A9">
        <w:rPr>
          <w:sz w:val="22"/>
          <w:szCs w:val="22"/>
          <w:lang w:val="en-US"/>
        </w:rPr>
        <w:t xml:space="preserve"> </w:t>
      </w:r>
      <w:r w:rsidRPr="001C76A9">
        <w:rPr>
          <w:sz w:val="22"/>
          <w:szCs w:val="22"/>
        </w:rPr>
        <w:t>¶ 214.</w:t>
      </w:r>
    </w:p>
  </w:footnote>
  <w:footnote w:id="15">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African Commission on Human and Peoples' Rights, Resolution 153 on Climate Change and Human Rights and the Need to Study its Impact in Africa (25 November 2009), available at </w:t>
      </w:r>
      <w:hyperlink r:id="rId3" w:history="1">
        <w:r w:rsidRPr="001C76A9">
          <w:rPr>
            <w:rStyle w:val="Hyperlink"/>
            <w:sz w:val="22"/>
            <w:szCs w:val="22"/>
          </w:rPr>
          <w:t>http://www.achpr.org/sessions/46th/resolutions/153/</w:t>
        </w:r>
      </w:hyperlink>
      <w:r w:rsidRPr="001C76A9">
        <w:rPr>
          <w:rStyle w:val="Hyperlink"/>
          <w:sz w:val="22"/>
          <w:szCs w:val="22"/>
        </w:rPr>
        <w:t>.</w:t>
      </w:r>
    </w:p>
  </w:footnote>
  <w:footnote w:id="16">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lang w:val="en-US"/>
        </w:rPr>
        <w:t>SERAP v. Nigeria</w:t>
      </w:r>
      <w:r w:rsidRPr="001C76A9">
        <w:rPr>
          <w:sz w:val="22"/>
          <w:szCs w:val="22"/>
          <w:lang w:val="en-US"/>
        </w:rPr>
        <w:t xml:space="preserve">, note 11 </w:t>
      </w:r>
      <w:r w:rsidRPr="001C76A9">
        <w:rPr>
          <w:i/>
          <w:sz w:val="22"/>
          <w:szCs w:val="22"/>
          <w:lang w:val="en-US"/>
        </w:rPr>
        <w:t>supra,</w:t>
      </w:r>
      <w:r w:rsidRPr="001C76A9">
        <w:rPr>
          <w:sz w:val="22"/>
          <w:szCs w:val="22"/>
          <w:lang w:val="en-US"/>
        </w:rPr>
        <w:t xml:space="preserve"> ¶ 100.</w:t>
      </w:r>
    </w:p>
  </w:footnote>
  <w:footnote w:id="17">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lang w:val="en-US"/>
        </w:rPr>
        <w:t>Ibid</w:t>
      </w:r>
      <w:r w:rsidRPr="001C76A9">
        <w:rPr>
          <w:sz w:val="22"/>
          <w:szCs w:val="22"/>
          <w:lang w:val="en-US"/>
        </w:rPr>
        <w:t xml:space="preserve">. (citing ICJ Advisory Opinion of 8 July 2006, </w:t>
      </w:r>
      <w:r w:rsidRPr="001C76A9">
        <w:rPr>
          <w:i/>
          <w:sz w:val="22"/>
          <w:szCs w:val="22"/>
          <w:lang w:val="en-US"/>
        </w:rPr>
        <w:t>Legality of the threat or use of nuclear arms</w:t>
      </w:r>
      <w:r w:rsidRPr="001C76A9">
        <w:rPr>
          <w:sz w:val="22"/>
          <w:szCs w:val="22"/>
          <w:lang w:val="en-US"/>
        </w:rPr>
        <w:t>, ¶ 28).</w:t>
      </w:r>
    </w:p>
  </w:footnote>
  <w:footnote w:id="18">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proofErr w:type="spellStart"/>
      <w:r w:rsidRPr="001C76A9">
        <w:rPr>
          <w:i/>
          <w:sz w:val="22"/>
          <w:szCs w:val="22"/>
          <w:lang w:val="en-US"/>
        </w:rPr>
        <w:t>Endorois</w:t>
      </w:r>
      <w:proofErr w:type="spellEnd"/>
      <w:r w:rsidRPr="001C76A9">
        <w:rPr>
          <w:i/>
          <w:sz w:val="22"/>
          <w:szCs w:val="22"/>
          <w:lang w:val="en-US"/>
        </w:rPr>
        <w:t xml:space="preserve"> v. Kenya</w:t>
      </w:r>
      <w:r w:rsidRPr="001C76A9">
        <w:rPr>
          <w:sz w:val="22"/>
          <w:szCs w:val="22"/>
          <w:lang w:val="en-US"/>
        </w:rPr>
        <w:t>, note 12</w:t>
      </w:r>
      <w:r w:rsidRPr="001C76A9">
        <w:rPr>
          <w:bCs/>
          <w:i/>
          <w:sz w:val="22"/>
          <w:szCs w:val="22"/>
        </w:rPr>
        <w:t xml:space="preserve"> supra</w:t>
      </w:r>
      <w:r w:rsidRPr="001C76A9">
        <w:rPr>
          <w:sz w:val="22"/>
          <w:szCs w:val="22"/>
          <w:lang w:val="en-US"/>
        </w:rPr>
        <w:t xml:space="preserve">, </w:t>
      </w:r>
      <w:r w:rsidRPr="001C76A9">
        <w:rPr>
          <w:sz w:val="22"/>
          <w:szCs w:val="22"/>
        </w:rPr>
        <w:t>¶ 250.</w:t>
      </w:r>
    </w:p>
  </w:footnote>
  <w:footnote w:id="19">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lang w:val="en-US"/>
        </w:rPr>
        <w:t>Ibid.</w:t>
      </w:r>
      <w:r w:rsidRPr="001C76A9">
        <w:rPr>
          <w:sz w:val="22"/>
          <w:szCs w:val="22"/>
          <w:lang w:val="en-US"/>
        </w:rPr>
        <w:t xml:space="preserve"> </w:t>
      </w:r>
      <w:r w:rsidRPr="001C76A9">
        <w:rPr>
          <w:sz w:val="22"/>
          <w:szCs w:val="22"/>
        </w:rPr>
        <w:t>¶ 288.</w:t>
      </w:r>
    </w:p>
  </w:footnote>
  <w:footnote w:id="20">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proofErr w:type="spellStart"/>
      <w:r w:rsidRPr="001C76A9">
        <w:rPr>
          <w:i/>
          <w:sz w:val="22"/>
          <w:szCs w:val="22"/>
          <w:lang w:val="en-US"/>
        </w:rPr>
        <w:t>Ogoniland</w:t>
      </w:r>
      <w:proofErr w:type="spellEnd"/>
      <w:r w:rsidRPr="001C76A9">
        <w:rPr>
          <w:sz w:val="22"/>
          <w:szCs w:val="22"/>
          <w:lang w:val="en-US"/>
        </w:rPr>
        <w:t xml:space="preserve"> case, note 8</w:t>
      </w:r>
      <w:r w:rsidRPr="001C76A9">
        <w:rPr>
          <w:bCs/>
          <w:i/>
          <w:sz w:val="22"/>
          <w:szCs w:val="22"/>
        </w:rPr>
        <w:t xml:space="preserve"> supra</w:t>
      </w:r>
      <w:r w:rsidRPr="001C76A9">
        <w:rPr>
          <w:sz w:val="22"/>
          <w:szCs w:val="22"/>
          <w:lang w:val="en-US"/>
        </w:rPr>
        <w:t>, ¶ 53.</w:t>
      </w:r>
    </w:p>
  </w:footnote>
  <w:footnote w:id="21">
    <w:p w:rsidR="00304115" w:rsidRPr="001C76A9" w:rsidRDefault="00304115" w:rsidP="00D27C8E">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lang w:val="en-US"/>
        </w:rPr>
        <w:t>SERAP v. Nigeria</w:t>
      </w:r>
      <w:r w:rsidRPr="001C76A9">
        <w:rPr>
          <w:sz w:val="22"/>
          <w:szCs w:val="22"/>
          <w:lang w:val="en-US"/>
        </w:rPr>
        <w:t>, note 11</w:t>
      </w:r>
      <w:r w:rsidRPr="001C76A9">
        <w:rPr>
          <w:bCs/>
          <w:i/>
          <w:sz w:val="22"/>
          <w:szCs w:val="22"/>
        </w:rPr>
        <w:t xml:space="preserve"> supra</w:t>
      </w:r>
      <w:r w:rsidRPr="001C76A9">
        <w:rPr>
          <w:sz w:val="22"/>
          <w:szCs w:val="22"/>
          <w:lang w:val="en-US"/>
        </w:rPr>
        <w:t>, ¶ 97.</w:t>
      </w:r>
    </w:p>
  </w:footnote>
  <w:footnote w:id="22">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lang w:val="en-US"/>
        </w:rPr>
        <w:t>Ibid</w:t>
      </w:r>
      <w:r w:rsidRPr="001C76A9">
        <w:rPr>
          <w:sz w:val="22"/>
          <w:szCs w:val="22"/>
          <w:lang w:val="en-US"/>
        </w:rPr>
        <w:t>. ¶ 97.</w:t>
      </w:r>
    </w:p>
  </w:footnote>
  <w:footnote w:id="23">
    <w:p w:rsidR="00304115" w:rsidRPr="001C76A9" w:rsidRDefault="00304115" w:rsidP="00D27C8E">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lang w:val="en-US"/>
        </w:rPr>
        <w:t>Ibid.</w:t>
      </w:r>
      <w:r w:rsidRPr="001C76A9">
        <w:rPr>
          <w:sz w:val="22"/>
          <w:szCs w:val="22"/>
          <w:lang w:val="en-US"/>
        </w:rPr>
        <w:t xml:space="preserve"> ¶ 110.</w:t>
      </w:r>
    </w:p>
  </w:footnote>
  <w:footnote w:id="24">
    <w:p w:rsidR="00304115" w:rsidRPr="001C76A9" w:rsidRDefault="00304115" w:rsidP="00165491">
      <w:pPr>
        <w:pStyle w:val="FootnoteText"/>
        <w:widowControl w:val="0"/>
        <w:tabs>
          <w:tab w:val="right" w:pos="1020"/>
        </w:tabs>
        <w:rPr>
          <w:sz w:val="22"/>
          <w:szCs w:val="22"/>
        </w:rPr>
      </w:pPr>
      <w:r w:rsidRPr="001C76A9">
        <w:rPr>
          <w:rStyle w:val="FootnoteReference"/>
          <w:sz w:val="22"/>
          <w:szCs w:val="22"/>
        </w:rPr>
        <w:footnoteRef/>
      </w:r>
      <w:r w:rsidRPr="001C76A9">
        <w:rPr>
          <w:sz w:val="22"/>
          <w:szCs w:val="22"/>
        </w:rPr>
        <w:tab/>
        <w:t xml:space="preserve"> </w:t>
      </w:r>
      <w:proofErr w:type="spellStart"/>
      <w:r w:rsidRPr="001C76A9">
        <w:rPr>
          <w:i/>
          <w:sz w:val="22"/>
          <w:szCs w:val="22"/>
          <w:lang w:val="en-US"/>
        </w:rPr>
        <w:t>Ogoniland</w:t>
      </w:r>
      <w:proofErr w:type="spellEnd"/>
      <w:r w:rsidRPr="001C76A9">
        <w:rPr>
          <w:iCs/>
          <w:sz w:val="22"/>
          <w:szCs w:val="22"/>
          <w:lang w:val="en-US"/>
        </w:rPr>
        <w:t xml:space="preserve"> case</w:t>
      </w:r>
      <w:r w:rsidRPr="001C76A9">
        <w:rPr>
          <w:sz w:val="22"/>
          <w:szCs w:val="22"/>
          <w:lang w:val="en-US"/>
        </w:rPr>
        <w:t>, note 8</w:t>
      </w:r>
      <w:r w:rsidRPr="001C76A9">
        <w:rPr>
          <w:bCs/>
          <w:i/>
          <w:sz w:val="22"/>
          <w:szCs w:val="22"/>
        </w:rPr>
        <w:t xml:space="preserve"> supra</w:t>
      </w:r>
      <w:r w:rsidRPr="001C76A9">
        <w:rPr>
          <w:sz w:val="22"/>
          <w:szCs w:val="22"/>
          <w:lang w:val="en-US"/>
        </w:rPr>
        <w:t xml:space="preserve">, ¶ 54. </w:t>
      </w:r>
    </w:p>
  </w:footnote>
  <w:footnote w:id="25">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lang w:val="en-US"/>
        </w:rPr>
        <w:t>Ibid.</w:t>
      </w:r>
      <w:r w:rsidRPr="001C76A9">
        <w:rPr>
          <w:sz w:val="22"/>
          <w:szCs w:val="22"/>
          <w:lang w:val="en-US"/>
        </w:rPr>
        <w:t xml:space="preserve"> ¶ 52.</w:t>
      </w:r>
    </w:p>
  </w:footnote>
  <w:footnote w:id="26">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rPr>
        <w:t>Ibid</w:t>
      </w:r>
      <w:r w:rsidRPr="001C76A9">
        <w:rPr>
          <w:sz w:val="22"/>
          <w:szCs w:val="22"/>
          <w:lang w:val="en-US"/>
        </w:rPr>
        <w:t>.</w:t>
      </w:r>
    </w:p>
  </w:footnote>
  <w:footnote w:id="27">
    <w:p w:rsidR="00304115" w:rsidRPr="001C76A9" w:rsidRDefault="00304115" w:rsidP="00165491">
      <w:pPr>
        <w:pStyle w:val="FootnoteText"/>
        <w:widowControl w:val="0"/>
        <w:tabs>
          <w:tab w:val="right" w:pos="1020"/>
        </w:tabs>
        <w:rPr>
          <w:sz w:val="22"/>
          <w:szCs w:val="22"/>
        </w:rPr>
      </w:pPr>
      <w:r w:rsidRPr="001C76A9">
        <w:rPr>
          <w:rStyle w:val="FootnoteReference"/>
          <w:sz w:val="22"/>
          <w:szCs w:val="22"/>
        </w:rPr>
        <w:footnoteRef/>
      </w:r>
      <w:r w:rsidRPr="001C76A9">
        <w:rPr>
          <w:i/>
          <w:sz w:val="22"/>
          <w:szCs w:val="22"/>
        </w:rPr>
        <w:t xml:space="preserve"> Ibid.</w:t>
      </w:r>
      <w:r w:rsidRPr="001C76A9">
        <w:rPr>
          <w:sz w:val="22"/>
          <w:szCs w:val="22"/>
          <w:lang w:val="en-US"/>
        </w:rPr>
        <w:t xml:space="preserve"> ¶ 54. </w:t>
      </w:r>
    </w:p>
  </w:footnote>
  <w:footnote w:id="28">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lang w:val="en-US"/>
        </w:rPr>
        <w:t>SERAP v. Nigeria</w:t>
      </w:r>
      <w:r w:rsidRPr="001C76A9">
        <w:rPr>
          <w:sz w:val="22"/>
          <w:szCs w:val="22"/>
          <w:lang w:val="en-US"/>
        </w:rPr>
        <w:t>,</w:t>
      </w:r>
      <w:r w:rsidRPr="001C76A9">
        <w:rPr>
          <w:i/>
          <w:sz w:val="22"/>
          <w:szCs w:val="22"/>
          <w:lang w:val="en-US"/>
        </w:rPr>
        <w:t xml:space="preserve"> </w:t>
      </w:r>
      <w:r w:rsidRPr="001C76A9">
        <w:rPr>
          <w:sz w:val="22"/>
          <w:szCs w:val="22"/>
          <w:lang w:val="en-US"/>
        </w:rPr>
        <w:t xml:space="preserve">note 11 </w:t>
      </w:r>
      <w:r w:rsidRPr="001C76A9">
        <w:rPr>
          <w:bCs/>
          <w:i/>
          <w:sz w:val="22"/>
          <w:szCs w:val="22"/>
        </w:rPr>
        <w:t>supra</w:t>
      </w:r>
      <w:r w:rsidRPr="001C76A9">
        <w:rPr>
          <w:sz w:val="22"/>
          <w:szCs w:val="22"/>
          <w:lang w:val="en-US"/>
        </w:rPr>
        <w:t>, ¶ 99.</w:t>
      </w:r>
    </w:p>
  </w:footnote>
  <w:footnote w:id="29">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lang w:val="en-US"/>
        </w:rPr>
        <w:t>Ibid.</w:t>
      </w:r>
      <w:r w:rsidRPr="001C76A9">
        <w:rPr>
          <w:sz w:val="22"/>
          <w:szCs w:val="22"/>
          <w:lang w:val="en-US"/>
        </w:rPr>
        <w:t xml:space="preserve"> ¶101.</w:t>
      </w:r>
    </w:p>
  </w:footnote>
  <w:footnote w:id="30">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lang w:val="en-US"/>
        </w:rPr>
        <w:t>Ibid.</w:t>
      </w:r>
      <w:r w:rsidRPr="001C76A9">
        <w:rPr>
          <w:sz w:val="22"/>
          <w:szCs w:val="22"/>
          <w:lang w:val="en-US"/>
        </w:rPr>
        <w:t xml:space="preserve"> ¶ 105.</w:t>
      </w:r>
    </w:p>
  </w:footnote>
  <w:footnote w:id="31">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proofErr w:type="spellStart"/>
      <w:r w:rsidRPr="001C76A9">
        <w:rPr>
          <w:i/>
          <w:sz w:val="22"/>
          <w:szCs w:val="22"/>
          <w:lang w:val="en-US"/>
        </w:rPr>
        <w:t>Ogoniland</w:t>
      </w:r>
      <w:proofErr w:type="spellEnd"/>
      <w:r w:rsidRPr="001C76A9">
        <w:rPr>
          <w:i/>
          <w:sz w:val="22"/>
          <w:szCs w:val="22"/>
          <w:lang w:val="en-US"/>
        </w:rPr>
        <w:t xml:space="preserve"> </w:t>
      </w:r>
      <w:r w:rsidRPr="001C76A9">
        <w:rPr>
          <w:sz w:val="22"/>
          <w:szCs w:val="22"/>
          <w:lang w:val="en-US"/>
        </w:rPr>
        <w:t>case, note 8</w:t>
      </w:r>
      <w:r w:rsidRPr="001C76A9">
        <w:rPr>
          <w:bCs/>
          <w:i/>
          <w:sz w:val="22"/>
          <w:szCs w:val="22"/>
        </w:rPr>
        <w:t xml:space="preserve"> supra</w:t>
      </w:r>
      <w:r w:rsidRPr="001C76A9">
        <w:rPr>
          <w:sz w:val="22"/>
          <w:szCs w:val="22"/>
          <w:lang w:val="en-US"/>
        </w:rPr>
        <w:t>, ¶ 52.</w:t>
      </w:r>
    </w:p>
  </w:footnote>
  <w:footnote w:id="32">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lang w:val="en-US"/>
        </w:rPr>
        <w:t>Ibid</w:t>
      </w:r>
      <w:r w:rsidRPr="001C76A9">
        <w:rPr>
          <w:sz w:val="22"/>
          <w:szCs w:val="22"/>
          <w:lang w:val="en-US"/>
        </w:rPr>
        <w:t>.</w:t>
      </w:r>
    </w:p>
  </w:footnote>
  <w:footnote w:id="33">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proofErr w:type="spellStart"/>
      <w:r w:rsidRPr="001C76A9">
        <w:rPr>
          <w:i/>
          <w:sz w:val="22"/>
          <w:szCs w:val="22"/>
          <w:lang w:val="en-US"/>
        </w:rPr>
        <w:t>Endorois</w:t>
      </w:r>
      <w:proofErr w:type="spellEnd"/>
      <w:r w:rsidRPr="001C76A9">
        <w:rPr>
          <w:i/>
          <w:sz w:val="22"/>
          <w:szCs w:val="22"/>
          <w:lang w:val="en-US"/>
        </w:rPr>
        <w:t xml:space="preserve"> v. Kenya</w:t>
      </w:r>
      <w:r w:rsidRPr="001C76A9">
        <w:rPr>
          <w:sz w:val="22"/>
          <w:szCs w:val="22"/>
          <w:lang w:val="en-US"/>
        </w:rPr>
        <w:t xml:space="preserve">, note 12 </w:t>
      </w:r>
      <w:r w:rsidRPr="001C76A9">
        <w:rPr>
          <w:i/>
          <w:sz w:val="22"/>
          <w:szCs w:val="22"/>
          <w:lang w:val="en-US"/>
        </w:rPr>
        <w:t>supra</w:t>
      </w:r>
      <w:r w:rsidRPr="001C76A9">
        <w:rPr>
          <w:sz w:val="22"/>
          <w:szCs w:val="22"/>
          <w:lang w:val="en-US"/>
        </w:rPr>
        <w:t xml:space="preserve">, </w:t>
      </w:r>
      <w:r w:rsidRPr="001C76A9">
        <w:rPr>
          <w:sz w:val="22"/>
          <w:szCs w:val="22"/>
        </w:rPr>
        <w:t>¶ 211.</w:t>
      </w:r>
    </w:p>
  </w:footnote>
  <w:footnote w:id="34">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lang w:val="en-US"/>
        </w:rPr>
        <w:t>Ibid.</w:t>
      </w:r>
      <w:r w:rsidRPr="001C76A9">
        <w:rPr>
          <w:sz w:val="22"/>
          <w:szCs w:val="22"/>
          <w:lang w:val="en-US"/>
        </w:rPr>
        <w:t xml:space="preserve"> </w:t>
      </w:r>
      <w:r w:rsidRPr="001C76A9">
        <w:rPr>
          <w:sz w:val="22"/>
          <w:szCs w:val="22"/>
        </w:rPr>
        <w:t>¶ 212.</w:t>
      </w:r>
    </w:p>
  </w:footnote>
  <w:footnote w:id="35">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lang w:val="en-US"/>
        </w:rPr>
        <w:t>Ibid.</w:t>
      </w:r>
      <w:r w:rsidRPr="001C76A9">
        <w:rPr>
          <w:sz w:val="22"/>
          <w:szCs w:val="22"/>
          <w:lang w:val="en-US"/>
        </w:rPr>
        <w:t xml:space="preserve"> ¶¶ 214, 292-93.</w:t>
      </w:r>
    </w:p>
  </w:footnote>
  <w:footnote w:id="36">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lang w:val="en-US"/>
        </w:rPr>
        <w:t>Ibid.</w:t>
      </w:r>
      <w:r w:rsidRPr="001C76A9">
        <w:rPr>
          <w:sz w:val="22"/>
          <w:szCs w:val="22"/>
          <w:lang w:val="en-US"/>
        </w:rPr>
        <w:t xml:space="preserve"> ¶¶ 211, 219.</w:t>
      </w:r>
    </w:p>
  </w:footnote>
  <w:footnote w:id="37">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lang w:val="en-US"/>
        </w:rPr>
        <w:t>Ibid.</w:t>
      </w:r>
      <w:r w:rsidRPr="001C76A9">
        <w:rPr>
          <w:sz w:val="22"/>
          <w:szCs w:val="22"/>
          <w:lang w:val="en-US"/>
        </w:rPr>
        <w:t xml:space="preserve"> ¶ 224</w:t>
      </w:r>
    </w:p>
  </w:footnote>
  <w:footnote w:id="38">
    <w:p w:rsidR="00304115" w:rsidRPr="001C76A9" w:rsidRDefault="00304115" w:rsidP="00671C96">
      <w:pPr>
        <w:pStyle w:val="FootnoteText"/>
        <w:rPr>
          <w:sz w:val="22"/>
          <w:szCs w:val="22"/>
          <w:lang w:val="en-US"/>
        </w:rPr>
      </w:pPr>
      <w:r w:rsidRPr="001C76A9">
        <w:rPr>
          <w:rStyle w:val="FootnoteReference"/>
          <w:sz w:val="22"/>
          <w:szCs w:val="22"/>
        </w:rPr>
        <w:footnoteRef/>
      </w:r>
      <w:r w:rsidRPr="001C76A9">
        <w:rPr>
          <w:i/>
          <w:sz w:val="22"/>
          <w:szCs w:val="22"/>
        </w:rPr>
        <w:t>Ibid.</w:t>
      </w:r>
      <w:r w:rsidRPr="001C76A9">
        <w:rPr>
          <w:sz w:val="22"/>
          <w:szCs w:val="22"/>
          <w:lang w:val="en-US"/>
        </w:rPr>
        <w:t xml:space="preserve"> ¶ 226.</w:t>
      </w:r>
    </w:p>
  </w:footnote>
  <w:footnote w:id="39">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iCs/>
          <w:sz w:val="22"/>
          <w:szCs w:val="22"/>
          <w:lang w:val="en-US"/>
        </w:rPr>
        <w:t xml:space="preserve">Case of the </w:t>
      </w:r>
      <w:proofErr w:type="spellStart"/>
      <w:r w:rsidRPr="001C76A9">
        <w:rPr>
          <w:i/>
          <w:iCs/>
          <w:sz w:val="22"/>
          <w:szCs w:val="22"/>
          <w:lang w:val="en-US"/>
        </w:rPr>
        <w:t>Saramaka</w:t>
      </w:r>
      <w:proofErr w:type="spellEnd"/>
      <w:r w:rsidRPr="001C76A9">
        <w:rPr>
          <w:i/>
          <w:iCs/>
          <w:sz w:val="22"/>
          <w:szCs w:val="22"/>
          <w:lang w:val="en-US"/>
        </w:rPr>
        <w:t xml:space="preserve"> People v. Suriname</w:t>
      </w:r>
      <w:r w:rsidRPr="001C76A9">
        <w:rPr>
          <w:iCs/>
          <w:sz w:val="22"/>
          <w:szCs w:val="22"/>
          <w:lang w:val="en-US"/>
        </w:rPr>
        <w:t xml:space="preserve"> (Preliminary Objections, Merits, Reparations, and Costs</w:t>
      </w:r>
      <w:r w:rsidRPr="001C76A9">
        <w:rPr>
          <w:sz w:val="22"/>
          <w:szCs w:val="22"/>
          <w:lang w:val="en-US"/>
        </w:rPr>
        <w:t>), Ser. C No. 172 (Inter-American Court of Human Rights 2007.</w:t>
      </w:r>
    </w:p>
  </w:footnote>
  <w:footnote w:id="40">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proofErr w:type="spellStart"/>
      <w:r w:rsidRPr="001C76A9">
        <w:rPr>
          <w:i/>
          <w:sz w:val="22"/>
          <w:szCs w:val="22"/>
          <w:lang w:val="en-US"/>
        </w:rPr>
        <w:t>Endorois</w:t>
      </w:r>
      <w:proofErr w:type="spellEnd"/>
      <w:r w:rsidRPr="001C76A9">
        <w:rPr>
          <w:i/>
          <w:sz w:val="22"/>
          <w:szCs w:val="22"/>
          <w:lang w:val="en-US"/>
        </w:rPr>
        <w:t xml:space="preserve"> v. Kenya</w:t>
      </w:r>
      <w:r w:rsidRPr="001C76A9">
        <w:rPr>
          <w:sz w:val="22"/>
          <w:szCs w:val="22"/>
          <w:lang w:val="en-US"/>
        </w:rPr>
        <w:t>, note 12</w:t>
      </w:r>
      <w:r w:rsidRPr="001C76A9">
        <w:rPr>
          <w:bCs/>
          <w:i/>
          <w:sz w:val="22"/>
          <w:szCs w:val="22"/>
        </w:rPr>
        <w:t xml:space="preserve"> supra</w:t>
      </w:r>
      <w:r w:rsidRPr="001C76A9">
        <w:rPr>
          <w:sz w:val="22"/>
          <w:szCs w:val="22"/>
          <w:lang w:val="en-US"/>
        </w:rPr>
        <w:t>, ¶ 228.</w:t>
      </w:r>
    </w:p>
  </w:footnote>
  <w:footnote w:id="41">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rPr>
        <w:t>Ibid</w:t>
      </w:r>
      <w:r w:rsidRPr="001C76A9">
        <w:rPr>
          <w:sz w:val="22"/>
          <w:szCs w:val="22"/>
        </w:rPr>
        <w:t>.</w:t>
      </w:r>
      <w:r w:rsidRPr="001C76A9">
        <w:rPr>
          <w:sz w:val="22"/>
          <w:szCs w:val="22"/>
          <w:lang w:val="en-US"/>
        </w:rPr>
        <w:t xml:space="preserve"> ¶ 232 (quoting </w:t>
      </w:r>
      <w:r w:rsidRPr="001C76A9">
        <w:rPr>
          <w:sz w:val="22"/>
          <w:szCs w:val="22"/>
        </w:rPr>
        <w:t>Declaration on the Rights of Indigenous Peoples</w:t>
      </w:r>
      <w:r w:rsidRPr="001C76A9">
        <w:rPr>
          <w:color w:val="000000"/>
          <w:sz w:val="22"/>
          <w:szCs w:val="22"/>
        </w:rPr>
        <w:t>, preamble ¶ 5, E/CN.4/Sub.2/1994/2/Add.1 (1994) (emphasis added).</w:t>
      </w:r>
    </w:p>
  </w:footnote>
  <w:footnote w:id="42">
    <w:p w:rsidR="00304115" w:rsidRPr="001C76A9" w:rsidRDefault="00304115" w:rsidP="00E7613B">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sz w:val="22"/>
          <w:szCs w:val="22"/>
          <w:lang w:val="en-US"/>
        </w:rPr>
        <w:t xml:space="preserve">Protocol to the African Charter on the Rights of Women in Africa, note 7 </w:t>
      </w:r>
      <w:r w:rsidRPr="001C76A9">
        <w:rPr>
          <w:i/>
          <w:sz w:val="22"/>
          <w:szCs w:val="22"/>
          <w:lang w:val="en-US"/>
        </w:rPr>
        <w:t>supra</w:t>
      </w:r>
      <w:r w:rsidRPr="001C76A9">
        <w:rPr>
          <w:sz w:val="22"/>
          <w:szCs w:val="22"/>
          <w:lang w:val="en-US"/>
        </w:rPr>
        <w:t>, arts. 18, 19.</w:t>
      </w:r>
    </w:p>
  </w:footnote>
  <w:footnote w:id="43">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African Commission, Resolution 153 on Climate Change and Human Rights, note 15 </w:t>
      </w:r>
      <w:r w:rsidRPr="001C76A9">
        <w:rPr>
          <w:i/>
          <w:sz w:val="22"/>
          <w:szCs w:val="22"/>
        </w:rPr>
        <w:t>supra</w:t>
      </w:r>
      <w:r w:rsidRPr="001C76A9">
        <w:rPr>
          <w:sz w:val="22"/>
          <w:szCs w:val="22"/>
        </w:rPr>
        <w:t>.</w:t>
      </w:r>
    </w:p>
  </w:footnote>
  <w:footnote w:id="44">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lang w:val="en-US"/>
        </w:rPr>
        <w:t>Ibid</w:t>
      </w:r>
      <w:r w:rsidRPr="001C76A9">
        <w:rPr>
          <w:sz w:val="22"/>
          <w:szCs w:val="22"/>
          <w:lang w:val="en-US"/>
        </w:rPr>
        <w:t>.</w:t>
      </w:r>
    </w:p>
  </w:footnote>
  <w:footnote w:id="45">
    <w:p w:rsidR="00304115" w:rsidRPr="001C76A9" w:rsidRDefault="00304115" w:rsidP="003C0FC3">
      <w:pPr>
        <w:pStyle w:val="FootnoteText"/>
        <w:widowControl w:val="0"/>
        <w:tabs>
          <w:tab w:val="right" w:pos="1020"/>
        </w:tabs>
        <w:rPr>
          <w:sz w:val="22"/>
          <w:szCs w:val="22"/>
        </w:rPr>
      </w:pPr>
      <w:r w:rsidRPr="001C76A9">
        <w:rPr>
          <w:rStyle w:val="FootnoteReference"/>
          <w:sz w:val="22"/>
          <w:szCs w:val="22"/>
        </w:rPr>
        <w:footnoteRef/>
      </w:r>
      <w:r w:rsidRPr="001C76A9">
        <w:rPr>
          <w:sz w:val="22"/>
          <w:szCs w:val="22"/>
        </w:rPr>
        <w:tab/>
        <w:t xml:space="preserve"> </w:t>
      </w:r>
      <w:proofErr w:type="spellStart"/>
      <w:r w:rsidRPr="001C76A9">
        <w:rPr>
          <w:i/>
          <w:sz w:val="22"/>
          <w:szCs w:val="22"/>
          <w:lang w:val="en-US"/>
        </w:rPr>
        <w:t>Ogoniland</w:t>
      </w:r>
      <w:proofErr w:type="spellEnd"/>
      <w:r w:rsidRPr="001C76A9">
        <w:rPr>
          <w:i/>
          <w:sz w:val="22"/>
          <w:szCs w:val="22"/>
          <w:lang w:val="en-US"/>
        </w:rPr>
        <w:t xml:space="preserve"> </w:t>
      </w:r>
      <w:r w:rsidRPr="001C76A9">
        <w:rPr>
          <w:iCs/>
          <w:sz w:val="22"/>
          <w:szCs w:val="22"/>
          <w:lang w:val="en-US"/>
        </w:rPr>
        <w:t xml:space="preserve">case, </w:t>
      </w:r>
      <w:r w:rsidRPr="001C76A9">
        <w:rPr>
          <w:i/>
          <w:iCs/>
          <w:sz w:val="22"/>
          <w:szCs w:val="22"/>
          <w:lang w:val="en-US"/>
        </w:rPr>
        <w:t>supra</w:t>
      </w:r>
      <w:r w:rsidRPr="001C76A9">
        <w:rPr>
          <w:iCs/>
          <w:sz w:val="22"/>
          <w:szCs w:val="22"/>
          <w:lang w:val="en-US"/>
        </w:rPr>
        <w:t xml:space="preserve"> note 8,</w:t>
      </w:r>
      <w:r w:rsidRPr="001C76A9">
        <w:rPr>
          <w:i/>
          <w:sz w:val="22"/>
          <w:szCs w:val="22"/>
          <w:lang w:val="en-US"/>
        </w:rPr>
        <w:t xml:space="preserve"> </w:t>
      </w:r>
      <w:r w:rsidRPr="001C76A9">
        <w:rPr>
          <w:sz w:val="22"/>
          <w:szCs w:val="22"/>
          <w:lang w:val="en-US"/>
        </w:rPr>
        <w:t>¶¶ 57 - 58.</w:t>
      </w:r>
    </w:p>
  </w:footnote>
  <w:footnote w:id="46">
    <w:p w:rsidR="00304115" w:rsidRPr="001C76A9" w:rsidRDefault="00304115" w:rsidP="00CD637D">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bCs/>
          <w:sz w:val="22"/>
          <w:szCs w:val="22"/>
        </w:rPr>
        <w:t>League of Arab States, Arab Charter on Human Rights, 22 May 2004 (entered into force 15 March 2008), </w:t>
      </w:r>
      <w:r w:rsidRPr="001C76A9">
        <w:rPr>
          <w:bCs/>
          <w:i/>
          <w:iCs/>
          <w:sz w:val="22"/>
          <w:szCs w:val="22"/>
        </w:rPr>
        <w:t>reprinted in</w:t>
      </w:r>
      <w:r w:rsidRPr="001C76A9">
        <w:rPr>
          <w:bCs/>
          <w:sz w:val="22"/>
          <w:szCs w:val="22"/>
        </w:rPr>
        <w:t xml:space="preserve"> 12 Int'l Hum. </w:t>
      </w:r>
      <w:proofErr w:type="spellStart"/>
      <w:r w:rsidRPr="001C76A9">
        <w:rPr>
          <w:bCs/>
          <w:sz w:val="22"/>
          <w:szCs w:val="22"/>
        </w:rPr>
        <w:t>Rts</w:t>
      </w:r>
      <w:proofErr w:type="spellEnd"/>
      <w:r w:rsidRPr="001C76A9">
        <w:rPr>
          <w:bCs/>
          <w:sz w:val="22"/>
          <w:szCs w:val="22"/>
        </w:rPr>
        <w:t>. Rep. 893 (2005), ¶</w:t>
      </w:r>
      <w:r w:rsidR="008D13D8" w:rsidRPr="001C76A9">
        <w:rPr>
          <w:bCs/>
          <w:sz w:val="22"/>
          <w:szCs w:val="22"/>
        </w:rPr>
        <w:t xml:space="preserve"> </w:t>
      </w:r>
      <w:r w:rsidRPr="001C76A9">
        <w:rPr>
          <w:bCs/>
          <w:sz w:val="22"/>
          <w:szCs w:val="22"/>
        </w:rPr>
        <w:t>38.</w:t>
      </w:r>
    </w:p>
  </w:footnote>
  <w:footnote w:id="47">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sz w:val="22"/>
          <w:szCs w:val="22"/>
          <w:lang w:val="en-US"/>
        </w:rPr>
        <w:t>ASEAN Human Rights Declaration, 18 November 2012, available at http://www.asean.org/news/asean-statement-communiques/item/asean-human-rights-declaration.</w:t>
      </w:r>
    </w:p>
  </w:footnote>
  <w:footnote w:id="48">
    <w:p w:rsidR="00304115" w:rsidRPr="001C76A9" w:rsidRDefault="00304115" w:rsidP="00112A8A">
      <w:pPr>
        <w:pStyle w:val="FootnoteText"/>
        <w:rPr>
          <w:sz w:val="22"/>
          <w:szCs w:val="22"/>
          <w:lang w:val="en-US"/>
        </w:rPr>
      </w:pPr>
      <w:r w:rsidRPr="001C76A9">
        <w:rPr>
          <w:rStyle w:val="FootnoteReference"/>
          <w:sz w:val="22"/>
          <w:szCs w:val="22"/>
        </w:rPr>
        <w:footnoteRef/>
      </w:r>
      <w:r w:rsidRPr="001C76A9">
        <w:rPr>
          <w:sz w:val="22"/>
          <w:szCs w:val="22"/>
        </w:rPr>
        <w:t xml:space="preserve"> Asian and Pacific Declaration on Population and Development, 20 September 2013, available at </w:t>
      </w:r>
      <w:hyperlink r:id="rId4" w:history="1">
        <w:r w:rsidRPr="001C76A9">
          <w:rPr>
            <w:rStyle w:val="Hyperlink"/>
            <w:sz w:val="22"/>
            <w:szCs w:val="22"/>
          </w:rPr>
          <w:t>http://www.unfpa.org/webdav/site/global/shared/documents/news/2013/APPC6_WP1ER3.pdf</w:t>
        </w:r>
      </w:hyperlink>
      <w:r w:rsidRPr="001C76A9">
        <w:rPr>
          <w:sz w:val="22"/>
          <w:szCs w:val="22"/>
        </w:rPr>
        <w:t xml:space="preserve">, PP 17. </w:t>
      </w:r>
    </w:p>
  </w:footnote>
  <w:footnote w:id="49">
    <w:p w:rsidR="00304115" w:rsidRPr="001C76A9" w:rsidRDefault="00304115" w:rsidP="009A30E6">
      <w:pPr>
        <w:pStyle w:val="FootnoteText"/>
        <w:rPr>
          <w:sz w:val="22"/>
          <w:szCs w:val="22"/>
          <w:lang w:val="en-US"/>
        </w:rPr>
      </w:pPr>
      <w:r w:rsidRPr="001C76A9">
        <w:rPr>
          <w:rStyle w:val="FootnoteReference"/>
          <w:sz w:val="22"/>
          <w:szCs w:val="22"/>
        </w:rPr>
        <w:footnoteRef/>
      </w:r>
      <w:r w:rsidRPr="001C76A9">
        <w:rPr>
          <w:sz w:val="22"/>
          <w:szCs w:val="22"/>
        </w:rPr>
        <w:t xml:space="preserve"> Ministerial Declaration on Environment and Development in Asia and the Pacific, 20 October 2010, E/ESCAP/MCED(6)/11, Part 1 (g)-(h).</w:t>
      </w:r>
    </w:p>
  </w:footnote>
  <w:footnote w:id="50">
    <w:p w:rsidR="00304115" w:rsidRPr="001C76A9" w:rsidRDefault="00304115" w:rsidP="009A30E6">
      <w:pPr>
        <w:pStyle w:val="FootnoteText"/>
        <w:rPr>
          <w:i/>
          <w:sz w:val="22"/>
          <w:szCs w:val="22"/>
          <w:lang w:val="en-US"/>
        </w:rPr>
      </w:pPr>
      <w:r w:rsidRPr="001C76A9">
        <w:rPr>
          <w:rStyle w:val="FootnoteReference"/>
          <w:sz w:val="22"/>
          <w:szCs w:val="22"/>
        </w:rPr>
        <w:footnoteRef/>
      </w:r>
      <w:r w:rsidRPr="001C76A9">
        <w:rPr>
          <w:sz w:val="22"/>
          <w:szCs w:val="22"/>
        </w:rPr>
        <w:t xml:space="preserve"> </w:t>
      </w:r>
      <w:r w:rsidRPr="001C76A9">
        <w:rPr>
          <w:sz w:val="22"/>
          <w:szCs w:val="22"/>
          <w:lang w:val="en-US"/>
        </w:rPr>
        <w:t>Yangon Resolution on Sustainable Development, 18 December 2003, available at http://environment.asean.org/yangon-resolution-on-sustainable-development/, preamble</w:t>
      </w:r>
      <w:r w:rsidRPr="001C76A9">
        <w:rPr>
          <w:i/>
          <w:sz w:val="22"/>
          <w:szCs w:val="22"/>
          <w:lang w:val="en-US"/>
        </w:rPr>
        <w:t>.</w:t>
      </w:r>
    </w:p>
  </w:footnote>
  <w:footnote w:id="51">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sz w:val="22"/>
          <w:szCs w:val="22"/>
          <w:lang w:val="en-US"/>
        </w:rPr>
        <w:t xml:space="preserve">ASEAN Declaration on Environmental Sustainability, 20 November 2007, available at </w:t>
      </w:r>
      <w:hyperlink r:id="rId5" w:history="1">
        <w:r w:rsidRPr="001C76A9">
          <w:rPr>
            <w:rStyle w:val="Hyperlink"/>
            <w:sz w:val="22"/>
            <w:szCs w:val="22"/>
            <w:lang w:val="en-US"/>
          </w:rPr>
          <w:t>http://www.asean.org/news/item/asean-declaration-on-environmental-sustainability</w:t>
        </w:r>
      </w:hyperlink>
      <w:r w:rsidRPr="001C76A9">
        <w:rPr>
          <w:sz w:val="22"/>
          <w:szCs w:val="22"/>
          <w:lang w:val="en-US"/>
        </w:rPr>
        <w:t>,  preamble.</w:t>
      </w:r>
    </w:p>
  </w:footnote>
  <w:footnote w:id="52">
    <w:p w:rsidR="00304115" w:rsidRPr="001C76A9" w:rsidRDefault="00304115" w:rsidP="006F6127">
      <w:pPr>
        <w:pStyle w:val="FootnoteText"/>
        <w:rPr>
          <w:i/>
          <w:sz w:val="22"/>
          <w:szCs w:val="22"/>
          <w:lang w:val="en-US"/>
        </w:rPr>
      </w:pPr>
      <w:r w:rsidRPr="001C76A9">
        <w:rPr>
          <w:rStyle w:val="FootnoteReference"/>
          <w:sz w:val="22"/>
          <w:szCs w:val="22"/>
        </w:rPr>
        <w:footnoteRef/>
      </w:r>
      <w:r w:rsidRPr="001C76A9">
        <w:rPr>
          <w:sz w:val="22"/>
          <w:szCs w:val="22"/>
        </w:rPr>
        <w:t xml:space="preserve"> Singapore Declaration on Climate Change, Energy and the Environment, 21 November 2007, available at http://www.asean.org/news/item/singapore-declaration-on-climate-change-energy-and-the-environment. </w:t>
      </w:r>
      <w:r w:rsidRPr="001C76A9">
        <w:rPr>
          <w:i/>
          <w:sz w:val="22"/>
          <w:szCs w:val="22"/>
        </w:rPr>
        <w:t xml:space="preserve">See also </w:t>
      </w:r>
      <w:r w:rsidRPr="001C76A9">
        <w:rPr>
          <w:sz w:val="22"/>
          <w:szCs w:val="22"/>
        </w:rPr>
        <w:t xml:space="preserve">Singapore Resolution on Environmental Sustainability and Climate Change, 29 October 2009, available at http://environment.asean.org/wp-content/uploads/2012/11/Singapore-AMME-Resolution.pdf. </w:t>
      </w:r>
    </w:p>
  </w:footnote>
  <w:footnote w:id="53">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2009 ASEAN Joint Statement on Climate Change, 24 October 2009, available at http://www.asean.org/news/item/asean-joint-statement-on-climate-change-to-the-15th-session-of-the-conference-of-the-parties-to-the-united-nations-framework-convention-on-climate-change-and-the-5th-session-of-the-conference-of-parties-serving-as-the-meeting-of-parties-to-the-kyoto-proto, ¶ 1.</w:t>
      </w:r>
    </w:p>
  </w:footnote>
  <w:footnote w:id="54">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Asian and Pacific Declaration on Population and Development, </w:t>
      </w:r>
      <w:r w:rsidRPr="001C76A9">
        <w:rPr>
          <w:bCs/>
          <w:sz w:val="22"/>
          <w:szCs w:val="22"/>
        </w:rPr>
        <w:t xml:space="preserve">note </w:t>
      </w:r>
      <w:r w:rsidR="009338D6">
        <w:rPr>
          <w:bCs/>
          <w:sz w:val="22"/>
          <w:szCs w:val="22"/>
        </w:rPr>
        <w:t>48</w:t>
      </w:r>
      <w:r w:rsidRPr="001C76A9">
        <w:rPr>
          <w:bCs/>
          <w:sz w:val="22"/>
          <w:szCs w:val="22"/>
        </w:rPr>
        <w:t xml:space="preserve"> </w:t>
      </w:r>
      <w:r w:rsidRPr="001C76A9">
        <w:rPr>
          <w:bCs/>
          <w:i/>
          <w:sz w:val="22"/>
          <w:szCs w:val="22"/>
        </w:rPr>
        <w:t>supra</w:t>
      </w:r>
      <w:r w:rsidRPr="001C76A9">
        <w:rPr>
          <w:bCs/>
          <w:sz w:val="22"/>
          <w:szCs w:val="22"/>
        </w:rPr>
        <w:t xml:space="preserve">, </w:t>
      </w:r>
      <w:r w:rsidRPr="001C76A9">
        <w:rPr>
          <w:sz w:val="22"/>
          <w:szCs w:val="22"/>
        </w:rPr>
        <w:t xml:space="preserve">part III (J)(f)-(g), </w:t>
      </w:r>
      <w:r w:rsidRPr="001C76A9">
        <w:rPr>
          <w:i/>
          <w:sz w:val="22"/>
          <w:szCs w:val="22"/>
        </w:rPr>
        <w:t>priority actions</w:t>
      </w:r>
      <w:r w:rsidRPr="001C76A9">
        <w:rPr>
          <w:sz w:val="22"/>
          <w:szCs w:val="22"/>
        </w:rPr>
        <w:t>.</w:t>
      </w:r>
    </w:p>
  </w:footnote>
  <w:footnote w:id="55">
    <w:p w:rsidR="00304115" w:rsidRPr="001C76A9" w:rsidRDefault="00304115" w:rsidP="00CD637D">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sz w:val="22"/>
          <w:szCs w:val="22"/>
          <w:lang w:val="en-US"/>
        </w:rPr>
        <w:t xml:space="preserve">Arab Declaration (Cairo, September 1991), A/46/632, cited in U.N. Doc. E/CN.4/Sub.2/1992/7, 20. </w:t>
      </w:r>
    </w:p>
  </w:footnote>
  <w:footnote w:id="56">
    <w:p w:rsidR="00304115" w:rsidRPr="001C76A9" w:rsidRDefault="00304115" w:rsidP="000B0A5F">
      <w:pPr>
        <w:pStyle w:val="FootnoteText"/>
        <w:rPr>
          <w:sz w:val="22"/>
          <w:szCs w:val="22"/>
          <w:lang w:val="en-US"/>
        </w:rPr>
      </w:pPr>
      <w:r w:rsidRPr="001C76A9">
        <w:rPr>
          <w:rStyle w:val="FootnoteReference"/>
          <w:sz w:val="22"/>
          <w:szCs w:val="22"/>
        </w:rPr>
        <w:footnoteRef/>
      </w:r>
      <w:r w:rsidRPr="001C76A9">
        <w:rPr>
          <w:sz w:val="22"/>
          <w:szCs w:val="22"/>
        </w:rPr>
        <w:t xml:space="preserve"> Asian and Pacific Declaration on Population and Development, </w:t>
      </w:r>
      <w:r w:rsidRPr="001C76A9">
        <w:rPr>
          <w:bCs/>
          <w:sz w:val="22"/>
          <w:szCs w:val="22"/>
        </w:rPr>
        <w:t xml:space="preserve">note </w:t>
      </w:r>
      <w:r w:rsidR="009338D6">
        <w:rPr>
          <w:bCs/>
          <w:sz w:val="22"/>
          <w:szCs w:val="22"/>
        </w:rPr>
        <w:t>48</w:t>
      </w:r>
      <w:r w:rsidRPr="001C76A9">
        <w:rPr>
          <w:bCs/>
          <w:sz w:val="22"/>
          <w:szCs w:val="22"/>
        </w:rPr>
        <w:t xml:space="preserve"> </w:t>
      </w:r>
      <w:r w:rsidRPr="001C76A9">
        <w:rPr>
          <w:bCs/>
          <w:i/>
          <w:sz w:val="22"/>
          <w:szCs w:val="22"/>
        </w:rPr>
        <w:t>supra</w:t>
      </w:r>
      <w:r w:rsidRPr="001C76A9">
        <w:rPr>
          <w:bCs/>
          <w:sz w:val="22"/>
          <w:szCs w:val="22"/>
        </w:rPr>
        <w:t xml:space="preserve">, </w:t>
      </w:r>
      <w:r w:rsidRPr="001C76A9">
        <w:rPr>
          <w:sz w:val="22"/>
          <w:szCs w:val="22"/>
        </w:rPr>
        <w:t xml:space="preserve">part III (I)(j), </w:t>
      </w:r>
      <w:r w:rsidRPr="001C76A9">
        <w:rPr>
          <w:i/>
          <w:sz w:val="22"/>
          <w:szCs w:val="22"/>
        </w:rPr>
        <w:t>priority actions</w:t>
      </w:r>
      <w:r w:rsidRPr="001C76A9">
        <w:rPr>
          <w:sz w:val="22"/>
          <w:szCs w:val="22"/>
        </w:rPr>
        <w:t>.</w:t>
      </w:r>
    </w:p>
  </w:footnote>
  <w:footnote w:id="57">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rPr>
        <w:t>Ibid.</w:t>
      </w:r>
      <w:r w:rsidRPr="001C76A9">
        <w:rPr>
          <w:sz w:val="22"/>
          <w:szCs w:val="22"/>
        </w:rPr>
        <w:t xml:space="preserve"> part III (J)(d), </w:t>
      </w:r>
      <w:r w:rsidRPr="001C76A9">
        <w:rPr>
          <w:i/>
          <w:sz w:val="22"/>
          <w:szCs w:val="22"/>
        </w:rPr>
        <w:t>priority actions</w:t>
      </w:r>
      <w:r w:rsidRPr="001C76A9">
        <w:rPr>
          <w:sz w:val="22"/>
          <w:szCs w:val="22"/>
        </w:rPr>
        <w:t>.</w:t>
      </w:r>
    </w:p>
  </w:footnote>
  <w:footnote w:id="58">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rPr>
        <w:t>Ibid.</w:t>
      </w:r>
      <w:r w:rsidRPr="001C76A9">
        <w:rPr>
          <w:sz w:val="22"/>
          <w:szCs w:val="22"/>
        </w:rPr>
        <w:t xml:space="preserve"> part III (E)(j), </w:t>
      </w:r>
      <w:r w:rsidRPr="001C76A9">
        <w:rPr>
          <w:i/>
          <w:sz w:val="22"/>
          <w:szCs w:val="22"/>
        </w:rPr>
        <w:t>priority actions</w:t>
      </w:r>
      <w:r w:rsidRPr="001C76A9">
        <w:rPr>
          <w:sz w:val="22"/>
          <w:szCs w:val="22"/>
        </w:rPr>
        <w:t>.</w:t>
      </w:r>
    </w:p>
  </w:footnote>
  <w:footnote w:id="59">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bCs/>
          <w:sz w:val="22"/>
          <w:szCs w:val="22"/>
        </w:rPr>
        <w:t xml:space="preserve">ASEAN Declaration on Environmental Sustainability, note </w:t>
      </w:r>
      <w:r w:rsidR="009338D6">
        <w:rPr>
          <w:bCs/>
          <w:sz w:val="22"/>
          <w:szCs w:val="22"/>
        </w:rPr>
        <w:t>51</w:t>
      </w:r>
      <w:r w:rsidRPr="001C76A9">
        <w:rPr>
          <w:bCs/>
          <w:sz w:val="22"/>
          <w:szCs w:val="22"/>
        </w:rPr>
        <w:t xml:space="preserve"> </w:t>
      </w:r>
      <w:r w:rsidRPr="001C76A9">
        <w:rPr>
          <w:bCs/>
          <w:i/>
          <w:sz w:val="22"/>
          <w:szCs w:val="22"/>
        </w:rPr>
        <w:t>supra</w:t>
      </w:r>
      <w:r w:rsidRPr="001C76A9">
        <w:rPr>
          <w:bCs/>
          <w:sz w:val="22"/>
          <w:szCs w:val="22"/>
        </w:rPr>
        <w:t>, ¶ 3.</w:t>
      </w:r>
    </w:p>
  </w:footnote>
  <w:footnote w:id="60">
    <w:p w:rsidR="00304115" w:rsidRPr="001C76A9" w:rsidRDefault="00304115" w:rsidP="000B0A5F">
      <w:pPr>
        <w:pStyle w:val="FootnoteText"/>
        <w:rPr>
          <w:sz w:val="22"/>
          <w:szCs w:val="22"/>
          <w:lang w:val="en-US"/>
        </w:rPr>
      </w:pPr>
      <w:r w:rsidRPr="001C76A9">
        <w:rPr>
          <w:rStyle w:val="FootnoteReference"/>
          <w:sz w:val="22"/>
          <w:szCs w:val="22"/>
        </w:rPr>
        <w:footnoteRef/>
      </w:r>
      <w:r w:rsidRPr="001C76A9">
        <w:rPr>
          <w:sz w:val="22"/>
          <w:szCs w:val="22"/>
        </w:rPr>
        <w:t xml:space="preserve"> Asian and Pacific declaration on population and development, </w:t>
      </w:r>
      <w:r w:rsidRPr="001C76A9">
        <w:rPr>
          <w:bCs/>
          <w:sz w:val="22"/>
          <w:szCs w:val="22"/>
        </w:rPr>
        <w:t xml:space="preserve">note </w:t>
      </w:r>
      <w:r w:rsidR="009338D6">
        <w:rPr>
          <w:bCs/>
          <w:sz w:val="22"/>
          <w:szCs w:val="22"/>
        </w:rPr>
        <w:t>48</w:t>
      </w:r>
      <w:r w:rsidRPr="001C76A9">
        <w:rPr>
          <w:bCs/>
          <w:sz w:val="22"/>
          <w:szCs w:val="22"/>
        </w:rPr>
        <w:t xml:space="preserve"> </w:t>
      </w:r>
      <w:r w:rsidRPr="001C76A9">
        <w:rPr>
          <w:bCs/>
          <w:i/>
          <w:sz w:val="22"/>
          <w:szCs w:val="22"/>
        </w:rPr>
        <w:t>supra</w:t>
      </w:r>
      <w:r w:rsidRPr="001C76A9">
        <w:rPr>
          <w:bCs/>
          <w:sz w:val="22"/>
          <w:szCs w:val="22"/>
        </w:rPr>
        <w:t xml:space="preserve">, </w:t>
      </w:r>
      <w:r w:rsidRPr="001C76A9">
        <w:rPr>
          <w:sz w:val="22"/>
          <w:szCs w:val="22"/>
        </w:rPr>
        <w:t xml:space="preserve">part III (J)(g </w:t>
      </w:r>
      <w:proofErr w:type="spellStart"/>
      <w:r w:rsidRPr="001C76A9">
        <w:rPr>
          <w:sz w:val="22"/>
          <w:szCs w:val="22"/>
        </w:rPr>
        <w:t>bis</w:t>
      </w:r>
      <w:proofErr w:type="spellEnd"/>
      <w:r w:rsidRPr="001C76A9">
        <w:rPr>
          <w:sz w:val="22"/>
          <w:szCs w:val="22"/>
        </w:rPr>
        <w:t xml:space="preserve">.), </w:t>
      </w:r>
      <w:r w:rsidRPr="001C76A9">
        <w:rPr>
          <w:i/>
          <w:sz w:val="22"/>
          <w:szCs w:val="22"/>
        </w:rPr>
        <w:t>priority actions</w:t>
      </w:r>
      <w:r w:rsidRPr="001C76A9">
        <w:rPr>
          <w:sz w:val="22"/>
          <w:szCs w:val="22"/>
        </w:rPr>
        <w:t>.</w:t>
      </w:r>
    </w:p>
  </w:footnote>
  <w:footnote w:id="61">
    <w:p w:rsidR="00304115" w:rsidRPr="001C76A9" w:rsidRDefault="00304115" w:rsidP="003046AA">
      <w:pPr>
        <w:pStyle w:val="FootnoteText"/>
        <w:rPr>
          <w:sz w:val="22"/>
          <w:szCs w:val="22"/>
          <w:lang w:val="en-US"/>
        </w:rPr>
      </w:pPr>
      <w:r w:rsidRPr="001C76A9">
        <w:rPr>
          <w:rStyle w:val="FootnoteReference"/>
          <w:sz w:val="22"/>
          <w:szCs w:val="22"/>
        </w:rPr>
        <w:footnoteRef/>
      </w:r>
      <w:r w:rsidRPr="001C76A9">
        <w:rPr>
          <w:sz w:val="22"/>
          <w:szCs w:val="22"/>
        </w:rPr>
        <w:t xml:space="preserve"> Singapore Declaration on Climate Change, Energy and the Environment, note </w:t>
      </w:r>
      <w:r w:rsidR="009338D6">
        <w:rPr>
          <w:sz w:val="22"/>
          <w:szCs w:val="22"/>
        </w:rPr>
        <w:t>52</w:t>
      </w:r>
      <w:r w:rsidRPr="001C76A9">
        <w:rPr>
          <w:sz w:val="22"/>
          <w:szCs w:val="22"/>
        </w:rPr>
        <w:t xml:space="preserve"> </w:t>
      </w:r>
      <w:r w:rsidRPr="001C76A9">
        <w:rPr>
          <w:i/>
          <w:sz w:val="22"/>
          <w:szCs w:val="22"/>
        </w:rPr>
        <w:t xml:space="preserve">supra, </w:t>
      </w:r>
      <w:r w:rsidRPr="001C76A9">
        <w:rPr>
          <w:sz w:val="22"/>
          <w:szCs w:val="22"/>
        </w:rPr>
        <w:t>¶ 7.</w:t>
      </w:r>
    </w:p>
  </w:footnote>
  <w:footnote w:id="62">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bCs/>
          <w:sz w:val="22"/>
          <w:szCs w:val="22"/>
        </w:rPr>
        <w:t xml:space="preserve">ASEAN Declaration on Environmental Sustainability, note </w:t>
      </w:r>
      <w:r w:rsidR="009338D6">
        <w:rPr>
          <w:bCs/>
          <w:sz w:val="22"/>
          <w:szCs w:val="22"/>
        </w:rPr>
        <w:t>51</w:t>
      </w:r>
      <w:r w:rsidRPr="001C76A9">
        <w:rPr>
          <w:bCs/>
          <w:sz w:val="22"/>
          <w:szCs w:val="22"/>
        </w:rPr>
        <w:t xml:space="preserve"> </w:t>
      </w:r>
      <w:r w:rsidRPr="001C76A9">
        <w:rPr>
          <w:bCs/>
          <w:i/>
          <w:sz w:val="22"/>
          <w:szCs w:val="22"/>
        </w:rPr>
        <w:t>supra</w:t>
      </w:r>
      <w:r w:rsidRPr="001C76A9">
        <w:rPr>
          <w:bCs/>
          <w:sz w:val="22"/>
          <w:szCs w:val="22"/>
        </w:rPr>
        <w:t>, preamble.</w:t>
      </w:r>
    </w:p>
  </w:footnote>
  <w:footnote w:id="63">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2009 ASEAN Joint Statement on Climate Change, note </w:t>
      </w:r>
      <w:r w:rsidR="009338D6">
        <w:rPr>
          <w:sz w:val="22"/>
          <w:szCs w:val="22"/>
        </w:rPr>
        <w:t>53</w:t>
      </w:r>
      <w:r w:rsidRPr="001C76A9">
        <w:rPr>
          <w:sz w:val="22"/>
          <w:szCs w:val="22"/>
        </w:rPr>
        <w:t xml:space="preserve"> </w:t>
      </w:r>
      <w:r w:rsidRPr="001C76A9">
        <w:rPr>
          <w:i/>
          <w:sz w:val="22"/>
          <w:szCs w:val="22"/>
        </w:rPr>
        <w:t>supra</w:t>
      </w:r>
      <w:r w:rsidRPr="001C76A9">
        <w:rPr>
          <w:sz w:val="22"/>
          <w:szCs w:val="22"/>
        </w:rPr>
        <w:t>, preamble.</w:t>
      </w:r>
    </w:p>
  </w:footnote>
  <w:footnote w:id="64">
    <w:p w:rsidR="00304115" w:rsidRPr="001C76A9" w:rsidRDefault="00304115" w:rsidP="004B7CB3">
      <w:pPr>
        <w:pStyle w:val="FootnoteText"/>
        <w:rPr>
          <w:sz w:val="22"/>
          <w:szCs w:val="22"/>
        </w:rPr>
      </w:pPr>
      <w:r w:rsidRPr="001C76A9">
        <w:rPr>
          <w:rStyle w:val="FootnoteReference"/>
          <w:sz w:val="22"/>
          <w:szCs w:val="22"/>
        </w:rPr>
        <w:footnoteRef/>
      </w:r>
      <w:r w:rsidRPr="001C76A9">
        <w:rPr>
          <w:sz w:val="22"/>
          <w:szCs w:val="22"/>
        </w:rPr>
        <w:t xml:space="preserve"> </w:t>
      </w:r>
      <w:r w:rsidRPr="001C76A9">
        <w:rPr>
          <w:i/>
          <w:sz w:val="22"/>
          <w:szCs w:val="22"/>
        </w:rPr>
        <w:t>See</w:t>
      </w:r>
      <w:r w:rsidRPr="001C76A9">
        <w:rPr>
          <w:sz w:val="22"/>
          <w:szCs w:val="22"/>
        </w:rPr>
        <w:t xml:space="preserve"> European Social Charter (Revised), 3 May 1996, ETS 163, available at the Council of Europe web page, </w:t>
      </w:r>
      <w:hyperlink r:id="rId6" w:history="1">
        <w:r w:rsidRPr="001C76A9">
          <w:rPr>
            <w:rStyle w:val="Hyperlink"/>
            <w:sz w:val="22"/>
            <w:szCs w:val="22"/>
          </w:rPr>
          <w:t>http://www.coe.int/T/DGHL/Monitoring/SocialCharter/</w:t>
        </w:r>
      </w:hyperlink>
      <w:r w:rsidRPr="001C76A9">
        <w:rPr>
          <w:sz w:val="22"/>
          <w:szCs w:val="22"/>
        </w:rPr>
        <w:t xml:space="preserve">. </w:t>
      </w:r>
    </w:p>
  </w:footnote>
  <w:footnote w:id="65">
    <w:p w:rsidR="00304115" w:rsidRPr="001C76A9" w:rsidRDefault="00304115" w:rsidP="004B7CB3">
      <w:pPr>
        <w:pStyle w:val="FootnoteText"/>
        <w:rPr>
          <w:sz w:val="22"/>
          <w:szCs w:val="22"/>
        </w:rPr>
      </w:pPr>
      <w:r w:rsidRPr="001C76A9">
        <w:rPr>
          <w:rStyle w:val="FootnoteReference"/>
          <w:sz w:val="22"/>
          <w:szCs w:val="22"/>
        </w:rPr>
        <w:footnoteRef/>
      </w:r>
      <w:r w:rsidRPr="001C76A9">
        <w:rPr>
          <w:sz w:val="22"/>
          <w:szCs w:val="22"/>
        </w:rPr>
        <w:t xml:space="preserve"> </w:t>
      </w:r>
      <w:r w:rsidRPr="001C76A9">
        <w:rPr>
          <w:i/>
          <w:sz w:val="22"/>
          <w:szCs w:val="22"/>
        </w:rPr>
        <w:t>See</w:t>
      </w:r>
      <w:r w:rsidRPr="001C76A9">
        <w:rPr>
          <w:sz w:val="22"/>
          <w:szCs w:val="22"/>
        </w:rPr>
        <w:t xml:space="preserve"> </w:t>
      </w:r>
      <w:r w:rsidRPr="001C76A9">
        <w:rPr>
          <w:i/>
          <w:sz w:val="22"/>
          <w:szCs w:val="22"/>
        </w:rPr>
        <w:t>About the Committee</w:t>
      </w:r>
      <w:r w:rsidRPr="001C76A9">
        <w:rPr>
          <w:sz w:val="22"/>
          <w:szCs w:val="22"/>
        </w:rPr>
        <w:t xml:space="preserve">, available at </w:t>
      </w:r>
      <w:hyperlink r:id="rId7" w:history="1">
        <w:r w:rsidRPr="001C76A9">
          <w:rPr>
            <w:rStyle w:val="Hyperlink"/>
            <w:sz w:val="22"/>
            <w:szCs w:val="22"/>
          </w:rPr>
          <w:t>http://www.coe.int/t/dghl/monitoring/socialcharter/ECSR/ECSRdefault_en.asp</w:t>
        </w:r>
      </w:hyperlink>
      <w:r w:rsidRPr="001C76A9">
        <w:rPr>
          <w:sz w:val="22"/>
          <w:szCs w:val="22"/>
        </w:rPr>
        <w:t xml:space="preserve">. </w:t>
      </w:r>
    </w:p>
  </w:footnote>
  <w:footnote w:id="66">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sz w:val="22"/>
          <w:szCs w:val="22"/>
          <w:lang w:val="en-US"/>
        </w:rPr>
        <w:t>In regard to national reports, State parties annually present a report describing their application of the Charter in law and practice. The Committee reviews the reports, rules on whether the State Parties are in conformity with the Charter, and publishes its decisions, known as “conclusions,” annually.</w:t>
      </w:r>
      <w:r w:rsidRPr="001C76A9">
        <w:rPr>
          <w:sz w:val="22"/>
          <w:szCs w:val="22"/>
          <w:vertAlign w:val="superscript"/>
          <w:lang w:val="en-US"/>
        </w:rPr>
        <w:t xml:space="preserve"> </w:t>
      </w:r>
      <w:r w:rsidRPr="001C76A9">
        <w:rPr>
          <w:sz w:val="22"/>
          <w:szCs w:val="22"/>
          <w:lang w:val="en-US"/>
        </w:rPr>
        <w:t xml:space="preserve"> When the Committee of Social Rights finds that a State party is not in compliance with the Charter, the Committee of Ministers may offer a recommendation to that State, requesting it to make changes to come into compliance. </w:t>
      </w:r>
      <w:r w:rsidRPr="001C76A9">
        <w:rPr>
          <w:i/>
          <w:sz w:val="22"/>
          <w:szCs w:val="22"/>
        </w:rPr>
        <w:t>See European Social Charter</w:t>
      </w:r>
      <w:r w:rsidR="009338D6">
        <w:rPr>
          <w:sz w:val="22"/>
          <w:szCs w:val="22"/>
        </w:rPr>
        <w:t>, note 64</w:t>
      </w:r>
      <w:r w:rsidRPr="001C76A9">
        <w:rPr>
          <w:sz w:val="22"/>
          <w:szCs w:val="22"/>
        </w:rPr>
        <w:t xml:space="preserve"> </w:t>
      </w:r>
      <w:r w:rsidRPr="001C76A9">
        <w:rPr>
          <w:i/>
          <w:sz w:val="22"/>
          <w:szCs w:val="22"/>
        </w:rPr>
        <w:t>supra</w:t>
      </w:r>
      <w:r w:rsidRPr="001C76A9">
        <w:rPr>
          <w:sz w:val="22"/>
          <w:szCs w:val="22"/>
        </w:rPr>
        <w:t>.</w:t>
      </w:r>
    </w:p>
  </w:footnote>
  <w:footnote w:id="67">
    <w:p w:rsidR="00304115" w:rsidRPr="001C76A9" w:rsidRDefault="00304115" w:rsidP="0013701D">
      <w:pPr>
        <w:pStyle w:val="FootnoteText"/>
        <w:rPr>
          <w:sz w:val="22"/>
          <w:szCs w:val="22"/>
        </w:rPr>
      </w:pPr>
      <w:r w:rsidRPr="001C76A9">
        <w:rPr>
          <w:rStyle w:val="FootnoteReference"/>
          <w:sz w:val="22"/>
          <w:szCs w:val="22"/>
        </w:rPr>
        <w:footnoteRef/>
      </w:r>
      <w:r w:rsidRPr="001C76A9">
        <w:rPr>
          <w:sz w:val="22"/>
          <w:szCs w:val="22"/>
        </w:rPr>
        <w:t xml:space="preserve"> </w:t>
      </w:r>
      <w:r w:rsidRPr="001C76A9">
        <w:rPr>
          <w:i/>
          <w:sz w:val="22"/>
          <w:szCs w:val="22"/>
        </w:rPr>
        <w:t>See About the Committee</w:t>
      </w:r>
      <w:r w:rsidRPr="001C76A9">
        <w:rPr>
          <w:sz w:val="22"/>
          <w:szCs w:val="22"/>
        </w:rPr>
        <w:t>, note 6</w:t>
      </w:r>
      <w:r w:rsidR="009338D6">
        <w:rPr>
          <w:sz w:val="22"/>
          <w:szCs w:val="22"/>
        </w:rPr>
        <w:t>5</w:t>
      </w:r>
      <w:r w:rsidRPr="001C76A9">
        <w:rPr>
          <w:sz w:val="22"/>
          <w:szCs w:val="22"/>
        </w:rPr>
        <w:t xml:space="preserve"> </w:t>
      </w:r>
      <w:r w:rsidRPr="001C76A9">
        <w:rPr>
          <w:i/>
          <w:sz w:val="22"/>
          <w:szCs w:val="22"/>
        </w:rPr>
        <w:t xml:space="preserve">supra. </w:t>
      </w:r>
      <w:r w:rsidRPr="001C76A9">
        <w:rPr>
          <w:sz w:val="22"/>
          <w:szCs w:val="22"/>
          <w:lang w:val="en-US"/>
        </w:rPr>
        <w:t xml:space="preserve">Pursuant to a protocol that entered into force in 1998, collective complaints of breaches of the Charter can be made to the Committee. There are four types of organizations eligible to file complaints with the Committee: (1) European Trade Union Confederation (ETUC), </w:t>
      </w:r>
      <w:proofErr w:type="spellStart"/>
      <w:r w:rsidRPr="001C76A9">
        <w:rPr>
          <w:sz w:val="22"/>
          <w:szCs w:val="22"/>
          <w:lang w:val="en-US"/>
        </w:rPr>
        <w:t>BusinessEurope</w:t>
      </w:r>
      <w:proofErr w:type="spellEnd"/>
      <w:r w:rsidRPr="001C76A9">
        <w:rPr>
          <w:sz w:val="22"/>
          <w:szCs w:val="22"/>
          <w:lang w:val="en-US"/>
        </w:rPr>
        <w:t xml:space="preserve"> (formerly UNICE) and International </w:t>
      </w:r>
      <w:proofErr w:type="spellStart"/>
      <w:r w:rsidRPr="001C76A9">
        <w:rPr>
          <w:sz w:val="22"/>
          <w:szCs w:val="22"/>
          <w:lang w:val="en-US"/>
        </w:rPr>
        <w:t>Organisation</w:t>
      </w:r>
      <w:proofErr w:type="spellEnd"/>
      <w:r w:rsidRPr="001C76A9">
        <w:rPr>
          <w:sz w:val="22"/>
          <w:szCs w:val="22"/>
          <w:lang w:val="en-US"/>
        </w:rPr>
        <w:t xml:space="preserve"> of Employers (IOE); (2) Non-governmental </w:t>
      </w:r>
      <w:proofErr w:type="spellStart"/>
      <w:r w:rsidRPr="001C76A9">
        <w:rPr>
          <w:sz w:val="22"/>
          <w:szCs w:val="22"/>
          <w:lang w:val="en-US"/>
        </w:rPr>
        <w:t>organisations</w:t>
      </w:r>
      <w:proofErr w:type="spellEnd"/>
      <w:r w:rsidRPr="001C76A9">
        <w:rPr>
          <w:sz w:val="22"/>
          <w:szCs w:val="22"/>
          <w:lang w:val="en-US"/>
        </w:rPr>
        <w:t xml:space="preserve"> (NGOs) with participative status with the Council of Europe which are on a list drawn up for this purpose by the Governmental Committee; (3) Employers’ </w:t>
      </w:r>
      <w:proofErr w:type="spellStart"/>
      <w:r w:rsidRPr="001C76A9">
        <w:rPr>
          <w:sz w:val="22"/>
          <w:szCs w:val="22"/>
          <w:lang w:val="en-US"/>
        </w:rPr>
        <w:t>organisations</w:t>
      </w:r>
      <w:proofErr w:type="spellEnd"/>
      <w:r w:rsidRPr="001C76A9">
        <w:rPr>
          <w:sz w:val="22"/>
          <w:szCs w:val="22"/>
          <w:lang w:val="en-US"/>
        </w:rPr>
        <w:t xml:space="preserve"> and trade unions in the country concerned; and if States have specifically consented, (4) National NGOs.  The Committee then reviews the complaint for admissibility, and if deemed admissible, a written procedure begins, memorials are shared among the parties, and the Committee may choose to have a public hearing. The Committee will subsequently make a decision on the merits of the complaint, a decision which is forwarded to the parties involved and made public within four months of it being revealed to the parties involved. Lastly, the Committee of Ministers adopts a resolution and can recommend that the State involved adopt particular measures to achieve compliance with the Charter.</w:t>
      </w:r>
    </w:p>
  </w:footnote>
  <w:footnote w:id="68">
    <w:p w:rsidR="00304115" w:rsidRPr="001C76A9" w:rsidRDefault="00304115" w:rsidP="00613662">
      <w:pPr>
        <w:pStyle w:val="FootnoteText"/>
        <w:rPr>
          <w:sz w:val="22"/>
          <w:szCs w:val="22"/>
        </w:rPr>
      </w:pPr>
      <w:r w:rsidRPr="001C76A9">
        <w:rPr>
          <w:rStyle w:val="FootnoteReference"/>
          <w:sz w:val="22"/>
          <w:szCs w:val="22"/>
        </w:rPr>
        <w:footnoteRef/>
      </w:r>
      <w:r w:rsidRPr="001C76A9">
        <w:rPr>
          <w:sz w:val="22"/>
          <w:szCs w:val="22"/>
        </w:rPr>
        <w:t xml:space="preserve"> See European Committee of Social Rights, Search Screen, </w:t>
      </w:r>
      <w:hyperlink r:id="rId8" w:history="1">
        <w:r w:rsidRPr="001C76A9">
          <w:rPr>
            <w:rStyle w:val="Hyperlink"/>
            <w:sz w:val="22"/>
            <w:szCs w:val="22"/>
          </w:rPr>
          <w:t>http://hudoc.esc.coe.int/esc2008/query.asp?action=page&amp;page=0&amp;view=searchform&amp;timestamp=19969.8</w:t>
        </w:r>
      </w:hyperlink>
      <w:r w:rsidRPr="001C76A9">
        <w:rPr>
          <w:sz w:val="22"/>
          <w:szCs w:val="22"/>
        </w:rPr>
        <w:t xml:space="preserve">. </w:t>
      </w:r>
    </w:p>
  </w:footnote>
  <w:footnote w:id="69">
    <w:p w:rsidR="00304115" w:rsidRPr="001C76A9" w:rsidRDefault="00304115" w:rsidP="003F4B8B">
      <w:pPr>
        <w:pStyle w:val="FootnoteText"/>
        <w:spacing w:before="0"/>
        <w:rPr>
          <w:sz w:val="22"/>
          <w:szCs w:val="22"/>
        </w:rPr>
      </w:pPr>
      <w:r w:rsidRPr="001C76A9">
        <w:rPr>
          <w:rStyle w:val="FootnoteReference"/>
          <w:sz w:val="22"/>
          <w:szCs w:val="22"/>
        </w:rPr>
        <w:footnoteRef/>
      </w:r>
      <w:r w:rsidRPr="001C76A9">
        <w:rPr>
          <w:sz w:val="22"/>
          <w:szCs w:val="22"/>
        </w:rPr>
        <w:t xml:space="preserve"> </w:t>
      </w:r>
      <w:proofErr w:type="spellStart"/>
      <w:r w:rsidRPr="001C76A9">
        <w:rPr>
          <w:i/>
          <w:sz w:val="22"/>
          <w:szCs w:val="22"/>
        </w:rPr>
        <w:t>Marangopoulos</w:t>
      </w:r>
      <w:proofErr w:type="spellEnd"/>
      <w:r w:rsidRPr="001C76A9">
        <w:rPr>
          <w:i/>
          <w:sz w:val="22"/>
          <w:szCs w:val="22"/>
        </w:rPr>
        <w:t xml:space="preserve"> Foundation for Human Rights v. Greece</w:t>
      </w:r>
      <w:r w:rsidRPr="001C76A9">
        <w:rPr>
          <w:sz w:val="22"/>
          <w:szCs w:val="22"/>
        </w:rPr>
        <w:t xml:space="preserve">, Complaint No. 30/2005 (European Social Committee 2006), ¶ 235. </w:t>
      </w:r>
    </w:p>
  </w:footnote>
  <w:footnote w:id="70">
    <w:p w:rsidR="00304115" w:rsidRPr="001C76A9" w:rsidRDefault="00304115" w:rsidP="006E7410">
      <w:pPr>
        <w:pStyle w:val="FootnoteText"/>
        <w:rPr>
          <w:sz w:val="22"/>
          <w:szCs w:val="22"/>
        </w:rPr>
      </w:pPr>
      <w:r w:rsidRPr="001C76A9">
        <w:rPr>
          <w:rStyle w:val="FootnoteReference"/>
          <w:sz w:val="22"/>
          <w:szCs w:val="22"/>
        </w:rPr>
        <w:footnoteRef/>
      </w:r>
      <w:r w:rsidRPr="001C76A9">
        <w:rPr>
          <w:sz w:val="22"/>
          <w:szCs w:val="22"/>
        </w:rPr>
        <w:t xml:space="preserve"> </w:t>
      </w:r>
      <w:r w:rsidRPr="001C76A9">
        <w:rPr>
          <w:i/>
          <w:sz w:val="22"/>
          <w:szCs w:val="22"/>
        </w:rPr>
        <w:t>International Federation for Human Rights (FIDH) v. Greece</w:t>
      </w:r>
      <w:r w:rsidRPr="001C76A9">
        <w:rPr>
          <w:sz w:val="22"/>
          <w:szCs w:val="22"/>
        </w:rPr>
        <w:t xml:space="preserve">, Complaint No. 72/2011 (European Social Committee 2013). </w:t>
      </w:r>
    </w:p>
  </w:footnote>
  <w:footnote w:id="71">
    <w:p w:rsidR="00304115" w:rsidRPr="001C76A9" w:rsidRDefault="00304115" w:rsidP="006E7410">
      <w:pPr>
        <w:pStyle w:val="FootnoteText"/>
        <w:rPr>
          <w:sz w:val="22"/>
          <w:szCs w:val="22"/>
        </w:rPr>
      </w:pPr>
      <w:r w:rsidRPr="001C76A9">
        <w:rPr>
          <w:rStyle w:val="FootnoteReference"/>
          <w:sz w:val="22"/>
          <w:szCs w:val="22"/>
        </w:rPr>
        <w:footnoteRef/>
      </w:r>
      <w:r w:rsidRPr="001C76A9">
        <w:rPr>
          <w:sz w:val="22"/>
          <w:szCs w:val="22"/>
        </w:rPr>
        <w:t xml:space="preserve"> </w:t>
      </w:r>
      <w:proofErr w:type="spellStart"/>
      <w:r w:rsidRPr="001C76A9">
        <w:rPr>
          <w:i/>
          <w:sz w:val="22"/>
          <w:szCs w:val="22"/>
        </w:rPr>
        <w:t>Marangopoulos</w:t>
      </w:r>
      <w:proofErr w:type="spellEnd"/>
      <w:r w:rsidRPr="001C76A9">
        <w:rPr>
          <w:sz w:val="22"/>
          <w:szCs w:val="22"/>
        </w:rPr>
        <w:t xml:space="preserve">, note </w:t>
      </w:r>
      <w:r w:rsidR="009338D6">
        <w:rPr>
          <w:sz w:val="22"/>
          <w:szCs w:val="22"/>
        </w:rPr>
        <w:t>69</w:t>
      </w:r>
      <w:r w:rsidRPr="001C76A9">
        <w:rPr>
          <w:sz w:val="22"/>
          <w:szCs w:val="22"/>
        </w:rPr>
        <w:t xml:space="preserve"> </w:t>
      </w:r>
      <w:r w:rsidRPr="001C76A9">
        <w:rPr>
          <w:i/>
          <w:sz w:val="22"/>
          <w:szCs w:val="22"/>
        </w:rPr>
        <w:t xml:space="preserve">supra, ¶ </w:t>
      </w:r>
      <w:r w:rsidRPr="001C76A9">
        <w:rPr>
          <w:sz w:val="22"/>
          <w:szCs w:val="22"/>
        </w:rPr>
        <w:t xml:space="preserve">11. </w:t>
      </w:r>
    </w:p>
  </w:footnote>
  <w:footnote w:id="72">
    <w:p w:rsidR="00304115" w:rsidRPr="001C76A9" w:rsidRDefault="00304115" w:rsidP="006E7410">
      <w:pPr>
        <w:pStyle w:val="FootnoteText"/>
        <w:rPr>
          <w:sz w:val="22"/>
          <w:szCs w:val="22"/>
        </w:rPr>
      </w:pPr>
      <w:r w:rsidRPr="001C76A9">
        <w:rPr>
          <w:rStyle w:val="FootnoteReference"/>
          <w:sz w:val="22"/>
          <w:szCs w:val="22"/>
        </w:rPr>
        <w:footnoteRef/>
      </w:r>
      <w:r w:rsidRPr="001C76A9">
        <w:rPr>
          <w:sz w:val="22"/>
          <w:szCs w:val="22"/>
        </w:rPr>
        <w:t xml:space="preserve"> </w:t>
      </w:r>
      <w:r w:rsidRPr="001C76A9">
        <w:rPr>
          <w:i/>
          <w:sz w:val="22"/>
          <w:szCs w:val="22"/>
        </w:rPr>
        <w:t>FIDH</w:t>
      </w:r>
      <w:r w:rsidRPr="001C76A9">
        <w:rPr>
          <w:sz w:val="22"/>
          <w:szCs w:val="22"/>
        </w:rPr>
        <w:t xml:space="preserve">, note </w:t>
      </w:r>
      <w:r w:rsidR="009338D6">
        <w:rPr>
          <w:sz w:val="22"/>
          <w:szCs w:val="22"/>
        </w:rPr>
        <w:t>70</w:t>
      </w:r>
      <w:r w:rsidRPr="001C76A9">
        <w:rPr>
          <w:sz w:val="22"/>
          <w:szCs w:val="22"/>
        </w:rPr>
        <w:t xml:space="preserve"> </w:t>
      </w:r>
      <w:r w:rsidRPr="001C76A9">
        <w:rPr>
          <w:i/>
          <w:sz w:val="22"/>
          <w:szCs w:val="22"/>
        </w:rPr>
        <w:t>supra</w:t>
      </w:r>
      <w:r w:rsidRPr="001C76A9">
        <w:rPr>
          <w:sz w:val="22"/>
          <w:szCs w:val="22"/>
        </w:rPr>
        <w:t xml:space="preserve">, ¶ 7. </w:t>
      </w:r>
    </w:p>
  </w:footnote>
  <w:footnote w:id="73">
    <w:p w:rsidR="00304115" w:rsidRPr="001C76A9" w:rsidRDefault="00304115" w:rsidP="006E7410">
      <w:pPr>
        <w:pStyle w:val="FootnoteText"/>
        <w:rPr>
          <w:sz w:val="22"/>
          <w:szCs w:val="22"/>
        </w:rPr>
      </w:pPr>
      <w:r w:rsidRPr="001C76A9">
        <w:rPr>
          <w:rStyle w:val="FootnoteReference"/>
          <w:sz w:val="22"/>
          <w:szCs w:val="22"/>
        </w:rPr>
        <w:footnoteRef/>
      </w:r>
      <w:r w:rsidRPr="001C76A9">
        <w:rPr>
          <w:sz w:val="22"/>
          <w:szCs w:val="22"/>
        </w:rPr>
        <w:t xml:space="preserve"> </w:t>
      </w:r>
      <w:r w:rsidRPr="001C76A9">
        <w:rPr>
          <w:i/>
          <w:sz w:val="22"/>
          <w:szCs w:val="22"/>
        </w:rPr>
        <w:t xml:space="preserve">Ibid. </w:t>
      </w:r>
      <w:r w:rsidRPr="001C76A9">
        <w:rPr>
          <w:sz w:val="22"/>
          <w:szCs w:val="22"/>
        </w:rPr>
        <w:t xml:space="preserve">¶ 54. </w:t>
      </w:r>
    </w:p>
  </w:footnote>
  <w:footnote w:id="74">
    <w:p w:rsidR="00304115" w:rsidRPr="001C76A9" w:rsidRDefault="00304115" w:rsidP="006E7410">
      <w:pPr>
        <w:pStyle w:val="FootnoteText"/>
        <w:rPr>
          <w:sz w:val="22"/>
          <w:szCs w:val="22"/>
        </w:rPr>
      </w:pPr>
      <w:r w:rsidRPr="001C76A9">
        <w:rPr>
          <w:rStyle w:val="FootnoteReference"/>
          <w:sz w:val="22"/>
          <w:szCs w:val="22"/>
        </w:rPr>
        <w:footnoteRef/>
      </w:r>
      <w:r w:rsidRPr="001C76A9">
        <w:rPr>
          <w:sz w:val="22"/>
          <w:szCs w:val="22"/>
        </w:rPr>
        <w:t xml:space="preserve"> </w:t>
      </w:r>
      <w:r w:rsidRPr="001C76A9">
        <w:rPr>
          <w:i/>
          <w:sz w:val="22"/>
          <w:szCs w:val="22"/>
        </w:rPr>
        <w:t xml:space="preserve">Ibid. </w:t>
      </w:r>
      <w:r w:rsidRPr="001C76A9">
        <w:rPr>
          <w:sz w:val="22"/>
          <w:szCs w:val="22"/>
        </w:rPr>
        <w:t xml:space="preserve">¶ 7. </w:t>
      </w:r>
      <w:r w:rsidRPr="001C76A9">
        <w:rPr>
          <w:i/>
          <w:sz w:val="22"/>
          <w:szCs w:val="22"/>
        </w:rPr>
        <w:t xml:space="preserve"> </w:t>
      </w:r>
    </w:p>
  </w:footnote>
  <w:footnote w:id="75">
    <w:p w:rsidR="00304115" w:rsidRPr="001C76A9" w:rsidRDefault="00304115" w:rsidP="009D5F61">
      <w:pPr>
        <w:pStyle w:val="FootnoteText"/>
        <w:rPr>
          <w:sz w:val="22"/>
          <w:szCs w:val="22"/>
        </w:rPr>
      </w:pPr>
      <w:r w:rsidRPr="001C76A9">
        <w:rPr>
          <w:rStyle w:val="FootnoteReference"/>
          <w:sz w:val="22"/>
          <w:szCs w:val="22"/>
        </w:rPr>
        <w:footnoteRef/>
      </w:r>
      <w:r w:rsidRPr="001C76A9">
        <w:rPr>
          <w:sz w:val="22"/>
          <w:szCs w:val="22"/>
        </w:rPr>
        <w:t xml:space="preserve"> European Social Charter, note </w:t>
      </w:r>
      <w:r w:rsidR="009338D6">
        <w:rPr>
          <w:sz w:val="22"/>
          <w:szCs w:val="22"/>
        </w:rPr>
        <w:t>64</w:t>
      </w:r>
      <w:r w:rsidRPr="001C76A9">
        <w:rPr>
          <w:sz w:val="22"/>
          <w:szCs w:val="22"/>
        </w:rPr>
        <w:t xml:space="preserve"> </w:t>
      </w:r>
      <w:r w:rsidRPr="001C76A9">
        <w:rPr>
          <w:i/>
          <w:sz w:val="22"/>
          <w:szCs w:val="22"/>
        </w:rPr>
        <w:t xml:space="preserve">supra, </w:t>
      </w:r>
      <w:r w:rsidRPr="001C76A9">
        <w:rPr>
          <w:sz w:val="22"/>
          <w:szCs w:val="22"/>
        </w:rPr>
        <w:t>art. 2</w:t>
      </w:r>
      <w:r w:rsidRPr="001C76A9">
        <w:rPr>
          <w:color w:val="000000"/>
          <w:sz w:val="22"/>
          <w:szCs w:val="22"/>
        </w:rPr>
        <w:t xml:space="preserve">(4). </w:t>
      </w:r>
    </w:p>
  </w:footnote>
  <w:footnote w:id="76">
    <w:p w:rsidR="00304115" w:rsidRPr="001C76A9" w:rsidRDefault="00304115" w:rsidP="009D5F61">
      <w:pPr>
        <w:pStyle w:val="FootnoteText"/>
        <w:rPr>
          <w:sz w:val="22"/>
          <w:szCs w:val="22"/>
        </w:rPr>
      </w:pPr>
      <w:r w:rsidRPr="001C76A9">
        <w:rPr>
          <w:rStyle w:val="FootnoteReference"/>
          <w:sz w:val="22"/>
          <w:szCs w:val="22"/>
        </w:rPr>
        <w:footnoteRef/>
      </w:r>
      <w:r w:rsidRPr="001C76A9">
        <w:rPr>
          <w:sz w:val="22"/>
          <w:szCs w:val="22"/>
        </w:rPr>
        <w:t xml:space="preserve"> </w:t>
      </w:r>
      <w:proofErr w:type="spellStart"/>
      <w:r w:rsidRPr="001C76A9">
        <w:rPr>
          <w:i/>
          <w:sz w:val="22"/>
          <w:szCs w:val="22"/>
        </w:rPr>
        <w:t>Marangopoulos</w:t>
      </w:r>
      <w:proofErr w:type="spellEnd"/>
      <w:r w:rsidRPr="001C76A9">
        <w:rPr>
          <w:sz w:val="22"/>
          <w:szCs w:val="22"/>
        </w:rPr>
        <w:t xml:space="preserve">, note </w:t>
      </w:r>
      <w:r w:rsidR="009338D6">
        <w:rPr>
          <w:sz w:val="22"/>
          <w:szCs w:val="22"/>
        </w:rPr>
        <w:t>69</w:t>
      </w:r>
      <w:r w:rsidRPr="001C76A9">
        <w:rPr>
          <w:sz w:val="22"/>
          <w:szCs w:val="22"/>
        </w:rPr>
        <w:t xml:space="preserve"> </w:t>
      </w:r>
      <w:r w:rsidRPr="001C76A9">
        <w:rPr>
          <w:i/>
          <w:sz w:val="22"/>
          <w:szCs w:val="22"/>
        </w:rPr>
        <w:t>supra</w:t>
      </w:r>
      <w:r w:rsidRPr="001C76A9">
        <w:rPr>
          <w:sz w:val="22"/>
          <w:szCs w:val="22"/>
        </w:rPr>
        <w:t xml:space="preserve">, ¶ 235. </w:t>
      </w:r>
    </w:p>
  </w:footnote>
  <w:footnote w:id="77">
    <w:p w:rsidR="00304115" w:rsidRPr="001C76A9" w:rsidRDefault="00304115" w:rsidP="003B7B47">
      <w:pPr>
        <w:pStyle w:val="FootnoteText"/>
        <w:rPr>
          <w:sz w:val="22"/>
          <w:szCs w:val="22"/>
        </w:rPr>
      </w:pPr>
      <w:r w:rsidRPr="001C76A9">
        <w:rPr>
          <w:rStyle w:val="FootnoteReference"/>
          <w:sz w:val="22"/>
          <w:szCs w:val="22"/>
        </w:rPr>
        <w:footnoteRef/>
      </w:r>
      <w:r w:rsidRPr="001C76A9">
        <w:rPr>
          <w:sz w:val="22"/>
          <w:szCs w:val="22"/>
        </w:rPr>
        <w:t xml:space="preserve"> European Social Charter, note </w:t>
      </w:r>
      <w:r w:rsidR="009338D6">
        <w:rPr>
          <w:sz w:val="22"/>
          <w:szCs w:val="22"/>
        </w:rPr>
        <w:t>64</w:t>
      </w:r>
      <w:r w:rsidRPr="001C76A9">
        <w:rPr>
          <w:sz w:val="22"/>
          <w:szCs w:val="22"/>
        </w:rPr>
        <w:t xml:space="preserve"> </w:t>
      </w:r>
      <w:r w:rsidRPr="001C76A9">
        <w:rPr>
          <w:i/>
          <w:sz w:val="22"/>
          <w:szCs w:val="22"/>
        </w:rPr>
        <w:t xml:space="preserve">supra, </w:t>
      </w:r>
      <w:r w:rsidRPr="001C76A9">
        <w:rPr>
          <w:sz w:val="22"/>
          <w:szCs w:val="22"/>
        </w:rPr>
        <w:t xml:space="preserve">art. 11 </w:t>
      </w:r>
      <w:r w:rsidRPr="001C76A9">
        <w:rPr>
          <w:color w:val="000000"/>
          <w:sz w:val="22"/>
          <w:szCs w:val="22"/>
        </w:rPr>
        <w:t xml:space="preserve">§§ 1-3. </w:t>
      </w:r>
    </w:p>
  </w:footnote>
  <w:footnote w:id="78">
    <w:p w:rsidR="00304115" w:rsidRPr="001C76A9" w:rsidRDefault="00304115" w:rsidP="002E77D7">
      <w:pPr>
        <w:pStyle w:val="FootnoteText"/>
        <w:rPr>
          <w:sz w:val="22"/>
          <w:szCs w:val="22"/>
        </w:rPr>
      </w:pPr>
      <w:r w:rsidRPr="001C76A9">
        <w:rPr>
          <w:rStyle w:val="FootnoteReference"/>
          <w:sz w:val="22"/>
          <w:szCs w:val="22"/>
        </w:rPr>
        <w:footnoteRef/>
      </w:r>
      <w:r w:rsidRPr="001C76A9">
        <w:rPr>
          <w:sz w:val="22"/>
          <w:szCs w:val="22"/>
        </w:rPr>
        <w:t xml:space="preserve"> Note 71 </w:t>
      </w:r>
      <w:r w:rsidRPr="001C76A9">
        <w:rPr>
          <w:i/>
          <w:sz w:val="22"/>
          <w:szCs w:val="22"/>
        </w:rPr>
        <w:t>supra</w:t>
      </w:r>
      <w:r w:rsidRPr="001C76A9">
        <w:rPr>
          <w:sz w:val="22"/>
          <w:szCs w:val="22"/>
        </w:rPr>
        <w:t xml:space="preserve">. </w:t>
      </w:r>
    </w:p>
  </w:footnote>
  <w:footnote w:id="79">
    <w:p w:rsidR="00304115" w:rsidRPr="001C76A9" w:rsidRDefault="00304115" w:rsidP="002E77D7">
      <w:pPr>
        <w:pStyle w:val="FootnoteText"/>
        <w:rPr>
          <w:sz w:val="22"/>
          <w:szCs w:val="22"/>
        </w:rPr>
      </w:pPr>
      <w:r w:rsidRPr="001C76A9">
        <w:rPr>
          <w:rStyle w:val="FootnoteReference"/>
          <w:sz w:val="22"/>
          <w:szCs w:val="22"/>
        </w:rPr>
        <w:footnoteRef/>
      </w:r>
      <w:r w:rsidRPr="001C76A9">
        <w:rPr>
          <w:sz w:val="22"/>
          <w:szCs w:val="22"/>
        </w:rPr>
        <w:t xml:space="preserve"> </w:t>
      </w:r>
      <w:proofErr w:type="spellStart"/>
      <w:r w:rsidRPr="001C76A9">
        <w:rPr>
          <w:i/>
          <w:sz w:val="22"/>
          <w:szCs w:val="22"/>
        </w:rPr>
        <w:t>Marangopoulos</w:t>
      </w:r>
      <w:proofErr w:type="spellEnd"/>
      <w:r w:rsidRPr="001C76A9">
        <w:rPr>
          <w:sz w:val="22"/>
          <w:szCs w:val="22"/>
        </w:rPr>
        <w:t xml:space="preserve">, note </w:t>
      </w:r>
      <w:r w:rsidR="009338D6">
        <w:rPr>
          <w:sz w:val="22"/>
          <w:szCs w:val="22"/>
        </w:rPr>
        <w:t>69</w:t>
      </w:r>
      <w:r w:rsidRPr="001C76A9">
        <w:rPr>
          <w:sz w:val="22"/>
          <w:szCs w:val="22"/>
        </w:rPr>
        <w:t xml:space="preserve"> </w:t>
      </w:r>
      <w:r w:rsidRPr="001C76A9">
        <w:rPr>
          <w:i/>
          <w:sz w:val="22"/>
          <w:szCs w:val="22"/>
        </w:rPr>
        <w:t>supra</w:t>
      </w:r>
      <w:r w:rsidRPr="001C76A9">
        <w:rPr>
          <w:sz w:val="22"/>
          <w:szCs w:val="22"/>
        </w:rPr>
        <w:t xml:space="preserve">, ¶ 200. </w:t>
      </w:r>
    </w:p>
  </w:footnote>
  <w:footnote w:id="80">
    <w:p w:rsidR="00304115" w:rsidRPr="001C76A9" w:rsidRDefault="00304115" w:rsidP="00BA6C66">
      <w:pPr>
        <w:rPr>
          <w:i/>
          <w:sz w:val="22"/>
          <w:szCs w:val="22"/>
        </w:rPr>
      </w:pPr>
      <w:r w:rsidRPr="001C76A9">
        <w:rPr>
          <w:rStyle w:val="FootnoteReference"/>
          <w:sz w:val="22"/>
          <w:szCs w:val="22"/>
        </w:rPr>
        <w:footnoteRef/>
      </w:r>
      <w:r w:rsidRPr="001C76A9">
        <w:rPr>
          <w:sz w:val="22"/>
          <w:szCs w:val="22"/>
        </w:rPr>
        <w:t xml:space="preserve"> </w:t>
      </w:r>
      <w:r w:rsidRPr="001C76A9">
        <w:rPr>
          <w:i/>
          <w:sz w:val="22"/>
          <w:szCs w:val="22"/>
        </w:rPr>
        <w:t>Ibid.</w:t>
      </w:r>
      <w:r w:rsidRPr="001C76A9">
        <w:rPr>
          <w:sz w:val="22"/>
          <w:szCs w:val="22"/>
        </w:rPr>
        <w:t xml:space="preserve"> ¶ 195; </w:t>
      </w:r>
      <w:r w:rsidRPr="001C76A9">
        <w:rPr>
          <w:i/>
          <w:sz w:val="22"/>
          <w:szCs w:val="22"/>
        </w:rPr>
        <w:t>FIDH</w:t>
      </w:r>
      <w:r w:rsidRPr="001C76A9">
        <w:rPr>
          <w:sz w:val="22"/>
          <w:szCs w:val="22"/>
        </w:rPr>
        <w:t xml:space="preserve">, note </w:t>
      </w:r>
      <w:r w:rsidR="009338D6">
        <w:rPr>
          <w:sz w:val="22"/>
          <w:szCs w:val="22"/>
        </w:rPr>
        <w:t>70</w:t>
      </w:r>
      <w:r w:rsidRPr="001C76A9">
        <w:rPr>
          <w:sz w:val="22"/>
          <w:szCs w:val="22"/>
        </w:rPr>
        <w:t xml:space="preserve"> </w:t>
      </w:r>
      <w:r w:rsidRPr="001C76A9">
        <w:rPr>
          <w:i/>
          <w:sz w:val="22"/>
          <w:szCs w:val="22"/>
        </w:rPr>
        <w:t>supra</w:t>
      </w:r>
      <w:r w:rsidRPr="001C76A9">
        <w:rPr>
          <w:sz w:val="22"/>
          <w:szCs w:val="22"/>
        </w:rPr>
        <w:t>,</w:t>
      </w:r>
      <w:r w:rsidRPr="001C76A9">
        <w:rPr>
          <w:i/>
          <w:sz w:val="22"/>
          <w:szCs w:val="22"/>
        </w:rPr>
        <w:t xml:space="preserve"> </w:t>
      </w:r>
      <w:r w:rsidRPr="001C76A9">
        <w:rPr>
          <w:sz w:val="22"/>
          <w:szCs w:val="22"/>
        </w:rPr>
        <w:t>¶ 49.</w:t>
      </w:r>
    </w:p>
  </w:footnote>
  <w:footnote w:id="81">
    <w:p w:rsidR="00304115" w:rsidRPr="001C76A9" w:rsidRDefault="00304115" w:rsidP="00BA6C66">
      <w:pPr>
        <w:pStyle w:val="FootnoteText"/>
        <w:rPr>
          <w:sz w:val="22"/>
          <w:szCs w:val="22"/>
        </w:rPr>
      </w:pPr>
      <w:r w:rsidRPr="001C76A9">
        <w:rPr>
          <w:rStyle w:val="FootnoteReference"/>
          <w:sz w:val="22"/>
          <w:szCs w:val="22"/>
        </w:rPr>
        <w:footnoteRef/>
      </w:r>
      <w:r w:rsidRPr="001C76A9">
        <w:rPr>
          <w:sz w:val="22"/>
          <w:szCs w:val="22"/>
        </w:rPr>
        <w:t xml:space="preserve"> </w:t>
      </w:r>
      <w:proofErr w:type="spellStart"/>
      <w:r w:rsidRPr="001C76A9">
        <w:rPr>
          <w:i/>
          <w:sz w:val="22"/>
          <w:szCs w:val="22"/>
        </w:rPr>
        <w:t>Marangopoulos</w:t>
      </w:r>
      <w:proofErr w:type="spellEnd"/>
      <w:r w:rsidRPr="001C76A9" w:rsidDel="00707490">
        <w:rPr>
          <w:i/>
          <w:sz w:val="22"/>
          <w:szCs w:val="22"/>
        </w:rPr>
        <w:t xml:space="preserve"> </w:t>
      </w:r>
      <w:r w:rsidRPr="001C76A9">
        <w:rPr>
          <w:sz w:val="22"/>
          <w:szCs w:val="22"/>
        </w:rPr>
        <w:t xml:space="preserve">, note </w:t>
      </w:r>
      <w:r w:rsidR="009338D6">
        <w:rPr>
          <w:sz w:val="22"/>
          <w:szCs w:val="22"/>
        </w:rPr>
        <w:t>69</w:t>
      </w:r>
      <w:r w:rsidRPr="001C76A9">
        <w:rPr>
          <w:sz w:val="22"/>
          <w:szCs w:val="22"/>
        </w:rPr>
        <w:t xml:space="preserve"> </w:t>
      </w:r>
      <w:r w:rsidRPr="001C76A9">
        <w:rPr>
          <w:i/>
          <w:sz w:val="22"/>
          <w:szCs w:val="22"/>
        </w:rPr>
        <w:t>supra</w:t>
      </w:r>
      <w:r w:rsidRPr="001C76A9">
        <w:rPr>
          <w:sz w:val="22"/>
          <w:szCs w:val="22"/>
        </w:rPr>
        <w:t xml:space="preserve">, ¶ 195. </w:t>
      </w:r>
    </w:p>
  </w:footnote>
  <w:footnote w:id="82">
    <w:p w:rsidR="00304115" w:rsidRPr="001C76A9" w:rsidRDefault="00304115" w:rsidP="00BA6C66">
      <w:pPr>
        <w:pStyle w:val="FootnoteText"/>
        <w:rPr>
          <w:sz w:val="22"/>
          <w:szCs w:val="22"/>
        </w:rPr>
      </w:pPr>
      <w:r w:rsidRPr="001C76A9">
        <w:rPr>
          <w:rStyle w:val="FootnoteReference"/>
          <w:sz w:val="22"/>
          <w:szCs w:val="22"/>
        </w:rPr>
        <w:footnoteRef/>
      </w:r>
      <w:r w:rsidRPr="001C76A9">
        <w:rPr>
          <w:sz w:val="22"/>
          <w:szCs w:val="22"/>
        </w:rPr>
        <w:t xml:space="preserve"> </w:t>
      </w:r>
      <w:r w:rsidRPr="001C76A9">
        <w:rPr>
          <w:i/>
          <w:sz w:val="22"/>
          <w:szCs w:val="22"/>
        </w:rPr>
        <w:t>FIDH</w:t>
      </w:r>
      <w:r w:rsidRPr="001C76A9">
        <w:rPr>
          <w:sz w:val="22"/>
          <w:szCs w:val="22"/>
        </w:rPr>
        <w:t xml:space="preserve">, note </w:t>
      </w:r>
      <w:r w:rsidR="009338D6">
        <w:rPr>
          <w:sz w:val="22"/>
          <w:szCs w:val="22"/>
        </w:rPr>
        <w:t>70</w:t>
      </w:r>
      <w:r w:rsidRPr="001C76A9">
        <w:rPr>
          <w:sz w:val="22"/>
          <w:szCs w:val="22"/>
        </w:rPr>
        <w:t xml:space="preserve"> </w:t>
      </w:r>
      <w:r w:rsidRPr="001C76A9">
        <w:rPr>
          <w:i/>
          <w:sz w:val="22"/>
          <w:szCs w:val="22"/>
        </w:rPr>
        <w:t>supra</w:t>
      </w:r>
      <w:r w:rsidRPr="001C76A9">
        <w:rPr>
          <w:sz w:val="22"/>
          <w:szCs w:val="22"/>
        </w:rPr>
        <w:t>, ¶ 49.</w:t>
      </w:r>
    </w:p>
  </w:footnote>
  <w:footnote w:id="83">
    <w:p w:rsidR="00304115" w:rsidRPr="001C76A9" w:rsidRDefault="00304115" w:rsidP="00227858">
      <w:pPr>
        <w:pStyle w:val="FootnoteText"/>
        <w:rPr>
          <w:sz w:val="22"/>
          <w:szCs w:val="22"/>
        </w:rPr>
      </w:pPr>
      <w:r w:rsidRPr="001C76A9">
        <w:rPr>
          <w:rStyle w:val="FootnoteReference"/>
          <w:sz w:val="22"/>
          <w:szCs w:val="22"/>
        </w:rPr>
        <w:footnoteRef/>
      </w:r>
      <w:r w:rsidRPr="001C76A9">
        <w:rPr>
          <w:sz w:val="22"/>
          <w:szCs w:val="22"/>
        </w:rPr>
        <w:t xml:space="preserve"> </w:t>
      </w:r>
      <w:r w:rsidRPr="001C76A9">
        <w:rPr>
          <w:i/>
          <w:sz w:val="22"/>
          <w:szCs w:val="22"/>
        </w:rPr>
        <w:t>Ibid</w:t>
      </w:r>
      <w:r w:rsidRPr="001C76A9">
        <w:rPr>
          <w:sz w:val="22"/>
          <w:szCs w:val="22"/>
        </w:rPr>
        <w:t xml:space="preserve">. ¶ 7. </w:t>
      </w:r>
    </w:p>
  </w:footnote>
  <w:footnote w:id="84">
    <w:p w:rsidR="00304115" w:rsidRPr="001C76A9" w:rsidRDefault="00304115" w:rsidP="006854B9">
      <w:pPr>
        <w:pStyle w:val="FootnoteText"/>
        <w:rPr>
          <w:sz w:val="22"/>
          <w:szCs w:val="22"/>
        </w:rPr>
      </w:pPr>
      <w:r w:rsidRPr="001C76A9">
        <w:rPr>
          <w:rStyle w:val="FootnoteReference"/>
          <w:sz w:val="22"/>
          <w:szCs w:val="22"/>
        </w:rPr>
        <w:footnoteRef/>
      </w:r>
      <w:r w:rsidRPr="001C76A9">
        <w:rPr>
          <w:sz w:val="22"/>
          <w:szCs w:val="22"/>
        </w:rPr>
        <w:t xml:space="preserve"> </w:t>
      </w:r>
      <w:r w:rsidRPr="001C76A9">
        <w:rPr>
          <w:i/>
          <w:sz w:val="22"/>
          <w:szCs w:val="22"/>
        </w:rPr>
        <w:t xml:space="preserve">Ibid. </w:t>
      </w:r>
      <w:r w:rsidRPr="001C76A9">
        <w:rPr>
          <w:sz w:val="22"/>
          <w:szCs w:val="22"/>
        </w:rPr>
        <w:t xml:space="preserve">¶ 150. </w:t>
      </w:r>
    </w:p>
  </w:footnote>
  <w:footnote w:id="85">
    <w:p w:rsidR="00304115" w:rsidRPr="001C76A9" w:rsidRDefault="00304115" w:rsidP="006854B9">
      <w:pPr>
        <w:pStyle w:val="FootnoteText"/>
        <w:rPr>
          <w:sz w:val="22"/>
          <w:szCs w:val="22"/>
        </w:rPr>
      </w:pPr>
      <w:r w:rsidRPr="001C76A9">
        <w:rPr>
          <w:rStyle w:val="FootnoteReference"/>
          <w:sz w:val="22"/>
          <w:szCs w:val="22"/>
        </w:rPr>
        <w:footnoteRef/>
      </w:r>
      <w:r w:rsidRPr="001C76A9">
        <w:rPr>
          <w:sz w:val="22"/>
          <w:szCs w:val="22"/>
        </w:rPr>
        <w:t xml:space="preserve"> </w:t>
      </w:r>
      <w:r w:rsidRPr="001C76A9">
        <w:rPr>
          <w:i/>
          <w:sz w:val="22"/>
          <w:szCs w:val="22"/>
        </w:rPr>
        <w:t>Ibid</w:t>
      </w:r>
      <w:r w:rsidRPr="001C76A9">
        <w:rPr>
          <w:sz w:val="22"/>
          <w:szCs w:val="22"/>
        </w:rPr>
        <w:t xml:space="preserve">. </w:t>
      </w:r>
    </w:p>
  </w:footnote>
  <w:footnote w:id="86">
    <w:p w:rsidR="00304115" w:rsidRPr="001C76A9" w:rsidRDefault="00304115" w:rsidP="006854B9">
      <w:pPr>
        <w:pStyle w:val="FootnoteText"/>
        <w:rPr>
          <w:sz w:val="22"/>
          <w:szCs w:val="22"/>
        </w:rPr>
      </w:pPr>
      <w:r w:rsidRPr="001C76A9">
        <w:rPr>
          <w:rStyle w:val="FootnoteReference"/>
          <w:sz w:val="22"/>
          <w:szCs w:val="22"/>
        </w:rPr>
        <w:footnoteRef/>
      </w:r>
      <w:r w:rsidRPr="001C76A9">
        <w:rPr>
          <w:sz w:val="22"/>
          <w:szCs w:val="22"/>
        </w:rPr>
        <w:t xml:space="preserve"> </w:t>
      </w:r>
      <w:r w:rsidRPr="001C76A9">
        <w:rPr>
          <w:i/>
          <w:sz w:val="22"/>
          <w:szCs w:val="22"/>
        </w:rPr>
        <w:t>Ibid</w:t>
      </w:r>
      <w:r w:rsidRPr="001C76A9">
        <w:rPr>
          <w:sz w:val="22"/>
          <w:szCs w:val="22"/>
        </w:rPr>
        <w:t>.</w:t>
      </w:r>
      <w:r w:rsidRPr="001C76A9">
        <w:rPr>
          <w:i/>
          <w:sz w:val="22"/>
          <w:szCs w:val="22"/>
        </w:rPr>
        <w:t xml:space="preserve"> </w:t>
      </w:r>
      <w:r w:rsidRPr="001C76A9">
        <w:rPr>
          <w:sz w:val="22"/>
          <w:szCs w:val="22"/>
        </w:rPr>
        <w:t xml:space="preserve">¶151. </w:t>
      </w:r>
    </w:p>
  </w:footnote>
  <w:footnote w:id="87">
    <w:p w:rsidR="00304115" w:rsidRPr="001C76A9" w:rsidRDefault="00304115" w:rsidP="00762F44">
      <w:pPr>
        <w:pStyle w:val="FootnoteText"/>
        <w:rPr>
          <w:i/>
          <w:sz w:val="22"/>
          <w:szCs w:val="22"/>
        </w:rPr>
      </w:pPr>
      <w:r w:rsidRPr="001C76A9">
        <w:rPr>
          <w:rStyle w:val="FootnoteReference"/>
          <w:sz w:val="22"/>
          <w:szCs w:val="22"/>
        </w:rPr>
        <w:footnoteRef/>
      </w:r>
      <w:r w:rsidRPr="001C76A9">
        <w:rPr>
          <w:sz w:val="22"/>
          <w:szCs w:val="22"/>
        </w:rPr>
        <w:t xml:space="preserve"> </w:t>
      </w:r>
      <w:r w:rsidRPr="001C76A9">
        <w:rPr>
          <w:i/>
          <w:sz w:val="22"/>
          <w:szCs w:val="22"/>
        </w:rPr>
        <w:t xml:space="preserve">Ibid. </w:t>
      </w:r>
      <w:r w:rsidRPr="001C76A9">
        <w:rPr>
          <w:sz w:val="22"/>
          <w:szCs w:val="22"/>
        </w:rPr>
        <w:t>¶</w:t>
      </w:r>
      <w:r w:rsidRPr="001C76A9">
        <w:rPr>
          <w:i/>
          <w:sz w:val="22"/>
          <w:szCs w:val="22"/>
        </w:rPr>
        <w:t xml:space="preserve"> </w:t>
      </w:r>
      <w:r w:rsidRPr="001C76A9">
        <w:rPr>
          <w:sz w:val="22"/>
          <w:szCs w:val="22"/>
        </w:rPr>
        <w:t>157.</w:t>
      </w:r>
    </w:p>
  </w:footnote>
  <w:footnote w:id="88">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lang w:val="en-US"/>
        </w:rPr>
        <w:t>Ibid</w:t>
      </w:r>
      <w:r w:rsidRPr="001C76A9">
        <w:rPr>
          <w:sz w:val="22"/>
          <w:szCs w:val="22"/>
          <w:lang w:val="en-US"/>
        </w:rPr>
        <w:t>.</w:t>
      </w:r>
    </w:p>
  </w:footnote>
  <w:footnote w:id="89">
    <w:p w:rsidR="00304115" w:rsidRPr="001C76A9" w:rsidRDefault="00304115" w:rsidP="001A6FF7">
      <w:pPr>
        <w:pStyle w:val="FootnoteText"/>
        <w:rPr>
          <w:sz w:val="22"/>
          <w:szCs w:val="22"/>
        </w:rPr>
      </w:pPr>
      <w:r w:rsidRPr="001C76A9">
        <w:rPr>
          <w:rStyle w:val="FootnoteReference"/>
          <w:sz w:val="22"/>
          <w:szCs w:val="22"/>
        </w:rPr>
        <w:footnoteRef/>
      </w:r>
      <w:r w:rsidRPr="001C76A9">
        <w:rPr>
          <w:sz w:val="22"/>
          <w:szCs w:val="22"/>
        </w:rPr>
        <w:t xml:space="preserve"> </w:t>
      </w:r>
      <w:r w:rsidRPr="001C76A9">
        <w:rPr>
          <w:i/>
          <w:sz w:val="22"/>
          <w:szCs w:val="22"/>
        </w:rPr>
        <w:t>Ibid.</w:t>
      </w:r>
    </w:p>
  </w:footnote>
  <w:footnote w:id="90">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lang w:val="en-US"/>
        </w:rPr>
        <w:t>Ibid</w:t>
      </w:r>
      <w:r w:rsidRPr="001C76A9">
        <w:rPr>
          <w:sz w:val="22"/>
          <w:szCs w:val="22"/>
          <w:lang w:val="en-US"/>
        </w:rPr>
        <w:t>. ¶ 158</w:t>
      </w:r>
      <w:r w:rsidRPr="001C76A9">
        <w:rPr>
          <w:sz w:val="22"/>
          <w:szCs w:val="22"/>
        </w:rPr>
        <w:t>.</w:t>
      </w:r>
    </w:p>
  </w:footnote>
  <w:footnote w:id="91">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lang w:val="en-US"/>
        </w:rPr>
        <w:t>Ibid</w:t>
      </w:r>
      <w:r w:rsidRPr="001C76A9">
        <w:rPr>
          <w:sz w:val="22"/>
          <w:szCs w:val="22"/>
          <w:lang w:val="en-US"/>
        </w:rPr>
        <w:t xml:space="preserve">. (citing </w:t>
      </w:r>
      <w:proofErr w:type="spellStart"/>
      <w:r w:rsidRPr="001C76A9">
        <w:rPr>
          <w:i/>
          <w:sz w:val="22"/>
          <w:szCs w:val="22"/>
        </w:rPr>
        <w:t>Marangopoulos</w:t>
      </w:r>
      <w:proofErr w:type="spellEnd"/>
      <w:r w:rsidRPr="001C76A9">
        <w:rPr>
          <w:sz w:val="22"/>
          <w:szCs w:val="22"/>
        </w:rPr>
        <w:t xml:space="preserve">, note  </w:t>
      </w:r>
      <w:r w:rsidR="009338D6">
        <w:rPr>
          <w:sz w:val="22"/>
          <w:szCs w:val="22"/>
        </w:rPr>
        <w:t>69</w:t>
      </w:r>
      <w:r w:rsidRPr="001C76A9">
        <w:rPr>
          <w:sz w:val="22"/>
          <w:szCs w:val="22"/>
        </w:rPr>
        <w:t xml:space="preserve"> </w:t>
      </w:r>
      <w:r w:rsidRPr="001C76A9">
        <w:rPr>
          <w:i/>
          <w:sz w:val="22"/>
          <w:szCs w:val="22"/>
        </w:rPr>
        <w:t xml:space="preserve">supra, </w:t>
      </w:r>
      <w:r w:rsidRPr="001C76A9">
        <w:rPr>
          <w:sz w:val="22"/>
          <w:szCs w:val="22"/>
        </w:rPr>
        <w:t>¶¶ 216, 219).</w:t>
      </w:r>
    </w:p>
  </w:footnote>
  <w:footnote w:id="92">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proofErr w:type="spellStart"/>
      <w:r w:rsidRPr="001C76A9">
        <w:rPr>
          <w:i/>
          <w:sz w:val="22"/>
          <w:szCs w:val="22"/>
        </w:rPr>
        <w:t>Marangopoulos</w:t>
      </w:r>
      <w:proofErr w:type="spellEnd"/>
      <w:r w:rsidRPr="001C76A9">
        <w:rPr>
          <w:sz w:val="22"/>
          <w:szCs w:val="22"/>
        </w:rPr>
        <w:t xml:space="preserve">, note  </w:t>
      </w:r>
      <w:r w:rsidR="009338D6">
        <w:rPr>
          <w:sz w:val="22"/>
          <w:szCs w:val="22"/>
        </w:rPr>
        <w:t>69</w:t>
      </w:r>
      <w:r w:rsidRPr="001C76A9">
        <w:rPr>
          <w:sz w:val="22"/>
          <w:szCs w:val="22"/>
        </w:rPr>
        <w:t xml:space="preserve"> </w:t>
      </w:r>
      <w:r w:rsidRPr="001C76A9">
        <w:rPr>
          <w:i/>
          <w:sz w:val="22"/>
          <w:szCs w:val="22"/>
        </w:rPr>
        <w:t xml:space="preserve">supra, </w:t>
      </w:r>
      <w:r w:rsidRPr="001C76A9">
        <w:rPr>
          <w:sz w:val="22"/>
          <w:szCs w:val="22"/>
        </w:rPr>
        <w:t>¶ 203.</w:t>
      </w:r>
    </w:p>
  </w:footnote>
  <w:footnote w:id="93">
    <w:p w:rsidR="00304115" w:rsidRPr="001C76A9" w:rsidRDefault="00304115" w:rsidP="00864DC5">
      <w:pPr>
        <w:pStyle w:val="FootnoteText"/>
        <w:rPr>
          <w:sz w:val="22"/>
          <w:szCs w:val="22"/>
        </w:rPr>
      </w:pPr>
      <w:r w:rsidRPr="001C76A9">
        <w:rPr>
          <w:rStyle w:val="FootnoteReference"/>
          <w:sz w:val="22"/>
          <w:szCs w:val="22"/>
        </w:rPr>
        <w:footnoteRef/>
      </w:r>
      <w:r w:rsidRPr="001C76A9">
        <w:rPr>
          <w:sz w:val="22"/>
          <w:szCs w:val="22"/>
        </w:rPr>
        <w:t xml:space="preserve"> </w:t>
      </w:r>
      <w:r w:rsidRPr="001C76A9">
        <w:rPr>
          <w:i/>
          <w:sz w:val="22"/>
          <w:szCs w:val="22"/>
        </w:rPr>
        <w:t>Ibid</w:t>
      </w:r>
      <w:r w:rsidRPr="001C76A9">
        <w:rPr>
          <w:sz w:val="22"/>
          <w:szCs w:val="22"/>
        </w:rPr>
        <w:t>. ¶</w:t>
      </w:r>
      <w:r w:rsidRPr="001C76A9">
        <w:rPr>
          <w:i/>
          <w:sz w:val="22"/>
          <w:szCs w:val="22"/>
        </w:rPr>
        <w:t xml:space="preserve"> </w:t>
      </w:r>
      <w:r w:rsidRPr="001C76A9">
        <w:rPr>
          <w:sz w:val="22"/>
          <w:szCs w:val="22"/>
        </w:rPr>
        <w:t>203.</w:t>
      </w:r>
    </w:p>
  </w:footnote>
  <w:footnote w:id="94">
    <w:p w:rsidR="00304115" w:rsidRPr="001C76A9" w:rsidRDefault="00304115" w:rsidP="00037CE6">
      <w:pPr>
        <w:pStyle w:val="FootnoteText"/>
        <w:rPr>
          <w:sz w:val="22"/>
          <w:szCs w:val="22"/>
        </w:rPr>
      </w:pPr>
      <w:r w:rsidRPr="001C76A9">
        <w:rPr>
          <w:rStyle w:val="FootnoteReference"/>
          <w:sz w:val="22"/>
          <w:szCs w:val="22"/>
        </w:rPr>
        <w:footnoteRef/>
      </w:r>
      <w:r w:rsidRPr="001C76A9">
        <w:rPr>
          <w:sz w:val="22"/>
          <w:szCs w:val="22"/>
        </w:rPr>
        <w:t xml:space="preserve"> </w:t>
      </w:r>
      <w:r w:rsidRPr="001C76A9">
        <w:rPr>
          <w:i/>
          <w:sz w:val="22"/>
          <w:szCs w:val="22"/>
        </w:rPr>
        <w:t>Ibid</w:t>
      </w:r>
      <w:r w:rsidRPr="001C76A9">
        <w:rPr>
          <w:sz w:val="22"/>
          <w:szCs w:val="22"/>
        </w:rPr>
        <w:t>.</w:t>
      </w:r>
    </w:p>
  </w:footnote>
  <w:footnote w:id="95">
    <w:p w:rsidR="00304115" w:rsidRPr="001C76A9" w:rsidRDefault="00304115" w:rsidP="00452220">
      <w:pPr>
        <w:pStyle w:val="FootnoteText"/>
        <w:rPr>
          <w:sz w:val="22"/>
          <w:szCs w:val="22"/>
        </w:rPr>
      </w:pPr>
      <w:r w:rsidRPr="001C76A9">
        <w:rPr>
          <w:rStyle w:val="FootnoteReference"/>
          <w:sz w:val="22"/>
          <w:szCs w:val="22"/>
        </w:rPr>
        <w:footnoteRef/>
      </w:r>
      <w:r w:rsidRPr="001C76A9">
        <w:rPr>
          <w:sz w:val="22"/>
          <w:szCs w:val="22"/>
        </w:rPr>
        <w:t xml:space="preserve"> </w:t>
      </w:r>
      <w:r w:rsidRPr="001C76A9">
        <w:rPr>
          <w:i/>
          <w:sz w:val="22"/>
          <w:szCs w:val="22"/>
        </w:rPr>
        <w:t>FIDH</w:t>
      </w:r>
      <w:r w:rsidRPr="001C76A9">
        <w:rPr>
          <w:sz w:val="22"/>
          <w:szCs w:val="22"/>
        </w:rPr>
        <w:t xml:space="preserve">, note </w:t>
      </w:r>
      <w:r w:rsidR="009338D6">
        <w:rPr>
          <w:sz w:val="22"/>
          <w:szCs w:val="22"/>
        </w:rPr>
        <w:t>70</w:t>
      </w:r>
      <w:r w:rsidRPr="001C76A9">
        <w:rPr>
          <w:sz w:val="22"/>
          <w:szCs w:val="22"/>
        </w:rPr>
        <w:t xml:space="preserve"> </w:t>
      </w:r>
      <w:r w:rsidRPr="001C76A9">
        <w:rPr>
          <w:i/>
          <w:sz w:val="22"/>
          <w:szCs w:val="22"/>
        </w:rPr>
        <w:t xml:space="preserve">supra, </w:t>
      </w:r>
      <w:r w:rsidRPr="001C76A9">
        <w:rPr>
          <w:sz w:val="22"/>
          <w:szCs w:val="22"/>
        </w:rPr>
        <w:t>¶ 153.</w:t>
      </w:r>
    </w:p>
  </w:footnote>
  <w:footnote w:id="96">
    <w:p w:rsidR="00304115" w:rsidRPr="001C76A9" w:rsidRDefault="00304115" w:rsidP="00452220">
      <w:pPr>
        <w:pStyle w:val="FootnoteText"/>
        <w:rPr>
          <w:sz w:val="22"/>
          <w:szCs w:val="22"/>
        </w:rPr>
      </w:pPr>
      <w:r w:rsidRPr="001C76A9">
        <w:rPr>
          <w:rStyle w:val="FootnoteReference"/>
          <w:sz w:val="22"/>
          <w:szCs w:val="22"/>
        </w:rPr>
        <w:footnoteRef/>
      </w:r>
      <w:r w:rsidRPr="001C76A9">
        <w:rPr>
          <w:sz w:val="22"/>
          <w:szCs w:val="22"/>
        </w:rPr>
        <w:t xml:space="preserve"> </w:t>
      </w:r>
      <w:r w:rsidRPr="001C76A9">
        <w:rPr>
          <w:i/>
          <w:sz w:val="22"/>
          <w:szCs w:val="22"/>
        </w:rPr>
        <w:t>Ibid.</w:t>
      </w:r>
      <w:r w:rsidRPr="001C76A9">
        <w:rPr>
          <w:sz w:val="22"/>
          <w:szCs w:val="22"/>
        </w:rPr>
        <w:t xml:space="preserve"> ¶144. </w:t>
      </w:r>
    </w:p>
  </w:footnote>
  <w:footnote w:id="97">
    <w:p w:rsidR="00304115" w:rsidRPr="001C76A9" w:rsidRDefault="00304115" w:rsidP="00452220">
      <w:pPr>
        <w:pStyle w:val="FootnoteText"/>
        <w:rPr>
          <w:sz w:val="22"/>
          <w:szCs w:val="22"/>
        </w:rPr>
      </w:pPr>
      <w:r w:rsidRPr="001C76A9">
        <w:rPr>
          <w:rStyle w:val="FootnoteReference"/>
          <w:sz w:val="22"/>
          <w:szCs w:val="22"/>
        </w:rPr>
        <w:footnoteRef/>
      </w:r>
      <w:r w:rsidRPr="001C76A9">
        <w:rPr>
          <w:sz w:val="22"/>
          <w:szCs w:val="22"/>
        </w:rPr>
        <w:t xml:space="preserve"> </w:t>
      </w:r>
      <w:r w:rsidRPr="001C76A9">
        <w:rPr>
          <w:i/>
          <w:sz w:val="22"/>
          <w:szCs w:val="22"/>
        </w:rPr>
        <w:t>Ibid.</w:t>
      </w:r>
      <w:r w:rsidRPr="001C76A9">
        <w:rPr>
          <w:sz w:val="22"/>
          <w:szCs w:val="22"/>
        </w:rPr>
        <w:t xml:space="preserve"> ¶ 145. </w:t>
      </w:r>
    </w:p>
  </w:footnote>
  <w:footnote w:id="98">
    <w:p w:rsidR="00304115" w:rsidRPr="001C76A9" w:rsidRDefault="00304115" w:rsidP="00864DC5">
      <w:pPr>
        <w:pStyle w:val="FootnoteText"/>
        <w:rPr>
          <w:sz w:val="22"/>
          <w:szCs w:val="22"/>
        </w:rPr>
      </w:pPr>
      <w:r w:rsidRPr="001C76A9">
        <w:rPr>
          <w:rStyle w:val="FootnoteReference"/>
          <w:sz w:val="22"/>
          <w:szCs w:val="22"/>
        </w:rPr>
        <w:footnoteRef/>
      </w:r>
      <w:r w:rsidRPr="001C76A9">
        <w:rPr>
          <w:sz w:val="22"/>
          <w:szCs w:val="22"/>
        </w:rPr>
        <w:t xml:space="preserve"> </w:t>
      </w:r>
      <w:proofErr w:type="spellStart"/>
      <w:r w:rsidRPr="001C76A9">
        <w:rPr>
          <w:i/>
          <w:sz w:val="22"/>
          <w:szCs w:val="22"/>
        </w:rPr>
        <w:t>Marangopoulos</w:t>
      </w:r>
      <w:proofErr w:type="spellEnd"/>
      <w:r w:rsidRPr="001C76A9">
        <w:rPr>
          <w:sz w:val="22"/>
          <w:szCs w:val="22"/>
        </w:rPr>
        <w:t xml:space="preserve">, note </w:t>
      </w:r>
      <w:r w:rsidR="009338D6">
        <w:rPr>
          <w:sz w:val="22"/>
          <w:szCs w:val="22"/>
        </w:rPr>
        <w:t>69</w:t>
      </w:r>
      <w:r w:rsidRPr="001C76A9">
        <w:rPr>
          <w:sz w:val="22"/>
          <w:szCs w:val="22"/>
        </w:rPr>
        <w:t xml:space="preserve"> </w:t>
      </w:r>
      <w:r w:rsidRPr="001C76A9">
        <w:rPr>
          <w:i/>
          <w:sz w:val="22"/>
          <w:szCs w:val="22"/>
        </w:rPr>
        <w:t>supra</w:t>
      </w:r>
      <w:r w:rsidRPr="001C76A9">
        <w:rPr>
          <w:sz w:val="22"/>
          <w:szCs w:val="22"/>
        </w:rPr>
        <w:t>, ¶</w:t>
      </w:r>
      <w:r w:rsidR="00BF0F7E" w:rsidRPr="001C76A9">
        <w:rPr>
          <w:sz w:val="22"/>
          <w:szCs w:val="22"/>
        </w:rPr>
        <w:t xml:space="preserve"> </w:t>
      </w:r>
      <w:r w:rsidRPr="001C76A9">
        <w:rPr>
          <w:sz w:val="22"/>
          <w:szCs w:val="22"/>
        </w:rPr>
        <w:t>203.</w:t>
      </w:r>
    </w:p>
  </w:footnote>
  <w:footnote w:id="99">
    <w:p w:rsidR="00304115" w:rsidRPr="001C76A9" w:rsidRDefault="00304115" w:rsidP="00B24BFD">
      <w:pPr>
        <w:pStyle w:val="FootnoteText"/>
        <w:rPr>
          <w:sz w:val="22"/>
          <w:szCs w:val="22"/>
        </w:rPr>
      </w:pPr>
      <w:r w:rsidRPr="001C76A9">
        <w:rPr>
          <w:rStyle w:val="FootnoteReference"/>
          <w:sz w:val="22"/>
          <w:szCs w:val="22"/>
        </w:rPr>
        <w:footnoteRef/>
      </w:r>
      <w:r w:rsidRPr="001C76A9">
        <w:rPr>
          <w:sz w:val="22"/>
          <w:szCs w:val="22"/>
        </w:rPr>
        <w:t xml:space="preserve"> </w:t>
      </w:r>
      <w:r w:rsidRPr="001C76A9">
        <w:rPr>
          <w:i/>
          <w:sz w:val="22"/>
          <w:szCs w:val="22"/>
        </w:rPr>
        <w:t>Ibid.</w:t>
      </w:r>
      <w:r w:rsidRPr="001C76A9">
        <w:rPr>
          <w:sz w:val="22"/>
          <w:szCs w:val="22"/>
        </w:rPr>
        <w:t xml:space="preserve"> ¶</w:t>
      </w:r>
      <w:r w:rsidRPr="001C76A9">
        <w:rPr>
          <w:i/>
          <w:sz w:val="22"/>
          <w:szCs w:val="22"/>
        </w:rPr>
        <w:t xml:space="preserve"> </w:t>
      </w:r>
      <w:r w:rsidRPr="001C76A9">
        <w:rPr>
          <w:sz w:val="22"/>
          <w:szCs w:val="22"/>
        </w:rPr>
        <w:t xml:space="preserve">202. </w:t>
      </w:r>
    </w:p>
  </w:footnote>
  <w:footnote w:id="100">
    <w:p w:rsidR="00304115" w:rsidRPr="001C76A9" w:rsidRDefault="00304115" w:rsidP="00B24BFD">
      <w:pPr>
        <w:pStyle w:val="FootnoteText"/>
        <w:rPr>
          <w:sz w:val="22"/>
          <w:szCs w:val="22"/>
        </w:rPr>
      </w:pPr>
      <w:r w:rsidRPr="001C76A9">
        <w:rPr>
          <w:rStyle w:val="FootnoteReference"/>
          <w:sz w:val="22"/>
          <w:szCs w:val="22"/>
        </w:rPr>
        <w:footnoteRef/>
      </w:r>
      <w:r w:rsidRPr="001C76A9">
        <w:rPr>
          <w:sz w:val="22"/>
          <w:szCs w:val="22"/>
        </w:rPr>
        <w:t xml:space="preserve"> </w:t>
      </w:r>
      <w:r w:rsidRPr="001C76A9">
        <w:rPr>
          <w:i/>
          <w:sz w:val="22"/>
          <w:szCs w:val="22"/>
        </w:rPr>
        <w:t>Ibid.</w:t>
      </w:r>
      <w:r w:rsidRPr="001C76A9">
        <w:rPr>
          <w:sz w:val="22"/>
          <w:szCs w:val="22"/>
        </w:rPr>
        <w:t xml:space="preserve"> ¶</w:t>
      </w:r>
      <w:r w:rsidRPr="001C76A9">
        <w:rPr>
          <w:i/>
          <w:sz w:val="22"/>
          <w:szCs w:val="22"/>
        </w:rPr>
        <w:t xml:space="preserve"> </w:t>
      </w:r>
      <w:r w:rsidRPr="001C76A9">
        <w:rPr>
          <w:sz w:val="22"/>
          <w:szCs w:val="22"/>
        </w:rPr>
        <w:t xml:space="preserve">221. </w:t>
      </w:r>
    </w:p>
  </w:footnote>
  <w:footnote w:id="101">
    <w:p w:rsidR="00304115" w:rsidRPr="001C76A9" w:rsidRDefault="00304115" w:rsidP="00B24BFD">
      <w:pPr>
        <w:pStyle w:val="FootnoteText"/>
        <w:rPr>
          <w:sz w:val="22"/>
          <w:szCs w:val="22"/>
        </w:rPr>
      </w:pPr>
      <w:r w:rsidRPr="001C76A9">
        <w:rPr>
          <w:rStyle w:val="FootnoteReference"/>
          <w:sz w:val="22"/>
          <w:szCs w:val="22"/>
        </w:rPr>
        <w:footnoteRef/>
      </w:r>
      <w:r w:rsidRPr="001C76A9">
        <w:rPr>
          <w:sz w:val="22"/>
          <w:szCs w:val="22"/>
        </w:rPr>
        <w:t xml:space="preserve"> </w:t>
      </w:r>
      <w:r w:rsidRPr="001C76A9">
        <w:rPr>
          <w:i/>
          <w:sz w:val="22"/>
          <w:szCs w:val="22"/>
        </w:rPr>
        <w:t>FIDH</w:t>
      </w:r>
      <w:r w:rsidRPr="001C76A9">
        <w:rPr>
          <w:sz w:val="22"/>
          <w:szCs w:val="22"/>
        </w:rPr>
        <w:t xml:space="preserve">, note </w:t>
      </w:r>
      <w:r w:rsidR="009338D6">
        <w:rPr>
          <w:sz w:val="22"/>
          <w:szCs w:val="22"/>
        </w:rPr>
        <w:t>70</w:t>
      </w:r>
      <w:r w:rsidRPr="001C76A9">
        <w:rPr>
          <w:sz w:val="22"/>
          <w:szCs w:val="22"/>
        </w:rPr>
        <w:t xml:space="preserve"> </w:t>
      </w:r>
      <w:r w:rsidRPr="001C76A9">
        <w:rPr>
          <w:i/>
          <w:sz w:val="22"/>
          <w:szCs w:val="22"/>
        </w:rPr>
        <w:t>supra</w:t>
      </w:r>
      <w:r w:rsidRPr="001C76A9">
        <w:rPr>
          <w:sz w:val="22"/>
          <w:szCs w:val="22"/>
        </w:rPr>
        <w:t>, ¶</w:t>
      </w:r>
      <w:r w:rsidRPr="001C76A9">
        <w:rPr>
          <w:i/>
          <w:sz w:val="22"/>
          <w:szCs w:val="22"/>
        </w:rPr>
        <w:t xml:space="preserve"> </w:t>
      </w:r>
      <w:r w:rsidRPr="001C76A9">
        <w:rPr>
          <w:sz w:val="22"/>
          <w:szCs w:val="22"/>
        </w:rPr>
        <w:t>146.</w:t>
      </w:r>
    </w:p>
  </w:footnote>
  <w:footnote w:id="102">
    <w:p w:rsidR="00304115" w:rsidRPr="001C76A9" w:rsidRDefault="00304115">
      <w:pPr>
        <w:pStyle w:val="FootnoteText"/>
        <w:rPr>
          <w:sz w:val="22"/>
          <w:szCs w:val="22"/>
          <w:lang w:val="en-US"/>
        </w:rPr>
      </w:pPr>
      <w:r w:rsidRPr="001C76A9">
        <w:rPr>
          <w:rStyle w:val="FootnoteReference"/>
          <w:sz w:val="22"/>
          <w:szCs w:val="22"/>
        </w:rPr>
        <w:footnoteRef/>
      </w:r>
      <w:r w:rsidRPr="001C76A9">
        <w:rPr>
          <w:i/>
          <w:sz w:val="22"/>
          <w:szCs w:val="22"/>
          <w:lang w:val="en-US"/>
        </w:rPr>
        <w:t xml:space="preserve"> Ibid.</w:t>
      </w:r>
      <w:r w:rsidRPr="001C76A9">
        <w:rPr>
          <w:sz w:val="22"/>
          <w:szCs w:val="22"/>
          <w:lang w:val="en-US"/>
        </w:rPr>
        <w:t xml:space="preserve"> ¶ 148 (c).</w:t>
      </w:r>
    </w:p>
  </w:footnote>
  <w:footnote w:id="103">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rPr>
        <w:t>Ibid.</w:t>
      </w:r>
      <w:r w:rsidRPr="001C76A9">
        <w:rPr>
          <w:sz w:val="22"/>
          <w:szCs w:val="22"/>
          <w:lang w:val="en-US"/>
        </w:rPr>
        <w:t xml:space="preserve"> ¶¶ 148-</w:t>
      </w:r>
      <w:r w:rsidR="00BF0F7E" w:rsidRPr="001C76A9">
        <w:rPr>
          <w:sz w:val="22"/>
          <w:szCs w:val="22"/>
          <w:lang w:val="en-US"/>
        </w:rPr>
        <w:t>14</w:t>
      </w:r>
      <w:r w:rsidRPr="001C76A9">
        <w:rPr>
          <w:sz w:val="22"/>
          <w:szCs w:val="22"/>
          <w:lang w:val="en-US"/>
        </w:rPr>
        <w:t>9, 42-44.</w:t>
      </w:r>
    </w:p>
  </w:footnote>
  <w:footnote w:id="104">
    <w:p w:rsidR="00304115" w:rsidRPr="001C76A9" w:rsidRDefault="00304115" w:rsidP="0097726F">
      <w:pPr>
        <w:pStyle w:val="FootnoteText"/>
        <w:rPr>
          <w:sz w:val="22"/>
          <w:szCs w:val="22"/>
        </w:rPr>
      </w:pPr>
      <w:r w:rsidRPr="001C76A9">
        <w:rPr>
          <w:rStyle w:val="FootnoteReference"/>
          <w:sz w:val="22"/>
          <w:szCs w:val="22"/>
        </w:rPr>
        <w:footnoteRef/>
      </w:r>
      <w:r w:rsidRPr="001C76A9">
        <w:rPr>
          <w:sz w:val="22"/>
          <w:szCs w:val="22"/>
        </w:rPr>
        <w:t xml:space="preserve"> </w:t>
      </w:r>
      <w:r w:rsidRPr="001C76A9">
        <w:rPr>
          <w:i/>
          <w:sz w:val="22"/>
          <w:szCs w:val="22"/>
        </w:rPr>
        <w:t>European Roma Rights Centre (ERRC) v. Bulgaria</w:t>
      </w:r>
      <w:r w:rsidRPr="001C76A9">
        <w:rPr>
          <w:sz w:val="22"/>
          <w:szCs w:val="22"/>
        </w:rPr>
        <w:t>, Complaint No. 46/2007 (European Social Committee 2008).</w:t>
      </w:r>
    </w:p>
  </w:footnote>
  <w:footnote w:id="105">
    <w:p w:rsidR="00304115" w:rsidRPr="001C76A9" w:rsidRDefault="00304115" w:rsidP="0097726F">
      <w:pPr>
        <w:pStyle w:val="FootnoteText"/>
        <w:rPr>
          <w:sz w:val="22"/>
          <w:szCs w:val="22"/>
        </w:rPr>
      </w:pPr>
      <w:r w:rsidRPr="001C76A9">
        <w:rPr>
          <w:rStyle w:val="FootnoteReference"/>
          <w:sz w:val="22"/>
          <w:szCs w:val="22"/>
        </w:rPr>
        <w:footnoteRef/>
      </w:r>
      <w:r w:rsidRPr="001C76A9">
        <w:rPr>
          <w:sz w:val="22"/>
          <w:szCs w:val="22"/>
        </w:rPr>
        <w:t xml:space="preserve"> </w:t>
      </w:r>
      <w:r w:rsidRPr="001C76A9">
        <w:rPr>
          <w:i/>
          <w:sz w:val="22"/>
          <w:szCs w:val="22"/>
        </w:rPr>
        <w:t>Ibid</w:t>
      </w:r>
      <w:r w:rsidRPr="001C76A9">
        <w:rPr>
          <w:sz w:val="22"/>
          <w:szCs w:val="22"/>
        </w:rPr>
        <w:t xml:space="preserve">. ¶ 49. </w:t>
      </w:r>
    </w:p>
  </w:footnote>
  <w:footnote w:id="106">
    <w:p w:rsidR="00304115" w:rsidRPr="001C76A9" w:rsidRDefault="00304115" w:rsidP="0097726F">
      <w:pPr>
        <w:pStyle w:val="FootnoteText"/>
        <w:rPr>
          <w:sz w:val="22"/>
          <w:szCs w:val="22"/>
        </w:rPr>
      </w:pPr>
      <w:r w:rsidRPr="001C76A9">
        <w:rPr>
          <w:rStyle w:val="FootnoteReference"/>
          <w:sz w:val="22"/>
          <w:szCs w:val="22"/>
        </w:rPr>
        <w:footnoteRef/>
      </w:r>
      <w:r w:rsidRPr="001C76A9">
        <w:rPr>
          <w:sz w:val="22"/>
          <w:szCs w:val="22"/>
        </w:rPr>
        <w:t xml:space="preserve"> </w:t>
      </w:r>
      <w:r w:rsidRPr="001C76A9">
        <w:rPr>
          <w:i/>
          <w:sz w:val="22"/>
          <w:szCs w:val="22"/>
        </w:rPr>
        <w:t>Ibid.</w:t>
      </w:r>
      <w:r w:rsidRPr="001C76A9">
        <w:rPr>
          <w:sz w:val="22"/>
          <w:szCs w:val="22"/>
        </w:rPr>
        <w:t xml:space="preserve"> ¶ 51 (emphasis added). </w:t>
      </w:r>
    </w:p>
  </w:footnote>
  <w:footnote w:id="107">
    <w:p w:rsidR="00304115" w:rsidRPr="001C76A9" w:rsidRDefault="00304115" w:rsidP="003E2B4D">
      <w:pPr>
        <w:pStyle w:val="FootnoteText"/>
        <w:rPr>
          <w:sz w:val="22"/>
          <w:szCs w:val="22"/>
        </w:rPr>
      </w:pPr>
      <w:r w:rsidRPr="001C76A9">
        <w:rPr>
          <w:rStyle w:val="FootnoteReference"/>
          <w:sz w:val="22"/>
          <w:szCs w:val="22"/>
        </w:rPr>
        <w:footnoteRef/>
      </w:r>
      <w:r w:rsidRPr="001C76A9">
        <w:rPr>
          <w:sz w:val="22"/>
          <w:szCs w:val="22"/>
        </w:rPr>
        <w:t xml:space="preserve"> </w:t>
      </w:r>
      <w:r w:rsidRPr="001C76A9">
        <w:rPr>
          <w:i/>
          <w:sz w:val="22"/>
          <w:szCs w:val="22"/>
        </w:rPr>
        <w:t>Ibid</w:t>
      </w:r>
      <w:r w:rsidRPr="001C76A9">
        <w:rPr>
          <w:sz w:val="22"/>
          <w:szCs w:val="22"/>
        </w:rPr>
        <w:t xml:space="preserve">. ¶ 47. </w:t>
      </w:r>
    </w:p>
  </w:footnote>
  <w:footnote w:id="108">
    <w:p w:rsidR="00230CE9" w:rsidRPr="001C76A9" w:rsidRDefault="00230CE9" w:rsidP="00230CE9">
      <w:pPr>
        <w:pStyle w:val="FootnoteText"/>
        <w:rPr>
          <w:sz w:val="22"/>
          <w:szCs w:val="22"/>
        </w:rPr>
      </w:pPr>
      <w:r w:rsidRPr="001C76A9">
        <w:rPr>
          <w:rStyle w:val="FootnoteReference"/>
          <w:sz w:val="22"/>
          <w:szCs w:val="22"/>
        </w:rPr>
        <w:footnoteRef/>
      </w:r>
      <w:r w:rsidRPr="001C76A9">
        <w:rPr>
          <w:sz w:val="22"/>
          <w:szCs w:val="22"/>
        </w:rPr>
        <w:t xml:space="preserve"> </w:t>
      </w:r>
      <w:proofErr w:type="spellStart"/>
      <w:r w:rsidRPr="001C76A9">
        <w:rPr>
          <w:i/>
          <w:sz w:val="22"/>
          <w:szCs w:val="22"/>
        </w:rPr>
        <w:t>Medecin</w:t>
      </w:r>
      <w:proofErr w:type="spellEnd"/>
      <w:r w:rsidRPr="001C76A9">
        <w:rPr>
          <w:i/>
          <w:sz w:val="22"/>
          <w:szCs w:val="22"/>
        </w:rPr>
        <w:t xml:space="preserve"> du Monde v. France</w:t>
      </w:r>
      <w:r w:rsidRPr="001C76A9">
        <w:rPr>
          <w:sz w:val="22"/>
          <w:szCs w:val="22"/>
        </w:rPr>
        <w:t xml:space="preserve">, Complaint No. 67/2011, 11 Sept 2012, ¶ 164. </w:t>
      </w:r>
    </w:p>
  </w:footnote>
  <w:footnote w:id="109">
    <w:p w:rsidR="00304115" w:rsidRPr="001C76A9" w:rsidRDefault="00304115" w:rsidP="00701428">
      <w:pPr>
        <w:pStyle w:val="FootnoteText"/>
        <w:rPr>
          <w:sz w:val="22"/>
          <w:szCs w:val="22"/>
        </w:rPr>
      </w:pPr>
      <w:r w:rsidRPr="001C76A9">
        <w:rPr>
          <w:rStyle w:val="FootnoteReference"/>
          <w:sz w:val="22"/>
          <w:szCs w:val="22"/>
        </w:rPr>
        <w:footnoteRef/>
      </w:r>
      <w:r w:rsidRPr="001C76A9">
        <w:rPr>
          <w:sz w:val="22"/>
          <w:szCs w:val="22"/>
        </w:rPr>
        <w:t xml:space="preserve"> </w:t>
      </w:r>
      <w:r w:rsidRPr="001C76A9">
        <w:rPr>
          <w:i/>
          <w:sz w:val="22"/>
          <w:szCs w:val="22"/>
        </w:rPr>
        <w:t>Ibid.</w:t>
      </w:r>
      <w:r w:rsidRPr="001C76A9">
        <w:rPr>
          <w:sz w:val="22"/>
          <w:szCs w:val="22"/>
        </w:rPr>
        <w:t xml:space="preserve"> ¶ 21.</w:t>
      </w:r>
    </w:p>
  </w:footnote>
  <w:footnote w:id="110">
    <w:p w:rsidR="00304115" w:rsidRPr="001C76A9" w:rsidRDefault="00304115">
      <w:pPr>
        <w:pStyle w:val="FootnoteText"/>
        <w:rPr>
          <w:sz w:val="22"/>
          <w:szCs w:val="22"/>
          <w:lang w:val="en-US"/>
        </w:rPr>
      </w:pPr>
      <w:r w:rsidRPr="001C76A9">
        <w:rPr>
          <w:rStyle w:val="FootnoteReference"/>
          <w:sz w:val="22"/>
          <w:szCs w:val="22"/>
        </w:rPr>
        <w:footnoteRef/>
      </w:r>
      <w:r w:rsidRPr="001C76A9">
        <w:rPr>
          <w:sz w:val="22"/>
          <w:szCs w:val="22"/>
        </w:rPr>
        <w:t xml:space="preserve"> </w:t>
      </w:r>
      <w:r w:rsidRPr="001C76A9">
        <w:rPr>
          <w:i/>
          <w:sz w:val="22"/>
          <w:szCs w:val="22"/>
          <w:lang w:val="en-US"/>
        </w:rPr>
        <w:t>Ibid.</w:t>
      </w:r>
      <w:r w:rsidRPr="001C76A9">
        <w:rPr>
          <w:sz w:val="22"/>
          <w:szCs w:val="22"/>
          <w:lang w:val="en-US"/>
        </w:rPr>
        <w:t xml:space="preserve"> ¶ 21 (emphasis added).</w:t>
      </w:r>
    </w:p>
  </w:footnote>
  <w:footnote w:id="111">
    <w:p w:rsidR="00304115" w:rsidRPr="001C76A9" w:rsidRDefault="00304115" w:rsidP="00701428">
      <w:pPr>
        <w:pStyle w:val="FootnoteText"/>
        <w:rPr>
          <w:i/>
          <w:sz w:val="22"/>
          <w:szCs w:val="22"/>
        </w:rPr>
      </w:pPr>
      <w:r w:rsidRPr="001C76A9">
        <w:rPr>
          <w:rStyle w:val="FootnoteReference"/>
          <w:sz w:val="22"/>
          <w:szCs w:val="22"/>
        </w:rPr>
        <w:footnoteRef/>
      </w:r>
      <w:r w:rsidRPr="001C76A9">
        <w:rPr>
          <w:sz w:val="22"/>
          <w:szCs w:val="22"/>
        </w:rPr>
        <w:t xml:space="preserve"> </w:t>
      </w:r>
      <w:r w:rsidRPr="001C76A9">
        <w:rPr>
          <w:i/>
          <w:sz w:val="22"/>
          <w:szCs w:val="22"/>
        </w:rPr>
        <w:t>Ibid.</w:t>
      </w:r>
      <w:r w:rsidRPr="001C76A9">
        <w:rPr>
          <w:sz w:val="22"/>
          <w:szCs w:val="22"/>
        </w:rPr>
        <w:t xml:space="preserve"> ¶ 158. </w:t>
      </w:r>
    </w:p>
  </w:footnote>
  <w:footnote w:id="112">
    <w:p w:rsidR="00304115" w:rsidRDefault="00304115" w:rsidP="00701428">
      <w:pPr>
        <w:pStyle w:val="FootnoteText"/>
      </w:pPr>
      <w:r w:rsidRPr="001C76A9">
        <w:rPr>
          <w:rStyle w:val="FootnoteReference"/>
          <w:sz w:val="22"/>
          <w:szCs w:val="22"/>
        </w:rPr>
        <w:footnoteRef/>
      </w:r>
      <w:r w:rsidRPr="001C76A9">
        <w:rPr>
          <w:sz w:val="22"/>
          <w:szCs w:val="22"/>
        </w:rPr>
        <w:t xml:space="preserve"> </w:t>
      </w:r>
      <w:r w:rsidRPr="001C76A9">
        <w:rPr>
          <w:i/>
          <w:sz w:val="22"/>
          <w:szCs w:val="22"/>
        </w:rPr>
        <w:t>Ibid</w:t>
      </w:r>
      <w:r w:rsidRPr="001C76A9">
        <w:rPr>
          <w:sz w:val="22"/>
          <w:szCs w:val="22"/>
        </w:rPr>
        <w:t>.</w:t>
      </w:r>
      <w:r w:rsidRPr="001C76A9">
        <w:rPr>
          <w:i/>
          <w:sz w:val="22"/>
          <w:szCs w:val="22"/>
        </w:rPr>
        <w:t xml:space="preserve"> ¶</w:t>
      </w:r>
      <w:r w:rsidRPr="001C76A9">
        <w:rPr>
          <w:sz w:val="22"/>
          <w:szCs w:val="22"/>
        </w:rPr>
        <w:t xml:space="preserve"> 164.</w:t>
      </w:r>
      <w:r>
        <w:rPr>
          <w:rFonts w:ascii="Times" w:hAnsi="Time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5B7E"/>
    <w:multiLevelType w:val="multilevel"/>
    <w:tmpl w:val="7E608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672AFE"/>
    <w:multiLevelType w:val="multilevel"/>
    <w:tmpl w:val="FD961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7F4864"/>
    <w:multiLevelType w:val="multilevel"/>
    <w:tmpl w:val="B1E2D5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EDD754C"/>
    <w:multiLevelType w:val="multilevel"/>
    <w:tmpl w:val="7C9CF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B94E95"/>
    <w:multiLevelType w:val="multilevel"/>
    <w:tmpl w:val="DDB2A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6D2A7F"/>
    <w:multiLevelType w:val="hybridMultilevel"/>
    <w:tmpl w:val="53A8CF46"/>
    <w:lvl w:ilvl="0" w:tplc="571E7804">
      <w:start w:val="1"/>
      <w:numFmt w:val="decimal"/>
      <w:pStyle w:val="NoSpacing"/>
      <w:lvlText w:val="%1."/>
      <w:lvlJc w:val="left"/>
      <w:pPr>
        <w:ind w:left="585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1EE435CF"/>
    <w:multiLevelType w:val="hybridMultilevel"/>
    <w:tmpl w:val="D5BA0022"/>
    <w:lvl w:ilvl="0" w:tplc="E108A870">
      <w:start w:val="1"/>
      <w:numFmt w:val="decimal"/>
      <w:pStyle w:val="STBListNumber4"/>
      <w:lvlText w:val="%1."/>
      <w:lvlJc w:val="left"/>
      <w:pPr>
        <w:tabs>
          <w:tab w:val="num" w:pos="3240"/>
        </w:tabs>
        <w:ind w:left="0" w:firstLine="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AB2E2A"/>
    <w:multiLevelType w:val="multilevel"/>
    <w:tmpl w:val="7E1A4166"/>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nsid w:val="2BA212ED"/>
    <w:multiLevelType w:val="hybridMultilevel"/>
    <w:tmpl w:val="A94C7A80"/>
    <w:lvl w:ilvl="0" w:tplc="74B6F452">
      <w:start w:val="1"/>
      <w:numFmt w:val="decimal"/>
      <w:lvlText w:val="%1."/>
      <w:lvlJc w:val="left"/>
      <w:pPr>
        <w:tabs>
          <w:tab w:val="num" w:pos="2970"/>
        </w:tabs>
        <w:ind w:left="1530" w:firstLine="720"/>
      </w:pPr>
      <w:rPr>
        <w:rFonts w:ascii="Times New Roman" w:hAnsi="Times New Roman" w:cs="Times New Roman" w:hint="default"/>
        <w:b w:val="0"/>
        <w:i w:val="0"/>
        <w:color w:val="auto"/>
        <w:sz w:val="24"/>
        <w:szCs w:val="24"/>
      </w:rPr>
    </w:lvl>
    <w:lvl w:ilvl="1" w:tplc="6F4AF2DC">
      <w:start w:val="1"/>
      <w:numFmt w:val="lowerLetter"/>
      <w:lvlText w:val="%2."/>
      <w:lvlJc w:val="left"/>
      <w:pPr>
        <w:tabs>
          <w:tab w:val="num" w:pos="1440"/>
        </w:tabs>
        <w:ind w:left="1440" w:hanging="360"/>
      </w:pPr>
    </w:lvl>
    <w:lvl w:ilvl="2" w:tplc="700E2766">
      <w:start w:val="1"/>
      <w:numFmt w:val="lowerRoman"/>
      <w:lvlText w:val="%3."/>
      <w:lvlJc w:val="right"/>
      <w:pPr>
        <w:tabs>
          <w:tab w:val="num" w:pos="2160"/>
        </w:tabs>
        <w:ind w:left="2160" w:hanging="180"/>
      </w:pPr>
    </w:lvl>
    <w:lvl w:ilvl="3" w:tplc="FC166052">
      <w:start w:val="1"/>
      <w:numFmt w:val="decimal"/>
      <w:lvlText w:val="%4."/>
      <w:lvlJc w:val="left"/>
      <w:pPr>
        <w:tabs>
          <w:tab w:val="num" w:pos="2880"/>
        </w:tabs>
        <w:ind w:left="2880" w:hanging="360"/>
      </w:pPr>
    </w:lvl>
    <w:lvl w:ilvl="4" w:tplc="A308D9B2" w:tentative="1">
      <w:start w:val="1"/>
      <w:numFmt w:val="lowerLetter"/>
      <w:lvlText w:val="%5."/>
      <w:lvlJc w:val="left"/>
      <w:pPr>
        <w:tabs>
          <w:tab w:val="num" w:pos="3600"/>
        </w:tabs>
        <w:ind w:left="3600" w:hanging="360"/>
      </w:pPr>
    </w:lvl>
    <w:lvl w:ilvl="5" w:tplc="2034BED6">
      <w:start w:val="1"/>
      <w:numFmt w:val="lowerRoman"/>
      <w:lvlText w:val="%6."/>
      <w:lvlJc w:val="right"/>
      <w:pPr>
        <w:tabs>
          <w:tab w:val="num" w:pos="4320"/>
        </w:tabs>
        <w:ind w:left="4320" w:hanging="180"/>
      </w:pPr>
    </w:lvl>
    <w:lvl w:ilvl="6" w:tplc="8E003502" w:tentative="1">
      <w:start w:val="1"/>
      <w:numFmt w:val="decimal"/>
      <w:lvlText w:val="%7."/>
      <w:lvlJc w:val="left"/>
      <w:pPr>
        <w:tabs>
          <w:tab w:val="num" w:pos="5040"/>
        </w:tabs>
        <w:ind w:left="5040" w:hanging="360"/>
      </w:pPr>
    </w:lvl>
    <w:lvl w:ilvl="7" w:tplc="EA8465E2" w:tentative="1">
      <w:start w:val="1"/>
      <w:numFmt w:val="lowerLetter"/>
      <w:lvlText w:val="%8."/>
      <w:lvlJc w:val="left"/>
      <w:pPr>
        <w:tabs>
          <w:tab w:val="num" w:pos="5760"/>
        </w:tabs>
        <w:ind w:left="5760" w:hanging="360"/>
      </w:pPr>
    </w:lvl>
    <w:lvl w:ilvl="8" w:tplc="172AE796" w:tentative="1">
      <w:start w:val="1"/>
      <w:numFmt w:val="lowerRoman"/>
      <w:lvlText w:val="%9."/>
      <w:lvlJc w:val="right"/>
      <w:pPr>
        <w:tabs>
          <w:tab w:val="num" w:pos="6480"/>
        </w:tabs>
        <w:ind w:left="6480" w:hanging="180"/>
      </w:pPr>
    </w:lvl>
  </w:abstractNum>
  <w:abstractNum w:abstractNumId="9">
    <w:nsid w:val="31E13E1D"/>
    <w:multiLevelType w:val="multilevel"/>
    <w:tmpl w:val="2C646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22479F1"/>
    <w:multiLevelType w:val="hybridMultilevel"/>
    <w:tmpl w:val="72FA48DC"/>
    <w:lvl w:ilvl="0" w:tplc="C1763C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2A7E4E"/>
    <w:multiLevelType w:val="hybridMultilevel"/>
    <w:tmpl w:val="EABA6DA6"/>
    <w:lvl w:ilvl="0" w:tplc="01F683C6">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2C3F3E"/>
    <w:multiLevelType w:val="multilevel"/>
    <w:tmpl w:val="DC3EB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C11B08"/>
    <w:multiLevelType w:val="multilevel"/>
    <w:tmpl w:val="7096BE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55CB23AF"/>
    <w:multiLevelType w:val="multilevel"/>
    <w:tmpl w:val="2FA08C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412F35"/>
    <w:multiLevelType w:val="multilevel"/>
    <w:tmpl w:val="8D1AA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011D2B"/>
    <w:multiLevelType w:val="multilevel"/>
    <w:tmpl w:val="5A20D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67D47A0A"/>
    <w:multiLevelType w:val="multilevel"/>
    <w:tmpl w:val="5F604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7ED2E5D"/>
    <w:multiLevelType w:val="multilevel"/>
    <w:tmpl w:val="B6EE3E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CA837A4"/>
    <w:multiLevelType w:val="multilevel"/>
    <w:tmpl w:val="86CE09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71DF50EE"/>
    <w:multiLevelType w:val="multilevel"/>
    <w:tmpl w:val="11625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2086C73"/>
    <w:multiLevelType w:val="multilevel"/>
    <w:tmpl w:val="A9F81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24F10A5"/>
    <w:multiLevelType w:val="multilevel"/>
    <w:tmpl w:val="6ABAE8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7C2B6355"/>
    <w:multiLevelType w:val="multilevel"/>
    <w:tmpl w:val="1C846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F332B59"/>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7"/>
  </w:num>
  <w:num w:numId="2">
    <w:abstractNumId w:val="14"/>
  </w:num>
  <w:num w:numId="3">
    <w:abstractNumId w:val="14"/>
    <w:lvlOverride w:ilvl="0">
      <w:lvl w:ilvl="0">
        <w:numFmt w:val="decimal"/>
        <w:lvlText w:val=""/>
        <w:lvlJc w:val="left"/>
      </w:lvl>
    </w:lvlOverride>
    <w:lvlOverride w:ilvl="1">
      <w:lvl w:ilvl="1">
        <w:numFmt w:val="lowerLetter"/>
        <w:lvlText w:val="%2."/>
        <w:lvlJc w:val="left"/>
      </w:lvl>
    </w:lvlOverride>
  </w:num>
  <w:num w:numId="4">
    <w:abstractNumId w:val="14"/>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5">
    <w:abstractNumId w:val="0"/>
  </w:num>
  <w:num w:numId="6">
    <w:abstractNumId w:val="18"/>
  </w:num>
  <w:num w:numId="7">
    <w:abstractNumId w:val="18"/>
    <w:lvlOverride w:ilvl="0">
      <w:lvl w:ilvl="0">
        <w:numFmt w:val="decimal"/>
        <w:lvlText w:val=""/>
        <w:lvlJc w:val="left"/>
      </w:lvl>
    </w:lvlOverride>
    <w:lvlOverride w:ilvl="1">
      <w:lvl w:ilvl="1">
        <w:numFmt w:val="lowerLetter"/>
        <w:lvlText w:val="%2."/>
        <w:lvlJc w:val="left"/>
      </w:lvl>
    </w:lvlOverride>
  </w:num>
  <w:num w:numId="8">
    <w:abstractNumId w:val="18"/>
    <w:lvlOverride w:ilvl="0">
      <w:lvl w:ilvl="0">
        <w:numFmt w:val="decimal"/>
        <w:lvlText w:val=""/>
        <w:lvlJc w:val="left"/>
      </w:lvl>
    </w:lvlOverride>
    <w:lvlOverride w:ilvl="1">
      <w:lvl w:ilvl="1">
        <w:numFmt w:val="lowerLetter"/>
        <w:lvlText w:val="%2."/>
        <w:lvlJc w:val="left"/>
      </w:lvl>
    </w:lvlOverride>
    <w:lvlOverride w:ilvl="2">
      <w:lvl w:ilvl="2">
        <w:numFmt w:val="lowerRoman"/>
        <w:lvlText w:val="%3."/>
        <w:lvlJc w:val="right"/>
      </w:lvl>
    </w:lvlOverride>
  </w:num>
  <w:num w:numId="9">
    <w:abstractNumId w:val="3"/>
  </w:num>
  <w:num w:numId="10">
    <w:abstractNumId w:val="1"/>
  </w:num>
  <w:num w:numId="11">
    <w:abstractNumId w:val="23"/>
  </w:num>
  <w:num w:numId="12">
    <w:abstractNumId w:val="21"/>
    <w:lvlOverride w:ilvl="0">
      <w:lvl w:ilvl="0">
        <w:numFmt w:val="lowerLetter"/>
        <w:lvlText w:val="%1."/>
        <w:lvlJc w:val="left"/>
      </w:lvl>
    </w:lvlOverride>
  </w:num>
  <w:num w:numId="13">
    <w:abstractNumId w:val="9"/>
  </w:num>
  <w:num w:numId="14">
    <w:abstractNumId w:val="12"/>
    <w:lvlOverride w:ilvl="0">
      <w:lvl w:ilvl="0">
        <w:numFmt w:val="lowerRoman"/>
        <w:lvlText w:val="%1."/>
        <w:lvlJc w:val="right"/>
      </w:lvl>
    </w:lvlOverride>
  </w:num>
  <w:num w:numId="15">
    <w:abstractNumId w:val="20"/>
    <w:lvlOverride w:ilvl="0">
      <w:lvl w:ilvl="0">
        <w:numFmt w:val="lowerRoman"/>
        <w:lvlText w:val="%1."/>
        <w:lvlJc w:val="right"/>
      </w:lvl>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5"/>
  </w:num>
  <w:num w:numId="20">
    <w:abstractNumId w:val="5"/>
    <w:lvlOverride w:ilvl="0">
      <w:startOverride w:val="1"/>
    </w:lvlOverride>
  </w:num>
  <w:num w:numId="21">
    <w:abstractNumId w:val="5"/>
    <w:lvlOverride w:ilvl="0">
      <w:startOverride w:val="1"/>
    </w:lvlOverride>
  </w:num>
  <w:num w:numId="22">
    <w:abstractNumId w:val="2"/>
  </w:num>
  <w:num w:numId="23">
    <w:abstractNumId w:val="13"/>
  </w:num>
  <w:num w:numId="24">
    <w:abstractNumId w:val="16"/>
  </w:num>
  <w:num w:numId="25">
    <w:abstractNumId w:val="19"/>
  </w:num>
  <w:num w:numId="26">
    <w:abstractNumId w:val="5"/>
    <w:lvlOverride w:ilvl="0">
      <w:startOverride w:val="1"/>
    </w:lvlOverride>
  </w:num>
  <w:num w:numId="27">
    <w:abstractNumId w:val="5"/>
    <w:lvlOverride w:ilvl="0">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num>
  <w:num w:numId="32">
    <w:abstractNumId w:val="4"/>
  </w:num>
  <w:num w:numId="33">
    <w:abstractNumId w:val="22"/>
  </w:num>
  <w:num w:numId="34">
    <w:abstractNumId w:val="15"/>
  </w:num>
  <w:num w:numId="35">
    <w:abstractNumId w:val="17"/>
  </w:num>
  <w:num w:numId="36">
    <w:abstractNumId w:val="10"/>
  </w:num>
  <w:num w:numId="37">
    <w:abstractNumId w:val="11"/>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formsDesig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C432B"/>
    <w:rsid w:val="00000240"/>
    <w:rsid w:val="00001558"/>
    <w:rsid w:val="00001994"/>
    <w:rsid w:val="00001B3C"/>
    <w:rsid w:val="00002F21"/>
    <w:rsid w:val="00003455"/>
    <w:rsid w:val="000040BB"/>
    <w:rsid w:val="00005294"/>
    <w:rsid w:val="000102A8"/>
    <w:rsid w:val="00010C2A"/>
    <w:rsid w:val="00011718"/>
    <w:rsid w:val="00014F68"/>
    <w:rsid w:val="0001799B"/>
    <w:rsid w:val="00020593"/>
    <w:rsid w:val="000216BC"/>
    <w:rsid w:val="0002317E"/>
    <w:rsid w:val="000232B8"/>
    <w:rsid w:val="0002428A"/>
    <w:rsid w:val="00024BF0"/>
    <w:rsid w:val="00025E1D"/>
    <w:rsid w:val="0002696B"/>
    <w:rsid w:val="00026F32"/>
    <w:rsid w:val="00031A95"/>
    <w:rsid w:val="00031AEE"/>
    <w:rsid w:val="00032327"/>
    <w:rsid w:val="00032439"/>
    <w:rsid w:val="00032984"/>
    <w:rsid w:val="00034B80"/>
    <w:rsid w:val="00037C9C"/>
    <w:rsid w:val="00037CE6"/>
    <w:rsid w:val="00042370"/>
    <w:rsid w:val="000432C1"/>
    <w:rsid w:val="00045FAE"/>
    <w:rsid w:val="00051E29"/>
    <w:rsid w:val="00054132"/>
    <w:rsid w:val="000555AF"/>
    <w:rsid w:val="000605AF"/>
    <w:rsid w:val="000614CF"/>
    <w:rsid w:val="00064C65"/>
    <w:rsid w:val="000669F0"/>
    <w:rsid w:val="000709EE"/>
    <w:rsid w:val="00070EFA"/>
    <w:rsid w:val="00071477"/>
    <w:rsid w:val="00072EAB"/>
    <w:rsid w:val="000767A1"/>
    <w:rsid w:val="000809ED"/>
    <w:rsid w:val="00080DB8"/>
    <w:rsid w:val="000818B1"/>
    <w:rsid w:val="000844B0"/>
    <w:rsid w:val="00085E0F"/>
    <w:rsid w:val="0008615B"/>
    <w:rsid w:val="000865B8"/>
    <w:rsid w:val="000873FE"/>
    <w:rsid w:val="00092701"/>
    <w:rsid w:val="00092780"/>
    <w:rsid w:val="00092F10"/>
    <w:rsid w:val="00093845"/>
    <w:rsid w:val="000A29B4"/>
    <w:rsid w:val="000B0A5F"/>
    <w:rsid w:val="000B0A89"/>
    <w:rsid w:val="000B186D"/>
    <w:rsid w:val="000B206C"/>
    <w:rsid w:val="000B72AB"/>
    <w:rsid w:val="000C0A08"/>
    <w:rsid w:val="000C169E"/>
    <w:rsid w:val="000C2707"/>
    <w:rsid w:val="000C2E45"/>
    <w:rsid w:val="000C38D9"/>
    <w:rsid w:val="000C488D"/>
    <w:rsid w:val="000C580D"/>
    <w:rsid w:val="000C58A4"/>
    <w:rsid w:val="000C6644"/>
    <w:rsid w:val="000C720B"/>
    <w:rsid w:val="000C78CB"/>
    <w:rsid w:val="000C7EAD"/>
    <w:rsid w:val="000D0406"/>
    <w:rsid w:val="000D073C"/>
    <w:rsid w:val="000D0A01"/>
    <w:rsid w:val="000D1D37"/>
    <w:rsid w:val="000D3503"/>
    <w:rsid w:val="000D4283"/>
    <w:rsid w:val="000D5C76"/>
    <w:rsid w:val="000D6882"/>
    <w:rsid w:val="000D6A9D"/>
    <w:rsid w:val="000D7738"/>
    <w:rsid w:val="000D79EE"/>
    <w:rsid w:val="000E1A5E"/>
    <w:rsid w:val="000E1E01"/>
    <w:rsid w:val="000E2096"/>
    <w:rsid w:val="000E2DE9"/>
    <w:rsid w:val="000E45DE"/>
    <w:rsid w:val="000E553F"/>
    <w:rsid w:val="000E57C0"/>
    <w:rsid w:val="000E5839"/>
    <w:rsid w:val="000E6DA4"/>
    <w:rsid w:val="000F25C1"/>
    <w:rsid w:val="000F7A5F"/>
    <w:rsid w:val="000F7D3B"/>
    <w:rsid w:val="000F7FF5"/>
    <w:rsid w:val="0010099D"/>
    <w:rsid w:val="00102E8E"/>
    <w:rsid w:val="0010518B"/>
    <w:rsid w:val="00105A44"/>
    <w:rsid w:val="00105E18"/>
    <w:rsid w:val="00106E17"/>
    <w:rsid w:val="001116C9"/>
    <w:rsid w:val="00112A8A"/>
    <w:rsid w:val="001210AA"/>
    <w:rsid w:val="00121D0F"/>
    <w:rsid w:val="00126BF3"/>
    <w:rsid w:val="001274DE"/>
    <w:rsid w:val="0013701D"/>
    <w:rsid w:val="001375EE"/>
    <w:rsid w:val="00141501"/>
    <w:rsid w:val="0014237B"/>
    <w:rsid w:val="00145FD4"/>
    <w:rsid w:val="00146DF9"/>
    <w:rsid w:val="001521B2"/>
    <w:rsid w:val="0015277E"/>
    <w:rsid w:val="0015489D"/>
    <w:rsid w:val="001607D0"/>
    <w:rsid w:val="001646EF"/>
    <w:rsid w:val="00165379"/>
    <w:rsid w:val="00165491"/>
    <w:rsid w:val="00167414"/>
    <w:rsid w:val="001722F7"/>
    <w:rsid w:val="00172311"/>
    <w:rsid w:val="00174562"/>
    <w:rsid w:val="00174A87"/>
    <w:rsid w:val="001758FB"/>
    <w:rsid w:val="00177257"/>
    <w:rsid w:val="00177A9D"/>
    <w:rsid w:val="00177FEE"/>
    <w:rsid w:val="0018130E"/>
    <w:rsid w:val="00181AD2"/>
    <w:rsid w:val="001830AA"/>
    <w:rsid w:val="00184D32"/>
    <w:rsid w:val="00186FB7"/>
    <w:rsid w:val="001909D8"/>
    <w:rsid w:val="00190FBD"/>
    <w:rsid w:val="00191A6F"/>
    <w:rsid w:val="0019238A"/>
    <w:rsid w:val="00194293"/>
    <w:rsid w:val="00194751"/>
    <w:rsid w:val="001958F2"/>
    <w:rsid w:val="001A020F"/>
    <w:rsid w:val="001A0AE4"/>
    <w:rsid w:val="001A0B20"/>
    <w:rsid w:val="001A1BC1"/>
    <w:rsid w:val="001A23B2"/>
    <w:rsid w:val="001A6FF7"/>
    <w:rsid w:val="001A7C41"/>
    <w:rsid w:val="001B081C"/>
    <w:rsid w:val="001B3306"/>
    <w:rsid w:val="001B38AF"/>
    <w:rsid w:val="001B6846"/>
    <w:rsid w:val="001C1A7C"/>
    <w:rsid w:val="001C1BE8"/>
    <w:rsid w:val="001C432B"/>
    <w:rsid w:val="001C474F"/>
    <w:rsid w:val="001C5B79"/>
    <w:rsid w:val="001C6BDC"/>
    <w:rsid w:val="001C76A9"/>
    <w:rsid w:val="001D0BDF"/>
    <w:rsid w:val="001D2B6D"/>
    <w:rsid w:val="001D2EFF"/>
    <w:rsid w:val="001D5004"/>
    <w:rsid w:val="001D5665"/>
    <w:rsid w:val="001D5D31"/>
    <w:rsid w:val="001D69AE"/>
    <w:rsid w:val="001D6AC8"/>
    <w:rsid w:val="001E21C8"/>
    <w:rsid w:val="001E336C"/>
    <w:rsid w:val="001E5A2E"/>
    <w:rsid w:val="001E6618"/>
    <w:rsid w:val="001E74A6"/>
    <w:rsid w:val="001F151F"/>
    <w:rsid w:val="001F219C"/>
    <w:rsid w:val="002008CE"/>
    <w:rsid w:val="0020139C"/>
    <w:rsid w:val="00214A76"/>
    <w:rsid w:val="0021521B"/>
    <w:rsid w:val="00216D8F"/>
    <w:rsid w:val="00224499"/>
    <w:rsid w:val="00227858"/>
    <w:rsid w:val="002279AA"/>
    <w:rsid w:val="00230CE9"/>
    <w:rsid w:val="00231FD8"/>
    <w:rsid w:val="00232748"/>
    <w:rsid w:val="00235E8C"/>
    <w:rsid w:val="00236827"/>
    <w:rsid w:val="002408DB"/>
    <w:rsid w:val="00240D4B"/>
    <w:rsid w:val="00243340"/>
    <w:rsid w:val="002439A4"/>
    <w:rsid w:val="00247C58"/>
    <w:rsid w:val="002523AA"/>
    <w:rsid w:val="00252A60"/>
    <w:rsid w:val="00254334"/>
    <w:rsid w:val="00255685"/>
    <w:rsid w:val="00257289"/>
    <w:rsid w:val="00262634"/>
    <w:rsid w:val="0026286D"/>
    <w:rsid w:val="00263D39"/>
    <w:rsid w:val="0026460C"/>
    <w:rsid w:val="00265B40"/>
    <w:rsid w:val="00265ED8"/>
    <w:rsid w:val="00266765"/>
    <w:rsid w:val="00267C91"/>
    <w:rsid w:val="00270071"/>
    <w:rsid w:val="002715C4"/>
    <w:rsid w:val="00271B7E"/>
    <w:rsid w:val="00277F7B"/>
    <w:rsid w:val="00283568"/>
    <w:rsid w:val="0028462C"/>
    <w:rsid w:val="00285D5F"/>
    <w:rsid w:val="00287B96"/>
    <w:rsid w:val="00287F4D"/>
    <w:rsid w:val="00291000"/>
    <w:rsid w:val="00295257"/>
    <w:rsid w:val="002A3997"/>
    <w:rsid w:val="002A497B"/>
    <w:rsid w:val="002A4A7C"/>
    <w:rsid w:val="002A67B8"/>
    <w:rsid w:val="002A6F73"/>
    <w:rsid w:val="002B2C4D"/>
    <w:rsid w:val="002B5AF8"/>
    <w:rsid w:val="002B6285"/>
    <w:rsid w:val="002C16F1"/>
    <w:rsid w:val="002C212B"/>
    <w:rsid w:val="002C2254"/>
    <w:rsid w:val="002C2643"/>
    <w:rsid w:val="002C5292"/>
    <w:rsid w:val="002C7736"/>
    <w:rsid w:val="002D17D2"/>
    <w:rsid w:val="002D3FE0"/>
    <w:rsid w:val="002D42F7"/>
    <w:rsid w:val="002D56BD"/>
    <w:rsid w:val="002D58E3"/>
    <w:rsid w:val="002D5EFD"/>
    <w:rsid w:val="002D7003"/>
    <w:rsid w:val="002E1B1A"/>
    <w:rsid w:val="002E77D7"/>
    <w:rsid w:val="002F13B7"/>
    <w:rsid w:val="002F3780"/>
    <w:rsid w:val="002F44A6"/>
    <w:rsid w:val="002F60B1"/>
    <w:rsid w:val="003008E8"/>
    <w:rsid w:val="00300B65"/>
    <w:rsid w:val="00302976"/>
    <w:rsid w:val="00304115"/>
    <w:rsid w:val="003046AA"/>
    <w:rsid w:val="00307BF8"/>
    <w:rsid w:val="0031097F"/>
    <w:rsid w:val="00311BDA"/>
    <w:rsid w:val="00311D50"/>
    <w:rsid w:val="0031283D"/>
    <w:rsid w:val="00312970"/>
    <w:rsid w:val="00320DA0"/>
    <w:rsid w:val="003218FC"/>
    <w:rsid w:val="00321CCA"/>
    <w:rsid w:val="00324B84"/>
    <w:rsid w:val="00326F29"/>
    <w:rsid w:val="00330702"/>
    <w:rsid w:val="00332192"/>
    <w:rsid w:val="00335768"/>
    <w:rsid w:val="00341681"/>
    <w:rsid w:val="00343290"/>
    <w:rsid w:val="00343FED"/>
    <w:rsid w:val="00344C1D"/>
    <w:rsid w:val="00344C2D"/>
    <w:rsid w:val="00346075"/>
    <w:rsid w:val="00346795"/>
    <w:rsid w:val="003471E5"/>
    <w:rsid w:val="00350C5E"/>
    <w:rsid w:val="00351BEA"/>
    <w:rsid w:val="003577C3"/>
    <w:rsid w:val="00362EF4"/>
    <w:rsid w:val="00365C94"/>
    <w:rsid w:val="003709D1"/>
    <w:rsid w:val="00372A61"/>
    <w:rsid w:val="003739DB"/>
    <w:rsid w:val="00374EAF"/>
    <w:rsid w:val="003771E4"/>
    <w:rsid w:val="00382AA8"/>
    <w:rsid w:val="00384947"/>
    <w:rsid w:val="00387ACC"/>
    <w:rsid w:val="003910B8"/>
    <w:rsid w:val="00392976"/>
    <w:rsid w:val="00396025"/>
    <w:rsid w:val="003A0710"/>
    <w:rsid w:val="003A1F79"/>
    <w:rsid w:val="003A4B34"/>
    <w:rsid w:val="003A68A2"/>
    <w:rsid w:val="003B054F"/>
    <w:rsid w:val="003B1814"/>
    <w:rsid w:val="003B2E75"/>
    <w:rsid w:val="003B6396"/>
    <w:rsid w:val="003B7B47"/>
    <w:rsid w:val="003C03E8"/>
    <w:rsid w:val="003C0FC3"/>
    <w:rsid w:val="003C112C"/>
    <w:rsid w:val="003C1663"/>
    <w:rsid w:val="003C57A9"/>
    <w:rsid w:val="003C6D04"/>
    <w:rsid w:val="003C77D2"/>
    <w:rsid w:val="003D441D"/>
    <w:rsid w:val="003D5714"/>
    <w:rsid w:val="003E2618"/>
    <w:rsid w:val="003E2B4D"/>
    <w:rsid w:val="003E5CC2"/>
    <w:rsid w:val="003F0FC1"/>
    <w:rsid w:val="003F2020"/>
    <w:rsid w:val="003F27B7"/>
    <w:rsid w:val="003F35D7"/>
    <w:rsid w:val="003F4B8B"/>
    <w:rsid w:val="003F57A6"/>
    <w:rsid w:val="00404B47"/>
    <w:rsid w:val="004051A7"/>
    <w:rsid w:val="0040548D"/>
    <w:rsid w:val="004061F6"/>
    <w:rsid w:val="00406627"/>
    <w:rsid w:val="00407D6C"/>
    <w:rsid w:val="004210E0"/>
    <w:rsid w:val="00422151"/>
    <w:rsid w:val="00422292"/>
    <w:rsid w:val="00422D6F"/>
    <w:rsid w:val="00423557"/>
    <w:rsid w:val="0042540A"/>
    <w:rsid w:val="0042592A"/>
    <w:rsid w:val="004274FE"/>
    <w:rsid w:val="00434473"/>
    <w:rsid w:val="0043532D"/>
    <w:rsid w:val="0045066C"/>
    <w:rsid w:val="00451DC6"/>
    <w:rsid w:val="00452220"/>
    <w:rsid w:val="004523EA"/>
    <w:rsid w:val="0045532E"/>
    <w:rsid w:val="0045576B"/>
    <w:rsid w:val="00456B25"/>
    <w:rsid w:val="00457956"/>
    <w:rsid w:val="00460D47"/>
    <w:rsid w:val="00462353"/>
    <w:rsid w:val="004626FF"/>
    <w:rsid w:val="004633C5"/>
    <w:rsid w:val="0046441D"/>
    <w:rsid w:val="00464CBB"/>
    <w:rsid w:val="00464F78"/>
    <w:rsid w:val="00465EE1"/>
    <w:rsid w:val="00466775"/>
    <w:rsid w:val="0046677F"/>
    <w:rsid w:val="004672BF"/>
    <w:rsid w:val="00467324"/>
    <w:rsid w:val="00470A67"/>
    <w:rsid w:val="00473F97"/>
    <w:rsid w:val="00475A47"/>
    <w:rsid w:val="00485A07"/>
    <w:rsid w:val="0048696B"/>
    <w:rsid w:val="00490864"/>
    <w:rsid w:val="00492131"/>
    <w:rsid w:val="0049239F"/>
    <w:rsid w:val="0049427C"/>
    <w:rsid w:val="00494988"/>
    <w:rsid w:val="004951C5"/>
    <w:rsid w:val="004958BB"/>
    <w:rsid w:val="00497075"/>
    <w:rsid w:val="004A018B"/>
    <w:rsid w:val="004A1E77"/>
    <w:rsid w:val="004A2736"/>
    <w:rsid w:val="004B0EFD"/>
    <w:rsid w:val="004B1E29"/>
    <w:rsid w:val="004B26D3"/>
    <w:rsid w:val="004B32A3"/>
    <w:rsid w:val="004B3E92"/>
    <w:rsid w:val="004B4A57"/>
    <w:rsid w:val="004B61D9"/>
    <w:rsid w:val="004B6F2D"/>
    <w:rsid w:val="004B7CB3"/>
    <w:rsid w:val="004C085F"/>
    <w:rsid w:val="004C0E91"/>
    <w:rsid w:val="004C2851"/>
    <w:rsid w:val="004C28A0"/>
    <w:rsid w:val="004C37C8"/>
    <w:rsid w:val="004C7898"/>
    <w:rsid w:val="004D0ABE"/>
    <w:rsid w:val="004D25F1"/>
    <w:rsid w:val="004D500D"/>
    <w:rsid w:val="004E1D57"/>
    <w:rsid w:val="004E3090"/>
    <w:rsid w:val="004E3F3E"/>
    <w:rsid w:val="004E626D"/>
    <w:rsid w:val="004E66F3"/>
    <w:rsid w:val="004E6979"/>
    <w:rsid w:val="004F14B2"/>
    <w:rsid w:val="004F444F"/>
    <w:rsid w:val="004F462C"/>
    <w:rsid w:val="005008BF"/>
    <w:rsid w:val="005029BE"/>
    <w:rsid w:val="00502F65"/>
    <w:rsid w:val="00503AFF"/>
    <w:rsid w:val="00503D0C"/>
    <w:rsid w:val="005106A0"/>
    <w:rsid w:val="00514521"/>
    <w:rsid w:val="0051525B"/>
    <w:rsid w:val="005160CB"/>
    <w:rsid w:val="00517048"/>
    <w:rsid w:val="005179A2"/>
    <w:rsid w:val="00522830"/>
    <w:rsid w:val="005265F6"/>
    <w:rsid w:val="0052703F"/>
    <w:rsid w:val="00530534"/>
    <w:rsid w:val="00533FA5"/>
    <w:rsid w:val="00535482"/>
    <w:rsid w:val="005375A8"/>
    <w:rsid w:val="005440B0"/>
    <w:rsid w:val="00546913"/>
    <w:rsid w:val="00547BD0"/>
    <w:rsid w:val="00550443"/>
    <w:rsid w:val="005538A5"/>
    <w:rsid w:val="00554296"/>
    <w:rsid w:val="00556736"/>
    <w:rsid w:val="00557264"/>
    <w:rsid w:val="0056568E"/>
    <w:rsid w:val="00566136"/>
    <w:rsid w:val="0056799E"/>
    <w:rsid w:val="00567D5E"/>
    <w:rsid w:val="0057016F"/>
    <w:rsid w:val="005711B9"/>
    <w:rsid w:val="00574734"/>
    <w:rsid w:val="00574960"/>
    <w:rsid w:val="00575602"/>
    <w:rsid w:val="0058473C"/>
    <w:rsid w:val="005853E8"/>
    <w:rsid w:val="005854DA"/>
    <w:rsid w:val="005905B6"/>
    <w:rsid w:val="005938F8"/>
    <w:rsid w:val="005952B0"/>
    <w:rsid w:val="005970E7"/>
    <w:rsid w:val="005A1E86"/>
    <w:rsid w:val="005A7E08"/>
    <w:rsid w:val="005B23C9"/>
    <w:rsid w:val="005B24D1"/>
    <w:rsid w:val="005B5416"/>
    <w:rsid w:val="005B5476"/>
    <w:rsid w:val="005B5CD0"/>
    <w:rsid w:val="005B682C"/>
    <w:rsid w:val="005B7153"/>
    <w:rsid w:val="005C2F3F"/>
    <w:rsid w:val="005C5290"/>
    <w:rsid w:val="005C52CE"/>
    <w:rsid w:val="005C71DA"/>
    <w:rsid w:val="005C7DFD"/>
    <w:rsid w:val="005D0258"/>
    <w:rsid w:val="005D60AB"/>
    <w:rsid w:val="005D6976"/>
    <w:rsid w:val="005D6996"/>
    <w:rsid w:val="005E126A"/>
    <w:rsid w:val="005E18A4"/>
    <w:rsid w:val="005F2518"/>
    <w:rsid w:val="005F2E1A"/>
    <w:rsid w:val="005F64F6"/>
    <w:rsid w:val="005F7B7D"/>
    <w:rsid w:val="00600504"/>
    <w:rsid w:val="006021F3"/>
    <w:rsid w:val="00605B94"/>
    <w:rsid w:val="006071D4"/>
    <w:rsid w:val="0060757A"/>
    <w:rsid w:val="00610E7B"/>
    <w:rsid w:val="00611F02"/>
    <w:rsid w:val="00613662"/>
    <w:rsid w:val="00617BA0"/>
    <w:rsid w:val="0062172C"/>
    <w:rsid w:val="006227D6"/>
    <w:rsid w:val="006242E4"/>
    <w:rsid w:val="00626153"/>
    <w:rsid w:val="0062762C"/>
    <w:rsid w:val="006355CE"/>
    <w:rsid w:val="00636C8F"/>
    <w:rsid w:val="00641CDF"/>
    <w:rsid w:val="00643DF3"/>
    <w:rsid w:val="00645C4B"/>
    <w:rsid w:val="00645E1D"/>
    <w:rsid w:val="00646530"/>
    <w:rsid w:val="00647C4E"/>
    <w:rsid w:val="006500E2"/>
    <w:rsid w:val="0066244F"/>
    <w:rsid w:val="006638FA"/>
    <w:rsid w:val="00663C56"/>
    <w:rsid w:val="00667049"/>
    <w:rsid w:val="0066765F"/>
    <w:rsid w:val="00671C96"/>
    <w:rsid w:val="006728E1"/>
    <w:rsid w:val="00673E52"/>
    <w:rsid w:val="00680E58"/>
    <w:rsid w:val="00683903"/>
    <w:rsid w:val="006854B9"/>
    <w:rsid w:val="006901A2"/>
    <w:rsid w:val="00690790"/>
    <w:rsid w:val="00691AFE"/>
    <w:rsid w:val="00692523"/>
    <w:rsid w:val="00695B5E"/>
    <w:rsid w:val="006A13A7"/>
    <w:rsid w:val="006A26FB"/>
    <w:rsid w:val="006A595E"/>
    <w:rsid w:val="006A5ED9"/>
    <w:rsid w:val="006B17AD"/>
    <w:rsid w:val="006B3633"/>
    <w:rsid w:val="006B6307"/>
    <w:rsid w:val="006B755B"/>
    <w:rsid w:val="006B7F06"/>
    <w:rsid w:val="006C102F"/>
    <w:rsid w:val="006C1A4E"/>
    <w:rsid w:val="006C374B"/>
    <w:rsid w:val="006C4178"/>
    <w:rsid w:val="006C468A"/>
    <w:rsid w:val="006C50EB"/>
    <w:rsid w:val="006D3ABA"/>
    <w:rsid w:val="006D575E"/>
    <w:rsid w:val="006D67BC"/>
    <w:rsid w:val="006D78EB"/>
    <w:rsid w:val="006E7410"/>
    <w:rsid w:val="006F02F1"/>
    <w:rsid w:val="006F0DD9"/>
    <w:rsid w:val="006F27B4"/>
    <w:rsid w:val="006F2890"/>
    <w:rsid w:val="006F3BB0"/>
    <w:rsid w:val="006F6127"/>
    <w:rsid w:val="006F7EB1"/>
    <w:rsid w:val="00701428"/>
    <w:rsid w:val="0070272E"/>
    <w:rsid w:val="00702D5E"/>
    <w:rsid w:val="007041B1"/>
    <w:rsid w:val="00704934"/>
    <w:rsid w:val="00707490"/>
    <w:rsid w:val="00707BAE"/>
    <w:rsid w:val="00710280"/>
    <w:rsid w:val="0071061E"/>
    <w:rsid w:val="007110E8"/>
    <w:rsid w:val="007139A8"/>
    <w:rsid w:val="00713D9E"/>
    <w:rsid w:val="007148B2"/>
    <w:rsid w:val="00714DFE"/>
    <w:rsid w:val="00716BBA"/>
    <w:rsid w:val="007177AE"/>
    <w:rsid w:val="007222A2"/>
    <w:rsid w:val="0072310C"/>
    <w:rsid w:val="00724C43"/>
    <w:rsid w:val="00726CE3"/>
    <w:rsid w:val="00727121"/>
    <w:rsid w:val="00727394"/>
    <w:rsid w:val="00731AE5"/>
    <w:rsid w:val="00731F80"/>
    <w:rsid w:val="00733472"/>
    <w:rsid w:val="0073382F"/>
    <w:rsid w:val="00733A9C"/>
    <w:rsid w:val="00733EF4"/>
    <w:rsid w:val="007346ED"/>
    <w:rsid w:val="0073674D"/>
    <w:rsid w:val="00736F97"/>
    <w:rsid w:val="007454CB"/>
    <w:rsid w:val="00745AE1"/>
    <w:rsid w:val="00746711"/>
    <w:rsid w:val="00747038"/>
    <w:rsid w:val="00755FE7"/>
    <w:rsid w:val="0075726B"/>
    <w:rsid w:val="00757F9C"/>
    <w:rsid w:val="00761651"/>
    <w:rsid w:val="00762F44"/>
    <w:rsid w:val="00766B2B"/>
    <w:rsid w:val="007671AD"/>
    <w:rsid w:val="00776E6D"/>
    <w:rsid w:val="00781CBE"/>
    <w:rsid w:val="0078369C"/>
    <w:rsid w:val="00785AC5"/>
    <w:rsid w:val="00793D7B"/>
    <w:rsid w:val="007974E9"/>
    <w:rsid w:val="007A0F14"/>
    <w:rsid w:val="007A558C"/>
    <w:rsid w:val="007B589A"/>
    <w:rsid w:val="007B6743"/>
    <w:rsid w:val="007C0F05"/>
    <w:rsid w:val="007C2DED"/>
    <w:rsid w:val="007D3017"/>
    <w:rsid w:val="007D6539"/>
    <w:rsid w:val="007E1379"/>
    <w:rsid w:val="007E26AE"/>
    <w:rsid w:val="007E3400"/>
    <w:rsid w:val="007E50EE"/>
    <w:rsid w:val="007E6D9B"/>
    <w:rsid w:val="007E7B15"/>
    <w:rsid w:val="007E7D02"/>
    <w:rsid w:val="007F1A30"/>
    <w:rsid w:val="007F2BDD"/>
    <w:rsid w:val="007F4128"/>
    <w:rsid w:val="007F4FA2"/>
    <w:rsid w:val="007F53FB"/>
    <w:rsid w:val="007F5668"/>
    <w:rsid w:val="007F57C8"/>
    <w:rsid w:val="007F6940"/>
    <w:rsid w:val="007F7CA6"/>
    <w:rsid w:val="00802AA3"/>
    <w:rsid w:val="0080637C"/>
    <w:rsid w:val="008105E9"/>
    <w:rsid w:val="00812F58"/>
    <w:rsid w:val="00813E57"/>
    <w:rsid w:val="0081430C"/>
    <w:rsid w:val="0081494D"/>
    <w:rsid w:val="00814A09"/>
    <w:rsid w:val="0081680C"/>
    <w:rsid w:val="008206B1"/>
    <w:rsid w:val="00821853"/>
    <w:rsid w:val="0082281E"/>
    <w:rsid w:val="00823FF1"/>
    <w:rsid w:val="008244F6"/>
    <w:rsid w:val="00827910"/>
    <w:rsid w:val="008336DF"/>
    <w:rsid w:val="00835956"/>
    <w:rsid w:val="00837DD4"/>
    <w:rsid w:val="00840DD4"/>
    <w:rsid w:val="00840E43"/>
    <w:rsid w:val="00841CED"/>
    <w:rsid w:val="00842CC3"/>
    <w:rsid w:val="0084632A"/>
    <w:rsid w:val="00846E4E"/>
    <w:rsid w:val="00853802"/>
    <w:rsid w:val="00854A5A"/>
    <w:rsid w:val="00857A66"/>
    <w:rsid w:val="00863721"/>
    <w:rsid w:val="00864940"/>
    <w:rsid w:val="00864DC5"/>
    <w:rsid w:val="00866204"/>
    <w:rsid w:val="00870BF6"/>
    <w:rsid w:val="0087432D"/>
    <w:rsid w:val="00880257"/>
    <w:rsid w:val="0089052F"/>
    <w:rsid w:val="00893186"/>
    <w:rsid w:val="00893A95"/>
    <w:rsid w:val="008A0A00"/>
    <w:rsid w:val="008A0A90"/>
    <w:rsid w:val="008A114A"/>
    <w:rsid w:val="008A3343"/>
    <w:rsid w:val="008B1B46"/>
    <w:rsid w:val="008B32E3"/>
    <w:rsid w:val="008B3AD1"/>
    <w:rsid w:val="008B48E2"/>
    <w:rsid w:val="008B7DCD"/>
    <w:rsid w:val="008C4B97"/>
    <w:rsid w:val="008D13D8"/>
    <w:rsid w:val="008D47E7"/>
    <w:rsid w:val="008D5F0D"/>
    <w:rsid w:val="008D6B3E"/>
    <w:rsid w:val="008D76C2"/>
    <w:rsid w:val="008F12BD"/>
    <w:rsid w:val="008F3C24"/>
    <w:rsid w:val="008F608F"/>
    <w:rsid w:val="009001FB"/>
    <w:rsid w:val="00902BA7"/>
    <w:rsid w:val="00903653"/>
    <w:rsid w:val="00904B91"/>
    <w:rsid w:val="009078AB"/>
    <w:rsid w:val="00916C41"/>
    <w:rsid w:val="009178AC"/>
    <w:rsid w:val="00921015"/>
    <w:rsid w:val="00924771"/>
    <w:rsid w:val="009271D7"/>
    <w:rsid w:val="009271FA"/>
    <w:rsid w:val="00932DEA"/>
    <w:rsid w:val="009338D6"/>
    <w:rsid w:val="00934A11"/>
    <w:rsid w:val="00935A7F"/>
    <w:rsid w:val="00942352"/>
    <w:rsid w:val="00943C08"/>
    <w:rsid w:val="00946B64"/>
    <w:rsid w:val="0094731B"/>
    <w:rsid w:val="00952158"/>
    <w:rsid w:val="009534D6"/>
    <w:rsid w:val="009559B4"/>
    <w:rsid w:val="00957191"/>
    <w:rsid w:val="009572E9"/>
    <w:rsid w:val="00961892"/>
    <w:rsid w:val="00961D61"/>
    <w:rsid w:val="00965193"/>
    <w:rsid w:val="0096673B"/>
    <w:rsid w:val="0096724B"/>
    <w:rsid w:val="00967AA4"/>
    <w:rsid w:val="00970D45"/>
    <w:rsid w:val="009755BD"/>
    <w:rsid w:val="0097726F"/>
    <w:rsid w:val="00980AE6"/>
    <w:rsid w:val="009814DB"/>
    <w:rsid w:val="009836D2"/>
    <w:rsid w:val="00985771"/>
    <w:rsid w:val="009913BB"/>
    <w:rsid w:val="009931A6"/>
    <w:rsid w:val="00995569"/>
    <w:rsid w:val="009963FA"/>
    <w:rsid w:val="00997208"/>
    <w:rsid w:val="009A30E6"/>
    <w:rsid w:val="009A3177"/>
    <w:rsid w:val="009A35F9"/>
    <w:rsid w:val="009A5525"/>
    <w:rsid w:val="009B0E2A"/>
    <w:rsid w:val="009B7471"/>
    <w:rsid w:val="009C7881"/>
    <w:rsid w:val="009D1194"/>
    <w:rsid w:val="009D1F83"/>
    <w:rsid w:val="009D3028"/>
    <w:rsid w:val="009D5CA6"/>
    <w:rsid w:val="009D5F61"/>
    <w:rsid w:val="009E3671"/>
    <w:rsid w:val="009E3D33"/>
    <w:rsid w:val="009E501B"/>
    <w:rsid w:val="009E5327"/>
    <w:rsid w:val="009E7143"/>
    <w:rsid w:val="009F133C"/>
    <w:rsid w:val="009F2F24"/>
    <w:rsid w:val="009F67CB"/>
    <w:rsid w:val="00A00E09"/>
    <w:rsid w:val="00A03250"/>
    <w:rsid w:val="00A054F2"/>
    <w:rsid w:val="00A16EF3"/>
    <w:rsid w:val="00A20704"/>
    <w:rsid w:val="00A20D46"/>
    <w:rsid w:val="00A221C7"/>
    <w:rsid w:val="00A22C60"/>
    <w:rsid w:val="00A238AE"/>
    <w:rsid w:val="00A2780F"/>
    <w:rsid w:val="00A32E13"/>
    <w:rsid w:val="00A33DFE"/>
    <w:rsid w:val="00A345FA"/>
    <w:rsid w:val="00A374D7"/>
    <w:rsid w:val="00A40BEA"/>
    <w:rsid w:val="00A42EEA"/>
    <w:rsid w:val="00A519BB"/>
    <w:rsid w:val="00A524F3"/>
    <w:rsid w:val="00A52568"/>
    <w:rsid w:val="00A55894"/>
    <w:rsid w:val="00A56DE2"/>
    <w:rsid w:val="00A60687"/>
    <w:rsid w:val="00A611A3"/>
    <w:rsid w:val="00A61D46"/>
    <w:rsid w:val="00A63818"/>
    <w:rsid w:val="00A649A1"/>
    <w:rsid w:val="00A66373"/>
    <w:rsid w:val="00A72494"/>
    <w:rsid w:val="00A73A12"/>
    <w:rsid w:val="00A75109"/>
    <w:rsid w:val="00A75444"/>
    <w:rsid w:val="00A75829"/>
    <w:rsid w:val="00A76039"/>
    <w:rsid w:val="00A7679B"/>
    <w:rsid w:val="00A778E4"/>
    <w:rsid w:val="00A809CE"/>
    <w:rsid w:val="00A80BA0"/>
    <w:rsid w:val="00A828C2"/>
    <w:rsid w:val="00A84F74"/>
    <w:rsid w:val="00A85113"/>
    <w:rsid w:val="00A855DF"/>
    <w:rsid w:val="00A85D37"/>
    <w:rsid w:val="00A86004"/>
    <w:rsid w:val="00A93944"/>
    <w:rsid w:val="00A93C6A"/>
    <w:rsid w:val="00AA510A"/>
    <w:rsid w:val="00AA60F8"/>
    <w:rsid w:val="00AB004C"/>
    <w:rsid w:val="00AB0780"/>
    <w:rsid w:val="00AB0C62"/>
    <w:rsid w:val="00AB2B25"/>
    <w:rsid w:val="00AB496C"/>
    <w:rsid w:val="00AC0BA1"/>
    <w:rsid w:val="00AC2077"/>
    <w:rsid w:val="00AC284A"/>
    <w:rsid w:val="00AC3713"/>
    <w:rsid w:val="00AC55AB"/>
    <w:rsid w:val="00AC7198"/>
    <w:rsid w:val="00AC7DFE"/>
    <w:rsid w:val="00AD0F05"/>
    <w:rsid w:val="00AD113A"/>
    <w:rsid w:val="00AD283F"/>
    <w:rsid w:val="00AD3E11"/>
    <w:rsid w:val="00AD66FA"/>
    <w:rsid w:val="00AD6DAB"/>
    <w:rsid w:val="00AD7D11"/>
    <w:rsid w:val="00AE000B"/>
    <w:rsid w:val="00AE5201"/>
    <w:rsid w:val="00AE58E6"/>
    <w:rsid w:val="00AE6D09"/>
    <w:rsid w:val="00AF21C3"/>
    <w:rsid w:val="00AF2941"/>
    <w:rsid w:val="00AF34E2"/>
    <w:rsid w:val="00AF4CA9"/>
    <w:rsid w:val="00AF538D"/>
    <w:rsid w:val="00B018D4"/>
    <w:rsid w:val="00B03E64"/>
    <w:rsid w:val="00B0463B"/>
    <w:rsid w:val="00B06762"/>
    <w:rsid w:val="00B0715F"/>
    <w:rsid w:val="00B07A0F"/>
    <w:rsid w:val="00B07ABD"/>
    <w:rsid w:val="00B11D8B"/>
    <w:rsid w:val="00B123D4"/>
    <w:rsid w:val="00B1362A"/>
    <w:rsid w:val="00B13CFF"/>
    <w:rsid w:val="00B15A5E"/>
    <w:rsid w:val="00B1754A"/>
    <w:rsid w:val="00B20B40"/>
    <w:rsid w:val="00B2314D"/>
    <w:rsid w:val="00B24035"/>
    <w:rsid w:val="00B24B50"/>
    <w:rsid w:val="00B24BFD"/>
    <w:rsid w:val="00B258B5"/>
    <w:rsid w:val="00B3026B"/>
    <w:rsid w:val="00B37FC6"/>
    <w:rsid w:val="00B42C11"/>
    <w:rsid w:val="00B45115"/>
    <w:rsid w:val="00B50449"/>
    <w:rsid w:val="00B53534"/>
    <w:rsid w:val="00B55D58"/>
    <w:rsid w:val="00B60F40"/>
    <w:rsid w:val="00B649A6"/>
    <w:rsid w:val="00B650B2"/>
    <w:rsid w:val="00B720AB"/>
    <w:rsid w:val="00B722AF"/>
    <w:rsid w:val="00B72FD8"/>
    <w:rsid w:val="00B7580C"/>
    <w:rsid w:val="00B76F47"/>
    <w:rsid w:val="00B77FC7"/>
    <w:rsid w:val="00B814D3"/>
    <w:rsid w:val="00B8488E"/>
    <w:rsid w:val="00B8654B"/>
    <w:rsid w:val="00B87484"/>
    <w:rsid w:val="00B87B22"/>
    <w:rsid w:val="00B91A54"/>
    <w:rsid w:val="00B920B3"/>
    <w:rsid w:val="00B920F5"/>
    <w:rsid w:val="00B92785"/>
    <w:rsid w:val="00B9364D"/>
    <w:rsid w:val="00B94C22"/>
    <w:rsid w:val="00B95DA7"/>
    <w:rsid w:val="00BA0BE7"/>
    <w:rsid w:val="00BA1FFD"/>
    <w:rsid w:val="00BA2B19"/>
    <w:rsid w:val="00BA539E"/>
    <w:rsid w:val="00BA60D7"/>
    <w:rsid w:val="00BA6C66"/>
    <w:rsid w:val="00BA7539"/>
    <w:rsid w:val="00BA7BBE"/>
    <w:rsid w:val="00BB1063"/>
    <w:rsid w:val="00BB1F71"/>
    <w:rsid w:val="00BB353A"/>
    <w:rsid w:val="00BB4D24"/>
    <w:rsid w:val="00BB6064"/>
    <w:rsid w:val="00BC1C5E"/>
    <w:rsid w:val="00BC1EDF"/>
    <w:rsid w:val="00BC21D8"/>
    <w:rsid w:val="00BC2923"/>
    <w:rsid w:val="00BC36B7"/>
    <w:rsid w:val="00BC45AB"/>
    <w:rsid w:val="00BC5910"/>
    <w:rsid w:val="00BC5F9D"/>
    <w:rsid w:val="00BC6B75"/>
    <w:rsid w:val="00BC6F52"/>
    <w:rsid w:val="00BC754E"/>
    <w:rsid w:val="00BD0DED"/>
    <w:rsid w:val="00BD6B8C"/>
    <w:rsid w:val="00BD758F"/>
    <w:rsid w:val="00BE21F0"/>
    <w:rsid w:val="00BE3F93"/>
    <w:rsid w:val="00BE4667"/>
    <w:rsid w:val="00BF0F7E"/>
    <w:rsid w:val="00BF1E6D"/>
    <w:rsid w:val="00BF26FB"/>
    <w:rsid w:val="00BF2E7C"/>
    <w:rsid w:val="00BF46D1"/>
    <w:rsid w:val="00BF6800"/>
    <w:rsid w:val="00BF7082"/>
    <w:rsid w:val="00C10AC0"/>
    <w:rsid w:val="00C12C5B"/>
    <w:rsid w:val="00C139E8"/>
    <w:rsid w:val="00C142A3"/>
    <w:rsid w:val="00C160F3"/>
    <w:rsid w:val="00C16AC9"/>
    <w:rsid w:val="00C204F6"/>
    <w:rsid w:val="00C24750"/>
    <w:rsid w:val="00C2507D"/>
    <w:rsid w:val="00C3020E"/>
    <w:rsid w:val="00C3590D"/>
    <w:rsid w:val="00C3788B"/>
    <w:rsid w:val="00C4026E"/>
    <w:rsid w:val="00C415A1"/>
    <w:rsid w:val="00C41A08"/>
    <w:rsid w:val="00C4238C"/>
    <w:rsid w:val="00C43193"/>
    <w:rsid w:val="00C441DE"/>
    <w:rsid w:val="00C44BF8"/>
    <w:rsid w:val="00C44E5F"/>
    <w:rsid w:val="00C46D59"/>
    <w:rsid w:val="00C52525"/>
    <w:rsid w:val="00C55A70"/>
    <w:rsid w:val="00C60812"/>
    <w:rsid w:val="00C612E4"/>
    <w:rsid w:val="00C63332"/>
    <w:rsid w:val="00C66304"/>
    <w:rsid w:val="00C670DC"/>
    <w:rsid w:val="00C678ED"/>
    <w:rsid w:val="00C679FD"/>
    <w:rsid w:val="00C72C95"/>
    <w:rsid w:val="00C74A8C"/>
    <w:rsid w:val="00C7719A"/>
    <w:rsid w:val="00C822B2"/>
    <w:rsid w:val="00C85AD4"/>
    <w:rsid w:val="00C86109"/>
    <w:rsid w:val="00C87DD9"/>
    <w:rsid w:val="00C87F1C"/>
    <w:rsid w:val="00C91C39"/>
    <w:rsid w:val="00C93676"/>
    <w:rsid w:val="00C93BD9"/>
    <w:rsid w:val="00C954C1"/>
    <w:rsid w:val="00C96208"/>
    <w:rsid w:val="00C96786"/>
    <w:rsid w:val="00C96B14"/>
    <w:rsid w:val="00CA0854"/>
    <w:rsid w:val="00CA62EB"/>
    <w:rsid w:val="00CB08F1"/>
    <w:rsid w:val="00CB0A79"/>
    <w:rsid w:val="00CB174D"/>
    <w:rsid w:val="00CB3759"/>
    <w:rsid w:val="00CB384A"/>
    <w:rsid w:val="00CB5D97"/>
    <w:rsid w:val="00CB5EFA"/>
    <w:rsid w:val="00CC2954"/>
    <w:rsid w:val="00CC5163"/>
    <w:rsid w:val="00CC55F1"/>
    <w:rsid w:val="00CD17E1"/>
    <w:rsid w:val="00CD21CC"/>
    <w:rsid w:val="00CD2EA6"/>
    <w:rsid w:val="00CD4E0A"/>
    <w:rsid w:val="00CD637D"/>
    <w:rsid w:val="00CD7839"/>
    <w:rsid w:val="00CE1A7C"/>
    <w:rsid w:val="00CE3F34"/>
    <w:rsid w:val="00CE4303"/>
    <w:rsid w:val="00CE5089"/>
    <w:rsid w:val="00CE5212"/>
    <w:rsid w:val="00CE5DF9"/>
    <w:rsid w:val="00CF1049"/>
    <w:rsid w:val="00CF5D1E"/>
    <w:rsid w:val="00CF6AAE"/>
    <w:rsid w:val="00CF7701"/>
    <w:rsid w:val="00D01042"/>
    <w:rsid w:val="00D01AD8"/>
    <w:rsid w:val="00D022D2"/>
    <w:rsid w:val="00D06C9A"/>
    <w:rsid w:val="00D075BC"/>
    <w:rsid w:val="00D076BF"/>
    <w:rsid w:val="00D10099"/>
    <w:rsid w:val="00D104CA"/>
    <w:rsid w:val="00D1388B"/>
    <w:rsid w:val="00D16308"/>
    <w:rsid w:val="00D23A8B"/>
    <w:rsid w:val="00D2657D"/>
    <w:rsid w:val="00D26BAC"/>
    <w:rsid w:val="00D26E49"/>
    <w:rsid w:val="00D27C8E"/>
    <w:rsid w:val="00D3113E"/>
    <w:rsid w:val="00D311CA"/>
    <w:rsid w:val="00D31726"/>
    <w:rsid w:val="00D31E0E"/>
    <w:rsid w:val="00D32BB0"/>
    <w:rsid w:val="00D40311"/>
    <w:rsid w:val="00D40504"/>
    <w:rsid w:val="00D40B15"/>
    <w:rsid w:val="00D42B85"/>
    <w:rsid w:val="00D43209"/>
    <w:rsid w:val="00D43377"/>
    <w:rsid w:val="00D461B2"/>
    <w:rsid w:val="00D50621"/>
    <w:rsid w:val="00D5165D"/>
    <w:rsid w:val="00D5671C"/>
    <w:rsid w:val="00D570DC"/>
    <w:rsid w:val="00D6061A"/>
    <w:rsid w:val="00D652B2"/>
    <w:rsid w:val="00D66232"/>
    <w:rsid w:val="00D66E2E"/>
    <w:rsid w:val="00D679FA"/>
    <w:rsid w:val="00D732BF"/>
    <w:rsid w:val="00D769F9"/>
    <w:rsid w:val="00D821A4"/>
    <w:rsid w:val="00D822ED"/>
    <w:rsid w:val="00D83C5C"/>
    <w:rsid w:val="00D8409F"/>
    <w:rsid w:val="00D908CA"/>
    <w:rsid w:val="00D91A9E"/>
    <w:rsid w:val="00D928C9"/>
    <w:rsid w:val="00D93888"/>
    <w:rsid w:val="00D9687B"/>
    <w:rsid w:val="00DA0138"/>
    <w:rsid w:val="00DA6545"/>
    <w:rsid w:val="00DA6A8F"/>
    <w:rsid w:val="00DB086A"/>
    <w:rsid w:val="00DB2580"/>
    <w:rsid w:val="00DB402C"/>
    <w:rsid w:val="00DB7C3C"/>
    <w:rsid w:val="00DC0952"/>
    <w:rsid w:val="00DC1C29"/>
    <w:rsid w:val="00DC2F83"/>
    <w:rsid w:val="00DC37DA"/>
    <w:rsid w:val="00DC5522"/>
    <w:rsid w:val="00DC5AA1"/>
    <w:rsid w:val="00DE0B59"/>
    <w:rsid w:val="00DE7E6A"/>
    <w:rsid w:val="00DF2AB0"/>
    <w:rsid w:val="00DF4366"/>
    <w:rsid w:val="00E011D4"/>
    <w:rsid w:val="00E039E6"/>
    <w:rsid w:val="00E03A97"/>
    <w:rsid w:val="00E1182A"/>
    <w:rsid w:val="00E12646"/>
    <w:rsid w:val="00E13014"/>
    <w:rsid w:val="00E1663E"/>
    <w:rsid w:val="00E17920"/>
    <w:rsid w:val="00E17B2B"/>
    <w:rsid w:val="00E322DF"/>
    <w:rsid w:val="00E32692"/>
    <w:rsid w:val="00E33505"/>
    <w:rsid w:val="00E34497"/>
    <w:rsid w:val="00E35558"/>
    <w:rsid w:val="00E36DDC"/>
    <w:rsid w:val="00E426D2"/>
    <w:rsid w:val="00E432F0"/>
    <w:rsid w:val="00E44510"/>
    <w:rsid w:val="00E46ECD"/>
    <w:rsid w:val="00E470ED"/>
    <w:rsid w:val="00E51D71"/>
    <w:rsid w:val="00E55692"/>
    <w:rsid w:val="00E57423"/>
    <w:rsid w:val="00E61A87"/>
    <w:rsid w:val="00E62DA4"/>
    <w:rsid w:val="00E638B1"/>
    <w:rsid w:val="00E7074C"/>
    <w:rsid w:val="00E72C5B"/>
    <w:rsid w:val="00E73F43"/>
    <w:rsid w:val="00E74C6A"/>
    <w:rsid w:val="00E75413"/>
    <w:rsid w:val="00E7613B"/>
    <w:rsid w:val="00E804B5"/>
    <w:rsid w:val="00E81BBC"/>
    <w:rsid w:val="00E8204F"/>
    <w:rsid w:val="00E84613"/>
    <w:rsid w:val="00E866CF"/>
    <w:rsid w:val="00E90FA0"/>
    <w:rsid w:val="00EA6BF7"/>
    <w:rsid w:val="00EB1B6F"/>
    <w:rsid w:val="00EB283F"/>
    <w:rsid w:val="00EB3F4E"/>
    <w:rsid w:val="00EC2E8D"/>
    <w:rsid w:val="00EC3216"/>
    <w:rsid w:val="00EC3CC1"/>
    <w:rsid w:val="00EC5314"/>
    <w:rsid w:val="00ED0BAB"/>
    <w:rsid w:val="00ED622F"/>
    <w:rsid w:val="00ED7890"/>
    <w:rsid w:val="00ED7A11"/>
    <w:rsid w:val="00EE1602"/>
    <w:rsid w:val="00EE34EE"/>
    <w:rsid w:val="00EE4A27"/>
    <w:rsid w:val="00EE4CD5"/>
    <w:rsid w:val="00EE4D16"/>
    <w:rsid w:val="00EE57A1"/>
    <w:rsid w:val="00EF2F9D"/>
    <w:rsid w:val="00EF5E94"/>
    <w:rsid w:val="00EF6598"/>
    <w:rsid w:val="00EF7FDD"/>
    <w:rsid w:val="00F00B7B"/>
    <w:rsid w:val="00F019E9"/>
    <w:rsid w:val="00F02864"/>
    <w:rsid w:val="00F102FD"/>
    <w:rsid w:val="00F13F3A"/>
    <w:rsid w:val="00F13F81"/>
    <w:rsid w:val="00F149C7"/>
    <w:rsid w:val="00F15170"/>
    <w:rsid w:val="00F168C0"/>
    <w:rsid w:val="00F172A9"/>
    <w:rsid w:val="00F20FA5"/>
    <w:rsid w:val="00F21081"/>
    <w:rsid w:val="00F21744"/>
    <w:rsid w:val="00F21AA1"/>
    <w:rsid w:val="00F22AEF"/>
    <w:rsid w:val="00F25A48"/>
    <w:rsid w:val="00F30972"/>
    <w:rsid w:val="00F35850"/>
    <w:rsid w:val="00F35D21"/>
    <w:rsid w:val="00F37BDE"/>
    <w:rsid w:val="00F40FD1"/>
    <w:rsid w:val="00F42006"/>
    <w:rsid w:val="00F4234D"/>
    <w:rsid w:val="00F5265B"/>
    <w:rsid w:val="00F55159"/>
    <w:rsid w:val="00F5636F"/>
    <w:rsid w:val="00F57D93"/>
    <w:rsid w:val="00F57F65"/>
    <w:rsid w:val="00F57FA5"/>
    <w:rsid w:val="00F63F0D"/>
    <w:rsid w:val="00F65BB1"/>
    <w:rsid w:val="00F662A4"/>
    <w:rsid w:val="00F679B9"/>
    <w:rsid w:val="00F67EAF"/>
    <w:rsid w:val="00F707BC"/>
    <w:rsid w:val="00F71BD4"/>
    <w:rsid w:val="00F73E97"/>
    <w:rsid w:val="00F748E3"/>
    <w:rsid w:val="00F771D5"/>
    <w:rsid w:val="00F80AB6"/>
    <w:rsid w:val="00F80F4C"/>
    <w:rsid w:val="00F8169A"/>
    <w:rsid w:val="00F81E37"/>
    <w:rsid w:val="00F81FAF"/>
    <w:rsid w:val="00F8298E"/>
    <w:rsid w:val="00F82D91"/>
    <w:rsid w:val="00FA0C7E"/>
    <w:rsid w:val="00FA13E4"/>
    <w:rsid w:val="00FA3201"/>
    <w:rsid w:val="00FA4457"/>
    <w:rsid w:val="00FA5302"/>
    <w:rsid w:val="00FA5A46"/>
    <w:rsid w:val="00FA634C"/>
    <w:rsid w:val="00FA7FA8"/>
    <w:rsid w:val="00FB61B6"/>
    <w:rsid w:val="00FB6794"/>
    <w:rsid w:val="00FB75CE"/>
    <w:rsid w:val="00FC0A5F"/>
    <w:rsid w:val="00FC2645"/>
    <w:rsid w:val="00FC4AEE"/>
    <w:rsid w:val="00FC4B80"/>
    <w:rsid w:val="00FD02E1"/>
    <w:rsid w:val="00FD4CE3"/>
    <w:rsid w:val="00FE18A2"/>
    <w:rsid w:val="00FE3AA9"/>
    <w:rsid w:val="00FE4662"/>
    <w:rsid w:val="00FE7594"/>
    <w:rsid w:val="00FE7EAC"/>
    <w:rsid w:val="00FF1D43"/>
    <w:rsid w:val="00FF4408"/>
    <w:rsid w:val="00FF4E63"/>
    <w:rsid w:val="00FF6E75"/>
    <w:rsid w:val="00FF7B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668"/>
    <w:pPr>
      <w:spacing w:before="240" w:after="240"/>
    </w:pPr>
    <w:rPr>
      <w:lang w:val="en-GB"/>
    </w:rPr>
  </w:style>
  <w:style w:type="paragraph" w:styleId="Heading1">
    <w:name w:val="heading 1"/>
    <w:basedOn w:val="Normal"/>
    <w:next w:val="Normal"/>
    <w:link w:val="Heading1Char"/>
    <w:uiPriority w:val="9"/>
    <w:qFormat/>
    <w:rsid w:val="00F35850"/>
    <w:pPr>
      <w:keepNext/>
      <w:keepLines/>
      <w:numPr>
        <w:numId w:val="1"/>
      </w:numPr>
      <w:spacing w:before="480"/>
      <w:outlineLvl w:val="0"/>
    </w:pPr>
    <w:rPr>
      <w:rFonts w:ascii="Times New Roman Bold" w:eastAsiaTheme="majorEastAsia" w:hAnsi="Times New Roman Bold" w:cstheme="majorBidi"/>
      <w:b/>
      <w:bCs/>
      <w:caps/>
      <w:szCs w:val="28"/>
    </w:rPr>
  </w:style>
  <w:style w:type="paragraph" w:styleId="Heading2">
    <w:name w:val="heading 2"/>
    <w:basedOn w:val="Normal"/>
    <w:next w:val="Normal"/>
    <w:link w:val="Heading2Char"/>
    <w:uiPriority w:val="9"/>
    <w:unhideWhenUsed/>
    <w:qFormat/>
    <w:rsid w:val="003F27B7"/>
    <w:pPr>
      <w:keepNext/>
      <w:numPr>
        <w:ilvl w:val="1"/>
        <w:numId w:val="1"/>
      </w:numPr>
      <w:tabs>
        <w:tab w:val="num" w:pos="1440"/>
      </w:tabs>
      <w:spacing w:before="0"/>
      <w:ind w:left="1440" w:hanging="720"/>
      <w:outlineLvl w:val="1"/>
    </w:pPr>
    <w:rPr>
      <w:rFonts w:ascii="Times New Roman Bold" w:eastAsiaTheme="majorEastAsia" w:hAnsi="Times New Roman Bold"/>
      <w:b/>
      <w:bCs/>
      <w:smallCaps/>
      <w:szCs w:val="28"/>
    </w:rPr>
  </w:style>
  <w:style w:type="paragraph" w:styleId="Heading3">
    <w:name w:val="heading 3"/>
    <w:basedOn w:val="Normal"/>
    <w:next w:val="Normal"/>
    <w:link w:val="Heading3Char"/>
    <w:uiPriority w:val="9"/>
    <w:unhideWhenUsed/>
    <w:qFormat/>
    <w:rsid w:val="003F27B7"/>
    <w:pPr>
      <w:keepNext/>
      <w:keepLines/>
      <w:numPr>
        <w:ilvl w:val="2"/>
        <w:numId w:val="1"/>
      </w:numPr>
      <w:spacing w:before="200"/>
      <w:outlineLvl w:val="2"/>
    </w:pPr>
    <w:rPr>
      <w:rFonts w:ascii="Times New Roman Bold" w:eastAsiaTheme="majorEastAsia" w:hAnsi="Times New Roman Bold" w:cstheme="majorBidi"/>
      <w:b/>
      <w:bCs/>
    </w:rPr>
  </w:style>
  <w:style w:type="paragraph" w:styleId="Heading4">
    <w:name w:val="heading 4"/>
    <w:basedOn w:val="Normal"/>
    <w:next w:val="Normal"/>
    <w:link w:val="Heading4Char"/>
    <w:uiPriority w:val="9"/>
    <w:unhideWhenUsed/>
    <w:qFormat/>
    <w:rsid w:val="00727394"/>
    <w:pPr>
      <w:keepNext/>
      <w:keepLines/>
      <w:numPr>
        <w:ilvl w:val="3"/>
        <w:numId w:val="1"/>
      </w:numPr>
      <w:spacing w:before="200"/>
      <w:ind w:left="1440"/>
      <w:outlineLvl w:val="3"/>
    </w:pPr>
    <w:rPr>
      <w:rFonts w:eastAsiaTheme="majorEastAsia" w:cstheme="majorBidi"/>
      <w:bCs/>
      <w:iCs/>
      <w:u w:val="single"/>
      <w:lang w:val="en-US"/>
    </w:rPr>
  </w:style>
  <w:style w:type="paragraph" w:styleId="Heading5">
    <w:name w:val="heading 5"/>
    <w:basedOn w:val="Normal"/>
    <w:next w:val="Normal"/>
    <w:link w:val="Heading5Char"/>
    <w:uiPriority w:val="9"/>
    <w:semiHidden/>
    <w:unhideWhenUsed/>
    <w:qFormat/>
    <w:rsid w:val="007E7B15"/>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E7B15"/>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E7B1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E7B15"/>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E7B15"/>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4_G,Footnotes refss,Footnote Ref,16 Point,Superscript 6 Point,callout,Ref,de nota al pie,Appel note de bas de p."/>
    <w:uiPriority w:val="99"/>
    <w:rsid w:val="00733EF4"/>
    <w:rPr>
      <w:vertAlign w:val="superscript"/>
    </w:rPr>
  </w:style>
  <w:style w:type="character" w:customStyle="1" w:styleId="Heading1Char">
    <w:name w:val="Heading 1 Char"/>
    <w:basedOn w:val="DefaultParagraphFont"/>
    <w:link w:val="Heading1"/>
    <w:uiPriority w:val="9"/>
    <w:rsid w:val="00F35850"/>
    <w:rPr>
      <w:rFonts w:ascii="Times New Roman Bold" w:eastAsiaTheme="majorEastAsia" w:hAnsi="Times New Roman Bold" w:cstheme="majorBidi"/>
      <w:b/>
      <w:bCs/>
      <w:caps/>
      <w:szCs w:val="28"/>
      <w:lang w:val="en-GB"/>
    </w:rPr>
  </w:style>
  <w:style w:type="character" w:customStyle="1" w:styleId="Heading2Char">
    <w:name w:val="Heading 2 Char"/>
    <w:basedOn w:val="DefaultParagraphFont"/>
    <w:link w:val="Heading2"/>
    <w:uiPriority w:val="9"/>
    <w:rsid w:val="003F27B7"/>
    <w:rPr>
      <w:rFonts w:ascii="Times New Roman Bold" w:eastAsiaTheme="majorEastAsia" w:hAnsi="Times New Roman Bold"/>
      <w:b/>
      <w:bCs/>
      <w:smallCaps/>
      <w:szCs w:val="28"/>
      <w:lang w:val="en-GB"/>
    </w:rPr>
  </w:style>
  <w:style w:type="character" w:customStyle="1" w:styleId="Heading3Char">
    <w:name w:val="Heading 3 Char"/>
    <w:basedOn w:val="DefaultParagraphFont"/>
    <w:link w:val="Heading3"/>
    <w:uiPriority w:val="9"/>
    <w:rsid w:val="003F27B7"/>
    <w:rPr>
      <w:rFonts w:ascii="Times New Roman Bold" w:eastAsiaTheme="majorEastAsia" w:hAnsi="Times New Roman Bold" w:cstheme="majorBidi"/>
      <w:b/>
      <w:bCs/>
      <w:lang w:val="en-GB"/>
    </w:rPr>
  </w:style>
  <w:style w:type="character" w:customStyle="1" w:styleId="Heading4Char">
    <w:name w:val="Heading 4 Char"/>
    <w:basedOn w:val="DefaultParagraphFont"/>
    <w:link w:val="Heading4"/>
    <w:uiPriority w:val="9"/>
    <w:rsid w:val="00727394"/>
    <w:rPr>
      <w:rFonts w:eastAsiaTheme="majorEastAsia" w:cstheme="majorBidi"/>
      <w:bCs/>
      <w:iCs/>
      <w:u w:val="single"/>
    </w:rPr>
  </w:style>
  <w:style w:type="character" w:customStyle="1" w:styleId="Heading5Char">
    <w:name w:val="Heading 5 Char"/>
    <w:basedOn w:val="DefaultParagraphFont"/>
    <w:link w:val="Heading5"/>
    <w:uiPriority w:val="9"/>
    <w:semiHidden/>
    <w:rsid w:val="007E7B15"/>
    <w:rPr>
      <w:rFonts w:asciiTheme="majorHAnsi" w:eastAsiaTheme="majorEastAsia" w:hAnsiTheme="majorHAnsi" w:cstheme="majorBidi"/>
      <w:color w:val="243F60" w:themeColor="accent1" w:themeShade="7F"/>
      <w:lang w:val="en-GB"/>
    </w:rPr>
  </w:style>
  <w:style w:type="character" w:customStyle="1" w:styleId="Heading6Char">
    <w:name w:val="Heading 6 Char"/>
    <w:basedOn w:val="DefaultParagraphFont"/>
    <w:link w:val="Heading6"/>
    <w:uiPriority w:val="9"/>
    <w:semiHidden/>
    <w:rsid w:val="007E7B15"/>
    <w:rPr>
      <w:rFonts w:asciiTheme="majorHAnsi" w:eastAsiaTheme="majorEastAsia" w:hAnsiTheme="majorHAnsi" w:cstheme="majorBidi"/>
      <w:i/>
      <w:iCs/>
      <w:color w:val="243F60" w:themeColor="accent1" w:themeShade="7F"/>
      <w:lang w:val="en-GB"/>
    </w:rPr>
  </w:style>
  <w:style w:type="character" w:customStyle="1" w:styleId="Heading7Char">
    <w:name w:val="Heading 7 Char"/>
    <w:basedOn w:val="DefaultParagraphFont"/>
    <w:link w:val="Heading7"/>
    <w:uiPriority w:val="9"/>
    <w:semiHidden/>
    <w:rsid w:val="007E7B15"/>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7E7B15"/>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7E7B15"/>
    <w:rPr>
      <w:rFonts w:asciiTheme="majorHAnsi" w:eastAsiaTheme="majorEastAsia" w:hAnsiTheme="majorHAnsi" w:cstheme="majorBidi"/>
      <w:i/>
      <w:iCs/>
      <w:color w:val="404040" w:themeColor="text1" w:themeTint="BF"/>
      <w:sz w:val="20"/>
      <w:szCs w:val="20"/>
      <w:lang w:val="en-GB"/>
    </w:rPr>
  </w:style>
  <w:style w:type="paragraph" w:styleId="FootnoteText">
    <w:name w:val="footnote text"/>
    <w:aliases w:val="5_G,Footnotes,Note de bas de page2,fn,Fußnotentext RAXEN,Footnote Text Char2 Char,Footnote Text Char Char1 Char,Footnote Text Char2 Char Char Char,Footnote Text Char1 Char Char Char Char,footnotes,footnote text,Tex,Car,F"/>
    <w:basedOn w:val="Normal"/>
    <w:link w:val="FootnoteTextChar"/>
    <w:uiPriority w:val="99"/>
    <w:unhideWhenUsed/>
    <w:rsid w:val="004C0E91"/>
    <w:rPr>
      <w:sz w:val="20"/>
      <w:szCs w:val="20"/>
    </w:rPr>
  </w:style>
  <w:style w:type="character" w:customStyle="1" w:styleId="FootnoteTextChar">
    <w:name w:val="Footnote Text Char"/>
    <w:aliases w:val="5_G Char1,Footnotes Char1,Note de bas de page2 Char1,fn Char1,Fußnotentext RAXEN Char1,Footnote Text Char2 Char Char1,Footnote Text Char Char1 Char Char1,Footnote Text Char2 Char Char Char Char1,footnotes Char1,footnote text Char"/>
    <w:basedOn w:val="DefaultParagraphFont"/>
    <w:link w:val="FootnoteText"/>
    <w:uiPriority w:val="99"/>
    <w:rsid w:val="004C0E91"/>
    <w:rPr>
      <w:sz w:val="20"/>
      <w:szCs w:val="20"/>
    </w:rPr>
  </w:style>
  <w:style w:type="paragraph" w:customStyle="1" w:styleId="center">
    <w:name w:val="center"/>
    <w:basedOn w:val="Normal"/>
    <w:rsid w:val="008B7DCD"/>
    <w:pPr>
      <w:spacing w:before="100" w:beforeAutospacing="1" w:after="100" w:afterAutospacing="1"/>
    </w:pPr>
    <w:rPr>
      <w:rFonts w:eastAsia="Times New Roman"/>
      <w:lang w:val="en-ZA" w:eastAsia="en-ZA"/>
    </w:rPr>
  </w:style>
  <w:style w:type="character" w:styleId="Emphasis">
    <w:name w:val="Emphasis"/>
    <w:basedOn w:val="DefaultParagraphFont"/>
    <w:uiPriority w:val="20"/>
    <w:qFormat/>
    <w:rsid w:val="008B7DCD"/>
    <w:rPr>
      <w:i/>
      <w:iCs/>
    </w:rPr>
  </w:style>
  <w:style w:type="paragraph" w:styleId="NormalWeb">
    <w:name w:val="Normal (Web)"/>
    <w:basedOn w:val="Normal"/>
    <w:uiPriority w:val="99"/>
    <w:semiHidden/>
    <w:unhideWhenUsed/>
    <w:rsid w:val="008B7DCD"/>
    <w:pPr>
      <w:spacing w:before="100" w:beforeAutospacing="1" w:after="100" w:afterAutospacing="1"/>
    </w:pPr>
    <w:rPr>
      <w:rFonts w:eastAsia="Times New Roman"/>
      <w:lang w:val="en-ZA" w:eastAsia="en-ZA"/>
    </w:rPr>
  </w:style>
  <w:style w:type="character" w:styleId="CommentReference">
    <w:name w:val="annotation reference"/>
    <w:basedOn w:val="DefaultParagraphFont"/>
    <w:uiPriority w:val="99"/>
    <w:unhideWhenUsed/>
    <w:rsid w:val="0031097F"/>
    <w:rPr>
      <w:sz w:val="16"/>
      <w:szCs w:val="16"/>
    </w:rPr>
  </w:style>
  <w:style w:type="paragraph" w:styleId="CommentText">
    <w:name w:val="annotation text"/>
    <w:basedOn w:val="Normal"/>
    <w:link w:val="CommentTextChar"/>
    <w:unhideWhenUsed/>
    <w:rsid w:val="0031097F"/>
    <w:rPr>
      <w:sz w:val="20"/>
      <w:szCs w:val="20"/>
    </w:rPr>
  </w:style>
  <w:style w:type="character" w:customStyle="1" w:styleId="CommentTextChar">
    <w:name w:val="Comment Text Char"/>
    <w:basedOn w:val="DefaultParagraphFont"/>
    <w:link w:val="CommentText"/>
    <w:rsid w:val="0031097F"/>
    <w:rPr>
      <w:sz w:val="20"/>
      <w:szCs w:val="20"/>
    </w:rPr>
  </w:style>
  <w:style w:type="paragraph" w:styleId="CommentSubject">
    <w:name w:val="annotation subject"/>
    <w:basedOn w:val="CommentText"/>
    <w:next w:val="CommentText"/>
    <w:link w:val="CommentSubjectChar"/>
    <w:uiPriority w:val="99"/>
    <w:semiHidden/>
    <w:unhideWhenUsed/>
    <w:rsid w:val="0031097F"/>
    <w:rPr>
      <w:b/>
      <w:bCs/>
    </w:rPr>
  </w:style>
  <w:style w:type="character" w:customStyle="1" w:styleId="CommentSubjectChar">
    <w:name w:val="Comment Subject Char"/>
    <w:basedOn w:val="CommentTextChar"/>
    <w:link w:val="CommentSubject"/>
    <w:uiPriority w:val="99"/>
    <w:semiHidden/>
    <w:rsid w:val="0031097F"/>
    <w:rPr>
      <w:b/>
      <w:bCs/>
      <w:sz w:val="20"/>
      <w:szCs w:val="20"/>
    </w:rPr>
  </w:style>
  <w:style w:type="paragraph" w:styleId="BalloonText">
    <w:name w:val="Balloon Text"/>
    <w:basedOn w:val="Normal"/>
    <w:link w:val="BalloonTextChar"/>
    <w:uiPriority w:val="99"/>
    <w:semiHidden/>
    <w:unhideWhenUsed/>
    <w:rsid w:val="0031097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97F"/>
    <w:rPr>
      <w:rFonts w:ascii="Tahoma" w:hAnsi="Tahoma" w:cs="Tahoma"/>
      <w:sz w:val="16"/>
      <w:szCs w:val="16"/>
    </w:rPr>
  </w:style>
  <w:style w:type="character" w:styleId="Hyperlink">
    <w:name w:val="Hyperlink"/>
    <w:basedOn w:val="DefaultParagraphFont"/>
    <w:uiPriority w:val="99"/>
    <w:unhideWhenUsed/>
    <w:rsid w:val="00DB402C"/>
    <w:rPr>
      <w:color w:val="0000FF"/>
      <w:u w:val="single"/>
    </w:rPr>
  </w:style>
  <w:style w:type="paragraph" w:styleId="Title">
    <w:name w:val="Title"/>
    <w:basedOn w:val="Normal"/>
    <w:next w:val="Normal"/>
    <w:link w:val="TitleChar"/>
    <w:uiPriority w:val="10"/>
    <w:qFormat/>
    <w:rsid w:val="006F3BB0"/>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3BB0"/>
    <w:rPr>
      <w:rFonts w:asciiTheme="majorHAnsi" w:eastAsiaTheme="majorEastAsia" w:hAnsiTheme="majorHAnsi" w:cstheme="majorBidi"/>
      <w:color w:val="17365D" w:themeColor="text2" w:themeShade="BF"/>
      <w:spacing w:val="5"/>
      <w:kern w:val="28"/>
      <w:sz w:val="52"/>
      <w:szCs w:val="52"/>
      <w:lang w:val="en-GB"/>
    </w:rPr>
  </w:style>
  <w:style w:type="paragraph" w:styleId="Header">
    <w:name w:val="header"/>
    <w:basedOn w:val="Normal"/>
    <w:link w:val="HeaderChar"/>
    <w:unhideWhenUsed/>
    <w:rsid w:val="000040BB"/>
    <w:pPr>
      <w:tabs>
        <w:tab w:val="center" w:pos="4513"/>
        <w:tab w:val="right" w:pos="9026"/>
      </w:tabs>
      <w:spacing w:before="0" w:after="0"/>
    </w:pPr>
  </w:style>
  <w:style w:type="character" w:customStyle="1" w:styleId="HeaderChar">
    <w:name w:val="Header Char"/>
    <w:basedOn w:val="DefaultParagraphFont"/>
    <w:link w:val="Header"/>
    <w:rsid w:val="000040BB"/>
    <w:rPr>
      <w:lang w:val="en-GB"/>
    </w:rPr>
  </w:style>
  <w:style w:type="paragraph" w:styleId="Footer">
    <w:name w:val="footer"/>
    <w:basedOn w:val="Normal"/>
    <w:link w:val="FooterChar"/>
    <w:uiPriority w:val="99"/>
    <w:unhideWhenUsed/>
    <w:rsid w:val="000040BB"/>
    <w:pPr>
      <w:tabs>
        <w:tab w:val="center" w:pos="4513"/>
        <w:tab w:val="right" w:pos="9026"/>
      </w:tabs>
      <w:spacing w:before="0" w:after="0"/>
    </w:pPr>
  </w:style>
  <w:style w:type="character" w:customStyle="1" w:styleId="FooterChar">
    <w:name w:val="Footer Char"/>
    <w:basedOn w:val="DefaultParagraphFont"/>
    <w:link w:val="Footer"/>
    <w:uiPriority w:val="99"/>
    <w:rsid w:val="000040BB"/>
    <w:rPr>
      <w:lang w:val="en-GB"/>
    </w:rPr>
  </w:style>
  <w:style w:type="paragraph" w:styleId="NoSpacing">
    <w:name w:val="No Spacing"/>
    <w:uiPriority w:val="1"/>
    <w:qFormat/>
    <w:rsid w:val="00A76039"/>
    <w:pPr>
      <w:numPr>
        <w:numId w:val="19"/>
      </w:numPr>
      <w:spacing w:before="240" w:after="240" w:line="480" w:lineRule="auto"/>
      <w:ind w:left="0" w:firstLine="720"/>
      <w:contextualSpacing/>
    </w:pPr>
    <w:rPr>
      <w:lang w:val="en-GB" w:eastAsia="en-ZA"/>
    </w:rPr>
  </w:style>
  <w:style w:type="paragraph" w:customStyle="1" w:styleId="Default">
    <w:name w:val="Default"/>
    <w:rsid w:val="00D5671C"/>
    <w:pPr>
      <w:autoSpaceDE w:val="0"/>
      <w:autoSpaceDN w:val="0"/>
      <w:adjustRightInd w:val="0"/>
    </w:pPr>
    <w:rPr>
      <w:rFonts w:ascii="Calibri" w:hAnsi="Calibri" w:cs="Calibri"/>
      <w:color w:val="000000"/>
      <w:lang w:val="en-ZA"/>
    </w:rPr>
  </w:style>
  <w:style w:type="paragraph" w:styleId="BodyText">
    <w:name w:val="Body Text"/>
    <w:basedOn w:val="Normal"/>
    <w:link w:val="BodyTextChar"/>
    <w:rsid w:val="00D5671C"/>
    <w:pPr>
      <w:spacing w:before="120" w:after="0" w:line="480" w:lineRule="auto"/>
      <w:ind w:firstLine="1440"/>
    </w:pPr>
    <w:rPr>
      <w:rFonts w:eastAsia="Times New Roman"/>
      <w:szCs w:val="20"/>
      <w:lang w:val="en-US"/>
    </w:rPr>
  </w:style>
  <w:style w:type="character" w:customStyle="1" w:styleId="BodyTextChar">
    <w:name w:val="Body Text Char"/>
    <w:basedOn w:val="DefaultParagraphFont"/>
    <w:link w:val="BodyText"/>
    <w:rsid w:val="00D5671C"/>
    <w:rPr>
      <w:rFonts w:eastAsia="Times New Roman"/>
      <w:szCs w:val="20"/>
    </w:rPr>
  </w:style>
  <w:style w:type="character" w:customStyle="1" w:styleId="apple-converted-space">
    <w:name w:val="apple-converted-space"/>
    <w:basedOn w:val="DefaultParagraphFont"/>
    <w:rsid w:val="00AB0C62"/>
  </w:style>
  <w:style w:type="character" w:styleId="FollowedHyperlink">
    <w:name w:val="FollowedHyperlink"/>
    <w:basedOn w:val="DefaultParagraphFont"/>
    <w:uiPriority w:val="99"/>
    <w:semiHidden/>
    <w:unhideWhenUsed/>
    <w:rsid w:val="0013701D"/>
    <w:rPr>
      <w:color w:val="800080" w:themeColor="followedHyperlink"/>
      <w:u w:val="single"/>
    </w:rPr>
  </w:style>
  <w:style w:type="paragraph" w:styleId="ListParagraph">
    <w:name w:val="List Paragraph"/>
    <w:basedOn w:val="Normal"/>
    <w:uiPriority w:val="34"/>
    <w:qFormat/>
    <w:rsid w:val="009D5F61"/>
    <w:pPr>
      <w:spacing w:before="0" w:after="0"/>
      <w:ind w:left="720"/>
      <w:contextualSpacing/>
    </w:pPr>
    <w:rPr>
      <w:lang w:val="en-US"/>
    </w:rPr>
  </w:style>
  <w:style w:type="paragraph" w:styleId="Salutation">
    <w:name w:val="Salutation"/>
    <w:basedOn w:val="Normal"/>
    <w:next w:val="Normal"/>
    <w:link w:val="SalutationChar"/>
    <w:rsid w:val="00802AA3"/>
    <w:pPr>
      <w:spacing w:before="0" w:after="0"/>
    </w:pPr>
    <w:rPr>
      <w:rFonts w:eastAsia="Times New Roman"/>
      <w:lang w:val="en-US"/>
    </w:rPr>
  </w:style>
  <w:style w:type="character" w:customStyle="1" w:styleId="SalutationChar">
    <w:name w:val="Salutation Char"/>
    <w:basedOn w:val="DefaultParagraphFont"/>
    <w:link w:val="Salutation"/>
    <w:rsid w:val="00802AA3"/>
    <w:rPr>
      <w:rFonts w:eastAsia="Times New Roman"/>
    </w:rPr>
  </w:style>
  <w:style w:type="paragraph" w:customStyle="1" w:styleId="STBListNumber4">
    <w:name w:val="STB List Number 4"/>
    <w:basedOn w:val="Normal"/>
    <w:rsid w:val="00802AA3"/>
    <w:pPr>
      <w:numPr>
        <w:numId w:val="41"/>
      </w:numPr>
      <w:tabs>
        <w:tab w:val="clear" w:pos="3240"/>
      </w:tabs>
      <w:spacing w:before="0"/>
    </w:pPr>
    <w:rPr>
      <w:rFonts w:eastAsia="Times New Roman"/>
      <w:lang w:val="en-US"/>
    </w:rPr>
  </w:style>
  <w:style w:type="character" w:customStyle="1" w:styleId="FootnoteTextChar1">
    <w:name w:val="Footnote Text Char1"/>
    <w:aliases w:val="5_G Char,Footnotes Char,Note de bas de page2 Char,fn Char,Fußnotentext RAXEN Char,Footnote Text Char Char,Footnote Text Char2 Char Char,Footnote Text Char Char1 Char Char,Footnote Text Char2 Char Char Char Char,footnotes Char,F Char"/>
    <w:uiPriority w:val="99"/>
    <w:rsid w:val="00165491"/>
    <w:rPr>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668"/>
    <w:pPr>
      <w:spacing w:before="240" w:after="240"/>
    </w:pPr>
    <w:rPr>
      <w:lang w:val="en-GB"/>
    </w:rPr>
  </w:style>
  <w:style w:type="paragraph" w:styleId="Heading1">
    <w:name w:val="heading 1"/>
    <w:basedOn w:val="Normal"/>
    <w:next w:val="Normal"/>
    <w:link w:val="Heading1Char"/>
    <w:uiPriority w:val="9"/>
    <w:qFormat/>
    <w:rsid w:val="007E7B15"/>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913BB"/>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0449"/>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E7B15"/>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E7B15"/>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E7B15"/>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E7B1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E7B15"/>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E7B15"/>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733EF4"/>
    <w:rPr>
      <w:vertAlign w:val="superscript"/>
    </w:rPr>
  </w:style>
  <w:style w:type="character" w:customStyle="1" w:styleId="Heading1Char">
    <w:name w:val="Heading 1 Char"/>
    <w:basedOn w:val="DefaultParagraphFont"/>
    <w:link w:val="Heading1"/>
    <w:uiPriority w:val="9"/>
    <w:rsid w:val="007E7B15"/>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9913BB"/>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B50449"/>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rsid w:val="007E7B15"/>
    <w:rPr>
      <w:rFonts w:asciiTheme="majorHAnsi" w:eastAsiaTheme="majorEastAsia" w:hAnsiTheme="majorHAnsi" w:cstheme="majorBidi"/>
      <w:b/>
      <w:bCs/>
      <w:i/>
      <w:iCs/>
      <w:color w:val="4F81BD" w:themeColor="accent1"/>
      <w:lang w:val="en-GB"/>
    </w:rPr>
  </w:style>
  <w:style w:type="character" w:customStyle="1" w:styleId="Heading5Char">
    <w:name w:val="Heading 5 Char"/>
    <w:basedOn w:val="DefaultParagraphFont"/>
    <w:link w:val="Heading5"/>
    <w:uiPriority w:val="9"/>
    <w:semiHidden/>
    <w:rsid w:val="007E7B15"/>
    <w:rPr>
      <w:rFonts w:asciiTheme="majorHAnsi" w:eastAsiaTheme="majorEastAsia" w:hAnsiTheme="majorHAnsi" w:cstheme="majorBidi"/>
      <w:color w:val="243F60" w:themeColor="accent1" w:themeShade="7F"/>
      <w:lang w:val="en-GB"/>
    </w:rPr>
  </w:style>
  <w:style w:type="character" w:customStyle="1" w:styleId="Heading6Char">
    <w:name w:val="Heading 6 Char"/>
    <w:basedOn w:val="DefaultParagraphFont"/>
    <w:link w:val="Heading6"/>
    <w:uiPriority w:val="9"/>
    <w:semiHidden/>
    <w:rsid w:val="007E7B15"/>
    <w:rPr>
      <w:rFonts w:asciiTheme="majorHAnsi" w:eastAsiaTheme="majorEastAsia" w:hAnsiTheme="majorHAnsi" w:cstheme="majorBidi"/>
      <w:i/>
      <w:iCs/>
      <w:color w:val="243F60" w:themeColor="accent1" w:themeShade="7F"/>
      <w:lang w:val="en-GB"/>
    </w:rPr>
  </w:style>
  <w:style w:type="character" w:customStyle="1" w:styleId="Heading7Char">
    <w:name w:val="Heading 7 Char"/>
    <w:basedOn w:val="DefaultParagraphFont"/>
    <w:link w:val="Heading7"/>
    <w:uiPriority w:val="9"/>
    <w:semiHidden/>
    <w:rsid w:val="007E7B15"/>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7E7B15"/>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7E7B15"/>
    <w:rPr>
      <w:rFonts w:asciiTheme="majorHAnsi" w:eastAsiaTheme="majorEastAsia" w:hAnsiTheme="majorHAnsi" w:cstheme="majorBidi"/>
      <w:i/>
      <w:iCs/>
      <w:color w:val="404040" w:themeColor="text1" w:themeTint="BF"/>
      <w:sz w:val="20"/>
      <w:szCs w:val="20"/>
      <w:lang w:val="en-GB"/>
    </w:rPr>
  </w:style>
  <w:style w:type="paragraph" w:styleId="FootnoteText">
    <w:name w:val="footnote text"/>
    <w:basedOn w:val="Normal"/>
    <w:link w:val="FootnoteTextChar"/>
    <w:uiPriority w:val="99"/>
    <w:unhideWhenUsed/>
    <w:rsid w:val="004C0E91"/>
    <w:rPr>
      <w:sz w:val="20"/>
      <w:szCs w:val="20"/>
    </w:rPr>
  </w:style>
  <w:style w:type="character" w:customStyle="1" w:styleId="FootnoteTextChar">
    <w:name w:val="Footnote Text Char"/>
    <w:basedOn w:val="DefaultParagraphFont"/>
    <w:link w:val="FootnoteText"/>
    <w:uiPriority w:val="99"/>
    <w:rsid w:val="004C0E91"/>
    <w:rPr>
      <w:sz w:val="20"/>
      <w:szCs w:val="20"/>
    </w:rPr>
  </w:style>
  <w:style w:type="paragraph" w:customStyle="1" w:styleId="center">
    <w:name w:val="center"/>
    <w:basedOn w:val="Normal"/>
    <w:rsid w:val="008B7DCD"/>
    <w:pPr>
      <w:spacing w:before="100" w:beforeAutospacing="1" w:after="100" w:afterAutospacing="1"/>
    </w:pPr>
    <w:rPr>
      <w:rFonts w:eastAsia="Times New Roman"/>
      <w:lang w:val="en-ZA" w:eastAsia="en-ZA"/>
    </w:rPr>
  </w:style>
  <w:style w:type="character" w:styleId="Emphasis">
    <w:name w:val="Emphasis"/>
    <w:basedOn w:val="DefaultParagraphFont"/>
    <w:uiPriority w:val="20"/>
    <w:qFormat/>
    <w:rsid w:val="008B7DCD"/>
    <w:rPr>
      <w:i/>
      <w:iCs/>
    </w:rPr>
  </w:style>
  <w:style w:type="paragraph" w:styleId="NormalWeb">
    <w:name w:val="Normal (Web)"/>
    <w:basedOn w:val="Normal"/>
    <w:uiPriority w:val="99"/>
    <w:semiHidden/>
    <w:unhideWhenUsed/>
    <w:rsid w:val="008B7DCD"/>
    <w:pPr>
      <w:spacing w:before="100" w:beforeAutospacing="1" w:after="100" w:afterAutospacing="1"/>
    </w:pPr>
    <w:rPr>
      <w:rFonts w:eastAsia="Times New Roman"/>
      <w:lang w:val="en-ZA" w:eastAsia="en-ZA"/>
    </w:rPr>
  </w:style>
  <w:style w:type="character" w:styleId="CommentReference">
    <w:name w:val="annotation reference"/>
    <w:basedOn w:val="DefaultParagraphFont"/>
    <w:uiPriority w:val="99"/>
    <w:semiHidden/>
    <w:unhideWhenUsed/>
    <w:rsid w:val="0031097F"/>
    <w:rPr>
      <w:sz w:val="16"/>
      <w:szCs w:val="16"/>
    </w:rPr>
  </w:style>
  <w:style w:type="paragraph" w:styleId="CommentText">
    <w:name w:val="annotation text"/>
    <w:basedOn w:val="Normal"/>
    <w:link w:val="CommentTextChar"/>
    <w:uiPriority w:val="99"/>
    <w:semiHidden/>
    <w:unhideWhenUsed/>
    <w:rsid w:val="0031097F"/>
    <w:rPr>
      <w:sz w:val="20"/>
      <w:szCs w:val="20"/>
    </w:rPr>
  </w:style>
  <w:style w:type="character" w:customStyle="1" w:styleId="CommentTextChar">
    <w:name w:val="Comment Text Char"/>
    <w:basedOn w:val="DefaultParagraphFont"/>
    <w:link w:val="CommentText"/>
    <w:uiPriority w:val="99"/>
    <w:semiHidden/>
    <w:rsid w:val="0031097F"/>
    <w:rPr>
      <w:sz w:val="20"/>
      <w:szCs w:val="20"/>
    </w:rPr>
  </w:style>
  <w:style w:type="paragraph" w:styleId="CommentSubject">
    <w:name w:val="annotation subject"/>
    <w:basedOn w:val="CommentText"/>
    <w:next w:val="CommentText"/>
    <w:link w:val="CommentSubjectChar"/>
    <w:uiPriority w:val="99"/>
    <w:semiHidden/>
    <w:unhideWhenUsed/>
    <w:rsid w:val="0031097F"/>
    <w:rPr>
      <w:b/>
      <w:bCs/>
    </w:rPr>
  </w:style>
  <w:style w:type="character" w:customStyle="1" w:styleId="CommentSubjectChar">
    <w:name w:val="Comment Subject Char"/>
    <w:basedOn w:val="CommentTextChar"/>
    <w:link w:val="CommentSubject"/>
    <w:uiPriority w:val="99"/>
    <w:semiHidden/>
    <w:rsid w:val="0031097F"/>
    <w:rPr>
      <w:b/>
      <w:bCs/>
      <w:sz w:val="20"/>
      <w:szCs w:val="20"/>
    </w:rPr>
  </w:style>
  <w:style w:type="paragraph" w:styleId="BalloonText">
    <w:name w:val="Balloon Text"/>
    <w:basedOn w:val="Normal"/>
    <w:link w:val="BalloonTextChar"/>
    <w:uiPriority w:val="99"/>
    <w:semiHidden/>
    <w:unhideWhenUsed/>
    <w:rsid w:val="0031097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97F"/>
    <w:rPr>
      <w:rFonts w:ascii="Tahoma" w:hAnsi="Tahoma" w:cs="Tahoma"/>
      <w:sz w:val="16"/>
      <w:szCs w:val="16"/>
    </w:rPr>
  </w:style>
  <w:style w:type="character" w:styleId="Hyperlink">
    <w:name w:val="Hyperlink"/>
    <w:basedOn w:val="DefaultParagraphFont"/>
    <w:uiPriority w:val="99"/>
    <w:semiHidden/>
    <w:unhideWhenUsed/>
    <w:rsid w:val="00DB402C"/>
    <w:rPr>
      <w:color w:val="0000FF"/>
      <w:u w:val="single"/>
    </w:rPr>
  </w:style>
  <w:style w:type="paragraph" w:styleId="Title">
    <w:name w:val="Title"/>
    <w:basedOn w:val="Normal"/>
    <w:next w:val="Normal"/>
    <w:link w:val="TitleChar"/>
    <w:uiPriority w:val="10"/>
    <w:qFormat/>
    <w:rsid w:val="006F3BB0"/>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3BB0"/>
    <w:rPr>
      <w:rFonts w:asciiTheme="majorHAnsi" w:eastAsiaTheme="majorEastAsia" w:hAnsiTheme="majorHAnsi" w:cstheme="majorBidi"/>
      <w:color w:val="17365D" w:themeColor="text2" w:themeShade="BF"/>
      <w:spacing w:val="5"/>
      <w:kern w:val="28"/>
      <w:sz w:val="52"/>
      <w:szCs w:val="52"/>
      <w:lang w:val="en-GB"/>
    </w:rPr>
  </w:style>
  <w:style w:type="paragraph" w:styleId="Header">
    <w:name w:val="header"/>
    <w:basedOn w:val="Normal"/>
    <w:link w:val="HeaderChar"/>
    <w:uiPriority w:val="99"/>
    <w:semiHidden/>
    <w:unhideWhenUsed/>
    <w:rsid w:val="000040BB"/>
    <w:pPr>
      <w:tabs>
        <w:tab w:val="center" w:pos="4513"/>
        <w:tab w:val="right" w:pos="9026"/>
      </w:tabs>
      <w:spacing w:before="0" w:after="0"/>
    </w:pPr>
  </w:style>
  <w:style w:type="character" w:customStyle="1" w:styleId="HeaderChar">
    <w:name w:val="Header Char"/>
    <w:basedOn w:val="DefaultParagraphFont"/>
    <w:link w:val="Header"/>
    <w:uiPriority w:val="99"/>
    <w:semiHidden/>
    <w:rsid w:val="000040BB"/>
    <w:rPr>
      <w:lang w:val="en-GB"/>
    </w:rPr>
  </w:style>
  <w:style w:type="paragraph" w:styleId="Footer">
    <w:name w:val="footer"/>
    <w:basedOn w:val="Normal"/>
    <w:link w:val="FooterChar"/>
    <w:uiPriority w:val="99"/>
    <w:unhideWhenUsed/>
    <w:rsid w:val="000040BB"/>
    <w:pPr>
      <w:tabs>
        <w:tab w:val="center" w:pos="4513"/>
        <w:tab w:val="right" w:pos="9026"/>
      </w:tabs>
      <w:spacing w:before="0" w:after="0"/>
    </w:pPr>
  </w:style>
  <w:style w:type="character" w:customStyle="1" w:styleId="FooterChar">
    <w:name w:val="Footer Char"/>
    <w:basedOn w:val="DefaultParagraphFont"/>
    <w:link w:val="Footer"/>
    <w:uiPriority w:val="99"/>
    <w:rsid w:val="000040B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7814">
      <w:bodyDiv w:val="1"/>
      <w:marLeft w:val="0"/>
      <w:marRight w:val="0"/>
      <w:marTop w:val="0"/>
      <w:marBottom w:val="0"/>
      <w:divBdr>
        <w:top w:val="none" w:sz="0" w:space="0" w:color="auto"/>
        <w:left w:val="none" w:sz="0" w:space="0" w:color="auto"/>
        <w:bottom w:val="none" w:sz="0" w:space="0" w:color="auto"/>
        <w:right w:val="none" w:sz="0" w:space="0" w:color="auto"/>
      </w:divBdr>
    </w:div>
    <w:div w:id="60955475">
      <w:bodyDiv w:val="1"/>
      <w:marLeft w:val="0"/>
      <w:marRight w:val="0"/>
      <w:marTop w:val="0"/>
      <w:marBottom w:val="0"/>
      <w:divBdr>
        <w:top w:val="none" w:sz="0" w:space="0" w:color="auto"/>
        <w:left w:val="none" w:sz="0" w:space="0" w:color="auto"/>
        <w:bottom w:val="none" w:sz="0" w:space="0" w:color="auto"/>
        <w:right w:val="none" w:sz="0" w:space="0" w:color="auto"/>
      </w:divBdr>
    </w:div>
    <w:div w:id="174391870">
      <w:bodyDiv w:val="1"/>
      <w:marLeft w:val="0"/>
      <w:marRight w:val="0"/>
      <w:marTop w:val="0"/>
      <w:marBottom w:val="0"/>
      <w:divBdr>
        <w:top w:val="none" w:sz="0" w:space="0" w:color="auto"/>
        <w:left w:val="none" w:sz="0" w:space="0" w:color="auto"/>
        <w:bottom w:val="none" w:sz="0" w:space="0" w:color="auto"/>
        <w:right w:val="none" w:sz="0" w:space="0" w:color="auto"/>
      </w:divBdr>
    </w:div>
    <w:div w:id="210654129">
      <w:bodyDiv w:val="1"/>
      <w:marLeft w:val="0"/>
      <w:marRight w:val="0"/>
      <w:marTop w:val="0"/>
      <w:marBottom w:val="0"/>
      <w:divBdr>
        <w:top w:val="none" w:sz="0" w:space="0" w:color="auto"/>
        <w:left w:val="none" w:sz="0" w:space="0" w:color="auto"/>
        <w:bottom w:val="none" w:sz="0" w:space="0" w:color="auto"/>
        <w:right w:val="none" w:sz="0" w:space="0" w:color="auto"/>
      </w:divBdr>
    </w:div>
    <w:div w:id="287930206">
      <w:bodyDiv w:val="1"/>
      <w:marLeft w:val="0"/>
      <w:marRight w:val="0"/>
      <w:marTop w:val="0"/>
      <w:marBottom w:val="0"/>
      <w:divBdr>
        <w:top w:val="none" w:sz="0" w:space="0" w:color="auto"/>
        <w:left w:val="none" w:sz="0" w:space="0" w:color="auto"/>
        <w:bottom w:val="none" w:sz="0" w:space="0" w:color="auto"/>
        <w:right w:val="none" w:sz="0" w:space="0" w:color="auto"/>
      </w:divBdr>
    </w:div>
    <w:div w:id="290792877">
      <w:bodyDiv w:val="1"/>
      <w:marLeft w:val="0"/>
      <w:marRight w:val="0"/>
      <w:marTop w:val="0"/>
      <w:marBottom w:val="0"/>
      <w:divBdr>
        <w:top w:val="none" w:sz="0" w:space="0" w:color="auto"/>
        <w:left w:val="none" w:sz="0" w:space="0" w:color="auto"/>
        <w:bottom w:val="none" w:sz="0" w:space="0" w:color="auto"/>
        <w:right w:val="none" w:sz="0" w:space="0" w:color="auto"/>
      </w:divBdr>
    </w:div>
    <w:div w:id="295378502">
      <w:bodyDiv w:val="1"/>
      <w:marLeft w:val="0"/>
      <w:marRight w:val="0"/>
      <w:marTop w:val="0"/>
      <w:marBottom w:val="0"/>
      <w:divBdr>
        <w:top w:val="none" w:sz="0" w:space="0" w:color="auto"/>
        <w:left w:val="none" w:sz="0" w:space="0" w:color="auto"/>
        <w:bottom w:val="none" w:sz="0" w:space="0" w:color="auto"/>
        <w:right w:val="none" w:sz="0" w:space="0" w:color="auto"/>
      </w:divBdr>
    </w:div>
    <w:div w:id="316543702">
      <w:bodyDiv w:val="1"/>
      <w:marLeft w:val="0"/>
      <w:marRight w:val="0"/>
      <w:marTop w:val="0"/>
      <w:marBottom w:val="0"/>
      <w:divBdr>
        <w:top w:val="none" w:sz="0" w:space="0" w:color="auto"/>
        <w:left w:val="none" w:sz="0" w:space="0" w:color="auto"/>
        <w:bottom w:val="none" w:sz="0" w:space="0" w:color="auto"/>
        <w:right w:val="none" w:sz="0" w:space="0" w:color="auto"/>
      </w:divBdr>
    </w:div>
    <w:div w:id="335965053">
      <w:bodyDiv w:val="1"/>
      <w:marLeft w:val="0"/>
      <w:marRight w:val="0"/>
      <w:marTop w:val="0"/>
      <w:marBottom w:val="0"/>
      <w:divBdr>
        <w:top w:val="none" w:sz="0" w:space="0" w:color="auto"/>
        <w:left w:val="none" w:sz="0" w:space="0" w:color="auto"/>
        <w:bottom w:val="none" w:sz="0" w:space="0" w:color="auto"/>
        <w:right w:val="none" w:sz="0" w:space="0" w:color="auto"/>
      </w:divBdr>
    </w:div>
    <w:div w:id="369381883">
      <w:bodyDiv w:val="1"/>
      <w:marLeft w:val="0"/>
      <w:marRight w:val="0"/>
      <w:marTop w:val="0"/>
      <w:marBottom w:val="0"/>
      <w:divBdr>
        <w:top w:val="none" w:sz="0" w:space="0" w:color="auto"/>
        <w:left w:val="none" w:sz="0" w:space="0" w:color="auto"/>
        <w:bottom w:val="none" w:sz="0" w:space="0" w:color="auto"/>
        <w:right w:val="none" w:sz="0" w:space="0" w:color="auto"/>
      </w:divBdr>
      <w:divsChild>
        <w:div w:id="18511728">
          <w:marLeft w:val="0"/>
          <w:marRight w:val="0"/>
          <w:marTop w:val="165"/>
          <w:marBottom w:val="165"/>
          <w:divBdr>
            <w:top w:val="none" w:sz="0" w:space="0" w:color="auto"/>
            <w:left w:val="none" w:sz="0" w:space="0" w:color="auto"/>
            <w:bottom w:val="none" w:sz="0" w:space="0" w:color="auto"/>
            <w:right w:val="none" w:sz="0" w:space="0" w:color="auto"/>
          </w:divBdr>
          <w:divsChild>
            <w:div w:id="1066146991">
              <w:marLeft w:val="600"/>
              <w:marRight w:val="0"/>
              <w:marTop w:val="0"/>
              <w:marBottom w:val="0"/>
              <w:divBdr>
                <w:top w:val="none" w:sz="0" w:space="0" w:color="auto"/>
                <w:left w:val="none" w:sz="0" w:space="0" w:color="auto"/>
                <w:bottom w:val="none" w:sz="0" w:space="0" w:color="auto"/>
                <w:right w:val="none" w:sz="0" w:space="0" w:color="auto"/>
              </w:divBdr>
            </w:div>
          </w:divsChild>
        </w:div>
        <w:div w:id="1194807649">
          <w:marLeft w:val="0"/>
          <w:marRight w:val="0"/>
          <w:marTop w:val="165"/>
          <w:marBottom w:val="165"/>
          <w:divBdr>
            <w:top w:val="none" w:sz="0" w:space="0" w:color="auto"/>
            <w:left w:val="none" w:sz="0" w:space="0" w:color="auto"/>
            <w:bottom w:val="none" w:sz="0" w:space="0" w:color="auto"/>
            <w:right w:val="none" w:sz="0" w:space="0" w:color="auto"/>
          </w:divBdr>
          <w:divsChild>
            <w:div w:id="676149853">
              <w:marLeft w:val="0"/>
              <w:marRight w:val="0"/>
              <w:marTop w:val="0"/>
              <w:marBottom w:val="0"/>
              <w:divBdr>
                <w:top w:val="none" w:sz="0" w:space="0" w:color="auto"/>
                <w:left w:val="none" w:sz="0" w:space="0" w:color="auto"/>
                <w:bottom w:val="none" w:sz="0" w:space="0" w:color="auto"/>
                <w:right w:val="none" w:sz="0" w:space="0" w:color="auto"/>
              </w:divBdr>
            </w:div>
            <w:div w:id="449202570">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79938086">
      <w:bodyDiv w:val="1"/>
      <w:marLeft w:val="0"/>
      <w:marRight w:val="0"/>
      <w:marTop w:val="0"/>
      <w:marBottom w:val="0"/>
      <w:divBdr>
        <w:top w:val="none" w:sz="0" w:space="0" w:color="auto"/>
        <w:left w:val="none" w:sz="0" w:space="0" w:color="auto"/>
        <w:bottom w:val="none" w:sz="0" w:space="0" w:color="auto"/>
        <w:right w:val="none" w:sz="0" w:space="0" w:color="auto"/>
      </w:divBdr>
    </w:div>
    <w:div w:id="404491876">
      <w:bodyDiv w:val="1"/>
      <w:marLeft w:val="0"/>
      <w:marRight w:val="0"/>
      <w:marTop w:val="0"/>
      <w:marBottom w:val="0"/>
      <w:divBdr>
        <w:top w:val="none" w:sz="0" w:space="0" w:color="auto"/>
        <w:left w:val="none" w:sz="0" w:space="0" w:color="auto"/>
        <w:bottom w:val="none" w:sz="0" w:space="0" w:color="auto"/>
        <w:right w:val="none" w:sz="0" w:space="0" w:color="auto"/>
      </w:divBdr>
    </w:div>
    <w:div w:id="404959995">
      <w:bodyDiv w:val="1"/>
      <w:marLeft w:val="0"/>
      <w:marRight w:val="0"/>
      <w:marTop w:val="0"/>
      <w:marBottom w:val="0"/>
      <w:divBdr>
        <w:top w:val="none" w:sz="0" w:space="0" w:color="auto"/>
        <w:left w:val="none" w:sz="0" w:space="0" w:color="auto"/>
        <w:bottom w:val="none" w:sz="0" w:space="0" w:color="auto"/>
        <w:right w:val="none" w:sz="0" w:space="0" w:color="auto"/>
      </w:divBdr>
    </w:div>
    <w:div w:id="466896958">
      <w:bodyDiv w:val="1"/>
      <w:marLeft w:val="0"/>
      <w:marRight w:val="0"/>
      <w:marTop w:val="0"/>
      <w:marBottom w:val="0"/>
      <w:divBdr>
        <w:top w:val="none" w:sz="0" w:space="0" w:color="auto"/>
        <w:left w:val="none" w:sz="0" w:space="0" w:color="auto"/>
        <w:bottom w:val="none" w:sz="0" w:space="0" w:color="auto"/>
        <w:right w:val="none" w:sz="0" w:space="0" w:color="auto"/>
      </w:divBdr>
    </w:div>
    <w:div w:id="477304607">
      <w:bodyDiv w:val="1"/>
      <w:marLeft w:val="0"/>
      <w:marRight w:val="0"/>
      <w:marTop w:val="0"/>
      <w:marBottom w:val="0"/>
      <w:divBdr>
        <w:top w:val="none" w:sz="0" w:space="0" w:color="auto"/>
        <w:left w:val="none" w:sz="0" w:space="0" w:color="auto"/>
        <w:bottom w:val="none" w:sz="0" w:space="0" w:color="auto"/>
        <w:right w:val="none" w:sz="0" w:space="0" w:color="auto"/>
      </w:divBdr>
    </w:div>
    <w:div w:id="497110729">
      <w:bodyDiv w:val="1"/>
      <w:marLeft w:val="0"/>
      <w:marRight w:val="0"/>
      <w:marTop w:val="0"/>
      <w:marBottom w:val="0"/>
      <w:divBdr>
        <w:top w:val="none" w:sz="0" w:space="0" w:color="auto"/>
        <w:left w:val="none" w:sz="0" w:space="0" w:color="auto"/>
        <w:bottom w:val="none" w:sz="0" w:space="0" w:color="auto"/>
        <w:right w:val="none" w:sz="0" w:space="0" w:color="auto"/>
      </w:divBdr>
    </w:div>
    <w:div w:id="498352757">
      <w:bodyDiv w:val="1"/>
      <w:marLeft w:val="0"/>
      <w:marRight w:val="0"/>
      <w:marTop w:val="0"/>
      <w:marBottom w:val="0"/>
      <w:divBdr>
        <w:top w:val="none" w:sz="0" w:space="0" w:color="auto"/>
        <w:left w:val="none" w:sz="0" w:space="0" w:color="auto"/>
        <w:bottom w:val="none" w:sz="0" w:space="0" w:color="auto"/>
        <w:right w:val="none" w:sz="0" w:space="0" w:color="auto"/>
      </w:divBdr>
    </w:div>
    <w:div w:id="532889064">
      <w:bodyDiv w:val="1"/>
      <w:marLeft w:val="0"/>
      <w:marRight w:val="0"/>
      <w:marTop w:val="0"/>
      <w:marBottom w:val="0"/>
      <w:divBdr>
        <w:top w:val="none" w:sz="0" w:space="0" w:color="auto"/>
        <w:left w:val="none" w:sz="0" w:space="0" w:color="auto"/>
        <w:bottom w:val="none" w:sz="0" w:space="0" w:color="auto"/>
        <w:right w:val="none" w:sz="0" w:space="0" w:color="auto"/>
      </w:divBdr>
    </w:div>
    <w:div w:id="542444248">
      <w:bodyDiv w:val="1"/>
      <w:marLeft w:val="0"/>
      <w:marRight w:val="0"/>
      <w:marTop w:val="0"/>
      <w:marBottom w:val="0"/>
      <w:divBdr>
        <w:top w:val="none" w:sz="0" w:space="0" w:color="auto"/>
        <w:left w:val="none" w:sz="0" w:space="0" w:color="auto"/>
        <w:bottom w:val="none" w:sz="0" w:space="0" w:color="auto"/>
        <w:right w:val="none" w:sz="0" w:space="0" w:color="auto"/>
      </w:divBdr>
    </w:div>
    <w:div w:id="559482952">
      <w:bodyDiv w:val="1"/>
      <w:marLeft w:val="0"/>
      <w:marRight w:val="0"/>
      <w:marTop w:val="0"/>
      <w:marBottom w:val="0"/>
      <w:divBdr>
        <w:top w:val="none" w:sz="0" w:space="0" w:color="auto"/>
        <w:left w:val="none" w:sz="0" w:space="0" w:color="auto"/>
        <w:bottom w:val="none" w:sz="0" w:space="0" w:color="auto"/>
        <w:right w:val="none" w:sz="0" w:space="0" w:color="auto"/>
      </w:divBdr>
    </w:div>
    <w:div w:id="564728615">
      <w:bodyDiv w:val="1"/>
      <w:marLeft w:val="0"/>
      <w:marRight w:val="0"/>
      <w:marTop w:val="0"/>
      <w:marBottom w:val="0"/>
      <w:divBdr>
        <w:top w:val="none" w:sz="0" w:space="0" w:color="auto"/>
        <w:left w:val="none" w:sz="0" w:space="0" w:color="auto"/>
        <w:bottom w:val="none" w:sz="0" w:space="0" w:color="auto"/>
        <w:right w:val="none" w:sz="0" w:space="0" w:color="auto"/>
      </w:divBdr>
    </w:div>
    <w:div w:id="569921028">
      <w:bodyDiv w:val="1"/>
      <w:marLeft w:val="0"/>
      <w:marRight w:val="0"/>
      <w:marTop w:val="0"/>
      <w:marBottom w:val="0"/>
      <w:divBdr>
        <w:top w:val="none" w:sz="0" w:space="0" w:color="auto"/>
        <w:left w:val="none" w:sz="0" w:space="0" w:color="auto"/>
        <w:bottom w:val="none" w:sz="0" w:space="0" w:color="auto"/>
        <w:right w:val="none" w:sz="0" w:space="0" w:color="auto"/>
      </w:divBdr>
      <w:divsChild>
        <w:div w:id="1508666290">
          <w:marLeft w:val="0"/>
          <w:marRight w:val="0"/>
          <w:marTop w:val="165"/>
          <w:marBottom w:val="165"/>
          <w:divBdr>
            <w:top w:val="none" w:sz="0" w:space="0" w:color="auto"/>
            <w:left w:val="none" w:sz="0" w:space="0" w:color="auto"/>
            <w:bottom w:val="none" w:sz="0" w:space="0" w:color="auto"/>
            <w:right w:val="none" w:sz="0" w:space="0" w:color="auto"/>
          </w:divBdr>
          <w:divsChild>
            <w:div w:id="1343554029">
              <w:marLeft w:val="600"/>
              <w:marRight w:val="0"/>
              <w:marTop w:val="0"/>
              <w:marBottom w:val="0"/>
              <w:divBdr>
                <w:top w:val="none" w:sz="0" w:space="0" w:color="auto"/>
                <w:left w:val="none" w:sz="0" w:space="0" w:color="auto"/>
                <w:bottom w:val="none" w:sz="0" w:space="0" w:color="auto"/>
                <w:right w:val="none" w:sz="0" w:space="0" w:color="auto"/>
              </w:divBdr>
            </w:div>
          </w:divsChild>
        </w:div>
        <w:div w:id="1199244633">
          <w:marLeft w:val="0"/>
          <w:marRight w:val="0"/>
          <w:marTop w:val="165"/>
          <w:marBottom w:val="165"/>
          <w:divBdr>
            <w:top w:val="none" w:sz="0" w:space="0" w:color="auto"/>
            <w:left w:val="none" w:sz="0" w:space="0" w:color="auto"/>
            <w:bottom w:val="none" w:sz="0" w:space="0" w:color="auto"/>
            <w:right w:val="none" w:sz="0" w:space="0" w:color="auto"/>
          </w:divBdr>
          <w:divsChild>
            <w:div w:id="850996458">
              <w:marLeft w:val="0"/>
              <w:marRight w:val="0"/>
              <w:marTop w:val="0"/>
              <w:marBottom w:val="0"/>
              <w:divBdr>
                <w:top w:val="none" w:sz="0" w:space="0" w:color="auto"/>
                <w:left w:val="none" w:sz="0" w:space="0" w:color="auto"/>
                <w:bottom w:val="none" w:sz="0" w:space="0" w:color="auto"/>
                <w:right w:val="none" w:sz="0" w:space="0" w:color="auto"/>
              </w:divBdr>
            </w:div>
            <w:div w:id="70707151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578636746">
      <w:bodyDiv w:val="1"/>
      <w:marLeft w:val="0"/>
      <w:marRight w:val="0"/>
      <w:marTop w:val="0"/>
      <w:marBottom w:val="0"/>
      <w:divBdr>
        <w:top w:val="none" w:sz="0" w:space="0" w:color="auto"/>
        <w:left w:val="none" w:sz="0" w:space="0" w:color="auto"/>
        <w:bottom w:val="none" w:sz="0" w:space="0" w:color="auto"/>
        <w:right w:val="none" w:sz="0" w:space="0" w:color="auto"/>
      </w:divBdr>
    </w:div>
    <w:div w:id="599681118">
      <w:bodyDiv w:val="1"/>
      <w:marLeft w:val="0"/>
      <w:marRight w:val="0"/>
      <w:marTop w:val="0"/>
      <w:marBottom w:val="0"/>
      <w:divBdr>
        <w:top w:val="none" w:sz="0" w:space="0" w:color="auto"/>
        <w:left w:val="none" w:sz="0" w:space="0" w:color="auto"/>
        <w:bottom w:val="none" w:sz="0" w:space="0" w:color="auto"/>
        <w:right w:val="none" w:sz="0" w:space="0" w:color="auto"/>
      </w:divBdr>
    </w:div>
    <w:div w:id="719282605">
      <w:bodyDiv w:val="1"/>
      <w:marLeft w:val="0"/>
      <w:marRight w:val="0"/>
      <w:marTop w:val="0"/>
      <w:marBottom w:val="0"/>
      <w:divBdr>
        <w:top w:val="none" w:sz="0" w:space="0" w:color="auto"/>
        <w:left w:val="none" w:sz="0" w:space="0" w:color="auto"/>
        <w:bottom w:val="none" w:sz="0" w:space="0" w:color="auto"/>
        <w:right w:val="none" w:sz="0" w:space="0" w:color="auto"/>
      </w:divBdr>
    </w:div>
    <w:div w:id="740907828">
      <w:bodyDiv w:val="1"/>
      <w:marLeft w:val="0"/>
      <w:marRight w:val="0"/>
      <w:marTop w:val="0"/>
      <w:marBottom w:val="0"/>
      <w:divBdr>
        <w:top w:val="none" w:sz="0" w:space="0" w:color="auto"/>
        <w:left w:val="none" w:sz="0" w:space="0" w:color="auto"/>
        <w:bottom w:val="none" w:sz="0" w:space="0" w:color="auto"/>
        <w:right w:val="none" w:sz="0" w:space="0" w:color="auto"/>
      </w:divBdr>
    </w:div>
    <w:div w:id="780615378">
      <w:bodyDiv w:val="1"/>
      <w:marLeft w:val="0"/>
      <w:marRight w:val="0"/>
      <w:marTop w:val="0"/>
      <w:marBottom w:val="0"/>
      <w:divBdr>
        <w:top w:val="none" w:sz="0" w:space="0" w:color="auto"/>
        <w:left w:val="none" w:sz="0" w:space="0" w:color="auto"/>
        <w:bottom w:val="none" w:sz="0" w:space="0" w:color="auto"/>
        <w:right w:val="none" w:sz="0" w:space="0" w:color="auto"/>
      </w:divBdr>
    </w:div>
    <w:div w:id="793062944">
      <w:bodyDiv w:val="1"/>
      <w:marLeft w:val="0"/>
      <w:marRight w:val="0"/>
      <w:marTop w:val="0"/>
      <w:marBottom w:val="0"/>
      <w:divBdr>
        <w:top w:val="none" w:sz="0" w:space="0" w:color="auto"/>
        <w:left w:val="none" w:sz="0" w:space="0" w:color="auto"/>
        <w:bottom w:val="none" w:sz="0" w:space="0" w:color="auto"/>
        <w:right w:val="none" w:sz="0" w:space="0" w:color="auto"/>
      </w:divBdr>
    </w:div>
    <w:div w:id="815991741">
      <w:bodyDiv w:val="1"/>
      <w:marLeft w:val="0"/>
      <w:marRight w:val="0"/>
      <w:marTop w:val="0"/>
      <w:marBottom w:val="0"/>
      <w:divBdr>
        <w:top w:val="none" w:sz="0" w:space="0" w:color="auto"/>
        <w:left w:val="none" w:sz="0" w:space="0" w:color="auto"/>
        <w:bottom w:val="none" w:sz="0" w:space="0" w:color="auto"/>
        <w:right w:val="none" w:sz="0" w:space="0" w:color="auto"/>
      </w:divBdr>
    </w:div>
    <w:div w:id="892161130">
      <w:bodyDiv w:val="1"/>
      <w:marLeft w:val="0"/>
      <w:marRight w:val="0"/>
      <w:marTop w:val="0"/>
      <w:marBottom w:val="0"/>
      <w:divBdr>
        <w:top w:val="none" w:sz="0" w:space="0" w:color="auto"/>
        <w:left w:val="none" w:sz="0" w:space="0" w:color="auto"/>
        <w:bottom w:val="none" w:sz="0" w:space="0" w:color="auto"/>
        <w:right w:val="none" w:sz="0" w:space="0" w:color="auto"/>
      </w:divBdr>
    </w:div>
    <w:div w:id="893321486">
      <w:bodyDiv w:val="1"/>
      <w:marLeft w:val="0"/>
      <w:marRight w:val="0"/>
      <w:marTop w:val="0"/>
      <w:marBottom w:val="0"/>
      <w:divBdr>
        <w:top w:val="none" w:sz="0" w:space="0" w:color="auto"/>
        <w:left w:val="none" w:sz="0" w:space="0" w:color="auto"/>
        <w:bottom w:val="none" w:sz="0" w:space="0" w:color="auto"/>
        <w:right w:val="none" w:sz="0" w:space="0" w:color="auto"/>
      </w:divBdr>
    </w:div>
    <w:div w:id="915826194">
      <w:bodyDiv w:val="1"/>
      <w:marLeft w:val="0"/>
      <w:marRight w:val="0"/>
      <w:marTop w:val="0"/>
      <w:marBottom w:val="0"/>
      <w:divBdr>
        <w:top w:val="none" w:sz="0" w:space="0" w:color="auto"/>
        <w:left w:val="none" w:sz="0" w:space="0" w:color="auto"/>
        <w:bottom w:val="none" w:sz="0" w:space="0" w:color="auto"/>
        <w:right w:val="none" w:sz="0" w:space="0" w:color="auto"/>
      </w:divBdr>
    </w:div>
    <w:div w:id="927037997">
      <w:bodyDiv w:val="1"/>
      <w:marLeft w:val="0"/>
      <w:marRight w:val="0"/>
      <w:marTop w:val="0"/>
      <w:marBottom w:val="0"/>
      <w:divBdr>
        <w:top w:val="none" w:sz="0" w:space="0" w:color="auto"/>
        <w:left w:val="none" w:sz="0" w:space="0" w:color="auto"/>
        <w:bottom w:val="none" w:sz="0" w:space="0" w:color="auto"/>
        <w:right w:val="none" w:sz="0" w:space="0" w:color="auto"/>
      </w:divBdr>
    </w:div>
    <w:div w:id="936788484">
      <w:bodyDiv w:val="1"/>
      <w:marLeft w:val="0"/>
      <w:marRight w:val="0"/>
      <w:marTop w:val="0"/>
      <w:marBottom w:val="0"/>
      <w:divBdr>
        <w:top w:val="none" w:sz="0" w:space="0" w:color="auto"/>
        <w:left w:val="none" w:sz="0" w:space="0" w:color="auto"/>
        <w:bottom w:val="none" w:sz="0" w:space="0" w:color="auto"/>
        <w:right w:val="none" w:sz="0" w:space="0" w:color="auto"/>
      </w:divBdr>
    </w:div>
    <w:div w:id="974261724">
      <w:bodyDiv w:val="1"/>
      <w:marLeft w:val="0"/>
      <w:marRight w:val="0"/>
      <w:marTop w:val="0"/>
      <w:marBottom w:val="0"/>
      <w:divBdr>
        <w:top w:val="none" w:sz="0" w:space="0" w:color="auto"/>
        <w:left w:val="none" w:sz="0" w:space="0" w:color="auto"/>
        <w:bottom w:val="none" w:sz="0" w:space="0" w:color="auto"/>
        <w:right w:val="none" w:sz="0" w:space="0" w:color="auto"/>
      </w:divBdr>
    </w:div>
    <w:div w:id="1081873486">
      <w:bodyDiv w:val="1"/>
      <w:marLeft w:val="0"/>
      <w:marRight w:val="0"/>
      <w:marTop w:val="0"/>
      <w:marBottom w:val="0"/>
      <w:divBdr>
        <w:top w:val="none" w:sz="0" w:space="0" w:color="auto"/>
        <w:left w:val="none" w:sz="0" w:space="0" w:color="auto"/>
        <w:bottom w:val="none" w:sz="0" w:space="0" w:color="auto"/>
        <w:right w:val="none" w:sz="0" w:space="0" w:color="auto"/>
      </w:divBdr>
    </w:div>
    <w:div w:id="1170024403">
      <w:bodyDiv w:val="1"/>
      <w:marLeft w:val="0"/>
      <w:marRight w:val="0"/>
      <w:marTop w:val="0"/>
      <w:marBottom w:val="0"/>
      <w:divBdr>
        <w:top w:val="none" w:sz="0" w:space="0" w:color="auto"/>
        <w:left w:val="none" w:sz="0" w:space="0" w:color="auto"/>
        <w:bottom w:val="none" w:sz="0" w:space="0" w:color="auto"/>
        <w:right w:val="none" w:sz="0" w:space="0" w:color="auto"/>
      </w:divBdr>
    </w:div>
    <w:div w:id="1174346596">
      <w:bodyDiv w:val="1"/>
      <w:marLeft w:val="0"/>
      <w:marRight w:val="0"/>
      <w:marTop w:val="0"/>
      <w:marBottom w:val="0"/>
      <w:divBdr>
        <w:top w:val="none" w:sz="0" w:space="0" w:color="auto"/>
        <w:left w:val="none" w:sz="0" w:space="0" w:color="auto"/>
        <w:bottom w:val="none" w:sz="0" w:space="0" w:color="auto"/>
        <w:right w:val="none" w:sz="0" w:space="0" w:color="auto"/>
      </w:divBdr>
    </w:div>
    <w:div w:id="1215772056">
      <w:bodyDiv w:val="1"/>
      <w:marLeft w:val="0"/>
      <w:marRight w:val="0"/>
      <w:marTop w:val="0"/>
      <w:marBottom w:val="0"/>
      <w:divBdr>
        <w:top w:val="none" w:sz="0" w:space="0" w:color="auto"/>
        <w:left w:val="none" w:sz="0" w:space="0" w:color="auto"/>
        <w:bottom w:val="none" w:sz="0" w:space="0" w:color="auto"/>
        <w:right w:val="none" w:sz="0" w:space="0" w:color="auto"/>
      </w:divBdr>
    </w:div>
    <w:div w:id="1325357777">
      <w:bodyDiv w:val="1"/>
      <w:marLeft w:val="0"/>
      <w:marRight w:val="0"/>
      <w:marTop w:val="0"/>
      <w:marBottom w:val="0"/>
      <w:divBdr>
        <w:top w:val="none" w:sz="0" w:space="0" w:color="auto"/>
        <w:left w:val="none" w:sz="0" w:space="0" w:color="auto"/>
        <w:bottom w:val="none" w:sz="0" w:space="0" w:color="auto"/>
        <w:right w:val="none" w:sz="0" w:space="0" w:color="auto"/>
      </w:divBdr>
    </w:div>
    <w:div w:id="1340811574">
      <w:bodyDiv w:val="1"/>
      <w:marLeft w:val="0"/>
      <w:marRight w:val="0"/>
      <w:marTop w:val="0"/>
      <w:marBottom w:val="0"/>
      <w:divBdr>
        <w:top w:val="none" w:sz="0" w:space="0" w:color="auto"/>
        <w:left w:val="none" w:sz="0" w:space="0" w:color="auto"/>
        <w:bottom w:val="none" w:sz="0" w:space="0" w:color="auto"/>
        <w:right w:val="none" w:sz="0" w:space="0" w:color="auto"/>
      </w:divBdr>
    </w:div>
    <w:div w:id="1354574711">
      <w:bodyDiv w:val="1"/>
      <w:marLeft w:val="0"/>
      <w:marRight w:val="0"/>
      <w:marTop w:val="0"/>
      <w:marBottom w:val="0"/>
      <w:divBdr>
        <w:top w:val="none" w:sz="0" w:space="0" w:color="auto"/>
        <w:left w:val="none" w:sz="0" w:space="0" w:color="auto"/>
        <w:bottom w:val="none" w:sz="0" w:space="0" w:color="auto"/>
        <w:right w:val="none" w:sz="0" w:space="0" w:color="auto"/>
      </w:divBdr>
    </w:div>
    <w:div w:id="1423070305">
      <w:bodyDiv w:val="1"/>
      <w:marLeft w:val="0"/>
      <w:marRight w:val="0"/>
      <w:marTop w:val="0"/>
      <w:marBottom w:val="0"/>
      <w:divBdr>
        <w:top w:val="none" w:sz="0" w:space="0" w:color="auto"/>
        <w:left w:val="none" w:sz="0" w:space="0" w:color="auto"/>
        <w:bottom w:val="none" w:sz="0" w:space="0" w:color="auto"/>
        <w:right w:val="none" w:sz="0" w:space="0" w:color="auto"/>
      </w:divBdr>
    </w:div>
    <w:div w:id="1431392306">
      <w:bodyDiv w:val="1"/>
      <w:marLeft w:val="0"/>
      <w:marRight w:val="0"/>
      <w:marTop w:val="0"/>
      <w:marBottom w:val="0"/>
      <w:divBdr>
        <w:top w:val="none" w:sz="0" w:space="0" w:color="auto"/>
        <w:left w:val="none" w:sz="0" w:space="0" w:color="auto"/>
        <w:bottom w:val="none" w:sz="0" w:space="0" w:color="auto"/>
        <w:right w:val="none" w:sz="0" w:space="0" w:color="auto"/>
      </w:divBdr>
    </w:div>
    <w:div w:id="1446344472">
      <w:bodyDiv w:val="1"/>
      <w:marLeft w:val="0"/>
      <w:marRight w:val="0"/>
      <w:marTop w:val="0"/>
      <w:marBottom w:val="0"/>
      <w:divBdr>
        <w:top w:val="none" w:sz="0" w:space="0" w:color="auto"/>
        <w:left w:val="none" w:sz="0" w:space="0" w:color="auto"/>
        <w:bottom w:val="none" w:sz="0" w:space="0" w:color="auto"/>
        <w:right w:val="none" w:sz="0" w:space="0" w:color="auto"/>
      </w:divBdr>
    </w:div>
    <w:div w:id="1497266399">
      <w:bodyDiv w:val="1"/>
      <w:marLeft w:val="0"/>
      <w:marRight w:val="0"/>
      <w:marTop w:val="0"/>
      <w:marBottom w:val="0"/>
      <w:divBdr>
        <w:top w:val="none" w:sz="0" w:space="0" w:color="auto"/>
        <w:left w:val="none" w:sz="0" w:space="0" w:color="auto"/>
        <w:bottom w:val="none" w:sz="0" w:space="0" w:color="auto"/>
        <w:right w:val="none" w:sz="0" w:space="0" w:color="auto"/>
      </w:divBdr>
    </w:div>
    <w:div w:id="1537935797">
      <w:bodyDiv w:val="1"/>
      <w:marLeft w:val="0"/>
      <w:marRight w:val="0"/>
      <w:marTop w:val="0"/>
      <w:marBottom w:val="0"/>
      <w:divBdr>
        <w:top w:val="none" w:sz="0" w:space="0" w:color="auto"/>
        <w:left w:val="none" w:sz="0" w:space="0" w:color="auto"/>
        <w:bottom w:val="none" w:sz="0" w:space="0" w:color="auto"/>
        <w:right w:val="none" w:sz="0" w:space="0" w:color="auto"/>
      </w:divBdr>
    </w:div>
    <w:div w:id="1550416369">
      <w:bodyDiv w:val="1"/>
      <w:marLeft w:val="0"/>
      <w:marRight w:val="0"/>
      <w:marTop w:val="0"/>
      <w:marBottom w:val="0"/>
      <w:divBdr>
        <w:top w:val="none" w:sz="0" w:space="0" w:color="auto"/>
        <w:left w:val="none" w:sz="0" w:space="0" w:color="auto"/>
        <w:bottom w:val="none" w:sz="0" w:space="0" w:color="auto"/>
        <w:right w:val="none" w:sz="0" w:space="0" w:color="auto"/>
      </w:divBdr>
    </w:div>
    <w:div w:id="1553149578">
      <w:bodyDiv w:val="1"/>
      <w:marLeft w:val="0"/>
      <w:marRight w:val="0"/>
      <w:marTop w:val="0"/>
      <w:marBottom w:val="0"/>
      <w:divBdr>
        <w:top w:val="none" w:sz="0" w:space="0" w:color="auto"/>
        <w:left w:val="none" w:sz="0" w:space="0" w:color="auto"/>
        <w:bottom w:val="none" w:sz="0" w:space="0" w:color="auto"/>
        <w:right w:val="none" w:sz="0" w:space="0" w:color="auto"/>
      </w:divBdr>
    </w:div>
    <w:div w:id="1612660041">
      <w:bodyDiv w:val="1"/>
      <w:marLeft w:val="0"/>
      <w:marRight w:val="0"/>
      <w:marTop w:val="0"/>
      <w:marBottom w:val="0"/>
      <w:divBdr>
        <w:top w:val="none" w:sz="0" w:space="0" w:color="auto"/>
        <w:left w:val="none" w:sz="0" w:space="0" w:color="auto"/>
        <w:bottom w:val="none" w:sz="0" w:space="0" w:color="auto"/>
        <w:right w:val="none" w:sz="0" w:space="0" w:color="auto"/>
      </w:divBdr>
    </w:div>
    <w:div w:id="1618683902">
      <w:bodyDiv w:val="1"/>
      <w:marLeft w:val="0"/>
      <w:marRight w:val="0"/>
      <w:marTop w:val="0"/>
      <w:marBottom w:val="0"/>
      <w:divBdr>
        <w:top w:val="none" w:sz="0" w:space="0" w:color="auto"/>
        <w:left w:val="none" w:sz="0" w:space="0" w:color="auto"/>
        <w:bottom w:val="none" w:sz="0" w:space="0" w:color="auto"/>
        <w:right w:val="none" w:sz="0" w:space="0" w:color="auto"/>
      </w:divBdr>
    </w:div>
    <w:div w:id="1628509634">
      <w:bodyDiv w:val="1"/>
      <w:marLeft w:val="0"/>
      <w:marRight w:val="0"/>
      <w:marTop w:val="0"/>
      <w:marBottom w:val="0"/>
      <w:divBdr>
        <w:top w:val="none" w:sz="0" w:space="0" w:color="auto"/>
        <w:left w:val="none" w:sz="0" w:space="0" w:color="auto"/>
        <w:bottom w:val="none" w:sz="0" w:space="0" w:color="auto"/>
        <w:right w:val="none" w:sz="0" w:space="0" w:color="auto"/>
      </w:divBdr>
    </w:div>
    <w:div w:id="1762868909">
      <w:bodyDiv w:val="1"/>
      <w:marLeft w:val="0"/>
      <w:marRight w:val="0"/>
      <w:marTop w:val="0"/>
      <w:marBottom w:val="0"/>
      <w:divBdr>
        <w:top w:val="none" w:sz="0" w:space="0" w:color="auto"/>
        <w:left w:val="none" w:sz="0" w:space="0" w:color="auto"/>
        <w:bottom w:val="none" w:sz="0" w:space="0" w:color="auto"/>
        <w:right w:val="none" w:sz="0" w:space="0" w:color="auto"/>
      </w:divBdr>
    </w:div>
    <w:div w:id="1767190283">
      <w:bodyDiv w:val="1"/>
      <w:marLeft w:val="0"/>
      <w:marRight w:val="0"/>
      <w:marTop w:val="0"/>
      <w:marBottom w:val="0"/>
      <w:divBdr>
        <w:top w:val="none" w:sz="0" w:space="0" w:color="auto"/>
        <w:left w:val="none" w:sz="0" w:space="0" w:color="auto"/>
        <w:bottom w:val="none" w:sz="0" w:space="0" w:color="auto"/>
        <w:right w:val="none" w:sz="0" w:space="0" w:color="auto"/>
      </w:divBdr>
    </w:div>
    <w:div w:id="1807043496">
      <w:bodyDiv w:val="1"/>
      <w:marLeft w:val="0"/>
      <w:marRight w:val="0"/>
      <w:marTop w:val="0"/>
      <w:marBottom w:val="0"/>
      <w:divBdr>
        <w:top w:val="none" w:sz="0" w:space="0" w:color="auto"/>
        <w:left w:val="none" w:sz="0" w:space="0" w:color="auto"/>
        <w:bottom w:val="none" w:sz="0" w:space="0" w:color="auto"/>
        <w:right w:val="none" w:sz="0" w:space="0" w:color="auto"/>
      </w:divBdr>
    </w:div>
    <w:div w:id="1819493860">
      <w:bodyDiv w:val="1"/>
      <w:marLeft w:val="0"/>
      <w:marRight w:val="0"/>
      <w:marTop w:val="0"/>
      <w:marBottom w:val="0"/>
      <w:divBdr>
        <w:top w:val="none" w:sz="0" w:space="0" w:color="auto"/>
        <w:left w:val="none" w:sz="0" w:space="0" w:color="auto"/>
        <w:bottom w:val="none" w:sz="0" w:space="0" w:color="auto"/>
        <w:right w:val="none" w:sz="0" w:space="0" w:color="auto"/>
      </w:divBdr>
    </w:div>
    <w:div w:id="1823958297">
      <w:bodyDiv w:val="1"/>
      <w:marLeft w:val="0"/>
      <w:marRight w:val="0"/>
      <w:marTop w:val="0"/>
      <w:marBottom w:val="0"/>
      <w:divBdr>
        <w:top w:val="none" w:sz="0" w:space="0" w:color="auto"/>
        <w:left w:val="none" w:sz="0" w:space="0" w:color="auto"/>
        <w:bottom w:val="none" w:sz="0" w:space="0" w:color="auto"/>
        <w:right w:val="none" w:sz="0" w:space="0" w:color="auto"/>
      </w:divBdr>
    </w:div>
    <w:div w:id="1828666874">
      <w:bodyDiv w:val="1"/>
      <w:marLeft w:val="0"/>
      <w:marRight w:val="0"/>
      <w:marTop w:val="0"/>
      <w:marBottom w:val="0"/>
      <w:divBdr>
        <w:top w:val="none" w:sz="0" w:space="0" w:color="auto"/>
        <w:left w:val="none" w:sz="0" w:space="0" w:color="auto"/>
        <w:bottom w:val="none" w:sz="0" w:space="0" w:color="auto"/>
        <w:right w:val="none" w:sz="0" w:space="0" w:color="auto"/>
      </w:divBdr>
    </w:div>
    <w:div w:id="1892422080">
      <w:bodyDiv w:val="1"/>
      <w:marLeft w:val="0"/>
      <w:marRight w:val="0"/>
      <w:marTop w:val="0"/>
      <w:marBottom w:val="0"/>
      <w:divBdr>
        <w:top w:val="none" w:sz="0" w:space="0" w:color="auto"/>
        <w:left w:val="none" w:sz="0" w:space="0" w:color="auto"/>
        <w:bottom w:val="none" w:sz="0" w:space="0" w:color="auto"/>
        <w:right w:val="none" w:sz="0" w:space="0" w:color="auto"/>
      </w:divBdr>
    </w:div>
    <w:div w:id="1896812743">
      <w:bodyDiv w:val="1"/>
      <w:marLeft w:val="0"/>
      <w:marRight w:val="0"/>
      <w:marTop w:val="0"/>
      <w:marBottom w:val="0"/>
      <w:divBdr>
        <w:top w:val="none" w:sz="0" w:space="0" w:color="auto"/>
        <w:left w:val="none" w:sz="0" w:space="0" w:color="auto"/>
        <w:bottom w:val="none" w:sz="0" w:space="0" w:color="auto"/>
        <w:right w:val="none" w:sz="0" w:space="0" w:color="auto"/>
      </w:divBdr>
    </w:div>
    <w:div w:id="1899129060">
      <w:bodyDiv w:val="1"/>
      <w:marLeft w:val="0"/>
      <w:marRight w:val="0"/>
      <w:marTop w:val="0"/>
      <w:marBottom w:val="0"/>
      <w:divBdr>
        <w:top w:val="none" w:sz="0" w:space="0" w:color="auto"/>
        <w:left w:val="none" w:sz="0" w:space="0" w:color="auto"/>
        <w:bottom w:val="none" w:sz="0" w:space="0" w:color="auto"/>
        <w:right w:val="none" w:sz="0" w:space="0" w:color="auto"/>
      </w:divBdr>
    </w:div>
    <w:div w:id="1908148643">
      <w:bodyDiv w:val="1"/>
      <w:marLeft w:val="0"/>
      <w:marRight w:val="0"/>
      <w:marTop w:val="0"/>
      <w:marBottom w:val="0"/>
      <w:divBdr>
        <w:top w:val="none" w:sz="0" w:space="0" w:color="auto"/>
        <w:left w:val="none" w:sz="0" w:space="0" w:color="auto"/>
        <w:bottom w:val="none" w:sz="0" w:space="0" w:color="auto"/>
        <w:right w:val="none" w:sz="0" w:space="0" w:color="auto"/>
      </w:divBdr>
    </w:div>
    <w:div w:id="1910383434">
      <w:bodyDiv w:val="1"/>
      <w:marLeft w:val="0"/>
      <w:marRight w:val="0"/>
      <w:marTop w:val="0"/>
      <w:marBottom w:val="0"/>
      <w:divBdr>
        <w:top w:val="none" w:sz="0" w:space="0" w:color="auto"/>
        <w:left w:val="none" w:sz="0" w:space="0" w:color="auto"/>
        <w:bottom w:val="none" w:sz="0" w:space="0" w:color="auto"/>
        <w:right w:val="none" w:sz="0" w:space="0" w:color="auto"/>
      </w:divBdr>
    </w:div>
    <w:div w:id="1927838248">
      <w:bodyDiv w:val="1"/>
      <w:marLeft w:val="0"/>
      <w:marRight w:val="0"/>
      <w:marTop w:val="0"/>
      <w:marBottom w:val="0"/>
      <w:divBdr>
        <w:top w:val="none" w:sz="0" w:space="0" w:color="auto"/>
        <w:left w:val="none" w:sz="0" w:space="0" w:color="auto"/>
        <w:bottom w:val="none" w:sz="0" w:space="0" w:color="auto"/>
        <w:right w:val="none" w:sz="0" w:space="0" w:color="auto"/>
      </w:divBdr>
    </w:div>
    <w:div w:id="1930844218">
      <w:bodyDiv w:val="1"/>
      <w:marLeft w:val="0"/>
      <w:marRight w:val="0"/>
      <w:marTop w:val="0"/>
      <w:marBottom w:val="0"/>
      <w:divBdr>
        <w:top w:val="none" w:sz="0" w:space="0" w:color="auto"/>
        <w:left w:val="none" w:sz="0" w:space="0" w:color="auto"/>
        <w:bottom w:val="none" w:sz="0" w:space="0" w:color="auto"/>
        <w:right w:val="none" w:sz="0" w:space="0" w:color="auto"/>
      </w:divBdr>
    </w:div>
    <w:div w:id="1975286354">
      <w:bodyDiv w:val="1"/>
      <w:marLeft w:val="0"/>
      <w:marRight w:val="0"/>
      <w:marTop w:val="0"/>
      <w:marBottom w:val="0"/>
      <w:divBdr>
        <w:top w:val="none" w:sz="0" w:space="0" w:color="auto"/>
        <w:left w:val="none" w:sz="0" w:space="0" w:color="auto"/>
        <w:bottom w:val="none" w:sz="0" w:space="0" w:color="auto"/>
        <w:right w:val="none" w:sz="0" w:space="0" w:color="auto"/>
      </w:divBdr>
    </w:div>
    <w:div w:id="2035223586">
      <w:bodyDiv w:val="1"/>
      <w:marLeft w:val="0"/>
      <w:marRight w:val="0"/>
      <w:marTop w:val="0"/>
      <w:marBottom w:val="0"/>
      <w:divBdr>
        <w:top w:val="none" w:sz="0" w:space="0" w:color="auto"/>
        <w:left w:val="none" w:sz="0" w:space="0" w:color="auto"/>
        <w:bottom w:val="none" w:sz="0" w:space="0" w:color="auto"/>
        <w:right w:val="none" w:sz="0" w:space="0" w:color="auto"/>
      </w:divBdr>
    </w:div>
    <w:div w:id="2050566400">
      <w:bodyDiv w:val="1"/>
      <w:marLeft w:val="0"/>
      <w:marRight w:val="0"/>
      <w:marTop w:val="0"/>
      <w:marBottom w:val="0"/>
      <w:divBdr>
        <w:top w:val="none" w:sz="0" w:space="0" w:color="auto"/>
        <w:left w:val="none" w:sz="0" w:space="0" w:color="auto"/>
        <w:bottom w:val="none" w:sz="0" w:space="0" w:color="auto"/>
        <w:right w:val="none" w:sz="0" w:space="0" w:color="auto"/>
      </w:divBdr>
    </w:div>
    <w:div w:id="2073965643">
      <w:bodyDiv w:val="1"/>
      <w:marLeft w:val="0"/>
      <w:marRight w:val="0"/>
      <w:marTop w:val="0"/>
      <w:marBottom w:val="0"/>
      <w:divBdr>
        <w:top w:val="none" w:sz="0" w:space="0" w:color="auto"/>
        <w:left w:val="none" w:sz="0" w:space="0" w:color="auto"/>
        <w:bottom w:val="none" w:sz="0" w:space="0" w:color="auto"/>
        <w:right w:val="none" w:sz="0" w:space="0" w:color="auto"/>
      </w:divBdr>
    </w:div>
    <w:div w:id="2101438777">
      <w:bodyDiv w:val="1"/>
      <w:marLeft w:val="0"/>
      <w:marRight w:val="0"/>
      <w:marTop w:val="0"/>
      <w:marBottom w:val="0"/>
      <w:divBdr>
        <w:top w:val="none" w:sz="0" w:space="0" w:color="auto"/>
        <w:left w:val="none" w:sz="0" w:space="0" w:color="auto"/>
        <w:bottom w:val="none" w:sz="0" w:space="0" w:color="auto"/>
        <w:right w:val="none" w:sz="0" w:space="0" w:color="auto"/>
      </w:divBdr>
    </w:div>
    <w:div w:id="2128692786">
      <w:bodyDiv w:val="1"/>
      <w:marLeft w:val="0"/>
      <w:marRight w:val="0"/>
      <w:marTop w:val="0"/>
      <w:marBottom w:val="0"/>
      <w:divBdr>
        <w:top w:val="none" w:sz="0" w:space="0" w:color="auto"/>
        <w:left w:val="none" w:sz="0" w:space="0" w:color="auto"/>
        <w:bottom w:val="none" w:sz="0" w:space="0" w:color="auto"/>
        <w:right w:val="none" w:sz="0" w:space="0" w:color="auto"/>
      </w:divBdr>
    </w:div>
    <w:div w:id="214677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hudoc.esc.coe.int/esc2008/query.asp?action=page&amp;page=0&amp;view=searchform&amp;timestamp=19969.8" TargetMode="External"/><Relationship Id="rId3" Type="http://schemas.openxmlformats.org/officeDocument/2006/relationships/hyperlink" Target="http://www.achpr.org/sessions/46th/resolutions/153/" TargetMode="External"/><Relationship Id="rId7" Type="http://schemas.openxmlformats.org/officeDocument/2006/relationships/hyperlink" Target="http://www.coe.int/t/dghl/monitoring/socialcharter/ECSR/ECSRdefault_en.asp" TargetMode="External"/><Relationship Id="rId2" Type="http://schemas.openxmlformats.org/officeDocument/2006/relationships/hyperlink" Target="http://www.cesr.org/downloads/AfricanCommissionDecision.pdf" TargetMode="External"/><Relationship Id="rId1" Type="http://schemas.openxmlformats.org/officeDocument/2006/relationships/hyperlink" Target="http://www.courtecowas.org/site2012/index.php?option=com_content&amp;view=article&amp;id=2&amp;Itemid=5" TargetMode="External"/><Relationship Id="rId6" Type="http://schemas.openxmlformats.org/officeDocument/2006/relationships/hyperlink" Target="http://www.coe.int/T/DGHL/Monitoring/SocialCharter/" TargetMode="External"/><Relationship Id="rId5" Type="http://schemas.openxmlformats.org/officeDocument/2006/relationships/hyperlink" Target="http://www.asean.org/news/item/asean-declaration-on-environmental-sustainability" TargetMode="External"/><Relationship Id="rId4" Type="http://schemas.openxmlformats.org/officeDocument/2006/relationships/hyperlink" Target="http://www.unfpa.org/webdav/site/global/shared/documents/news/2013/APPC6_WP1ER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61E587-5BE0-4621-922A-722C57D29537}"/>
</file>

<file path=customXml/itemProps2.xml><?xml version="1.0" encoding="utf-8"?>
<ds:datastoreItem xmlns:ds="http://schemas.openxmlformats.org/officeDocument/2006/customXml" ds:itemID="{74DDF94E-F6FD-4CF3-8BBF-0B1E9898EEF9}"/>
</file>

<file path=customXml/itemProps3.xml><?xml version="1.0" encoding="utf-8"?>
<ds:datastoreItem xmlns:ds="http://schemas.openxmlformats.org/officeDocument/2006/customXml" ds:itemID="{A7DF9089-A2FC-4B23-B773-08CC8C149167}"/>
</file>

<file path=customXml/itemProps4.xml><?xml version="1.0" encoding="utf-8"?>
<ds:datastoreItem xmlns:ds="http://schemas.openxmlformats.org/officeDocument/2006/customXml" ds:itemID="{CA077543-F8A7-4941-A1F0-4696F1D89DF2}"/>
</file>

<file path=docProps/app.xml><?xml version="1.0" encoding="utf-8"?>
<Properties xmlns="http://schemas.openxmlformats.org/officeDocument/2006/extended-properties" xmlns:vt="http://schemas.openxmlformats.org/officeDocument/2006/docPropsVTypes">
  <Template>Normal.dotm</Template>
  <TotalTime>29</TotalTime>
  <Pages>35</Pages>
  <Words>7177</Words>
  <Characters>40915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12.regional-report-20-Mar.docx</dc:title>
  <dc:creator>WFUT4102010</dc:creator>
  <cp:lastModifiedBy>WFUT4102010</cp:lastModifiedBy>
  <cp:revision>4</cp:revision>
  <cp:lastPrinted>2013-12-06T00:41:00Z</cp:lastPrinted>
  <dcterms:created xsi:type="dcterms:W3CDTF">2014-03-26T04:46:00Z</dcterms:created>
  <dcterms:modified xsi:type="dcterms:W3CDTF">2014-03-27T03:47:00Z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y fmtid="{D5CDD505-2E9C-101B-9397-08002B2CF9AE}" pid="8" name="Order">
    <vt:r8>3376800</vt:r8>
  </property>
</Properties>
</file>