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ACF5BF" w14:textId="77777777" w:rsidR="009B7FBF" w:rsidRPr="001759F4" w:rsidRDefault="00177749" w:rsidP="0013127A">
      <w:pPr>
        <w:spacing w:line="240" w:lineRule="auto"/>
        <w:rPr>
          <w:rFonts w:ascii="Calibri" w:eastAsia="Calibri" w:hAnsi="Calibri" w:cs="Calibri"/>
          <w:lang w:val="en-CA"/>
        </w:rPr>
      </w:pPr>
      <w:r w:rsidRPr="001759F4">
        <w:rPr>
          <w:rFonts w:ascii="Calibri" w:eastAsia="Calibri" w:hAnsi="Calibri" w:cs="Calibri"/>
          <w:lang w:val="en-CA"/>
        </w:rPr>
        <w:t xml:space="preserve"> </w:t>
      </w:r>
    </w:p>
    <w:p w14:paraId="455C9101" w14:textId="77777777" w:rsidR="00BF1E2D" w:rsidRPr="0013127A" w:rsidRDefault="00177749" w:rsidP="0013127A">
      <w:pPr>
        <w:spacing w:line="240" w:lineRule="auto"/>
        <w:jc w:val="center"/>
        <w:rPr>
          <w:rFonts w:ascii="Calibri" w:eastAsia="Calibri" w:hAnsi="Calibri" w:cs="Calibri"/>
          <w:b/>
          <w:sz w:val="28"/>
          <w:szCs w:val="28"/>
          <w:lang w:val="en-US"/>
        </w:rPr>
      </w:pPr>
      <w:r w:rsidRPr="0013127A">
        <w:rPr>
          <w:rFonts w:ascii="Calibri" w:eastAsia="Calibri" w:hAnsi="Calibri" w:cs="Calibri"/>
          <w:b/>
          <w:sz w:val="28"/>
          <w:szCs w:val="28"/>
          <w:lang w:val="en-US"/>
        </w:rPr>
        <w:t xml:space="preserve">Response to Call for Inputs: </w:t>
      </w:r>
    </w:p>
    <w:p w14:paraId="0B33AD6E" w14:textId="77777777" w:rsidR="009B7FBF" w:rsidRPr="0013127A" w:rsidRDefault="00177749" w:rsidP="0013127A">
      <w:pPr>
        <w:spacing w:line="240" w:lineRule="auto"/>
        <w:jc w:val="center"/>
        <w:rPr>
          <w:rFonts w:ascii="Calibri" w:eastAsia="Calibri" w:hAnsi="Calibri" w:cs="Calibri"/>
          <w:b/>
          <w:sz w:val="28"/>
          <w:szCs w:val="28"/>
          <w:lang w:val="en-US"/>
        </w:rPr>
      </w:pPr>
      <w:r w:rsidRPr="0013127A">
        <w:rPr>
          <w:rFonts w:ascii="Calibri" w:eastAsia="Calibri" w:hAnsi="Calibri" w:cs="Calibri"/>
          <w:b/>
          <w:sz w:val="28"/>
          <w:szCs w:val="28"/>
          <w:lang w:val="en-US"/>
        </w:rPr>
        <w:t>Climate Change and Human Rights: a Safe Climate</w:t>
      </w:r>
    </w:p>
    <w:p w14:paraId="5891152C" w14:textId="77777777" w:rsidR="00A75399" w:rsidRPr="0013127A" w:rsidRDefault="00177749" w:rsidP="00100880">
      <w:pPr>
        <w:pStyle w:val="Heading1"/>
        <w:spacing w:before="200" w:line="240" w:lineRule="auto"/>
        <w:jc w:val="center"/>
        <w:rPr>
          <w:b/>
          <w:sz w:val="28"/>
          <w:szCs w:val="28"/>
          <w:lang w:val="en-CA"/>
        </w:rPr>
      </w:pPr>
      <w:r w:rsidRPr="0013127A">
        <w:rPr>
          <w:b/>
          <w:sz w:val="28"/>
          <w:szCs w:val="28"/>
          <w:lang w:val="en-CA"/>
        </w:rPr>
        <w:t>Submission on Loss and Damage and Human Rights</w:t>
      </w:r>
    </w:p>
    <w:p w14:paraId="50E62C60" w14:textId="77777777" w:rsidR="00A60537" w:rsidRPr="00A60537" w:rsidRDefault="00A60537" w:rsidP="00A60537">
      <w:pPr>
        <w:rPr>
          <w:lang w:val="en-CA"/>
        </w:rPr>
      </w:pPr>
    </w:p>
    <w:p w14:paraId="623DAB55" w14:textId="77777777" w:rsidR="00100880" w:rsidRDefault="00177749" w:rsidP="00674948">
      <w:pPr>
        <w:spacing w:after="80"/>
        <w:ind w:firstLine="720"/>
        <w:jc w:val="both"/>
        <w:rPr>
          <w:rFonts w:ascii="Calibri" w:eastAsia="Calibri" w:hAnsi="Calibri" w:cs="Calibri"/>
          <w:sz w:val="24"/>
          <w:szCs w:val="24"/>
          <w:lang w:val="en-US"/>
        </w:rPr>
      </w:pPr>
      <w:bookmarkStart w:id="0" w:name="_30j0zll" w:colFirst="0" w:colLast="0"/>
      <w:bookmarkEnd w:id="0"/>
      <w:r>
        <w:rPr>
          <w:rFonts w:ascii="Calibri" w:eastAsia="Calibri" w:hAnsi="Calibri" w:cs="Calibri"/>
          <w:sz w:val="24"/>
          <w:szCs w:val="24"/>
          <w:lang w:val="en-CA"/>
        </w:rPr>
        <w:t xml:space="preserve">This submission is a response to </w:t>
      </w:r>
      <w:r w:rsidR="00C26774">
        <w:rPr>
          <w:rFonts w:ascii="Calibri" w:eastAsia="Calibri" w:hAnsi="Calibri" w:cs="Calibri"/>
          <w:sz w:val="24"/>
          <w:szCs w:val="24"/>
          <w:lang w:val="en-CA"/>
        </w:rPr>
        <w:t>questions 6, 7 and 8 of the</w:t>
      </w:r>
      <w:r>
        <w:rPr>
          <w:rFonts w:ascii="Calibri" w:eastAsia="Calibri" w:hAnsi="Calibri" w:cs="Calibri"/>
          <w:sz w:val="24"/>
          <w:szCs w:val="24"/>
          <w:lang w:val="en-CA"/>
        </w:rPr>
        <w:t xml:space="preserve"> questionnaire </w:t>
      </w:r>
      <w:r w:rsidR="00C26774">
        <w:rPr>
          <w:rFonts w:ascii="Calibri" w:eastAsia="Calibri" w:hAnsi="Calibri" w:cs="Calibri"/>
          <w:sz w:val="24"/>
          <w:szCs w:val="24"/>
          <w:lang w:val="en-CA"/>
        </w:rPr>
        <w:t>on</w:t>
      </w:r>
      <w:r w:rsidR="00C26774" w:rsidRPr="00823FA6">
        <w:rPr>
          <w:rFonts w:ascii="Calibri" w:eastAsia="Calibri" w:hAnsi="Calibri" w:cs="Calibri"/>
          <w:sz w:val="24"/>
          <w:szCs w:val="24"/>
          <w:lang w:val="en-CA"/>
        </w:rPr>
        <w:t xml:space="preserve"> </w:t>
      </w:r>
      <w:r w:rsidR="00C26774" w:rsidRPr="00823FA6">
        <w:rPr>
          <w:rFonts w:ascii="Calibri" w:eastAsia="Calibri" w:hAnsi="Calibri" w:cs="Calibri"/>
          <w:sz w:val="24"/>
          <w:szCs w:val="24"/>
          <w:lang w:val="en-US"/>
        </w:rPr>
        <w:t>Climate Change and Human Rights</w:t>
      </w:r>
      <w:r w:rsidR="00C26774">
        <w:rPr>
          <w:rFonts w:ascii="Calibri" w:eastAsia="Calibri" w:hAnsi="Calibri" w:cs="Calibri"/>
          <w:sz w:val="24"/>
          <w:szCs w:val="24"/>
          <w:lang w:val="en-CA"/>
        </w:rPr>
        <w:t xml:space="preserve"> </w:t>
      </w:r>
      <w:r>
        <w:rPr>
          <w:rFonts w:ascii="Calibri" w:eastAsia="Calibri" w:hAnsi="Calibri" w:cs="Calibri"/>
          <w:sz w:val="24"/>
          <w:szCs w:val="24"/>
          <w:lang w:val="en-CA"/>
        </w:rPr>
        <w:t>by the UN Special Rapporteur on human rights and environment</w:t>
      </w:r>
      <w:r w:rsidR="00C26774">
        <w:rPr>
          <w:rFonts w:ascii="Calibri" w:eastAsia="Calibri" w:hAnsi="Calibri" w:cs="Calibri"/>
          <w:sz w:val="24"/>
          <w:szCs w:val="24"/>
          <w:lang w:val="en-CA"/>
        </w:rPr>
        <w:t>.</w:t>
      </w:r>
      <w:r w:rsidR="00C26774">
        <w:rPr>
          <w:rFonts w:ascii="Calibri" w:eastAsia="Calibri" w:hAnsi="Calibri" w:cs="Calibri"/>
          <w:sz w:val="24"/>
          <w:szCs w:val="24"/>
          <w:lang w:val="en-US"/>
        </w:rPr>
        <w:t xml:space="preserve"> </w:t>
      </w:r>
      <w:r w:rsidR="00100880">
        <w:rPr>
          <w:rFonts w:ascii="Calibri" w:eastAsia="Calibri" w:hAnsi="Calibri" w:cs="Calibri"/>
          <w:sz w:val="24"/>
          <w:szCs w:val="24"/>
          <w:lang w:val="en-US"/>
        </w:rPr>
        <w:t xml:space="preserve">This response is based on a peer-reviewed article accepted and forthcoming in the journal </w:t>
      </w:r>
      <w:r w:rsidR="00100880">
        <w:rPr>
          <w:rFonts w:ascii="Calibri" w:eastAsia="Calibri" w:hAnsi="Calibri" w:cs="Calibri"/>
          <w:i/>
          <w:sz w:val="24"/>
          <w:szCs w:val="24"/>
          <w:lang w:val="en-US"/>
        </w:rPr>
        <w:t>Climate Policy</w:t>
      </w:r>
      <w:r w:rsidR="00100880">
        <w:rPr>
          <w:rFonts w:ascii="Calibri" w:eastAsia="Calibri" w:hAnsi="Calibri" w:cs="Calibri"/>
          <w:sz w:val="24"/>
          <w:szCs w:val="24"/>
          <w:lang w:val="en-US"/>
        </w:rPr>
        <w:t xml:space="preserve"> in a special issue on loss and damage, available upon request.</w:t>
      </w:r>
    </w:p>
    <w:p w14:paraId="44972842" w14:textId="72E2BA70" w:rsidR="00CE29C9" w:rsidRDefault="00177749" w:rsidP="00674948">
      <w:pPr>
        <w:spacing w:after="80"/>
        <w:ind w:firstLine="720"/>
        <w:jc w:val="both"/>
        <w:rPr>
          <w:rFonts w:ascii="Calibri" w:eastAsia="Calibri" w:hAnsi="Calibri" w:cs="Calibri"/>
          <w:sz w:val="24"/>
          <w:szCs w:val="24"/>
          <w:lang w:val="en-US"/>
        </w:rPr>
      </w:pPr>
      <w:r>
        <w:rPr>
          <w:rFonts w:ascii="Calibri" w:eastAsia="Calibri" w:hAnsi="Calibri" w:cs="Calibri"/>
          <w:sz w:val="24"/>
          <w:szCs w:val="24"/>
          <w:lang w:val="en-US"/>
        </w:rPr>
        <w:t xml:space="preserve">In a nutshell, we advocate the adoption of a human </w:t>
      </w:r>
      <w:r w:rsidR="00C92846">
        <w:rPr>
          <w:rFonts w:ascii="Calibri" w:eastAsia="Calibri" w:hAnsi="Calibri" w:cs="Calibri"/>
          <w:sz w:val="24"/>
          <w:szCs w:val="24"/>
          <w:lang w:val="en-US"/>
        </w:rPr>
        <w:t>rights-based</w:t>
      </w:r>
      <w:r>
        <w:rPr>
          <w:rFonts w:ascii="Calibri" w:eastAsia="Calibri" w:hAnsi="Calibri" w:cs="Calibri"/>
          <w:sz w:val="24"/>
          <w:szCs w:val="24"/>
          <w:lang w:val="en-US"/>
        </w:rPr>
        <w:t xml:space="preserve"> approach (HRBA) to loss and damage from climate change under the United Nations Framework Convention on Climate Change (UNFCCC) regime. The rationale is for an HRBA in this context is clear. </w:t>
      </w:r>
      <w:r w:rsidRPr="00823FA6">
        <w:rPr>
          <w:rFonts w:ascii="Calibri" w:eastAsia="Calibri" w:hAnsi="Calibri" w:cs="Calibri"/>
          <w:sz w:val="24"/>
          <w:szCs w:val="24"/>
          <w:lang w:val="en-US"/>
        </w:rPr>
        <w:t xml:space="preserve">States have pledged to address climate loss and damage under </w:t>
      </w:r>
      <w:r>
        <w:rPr>
          <w:rFonts w:ascii="Calibri" w:eastAsia="Calibri" w:hAnsi="Calibri" w:cs="Calibri"/>
          <w:sz w:val="24"/>
          <w:szCs w:val="24"/>
          <w:lang w:val="en-US"/>
        </w:rPr>
        <w:t>Article 8 of the</w:t>
      </w:r>
      <w:r w:rsidRPr="00823FA6">
        <w:rPr>
          <w:rFonts w:ascii="Calibri" w:eastAsia="Calibri" w:hAnsi="Calibri" w:cs="Calibri"/>
          <w:sz w:val="24"/>
          <w:szCs w:val="24"/>
          <w:lang w:val="en-US"/>
        </w:rPr>
        <w:t xml:space="preserve"> Paris Agreement</w:t>
      </w:r>
      <w:r>
        <w:rPr>
          <w:rFonts w:ascii="Calibri" w:eastAsia="Calibri" w:hAnsi="Calibri" w:cs="Calibri"/>
          <w:sz w:val="24"/>
          <w:szCs w:val="24"/>
          <w:lang w:val="en-US"/>
        </w:rPr>
        <w:t xml:space="preserve"> and are working through the Warsaw International Mechanism (WIM) to provide solutions</w:t>
      </w:r>
      <w:r w:rsidRPr="00823FA6">
        <w:rPr>
          <w:rFonts w:ascii="Calibri" w:eastAsia="Calibri" w:hAnsi="Calibri" w:cs="Calibri"/>
          <w:sz w:val="24"/>
          <w:szCs w:val="24"/>
          <w:lang w:val="en-US"/>
        </w:rPr>
        <w:t>.</w:t>
      </w:r>
      <w:r>
        <w:rPr>
          <w:rFonts w:ascii="Calibri" w:eastAsia="Calibri" w:hAnsi="Calibri" w:cs="Calibri"/>
          <w:sz w:val="24"/>
          <w:szCs w:val="24"/>
          <w:lang w:val="en-US"/>
        </w:rPr>
        <w:t xml:space="preserve"> </w:t>
      </w:r>
      <w:r w:rsidR="008D133A">
        <w:rPr>
          <w:rFonts w:ascii="Calibri" w:eastAsia="Calibri" w:hAnsi="Calibri" w:cs="Calibri"/>
          <w:sz w:val="24"/>
          <w:szCs w:val="24"/>
          <w:lang w:val="en-US"/>
        </w:rPr>
        <w:t xml:space="preserve">Despite being in place since 2013, </w:t>
      </w:r>
      <w:r>
        <w:rPr>
          <w:rFonts w:ascii="Calibri" w:eastAsia="Calibri" w:hAnsi="Calibri" w:cs="Calibri"/>
          <w:sz w:val="24"/>
          <w:szCs w:val="24"/>
          <w:lang w:val="en-US"/>
        </w:rPr>
        <w:t>the WIM</w:t>
      </w:r>
      <w:r w:rsidR="008D133A">
        <w:rPr>
          <w:rFonts w:ascii="Calibri" w:eastAsia="Calibri" w:hAnsi="Calibri" w:cs="Calibri"/>
          <w:sz w:val="24"/>
          <w:szCs w:val="24"/>
          <w:lang w:val="en-US"/>
        </w:rPr>
        <w:t>’s efforts</w:t>
      </w:r>
      <w:r>
        <w:rPr>
          <w:rFonts w:ascii="Calibri" w:eastAsia="Calibri" w:hAnsi="Calibri" w:cs="Calibri"/>
          <w:sz w:val="24"/>
          <w:szCs w:val="24"/>
          <w:lang w:val="en-US"/>
        </w:rPr>
        <w:t xml:space="preserve"> have </w:t>
      </w:r>
      <w:r w:rsidR="00A81746">
        <w:rPr>
          <w:rFonts w:ascii="Calibri" w:eastAsia="Calibri" w:hAnsi="Calibri" w:cs="Calibri"/>
          <w:sz w:val="24"/>
          <w:szCs w:val="24"/>
          <w:lang w:val="en-US"/>
        </w:rPr>
        <w:t>yet to produce</w:t>
      </w:r>
      <w:r w:rsidR="008D133A">
        <w:rPr>
          <w:rFonts w:ascii="Calibri" w:eastAsia="Calibri" w:hAnsi="Calibri" w:cs="Calibri"/>
          <w:sz w:val="24"/>
          <w:szCs w:val="24"/>
          <w:lang w:val="en-US"/>
        </w:rPr>
        <w:t xml:space="preserve"> concrete measures</w:t>
      </w:r>
      <w:r w:rsidR="00A81746">
        <w:rPr>
          <w:rFonts w:ascii="Calibri" w:eastAsia="Calibri" w:hAnsi="Calibri" w:cs="Calibri"/>
          <w:sz w:val="24"/>
          <w:szCs w:val="24"/>
          <w:lang w:val="en-US"/>
        </w:rPr>
        <w:t xml:space="preserve"> to enhance action and support</w:t>
      </w:r>
      <w:r w:rsidR="008D133A">
        <w:rPr>
          <w:rFonts w:ascii="Calibri" w:eastAsia="Calibri" w:hAnsi="Calibri" w:cs="Calibri"/>
          <w:sz w:val="24"/>
          <w:szCs w:val="24"/>
          <w:lang w:val="en-US"/>
        </w:rPr>
        <w:t xml:space="preserve"> </w:t>
      </w:r>
      <w:r w:rsidR="00A81746">
        <w:rPr>
          <w:rFonts w:ascii="Calibri" w:eastAsia="Calibri" w:hAnsi="Calibri" w:cs="Calibri"/>
          <w:sz w:val="24"/>
          <w:szCs w:val="24"/>
          <w:lang w:val="en-US"/>
        </w:rPr>
        <w:t>for</w:t>
      </w:r>
      <w:r w:rsidR="008D133A">
        <w:rPr>
          <w:rFonts w:ascii="Calibri" w:eastAsia="Calibri" w:hAnsi="Calibri" w:cs="Calibri"/>
          <w:sz w:val="24"/>
          <w:szCs w:val="24"/>
          <w:lang w:val="en-US"/>
        </w:rPr>
        <w:t xml:space="preserve"> those most affected by loss and damage, in accordance with its mandate</w:t>
      </w:r>
      <w:r>
        <w:rPr>
          <w:rFonts w:ascii="Calibri" w:eastAsia="Calibri" w:hAnsi="Calibri" w:cs="Calibri"/>
          <w:sz w:val="24"/>
          <w:szCs w:val="24"/>
          <w:lang w:val="en-US"/>
        </w:rPr>
        <w:t>.</w:t>
      </w:r>
      <w:r w:rsidR="00A81746">
        <w:rPr>
          <w:rFonts w:ascii="Calibri" w:eastAsia="Calibri" w:hAnsi="Calibri" w:cs="Calibri"/>
          <w:sz w:val="24"/>
          <w:szCs w:val="24"/>
          <w:lang w:val="en-US"/>
        </w:rPr>
        <w:t xml:space="preserve"> This leaves the protection of human rights of people who already and in future suffer the consequences of climate change impacts in limbo.</w:t>
      </w:r>
    </w:p>
    <w:p w14:paraId="4C58947D" w14:textId="7D456F59" w:rsidR="00EB4F33" w:rsidRDefault="00177749" w:rsidP="00674948">
      <w:pPr>
        <w:spacing w:after="80"/>
        <w:ind w:firstLine="720"/>
        <w:jc w:val="both"/>
        <w:rPr>
          <w:rFonts w:ascii="Calibri" w:eastAsia="Calibri" w:hAnsi="Calibri" w:cs="Calibri"/>
          <w:sz w:val="24"/>
          <w:szCs w:val="24"/>
          <w:lang w:val="en-US"/>
        </w:rPr>
      </w:pPr>
      <w:r w:rsidRPr="00823FA6">
        <w:rPr>
          <w:rFonts w:ascii="Calibri" w:eastAsia="Calibri" w:hAnsi="Calibri" w:cs="Calibri"/>
          <w:sz w:val="24"/>
          <w:szCs w:val="24"/>
          <w:lang w:val="en-US"/>
        </w:rPr>
        <w:t>Given the likely human rights infringements resulting from</w:t>
      </w:r>
      <w:r>
        <w:rPr>
          <w:rFonts w:ascii="Calibri" w:eastAsia="Calibri" w:hAnsi="Calibri" w:cs="Calibri"/>
          <w:sz w:val="24"/>
          <w:szCs w:val="24"/>
          <w:lang w:val="en-US"/>
        </w:rPr>
        <w:t xml:space="preserve"> unavoided</w:t>
      </w:r>
      <w:r w:rsidR="00C92846">
        <w:rPr>
          <w:rFonts w:ascii="Calibri" w:eastAsia="Calibri" w:hAnsi="Calibri" w:cs="Calibri"/>
          <w:sz w:val="24"/>
          <w:szCs w:val="24"/>
          <w:lang w:val="en-US"/>
        </w:rPr>
        <w:t xml:space="preserve"> </w:t>
      </w:r>
      <w:r>
        <w:rPr>
          <w:rFonts w:ascii="Calibri" w:eastAsia="Calibri" w:hAnsi="Calibri" w:cs="Calibri"/>
          <w:sz w:val="24"/>
          <w:szCs w:val="24"/>
          <w:lang w:val="en-US"/>
        </w:rPr>
        <w:t xml:space="preserve">loss and damage, we invite the </w:t>
      </w:r>
      <w:r w:rsidR="00FA01AB">
        <w:rPr>
          <w:rFonts w:ascii="Calibri" w:eastAsia="Calibri" w:hAnsi="Calibri" w:cs="Calibri"/>
          <w:sz w:val="24"/>
          <w:szCs w:val="24"/>
          <w:lang w:val="en-US"/>
        </w:rPr>
        <w:t xml:space="preserve">UN </w:t>
      </w:r>
      <w:r>
        <w:rPr>
          <w:rFonts w:ascii="Calibri" w:eastAsia="Calibri" w:hAnsi="Calibri" w:cs="Calibri"/>
          <w:sz w:val="24"/>
          <w:szCs w:val="24"/>
          <w:lang w:val="en-US"/>
        </w:rPr>
        <w:t>Special Rapporteur wh</w:t>
      </w:r>
      <w:r w:rsidR="00A81746">
        <w:rPr>
          <w:rFonts w:ascii="Calibri" w:eastAsia="Calibri" w:hAnsi="Calibri" w:cs="Calibri"/>
          <w:sz w:val="24"/>
          <w:szCs w:val="24"/>
          <w:lang w:val="en-US"/>
        </w:rPr>
        <w:t xml:space="preserve">en preparing his report on the </w:t>
      </w:r>
      <w:r w:rsidRPr="00A81746">
        <w:rPr>
          <w:rFonts w:ascii="Calibri" w:eastAsia="Calibri" w:hAnsi="Calibri" w:cs="Calibri"/>
          <w:i/>
          <w:sz w:val="24"/>
          <w:szCs w:val="24"/>
          <w:lang w:val="en-US"/>
        </w:rPr>
        <w:t>Right to a Safe Climate</w:t>
      </w:r>
      <w:r>
        <w:rPr>
          <w:rFonts w:ascii="Calibri" w:eastAsia="Calibri" w:hAnsi="Calibri" w:cs="Calibri"/>
          <w:sz w:val="24"/>
          <w:szCs w:val="24"/>
          <w:lang w:val="en-US"/>
        </w:rPr>
        <w:t xml:space="preserve"> to critically consider the UNFCCC's and specifically the WIM's work on this fundamental issue. </w:t>
      </w:r>
      <w:r w:rsidR="00B07CC0">
        <w:rPr>
          <w:rFonts w:ascii="Calibri" w:eastAsia="Calibri" w:hAnsi="Calibri" w:cs="Calibri"/>
          <w:sz w:val="24"/>
          <w:szCs w:val="24"/>
          <w:lang w:val="en-US"/>
        </w:rPr>
        <w:t>W</w:t>
      </w:r>
      <w:r>
        <w:rPr>
          <w:rFonts w:ascii="Calibri" w:eastAsia="Calibri" w:hAnsi="Calibri" w:cs="Calibri"/>
          <w:sz w:val="24"/>
          <w:szCs w:val="24"/>
          <w:lang w:val="en-US"/>
        </w:rPr>
        <w:t xml:space="preserve">e consider the Special Rapporteur to be in a unique position to urge policymakers </w:t>
      </w:r>
      <w:r w:rsidR="00A81746">
        <w:rPr>
          <w:rFonts w:ascii="Calibri" w:eastAsia="Calibri" w:hAnsi="Calibri" w:cs="Calibri"/>
          <w:sz w:val="24"/>
          <w:szCs w:val="24"/>
          <w:lang w:val="en-US"/>
        </w:rPr>
        <w:t>under</w:t>
      </w:r>
      <w:r>
        <w:rPr>
          <w:rFonts w:ascii="Calibri" w:eastAsia="Calibri" w:hAnsi="Calibri" w:cs="Calibri"/>
          <w:sz w:val="24"/>
          <w:szCs w:val="24"/>
          <w:lang w:val="en-US"/>
        </w:rPr>
        <w:t xml:space="preserve"> the UNFCCC to adopt an </w:t>
      </w:r>
      <w:r w:rsidR="00015D33">
        <w:rPr>
          <w:rFonts w:ascii="Calibri" w:eastAsia="Calibri" w:hAnsi="Calibri" w:cs="Calibri"/>
          <w:sz w:val="24"/>
          <w:szCs w:val="24"/>
          <w:lang w:val="en-US"/>
        </w:rPr>
        <w:t xml:space="preserve">HRBA </w:t>
      </w:r>
      <w:r w:rsidR="00A81746">
        <w:rPr>
          <w:rFonts w:ascii="Calibri" w:eastAsia="Calibri" w:hAnsi="Calibri" w:cs="Calibri"/>
          <w:sz w:val="24"/>
          <w:szCs w:val="24"/>
          <w:lang w:val="en-US"/>
        </w:rPr>
        <w:t>for addressing</w:t>
      </w:r>
      <w:r>
        <w:rPr>
          <w:rFonts w:ascii="Calibri" w:eastAsia="Calibri" w:hAnsi="Calibri" w:cs="Calibri"/>
          <w:sz w:val="24"/>
          <w:szCs w:val="24"/>
          <w:lang w:val="en-US"/>
        </w:rPr>
        <w:t xml:space="preserve"> loss and damage. </w:t>
      </w:r>
    </w:p>
    <w:p w14:paraId="1DDB72CA" w14:textId="77777777" w:rsidR="00021E18" w:rsidRPr="00021E18" w:rsidRDefault="00177749" w:rsidP="00674948">
      <w:pPr>
        <w:spacing w:before="240" w:after="80"/>
        <w:jc w:val="both"/>
        <w:rPr>
          <w:rFonts w:ascii="Calibri" w:eastAsia="Calibri" w:hAnsi="Calibri" w:cs="Calibri"/>
          <w:b/>
          <w:sz w:val="28"/>
          <w:szCs w:val="28"/>
          <w:lang w:val="en-US"/>
        </w:rPr>
      </w:pPr>
      <w:r>
        <w:rPr>
          <w:rFonts w:ascii="Calibri" w:eastAsia="Calibri" w:hAnsi="Calibri" w:cs="Calibri"/>
          <w:b/>
          <w:sz w:val="28"/>
          <w:szCs w:val="28"/>
          <w:lang w:val="en-US"/>
        </w:rPr>
        <w:t xml:space="preserve">I. </w:t>
      </w:r>
      <w:r w:rsidRPr="00021E18">
        <w:rPr>
          <w:rFonts w:ascii="Calibri" w:eastAsia="Calibri" w:hAnsi="Calibri" w:cs="Calibri"/>
          <w:b/>
          <w:sz w:val="28"/>
          <w:szCs w:val="28"/>
          <w:lang w:val="en-US"/>
        </w:rPr>
        <w:t>Background</w:t>
      </w:r>
    </w:p>
    <w:p w14:paraId="06CF7572" w14:textId="77777777" w:rsidR="00021E18" w:rsidRDefault="00177749" w:rsidP="00674948">
      <w:pPr>
        <w:spacing w:after="80"/>
        <w:ind w:firstLine="720"/>
        <w:jc w:val="both"/>
        <w:rPr>
          <w:rFonts w:ascii="Calibri" w:eastAsia="Calibri" w:hAnsi="Calibri" w:cs="Calibri"/>
          <w:bCs/>
          <w:sz w:val="24"/>
          <w:szCs w:val="24"/>
          <w:lang w:val="en-US"/>
        </w:rPr>
      </w:pPr>
      <w:r w:rsidRPr="00A60B4C">
        <w:rPr>
          <w:rFonts w:ascii="Calibri" w:eastAsia="Calibri" w:hAnsi="Calibri" w:cs="Calibri"/>
          <w:sz w:val="24"/>
          <w:szCs w:val="24"/>
          <w:lang w:val="en-US"/>
        </w:rPr>
        <w:t>Loss and damage refers to the adverse impacts of climate change that people have not been able to cope with or adapt to, resulting in repairable damage or irreversible losses.</w:t>
      </w:r>
      <w:r>
        <w:rPr>
          <w:rFonts w:ascii="Calibri" w:eastAsia="Calibri" w:hAnsi="Calibri" w:cs="Calibri"/>
          <w:sz w:val="24"/>
          <w:szCs w:val="24"/>
          <w:vertAlign w:val="superscript"/>
          <w:lang w:val="en-US"/>
        </w:rPr>
        <w:footnoteReference w:id="1"/>
      </w:r>
      <w:r w:rsidRPr="00A60B4C">
        <w:rPr>
          <w:rFonts w:ascii="Calibri" w:eastAsia="Calibri" w:hAnsi="Calibri" w:cs="Calibri"/>
          <w:sz w:val="24"/>
          <w:szCs w:val="24"/>
          <w:lang w:val="en-US"/>
        </w:rPr>
        <w:t xml:space="preserve"> It can be economic in nature but can imply the loss of non-economic features such as cultures, traditions, languages, for example, in the case of displacement of affected island communities.</w:t>
      </w:r>
      <w:r>
        <w:rPr>
          <w:rFonts w:ascii="Calibri" w:eastAsia="Calibri" w:hAnsi="Calibri" w:cs="Calibri"/>
          <w:sz w:val="24"/>
          <w:szCs w:val="24"/>
          <w:vertAlign w:val="superscript"/>
          <w:lang w:val="en-US"/>
        </w:rPr>
        <w:footnoteReference w:id="2"/>
      </w:r>
      <w:r>
        <w:rPr>
          <w:rFonts w:ascii="Calibri" w:eastAsia="Calibri" w:hAnsi="Calibri" w:cs="Calibri"/>
          <w:sz w:val="24"/>
          <w:szCs w:val="24"/>
          <w:lang w:val="en-US"/>
        </w:rPr>
        <w:t xml:space="preserve"> </w:t>
      </w:r>
      <w:r w:rsidR="00015D33">
        <w:rPr>
          <w:rFonts w:ascii="Calibri" w:eastAsia="Calibri" w:hAnsi="Calibri" w:cs="Calibri"/>
          <w:sz w:val="24"/>
          <w:szCs w:val="24"/>
          <w:lang w:val="en-US"/>
        </w:rPr>
        <w:t>T</w:t>
      </w:r>
      <w:r w:rsidRPr="00A60B4C">
        <w:rPr>
          <w:rFonts w:ascii="Calibri" w:eastAsia="Calibri" w:hAnsi="Calibri" w:cs="Calibri"/>
          <w:sz w:val="24"/>
          <w:szCs w:val="24"/>
          <w:lang w:val="en-US"/>
        </w:rPr>
        <w:t xml:space="preserve">he Intergovernmental Panel on Climate Change (IPCC) noted that “residual damage will occur </w:t>
      </w:r>
      <w:r w:rsidRPr="00A60B4C">
        <w:rPr>
          <w:rFonts w:ascii="Calibri" w:eastAsia="Calibri" w:hAnsi="Calibri" w:cs="Calibri"/>
          <w:sz w:val="24"/>
          <w:szCs w:val="24"/>
          <w:lang w:val="en-US"/>
        </w:rPr>
        <w:lastRenderedPageBreak/>
        <w:t>from climate change despite adaptation and mitigation action”</w:t>
      </w:r>
      <w:r>
        <w:rPr>
          <w:rFonts w:ascii="Calibri" w:eastAsia="Calibri" w:hAnsi="Calibri" w:cs="Calibri"/>
          <w:sz w:val="24"/>
          <w:szCs w:val="24"/>
          <w:vertAlign w:val="superscript"/>
          <w:lang w:val="en-US"/>
        </w:rPr>
        <w:footnoteReference w:id="3"/>
      </w:r>
      <w:r w:rsidRPr="00A60B4C">
        <w:rPr>
          <w:rFonts w:ascii="Calibri" w:eastAsia="Calibri" w:hAnsi="Calibri" w:cs="Calibri"/>
          <w:sz w:val="24"/>
          <w:szCs w:val="24"/>
          <w:lang w:val="en-US"/>
        </w:rPr>
        <w:t xml:space="preserve"> and in its 2018 Special Report on 1.5°C, the explicitly addressed the r</w:t>
      </w:r>
      <w:r w:rsidRPr="00A60B4C">
        <w:rPr>
          <w:rFonts w:ascii="Calibri" w:eastAsia="Calibri" w:hAnsi="Calibri" w:cs="Calibri"/>
          <w:bCs/>
          <w:sz w:val="24"/>
          <w:szCs w:val="24"/>
          <w:lang w:val="en-US"/>
        </w:rPr>
        <w:t>esidual risks, limits to adaptation and Loss and Damage.</w:t>
      </w:r>
      <w:r>
        <w:rPr>
          <w:rFonts w:ascii="Calibri" w:eastAsia="Calibri" w:hAnsi="Calibri" w:cs="Calibri"/>
          <w:bCs/>
          <w:sz w:val="24"/>
          <w:szCs w:val="24"/>
          <w:vertAlign w:val="superscript"/>
          <w:lang w:val="en-US"/>
        </w:rPr>
        <w:footnoteReference w:id="4"/>
      </w:r>
    </w:p>
    <w:p w14:paraId="2183AAA0" w14:textId="744D2A0C" w:rsidR="00A81746" w:rsidRDefault="00177749" w:rsidP="00674948">
      <w:pPr>
        <w:spacing w:after="80"/>
        <w:ind w:firstLine="720"/>
        <w:jc w:val="both"/>
        <w:rPr>
          <w:rFonts w:ascii="Calibri" w:eastAsia="Calibri" w:hAnsi="Calibri" w:cs="Calibri"/>
          <w:sz w:val="24"/>
          <w:szCs w:val="24"/>
          <w:lang w:val="en-US"/>
        </w:rPr>
      </w:pPr>
      <w:r w:rsidRPr="00A60B4C">
        <w:rPr>
          <w:rFonts w:ascii="Calibri" w:eastAsia="Calibri" w:hAnsi="Calibri" w:cs="Calibri"/>
          <w:sz w:val="24"/>
          <w:szCs w:val="24"/>
          <w:lang w:val="en-US"/>
        </w:rPr>
        <w:t>Loss and damage is a policy term in th</w:t>
      </w:r>
      <w:r w:rsidR="00B07CC0">
        <w:rPr>
          <w:rFonts w:ascii="Calibri" w:eastAsia="Calibri" w:hAnsi="Calibri" w:cs="Calibri"/>
          <w:sz w:val="24"/>
          <w:szCs w:val="24"/>
          <w:lang w:val="en-US"/>
        </w:rPr>
        <w:t xml:space="preserve">at </w:t>
      </w:r>
      <w:r w:rsidRPr="00A60B4C">
        <w:rPr>
          <w:rFonts w:ascii="Calibri" w:eastAsia="Calibri" w:hAnsi="Calibri" w:cs="Calibri"/>
          <w:sz w:val="24"/>
          <w:szCs w:val="24"/>
          <w:lang w:val="en-US"/>
        </w:rPr>
        <w:t>has been officially in use under the UNFCCC since 2007. In 2010 a work programme on loss and damage was adopted,</w:t>
      </w:r>
      <w:r>
        <w:rPr>
          <w:rFonts w:ascii="Calibri" w:eastAsia="Calibri" w:hAnsi="Calibri" w:cs="Calibri"/>
          <w:sz w:val="24"/>
          <w:szCs w:val="24"/>
          <w:vertAlign w:val="superscript"/>
          <w:lang w:val="en-US"/>
        </w:rPr>
        <w:footnoteReference w:id="5"/>
      </w:r>
      <w:r w:rsidRPr="00A60B4C">
        <w:rPr>
          <w:rFonts w:ascii="Calibri" w:eastAsia="Calibri" w:hAnsi="Calibri" w:cs="Calibri"/>
          <w:sz w:val="24"/>
          <w:szCs w:val="24"/>
          <w:lang w:val="en-US"/>
        </w:rPr>
        <w:t xml:space="preserve"> and in 2013 – in the wake of Typhoon Haiyan</w:t>
      </w:r>
      <w:r>
        <w:rPr>
          <w:rFonts w:ascii="Calibri" w:eastAsia="Calibri" w:hAnsi="Calibri" w:cs="Calibri"/>
          <w:sz w:val="24"/>
          <w:szCs w:val="24"/>
          <w:vertAlign w:val="superscript"/>
          <w:lang w:val="en-US"/>
        </w:rPr>
        <w:footnoteReference w:id="6"/>
      </w:r>
      <w:r w:rsidRPr="00A60B4C">
        <w:rPr>
          <w:rFonts w:ascii="Calibri" w:eastAsia="Calibri" w:hAnsi="Calibri" w:cs="Calibri"/>
          <w:sz w:val="24"/>
          <w:szCs w:val="24"/>
          <w:lang w:val="en-US"/>
        </w:rPr>
        <w:t xml:space="preserve"> – the Warsaw International Mechanism (WIM) was created to address this issue.</w:t>
      </w:r>
      <w:r>
        <w:rPr>
          <w:rFonts w:ascii="Calibri" w:eastAsia="Calibri" w:hAnsi="Calibri" w:cs="Calibri"/>
          <w:sz w:val="24"/>
          <w:szCs w:val="24"/>
          <w:vertAlign w:val="superscript"/>
          <w:lang w:val="en-US"/>
        </w:rPr>
        <w:footnoteReference w:id="7"/>
      </w:r>
      <w:r w:rsidRPr="00A60B4C">
        <w:rPr>
          <w:rFonts w:ascii="Calibri" w:eastAsia="Calibri" w:hAnsi="Calibri" w:cs="Calibri"/>
          <w:sz w:val="24"/>
          <w:szCs w:val="24"/>
          <w:lang w:val="en-US"/>
        </w:rPr>
        <w:t xml:space="preserve"> Under the 2015 Paris Agreement, Parties agreed to cooperate to avert, minimize, and address loss and damage from climate change. Article 8 of the treaty established loss and damage as a key pillar of the international response to climate change alongside mitigation and adaptation. </w:t>
      </w:r>
      <w:r w:rsidR="00EB4F33">
        <w:rPr>
          <w:rFonts w:ascii="Calibri" w:eastAsia="Calibri" w:hAnsi="Calibri" w:cs="Calibri"/>
          <w:sz w:val="24"/>
          <w:szCs w:val="24"/>
          <w:lang w:val="en-US"/>
        </w:rPr>
        <w:t>T</w:t>
      </w:r>
      <w:r w:rsidRPr="00A60B4C">
        <w:rPr>
          <w:rFonts w:ascii="Calibri" w:eastAsia="Calibri" w:hAnsi="Calibri" w:cs="Calibri"/>
          <w:sz w:val="24"/>
          <w:szCs w:val="24"/>
          <w:lang w:val="en-US"/>
        </w:rPr>
        <w:t>he Paris COP Decision excludes any liability or compensation for loss and damage under the treaty.</w:t>
      </w:r>
      <w:r>
        <w:rPr>
          <w:rFonts w:ascii="Calibri" w:eastAsia="Calibri" w:hAnsi="Calibri" w:cs="Calibri"/>
          <w:sz w:val="24"/>
          <w:szCs w:val="24"/>
          <w:vertAlign w:val="superscript"/>
          <w:lang w:val="en-US"/>
        </w:rPr>
        <w:footnoteReference w:id="8"/>
      </w:r>
      <w:r w:rsidRPr="00A60B4C">
        <w:rPr>
          <w:rFonts w:ascii="Calibri" w:eastAsia="Calibri" w:hAnsi="Calibri" w:cs="Calibri"/>
          <w:sz w:val="24"/>
          <w:szCs w:val="24"/>
          <w:lang w:val="en-US"/>
        </w:rPr>
        <w:t xml:space="preserve"> However</w:t>
      </w:r>
      <w:r w:rsidR="004213E9">
        <w:rPr>
          <w:rFonts w:ascii="Calibri" w:eastAsia="Calibri" w:hAnsi="Calibri" w:cs="Calibri"/>
          <w:sz w:val="24"/>
          <w:szCs w:val="24"/>
          <w:lang w:val="en-US"/>
        </w:rPr>
        <w:t>,</w:t>
      </w:r>
      <w:r w:rsidRPr="00A60B4C">
        <w:rPr>
          <w:rFonts w:ascii="Calibri" w:eastAsia="Calibri" w:hAnsi="Calibri" w:cs="Calibri"/>
          <w:sz w:val="24"/>
          <w:szCs w:val="24"/>
          <w:lang w:val="en-US"/>
        </w:rPr>
        <w:t xml:space="preserve"> this does not prevent states from seeking relief under general international law, nor does it exclude states’ obligations under human rights law</w:t>
      </w:r>
      <w:r>
        <w:rPr>
          <w:rFonts w:ascii="Calibri" w:eastAsia="Calibri" w:hAnsi="Calibri" w:cs="Calibri"/>
          <w:sz w:val="24"/>
          <w:szCs w:val="24"/>
          <w:vertAlign w:val="superscript"/>
          <w:lang w:val="en-US"/>
        </w:rPr>
        <w:footnoteReference w:id="9"/>
      </w:r>
      <w:r w:rsidR="00CE569F">
        <w:rPr>
          <w:rFonts w:ascii="Calibri" w:eastAsia="Calibri" w:hAnsi="Calibri" w:cs="Calibri"/>
          <w:sz w:val="24"/>
          <w:szCs w:val="24"/>
          <w:lang w:val="en-US"/>
        </w:rPr>
        <w:t xml:space="preserve"> or</w:t>
      </w:r>
      <w:r w:rsidR="00EB4F33">
        <w:rPr>
          <w:rFonts w:ascii="Calibri" w:eastAsia="Calibri" w:hAnsi="Calibri" w:cs="Calibri"/>
          <w:sz w:val="24"/>
          <w:szCs w:val="24"/>
          <w:lang w:val="en-US"/>
        </w:rPr>
        <w:t xml:space="preserve"> from</w:t>
      </w:r>
      <w:r w:rsidR="00CE569F">
        <w:rPr>
          <w:rFonts w:ascii="Calibri" w:eastAsia="Calibri" w:hAnsi="Calibri" w:cs="Calibri"/>
          <w:sz w:val="24"/>
          <w:szCs w:val="24"/>
          <w:lang w:val="en-US"/>
        </w:rPr>
        <w:t xml:space="preserve"> revising this</w:t>
      </w:r>
      <w:r w:rsidR="00C92846">
        <w:rPr>
          <w:rFonts w:ascii="Calibri" w:eastAsia="Calibri" w:hAnsi="Calibri" w:cs="Calibri"/>
          <w:sz w:val="24"/>
          <w:szCs w:val="24"/>
          <w:lang w:val="en-US"/>
        </w:rPr>
        <w:t xml:space="preserve"> COP</w:t>
      </w:r>
      <w:r w:rsidR="00CE569F">
        <w:rPr>
          <w:rFonts w:ascii="Calibri" w:eastAsia="Calibri" w:hAnsi="Calibri" w:cs="Calibri"/>
          <w:sz w:val="24"/>
          <w:szCs w:val="24"/>
          <w:lang w:val="en-US"/>
        </w:rPr>
        <w:t xml:space="preserve"> decision.</w:t>
      </w:r>
      <w:r w:rsidRPr="00A60B4C">
        <w:rPr>
          <w:rFonts w:ascii="Calibri" w:eastAsia="Calibri" w:hAnsi="Calibri" w:cs="Calibri"/>
          <w:sz w:val="24"/>
          <w:szCs w:val="24"/>
          <w:lang w:val="en-US"/>
        </w:rPr>
        <w:t xml:space="preserve"> Under Article 8, Parties should enhance understanding, action, and support for loss and damage on a cooperative and facilitative basis, including through the WIM.</w:t>
      </w:r>
      <w:r>
        <w:rPr>
          <w:rFonts w:ascii="Calibri" w:eastAsia="Calibri" w:hAnsi="Calibri" w:cs="Calibri"/>
          <w:sz w:val="24"/>
          <w:szCs w:val="24"/>
          <w:vertAlign w:val="superscript"/>
          <w:lang w:val="en-US"/>
        </w:rPr>
        <w:footnoteReference w:id="10"/>
      </w:r>
      <w:r w:rsidRPr="00A60B4C">
        <w:rPr>
          <w:rFonts w:ascii="Calibri" w:eastAsia="Calibri" w:hAnsi="Calibri" w:cs="Calibri"/>
          <w:sz w:val="24"/>
          <w:szCs w:val="24"/>
          <w:lang w:val="en-US"/>
        </w:rPr>
        <w:t xml:space="preserve"> </w:t>
      </w:r>
      <w:r w:rsidR="00EB4F33">
        <w:rPr>
          <w:rFonts w:ascii="Calibri" w:eastAsia="Calibri" w:hAnsi="Calibri" w:cs="Calibri"/>
          <w:sz w:val="24"/>
          <w:szCs w:val="24"/>
          <w:lang w:val="en-US"/>
        </w:rPr>
        <w:t xml:space="preserve">The </w:t>
      </w:r>
      <w:r w:rsidRPr="00A60B4C">
        <w:rPr>
          <w:rFonts w:ascii="Calibri" w:eastAsia="Calibri" w:hAnsi="Calibri" w:cs="Calibri"/>
          <w:sz w:val="24"/>
          <w:szCs w:val="24"/>
          <w:lang w:val="en-US"/>
        </w:rPr>
        <w:t>WIM shall also collaborate with bodies outside UNFCCC</w:t>
      </w:r>
      <w:r>
        <w:rPr>
          <w:rFonts w:ascii="Calibri" w:eastAsia="Calibri" w:hAnsi="Calibri" w:cs="Calibri"/>
          <w:sz w:val="24"/>
          <w:szCs w:val="24"/>
          <w:vertAlign w:val="superscript"/>
          <w:lang w:val="en-US"/>
        </w:rPr>
        <w:footnoteReference w:id="11"/>
      </w:r>
      <w:r w:rsidRPr="00A60B4C">
        <w:rPr>
          <w:rFonts w:ascii="Calibri" w:eastAsia="Calibri" w:hAnsi="Calibri" w:cs="Calibri"/>
          <w:sz w:val="24"/>
          <w:szCs w:val="24"/>
          <w:lang w:val="en-US"/>
        </w:rPr>
        <w:t>, which includes human rights bodies.</w:t>
      </w:r>
      <w:r>
        <w:rPr>
          <w:rFonts w:ascii="Calibri" w:eastAsia="Calibri" w:hAnsi="Calibri" w:cs="Calibri"/>
          <w:sz w:val="24"/>
          <w:szCs w:val="24"/>
          <w:lang w:val="en-US"/>
        </w:rPr>
        <w:t xml:space="preserve"> </w:t>
      </w:r>
    </w:p>
    <w:p w14:paraId="2D002C7F" w14:textId="3881E2F9" w:rsidR="00021E18" w:rsidRDefault="00177749" w:rsidP="00674948">
      <w:pPr>
        <w:spacing w:after="80"/>
        <w:ind w:firstLine="720"/>
        <w:jc w:val="both"/>
        <w:rPr>
          <w:rFonts w:ascii="Calibri" w:eastAsia="Calibri" w:hAnsi="Calibri" w:cs="Calibri"/>
          <w:sz w:val="24"/>
          <w:szCs w:val="24"/>
          <w:lang w:val="en-US"/>
        </w:rPr>
      </w:pPr>
      <w:r w:rsidRPr="00A60B4C">
        <w:rPr>
          <w:rFonts w:ascii="Calibri" w:eastAsia="Calibri" w:hAnsi="Calibri" w:cs="Calibri"/>
          <w:sz w:val="24"/>
          <w:szCs w:val="24"/>
          <w:lang w:val="en-US"/>
        </w:rPr>
        <w:t xml:space="preserve">Given that </w:t>
      </w:r>
      <w:r w:rsidR="00EB4F33">
        <w:rPr>
          <w:rFonts w:ascii="Calibri" w:eastAsia="Calibri" w:hAnsi="Calibri" w:cs="Calibri"/>
          <w:sz w:val="24"/>
          <w:szCs w:val="24"/>
          <w:lang w:val="en-US"/>
        </w:rPr>
        <w:t>the WIM</w:t>
      </w:r>
      <w:r w:rsidRPr="00A60B4C">
        <w:rPr>
          <w:rFonts w:ascii="Calibri" w:eastAsia="Calibri" w:hAnsi="Calibri" w:cs="Calibri"/>
          <w:sz w:val="24"/>
          <w:szCs w:val="24"/>
          <w:lang w:val="en-US"/>
        </w:rPr>
        <w:t xml:space="preserve"> is the principal body under the UNFCCC mandated to address loss and damage, the efforts undertaken </w:t>
      </w:r>
      <w:r w:rsidR="00E3356D">
        <w:rPr>
          <w:rFonts w:ascii="Calibri" w:eastAsia="Calibri" w:hAnsi="Calibri" w:cs="Calibri"/>
          <w:sz w:val="24"/>
          <w:szCs w:val="24"/>
          <w:lang w:val="en-US"/>
        </w:rPr>
        <w:t>within its scope</w:t>
      </w:r>
      <w:r w:rsidRPr="00A60B4C">
        <w:rPr>
          <w:rFonts w:ascii="Calibri" w:eastAsia="Calibri" w:hAnsi="Calibri" w:cs="Calibri"/>
          <w:sz w:val="24"/>
          <w:szCs w:val="24"/>
          <w:lang w:val="en-US"/>
        </w:rPr>
        <w:t xml:space="preserve"> have fallen short of expectations. In particular, the WIM has thus far failed to leverage any additional finance, frustrating a core demand by many vulnerable countries and civil society observers. In the absence of meaningful progress under the UNFCCC, affected communities</w:t>
      </w:r>
      <w:r>
        <w:rPr>
          <w:rFonts w:ascii="Calibri" w:eastAsia="Calibri" w:hAnsi="Calibri" w:cs="Calibri"/>
          <w:sz w:val="24"/>
          <w:szCs w:val="24"/>
          <w:vertAlign w:val="superscript"/>
          <w:lang w:val="en-US"/>
        </w:rPr>
        <w:footnoteReference w:id="12"/>
      </w:r>
      <w:r w:rsidRPr="00A60B4C">
        <w:rPr>
          <w:rFonts w:ascii="Calibri" w:eastAsia="Calibri" w:hAnsi="Calibri" w:cs="Calibri"/>
          <w:sz w:val="24"/>
          <w:szCs w:val="24"/>
          <w:lang w:val="en-US"/>
        </w:rPr>
        <w:t>, the national governments of vulnerable countries</w:t>
      </w:r>
      <w:r>
        <w:rPr>
          <w:rFonts w:ascii="Calibri" w:eastAsia="Calibri" w:hAnsi="Calibri" w:cs="Calibri"/>
          <w:sz w:val="24"/>
          <w:szCs w:val="24"/>
          <w:vertAlign w:val="superscript"/>
          <w:lang w:val="en-US"/>
        </w:rPr>
        <w:footnoteReference w:id="13"/>
      </w:r>
      <w:r w:rsidRPr="00A60B4C">
        <w:rPr>
          <w:rFonts w:ascii="Calibri" w:eastAsia="Calibri" w:hAnsi="Calibri" w:cs="Calibri"/>
          <w:sz w:val="24"/>
          <w:szCs w:val="24"/>
          <w:lang w:val="en-US"/>
        </w:rPr>
        <w:t>,</w:t>
      </w:r>
      <w:r w:rsidR="00B9601D">
        <w:rPr>
          <w:rFonts w:ascii="Calibri" w:eastAsia="Calibri" w:hAnsi="Calibri" w:cs="Calibri"/>
          <w:sz w:val="24"/>
          <w:szCs w:val="24"/>
          <w:lang w:val="en-US"/>
        </w:rPr>
        <w:t xml:space="preserve"> </w:t>
      </w:r>
      <w:r w:rsidRPr="00A60B4C">
        <w:rPr>
          <w:rFonts w:ascii="Calibri" w:eastAsia="Calibri" w:hAnsi="Calibri" w:cs="Calibri"/>
          <w:sz w:val="24"/>
          <w:szCs w:val="24"/>
          <w:lang w:val="en-US"/>
        </w:rPr>
        <w:t>and civil society continue to expend efforts to deal effectively with loss and damage. Moreover, there now there exists a wealth of academic literature on loss and damage across disciplines.</w:t>
      </w:r>
      <w:r>
        <w:rPr>
          <w:rFonts w:ascii="Calibri" w:eastAsia="Calibri" w:hAnsi="Calibri" w:cs="Calibri"/>
          <w:sz w:val="24"/>
          <w:szCs w:val="24"/>
          <w:vertAlign w:val="superscript"/>
          <w:lang w:val="en-US"/>
        </w:rPr>
        <w:footnoteReference w:id="14"/>
      </w:r>
    </w:p>
    <w:p w14:paraId="7AB7BC2E" w14:textId="77777777" w:rsidR="00A75399" w:rsidRPr="00A12175" w:rsidRDefault="00177749" w:rsidP="00674948">
      <w:pPr>
        <w:spacing w:before="240" w:after="80"/>
        <w:jc w:val="both"/>
        <w:rPr>
          <w:rFonts w:ascii="Calibri" w:eastAsia="Calibri" w:hAnsi="Calibri" w:cs="Calibri"/>
          <w:b/>
          <w:sz w:val="28"/>
          <w:szCs w:val="28"/>
          <w:lang w:val="en-CA"/>
        </w:rPr>
      </w:pPr>
      <w:r w:rsidRPr="00A12175">
        <w:rPr>
          <w:rFonts w:ascii="Calibri" w:eastAsia="Calibri" w:hAnsi="Calibri" w:cs="Calibri"/>
          <w:b/>
          <w:sz w:val="28"/>
          <w:szCs w:val="28"/>
          <w:lang w:val="en-CA"/>
        </w:rPr>
        <w:lastRenderedPageBreak/>
        <w:t xml:space="preserve">II. </w:t>
      </w:r>
      <w:r w:rsidR="00021E18" w:rsidRPr="00A12175">
        <w:rPr>
          <w:rFonts w:ascii="Calibri" w:eastAsia="Calibri" w:hAnsi="Calibri" w:cs="Calibri"/>
          <w:b/>
          <w:sz w:val="28"/>
          <w:szCs w:val="28"/>
          <w:lang w:val="en-CA"/>
        </w:rPr>
        <w:t>Adopting a Human Rights-Based Approach</w:t>
      </w:r>
    </w:p>
    <w:p w14:paraId="415CC7FC" w14:textId="040FFF7F" w:rsidR="00DF0B51" w:rsidRDefault="005D6CCA" w:rsidP="00674948">
      <w:pPr>
        <w:spacing w:after="80"/>
        <w:ind w:firstLine="720"/>
        <w:jc w:val="both"/>
        <w:rPr>
          <w:rFonts w:ascii="Calibri" w:eastAsia="Calibri" w:hAnsi="Calibri" w:cs="Calibri"/>
          <w:sz w:val="24"/>
          <w:szCs w:val="24"/>
          <w:lang w:val="en-CA"/>
        </w:rPr>
      </w:pPr>
      <w:r w:rsidRPr="005C307C">
        <w:rPr>
          <w:rFonts w:ascii="Calibri" w:eastAsia="Calibri" w:hAnsi="Calibri" w:cs="Calibri"/>
          <w:sz w:val="24"/>
          <w:szCs w:val="24"/>
          <w:lang w:val="en-CA"/>
        </w:rPr>
        <w:t>We understand the HRBA as a conceptual and methodological framework championed by the OHCHR to mainstream human rights and the normative basis of human rights law into policymaking.</w:t>
      </w:r>
      <w:r>
        <w:rPr>
          <w:rFonts w:ascii="Calibri" w:eastAsia="Calibri" w:hAnsi="Calibri" w:cs="Calibri"/>
          <w:sz w:val="24"/>
          <w:szCs w:val="24"/>
          <w:lang w:val="en-CA"/>
        </w:rPr>
        <w:t xml:space="preserve"> </w:t>
      </w:r>
      <w:r w:rsidR="00DF0B51">
        <w:rPr>
          <w:rFonts w:ascii="Calibri" w:eastAsia="Calibri" w:hAnsi="Calibri" w:cs="Calibri"/>
          <w:sz w:val="24"/>
          <w:szCs w:val="24"/>
          <w:lang w:val="en-CA"/>
        </w:rPr>
        <w:t>A</w:t>
      </w:r>
      <w:r w:rsidR="00DF0B51" w:rsidRPr="001759F4">
        <w:rPr>
          <w:rFonts w:ascii="Calibri" w:eastAsia="Calibri" w:hAnsi="Calibri" w:cs="Calibri"/>
          <w:sz w:val="24"/>
          <w:szCs w:val="24"/>
          <w:lang w:val="en-CA"/>
        </w:rPr>
        <w:t xml:space="preserve">dopting an </w:t>
      </w:r>
      <w:r w:rsidR="00DF0B51">
        <w:rPr>
          <w:rFonts w:ascii="Calibri" w:eastAsia="Calibri" w:hAnsi="Calibri" w:cs="Calibri"/>
          <w:sz w:val="24"/>
          <w:szCs w:val="24"/>
          <w:lang w:val="en-US"/>
        </w:rPr>
        <w:t>HRBA</w:t>
      </w:r>
      <w:r w:rsidR="00DF0B51" w:rsidRPr="001759F4">
        <w:rPr>
          <w:rFonts w:ascii="Calibri" w:eastAsia="Calibri" w:hAnsi="Calibri" w:cs="Calibri"/>
          <w:sz w:val="24"/>
          <w:szCs w:val="24"/>
          <w:lang w:val="en-CA"/>
        </w:rPr>
        <w:t xml:space="preserve"> </w:t>
      </w:r>
      <w:r w:rsidR="00DF0B51">
        <w:rPr>
          <w:rFonts w:ascii="Calibri" w:eastAsia="Calibri" w:hAnsi="Calibri" w:cs="Calibri"/>
          <w:sz w:val="24"/>
          <w:szCs w:val="24"/>
          <w:lang w:val="en-CA"/>
        </w:rPr>
        <w:t>to</w:t>
      </w:r>
      <w:r w:rsidR="00DF0B51" w:rsidRPr="001759F4">
        <w:rPr>
          <w:rFonts w:ascii="Calibri" w:eastAsia="Calibri" w:hAnsi="Calibri" w:cs="Calibri"/>
          <w:sz w:val="24"/>
          <w:szCs w:val="24"/>
          <w:lang w:val="en-CA"/>
        </w:rPr>
        <w:t xml:space="preserve"> loss and damage requires recognition of the existing linkages between loss and damage and human rights obligations in international and regional human rights instruments. The table </w:t>
      </w:r>
      <w:r w:rsidR="00DF0B51">
        <w:rPr>
          <w:rFonts w:ascii="Calibri" w:eastAsia="Calibri" w:hAnsi="Calibri" w:cs="Calibri"/>
          <w:sz w:val="24"/>
          <w:szCs w:val="24"/>
          <w:lang w:val="en-CA"/>
        </w:rPr>
        <w:t xml:space="preserve">in the annex </w:t>
      </w:r>
      <w:r w:rsidR="00DF0B51" w:rsidRPr="001759F4">
        <w:rPr>
          <w:rFonts w:ascii="Calibri" w:eastAsia="Calibri" w:hAnsi="Calibri" w:cs="Calibri"/>
          <w:sz w:val="24"/>
          <w:szCs w:val="24"/>
          <w:lang w:val="en-CA"/>
        </w:rPr>
        <w:t xml:space="preserve">illustrates the principal human rights implications of certain loss and damage types and the </w:t>
      </w:r>
      <w:r w:rsidR="00DF0B51">
        <w:rPr>
          <w:rFonts w:ascii="Calibri" w:eastAsia="Calibri" w:hAnsi="Calibri" w:cs="Calibri"/>
          <w:sz w:val="24"/>
          <w:szCs w:val="24"/>
          <w:lang w:val="en-CA"/>
        </w:rPr>
        <w:t xml:space="preserve">human </w:t>
      </w:r>
      <w:r w:rsidR="00DF0B51" w:rsidRPr="001759F4">
        <w:rPr>
          <w:rFonts w:ascii="Calibri" w:eastAsia="Calibri" w:hAnsi="Calibri" w:cs="Calibri"/>
          <w:sz w:val="24"/>
          <w:szCs w:val="24"/>
          <w:lang w:val="en-CA"/>
        </w:rPr>
        <w:t xml:space="preserve">rights affected. </w:t>
      </w:r>
      <w:r w:rsidR="00DF0B51">
        <w:rPr>
          <w:rFonts w:ascii="Calibri" w:eastAsia="Calibri" w:hAnsi="Calibri" w:cs="Calibri"/>
          <w:sz w:val="24"/>
          <w:szCs w:val="24"/>
          <w:lang w:val="en-CA"/>
        </w:rPr>
        <w:t>Thanks to</w:t>
      </w:r>
      <w:r w:rsidR="00DF0B51" w:rsidRPr="001759F4">
        <w:rPr>
          <w:rFonts w:ascii="Calibri" w:eastAsia="Calibri" w:hAnsi="Calibri" w:cs="Calibri"/>
          <w:sz w:val="24"/>
          <w:szCs w:val="24"/>
          <w:lang w:val="en-CA"/>
        </w:rPr>
        <w:t xml:space="preserve"> advances in attribution science, it is becoming </w:t>
      </w:r>
      <w:r w:rsidR="00DF0B51">
        <w:rPr>
          <w:rFonts w:ascii="Calibri" w:eastAsia="Calibri" w:hAnsi="Calibri" w:cs="Calibri"/>
          <w:sz w:val="24"/>
          <w:szCs w:val="24"/>
          <w:lang w:val="en-CA"/>
        </w:rPr>
        <w:t xml:space="preserve">increasingly evident </w:t>
      </w:r>
      <w:r w:rsidR="00DF0B51" w:rsidRPr="001759F4">
        <w:rPr>
          <w:rFonts w:ascii="Calibri" w:eastAsia="Calibri" w:hAnsi="Calibri" w:cs="Calibri"/>
          <w:sz w:val="24"/>
          <w:szCs w:val="24"/>
          <w:lang w:val="en-CA"/>
        </w:rPr>
        <w:t>that many natural disasters occurring at a higher frequency and with greater intensity than previously recorded can be linked to climate change.</w:t>
      </w:r>
    </w:p>
    <w:p w14:paraId="7C737F02" w14:textId="1F70E817" w:rsidR="00CF24D0" w:rsidRDefault="00177749" w:rsidP="00674948">
      <w:pPr>
        <w:spacing w:after="80"/>
        <w:ind w:firstLine="720"/>
        <w:jc w:val="both"/>
        <w:rPr>
          <w:rFonts w:ascii="Calibri" w:eastAsia="Calibri" w:hAnsi="Calibri" w:cs="Calibri"/>
          <w:sz w:val="24"/>
          <w:szCs w:val="24"/>
          <w:lang w:val="en-GB"/>
        </w:rPr>
      </w:pPr>
      <w:r w:rsidRPr="001759F4">
        <w:rPr>
          <w:rFonts w:ascii="Calibri" w:eastAsia="Calibri" w:hAnsi="Calibri" w:cs="Calibri"/>
          <w:sz w:val="24"/>
          <w:szCs w:val="24"/>
          <w:lang w:val="en-CA"/>
        </w:rPr>
        <w:t xml:space="preserve">Adopting an </w:t>
      </w:r>
      <w:r w:rsidR="00CE569F">
        <w:rPr>
          <w:rFonts w:ascii="Calibri" w:eastAsia="Calibri" w:hAnsi="Calibri" w:cs="Calibri"/>
          <w:sz w:val="24"/>
          <w:szCs w:val="24"/>
          <w:lang w:val="en-US"/>
        </w:rPr>
        <w:t>HRBA</w:t>
      </w:r>
      <w:r w:rsidRPr="001759F4">
        <w:rPr>
          <w:rFonts w:ascii="Calibri" w:eastAsia="Calibri" w:hAnsi="Calibri" w:cs="Calibri"/>
          <w:sz w:val="24"/>
          <w:szCs w:val="24"/>
          <w:lang w:val="en-CA"/>
        </w:rPr>
        <w:t xml:space="preserve"> places the fundamental human rights of the individual at the center of decision-making. While the ongoing policy debate frames loss and damage in abstract terms, as an eventuality befalling vulnerable developing countries, in particular, small island developing states, adopting an </w:t>
      </w:r>
      <w:r w:rsidR="00CE569F">
        <w:rPr>
          <w:rFonts w:ascii="Calibri" w:eastAsia="Calibri" w:hAnsi="Calibri" w:cs="Calibri"/>
          <w:sz w:val="24"/>
          <w:szCs w:val="24"/>
          <w:lang w:val="en-US"/>
        </w:rPr>
        <w:t>HRBA</w:t>
      </w:r>
      <w:r w:rsidR="00CE569F" w:rsidRPr="001759F4">
        <w:rPr>
          <w:rFonts w:ascii="Calibri" w:eastAsia="Calibri" w:hAnsi="Calibri" w:cs="Calibri"/>
          <w:sz w:val="24"/>
          <w:szCs w:val="24"/>
          <w:lang w:val="en-CA"/>
        </w:rPr>
        <w:t xml:space="preserve"> </w:t>
      </w:r>
      <w:r w:rsidRPr="001759F4">
        <w:rPr>
          <w:rFonts w:ascii="Calibri" w:eastAsia="Calibri" w:hAnsi="Calibri" w:cs="Calibri"/>
          <w:sz w:val="24"/>
          <w:szCs w:val="24"/>
          <w:lang w:val="en-CA"/>
        </w:rPr>
        <w:t>helps to focus attention on the people behind this abstraction.</w:t>
      </w:r>
      <w:r w:rsidR="00CF24D0">
        <w:rPr>
          <w:rStyle w:val="FootnoteReference"/>
          <w:rFonts w:ascii="Calibri" w:eastAsia="Calibri" w:hAnsi="Calibri" w:cs="Calibri"/>
          <w:sz w:val="24"/>
          <w:szCs w:val="24"/>
          <w:lang w:val="en-CA"/>
        </w:rPr>
        <w:footnoteReference w:id="15"/>
      </w:r>
      <w:r w:rsidRPr="001759F4">
        <w:rPr>
          <w:rFonts w:ascii="Calibri" w:eastAsia="Calibri" w:hAnsi="Calibri" w:cs="Calibri"/>
          <w:sz w:val="24"/>
          <w:szCs w:val="24"/>
          <w:lang w:val="en-CA"/>
        </w:rPr>
        <w:t xml:space="preserve"> </w:t>
      </w:r>
      <w:r w:rsidR="00CF24D0" w:rsidRPr="00885AC0">
        <w:rPr>
          <w:rFonts w:ascii="Calibri" w:eastAsia="Calibri" w:hAnsi="Calibri" w:cs="Calibri"/>
          <w:sz w:val="24"/>
          <w:szCs w:val="24"/>
          <w:lang w:val="en-GB"/>
        </w:rPr>
        <w:t xml:space="preserve">By calling attention to the fundamental human rights of the individual, the approach requires consideration of the intersectionality of loss and damage impacts, including questions of race, gender, class, age, and economic well-being. As former </w:t>
      </w:r>
      <w:r w:rsidR="00CF24D0">
        <w:rPr>
          <w:rFonts w:ascii="Calibri" w:eastAsia="Calibri" w:hAnsi="Calibri" w:cs="Calibri"/>
          <w:sz w:val="24"/>
          <w:szCs w:val="24"/>
          <w:lang w:val="en-GB"/>
        </w:rPr>
        <w:t>UN Special Rapporteur John Knox noted,</w:t>
      </w:r>
      <w:r w:rsidR="00CF24D0" w:rsidRPr="00885AC0">
        <w:rPr>
          <w:rFonts w:ascii="Calibri" w:eastAsia="Calibri" w:hAnsi="Calibri" w:cs="Calibri"/>
          <w:sz w:val="24"/>
          <w:szCs w:val="24"/>
          <w:lang w:val="en-GB"/>
        </w:rPr>
        <w:t xml:space="preserve"> </w:t>
      </w:r>
      <w:r w:rsidR="00CF24D0">
        <w:rPr>
          <w:rFonts w:ascii="Calibri" w:eastAsia="Calibri" w:hAnsi="Calibri" w:cs="Calibri"/>
          <w:sz w:val="24"/>
          <w:szCs w:val="24"/>
          <w:lang w:val="en-GB"/>
        </w:rPr>
        <w:t>s</w:t>
      </w:r>
      <w:r w:rsidR="00CF24D0" w:rsidRPr="00885AC0">
        <w:rPr>
          <w:rFonts w:ascii="Calibri" w:eastAsia="Calibri" w:hAnsi="Calibri" w:cs="Calibri"/>
          <w:sz w:val="24"/>
          <w:szCs w:val="24"/>
          <w:lang w:val="en-GB"/>
        </w:rPr>
        <w:t>tates have heightened duties with respect to members of vulnerable groups and “should seek to protect the most vulnerable in developing and implementing all climate-related actions”</w:t>
      </w:r>
      <w:r w:rsidR="00CF24D0">
        <w:rPr>
          <w:rFonts w:ascii="Calibri" w:eastAsia="Calibri" w:hAnsi="Calibri" w:cs="Calibri"/>
          <w:sz w:val="24"/>
          <w:szCs w:val="24"/>
          <w:lang w:val="en-GB"/>
        </w:rPr>
        <w:t>.</w:t>
      </w:r>
      <w:r w:rsidR="00CF24D0">
        <w:rPr>
          <w:rStyle w:val="FootnoteReference"/>
          <w:rFonts w:ascii="Calibri" w:eastAsia="Calibri" w:hAnsi="Calibri" w:cs="Calibri"/>
          <w:sz w:val="24"/>
          <w:szCs w:val="24"/>
          <w:lang w:val="en-GB"/>
        </w:rPr>
        <w:footnoteReference w:id="16"/>
      </w:r>
    </w:p>
    <w:p w14:paraId="35CE41E1" w14:textId="44C22BA8" w:rsidR="00AF7AA1" w:rsidRDefault="00AF7AA1" w:rsidP="00674948">
      <w:pPr>
        <w:spacing w:after="80"/>
        <w:ind w:firstLine="720"/>
        <w:jc w:val="both"/>
        <w:rPr>
          <w:rFonts w:ascii="Calibri" w:eastAsia="Calibri" w:hAnsi="Calibri" w:cs="Calibri"/>
          <w:sz w:val="24"/>
          <w:szCs w:val="24"/>
          <w:lang w:val="en-CA"/>
        </w:rPr>
      </w:pPr>
      <w:r>
        <w:rPr>
          <w:rFonts w:ascii="Calibri" w:eastAsia="Calibri" w:hAnsi="Calibri" w:cs="Calibri"/>
          <w:iCs/>
          <w:sz w:val="24"/>
          <w:szCs w:val="24"/>
          <w:lang w:val="en-GB"/>
        </w:rPr>
        <w:t>T</w:t>
      </w:r>
      <w:r w:rsidRPr="00885AC0">
        <w:rPr>
          <w:rFonts w:ascii="Calibri" w:eastAsia="Calibri" w:hAnsi="Calibri" w:cs="Calibri"/>
          <w:iCs/>
          <w:sz w:val="24"/>
          <w:szCs w:val="24"/>
          <w:lang w:val="en-GB"/>
        </w:rPr>
        <w:t>he HRBA principle of participation and inclusion – which derives its normative basis from relevant international and regional legal instruments</w:t>
      </w:r>
      <w:r>
        <w:rPr>
          <w:rFonts w:ascii="Calibri" w:eastAsia="Calibri" w:hAnsi="Calibri" w:cs="Calibri"/>
          <w:iCs/>
          <w:sz w:val="24"/>
          <w:szCs w:val="24"/>
          <w:vertAlign w:val="superscript"/>
          <w:lang w:val="en-GB"/>
        </w:rPr>
        <w:footnoteReference w:id="17"/>
      </w:r>
      <w:r w:rsidRPr="00885AC0">
        <w:rPr>
          <w:rFonts w:ascii="Calibri" w:eastAsia="Calibri" w:hAnsi="Calibri" w:cs="Calibri"/>
          <w:iCs/>
          <w:sz w:val="24"/>
          <w:szCs w:val="24"/>
          <w:lang w:val="en-GB"/>
        </w:rPr>
        <w:t xml:space="preserve"> – provides valuable guidance to policymakers and implementers of loss and damage actions. Applied to the loss and damage context, it requires states to ensure the effective participation of those most directly affected in the design and implementation of loss and damage policies and actions. This reflects a recognition that actual and potential victims of loss and damage should be empowered as “active participants”</w:t>
      </w:r>
      <w:r>
        <w:rPr>
          <w:rStyle w:val="FootnoteReference"/>
          <w:rFonts w:ascii="Calibri" w:eastAsia="Calibri" w:hAnsi="Calibri" w:cs="Calibri"/>
          <w:iCs/>
          <w:sz w:val="24"/>
          <w:szCs w:val="24"/>
          <w:lang w:val="en-GB"/>
        </w:rPr>
        <w:footnoteReference w:id="18"/>
      </w:r>
      <w:r>
        <w:rPr>
          <w:rFonts w:ascii="Calibri" w:eastAsia="Calibri" w:hAnsi="Calibri" w:cs="Calibri"/>
          <w:iCs/>
          <w:sz w:val="24"/>
          <w:szCs w:val="24"/>
          <w:lang w:val="en-GB"/>
        </w:rPr>
        <w:t xml:space="preserve"> </w:t>
      </w:r>
      <w:r w:rsidRPr="00885AC0">
        <w:rPr>
          <w:rFonts w:ascii="Calibri" w:eastAsia="Calibri" w:hAnsi="Calibri" w:cs="Calibri"/>
          <w:iCs/>
          <w:sz w:val="24"/>
          <w:szCs w:val="24"/>
          <w:lang w:val="en-GB"/>
        </w:rPr>
        <w:t>in decisions that concern their lives and livelihoods. By going beyond mere rhetoric, an HRBA promotes the institutionalization of cooperation between states and those most affected</w:t>
      </w:r>
      <w:r>
        <w:rPr>
          <w:rFonts w:ascii="Calibri" w:eastAsia="Calibri" w:hAnsi="Calibri" w:cs="Calibri"/>
          <w:iCs/>
          <w:sz w:val="24"/>
          <w:szCs w:val="24"/>
          <w:lang w:val="en-GB"/>
        </w:rPr>
        <w:t>.</w:t>
      </w:r>
      <w:r>
        <w:rPr>
          <w:rStyle w:val="FootnoteReference"/>
          <w:rFonts w:ascii="Calibri" w:eastAsia="Calibri" w:hAnsi="Calibri" w:cs="Calibri"/>
          <w:iCs/>
          <w:sz w:val="24"/>
          <w:szCs w:val="24"/>
          <w:lang w:val="en-GB"/>
        </w:rPr>
        <w:footnoteReference w:id="19"/>
      </w:r>
      <w:r w:rsidRPr="00885AC0">
        <w:rPr>
          <w:rFonts w:ascii="Calibri" w:eastAsia="Calibri" w:hAnsi="Calibri" w:cs="Calibri"/>
          <w:iCs/>
          <w:sz w:val="24"/>
          <w:szCs w:val="24"/>
          <w:lang w:val="en-GB"/>
        </w:rPr>
        <w:t xml:space="preserve"> </w:t>
      </w:r>
      <w:r>
        <w:rPr>
          <w:rFonts w:ascii="Calibri" w:eastAsia="Calibri" w:hAnsi="Calibri" w:cs="Calibri"/>
          <w:iCs/>
          <w:sz w:val="24"/>
          <w:szCs w:val="24"/>
          <w:lang w:val="en-GB"/>
        </w:rPr>
        <w:t>An</w:t>
      </w:r>
      <w:r w:rsidRPr="00885AC0">
        <w:rPr>
          <w:rFonts w:ascii="Calibri" w:eastAsia="Calibri" w:hAnsi="Calibri" w:cs="Calibri"/>
          <w:iCs/>
          <w:sz w:val="24"/>
          <w:szCs w:val="24"/>
          <w:lang w:val="en-GB"/>
        </w:rPr>
        <w:t xml:space="preserve"> HRBA could thus prove a strategic tool to</w:t>
      </w:r>
      <w:r w:rsidRPr="00885AC0">
        <w:rPr>
          <w:rFonts w:ascii="Calibri" w:eastAsia="Calibri" w:hAnsi="Calibri" w:cs="Calibri"/>
          <w:sz w:val="24"/>
          <w:szCs w:val="24"/>
          <w:lang w:val="en-GB"/>
        </w:rPr>
        <w:t xml:space="preserve"> strengthen the international </w:t>
      </w:r>
      <w:r w:rsidRPr="00885AC0">
        <w:rPr>
          <w:rFonts w:ascii="Calibri" w:eastAsia="Calibri" w:hAnsi="Calibri" w:cs="Calibri"/>
          <w:sz w:val="24"/>
          <w:szCs w:val="24"/>
          <w:lang w:val="en-GB"/>
        </w:rPr>
        <w:lastRenderedPageBreak/>
        <w:t>response to loss and damage in terms of human rights and to remind policymakers and implementers that international climate policy does not operate in a vacuum.</w:t>
      </w:r>
    </w:p>
    <w:p w14:paraId="3FEEE8BD" w14:textId="7000DB57" w:rsidR="004213E9" w:rsidRPr="00766AFE" w:rsidRDefault="00CF24D0" w:rsidP="00674948">
      <w:pPr>
        <w:spacing w:after="80"/>
        <w:ind w:firstLine="720"/>
        <w:jc w:val="both"/>
        <w:rPr>
          <w:rFonts w:ascii="Calibri" w:eastAsia="Calibri" w:hAnsi="Calibri" w:cs="Calibri"/>
          <w:sz w:val="24"/>
          <w:szCs w:val="24"/>
          <w:lang w:val="en-CA"/>
        </w:rPr>
      </w:pPr>
      <w:r>
        <w:rPr>
          <w:rFonts w:ascii="Calibri" w:eastAsia="Calibri" w:hAnsi="Calibri" w:cs="Calibri"/>
          <w:sz w:val="24"/>
          <w:szCs w:val="24"/>
          <w:lang w:val="en-CA"/>
        </w:rPr>
        <w:t>Moreover, a</w:t>
      </w:r>
      <w:r w:rsidR="00177749" w:rsidRPr="001759F4">
        <w:rPr>
          <w:rFonts w:ascii="Calibri" w:eastAsia="Calibri" w:hAnsi="Calibri" w:cs="Calibri"/>
          <w:sz w:val="24"/>
          <w:szCs w:val="24"/>
          <w:lang w:val="en-CA"/>
        </w:rPr>
        <w:t xml:space="preserve">n </w:t>
      </w:r>
      <w:r w:rsidR="00CE569F">
        <w:rPr>
          <w:rFonts w:ascii="Calibri" w:eastAsia="Calibri" w:hAnsi="Calibri" w:cs="Calibri"/>
          <w:sz w:val="24"/>
          <w:szCs w:val="24"/>
          <w:lang w:val="en-US"/>
        </w:rPr>
        <w:t>HRBA</w:t>
      </w:r>
      <w:r w:rsidR="00CE569F" w:rsidRPr="001759F4">
        <w:rPr>
          <w:rFonts w:ascii="Calibri" w:eastAsia="Calibri" w:hAnsi="Calibri" w:cs="Calibri"/>
          <w:sz w:val="24"/>
          <w:szCs w:val="24"/>
          <w:lang w:val="en-CA"/>
        </w:rPr>
        <w:t xml:space="preserve"> </w:t>
      </w:r>
      <w:r w:rsidR="00177749" w:rsidRPr="001759F4">
        <w:rPr>
          <w:rFonts w:ascii="Calibri" w:eastAsia="Calibri" w:hAnsi="Calibri" w:cs="Calibri"/>
          <w:sz w:val="24"/>
          <w:szCs w:val="24"/>
          <w:lang w:val="en-CA"/>
        </w:rPr>
        <w:t>emphasizes the obligations States already have under existing international and regional human rights treaties. It thus serves as a reminder that climate policy does not exist in isolation from the general obligations of international law. Also, it reminds us of the obligation of States to take meaningful actions to cooperate and assist regarding the enjoyment and fulfillment of human rights.</w:t>
      </w:r>
      <w:r w:rsidR="00177749">
        <w:rPr>
          <w:rFonts w:ascii="Calibri" w:eastAsia="Calibri" w:hAnsi="Calibri" w:cs="Calibri"/>
          <w:vertAlign w:val="superscript"/>
          <w:lang w:val="en-CA"/>
        </w:rPr>
        <w:footnoteReference w:id="20"/>
      </w:r>
      <w:r w:rsidR="00177749" w:rsidRPr="001759F4">
        <w:rPr>
          <w:rFonts w:ascii="Calibri" w:eastAsia="Calibri" w:hAnsi="Calibri" w:cs="Calibri"/>
          <w:sz w:val="24"/>
          <w:szCs w:val="24"/>
          <w:lang w:val="en-CA"/>
        </w:rPr>
        <w:t xml:space="preserve"> These obligations exist not only between countries but towards individuals.</w:t>
      </w:r>
      <w:r w:rsidR="00177749">
        <w:rPr>
          <w:rFonts w:ascii="Calibri" w:eastAsia="Calibri" w:hAnsi="Calibri" w:cs="Calibri"/>
          <w:vertAlign w:val="superscript"/>
          <w:lang w:val="en-CA"/>
        </w:rPr>
        <w:footnoteReference w:id="21"/>
      </w:r>
      <w:r w:rsidR="00177749" w:rsidRPr="001759F4">
        <w:rPr>
          <w:rFonts w:ascii="Calibri" w:eastAsia="Calibri" w:hAnsi="Calibri" w:cs="Calibri"/>
          <w:sz w:val="24"/>
          <w:szCs w:val="24"/>
          <w:lang w:val="en-CA"/>
        </w:rPr>
        <w:t xml:space="preserve"> </w:t>
      </w:r>
      <w:r w:rsidRPr="00885AC0">
        <w:rPr>
          <w:rFonts w:ascii="Calibri" w:eastAsia="Calibri" w:hAnsi="Calibri" w:cs="Calibri"/>
          <w:sz w:val="24"/>
          <w:szCs w:val="24"/>
          <w:lang w:val="en-GB"/>
        </w:rPr>
        <w:t>In this light, an HRBA on loss and damage has the potential to both shape climate policies and hold countries accountable for their climate commitments</w:t>
      </w:r>
      <w:r w:rsidR="000041CB">
        <w:rPr>
          <w:rFonts w:ascii="Calibri" w:eastAsia="Calibri" w:hAnsi="Calibri" w:cs="Calibri"/>
          <w:sz w:val="24"/>
          <w:szCs w:val="24"/>
          <w:lang w:val="en-GB"/>
        </w:rPr>
        <w:t>.</w:t>
      </w:r>
      <w:r w:rsidR="000041CB">
        <w:rPr>
          <w:rStyle w:val="FootnoteReference"/>
          <w:rFonts w:ascii="Calibri" w:eastAsia="Calibri" w:hAnsi="Calibri" w:cs="Calibri"/>
          <w:sz w:val="24"/>
          <w:szCs w:val="24"/>
          <w:lang w:val="en-GB"/>
        </w:rPr>
        <w:footnoteReference w:id="22"/>
      </w:r>
    </w:p>
    <w:p w14:paraId="4B637792" w14:textId="77777777" w:rsidR="009B7FBF" w:rsidRPr="005C307C" w:rsidRDefault="00177749" w:rsidP="00674948">
      <w:pPr>
        <w:spacing w:before="240" w:after="80"/>
        <w:jc w:val="both"/>
        <w:rPr>
          <w:rFonts w:ascii="Calibri" w:eastAsia="Calibri" w:hAnsi="Calibri" w:cs="Calibri"/>
          <w:b/>
          <w:sz w:val="28"/>
          <w:szCs w:val="28"/>
          <w:lang w:val="en-CA"/>
        </w:rPr>
      </w:pPr>
      <w:r w:rsidRPr="005C307C">
        <w:rPr>
          <w:rFonts w:ascii="Calibri" w:eastAsia="Calibri" w:hAnsi="Calibri" w:cs="Calibri"/>
          <w:b/>
          <w:sz w:val="28"/>
          <w:szCs w:val="28"/>
          <w:lang w:val="en-US"/>
        </w:rPr>
        <w:t xml:space="preserve">III. </w:t>
      </w:r>
      <w:r w:rsidR="00A60B4C" w:rsidRPr="005C307C">
        <w:rPr>
          <w:rFonts w:ascii="Calibri" w:eastAsia="Calibri" w:hAnsi="Calibri" w:cs="Calibri"/>
          <w:b/>
          <w:sz w:val="28"/>
          <w:szCs w:val="28"/>
          <w:lang w:val="en-US"/>
        </w:rPr>
        <w:t>Recommendations</w:t>
      </w:r>
    </w:p>
    <w:p w14:paraId="41EEFEDF" w14:textId="48E62645" w:rsidR="00885AC0" w:rsidRPr="005C307C" w:rsidRDefault="00177749" w:rsidP="00674948">
      <w:pPr>
        <w:spacing w:after="80"/>
        <w:ind w:firstLine="720"/>
        <w:jc w:val="both"/>
        <w:rPr>
          <w:rFonts w:ascii="Calibri" w:eastAsia="Calibri" w:hAnsi="Calibri" w:cs="Calibri"/>
          <w:sz w:val="24"/>
          <w:szCs w:val="24"/>
          <w:lang w:val="en-CA"/>
        </w:rPr>
      </w:pPr>
      <w:r w:rsidRPr="005C307C">
        <w:rPr>
          <w:rFonts w:ascii="Calibri" w:eastAsia="Calibri" w:hAnsi="Calibri" w:cs="Calibri"/>
          <w:sz w:val="24"/>
          <w:szCs w:val="24"/>
          <w:lang w:val="en-CA"/>
        </w:rPr>
        <w:t xml:space="preserve">This is a major opportunity for the Special Rapporteur to call attention to the human rights implications of loss and damage, which are largely absent from the discussions under the UNFCCC and WIM. Here the </w:t>
      </w:r>
      <w:r w:rsidR="005B6AE0">
        <w:rPr>
          <w:rFonts w:ascii="Calibri" w:eastAsia="Calibri" w:hAnsi="Calibri" w:cs="Calibri"/>
          <w:sz w:val="24"/>
          <w:szCs w:val="24"/>
          <w:lang w:val="en-CA"/>
        </w:rPr>
        <w:t xml:space="preserve">Special </w:t>
      </w:r>
      <w:r w:rsidRPr="005C307C">
        <w:rPr>
          <w:rFonts w:ascii="Calibri" w:eastAsia="Calibri" w:hAnsi="Calibri" w:cs="Calibri"/>
          <w:sz w:val="24"/>
          <w:szCs w:val="24"/>
          <w:lang w:val="en-CA"/>
        </w:rPr>
        <w:t xml:space="preserve">Rapporteur has a chance to directly call on the processes mandated to </w:t>
      </w:r>
      <w:r w:rsidR="005B6AE0">
        <w:rPr>
          <w:rFonts w:ascii="Calibri" w:eastAsia="Calibri" w:hAnsi="Calibri" w:cs="Calibri"/>
          <w:sz w:val="24"/>
          <w:szCs w:val="24"/>
          <w:lang w:val="en-CA"/>
        </w:rPr>
        <w:t>deal with loss and damage, e.g.</w:t>
      </w:r>
      <w:r w:rsidRPr="005C307C">
        <w:rPr>
          <w:rFonts w:ascii="Calibri" w:eastAsia="Calibri" w:hAnsi="Calibri" w:cs="Calibri"/>
          <w:sz w:val="24"/>
          <w:szCs w:val="24"/>
          <w:lang w:val="en-CA"/>
        </w:rPr>
        <w:t xml:space="preserve"> the WIM but also the UNFCCC more broadly, to enhance strengthen the integration of human rights. The WIM will be subject to review at the </w:t>
      </w:r>
      <w:r w:rsidR="005B6AE0">
        <w:rPr>
          <w:rFonts w:ascii="Calibri" w:eastAsia="Calibri" w:hAnsi="Calibri" w:cs="Calibri"/>
          <w:sz w:val="24"/>
          <w:szCs w:val="24"/>
          <w:lang w:val="en-CA"/>
        </w:rPr>
        <w:t>Climate Conference</w:t>
      </w:r>
      <w:r w:rsidRPr="005C307C">
        <w:rPr>
          <w:rFonts w:ascii="Calibri" w:eastAsia="Calibri" w:hAnsi="Calibri" w:cs="Calibri"/>
          <w:sz w:val="24"/>
          <w:szCs w:val="24"/>
          <w:lang w:val="en-CA"/>
        </w:rPr>
        <w:t xml:space="preserve"> (COP25) in Chile in December 2019; thus the presentation of the Special Rapporteur's recommendations in October </w:t>
      </w:r>
      <w:r w:rsidR="005D6CCA">
        <w:rPr>
          <w:rFonts w:ascii="Calibri" w:eastAsia="Calibri" w:hAnsi="Calibri" w:cs="Calibri"/>
          <w:sz w:val="24"/>
          <w:szCs w:val="24"/>
          <w:lang w:val="en-CA"/>
        </w:rPr>
        <w:t xml:space="preserve">2019 </w:t>
      </w:r>
      <w:r w:rsidRPr="005C307C">
        <w:rPr>
          <w:rFonts w:ascii="Calibri" w:eastAsia="Calibri" w:hAnsi="Calibri" w:cs="Calibri"/>
          <w:sz w:val="24"/>
          <w:szCs w:val="24"/>
          <w:lang w:val="en-CA"/>
        </w:rPr>
        <w:t xml:space="preserve">would be </w:t>
      </w:r>
      <w:r w:rsidR="00AA3D9D">
        <w:rPr>
          <w:rFonts w:ascii="Calibri" w:eastAsia="Calibri" w:hAnsi="Calibri" w:cs="Calibri"/>
          <w:sz w:val="24"/>
          <w:szCs w:val="24"/>
          <w:lang w:val="en-CA"/>
        </w:rPr>
        <w:t>timely</w:t>
      </w:r>
      <w:r w:rsidRPr="005C307C">
        <w:rPr>
          <w:rFonts w:ascii="Calibri" w:eastAsia="Calibri" w:hAnsi="Calibri" w:cs="Calibri"/>
          <w:sz w:val="24"/>
          <w:szCs w:val="24"/>
          <w:lang w:val="en-CA"/>
        </w:rPr>
        <w:t>.</w:t>
      </w:r>
    </w:p>
    <w:p w14:paraId="08B47AE5" w14:textId="77777777" w:rsidR="00885AC0" w:rsidRPr="005C307C" w:rsidRDefault="00177749" w:rsidP="00674948">
      <w:pPr>
        <w:spacing w:after="80"/>
        <w:ind w:firstLine="720"/>
        <w:jc w:val="both"/>
        <w:rPr>
          <w:rFonts w:ascii="Calibri" w:eastAsia="Calibri" w:hAnsi="Calibri" w:cs="Calibri"/>
          <w:sz w:val="24"/>
          <w:szCs w:val="24"/>
          <w:lang w:val="en-CA"/>
        </w:rPr>
      </w:pPr>
      <w:r w:rsidRPr="005C307C">
        <w:rPr>
          <w:rFonts w:ascii="Calibri" w:eastAsia="Calibri" w:hAnsi="Calibri" w:cs="Calibri"/>
          <w:sz w:val="24"/>
          <w:szCs w:val="24"/>
          <w:lang w:val="en-CA"/>
        </w:rPr>
        <w:t>Moreover, the Special Rapporteur should call on states to step up their efforts to avert, minimize, and address loss and damage, both through the WIM and outside the UNFCCC. It could do this by reminding states of their obligation to protect human rights under the international and regional human rights treaties they ratified and in accordance with the Paris Agreement’s preamble reference to human rights.</w:t>
      </w:r>
    </w:p>
    <w:p w14:paraId="0EDB5A6B" w14:textId="77777777" w:rsidR="00885AC0" w:rsidRPr="005C307C" w:rsidRDefault="00177749" w:rsidP="00D95A2D">
      <w:pPr>
        <w:ind w:firstLine="720"/>
        <w:jc w:val="both"/>
        <w:rPr>
          <w:rFonts w:ascii="Calibri" w:eastAsia="Calibri" w:hAnsi="Calibri" w:cs="Calibri"/>
          <w:sz w:val="24"/>
          <w:szCs w:val="24"/>
          <w:lang w:val="en-CA"/>
        </w:rPr>
      </w:pPr>
      <w:r w:rsidRPr="005C307C">
        <w:rPr>
          <w:rFonts w:ascii="Calibri" w:eastAsia="Calibri" w:hAnsi="Calibri" w:cs="Calibri"/>
          <w:sz w:val="24"/>
          <w:szCs w:val="24"/>
          <w:lang w:val="en-CA"/>
        </w:rPr>
        <w:t>One of the core functions of the WIM is to provide action and support, including finance for loss and damage.</w:t>
      </w:r>
      <w:r>
        <w:rPr>
          <w:rFonts w:ascii="Calibri" w:eastAsia="Calibri" w:hAnsi="Calibri" w:cs="Calibri"/>
          <w:sz w:val="24"/>
          <w:szCs w:val="24"/>
          <w:vertAlign w:val="superscript"/>
          <w:lang w:val="en-CA"/>
        </w:rPr>
        <w:footnoteReference w:id="23"/>
      </w:r>
      <w:r w:rsidRPr="005C307C">
        <w:rPr>
          <w:rFonts w:ascii="Calibri" w:eastAsia="Calibri" w:hAnsi="Calibri" w:cs="Calibri"/>
          <w:sz w:val="24"/>
          <w:szCs w:val="24"/>
          <w:lang w:val="en-CA"/>
        </w:rPr>
        <w:t xml:space="preserve"> The </w:t>
      </w:r>
      <w:r w:rsidR="009E2779">
        <w:rPr>
          <w:rFonts w:ascii="Calibri" w:eastAsia="Calibri" w:hAnsi="Calibri" w:cs="Calibri"/>
          <w:sz w:val="24"/>
          <w:szCs w:val="24"/>
          <w:lang w:val="en-CA"/>
        </w:rPr>
        <w:t>Special Rapporteur</w:t>
      </w:r>
      <w:r w:rsidRPr="005C307C">
        <w:rPr>
          <w:rFonts w:ascii="Calibri" w:eastAsia="Calibri" w:hAnsi="Calibri" w:cs="Calibri"/>
          <w:sz w:val="24"/>
          <w:szCs w:val="24"/>
          <w:lang w:val="en-CA"/>
        </w:rPr>
        <w:t xml:space="preserve"> could note the efforts undertaken in the WIM so far, including the Suva Expert Dialogue held in May 2018 and the technical paper on sources of financial support currently being prepared by the UNFCCC Secretariat, but should emphasize that the lack of finance and other support means implies that the human rights of those most affected by loss and damage cannot be adequately safeguarded. </w:t>
      </w:r>
    </w:p>
    <w:p w14:paraId="10286954" w14:textId="1F4C32A5" w:rsidR="00885AC0" w:rsidRDefault="00177749" w:rsidP="00674948">
      <w:pPr>
        <w:spacing w:after="80"/>
        <w:ind w:firstLine="720"/>
        <w:jc w:val="both"/>
        <w:rPr>
          <w:rFonts w:ascii="Calibri" w:eastAsia="Calibri" w:hAnsi="Calibri" w:cs="Calibri"/>
          <w:sz w:val="24"/>
          <w:szCs w:val="24"/>
          <w:lang w:val="en-CA"/>
        </w:rPr>
      </w:pPr>
      <w:r w:rsidRPr="005C307C">
        <w:rPr>
          <w:rFonts w:ascii="Calibri" w:eastAsia="Calibri" w:hAnsi="Calibri" w:cs="Calibri"/>
          <w:sz w:val="24"/>
          <w:szCs w:val="24"/>
          <w:lang w:val="en-CA"/>
        </w:rPr>
        <w:t>Beyond merely recalling what states have committed to under international climate and human rights law, the Special Rapporteur could recommend the adoption of a human rights-</w:t>
      </w:r>
      <w:r w:rsidRPr="005C307C">
        <w:rPr>
          <w:rFonts w:ascii="Calibri" w:eastAsia="Calibri" w:hAnsi="Calibri" w:cs="Calibri"/>
          <w:sz w:val="24"/>
          <w:szCs w:val="24"/>
          <w:lang w:val="en-CA"/>
        </w:rPr>
        <w:lastRenderedPageBreak/>
        <w:t xml:space="preserve">based approach (HRBA) to loss and damage policies and actions. In our forthcoming peer-reviewed article, we propose the following recommendations for adopting an HRBA to loss and damage under the UNFCCC.  </w:t>
      </w:r>
    </w:p>
    <w:p w14:paraId="14042F15" w14:textId="4B2BCBAF" w:rsidR="00885AC0" w:rsidRPr="00C12E2D" w:rsidRDefault="00177749" w:rsidP="00674948">
      <w:pPr>
        <w:spacing w:after="80"/>
        <w:jc w:val="both"/>
        <w:rPr>
          <w:rFonts w:ascii="Calibri" w:eastAsia="Calibri" w:hAnsi="Calibri" w:cs="Calibri"/>
          <w:sz w:val="24"/>
          <w:szCs w:val="24"/>
          <w:lang w:val="en-CA"/>
        </w:rPr>
      </w:pPr>
      <w:r w:rsidRPr="00C12E2D">
        <w:rPr>
          <w:rFonts w:ascii="Calibri" w:eastAsia="Calibri" w:hAnsi="Calibri" w:cs="Calibri"/>
          <w:sz w:val="24"/>
          <w:szCs w:val="24"/>
          <w:lang w:val="en-CA"/>
        </w:rPr>
        <w:t xml:space="preserve">Specifically, the </w:t>
      </w:r>
      <w:r w:rsidR="007D7301">
        <w:rPr>
          <w:rFonts w:ascii="Calibri" w:eastAsia="Calibri" w:hAnsi="Calibri" w:cs="Calibri"/>
          <w:sz w:val="24"/>
          <w:szCs w:val="24"/>
          <w:lang w:val="en-CA"/>
        </w:rPr>
        <w:t>Special Rapporteur could:</w:t>
      </w:r>
    </w:p>
    <w:p w14:paraId="7F8EEDE6" w14:textId="77777777" w:rsidR="00885AC0" w:rsidRPr="00204724" w:rsidRDefault="00177749" w:rsidP="00674948">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call on the WIM to develop guidelines for mainstreaming human rights into loss and damage policies and actions, including guidance for monitoring and reporting both efforts undertaken and human rights infringements;</w:t>
      </w:r>
    </w:p>
    <w:p w14:paraId="29499661" w14:textId="77777777" w:rsidR="00885AC0" w:rsidRPr="00204724" w:rsidRDefault="00177749" w:rsidP="00674948">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recommend the WIM to develop guidelines for ex-ante human rights impact assessments of loss and damage policies and actions;</w:t>
      </w:r>
      <w:r w:rsidRPr="00204724">
        <w:rPr>
          <w:rStyle w:val="FootnoteReference"/>
          <w:rFonts w:asciiTheme="majorHAnsi" w:hAnsiTheme="majorHAnsi" w:cs="Arial"/>
          <w:i/>
          <w:sz w:val="24"/>
          <w:szCs w:val="24"/>
        </w:rPr>
        <w:footnoteReference w:id="24"/>
      </w:r>
      <w:r w:rsidRPr="00204724">
        <w:rPr>
          <w:rFonts w:asciiTheme="majorHAnsi" w:hAnsiTheme="majorHAnsi" w:cs="Arial"/>
          <w:i/>
          <w:sz w:val="24"/>
          <w:szCs w:val="24"/>
        </w:rPr>
        <w:t xml:space="preserve"> </w:t>
      </w:r>
    </w:p>
    <w:p w14:paraId="071ACA9A" w14:textId="77777777" w:rsidR="00885AC0" w:rsidRPr="00204724" w:rsidRDefault="00177749" w:rsidP="00674948">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recommend the establishment of a specialized body on human rights under the WIM to oversee the implementation of an HRBA, provide recommendations, and assist with drafting the above guidelines;</w:t>
      </w:r>
      <w:r w:rsidRPr="00204724">
        <w:rPr>
          <w:rStyle w:val="FootnoteReference"/>
          <w:rFonts w:asciiTheme="majorHAnsi" w:hAnsiTheme="majorHAnsi" w:cs="Arial"/>
          <w:i/>
          <w:sz w:val="24"/>
          <w:szCs w:val="24"/>
        </w:rPr>
        <w:footnoteReference w:id="25"/>
      </w:r>
      <w:r w:rsidRPr="00204724">
        <w:rPr>
          <w:rFonts w:asciiTheme="majorHAnsi" w:hAnsiTheme="majorHAnsi" w:cs="Arial"/>
          <w:i/>
          <w:sz w:val="24"/>
          <w:szCs w:val="24"/>
        </w:rPr>
        <w:t xml:space="preserve"> and</w:t>
      </w:r>
    </w:p>
    <w:p w14:paraId="29DB34BD" w14:textId="728947CF" w:rsidR="00885AC0" w:rsidRPr="00204724" w:rsidRDefault="00177749" w:rsidP="00674948">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having regard to the right to public participation</w:t>
      </w:r>
      <w:r w:rsidRPr="00204724">
        <w:rPr>
          <w:rStyle w:val="FootnoteReference"/>
          <w:rFonts w:asciiTheme="majorHAnsi" w:hAnsiTheme="majorHAnsi" w:cs="Arial"/>
          <w:i/>
          <w:sz w:val="24"/>
          <w:szCs w:val="24"/>
        </w:rPr>
        <w:footnoteReference w:id="26"/>
      </w:r>
      <w:r w:rsidRPr="00204724">
        <w:rPr>
          <w:rFonts w:asciiTheme="majorHAnsi" w:hAnsiTheme="majorHAnsi" w:cs="Arial"/>
          <w:i/>
          <w:sz w:val="24"/>
          <w:szCs w:val="24"/>
        </w:rPr>
        <w:t xml:space="preserve">, call on the WIM to involve affected groups directly in its proceedings, giving them a voice and platform to share their experiences and </w:t>
      </w:r>
      <w:r w:rsidR="00BA2358" w:rsidRPr="00204724">
        <w:rPr>
          <w:rFonts w:asciiTheme="majorHAnsi" w:hAnsiTheme="majorHAnsi" w:cs="Arial"/>
          <w:i/>
          <w:sz w:val="24"/>
          <w:szCs w:val="24"/>
        </w:rPr>
        <w:t>demands first</w:t>
      </w:r>
      <w:r w:rsidRPr="00204724">
        <w:rPr>
          <w:rFonts w:asciiTheme="majorHAnsi" w:hAnsiTheme="majorHAnsi" w:cs="Arial"/>
          <w:i/>
          <w:sz w:val="24"/>
          <w:szCs w:val="24"/>
        </w:rPr>
        <w:t>-hand with decision-makers</w:t>
      </w:r>
      <w:r w:rsidR="002A0EDB">
        <w:rPr>
          <w:rFonts w:asciiTheme="majorHAnsi" w:hAnsiTheme="majorHAnsi" w:cs="Arial"/>
          <w:i/>
          <w:sz w:val="24"/>
          <w:szCs w:val="24"/>
        </w:rPr>
        <w:t>;</w:t>
      </w:r>
      <w:r w:rsidRPr="00204724">
        <w:rPr>
          <w:rStyle w:val="FootnoteReference"/>
          <w:rFonts w:asciiTheme="majorHAnsi" w:hAnsiTheme="majorHAnsi" w:cs="Arial"/>
          <w:i/>
          <w:sz w:val="24"/>
          <w:szCs w:val="24"/>
        </w:rPr>
        <w:footnoteReference w:id="27"/>
      </w:r>
    </w:p>
    <w:p w14:paraId="3126FAC2" w14:textId="0D95DDA1" w:rsidR="002A0EDB" w:rsidRPr="002577E9" w:rsidRDefault="00177749" w:rsidP="002577E9">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recommend a stronger engagement of human rights bodies with the topic of loss and damage, particularly the UN Human Rights Council, the OHCHR, as well as national hu</w:t>
      </w:r>
      <w:r w:rsidR="002A0EDB">
        <w:rPr>
          <w:rFonts w:asciiTheme="majorHAnsi" w:hAnsiTheme="majorHAnsi" w:cs="Arial"/>
          <w:i/>
          <w:sz w:val="24"/>
          <w:szCs w:val="24"/>
        </w:rPr>
        <w:t>man rights inst</w:t>
      </w:r>
      <w:r w:rsidR="002577E9">
        <w:rPr>
          <w:rFonts w:asciiTheme="majorHAnsi" w:hAnsiTheme="majorHAnsi" w:cs="Arial"/>
          <w:i/>
          <w:sz w:val="24"/>
          <w:szCs w:val="24"/>
        </w:rPr>
        <w:t>itutions (NHRI)</w:t>
      </w:r>
      <w:r w:rsidR="002A0EDB" w:rsidRPr="002577E9">
        <w:rPr>
          <w:rFonts w:asciiTheme="majorHAnsi" w:hAnsiTheme="majorHAnsi" w:cs="Arial"/>
          <w:i/>
          <w:sz w:val="24"/>
          <w:szCs w:val="24"/>
        </w:rPr>
        <w:t>;</w:t>
      </w:r>
    </w:p>
    <w:p w14:paraId="1D1F5241" w14:textId="222DB098" w:rsidR="006A2406" w:rsidRPr="00204724" w:rsidRDefault="002577E9" w:rsidP="00674948">
      <w:pPr>
        <w:pStyle w:val="ListParagraph"/>
        <w:numPr>
          <w:ilvl w:val="1"/>
          <w:numId w:val="4"/>
        </w:numPr>
        <w:spacing w:after="80" w:line="240" w:lineRule="auto"/>
        <w:ind w:left="360"/>
        <w:contextualSpacing w:val="0"/>
        <w:rPr>
          <w:rFonts w:asciiTheme="majorHAnsi" w:hAnsiTheme="majorHAnsi" w:cs="Arial"/>
          <w:i/>
          <w:sz w:val="24"/>
          <w:szCs w:val="24"/>
        </w:rPr>
      </w:pPr>
      <w:r>
        <w:rPr>
          <w:rFonts w:asciiTheme="majorHAnsi" w:hAnsiTheme="majorHAnsi" w:cs="Arial"/>
          <w:i/>
          <w:sz w:val="24"/>
          <w:szCs w:val="24"/>
          <w:lang w:val="en-GB"/>
        </w:rPr>
        <w:t xml:space="preserve">urge states to report under the UNHRC </w:t>
      </w:r>
      <w:r w:rsidR="006A2406" w:rsidRPr="006A2406">
        <w:rPr>
          <w:rFonts w:asciiTheme="majorHAnsi" w:hAnsiTheme="majorHAnsi" w:cs="Arial"/>
          <w:i/>
          <w:sz w:val="24"/>
          <w:szCs w:val="24"/>
          <w:lang w:val="en-GB"/>
        </w:rPr>
        <w:t>how their efforts to address loss and damage under the WIM and mechanisms of the Paris Agreement are human rights-</w:t>
      </w:r>
      <w:r>
        <w:rPr>
          <w:rFonts w:asciiTheme="majorHAnsi" w:hAnsiTheme="majorHAnsi" w:cs="Arial"/>
          <w:i/>
          <w:sz w:val="24"/>
          <w:szCs w:val="24"/>
          <w:lang w:val="en-GB"/>
        </w:rPr>
        <w:t xml:space="preserve">compliant; and call on </w:t>
      </w:r>
      <w:r>
        <w:rPr>
          <w:rFonts w:asciiTheme="majorHAnsi" w:hAnsiTheme="majorHAnsi" w:cs="Arial"/>
          <w:i/>
          <w:sz w:val="24"/>
          <w:szCs w:val="24"/>
        </w:rPr>
        <w:t xml:space="preserve">Convention Committees to </w:t>
      </w:r>
      <w:r w:rsidRPr="00806BB2">
        <w:rPr>
          <w:rFonts w:asciiTheme="majorHAnsi" w:hAnsiTheme="majorHAnsi" w:cs="Arial"/>
          <w:i/>
          <w:sz w:val="24"/>
          <w:szCs w:val="24"/>
          <w:lang w:val="en-GB"/>
        </w:rPr>
        <w:t xml:space="preserve">evaluate how climate </w:t>
      </w:r>
      <w:r>
        <w:rPr>
          <w:rFonts w:asciiTheme="majorHAnsi" w:hAnsiTheme="majorHAnsi" w:cs="Arial"/>
          <w:i/>
          <w:sz w:val="24"/>
          <w:szCs w:val="24"/>
          <w:lang w:val="en-GB"/>
        </w:rPr>
        <w:t>loss and damage</w:t>
      </w:r>
      <w:r w:rsidRPr="00806BB2">
        <w:rPr>
          <w:rFonts w:asciiTheme="majorHAnsi" w:hAnsiTheme="majorHAnsi" w:cs="Arial"/>
          <w:i/>
          <w:sz w:val="24"/>
          <w:szCs w:val="24"/>
          <w:lang w:val="en-GB"/>
        </w:rPr>
        <w:t xml:space="preserve"> affects the fulfilment of human rights under the relevant convention</w:t>
      </w:r>
    </w:p>
    <w:p w14:paraId="12605A23" w14:textId="784CE880" w:rsidR="0054748E" w:rsidRPr="00E13322" w:rsidRDefault="00177749" w:rsidP="00E13322">
      <w:pPr>
        <w:pStyle w:val="ListParagraph"/>
        <w:numPr>
          <w:ilvl w:val="1"/>
          <w:numId w:val="4"/>
        </w:numPr>
        <w:spacing w:after="80" w:line="240" w:lineRule="auto"/>
        <w:ind w:left="360"/>
        <w:contextualSpacing w:val="0"/>
        <w:rPr>
          <w:rFonts w:asciiTheme="majorHAnsi" w:hAnsiTheme="majorHAnsi" w:cs="Arial"/>
          <w:i/>
          <w:sz w:val="24"/>
          <w:szCs w:val="24"/>
        </w:rPr>
      </w:pPr>
      <w:r w:rsidRPr="00204724">
        <w:rPr>
          <w:rFonts w:asciiTheme="majorHAnsi" w:hAnsiTheme="majorHAnsi" w:cs="Arial"/>
          <w:i/>
          <w:sz w:val="24"/>
          <w:szCs w:val="24"/>
        </w:rPr>
        <w:t>recommend the establishment of a Human Rights Foc</w:t>
      </w:r>
      <w:r w:rsidR="00806BB2">
        <w:rPr>
          <w:rFonts w:asciiTheme="majorHAnsi" w:hAnsiTheme="majorHAnsi" w:cs="Arial"/>
          <w:i/>
          <w:sz w:val="24"/>
          <w:szCs w:val="24"/>
        </w:rPr>
        <w:t>al Point in UNFCCC Secretariat which</w:t>
      </w:r>
      <w:r w:rsidRPr="00204724">
        <w:rPr>
          <w:rFonts w:asciiTheme="majorHAnsi" w:hAnsiTheme="majorHAnsi" w:cs="Arial"/>
          <w:i/>
          <w:sz w:val="24"/>
          <w:szCs w:val="24"/>
        </w:rPr>
        <w:t xml:space="preserve"> could be modeled after the UNFCCC Gender Focal Point and tasked with implementation, monitoring of the HRBA as well as coordination, particularly with the WIM.  </w:t>
      </w:r>
      <w:bookmarkStart w:id="1" w:name="_GoBack"/>
      <w:bookmarkEnd w:id="1"/>
    </w:p>
    <w:tbl>
      <w:tblPr>
        <w:tblStyle w:val="TableGrid"/>
        <w:tblW w:w="9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69"/>
        <w:gridCol w:w="4583"/>
      </w:tblGrid>
      <w:tr w:rsidR="00337310" w:rsidRPr="0054748E" w14:paraId="00F8DA1A" w14:textId="77777777" w:rsidTr="0013127A">
        <w:trPr>
          <w:trHeight w:val="1166"/>
          <w:jc w:val="center"/>
        </w:trPr>
        <w:tc>
          <w:tcPr>
            <w:tcW w:w="4410" w:type="dxa"/>
          </w:tcPr>
          <w:p w14:paraId="3ABF2C7A" w14:textId="33E09FC2" w:rsidR="007B1384" w:rsidRDefault="007B1384" w:rsidP="0021266A">
            <w:pPr>
              <w:rPr>
                <w:rFonts w:ascii="Calibri" w:eastAsia="Calibri" w:hAnsi="Calibri" w:cs="Calibri"/>
                <w:b/>
                <w:sz w:val="24"/>
                <w:szCs w:val="24"/>
              </w:rPr>
            </w:pPr>
          </w:p>
          <w:p w14:paraId="1A290CE6" w14:textId="2F0581AC" w:rsidR="00D1749B" w:rsidRPr="00D1749B" w:rsidRDefault="00D1749B" w:rsidP="0021266A">
            <w:pPr>
              <w:rPr>
                <w:rFonts w:ascii="Calibri" w:eastAsia="Calibri" w:hAnsi="Calibri" w:cs="Calibri"/>
                <w:b/>
                <w:sz w:val="12"/>
                <w:szCs w:val="12"/>
              </w:rPr>
            </w:pPr>
            <w:r w:rsidRPr="00D1749B">
              <w:rPr>
                <w:rFonts w:ascii="Calibri" w:eastAsia="Calibri" w:hAnsi="Calibri" w:cs="Calibri"/>
                <w:b/>
                <w:sz w:val="28"/>
                <w:szCs w:val="28"/>
              </w:rPr>
              <w:t>Authors:</w:t>
            </w:r>
            <w:r>
              <w:rPr>
                <w:rFonts w:ascii="Calibri" w:eastAsia="Calibri" w:hAnsi="Calibri" w:cs="Calibri"/>
                <w:b/>
                <w:sz w:val="28"/>
                <w:szCs w:val="28"/>
              </w:rPr>
              <w:br/>
            </w:r>
          </w:p>
          <w:p w14:paraId="023B2B1F" w14:textId="77777777" w:rsidR="00A12175" w:rsidRPr="00A12175" w:rsidRDefault="00177749" w:rsidP="0021266A">
            <w:pPr>
              <w:rPr>
                <w:rFonts w:ascii="Calibri" w:eastAsia="Calibri" w:hAnsi="Calibri" w:cs="Calibri"/>
                <w:b/>
                <w:sz w:val="24"/>
                <w:szCs w:val="24"/>
              </w:rPr>
            </w:pPr>
            <w:r w:rsidRPr="00A12175">
              <w:rPr>
                <w:rFonts w:ascii="Calibri" w:eastAsia="Calibri" w:hAnsi="Calibri" w:cs="Calibri"/>
                <w:b/>
                <w:sz w:val="24"/>
                <w:szCs w:val="24"/>
              </w:rPr>
              <w:t>MA. Adrian Martinez Blanco</w:t>
            </w:r>
          </w:p>
          <w:p w14:paraId="32F1E6A8" w14:textId="77777777" w:rsidR="00A12175" w:rsidRPr="00D1749B" w:rsidRDefault="00A12175" w:rsidP="0021266A">
            <w:pPr>
              <w:rPr>
                <w:rFonts w:ascii="Calibri" w:eastAsia="Calibri" w:hAnsi="Calibri" w:cs="Calibri"/>
                <w:i/>
                <w:sz w:val="10"/>
                <w:szCs w:val="10"/>
              </w:rPr>
            </w:pPr>
          </w:p>
          <w:p w14:paraId="052A7CD3" w14:textId="77777777" w:rsidR="00A12175" w:rsidRPr="00A12175" w:rsidRDefault="00177749" w:rsidP="0021266A">
            <w:pPr>
              <w:jc w:val="both"/>
              <w:rPr>
                <w:rFonts w:ascii="Calibri" w:eastAsia="Calibri" w:hAnsi="Calibri" w:cs="Calibri"/>
                <w:i/>
              </w:rPr>
            </w:pPr>
            <w:r w:rsidRPr="00A12175">
              <w:rPr>
                <w:rFonts w:ascii="Calibri" w:eastAsia="Calibri" w:hAnsi="Calibri" w:cs="Calibri"/>
                <w:i/>
              </w:rPr>
              <w:t xml:space="preserve">Director of </w:t>
            </w:r>
            <w:hyperlink r:id="rId8" w:history="1">
              <w:r w:rsidRPr="00A12175">
                <w:rPr>
                  <w:rStyle w:val="Hyperlink"/>
                  <w:rFonts w:ascii="Calibri" w:eastAsia="Calibri" w:hAnsi="Calibri" w:cs="Calibri"/>
                  <w:i/>
                </w:rPr>
                <w:t>La Ruta del Clima</w:t>
              </w:r>
            </w:hyperlink>
            <w:r w:rsidRPr="00A12175">
              <w:rPr>
                <w:rFonts w:ascii="Calibri" w:eastAsia="Calibri" w:hAnsi="Calibri" w:cs="Calibri"/>
                <w:i/>
              </w:rPr>
              <w:t xml:space="preserve"> </w:t>
            </w:r>
          </w:p>
          <w:p w14:paraId="4A036133" w14:textId="77777777" w:rsidR="00A12175" w:rsidRPr="001759F4" w:rsidRDefault="00177749" w:rsidP="0021266A">
            <w:pPr>
              <w:jc w:val="both"/>
              <w:rPr>
                <w:rFonts w:ascii="Calibri" w:eastAsia="Calibri" w:hAnsi="Calibri" w:cs="Calibri"/>
                <w:b/>
                <w:sz w:val="24"/>
                <w:szCs w:val="24"/>
                <w:lang w:val="en-CA"/>
              </w:rPr>
            </w:pPr>
            <w:r>
              <w:rPr>
                <w:rFonts w:ascii="Calibri" w:eastAsia="Calibri" w:hAnsi="Calibri" w:cs="Calibri"/>
                <w:i/>
                <w:lang w:val="en-CA"/>
              </w:rPr>
              <w:t>Ph.D. Candidate University of Eastern Finland</w:t>
            </w:r>
          </w:p>
        </w:tc>
        <w:tc>
          <w:tcPr>
            <w:tcW w:w="569" w:type="dxa"/>
          </w:tcPr>
          <w:p w14:paraId="7EB4C45B" w14:textId="77777777" w:rsidR="00A12175" w:rsidRPr="001759F4" w:rsidRDefault="00A12175" w:rsidP="0021266A">
            <w:pPr>
              <w:rPr>
                <w:rFonts w:ascii="Calibri" w:eastAsia="Calibri" w:hAnsi="Calibri" w:cs="Calibri"/>
                <w:sz w:val="24"/>
                <w:szCs w:val="24"/>
                <w:lang w:val="en-CA"/>
              </w:rPr>
            </w:pPr>
          </w:p>
        </w:tc>
        <w:tc>
          <w:tcPr>
            <w:tcW w:w="4583" w:type="dxa"/>
          </w:tcPr>
          <w:p w14:paraId="531A2A86" w14:textId="77777777" w:rsidR="007B1384" w:rsidRDefault="007B1384" w:rsidP="0021266A">
            <w:pPr>
              <w:jc w:val="both"/>
              <w:rPr>
                <w:rFonts w:ascii="Calibri" w:eastAsia="Calibri" w:hAnsi="Calibri" w:cs="Calibri"/>
                <w:b/>
                <w:sz w:val="24"/>
                <w:szCs w:val="24"/>
                <w:lang w:val="en-CA"/>
              </w:rPr>
            </w:pPr>
          </w:p>
          <w:p w14:paraId="77DDC74C" w14:textId="7461DBC1" w:rsidR="00A12175" w:rsidRPr="001759F4" w:rsidRDefault="00D1749B" w:rsidP="0021266A">
            <w:pPr>
              <w:jc w:val="both"/>
              <w:rPr>
                <w:rFonts w:ascii="Calibri" w:eastAsia="Calibri" w:hAnsi="Calibri" w:cs="Calibri"/>
                <w:b/>
                <w:sz w:val="24"/>
                <w:szCs w:val="24"/>
                <w:lang w:val="en-CA"/>
              </w:rPr>
            </w:pPr>
            <w:r>
              <w:rPr>
                <w:rFonts w:ascii="Calibri" w:eastAsia="Calibri" w:hAnsi="Calibri" w:cs="Calibri"/>
                <w:b/>
                <w:sz w:val="24"/>
                <w:szCs w:val="24"/>
                <w:lang w:val="en-CA"/>
              </w:rPr>
              <w:br/>
            </w:r>
            <w:r w:rsidRPr="00D1749B">
              <w:rPr>
                <w:rFonts w:ascii="Calibri" w:eastAsia="Calibri" w:hAnsi="Calibri" w:cs="Calibri"/>
                <w:b/>
                <w:sz w:val="12"/>
                <w:szCs w:val="12"/>
                <w:lang w:val="en-CA"/>
              </w:rPr>
              <w:br/>
            </w:r>
            <w:r w:rsidR="00177749" w:rsidRPr="001759F4">
              <w:rPr>
                <w:rFonts w:ascii="Calibri" w:eastAsia="Calibri" w:hAnsi="Calibri" w:cs="Calibri"/>
                <w:b/>
                <w:sz w:val="24"/>
                <w:szCs w:val="24"/>
                <w:lang w:val="en-CA"/>
              </w:rPr>
              <w:t xml:space="preserve">Patrick Toussaint </w:t>
            </w:r>
          </w:p>
          <w:p w14:paraId="1233B2B6" w14:textId="77777777" w:rsidR="00A12175" w:rsidRPr="00D1749B" w:rsidRDefault="00A12175" w:rsidP="0021266A">
            <w:pPr>
              <w:rPr>
                <w:rFonts w:ascii="Calibri" w:eastAsia="Calibri" w:hAnsi="Calibri" w:cs="Calibri"/>
                <w:i/>
                <w:sz w:val="10"/>
                <w:szCs w:val="10"/>
                <w:lang w:val="en-CA"/>
              </w:rPr>
            </w:pPr>
          </w:p>
          <w:p w14:paraId="645BAC95" w14:textId="77777777" w:rsidR="00A12175" w:rsidRDefault="00177749" w:rsidP="0021266A">
            <w:pPr>
              <w:jc w:val="both"/>
              <w:rPr>
                <w:rFonts w:ascii="Calibri" w:eastAsia="Calibri" w:hAnsi="Calibri" w:cs="Calibri"/>
                <w:i/>
                <w:lang w:val="en-CA"/>
              </w:rPr>
            </w:pPr>
            <w:r w:rsidRPr="001759F4">
              <w:rPr>
                <w:rFonts w:ascii="Calibri" w:eastAsia="Calibri" w:hAnsi="Calibri" w:cs="Calibri"/>
                <w:i/>
                <w:lang w:val="en-CA"/>
              </w:rPr>
              <w:t>Research Associate</w:t>
            </w:r>
            <w:r>
              <w:rPr>
                <w:rFonts w:ascii="Calibri" w:eastAsia="Calibri" w:hAnsi="Calibri" w:cs="Calibri"/>
                <w:i/>
                <w:lang w:val="en-CA"/>
              </w:rPr>
              <w:t>,</w:t>
            </w:r>
            <w:r w:rsidRPr="001759F4">
              <w:rPr>
                <w:rFonts w:ascii="Calibri" w:eastAsia="Calibri" w:hAnsi="Calibri" w:cs="Calibri"/>
                <w:i/>
                <w:lang w:val="en-CA"/>
              </w:rPr>
              <w:t xml:space="preserve"> </w:t>
            </w:r>
            <w:hyperlink r:id="rId9" w:history="1">
              <w:r w:rsidRPr="005D0FA7">
                <w:rPr>
                  <w:rStyle w:val="Hyperlink"/>
                  <w:rFonts w:ascii="Calibri" w:eastAsia="Calibri" w:hAnsi="Calibri" w:cs="Calibri"/>
                  <w:i/>
                  <w:lang w:val="en-CA"/>
                </w:rPr>
                <w:t>Institute for Advanced Sustainability Studies e.V. (IASS)</w:t>
              </w:r>
            </w:hyperlink>
          </w:p>
          <w:p w14:paraId="2BF8C05F" w14:textId="77777777" w:rsidR="00A12175" w:rsidRPr="001759F4" w:rsidRDefault="00177749" w:rsidP="0013127A">
            <w:pPr>
              <w:jc w:val="both"/>
              <w:rPr>
                <w:rFonts w:ascii="Calibri" w:eastAsia="Calibri" w:hAnsi="Calibri" w:cs="Calibri"/>
                <w:sz w:val="24"/>
                <w:szCs w:val="24"/>
                <w:lang w:val="en-CA"/>
              </w:rPr>
            </w:pPr>
            <w:r>
              <w:rPr>
                <w:rFonts w:ascii="Calibri" w:eastAsia="Calibri" w:hAnsi="Calibri" w:cs="Calibri"/>
                <w:i/>
                <w:lang w:val="en-CA"/>
              </w:rPr>
              <w:t>Ph.D. Candidate University of Eastern Finland</w:t>
            </w:r>
            <w:r w:rsidRPr="00A12175">
              <w:rPr>
                <w:lang w:val="en-CA"/>
              </w:rPr>
              <w:t xml:space="preserve"> </w:t>
            </w:r>
          </w:p>
        </w:tc>
      </w:tr>
    </w:tbl>
    <w:p w14:paraId="65D3C5E6" w14:textId="676BA387" w:rsidR="00A12175" w:rsidRPr="004137BA" w:rsidRDefault="00A93C03" w:rsidP="004137BA">
      <w:pPr>
        <w:spacing w:before="240" w:after="80"/>
        <w:jc w:val="both"/>
        <w:rPr>
          <w:rFonts w:ascii="Calibri" w:eastAsia="Calibri" w:hAnsi="Calibri" w:cs="Calibri"/>
          <w:b/>
          <w:sz w:val="28"/>
          <w:szCs w:val="28"/>
          <w:lang w:val="en-US"/>
        </w:rPr>
      </w:pPr>
      <w:r>
        <w:rPr>
          <w:noProof/>
          <w:lang w:val="en-GB" w:eastAsia="en-GB"/>
        </w:rPr>
        <w:lastRenderedPageBreak/>
        <w:drawing>
          <wp:anchor distT="0" distB="0" distL="114300" distR="114300" simplePos="0" relativeHeight="251658240" behindDoc="1" locked="0" layoutInCell="1" allowOverlap="1" wp14:anchorId="7A53EAB5" wp14:editId="2C05558C">
            <wp:simplePos x="0" y="0"/>
            <wp:positionH relativeFrom="column">
              <wp:posOffset>50165</wp:posOffset>
            </wp:positionH>
            <wp:positionV relativeFrom="paragraph">
              <wp:posOffset>254000</wp:posOffset>
            </wp:positionV>
            <wp:extent cx="5829935" cy="7635840"/>
            <wp:effectExtent l="0" t="0" r="12065"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38495" name=""/>
                    <pic:cNvPicPr/>
                  </pic:nvPicPr>
                  <pic:blipFill>
                    <a:blip r:embed="rId10">
                      <a:extLst>
                        <a:ext uri="{28A0092B-C50C-407E-A947-70E740481C1C}">
                          <a14:useLocalDpi xmlns:a14="http://schemas.microsoft.com/office/drawing/2010/main" val="0"/>
                        </a:ext>
                      </a:extLst>
                    </a:blip>
                    <a:srcRect l="1008" t="1643" r="1040"/>
                    <a:stretch>
                      <a:fillRect/>
                    </a:stretch>
                  </pic:blipFill>
                  <pic:spPr bwMode="auto">
                    <a:xfrm>
                      <a:off x="0" y="0"/>
                      <a:ext cx="5829935" cy="763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7749" w:rsidRPr="004137BA">
        <w:rPr>
          <w:rFonts w:ascii="Calibri" w:eastAsia="Calibri" w:hAnsi="Calibri" w:cs="Calibri"/>
          <w:b/>
          <w:sz w:val="28"/>
          <w:szCs w:val="28"/>
          <w:lang w:val="en-US"/>
        </w:rPr>
        <w:t xml:space="preserve">Annex: Table </w:t>
      </w:r>
      <w:r w:rsidR="00177749" w:rsidRPr="004137BA">
        <w:rPr>
          <w:rFonts w:ascii="Calibri" w:eastAsia="Calibri" w:hAnsi="Calibri" w:cs="Calibri"/>
          <w:b/>
          <w:sz w:val="28"/>
          <w:szCs w:val="28"/>
          <w:lang w:val="en-US"/>
        </w:rPr>
        <w:fldChar w:fldCharType="begin"/>
      </w:r>
      <w:r w:rsidR="00177749" w:rsidRPr="004137BA">
        <w:rPr>
          <w:rFonts w:ascii="Calibri" w:eastAsia="Calibri" w:hAnsi="Calibri" w:cs="Calibri"/>
          <w:b/>
          <w:sz w:val="28"/>
          <w:szCs w:val="28"/>
          <w:lang w:val="en-US"/>
        </w:rPr>
        <w:instrText xml:space="preserve"> SEQ Table \* ARABIC </w:instrText>
      </w:r>
      <w:r w:rsidR="00177749" w:rsidRPr="004137BA">
        <w:rPr>
          <w:rFonts w:ascii="Calibri" w:eastAsia="Calibri" w:hAnsi="Calibri" w:cs="Calibri"/>
          <w:b/>
          <w:sz w:val="28"/>
          <w:szCs w:val="28"/>
          <w:lang w:val="en-US"/>
        </w:rPr>
        <w:fldChar w:fldCharType="separate"/>
      </w:r>
      <w:r w:rsidR="00177749" w:rsidRPr="004137BA">
        <w:rPr>
          <w:rFonts w:ascii="Calibri" w:eastAsia="Calibri" w:hAnsi="Calibri" w:cs="Calibri"/>
          <w:b/>
          <w:sz w:val="28"/>
          <w:szCs w:val="28"/>
          <w:lang w:val="en-US"/>
        </w:rPr>
        <w:t>1</w:t>
      </w:r>
      <w:r w:rsidR="00177749" w:rsidRPr="004137BA">
        <w:rPr>
          <w:rFonts w:ascii="Calibri" w:eastAsia="Calibri" w:hAnsi="Calibri" w:cs="Calibri"/>
          <w:b/>
          <w:sz w:val="28"/>
          <w:szCs w:val="28"/>
          <w:lang w:val="en-US"/>
        </w:rPr>
        <w:fldChar w:fldCharType="end"/>
      </w:r>
    </w:p>
    <w:p w14:paraId="085BFA13" w14:textId="1ACDE234" w:rsidR="00A12175" w:rsidRPr="00A12175" w:rsidRDefault="00A12175" w:rsidP="00A12175">
      <w:pPr>
        <w:rPr>
          <w:rFonts w:asciiTheme="majorHAnsi" w:hAnsiTheme="majorHAnsi"/>
          <w:lang w:val="en-CA"/>
        </w:rPr>
      </w:pPr>
    </w:p>
    <w:p w14:paraId="4B9570F6" w14:textId="46A0EE3F" w:rsidR="00B07CC0" w:rsidRPr="0013127A" w:rsidRDefault="00B07CC0" w:rsidP="0013127A">
      <w:pPr>
        <w:jc w:val="center"/>
        <w:rPr>
          <w:rFonts w:asciiTheme="majorHAnsi" w:hAnsiTheme="majorHAnsi"/>
          <w:lang w:val="en-US"/>
        </w:rPr>
      </w:pPr>
    </w:p>
    <w:sectPr w:rsidR="00B07CC0" w:rsidRPr="0013127A">
      <w:headerReference w:type="default" r:id="rId11"/>
      <w:footerReference w:type="default" r:id="rId12"/>
      <w:pgSz w:w="12240" w:h="15840"/>
      <w:pgMar w:top="1440" w:right="1281"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37F61" w14:textId="77777777" w:rsidR="00BE2564" w:rsidRDefault="00BE2564">
      <w:pPr>
        <w:spacing w:line="240" w:lineRule="auto"/>
      </w:pPr>
      <w:r>
        <w:separator/>
      </w:r>
    </w:p>
  </w:endnote>
  <w:endnote w:type="continuationSeparator" w:id="0">
    <w:p w14:paraId="4A177C05" w14:textId="77777777" w:rsidR="00BE2564" w:rsidRDefault="00BE2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hunkFive">
    <w:altName w:val="Calibri"/>
    <w:charset w:val="00"/>
    <w:family w:val="auto"/>
    <w:pitch w:val="variable"/>
    <w:sig w:usb0="80000023" w:usb1="08000040" w:usb2="14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6644" w14:textId="77777777" w:rsidR="009B7FBF" w:rsidRPr="00A01FE7" w:rsidRDefault="00177749">
    <w:pPr>
      <w:jc w:val="right"/>
      <w:rPr>
        <w:rFonts w:asciiTheme="majorHAnsi" w:hAnsiTheme="majorHAnsi" w:cstheme="majorHAnsi"/>
        <w:sz w:val="20"/>
        <w:szCs w:val="20"/>
        <w:lang w:val="en-CA"/>
      </w:rPr>
    </w:pPr>
    <w:r w:rsidRPr="00A01FE7">
      <w:rPr>
        <w:rFonts w:asciiTheme="majorHAnsi" w:hAnsiTheme="majorHAnsi" w:cstheme="majorHAnsi"/>
        <w:sz w:val="20"/>
        <w:szCs w:val="20"/>
      </w:rPr>
      <w:fldChar w:fldCharType="begin"/>
    </w:r>
    <w:r w:rsidRPr="00A01FE7">
      <w:rPr>
        <w:rFonts w:asciiTheme="majorHAnsi" w:hAnsiTheme="majorHAnsi" w:cstheme="majorHAnsi"/>
        <w:sz w:val="20"/>
        <w:szCs w:val="20"/>
        <w:lang w:val="en-CA"/>
      </w:rPr>
      <w:instrText>PAGE</w:instrText>
    </w:r>
    <w:r w:rsidRPr="00A01FE7">
      <w:rPr>
        <w:rFonts w:asciiTheme="majorHAnsi" w:hAnsiTheme="majorHAnsi" w:cstheme="majorHAnsi"/>
        <w:sz w:val="20"/>
        <w:szCs w:val="20"/>
      </w:rPr>
      <w:fldChar w:fldCharType="separate"/>
    </w:r>
    <w:r w:rsidR="00E13322">
      <w:rPr>
        <w:rFonts w:asciiTheme="majorHAnsi" w:hAnsiTheme="majorHAnsi" w:cstheme="majorHAnsi"/>
        <w:noProof/>
        <w:sz w:val="20"/>
        <w:szCs w:val="20"/>
        <w:lang w:val="en-CA"/>
      </w:rPr>
      <w:t>1</w:t>
    </w:r>
    <w:r w:rsidRPr="00A01FE7">
      <w:rPr>
        <w:rFonts w:asciiTheme="majorHAnsi" w:hAnsiTheme="majorHAnsi" w:cstheme="majorHAnsi"/>
        <w:sz w:val="20"/>
        <w:szCs w:val="20"/>
      </w:rPr>
      <w:fldChar w:fldCharType="end"/>
    </w:r>
  </w:p>
  <w:p w14:paraId="07643A30" w14:textId="77777777" w:rsidR="009B7FBF" w:rsidRPr="00A01FE7" w:rsidRDefault="00177749">
    <w:pPr>
      <w:jc w:val="center"/>
      <w:rPr>
        <w:rFonts w:asciiTheme="majorHAnsi" w:hAnsiTheme="majorHAnsi" w:cstheme="majorHAnsi"/>
        <w:b/>
        <w:color w:val="000000" w:themeColor="text1"/>
        <w:sz w:val="20"/>
        <w:szCs w:val="20"/>
        <w:lang w:val="en-US"/>
      </w:rPr>
    </w:pPr>
    <w:r w:rsidRPr="00A01FE7">
      <w:rPr>
        <w:rFonts w:asciiTheme="majorHAnsi" w:hAnsiTheme="majorHAnsi" w:cstheme="majorHAnsi"/>
        <w:sz w:val="20"/>
        <w:szCs w:val="20"/>
        <w:lang w:val="en-US"/>
      </w:rPr>
      <w:t xml:space="preserve">Email: </w:t>
    </w:r>
    <w:hyperlink r:id="rId1" w:history="1">
      <w:r w:rsidR="00A75399" w:rsidRPr="00A01FE7">
        <w:rPr>
          <w:rStyle w:val="Hyperlink"/>
          <w:rFonts w:asciiTheme="majorHAnsi" w:hAnsiTheme="majorHAnsi" w:cstheme="majorHAnsi"/>
          <w:sz w:val="20"/>
          <w:szCs w:val="20"/>
          <w:lang w:val="en-US"/>
        </w:rPr>
        <w:t>comunicaciones@climate4change.org</w:t>
      </w:r>
    </w:hyperlink>
    <w:r w:rsidRPr="00A01FE7">
      <w:rPr>
        <w:rFonts w:asciiTheme="majorHAnsi" w:hAnsiTheme="majorHAnsi" w:cstheme="majorHAnsi"/>
        <w:sz w:val="20"/>
        <w:szCs w:val="20"/>
        <w:lang w:val="en-US"/>
      </w:rPr>
      <w:t xml:space="preserve"> </w:t>
    </w:r>
    <w:r w:rsidRPr="00A01FE7">
      <w:rPr>
        <w:rFonts w:asciiTheme="majorHAnsi" w:hAnsiTheme="majorHAnsi" w:cstheme="majorHAnsi"/>
        <w:sz w:val="20"/>
        <w:szCs w:val="20"/>
        <w:lang w:val="en-US"/>
      </w:rPr>
      <w:tab/>
    </w:r>
    <w:r w:rsidRPr="00A01FE7">
      <w:rPr>
        <w:rFonts w:asciiTheme="majorHAnsi" w:hAnsiTheme="majorHAnsi" w:cstheme="majorHAnsi"/>
        <w:sz w:val="20"/>
        <w:szCs w:val="20"/>
        <w:lang w:val="en-US"/>
      </w:rPr>
      <w:tab/>
    </w:r>
    <w:r w:rsidRPr="00A01FE7">
      <w:rPr>
        <w:rFonts w:asciiTheme="majorHAnsi" w:hAnsiTheme="majorHAnsi" w:cstheme="majorHAnsi"/>
        <w:sz w:val="20"/>
        <w:szCs w:val="20"/>
        <w:lang w:val="en-US"/>
      </w:rPr>
      <w:tab/>
    </w:r>
    <w:r w:rsidRPr="00A01FE7">
      <w:rPr>
        <w:rFonts w:asciiTheme="majorHAnsi" w:hAnsiTheme="majorHAnsi" w:cstheme="majorHAnsi"/>
        <w:sz w:val="20"/>
        <w:szCs w:val="20"/>
        <w:lang w:val="en-US"/>
      </w:rPr>
      <w:tab/>
    </w:r>
    <w:hyperlink r:id="rId2" w:history="1">
      <w:r w:rsidRPr="00A01FE7">
        <w:rPr>
          <w:rFonts w:ascii="ChunkFive" w:hAnsi="ChunkFive" w:cstheme="majorHAnsi"/>
          <w:color w:val="000000" w:themeColor="text1"/>
          <w:sz w:val="20"/>
          <w:szCs w:val="20"/>
          <w:u w:val="single"/>
          <w:lang w:val="en-US"/>
        </w:rPr>
        <w:t>www.LaRutadelClima.org</w:t>
      </w:r>
    </w:hyperlink>
    <w:r w:rsidRPr="00A01FE7">
      <w:rPr>
        <w:rFonts w:asciiTheme="majorHAnsi" w:hAnsiTheme="majorHAnsi" w:cstheme="majorHAnsi"/>
        <w:b/>
        <w:color w:val="000000" w:themeColor="text1"/>
        <w:sz w:val="20"/>
        <w:szCs w:val="20"/>
        <w:lang w:val="en-US"/>
      </w:rPr>
      <w:t xml:space="preserve"> </w:t>
    </w:r>
  </w:p>
  <w:p w14:paraId="2B19041A" w14:textId="77777777" w:rsidR="00A01FE7" w:rsidRDefault="00A01FE7" w:rsidP="00A01FE7">
    <w:pPr>
      <w:rPr>
        <w:rFonts w:ascii="Calibri" w:eastAsia="Calibri" w:hAnsi="Calibri" w:cs="Calibri"/>
        <w:sz w:val="16"/>
        <w:szCs w:val="16"/>
        <w:lang w:val="en-CA"/>
      </w:rPr>
    </w:pPr>
  </w:p>
  <w:p w14:paraId="79BF29EA" w14:textId="77777777" w:rsidR="00A01FE7" w:rsidRPr="001759F4" w:rsidRDefault="00177749" w:rsidP="00A01FE7">
    <w:pPr>
      <w:rPr>
        <w:rFonts w:ascii="Calibri" w:eastAsia="Calibri" w:hAnsi="Calibri" w:cs="Calibri"/>
        <w:sz w:val="16"/>
        <w:szCs w:val="16"/>
        <w:lang w:val="en-CA"/>
      </w:rPr>
    </w:pPr>
    <w:r w:rsidRPr="001759F4">
      <w:rPr>
        <w:rFonts w:ascii="Calibri" w:eastAsia="Calibri" w:hAnsi="Calibri" w:cs="Calibri"/>
        <w:noProof/>
        <w:sz w:val="16"/>
        <w:szCs w:val="16"/>
        <w:lang w:val="en-GB" w:eastAsia="en-GB"/>
      </w:rPr>
      <w:drawing>
        <wp:inline distT="114300" distB="114300" distL="114300" distR="114300" wp14:anchorId="4EB1BCE9" wp14:editId="13A928C3">
          <wp:extent cx="762000" cy="142875"/>
          <wp:effectExtent l="0" t="0" r="0" b="0"/>
          <wp:docPr id="7" name="image8.png" descr="Creative Commons License"/>
          <wp:cNvGraphicFramePr/>
          <a:graphic xmlns:a="http://schemas.openxmlformats.org/drawingml/2006/main">
            <a:graphicData uri="http://schemas.openxmlformats.org/drawingml/2006/picture">
              <pic:pic xmlns:pic="http://schemas.openxmlformats.org/drawingml/2006/picture">
                <pic:nvPicPr>
                  <pic:cNvPr id="1592728190" name="image8.png" descr="Creative Commons License"/>
                  <pic:cNvPicPr/>
                </pic:nvPicPr>
                <pic:blipFill>
                  <a:blip r:embed="rId3"/>
                  <a:stretch>
                    <a:fillRect/>
                  </a:stretch>
                </pic:blipFill>
                <pic:spPr>
                  <a:xfrm>
                    <a:off x="0" y="0"/>
                    <a:ext cx="762000" cy="142875"/>
                  </a:xfrm>
                  <a:prstGeom prst="rect">
                    <a:avLst/>
                  </a:prstGeom>
                </pic:spPr>
              </pic:pic>
            </a:graphicData>
          </a:graphic>
        </wp:inline>
      </w:drawing>
    </w:r>
  </w:p>
  <w:p w14:paraId="35B7F95C" w14:textId="77777777" w:rsidR="00A01FE7" w:rsidRPr="001759F4" w:rsidRDefault="00177749" w:rsidP="007E1E84">
    <w:pPr>
      <w:jc w:val="center"/>
      <w:rPr>
        <w:rFonts w:ascii="Calibri" w:eastAsia="Calibri" w:hAnsi="Calibri" w:cs="Calibri"/>
        <w:sz w:val="16"/>
        <w:szCs w:val="16"/>
        <w:lang w:val="en-CA"/>
      </w:rPr>
    </w:pPr>
    <w:r w:rsidRPr="001759F4">
      <w:rPr>
        <w:color w:val="464646"/>
        <w:sz w:val="16"/>
        <w:szCs w:val="16"/>
        <w:highlight w:val="white"/>
        <w:lang w:val="en-CA"/>
      </w:rPr>
      <w:t xml:space="preserve">This work is licensed under a </w:t>
    </w:r>
    <w:hyperlink r:id="rId4" w:history="1">
      <w:r w:rsidRPr="001759F4">
        <w:rPr>
          <w:color w:val="049CCF"/>
          <w:sz w:val="16"/>
          <w:szCs w:val="16"/>
          <w:highlight w:val="white"/>
          <w:u w:val="single"/>
          <w:lang w:val="en-CA"/>
        </w:rPr>
        <w:t>Creative Commons Attribution-NonCommercial-NoDerivatives 4.0 International License</w:t>
      </w:r>
    </w:hyperlink>
    <w:r w:rsidRPr="001759F4">
      <w:rPr>
        <w:color w:val="464646"/>
        <w:sz w:val="16"/>
        <w:szCs w:val="16"/>
        <w:highlight w:val="white"/>
        <w:lang w:val="en-CA"/>
      </w:rPr>
      <w:t>.</w:t>
    </w:r>
  </w:p>
  <w:p w14:paraId="6DE601EE" w14:textId="77777777" w:rsidR="00A01FE7" w:rsidRPr="00A01FE7" w:rsidRDefault="00A01FE7">
    <w:pPr>
      <w:jc w:val="center"/>
      <w:rPr>
        <w:b/>
        <w:color w:val="000000" w:themeColor="text1"/>
        <w:sz w:val="20"/>
        <w:szCs w:val="20"/>
        <w:lang w:val="en-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6D49" w14:textId="77777777" w:rsidR="00BE2564" w:rsidRDefault="00BE2564">
      <w:pPr>
        <w:spacing w:line="240" w:lineRule="auto"/>
      </w:pPr>
      <w:r>
        <w:separator/>
      </w:r>
    </w:p>
  </w:footnote>
  <w:footnote w:type="continuationSeparator" w:id="0">
    <w:p w14:paraId="07A06ECF" w14:textId="77777777" w:rsidR="00BE2564" w:rsidRDefault="00BE2564">
      <w:pPr>
        <w:spacing w:line="240" w:lineRule="auto"/>
      </w:pPr>
      <w:r>
        <w:continuationSeparator/>
      </w:r>
    </w:p>
  </w:footnote>
  <w:footnote w:id="1">
    <w:p w14:paraId="5B8D8CD1" w14:textId="77777777" w:rsidR="00021E18" w:rsidRPr="00C72894" w:rsidRDefault="00177749" w:rsidP="00021E18">
      <w:pPr>
        <w:pStyle w:val="FootnoteText"/>
        <w:rPr>
          <w:rFonts w:asciiTheme="majorHAnsi" w:hAnsiTheme="majorHAnsi" w:cs="Times New Roman"/>
          <w:b/>
          <w:sz w:val="22"/>
          <w:szCs w:val="22"/>
          <w:lang w:val="de-DE"/>
        </w:rPr>
      </w:pPr>
      <w:r w:rsidRPr="0013127A">
        <w:rPr>
          <w:rFonts w:asciiTheme="majorHAnsi" w:hAnsiTheme="majorHAnsi" w:cs="Times New Roman"/>
          <w:b/>
          <w:sz w:val="16"/>
          <w:szCs w:val="16"/>
          <w:lang w:val="de-DE"/>
        </w:rPr>
        <w:t xml:space="preserve"> </w:t>
      </w:r>
      <w:r w:rsidRPr="00C72894">
        <w:rPr>
          <w:rFonts w:asciiTheme="majorHAnsi" w:hAnsiTheme="majorHAnsi" w:cs="Times New Roman"/>
          <w:b/>
          <w:sz w:val="22"/>
          <w:szCs w:val="22"/>
          <w:lang w:val="de-DE"/>
        </w:rPr>
        <w:t xml:space="preserve">References </w:t>
      </w:r>
    </w:p>
    <w:p w14:paraId="60600ECE" w14:textId="77777777" w:rsidR="00021E18" w:rsidRPr="0013127A" w:rsidRDefault="00021E18" w:rsidP="00021E18">
      <w:pPr>
        <w:pStyle w:val="FootnoteText"/>
        <w:rPr>
          <w:rFonts w:asciiTheme="majorHAnsi" w:hAnsiTheme="majorHAnsi" w:cs="Times New Roman"/>
          <w:sz w:val="16"/>
          <w:szCs w:val="16"/>
          <w:lang w:val="de-DE"/>
        </w:rPr>
      </w:pPr>
    </w:p>
    <w:p w14:paraId="6024EFB7"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de-DE"/>
        </w:rPr>
        <w:t xml:space="preserve"> Warner, K., Van der Geest, K., Huq, S., Harmeling, S., Kusters, K., de Sherbinin, A., &amp; Kreft, S. (2012). </w:t>
      </w:r>
      <w:r w:rsidRPr="0013127A">
        <w:rPr>
          <w:rFonts w:asciiTheme="majorHAnsi" w:hAnsiTheme="majorHAnsi" w:cs="Times New Roman"/>
          <w:i/>
          <w:iCs/>
          <w:sz w:val="16"/>
          <w:szCs w:val="16"/>
        </w:rPr>
        <w:t>Evidence from the frontlines of climate change: Loss and damage to communities despite coping and adaptation</w:t>
      </w:r>
      <w:r w:rsidRPr="0013127A">
        <w:rPr>
          <w:rFonts w:asciiTheme="majorHAnsi" w:hAnsiTheme="majorHAnsi" w:cs="Times New Roman"/>
          <w:sz w:val="16"/>
          <w:szCs w:val="16"/>
        </w:rPr>
        <w:t>. UNU-EHS Report. UNU- EHS, p. 20.</w:t>
      </w:r>
    </w:p>
  </w:footnote>
  <w:footnote w:id="2">
    <w:p w14:paraId="040D3B7E"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For a recent overview of non-economic loss and damage, see</w:t>
      </w:r>
      <w:r w:rsidRPr="0013127A">
        <w:rPr>
          <w:rFonts w:asciiTheme="majorHAnsi" w:hAnsiTheme="majorHAnsi" w:cs="Times New Roman"/>
          <w:color w:val="222222"/>
          <w:sz w:val="16"/>
          <w:szCs w:val="16"/>
          <w:shd w:val="clear" w:color="auto" w:fill="F8F8F8"/>
        </w:rPr>
        <w:t xml:space="preserve"> </w:t>
      </w:r>
      <w:r w:rsidRPr="0013127A">
        <w:rPr>
          <w:rFonts w:asciiTheme="majorHAnsi" w:hAnsiTheme="majorHAnsi" w:cs="Times New Roman"/>
          <w:sz w:val="16"/>
          <w:szCs w:val="16"/>
        </w:rPr>
        <w:t>Serdeczny, O. (2019). Non-economic loss and damage and the Warsaw international mechanism. In </w:t>
      </w:r>
      <w:r w:rsidRPr="0013127A">
        <w:rPr>
          <w:rFonts w:asciiTheme="majorHAnsi" w:hAnsiTheme="majorHAnsi" w:cs="Times New Roman"/>
          <w:i/>
          <w:iCs/>
          <w:sz w:val="16"/>
          <w:szCs w:val="16"/>
        </w:rPr>
        <w:t>Loss and Damage from Climate Change</w:t>
      </w:r>
      <w:r w:rsidRPr="0013127A">
        <w:rPr>
          <w:rFonts w:asciiTheme="majorHAnsi" w:hAnsiTheme="majorHAnsi" w:cs="Times New Roman"/>
          <w:sz w:val="16"/>
          <w:szCs w:val="16"/>
        </w:rPr>
        <w:t> (pp. 205-220). Springer, Cham. Online &lt;https://link.springer.com/chapter/10.1007/978-3-319-72026-5_8&gt;.</w:t>
      </w:r>
    </w:p>
  </w:footnote>
  <w:footnote w:id="3">
    <w:p w14:paraId="0AAFF57E"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Klein, R. J. T. et al., 'Adaptation Opportunities, Constraints, and Limits' in Chris B Field et al. (eds), </w:t>
      </w:r>
      <w:r w:rsidRPr="0013127A">
        <w:rPr>
          <w:rFonts w:asciiTheme="majorHAnsi" w:hAnsiTheme="majorHAnsi" w:cs="Times New Roman"/>
          <w:i/>
          <w:iCs/>
          <w:sz w:val="16"/>
          <w:szCs w:val="16"/>
        </w:rPr>
        <w:t xml:space="preserve">Climate Change 2014: Impacts, Adaptation, and Vulnerability. Part A: Global and Sectoral Aspects. Contribution of Working Group II to the Fifth Assessment Report of the Intergovernmental Panel on Climate Change </w:t>
      </w:r>
      <w:r w:rsidRPr="0013127A">
        <w:rPr>
          <w:rFonts w:asciiTheme="majorHAnsi" w:hAnsiTheme="majorHAnsi" w:cs="Times New Roman"/>
          <w:sz w:val="16"/>
          <w:szCs w:val="16"/>
        </w:rPr>
        <w:t>(Cambridge University Press 2014) 899, p. 903.</w:t>
      </w:r>
    </w:p>
  </w:footnote>
  <w:footnote w:id="4">
    <w:p w14:paraId="1B699667"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IPCC. (2018). "Sustainable Development, Poverty Eradication, and Reducing Inequalities." In </w:t>
      </w:r>
      <w:r w:rsidRPr="0013127A">
        <w:rPr>
          <w:rFonts w:asciiTheme="majorHAnsi" w:hAnsiTheme="majorHAnsi" w:cs="Times New Roman"/>
          <w:i/>
          <w:iCs/>
          <w:sz w:val="16"/>
          <w:szCs w:val="16"/>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Pr="0013127A">
        <w:rPr>
          <w:rFonts w:asciiTheme="majorHAnsi" w:hAnsiTheme="majorHAnsi" w:cs="Times New Roman"/>
          <w:sz w:val="16"/>
          <w:szCs w:val="16"/>
        </w:rPr>
        <w:t>. Cambridge: Cambridge University Press.</w:t>
      </w:r>
    </w:p>
  </w:footnote>
  <w:footnote w:id="5">
    <w:p w14:paraId="3CBBA6AA"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UNFCCC, Decision 1/CP.16.</w:t>
      </w:r>
    </w:p>
  </w:footnote>
  <w:footnote w:id="6">
    <w:p w14:paraId="05F598E9" w14:textId="77777777" w:rsidR="00021E18" w:rsidRPr="0013127A" w:rsidRDefault="00177749" w:rsidP="00021E18">
      <w:pPr>
        <w:pStyle w:val="FootnoteText"/>
        <w:rPr>
          <w:rFonts w:asciiTheme="majorHAnsi" w:hAnsiTheme="majorHAnsi" w:cs="Times New Roman"/>
          <w:sz w:val="16"/>
          <w:szCs w:val="16"/>
          <w:lang w:val="de-DE"/>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Huq, S. “Typhoon Haiyan shows why COP19 must deliver on loss and damage”, IIED Blog, 13 November 2013. </w:t>
      </w:r>
      <w:r w:rsidRPr="0013127A">
        <w:rPr>
          <w:rFonts w:asciiTheme="majorHAnsi" w:hAnsiTheme="majorHAnsi" w:cs="Times New Roman"/>
          <w:sz w:val="16"/>
          <w:szCs w:val="16"/>
          <w:lang w:val="de-DE"/>
        </w:rPr>
        <w:t>Online &lt;https://www.iied.org/typhoon-haiyan-shows-why-cop19-must-deliver-loss-damage&gt;.</w:t>
      </w:r>
    </w:p>
  </w:footnote>
  <w:footnote w:id="7">
    <w:p w14:paraId="39F7CB42"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UNFCCC, Decision 2/CP.19.</w:t>
      </w:r>
    </w:p>
  </w:footnote>
  <w:footnote w:id="8">
    <w:p w14:paraId="723D67AF"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UNFCCC, Decision 1/CP.21, paragraph 51.</w:t>
      </w:r>
    </w:p>
  </w:footnote>
  <w:footnote w:id="9">
    <w:p w14:paraId="38BF9411"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See also Mace, M. J., and R. Verheyen. (2016) “Loss, Damage and Responsibility after COP21: All Options Open for the Paris Agreement”, </w:t>
      </w:r>
      <w:r w:rsidRPr="0013127A">
        <w:rPr>
          <w:rFonts w:asciiTheme="majorHAnsi" w:hAnsiTheme="majorHAnsi" w:cs="Times New Roman"/>
          <w:i/>
          <w:sz w:val="16"/>
          <w:szCs w:val="16"/>
        </w:rPr>
        <w:t>RECIEL</w:t>
      </w:r>
      <w:r w:rsidRPr="0013127A">
        <w:rPr>
          <w:rFonts w:asciiTheme="majorHAnsi" w:hAnsiTheme="majorHAnsi" w:cs="Times New Roman"/>
          <w:sz w:val="16"/>
          <w:szCs w:val="16"/>
        </w:rPr>
        <w:t xml:space="preserve"> </w:t>
      </w:r>
      <w:r w:rsidRPr="0013127A">
        <w:rPr>
          <w:rFonts w:asciiTheme="majorHAnsi" w:hAnsiTheme="majorHAnsi" w:cs="Times New Roman"/>
          <w:i/>
          <w:sz w:val="16"/>
          <w:szCs w:val="16"/>
        </w:rPr>
        <w:t>25(2)</w:t>
      </w:r>
      <w:r w:rsidRPr="0013127A">
        <w:rPr>
          <w:rFonts w:asciiTheme="majorHAnsi" w:hAnsiTheme="majorHAnsi" w:cs="Times New Roman"/>
          <w:sz w:val="16"/>
          <w:szCs w:val="16"/>
        </w:rPr>
        <w:t>, pp. 197–214.</w:t>
      </w:r>
    </w:p>
  </w:footnote>
  <w:footnote w:id="10">
    <w:p w14:paraId="28A034CE" w14:textId="77777777" w:rsidR="00021E18" w:rsidRPr="0013127A" w:rsidRDefault="00177749" w:rsidP="00021E18">
      <w:pPr>
        <w:pStyle w:val="FootnoteText"/>
        <w:rPr>
          <w:rFonts w:asciiTheme="majorHAnsi" w:hAnsiTheme="majorHAnsi" w:cs="Times New Roman"/>
          <w:sz w:val="16"/>
          <w:szCs w:val="16"/>
          <w:lang w:val="fr-FR"/>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fr-FR"/>
        </w:rPr>
        <w:t xml:space="preserve"> UNFCCC, Paris Agreement, Article 8.3.</w:t>
      </w:r>
    </w:p>
  </w:footnote>
  <w:footnote w:id="11">
    <w:p w14:paraId="25169A81" w14:textId="77777777" w:rsidR="00021E18" w:rsidRPr="0013127A" w:rsidRDefault="00177749" w:rsidP="00021E18">
      <w:pPr>
        <w:pStyle w:val="FootnoteText"/>
        <w:rPr>
          <w:rFonts w:asciiTheme="majorHAnsi" w:hAnsiTheme="majorHAnsi" w:cs="Times New Roman"/>
          <w:sz w:val="16"/>
          <w:szCs w:val="16"/>
          <w:lang w:val="fr-FR"/>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fr-FR"/>
        </w:rPr>
        <w:t xml:space="preserve"> ibid., Article 8.5.</w:t>
      </w:r>
    </w:p>
  </w:footnote>
  <w:footnote w:id="12">
    <w:p w14:paraId="6F320E44"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fr-FR"/>
        </w:rPr>
        <w:t xml:space="preserve"> Toussaint, P. (2018). </w:t>
      </w:r>
      <w:r w:rsidRPr="0013127A">
        <w:rPr>
          <w:rFonts w:asciiTheme="majorHAnsi" w:hAnsiTheme="majorHAnsi" w:cs="Times New Roman"/>
          <w:sz w:val="16"/>
          <w:szCs w:val="16"/>
        </w:rPr>
        <w:t>Voices unheard–affected communities and the climate negotiations on loss and damage. </w:t>
      </w:r>
      <w:r w:rsidRPr="0013127A">
        <w:rPr>
          <w:rFonts w:asciiTheme="majorHAnsi" w:hAnsiTheme="majorHAnsi" w:cs="Times New Roman"/>
          <w:i/>
          <w:iCs/>
          <w:sz w:val="16"/>
          <w:szCs w:val="16"/>
        </w:rPr>
        <w:t>Third World Thematics: A TWQ Journal 3</w:t>
      </w:r>
      <w:r w:rsidRPr="0013127A">
        <w:rPr>
          <w:rFonts w:asciiTheme="majorHAnsi" w:hAnsiTheme="majorHAnsi" w:cs="Times New Roman"/>
          <w:iCs/>
          <w:sz w:val="16"/>
          <w:szCs w:val="16"/>
        </w:rPr>
        <w:t>(5-6)</w:t>
      </w:r>
      <w:r w:rsidRPr="0013127A">
        <w:rPr>
          <w:rFonts w:asciiTheme="majorHAnsi" w:hAnsiTheme="majorHAnsi" w:cs="Times New Roman"/>
          <w:sz w:val="16"/>
          <w:szCs w:val="16"/>
        </w:rPr>
        <w:t>, pp.1–20.</w:t>
      </w:r>
    </w:p>
  </w:footnote>
  <w:footnote w:id="13">
    <w:p w14:paraId="6E5A4AE0"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Haque, M., Pervin, M., Sultana, S., &amp; Huq, S. (2019). Towards Establishing a National Mechanism to Address Losses and Damages: A Case Study from Bangladesh. In </w:t>
      </w:r>
      <w:r w:rsidRPr="0013127A">
        <w:rPr>
          <w:rFonts w:asciiTheme="majorHAnsi" w:hAnsiTheme="majorHAnsi" w:cs="Times New Roman"/>
          <w:i/>
          <w:iCs/>
          <w:sz w:val="16"/>
          <w:szCs w:val="16"/>
        </w:rPr>
        <w:t>Loss and Damage from Climate Change</w:t>
      </w:r>
      <w:r w:rsidR="00F55FF9" w:rsidRPr="0013127A">
        <w:rPr>
          <w:rFonts w:asciiTheme="majorHAnsi" w:hAnsiTheme="majorHAnsi" w:cs="Times New Roman"/>
          <w:sz w:val="16"/>
          <w:szCs w:val="16"/>
        </w:rPr>
        <w:t> (pp. 451-473). Springer.</w:t>
      </w:r>
    </w:p>
  </w:footnote>
  <w:footnote w:id="14">
    <w:p w14:paraId="18F75D1A" w14:textId="77777777" w:rsidR="00021E18" w:rsidRPr="0013127A" w:rsidRDefault="00177749" w:rsidP="00021E18">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See, for example, the recent open access book by Mechler, R., Bouwer, L., Schinko, T., Surminski, S., &amp; Linnerooth-Bayer, J. (Eds.). (2018). </w:t>
      </w:r>
      <w:r w:rsidRPr="0013127A">
        <w:rPr>
          <w:rFonts w:asciiTheme="majorHAnsi" w:hAnsiTheme="majorHAnsi" w:cs="Times New Roman"/>
          <w:i/>
          <w:iCs/>
          <w:sz w:val="16"/>
          <w:szCs w:val="16"/>
        </w:rPr>
        <w:t>Loss and damage from climate change: Concepts, methods, and policy options</w:t>
      </w:r>
      <w:r w:rsidRPr="0013127A">
        <w:rPr>
          <w:rFonts w:asciiTheme="majorHAnsi" w:hAnsiTheme="majorHAnsi" w:cs="Times New Roman"/>
          <w:sz w:val="16"/>
          <w:szCs w:val="16"/>
        </w:rPr>
        <w:t>. Springer, which includes contributions from natural scientists, social scientists, and international lawyers.</w:t>
      </w:r>
    </w:p>
  </w:footnote>
  <w:footnote w:id="15">
    <w:p w14:paraId="7FE8F7E2" w14:textId="6A9571D0" w:rsidR="00CF24D0" w:rsidRPr="00CF24D0" w:rsidRDefault="00CF24D0">
      <w:pPr>
        <w:pStyle w:val="FootnoteText"/>
        <w:rPr>
          <w:lang w:val="en-GB"/>
        </w:rPr>
      </w:pPr>
      <w:r>
        <w:rPr>
          <w:rStyle w:val="FootnoteReference"/>
        </w:rPr>
        <w:footnoteRef/>
      </w:r>
      <w:r>
        <w:t xml:space="preserve"> </w:t>
      </w:r>
      <w:r>
        <w:rPr>
          <w:rFonts w:asciiTheme="majorHAnsi" w:hAnsiTheme="majorHAnsi" w:cs="Times New Roman"/>
          <w:sz w:val="16"/>
          <w:szCs w:val="16"/>
          <w:lang w:val="fr-FR"/>
        </w:rPr>
        <w:t>Toussaint (n 12).</w:t>
      </w:r>
    </w:p>
  </w:footnote>
  <w:footnote w:id="16">
    <w:p w14:paraId="7B4B05F0" w14:textId="20DC110F" w:rsidR="00CF24D0" w:rsidRPr="00CF24D0" w:rsidRDefault="00CF24D0">
      <w:pPr>
        <w:pStyle w:val="FootnoteText"/>
        <w:rPr>
          <w:lang w:val="en-GB"/>
        </w:rPr>
      </w:pPr>
      <w:r>
        <w:rPr>
          <w:rStyle w:val="FootnoteReference"/>
        </w:rPr>
        <w:footnoteRef/>
      </w:r>
      <w:r>
        <w:t xml:space="preserve"> </w:t>
      </w:r>
      <w:r w:rsidR="00833F46" w:rsidRPr="00833F46">
        <w:rPr>
          <w:rFonts w:asciiTheme="majorHAnsi" w:hAnsiTheme="majorHAnsi" w:cs="Times New Roman"/>
          <w:sz w:val="16"/>
          <w:szCs w:val="16"/>
          <w:lang w:val="en-GB"/>
        </w:rPr>
        <w:t xml:space="preserve">UNHRC. (2016). </w:t>
      </w:r>
      <w:r w:rsidR="00833F46" w:rsidRPr="00833F46">
        <w:rPr>
          <w:rFonts w:asciiTheme="majorHAnsi" w:hAnsiTheme="majorHAnsi" w:cs="Times New Roman"/>
          <w:i/>
          <w:sz w:val="16"/>
          <w:szCs w:val="16"/>
          <w:lang w:val="en-GB"/>
        </w:rPr>
        <w:t>Report of the Special Rapporteur on the issue of human rights obligations relating to the enjoyment of a safe, clean, healthy and sustainable environment</w:t>
      </w:r>
      <w:r w:rsidR="006F73BE">
        <w:rPr>
          <w:rFonts w:asciiTheme="majorHAnsi" w:hAnsiTheme="majorHAnsi" w:cs="Times New Roman"/>
          <w:sz w:val="16"/>
          <w:szCs w:val="16"/>
          <w:lang w:val="en-GB"/>
        </w:rPr>
        <w:t>. A/HRC/31/52</w:t>
      </w:r>
      <w:r w:rsidRPr="00CF24D0">
        <w:rPr>
          <w:rFonts w:asciiTheme="majorHAnsi" w:hAnsiTheme="majorHAnsi" w:cs="Times New Roman"/>
          <w:sz w:val="16"/>
          <w:szCs w:val="16"/>
        </w:rPr>
        <w:t>, paras. 81-82</w:t>
      </w:r>
    </w:p>
  </w:footnote>
  <w:footnote w:id="17">
    <w:p w14:paraId="68119A7B" w14:textId="77777777" w:rsidR="00AF7AA1" w:rsidRPr="0013127A" w:rsidRDefault="00AF7AA1" w:rsidP="00AF7AA1">
      <w:pPr>
        <w:pStyle w:val="FootnoteText"/>
        <w:rPr>
          <w:rFonts w:asciiTheme="majorHAnsi" w:eastAsia="Times New Roman" w:hAnsiTheme="majorHAnsi"/>
          <w:sz w:val="16"/>
          <w:szCs w:val="16"/>
          <w:lang w:val="en-GB" w:eastAsia="en-GB"/>
        </w:rPr>
      </w:pPr>
      <w:r w:rsidRPr="0013127A">
        <w:rPr>
          <w:rStyle w:val="FootnoteReference"/>
          <w:rFonts w:asciiTheme="majorHAnsi" w:hAnsiTheme="majorHAnsi"/>
          <w:sz w:val="16"/>
          <w:szCs w:val="16"/>
        </w:rPr>
        <w:footnoteRef/>
      </w:r>
      <w:r w:rsidRPr="0013127A">
        <w:rPr>
          <w:rFonts w:asciiTheme="majorHAnsi" w:hAnsiTheme="majorHAnsi"/>
          <w:sz w:val="16"/>
          <w:szCs w:val="16"/>
        </w:rPr>
        <w:t xml:space="preserve"> Including the 1992 Rio Declaration on Environment and Development, Principle 10; the UNECE Convention on Access to Information, Public Participation in Decision-making and Access to Justice in Environmental Matters, Aarhus 25 June 1998 (Aarhus Convention, in force 30 October 2001); the UNECLAC Regional Agreement on Access to Information, Public Participation and Justice in Environmental Matters in Latin America and the Caribbean, Escazú, 4 March 2018 (Escazú Agreement, not yet in force); and the Almaty Guidelines on Promoting the Application of the Principles of the Aarhus Convention in International Forums, UN Doc. ECE/MP.PP/2005/2/Add.5, 20 June 2005, Almaty 27 May 2005, Annex.</w:t>
      </w:r>
    </w:p>
  </w:footnote>
  <w:footnote w:id="18">
    <w:p w14:paraId="06604158" w14:textId="1FA8BC36" w:rsidR="00AF7AA1" w:rsidRPr="003C1D2B" w:rsidRDefault="00AF7AA1" w:rsidP="00AF7AA1">
      <w:pPr>
        <w:pStyle w:val="FootnoteText"/>
        <w:rPr>
          <w:rFonts w:asciiTheme="majorHAnsi" w:hAnsiTheme="majorHAnsi" w:cs="Times New Roman"/>
          <w:sz w:val="16"/>
          <w:szCs w:val="16"/>
          <w:lang w:val="en-GB"/>
        </w:rPr>
      </w:pPr>
      <w:r>
        <w:rPr>
          <w:rStyle w:val="FootnoteReference"/>
        </w:rPr>
        <w:footnoteRef/>
      </w:r>
      <w:r>
        <w:t xml:space="preserve"> </w:t>
      </w:r>
      <w:r w:rsidR="003C1D2B">
        <w:rPr>
          <w:rFonts w:asciiTheme="majorHAnsi" w:hAnsiTheme="majorHAnsi" w:cs="Times New Roman"/>
          <w:sz w:val="16"/>
          <w:szCs w:val="16"/>
          <w:lang w:val="en-GB"/>
        </w:rPr>
        <w:t>Broberg, M. and Sano, H. (</w:t>
      </w:r>
      <w:r w:rsidR="003C1D2B" w:rsidRPr="003C1D2B">
        <w:rPr>
          <w:rFonts w:asciiTheme="majorHAnsi" w:hAnsiTheme="majorHAnsi" w:cs="Times New Roman"/>
          <w:sz w:val="16"/>
          <w:szCs w:val="16"/>
          <w:lang w:val="en-GB"/>
        </w:rPr>
        <w:t>2018) Strengths and weaknesses in a human rights-based approach to international development – an analysis of a rights-based approach to development assistance based on practical experiences, The International Journal of Human Rights, </w:t>
      </w:r>
      <w:r w:rsidR="003C1D2B">
        <w:rPr>
          <w:rFonts w:asciiTheme="majorHAnsi" w:hAnsiTheme="majorHAnsi" w:cs="Times New Roman"/>
          <w:sz w:val="16"/>
          <w:szCs w:val="16"/>
          <w:lang w:val="en-GB"/>
        </w:rPr>
        <w:t>22(</w:t>
      </w:r>
      <w:r w:rsidR="003C1D2B" w:rsidRPr="003C1D2B">
        <w:rPr>
          <w:rFonts w:asciiTheme="majorHAnsi" w:hAnsiTheme="majorHAnsi" w:cs="Times New Roman"/>
          <w:sz w:val="16"/>
          <w:szCs w:val="16"/>
          <w:lang w:val="en-GB"/>
        </w:rPr>
        <w:t>5</w:t>
      </w:r>
      <w:r w:rsidR="003C1D2B">
        <w:rPr>
          <w:rFonts w:asciiTheme="majorHAnsi" w:hAnsiTheme="majorHAnsi" w:cs="Times New Roman"/>
          <w:sz w:val="16"/>
          <w:szCs w:val="16"/>
          <w:lang w:val="en-GB"/>
        </w:rPr>
        <w:t>)</w:t>
      </w:r>
      <w:r w:rsidRPr="007759CE">
        <w:rPr>
          <w:rFonts w:asciiTheme="majorHAnsi" w:hAnsiTheme="majorHAnsi" w:cs="Times New Roman"/>
          <w:sz w:val="16"/>
          <w:szCs w:val="16"/>
          <w:lang w:val="en-CA"/>
        </w:rPr>
        <w:t>, p. 670</w:t>
      </w:r>
    </w:p>
  </w:footnote>
  <w:footnote w:id="19">
    <w:p w14:paraId="35B78C95" w14:textId="77777777" w:rsidR="00AF7AA1" w:rsidRPr="00116A53" w:rsidRDefault="00AF7AA1" w:rsidP="00AF7AA1">
      <w:pPr>
        <w:pStyle w:val="FootnoteText"/>
        <w:rPr>
          <w:lang w:val="en-GB"/>
        </w:rPr>
      </w:pPr>
      <w:r>
        <w:rPr>
          <w:rStyle w:val="FootnoteReference"/>
        </w:rPr>
        <w:footnoteRef/>
      </w:r>
      <w:r>
        <w:t xml:space="preserve"> </w:t>
      </w:r>
      <w:r w:rsidRPr="00116A53">
        <w:rPr>
          <w:rFonts w:asciiTheme="majorHAnsi" w:hAnsiTheme="majorHAnsi" w:cs="Times New Roman"/>
          <w:sz w:val="16"/>
          <w:szCs w:val="16"/>
          <w:lang w:val="en-CA"/>
        </w:rPr>
        <w:t>ibid. p. 669.</w:t>
      </w:r>
    </w:p>
  </w:footnote>
  <w:footnote w:id="20">
    <w:p w14:paraId="64BB6D4F" w14:textId="77777777" w:rsidR="0083783C" w:rsidRPr="0013127A" w:rsidRDefault="00177749" w:rsidP="0083783C">
      <w:pPr>
        <w:pStyle w:val="FootnoteText"/>
        <w:rPr>
          <w:rFonts w:asciiTheme="majorHAnsi" w:hAnsiTheme="majorHAnsi" w:cs="Times New Roman"/>
          <w:sz w:val="16"/>
          <w:szCs w:val="16"/>
          <w:lang w:val="fr-FR"/>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fr-FR"/>
        </w:rPr>
        <w:t xml:space="preserve"> UN Charter, Articles 1, para. 3, 55, and 56. </w:t>
      </w:r>
    </w:p>
  </w:footnote>
  <w:footnote w:id="21">
    <w:p w14:paraId="055D58C1" w14:textId="77777777" w:rsidR="0083783C" w:rsidRPr="0013127A" w:rsidRDefault="00177749" w:rsidP="0083783C">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w:t>
      </w:r>
      <w:r w:rsidRPr="0013127A">
        <w:rPr>
          <w:rFonts w:asciiTheme="majorHAnsi" w:hAnsiTheme="majorHAnsi" w:cs="Times New Roman"/>
          <w:color w:val="000000"/>
          <w:sz w:val="16"/>
          <w:szCs w:val="16"/>
        </w:rPr>
        <w:t>Report of the Office of the United Nations High Commissioner for Human Rights on the relationship between climate change and human rights, paragraph 87.</w:t>
      </w:r>
    </w:p>
  </w:footnote>
  <w:footnote w:id="22">
    <w:p w14:paraId="0D3A70E8" w14:textId="5DD7A289" w:rsidR="000041CB" w:rsidRPr="000041CB" w:rsidRDefault="000041CB">
      <w:pPr>
        <w:pStyle w:val="FootnoteText"/>
        <w:rPr>
          <w:lang w:val="en-GB"/>
        </w:rPr>
      </w:pPr>
      <w:r>
        <w:rPr>
          <w:rStyle w:val="FootnoteReference"/>
        </w:rPr>
        <w:footnoteRef/>
      </w:r>
      <w:r>
        <w:t xml:space="preserve"> </w:t>
      </w:r>
      <w:r w:rsidR="002C4A94">
        <w:rPr>
          <w:rFonts w:asciiTheme="majorHAnsi" w:hAnsiTheme="majorHAnsi" w:cs="Times New Roman"/>
          <w:sz w:val="16"/>
          <w:szCs w:val="16"/>
          <w:lang w:val="en-GB"/>
        </w:rPr>
        <w:t>UNHRC. (2017</w:t>
      </w:r>
      <w:r w:rsidR="009D4929" w:rsidRPr="009D4929">
        <w:rPr>
          <w:rFonts w:asciiTheme="majorHAnsi" w:hAnsiTheme="majorHAnsi" w:cs="Times New Roman"/>
          <w:sz w:val="16"/>
          <w:szCs w:val="16"/>
          <w:lang w:val="en-GB"/>
        </w:rPr>
        <w:t xml:space="preserve">). </w:t>
      </w:r>
      <w:r w:rsidR="009D4929" w:rsidRPr="009D4929">
        <w:rPr>
          <w:rFonts w:asciiTheme="majorHAnsi" w:hAnsiTheme="majorHAnsi" w:cs="Times New Roman"/>
          <w:i/>
          <w:sz w:val="16"/>
          <w:szCs w:val="16"/>
          <w:lang w:val="en-GB"/>
        </w:rPr>
        <w:t>Analytical study on the relationship between climate change and the full and effective enjoyment of the rights of the child</w:t>
      </w:r>
      <w:r w:rsidR="009D4929" w:rsidRPr="009D4929">
        <w:rPr>
          <w:rFonts w:asciiTheme="majorHAnsi" w:hAnsiTheme="majorHAnsi" w:cs="Times New Roman"/>
          <w:sz w:val="16"/>
          <w:szCs w:val="16"/>
          <w:lang w:val="en-GB"/>
        </w:rPr>
        <w:t>. A/HRC/35/13</w:t>
      </w:r>
      <w:r w:rsidRPr="000041CB">
        <w:rPr>
          <w:rFonts w:asciiTheme="majorHAnsi" w:hAnsiTheme="majorHAnsi" w:cs="Times New Roman"/>
          <w:sz w:val="16"/>
          <w:szCs w:val="16"/>
        </w:rPr>
        <w:t>, para. 31</w:t>
      </w:r>
      <w:r>
        <w:rPr>
          <w:rFonts w:asciiTheme="majorHAnsi" w:hAnsiTheme="majorHAnsi" w:cs="Times New Roman"/>
          <w:sz w:val="16"/>
          <w:szCs w:val="16"/>
        </w:rPr>
        <w:t>.</w:t>
      </w:r>
    </w:p>
  </w:footnote>
  <w:footnote w:id="23">
    <w:p w14:paraId="6D2A2407" w14:textId="77777777" w:rsidR="00885AC0" w:rsidRPr="0054748E" w:rsidRDefault="00177749" w:rsidP="00885AC0">
      <w:pPr>
        <w:pStyle w:val="FootnoteText"/>
        <w:rPr>
          <w:rFonts w:asciiTheme="majorHAnsi" w:hAnsiTheme="majorHAnsi" w:cs="Times New Roman"/>
          <w:sz w:val="16"/>
          <w:szCs w:val="16"/>
          <w:lang w:val="en-CA"/>
        </w:rPr>
      </w:pPr>
      <w:r w:rsidRPr="0013127A">
        <w:rPr>
          <w:rStyle w:val="FootnoteReference"/>
          <w:rFonts w:asciiTheme="majorHAnsi" w:hAnsiTheme="majorHAnsi" w:cs="Times New Roman"/>
          <w:sz w:val="16"/>
          <w:szCs w:val="16"/>
        </w:rPr>
        <w:footnoteRef/>
      </w:r>
      <w:r w:rsidRPr="0054748E">
        <w:rPr>
          <w:rFonts w:asciiTheme="majorHAnsi" w:hAnsiTheme="majorHAnsi" w:cs="Times New Roman"/>
          <w:sz w:val="16"/>
          <w:szCs w:val="16"/>
          <w:lang w:val="en-CA"/>
        </w:rPr>
        <w:t xml:space="preserve"> UNFCCC, Decision 2/CP.19, paras 5(a)-(c).</w:t>
      </w:r>
    </w:p>
  </w:footnote>
  <w:footnote w:id="24">
    <w:p w14:paraId="31DEA658" w14:textId="77777777" w:rsidR="00885AC0" w:rsidRPr="0013127A" w:rsidRDefault="00177749" w:rsidP="00885AC0">
      <w:pPr>
        <w:autoSpaceDE w:val="0"/>
        <w:autoSpaceDN w:val="0"/>
        <w:adjustRightInd w:val="0"/>
        <w:spacing w:line="240" w:lineRule="auto"/>
        <w:rPr>
          <w:rFonts w:asciiTheme="majorHAnsi" w:hAnsiTheme="majorHAnsi" w:cs="Times New Roman"/>
          <w:sz w:val="16"/>
          <w:szCs w:val="16"/>
          <w:lang w:val="en-CA"/>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lang w:val="en-CA"/>
        </w:rPr>
        <w:t xml:space="preserve"> Based on Walker, S. (2005). Human rights impact assessments of trade-related policies. </w:t>
      </w:r>
      <w:r w:rsidRPr="0013127A">
        <w:rPr>
          <w:rFonts w:asciiTheme="majorHAnsi" w:hAnsiTheme="majorHAnsi" w:cs="Times New Roman"/>
          <w:i/>
          <w:iCs/>
          <w:sz w:val="16"/>
          <w:szCs w:val="16"/>
          <w:lang w:val="en-CA"/>
        </w:rPr>
        <w:t>Gehring M., Cordonier-Segger M. Claire. Sustainable Development in World Trade Law. Kluwer: Law</w:t>
      </w:r>
      <w:r w:rsidRPr="0013127A">
        <w:rPr>
          <w:rFonts w:asciiTheme="majorHAnsi" w:hAnsiTheme="majorHAnsi" w:cs="Times New Roman"/>
          <w:sz w:val="16"/>
          <w:szCs w:val="16"/>
          <w:lang w:val="en-CA"/>
        </w:rPr>
        <w:t>, pp. 217-256.</w:t>
      </w:r>
    </w:p>
  </w:footnote>
  <w:footnote w:id="25">
    <w:p w14:paraId="45A04FA4" w14:textId="77777777" w:rsidR="00885AC0" w:rsidRPr="0013127A" w:rsidRDefault="00177749" w:rsidP="00885AC0">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The WIM is mandated to establish specialized bodies through UNFCCC Decision 2/CP.20, paragraph 8, and has done this most recently at the request of the COP in 2015 to create the Task Force on Displacement (Decision 1/CP.21, paragraph 49).</w:t>
      </w:r>
    </w:p>
  </w:footnote>
  <w:footnote w:id="26">
    <w:p w14:paraId="321C1FF8" w14:textId="77777777" w:rsidR="00885AC0" w:rsidRPr="0013127A" w:rsidRDefault="00177749" w:rsidP="00885AC0">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As enshrined in international and regional human rights instruments, including the 1992 Rio Declaration (Principle 10), the 1998 Aarhus Convention (Articles 1 and 3), the 2005 Almaty Guidelines, and the 2018 Escazú Agreement. </w:t>
      </w:r>
    </w:p>
  </w:footnote>
  <w:footnote w:id="27">
    <w:p w14:paraId="7C033B51" w14:textId="77777777" w:rsidR="00885AC0" w:rsidRPr="0013127A" w:rsidRDefault="00177749" w:rsidP="00885AC0">
      <w:pPr>
        <w:pStyle w:val="FootnoteText"/>
        <w:rPr>
          <w:rFonts w:asciiTheme="majorHAnsi" w:hAnsiTheme="majorHAnsi" w:cs="Times New Roman"/>
          <w:sz w:val="16"/>
          <w:szCs w:val="16"/>
        </w:rPr>
      </w:pPr>
      <w:r w:rsidRPr="0013127A">
        <w:rPr>
          <w:rStyle w:val="FootnoteReference"/>
          <w:rFonts w:asciiTheme="majorHAnsi" w:hAnsiTheme="majorHAnsi" w:cs="Times New Roman"/>
          <w:sz w:val="16"/>
          <w:szCs w:val="16"/>
        </w:rPr>
        <w:footnoteRef/>
      </w:r>
      <w:r w:rsidRPr="0013127A">
        <w:rPr>
          <w:rFonts w:asciiTheme="majorHAnsi" w:hAnsiTheme="majorHAnsi" w:cs="Times New Roman"/>
          <w:sz w:val="16"/>
          <w:szCs w:val="16"/>
        </w:rPr>
        <w:t xml:space="preserve"> At COP24 in December 2018, the COP explicitly encouraged the WIM to increase its consideration of groups vulnerable to the adverse impacts of climate change (UNFCCC, Decision 10/CP.24, para 5(e)).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D0E71" w14:textId="77777777" w:rsidR="009B7FBF" w:rsidRDefault="00177749">
    <w:r>
      <w:rPr>
        <w:noProof/>
        <w:lang w:val="en-GB" w:eastAsia="en-GB"/>
      </w:rPr>
      <w:drawing>
        <wp:anchor distT="114300" distB="114300" distL="114300" distR="114300" simplePos="0" relativeHeight="251658240" behindDoc="0" locked="0" layoutInCell="1" allowOverlap="1" wp14:anchorId="0B03B07D" wp14:editId="27965E70">
          <wp:simplePos x="0" y="0"/>
          <wp:positionH relativeFrom="margin">
            <wp:posOffset>4034790</wp:posOffset>
          </wp:positionH>
          <wp:positionV relativeFrom="paragraph">
            <wp:posOffset>291465</wp:posOffset>
          </wp:positionV>
          <wp:extent cx="1897350" cy="433388"/>
          <wp:effectExtent l="0" t="0" r="0" b="0"/>
          <wp:wrapSquare wrapText="bothSides"/>
          <wp:docPr id="6" name="image12.png"/>
          <wp:cNvGraphicFramePr/>
          <a:graphic xmlns:a="http://schemas.openxmlformats.org/drawingml/2006/main">
            <a:graphicData uri="http://schemas.openxmlformats.org/drawingml/2006/picture">
              <pic:pic xmlns:pic="http://schemas.openxmlformats.org/drawingml/2006/picture">
                <pic:nvPicPr>
                  <pic:cNvPr id="1579830025" name="image12.png"/>
                  <pic:cNvPicPr/>
                </pic:nvPicPr>
                <pic:blipFill>
                  <a:blip r:embed="rId1"/>
                  <a:stretch>
                    <a:fillRect/>
                  </a:stretch>
                </pic:blipFill>
                <pic:spPr>
                  <a:xfrm>
                    <a:off x="0" y="0"/>
                    <a:ext cx="1897350" cy="433388"/>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1645E"/>
    <w:multiLevelType w:val="hybridMultilevel"/>
    <w:tmpl w:val="9EF217B8"/>
    <w:lvl w:ilvl="0" w:tplc="ADFAD0CE">
      <w:start w:val="5"/>
      <w:numFmt w:val="bullet"/>
      <w:lvlText w:val="-"/>
      <w:lvlJc w:val="left"/>
      <w:pPr>
        <w:ind w:left="1080" w:hanging="360"/>
      </w:pPr>
      <w:rPr>
        <w:rFonts w:ascii="Calibri" w:eastAsiaTheme="minorHAnsi" w:hAnsi="Calibri" w:cstheme="minorBidi" w:hint="default"/>
      </w:rPr>
    </w:lvl>
    <w:lvl w:ilvl="1" w:tplc="185E458A">
      <w:start w:val="1"/>
      <w:numFmt w:val="decimal"/>
      <w:lvlText w:val="%2."/>
      <w:lvlJc w:val="left"/>
      <w:pPr>
        <w:ind w:left="1800" w:hanging="360"/>
      </w:pPr>
      <w:rPr>
        <w:rFonts w:hint="default"/>
        <w:b w:val="0"/>
      </w:rPr>
    </w:lvl>
    <w:lvl w:ilvl="2" w:tplc="2A0A208E">
      <w:start w:val="1"/>
      <w:numFmt w:val="bullet"/>
      <w:lvlText w:val=""/>
      <w:lvlJc w:val="left"/>
      <w:pPr>
        <w:ind w:left="2520" w:hanging="360"/>
      </w:pPr>
      <w:rPr>
        <w:rFonts w:ascii="Wingdings" w:hAnsi="Wingdings" w:hint="default"/>
      </w:rPr>
    </w:lvl>
    <w:lvl w:ilvl="3" w:tplc="49349DA6" w:tentative="1">
      <w:start w:val="1"/>
      <w:numFmt w:val="bullet"/>
      <w:lvlText w:val=""/>
      <w:lvlJc w:val="left"/>
      <w:pPr>
        <w:ind w:left="3240" w:hanging="360"/>
      </w:pPr>
      <w:rPr>
        <w:rFonts w:ascii="Symbol" w:hAnsi="Symbol" w:hint="default"/>
      </w:rPr>
    </w:lvl>
    <w:lvl w:ilvl="4" w:tplc="655A8846" w:tentative="1">
      <w:start w:val="1"/>
      <w:numFmt w:val="bullet"/>
      <w:lvlText w:val="o"/>
      <w:lvlJc w:val="left"/>
      <w:pPr>
        <w:ind w:left="3960" w:hanging="360"/>
      </w:pPr>
      <w:rPr>
        <w:rFonts w:ascii="Courier New" w:hAnsi="Courier New" w:cs="Courier New" w:hint="default"/>
      </w:rPr>
    </w:lvl>
    <w:lvl w:ilvl="5" w:tplc="81A64B20" w:tentative="1">
      <w:start w:val="1"/>
      <w:numFmt w:val="bullet"/>
      <w:lvlText w:val=""/>
      <w:lvlJc w:val="left"/>
      <w:pPr>
        <w:ind w:left="4680" w:hanging="360"/>
      </w:pPr>
      <w:rPr>
        <w:rFonts w:ascii="Wingdings" w:hAnsi="Wingdings" w:hint="default"/>
      </w:rPr>
    </w:lvl>
    <w:lvl w:ilvl="6" w:tplc="A2E6E218" w:tentative="1">
      <w:start w:val="1"/>
      <w:numFmt w:val="bullet"/>
      <w:lvlText w:val=""/>
      <w:lvlJc w:val="left"/>
      <w:pPr>
        <w:ind w:left="5400" w:hanging="360"/>
      </w:pPr>
      <w:rPr>
        <w:rFonts w:ascii="Symbol" w:hAnsi="Symbol" w:hint="default"/>
      </w:rPr>
    </w:lvl>
    <w:lvl w:ilvl="7" w:tplc="6346E304" w:tentative="1">
      <w:start w:val="1"/>
      <w:numFmt w:val="bullet"/>
      <w:lvlText w:val="o"/>
      <w:lvlJc w:val="left"/>
      <w:pPr>
        <w:ind w:left="6120" w:hanging="360"/>
      </w:pPr>
      <w:rPr>
        <w:rFonts w:ascii="Courier New" w:hAnsi="Courier New" w:cs="Courier New" w:hint="default"/>
      </w:rPr>
    </w:lvl>
    <w:lvl w:ilvl="8" w:tplc="CA48BE92" w:tentative="1">
      <w:start w:val="1"/>
      <w:numFmt w:val="bullet"/>
      <w:lvlText w:val=""/>
      <w:lvlJc w:val="left"/>
      <w:pPr>
        <w:ind w:left="6840" w:hanging="360"/>
      </w:pPr>
      <w:rPr>
        <w:rFonts w:ascii="Wingdings" w:hAnsi="Wingdings" w:hint="default"/>
      </w:rPr>
    </w:lvl>
  </w:abstractNum>
  <w:abstractNum w:abstractNumId="1">
    <w:nsid w:val="4ACE0FDF"/>
    <w:multiLevelType w:val="hybridMultilevel"/>
    <w:tmpl w:val="A98E371C"/>
    <w:lvl w:ilvl="0" w:tplc="8EFA6FE6">
      <w:start w:val="1"/>
      <w:numFmt w:val="decimal"/>
      <w:lvlText w:val="%1."/>
      <w:lvlJc w:val="left"/>
      <w:pPr>
        <w:ind w:left="720" w:hanging="360"/>
      </w:pPr>
      <w:rPr>
        <w:rFonts w:hint="default"/>
      </w:rPr>
    </w:lvl>
    <w:lvl w:ilvl="1" w:tplc="2236E550" w:tentative="1">
      <w:start w:val="1"/>
      <w:numFmt w:val="lowerLetter"/>
      <w:lvlText w:val="%2."/>
      <w:lvlJc w:val="left"/>
      <w:pPr>
        <w:ind w:left="1440" w:hanging="360"/>
      </w:pPr>
    </w:lvl>
    <w:lvl w:ilvl="2" w:tplc="C0668F02" w:tentative="1">
      <w:start w:val="1"/>
      <w:numFmt w:val="lowerRoman"/>
      <w:lvlText w:val="%3."/>
      <w:lvlJc w:val="right"/>
      <w:pPr>
        <w:ind w:left="2160" w:hanging="180"/>
      </w:pPr>
    </w:lvl>
    <w:lvl w:ilvl="3" w:tplc="A3267A98" w:tentative="1">
      <w:start w:val="1"/>
      <w:numFmt w:val="decimal"/>
      <w:lvlText w:val="%4."/>
      <w:lvlJc w:val="left"/>
      <w:pPr>
        <w:ind w:left="2880" w:hanging="360"/>
      </w:pPr>
    </w:lvl>
    <w:lvl w:ilvl="4" w:tplc="83362AE0" w:tentative="1">
      <w:start w:val="1"/>
      <w:numFmt w:val="lowerLetter"/>
      <w:lvlText w:val="%5."/>
      <w:lvlJc w:val="left"/>
      <w:pPr>
        <w:ind w:left="3600" w:hanging="360"/>
      </w:pPr>
    </w:lvl>
    <w:lvl w:ilvl="5" w:tplc="243A4D7E" w:tentative="1">
      <w:start w:val="1"/>
      <w:numFmt w:val="lowerRoman"/>
      <w:lvlText w:val="%6."/>
      <w:lvlJc w:val="right"/>
      <w:pPr>
        <w:ind w:left="4320" w:hanging="180"/>
      </w:pPr>
    </w:lvl>
    <w:lvl w:ilvl="6" w:tplc="6392696C" w:tentative="1">
      <w:start w:val="1"/>
      <w:numFmt w:val="decimal"/>
      <w:lvlText w:val="%7."/>
      <w:lvlJc w:val="left"/>
      <w:pPr>
        <w:ind w:left="5040" w:hanging="360"/>
      </w:pPr>
    </w:lvl>
    <w:lvl w:ilvl="7" w:tplc="C5B44698" w:tentative="1">
      <w:start w:val="1"/>
      <w:numFmt w:val="lowerLetter"/>
      <w:lvlText w:val="%8."/>
      <w:lvlJc w:val="left"/>
      <w:pPr>
        <w:ind w:left="5760" w:hanging="360"/>
      </w:pPr>
    </w:lvl>
    <w:lvl w:ilvl="8" w:tplc="88AEFD76" w:tentative="1">
      <w:start w:val="1"/>
      <w:numFmt w:val="lowerRoman"/>
      <w:lvlText w:val="%9."/>
      <w:lvlJc w:val="right"/>
      <w:pPr>
        <w:ind w:left="6480" w:hanging="180"/>
      </w:pPr>
    </w:lvl>
  </w:abstractNum>
  <w:abstractNum w:abstractNumId="2">
    <w:nsid w:val="614B4BEC"/>
    <w:multiLevelType w:val="hybridMultilevel"/>
    <w:tmpl w:val="F9FAA40A"/>
    <w:lvl w:ilvl="0" w:tplc="C902F8E4">
      <w:start w:val="5"/>
      <w:numFmt w:val="bullet"/>
      <w:lvlText w:val="-"/>
      <w:lvlJc w:val="left"/>
      <w:pPr>
        <w:ind w:left="720" w:hanging="360"/>
      </w:pPr>
      <w:rPr>
        <w:rFonts w:ascii="Calibri" w:eastAsiaTheme="minorHAnsi" w:hAnsi="Calibri" w:cstheme="minorBidi" w:hint="default"/>
        <w:b w:val="0"/>
      </w:rPr>
    </w:lvl>
    <w:lvl w:ilvl="1" w:tplc="DF100F00" w:tentative="1">
      <w:start w:val="1"/>
      <w:numFmt w:val="bullet"/>
      <w:lvlText w:val="o"/>
      <w:lvlJc w:val="left"/>
      <w:pPr>
        <w:ind w:left="1440" w:hanging="360"/>
      </w:pPr>
      <w:rPr>
        <w:rFonts w:ascii="Courier New" w:hAnsi="Courier New" w:cs="Courier New" w:hint="default"/>
      </w:rPr>
    </w:lvl>
    <w:lvl w:ilvl="2" w:tplc="D1BA69CE" w:tentative="1">
      <w:start w:val="1"/>
      <w:numFmt w:val="bullet"/>
      <w:lvlText w:val=""/>
      <w:lvlJc w:val="left"/>
      <w:pPr>
        <w:ind w:left="2160" w:hanging="360"/>
      </w:pPr>
      <w:rPr>
        <w:rFonts w:ascii="Wingdings" w:hAnsi="Wingdings" w:hint="default"/>
      </w:rPr>
    </w:lvl>
    <w:lvl w:ilvl="3" w:tplc="8FA2DEDE" w:tentative="1">
      <w:start w:val="1"/>
      <w:numFmt w:val="bullet"/>
      <w:lvlText w:val=""/>
      <w:lvlJc w:val="left"/>
      <w:pPr>
        <w:ind w:left="2880" w:hanging="360"/>
      </w:pPr>
      <w:rPr>
        <w:rFonts w:ascii="Symbol" w:hAnsi="Symbol" w:hint="default"/>
      </w:rPr>
    </w:lvl>
    <w:lvl w:ilvl="4" w:tplc="8E14F750" w:tentative="1">
      <w:start w:val="1"/>
      <w:numFmt w:val="bullet"/>
      <w:lvlText w:val="o"/>
      <w:lvlJc w:val="left"/>
      <w:pPr>
        <w:ind w:left="3600" w:hanging="360"/>
      </w:pPr>
      <w:rPr>
        <w:rFonts w:ascii="Courier New" w:hAnsi="Courier New" w:cs="Courier New" w:hint="default"/>
      </w:rPr>
    </w:lvl>
    <w:lvl w:ilvl="5" w:tplc="64C446FC" w:tentative="1">
      <w:start w:val="1"/>
      <w:numFmt w:val="bullet"/>
      <w:lvlText w:val=""/>
      <w:lvlJc w:val="left"/>
      <w:pPr>
        <w:ind w:left="4320" w:hanging="360"/>
      </w:pPr>
      <w:rPr>
        <w:rFonts w:ascii="Wingdings" w:hAnsi="Wingdings" w:hint="default"/>
      </w:rPr>
    </w:lvl>
    <w:lvl w:ilvl="6" w:tplc="A4B8C2E8" w:tentative="1">
      <w:start w:val="1"/>
      <w:numFmt w:val="bullet"/>
      <w:lvlText w:val=""/>
      <w:lvlJc w:val="left"/>
      <w:pPr>
        <w:ind w:left="5040" w:hanging="360"/>
      </w:pPr>
      <w:rPr>
        <w:rFonts w:ascii="Symbol" w:hAnsi="Symbol" w:hint="default"/>
      </w:rPr>
    </w:lvl>
    <w:lvl w:ilvl="7" w:tplc="DB143E2C" w:tentative="1">
      <w:start w:val="1"/>
      <w:numFmt w:val="bullet"/>
      <w:lvlText w:val="o"/>
      <w:lvlJc w:val="left"/>
      <w:pPr>
        <w:ind w:left="5760" w:hanging="360"/>
      </w:pPr>
      <w:rPr>
        <w:rFonts w:ascii="Courier New" w:hAnsi="Courier New" w:cs="Courier New" w:hint="default"/>
      </w:rPr>
    </w:lvl>
    <w:lvl w:ilvl="8" w:tplc="7D7682DA" w:tentative="1">
      <w:start w:val="1"/>
      <w:numFmt w:val="bullet"/>
      <w:lvlText w:val=""/>
      <w:lvlJc w:val="left"/>
      <w:pPr>
        <w:ind w:left="6480" w:hanging="360"/>
      </w:pPr>
      <w:rPr>
        <w:rFonts w:ascii="Wingdings" w:hAnsi="Wingdings" w:hint="default"/>
      </w:rPr>
    </w:lvl>
  </w:abstractNum>
  <w:abstractNum w:abstractNumId="3">
    <w:nsid w:val="679D445D"/>
    <w:multiLevelType w:val="hybridMultilevel"/>
    <w:tmpl w:val="ED52058E"/>
    <w:lvl w:ilvl="0" w:tplc="51DAAE90">
      <w:start w:val="1"/>
      <w:numFmt w:val="bullet"/>
      <w:lvlText w:val=""/>
      <w:lvlJc w:val="left"/>
      <w:pPr>
        <w:ind w:left="720" w:hanging="360"/>
      </w:pPr>
      <w:rPr>
        <w:rFonts w:ascii="Symbol" w:hAnsi="Symbol" w:hint="default"/>
      </w:rPr>
    </w:lvl>
    <w:lvl w:ilvl="1" w:tplc="48FEB2B6" w:tentative="1">
      <w:start w:val="1"/>
      <w:numFmt w:val="bullet"/>
      <w:lvlText w:val="o"/>
      <w:lvlJc w:val="left"/>
      <w:pPr>
        <w:ind w:left="1440" w:hanging="360"/>
      </w:pPr>
      <w:rPr>
        <w:rFonts w:ascii="Courier New" w:hAnsi="Courier New" w:cs="Courier New" w:hint="default"/>
      </w:rPr>
    </w:lvl>
    <w:lvl w:ilvl="2" w:tplc="8C2C1682" w:tentative="1">
      <w:start w:val="1"/>
      <w:numFmt w:val="bullet"/>
      <w:lvlText w:val=""/>
      <w:lvlJc w:val="left"/>
      <w:pPr>
        <w:ind w:left="2160" w:hanging="360"/>
      </w:pPr>
      <w:rPr>
        <w:rFonts w:ascii="Wingdings" w:hAnsi="Wingdings" w:hint="default"/>
      </w:rPr>
    </w:lvl>
    <w:lvl w:ilvl="3" w:tplc="D0B0A2A6" w:tentative="1">
      <w:start w:val="1"/>
      <w:numFmt w:val="bullet"/>
      <w:lvlText w:val=""/>
      <w:lvlJc w:val="left"/>
      <w:pPr>
        <w:ind w:left="2880" w:hanging="360"/>
      </w:pPr>
      <w:rPr>
        <w:rFonts w:ascii="Symbol" w:hAnsi="Symbol" w:hint="default"/>
      </w:rPr>
    </w:lvl>
    <w:lvl w:ilvl="4" w:tplc="41B2CF14" w:tentative="1">
      <w:start w:val="1"/>
      <w:numFmt w:val="bullet"/>
      <w:lvlText w:val="o"/>
      <w:lvlJc w:val="left"/>
      <w:pPr>
        <w:ind w:left="3600" w:hanging="360"/>
      </w:pPr>
      <w:rPr>
        <w:rFonts w:ascii="Courier New" w:hAnsi="Courier New" w:cs="Courier New" w:hint="default"/>
      </w:rPr>
    </w:lvl>
    <w:lvl w:ilvl="5" w:tplc="A95E221C" w:tentative="1">
      <w:start w:val="1"/>
      <w:numFmt w:val="bullet"/>
      <w:lvlText w:val=""/>
      <w:lvlJc w:val="left"/>
      <w:pPr>
        <w:ind w:left="4320" w:hanging="360"/>
      </w:pPr>
      <w:rPr>
        <w:rFonts w:ascii="Wingdings" w:hAnsi="Wingdings" w:hint="default"/>
      </w:rPr>
    </w:lvl>
    <w:lvl w:ilvl="6" w:tplc="EBEC584C" w:tentative="1">
      <w:start w:val="1"/>
      <w:numFmt w:val="bullet"/>
      <w:lvlText w:val=""/>
      <w:lvlJc w:val="left"/>
      <w:pPr>
        <w:ind w:left="5040" w:hanging="360"/>
      </w:pPr>
      <w:rPr>
        <w:rFonts w:ascii="Symbol" w:hAnsi="Symbol" w:hint="default"/>
      </w:rPr>
    </w:lvl>
    <w:lvl w:ilvl="7" w:tplc="BBDA3334" w:tentative="1">
      <w:start w:val="1"/>
      <w:numFmt w:val="bullet"/>
      <w:lvlText w:val="o"/>
      <w:lvlJc w:val="left"/>
      <w:pPr>
        <w:ind w:left="5760" w:hanging="360"/>
      </w:pPr>
      <w:rPr>
        <w:rFonts w:ascii="Courier New" w:hAnsi="Courier New" w:cs="Courier New" w:hint="default"/>
      </w:rPr>
    </w:lvl>
    <w:lvl w:ilvl="8" w:tplc="A44EED84"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BF"/>
    <w:rsid w:val="0000081C"/>
    <w:rsid w:val="000041CB"/>
    <w:rsid w:val="00015D33"/>
    <w:rsid w:val="00021E18"/>
    <w:rsid w:val="00023FCC"/>
    <w:rsid w:val="000507D9"/>
    <w:rsid w:val="00052958"/>
    <w:rsid w:val="000F7346"/>
    <w:rsid w:val="00100880"/>
    <w:rsid w:val="00116A53"/>
    <w:rsid w:val="001177DB"/>
    <w:rsid w:val="001270DA"/>
    <w:rsid w:val="0013127A"/>
    <w:rsid w:val="001368DB"/>
    <w:rsid w:val="001759F4"/>
    <w:rsid w:val="00177749"/>
    <w:rsid w:val="001E509E"/>
    <w:rsid w:val="00204724"/>
    <w:rsid w:val="00206815"/>
    <w:rsid w:val="0021266A"/>
    <w:rsid w:val="0021399F"/>
    <w:rsid w:val="002415FA"/>
    <w:rsid w:val="00244D1C"/>
    <w:rsid w:val="002574E7"/>
    <w:rsid w:val="002577E9"/>
    <w:rsid w:val="0026001C"/>
    <w:rsid w:val="002731C6"/>
    <w:rsid w:val="00284EB7"/>
    <w:rsid w:val="002908E4"/>
    <w:rsid w:val="002A0EDB"/>
    <w:rsid w:val="002A3687"/>
    <w:rsid w:val="002C4A94"/>
    <w:rsid w:val="002D118D"/>
    <w:rsid w:val="002E04E6"/>
    <w:rsid w:val="002E75A9"/>
    <w:rsid w:val="002F70F7"/>
    <w:rsid w:val="00303C1D"/>
    <w:rsid w:val="00304E84"/>
    <w:rsid w:val="00337310"/>
    <w:rsid w:val="003525D8"/>
    <w:rsid w:val="00363F42"/>
    <w:rsid w:val="00375F04"/>
    <w:rsid w:val="00387356"/>
    <w:rsid w:val="0039112B"/>
    <w:rsid w:val="003C1D2B"/>
    <w:rsid w:val="003D2710"/>
    <w:rsid w:val="004137BA"/>
    <w:rsid w:val="004213E9"/>
    <w:rsid w:val="0042637C"/>
    <w:rsid w:val="004E0F5E"/>
    <w:rsid w:val="00505579"/>
    <w:rsid w:val="00523D54"/>
    <w:rsid w:val="0054748E"/>
    <w:rsid w:val="005672E5"/>
    <w:rsid w:val="00571457"/>
    <w:rsid w:val="00572029"/>
    <w:rsid w:val="00587194"/>
    <w:rsid w:val="005A18C0"/>
    <w:rsid w:val="005B0266"/>
    <w:rsid w:val="005B3E72"/>
    <w:rsid w:val="005B6AE0"/>
    <w:rsid w:val="005C307C"/>
    <w:rsid w:val="005D0FA7"/>
    <w:rsid w:val="005D4E3C"/>
    <w:rsid w:val="005D6CCA"/>
    <w:rsid w:val="005F07D4"/>
    <w:rsid w:val="005F10EC"/>
    <w:rsid w:val="006073D7"/>
    <w:rsid w:val="0063349F"/>
    <w:rsid w:val="00635518"/>
    <w:rsid w:val="006355DA"/>
    <w:rsid w:val="00646C27"/>
    <w:rsid w:val="00654063"/>
    <w:rsid w:val="00674948"/>
    <w:rsid w:val="006A2406"/>
    <w:rsid w:val="006A5B9E"/>
    <w:rsid w:val="006B53AF"/>
    <w:rsid w:val="006D1ADC"/>
    <w:rsid w:val="006F73BE"/>
    <w:rsid w:val="00700176"/>
    <w:rsid w:val="00722264"/>
    <w:rsid w:val="00736BE8"/>
    <w:rsid w:val="00736C20"/>
    <w:rsid w:val="007434F6"/>
    <w:rsid w:val="00766AFE"/>
    <w:rsid w:val="007759CE"/>
    <w:rsid w:val="0079297D"/>
    <w:rsid w:val="007B1384"/>
    <w:rsid w:val="007B6A43"/>
    <w:rsid w:val="007D0964"/>
    <w:rsid w:val="007D7301"/>
    <w:rsid w:val="007E1E84"/>
    <w:rsid w:val="00806BB2"/>
    <w:rsid w:val="00823FA6"/>
    <w:rsid w:val="00826136"/>
    <w:rsid w:val="00833F46"/>
    <w:rsid w:val="0083783C"/>
    <w:rsid w:val="00853F05"/>
    <w:rsid w:val="00885AC0"/>
    <w:rsid w:val="008A41E0"/>
    <w:rsid w:val="008D133A"/>
    <w:rsid w:val="008F3175"/>
    <w:rsid w:val="0092693A"/>
    <w:rsid w:val="0094105E"/>
    <w:rsid w:val="00973FD2"/>
    <w:rsid w:val="0097498B"/>
    <w:rsid w:val="00976FA9"/>
    <w:rsid w:val="009A1EC6"/>
    <w:rsid w:val="009B7FBF"/>
    <w:rsid w:val="009D4929"/>
    <w:rsid w:val="009E2779"/>
    <w:rsid w:val="009F2921"/>
    <w:rsid w:val="00A01FE7"/>
    <w:rsid w:val="00A12175"/>
    <w:rsid w:val="00A34D31"/>
    <w:rsid w:val="00A60537"/>
    <w:rsid w:val="00A60B4C"/>
    <w:rsid w:val="00A75399"/>
    <w:rsid w:val="00A81746"/>
    <w:rsid w:val="00A841BF"/>
    <w:rsid w:val="00A93C03"/>
    <w:rsid w:val="00AA3D9D"/>
    <w:rsid w:val="00AF5C0F"/>
    <w:rsid w:val="00AF7AA1"/>
    <w:rsid w:val="00B07CC0"/>
    <w:rsid w:val="00B118BB"/>
    <w:rsid w:val="00B4103A"/>
    <w:rsid w:val="00B661B9"/>
    <w:rsid w:val="00B80EE5"/>
    <w:rsid w:val="00B86235"/>
    <w:rsid w:val="00B9601D"/>
    <w:rsid w:val="00BA2358"/>
    <w:rsid w:val="00BE2564"/>
    <w:rsid w:val="00BF1E2D"/>
    <w:rsid w:val="00C05FB9"/>
    <w:rsid w:val="00C12E2D"/>
    <w:rsid w:val="00C23F31"/>
    <w:rsid w:val="00C2623E"/>
    <w:rsid w:val="00C26774"/>
    <w:rsid w:val="00C268B3"/>
    <w:rsid w:val="00C367DE"/>
    <w:rsid w:val="00C47566"/>
    <w:rsid w:val="00C52253"/>
    <w:rsid w:val="00C635F6"/>
    <w:rsid w:val="00C72894"/>
    <w:rsid w:val="00C874C5"/>
    <w:rsid w:val="00C92846"/>
    <w:rsid w:val="00CD301D"/>
    <w:rsid w:val="00CE29C9"/>
    <w:rsid w:val="00CE569F"/>
    <w:rsid w:val="00CE589B"/>
    <w:rsid w:val="00CF24D0"/>
    <w:rsid w:val="00D030D4"/>
    <w:rsid w:val="00D1749B"/>
    <w:rsid w:val="00D17C16"/>
    <w:rsid w:val="00D251E4"/>
    <w:rsid w:val="00D25B6C"/>
    <w:rsid w:val="00D41A52"/>
    <w:rsid w:val="00D56730"/>
    <w:rsid w:val="00D70109"/>
    <w:rsid w:val="00D95A2D"/>
    <w:rsid w:val="00DA4F28"/>
    <w:rsid w:val="00DB02B3"/>
    <w:rsid w:val="00DB2105"/>
    <w:rsid w:val="00DF0B51"/>
    <w:rsid w:val="00E002F2"/>
    <w:rsid w:val="00E13322"/>
    <w:rsid w:val="00E3356D"/>
    <w:rsid w:val="00EB4F33"/>
    <w:rsid w:val="00ED70B6"/>
    <w:rsid w:val="00EE58F6"/>
    <w:rsid w:val="00F16AF1"/>
    <w:rsid w:val="00F2487F"/>
    <w:rsid w:val="00F327FA"/>
    <w:rsid w:val="00F55FF9"/>
    <w:rsid w:val="00F731F7"/>
    <w:rsid w:val="00FA01AB"/>
    <w:rsid w:val="00FC0765"/>
    <w:rsid w:val="00FC2654"/>
    <w:rsid w:val="00FC4782"/>
    <w:rsid w:val="00FE7A7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A6B5"/>
  <w15:docId w15:val="{A8018CED-1619-49DE-982E-13A1EA85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R"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63F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42"/>
    <w:rPr>
      <w:rFonts w:ascii="Tahoma" w:hAnsi="Tahoma" w:cs="Tahoma"/>
      <w:sz w:val="16"/>
      <w:szCs w:val="16"/>
    </w:rPr>
  </w:style>
  <w:style w:type="paragraph" w:styleId="Header">
    <w:name w:val="header"/>
    <w:basedOn w:val="Normal"/>
    <w:link w:val="HeaderChar"/>
    <w:uiPriority w:val="99"/>
    <w:unhideWhenUsed/>
    <w:rsid w:val="00A75399"/>
    <w:pPr>
      <w:tabs>
        <w:tab w:val="center" w:pos="4680"/>
        <w:tab w:val="right" w:pos="9360"/>
      </w:tabs>
      <w:spacing w:line="240" w:lineRule="auto"/>
    </w:pPr>
  </w:style>
  <w:style w:type="character" w:customStyle="1" w:styleId="HeaderChar">
    <w:name w:val="Header Char"/>
    <w:basedOn w:val="DefaultParagraphFont"/>
    <w:link w:val="Header"/>
    <w:uiPriority w:val="99"/>
    <w:rsid w:val="00A75399"/>
  </w:style>
  <w:style w:type="paragraph" w:styleId="Footer">
    <w:name w:val="footer"/>
    <w:basedOn w:val="Normal"/>
    <w:link w:val="FooterChar"/>
    <w:uiPriority w:val="99"/>
    <w:unhideWhenUsed/>
    <w:rsid w:val="00A75399"/>
    <w:pPr>
      <w:tabs>
        <w:tab w:val="center" w:pos="4680"/>
        <w:tab w:val="right" w:pos="9360"/>
      </w:tabs>
      <w:spacing w:line="240" w:lineRule="auto"/>
    </w:pPr>
  </w:style>
  <w:style w:type="character" w:customStyle="1" w:styleId="FooterChar">
    <w:name w:val="Footer Char"/>
    <w:basedOn w:val="DefaultParagraphFont"/>
    <w:link w:val="Footer"/>
    <w:uiPriority w:val="99"/>
    <w:rsid w:val="00A75399"/>
  </w:style>
  <w:style w:type="character" w:styleId="Hyperlink">
    <w:name w:val="Hyperlink"/>
    <w:basedOn w:val="DefaultParagraphFont"/>
    <w:uiPriority w:val="99"/>
    <w:unhideWhenUsed/>
    <w:rsid w:val="00A75399"/>
    <w:rPr>
      <w:color w:val="0000FF" w:themeColor="hyperlink"/>
      <w:u w:val="single"/>
    </w:rPr>
  </w:style>
  <w:style w:type="character" w:customStyle="1" w:styleId="UnresolvedMention1">
    <w:name w:val="Unresolved Mention1"/>
    <w:basedOn w:val="DefaultParagraphFont"/>
    <w:uiPriority w:val="99"/>
    <w:semiHidden/>
    <w:unhideWhenUsed/>
    <w:rsid w:val="00A75399"/>
    <w:rPr>
      <w:color w:val="605E5C"/>
      <w:shd w:val="clear" w:color="auto" w:fill="E1DFDD"/>
    </w:rPr>
  </w:style>
  <w:style w:type="table" w:styleId="TableGrid">
    <w:name w:val="Table Grid"/>
    <w:basedOn w:val="TableNormal"/>
    <w:uiPriority w:val="59"/>
    <w:unhideWhenUsed/>
    <w:rsid w:val="00DB02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3783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rsid w:val="0083783C"/>
    <w:rPr>
      <w:rFonts w:asciiTheme="minorHAnsi" w:eastAsiaTheme="minorHAnsi" w:hAnsiTheme="minorHAnsi" w:cstheme="minorBidi"/>
      <w:color w:val="auto"/>
      <w:sz w:val="20"/>
      <w:szCs w:val="20"/>
      <w:lang w:val="en-US" w:eastAsia="en-US"/>
    </w:rPr>
  </w:style>
  <w:style w:type="character" w:styleId="FootnoteReference">
    <w:name w:val="footnote reference"/>
    <w:basedOn w:val="DefaultParagraphFont"/>
    <w:uiPriority w:val="99"/>
    <w:unhideWhenUsed/>
    <w:rsid w:val="0083783C"/>
    <w:rPr>
      <w:vertAlign w:val="superscript"/>
    </w:rPr>
  </w:style>
  <w:style w:type="paragraph" w:styleId="ListParagraph">
    <w:name w:val="List Paragraph"/>
    <w:basedOn w:val="Normal"/>
    <w:uiPriority w:val="34"/>
    <w:qFormat/>
    <w:rsid w:val="00A01FE7"/>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lang w:val="en-US" w:eastAsia="en-US"/>
    </w:rPr>
  </w:style>
  <w:style w:type="paragraph" w:styleId="Caption">
    <w:name w:val="caption"/>
    <w:basedOn w:val="Normal"/>
    <w:next w:val="Normal"/>
    <w:uiPriority w:val="35"/>
    <w:semiHidden/>
    <w:unhideWhenUsed/>
    <w:qFormat/>
    <w:rsid w:val="007E1E84"/>
    <w:pPr>
      <w:spacing w:after="200" w:line="240" w:lineRule="auto"/>
    </w:pPr>
    <w:rPr>
      <w:i/>
      <w:iCs/>
      <w:color w:val="1F497D" w:themeColor="text2"/>
      <w:sz w:val="18"/>
      <w:szCs w:val="18"/>
    </w:rPr>
  </w:style>
  <w:style w:type="paragraph" w:styleId="EndnoteText">
    <w:name w:val="endnote text"/>
    <w:basedOn w:val="Normal"/>
    <w:link w:val="EndnoteTextChar"/>
    <w:uiPriority w:val="99"/>
    <w:unhideWhenUsed/>
    <w:rsid w:val="00A60B4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eastAsia="en-US"/>
    </w:rPr>
  </w:style>
  <w:style w:type="character" w:customStyle="1" w:styleId="EndnoteTextChar">
    <w:name w:val="Endnote Text Char"/>
    <w:basedOn w:val="DefaultParagraphFont"/>
    <w:link w:val="EndnoteText"/>
    <w:uiPriority w:val="99"/>
    <w:rsid w:val="00A60B4C"/>
    <w:rPr>
      <w:rFonts w:asciiTheme="minorHAnsi" w:eastAsiaTheme="minorHAnsi" w:hAnsiTheme="minorHAnsi" w:cstheme="minorBidi"/>
      <w:color w:val="auto"/>
      <w:sz w:val="20"/>
      <w:szCs w:val="20"/>
      <w:lang w:val="en-US" w:eastAsia="en-US"/>
    </w:rPr>
  </w:style>
  <w:style w:type="character" w:styleId="EndnoteReference">
    <w:name w:val="endnote reference"/>
    <w:basedOn w:val="DefaultParagraphFont"/>
    <w:uiPriority w:val="99"/>
    <w:semiHidden/>
    <w:unhideWhenUsed/>
    <w:rsid w:val="00A60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13514">
      <w:bodyDiv w:val="1"/>
      <w:marLeft w:val="0"/>
      <w:marRight w:val="0"/>
      <w:marTop w:val="0"/>
      <w:marBottom w:val="0"/>
      <w:divBdr>
        <w:top w:val="none" w:sz="0" w:space="0" w:color="auto"/>
        <w:left w:val="none" w:sz="0" w:space="0" w:color="auto"/>
        <w:bottom w:val="none" w:sz="0" w:space="0" w:color="auto"/>
        <w:right w:val="none" w:sz="0" w:space="0" w:color="auto"/>
      </w:divBdr>
    </w:div>
    <w:div w:id="19920982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http://larutadelclima.org/" TargetMode="External"/><Relationship Id="rId3" Type="http://schemas.openxmlformats.org/officeDocument/2006/relationships/styles" Target="style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ass-potsdam.d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creativecommons.org/licenses/by-nc-nd/4.0/" TargetMode="External"/><Relationship Id="rId1" Type="http://schemas.openxmlformats.org/officeDocument/2006/relationships/hyperlink" Target="mailto:comunicaciones@climate4change.org" TargetMode="External"/><Relationship Id="rId2" Type="http://schemas.openxmlformats.org/officeDocument/2006/relationships/hyperlink" Target="http://www.larutadelcli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Off18</b:Tag>
    <b:SourceType>InternetSite</b:SourceType>
    <b:Guid>{A0AECF5E-F886-4B78-90AE-E9F468A06C31}</b:Guid>
    <b:Title>Human Rights Bodies</b:Title>
    <b:Year>2018</b:Year>
    <b:Author>
      <b:Author>
        <b:NameList>
          <b:Person>
            <b:Last>(OHCHR)</b:Last>
            <b:First>Office</b:First>
            <b:Middle>of the High Commissioner for Human Rights</b:Middle>
          </b:Person>
        </b:NameList>
      </b:Author>
    </b:Author>
    <b:InternetSiteTitle> Office of the High Commissioner for Human Rights (OHCHR) </b:InternetSiteTitle>
    <b:Month>October</b:Month>
    <b:Day>29</b:Day>
    <b:URL>https://www.ohchr.org/en/hrbodies/Pages/HumanRightsBodies.aspx</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617ABA-5465-A04F-8CFD-824D5842EED0}">
  <ds:schemaRefs>
    <ds:schemaRef ds:uri="http://schemas.openxmlformats.org/officeDocument/2006/bibliography"/>
  </ds:schemaRefs>
</ds:datastoreItem>
</file>

<file path=customXml/itemProps2.xml><?xml version="1.0" encoding="utf-8"?>
<ds:datastoreItem xmlns:ds="http://schemas.openxmlformats.org/officeDocument/2006/customXml" ds:itemID="{E21D8938-EB3F-47EB-9965-BC67184F8959}"/>
</file>

<file path=customXml/itemProps3.xml><?xml version="1.0" encoding="utf-8"?>
<ds:datastoreItem xmlns:ds="http://schemas.openxmlformats.org/officeDocument/2006/customXml" ds:itemID="{B539528D-0535-4861-8BE6-5FCE8A2D9EA0}"/>
</file>

<file path=customXml/itemProps4.xml><?xml version="1.0" encoding="utf-8"?>
<ds:datastoreItem xmlns:ds="http://schemas.openxmlformats.org/officeDocument/2006/customXml" ds:itemID="{BF659950-E78D-4A0D-BF9A-293E8451876E}"/>
</file>

<file path=docProps/app.xml><?xml version="1.0" encoding="utf-8"?>
<Properties xmlns="http://schemas.openxmlformats.org/officeDocument/2006/extended-properties" xmlns:vt="http://schemas.openxmlformats.org/officeDocument/2006/docPropsVTypes">
  <Template>Normal.dotm</Template>
  <TotalTime>41</TotalTime>
  <Pages>6</Pages>
  <Words>1678</Words>
  <Characters>9571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IASS Potsdam</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Blanco, Adrian</dc:creator>
  <cp:lastModifiedBy>Toussaint, Patrick</cp:lastModifiedBy>
  <cp:revision>79</cp:revision>
  <dcterms:created xsi:type="dcterms:W3CDTF">2019-06-07T20:13:00Z</dcterms:created>
  <dcterms:modified xsi:type="dcterms:W3CDTF">2019-06-07T21:11:00Z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