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"/>
        <w:tblOverlap w:val="never"/>
        <w:tblW w:w="10490" w:type="dxa"/>
        <w:tblLook w:val="04A0" w:firstRow="1" w:lastRow="0" w:firstColumn="1" w:lastColumn="0" w:noHBand="0" w:noVBand="1"/>
      </w:tblPr>
      <w:tblGrid>
        <w:gridCol w:w="4248"/>
        <w:gridCol w:w="1701"/>
        <w:gridCol w:w="4541"/>
      </w:tblGrid>
      <w:tr w:rsidR="008A2F11" w:rsidRPr="00EF0CB9" w:rsidTr="000B2286">
        <w:trPr>
          <w:trHeight w:val="147"/>
        </w:trPr>
        <w:tc>
          <w:tcPr>
            <w:tcW w:w="4248" w:type="dxa"/>
            <w:shd w:val="clear" w:color="auto" w:fill="auto"/>
          </w:tcPr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2F11" w:rsidRPr="00F268BC" w:rsidRDefault="008A2F11" w:rsidP="000B2286">
            <w:pPr>
              <w:spacing w:before="120"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2F11" w:rsidRPr="003B7E65" w:rsidTr="000B2286">
        <w:tc>
          <w:tcPr>
            <w:tcW w:w="4248" w:type="dxa"/>
            <w:shd w:val="clear" w:color="auto" w:fill="auto"/>
          </w:tcPr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8BC">
              <w:rPr>
                <w:rFonts w:ascii="Times New Roman" w:hAnsi="Times New Roman"/>
                <w:b/>
                <w:sz w:val="24"/>
                <w:szCs w:val="24"/>
              </w:rPr>
              <w:t xml:space="preserve">MINISTERUL </w:t>
            </w:r>
          </w:p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8BC">
              <w:rPr>
                <w:rFonts w:ascii="Times New Roman" w:hAnsi="Times New Roman"/>
                <w:b/>
                <w:sz w:val="24"/>
                <w:szCs w:val="24"/>
              </w:rPr>
              <w:t>AGRICULTURII,</w:t>
            </w:r>
          </w:p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8BC">
              <w:rPr>
                <w:rFonts w:ascii="Times New Roman" w:hAnsi="Times New Roman"/>
                <w:b/>
                <w:sz w:val="24"/>
                <w:szCs w:val="24"/>
              </w:rPr>
              <w:t>DEZVOLTĂRII REGIONALE</w:t>
            </w:r>
          </w:p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8BC">
              <w:rPr>
                <w:rFonts w:ascii="Times New Roman" w:hAnsi="Times New Roman"/>
                <w:b/>
                <w:sz w:val="24"/>
                <w:szCs w:val="24"/>
              </w:rPr>
              <w:t>ȘI MEDIULUI</w:t>
            </w:r>
          </w:p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8BC">
              <w:rPr>
                <w:rFonts w:ascii="Times New Roman" w:hAnsi="Times New Roman"/>
                <w:b/>
                <w:sz w:val="24"/>
                <w:szCs w:val="24"/>
              </w:rPr>
              <w:t>AL  REPUBLICII MOLDOVA</w:t>
            </w:r>
          </w:p>
        </w:tc>
        <w:tc>
          <w:tcPr>
            <w:tcW w:w="1701" w:type="dxa"/>
            <w:shd w:val="clear" w:color="auto" w:fill="auto"/>
          </w:tcPr>
          <w:p w:rsidR="008A2F11" w:rsidRPr="00F268BC" w:rsidRDefault="008A2F11" w:rsidP="000B2286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8BC"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4BA7CCF2" wp14:editId="7F6E37CD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shd w:val="clear" w:color="auto" w:fill="auto"/>
          </w:tcPr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26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МИНИСТЕРСТВО</w:t>
            </w:r>
          </w:p>
          <w:p w:rsidR="008A2F11" w:rsidRPr="00F268BC" w:rsidRDefault="008A2F11" w:rsidP="000B22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268B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СЕЛЬСКОГО ХОЗЯЙСТВА, РЕГИОНАЛЬНОГО РАЗВИТИЯ И ОКРУЖАЮЩЕЙ СРЕДЫ РЕСПУБЛИКИ МОЛДОВА</w:t>
            </w:r>
          </w:p>
        </w:tc>
      </w:tr>
      <w:tr w:rsidR="008A2F11" w:rsidRPr="00901436" w:rsidTr="000B2286">
        <w:tc>
          <w:tcPr>
            <w:tcW w:w="10490" w:type="dxa"/>
            <w:gridSpan w:val="3"/>
            <w:shd w:val="clear" w:color="auto" w:fill="auto"/>
          </w:tcPr>
          <w:p w:rsidR="008A2F11" w:rsidRPr="00F268BC" w:rsidRDefault="003B7E65" w:rsidP="000B228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pict>
                <v:rect id="_x0000_i1025" style="width:504.95pt;height:3.2pt" o:hrpct="983" o:hralign="center" o:hrstd="t" o:hrnoshade="t" o:hr="t" fillcolor="black" stroked="f"/>
              </w:pict>
            </w:r>
          </w:p>
        </w:tc>
      </w:tr>
    </w:tbl>
    <w:p w:rsidR="008A2F11" w:rsidRDefault="008A2F11" w:rsidP="008A2F11">
      <w:pPr>
        <w:spacing w:after="0"/>
      </w:pPr>
    </w:p>
    <w:p w:rsidR="003B7E65" w:rsidRPr="00F268BC" w:rsidRDefault="003B7E65" w:rsidP="003B7E65">
      <w:pPr>
        <w:spacing w:after="0"/>
        <w:jc w:val="center"/>
        <w:rPr>
          <w:vanish/>
        </w:rPr>
      </w:pPr>
      <w:r>
        <w:rPr>
          <w:rFonts w:ascii="Times New Roman" w:hAnsi="Times New Roman"/>
          <w:b/>
          <w:sz w:val="24"/>
          <w:szCs w:val="24"/>
        </w:rPr>
        <w:t>Replies by the Ministry o</w:t>
      </w:r>
      <w:r>
        <w:rPr>
          <w:rFonts w:ascii="Times New Roman" w:hAnsi="Times New Roman"/>
          <w:b/>
          <w:sz w:val="24"/>
          <w:szCs w:val="24"/>
        </w:rPr>
        <w:t>f Agriculture, Regional Development and Environment of the Republic of Moldova to the questionnaire of the Special Rapporteur on human rights and the environment</w:t>
      </w:r>
    </w:p>
    <w:p w:rsidR="008A2F11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/>
          <w:bCs/>
          <w:sz w:val="28"/>
          <w:szCs w:val="28"/>
          <w:lang w:val="ro-RO"/>
        </w:rPr>
      </w:pP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The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related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are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cold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waves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droughts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landslides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torrential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rains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floods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affects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all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development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areas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a state.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effects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are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not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limited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single sector. At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national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level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agriculture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most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affected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sector;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however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impact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sector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also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significant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measures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are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needed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increase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resilience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sector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meet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new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challenges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caused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weather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conditioned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extreme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direct and indirect impact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Frequently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effects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arising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from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impact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some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sectors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 impact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other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sectors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At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same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time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affect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agriculture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forestry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industry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causing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food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security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problems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poor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sanitation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their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turn,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lead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indirectly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serious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impact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short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long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term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It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necessary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investigate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aspects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variability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as it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influences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population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low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ambient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air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causes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natural focal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reaction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human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body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variations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thermal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extremes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(maximum and minimum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both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daytime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night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more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pronounced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effects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population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Thermal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extremes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impact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seasons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Extremely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affect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urban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population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greater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extent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body are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also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when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air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combined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relative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air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humidity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wind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speed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The state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human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body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influenced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lack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precipitation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abundant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precipitation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short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longterm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Lack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rainfall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or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reduction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amount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seasonal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rainfall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dangerous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agriculture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indirectly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hazards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through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malnutrition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unsafe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food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Abundant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precipitation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leads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floods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that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affect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housing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living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conditions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contribute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increase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vector-borne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Each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climatic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variables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requires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level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qualification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terms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modelling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varying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degrees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predictability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related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data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essential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for building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scenarios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Shocks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associated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weather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accumulation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series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or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prolonged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event (for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example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-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lastRenderedPageBreak/>
        <w:t>temperatures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low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floods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droughts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lead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stress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Risk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assessment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requires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transition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from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description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extremes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description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hazards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hazards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are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combinations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that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cause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damage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living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conditions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Depending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adopted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approach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hazards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risks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described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two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ways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: </w:t>
      </w:r>
    </w:p>
    <w:p w:rsidR="008A2F11" w:rsidRPr="007E0BBB" w:rsidRDefault="008A2F11" w:rsidP="008A2F11">
      <w:pPr>
        <w:numPr>
          <w:ilvl w:val="0"/>
          <w:numId w:val="2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approach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based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on natural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hazards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where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focus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hazard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itself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;</w:t>
      </w:r>
    </w:p>
    <w:p w:rsidR="008A2F11" w:rsidRPr="007E0BBB" w:rsidRDefault="008A2F11" w:rsidP="008A2F11">
      <w:pPr>
        <w:numPr>
          <w:ilvl w:val="0"/>
          <w:numId w:val="2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vulnerability-based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approach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that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highlights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damage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caused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hazard.</w:t>
      </w:r>
    </w:p>
    <w:p w:rsidR="008A2F11" w:rsidRPr="007E0BBB" w:rsidRDefault="008A2F11" w:rsidP="008A2F11">
      <w:pPr>
        <w:spacing w:after="160"/>
        <w:ind w:right="-447" w:firstLine="708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approach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based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on natural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hazards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establish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level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risk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peak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wind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speed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threshold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at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condition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increase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vulnerability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either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space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or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time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social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groups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will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show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different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degrees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vulnerability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depending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their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physical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condition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their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socioeconomic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capacity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vulnerability-based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approach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allows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establishing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criteria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according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level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hazard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magnitude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does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not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lead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emergence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new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ways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environment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but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tends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exacerbate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effect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environmental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determinants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climate-conditioned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following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hazards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recorded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likely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consequences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: </w:t>
      </w:r>
    </w:p>
    <w:p w:rsidR="008A2F11" w:rsidRPr="007E0BBB" w:rsidRDefault="008A2F11" w:rsidP="008A2F11">
      <w:pPr>
        <w:numPr>
          <w:ilvl w:val="0"/>
          <w:numId w:val="1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Increase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number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intestinal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infections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considerable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seasonal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incidence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regular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registration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many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countries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over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last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few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years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;</w:t>
      </w:r>
    </w:p>
    <w:p w:rsidR="008A2F11" w:rsidRPr="007E0BBB" w:rsidRDefault="008A2F11" w:rsidP="008A2F11">
      <w:pPr>
        <w:numPr>
          <w:ilvl w:val="0"/>
          <w:numId w:val="1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Resurgence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some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(malaria,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yellow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fever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); </w:t>
      </w:r>
    </w:p>
    <w:p w:rsidR="008A2F11" w:rsidRPr="007E0BBB" w:rsidRDefault="008A2F11" w:rsidP="008A2F11">
      <w:pPr>
        <w:numPr>
          <w:ilvl w:val="0"/>
          <w:numId w:val="1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Pronounced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fluctuation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daily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weekly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morbidity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; </w:t>
      </w:r>
    </w:p>
    <w:p w:rsidR="008A2F11" w:rsidRPr="007E0BBB" w:rsidRDefault="008A2F11" w:rsidP="008A2F11">
      <w:pPr>
        <w:numPr>
          <w:ilvl w:val="0"/>
          <w:numId w:val="1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nature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level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hospitalization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conditions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warmer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summers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milder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winters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a more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flexible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regional climate; </w:t>
      </w:r>
    </w:p>
    <w:p w:rsidR="008A2F11" w:rsidRPr="007E0BBB" w:rsidRDefault="008A2F11" w:rsidP="008A2F11">
      <w:pPr>
        <w:numPr>
          <w:ilvl w:val="0"/>
          <w:numId w:val="1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qualitative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quantitative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assessments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trauma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morbidity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projections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</w:p>
    <w:p w:rsidR="003B7E65" w:rsidRDefault="003B7E65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The impact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assessment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current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used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determine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how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climatic hazard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society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examine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vulnerability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while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finding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out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climatic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hazards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involved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Impact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assessed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qualitative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quantitative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methods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Out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associated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most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pronounced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obvious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influence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population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The impact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assessment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assessment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events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variability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achieved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statistical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analysis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relatively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short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historical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data.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conducted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study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number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(2001- 2010) and EMS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calls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(2007-2010)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Chisinau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municipality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study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provided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analysis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periods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extreme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low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summer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2007,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number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extremely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hot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days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caused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apparent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very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Republic of Moldova and it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increased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over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lastRenderedPageBreak/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period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July-August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up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20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days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apparent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values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summer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2007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reached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first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degree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precaution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when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fatigue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occur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sun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exposure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prolonged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physical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activity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while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continued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activity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under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conditions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could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lead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cramps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persistent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warm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weather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settled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for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long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time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contributed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accumulation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consequently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led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increase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number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days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discomfort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results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research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carried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out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hot period of 2007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showed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that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191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recorded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Chisinau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municipality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including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summer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- 164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corresponding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25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22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respectively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in 100,000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inhabitants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share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compared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RP)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obviously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summer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(11.3%)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warm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period (6.4%).</w:t>
      </w: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structure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according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natural focal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warm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period of 2007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compared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reference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period. The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analysis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revealed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highest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number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circulatory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system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- 140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compared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reference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period,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most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recorded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summer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months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(139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).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lower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number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warm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period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recorded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tumors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(23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endocrine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(13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mental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behavioral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disorders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(9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digestive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(9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infectious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parasitic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(7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nervous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system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(6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respiratory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(5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Not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all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dependent on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temperatures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only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some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natural focal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show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summer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months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well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during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summer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months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are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deaths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parasitic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infectious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(10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digestive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(10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respiratory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(8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number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being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compared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warm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period,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which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shows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significantly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higher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number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than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reference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period.</w:t>
      </w: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Though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Republic of Moldova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faces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multiple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varied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threats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from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impacts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increased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risk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from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environmental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conditions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sector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policies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do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not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specifically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mention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issues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terms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environment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change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stated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objectives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are: </w:t>
      </w:r>
    </w:p>
    <w:p w:rsidR="008A2F11" w:rsidRPr="007E0BBB" w:rsidRDefault="008A2F11" w:rsidP="008A2F11">
      <w:pPr>
        <w:numPr>
          <w:ilvl w:val="0"/>
          <w:numId w:val="3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develop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sound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cost-effective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interventions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that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ensure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personal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protection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from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communicable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diseases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address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their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environmental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determinants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;</w:t>
      </w:r>
    </w:p>
    <w:p w:rsidR="008A2F11" w:rsidRPr="007E0BBB" w:rsidRDefault="008A2F11" w:rsidP="008A2F11">
      <w:pPr>
        <w:numPr>
          <w:ilvl w:val="0"/>
          <w:numId w:val="3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develop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reliable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surveillance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system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preparedness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response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epidemics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; </w:t>
      </w:r>
    </w:p>
    <w:p w:rsidR="008A2F11" w:rsidRPr="007E0BBB" w:rsidRDefault="008A2F11" w:rsidP="008A2F11">
      <w:pPr>
        <w:numPr>
          <w:ilvl w:val="0"/>
          <w:numId w:val="3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strengthen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capacity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sector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respond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consequences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emergencies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disasters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.</w:t>
      </w:r>
    </w:p>
    <w:p w:rsidR="008A2F11" w:rsidRPr="007E0BBB" w:rsidRDefault="008A2F11" w:rsidP="003B7E65">
      <w:pPr>
        <w:spacing w:after="160"/>
        <w:ind w:right="-447"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bookmarkStart w:id="0" w:name="_GoBack"/>
      <w:bookmarkEnd w:id="0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At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systemic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level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assessment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identified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partial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(and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improving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)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harmonization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international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standards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widespread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public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access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medical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institutions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as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sectoral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strengths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. At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same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time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systemic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level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impediments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addressing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adaptation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through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sector include:</w:t>
      </w:r>
    </w:p>
    <w:p w:rsidR="008A2F11" w:rsidRPr="007E0BBB" w:rsidRDefault="008A2F11" w:rsidP="008A2F11">
      <w:pPr>
        <w:numPr>
          <w:ilvl w:val="0"/>
          <w:numId w:val="4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lack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national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strategy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address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related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impacts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; </w:t>
      </w:r>
    </w:p>
    <w:p w:rsidR="008A2F11" w:rsidRPr="007E0BBB" w:rsidRDefault="008A2F11" w:rsidP="008A2F11">
      <w:pPr>
        <w:numPr>
          <w:ilvl w:val="0"/>
          <w:numId w:val="4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lastRenderedPageBreak/>
        <w:t>need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streamlining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sectoral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policies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agencies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reduce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duplication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mandates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activities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; </w:t>
      </w:r>
    </w:p>
    <w:p w:rsidR="008A2F11" w:rsidRPr="007E0BBB" w:rsidRDefault="008A2F11" w:rsidP="008A2F11">
      <w:pPr>
        <w:numPr>
          <w:ilvl w:val="0"/>
          <w:numId w:val="4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lack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a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clearly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defined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cross-sectoral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mechanism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for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coordination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adaptation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related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policies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; </w:t>
      </w:r>
    </w:p>
    <w:p w:rsidR="008A2F11" w:rsidRPr="007E0BBB" w:rsidRDefault="008A2F11" w:rsidP="008A2F11">
      <w:pPr>
        <w:numPr>
          <w:ilvl w:val="0"/>
          <w:numId w:val="4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limited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ability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expand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service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network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in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rural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areas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; </w:t>
      </w:r>
    </w:p>
    <w:p w:rsidR="008A2F11" w:rsidRPr="007E0BBB" w:rsidRDefault="008A2F11" w:rsidP="008A2F11">
      <w:pPr>
        <w:numPr>
          <w:ilvl w:val="0"/>
          <w:numId w:val="4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limited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insufficient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support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to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organizations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implementation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support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;</w:t>
      </w:r>
    </w:p>
    <w:p w:rsidR="008A2F11" w:rsidRPr="007E0BBB" w:rsidRDefault="008A2F11" w:rsidP="008A2F11">
      <w:pPr>
        <w:numPr>
          <w:ilvl w:val="0"/>
          <w:numId w:val="4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limited climate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related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awareness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knowledge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among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professionals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; </w:t>
      </w:r>
    </w:p>
    <w:p w:rsidR="008A2F11" w:rsidRPr="007E0BBB" w:rsidRDefault="008A2F11" w:rsidP="008A2F11">
      <w:pPr>
        <w:numPr>
          <w:ilvl w:val="0"/>
          <w:numId w:val="4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limited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staffing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equipment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, and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financing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of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the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public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system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; </w:t>
      </w:r>
    </w:p>
    <w:p w:rsidR="008A2F11" w:rsidRPr="007E0BBB" w:rsidRDefault="008A2F11" w:rsidP="008A2F11">
      <w:pPr>
        <w:numPr>
          <w:ilvl w:val="0"/>
          <w:numId w:val="4"/>
        </w:numPr>
        <w:spacing w:after="160"/>
        <w:ind w:right="-447"/>
        <w:contextualSpacing/>
        <w:jc w:val="both"/>
        <w:rPr>
          <w:rFonts w:ascii="Times New Roman" w:eastAsiaTheme="minorHAnsi" w:hAnsi="Times New Roman"/>
          <w:bCs/>
          <w:sz w:val="28"/>
          <w:szCs w:val="28"/>
          <w:lang w:val="ro-RO"/>
        </w:rPr>
      </w:pPr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limited training for public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health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workers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 xml:space="preserve"> and service </w:t>
      </w:r>
      <w:proofErr w:type="spellStart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providers</w:t>
      </w:r>
      <w:proofErr w:type="spellEnd"/>
      <w:r w:rsidRPr="007E0BBB">
        <w:rPr>
          <w:rFonts w:ascii="Times New Roman" w:eastAsiaTheme="minorHAnsi" w:hAnsi="Times New Roman"/>
          <w:bCs/>
          <w:sz w:val="28"/>
          <w:szCs w:val="28"/>
          <w:lang w:val="ro-RO"/>
        </w:rPr>
        <w:t>.</w:t>
      </w:r>
    </w:p>
    <w:p w:rsidR="008A2F11" w:rsidRDefault="008A2F11" w:rsidP="008A2F11">
      <w:pPr>
        <w:spacing w:after="0" w:line="360" w:lineRule="auto"/>
        <w:ind w:left="142" w:right="-845" w:firstLine="709"/>
        <w:jc w:val="both"/>
        <w:rPr>
          <w:rFonts w:ascii="Times New Roman" w:hAnsi="Times New Roman"/>
          <w:iCs/>
          <w:sz w:val="28"/>
          <w:szCs w:val="28"/>
          <w:lang w:val="ro-RO" w:eastAsia="ro-RO"/>
        </w:rPr>
      </w:pPr>
    </w:p>
    <w:p w:rsidR="008A2F11" w:rsidRPr="009D47C1" w:rsidRDefault="008A2F11" w:rsidP="008A2F11">
      <w:pPr>
        <w:spacing w:after="0" w:line="360" w:lineRule="auto"/>
        <w:ind w:left="142" w:right="-845" w:firstLine="709"/>
        <w:jc w:val="both"/>
        <w:rPr>
          <w:rFonts w:ascii="Times New Roman" w:hAnsi="Times New Roman"/>
          <w:iCs/>
          <w:sz w:val="16"/>
          <w:szCs w:val="16"/>
          <w:lang w:val="ro-RO" w:eastAsia="ro-RO"/>
        </w:rPr>
      </w:pPr>
    </w:p>
    <w:p w:rsidR="008A2F11" w:rsidRPr="00ED5030" w:rsidRDefault="008A2F11" w:rsidP="008A2F11">
      <w:pPr>
        <w:spacing w:after="0" w:line="360" w:lineRule="auto"/>
        <w:ind w:left="142" w:right="-845" w:firstLine="709"/>
        <w:jc w:val="both"/>
        <w:rPr>
          <w:rFonts w:ascii="Times New Roman" w:hAnsi="Times New Roman"/>
          <w:sz w:val="6"/>
          <w:szCs w:val="6"/>
          <w:lang w:val="ro-RO"/>
        </w:rPr>
      </w:pPr>
      <w:r w:rsidRPr="005C47AF">
        <w:rPr>
          <w:rFonts w:ascii="Times New Roman" w:hAnsi="Times New Roman"/>
          <w:iCs/>
          <w:sz w:val="28"/>
          <w:szCs w:val="28"/>
          <w:lang w:val="ro-RO" w:eastAsia="ro-RO"/>
        </w:rPr>
        <w:t xml:space="preserve">      </w:t>
      </w:r>
    </w:p>
    <w:p w:rsidR="008A2F11" w:rsidRDefault="008A2F11" w:rsidP="008A2F11">
      <w:pPr>
        <w:spacing w:after="0" w:line="360" w:lineRule="auto"/>
        <w:ind w:right="-845"/>
        <w:jc w:val="both"/>
      </w:pPr>
      <w:r w:rsidRPr="00943E38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</w:t>
      </w:r>
    </w:p>
    <w:p w:rsidR="00CC05AF" w:rsidRDefault="00CC05AF"/>
    <w:sectPr w:rsidR="00CC05AF" w:rsidSect="00411FF9">
      <w:pgSz w:w="12240" w:h="15840"/>
      <w:pgMar w:top="426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6DC8"/>
    <w:multiLevelType w:val="hybridMultilevel"/>
    <w:tmpl w:val="9E6896D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B432D"/>
    <w:multiLevelType w:val="hybridMultilevel"/>
    <w:tmpl w:val="A34E6F8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E7B9B"/>
    <w:multiLevelType w:val="hybridMultilevel"/>
    <w:tmpl w:val="78CEDDF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63B2C"/>
    <w:multiLevelType w:val="hybridMultilevel"/>
    <w:tmpl w:val="8EE435A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84"/>
    <w:rsid w:val="003B7E65"/>
    <w:rsid w:val="008A2F11"/>
    <w:rsid w:val="00A62984"/>
    <w:rsid w:val="00C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11"/>
    <w:pPr>
      <w:spacing w:after="200" w:line="276" w:lineRule="auto"/>
    </w:pPr>
    <w:rPr>
      <w:rFonts w:ascii="Calibri" w:eastAsia="Times New Roman" w:hAnsi="Calibri"/>
      <w:bCs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A2F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65"/>
    <w:rPr>
      <w:rFonts w:ascii="Tahoma" w:eastAsia="Times New Roman" w:hAnsi="Tahoma" w:cs="Tahoma"/>
      <w:bCs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11"/>
    <w:pPr>
      <w:spacing w:after="200" w:line="276" w:lineRule="auto"/>
    </w:pPr>
    <w:rPr>
      <w:rFonts w:ascii="Calibri" w:eastAsia="Times New Roman" w:hAnsi="Calibri"/>
      <w:bCs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A2F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65"/>
    <w:rPr>
      <w:rFonts w:ascii="Tahoma" w:eastAsia="Times New Roman" w:hAnsi="Tahoma" w:cs="Tahoma"/>
      <w:bCs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452117-9110-42DF-A461-73009E5F2557}"/>
</file>

<file path=customXml/itemProps2.xml><?xml version="1.0" encoding="utf-8"?>
<ds:datastoreItem xmlns:ds="http://schemas.openxmlformats.org/officeDocument/2006/customXml" ds:itemID="{3216890F-12E3-431D-B6CA-3DD7E5F678E4}"/>
</file>

<file path=customXml/itemProps3.xml><?xml version="1.0" encoding="utf-8"?>
<ds:datastoreItem xmlns:ds="http://schemas.openxmlformats.org/officeDocument/2006/customXml" ds:itemID="{37688797-562D-4CB9-BA03-AB84F85EF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O.D.</cp:lastModifiedBy>
  <cp:revision>2</cp:revision>
  <dcterms:created xsi:type="dcterms:W3CDTF">2019-06-27T06:50:00Z</dcterms:created>
  <dcterms:modified xsi:type="dcterms:W3CDTF">2019-06-27T06:50:00Z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