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5705" w:rsidRPr="0024642A" w:rsidRDefault="004C5705" w:rsidP="0024642A">
      <w:pPr>
        <w:jc w:val="center"/>
        <w:rPr>
          <w:rFonts w:ascii="Times New Roman" w:hAnsi="Times New Roman"/>
          <w:b/>
          <w:bCs/>
          <w:color w:val="000000" w:themeColor="text1"/>
          <w:sz w:val="24"/>
          <w:szCs w:val="24"/>
        </w:rPr>
      </w:pPr>
      <w:r w:rsidRPr="0024642A">
        <w:rPr>
          <w:rFonts w:ascii="Times New Roman" w:hAnsi="Times New Roman"/>
          <w:noProof/>
          <w:sz w:val="24"/>
          <w:szCs w:val="24"/>
          <w:lang w:eastAsia="en-GB"/>
        </w:rPr>
        <w:drawing>
          <wp:inline distT="0" distB="0" distL="0" distR="0" wp14:anchorId="78C50F01" wp14:editId="3ADDA4A8">
            <wp:extent cx="1272540" cy="1068070"/>
            <wp:effectExtent l="0" t="0" r="3810" b="0"/>
            <wp:docPr id="1" name="Picture 1" descr="correctcol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rectcolor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1068070"/>
                    </a:xfrm>
                    <a:prstGeom prst="rect">
                      <a:avLst/>
                    </a:prstGeom>
                    <a:noFill/>
                    <a:ln>
                      <a:noFill/>
                    </a:ln>
                  </pic:spPr>
                </pic:pic>
              </a:graphicData>
            </a:graphic>
          </wp:inline>
        </w:drawing>
      </w:r>
    </w:p>
    <w:p w:rsidR="004C5705" w:rsidRPr="0024642A" w:rsidRDefault="004C5705" w:rsidP="0024642A">
      <w:pPr>
        <w:jc w:val="both"/>
        <w:rPr>
          <w:rFonts w:ascii="Times New Roman" w:hAnsi="Times New Roman"/>
          <w:b/>
          <w:bCs/>
          <w:color w:val="000000" w:themeColor="text1"/>
          <w:sz w:val="24"/>
          <w:szCs w:val="24"/>
        </w:rPr>
      </w:pPr>
    </w:p>
    <w:p w:rsidR="00955A44" w:rsidRPr="0024642A" w:rsidRDefault="00955A44" w:rsidP="0024642A">
      <w:pPr>
        <w:jc w:val="both"/>
        <w:rPr>
          <w:rFonts w:ascii="Times New Roman" w:hAnsi="Times New Roman"/>
          <w:b/>
          <w:bCs/>
          <w:color w:val="000000" w:themeColor="text1"/>
          <w:sz w:val="24"/>
          <w:szCs w:val="24"/>
        </w:rPr>
      </w:pPr>
    </w:p>
    <w:p w:rsidR="0000011B" w:rsidRPr="0024642A" w:rsidRDefault="0024642A" w:rsidP="0024642A">
      <w:pPr>
        <w:jc w:val="center"/>
        <w:rPr>
          <w:rFonts w:ascii="Times New Roman" w:hAnsi="Times New Roman"/>
          <w:b/>
          <w:bCs/>
          <w:color w:val="000000" w:themeColor="text1"/>
          <w:sz w:val="24"/>
          <w:szCs w:val="24"/>
        </w:rPr>
      </w:pPr>
      <w:bookmarkStart w:id="0" w:name="_GoBack"/>
      <w:r w:rsidRPr="002B0DFA">
        <w:rPr>
          <w:rFonts w:ascii="Times New Roman" w:hAnsi="Times New Roman"/>
          <w:b/>
          <w:bCs/>
          <w:color w:val="000000" w:themeColor="text1"/>
          <w:sz w:val="24"/>
          <w:szCs w:val="24"/>
        </w:rPr>
        <w:t>ODIHR</w:t>
      </w:r>
      <w:r w:rsidR="002B0DFA" w:rsidRPr="002B0DFA">
        <w:rPr>
          <w:rFonts w:ascii="Times New Roman" w:hAnsi="Times New Roman"/>
          <w:b/>
          <w:bCs/>
          <w:color w:val="000000" w:themeColor="text1"/>
          <w:sz w:val="24"/>
          <w:szCs w:val="24"/>
        </w:rPr>
        <w:t xml:space="preserve"> Contact Point for Roma and Sinti Issues</w:t>
      </w:r>
      <w:bookmarkEnd w:id="0"/>
      <w:r w:rsidRPr="002B0DFA">
        <w:rPr>
          <w:rFonts w:ascii="Times New Roman" w:hAnsi="Times New Roman"/>
          <w:b/>
          <w:bCs/>
          <w:color w:val="000000" w:themeColor="text1"/>
          <w:sz w:val="24"/>
          <w:szCs w:val="24"/>
        </w:rPr>
        <w:t xml:space="preserve"> </w:t>
      </w:r>
      <w:r w:rsidR="001110A9">
        <w:rPr>
          <w:rFonts w:ascii="Times New Roman" w:hAnsi="Times New Roman"/>
          <w:b/>
          <w:bCs/>
          <w:color w:val="000000" w:themeColor="text1"/>
          <w:sz w:val="24"/>
          <w:szCs w:val="24"/>
        </w:rPr>
        <w:t xml:space="preserve">- </w:t>
      </w:r>
      <w:r w:rsidRPr="002B0DFA">
        <w:rPr>
          <w:rFonts w:ascii="Times New Roman" w:hAnsi="Times New Roman"/>
          <w:b/>
          <w:bCs/>
          <w:color w:val="000000" w:themeColor="text1"/>
          <w:sz w:val="24"/>
          <w:szCs w:val="24"/>
        </w:rPr>
        <w:t>c</w:t>
      </w:r>
      <w:r w:rsidR="0000011B" w:rsidRPr="002B0DFA">
        <w:rPr>
          <w:rFonts w:ascii="Times New Roman" w:hAnsi="Times New Roman"/>
          <w:b/>
          <w:bCs/>
          <w:color w:val="000000" w:themeColor="text1"/>
          <w:sz w:val="24"/>
          <w:szCs w:val="24"/>
        </w:rPr>
        <w:t>ontribution to the UN Draft guidelines on the effective implementation of the right to participate in public affairs</w:t>
      </w:r>
    </w:p>
    <w:p w:rsidR="004C5705" w:rsidRPr="0024642A" w:rsidRDefault="004C5705" w:rsidP="0024642A">
      <w:pPr>
        <w:jc w:val="both"/>
        <w:rPr>
          <w:rFonts w:ascii="Times New Roman" w:hAnsi="Times New Roman"/>
          <w:b/>
          <w:bCs/>
          <w:color w:val="000000" w:themeColor="text1"/>
          <w:sz w:val="24"/>
          <w:szCs w:val="24"/>
        </w:rPr>
      </w:pPr>
    </w:p>
    <w:p w:rsidR="00DD1E91" w:rsidRDefault="00DD1E91" w:rsidP="0024642A">
      <w:pPr>
        <w:jc w:val="both"/>
        <w:rPr>
          <w:rFonts w:ascii="Times New Roman" w:hAnsi="Times New Roman"/>
          <w:b/>
          <w:bCs/>
          <w:color w:val="000000" w:themeColor="text1"/>
          <w:sz w:val="24"/>
          <w:szCs w:val="24"/>
        </w:rPr>
      </w:pPr>
    </w:p>
    <w:p w:rsidR="00E11C61" w:rsidRPr="00E11C61" w:rsidRDefault="00E11C61" w:rsidP="00A7057F">
      <w:pPr>
        <w:spacing w:after="200"/>
        <w:contextualSpacing/>
        <w:jc w:val="both"/>
        <w:rPr>
          <w:rFonts w:ascii="Times New Roman" w:hAnsi="Times New Roman" w:cstheme="minorBidi"/>
          <w:sz w:val="24"/>
          <w:szCs w:val="24"/>
        </w:rPr>
      </w:pPr>
      <w:r w:rsidRPr="00E11C61">
        <w:rPr>
          <w:rFonts w:ascii="Times New Roman" w:eastAsia="Calibri" w:hAnsi="Times New Roman"/>
          <w:sz w:val="24"/>
          <w:u w:color="000000"/>
        </w:rPr>
        <w:t xml:space="preserve">OSCE participating States have committed themselves to specific actions </w:t>
      </w:r>
      <w:r w:rsidR="007F28DD">
        <w:rPr>
          <w:rFonts w:ascii="Times New Roman" w:eastAsia="Calibri" w:hAnsi="Times New Roman"/>
          <w:sz w:val="24"/>
          <w:u w:color="000000"/>
        </w:rPr>
        <w:t>supporting</w:t>
      </w:r>
      <w:r w:rsidRPr="00E11C61">
        <w:rPr>
          <w:rFonts w:ascii="Times New Roman" w:eastAsia="Calibri" w:hAnsi="Times New Roman"/>
          <w:sz w:val="24"/>
          <w:u w:color="000000"/>
        </w:rPr>
        <w:t xml:space="preserve"> the participation of Roma and Sinti in public and political life. T</w:t>
      </w:r>
      <w:r w:rsidRPr="00E11C61">
        <w:rPr>
          <w:rFonts w:ascii="Times New Roman" w:hAnsi="Times New Roman" w:cstheme="minorBidi"/>
          <w:sz w:val="24"/>
          <w:szCs w:val="24"/>
        </w:rPr>
        <w:t xml:space="preserve">he </w:t>
      </w:r>
      <w:hyperlink r:id="rId9" w:history="1">
        <w:r w:rsidRPr="00E11C61">
          <w:rPr>
            <w:rFonts w:ascii="Times New Roman" w:hAnsi="Times New Roman" w:cstheme="minorBidi"/>
            <w:color w:val="0000FF"/>
            <w:sz w:val="24"/>
            <w:szCs w:val="24"/>
            <w:u w:val="single"/>
          </w:rPr>
          <w:t>2003 OSCE Action Plan on Roma and Sinti</w:t>
        </w:r>
      </w:hyperlink>
      <w:r w:rsidRPr="00E11C61">
        <w:rPr>
          <w:rFonts w:ascii="Times New Roman" w:hAnsi="Times New Roman" w:cstheme="minorBidi"/>
          <w:sz w:val="24"/>
          <w:szCs w:val="24"/>
        </w:rPr>
        <w:t xml:space="preserve"> (OSCE Action Plan) sets out the framework with a comprehensive plan focusing on commitments undertaken by the OSCE participating States as well as internal action within OSCE institutions on specific tasks to support participating States in improving the situation of Roma and Sinti, including their participation in public and political life. </w:t>
      </w:r>
    </w:p>
    <w:p w:rsidR="00DD1E91" w:rsidRDefault="00DD1E91" w:rsidP="0024642A">
      <w:pPr>
        <w:jc w:val="both"/>
        <w:rPr>
          <w:rFonts w:ascii="Times New Roman" w:hAnsi="Times New Roman"/>
          <w:b/>
          <w:bCs/>
          <w:color w:val="000000" w:themeColor="text1"/>
          <w:sz w:val="24"/>
          <w:szCs w:val="24"/>
        </w:rPr>
      </w:pPr>
    </w:p>
    <w:p w:rsidR="00A7057F" w:rsidRPr="00A7057F" w:rsidRDefault="00A7057F" w:rsidP="00A7057F">
      <w:pPr>
        <w:autoSpaceDE w:val="0"/>
        <w:autoSpaceDN w:val="0"/>
        <w:adjustRightInd w:val="0"/>
        <w:jc w:val="both"/>
        <w:rPr>
          <w:rFonts w:ascii="Times New Roman" w:eastAsia="Calibri" w:hAnsi="Times New Roman"/>
          <w:sz w:val="24"/>
          <w:u w:color="000000"/>
        </w:rPr>
      </w:pPr>
      <w:r w:rsidRPr="00A7057F">
        <w:rPr>
          <w:rFonts w:ascii="Times New Roman" w:eastAsia="Calibri" w:hAnsi="Times New Roman"/>
          <w:sz w:val="24"/>
          <w:u w:color="000000"/>
        </w:rPr>
        <w:t>The OSCE Action Plan gives ample attention to enhancing the participation of Roma and Sinti in public and political life.</w:t>
      </w:r>
      <w:r w:rsidRPr="00A7057F">
        <w:rPr>
          <w:rFonts w:ascii="Times New Roman" w:eastAsia="Calibri" w:hAnsi="Times New Roman"/>
          <w:sz w:val="24"/>
          <w:u w:color="000000"/>
          <w:vertAlign w:val="superscript"/>
        </w:rPr>
        <w:footnoteReference w:id="1"/>
      </w:r>
      <w:r w:rsidRPr="00A7057F">
        <w:rPr>
          <w:rFonts w:ascii="Times New Roman" w:eastAsia="Calibri" w:hAnsi="Times New Roman"/>
          <w:sz w:val="24"/>
          <w:u w:color="000000"/>
        </w:rPr>
        <w:t xml:space="preserve"> It calls on the participating States to proactively ensure the participation of Roma and Sinti by solving issues related to the lack of personal documents and by accounting to the principles of early involvement, inclusiveness, transparency, meaningful participation at all levels of government and ownership</w:t>
      </w:r>
      <w:r w:rsidRPr="00A7057F">
        <w:rPr>
          <w:rFonts w:ascii="Times New Roman" w:eastAsia="Calibri" w:hAnsi="Times New Roman"/>
          <w:i/>
          <w:sz w:val="24"/>
          <w:u w:color="000000"/>
        </w:rPr>
        <w:t xml:space="preserve"> </w:t>
      </w:r>
      <w:r w:rsidRPr="00A7057F">
        <w:rPr>
          <w:rFonts w:ascii="Times New Roman" w:eastAsia="Calibri" w:hAnsi="Times New Roman"/>
          <w:sz w:val="24"/>
          <w:u w:color="000000"/>
        </w:rPr>
        <w:t>“for ensuring effective participation of Roma and Sinti in public and political life.”</w:t>
      </w:r>
      <w:r w:rsidRPr="00A7057F">
        <w:rPr>
          <w:rFonts w:ascii="Times New Roman" w:eastAsia="Calibri" w:hAnsi="Times New Roman"/>
          <w:sz w:val="24"/>
          <w:u w:color="000000"/>
          <w:vertAlign w:val="superscript"/>
        </w:rPr>
        <w:footnoteReference w:id="2"/>
      </w:r>
      <w:r w:rsidRPr="00A7057F">
        <w:rPr>
          <w:rFonts w:ascii="Times New Roman" w:eastAsia="Calibri" w:hAnsi="Times New Roman"/>
          <w:sz w:val="24"/>
          <w:u w:color="000000"/>
        </w:rPr>
        <w:t xml:space="preserve"> </w:t>
      </w:r>
    </w:p>
    <w:p w:rsidR="00A7057F" w:rsidRPr="00A7057F" w:rsidRDefault="00A7057F" w:rsidP="00A7057F">
      <w:pPr>
        <w:autoSpaceDE w:val="0"/>
        <w:autoSpaceDN w:val="0"/>
        <w:adjustRightInd w:val="0"/>
        <w:jc w:val="both"/>
        <w:rPr>
          <w:rFonts w:ascii="Times New Roman" w:eastAsia="Calibri" w:hAnsi="Times New Roman"/>
          <w:sz w:val="24"/>
          <w:u w:color="000000"/>
        </w:rPr>
      </w:pPr>
    </w:p>
    <w:p w:rsidR="00A7057F" w:rsidRPr="00A7057F" w:rsidRDefault="00A7057F" w:rsidP="00A7057F">
      <w:pPr>
        <w:autoSpaceDE w:val="0"/>
        <w:autoSpaceDN w:val="0"/>
        <w:adjustRightInd w:val="0"/>
        <w:jc w:val="both"/>
        <w:rPr>
          <w:rFonts w:ascii="Times New Roman" w:eastAsia="Calibri" w:hAnsi="Times New Roman"/>
          <w:sz w:val="24"/>
          <w:u w:color="000000"/>
        </w:rPr>
      </w:pPr>
      <w:r w:rsidRPr="00A7057F">
        <w:rPr>
          <w:rFonts w:ascii="Times New Roman" w:eastAsia="Calibri" w:hAnsi="Times New Roman"/>
          <w:sz w:val="24"/>
          <w:u w:color="000000"/>
        </w:rPr>
        <w:t>With regard to the specific situation of Roma and Sinti women, participating States underlined that “women should be able to participate on an equal basis with men in consultative and other mechanisms designed to increase access to all areas of public and political life.”</w:t>
      </w:r>
      <w:r w:rsidRPr="00A7057F">
        <w:rPr>
          <w:rFonts w:ascii="Times New Roman" w:eastAsia="Calibri" w:hAnsi="Times New Roman"/>
          <w:sz w:val="24"/>
          <w:u w:color="000000"/>
          <w:vertAlign w:val="superscript"/>
        </w:rPr>
        <w:footnoteReference w:id="3"/>
      </w:r>
      <w:r w:rsidRPr="00A7057F">
        <w:rPr>
          <w:rFonts w:ascii="Times New Roman" w:eastAsia="Calibri" w:hAnsi="Times New Roman"/>
          <w:sz w:val="24"/>
          <w:u w:color="000000"/>
        </w:rPr>
        <w:t xml:space="preserve"> The participating States should also guarantee women’s equal rights when it comes to voting, including a ban on “family voting”.</w:t>
      </w:r>
      <w:r w:rsidRPr="00A7057F">
        <w:rPr>
          <w:rFonts w:ascii="Times New Roman" w:eastAsia="Calibri" w:hAnsi="Times New Roman"/>
          <w:sz w:val="24"/>
          <w:u w:color="000000"/>
          <w:vertAlign w:val="superscript"/>
        </w:rPr>
        <w:footnoteReference w:id="4"/>
      </w:r>
      <w:r w:rsidR="00887953">
        <w:rPr>
          <w:rFonts w:ascii="Times New Roman" w:eastAsia="Calibri" w:hAnsi="Times New Roman"/>
          <w:sz w:val="24"/>
          <w:u w:color="000000"/>
        </w:rPr>
        <w:t xml:space="preserve"> </w:t>
      </w:r>
      <w:r w:rsidR="005E2003">
        <w:rPr>
          <w:rFonts w:ascii="Times New Roman" w:eastAsia="Calibri" w:hAnsi="Times New Roman"/>
          <w:sz w:val="24"/>
          <w:u w:color="000000"/>
        </w:rPr>
        <w:t>A</w:t>
      </w:r>
      <w:r w:rsidR="00793DB0">
        <w:rPr>
          <w:rFonts w:ascii="Times New Roman" w:eastAsia="Calibri" w:hAnsi="Times New Roman"/>
          <w:sz w:val="24"/>
          <w:u w:color="000000"/>
        </w:rPr>
        <w:t>l</w:t>
      </w:r>
      <w:r w:rsidR="005E2003">
        <w:rPr>
          <w:rFonts w:ascii="Times New Roman" w:eastAsia="Calibri" w:hAnsi="Times New Roman"/>
          <w:sz w:val="24"/>
          <w:u w:color="000000"/>
        </w:rPr>
        <w:t xml:space="preserve">ong these lines, </w:t>
      </w:r>
      <w:r w:rsidR="005E2003" w:rsidRPr="005E2003">
        <w:rPr>
          <w:rFonts w:ascii="Times New Roman" w:eastAsia="Calibri" w:hAnsi="Times New Roman"/>
          <w:sz w:val="24"/>
          <w:u w:color="000000"/>
        </w:rPr>
        <w:t xml:space="preserve">improving the situation of Roma and Sinti youth is </w:t>
      </w:r>
      <w:r w:rsidR="005E2003">
        <w:rPr>
          <w:rFonts w:ascii="Times New Roman" w:eastAsia="Calibri" w:hAnsi="Times New Roman"/>
          <w:sz w:val="24"/>
          <w:u w:color="000000"/>
        </w:rPr>
        <w:t xml:space="preserve">also </w:t>
      </w:r>
      <w:r w:rsidR="005E2003" w:rsidRPr="005E2003">
        <w:rPr>
          <w:rFonts w:ascii="Times New Roman" w:eastAsia="Calibri" w:hAnsi="Times New Roman"/>
          <w:sz w:val="24"/>
          <w:u w:color="000000"/>
        </w:rPr>
        <w:t xml:space="preserve">fully grounded in OSCE’s commitments under the </w:t>
      </w:r>
      <w:r w:rsidR="005E2003">
        <w:rPr>
          <w:rFonts w:ascii="Times New Roman" w:eastAsia="Calibri" w:hAnsi="Times New Roman"/>
          <w:sz w:val="24"/>
          <w:u w:color="000000"/>
        </w:rPr>
        <w:t>OSCE</w:t>
      </w:r>
      <w:r w:rsidR="005E2003" w:rsidRPr="005E2003">
        <w:rPr>
          <w:rFonts w:ascii="Times New Roman" w:eastAsia="Calibri" w:hAnsi="Times New Roman"/>
          <w:sz w:val="24"/>
          <w:u w:color="000000"/>
        </w:rPr>
        <w:t xml:space="preserve"> Action Plan, and the 2013 </w:t>
      </w:r>
      <w:hyperlink r:id="rId10" w:history="1">
        <w:r w:rsidR="005E2003" w:rsidRPr="00887953">
          <w:rPr>
            <w:rStyle w:val="Hyperlink"/>
            <w:rFonts w:ascii="Times New Roman" w:eastAsia="Calibri" w:hAnsi="Times New Roman"/>
            <w:sz w:val="24"/>
            <w:u w:color="000000"/>
          </w:rPr>
          <w:t>Ministerial Counci</w:t>
        </w:r>
        <w:r w:rsidR="00887953" w:rsidRPr="00887953">
          <w:rPr>
            <w:rStyle w:val="Hyperlink"/>
            <w:rFonts w:ascii="Times New Roman" w:eastAsia="Calibri" w:hAnsi="Times New Roman"/>
            <w:sz w:val="24"/>
            <w:u w:color="000000"/>
          </w:rPr>
          <w:t>l Decision 4/13</w:t>
        </w:r>
      </w:hyperlink>
      <w:r w:rsidR="00887953">
        <w:rPr>
          <w:rFonts w:ascii="Times New Roman" w:eastAsia="Calibri" w:hAnsi="Times New Roman"/>
          <w:sz w:val="24"/>
          <w:u w:color="000000"/>
        </w:rPr>
        <w:t xml:space="preserve"> that has a particular focus on Roma and Sinti women, youth and c</w:t>
      </w:r>
      <w:r w:rsidR="005E2003" w:rsidRPr="005E2003">
        <w:rPr>
          <w:rFonts w:ascii="Times New Roman" w:eastAsia="Calibri" w:hAnsi="Times New Roman"/>
          <w:sz w:val="24"/>
          <w:u w:color="000000"/>
        </w:rPr>
        <w:t>hildren.</w:t>
      </w:r>
    </w:p>
    <w:p w:rsidR="00A7057F" w:rsidRPr="00A7057F" w:rsidRDefault="00A7057F" w:rsidP="00A7057F">
      <w:pPr>
        <w:autoSpaceDE w:val="0"/>
        <w:autoSpaceDN w:val="0"/>
        <w:adjustRightInd w:val="0"/>
        <w:jc w:val="both"/>
        <w:rPr>
          <w:rFonts w:ascii="Times New Roman" w:eastAsia="Calibri" w:hAnsi="Times New Roman"/>
          <w:sz w:val="24"/>
          <w:u w:color="000000"/>
        </w:rPr>
      </w:pPr>
    </w:p>
    <w:p w:rsidR="00A7057F" w:rsidRPr="00A7057F" w:rsidRDefault="00A7057F" w:rsidP="00A7057F">
      <w:pPr>
        <w:autoSpaceDE w:val="0"/>
        <w:autoSpaceDN w:val="0"/>
        <w:adjustRightInd w:val="0"/>
        <w:jc w:val="both"/>
        <w:rPr>
          <w:rFonts w:ascii="Times New Roman" w:eastAsia="Calibri" w:hAnsi="Times New Roman"/>
          <w:sz w:val="24"/>
          <w:szCs w:val="24"/>
          <w:u w:color="000000"/>
        </w:rPr>
      </w:pPr>
      <w:r w:rsidRPr="00A7057F">
        <w:rPr>
          <w:rFonts w:ascii="Times New Roman" w:eastAsia="Calibri" w:hAnsi="Times New Roman"/>
          <w:sz w:val="24"/>
          <w:u w:color="000000"/>
        </w:rPr>
        <w:t>Furthermore, the OSCE Action Plan tasks ODIHR as well as other OSCE institutions and structures, to design programmes that encourage Roma and Sinti representatives to stand as candidates for elected bodies, or to identify creative solutions that would ensure the participation of Roma and Sinti representatives in national and local decision-making processes.</w:t>
      </w:r>
      <w:r w:rsidRPr="00A7057F">
        <w:rPr>
          <w:rFonts w:ascii="Times New Roman" w:eastAsia="Calibri" w:hAnsi="Times New Roman"/>
          <w:sz w:val="24"/>
          <w:u w:color="000000"/>
          <w:vertAlign w:val="superscript"/>
        </w:rPr>
        <w:footnoteReference w:id="5"/>
      </w:r>
      <w:r w:rsidRPr="00A7057F">
        <w:rPr>
          <w:rFonts w:ascii="Times New Roman" w:eastAsia="Calibri" w:hAnsi="Times New Roman"/>
          <w:sz w:val="24"/>
          <w:u w:color="000000"/>
        </w:rPr>
        <w:t xml:space="preserve"> The OSCE Action Plan also calls on ODIHR and, where appropriate, other OSCE institutions and structures, to develop and implement voter education and voter registration programmes,</w:t>
      </w:r>
      <w:r w:rsidRPr="00A7057F">
        <w:rPr>
          <w:rFonts w:ascii="Times New Roman" w:eastAsia="Calibri" w:hAnsi="Times New Roman"/>
          <w:sz w:val="24"/>
          <w:u w:color="000000"/>
          <w:vertAlign w:val="superscript"/>
        </w:rPr>
        <w:footnoteReference w:id="6"/>
      </w:r>
      <w:r w:rsidRPr="00A7057F">
        <w:rPr>
          <w:rFonts w:ascii="Times New Roman" w:eastAsia="Calibri" w:hAnsi="Times New Roman"/>
          <w:sz w:val="24"/>
          <w:u w:color="000000"/>
        </w:rPr>
        <w:t xml:space="preserve"> and </w:t>
      </w:r>
      <w:r w:rsidRPr="00A7057F">
        <w:rPr>
          <w:rFonts w:ascii="Times New Roman" w:eastAsia="Calibri" w:hAnsi="Times New Roman"/>
          <w:sz w:val="24"/>
          <w:szCs w:val="24"/>
          <w:u w:color="000000"/>
        </w:rPr>
        <w:t>further specifies that ODIHR should “continue and strengthen the practice of examining the involvement of Roma people in voting and election processes.”</w:t>
      </w:r>
      <w:r w:rsidRPr="00A7057F">
        <w:rPr>
          <w:rFonts w:ascii="Times New Roman" w:eastAsia="Calibri" w:hAnsi="Times New Roman"/>
          <w:sz w:val="24"/>
          <w:szCs w:val="24"/>
          <w:u w:color="000000"/>
          <w:vertAlign w:val="superscript"/>
        </w:rPr>
        <w:footnoteReference w:id="7"/>
      </w:r>
      <w:r w:rsidRPr="00A7057F">
        <w:rPr>
          <w:rFonts w:ascii="Times New Roman" w:eastAsia="Calibri" w:hAnsi="Times New Roman"/>
          <w:sz w:val="24"/>
          <w:szCs w:val="24"/>
          <w:u w:color="000000"/>
        </w:rPr>
        <w:t xml:space="preserve"> </w:t>
      </w:r>
    </w:p>
    <w:p w:rsidR="00A7057F" w:rsidRPr="00A7057F" w:rsidRDefault="00A7057F" w:rsidP="00A7057F">
      <w:pPr>
        <w:autoSpaceDE w:val="0"/>
        <w:autoSpaceDN w:val="0"/>
        <w:adjustRightInd w:val="0"/>
        <w:jc w:val="both"/>
        <w:rPr>
          <w:rFonts w:ascii="Times New Roman" w:eastAsia="Calibri" w:hAnsi="Times New Roman"/>
          <w:sz w:val="24"/>
          <w:u w:color="000000"/>
        </w:rPr>
      </w:pPr>
    </w:p>
    <w:p w:rsidR="00B94FFF" w:rsidRDefault="00A7057F" w:rsidP="00A7057F">
      <w:pPr>
        <w:pBdr>
          <w:top w:val="nil"/>
          <w:left w:val="nil"/>
          <w:bottom w:val="nil"/>
          <w:right w:val="nil"/>
          <w:between w:val="nil"/>
          <w:bar w:val="nil"/>
        </w:pBdr>
        <w:jc w:val="both"/>
        <w:rPr>
          <w:rFonts w:ascii="Times New Roman" w:eastAsia="Calibri" w:hAnsi="Times New Roman"/>
          <w:sz w:val="24"/>
          <w:u w:color="000000"/>
        </w:rPr>
      </w:pPr>
      <w:r w:rsidRPr="00A7057F">
        <w:rPr>
          <w:rFonts w:ascii="Times New Roman" w:eastAsia="Calibri" w:hAnsi="Times New Roman"/>
          <w:sz w:val="24"/>
          <w:u w:color="000000"/>
        </w:rPr>
        <w:lastRenderedPageBreak/>
        <w:t xml:space="preserve">The OSCE Action Plan’s provisions on the participation </w:t>
      </w:r>
      <w:r w:rsidR="00B94FFF">
        <w:rPr>
          <w:rFonts w:ascii="Times New Roman" w:eastAsia="Calibri" w:hAnsi="Times New Roman"/>
          <w:sz w:val="24"/>
          <w:u w:color="000000"/>
        </w:rPr>
        <w:t xml:space="preserve">in public affairs </w:t>
      </w:r>
      <w:r w:rsidRPr="00A7057F">
        <w:rPr>
          <w:rFonts w:ascii="Times New Roman" w:eastAsia="Calibri" w:hAnsi="Times New Roman"/>
          <w:sz w:val="24"/>
          <w:u w:color="000000"/>
        </w:rPr>
        <w:t>of Roma and Sinti were reinforced with two additional Ministerial Council Decisions relating to Roma and Sinti. In 2008, the Ministerial Council Decision No. 6/08 on “Enhancing OSCE efforts to implement the OSCE Action Plan on Improving the Situation of Roma and Sinti within the OSCE Area” encouraged the participating States to “promote effective participation by Roma and Sinti in public and political life.”</w:t>
      </w:r>
      <w:r w:rsidRPr="00A7057F">
        <w:rPr>
          <w:rFonts w:ascii="Times New Roman" w:eastAsia="Calibri" w:hAnsi="Times New Roman"/>
          <w:sz w:val="24"/>
          <w:u w:color="000000"/>
          <w:vertAlign w:val="superscript"/>
        </w:rPr>
        <w:footnoteReference w:id="8"/>
      </w:r>
      <w:r w:rsidRPr="00A7057F">
        <w:rPr>
          <w:rFonts w:ascii="Times New Roman" w:eastAsia="Calibri" w:hAnsi="Times New Roman"/>
          <w:sz w:val="24"/>
          <w:u w:color="000000"/>
        </w:rPr>
        <w:t xml:space="preserve"> Additionally, in 2013, the OSCE Ministerial Council adopted the Decision No. 4/13 focusing on “Enhancing OSCE efforts to implement the OSCE Action Plan on Improving the Situation of Roma and Sinti within the OSCE Area, with a particular focus on Roma and Sinti women, youth and children.”</w:t>
      </w:r>
      <w:r w:rsidRPr="00A7057F">
        <w:rPr>
          <w:rFonts w:ascii="Times New Roman" w:eastAsia="Calibri" w:hAnsi="Times New Roman"/>
          <w:sz w:val="24"/>
          <w:u w:color="000000"/>
          <w:vertAlign w:val="superscript"/>
        </w:rPr>
        <w:footnoteReference w:id="9"/>
      </w:r>
      <w:r w:rsidRPr="00A7057F">
        <w:rPr>
          <w:rFonts w:ascii="Times New Roman" w:eastAsia="Calibri" w:hAnsi="Times New Roman"/>
          <w:sz w:val="24"/>
          <w:u w:color="000000"/>
        </w:rPr>
        <w:t xml:space="preserve"> With this decision, the participating States committed to “prevent further marginalization and exclusion of Roma and Sinti” by “enhancing the participation of Roma and Sinti in the elaboration, implementation and evaluation of the policies that affect them, including by fostering Roma and Sinti political participation and by supporting voter education among Roma and Sinti.”</w:t>
      </w:r>
      <w:r w:rsidRPr="00A7057F">
        <w:rPr>
          <w:rFonts w:ascii="Times New Roman" w:eastAsia="Calibri" w:hAnsi="Times New Roman"/>
          <w:sz w:val="24"/>
          <w:u w:color="000000"/>
          <w:vertAlign w:val="superscript"/>
        </w:rPr>
        <w:footnoteReference w:id="10"/>
      </w:r>
      <w:r w:rsidRPr="00A7057F">
        <w:rPr>
          <w:rFonts w:ascii="Times New Roman" w:eastAsia="Calibri" w:hAnsi="Times New Roman"/>
          <w:sz w:val="24"/>
          <w:u w:color="000000"/>
        </w:rPr>
        <w:t xml:space="preserve"> </w:t>
      </w:r>
    </w:p>
    <w:p w:rsidR="00B94FFF" w:rsidRDefault="00B94FFF" w:rsidP="00A7057F">
      <w:pPr>
        <w:pBdr>
          <w:top w:val="nil"/>
          <w:left w:val="nil"/>
          <w:bottom w:val="nil"/>
          <w:right w:val="nil"/>
          <w:between w:val="nil"/>
          <w:bar w:val="nil"/>
        </w:pBdr>
        <w:jc w:val="both"/>
        <w:rPr>
          <w:rFonts w:ascii="Times New Roman" w:eastAsia="Calibri" w:hAnsi="Times New Roman"/>
          <w:sz w:val="24"/>
          <w:u w:color="000000"/>
        </w:rPr>
      </w:pPr>
    </w:p>
    <w:p w:rsidR="00A7057F" w:rsidRPr="00A7057F" w:rsidRDefault="00A7057F" w:rsidP="00A7057F">
      <w:pPr>
        <w:pBdr>
          <w:top w:val="nil"/>
          <w:left w:val="nil"/>
          <w:bottom w:val="nil"/>
          <w:right w:val="nil"/>
          <w:between w:val="nil"/>
          <w:bar w:val="nil"/>
        </w:pBdr>
        <w:jc w:val="both"/>
        <w:rPr>
          <w:rFonts w:ascii="Times New Roman" w:eastAsia="Times New Roman" w:hAnsi="Times New Roman"/>
          <w:color w:val="000000"/>
          <w:sz w:val="24"/>
          <w:szCs w:val="24"/>
          <w:u w:color="000000"/>
          <w:bdr w:val="nil"/>
          <w:lang w:eastAsia="en-GB"/>
        </w:rPr>
      </w:pPr>
      <w:r w:rsidRPr="00A7057F">
        <w:rPr>
          <w:rFonts w:ascii="Times New Roman" w:eastAsia="Calibri" w:hAnsi="Times New Roman"/>
          <w:sz w:val="24"/>
          <w:u w:color="000000"/>
        </w:rPr>
        <w:t>Furthermore, participating States agreed to take active measures to support the empowerment of Roma and Sinti women by “promoting the effective and equal participation of Roma and Sinti women in public and political life, including through the promotion of women’s access to public office, public administration and decision making positions.”</w:t>
      </w:r>
      <w:r w:rsidRPr="00A7057F">
        <w:rPr>
          <w:rFonts w:ascii="Times New Roman" w:eastAsia="Calibri" w:hAnsi="Times New Roman"/>
          <w:sz w:val="24"/>
          <w:u w:color="000000"/>
          <w:vertAlign w:val="superscript"/>
        </w:rPr>
        <w:footnoteReference w:id="11"/>
      </w:r>
    </w:p>
    <w:p w:rsidR="00A7057F" w:rsidRPr="00A7057F" w:rsidRDefault="00A7057F" w:rsidP="00A7057F">
      <w:pPr>
        <w:jc w:val="both"/>
        <w:rPr>
          <w:rFonts w:ascii="Times New Roman" w:hAnsi="Times New Roman"/>
          <w:sz w:val="24"/>
          <w:szCs w:val="24"/>
        </w:rPr>
      </w:pPr>
    </w:p>
    <w:p w:rsidR="00A7057F" w:rsidRPr="00A7057F" w:rsidRDefault="00A7057F" w:rsidP="00A7057F">
      <w:pPr>
        <w:autoSpaceDE w:val="0"/>
        <w:autoSpaceDN w:val="0"/>
        <w:adjustRightInd w:val="0"/>
        <w:jc w:val="both"/>
        <w:rPr>
          <w:rFonts w:ascii="Times New Roman" w:hAnsi="Times New Roman"/>
          <w:color w:val="000000" w:themeColor="text1"/>
          <w:sz w:val="24"/>
          <w:szCs w:val="24"/>
        </w:rPr>
      </w:pPr>
      <w:r w:rsidRPr="00A7057F">
        <w:rPr>
          <w:rFonts w:ascii="Times New Roman" w:eastAsia="Calibri" w:hAnsi="Times New Roman"/>
          <w:sz w:val="24"/>
        </w:rPr>
        <w:t xml:space="preserve">Furthermore, both the OSCE Parliamentary Assembly “Resolution on Promoting Policies in Favour of the Roma Population” and the “Resolution on Promoting Policies on Equality between Women and Men of the Roma Population”, </w:t>
      </w:r>
      <w:r w:rsidRPr="00A7057F">
        <w:rPr>
          <w:rFonts w:ascii="Times New Roman" w:eastAsia="Calibri" w:hAnsi="Times New Roman"/>
          <w:bCs/>
          <w:sz w:val="24"/>
        </w:rPr>
        <w:t>adopted in 2011,</w:t>
      </w:r>
      <w:r w:rsidRPr="00A7057F">
        <w:rPr>
          <w:rFonts w:ascii="Times New Roman" w:eastAsia="Calibri" w:hAnsi="Times New Roman"/>
          <w:sz w:val="24"/>
        </w:rPr>
        <w:t xml:space="preserve"> ask OSCE participating States to provide more space for the increased public and political participation of Roma</w:t>
      </w:r>
      <w:r w:rsidRPr="00A7057F">
        <w:rPr>
          <w:rFonts w:ascii="Times New Roman" w:eastAsia="Calibri" w:hAnsi="Times New Roman"/>
          <w:sz w:val="24"/>
          <w:vertAlign w:val="superscript"/>
        </w:rPr>
        <w:footnoteReference w:id="12"/>
      </w:r>
      <w:r w:rsidRPr="00A7057F">
        <w:rPr>
          <w:rFonts w:ascii="Times New Roman" w:eastAsia="Calibri" w:hAnsi="Times New Roman"/>
          <w:sz w:val="24"/>
        </w:rPr>
        <w:t xml:space="preserve"> and to “promote equal opportunities for Roma women in politics”.</w:t>
      </w:r>
      <w:r w:rsidRPr="00A7057F">
        <w:rPr>
          <w:rFonts w:ascii="Times New Roman" w:eastAsia="Calibri" w:hAnsi="Times New Roman"/>
          <w:sz w:val="24"/>
          <w:vertAlign w:val="superscript"/>
        </w:rPr>
        <w:footnoteReference w:id="13"/>
      </w:r>
    </w:p>
    <w:p w:rsidR="00DD1E91" w:rsidRDefault="00DD1E91" w:rsidP="0024642A">
      <w:pPr>
        <w:jc w:val="both"/>
        <w:rPr>
          <w:rFonts w:ascii="Times New Roman" w:hAnsi="Times New Roman"/>
          <w:b/>
          <w:bCs/>
          <w:color w:val="000000" w:themeColor="text1"/>
          <w:sz w:val="24"/>
          <w:szCs w:val="24"/>
        </w:rPr>
      </w:pPr>
    </w:p>
    <w:p w:rsidR="00EA0E55" w:rsidRPr="00EA0E55" w:rsidRDefault="00887953" w:rsidP="00EA0E55">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Nonetheless, </w:t>
      </w:r>
      <w:r w:rsidR="00EA0E55" w:rsidRPr="00EA0E55">
        <w:rPr>
          <w:rFonts w:ascii="Times New Roman" w:hAnsi="Times New Roman"/>
          <w:bCs/>
          <w:color w:val="000000" w:themeColor="text1"/>
          <w:sz w:val="24"/>
          <w:szCs w:val="24"/>
        </w:rPr>
        <w:t xml:space="preserve">Roma and Sinti participation has received significantly less consideration than other socio-economic challenges faced by Roma and Sinti communities in the last years, including by the international community. </w:t>
      </w:r>
      <w:r w:rsidR="00E941D4">
        <w:rPr>
          <w:rFonts w:ascii="Times New Roman" w:hAnsi="Times New Roman"/>
          <w:bCs/>
          <w:color w:val="000000" w:themeColor="text1"/>
          <w:sz w:val="24"/>
          <w:szCs w:val="24"/>
        </w:rPr>
        <w:t>E</w:t>
      </w:r>
      <w:r w:rsidR="00EA0E55" w:rsidRPr="00EA0E55">
        <w:rPr>
          <w:rFonts w:ascii="Times New Roman" w:hAnsi="Times New Roman"/>
          <w:bCs/>
          <w:color w:val="000000" w:themeColor="text1"/>
          <w:sz w:val="24"/>
          <w:szCs w:val="24"/>
        </w:rPr>
        <w:t>ffective participation is an essential prerequisite for successful policy implementation as well as addressing the needs and interests of Roma and Sinti communities, as it may contribute to enhancing ownership of the policies affecting them.</w:t>
      </w:r>
    </w:p>
    <w:p w:rsidR="00EA0E55" w:rsidRDefault="00EA0E55" w:rsidP="00EA0E55">
      <w:pPr>
        <w:jc w:val="both"/>
        <w:rPr>
          <w:rFonts w:ascii="Times New Roman" w:hAnsi="Times New Roman"/>
          <w:bCs/>
          <w:color w:val="000000" w:themeColor="text1"/>
          <w:sz w:val="24"/>
          <w:szCs w:val="24"/>
        </w:rPr>
      </w:pPr>
    </w:p>
    <w:p w:rsidR="00EA0E55" w:rsidRPr="00EA0E55" w:rsidRDefault="00425766" w:rsidP="00527D5B">
      <w:pPr>
        <w:jc w:val="both"/>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The </w:t>
      </w:r>
      <w:r w:rsidR="00E419EA" w:rsidRPr="00E419EA">
        <w:rPr>
          <w:rFonts w:ascii="Times New Roman" w:hAnsi="Times New Roman"/>
          <w:bCs/>
          <w:color w:val="000000" w:themeColor="text1"/>
          <w:sz w:val="24"/>
          <w:szCs w:val="24"/>
        </w:rPr>
        <w:t>ODIHR Contact Point for Roma and Sinti Issues includes participation of Roma and Sinti in its monitoring reports on the implementation of the OSCE Action Plan on Roma and Sinti.</w:t>
      </w:r>
      <w:r w:rsidR="0019523B">
        <w:rPr>
          <w:rFonts w:ascii="Times New Roman" w:hAnsi="Times New Roman"/>
          <w:bCs/>
          <w:color w:val="000000" w:themeColor="text1"/>
          <w:sz w:val="24"/>
          <w:szCs w:val="24"/>
        </w:rPr>
        <w:t xml:space="preserve"> </w:t>
      </w:r>
      <w:r w:rsidR="00527D5B">
        <w:rPr>
          <w:rFonts w:ascii="Times New Roman" w:hAnsi="Times New Roman"/>
          <w:bCs/>
          <w:color w:val="000000" w:themeColor="text1"/>
          <w:sz w:val="24"/>
          <w:szCs w:val="24"/>
        </w:rPr>
        <w:t xml:space="preserve">According to the </w:t>
      </w:r>
      <w:r w:rsidR="00EA0E55" w:rsidRPr="00527D5B">
        <w:rPr>
          <w:rFonts w:ascii="Times New Roman" w:hAnsi="Times New Roman"/>
          <w:bCs/>
          <w:i/>
          <w:color w:val="000000" w:themeColor="text1"/>
          <w:sz w:val="24"/>
          <w:szCs w:val="24"/>
        </w:rPr>
        <w:t>Status report</w:t>
      </w:r>
      <w:r w:rsidR="00527D5B" w:rsidRPr="00527D5B">
        <w:rPr>
          <w:rFonts w:ascii="Times New Roman" w:hAnsi="Times New Roman"/>
          <w:bCs/>
          <w:i/>
          <w:color w:val="000000" w:themeColor="text1"/>
          <w:sz w:val="24"/>
          <w:szCs w:val="24"/>
        </w:rPr>
        <w:t xml:space="preserve"> 2013 - Implementation of the Action Plan on Improving the</w:t>
      </w:r>
      <w:r>
        <w:rPr>
          <w:rFonts w:ascii="Times New Roman" w:hAnsi="Times New Roman"/>
          <w:bCs/>
          <w:i/>
          <w:color w:val="000000" w:themeColor="text1"/>
          <w:sz w:val="24"/>
          <w:szCs w:val="24"/>
        </w:rPr>
        <w:t xml:space="preserve"> </w:t>
      </w:r>
      <w:r w:rsidR="00527D5B" w:rsidRPr="00527D5B">
        <w:rPr>
          <w:rFonts w:ascii="Times New Roman" w:hAnsi="Times New Roman"/>
          <w:bCs/>
          <w:i/>
          <w:color w:val="000000" w:themeColor="text1"/>
          <w:sz w:val="24"/>
          <w:szCs w:val="24"/>
        </w:rPr>
        <w:t>Situation of Roma and Sinti Within the OSCE Area - Renewed Commitments, Continued Challenges</w:t>
      </w:r>
      <w:r w:rsidR="00527D5B" w:rsidRPr="00425766">
        <w:rPr>
          <w:rStyle w:val="FootnoteReference"/>
          <w:rFonts w:ascii="Times New Roman" w:hAnsi="Times New Roman"/>
          <w:bCs/>
          <w:color w:val="000000" w:themeColor="text1"/>
          <w:sz w:val="24"/>
          <w:szCs w:val="24"/>
        </w:rPr>
        <w:footnoteReference w:id="14"/>
      </w:r>
      <w:r w:rsidR="00E419EA">
        <w:rPr>
          <w:rFonts w:ascii="Times New Roman" w:hAnsi="Times New Roman"/>
          <w:bCs/>
          <w:i/>
          <w:color w:val="000000" w:themeColor="text1"/>
          <w:sz w:val="24"/>
          <w:szCs w:val="24"/>
        </w:rPr>
        <w:t xml:space="preserve"> </w:t>
      </w:r>
      <w:r w:rsidR="00E419EA">
        <w:rPr>
          <w:rFonts w:ascii="Times New Roman" w:hAnsi="Times New Roman"/>
          <w:bCs/>
          <w:color w:val="000000" w:themeColor="text1"/>
          <w:sz w:val="24"/>
          <w:szCs w:val="24"/>
        </w:rPr>
        <w:t>and subsequent report and information received</w:t>
      </w:r>
      <w:r w:rsidR="00527D5B">
        <w:rPr>
          <w:rFonts w:ascii="Times New Roman" w:hAnsi="Times New Roman"/>
          <w:bCs/>
          <w:color w:val="000000" w:themeColor="text1"/>
          <w:sz w:val="24"/>
          <w:szCs w:val="24"/>
        </w:rPr>
        <w:t xml:space="preserve">, </w:t>
      </w:r>
      <w:r w:rsidR="00EA0E55" w:rsidRPr="00EA0E55">
        <w:rPr>
          <w:rFonts w:ascii="Times New Roman" w:hAnsi="Times New Roman"/>
          <w:bCs/>
          <w:color w:val="000000" w:themeColor="text1"/>
          <w:sz w:val="24"/>
          <w:szCs w:val="24"/>
        </w:rPr>
        <w:t xml:space="preserve">Roma and Sinti across the OSCE still face obstacles in exercising their voting rights for various reasons: due to lack of documents, not being enlisted in voter’s registries, manipulation through “controlled voting” </w:t>
      </w:r>
      <w:r w:rsidR="00EA0E55" w:rsidRPr="00EA0E55">
        <w:rPr>
          <w:rFonts w:ascii="Times New Roman" w:hAnsi="Times New Roman"/>
          <w:bCs/>
          <w:color w:val="000000" w:themeColor="text1"/>
          <w:sz w:val="24"/>
          <w:szCs w:val="24"/>
        </w:rPr>
        <w:lastRenderedPageBreak/>
        <w:t xml:space="preserve">or vote-buying, lack of voter education and illiteracy, lack of capacity of candidates to run for elected office, family voting or because of legal and administrative impediments. </w:t>
      </w:r>
    </w:p>
    <w:p w:rsidR="00EA0E55" w:rsidRPr="00EA0E55" w:rsidRDefault="00EA0E55" w:rsidP="00EA0E55">
      <w:pPr>
        <w:jc w:val="both"/>
        <w:rPr>
          <w:rFonts w:ascii="Times New Roman" w:hAnsi="Times New Roman"/>
          <w:bCs/>
          <w:color w:val="000000" w:themeColor="text1"/>
          <w:sz w:val="24"/>
          <w:szCs w:val="24"/>
        </w:rPr>
      </w:pPr>
    </w:p>
    <w:p w:rsidR="00EA0E55" w:rsidRPr="00EA0E55" w:rsidRDefault="00EA0E55" w:rsidP="00EA0E55">
      <w:pPr>
        <w:jc w:val="both"/>
        <w:rPr>
          <w:rFonts w:ascii="Times New Roman" w:hAnsi="Times New Roman"/>
          <w:bCs/>
          <w:color w:val="000000" w:themeColor="text1"/>
          <w:sz w:val="24"/>
          <w:szCs w:val="24"/>
        </w:rPr>
      </w:pPr>
      <w:r w:rsidRPr="00EA0E55">
        <w:rPr>
          <w:rFonts w:ascii="Times New Roman" w:hAnsi="Times New Roman"/>
          <w:bCs/>
          <w:color w:val="000000" w:themeColor="text1"/>
          <w:sz w:val="24"/>
          <w:szCs w:val="24"/>
        </w:rPr>
        <w:t xml:space="preserve">Furthermore, the </w:t>
      </w:r>
      <w:r w:rsidR="00E941D4">
        <w:rPr>
          <w:rFonts w:ascii="Times New Roman" w:hAnsi="Times New Roman"/>
          <w:bCs/>
          <w:color w:val="000000" w:themeColor="text1"/>
          <w:sz w:val="24"/>
          <w:szCs w:val="24"/>
        </w:rPr>
        <w:t>growing</w:t>
      </w:r>
      <w:r w:rsidRPr="00EA0E55">
        <w:rPr>
          <w:rFonts w:ascii="Times New Roman" w:hAnsi="Times New Roman"/>
          <w:bCs/>
          <w:color w:val="000000" w:themeColor="text1"/>
          <w:sz w:val="24"/>
          <w:szCs w:val="24"/>
        </w:rPr>
        <w:t xml:space="preserve"> intensity of anti</w:t>
      </w:r>
      <w:r w:rsidR="00425766">
        <w:rPr>
          <w:rFonts w:ascii="Times New Roman" w:hAnsi="Times New Roman"/>
          <w:bCs/>
          <w:color w:val="000000" w:themeColor="text1"/>
          <w:sz w:val="24"/>
          <w:szCs w:val="24"/>
        </w:rPr>
        <w:t>-</w:t>
      </w:r>
      <w:r w:rsidRPr="00EA0E55">
        <w:rPr>
          <w:rFonts w:ascii="Times New Roman" w:hAnsi="Times New Roman"/>
          <w:bCs/>
          <w:color w:val="000000" w:themeColor="text1"/>
          <w:sz w:val="24"/>
          <w:szCs w:val="24"/>
        </w:rPr>
        <w:t>Roma political rhetoric further affects the opportunities of Roma and Sinti</w:t>
      </w:r>
      <w:r w:rsidR="00A22E0B">
        <w:rPr>
          <w:rFonts w:ascii="Times New Roman" w:hAnsi="Times New Roman"/>
          <w:bCs/>
          <w:color w:val="000000" w:themeColor="text1"/>
          <w:sz w:val="24"/>
          <w:szCs w:val="24"/>
        </w:rPr>
        <w:t>, especially women and youth,</w:t>
      </w:r>
      <w:r w:rsidRPr="00EA0E55">
        <w:rPr>
          <w:rFonts w:ascii="Times New Roman" w:hAnsi="Times New Roman"/>
          <w:bCs/>
          <w:color w:val="000000" w:themeColor="text1"/>
          <w:sz w:val="24"/>
          <w:szCs w:val="24"/>
        </w:rPr>
        <w:t xml:space="preserve"> to participate effectively. Public officials and mainstream political parties have also resorted to rhetoric against Roma immigrants. In the last years, ODIHR has continued to receive worrying reports indicating that politicians continue to scapegoat Roma and Sinti throughout the OSCE area, based on prejudicial sentiments in order to further their own personal political campaigns.</w:t>
      </w:r>
    </w:p>
    <w:p w:rsidR="00EA0E55" w:rsidRPr="00EA0E55" w:rsidRDefault="00EA0E55" w:rsidP="00EA0E55">
      <w:pPr>
        <w:jc w:val="both"/>
        <w:rPr>
          <w:rFonts w:ascii="Times New Roman" w:hAnsi="Times New Roman"/>
          <w:bCs/>
          <w:color w:val="000000" w:themeColor="text1"/>
          <w:sz w:val="24"/>
          <w:szCs w:val="24"/>
        </w:rPr>
      </w:pPr>
    </w:p>
    <w:p w:rsidR="00B94FFF" w:rsidRDefault="00EA0E55" w:rsidP="006307B7">
      <w:pPr>
        <w:jc w:val="both"/>
        <w:rPr>
          <w:rFonts w:ascii="Times New Roman" w:hAnsi="Times New Roman"/>
          <w:bCs/>
          <w:color w:val="000000" w:themeColor="text1"/>
          <w:sz w:val="24"/>
          <w:szCs w:val="24"/>
        </w:rPr>
      </w:pPr>
      <w:r w:rsidRPr="00EA0E55">
        <w:rPr>
          <w:rFonts w:ascii="Times New Roman" w:hAnsi="Times New Roman"/>
          <w:bCs/>
          <w:color w:val="000000" w:themeColor="text1"/>
          <w:sz w:val="24"/>
          <w:szCs w:val="24"/>
        </w:rPr>
        <w:t xml:space="preserve">The findings of our 2013 Status </w:t>
      </w:r>
      <w:r w:rsidR="00EC7091">
        <w:rPr>
          <w:rFonts w:ascii="Times New Roman" w:hAnsi="Times New Roman"/>
          <w:bCs/>
          <w:color w:val="000000" w:themeColor="text1"/>
          <w:sz w:val="24"/>
          <w:szCs w:val="24"/>
        </w:rPr>
        <w:t>r</w:t>
      </w:r>
      <w:r w:rsidRPr="00EA0E55">
        <w:rPr>
          <w:rFonts w:ascii="Times New Roman" w:hAnsi="Times New Roman"/>
          <w:bCs/>
          <w:color w:val="000000" w:themeColor="text1"/>
          <w:sz w:val="24"/>
          <w:szCs w:val="24"/>
        </w:rPr>
        <w:t>eport</w:t>
      </w:r>
      <w:r w:rsidR="0019523B">
        <w:rPr>
          <w:rStyle w:val="FootnoteReference"/>
          <w:rFonts w:ascii="Times New Roman" w:hAnsi="Times New Roman"/>
          <w:bCs/>
          <w:color w:val="000000" w:themeColor="text1"/>
          <w:sz w:val="24"/>
          <w:szCs w:val="24"/>
        </w:rPr>
        <w:footnoteReference w:id="15"/>
      </w:r>
      <w:r w:rsidRPr="00EA0E55">
        <w:rPr>
          <w:rFonts w:ascii="Times New Roman" w:hAnsi="Times New Roman"/>
          <w:bCs/>
          <w:color w:val="000000" w:themeColor="text1"/>
          <w:sz w:val="24"/>
          <w:szCs w:val="24"/>
        </w:rPr>
        <w:t xml:space="preserve"> and other more recent reports demonstrate a reluctance of mainstream political parties to launch Roma and Sinti as candidates in spite of an increasing number of educated young Roma and Sinti.</w:t>
      </w:r>
      <w:r w:rsidR="00EC7091">
        <w:rPr>
          <w:rFonts w:ascii="Times New Roman" w:hAnsi="Times New Roman"/>
          <w:bCs/>
          <w:color w:val="000000" w:themeColor="text1"/>
          <w:sz w:val="24"/>
          <w:szCs w:val="24"/>
        </w:rPr>
        <w:t xml:space="preserve"> The Status report provides</w:t>
      </w:r>
      <w:r w:rsidRPr="00EA0E55">
        <w:rPr>
          <w:rFonts w:ascii="Times New Roman" w:hAnsi="Times New Roman"/>
          <w:bCs/>
          <w:color w:val="000000" w:themeColor="text1"/>
          <w:sz w:val="24"/>
          <w:szCs w:val="24"/>
        </w:rPr>
        <w:t xml:space="preserve"> examples of low levels of political representation of Roma and Sinti in the OSCE area</w:t>
      </w:r>
      <w:r w:rsidR="006307B7">
        <w:rPr>
          <w:rFonts w:ascii="Times New Roman" w:hAnsi="Times New Roman"/>
          <w:bCs/>
          <w:color w:val="000000" w:themeColor="text1"/>
          <w:sz w:val="24"/>
          <w:szCs w:val="24"/>
        </w:rPr>
        <w:t>.</w:t>
      </w:r>
      <w:r w:rsidR="00897E39">
        <w:rPr>
          <w:rFonts w:ascii="Times New Roman" w:hAnsi="Times New Roman"/>
          <w:bCs/>
          <w:color w:val="000000" w:themeColor="text1"/>
          <w:sz w:val="24"/>
          <w:szCs w:val="24"/>
        </w:rPr>
        <w:t xml:space="preserve"> </w:t>
      </w:r>
      <w:r w:rsidRPr="00EA0E55">
        <w:rPr>
          <w:rFonts w:ascii="Times New Roman" w:hAnsi="Times New Roman"/>
          <w:bCs/>
          <w:color w:val="000000" w:themeColor="text1"/>
          <w:sz w:val="24"/>
          <w:szCs w:val="24"/>
        </w:rPr>
        <w:t>At the same time, in some OSCE participating States, the representational gap has been addressed through legislation setting up systems of minority representation. For instance, in Hungary, Croatia and Slovenia such systems allow for preferential representation at the local level, with various degrees of competencies, yet the effectiveness of these models still needs to be assessed.</w:t>
      </w:r>
      <w:r w:rsidR="00897E39">
        <w:rPr>
          <w:rFonts w:ascii="Times New Roman" w:hAnsi="Times New Roman"/>
          <w:bCs/>
          <w:color w:val="000000" w:themeColor="text1"/>
          <w:sz w:val="24"/>
          <w:szCs w:val="24"/>
        </w:rPr>
        <w:t xml:space="preserve"> </w:t>
      </w:r>
    </w:p>
    <w:p w:rsidR="00B94FFF" w:rsidRDefault="00B94FFF" w:rsidP="006307B7">
      <w:pPr>
        <w:jc w:val="both"/>
        <w:rPr>
          <w:rFonts w:ascii="Times New Roman" w:hAnsi="Times New Roman"/>
          <w:bCs/>
          <w:color w:val="000000" w:themeColor="text1"/>
          <w:sz w:val="24"/>
          <w:szCs w:val="24"/>
        </w:rPr>
      </w:pPr>
    </w:p>
    <w:p w:rsidR="00DD1E91" w:rsidRPr="00EA0E55" w:rsidRDefault="006307B7" w:rsidP="006307B7">
      <w:pPr>
        <w:jc w:val="both"/>
        <w:rPr>
          <w:rFonts w:ascii="Times New Roman" w:hAnsi="Times New Roman"/>
          <w:bCs/>
          <w:color w:val="000000" w:themeColor="text1"/>
          <w:sz w:val="24"/>
          <w:szCs w:val="24"/>
        </w:rPr>
      </w:pPr>
      <w:r w:rsidRPr="006307B7">
        <w:rPr>
          <w:rFonts w:ascii="Times New Roman" w:hAnsi="Times New Roman"/>
          <w:bCs/>
          <w:color w:val="000000" w:themeColor="text1"/>
          <w:sz w:val="24"/>
          <w:szCs w:val="24"/>
        </w:rPr>
        <w:t xml:space="preserve">The </w:t>
      </w:r>
      <w:r>
        <w:rPr>
          <w:rFonts w:ascii="Times New Roman" w:hAnsi="Times New Roman"/>
          <w:bCs/>
          <w:color w:val="000000" w:themeColor="text1"/>
          <w:sz w:val="24"/>
          <w:szCs w:val="24"/>
        </w:rPr>
        <w:t xml:space="preserve">Status </w:t>
      </w:r>
      <w:r w:rsidRPr="006307B7">
        <w:rPr>
          <w:rFonts w:ascii="Times New Roman" w:hAnsi="Times New Roman"/>
          <w:bCs/>
          <w:color w:val="000000" w:themeColor="text1"/>
          <w:sz w:val="24"/>
          <w:szCs w:val="24"/>
        </w:rPr>
        <w:t>report</w:t>
      </w:r>
      <w:r w:rsidR="000D7BFA">
        <w:rPr>
          <w:rFonts w:ascii="Times New Roman" w:hAnsi="Times New Roman"/>
          <w:bCs/>
          <w:color w:val="000000" w:themeColor="text1"/>
          <w:sz w:val="24"/>
          <w:szCs w:val="24"/>
        </w:rPr>
        <w:t xml:space="preserve"> urges </w:t>
      </w:r>
      <w:r w:rsidR="000D7BFA" w:rsidRPr="006307B7">
        <w:rPr>
          <w:rFonts w:ascii="Times New Roman" w:hAnsi="Times New Roman"/>
          <w:bCs/>
          <w:color w:val="000000" w:themeColor="text1"/>
          <w:sz w:val="24"/>
          <w:szCs w:val="24"/>
        </w:rPr>
        <w:t xml:space="preserve">participating States </w:t>
      </w:r>
      <w:r w:rsidR="000D7BFA">
        <w:rPr>
          <w:rFonts w:ascii="Times New Roman" w:hAnsi="Times New Roman"/>
          <w:bCs/>
          <w:color w:val="000000" w:themeColor="text1"/>
          <w:sz w:val="24"/>
          <w:szCs w:val="24"/>
        </w:rPr>
        <w:t xml:space="preserve">to undertake </w:t>
      </w:r>
      <w:r w:rsidRPr="006307B7">
        <w:rPr>
          <w:rFonts w:ascii="Times New Roman" w:hAnsi="Times New Roman"/>
          <w:bCs/>
          <w:color w:val="000000" w:themeColor="text1"/>
          <w:sz w:val="24"/>
          <w:szCs w:val="24"/>
        </w:rPr>
        <w:t xml:space="preserve">concrete efforts to </w:t>
      </w:r>
      <w:r w:rsidR="000D7BFA">
        <w:rPr>
          <w:rFonts w:ascii="Times New Roman" w:hAnsi="Times New Roman"/>
          <w:bCs/>
          <w:color w:val="000000" w:themeColor="text1"/>
          <w:sz w:val="24"/>
          <w:szCs w:val="24"/>
        </w:rPr>
        <w:t xml:space="preserve">enhance </w:t>
      </w:r>
      <w:r w:rsidR="00DC715C">
        <w:rPr>
          <w:rFonts w:ascii="Times New Roman" w:hAnsi="Times New Roman"/>
          <w:bCs/>
          <w:color w:val="000000" w:themeColor="text1"/>
          <w:sz w:val="24"/>
          <w:szCs w:val="24"/>
        </w:rPr>
        <w:t xml:space="preserve">the </w:t>
      </w:r>
      <w:r w:rsidR="000D7BFA">
        <w:rPr>
          <w:rFonts w:ascii="Times New Roman" w:hAnsi="Times New Roman"/>
          <w:bCs/>
          <w:color w:val="000000" w:themeColor="text1"/>
          <w:sz w:val="24"/>
          <w:szCs w:val="24"/>
        </w:rPr>
        <w:t xml:space="preserve">participation </w:t>
      </w:r>
      <w:r w:rsidR="00DC715C">
        <w:rPr>
          <w:rFonts w:ascii="Times New Roman" w:hAnsi="Times New Roman"/>
          <w:bCs/>
          <w:color w:val="000000" w:themeColor="text1"/>
          <w:sz w:val="24"/>
          <w:szCs w:val="24"/>
        </w:rPr>
        <w:t xml:space="preserve">and representation </w:t>
      </w:r>
      <w:r w:rsidR="000D7BFA">
        <w:rPr>
          <w:rFonts w:ascii="Times New Roman" w:hAnsi="Times New Roman"/>
          <w:bCs/>
          <w:color w:val="000000" w:themeColor="text1"/>
          <w:sz w:val="24"/>
          <w:szCs w:val="24"/>
        </w:rPr>
        <w:t>of Roma and Sinti</w:t>
      </w:r>
      <w:r w:rsidR="00DC715C">
        <w:rPr>
          <w:rFonts w:ascii="Times New Roman" w:hAnsi="Times New Roman"/>
          <w:bCs/>
          <w:color w:val="000000" w:themeColor="text1"/>
          <w:sz w:val="24"/>
          <w:szCs w:val="24"/>
        </w:rPr>
        <w:t xml:space="preserve"> in political life</w:t>
      </w:r>
      <w:r w:rsidR="000D7BFA">
        <w:rPr>
          <w:rFonts w:ascii="Times New Roman" w:hAnsi="Times New Roman"/>
          <w:bCs/>
          <w:color w:val="000000" w:themeColor="text1"/>
          <w:sz w:val="24"/>
          <w:szCs w:val="24"/>
        </w:rPr>
        <w:t xml:space="preserve">: to </w:t>
      </w:r>
      <w:r w:rsidRPr="006307B7">
        <w:rPr>
          <w:rFonts w:ascii="Times New Roman" w:hAnsi="Times New Roman"/>
          <w:bCs/>
          <w:color w:val="000000" w:themeColor="text1"/>
          <w:sz w:val="24"/>
          <w:szCs w:val="24"/>
        </w:rPr>
        <w:t>protect and enhance the right of Roma and Sinti women and men to participate as voters and candidates in local and national elections; to address the on-going challenges that render Roma communities especially vulnerable to vote-buying and vote manipulation; to address the lack of capacity of Roma elected representatives at the national and local levels through targeted programmes; to enhance government consultation mechanisms, allowing for partnerships with Roma civil society organizations as a measure of good governance; and to provide specialized training to</w:t>
      </w:r>
      <w:r>
        <w:rPr>
          <w:rFonts w:ascii="Times New Roman" w:hAnsi="Times New Roman"/>
          <w:bCs/>
          <w:color w:val="000000" w:themeColor="text1"/>
          <w:sz w:val="24"/>
          <w:szCs w:val="24"/>
        </w:rPr>
        <w:t xml:space="preserve"> </w:t>
      </w:r>
      <w:r w:rsidRPr="006307B7">
        <w:rPr>
          <w:rFonts w:ascii="Times New Roman" w:hAnsi="Times New Roman"/>
          <w:bCs/>
          <w:color w:val="000000" w:themeColor="text1"/>
          <w:sz w:val="24"/>
          <w:szCs w:val="24"/>
        </w:rPr>
        <w:t>Roma working in public administration and on minority councils.</w:t>
      </w:r>
      <w:r w:rsidR="00DC715C">
        <w:rPr>
          <w:rStyle w:val="FootnoteReference"/>
          <w:rFonts w:ascii="Times New Roman" w:hAnsi="Times New Roman"/>
          <w:bCs/>
          <w:color w:val="000000" w:themeColor="text1"/>
          <w:sz w:val="24"/>
          <w:szCs w:val="24"/>
        </w:rPr>
        <w:footnoteReference w:id="16"/>
      </w:r>
    </w:p>
    <w:p w:rsidR="00EA0E55" w:rsidRDefault="00EA0E55" w:rsidP="0024642A">
      <w:pPr>
        <w:jc w:val="both"/>
        <w:rPr>
          <w:rFonts w:ascii="Times New Roman" w:hAnsi="Times New Roman"/>
          <w:bCs/>
          <w:color w:val="000000" w:themeColor="text1"/>
          <w:sz w:val="24"/>
          <w:szCs w:val="24"/>
        </w:rPr>
      </w:pPr>
    </w:p>
    <w:p w:rsidR="00193809" w:rsidRDefault="00997FD0" w:rsidP="0086607F">
      <w:pPr>
        <w:autoSpaceDE w:val="0"/>
        <w:autoSpaceDN w:val="0"/>
        <w:adjustRightInd w:val="0"/>
        <w:jc w:val="both"/>
        <w:rPr>
          <w:rFonts w:ascii="Times New Roman" w:hAnsi="Times New Roman"/>
          <w:sz w:val="24"/>
          <w:szCs w:val="24"/>
        </w:rPr>
      </w:pPr>
      <w:r>
        <w:rPr>
          <w:rFonts w:ascii="Times New Roman" w:hAnsi="Times New Roman"/>
          <w:bCs/>
          <w:color w:val="000000" w:themeColor="text1"/>
          <w:sz w:val="24"/>
          <w:szCs w:val="24"/>
        </w:rPr>
        <w:t>The 2014 Expert Meeting on Opportunities and Risks of Local-level Engagement</w:t>
      </w:r>
      <w:r w:rsidR="0035101E">
        <w:rPr>
          <w:rStyle w:val="FootnoteReference"/>
          <w:rFonts w:ascii="Times New Roman" w:hAnsi="Times New Roman"/>
          <w:bCs/>
          <w:color w:val="000000" w:themeColor="text1"/>
          <w:sz w:val="24"/>
          <w:szCs w:val="24"/>
        </w:rPr>
        <w:footnoteReference w:id="17"/>
      </w:r>
      <w:r w:rsidR="00FE4155">
        <w:rPr>
          <w:rFonts w:ascii="Times New Roman" w:hAnsi="Times New Roman"/>
          <w:bCs/>
          <w:color w:val="000000" w:themeColor="text1"/>
          <w:sz w:val="24"/>
          <w:szCs w:val="24"/>
        </w:rPr>
        <w:t xml:space="preserve"> helped to identify key challenges to meaningful participation of Roma and Sinti at local level. Among the identified challenges it was </w:t>
      </w:r>
      <w:r w:rsidR="00FE4155">
        <w:rPr>
          <w:rFonts w:ascii="Times New Roman" w:hAnsi="Times New Roman"/>
          <w:sz w:val="24"/>
          <w:szCs w:val="24"/>
        </w:rPr>
        <w:t>noted that Roma and Sinti have the highest voter turnouts during local elections because they see local authorities as important to their everyday lives. However, strong patronage politics and misuse of state resources by powerful local mayors pose a challenge in local politics. It was also noted that different strategies</w:t>
      </w:r>
      <w:r w:rsidR="00CB73A7">
        <w:rPr>
          <w:rFonts w:ascii="Times New Roman" w:hAnsi="Times New Roman"/>
          <w:sz w:val="24"/>
          <w:szCs w:val="24"/>
        </w:rPr>
        <w:t>,</w:t>
      </w:r>
      <w:r w:rsidR="00FE4155">
        <w:rPr>
          <w:rFonts w:ascii="Times New Roman" w:hAnsi="Times New Roman"/>
          <w:sz w:val="24"/>
          <w:szCs w:val="24"/>
        </w:rPr>
        <w:t xml:space="preserve"> </w:t>
      </w:r>
      <w:r w:rsidR="00CB73A7">
        <w:rPr>
          <w:rFonts w:ascii="Times New Roman" w:hAnsi="Times New Roman"/>
          <w:sz w:val="24"/>
          <w:szCs w:val="24"/>
        </w:rPr>
        <w:t xml:space="preserve">including civil society activism and working with the next generation of leaders on alternatives to such corrupt cartels, are of crucial importance </w:t>
      </w:r>
      <w:r w:rsidR="00FE4155">
        <w:rPr>
          <w:rFonts w:ascii="Times New Roman" w:hAnsi="Times New Roman"/>
          <w:sz w:val="24"/>
          <w:szCs w:val="24"/>
        </w:rPr>
        <w:t xml:space="preserve">for ending such </w:t>
      </w:r>
      <w:r w:rsidR="00CB73A7">
        <w:rPr>
          <w:rFonts w:ascii="Times New Roman" w:hAnsi="Times New Roman"/>
          <w:sz w:val="24"/>
          <w:szCs w:val="24"/>
        </w:rPr>
        <w:t>harmful practices</w:t>
      </w:r>
      <w:r w:rsidR="00FE4155">
        <w:rPr>
          <w:rFonts w:ascii="Times New Roman" w:hAnsi="Times New Roman"/>
          <w:sz w:val="24"/>
          <w:szCs w:val="24"/>
        </w:rPr>
        <w:t>.</w:t>
      </w:r>
      <w:r w:rsidR="00150692">
        <w:rPr>
          <w:rStyle w:val="FootnoteReference"/>
          <w:rFonts w:ascii="Times New Roman" w:hAnsi="Times New Roman"/>
          <w:sz w:val="24"/>
          <w:szCs w:val="24"/>
        </w:rPr>
        <w:footnoteReference w:id="18"/>
      </w:r>
      <w:r w:rsidR="00150692">
        <w:rPr>
          <w:rFonts w:ascii="Times New Roman" w:hAnsi="Times New Roman"/>
          <w:sz w:val="24"/>
          <w:szCs w:val="24"/>
        </w:rPr>
        <w:t xml:space="preserve"> </w:t>
      </w:r>
    </w:p>
    <w:p w:rsidR="00193809" w:rsidRDefault="00193809" w:rsidP="0086607F">
      <w:pPr>
        <w:autoSpaceDE w:val="0"/>
        <w:autoSpaceDN w:val="0"/>
        <w:adjustRightInd w:val="0"/>
        <w:jc w:val="both"/>
        <w:rPr>
          <w:rFonts w:ascii="Times New Roman" w:hAnsi="Times New Roman"/>
          <w:sz w:val="24"/>
          <w:szCs w:val="24"/>
        </w:rPr>
      </w:pPr>
    </w:p>
    <w:p w:rsidR="009B2437" w:rsidRDefault="00150692" w:rsidP="0086607F">
      <w:pPr>
        <w:autoSpaceDE w:val="0"/>
        <w:autoSpaceDN w:val="0"/>
        <w:adjustRightInd w:val="0"/>
        <w:jc w:val="both"/>
        <w:rPr>
          <w:rFonts w:ascii="Times New Roman" w:hAnsi="Times New Roman"/>
          <w:sz w:val="24"/>
          <w:szCs w:val="24"/>
        </w:rPr>
      </w:pPr>
      <w:r>
        <w:rPr>
          <w:rFonts w:ascii="Times New Roman" w:hAnsi="Times New Roman"/>
          <w:sz w:val="24"/>
          <w:szCs w:val="24"/>
        </w:rPr>
        <w:t xml:space="preserve">The </w:t>
      </w:r>
      <w:r w:rsidR="00B164CF">
        <w:rPr>
          <w:rFonts w:ascii="Times New Roman" w:hAnsi="Times New Roman"/>
          <w:sz w:val="24"/>
          <w:szCs w:val="24"/>
        </w:rPr>
        <w:t xml:space="preserve">meeting also </w:t>
      </w:r>
      <w:r w:rsidR="00FB32B6">
        <w:rPr>
          <w:rFonts w:ascii="Times New Roman" w:hAnsi="Times New Roman"/>
          <w:bCs/>
          <w:color w:val="000000" w:themeColor="text1"/>
          <w:sz w:val="24"/>
          <w:szCs w:val="24"/>
        </w:rPr>
        <w:t xml:space="preserve">stressed that </w:t>
      </w:r>
      <w:r w:rsidR="00FB32B6">
        <w:rPr>
          <w:rFonts w:ascii="Times New Roman" w:hAnsi="Times New Roman"/>
          <w:sz w:val="24"/>
          <w:szCs w:val="24"/>
        </w:rPr>
        <w:t xml:space="preserve">in order to enhance the effectiveness of Roma and Sinti political participation, action by all stakeholders, including the OSCE/ODIHR, is needed. Support for Roma and Sinti political leaders should be made available through evidence-based research and examples of good practices in political participation. A comprehensive study of good practices taking different strategies into consideration could allow for knowledge transfer. In particular, evidence of successful strategies used by other </w:t>
      </w:r>
      <w:r w:rsidR="00FB32B6">
        <w:rPr>
          <w:rFonts w:ascii="Times New Roman" w:hAnsi="Times New Roman"/>
          <w:sz w:val="24"/>
          <w:szCs w:val="24"/>
        </w:rPr>
        <w:lastRenderedPageBreak/>
        <w:t>disenfranchised groups such as women and youth could be evaluated and adopted accordingly.</w:t>
      </w:r>
      <w:r w:rsidR="0035101E">
        <w:rPr>
          <w:rStyle w:val="FootnoteReference"/>
          <w:rFonts w:ascii="Times New Roman" w:hAnsi="Times New Roman"/>
          <w:sz w:val="24"/>
          <w:szCs w:val="24"/>
        </w:rPr>
        <w:footnoteReference w:id="19"/>
      </w:r>
    </w:p>
    <w:p w:rsidR="00C318AA" w:rsidRPr="00EA0E55" w:rsidRDefault="00C318AA" w:rsidP="0086607F">
      <w:pPr>
        <w:autoSpaceDE w:val="0"/>
        <w:autoSpaceDN w:val="0"/>
        <w:adjustRightInd w:val="0"/>
        <w:jc w:val="both"/>
        <w:rPr>
          <w:rFonts w:ascii="Times New Roman" w:hAnsi="Times New Roman"/>
          <w:bCs/>
          <w:color w:val="000000" w:themeColor="text1"/>
          <w:sz w:val="24"/>
          <w:szCs w:val="24"/>
        </w:rPr>
      </w:pPr>
    </w:p>
    <w:p w:rsidR="000C528F" w:rsidRPr="00A7057F" w:rsidRDefault="000C528F" w:rsidP="000C528F">
      <w:pPr>
        <w:jc w:val="both"/>
        <w:rPr>
          <w:rFonts w:ascii="Times New Roman" w:hAnsi="Times New Roman"/>
          <w:bCs/>
          <w:color w:val="000000" w:themeColor="text1"/>
          <w:sz w:val="24"/>
          <w:szCs w:val="24"/>
        </w:rPr>
      </w:pPr>
      <w:r w:rsidRPr="00F06489">
        <w:rPr>
          <w:rFonts w:ascii="Times New Roman" w:hAnsi="Times New Roman"/>
          <w:bCs/>
          <w:color w:val="000000" w:themeColor="text1"/>
          <w:sz w:val="24"/>
          <w:szCs w:val="24"/>
        </w:rPr>
        <w:t>In 2018, on the occasion of the 15th anniversary of the adoption of the plan, ODIHR will publish its third status report on the implementation of the OSCE Action Plan, focusing on its Chapter VI on “Enhancing participation in public and political life.”</w:t>
      </w:r>
    </w:p>
    <w:p w:rsidR="000C528F" w:rsidRPr="00A7057F" w:rsidRDefault="000C528F" w:rsidP="000C528F">
      <w:pPr>
        <w:jc w:val="both"/>
        <w:rPr>
          <w:rFonts w:ascii="Times New Roman" w:hAnsi="Times New Roman"/>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EA0E55" w:rsidRDefault="00EA0E55" w:rsidP="0024642A">
      <w:pPr>
        <w:jc w:val="both"/>
        <w:rPr>
          <w:rFonts w:ascii="Times New Roman" w:hAnsi="Times New Roman"/>
          <w:b/>
          <w:bCs/>
          <w:color w:val="000000" w:themeColor="text1"/>
          <w:sz w:val="24"/>
          <w:szCs w:val="24"/>
        </w:rPr>
      </w:pPr>
    </w:p>
    <w:p w:rsidR="00DD1E91" w:rsidRDefault="00DD1E91" w:rsidP="0024642A">
      <w:pPr>
        <w:jc w:val="both"/>
        <w:rPr>
          <w:rFonts w:ascii="Times New Roman" w:hAnsi="Times New Roman"/>
          <w:b/>
          <w:bCs/>
          <w:color w:val="000000" w:themeColor="text1"/>
          <w:sz w:val="24"/>
          <w:szCs w:val="24"/>
        </w:rPr>
      </w:pPr>
    </w:p>
    <w:p w:rsidR="00DD1E91" w:rsidRDefault="00DD1E91" w:rsidP="0024642A">
      <w:pPr>
        <w:jc w:val="both"/>
        <w:rPr>
          <w:rFonts w:ascii="Times New Roman" w:hAnsi="Times New Roman"/>
          <w:b/>
          <w:bCs/>
          <w:color w:val="000000" w:themeColor="text1"/>
          <w:sz w:val="24"/>
          <w:szCs w:val="24"/>
        </w:rPr>
      </w:pPr>
    </w:p>
    <w:p w:rsidR="00DD1E91" w:rsidRDefault="00DD1E91" w:rsidP="0024642A">
      <w:pPr>
        <w:jc w:val="both"/>
        <w:rPr>
          <w:rFonts w:ascii="Times New Roman" w:hAnsi="Times New Roman"/>
          <w:b/>
          <w:bCs/>
          <w:color w:val="000000" w:themeColor="text1"/>
          <w:sz w:val="24"/>
          <w:szCs w:val="24"/>
        </w:rPr>
      </w:pPr>
    </w:p>
    <w:sectPr w:rsidR="00DD1E91">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20D" w:rsidRDefault="00FE220D" w:rsidP="0000011B">
      <w:r>
        <w:separator/>
      </w:r>
    </w:p>
  </w:endnote>
  <w:endnote w:type="continuationSeparator" w:id="0">
    <w:p w:rsidR="00FE220D" w:rsidRDefault="00FE220D" w:rsidP="00000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744327"/>
      <w:docPartObj>
        <w:docPartGallery w:val="Page Numbers (Bottom of Page)"/>
        <w:docPartUnique/>
      </w:docPartObj>
    </w:sdtPr>
    <w:sdtEndPr>
      <w:rPr>
        <w:noProof/>
      </w:rPr>
    </w:sdtEndPr>
    <w:sdtContent>
      <w:p w:rsidR="002B0DFA" w:rsidRDefault="002B0DFA">
        <w:pPr>
          <w:pStyle w:val="Footer"/>
          <w:jc w:val="right"/>
        </w:pPr>
        <w:r>
          <w:fldChar w:fldCharType="begin"/>
        </w:r>
        <w:r>
          <w:instrText xml:space="preserve"> PAGE   \* MERGEFORMAT </w:instrText>
        </w:r>
        <w:r>
          <w:fldChar w:fldCharType="separate"/>
        </w:r>
        <w:r w:rsidR="007A11AF">
          <w:rPr>
            <w:noProof/>
          </w:rPr>
          <w:t>1</w:t>
        </w:r>
        <w:r>
          <w:rPr>
            <w:noProof/>
          </w:rPr>
          <w:fldChar w:fldCharType="end"/>
        </w:r>
      </w:p>
    </w:sdtContent>
  </w:sdt>
  <w:p w:rsidR="002B0DFA" w:rsidRDefault="002B0DF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20D" w:rsidRDefault="00FE220D" w:rsidP="0000011B">
      <w:r>
        <w:separator/>
      </w:r>
    </w:p>
  </w:footnote>
  <w:footnote w:type="continuationSeparator" w:id="0">
    <w:p w:rsidR="00FE220D" w:rsidRDefault="00FE220D" w:rsidP="0000011B">
      <w:r>
        <w:continuationSeparator/>
      </w:r>
    </w:p>
  </w:footnote>
  <w:footnote w:id="1">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“OSCE Action Plan”, </w:t>
      </w:r>
      <w:r w:rsidRPr="00A7057F">
        <w:rPr>
          <w:rFonts w:ascii="Times New Roman" w:hAnsi="Times New Roman" w:cs="Times New Roman"/>
          <w:i/>
          <w:sz w:val="16"/>
          <w:szCs w:val="16"/>
        </w:rPr>
        <w:t>op.cit.</w:t>
      </w:r>
      <w:r w:rsidRPr="00A7057F">
        <w:rPr>
          <w:rFonts w:ascii="Times New Roman" w:hAnsi="Times New Roman" w:cs="Times New Roman"/>
          <w:sz w:val="16"/>
          <w:szCs w:val="16"/>
        </w:rPr>
        <w:t>, note 2, Chapter VI, Enhancing participation in public and political life. Paragraphs 87-106 provide specific recommendations to participating States and OSCE institutions and structures, respectively.</w:t>
      </w:r>
    </w:p>
  </w:footnote>
  <w:footnote w:id="2">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w:t>
      </w:r>
      <w:r w:rsidRPr="00A7057F">
        <w:rPr>
          <w:rFonts w:ascii="Times New Roman" w:hAnsi="Times New Roman" w:cs="Times New Roman"/>
          <w:i/>
          <w:sz w:val="16"/>
          <w:szCs w:val="16"/>
        </w:rPr>
        <w:t>Ibid.</w:t>
      </w:r>
      <w:r w:rsidRPr="00A7057F">
        <w:rPr>
          <w:rFonts w:ascii="Times New Roman" w:hAnsi="Times New Roman" w:cs="Times New Roman"/>
          <w:sz w:val="16"/>
          <w:szCs w:val="16"/>
        </w:rPr>
        <w:t>, Chapter VI, Enhancing participation in public and political life, Paragraph 88.</w:t>
      </w:r>
    </w:p>
  </w:footnote>
  <w:footnote w:id="3">
    <w:p w:rsidR="00A7057F" w:rsidRPr="00A7057F" w:rsidRDefault="00A7057F" w:rsidP="00A7057F">
      <w:pPr>
        <w:pStyle w:val="FootnoteText"/>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w:t>
      </w:r>
      <w:r w:rsidRPr="00A7057F">
        <w:rPr>
          <w:rFonts w:ascii="Times New Roman" w:hAnsi="Times New Roman" w:cs="Times New Roman"/>
          <w:i/>
          <w:sz w:val="16"/>
          <w:szCs w:val="16"/>
        </w:rPr>
        <w:t>Ibid.</w:t>
      </w:r>
      <w:r w:rsidRPr="00A7057F">
        <w:rPr>
          <w:rFonts w:ascii="Times New Roman" w:hAnsi="Times New Roman" w:cs="Times New Roman"/>
          <w:sz w:val="16"/>
          <w:szCs w:val="16"/>
        </w:rPr>
        <w:t>, paragraph 98.</w:t>
      </w:r>
    </w:p>
  </w:footnote>
  <w:footnote w:id="4">
    <w:p w:rsidR="00A7057F" w:rsidRPr="00A7057F" w:rsidRDefault="00A7057F" w:rsidP="00A7057F">
      <w:pPr>
        <w:pStyle w:val="FootnoteText"/>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w:t>
      </w:r>
      <w:r w:rsidRPr="00A7057F">
        <w:rPr>
          <w:rFonts w:ascii="Times New Roman" w:hAnsi="Times New Roman" w:cs="Times New Roman"/>
          <w:i/>
          <w:sz w:val="16"/>
          <w:szCs w:val="16"/>
        </w:rPr>
        <w:t>Ibid.</w:t>
      </w:r>
      <w:r w:rsidRPr="00A7057F">
        <w:rPr>
          <w:rFonts w:ascii="Times New Roman" w:hAnsi="Times New Roman" w:cs="Times New Roman"/>
          <w:sz w:val="16"/>
          <w:szCs w:val="16"/>
        </w:rPr>
        <w:t xml:space="preserve">, paragraph 94. </w:t>
      </w:r>
    </w:p>
  </w:footnote>
  <w:footnote w:id="5">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w:t>
      </w:r>
      <w:r w:rsidRPr="00A7057F">
        <w:rPr>
          <w:rFonts w:ascii="Times New Roman" w:hAnsi="Times New Roman" w:cs="Times New Roman"/>
          <w:i/>
          <w:sz w:val="16"/>
          <w:szCs w:val="16"/>
        </w:rPr>
        <w:t>Ibid.</w:t>
      </w:r>
      <w:r w:rsidRPr="00A7057F">
        <w:rPr>
          <w:rFonts w:ascii="Times New Roman" w:hAnsi="Times New Roman" w:cs="Times New Roman"/>
          <w:sz w:val="16"/>
          <w:szCs w:val="16"/>
        </w:rPr>
        <w:t xml:space="preserve">, Chapter VI, Enhancing participation in public and political life, Paragraph 105. </w:t>
      </w:r>
    </w:p>
  </w:footnote>
  <w:footnote w:id="6">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w:t>
      </w:r>
      <w:r w:rsidRPr="00A7057F">
        <w:rPr>
          <w:rFonts w:ascii="Times New Roman" w:hAnsi="Times New Roman" w:cs="Times New Roman"/>
          <w:i/>
          <w:sz w:val="16"/>
          <w:szCs w:val="16"/>
        </w:rPr>
        <w:t>Ibid.</w:t>
      </w:r>
      <w:r w:rsidRPr="00A7057F">
        <w:rPr>
          <w:rFonts w:ascii="Times New Roman" w:hAnsi="Times New Roman" w:cs="Times New Roman"/>
          <w:sz w:val="16"/>
          <w:szCs w:val="16"/>
        </w:rPr>
        <w:t xml:space="preserve">, Chapter VI, Enhancing participation in public and political life, Paragraph 100. </w:t>
      </w:r>
    </w:p>
  </w:footnote>
  <w:footnote w:id="7">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w:t>
      </w:r>
      <w:r w:rsidRPr="00A7057F">
        <w:rPr>
          <w:rFonts w:ascii="Times New Roman" w:hAnsi="Times New Roman" w:cs="Times New Roman"/>
          <w:i/>
          <w:sz w:val="16"/>
          <w:szCs w:val="16"/>
        </w:rPr>
        <w:t>Ibid.</w:t>
      </w:r>
      <w:r w:rsidRPr="00A7057F">
        <w:rPr>
          <w:rFonts w:ascii="Times New Roman" w:hAnsi="Times New Roman" w:cs="Times New Roman"/>
          <w:sz w:val="16"/>
          <w:szCs w:val="16"/>
        </w:rPr>
        <w:t xml:space="preserve">, paragraph 103. </w:t>
      </w:r>
    </w:p>
  </w:footnote>
  <w:footnote w:id="8">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OSCE Ministerial Council, Decision No. 6/08, “Enhancing OSCE efforts to implement the Action Plan on Improving the Situation of Roma within the OSCE Area”, Helsinki, 5 December 2008, Paragraph 7, &lt;http://www.osce.org/mc/35488&gt;.</w:t>
      </w:r>
    </w:p>
  </w:footnote>
  <w:footnote w:id="9">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rPr>
        <w:t xml:space="preserve"> OSCE Ministerial Council, Decision No. 4/13, “Enhancing OSCE efforts to implement the Action Plan on Improving the Situation of Roma within the OSCE Area, with a particular focus on Roma and Sinti women, youth and children”, Kyiv, 6 December 2013, &lt;http://www.osce.org/mc/109340&gt;.</w:t>
      </w:r>
    </w:p>
  </w:footnote>
  <w:footnote w:id="10">
    <w:p w:rsidR="00A7057F" w:rsidRPr="00A7057F" w:rsidRDefault="00A7057F" w:rsidP="00A7057F">
      <w:pPr>
        <w:pStyle w:val="FootnoteText"/>
        <w:jc w:val="both"/>
        <w:rPr>
          <w:rFonts w:ascii="Times New Roman" w:hAnsi="Times New Roman" w:cs="Times New Roman"/>
          <w:sz w:val="16"/>
          <w:szCs w:val="16"/>
          <w:lang w:val="fr-FR"/>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lang w:val="fr-FR"/>
        </w:rPr>
        <w:t xml:space="preserve"> </w:t>
      </w:r>
      <w:r w:rsidRPr="00A7057F">
        <w:rPr>
          <w:rFonts w:ascii="Times New Roman" w:hAnsi="Times New Roman" w:cs="Times New Roman"/>
          <w:i/>
          <w:sz w:val="16"/>
          <w:szCs w:val="16"/>
          <w:lang w:val="fr-FR"/>
        </w:rPr>
        <w:t>Ibid.</w:t>
      </w:r>
      <w:r w:rsidRPr="00A7057F">
        <w:rPr>
          <w:rFonts w:ascii="Times New Roman" w:hAnsi="Times New Roman" w:cs="Times New Roman"/>
          <w:sz w:val="16"/>
          <w:szCs w:val="16"/>
          <w:lang w:val="fr-FR"/>
        </w:rPr>
        <w:t>, Article 2, Paragraph 2.7.</w:t>
      </w:r>
    </w:p>
  </w:footnote>
  <w:footnote w:id="11">
    <w:p w:rsidR="00A7057F" w:rsidRPr="00A7057F" w:rsidRDefault="00A7057F" w:rsidP="00A7057F">
      <w:pPr>
        <w:pStyle w:val="FootnoteText"/>
        <w:jc w:val="both"/>
        <w:rPr>
          <w:rFonts w:ascii="Times New Roman" w:hAnsi="Times New Roman" w:cs="Times New Roman"/>
          <w:sz w:val="16"/>
          <w:szCs w:val="16"/>
          <w:lang w:val="fr-FR"/>
        </w:rPr>
      </w:pPr>
      <w:r w:rsidRPr="00A7057F">
        <w:rPr>
          <w:rStyle w:val="FootnoteReference"/>
          <w:rFonts w:ascii="Times New Roman" w:hAnsi="Times New Roman" w:cs="Times New Roman"/>
          <w:sz w:val="16"/>
          <w:szCs w:val="16"/>
        </w:rPr>
        <w:footnoteRef/>
      </w:r>
      <w:r w:rsidRPr="00A7057F">
        <w:rPr>
          <w:rFonts w:ascii="Times New Roman" w:hAnsi="Times New Roman" w:cs="Times New Roman"/>
          <w:sz w:val="16"/>
          <w:szCs w:val="16"/>
          <w:lang w:val="fr-FR"/>
        </w:rPr>
        <w:t xml:space="preserve"> </w:t>
      </w:r>
      <w:r w:rsidRPr="00A7057F">
        <w:rPr>
          <w:rFonts w:ascii="Times New Roman" w:hAnsi="Times New Roman" w:cs="Times New Roman"/>
          <w:i/>
          <w:sz w:val="16"/>
          <w:szCs w:val="16"/>
          <w:lang w:val="fr-FR"/>
        </w:rPr>
        <w:t>Ibid.,</w:t>
      </w:r>
      <w:r w:rsidRPr="00A7057F">
        <w:rPr>
          <w:rFonts w:ascii="Times New Roman" w:hAnsi="Times New Roman" w:cs="Times New Roman"/>
          <w:sz w:val="16"/>
          <w:szCs w:val="16"/>
          <w:lang w:val="fr-FR"/>
        </w:rPr>
        <w:t xml:space="preserve"> Article 4, Paragraph 4.2. </w:t>
      </w:r>
    </w:p>
  </w:footnote>
  <w:footnote w:id="12">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eastAsiaTheme="majorEastAsia" w:hAnsi="Times New Roman" w:cs="Times New Roman"/>
          <w:sz w:val="16"/>
          <w:szCs w:val="16"/>
        </w:rPr>
        <w:footnoteRef/>
      </w:r>
      <w:r w:rsidRPr="00A7057F">
        <w:rPr>
          <w:rFonts w:ascii="Times New Roman" w:hAnsi="Times New Roman" w:cs="Times New Roman"/>
          <w:sz w:val="16"/>
          <w:szCs w:val="16"/>
        </w:rPr>
        <w:t xml:space="preserve"> OSCE Parliamentary Assembly, “Resolutions of the OSCE Parliamentary Assembly Adopted at the Twentieth Annual Session”, Resolution on Promoting Policies in Favour of the Roma Population, Belgrade, 6 to10 July 2011, Article 22, p. 46, available at: </w:t>
      </w:r>
    </w:p>
    <w:p w:rsidR="00A7057F" w:rsidRPr="00425766" w:rsidRDefault="00A7057F" w:rsidP="00A7057F">
      <w:pPr>
        <w:pStyle w:val="FootnoteText"/>
        <w:jc w:val="both"/>
        <w:rPr>
          <w:rFonts w:ascii="Times New Roman" w:hAnsi="Times New Roman" w:cs="Times New Roman"/>
          <w:sz w:val="16"/>
          <w:szCs w:val="16"/>
        </w:rPr>
      </w:pPr>
      <w:r w:rsidRPr="00425766">
        <w:rPr>
          <w:rFonts w:ascii="Times New Roman" w:hAnsi="Times New Roman" w:cs="Times New Roman"/>
          <w:sz w:val="16"/>
          <w:szCs w:val="16"/>
        </w:rPr>
        <w:t>&lt;</w:t>
      </w:r>
      <w:hyperlink r:id="rId1" w:history="1">
        <w:r w:rsidRPr="0086607F">
          <w:rPr>
            <w:rStyle w:val="Hyperlink"/>
            <w:rFonts w:ascii="Times New Roman" w:hAnsi="Times New Roman" w:cs="Times New Roman"/>
            <w:color w:val="auto"/>
            <w:sz w:val="16"/>
            <w:szCs w:val="16"/>
            <w:u w:val="none"/>
          </w:rPr>
          <w:t>https://www.oscepa.org/meetings/annual-sessions/belgrade-2011</w:t>
        </w:r>
      </w:hyperlink>
      <w:r w:rsidRPr="00425766">
        <w:rPr>
          <w:rFonts w:ascii="Times New Roman" w:hAnsi="Times New Roman" w:cs="Times New Roman"/>
          <w:sz w:val="16"/>
          <w:szCs w:val="16"/>
        </w:rPr>
        <w:t>&gt;.</w:t>
      </w:r>
    </w:p>
  </w:footnote>
  <w:footnote w:id="13">
    <w:p w:rsidR="00A7057F" w:rsidRPr="00A7057F" w:rsidRDefault="00A7057F" w:rsidP="00A7057F">
      <w:pPr>
        <w:pStyle w:val="FootnoteText"/>
        <w:jc w:val="both"/>
        <w:rPr>
          <w:rFonts w:ascii="Times New Roman" w:hAnsi="Times New Roman" w:cs="Times New Roman"/>
          <w:sz w:val="16"/>
          <w:szCs w:val="16"/>
        </w:rPr>
      </w:pPr>
      <w:r w:rsidRPr="00A7057F">
        <w:rPr>
          <w:rStyle w:val="FootnoteReference"/>
          <w:rFonts w:ascii="Times New Roman" w:eastAsiaTheme="majorEastAsia" w:hAnsi="Times New Roman" w:cs="Times New Roman"/>
          <w:sz w:val="16"/>
          <w:szCs w:val="16"/>
        </w:rPr>
        <w:footnoteRef/>
      </w:r>
      <w:r w:rsidRPr="00A7057F">
        <w:rPr>
          <w:rFonts w:ascii="Times New Roman" w:hAnsi="Times New Roman" w:cs="Times New Roman"/>
          <w:sz w:val="16"/>
          <w:szCs w:val="16"/>
        </w:rPr>
        <w:t xml:space="preserve"> OSCE Parliamentary Assembly,  “</w:t>
      </w:r>
      <w:r w:rsidRPr="00A7057F">
        <w:rPr>
          <w:rFonts w:ascii="Times New Roman" w:hAnsi="Times New Roman" w:cs="Times New Roman"/>
          <w:bCs/>
          <w:sz w:val="16"/>
          <w:szCs w:val="16"/>
        </w:rPr>
        <w:t xml:space="preserve">Resolutions of the OSCE Parliamentary Assembly Adopted at the Twentieth Annual Session”, </w:t>
      </w:r>
      <w:r w:rsidRPr="00A7057F">
        <w:rPr>
          <w:rFonts w:ascii="Times New Roman" w:hAnsi="Times New Roman" w:cs="Times New Roman"/>
          <w:sz w:val="16"/>
          <w:szCs w:val="16"/>
        </w:rPr>
        <w:t xml:space="preserve">Resolution on Promoting Policies on Equality between Women and Men of the Roma Population, </w:t>
      </w:r>
      <w:r w:rsidRPr="00A7057F">
        <w:rPr>
          <w:rFonts w:ascii="Times New Roman" w:hAnsi="Times New Roman" w:cs="Times New Roman"/>
          <w:bCs/>
          <w:sz w:val="16"/>
          <w:szCs w:val="16"/>
        </w:rPr>
        <w:t>Belgrade, 6 to 10 July 2011, Article 15, p. 48, available at: &lt;</w:t>
      </w:r>
      <w:hyperlink r:id="rId2" w:history="1">
        <w:r w:rsidRPr="0086607F">
          <w:rPr>
            <w:rStyle w:val="Hyperlink"/>
            <w:rFonts w:ascii="Times New Roman" w:hAnsi="Times New Roman" w:cs="Times New Roman"/>
            <w:color w:val="auto"/>
            <w:sz w:val="16"/>
            <w:szCs w:val="16"/>
            <w:u w:val="none"/>
          </w:rPr>
          <w:t>https://www.oscepa.org/meetings/annual-sessions/belgrade-2011</w:t>
        </w:r>
      </w:hyperlink>
      <w:r w:rsidRPr="00A7057F">
        <w:rPr>
          <w:rFonts w:ascii="Times New Roman" w:hAnsi="Times New Roman" w:cs="Times New Roman"/>
          <w:bCs/>
          <w:sz w:val="16"/>
          <w:szCs w:val="16"/>
        </w:rPr>
        <w:t>&gt;.</w:t>
      </w:r>
    </w:p>
  </w:footnote>
  <w:footnote w:id="14">
    <w:p w:rsidR="00527D5B" w:rsidRPr="00527D5B" w:rsidRDefault="00527D5B" w:rsidP="00527D5B">
      <w:pPr>
        <w:pStyle w:val="FootnoteText"/>
        <w:rPr>
          <w:rFonts w:ascii="Times New Roman" w:hAnsi="Times New Roman" w:cs="Times New Roman"/>
          <w:sz w:val="16"/>
          <w:szCs w:val="16"/>
          <w:lang w:val="en-US"/>
        </w:rPr>
      </w:pPr>
      <w:r>
        <w:rPr>
          <w:rStyle w:val="FootnoteReference"/>
        </w:rPr>
        <w:footnoteRef/>
      </w:r>
      <w:r>
        <w:t xml:space="preserve"> </w:t>
      </w:r>
      <w:r w:rsidR="00E419EA">
        <w:rPr>
          <w:rFonts w:ascii="Times New Roman" w:hAnsi="Times New Roman" w:cs="Times New Roman"/>
          <w:sz w:val="16"/>
          <w:szCs w:val="16"/>
        </w:rPr>
        <w:t>OSCE/ODIHR</w:t>
      </w:r>
      <w:r w:rsidR="00E419EA" w:rsidRPr="00527D5B">
        <w:rPr>
          <w:rFonts w:ascii="Times New Roman" w:hAnsi="Times New Roman" w:cs="Times New Roman"/>
          <w:sz w:val="16"/>
          <w:szCs w:val="16"/>
        </w:rPr>
        <w:t xml:space="preserve"> </w:t>
      </w:r>
      <w:r w:rsidR="00E419EA">
        <w:rPr>
          <w:rFonts w:ascii="Times New Roman" w:hAnsi="Times New Roman" w:cs="Times New Roman"/>
          <w:sz w:val="16"/>
          <w:szCs w:val="16"/>
        </w:rPr>
        <w:t xml:space="preserve">, </w:t>
      </w:r>
      <w:r w:rsidRPr="00527D5B">
        <w:rPr>
          <w:rFonts w:ascii="Times New Roman" w:hAnsi="Times New Roman" w:cs="Times New Roman"/>
          <w:sz w:val="16"/>
          <w:szCs w:val="16"/>
        </w:rPr>
        <w:t>“Status report 2013 - Implementation of the Action Plan on Improving the Situation of Roma and Sinti Within the OSCE Area - Renewed Commitments, Continued Challenges</w:t>
      </w:r>
      <w:r>
        <w:rPr>
          <w:rFonts w:ascii="Times New Roman" w:hAnsi="Times New Roman" w:cs="Times New Roman"/>
          <w:sz w:val="16"/>
          <w:szCs w:val="16"/>
        </w:rPr>
        <w:t xml:space="preserve">”, Warsaw, 2013, </w:t>
      </w:r>
      <w:r w:rsidRPr="00425766">
        <w:rPr>
          <w:rFonts w:ascii="Times New Roman" w:hAnsi="Times New Roman" w:cs="Times New Roman"/>
          <w:sz w:val="16"/>
          <w:szCs w:val="16"/>
        </w:rPr>
        <w:t>&lt;</w:t>
      </w:r>
      <w:hyperlink r:id="rId3" w:history="1">
        <w:r w:rsidRPr="0086607F">
          <w:rPr>
            <w:rStyle w:val="Hyperlink"/>
            <w:rFonts w:ascii="Times New Roman" w:hAnsi="Times New Roman" w:cs="Times New Roman"/>
            <w:color w:val="auto"/>
            <w:sz w:val="16"/>
            <w:szCs w:val="16"/>
            <w:u w:val="none"/>
          </w:rPr>
          <w:t>https://www.osce.org/odihr/107406?download=true</w:t>
        </w:r>
      </w:hyperlink>
      <w:r>
        <w:rPr>
          <w:rFonts w:ascii="Times New Roman" w:hAnsi="Times New Roman" w:cs="Times New Roman"/>
          <w:sz w:val="16"/>
          <w:szCs w:val="16"/>
        </w:rPr>
        <w:t xml:space="preserve">&gt; </w:t>
      </w:r>
    </w:p>
  </w:footnote>
  <w:footnote w:id="15">
    <w:p w:rsidR="0019523B" w:rsidRPr="0019523B" w:rsidRDefault="0019523B">
      <w:pPr>
        <w:pStyle w:val="FootnoteText"/>
        <w:rPr>
          <w:rFonts w:ascii="Times New Roman" w:hAnsi="Times New Roman" w:cs="Times New Roman"/>
          <w:i/>
          <w:sz w:val="16"/>
          <w:szCs w:val="16"/>
          <w:lang w:val="en-US"/>
        </w:rPr>
      </w:pPr>
      <w:r w:rsidRPr="0019523B">
        <w:rPr>
          <w:rStyle w:val="FootnoteReference"/>
          <w:rFonts w:ascii="Times New Roman" w:hAnsi="Times New Roman" w:cs="Times New Roman"/>
          <w:sz w:val="16"/>
          <w:szCs w:val="16"/>
        </w:rPr>
        <w:footnoteRef/>
      </w:r>
      <w:r w:rsidRPr="0019523B">
        <w:rPr>
          <w:rFonts w:ascii="Times New Roman" w:hAnsi="Times New Roman" w:cs="Times New Roman"/>
          <w:sz w:val="16"/>
          <w:szCs w:val="16"/>
        </w:rPr>
        <w:t xml:space="preserve"> </w:t>
      </w:r>
      <w:r w:rsidRPr="0019523B">
        <w:rPr>
          <w:rFonts w:ascii="Times New Roman" w:hAnsi="Times New Roman" w:cs="Times New Roman"/>
          <w:i/>
          <w:sz w:val="16"/>
          <w:szCs w:val="16"/>
          <w:lang w:val="en-US"/>
        </w:rPr>
        <w:t xml:space="preserve">Ibid. </w:t>
      </w:r>
    </w:p>
  </w:footnote>
  <w:footnote w:id="16">
    <w:p w:rsidR="00DC715C" w:rsidRPr="00DC715C" w:rsidRDefault="00DC715C">
      <w:pPr>
        <w:pStyle w:val="FootnoteText"/>
      </w:pPr>
      <w:r>
        <w:rPr>
          <w:rStyle w:val="FootnoteReference"/>
        </w:rPr>
        <w:footnoteRef/>
      </w:r>
      <w:r>
        <w:t xml:space="preserve"> </w:t>
      </w:r>
      <w:r w:rsidRPr="00131F0A">
        <w:rPr>
          <w:rFonts w:ascii="Times New Roman" w:hAnsi="Times New Roman" w:cs="Times New Roman"/>
          <w:i/>
          <w:sz w:val="16"/>
          <w:szCs w:val="16"/>
          <w:lang w:val="en-US"/>
        </w:rPr>
        <w:t>Ibid.</w:t>
      </w:r>
    </w:p>
  </w:footnote>
  <w:footnote w:id="17">
    <w:p w:rsidR="0035101E" w:rsidRPr="00131F0A" w:rsidRDefault="0035101E">
      <w:pPr>
        <w:pStyle w:val="FootnoteText"/>
        <w:rPr>
          <w:lang w:val="en-US"/>
        </w:rPr>
      </w:pPr>
      <w:r>
        <w:rPr>
          <w:rStyle w:val="FootnoteReference"/>
        </w:rPr>
        <w:footnoteRef/>
      </w:r>
      <w:r>
        <w:t xml:space="preserve"> </w:t>
      </w:r>
      <w:r>
        <w:rPr>
          <w:rFonts w:ascii="Times New Roman" w:hAnsi="Times New Roman" w:cs="Times New Roman"/>
          <w:sz w:val="16"/>
          <w:szCs w:val="16"/>
        </w:rPr>
        <w:t>OSCE/ODIHR</w:t>
      </w:r>
      <w:r w:rsidRPr="00527D5B">
        <w:rPr>
          <w:rFonts w:ascii="Times New Roman" w:hAnsi="Times New Roman" w:cs="Times New Roman"/>
          <w:sz w:val="16"/>
          <w:szCs w:val="16"/>
        </w:rPr>
        <w:t xml:space="preserve"> </w:t>
      </w:r>
      <w:r>
        <w:rPr>
          <w:rFonts w:ascii="Times New Roman" w:hAnsi="Times New Roman" w:cs="Times New Roman"/>
          <w:sz w:val="16"/>
          <w:szCs w:val="16"/>
        </w:rPr>
        <w:t xml:space="preserve">, </w:t>
      </w:r>
      <w:r w:rsidRPr="00527D5B">
        <w:rPr>
          <w:rFonts w:ascii="Times New Roman" w:hAnsi="Times New Roman" w:cs="Times New Roman"/>
          <w:sz w:val="16"/>
          <w:szCs w:val="16"/>
        </w:rPr>
        <w:t>“</w:t>
      </w:r>
      <w:r w:rsidRPr="0035101E">
        <w:rPr>
          <w:rFonts w:ascii="Times New Roman" w:hAnsi="Times New Roman" w:cs="Times New Roman"/>
          <w:sz w:val="16"/>
          <w:szCs w:val="16"/>
        </w:rPr>
        <w:t>Roma and Sinti Political Participation: Opportunities and Risks of Local-level Engagement</w:t>
      </w:r>
      <w:r>
        <w:rPr>
          <w:rFonts w:ascii="Times New Roman" w:hAnsi="Times New Roman" w:cs="Times New Roman"/>
          <w:sz w:val="16"/>
          <w:szCs w:val="16"/>
        </w:rPr>
        <w:t>”, Warsaw, 2014, &lt;</w:t>
      </w:r>
      <w:r w:rsidRPr="0035101E">
        <w:rPr>
          <w:rFonts w:ascii="Times New Roman" w:hAnsi="Times New Roman" w:cs="Times New Roman"/>
          <w:sz w:val="16"/>
          <w:szCs w:val="16"/>
        </w:rPr>
        <w:t>https://www.osce.org/odihr/219511?download=true</w:t>
      </w:r>
      <w:r>
        <w:rPr>
          <w:rFonts w:ascii="Times New Roman" w:hAnsi="Times New Roman" w:cs="Times New Roman"/>
          <w:sz w:val="16"/>
          <w:szCs w:val="16"/>
        </w:rPr>
        <w:t>&gt;.</w:t>
      </w:r>
    </w:p>
  </w:footnote>
  <w:footnote w:id="18">
    <w:p w:rsidR="00150692" w:rsidRPr="00131F0A" w:rsidRDefault="00150692">
      <w:pPr>
        <w:pStyle w:val="FootnoteText"/>
        <w:rPr>
          <w:lang w:val="en-US"/>
        </w:rPr>
      </w:pPr>
      <w:r>
        <w:rPr>
          <w:rStyle w:val="FootnoteReference"/>
        </w:rPr>
        <w:footnoteRef/>
      </w:r>
      <w:r>
        <w:t xml:space="preserve"> </w:t>
      </w:r>
      <w:r w:rsidRPr="00131F0A">
        <w:rPr>
          <w:rFonts w:ascii="Times New Roman" w:hAnsi="Times New Roman" w:cs="Times New Roman"/>
          <w:sz w:val="16"/>
          <w:szCs w:val="16"/>
        </w:rPr>
        <w:t>Ibid., p.16.</w:t>
      </w:r>
    </w:p>
  </w:footnote>
  <w:footnote w:id="19">
    <w:p w:rsidR="0035101E" w:rsidRPr="00131F0A" w:rsidRDefault="0035101E">
      <w:pPr>
        <w:pStyle w:val="FootnoteText"/>
        <w:rPr>
          <w:lang w:val="en-US"/>
        </w:rPr>
      </w:pPr>
      <w:r>
        <w:rPr>
          <w:rStyle w:val="FootnoteReference"/>
        </w:rPr>
        <w:footnoteRef/>
      </w:r>
      <w:r>
        <w:t xml:space="preserve"> </w:t>
      </w:r>
      <w:r w:rsidRPr="00131F0A">
        <w:rPr>
          <w:rFonts w:ascii="Times New Roman" w:hAnsi="Times New Roman" w:cs="Times New Roman"/>
          <w:sz w:val="16"/>
          <w:szCs w:val="16"/>
        </w:rPr>
        <w:t>Ibid., p.17.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927"/>
        </w:tabs>
        <w:ind w:left="927" w:hanging="360"/>
      </w:pPr>
      <w:rPr>
        <w:rFonts w:ascii="Wingdings" w:hAnsi="Wingdings"/>
      </w:rPr>
    </w:lvl>
  </w:abstractNum>
  <w:abstractNum w:abstractNumId="1">
    <w:nsid w:val="1C0225B7"/>
    <w:multiLevelType w:val="hybridMultilevel"/>
    <w:tmpl w:val="2F009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30FC745A"/>
    <w:multiLevelType w:val="hybridMultilevel"/>
    <w:tmpl w:val="900CBD04"/>
    <w:lvl w:ilvl="0" w:tplc="64AC737A">
      <w:numFmt w:val="bullet"/>
      <w:lvlText w:val="-"/>
      <w:lvlJc w:val="left"/>
      <w:pPr>
        <w:ind w:left="720" w:hanging="360"/>
      </w:pPr>
      <w:rPr>
        <w:rFonts w:ascii="Trebuchet MS" w:eastAsia="Calibri" w:hAnsi="Trebuchet MS"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nsid w:val="40DC73C1"/>
    <w:multiLevelType w:val="hybridMultilevel"/>
    <w:tmpl w:val="571C4D4A"/>
    <w:lvl w:ilvl="0" w:tplc="81C25EB8">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nsid w:val="5E232D91"/>
    <w:multiLevelType w:val="hybridMultilevel"/>
    <w:tmpl w:val="EC2CE774"/>
    <w:lvl w:ilvl="0" w:tplc="DD0E1C58">
      <w:start w:val="1"/>
      <w:numFmt w:val="bullet"/>
      <w:lvlText w:val="-"/>
      <w:lvlJc w:val="left"/>
      <w:pPr>
        <w:ind w:left="720" w:hanging="360"/>
      </w:pPr>
      <w:rPr>
        <w:rFonts w:ascii="Times New Roman" w:eastAsiaTheme="minorHAnsi" w:hAnsi="Times New Roman" w:cs="Times New Roman" w:hint="default"/>
        <w:color w:val="000000" w:themeColor="tex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11D38E3"/>
    <w:multiLevelType w:val="hybridMultilevel"/>
    <w:tmpl w:val="334C76FA"/>
    <w:lvl w:ilvl="0" w:tplc="FA949B8E">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753A15AB"/>
    <w:multiLevelType w:val="multilevel"/>
    <w:tmpl w:val="FFD07D2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6"/>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11B"/>
    <w:rsid w:val="0000011B"/>
    <w:rsid w:val="00080C7C"/>
    <w:rsid w:val="000855ED"/>
    <w:rsid w:val="00095889"/>
    <w:rsid w:val="000A5CFD"/>
    <w:rsid w:val="000C528F"/>
    <w:rsid w:val="000D7BFA"/>
    <w:rsid w:val="001110A9"/>
    <w:rsid w:val="00131F0A"/>
    <w:rsid w:val="00150692"/>
    <w:rsid w:val="00161FFD"/>
    <w:rsid w:val="00190CD7"/>
    <w:rsid w:val="00193809"/>
    <w:rsid w:val="0019523B"/>
    <w:rsid w:val="001C4DAF"/>
    <w:rsid w:val="002033D3"/>
    <w:rsid w:val="00203821"/>
    <w:rsid w:val="0024642A"/>
    <w:rsid w:val="00270A2F"/>
    <w:rsid w:val="002B0DFA"/>
    <w:rsid w:val="002B1086"/>
    <w:rsid w:val="002E7DF5"/>
    <w:rsid w:val="00332BD3"/>
    <w:rsid w:val="00346551"/>
    <w:rsid w:val="0035101E"/>
    <w:rsid w:val="00360AA5"/>
    <w:rsid w:val="00381938"/>
    <w:rsid w:val="0039495B"/>
    <w:rsid w:val="003F7F27"/>
    <w:rsid w:val="00417A7B"/>
    <w:rsid w:val="00425766"/>
    <w:rsid w:val="004417AF"/>
    <w:rsid w:val="00472755"/>
    <w:rsid w:val="004B632F"/>
    <w:rsid w:val="004C5705"/>
    <w:rsid w:val="004F4810"/>
    <w:rsid w:val="00505205"/>
    <w:rsid w:val="005225A2"/>
    <w:rsid w:val="0052657C"/>
    <w:rsid w:val="00527D5B"/>
    <w:rsid w:val="0053331A"/>
    <w:rsid w:val="00556A0E"/>
    <w:rsid w:val="00566365"/>
    <w:rsid w:val="005745CE"/>
    <w:rsid w:val="00594C93"/>
    <w:rsid w:val="00597B39"/>
    <w:rsid w:val="005E2003"/>
    <w:rsid w:val="005F7D7E"/>
    <w:rsid w:val="006307B7"/>
    <w:rsid w:val="0064428F"/>
    <w:rsid w:val="00657A94"/>
    <w:rsid w:val="00660F42"/>
    <w:rsid w:val="006903A7"/>
    <w:rsid w:val="006A3DA1"/>
    <w:rsid w:val="00700FDF"/>
    <w:rsid w:val="007257A7"/>
    <w:rsid w:val="007374D8"/>
    <w:rsid w:val="00741155"/>
    <w:rsid w:val="00744D8C"/>
    <w:rsid w:val="0075365E"/>
    <w:rsid w:val="00756DA7"/>
    <w:rsid w:val="00793DB0"/>
    <w:rsid w:val="007A11AF"/>
    <w:rsid w:val="007C1B25"/>
    <w:rsid w:val="007F079B"/>
    <w:rsid w:val="007F28DD"/>
    <w:rsid w:val="00820C66"/>
    <w:rsid w:val="0082353D"/>
    <w:rsid w:val="008237E7"/>
    <w:rsid w:val="0083462F"/>
    <w:rsid w:val="00835E76"/>
    <w:rsid w:val="0086607F"/>
    <w:rsid w:val="00870484"/>
    <w:rsid w:val="0087495E"/>
    <w:rsid w:val="00887953"/>
    <w:rsid w:val="00897E39"/>
    <w:rsid w:val="008C54D4"/>
    <w:rsid w:val="00911C35"/>
    <w:rsid w:val="00926122"/>
    <w:rsid w:val="0093436E"/>
    <w:rsid w:val="00955A44"/>
    <w:rsid w:val="00962879"/>
    <w:rsid w:val="00991965"/>
    <w:rsid w:val="009930F3"/>
    <w:rsid w:val="00997FD0"/>
    <w:rsid w:val="009A368F"/>
    <w:rsid w:val="009B2437"/>
    <w:rsid w:val="009D4BEE"/>
    <w:rsid w:val="00A132E3"/>
    <w:rsid w:val="00A22E0B"/>
    <w:rsid w:val="00A34E3F"/>
    <w:rsid w:val="00A502A7"/>
    <w:rsid w:val="00A7057F"/>
    <w:rsid w:val="00A74CE6"/>
    <w:rsid w:val="00A757CE"/>
    <w:rsid w:val="00AB0276"/>
    <w:rsid w:val="00AF3DAC"/>
    <w:rsid w:val="00B164CF"/>
    <w:rsid w:val="00B26039"/>
    <w:rsid w:val="00B56224"/>
    <w:rsid w:val="00B72E3B"/>
    <w:rsid w:val="00B74AE5"/>
    <w:rsid w:val="00B94FFF"/>
    <w:rsid w:val="00BA795A"/>
    <w:rsid w:val="00BB1F8B"/>
    <w:rsid w:val="00BB3B47"/>
    <w:rsid w:val="00BB7EAB"/>
    <w:rsid w:val="00C11FFC"/>
    <w:rsid w:val="00C14BAE"/>
    <w:rsid w:val="00C318AA"/>
    <w:rsid w:val="00C4071D"/>
    <w:rsid w:val="00C419A8"/>
    <w:rsid w:val="00C57440"/>
    <w:rsid w:val="00C7204F"/>
    <w:rsid w:val="00CB73A7"/>
    <w:rsid w:val="00CF5011"/>
    <w:rsid w:val="00CF5D05"/>
    <w:rsid w:val="00D25EE5"/>
    <w:rsid w:val="00D510CB"/>
    <w:rsid w:val="00D96AEE"/>
    <w:rsid w:val="00DA3D1E"/>
    <w:rsid w:val="00DC715C"/>
    <w:rsid w:val="00DD1E91"/>
    <w:rsid w:val="00E11C61"/>
    <w:rsid w:val="00E27F67"/>
    <w:rsid w:val="00E419EA"/>
    <w:rsid w:val="00E47BA0"/>
    <w:rsid w:val="00E62260"/>
    <w:rsid w:val="00E7131C"/>
    <w:rsid w:val="00E7286D"/>
    <w:rsid w:val="00E77BE7"/>
    <w:rsid w:val="00E91B23"/>
    <w:rsid w:val="00E941D4"/>
    <w:rsid w:val="00E95CEF"/>
    <w:rsid w:val="00EA0E55"/>
    <w:rsid w:val="00EB7ABC"/>
    <w:rsid w:val="00EC0585"/>
    <w:rsid w:val="00EC7091"/>
    <w:rsid w:val="00ED1A5B"/>
    <w:rsid w:val="00F06282"/>
    <w:rsid w:val="00F06489"/>
    <w:rsid w:val="00F3546F"/>
    <w:rsid w:val="00F406AC"/>
    <w:rsid w:val="00F4195B"/>
    <w:rsid w:val="00F47254"/>
    <w:rsid w:val="00F478E5"/>
    <w:rsid w:val="00F65B57"/>
    <w:rsid w:val="00F67BB0"/>
    <w:rsid w:val="00F9164C"/>
    <w:rsid w:val="00FB32B6"/>
    <w:rsid w:val="00FE220D"/>
    <w:rsid w:val="00FE4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E9354D-F402-4070-B052-CCCC2481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11B"/>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011B"/>
    <w:rPr>
      <w:color w:val="0000FF"/>
      <w:u w:val="single"/>
    </w:rPr>
  </w:style>
  <w:style w:type="paragraph" w:styleId="ListParagraph">
    <w:name w:val="List Paragraph"/>
    <w:basedOn w:val="Normal"/>
    <w:uiPriority w:val="34"/>
    <w:qFormat/>
    <w:rsid w:val="0000011B"/>
    <w:pPr>
      <w:ind w:left="720"/>
    </w:pPr>
  </w:style>
  <w:style w:type="paragraph" w:styleId="FootnoteText">
    <w:name w:val="footnote text"/>
    <w:aliases w:val="Footnote Text Char2,Footnote Text Char1 Char,Footnote Text Char Char Char,Footnote Text Char1 Char Char Char Char Char,Footnote Text Char Char Char Char Char Char Char,Footnote Text Char Char1,FA Fu,Text poznámky pod čiarou 007,5_G, Char"/>
    <w:basedOn w:val="Normal"/>
    <w:link w:val="FootnoteTextChar"/>
    <w:uiPriority w:val="99"/>
    <w:unhideWhenUsed/>
    <w:rsid w:val="0000011B"/>
    <w:rPr>
      <w:rFonts w:asciiTheme="minorHAnsi" w:hAnsiTheme="minorHAnsi" w:cstheme="minorBidi"/>
      <w:sz w:val="20"/>
      <w:szCs w:val="20"/>
    </w:rPr>
  </w:style>
  <w:style w:type="character" w:customStyle="1" w:styleId="FootnoteTextChar">
    <w:name w:val="Footnote Text Char"/>
    <w:aliases w:val="Footnote Text Char2 Char,Footnote Text Char1 Char Char,Footnote Text Char Char Char Char,Footnote Text Char1 Char Char Char Char Char Char,Footnote Text Char Char Char Char Char Char Char Char,Footnote Text Char Char1 Char,FA Fu Char"/>
    <w:basedOn w:val="DefaultParagraphFont"/>
    <w:link w:val="FootnoteText"/>
    <w:uiPriority w:val="99"/>
    <w:rsid w:val="0000011B"/>
    <w:rPr>
      <w:sz w:val="20"/>
      <w:szCs w:val="20"/>
    </w:rPr>
  </w:style>
  <w:style w:type="character" w:styleId="FootnoteReference">
    <w:name w:val="footnote reference"/>
    <w:aliases w:val="BVI fnr Carattere Char Char Char Char Char,BVI fnr Car Car Carattere Char Char Char Char Char,BVI fnr Car Carattere Char Char Char Char Char,ftref Char Char Char Char,Footnote Refernece Char Char Char Char,Footnotes refss,callout"/>
    <w:basedOn w:val="DefaultParagraphFont"/>
    <w:link w:val="BVIfnrCarattereCharCharCharChar"/>
    <w:uiPriority w:val="99"/>
    <w:unhideWhenUsed/>
    <w:qFormat/>
    <w:rsid w:val="0000011B"/>
    <w:rPr>
      <w:vertAlign w:val="superscript"/>
    </w:rPr>
  </w:style>
  <w:style w:type="paragraph" w:customStyle="1" w:styleId="BVIfnrCarattereCharCharCharChar">
    <w:name w:val="BVI fnr Carattere Char Char Char Char"/>
    <w:aliases w:val="BVI fnr Car Car Carattere Char Char Char Char,BVI fnr Car Carattere Char Char Char Char,BVI fnr Car Car Car Car Carattere Char Char Char Char Char, BVI fnr Car Car Carattere Char Char Char Char"/>
    <w:basedOn w:val="Normal"/>
    <w:link w:val="FootnoteReference"/>
    <w:rsid w:val="0000011B"/>
    <w:pPr>
      <w:spacing w:after="160" w:line="240" w:lineRule="exact"/>
    </w:pPr>
    <w:rPr>
      <w:rFonts w:asciiTheme="minorHAnsi" w:hAnsiTheme="minorHAnsi" w:cstheme="minorBidi"/>
      <w:vertAlign w:val="superscript"/>
    </w:rPr>
  </w:style>
  <w:style w:type="paragraph" w:styleId="BalloonText">
    <w:name w:val="Balloon Text"/>
    <w:basedOn w:val="Normal"/>
    <w:link w:val="BalloonTextChar"/>
    <w:uiPriority w:val="99"/>
    <w:semiHidden/>
    <w:unhideWhenUsed/>
    <w:rsid w:val="004C5705"/>
    <w:rPr>
      <w:rFonts w:ascii="Tahoma" w:hAnsi="Tahoma" w:cs="Tahoma"/>
      <w:sz w:val="16"/>
      <w:szCs w:val="16"/>
    </w:rPr>
  </w:style>
  <w:style w:type="character" w:customStyle="1" w:styleId="BalloonTextChar">
    <w:name w:val="Balloon Text Char"/>
    <w:basedOn w:val="DefaultParagraphFont"/>
    <w:link w:val="BalloonText"/>
    <w:uiPriority w:val="99"/>
    <w:semiHidden/>
    <w:rsid w:val="004C5705"/>
    <w:rPr>
      <w:rFonts w:ascii="Tahoma" w:hAnsi="Tahoma" w:cs="Tahoma"/>
      <w:sz w:val="16"/>
      <w:szCs w:val="16"/>
    </w:rPr>
  </w:style>
  <w:style w:type="character" w:styleId="FollowedHyperlink">
    <w:name w:val="FollowedHyperlink"/>
    <w:basedOn w:val="DefaultParagraphFont"/>
    <w:uiPriority w:val="99"/>
    <w:semiHidden/>
    <w:unhideWhenUsed/>
    <w:rsid w:val="00F65B57"/>
    <w:rPr>
      <w:color w:val="800080" w:themeColor="followedHyperlink"/>
      <w:u w:val="single"/>
    </w:rPr>
  </w:style>
  <w:style w:type="character" w:styleId="CommentReference">
    <w:name w:val="annotation reference"/>
    <w:basedOn w:val="DefaultParagraphFont"/>
    <w:uiPriority w:val="99"/>
    <w:semiHidden/>
    <w:unhideWhenUsed/>
    <w:rsid w:val="006A3DA1"/>
    <w:rPr>
      <w:sz w:val="16"/>
      <w:szCs w:val="16"/>
    </w:rPr>
  </w:style>
  <w:style w:type="paragraph" w:styleId="CommentText">
    <w:name w:val="annotation text"/>
    <w:basedOn w:val="Normal"/>
    <w:link w:val="CommentTextChar"/>
    <w:uiPriority w:val="99"/>
    <w:unhideWhenUsed/>
    <w:rsid w:val="006A3DA1"/>
    <w:rPr>
      <w:sz w:val="20"/>
      <w:szCs w:val="20"/>
    </w:rPr>
  </w:style>
  <w:style w:type="character" w:customStyle="1" w:styleId="CommentTextChar">
    <w:name w:val="Comment Text Char"/>
    <w:basedOn w:val="DefaultParagraphFont"/>
    <w:link w:val="CommentText"/>
    <w:uiPriority w:val="99"/>
    <w:rsid w:val="006A3DA1"/>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A3DA1"/>
    <w:rPr>
      <w:b/>
      <w:bCs/>
    </w:rPr>
  </w:style>
  <w:style w:type="character" w:customStyle="1" w:styleId="CommentSubjectChar">
    <w:name w:val="Comment Subject Char"/>
    <w:basedOn w:val="CommentTextChar"/>
    <w:link w:val="CommentSubject"/>
    <w:uiPriority w:val="99"/>
    <w:semiHidden/>
    <w:rsid w:val="006A3DA1"/>
    <w:rPr>
      <w:rFonts w:ascii="Calibri" w:hAnsi="Calibri" w:cs="Times New Roman"/>
      <w:b/>
      <w:bCs/>
      <w:sz w:val="20"/>
      <w:szCs w:val="20"/>
    </w:rPr>
  </w:style>
  <w:style w:type="paragraph" w:customStyle="1" w:styleId="CharCharCharChar">
    <w:name w:val="Char Char Char Char"/>
    <w:aliases w:val="Car Char Car Char Car Char Char Char Char Char Char Char Char Char Zchn Char Char,Footnote Refernece Char Char1 Char Zchn Char Char Carattere"/>
    <w:basedOn w:val="Normal"/>
    <w:rsid w:val="00BB7EAB"/>
    <w:pPr>
      <w:autoSpaceDE w:val="0"/>
      <w:autoSpaceDN w:val="0"/>
      <w:spacing w:after="160" w:line="240" w:lineRule="exact"/>
      <w:jc w:val="both"/>
    </w:pPr>
    <w:rPr>
      <w:rFonts w:asciiTheme="minorHAnsi" w:hAnsiTheme="minorHAnsi" w:cstheme="minorBidi"/>
      <w:vertAlign w:val="superscript"/>
    </w:rPr>
  </w:style>
  <w:style w:type="character" w:customStyle="1" w:styleId="Lbjegyzet-karakterek">
    <w:name w:val="Lábjegyzet-karakterek"/>
    <w:rsid w:val="00C14BAE"/>
  </w:style>
  <w:style w:type="character" w:customStyle="1" w:styleId="UnresolvedMention">
    <w:name w:val="Unresolved Mention"/>
    <w:basedOn w:val="DefaultParagraphFont"/>
    <w:uiPriority w:val="99"/>
    <w:semiHidden/>
    <w:unhideWhenUsed/>
    <w:rsid w:val="00F406AC"/>
    <w:rPr>
      <w:color w:val="808080"/>
      <w:shd w:val="clear" w:color="auto" w:fill="E6E6E6"/>
    </w:rPr>
  </w:style>
  <w:style w:type="paragraph" w:customStyle="1" w:styleId="BVIfnrCarattere">
    <w:name w:val="BVI fnr Carattere"/>
    <w:aliases w:val=" BVI fnr Car Car Carattere,BVI fnr Car Carattere, BVI fnr Car Car Car Car Carattere, BVI fnr Car Car Car Car Char Carattere, BVI fnr Car Car Car Car Char Char Char Char Char Carattere,BVI fnr Car Car Carattere"/>
    <w:basedOn w:val="Normal"/>
    <w:uiPriority w:val="99"/>
    <w:rsid w:val="00A7057F"/>
    <w:pPr>
      <w:spacing w:after="160" w:line="240" w:lineRule="exact"/>
    </w:pPr>
    <w:rPr>
      <w:rFonts w:asciiTheme="minorHAnsi" w:hAnsiTheme="minorHAnsi" w:cstheme="minorBidi"/>
      <w:vertAlign w:val="superscript"/>
    </w:rPr>
  </w:style>
  <w:style w:type="paragraph" w:styleId="Header">
    <w:name w:val="header"/>
    <w:basedOn w:val="Normal"/>
    <w:link w:val="HeaderChar"/>
    <w:uiPriority w:val="99"/>
    <w:unhideWhenUsed/>
    <w:rsid w:val="002B0DFA"/>
    <w:pPr>
      <w:tabs>
        <w:tab w:val="center" w:pos="4513"/>
        <w:tab w:val="right" w:pos="9026"/>
      </w:tabs>
    </w:pPr>
  </w:style>
  <w:style w:type="character" w:customStyle="1" w:styleId="HeaderChar">
    <w:name w:val="Header Char"/>
    <w:basedOn w:val="DefaultParagraphFont"/>
    <w:link w:val="Header"/>
    <w:uiPriority w:val="99"/>
    <w:rsid w:val="002B0DFA"/>
    <w:rPr>
      <w:rFonts w:ascii="Calibri" w:hAnsi="Calibri" w:cs="Times New Roman"/>
    </w:rPr>
  </w:style>
  <w:style w:type="paragraph" w:styleId="Footer">
    <w:name w:val="footer"/>
    <w:basedOn w:val="Normal"/>
    <w:link w:val="FooterChar"/>
    <w:uiPriority w:val="99"/>
    <w:unhideWhenUsed/>
    <w:rsid w:val="002B0DFA"/>
    <w:pPr>
      <w:tabs>
        <w:tab w:val="center" w:pos="4513"/>
        <w:tab w:val="right" w:pos="9026"/>
      </w:tabs>
    </w:pPr>
  </w:style>
  <w:style w:type="character" w:customStyle="1" w:styleId="FooterChar">
    <w:name w:val="Footer Char"/>
    <w:basedOn w:val="DefaultParagraphFont"/>
    <w:link w:val="Footer"/>
    <w:uiPriority w:val="99"/>
    <w:rsid w:val="002B0DFA"/>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714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osce.org/mc/109340?download=true" TargetMode="External"/><Relationship Id="rId4" Type="http://schemas.openxmlformats.org/officeDocument/2006/relationships/settings" Target="settings.xml"/><Relationship Id="rId9" Type="http://schemas.openxmlformats.org/officeDocument/2006/relationships/hyperlink" Target="http://www.osce.org/odihr/17554?download=true" TargetMode="External"/><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s://www.osce.org/odihr/107406?download=true" TargetMode="External"/><Relationship Id="rId2" Type="http://schemas.openxmlformats.org/officeDocument/2006/relationships/hyperlink" Target="https://www.oscepa.org/meetings/annual-sessions/belgrade-2011" TargetMode="External"/><Relationship Id="rId1" Type="http://schemas.openxmlformats.org/officeDocument/2006/relationships/hyperlink" Target="https://www.oscepa.org/meetings/annual-sessions/belgrade-2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DCA7B9D9-F2B3-49A1-B029-31ABCDAAE3DA}">
  <ds:schemaRefs>
    <ds:schemaRef ds:uri="http://schemas.openxmlformats.org/officeDocument/2006/bibliography"/>
  </ds:schemaRefs>
</ds:datastoreItem>
</file>

<file path=customXml/itemProps2.xml><?xml version="1.0" encoding="utf-8"?>
<ds:datastoreItem xmlns:ds="http://schemas.openxmlformats.org/officeDocument/2006/customXml" ds:itemID="{9A0388CA-5342-4648-B489-5C565506E67C}"/>
</file>

<file path=customXml/itemProps3.xml><?xml version="1.0" encoding="utf-8"?>
<ds:datastoreItem xmlns:ds="http://schemas.openxmlformats.org/officeDocument/2006/customXml" ds:itemID="{C5F950DC-259C-4015-9DFA-374A6769AB38}"/>
</file>

<file path=customXml/itemProps4.xml><?xml version="1.0" encoding="utf-8"?>
<ds:datastoreItem xmlns:ds="http://schemas.openxmlformats.org/officeDocument/2006/customXml" ds:itemID="{F418B560-79D6-470B-9EE5-CD58379C5933}"/>
</file>

<file path=docProps/app.xml><?xml version="1.0" encoding="utf-8"?>
<Properties xmlns="http://schemas.openxmlformats.org/officeDocument/2006/extended-properties" xmlns:vt="http://schemas.openxmlformats.org/officeDocument/2006/docPropsVTypes">
  <Template>Normal.dotm</Template>
  <TotalTime>1</TotalTime>
  <Pages>11</Pages>
  <Words>1431</Words>
  <Characters>8162</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OSCE</Company>
  <LinksUpToDate>false</LinksUpToDate>
  <CharactersWithSpaces>9574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ODIHR Contact Point for Roma and Sinti Issues</dc:title>
  <dc:creator>Cristi Mihalache</dc:creator>
  <cp:lastModifiedBy>Federica Morvay</cp:lastModifiedBy>
  <cp:revision>2</cp:revision>
  <dcterms:created xsi:type="dcterms:W3CDTF">2018-04-23T16:30:00Z</dcterms:created>
  <dcterms:modified xsi:type="dcterms:W3CDTF">2018-04-23T16:30:00Z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