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14:paraId="3BE08803" w14:textId="77777777" w:rsidTr="00562621">
        <w:trPr>
          <w:trHeight w:val="851"/>
        </w:trPr>
        <w:tc>
          <w:tcPr>
            <w:tcW w:w="1259" w:type="dxa"/>
            <w:tcBorders>
              <w:top w:val="nil"/>
              <w:left w:val="nil"/>
              <w:bottom w:val="single" w:sz="4" w:space="0" w:color="auto"/>
              <w:right w:val="nil"/>
            </w:tcBorders>
          </w:tcPr>
          <w:p w14:paraId="4A9867EF" w14:textId="77777777" w:rsidR="00446DE4" w:rsidRPr="00E806EE" w:rsidRDefault="00446DE4" w:rsidP="00562621">
            <w:pPr>
              <w:tabs>
                <w:tab w:val="right" w:pos="850"/>
                <w:tab w:val="left" w:pos="1134"/>
                <w:tab w:val="right" w:leader="dot" w:pos="8504"/>
              </w:tabs>
              <w:spacing w:before="360" w:after="240"/>
            </w:pPr>
          </w:p>
        </w:tc>
        <w:tc>
          <w:tcPr>
            <w:tcW w:w="2236" w:type="dxa"/>
            <w:tcBorders>
              <w:top w:val="nil"/>
              <w:left w:val="nil"/>
              <w:bottom w:val="single" w:sz="4" w:space="0" w:color="auto"/>
              <w:right w:val="nil"/>
            </w:tcBorders>
            <w:vAlign w:val="bottom"/>
          </w:tcPr>
          <w:p w14:paraId="53D81ECE" w14:textId="77777777" w:rsidR="00446DE4" w:rsidRPr="00963CBA" w:rsidRDefault="00446DE4" w:rsidP="00562621">
            <w:pPr>
              <w:spacing w:after="80" w:line="300" w:lineRule="exact"/>
              <w:rPr>
                <w:sz w:val="28"/>
                <w:szCs w:val="28"/>
              </w:rPr>
            </w:pPr>
          </w:p>
        </w:tc>
        <w:tc>
          <w:tcPr>
            <w:tcW w:w="6144" w:type="dxa"/>
            <w:gridSpan w:val="2"/>
            <w:tcBorders>
              <w:top w:val="nil"/>
              <w:left w:val="nil"/>
              <w:bottom w:val="single" w:sz="4" w:space="0" w:color="auto"/>
              <w:right w:val="nil"/>
            </w:tcBorders>
            <w:vAlign w:val="bottom"/>
          </w:tcPr>
          <w:p w14:paraId="25229CA7" w14:textId="77777777" w:rsidR="00446DE4" w:rsidRPr="00DE3EC0" w:rsidRDefault="005C12FB" w:rsidP="005C12FB">
            <w:pPr>
              <w:jc w:val="right"/>
            </w:pPr>
            <w:r w:rsidRPr="005C12FB">
              <w:rPr>
                <w:sz w:val="40"/>
              </w:rPr>
              <w:t>A</w:t>
            </w:r>
            <w:r>
              <w:t>/HRC/38/44</w:t>
            </w:r>
          </w:p>
        </w:tc>
      </w:tr>
      <w:tr w:rsidR="003107FA" w14:paraId="0A0B4AB0" w14:textId="77777777" w:rsidTr="00562621">
        <w:trPr>
          <w:trHeight w:val="2835"/>
        </w:trPr>
        <w:tc>
          <w:tcPr>
            <w:tcW w:w="1259" w:type="dxa"/>
            <w:tcBorders>
              <w:top w:val="single" w:sz="4" w:space="0" w:color="auto"/>
              <w:left w:val="nil"/>
              <w:bottom w:val="single" w:sz="12" w:space="0" w:color="auto"/>
              <w:right w:val="nil"/>
            </w:tcBorders>
          </w:tcPr>
          <w:p w14:paraId="2FCEB0A9" w14:textId="77777777" w:rsidR="003107FA" w:rsidRDefault="003107FA" w:rsidP="00562621">
            <w:pPr>
              <w:spacing w:before="120"/>
              <w:jc w:val="center"/>
            </w:pPr>
          </w:p>
        </w:tc>
        <w:tc>
          <w:tcPr>
            <w:tcW w:w="5450" w:type="dxa"/>
            <w:gridSpan w:val="2"/>
            <w:tcBorders>
              <w:top w:val="single" w:sz="4" w:space="0" w:color="auto"/>
              <w:left w:val="nil"/>
              <w:bottom w:val="single" w:sz="12" w:space="0" w:color="auto"/>
              <w:right w:val="nil"/>
            </w:tcBorders>
          </w:tcPr>
          <w:p w14:paraId="275C0782" w14:textId="77777777" w:rsidR="003107FA" w:rsidRPr="00B3317B" w:rsidRDefault="005A0217" w:rsidP="00562621">
            <w:pPr>
              <w:spacing w:before="120" w:line="420" w:lineRule="exact"/>
              <w:rPr>
                <w:b/>
                <w:sz w:val="40"/>
                <w:szCs w:val="40"/>
              </w:rPr>
            </w:pPr>
            <w:r>
              <w:rPr>
                <w:b/>
                <w:sz w:val="40"/>
                <w:szCs w:val="40"/>
              </w:rPr>
              <w:t>Advance Unedited Version</w:t>
            </w:r>
          </w:p>
        </w:tc>
        <w:tc>
          <w:tcPr>
            <w:tcW w:w="2930" w:type="dxa"/>
            <w:tcBorders>
              <w:top w:val="single" w:sz="4" w:space="0" w:color="auto"/>
              <w:left w:val="nil"/>
              <w:bottom w:val="single" w:sz="12" w:space="0" w:color="auto"/>
              <w:right w:val="nil"/>
            </w:tcBorders>
          </w:tcPr>
          <w:p w14:paraId="1098BDFA" w14:textId="77777777" w:rsidR="003107FA" w:rsidRDefault="005C12FB" w:rsidP="005C12FB">
            <w:pPr>
              <w:spacing w:before="240" w:line="240" w:lineRule="exact"/>
            </w:pPr>
            <w:r>
              <w:t>Distr.: General</w:t>
            </w:r>
          </w:p>
          <w:p w14:paraId="4EBCD8B1" w14:textId="77777777" w:rsidR="005C12FB" w:rsidRDefault="005146D9" w:rsidP="005C12FB">
            <w:pPr>
              <w:spacing w:line="240" w:lineRule="exact"/>
            </w:pPr>
            <w:r>
              <w:t>5 June</w:t>
            </w:r>
            <w:r w:rsidR="005C12FB">
              <w:t xml:space="preserve"> 2018</w:t>
            </w:r>
          </w:p>
          <w:p w14:paraId="3DD1D2F8" w14:textId="77777777" w:rsidR="005C12FB" w:rsidRDefault="005C12FB" w:rsidP="005C12FB">
            <w:pPr>
              <w:spacing w:line="240" w:lineRule="exact"/>
            </w:pPr>
          </w:p>
          <w:p w14:paraId="359757AD" w14:textId="77777777" w:rsidR="005C12FB" w:rsidRDefault="005C12FB" w:rsidP="005C12FB">
            <w:pPr>
              <w:spacing w:line="240" w:lineRule="exact"/>
            </w:pPr>
            <w:r>
              <w:t>Original: English</w:t>
            </w:r>
          </w:p>
        </w:tc>
      </w:tr>
    </w:tbl>
    <w:p w14:paraId="6E3CF64F" w14:textId="77777777" w:rsidR="002768D1" w:rsidRPr="00083B11" w:rsidRDefault="002768D1" w:rsidP="002768D1">
      <w:pPr>
        <w:spacing w:before="120"/>
        <w:ind w:right="1134"/>
        <w:rPr>
          <w:b/>
          <w:sz w:val="24"/>
          <w:szCs w:val="24"/>
        </w:rPr>
      </w:pPr>
      <w:r w:rsidRPr="00083B11">
        <w:rPr>
          <w:b/>
          <w:sz w:val="24"/>
          <w:szCs w:val="24"/>
        </w:rPr>
        <w:t>Human Rights Council</w:t>
      </w:r>
    </w:p>
    <w:p w14:paraId="33C233A1" w14:textId="77777777" w:rsidR="002768D1" w:rsidRPr="00083B11" w:rsidRDefault="00351EFD" w:rsidP="002768D1">
      <w:pPr>
        <w:ind w:right="1134"/>
        <w:outlineLvl w:val="0"/>
        <w:rPr>
          <w:b/>
        </w:rPr>
      </w:pPr>
      <w:r>
        <w:rPr>
          <w:b/>
        </w:rPr>
        <w:t>Thirty-eighth</w:t>
      </w:r>
      <w:r w:rsidR="002768D1" w:rsidRPr="00083B11">
        <w:rPr>
          <w:b/>
        </w:rPr>
        <w:t xml:space="preserve"> session</w:t>
      </w:r>
    </w:p>
    <w:p w14:paraId="3C4375F0" w14:textId="77777777" w:rsidR="002768D1" w:rsidRPr="00083B11" w:rsidRDefault="002768D1" w:rsidP="002768D1">
      <w:pPr>
        <w:ind w:right="1134"/>
        <w:outlineLvl w:val="0"/>
      </w:pPr>
      <w:r w:rsidRPr="00083B11">
        <w:t>18 June</w:t>
      </w:r>
      <w:r w:rsidR="005146D9">
        <w:t>–</w:t>
      </w:r>
      <w:r w:rsidRPr="00083B11">
        <w:t xml:space="preserve"> 6 July 2018</w:t>
      </w:r>
    </w:p>
    <w:p w14:paraId="031058D9" w14:textId="77777777" w:rsidR="002768D1" w:rsidRPr="00083B11" w:rsidRDefault="002768D1" w:rsidP="002768D1">
      <w:pPr>
        <w:ind w:right="1134"/>
      </w:pPr>
      <w:r w:rsidRPr="00083B11">
        <w:t>Agenda item 3</w:t>
      </w:r>
    </w:p>
    <w:p w14:paraId="252D3C73" w14:textId="77777777" w:rsidR="002768D1" w:rsidRPr="00083B11" w:rsidRDefault="002768D1" w:rsidP="002768D1">
      <w:pPr>
        <w:ind w:right="1134"/>
        <w:rPr>
          <w:b/>
        </w:rPr>
      </w:pPr>
      <w:r w:rsidRPr="00083B11">
        <w:rPr>
          <w:b/>
        </w:rPr>
        <w:t xml:space="preserve">Promotion and protection of all human rights, civil, </w:t>
      </w:r>
      <w:r w:rsidRPr="00083B11">
        <w:rPr>
          <w:b/>
        </w:rPr>
        <w:br/>
        <w:t xml:space="preserve">political, economic, social and cultural rights, </w:t>
      </w:r>
      <w:r w:rsidRPr="00083B11">
        <w:rPr>
          <w:b/>
        </w:rPr>
        <w:br/>
        <w:t>including the right to development</w:t>
      </w:r>
    </w:p>
    <w:p w14:paraId="5374C36C" w14:textId="77777777" w:rsidR="002768D1" w:rsidRDefault="002768D1" w:rsidP="002768D1">
      <w:pPr>
        <w:pStyle w:val="HChG"/>
      </w:pPr>
      <w:bookmarkStart w:id="0" w:name="OLE_LINK3"/>
      <w:bookmarkStart w:id="1" w:name="OLE_LINK4"/>
      <w:bookmarkStart w:id="2" w:name="_Toc484184251"/>
      <w:r>
        <w:lastRenderedPageBreak/>
        <w:tab/>
      </w:r>
      <w:r>
        <w:tab/>
      </w:r>
      <w:r w:rsidRPr="00083B11">
        <w:t>Report of the Special Rapporteur on extrajudicial, summary or arbitrary executions on armed non-State actors: the protection of the right to life</w:t>
      </w:r>
      <w:r w:rsidRPr="005146D9">
        <w:rPr>
          <w:rStyle w:val="FootnoteReference"/>
          <w:b w:val="0"/>
          <w:sz w:val="20"/>
          <w:vertAlign w:val="baseline"/>
        </w:rPr>
        <w:footnoteReference w:customMarkFollows="1" w:id="2"/>
        <w:t>*</w:t>
      </w:r>
      <w:r w:rsidRPr="00083B11">
        <w:t xml:space="preserve"> </w:t>
      </w:r>
      <w:bookmarkEnd w:id="0"/>
      <w:bookmarkEnd w:id="1"/>
      <w:bookmarkEnd w:id="2"/>
    </w:p>
    <w:p w14:paraId="4179E731" w14:textId="77777777" w:rsidR="002768D1" w:rsidRDefault="002768D1" w:rsidP="002768D1">
      <w:pPr>
        <w:pStyle w:val="H1G"/>
      </w:pPr>
      <w:bookmarkStart w:id="3" w:name="_Toc484184252"/>
      <w:r>
        <w:tab/>
      </w:r>
      <w:r>
        <w:tab/>
      </w:r>
      <w:r w:rsidRPr="00083B11">
        <w:t>Note by the Secretariat</w:t>
      </w:r>
      <w:bookmarkEnd w:id="3"/>
    </w:p>
    <w:p w14:paraId="7CA71E49" w14:textId="77777777" w:rsidR="002768D1" w:rsidRPr="00083B11" w:rsidRDefault="002768D1" w:rsidP="002768D1">
      <w:pPr>
        <w:pStyle w:val="SingleTxtG"/>
        <w:ind w:firstLine="567"/>
      </w:pPr>
      <w:r w:rsidRPr="00083B11">
        <w:t>The Secretariat has the honour to transmit to the Human Rights Council the report of the Special Rapporteur on extrajudicial, summary or arbitrary executions, Agnes Callamard, submitted pursuant to Council resolution 35/15</w:t>
      </w:r>
      <w:r w:rsidR="001E0248">
        <w:t xml:space="preserve">. </w:t>
      </w:r>
      <w:r w:rsidR="001E0248" w:rsidRPr="00BC017D">
        <w:t xml:space="preserve">The report focuses on the role of armed non-State actors (ANSAs) vis-à-vis the right to life and argues that ANSAs are bound by human rights obligations. </w:t>
      </w:r>
      <w:r w:rsidR="001E0248" w:rsidRPr="00BC017D">
        <w:rPr>
          <w:rFonts w:eastAsia="SimSun"/>
          <w:lang w:eastAsia="zh-CN"/>
        </w:rPr>
        <w:t xml:space="preserve">The report </w:t>
      </w:r>
      <w:r w:rsidR="000B4912">
        <w:rPr>
          <w:rFonts w:eastAsia="SimSun"/>
          <w:lang w:eastAsia="zh-CN"/>
        </w:rPr>
        <w:t>first highlights the gap</w:t>
      </w:r>
      <w:r w:rsidR="002C686B">
        <w:rPr>
          <w:rFonts w:eastAsia="SimSun"/>
          <w:lang w:eastAsia="zh-CN"/>
        </w:rPr>
        <w:t xml:space="preserve"> between, on one hand</w:t>
      </w:r>
      <w:r w:rsidR="006D5831">
        <w:rPr>
          <w:rFonts w:eastAsia="SimSun"/>
          <w:lang w:eastAsia="zh-CN"/>
        </w:rPr>
        <w:t>,</w:t>
      </w:r>
      <w:r w:rsidR="002C686B">
        <w:rPr>
          <w:rFonts w:eastAsia="SimSun"/>
          <w:lang w:eastAsia="zh-CN"/>
        </w:rPr>
        <w:t xml:space="preserve"> </w:t>
      </w:r>
      <w:r w:rsidR="006D5831">
        <w:t xml:space="preserve">United Nations </w:t>
      </w:r>
      <w:r w:rsidR="00B01394">
        <w:t xml:space="preserve">decision-making bodies </w:t>
      </w:r>
      <w:r w:rsidR="006D5831">
        <w:t>addressing ANSAs</w:t>
      </w:r>
      <w:r w:rsidR="001E0248" w:rsidRPr="00BC017D">
        <w:t xml:space="preserve"> as human rights perpetrators and duty-bearers</w:t>
      </w:r>
      <w:r w:rsidR="006D5831">
        <w:t>, and on the other</w:t>
      </w:r>
      <w:r w:rsidR="000B4912">
        <w:t xml:space="preserve"> hand,</w:t>
      </w:r>
      <w:r w:rsidR="001E0248" w:rsidRPr="00BC017D">
        <w:t xml:space="preserve"> </w:t>
      </w:r>
      <w:r w:rsidR="000B4912">
        <w:t xml:space="preserve">the </w:t>
      </w:r>
      <w:r w:rsidR="001E0248" w:rsidRPr="00BC017D">
        <w:t xml:space="preserve">large protection and accountability </w:t>
      </w:r>
      <w:r w:rsidR="000B4912">
        <w:t xml:space="preserve">deficits </w:t>
      </w:r>
      <w:r w:rsidR="00325E39">
        <w:t xml:space="preserve">for people affected by ANSAs. </w:t>
      </w:r>
      <w:r w:rsidR="001E0248" w:rsidRPr="00BC017D">
        <w:t xml:space="preserve">The Special Rapporteur argues that </w:t>
      </w:r>
      <w:r w:rsidR="000B4912" w:rsidRPr="00BC017D">
        <w:lastRenderedPageBreak/>
        <w:t>international human rights law (IHRL)</w:t>
      </w:r>
      <w:r w:rsidR="000B4912">
        <w:t xml:space="preserve"> </w:t>
      </w:r>
      <w:r w:rsidR="00405C07">
        <w:t>well complement</w:t>
      </w:r>
      <w:r w:rsidR="00A32997">
        <w:t>s</w:t>
      </w:r>
      <w:r w:rsidR="00405C07">
        <w:t xml:space="preserve"> the existing international legal regime to hold ANSAs to account. </w:t>
      </w:r>
      <w:r w:rsidR="00325E39">
        <w:t xml:space="preserve">She shows that </w:t>
      </w:r>
      <w:r w:rsidR="001E0248" w:rsidRPr="00BC017D">
        <w:t>t</w:t>
      </w:r>
      <w:r w:rsidR="001E0248">
        <w:t>he State’s central role under I</w:t>
      </w:r>
      <w:r w:rsidR="001E0248" w:rsidRPr="00BC017D">
        <w:t>HRL does not exclude other actors and that the sources of ANSAs human rights obligations and legal personality may be traced to treaty and customary law. She then proposes a framework to hold ANSAs accountable under IHRL: the extent of ANSAs human rights obligations should be context-dependent, ANSA-specific and gradated, determined through a review of the nature of ANSAs control, capacity and governance.</w:t>
      </w:r>
    </w:p>
    <w:p w14:paraId="3241CE68" w14:textId="77777777" w:rsidR="002768D1" w:rsidRDefault="002768D1" w:rsidP="002768D1">
      <w:pPr>
        <w:pStyle w:val="HChG"/>
        <w:ind w:firstLine="0"/>
      </w:pPr>
      <w:r>
        <w:br w:type="page"/>
      </w:r>
      <w:bookmarkStart w:id="4" w:name="_Toc484184253"/>
      <w:r w:rsidRPr="00083B11">
        <w:lastRenderedPageBreak/>
        <w:t xml:space="preserve">Report of the Special Rapporteur on extrajudicial, summary or arbitrary executions on </w:t>
      </w:r>
      <w:bookmarkEnd w:id="4"/>
      <w:r w:rsidRPr="00083B11">
        <w:t>non-State actors</w:t>
      </w:r>
    </w:p>
    <w:p w14:paraId="2198373C" w14:textId="77777777" w:rsidR="002768D1" w:rsidRDefault="002768D1" w:rsidP="003B1856">
      <w:pPr>
        <w:spacing w:after="120"/>
        <w:rPr>
          <w:sz w:val="28"/>
        </w:rPr>
      </w:pPr>
      <w:r>
        <w:rPr>
          <w:sz w:val="28"/>
        </w:rPr>
        <w:t>Contents</w:t>
      </w:r>
    </w:p>
    <w:p w14:paraId="678BCF43" w14:textId="77777777" w:rsidR="002768D1" w:rsidRDefault="002768D1" w:rsidP="003B1856">
      <w:pPr>
        <w:tabs>
          <w:tab w:val="right" w:pos="9638"/>
        </w:tabs>
        <w:spacing w:after="120"/>
        <w:ind w:left="283"/>
        <w:rPr>
          <w:sz w:val="18"/>
        </w:rPr>
      </w:pPr>
      <w:r>
        <w:rPr>
          <w:i/>
          <w:sz w:val="18"/>
        </w:rPr>
        <w:tab/>
        <w:t>Page</w:t>
      </w:r>
    </w:p>
    <w:p w14:paraId="799B2EB4" w14:textId="77777777" w:rsidR="00DC47C9" w:rsidRPr="00083B11" w:rsidRDefault="00DC47C9" w:rsidP="00DC47C9">
      <w:pPr>
        <w:tabs>
          <w:tab w:val="right" w:pos="850"/>
          <w:tab w:val="left" w:pos="1134"/>
          <w:tab w:val="left" w:pos="1559"/>
          <w:tab w:val="left" w:pos="1984"/>
          <w:tab w:val="left" w:leader="dot" w:pos="8787"/>
          <w:tab w:val="right" w:pos="9638"/>
        </w:tabs>
        <w:spacing w:after="120"/>
        <w:ind w:right="1134"/>
      </w:pPr>
      <w:r>
        <w:tab/>
        <w:t>I.</w:t>
      </w:r>
      <w:r>
        <w:tab/>
        <w:t>Introduction</w:t>
      </w:r>
      <w:r>
        <w:tab/>
      </w:r>
      <w:r>
        <w:tab/>
        <w:t>3</w:t>
      </w:r>
    </w:p>
    <w:p w14:paraId="515BA8C6" w14:textId="77777777" w:rsidR="00DC47C9" w:rsidRPr="00083B11" w:rsidRDefault="00DC47C9" w:rsidP="00DC47C9">
      <w:pPr>
        <w:tabs>
          <w:tab w:val="right" w:pos="850"/>
          <w:tab w:val="left" w:pos="1134"/>
          <w:tab w:val="left" w:pos="1559"/>
          <w:tab w:val="left" w:pos="1984"/>
          <w:tab w:val="left" w:leader="dot" w:pos="8787"/>
          <w:tab w:val="right" w:pos="9638"/>
        </w:tabs>
        <w:spacing w:after="120"/>
        <w:ind w:right="1134"/>
      </w:pPr>
      <w:r w:rsidRPr="00083B11">
        <w:tab/>
        <w:t>II.</w:t>
      </w:r>
      <w:r w:rsidRPr="00083B11">
        <w:tab/>
        <w:t>Activit</w:t>
      </w:r>
      <w:r>
        <w:t>ies of the Special Rapporteur</w:t>
      </w:r>
      <w:r>
        <w:tab/>
      </w:r>
      <w:r>
        <w:tab/>
        <w:t>3</w:t>
      </w:r>
    </w:p>
    <w:p w14:paraId="446697A9" w14:textId="77777777" w:rsidR="00DC47C9" w:rsidRPr="00083B11" w:rsidRDefault="00DC47C9" w:rsidP="00DC47C9">
      <w:pPr>
        <w:tabs>
          <w:tab w:val="right" w:pos="850"/>
          <w:tab w:val="left" w:pos="1134"/>
          <w:tab w:val="left" w:pos="1559"/>
          <w:tab w:val="left" w:pos="1984"/>
          <w:tab w:val="left" w:leader="dot" w:pos="8787"/>
          <w:tab w:val="right" w:pos="9638"/>
        </w:tabs>
        <w:spacing w:after="120"/>
        <w:ind w:right="1134"/>
      </w:pPr>
      <w:r w:rsidRPr="00083B11">
        <w:tab/>
        <w:t>III.</w:t>
      </w:r>
      <w:r w:rsidRPr="00083B11">
        <w:tab/>
        <w:t>Armed non-State actors: The pr</w:t>
      </w:r>
      <w:r>
        <w:t>otection of the right to life</w:t>
      </w:r>
      <w:r>
        <w:tab/>
      </w:r>
      <w:r>
        <w:tab/>
        <w:t>3</w:t>
      </w:r>
    </w:p>
    <w:p w14:paraId="2ED4FF2B" w14:textId="77777777" w:rsidR="00DC47C9" w:rsidRPr="00083B11" w:rsidRDefault="00DC47C9" w:rsidP="00DC47C9">
      <w:pPr>
        <w:tabs>
          <w:tab w:val="right" w:pos="850"/>
          <w:tab w:val="left" w:pos="1134"/>
          <w:tab w:val="left" w:pos="1559"/>
          <w:tab w:val="left" w:pos="1984"/>
          <w:tab w:val="left" w:leader="dot" w:pos="8787"/>
          <w:tab w:val="right" w:pos="9638"/>
        </w:tabs>
        <w:spacing w:after="120"/>
        <w:ind w:right="1134"/>
      </w:pPr>
      <w:r w:rsidRPr="00083B11">
        <w:tab/>
      </w:r>
      <w:r w:rsidRPr="00083B11">
        <w:tab/>
        <w:t>A.</w:t>
      </w:r>
      <w:r w:rsidRPr="00083B11">
        <w:tab/>
      </w:r>
      <w:r>
        <w:t>International developments</w:t>
      </w:r>
      <w:r>
        <w:tab/>
      </w:r>
      <w:r>
        <w:tab/>
        <w:t>4</w:t>
      </w:r>
    </w:p>
    <w:p w14:paraId="3C4DE71E" w14:textId="77777777" w:rsidR="00DC47C9" w:rsidRPr="00083B11" w:rsidRDefault="00DC47C9" w:rsidP="00DC47C9">
      <w:pPr>
        <w:tabs>
          <w:tab w:val="right" w:pos="850"/>
          <w:tab w:val="left" w:pos="1134"/>
          <w:tab w:val="left" w:pos="1559"/>
          <w:tab w:val="left" w:pos="1984"/>
          <w:tab w:val="left" w:leader="dot" w:pos="8787"/>
          <w:tab w:val="right" w:pos="9638"/>
        </w:tabs>
        <w:spacing w:after="120"/>
        <w:ind w:right="1134"/>
      </w:pPr>
      <w:r w:rsidRPr="00083B11">
        <w:tab/>
      </w:r>
      <w:r w:rsidRPr="00083B11">
        <w:tab/>
        <w:t>B.</w:t>
      </w:r>
      <w:r w:rsidRPr="00083B11">
        <w:tab/>
      </w:r>
      <w:r w:rsidRPr="00281C29">
        <w:t>Existing Limitations and Deficits</w:t>
      </w:r>
      <w:r>
        <w:tab/>
      </w:r>
      <w:r>
        <w:tab/>
        <w:t>6</w:t>
      </w:r>
    </w:p>
    <w:p w14:paraId="13A84337" w14:textId="77777777" w:rsidR="00DC47C9" w:rsidRPr="00083B11" w:rsidRDefault="00DC47C9" w:rsidP="00DC47C9">
      <w:pPr>
        <w:tabs>
          <w:tab w:val="right" w:pos="850"/>
          <w:tab w:val="left" w:pos="1134"/>
          <w:tab w:val="left" w:pos="1559"/>
          <w:tab w:val="left" w:pos="1984"/>
          <w:tab w:val="left" w:leader="dot" w:pos="8787"/>
          <w:tab w:val="right" w:pos="9638"/>
        </w:tabs>
        <w:spacing w:after="120"/>
        <w:ind w:right="1134"/>
      </w:pPr>
      <w:r w:rsidRPr="00083B11">
        <w:tab/>
      </w:r>
      <w:r w:rsidRPr="00083B11">
        <w:tab/>
        <w:t>C.</w:t>
      </w:r>
      <w:r w:rsidRPr="00083B11">
        <w:tab/>
      </w:r>
      <w:r w:rsidRPr="00281C29">
        <w:t>The international human rights regime and non-State actors</w:t>
      </w:r>
      <w:r>
        <w:tab/>
      </w:r>
      <w:r>
        <w:tab/>
        <w:t>9</w:t>
      </w:r>
    </w:p>
    <w:p w14:paraId="39275C3D" w14:textId="77777777" w:rsidR="00DC47C9" w:rsidRPr="00083B11" w:rsidRDefault="00DC47C9" w:rsidP="00DC47C9">
      <w:pPr>
        <w:tabs>
          <w:tab w:val="right" w:pos="850"/>
          <w:tab w:val="left" w:pos="1134"/>
          <w:tab w:val="left" w:pos="1559"/>
          <w:tab w:val="left" w:pos="1984"/>
          <w:tab w:val="left" w:leader="dot" w:pos="8787"/>
          <w:tab w:val="right" w:pos="9638"/>
        </w:tabs>
        <w:spacing w:after="120"/>
        <w:ind w:right="1134"/>
      </w:pPr>
      <w:r w:rsidRPr="00083B11">
        <w:tab/>
      </w:r>
      <w:r w:rsidRPr="00083B11">
        <w:tab/>
        <w:t>D.</w:t>
      </w:r>
      <w:r w:rsidRPr="00083B11">
        <w:tab/>
      </w:r>
      <w:r w:rsidRPr="00281C29">
        <w:t>Key Implications and Moving Forward</w:t>
      </w:r>
      <w:r>
        <w:tab/>
      </w:r>
      <w:r>
        <w:tab/>
        <w:t>12</w:t>
      </w:r>
    </w:p>
    <w:p w14:paraId="360A6009" w14:textId="77777777" w:rsidR="00DC47C9" w:rsidRPr="00083B11" w:rsidRDefault="00DC47C9" w:rsidP="00DC47C9">
      <w:pPr>
        <w:tabs>
          <w:tab w:val="right" w:pos="850"/>
          <w:tab w:val="left" w:pos="1134"/>
          <w:tab w:val="left" w:pos="1559"/>
          <w:tab w:val="left" w:pos="1984"/>
          <w:tab w:val="left" w:leader="dot" w:pos="8787"/>
          <w:tab w:val="right" w:pos="9638"/>
        </w:tabs>
        <w:spacing w:after="120"/>
        <w:ind w:right="1134"/>
        <w:rPr>
          <w:lang w:val="fr-FR"/>
        </w:rPr>
      </w:pPr>
      <w:r w:rsidRPr="00083B11">
        <w:tab/>
      </w:r>
      <w:r>
        <w:rPr>
          <w:lang w:val="fr-FR"/>
        </w:rPr>
        <w:t>IV.</w:t>
      </w:r>
      <w:r>
        <w:rPr>
          <w:lang w:val="fr-FR"/>
        </w:rPr>
        <w:tab/>
        <w:t>Conclusions</w:t>
      </w:r>
      <w:r>
        <w:rPr>
          <w:lang w:val="fr-FR"/>
        </w:rPr>
        <w:tab/>
      </w:r>
      <w:r>
        <w:rPr>
          <w:lang w:val="fr-FR"/>
        </w:rPr>
        <w:tab/>
        <w:t>19</w:t>
      </w:r>
    </w:p>
    <w:p w14:paraId="471304DF" w14:textId="77777777" w:rsidR="00DC47C9" w:rsidRPr="00281C29" w:rsidRDefault="00DC47C9" w:rsidP="00DC47C9">
      <w:pPr>
        <w:tabs>
          <w:tab w:val="right" w:pos="850"/>
          <w:tab w:val="left" w:pos="1134"/>
          <w:tab w:val="left" w:pos="1559"/>
          <w:tab w:val="left" w:pos="1984"/>
          <w:tab w:val="left" w:leader="dot" w:pos="8787"/>
          <w:tab w:val="right" w:pos="9638"/>
        </w:tabs>
        <w:spacing w:after="120"/>
        <w:ind w:right="1134"/>
        <w:rPr>
          <w:lang w:val="fr-FR"/>
        </w:rPr>
      </w:pPr>
      <w:r w:rsidRPr="00083B11">
        <w:rPr>
          <w:lang w:val="fr-FR"/>
        </w:rPr>
        <w:tab/>
        <w:t>V.</w:t>
      </w:r>
      <w:r w:rsidRPr="00083B11">
        <w:rPr>
          <w:lang w:val="fr-FR"/>
        </w:rPr>
        <w:tab/>
      </w:r>
      <w:r w:rsidRPr="00702CA9">
        <w:rPr>
          <w:lang w:val="fr-FR"/>
        </w:rPr>
        <w:t>Recommendations</w:t>
      </w:r>
      <w:r>
        <w:rPr>
          <w:lang w:val="fr-FR"/>
        </w:rPr>
        <w:tab/>
      </w:r>
      <w:r>
        <w:rPr>
          <w:lang w:val="fr-FR"/>
        </w:rPr>
        <w:tab/>
        <w:t>20</w:t>
      </w:r>
    </w:p>
    <w:p w14:paraId="3FAEC36A" w14:textId="581B4859" w:rsidR="000A167C" w:rsidRDefault="000A167C" w:rsidP="002768D1">
      <w:pPr>
        <w:pStyle w:val="HChG"/>
        <w:ind w:hanging="567"/>
        <w:rPr>
          <w:lang w:val="fr-FR"/>
        </w:rPr>
      </w:pPr>
    </w:p>
    <w:p w14:paraId="4D86E3F5" w14:textId="77777777" w:rsidR="000A167C" w:rsidRPr="000A167C" w:rsidRDefault="000A167C" w:rsidP="000A167C">
      <w:pPr>
        <w:rPr>
          <w:lang w:val="fr-FR"/>
        </w:rPr>
      </w:pPr>
    </w:p>
    <w:p w14:paraId="2B8EBE4D" w14:textId="77777777" w:rsidR="000A167C" w:rsidRPr="000A167C" w:rsidRDefault="000A167C" w:rsidP="000A167C">
      <w:pPr>
        <w:rPr>
          <w:lang w:val="fr-FR"/>
        </w:rPr>
      </w:pPr>
    </w:p>
    <w:p w14:paraId="69440009" w14:textId="77777777" w:rsidR="000A167C" w:rsidRPr="000A167C" w:rsidRDefault="000A167C" w:rsidP="000A167C">
      <w:pPr>
        <w:rPr>
          <w:lang w:val="fr-FR"/>
        </w:rPr>
      </w:pPr>
    </w:p>
    <w:p w14:paraId="661E201C" w14:textId="77777777" w:rsidR="000A167C" w:rsidRPr="000A167C" w:rsidRDefault="000A167C" w:rsidP="000A167C">
      <w:pPr>
        <w:rPr>
          <w:lang w:val="fr-FR"/>
        </w:rPr>
      </w:pPr>
    </w:p>
    <w:p w14:paraId="43BAFBD9" w14:textId="77777777" w:rsidR="000A167C" w:rsidRPr="000A167C" w:rsidRDefault="000A167C" w:rsidP="000A167C">
      <w:pPr>
        <w:rPr>
          <w:lang w:val="fr-FR"/>
        </w:rPr>
      </w:pPr>
    </w:p>
    <w:p w14:paraId="3429D75D" w14:textId="4437EA52" w:rsidR="000A167C" w:rsidRPr="000A167C" w:rsidRDefault="000A167C" w:rsidP="000A167C">
      <w:pPr>
        <w:tabs>
          <w:tab w:val="left" w:pos="1549"/>
        </w:tabs>
        <w:rPr>
          <w:lang w:val="fr-FR"/>
        </w:rPr>
      </w:pPr>
      <w:r>
        <w:rPr>
          <w:lang w:val="fr-FR"/>
        </w:rPr>
        <w:tab/>
      </w:r>
    </w:p>
    <w:p w14:paraId="29B36583" w14:textId="775C8A12" w:rsidR="002768D1" w:rsidRPr="00083B11" w:rsidRDefault="002768D1" w:rsidP="002768D1">
      <w:pPr>
        <w:pStyle w:val="HChG"/>
        <w:ind w:hanging="567"/>
      </w:pPr>
      <w:r w:rsidRPr="000A167C">
        <w:rPr>
          <w:lang w:val="fr-FR"/>
        </w:rPr>
        <w:br w:type="page"/>
      </w:r>
      <w:bookmarkStart w:id="5" w:name="_Toc484184254"/>
      <w:r w:rsidRPr="00351EFD">
        <w:rPr>
          <w:lang w:val="fr-FR"/>
        </w:rPr>
        <w:lastRenderedPageBreak/>
        <w:t>I.</w:t>
      </w:r>
      <w:r w:rsidRPr="00351EFD">
        <w:rPr>
          <w:lang w:val="fr-FR"/>
        </w:rPr>
        <w:tab/>
      </w:r>
      <w:r w:rsidRPr="00351EFD">
        <w:rPr>
          <w:lang w:val="fr-FR"/>
        </w:rPr>
        <w:tab/>
      </w:r>
      <w:r w:rsidRPr="00083B11">
        <w:t>Introduction</w:t>
      </w:r>
    </w:p>
    <w:p w14:paraId="2E8BA2A2" w14:textId="77777777" w:rsidR="002768D1" w:rsidRPr="00083B11" w:rsidRDefault="002768D1" w:rsidP="002768D1">
      <w:pPr>
        <w:pStyle w:val="SingleTxtG"/>
      </w:pPr>
      <w:r w:rsidRPr="00083B11">
        <w:t>1.</w:t>
      </w:r>
      <w:r w:rsidRPr="00083B11">
        <w:tab/>
        <w:t>The present report is submitted to the Human Rights Council in accordance with resolution 35/15.</w:t>
      </w:r>
      <w:r>
        <w:t xml:space="preserve"> </w:t>
      </w:r>
      <w:r w:rsidRPr="00083B11">
        <w:t>To inform</w:t>
      </w:r>
      <w:r>
        <w:t xml:space="preserve"> its contents</w:t>
      </w:r>
      <w:r w:rsidRPr="00083B11">
        <w:t>, the Special Rapporteur issued a call for submissions to States, academia and civil society on the topic of “non-State actors and extrajudicial, summary or arbitrary killings” to wh</w:t>
      </w:r>
      <w:r>
        <w:t>ich she received several replies</w:t>
      </w:r>
      <w:r w:rsidRPr="00083B11">
        <w:t xml:space="preserve">. The call was followed by an expert meeting </w:t>
      </w:r>
      <w:r>
        <w:t xml:space="preserve">held </w:t>
      </w:r>
      <w:r w:rsidRPr="00083B11">
        <w:t xml:space="preserve">on the same topic </w:t>
      </w:r>
      <w:r>
        <w:t>on</w:t>
      </w:r>
      <w:r w:rsidRPr="00083B11">
        <w:t xml:space="preserve"> 15</w:t>
      </w:r>
      <w:r>
        <w:t>-</w:t>
      </w:r>
      <w:r w:rsidRPr="00083B11">
        <w:t xml:space="preserve">16 June 2017 at the University of Essex and a follow-up meeting on 8 November 2017 at the Geneva Academy of International Humanitarian </w:t>
      </w:r>
      <w:r>
        <w:t xml:space="preserve">Law </w:t>
      </w:r>
      <w:r w:rsidRPr="00083B11">
        <w:t>and Human Rights. The Special Rapporteur thanks both institutions for their support as well as those who submitted responses to the call for submissions.</w:t>
      </w:r>
      <w:r w:rsidR="004128EB">
        <w:rPr>
          <w:rStyle w:val="FootnoteReference"/>
        </w:rPr>
        <w:footnoteReference w:id="3"/>
      </w:r>
    </w:p>
    <w:p w14:paraId="3DEAF49F" w14:textId="77777777" w:rsidR="002768D1" w:rsidRPr="00083B11" w:rsidRDefault="002768D1" w:rsidP="002768D1">
      <w:pPr>
        <w:pStyle w:val="HChG"/>
      </w:pPr>
      <w:r w:rsidRPr="00083B11">
        <w:lastRenderedPageBreak/>
        <w:tab/>
        <w:t>II.</w:t>
      </w:r>
      <w:r w:rsidRPr="00083B11">
        <w:tab/>
        <w:t>Activities of the Special Rapporteur</w:t>
      </w:r>
    </w:p>
    <w:p w14:paraId="79B75472" w14:textId="77777777" w:rsidR="002768D1" w:rsidRDefault="002768D1" w:rsidP="00376920">
      <w:pPr>
        <w:pStyle w:val="SingleTxtG"/>
      </w:pPr>
      <w:r>
        <w:t>2</w:t>
      </w:r>
      <w:r w:rsidRPr="00083B11">
        <w:t>.</w:t>
      </w:r>
      <w:r w:rsidRPr="00083B11">
        <w:tab/>
      </w:r>
      <w:r>
        <w:t xml:space="preserve">A full overview of </w:t>
      </w:r>
      <w:r w:rsidRPr="00083B11">
        <w:t>the main activities</w:t>
      </w:r>
      <w:r>
        <w:t xml:space="preserve"> of </w:t>
      </w:r>
      <w:r w:rsidRPr="00083B11">
        <w:t>the Special Rapporteur between March 2017 and February 2018</w:t>
      </w:r>
      <w:r>
        <w:t xml:space="preserve"> can be found in the observations on communications report (A/HRC/38/44/Add.3)</w:t>
      </w:r>
      <w:r w:rsidRPr="00083B11">
        <w:t xml:space="preserve">. Activities undertaken in preparation of her most recent thematic report on the unlawful death of refugees and migrants </w:t>
      </w:r>
      <w:r>
        <w:t>to</w:t>
      </w:r>
      <w:r w:rsidRPr="00083B11">
        <w:t xml:space="preserve"> the General Assembly are included therein (A/72/335). Information on earlier activities can be found in her previous report to the Human Rights Council (A/HRC/35/23).</w:t>
      </w:r>
    </w:p>
    <w:p w14:paraId="092F8DB5" w14:textId="77777777" w:rsidR="002768D1" w:rsidRPr="00083B11" w:rsidRDefault="002768D1" w:rsidP="00376920">
      <w:pPr>
        <w:spacing w:after="120"/>
        <w:ind w:left="1134" w:right="1134"/>
        <w:jc w:val="both"/>
      </w:pPr>
      <w:r w:rsidRPr="00EE5830">
        <w:t>3.</w:t>
      </w:r>
      <w:r w:rsidRPr="00EE5830">
        <w:tab/>
        <w:t xml:space="preserve">The Special Rapporteur conducted official visits to the Republic of Iraq from 14-23 November 2017 (A/HRC/38/44/Add.1), and El Salvador from 25 January to 5 February 2018 (A/HRC/38/44/Add.2), at the invitation of the respective Governments. She sent requests/reminders for official visits to the Governments of </w:t>
      </w:r>
      <w:r w:rsidRPr="00EE5830">
        <w:lastRenderedPageBreak/>
        <w:t>Brazil, Democratic Republic of the Congo (DRC), Kenya, Libya, Nigeria, Pakistan, Syrian Arab Republic, United States of America, Venezuela and Yemen.</w:t>
      </w:r>
      <w:r w:rsidR="004128EB">
        <w:rPr>
          <w:rStyle w:val="FootnoteReference"/>
        </w:rPr>
        <w:footnoteReference w:id="4"/>
      </w:r>
      <w:r w:rsidRPr="00EE5830">
        <w:t xml:space="preserve"> The Special Rapporteur thanks the Government of Mozambique for responding positively to her request for a visit and encourages the Governments of all above-mentioned States to extend an invitation for a visit in the near future.</w:t>
      </w:r>
    </w:p>
    <w:bookmarkEnd w:id="5"/>
    <w:p w14:paraId="005C08A3" w14:textId="77777777" w:rsidR="002768D1" w:rsidRPr="00083B11" w:rsidRDefault="002768D1" w:rsidP="002768D1">
      <w:pPr>
        <w:pStyle w:val="HChG"/>
      </w:pPr>
      <w:r w:rsidRPr="00083B11">
        <w:tab/>
      </w:r>
      <w:bookmarkStart w:id="6" w:name="_Toc484184259"/>
      <w:r w:rsidRPr="00083B11">
        <w:t>III.</w:t>
      </w:r>
      <w:r w:rsidRPr="00083B11">
        <w:tab/>
      </w:r>
      <w:bookmarkEnd w:id="6"/>
      <w:r w:rsidRPr="00083B11">
        <w:t>A</w:t>
      </w:r>
      <w:r w:rsidR="003440A9">
        <w:t>rmed n</w:t>
      </w:r>
      <w:r w:rsidR="007371E4">
        <w:t>on</w:t>
      </w:r>
      <w:r w:rsidR="003440A9">
        <w:t>-s</w:t>
      </w:r>
      <w:r w:rsidR="007371E4">
        <w:t>tate</w:t>
      </w:r>
      <w:r w:rsidR="003440A9">
        <w:t xml:space="preserve"> a</w:t>
      </w:r>
      <w:r w:rsidR="007371E4">
        <w:t>ctors: the</w:t>
      </w:r>
      <w:r w:rsidRPr="00083B11">
        <w:t xml:space="preserve"> </w:t>
      </w:r>
      <w:r w:rsidR="007371E4">
        <w:t>protection of the right to life</w:t>
      </w:r>
    </w:p>
    <w:p w14:paraId="65C40B50" w14:textId="77777777" w:rsidR="002768D1" w:rsidRPr="003440A9" w:rsidRDefault="007371E4" w:rsidP="007371E4">
      <w:pPr>
        <w:pStyle w:val="H1G"/>
        <w:rPr>
          <w:b w:val="0"/>
          <w:i/>
          <w:lang w:val="en-US"/>
        </w:rPr>
      </w:pPr>
      <w:r>
        <w:rPr>
          <w:lang w:val="en-US"/>
        </w:rPr>
        <w:tab/>
      </w:r>
      <w:r w:rsidRPr="003440A9">
        <w:rPr>
          <w:b w:val="0"/>
          <w:lang w:val="en-US"/>
        </w:rPr>
        <w:tab/>
      </w:r>
      <w:r w:rsidR="002768D1" w:rsidRPr="003440A9">
        <w:rPr>
          <w:b w:val="0"/>
          <w:i/>
          <w:lang w:val="en-US"/>
        </w:rPr>
        <w:t>Introduction</w:t>
      </w:r>
    </w:p>
    <w:p w14:paraId="2CF2DB73" w14:textId="77777777" w:rsidR="002768D1" w:rsidRDefault="002768D1" w:rsidP="00376920">
      <w:pPr>
        <w:spacing w:after="120"/>
        <w:ind w:left="1134" w:right="1134"/>
        <w:jc w:val="both"/>
        <w:rPr>
          <w:lang w:val="en-US"/>
        </w:rPr>
      </w:pPr>
      <w:r>
        <w:rPr>
          <w:lang w:val="en-US"/>
        </w:rPr>
        <w:t>4.</w:t>
      </w:r>
      <w:r>
        <w:rPr>
          <w:lang w:val="en-US"/>
        </w:rPr>
        <w:tab/>
      </w:r>
      <w:r w:rsidRPr="00083B11">
        <w:rPr>
          <w:lang w:val="en-US"/>
        </w:rPr>
        <w:t>Armed non-State Actors (ANSAs)</w:t>
      </w:r>
      <w:r w:rsidR="004128EB">
        <w:rPr>
          <w:rStyle w:val="FootnoteReference"/>
          <w:lang w:val="en-US"/>
        </w:rPr>
        <w:footnoteReference w:id="5"/>
      </w:r>
      <w:r w:rsidRPr="00083B11">
        <w:rPr>
          <w:lang w:val="en-US"/>
        </w:rPr>
        <w:t xml:space="preserve"> have become a </w:t>
      </w:r>
      <w:r w:rsidRPr="00083B11">
        <w:rPr>
          <w:lang w:val="en-US"/>
        </w:rPr>
        <w:lastRenderedPageBreak/>
        <w:t>pervasive challe</w:t>
      </w:r>
      <w:r>
        <w:rPr>
          <w:lang w:val="en-US"/>
        </w:rPr>
        <w:t>nge to human rights protection.</w:t>
      </w:r>
      <w:r w:rsidRPr="00083B11">
        <w:rPr>
          <w:lang w:val="en-US"/>
        </w:rPr>
        <w:t xml:space="preserve"> They may be called </w:t>
      </w:r>
      <w:r>
        <w:rPr>
          <w:lang w:val="en-US"/>
        </w:rPr>
        <w:t xml:space="preserve">armed opposition groups, </w:t>
      </w:r>
      <w:r w:rsidRPr="00083B11">
        <w:rPr>
          <w:lang w:val="en-US"/>
        </w:rPr>
        <w:t>insurgents, rebels, terrorists, militia</w:t>
      </w:r>
      <w:r>
        <w:rPr>
          <w:lang w:val="en-US"/>
        </w:rPr>
        <w:t xml:space="preserve">s, criminal cartels, or gangs. </w:t>
      </w:r>
      <w:r w:rsidRPr="00083B11">
        <w:rPr>
          <w:lang w:val="en-US"/>
        </w:rPr>
        <w:t>They may hold or have held a sizable territory or a smaller one or none at all. Some may launch</w:t>
      </w:r>
      <w:r>
        <w:rPr>
          <w:lang w:val="en-US"/>
        </w:rPr>
        <w:t xml:space="preserve"> </w:t>
      </w:r>
      <w:r w:rsidRPr="00083B11">
        <w:rPr>
          <w:lang w:val="en-US"/>
        </w:rPr>
        <w:t>deadly operations extra-territorially, including in Europe, Asi</w:t>
      </w:r>
      <w:r>
        <w:rPr>
          <w:lang w:val="en-US"/>
        </w:rPr>
        <w:t xml:space="preserve">a, Africa and the Middle East. </w:t>
      </w:r>
      <w:r w:rsidRPr="00083B11">
        <w:rPr>
          <w:lang w:val="en-US"/>
        </w:rPr>
        <w:t xml:space="preserve">Some operate in the context of international </w:t>
      </w:r>
      <w:r>
        <w:rPr>
          <w:lang w:val="en-US"/>
        </w:rPr>
        <w:t xml:space="preserve">or </w:t>
      </w:r>
      <w:r w:rsidRPr="00083B11">
        <w:rPr>
          <w:lang w:val="en-US"/>
        </w:rPr>
        <w:t>non-international armed conflicts</w:t>
      </w:r>
      <w:r>
        <w:rPr>
          <w:lang w:val="en-US"/>
        </w:rPr>
        <w:t xml:space="preserve"> (NIAC). </w:t>
      </w:r>
      <w:r w:rsidRPr="00083B11">
        <w:rPr>
          <w:lang w:val="en-US"/>
        </w:rPr>
        <w:t>Others operat</w:t>
      </w:r>
      <w:r>
        <w:rPr>
          <w:lang w:val="en-US"/>
        </w:rPr>
        <w:t>e</w:t>
      </w:r>
      <w:r w:rsidRPr="00083B11">
        <w:rPr>
          <w:lang w:val="en-US"/>
        </w:rPr>
        <w:t xml:space="preserve"> in the shadowy intersection of peace and war, sometimes referred to as low intensity or unconventional violence</w:t>
      </w:r>
      <w:r w:rsidR="004128EB">
        <w:rPr>
          <w:rStyle w:val="FootnoteReference"/>
          <w:lang w:val="en-US"/>
        </w:rPr>
        <w:footnoteReference w:id="6"/>
      </w:r>
      <w:r w:rsidRPr="00083B11">
        <w:rPr>
          <w:lang w:val="en-US"/>
        </w:rPr>
        <w:t xml:space="preserve">. Some are driven by </w:t>
      </w:r>
      <w:r w:rsidRPr="00083B11">
        <w:rPr>
          <w:lang w:val="en-US"/>
        </w:rPr>
        <w:lastRenderedPageBreak/>
        <w:t>ideology</w:t>
      </w:r>
      <w:r>
        <w:rPr>
          <w:lang w:val="en-US"/>
        </w:rPr>
        <w:t xml:space="preserve"> or </w:t>
      </w:r>
      <w:r w:rsidRPr="00083B11">
        <w:rPr>
          <w:lang w:val="en-US"/>
        </w:rPr>
        <w:t xml:space="preserve">profit, many by a mixture of </w:t>
      </w:r>
      <w:r>
        <w:rPr>
          <w:lang w:val="en-US"/>
        </w:rPr>
        <w:t>both</w:t>
      </w:r>
      <w:r w:rsidRPr="00083B11">
        <w:rPr>
          <w:lang w:val="en-US"/>
        </w:rPr>
        <w:t>. The vast majority engage in a range of governance-like functions, ranging f</w:t>
      </w:r>
      <w:r>
        <w:rPr>
          <w:lang w:val="en-US"/>
        </w:rPr>
        <w:t>rom registering birth</w:t>
      </w:r>
      <w:r w:rsidRPr="00083B11">
        <w:rPr>
          <w:lang w:val="en-US"/>
        </w:rPr>
        <w:t xml:space="preserve"> and running clinics and schools to collecting taxes, developing rules and policies, and operating dispute-resolution mechanisms or their own prisons. Some have political or state-like ambitions. All use violence as part of their modus operandi. </w:t>
      </w:r>
    </w:p>
    <w:p w14:paraId="7BD99567" w14:textId="77777777" w:rsidR="002768D1" w:rsidRDefault="007371E4" w:rsidP="00376920">
      <w:pPr>
        <w:spacing w:after="120"/>
        <w:ind w:left="1134" w:right="1134"/>
        <w:jc w:val="both"/>
        <w:rPr>
          <w:lang w:val="en-US"/>
        </w:rPr>
      </w:pPr>
      <w:r>
        <w:rPr>
          <w:lang w:val="en-US"/>
        </w:rPr>
        <w:t>5</w:t>
      </w:r>
      <w:r w:rsidR="002768D1">
        <w:rPr>
          <w:lang w:val="en-US"/>
        </w:rPr>
        <w:t>.</w:t>
      </w:r>
      <w:r w:rsidR="002768D1">
        <w:rPr>
          <w:lang w:val="en-US"/>
        </w:rPr>
        <w:tab/>
      </w:r>
      <w:r w:rsidR="002768D1" w:rsidRPr="00083B11">
        <w:rPr>
          <w:lang w:val="en-US"/>
        </w:rPr>
        <w:t>Like killings by States, killings by ANSAs may be driven by “anti-civilian ideologies,</w:t>
      </w:r>
      <w:r w:rsidR="004128EB">
        <w:rPr>
          <w:rStyle w:val="FootnoteReference"/>
          <w:lang w:val="en-US"/>
        </w:rPr>
        <w:footnoteReference w:id="7"/>
      </w:r>
      <w:r w:rsidR="002768D1" w:rsidRPr="00083B11">
        <w:rPr>
          <w:lang w:val="en-US"/>
        </w:rPr>
        <w:t>” de-h</w:t>
      </w:r>
      <w:r w:rsidR="002768D1">
        <w:rPr>
          <w:lang w:val="en-US"/>
        </w:rPr>
        <w:t>umanization, which, at its worst</w:t>
      </w:r>
      <w:r w:rsidR="002768D1" w:rsidRPr="00083B11">
        <w:rPr>
          <w:lang w:val="en-US"/>
        </w:rPr>
        <w:t xml:space="preserve">, may result in genocide and crimes against humanity. Like States, ANSAs </w:t>
      </w:r>
      <w:r w:rsidR="002768D1" w:rsidRPr="00083B11">
        <w:rPr>
          <w:lang w:val="en-US"/>
        </w:rPr>
        <w:lastRenderedPageBreak/>
        <w:t>may kill</w:t>
      </w:r>
      <w:r w:rsidR="002768D1">
        <w:rPr>
          <w:lang w:val="en-US"/>
        </w:rPr>
        <w:t xml:space="preserve"> for political reasons, in retaliation, to create fear, for material gain</w:t>
      </w:r>
      <w:r w:rsidR="002768D1" w:rsidRPr="00083B11">
        <w:rPr>
          <w:lang w:val="en-US"/>
        </w:rPr>
        <w:t xml:space="preserve">. In the vast majority of cases, killings are not random but part of a calculated strategy. </w:t>
      </w:r>
    </w:p>
    <w:p w14:paraId="65458D52" w14:textId="77777777" w:rsidR="002768D1" w:rsidRPr="00083B11" w:rsidRDefault="007371E4" w:rsidP="00376920">
      <w:pPr>
        <w:tabs>
          <w:tab w:val="left" w:pos="1134"/>
        </w:tabs>
        <w:spacing w:after="120"/>
        <w:ind w:left="1134" w:right="1134"/>
        <w:jc w:val="both"/>
        <w:rPr>
          <w:lang w:val="en-US"/>
        </w:rPr>
      </w:pPr>
      <w:r>
        <w:rPr>
          <w:lang w:val="en-US"/>
        </w:rPr>
        <w:t>6</w:t>
      </w:r>
      <w:r w:rsidR="002768D1">
        <w:rPr>
          <w:lang w:val="en-US"/>
        </w:rPr>
        <w:t>.</w:t>
      </w:r>
      <w:r w:rsidR="002768D1">
        <w:rPr>
          <w:lang w:val="en-US"/>
        </w:rPr>
        <w:tab/>
      </w:r>
      <w:r w:rsidR="002768D1" w:rsidRPr="00083B11">
        <w:rPr>
          <w:lang w:val="en-US"/>
        </w:rPr>
        <w:t>ANSAs pose a large number of challenges to the human rights community, particularly in terms of accountability</w:t>
      </w:r>
      <w:r w:rsidR="002768D1">
        <w:rPr>
          <w:lang w:val="en-US"/>
        </w:rPr>
        <w:t>. How</w:t>
      </w:r>
      <w:r w:rsidR="002768D1" w:rsidRPr="00083B11">
        <w:rPr>
          <w:lang w:val="en-US"/>
        </w:rPr>
        <w:t xml:space="preserve"> to name </w:t>
      </w:r>
      <w:r w:rsidR="002768D1">
        <w:rPr>
          <w:lang w:val="en-US"/>
        </w:rPr>
        <w:t xml:space="preserve">ANSAs </w:t>
      </w:r>
      <w:r w:rsidR="002768D1" w:rsidRPr="00083B11">
        <w:rPr>
          <w:lang w:val="en-US"/>
        </w:rPr>
        <w:t>acts of violence</w:t>
      </w:r>
      <w:r w:rsidR="002768D1">
        <w:rPr>
          <w:lang w:val="en-US"/>
        </w:rPr>
        <w:t>?</w:t>
      </w:r>
      <w:r w:rsidR="002768D1" w:rsidRPr="00083B11">
        <w:rPr>
          <w:lang w:val="en-US"/>
        </w:rPr>
        <w:t xml:space="preserve"> </w:t>
      </w:r>
      <w:r w:rsidR="002768D1">
        <w:rPr>
          <w:lang w:val="en-US"/>
        </w:rPr>
        <w:t xml:space="preserve">How to effectively </w:t>
      </w:r>
      <w:r w:rsidR="002768D1" w:rsidRPr="00083B11">
        <w:rPr>
          <w:lang w:val="en-US"/>
        </w:rPr>
        <w:t>support the rights of their victims, as well as the public right to know</w:t>
      </w:r>
      <w:r w:rsidR="002768D1">
        <w:rPr>
          <w:lang w:val="en-US"/>
        </w:rPr>
        <w:t>?</w:t>
      </w:r>
      <w:r w:rsidR="002768D1" w:rsidRPr="00083B11">
        <w:rPr>
          <w:lang w:val="en-US"/>
        </w:rPr>
        <w:t xml:space="preserve"> While ANSAs conduct may be immoral or illegal, can it be constructed as a violation of human rights law</w:t>
      </w:r>
      <w:r w:rsidR="002768D1">
        <w:rPr>
          <w:lang w:val="en-US"/>
        </w:rPr>
        <w:t xml:space="preserve">, which </w:t>
      </w:r>
      <w:r w:rsidR="002768D1" w:rsidRPr="00083B11">
        <w:rPr>
          <w:lang w:val="en-US"/>
        </w:rPr>
        <w:t xml:space="preserve">has traditionally </w:t>
      </w:r>
      <w:r w:rsidR="002768D1">
        <w:rPr>
          <w:lang w:val="en-US"/>
        </w:rPr>
        <w:t xml:space="preserve">been </w:t>
      </w:r>
      <w:r w:rsidR="002768D1" w:rsidRPr="00083B11">
        <w:rPr>
          <w:lang w:val="en-US"/>
        </w:rPr>
        <w:t xml:space="preserve">reserved </w:t>
      </w:r>
      <w:r w:rsidR="002768D1">
        <w:rPr>
          <w:lang w:val="en-US"/>
        </w:rPr>
        <w:t xml:space="preserve">for </w:t>
      </w:r>
      <w:r w:rsidR="002768D1" w:rsidRPr="00083B11">
        <w:rPr>
          <w:lang w:val="en-US"/>
        </w:rPr>
        <w:t>State</w:t>
      </w:r>
      <w:r w:rsidR="002768D1">
        <w:rPr>
          <w:lang w:val="en-US"/>
        </w:rPr>
        <w:t>s</w:t>
      </w:r>
      <w:r w:rsidR="002768D1" w:rsidRPr="00083B11">
        <w:rPr>
          <w:lang w:val="en-US"/>
        </w:rPr>
        <w:t>?</w:t>
      </w:r>
      <w:r w:rsidR="004128EB">
        <w:rPr>
          <w:rStyle w:val="FootnoteReference"/>
          <w:lang w:val="en-US"/>
        </w:rPr>
        <w:footnoteReference w:id="8"/>
      </w:r>
      <w:r w:rsidR="002768D1" w:rsidRPr="00083B11">
        <w:rPr>
          <w:lang w:val="en-US"/>
        </w:rPr>
        <w:t xml:space="preserve"> Should the distinction between victims, on the basis of the relationship of the perpetrators with the State, be justified and sustainable, when ANSAs commit similar organized acts of violence? </w:t>
      </w:r>
    </w:p>
    <w:p w14:paraId="384B7B33" w14:textId="77777777" w:rsidR="002768D1" w:rsidRPr="00083B11" w:rsidRDefault="007371E4" w:rsidP="00376920">
      <w:pPr>
        <w:tabs>
          <w:tab w:val="left" w:pos="1134"/>
        </w:tabs>
        <w:spacing w:after="120"/>
        <w:ind w:left="1134" w:right="1134"/>
        <w:jc w:val="both"/>
        <w:rPr>
          <w:lang w:val="en-US"/>
        </w:rPr>
      </w:pPr>
      <w:r>
        <w:rPr>
          <w:lang w:val="en-US"/>
        </w:rPr>
        <w:lastRenderedPageBreak/>
        <w:t>7</w:t>
      </w:r>
      <w:r w:rsidR="002768D1">
        <w:rPr>
          <w:lang w:val="en-US"/>
        </w:rPr>
        <w:t>.</w:t>
      </w:r>
      <w:r w:rsidR="002768D1">
        <w:rPr>
          <w:lang w:val="en-US"/>
        </w:rPr>
        <w:tab/>
      </w:r>
      <w:r w:rsidR="002768D1" w:rsidRPr="00083B11">
        <w:rPr>
          <w:lang w:val="en-US"/>
        </w:rPr>
        <w:t>In the Special Rapporteur</w:t>
      </w:r>
      <w:r w:rsidR="002768D1">
        <w:rPr>
          <w:lang w:val="en-US"/>
        </w:rPr>
        <w:t>’s</w:t>
      </w:r>
      <w:r w:rsidR="002768D1" w:rsidRPr="00083B11">
        <w:rPr>
          <w:lang w:val="en-US"/>
        </w:rPr>
        <w:t xml:space="preserve"> opinion, in </w:t>
      </w:r>
      <w:r w:rsidR="002768D1">
        <w:rPr>
          <w:lang w:val="en-US"/>
        </w:rPr>
        <w:t xml:space="preserve">light of </w:t>
      </w:r>
      <w:r w:rsidR="002768D1" w:rsidRPr="00083B11">
        <w:rPr>
          <w:lang w:val="en-US"/>
        </w:rPr>
        <w:t>the proliferation of complex</w:t>
      </w:r>
      <w:r w:rsidR="002768D1">
        <w:rPr>
          <w:lang w:val="en-US"/>
        </w:rPr>
        <w:t xml:space="preserve"> ANSAs, the blurred distinction</w:t>
      </w:r>
      <w:r w:rsidR="002768D1" w:rsidRPr="00083B11">
        <w:rPr>
          <w:lang w:val="en-US"/>
        </w:rPr>
        <w:t xml:space="preserve"> between political insurgents and criminal gangs, and armed organizations with an international brand and operations</w:t>
      </w:r>
      <w:r w:rsidR="002768D1">
        <w:rPr>
          <w:lang w:val="en-US"/>
        </w:rPr>
        <w:t xml:space="preserve"> (see also A/RES/71/118)</w:t>
      </w:r>
      <w:r w:rsidR="002768D1" w:rsidRPr="00083B11">
        <w:rPr>
          <w:lang w:val="en-US"/>
        </w:rPr>
        <w:t xml:space="preserve">, the current legal framework to address ANSAs presents unacceptable limitations. It is unjust to the victims of ANSAs violations and ineffective at </w:t>
      </w:r>
      <w:r w:rsidR="002768D1">
        <w:rPr>
          <w:lang w:val="en-US"/>
        </w:rPr>
        <w:t xml:space="preserve">addressing </w:t>
      </w:r>
      <w:r w:rsidR="002768D1" w:rsidRPr="00083B11">
        <w:rPr>
          <w:lang w:val="en-US"/>
        </w:rPr>
        <w:t>protection gaps. It is not tenable, sustainable, or ultimately principled.</w:t>
      </w:r>
    </w:p>
    <w:p w14:paraId="42C22965" w14:textId="72FCA975" w:rsidR="002768D1" w:rsidRPr="00083B11" w:rsidRDefault="007371E4" w:rsidP="00376920">
      <w:pPr>
        <w:tabs>
          <w:tab w:val="left" w:pos="1134"/>
        </w:tabs>
        <w:spacing w:after="120"/>
        <w:ind w:left="1134" w:right="1134"/>
        <w:jc w:val="both"/>
        <w:rPr>
          <w:lang w:val="en-US"/>
        </w:rPr>
      </w:pPr>
      <w:r>
        <w:rPr>
          <w:lang w:val="en-US"/>
        </w:rPr>
        <w:t>8</w:t>
      </w:r>
      <w:r w:rsidR="002768D1">
        <w:rPr>
          <w:lang w:val="en-US"/>
        </w:rPr>
        <w:t>.</w:t>
      </w:r>
      <w:r w:rsidR="002768D1">
        <w:rPr>
          <w:lang w:val="en-US"/>
        </w:rPr>
        <w:tab/>
      </w:r>
      <w:r w:rsidR="002768D1" w:rsidRPr="00083B11">
        <w:rPr>
          <w:lang w:val="en-US"/>
        </w:rPr>
        <w:t xml:space="preserve">This report </w:t>
      </w:r>
      <w:r w:rsidR="002768D1">
        <w:rPr>
          <w:lang w:val="en-US"/>
        </w:rPr>
        <w:t xml:space="preserve">maintains </w:t>
      </w:r>
      <w:r w:rsidR="002768D1" w:rsidRPr="00083B11">
        <w:rPr>
          <w:lang w:val="en-US"/>
        </w:rPr>
        <w:t xml:space="preserve">that ANSAs </w:t>
      </w:r>
      <w:r w:rsidR="002768D1">
        <w:rPr>
          <w:lang w:val="en-US"/>
        </w:rPr>
        <w:t xml:space="preserve">are bound by </w:t>
      </w:r>
      <w:r w:rsidR="002768D1" w:rsidRPr="00083B11">
        <w:rPr>
          <w:lang w:val="en-US"/>
        </w:rPr>
        <w:t>human rights obligations. It show</w:t>
      </w:r>
      <w:r w:rsidR="002768D1">
        <w:rPr>
          <w:lang w:val="en-US"/>
        </w:rPr>
        <w:t>s</w:t>
      </w:r>
      <w:r w:rsidR="002768D1" w:rsidRPr="00083B11">
        <w:rPr>
          <w:lang w:val="en-US"/>
        </w:rPr>
        <w:t xml:space="preserve"> that developments within the United Nations over the last 20 years, address ANSAs as duty-bearers. It clarif</w:t>
      </w:r>
      <w:r w:rsidR="002768D1">
        <w:rPr>
          <w:lang w:val="en-US"/>
        </w:rPr>
        <w:t>ies</w:t>
      </w:r>
      <w:r w:rsidR="002768D1" w:rsidRPr="00083B11">
        <w:rPr>
          <w:lang w:val="en-US"/>
        </w:rPr>
        <w:t xml:space="preserve"> the sources of these obligations, and show</w:t>
      </w:r>
      <w:r w:rsidR="002768D1">
        <w:rPr>
          <w:lang w:val="en-US"/>
        </w:rPr>
        <w:t>s</w:t>
      </w:r>
      <w:r w:rsidR="002768D1" w:rsidRPr="00083B11">
        <w:rPr>
          <w:lang w:val="en-US"/>
        </w:rPr>
        <w:t xml:space="preserve"> that the attribution of human rights obligations does not validate ANSAs authority.  The Special Rapporteur then propose</w:t>
      </w:r>
      <w:r w:rsidR="002768D1">
        <w:rPr>
          <w:lang w:val="en-US"/>
        </w:rPr>
        <w:t>s</w:t>
      </w:r>
      <w:r w:rsidR="002768D1" w:rsidRPr="00083B11">
        <w:rPr>
          <w:lang w:val="en-US"/>
        </w:rPr>
        <w:t xml:space="preserve"> a context-dependent, ANSA-specific and gradated</w:t>
      </w:r>
      <w:r w:rsidR="002768D1" w:rsidRPr="00083B11">
        <w:rPr>
          <w:b/>
          <w:lang w:val="en-US"/>
        </w:rPr>
        <w:t xml:space="preserve"> </w:t>
      </w:r>
      <w:r w:rsidR="002768D1" w:rsidRPr="00083B11">
        <w:rPr>
          <w:lang w:val="en-US"/>
        </w:rPr>
        <w:lastRenderedPageBreak/>
        <w:t>framework focusing on the nature and extent of ANSAs control</w:t>
      </w:r>
      <w:r w:rsidR="0021747D">
        <w:rPr>
          <w:lang w:val="en-US"/>
        </w:rPr>
        <w:t>, governance,</w:t>
      </w:r>
      <w:r w:rsidR="002768D1" w:rsidRPr="00083B11">
        <w:rPr>
          <w:lang w:val="en-US"/>
        </w:rPr>
        <w:t xml:space="preserve"> and capacit</w:t>
      </w:r>
      <w:r w:rsidR="002768D1">
        <w:rPr>
          <w:lang w:val="en-US"/>
        </w:rPr>
        <w:t>y</w:t>
      </w:r>
      <w:r w:rsidR="002768D1" w:rsidRPr="00083B11">
        <w:rPr>
          <w:lang w:val="en-US"/>
        </w:rPr>
        <w:t xml:space="preserve">. </w:t>
      </w:r>
    </w:p>
    <w:p w14:paraId="2DBAE7AD" w14:textId="77777777" w:rsidR="002768D1" w:rsidRPr="00553DC3" w:rsidRDefault="007371E4" w:rsidP="007371E4">
      <w:pPr>
        <w:pStyle w:val="H1G"/>
        <w:rPr>
          <w:lang w:val="en-US"/>
        </w:rPr>
      </w:pPr>
      <w:r>
        <w:rPr>
          <w:lang w:val="en-US"/>
        </w:rPr>
        <w:tab/>
      </w:r>
      <w:r w:rsidR="005146D9">
        <w:rPr>
          <w:lang w:val="en-US"/>
        </w:rPr>
        <w:t>A.</w:t>
      </w:r>
      <w:r w:rsidR="002768D1">
        <w:rPr>
          <w:lang w:val="en-US"/>
        </w:rPr>
        <w:tab/>
        <w:t>International d</w:t>
      </w:r>
      <w:r w:rsidR="002768D1" w:rsidRPr="00553DC3">
        <w:rPr>
          <w:lang w:val="en-US"/>
        </w:rPr>
        <w:t>evelopments</w:t>
      </w:r>
    </w:p>
    <w:p w14:paraId="7656A578" w14:textId="77777777" w:rsidR="002768D1" w:rsidRPr="00083B11" w:rsidRDefault="007371E4" w:rsidP="00376920">
      <w:pPr>
        <w:spacing w:after="120"/>
        <w:ind w:left="1134" w:right="1134"/>
        <w:jc w:val="both"/>
        <w:rPr>
          <w:bCs/>
          <w:lang w:val="en-US"/>
        </w:rPr>
      </w:pPr>
      <w:r>
        <w:rPr>
          <w:bCs/>
          <w:lang w:val="en-US"/>
        </w:rPr>
        <w:t>9</w:t>
      </w:r>
      <w:r w:rsidR="002768D1">
        <w:rPr>
          <w:bCs/>
          <w:lang w:val="en-US"/>
        </w:rPr>
        <w:t>.</w:t>
      </w:r>
      <w:r w:rsidR="002768D1">
        <w:rPr>
          <w:bCs/>
          <w:lang w:val="en-US"/>
        </w:rPr>
        <w:tab/>
        <w:t xml:space="preserve">UN </w:t>
      </w:r>
      <w:r w:rsidR="002768D1" w:rsidRPr="00083B11">
        <w:rPr>
          <w:bCs/>
          <w:lang w:val="en-US"/>
        </w:rPr>
        <w:t>Member States have progressively addressed ANSAs</w:t>
      </w:r>
      <w:r w:rsidR="002768D1">
        <w:rPr>
          <w:bCs/>
          <w:lang w:val="en-US"/>
        </w:rPr>
        <w:t xml:space="preserve"> </w:t>
      </w:r>
      <w:r w:rsidR="002768D1" w:rsidRPr="00083B11">
        <w:rPr>
          <w:bCs/>
          <w:lang w:val="en-US"/>
        </w:rPr>
        <w:t xml:space="preserve">through their resolutions. So have </w:t>
      </w:r>
      <w:r w:rsidR="002768D1">
        <w:rPr>
          <w:bCs/>
          <w:lang w:val="en-US"/>
        </w:rPr>
        <w:t>s</w:t>
      </w:r>
      <w:r w:rsidR="002768D1" w:rsidRPr="00083B11">
        <w:rPr>
          <w:bCs/>
          <w:lang w:val="en-US"/>
        </w:rPr>
        <w:t xml:space="preserve">pecial </w:t>
      </w:r>
      <w:r w:rsidR="002768D1">
        <w:rPr>
          <w:bCs/>
          <w:lang w:val="en-US"/>
        </w:rPr>
        <w:t>p</w:t>
      </w:r>
      <w:r w:rsidR="002768D1" w:rsidRPr="00083B11">
        <w:rPr>
          <w:bCs/>
          <w:lang w:val="en-US"/>
        </w:rPr>
        <w:t>rocedures and Commission of Inquiries</w:t>
      </w:r>
      <w:r w:rsidR="002768D1">
        <w:rPr>
          <w:bCs/>
          <w:lang w:val="en-US"/>
        </w:rPr>
        <w:t xml:space="preserve"> (COIs) of the Human Rights Council (HRC)</w:t>
      </w:r>
      <w:r w:rsidR="002768D1" w:rsidRPr="00083B11">
        <w:rPr>
          <w:bCs/>
          <w:lang w:val="en-US"/>
        </w:rPr>
        <w:t>. These developments have been complemented on the ground by Member States</w:t>
      </w:r>
      <w:r w:rsidR="002768D1">
        <w:rPr>
          <w:bCs/>
          <w:lang w:val="en-US"/>
        </w:rPr>
        <w:t>’</w:t>
      </w:r>
      <w:r w:rsidR="002768D1" w:rsidRPr="00083B11">
        <w:rPr>
          <w:bCs/>
          <w:lang w:val="en-US"/>
        </w:rPr>
        <w:t xml:space="preserve"> political and humanitarian engagement with ANSAs, including for the purpose of cease-fire and peace-making, and by UN agencies and INGOs interacting with a range of ANSA</w:t>
      </w:r>
      <w:r w:rsidR="002768D1">
        <w:rPr>
          <w:bCs/>
          <w:lang w:val="en-US"/>
        </w:rPr>
        <w:t>s</w:t>
      </w:r>
      <w:r w:rsidR="002768D1" w:rsidRPr="00083B11">
        <w:rPr>
          <w:bCs/>
          <w:lang w:val="en-US"/>
        </w:rPr>
        <w:t xml:space="preserve"> to ensure protection of civilians. </w:t>
      </w:r>
    </w:p>
    <w:p w14:paraId="7516F3B0" w14:textId="77777777" w:rsidR="002768D1" w:rsidRPr="00553DC3" w:rsidRDefault="002768D1" w:rsidP="007371E4">
      <w:pPr>
        <w:pStyle w:val="H23G"/>
        <w:rPr>
          <w:lang w:val="en-US"/>
        </w:rPr>
      </w:pPr>
      <w:r>
        <w:rPr>
          <w:lang w:val="en-US"/>
        </w:rPr>
        <w:tab/>
      </w:r>
      <w:r w:rsidR="005146D9">
        <w:rPr>
          <w:lang w:val="en-US"/>
        </w:rPr>
        <w:t>1.</w:t>
      </w:r>
      <w:r w:rsidR="007371E4">
        <w:rPr>
          <w:lang w:val="en-US"/>
        </w:rPr>
        <w:tab/>
      </w:r>
      <w:r w:rsidRPr="00553DC3">
        <w:rPr>
          <w:lang w:val="en-US"/>
        </w:rPr>
        <w:t>Security Council and General Assembly resolutions</w:t>
      </w:r>
    </w:p>
    <w:p w14:paraId="0C8F93F6" w14:textId="06C5C084" w:rsidR="002768D1" w:rsidRPr="00083B11" w:rsidRDefault="007371E4" w:rsidP="003B18D4">
      <w:pPr>
        <w:tabs>
          <w:tab w:val="left" w:pos="1134"/>
        </w:tabs>
        <w:spacing w:after="120"/>
        <w:ind w:left="1134" w:right="1134"/>
        <w:jc w:val="both"/>
        <w:rPr>
          <w:lang w:val="en-US"/>
        </w:rPr>
      </w:pPr>
      <w:r>
        <w:rPr>
          <w:lang w:val="en-US"/>
        </w:rPr>
        <w:t>10</w:t>
      </w:r>
      <w:r w:rsidR="005146D9">
        <w:rPr>
          <w:lang w:val="en-US"/>
        </w:rPr>
        <w:t>.</w:t>
      </w:r>
      <w:r w:rsidR="00376920">
        <w:rPr>
          <w:lang w:val="en-US"/>
        </w:rPr>
        <w:tab/>
      </w:r>
      <w:r w:rsidR="002768D1" w:rsidRPr="00083B11">
        <w:rPr>
          <w:lang w:val="en-US"/>
        </w:rPr>
        <w:t xml:space="preserve">Over the last two decades, there have been over 125 Security Council </w:t>
      </w:r>
      <w:r w:rsidR="002768D1">
        <w:rPr>
          <w:lang w:val="en-US"/>
        </w:rPr>
        <w:t xml:space="preserve">(UNSC) </w:t>
      </w:r>
      <w:r w:rsidR="002768D1" w:rsidRPr="00083B11">
        <w:rPr>
          <w:lang w:val="en-US"/>
        </w:rPr>
        <w:lastRenderedPageBreak/>
        <w:t xml:space="preserve">resolutions, approximately 65 General Assembly </w:t>
      </w:r>
      <w:r w:rsidR="002768D1">
        <w:rPr>
          <w:lang w:val="en-US"/>
        </w:rPr>
        <w:t xml:space="preserve">(UNGA) </w:t>
      </w:r>
      <w:r w:rsidR="002768D1" w:rsidRPr="00083B11">
        <w:rPr>
          <w:lang w:val="en-US"/>
        </w:rPr>
        <w:t xml:space="preserve">resolutions and over 50 </w:t>
      </w:r>
      <w:r w:rsidR="002768D1">
        <w:rPr>
          <w:lang w:val="en-US"/>
        </w:rPr>
        <w:t>UN</w:t>
      </w:r>
      <w:r w:rsidR="002768D1" w:rsidRPr="00083B11">
        <w:rPr>
          <w:lang w:val="en-US"/>
        </w:rPr>
        <w:t>S</w:t>
      </w:r>
      <w:r w:rsidR="002768D1">
        <w:rPr>
          <w:lang w:val="en-US"/>
        </w:rPr>
        <w:t xml:space="preserve">C </w:t>
      </w:r>
      <w:r w:rsidR="002768D1" w:rsidRPr="00083B11">
        <w:rPr>
          <w:lang w:val="en-US"/>
        </w:rPr>
        <w:t>Presidential State</w:t>
      </w:r>
      <w:r w:rsidR="002768D1">
        <w:rPr>
          <w:lang w:val="en-US"/>
        </w:rPr>
        <w:t xml:space="preserve">ments that pertain to the human </w:t>
      </w:r>
      <w:r w:rsidR="002768D1" w:rsidRPr="00083B11">
        <w:rPr>
          <w:lang w:val="en-US"/>
        </w:rPr>
        <w:t>rights obligations or other related responsibilities of ANSAs</w:t>
      </w:r>
      <w:r w:rsidR="004128EB">
        <w:rPr>
          <w:rStyle w:val="FootnoteReference"/>
          <w:lang w:val="en-US"/>
        </w:rPr>
        <w:footnoteReference w:id="9"/>
      </w:r>
      <w:r w:rsidR="002768D1" w:rsidRPr="00083B11">
        <w:rPr>
          <w:lang w:val="en-US"/>
        </w:rPr>
        <w:t xml:space="preserve">, prompting researchers to conclude </w:t>
      </w:r>
      <w:r w:rsidR="002768D1" w:rsidRPr="00083B11">
        <w:rPr>
          <w:i/>
          <w:lang w:val="en-US"/>
        </w:rPr>
        <w:t>“It is incontrovertible that the U.N. Security Council and the U.N. General Assembly have recognized, at a minimum, that the conduct of at least some ANSAs—in contexts as diverse as the DRC to Syria—can amount to violations or abuses of human rights</w:t>
      </w:r>
      <w:r w:rsidR="004128EB">
        <w:rPr>
          <w:rStyle w:val="FootnoteReference"/>
          <w:i/>
          <w:lang w:val="en-US"/>
        </w:rPr>
        <w:footnoteReference w:id="10"/>
      </w:r>
      <w:r w:rsidR="002768D1">
        <w:rPr>
          <w:i/>
          <w:lang w:val="en-US"/>
        </w:rPr>
        <w:t>”.</w:t>
      </w:r>
    </w:p>
    <w:p w14:paraId="7B2C02EE" w14:textId="6B774D42" w:rsidR="002768D1" w:rsidRPr="00083B11" w:rsidRDefault="003440A9" w:rsidP="003B18D4">
      <w:pPr>
        <w:spacing w:after="120"/>
        <w:ind w:left="1134" w:right="1134"/>
        <w:jc w:val="both"/>
        <w:rPr>
          <w:lang w:val="en-US"/>
        </w:rPr>
      </w:pPr>
      <w:r>
        <w:rPr>
          <w:lang w:val="en-US"/>
        </w:rPr>
        <w:t>11</w:t>
      </w:r>
      <w:r w:rsidR="005146D9">
        <w:rPr>
          <w:lang w:val="en-US"/>
        </w:rPr>
        <w:t>.</w:t>
      </w:r>
      <w:r w:rsidR="00376920">
        <w:rPr>
          <w:lang w:val="en-US"/>
        </w:rPr>
        <w:tab/>
      </w:r>
      <w:r w:rsidR="002768D1" w:rsidRPr="00083B11">
        <w:rPr>
          <w:lang w:val="en-US"/>
        </w:rPr>
        <w:t xml:space="preserve">Some of the acts, described as either “abuses” or “violations” by the UNSC may implicate </w:t>
      </w:r>
      <w:r w:rsidR="002768D1" w:rsidRPr="00083B11">
        <w:rPr>
          <w:i/>
          <w:lang w:val="en-US"/>
        </w:rPr>
        <w:t>jus-cogens</w:t>
      </w:r>
      <w:r w:rsidR="002768D1" w:rsidRPr="00083B11">
        <w:rPr>
          <w:lang w:val="en-US"/>
        </w:rPr>
        <w:t xml:space="preserve"> norms, </w:t>
      </w:r>
      <w:r w:rsidR="002768D1">
        <w:rPr>
          <w:lang w:val="en-US"/>
        </w:rPr>
        <w:t xml:space="preserve">prohibitions under </w:t>
      </w:r>
      <w:r w:rsidR="002768D1" w:rsidRPr="00083B11">
        <w:rPr>
          <w:lang w:val="en-US"/>
        </w:rPr>
        <w:t xml:space="preserve">customary international human rights law </w:t>
      </w:r>
      <w:r w:rsidR="002768D1" w:rsidRPr="00083B11">
        <w:rPr>
          <w:lang w:val="en-US"/>
        </w:rPr>
        <w:lastRenderedPageBreak/>
        <w:t>(IHRL), IHRL</w:t>
      </w:r>
      <w:r w:rsidR="00FD621C">
        <w:rPr>
          <w:lang w:val="en-US"/>
        </w:rPr>
        <w:t>, refugee</w:t>
      </w:r>
      <w:r w:rsidR="002768D1" w:rsidRPr="00083B11">
        <w:rPr>
          <w:lang w:val="en-US"/>
        </w:rPr>
        <w:t xml:space="preserve"> and/or Intern</w:t>
      </w:r>
      <w:r w:rsidR="002768D1">
        <w:rPr>
          <w:lang w:val="en-US"/>
        </w:rPr>
        <w:t>ational Humanitarian Law (IHL).</w:t>
      </w:r>
      <w:r w:rsidR="002768D1" w:rsidRPr="00083B11">
        <w:rPr>
          <w:i/>
          <w:lang w:val="en-US"/>
        </w:rPr>
        <w:t xml:space="preserve"> </w:t>
      </w:r>
      <w:r w:rsidR="002768D1" w:rsidRPr="00083B11">
        <w:rPr>
          <w:lang w:val="en-US"/>
        </w:rPr>
        <w:t>Some resolutions are broad while others specify which violations/abuses have been committed by ANSAs, such as extrajudicial executions</w:t>
      </w:r>
      <w:r w:rsidR="002768D1">
        <w:rPr>
          <w:lang w:val="en-US"/>
        </w:rPr>
        <w:t xml:space="preserve"> (e.g. S/RES/2295 (2016)) or </w:t>
      </w:r>
      <w:r w:rsidR="002768D1" w:rsidRPr="00083B11">
        <w:rPr>
          <w:lang w:val="en-US"/>
        </w:rPr>
        <w:t xml:space="preserve">sexual or gender-based violence </w:t>
      </w:r>
      <w:r w:rsidR="002768D1">
        <w:rPr>
          <w:lang w:val="en-US"/>
        </w:rPr>
        <w:t xml:space="preserve">(e.g. </w:t>
      </w:r>
      <w:r w:rsidR="002768D1" w:rsidRPr="002B56BA">
        <w:rPr>
          <w:lang w:val="en-US"/>
        </w:rPr>
        <w:t>S/RES/2149 (2014)</w:t>
      </w:r>
      <w:r w:rsidR="002768D1">
        <w:rPr>
          <w:lang w:val="en-US"/>
        </w:rPr>
        <w:t>).</w:t>
      </w:r>
    </w:p>
    <w:p w14:paraId="62795800" w14:textId="77777777" w:rsidR="002768D1" w:rsidRPr="00083B11" w:rsidRDefault="003440A9" w:rsidP="003B18D4">
      <w:pPr>
        <w:tabs>
          <w:tab w:val="left" w:pos="1134"/>
        </w:tabs>
        <w:spacing w:after="120"/>
        <w:ind w:left="1134" w:right="1134"/>
        <w:jc w:val="both"/>
        <w:rPr>
          <w:lang w:val="en-US"/>
        </w:rPr>
      </w:pPr>
      <w:r>
        <w:rPr>
          <w:lang w:val="en-US"/>
        </w:rPr>
        <w:t>12</w:t>
      </w:r>
      <w:r w:rsidR="005146D9">
        <w:rPr>
          <w:lang w:val="en-US"/>
        </w:rPr>
        <w:t>.</w:t>
      </w:r>
      <w:r w:rsidR="00376920">
        <w:rPr>
          <w:lang w:val="en-US"/>
        </w:rPr>
        <w:tab/>
      </w:r>
      <w:r w:rsidR="002768D1" w:rsidRPr="00083B11">
        <w:rPr>
          <w:lang w:val="en-US"/>
        </w:rPr>
        <w:t>The focus on ANSA obligations is at its cle</w:t>
      </w:r>
      <w:r w:rsidR="002768D1">
        <w:rPr>
          <w:lang w:val="en-US"/>
        </w:rPr>
        <w:t xml:space="preserve">arest with regard to children. </w:t>
      </w:r>
      <w:r w:rsidR="002768D1" w:rsidRPr="00083B11">
        <w:rPr>
          <w:lang w:val="en-US"/>
        </w:rPr>
        <w:t xml:space="preserve">In 1999, </w:t>
      </w:r>
      <w:r w:rsidR="002768D1">
        <w:rPr>
          <w:lang w:val="en-US"/>
        </w:rPr>
        <w:t>UNSC resolution</w:t>
      </w:r>
      <w:r w:rsidR="002768D1" w:rsidRPr="00083B11">
        <w:rPr>
          <w:lang w:val="en-US"/>
        </w:rPr>
        <w:t xml:space="preserve"> 1261 </w:t>
      </w:r>
      <w:r w:rsidR="002768D1">
        <w:rPr>
          <w:lang w:val="en-US"/>
        </w:rPr>
        <w:t xml:space="preserve">(S/RES/1261) </w:t>
      </w:r>
      <w:r w:rsidR="002768D1" w:rsidRPr="00083B11">
        <w:rPr>
          <w:lang w:val="en-US"/>
        </w:rPr>
        <w:t xml:space="preserve">called on all parties to conflicts to respect their legal obligations regarding children. Over time, the </w:t>
      </w:r>
      <w:r w:rsidR="002768D1">
        <w:rPr>
          <w:lang w:val="en-US"/>
        </w:rPr>
        <w:t xml:space="preserve">UNSC </w:t>
      </w:r>
      <w:r w:rsidR="002768D1" w:rsidRPr="00083B11">
        <w:rPr>
          <w:lang w:val="en-US"/>
        </w:rPr>
        <w:t xml:space="preserve">established monitoring and reporting into </w:t>
      </w:r>
      <w:r w:rsidR="002768D1">
        <w:rPr>
          <w:lang w:val="en-US"/>
        </w:rPr>
        <w:t>six</w:t>
      </w:r>
      <w:r w:rsidR="002768D1" w:rsidRPr="00083B11">
        <w:rPr>
          <w:lang w:val="en-US"/>
        </w:rPr>
        <w:t xml:space="preserve"> grave violations against children in armed conflict</w:t>
      </w:r>
      <w:r w:rsidR="002768D1">
        <w:rPr>
          <w:lang w:val="en-US"/>
        </w:rPr>
        <w:t>,</w:t>
      </w:r>
      <w:r w:rsidR="002768D1" w:rsidRPr="00083B11">
        <w:rPr>
          <w:lang w:val="en-US"/>
        </w:rPr>
        <w:t xml:space="preserve"> including killings</w:t>
      </w:r>
      <w:r w:rsidR="004128EB">
        <w:rPr>
          <w:rStyle w:val="FootnoteReference"/>
          <w:lang w:val="en-US"/>
        </w:rPr>
        <w:footnoteReference w:id="11"/>
      </w:r>
      <w:r w:rsidR="002768D1" w:rsidRPr="00083B11">
        <w:rPr>
          <w:lang w:val="en-US"/>
        </w:rPr>
        <w:t>. ANSA</w:t>
      </w:r>
      <w:r w:rsidR="002768D1">
        <w:rPr>
          <w:lang w:val="en-US"/>
        </w:rPr>
        <w:t>s</w:t>
      </w:r>
      <w:r w:rsidR="002768D1" w:rsidRPr="00083B11">
        <w:rPr>
          <w:lang w:val="en-US"/>
        </w:rPr>
        <w:t xml:space="preserve"> have been frequently mentioned as persistent violators.</w:t>
      </w:r>
      <w:r w:rsidR="002768D1">
        <w:rPr>
          <w:lang w:val="en-US"/>
        </w:rPr>
        <w:t xml:space="preserve"> </w:t>
      </w:r>
    </w:p>
    <w:p w14:paraId="6431D56F" w14:textId="77777777" w:rsidR="002768D1" w:rsidRDefault="003440A9" w:rsidP="003B18D4">
      <w:pPr>
        <w:tabs>
          <w:tab w:val="left" w:pos="1134"/>
        </w:tabs>
        <w:spacing w:after="120"/>
        <w:ind w:left="1134" w:right="1134"/>
        <w:jc w:val="both"/>
        <w:rPr>
          <w:i/>
          <w:lang w:val="en-US"/>
        </w:rPr>
      </w:pPr>
      <w:r>
        <w:rPr>
          <w:lang w:val="en-US"/>
        </w:rPr>
        <w:t>13</w:t>
      </w:r>
      <w:r w:rsidR="002768D1">
        <w:rPr>
          <w:lang w:val="en-US"/>
        </w:rPr>
        <w:t>.</w:t>
      </w:r>
      <w:r w:rsidR="00376920">
        <w:rPr>
          <w:lang w:val="en-US"/>
        </w:rPr>
        <w:tab/>
      </w:r>
      <w:r w:rsidR="002768D1" w:rsidRPr="00083B11">
        <w:rPr>
          <w:lang w:val="en-US"/>
        </w:rPr>
        <w:t xml:space="preserve">The </w:t>
      </w:r>
      <w:r w:rsidR="002768D1">
        <w:rPr>
          <w:lang w:val="en-US"/>
        </w:rPr>
        <w:t>UNGA</w:t>
      </w:r>
      <w:r w:rsidR="002768D1" w:rsidRPr="00083B11">
        <w:rPr>
          <w:lang w:val="en-US"/>
        </w:rPr>
        <w:t xml:space="preserve">, for its part, generally refers to acts of </w:t>
      </w:r>
      <w:r w:rsidR="002768D1" w:rsidRPr="00083B11">
        <w:rPr>
          <w:lang w:val="en-US"/>
        </w:rPr>
        <w:lastRenderedPageBreak/>
        <w:t xml:space="preserve">various ANSAs as violations of </w:t>
      </w:r>
      <w:r w:rsidR="002768D1">
        <w:rPr>
          <w:lang w:val="en-US"/>
        </w:rPr>
        <w:t xml:space="preserve">IHRL </w:t>
      </w:r>
      <w:r w:rsidR="002768D1" w:rsidRPr="00083B11">
        <w:rPr>
          <w:lang w:val="en-US"/>
        </w:rPr>
        <w:t xml:space="preserve">and </w:t>
      </w:r>
      <w:r w:rsidR="002768D1">
        <w:rPr>
          <w:lang w:val="en-US"/>
        </w:rPr>
        <w:t>IHL</w:t>
      </w:r>
      <w:r w:rsidR="002768D1" w:rsidRPr="00083B11">
        <w:rPr>
          <w:lang w:val="en-US"/>
        </w:rPr>
        <w:t>.</w:t>
      </w:r>
      <w:r w:rsidR="002768D1">
        <w:rPr>
          <w:lang w:val="en-US"/>
        </w:rPr>
        <w:t xml:space="preserve"> </w:t>
      </w:r>
      <w:r w:rsidR="002768D1" w:rsidRPr="00083B11">
        <w:rPr>
          <w:lang w:val="en-US"/>
        </w:rPr>
        <w:t xml:space="preserve">For instance, </w:t>
      </w:r>
      <w:r w:rsidR="002768D1">
        <w:rPr>
          <w:lang w:val="en-US"/>
        </w:rPr>
        <w:t>i</w:t>
      </w:r>
      <w:r w:rsidR="002768D1" w:rsidRPr="00083B11">
        <w:rPr>
          <w:lang w:val="en-US"/>
        </w:rPr>
        <w:t xml:space="preserve">t has strongly condemn[ed] all violations and abuses of </w:t>
      </w:r>
      <w:r w:rsidR="002768D1">
        <w:rPr>
          <w:lang w:val="en-US"/>
        </w:rPr>
        <w:t>IHRL</w:t>
      </w:r>
      <w:r w:rsidR="002768D1" w:rsidRPr="00083B11">
        <w:rPr>
          <w:lang w:val="en-US"/>
        </w:rPr>
        <w:t xml:space="preserve"> and of </w:t>
      </w:r>
      <w:r w:rsidR="002768D1">
        <w:rPr>
          <w:lang w:val="en-US"/>
        </w:rPr>
        <w:t>IHL “</w:t>
      </w:r>
      <w:r w:rsidR="002768D1" w:rsidRPr="00083B11">
        <w:rPr>
          <w:i/>
          <w:lang w:val="en-US"/>
        </w:rPr>
        <w:t>committed by parties to conflict in Syria, including “armed extremists,” “armed anti-Government groups,” “Al-Qaida affiliated terrorist groups,” and the “so-called Islamic State in Iraq and the Levant (Da’esh) and Al-Nusrah Front and their continued gross, systematic and widespread abuses of human rights and violations of international humanitarian law.”</w:t>
      </w:r>
      <w:r w:rsidR="002768D1" w:rsidRPr="000E1EA3">
        <w:rPr>
          <w:rFonts w:ascii="arno-pro-subhead" w:hAnsi="arno-pro-subhead" w:cs="Arial"/>
          <w:color w:val="363636"/>
          <w:spacing w:val="18"/>
          <w:sz w:val="18"/>
          <w:szCs w:val="18"/>
          <w:lang w:val="en-US"/>
        </w:rPr>
        <w:t xml:space="preserve"> </w:t>
      </w:r>
      <w:r w:rsidR="002768D1" w:rsidRPr="00FD621C">
        <w:rPr>
          <w:spacing w:val="18"/>
          <w:lang w:val="en-US"/>
        </w:rPr>
        <w:t>(A/RES/70/234)</w:t>
      </w:r>
      <w:r w:rsidR="002768D1" w:rsidRPr="00477AE1">
        <w:rPr>
          <w:rFonts w:ascii="arno-pro-subhead" w:hAnsi="arno-pro-subhead" w:cs="Arial"/>
          <w:color w:val="363636"/>
          <w:spacing w:val="18"/>
          <w:szCs w:val="18"/>
          <w:lang w:val="en-US"/>
        </w:rPr>
        <w:t xml:space="preserve"> </w:t>
      </w:r>
      <w:r w:rsidR="002768D1" w:rsidRPr="00083B11">
        <w:rPr>
          <w:i/>
          <w:lang w:val="en-US"/>
        </w:rPr>
        <w:t xml:space="preserve"> </w:t>
      </w:r>
    </w:p>
    <w:p w14:paraId="66D5F091" w14:textId="77777777" w:rsidR="002768D1" w:rsidRPr="00083B11" w:rsidRDefault="003440A9" w:rsidP="003B18D4">
      <w:pPr>
        <w:spacing w:after="120"/>
        <w:ind w:left="1134" w:right="1134"/>
        <w:jc w:val="both"/>
      </w:pPr>
      <w:r>
        <w:rPr>
          <w:lang w:val="en-US"/>
        </w:rPr>
        <w:t>14</w:t>
      </w:r>
      <w:r w:rsidR="005146D9">
        <w:rPr>
          <w:lang w:val="en-US"/>
        </w:rPr>
        <w:t>.</w:t>
      </w:r>
      <w:r w:rsidR="00376920">
        <w:rPr>
          <w:lang w:val="en-US"/>
        </w:rPr>
        <w:tab/>
      </w:r>
      <w:r w:rsidR="002768D1" w:rsidRPr="00083B11">
        <w:rPr>
          <w:lang w:val="en-US"/>
        </w:rPr>
        <w:t>The latest UNGA resolution related to arbitrary executions includes at least three paragraphs relevant to the roles and responsibilities of NSA</w:t>
      </w:r>
      <w:r w:rsidR="002768D1">
        <w:rPr>
          <w:lang w:val="en-US"/>
        </w:rPr>
        <w:t>s</w:t>
      </w:r>
      <w:r w:rsidR="002768D1" w:rsidRPr="00083B11">
        <w:rPr>
          <w:lang w:val="en-US"/>
        </w:rPr>
        <w:t>. It acknowledges that “</w:t>
      </w:r>
      <w:r w:rsidR="002768D1">
        <w:rPr>
          <w:lang w:val="en-US"/>
        </w:rPr>
        <w:t>[IHRL]</w:t>
      </w:r>
      <w:r w:rsidR="002768D1" w:rsidRPr="00083B11">
        <w:rPr>
          <w:i/>
        </w:rPr>
        <w:t xml:space="preserve"> and </w:t>
      </w:r>
      <w:r w:rsidR="002768D1">
        <w:rPr>
          <w:i/>
        </w:rPr>
        <w:t>[IHL]</w:t>
      </w:r>
      <w:r w:rsidR="002768D1" w:rsidRPr="00083B11">
        <w:rPr>
          <w:i/>
        </w:rPr>
        <w:t xml:space="preserve"> are complementary and mutually reinforcing”; </w:t>
      </w:r>
      <w:r w:rsidR="002768D1" w:rsidRPr="00083B11">
        <w:t>it notes</w:t>
      </w:r>
      <w:r w:rsidR="002768D1" w:rsidRPr="00083B11">
        <w:rPr>
          <w:i/>
        </w:rPr>
        <w:t xml:space="preserve"> “</w:t>
      </w:r>
      <w:r w:rsidR="002768D1" w:rsidRPr="00083B11">
        <w:rPr>
          <w:i/>
          <w:lang w:val="en-US"/>
        </w:rPr>
        <w:t xml:space="preserve">with deep concern the growing number of civilians and persons hors de combat killed in situations of armed conflict and internal strife, and that </w:t>
      </w:r>
      <w:r w:rsidR="002768D1" w:rsidRPr="00083B11">
        <w:rPr>
          <w:i/>
          <w:lang w:val="en-US"/>
        </w:rPr>
        <w:lastRenderedPageBreak/>
        <w:t xml:space="preserve">women and girls are disproportionately affected by conflict” </w:t>
      </w:r>
      <w:r w:rsidR="002768D1" w:rsidRPr="00083B11">
        <w:rPr>
          <w:lang w:val="en-US"/>
        </w:rPr>
        <w:t>and it is equally concerned wi</w:t>
      </w:r>
      <w:r w:rsidR="002768D1" w:rsidRPr="00083B11">
        <w:rPr>
          <w:i/>
          <w:lang w:val="en-US"/>
        </w:rPr>
        <w:t>th “</w:t>
      </w:r>
      <w:r w:rsidR="002768D1" w:rsidRPr="00083B11">
        <w:rPr>
          <w:i/>
        </w:rPr>
        <w:t>killings committed by non-State actors, including terrorist groups and criminal organizations”</w:t>
      </w:r>
      <w:r w:rsidR="002768D1" w:rsidRPr="000E1EA3">
        <w:t xml:space="preserve"> </w:t>
      </w:r>
      <w:r w:rsidR="002768D1">
        <w:t>(</w:t>
      </w:r>
      <w:r w:rsidR="002768D1" w:rsidRPr="005E7C14">
        <w:t>A/RES/71/198).</w:t>
      </w:r>
    </w:p>
    <w:p w14:paraId="387AE46F" w14:textId="77777777" w:rsidR="002768D1" w:rsidRPr="00553DC3" w:rsidRDefault="007371E4" w:rsidP="007371E4">
      <w:pPr>
        <w:pStyle w:val="H23G"/>
        <w:rPr>
          <w:lang w:val="en-US"/>
        </w:rPr>
      </w:pPr>
      <w:r>
        <w:rPr>
          <w:lang w:val="en-US"/>
        </w:rPr>
        <w:tab/>
      </w:r>
      <w:r w:rsidR="005146D9">
        <w:rPr>
          <w:lang w:val="en-US"/>
        </w:rPr>
        <w:t>2.</w:t>
      </w:r>
      <w:r>
        <w:rPr>
          <w:lang w:val="en-US"/>
        </w:rPr>
        <w:tab/>
      </w:r>
      <w:r w:rsidR="002768D1" w:rsidRPr="00553DC3">
        <w:rPr>
          <w:lang w:val="en-US"/>
        </w:rPr>
        <w:t>Human Rights Council</w:t>
      </w:r>
    </w:p>
    <w:p w14:paraId="5D9A5688" w14:textId="77777777" w:rsidR="002768D1" w:rsidRPr="00083B11" w:rsidRDefault="003440A9" w:rsidP="003B18D4">
      <w:pPr>
        <w:spacing w:after="120"/>
        <w:ind w:left="1134" w:right="1134"/>
        <w:jc w:val="both"/>
        <w:rPr>
          <w:lang w:val="en-US"/>
        </w:rPr>
      </w:pPr>
      <w:r>
        <w:rPr>
          <w:lang w:val="en-US"/>
        </w:rPr>
        <w:t>15</w:t>
      </w:r>
      <w:r w:rsidR="005146D9">
        <w:rPr>
          <w:lang w:val="en-US"/>
        </w:rPr>
        <w:t>.</w:t>
      </w:r>
      <w:r w:rsidR="00B52AF7">
        <w:rPr>
          <w:lang w:val="en-US"/>
        </w:rPr>
        <w:tab/>
      </w:r>
      <w:r w:rsidR="002768D1" w:rsidRPr="00083B11">
        <w:rPr>
          <w:lang w:val="en-US"/>
        </w:rPr>
        <w:t>The HRC has similarly reported on ANSA</w:t>
      </w:r>
      <w:r w:rsidR="002768D1">
        <w:rPr>
          <w:lang w:val="en-US"/>
        </w:rPr>
        <w:t>s</w:t>
      </w:r>
      <w:r w:rsidR="002768D1" w:rsidRPr="00083B11">
        <w:rPr>
          <w:lang w:val="en-US"/>
        </w:rPr>
        <w:t>, through both its country and thematic resolutions</w:t>
      </w:r>
      <w:r w:rsidR="004128EB">
        <w:rPr>
          <w:rStyle w:val="FootnoteReference"/>
          <w:lang w:val="en-US"/>
        </w:rPr>
        <w:footnoteReference w:id="12"/>
      </w:r>
      <w:r w:rsidR="002768D1" w:rsidRPr="00083B11">
        <w:rPr>
          <w:lang w:val="en-US"/>
        </w:rPr>
        <w:t xml:space="preserve">. </w:t>
      </w:r>
      <w:r w:rsidR="002768D1">
        <w:rPr>
          <w:lang w:val="en-US"/>
        </w:rPr>
        <w:t xml:space="preserve">It </w:t>
      </w:r>
      <w:r w:rsidR="002768D1" w:rsidRPr="00083B11">
        <w:rPr>
          <w:lang w:val="en-US"/>
        </w:rPr>
        <w:t>has adopted resolutions that directly named one or more ANSAs</w:t>
      </w:r>
      <w:r w:rsidR="002768D1">
        <w:rPr>
          <w:lang w:val="en-US"/>
        </w:rPr>
        <w:t>, such as resolution S-22/1</w:t>
      </w:r>
      <w:r w:rsidR="002768D1" w:rsidRPr="00083B11">
        <w:rPr>
          <w:lang w:val="en-US"/>
        </w:rPr>
        <w:t xml:space="preserve"> address</w:t>
      </w:r>
      <w:r w:rsidR="002768D1">
        <w:rPr>
          <w:lang w:val="en-US"/>
        </w:rPr>
        <w:t>ing</w:t>
      </w:r>
      <w:r w:rsidR="002768D1" w:rsidRPr="00083B11">
        <w:rPr>
          <w:lang w:val="en-US"/>
        </w:rPr>
        <w:t xml:space="preserve"> the ‘Islamic State’ and associated groups in Iraq, and resolution S-23/1 consider</w:t>
      </w:r>
      <w:r w:rsidR="002768D1">
        <w:rPr>
          <w:lang w:val="en-US"/>
        </w:rPr>
        <w:t>ing</w:t>
      </w:r>
      <w:r w:rsidR="002768D1" w:rsidRPr="00083B11">
        <w:rPr>
          <w:lang w:val="en-US"/>
        </w:rPr>
        <w:t xml:space="preserve"> Boko Haram in ‘affected States’. </w:t>
      </w:r>
      <w:r w:rsidR="002768D1">
        <w:rPr>
          <w:lang w:val="en-US"/>
        </w:rPr>
        <w:t xml:space="preserve">The HRC has also addressed </w:t>
      </w:r>
      <w:r w:rsidR="002768D1" w:rsidRPr="00083B11">
        <w:rPr>
          <w:lang w:val="en-US"/>
        </w:rPr>
        <w:t>ANSAs in general terms</w:t>
      </w:r>
      <w:r w:rsidR="002768D1">
        <w:rPr>
          <w:lang w:val="en-US"/>
        </w:rPr>
        <w:t xml:space="preserve">, although not in a uniform fashion, </w:t>
      </w:r>
      <w:r w:rsidR="002768D1" w:rsidRPr="00083B11">
        <w:rPr>
          <w:lang w:val="en-US"/>
        </w:rPr>
        <w:t xml:space="preserve">speaking of human rights ‘abuses’ </w:t>
      </w:r>
      <w:r w:rsidR="002768D1">
        <w:rPr>
          <w:lang w:val="en-US"/>
        </w:rPr>
        <w:t xml:space="preserve">or </w:t>
      </w:r>
      <w:r w:rsidR="002768D1" w:rsidRPr="00083B11">
        <w:rPr>
          <w:lang w:val="en-US"/>
        </w:rPr>
        <w:t xml:space="preserve">‘violations’.  The subjects of HRC </w:t>
      </w:r>
      <w:r w:rsidR="002768D1">
        <w:rPr>
          <w:lang w:val="en-US"/>
        </w:rPr>
        <w:t>r</w:t>
      </w:r>
      <w:r w:rsidR="002768D1" w:rsidRPr="00083B11">
        <w:rPr>
          <w:lang w:val="en-US"/>
        </w:rPr>
        <w:t xml:space="preserve">esolutions include armed groups, rebels, and terrorist </w:t>
      </w:r>
      <w:r w:rsidR="002768D1" w:rsidRPr="00083B11">
        <w:rPr>
          <w:lang w:val="en-US"/>
        </w:rPr>
        <w:lastRenderedPageBreak/>
        <w:t>organi</w:t>
      </w:r>
      <w:r w:rsidR="002768D1">
        <w:rPr>
          <w:lang w:val="en-US"/>
        </w:rPr>
        <w:t>z</w:t>
      </w:r>
      <w:r w:rsidR="002768D1" w:rsidRPr="00083B11">
        <w:rPr>
          <w:lang w:val="en-US"/>
        </w:rPr>
        <w:t>ations.</w:t>
      </w:r>
      <w:r w:rsidR="002768D1" w:rsidRPr="00430F6A">
        <w:rPr>
          <w:lang w:val="en-US"/>
        </w:rPr>
        <w:t xml:space="preserve"> </w:t>
      </w:r>
      <w:r w:rsidR="002768D1">
        <w:rPr>
          <w:lang w:val="en-US"/>
        </w:rPr>
        <w:t>O</w:t>
      </w:r>
      <w:r w:rsidR="002768D1" w:rsidRPr="00083B11">
        <w:rPr>
          <w:lang w:val="en-US"/>
        </w:rPr>
        <w:t xml:space="preserve">n at least one occasion, </w:t>
      </w:r>
      <w:r w:rsidR="002768D1">
        <w:rPr>
          <w:lang w:val="en-US"/>
        </w:rPr>
        <w:t xml:space="preserve">resolutions </w:t>
      </w:r>
      <w:r w:rsidR="002768D1" w:rsidRPr="00083B11">
        <w:rPr>
          <w:lang w:val="en-US"/>
        </w:rPr>
        <w:t xml:space="preserve">included trans-national criminal networks </w:t>
      </w:r>
      <w:r w:rsidR="002768D1">
        <w:rPr>
          <w:lang w:val="en-US"/>
        </w:rPr>
        <w:t>(Mali, A/HCR/RES/20/17, A/HRC/RES/21/25 and A/HRC/RES/22/18)</w:t>
      </w:r>
      <w:r w:rsidR="002768D1" w:rsidRPr="00083B11">
        <w:rPr>
          <w:lang w:val="en-US"/>
        </w:rPr>
        <w:t>.</w:t>
      </w:r>
    </w:p>
    <w:p w14:paraId="04F681F1" w14:textId="77777777" w:rsidR="002768D1" w:rsidRPr="00083B11" w:rsidRDefault="003440A9" w:rsidP="003B18D4">
      <w:pPr>
        <w:spacing w:after="120"/>
        <w:ind w:left="1134" w:right="1134"/>
        <w:jc w:val="both"/>
        <w:rPr>
          <w:b/>
          <w:lang w:val="en-US"/>
        </w:rPr>
      </w:pPr>
      <w:r>
        <w:rPr>
          <w:lang w:val="en-US"/>
        </w:rPr>
        <w:t>16</w:t>
      </w:r>
      <w:r w:rsidR="005146D9">
        <w:rPr>
          <w:lang w:val="en-US"/>
        </w:rPr>
        <w:t>.</w:t>
      </w:r>
      <w:r w:rsidR="00B52AF7">
        <w:rPr>
          <w:lang w:val="en-US"/>
        </w:rPr>
        <w:tab/>
      </w:r>
      <w:r w:rsidR="002768D1">
        <w:rPr>
          <w:lang w:val="en-US"/>
        </w:rPr>
        <w:t>S</w:t>
      </w:r>
      <w:r w:rsidR="002768D1" w:rsidRPr="00083B11">
        <w:rPr>
          <w:lang w:val="en-US"/>
        </w:rPr>
        <w:t xml:space="preserve">pecial </w:t>
      </w:r>
      <w:r w:rsidR="002768D1">
        <w:rPr>
          <w:lang w:val="en-US"/>
        </w:rPr>
        <w:t>p</w:t>
      </w:r>
      <w:r w:rsidR="002768D1" w:rsidRPr="00083B11">
        <w:rPr>
          <w:lang w:val="en-US"/>
        </w:rPr>
        <w:t xml:space="preserve">rocedures </w:t>
      </w:r>
      <w:r w:rsidR="002768D1">
        <w:rPr>
          <w:lang w:val="en-US"/>
        </w:rPr>
        <w:t>and</w:t>
      </w:r>
      <w:r w:rsidR="002768D1" w:rsidRPr="00083B11">
        <w:rPr>
          <w:lang w:val="en-US"/>
        </w:rPr>
        <w:t xml:space="preserve"> </w:t>
      </w:r>
      <w:r w:rsidR="002768D1">
        <w:rPr>
          <w:lang w:val="en-US"/>
        </w:rPr>
        <w:t>COIs</w:t>
      </w:r>
      <w:r w:rsidR="002768D1" w:rsidRPr="00083B11">
        <w:rPr>
          <w:lang w:val="en-US"/>
        </w:rPr>
        <w:t xml:space="preserve"> have </w:t>
      </w:r>
      <w:r w:rsidR="002768D1">
        <w:rPr>
          <w:lang w:val="en-US"/>
        </w:rPr>
        <w:t xml:space="preserve">also </w:t>
      </w:r>
      <w:r w:rsidR="002768D1" w:rsidRPr="00083B11">
        <w:rPr>
          <w:lang w:val="en-US"/>
        </w:rPr>
        <w:t>included a focus on ANSAs. COI</w:t>
      </w:r>
      <w:r w:rsidR="002768D1">
        <w:rPr>
          <w:lang w:val="en-US"/>
        </w:rPr>
        <w:t>s</w:t>
      </w:r>
      <w:r w:rsidR="002768D1" w:rsidRPr="00083B11">
        <w:rPr>
          <w:lang w:val="en-US"/>
        </w:rPr>
        <w:t xml:space="preserve"> have sought to ground </w:t>
      </w:r>
      <w:r w:rsidR="002768D1">
        <w:rPr>
          <w:lang w:val="en-US"/>
        </w:rPr>
        <w:t xml:space="preserve">ANSAs </w:t>
      </w:r>
      <w:r w:rsidR="002768D1" w:rsidRPr="00083B11">
        <w:rPr>
          <w:lang w:val="en-US"/>
        </w:rPr>
        <w:t>human rights obligations</w:t>
      </w:r>
      <w:r w:rsidR="002768D1">
        <w:rPr>
          <w:lang w:val="en-US"/>
        </w:rPr>
        <w:t xml:space="preserve"> </w:t>
      </w:r>
      <w:r w:rsidR="002768D1" w:rsidRPr="00083B11">
        <w:rPr>
          <w:lang w:val="en-US"/>
        </w:rPr>
        <w:t>in the fact of control of territory</w:t>
      </w:r>
      <w:r w:rsidR="002768D1">
        <w:rPr>
          <w:lang w:val="en-US"/>
        </w:rPr>
        <w:t xml:space="preserve"> and population</w:t>
      </w:r>
      <w:r w:rsidR="002768D1" w:rsidRPr="00083B11">
        <w:rPr>
          <w:lang w:val="en-US"/>
        </w:rPr>
        <w:t xml:space="preserve"> an</w:t>
      </w:r>
      <w:r w:rsidR="002768D1">
        <w:rPr>
          <w:lang w:val="en-US"/>
        </w:rPr>
        <w:t>d made recommendations to both S</w:t>
      </w:r>
      <w:r w:rsidR="002768D1" w:rsidRPr="00083B11">
        <w:rPr>
          <w:lang w:val="en-US"/>
        </w:rPr>
        <w:t>tates and armed groups with no obvious distinction, prompting an observer to note: “</w:t>
      </w:r>
      <w:r w:rsidR="002768D1" w:rsidRPr="00083B11">
        <w:rPr>
          <w:i/>
          <w:lang w:val="en-US"/>
        </w:rPr>
        <w:t>there seemed to be a growing tendency to view the violations ‘thematically’, without any particular (special) attention, as to whether such violation were committed by a state or non-state actor.  Indeed, the Syria CoI for instance insisted that peremptory norms (</w:t>
      </w:r>
      <w:r w:rsidR="002768D1" w:rsidRPr="00083B11">
        <w:rPr>
          <w:b/>
          <w:i/>
          <w:lang w:val="en-US"/>
        </w:rPr>
        <w:t>jus cogens</w:t>
      </w:r>
      <w:r w:rsidR="002768D1" w:rsidRPr="00083B11">
        <w:rPr>
          <w:i/>
          <w:lang w:val="en-US"/>
        </w:rPr>
        <w:t xml:space="preserve">) bind individuals and non-state entities, while the Panel of experts on Accountability in Sri Lanka considered that ANSAs with </w:t>
      </w:r>
      <w:r w:rsidR="002768D1" w:rsidRPr="00083B11">
        <w:rPr>
          <w:b/>
          <w:i/>
          <w:lang w:val="en-US"/>
        </w:rPr>
        <w:lastRenderedPageBreak/>
        <w:t>territorial control</w:t>
      </w:r>
      <w:r w:rsidR="002768D1" w:rsidRPr="00083B11">
        <w:rPr>
          <w:i/>
          <w:lang w:val="en-US"/>
        </w:rPr>
        <w:t xml:space="preserve"> – such as the LTTE – were bound to respect the most basic set of human rights</w:t>
      </w:r>
      <w:r w:rsidR="004128EB">
        <w:rPr>
          <w:rStyle w:val="FootnoteReference"/>
          <w:i/>
          <w:lang w:val="en-US"/>
        </w:rPr>
        <w:footnoteReference w:id="13"/>
      </w:r>
      <w:r w:rsidR="002768D1" w:rsidRPr="00083B11">
        <w:rPr>
          <w:i/>
          <w:lang w:val="en-US"/>
        </w:rPr>
        <w:t>.</w:t>
      </w:r>
      <w:r w:rsidR="002768D1" w:rsidRPr="00083B11">
        <w:rPr>
          <w:lang w:val="en-US"/>
        </w:rPr>
        <w:t xml:space="preserve">” </w:t>
      </w:r>
    </w:p>
    <w:p w14:paraId="7FE3A88E" w14:textId="77777777" w:rsidR="002768D1" w:rsidRPr="00083B11" w:rsidRDefault="003440A9" w:rsidP="003B18D4">
      <w:pPr>
        <w:spacing w:after="120"/>
        <w:ind w:left="1134" w:right="1134"/>
        <w:jc w:val="both"/>
        <w:rPr>
          <w:lang w:val="en-US"/>
        </w:rPr>
      </w:pPr>
      <w:r>
        <w:rPr>
          <w:lang w:val="en-US"/>
        </w:rPr>
        <w:t>17</w:t>
      </w:r>
      <w:r w:rsidR="005146D9">
        <w:rPr>
          <w:lang w:val="en-US"/>
        </w:rPr>
        <w:t>.</w:t>
      </w:r>
      <w:r w:rsidR="00B52AF7">
        <w:rPr>
          <w:lang w:val="en-US"/>
        </w:rPr>
        <w:tab/>
      </w:r>
      <w:r w:rsidR="002768D1" w:rsidRPr="00083B11">
        <w:rPr>
          <w:lang w:val="en-US"/>
        </w:rPr>
        <w:t>Since its establishment</w:t>
      </w:r>
      <w:r w:rsidR="002768D1">
        <w:rPr>
          <w:lang w:val="en-US"/>
        </w:rPr>
        <w:t xml:space="preserve"> in 1982</w:t>
      </w:r>
      <w:r w:rsidR="002768D1" w:rsidRPr="00083B11">
        <w:rPr>
          <w:lang w:val="en-US"/>
        </w:rPr>
        <w:t xml:space="preserve">, the </w:t>
      </w:r>
      <w:r w:rsidR="002768D1">
        <w:rPr>
          <w:lang w:val="en-US"/>
        </w:rPr>
        <w:t>m</w:t>
      </w:r>
      <w:r w:rsidR="002768D1" w:rsidRPr="00083B11">
        <w:rPr>
          <w:lang w:val="en-US"/>
        </w:rPr>
        <w:t xml:space="preserve">andate on extra-judicial executions has focused on a variety of situations that have included killings by </w:t>
      </w:r>
      <w:r w:rsidR="002768D1">
        <w:rPr>
          <w:lang w:val="en-US"/>
        </w:rPr>
        <w:t>ANSAs</w:t>
      </w:r>
      <w:r w:rsidR="002768D1" w:rsidRPr="00083B11">
        <w:rPr>
          <w:lang w:val="en-US"/>
        </w:rPr>
        <w:t xml:space="preserve">, including through a focus on State’s due diligence and on the direct human rights responsibilities of ANSAs in the context of </w:t>
      </w:r>
      <w:r w:rsidR="002768D1">
        <w:rPr>
          <w:lang w:val="en-US"/>
        </w:rPr>
        <w:t>NIACs</w:t>
      </w:r>
      <w:r w:rsidR="002768D1" w:rsidRPr="00083B11">
        <w:rPr>
          <w:lang w:val="en-US"/>
        </w:rPr>
        <w:t xml:space="preserve">. Particularly noteworthy is the 2005 Sri Lanka mission report: </w:t>
      </w:r>
    </w:p>
    <w:p w14:paraId="5BC63DA7" w14:textId="77777777" w:rsidR="002768D1" w:rsidRPr="00083B11" w:rsidRDefault="002768D1" w:rsidP="003B18D4">
      <w:pPr>
        <w:tabs>
          <w:tab w:val="left" w:pos="8505"/>
        </w:tabs>
        <w:spacing w:after="120"/>
        <w:ind w:left="1134" w:right="1134"/>
        <w:jc w:val="both"/>
        <w:rPr>
          <w:i/>
          <w:lang w:val="en-US"/>
        </w:rPr>
      </w:pPr>
      <w:r w:rsidRPr="00083B11">
        <w:rPr>
          <w:i/>
          <w:lang w:val="en-US"/>
        </w:rPr>
        <w:t xml:space="preserve">Human rights norms operate on three levels - as the rights of individuals, as obligations assumed by States, and </w:t>
      </w:r>
      <w:r w:rsidRPr="00083B11">
        <w:rPr>
          <w:b/>
          <w:i/>
          <w:lang w:val="en-US"/>
        </w:rPr>
        <w:t xml:space="preserve">as legitimate expectations of the </w:t>
      </w:r>
      <w:r w:rsidRPr="00083B11">
        <w:rPr>
          <w:b/>
          <w:i/>
          <w:lang w:val="en-US"/>
        </w:rPr>
        <w:lastRenderedPageBreak/>
        <w:t>international community..</w:t>
      </w:r>
      <w:r w:rsidRPr="00083B11">
        <w:rPr>
          <w:i/>
          <w:lang w:val="en-US"/>
        </w:rPr>
        <w:t xml:space="preserve">. As a non-State actor, the LTTE </w:t>
      </w:r>
      <w:r>
        <w:rPr>
          <w:i/>
          <w:lang w:val="en-US"/>
        </w:rPr>
        <w:t>[</w:t>
      </w:r>
      <w:r w:rsidRPr="00083B11">
        <w:rPr>
          <w:i/>
          <w:lang w:val="en-US"/>
        </w:rPr>
        <w:t>…</w:t>
      </w:r>
      <w:r>
        <w:rPr>
          <w:i/>
          <w:lang w:val="en-US"/>
        </w:rPr>
        <w:t>]</w:t>
      </w:r>
      <w:r w:rsidRPr="00083B11">
        <w:rPr>
          <w:i/>
          <w:lang w:val="en-US"/>
        </w:rPr>
        <w:t xml:space="preserve"> remains subject to the </w:t>
      </w:r>
      <w:r w:rsidRPr="00083B11">
        <w:rPr>
          <w:b/>
          <w:i/>
          <w:lang w:val="en-US"/>
        </w:rPr>
        <w:t>demand of the international community</w:t>
      </w:r>
      <w:r w:rsidRPr="00083B11">
        <w:rPr>
          <w:i/>
          <w:lang w:val="en-US"/>
        </w:rPr>
        <w:t>, first expressed in the Universal Declaration of Human Rights, that every organ of society respect and promote human rights</w:t>
      </w:r>
      <w:r>
        <w:rPr>
          <w:i/>
          <w:lang w:val="en-US"/>
        </w:rPr>
        <w:t xml:space="preserve"> </w:t>
      </w:r>
      <w:r>
        <w:rPr>
          <w:lang w:val="en-US"/>
        </w:rPr>
        <w:t>(E/CN.4/2006/53/Add.5)</w:t>
      </w:r>
      <w:r w:rsidRPr="00083B11">
        <w:rPr>
          <w:i/>
          <w:lang w:val="en-US"/>
        </w:rPr>
        <w:t>.</w:t>
      </w:r>
    </w:p>
    <w:p w14:paraId="5F38296D" w14:textId="77777777" w:rsidR="002768D1" w:rsidRPr="00083B11" w:rsidRDefault="003440A9" w:rsidP="003B18D4">
      <w:pPr>
        <w:spacing w:after="120"/>
        <w:ind w:left="1134" w:right="1134"/>
        <w:jc w:val="both"/>
        <w:rPr>
          <w:lang w:val="en-US"/>
        </w:rPr>
      </w:pPr>
      <w:r>
        <w:rPr>
          <w:lang w:val="en-US"/>
        </w:rPr>
        <w:t>18</w:t>
      </w:r>
      <w:r w:rsidR="005146D9">
        <w:rPr>
          <w:lang w:val="en-US"/>
        </w:rPr>
        <w:t>.</w:t>
      </w:r>
      <w:r w:rsidR="00B52AF7">
        <w:rPr>
          <w:lang w:val="en-US"/>
        </w:rPr>
        <w:tab/>
      </w:r>
      <w:r w:rsidR="002768D1" w:rsidRPr="00083B11">
        <w:rPr>
          <w:lang w:val="en-US"/>
        </w:rPr>
        <w:t>In subsequent reports on Afghanistan, Colombia, D</w:t>
      </w:r>
      <w:r w:rsidR="002768D1">
        <w:rPr>
          <w:lang w:val="en-US"/>
        </w:rPr>
        <w:t>RC</w:t>
      </w:r>
      <w:r w:rsidR="002768D1" w:rsidRPr="00083B11">
        <w:rPr>
          <w:lang w:val="en-US"/>
        </w:rPr>
        <w:t xml:space="preserve"> and Sri Lanka, the Special Rapporteur elaborated that ANSAs with territorial and population control, and an identifiable political structure, have human rights obligations and ought to respect human rights and humanitarian law norms. A </w:t>
      </w:r>
      <w:r w:rsidR="002768D1">
        <w:rPr>
          <w:lang w:val="en-US"/>
        </w:rPr>
        <w:t>similar</w:t>
      </w:r>
      <w:r w:rsidR="002768D1" w:rsidRPr="00083B11">
        <w:rPr>
          <w:lang w:val="en-US"/>
        </w:rPr>
        <w:t xml:space="preserve"> approach has been adopted by other UN mechanisms, such as the Fact-Finding Mission on the Gaza Conflict</w:t>
      </w:r>
      <w:r w:rsidR="002768D1">
        <w:rPr>
          <w:lang w:val="en-US"/>
        </w:rPr>
        <w:t xml:space="preserve"> (A/HRC/12/48)</w:t>
      </w:r>
      <w:r w:rsidR="002768D1" w:rsidRPr="00083B11">
        <w:rPr>
          <w:lang w:val="en-US"/>
        </w:rPr>
        <w:t xml:space="preserve">. </w:t>
      </w:r>
    </w:p>
    <w:p w14:paraId="089A1ACF" w14:textId="77777777" w:rsidR="002768D1" w:rsidRPr="00553DC3" w:rsidRDefault="007371E4" w:rsidP="007371E4">
      <w:pPr>
        <w:pStyle w:val="H23G"/>
        <w:rPr>
          <w:lang w:val="en-US"/>
        </w:rPr>
      </w:pPr>
      <w:r>
        <w:rPr>
          <w:lang w:val="en-US"/>
        </w:rPr>
        <w:tab/>
      </w:r>
      <w:r w:rsidR="005146D9">
        <w:rPr>
          <w:lang w:val="en-US"/>
        </w:rPr>
        <w:t>3.</w:t>
      </w:r>
      <w:r>
        <w:rPr>
          <w:lang w:val="en-US"/>
        </w:rPr>
        <w:tab/>
      </w:r>
      <w:r w:rsidR="002768D1" w:rsidRPr="00553DC3">
        <w:rPr>
          <w:lang w:val="en-US"/>
        </w:rPr>
        <w:t>Key Implications</w:t>
      </w:r>
    </w:p>
    <w:p w14:paraId="1B03335F" w14:textId="77777777" w:rsidR="002768D1" w:rsidRDefault="003440A9" w:rsidP="00B52AF7">
      <w:pPr>
        <w:spacing w:after="120"/>
        <w:ind w:left="1134" w:right="1134"/>
        <w:jc w:val="both"/>
        <w:rPr>
          <w:bCs/>
          <w:lang w:val="en-US"/>
        </w:rPr>
      </w:pPr>
      <w:r>
        <w:rPr>
          <w:bCs/>
          <w:lang w:val="en-US"/>
        </w:rPr>
        <w:t>19</w:t>
      </w:r>
      <w:r w:rsidR="005146D9">
        <w:rPr>
          <w:bCs/>
          <w:lang w:val="en-US"/>
        </w:rPr>
        <w:t>.</w:t>
      </w:r>
      <w:r w:rsidR="00B52AF7">
        <w:rPr>
          <w:bCs/>
          <w:lang w:val="en-US"/>
        </w:rPr>
        <w:tab/>
      </w:r>
      <w:r w:rsidR="002768D1" w:rsidRPr="00083B11">
        <w:rPr>
          <w:bCs/>
          <w:lang w:val="en-US"/>
        </w:rPr>
        <w:t xml:space="preserve">Spanning over 20 years, Member States have regularly addressed ANSAs both as perpetrators of human rights violations and as duty-bearers. </w:t>
      </w:r>
      <w:r w:rsidR="002768D1" w:rsidRPr="00083B11">
        <w:rPr>
          <w:lang w:val="en-US"/>
        </w:rPr>
        <w:lastRenderedPageBreak/>
        <w:t>Their verbal acts reflect concerted efforts to strengthen international protection of civilians</w:t>
      </w:r>
      <w:r w:rsidR="002768D1">
        <w:rPr>
          <w:lang w:val="en-US"/>
        </w:rPr>
        <w:t xml:space="preserve"> (e.g. S/RES/1894, preamble (2009))</w:t>
      </w:r>
      <w:r w:rsidR="002768D1" w:rsidRPr="00083B11">
        <w:rPr>
          <w:lang w:val="en-US"/>
        </w:rPr>
        <w:t xml:space="preserve">. </w:t>
      </w:r>
      <w:r w:rsidR="002768D1">
        <w:rPr>
          <w:lang w:val="en-US"/>
        </w:rPr>
        <w:t xml:space="preserve">A number of them </w:t>
      </w:r>
      <w:r w:rsidR="002768D1" w:rsidRPr="00083B11">
        <w:rPr>
          <w:bCs/>
          <w:lang w:val="en-US"/>
        </w:rPr>
        <w:t>have engaged with ANSAs within or outside their territories, for the purposes of peace-making, or civilians protection. These develo</w:t>
      </w:r>
      <w:r w:rsidR="002768D1">
        <w:rPr>
          <w:bCs/>
          <w:lang w:val="en-US"/>
        </w:rPr>
        <w:t>pments, along with the work of special p</w:t>
      </w:r>
      <w:r w:rsidR="002768D1" w:rsidRPr="00083B11">
        <w:rPr>
          <w:bCs/>
          <w:lang w:val="en-US"/>
        </w:rPr>
        <w:t xml:space="preserve">rocedures, highlight the following: </w:t>
      </w:r>
    </w:p>
    <w:p w14:paraId="64D67184" w14:textId="77777777" w:rsidR="002768D1" w:rsidRPr="00083B11" w:rsidRDefault="002768D1" w:rsidP="007371E4">
      <w:pPr>
        <w:pStyle w:val="Bullet2G"/>
        <w:rPr>
          <w:lang w:val="en-US"/>
        </w:rPr>
      </w:pPr>
      <w:r w:rsidRPr="00083B11">
        <w:rPr>
          <w:lang w:val="en-US"/>
        </w:rPr>
        <w:t>ANSA</w:t>
      </w:r>
      <w:r>
        <w:rPr>
          <w:lang w:val="en-US"/>
        </w:rPr>
        <w:t>s</w:t>
      </w:r>
      <w:r w:rsidRPr="00083B11">
        <w:rPr>
          <w:lang w:val="en-US"/>
        </w:rPr>
        <w:t xml:space="preserve"> are addressed as human rights duty-bearer</w:t>
      </w:r>
      <w:r>
        <w:rPr>
          <w:lang w:val="en-US"/>
        </w:rPr>
        <w:t>s</w:t>
      </w:r>
      <w:r w:rsidRPr="00083B11">
        <w:rPr>
          <w:lang w:val="en-US"/>
        </w:rPr>
        <w:t xml:space="preserve">. </w:t>
      </w:r>
    </w:p>
    <w:p w14:paraId="11CDC307" w14:textId="0C38F594" w:rsidR="002768D1" w:rsidRPr="00083B11" w:rsidRDefault="002768D1" w:rsidP="007371E4">
      <w:pPr>
        <w:pStyle w:val="Bullet2G"/>
        <w:rPr>
          <w:lang w:val="en-US"/>
        </w:rPr>
      </w:pPr>
      <w:r w:rsidRPr="00083B11">
        <w:rPr>
          <w:lang w:val="en-US"/>
        </w:rPr>
        <w:t>International obligations applicable to ANSAs are derived from international human rights, humanita</w:t>
      </w:r>
      <w:r w:rsidR="00DB3FDA">
        <w:rPr>
          <w:lang w:val="en-US"/>
        </w:rPr>
        <w:t>rian, refugee, and criminal law.</w:t>
      </w:r>
    </w:p>
    <w:p w14:paraId="1DBF9081" w14:textId="77777777" w:rsidR="002768D1" w:rsidRPr="00083B11" w:rsidRDefault="002768D1" w:rsidP="007371E4">
      <w:pPr>
        <w:pStyle w:val="Bullet2G"/>
        <w:rPr>
          <w:lang w:val="en-US"/>
        </w:rPr>
      </w:pPr>
      <w:r w:rsidRPr="00083B11">
        <w:rPr>
          <w:lang w:val="en-US"/>
        </w:rPr>
        <w:t>ANSA</w:t>
      </w:r>
      <w:r>
        <w:rPr>
          <w:lang w:val="en-US"/>
        </w:rPr>
        <w:t>s</w:t>
      </w:r>
      <w:r w:rsidRPr="00083B11">
        <w:rPr>
          <w:lang w:val="en-US"/>
        </w:rPr>
        <w:t xml:space="preserve"> obligations may include the obligation to respect </w:t>
      </w:r>
      <w:r>
        <w:rPr>
          <w:i/>
          <w:lang w:val="en-US"/>
        </w:rPr>
        <w:t>jus c</w:t>
      </w:r>
      <w:r w:rsidRPr="00083B11">
        <w:rPr>
          <w:i/>
          <w:lang w:val="en-US"/>
        </w:rPr>
        <w:t>ogens</w:t>
      </w:r>
      <w:r w:rsidRPr="00083B11">
        <w:rPr>
          <w:lang w:val="en-US"/>
        </w:rPr>
        <w:t xml:space="preserve"> norms, customary human rights and humanitarian law or they may be broader. </w:t>
      </w:r>
    </w:p>
    <w:p w14:paraId="591757BD" w14:textId="77777777" w:rsidR="002768D1" w:rsidRPr="00083B11" w:rsidRDefault="002768D1" w:rsidP="007371E4">
      <w:pPr>
        <w:pStyle w:val="Bullet2G"/>
        <w:rPr>
          <w:lang w:val="en-US"/>
        </w:rPr>
      </w:pPr>
      <w:r w:rsidRPr="00083B11">
        <w:rPr>
          <w:lang w:val="en-US"/>
        </w:rPr>
        <w:t>ANSA</w:t>
      </w:r>
      <w:r>
        <w:rPr>
          <w:lang w:val="en-US"/>
        </w:rPr>
        <w:t>s</w:t>
      </w:r>
      <w:r w:rsidRPr="00083B11">
        <w:rPr>
          <w:lang w:val="en-US"/>
        </w:rPr>
        <w:t xml:space="preserve"> </w:t>
      </w:r>
      <w:r>
        <w:rPr>
          <w:lang w:val="en-US"/>
        </w:rPr>
        <w:t>that</w:t>
      </w:r>
      <w:r w:rsidRPr="00083B11">
        <w:rPr>
          <w:lang w:val="en-US"/>
        </w:rPr>
        <w:t xml:space="preserve"> have displaced the </w:t>
      </w:r>
      <w:r w:rsidRPr="00083B11">
        <w:rPr>
          <w:i/>
          <w:lang w:val="en-US"/>
        </w:rPr>
        <w:t>de jure</w:t>
      </w:r>
      <w:r w:rsidRPr="00083B11">
        <w:rPr>
          <w:lang w:val="en-US"/>
        </w:rPr>
        <w:t xml:space="preserve"> government and established (exclusive) territorial control are responsible for the protection (and violations) of human rights in the areas under their control. </w:t>
      </w:r>
    </w:p>
    <w:p w14:paraId="6F8DD44F" w14:textId="77777777" w:rsidR="002768D1" w:rsidRPr="00083B11" w:rsidRDefault="003440A9" w:rsidP="00B52AF7">
      <w:pPr>
        <w:spacing w:after="120"/>
        <w:ind w:left="1134" w:right="1134"/>
        <w:jc w:val="both"/>
        <w:rPr>
          <w:lang w:val="en-US"/>
        </w:rPr>
      </w:pPr>
      <w:r>
        <w:rPr>
          <w:bCs/>
          <w:lang w:val="en-US"/>
        </w:rPr>
        <w:t>20</w:t>
      </w:r>
      <w:r w:rsidR="005146D9">
        <w:rPr>
          <w:bCs/>
          <w:lang w:val="en-US"/>
        </w:rPr>
        <w:t>.</w:t>
      </w:r>
      <w:r w:rsidR="00B52AF7">
        <w:rPr>
          <w:bCs/>
          <w:lang w:val="en-US"/>
        </w:rPr>
        <w:tab/>
      </w:r>
      <w:r w:rsidR="002768D1" w:rsidRPr="00083B11">
        <w:rPr>
          <w:bCs/>
          <w:lang w:val="en-US"/>
        </w:rPr>
        <w:t xml:space="preserve">Commentators tend to agree that </w:t>
      </w:r>
      <w:r w:rsidR="002768D1" w:rsidRPr="00083B11">
        <w:rPr>
          <w:lang w:val="en-US"/>
        </w:rPr>
        <w:t xml:space="preserve">UNGA resolutions </w:t>
      </w:r>
      <w:r w:rsidR="002768D1" w:rsidRPr="00083B11">
        <w:rPr>
          <w:lang w:val="en-US"/>
        </w:rPr>
        <w:lastRenderedPageBreak/>
        <w:t>are no</w:t>
      </w:r>
      <w:r w:rsidR="002768D1">
        <w:rPr>
          <w:lang w:val="en-US"/>
        </w:rPr>
        <w:t>t binding but reflect emerging S</w:t>
      </w:r>
      <w:r w:rsidR="002768D1" w:rsidRPr="00083B11">
        <w:rPr>
          <w:lang w:val="en-US"/>
        </w:rPr>
        <w:t xml:space="preserve">tate practice or </w:t>
      </w:r>
      <w:r w:rsidR="002768D1" w:rsidRPr="00083B11">
        <w:rPr>
          <w:i/>
          <w:lang w:val="en-US"/>
        </w:rPr>
        <w:t>opinio juris</w:t>
      </w:r>
      <w:r w:rsidR="002768D1" w:rsidRPr="00083B11">
        <w:rPr>
          <w:lang w:val="en-US"/>
        </w:rPr>
        <w:t>. Some UNSC decisions expressly adopted under Chapter VII impose legal obligations on States,</w:t>
      </w:r>
      <w:r w:rsidR="004128EB">
        <w:rPr>
          <w:rStyle w:val="FootnoteReference"/>
          <w:lang w:val="en-US"/>
        </w:rPr>
        <w:footnoteReference w:id="14"/>
      </w:r>
      <w:r w:rsidR="002768D1" w:rsidRPr="00083B11">
        <w:rPr>
          <w:bCs/>
          <w:i/>
          <w:lang w:val="en-US"/>
        </w:rPr>
        <w:t xml:space="preserve"> </w:t>
      </w:r>
      <w:r w:rsidR="002768D1" w:rsidRPr="00083B11">
        <w:rPr>
          <w:bCs/>
          <w:lang w:val="en-US"/>
        </w:rPr>
        <w:t>while</w:t>
      </w:r>
      <w:r w:rsidR="002768D1" w:rsidRPr="00083B11">
        <w:rPr>
          <w:bCs/>
          <w:i/>
          <w:lang w:val="en-US"/>
        </w:rPr>
        <w:t xml:space="preserve"> </w:t>
      </w:r>
      <w:r w:rsidR="002768D1" w:rsidRPr="00083B11">
        <w:rPr>
          <w:bCs/>
          <w:lang w:val="en-US"/>
        </w:rPr>
        <w:t>other</w:t>
      </w:r>
      <w:r w:rsidR="002768D1" w:rsidRPr="00083B11">
        <w:rPr>
          <w:bCs/>
          <w:i/>
          <w:lang w:val="en-US"/>
        </w:rPr>
        <w:t xml:space="preserve"> </w:t>
      </w:r>
      <w:r w:rsidR="002768D1" w:rsidRPr="00083B11">
        <w:rPr>
          <w:lang w:val="en-US"/>
        </w:rPr>
        <w:t>resolutions may be of great relevance to the format</w:t>
      </w:r>
      <w:r w:rsidR="002768D1">
        <w:rPr>
          <w:lang w:val="en-US"/>
        </w:rPr>
        <w:t>ion of opinio</w:t>
      </w:r>
      <w:r w:rsidR="002768D1" w:rsidRPr="00083B11">
        <w:rPr>
          <w:lang w:val="en-US"/>
        </w:rPr>
        <w:t xml:space="preserve"> juris.</w:t>
      </w:r>
      <w:r w:rsidR="004128EB">
        <w:rPr>
          <w:rStyle w:val="FootnoteReference"/>
          <w:lang w:val="en-US"/>
        </w:rPr>
        <w:footnoteReference w:id="15"/>
      </w:r>
      <w:r w:rsidR="002768D1" w:rsidRPr="00083B11">
        <w:rPr>
          <w:lang w:val="en-US"/>
        </w:rPr>
        <w:t xml:space="preserve"> Whether the UNSC resolutions addressing ANSAs are binding on these ANSAs remains unclear and debated</w:t>
      </w:r>
      <w:r w:rsidR="004128EB">
        <w:rPr>
          <w:rStyle w:val="FootnoteReference"/>
          <w:lang w:val="en-US"/>
        </w:rPr>
        <w:footnoteReference w:id="16"/>
      </w:r>
      <w:r w:rsidR="002768D1" w:rsidRPr="00083B11">
        <w:rPr>
          <w:lang w:val="en-US"/>
        </w:rPr>
        <w:t xml:space="preserve">. Notwithstanding their legal effect, these developments demonstrate that </w:t>
      </w:r>
      <w:r w:rsidR="002768D1">
        <w:rPr>
          <w:lang w:val="en-US"/>
        </w:rPr>
        <w:t xml:space="preserve">over </w:t>
      </w:r>
      <w:r w:rsidR="002768D1" w:rsidRPr="00083B11">
        <w:rPr>
          <w:lang w:val="en-US"/>
        </w:rPr>
        <w:t xml:space="preserve">the last decades, Member States, UNSC and UNGA, </w:t>
      </w:r>
      <w:r w:rsidR="002768D1">
        <w:rPr>
          <w:lang w:val="en-US"/>
        </w:rPr>
        <w:t>HRC and a number of special p</w:t>
      </w:r>
      <w:r w:rsidR="002768D1" w:rsidRPr="00083B11">
        <w:rPr>
          <w:lang w:val="en-US"/>
        </w:rPr>
        <w:t xml:space="preserve">rocedures have </w:t>
      </w:r>
      <w:r w:rsidR="002768D1">
        <w:rPr>
          <w:lang w:val="en-US"/>
        </w:rPr>
        <w:t xml:space="preserve">increasingly </w:t>
      </w:r>
      <w:r w:rsidR="002768D1" w:rsidRPr="00083B11">
        <w:rPr>
          <w:lang w:val="en-US"/>
        </w:rPr>
        <w:t xml:space="preserve">recognized that the conduct of a large number of ANSAs can amount to violations of human rights.  </w:t>
      </w:r>
    </w:p>
    <w:p w14:paraId="2F16D50F" w14:textId="77777777" w:rsidR="002768D1" w:rsidRPr="00553DC3" w:rsidRDefault="00C84BBC" w:rsidP="00C84BBC">
      <w:pPr>
        <w:pStyle w:val="H1G"/>
        <w:rPr>
          <w:u w:val="single"/>
          <w:lang w:val="en-US"/>
        </w:rPr>
      </w:pPr>
      <w:r>
        <w:rPr>
          <w:lang w:val="en-US"/>
        </w:rPr>
        <w:lastRenderedPageBreak/>
        <w:tab/>
      </w:r>
      <w:r w:rsidR="005146D9">
        <w:rPr>
          <w:lang w:val="en-US"/>
        </w:rPr>
        <w:t>B.</w:t>
      </w:r>
      <w:r w:rsidR="002768D1">
        <w:rPr>
          <w:lang w:val="en-US"/>
        </w:rPr>
        <w:tab/>
        <w:t>Existing limitations and d</w:t>
      </w:r>
      <w:r w:rsidR="002768D1" w:rsidRPr="00553DC3">
        <w:rPr>
          <w:lang w:val="en-US"/>
        </w:rPr>
        <w:t>eficits</w:t>
      </w:r>
    </w:p>
    <w:p w14:paraId="19F86BC1" w14:textId="77777777" w:rsidR="002768D1" w:rsidRPr="00083B11" w:rsidRDefault="002768D1" w:rsidP="00B52AF7">
      <w:pPr>
        <w:spacing w:after="120"/>
        <w:ind w:left="1134" w:right="1134"/>
        <w:jc w:val="both"/>
        <w:rPr>
          <w:lang w:val="en-US"/>
        </w:rPr>
      </w:pPr>
      <w:r>
        <w:rPr>
          <w:lang w:val="en-US"/>
        </w:rPr>
        <w:t>2</w:t>
      </w:r>
      <w:r w:rsidR="003440A9">
        <w:rPr>
          <w:lang w:val="en-US"/>
        </w:rPr>
        <w:t>1</w:t>
      </w:r>
      <w:r w:rsidR="005146D9">
        <w:rPr>
          <w:lang w:val="en-US"/>
        </w:rPr>
        <w:t>.</w:t>
      </w:r>
      <w:r w:rsidR="00B52AF7">
        <w:rPr>
          <w:lang w:val="en-US"/>
        </w:rPr>
        <w:tab/>
      </w:r>
      <w:r w:rsidRPr="00083B11">
        <w:rPr>
          <w:lang w:val="en-US"/>
        </w:rPr>
        <w:t>An important rational</w:t>
      </w:r>
      <w:r>
        <w:rPr>
          <w:lang w:val="en-US"/>
        </w:rPr>
        <w:t>e</w:t>
      </w:r>
      <w:r w:rsidRPr="00083B11">
        <w:rPr>
          <w:lang w:val="en-US"/>
        </w:rPr>
        <w:t xml:space="preserve"> for binding ANSAs to human rights obligations is that the current legal framework to hold </w:t>
      </w:r>
      <w:r>
        <w:rPr>
          <w:lang w:val="en-US"/>
        </w:rPr>
        <w:t xml:space="preserve">them </w:t>
      </w:r>
      <w:r w:rsidRPr="00083B11">
        <w:rPr>
          <w:lang w:val="en-US"/>
        </w:rPr>
        <w:t>account</w:t>
      </w:r>
      <w:r>
        <w:rPr>
          <w:lang w:val="en-US"/>
        </w:rPr>
        <w:t>able</w:t>
      </w:r>
      <w:r w:rsidRPr="00083B11">
        <w:rPr>
          <w:lang w:val="en-US"/>
        </w:rPr>
        <w:t xml:space="preserve"> </w:t>
      </w:r>
      <w:r>
        <w:rPr>
          <w:lang w:val="en-US"/>
        </w:rPr>
        <w:t xml:space="preserve">has </w:t>
      </w:r>
      <w:r w:rsidRPr="00083B11">
        <w:rPr>
          <w:lang w:val="en-US"/>
        </w:rPr>
        <w:t xml:space="preserve">unacceptably large deficits </w:t>
      </w:r>
      <w:r>
        <w:rPr>
          <w:lang w:val="en-US"/>
        </w:rPr>
        <w:t xml:space="preserve">with regard to access to </w:t>
      </w:r>
      <w:r w:rsidRPr="00083B11">
        <w:rPr>
          <w:lang w:val="en-US"/>
        </w:rPr>
        <w:t>justice, remedies, and reparations. State’s implementation of the Basic Principles and Guidelines on the Right to a Remedy and Reparations (</w:t>
      </w:r>
      <w:r>
        <w:rPr>
          <w:lang w:val="en-US"/>
        </w:rPr>
        <w:t>A/RES/60/147</w:t>
      </w:r>
      <w:r w:rsidRPr="00083B11">
        <w:rPr>
          <w:lang w:val="en-US"/>
        </w:rPr>
        <w:t xml:space="preserve">) under </w:t>
      </w:r>
      <w:r>
        <w:rPr>
          <w:lang w:val="en-US"/>
        </w:rPr>
        <w:t>IHL and IHRL</w:t>
      </w:r>
      <w:r w:rsidR="00BE6091">
        <w:rPr>
          <w:rStyle w:val="FootnoteReference"/>
          <w:lang w:val="en-US"/>
        </w:rPr>
        <w:footnoteReference w:id="17"/>
      </w:r>
      <w:r w:rsidRPr="00083B11">
        <w:rPr>
          <w:lang w:val="en-US"/>
        </w:rPr>
        <w:t xml:space="preserve"> is a recurring difficulty.</w:t>
      </w:r>
      <w:bookmarkStart w:id="7" w:name="_Ref507850128"/>
      <w:r w:rsidR="00BE6091">
        <w:rPr>
          <w:rStyle w:val="FootnoteReference"/>
          <w:lang w:val="en-US"/>
        </w:rPr>
        <w:footnoteReference w:id="18"/>
      </w:r>
      <w:bookmarkEnd w:id="7"/>
      <w:r w:rsidRPr="00083B11">
        <w:rPr>
          <w:lang w:val="en-US"/>
        </w:rPr>
        <w:t xml:space="preserve"> But it is non-existent as far as human rights violations committed by ANSAs are concerned.</w:t>
      </w:r>
    </w:p>
    <w:p w14:paraId="6A4A93A4" w14:textId="77777777" w:rsidR="002768D1" w:rsidRPr="00553DC3" w:rsidRDefault="00C84BBC" w:rsidP="00C84BBC">
      <w:pPr>
        <w:pStyle w:val="H23G"/>
        <w:rPr>
          <w:lang w:val="en-US"/>
        </w:rPr>
      </w:pPr>
      <w:r>
        <w:rPr>
          <w:lang w:val="en-US"/>
        </w:rPr>
        <w:lastRenderedPageBreak/>
        <w:tab/>
      </w:r>
      <w:r w:rsidR="002768D1" w:rsidRPr="00553DC3">
        <w:rPr>
          <w:lang w:val="en-US"/>
        </w:rPr>
        <w:t>1</w:t>
      </w:r>
      <w:r w:rsidR="005146D9">
        <w:rPr>
          <w:lang w:val="en-US"/>
        </w:rPr>
        <w:t>.</w:t>
      </w:r>
      <w:r>
        <w:rPr>
          <w:lang w:val="en-US"/>
        </w:rPr>
        <w:tab/>
      </w:r>
      <w:r w:rsidR="002768D1">
        <w:rPr>
          <w:lang w:val="en-US"/>
        </w:rPr>
        <w:t>State obligation to p</w:t>
      </w:r>
      <w:r w:rsidR="002768D1" w:rsidRPr="00553DC3">
        <w:rPr>
          <w:lang w:val="en-US"/>
        </w:rPr>
        <w:t>rotect under IHRL</w:t>
      </w:r>
    </w:p>
    <w:p w14:paraId="4A0EF430" w14:textId="77777777" w:rsidR="002768D1" w:rsidRPr="00083B11" w:rsidRDefault="003440A9" w:rsidP="00B52AF7">
      <w:pPr>
        <w:spacing w:after="120"/>
        <w:ind w:left="1134" w:right="1134"/>
        <w:jc w:val="both"/>
        <w:rPr>
          <w:lang w:val="en-US"/>
        </w:rPr>
      </w:pPr>
      <w:r>
        <w:rPr>
          <w:lang w:val="en-US"/>
        </w:rPr>
        <w:t>22</w:t>
      </w:r>
      <w:r w:rsidR="005146D9">
        <w:rPr>
          <w:lang w:val="en-US"/>
        </w:rPr>
        <w:t>.</w:t>
      </w:r>
      <w:r w:rsidR="00B52AF7">
        <w:rPr>
          <w:lang w:val="en-US"/>
        </w:rPr>
        <w:tab/>
      </w:r>
      <w:r w:rsidR="002768D1" w:rsidRPr="00083B11">
        <w:rPr>
          <w:lang w:val="en-US"/>
        </w:rPr>
        <w:t xml:space="preserve">It has been suggested that the most effective </w:t>
      </w:r>
      <w:r w:rsidR="002768D1">
        <w:rPr>
          <w:lang w:val="en-US"/>
        </w:rPr>
        <w:t xml:space="preserve">way </w:t>
      </w:r>
      <w:r w:rsidR="002768D1" w:rsidRPr="00083B11">
        <w:rPr>
          <w:lang w:val="en-US"/>
        </w:rPr>
        <w:t>to hold ANSAs to account is under the theory that “governments should discharge their responsibilities” to protect their people.</w:t>
      </w:r>
      <w:r w:rsidR="00BE6091">
        <w:rPr>
          <w:rStyle w:val="FootnoteReference"/>
          <w:lang w:val="en-US"/>
        </w:rPr>
        <w:footnoteReference w:id="19"/>
      </w:r>
      <w:r w:rsidR="002768D1" w:rsidRPr="00083B11">
        <w:rPr>
          <w:lang w:val="en-US"/>
        </w:rPr>
        <w:t xml:space="preserve">  The State may be held generally responsible for the wrongful conduct of non-State </w:t>
      </w:r>
      <w:r w:rsidR="002768D1">
        <w:rPr>
          <w:lang w:val="en-US"/>
        </w:rPr>
        <w:t>actors</w:t>
      </w:r>
      <w:r w:rsidR="002768D1" w:rsidRPr="00083B11">
        <w:rPr>
          <w:lang w:val="en-US"/>
        </w:rPr>
        <w:t xml:space="preserve">, when it can be shown that </w:t>
      </w:r>
      <w:r w:rsidR="002768D1">
        <w:rPr>
          <w:lang w:val="en-US"/>
        </w:rPr>
        <w:t>it has</w:t>
      </w:r>
      <w:r w:rsidR="002768D1" w:rsidRPr="00083B11">
        <w:rPr>
          <w:lang w:val="en-US"/>
        </w:rPr>
        <w:t xml:space="preserve"> failed to </w:t>
      </w:r>
      <w:r w:rsidR="002768D1">
        <w:rPr>
          <w:lang w:val="en-US"/>
        </w:rPr>
        <w:t xml:space="preserve">exercise </w:t>
      </w:r>
      <w:r w:rsidR="002768D1" w:rsidRPr="00083B11">
        <w:rPr>
          <w:lang w:val="en-US"/>
        </w:rPr>
        <w:t xml:space="preserve">due diligence to prevent, investigate and respond to </w:t>
      </w:r>
      <w:r w:rsidR="002768D1">
        <w:rPr>
          <w:lang w:val="en-US"/>
        </w:rPr>
        <w:t xml:space="preserve">such acts. </w:t>
      </w:r>
    </w:p>
    <w:p w14:paraId="3ABAA7B6" w14:textId="77777777" w:rsidR="002768D1" w:rsidRPr="00083B11" w:rsidRDefault="003440A9" w:rsidP="00B52AF7">
      <w:pPr>
        <w:spacing w:after="120"/>
        <w:ind w:left="1134" w:right="1134"/>
        <w:jc w:val="both"/>
        <w:rPr>
          <w:lang w:val="en-US"/>
        </w:rPr>
      </w:pPr>
      <w:r>
        <w:rPr>
          <w:lang w:val="en-US"/>
        </w:rPr>
        <w:t>23</w:t>
      </w:r>
      <w:r w:rsidR="005146D9">
        <w:rPr>
          <w:lang w:val="en-US"/>
        </w:rPr>
        <w:t>.</w:t>
      </w:r>
      <w:r w:rsidR="00B52AF7">
        <w:rPr>
          <w:lang w:val="en-US"/>
        </w:rPr>
        <w:tab/>
      </w:r>
      <w:r w:rsidR="002768D1" w:rsidRPr="00083B11">
        <w:rPr>
          <w:lang w:val="en-US"/>
        </w:rPr>
        <w:t>The Special Rapporteur is particularly committed to strengthen</w:t>
      </w:r>
      <w:r w:rsidR="002768D1">
        <w:rPr>
          <w:lang w:val="en-US"/>
        </w:rPr>
        <w:t>ing</w:t>
      </w:r>
      <w:r w:rsidR="002768D1" w:rsidRPr="00083B11">
        <w:rPr>
          <w:lang w:val="en-US"/>
        </w:rPr>
        <w:t xml:space="preserve"> this approach, as highlighted in her report on a ge</w:t>
      </w:r>
      <w:r w:rsidR="002768D1">
        <w:rPr>
          <w:lang w:val="en-US"/>
        </w:rPr>
        <w:t>nder-sensitive approach to her m</w:t>
      </w:r>
      <w:r w:rsidR="002768D1" w:rsidRPr="00083B11">
        <w:rPr>
          <w:lang w:val="en-US"/>
        </w:rPr>
        <w:t>andate</w:t>
      </w:r>
      <w:r w:rsidR="002768D1">
        <w:rPr>
          <w:lang w:val="en-US"/>
        </w:rPr>
        <w:t xml:space="preserve"> (</w:t>
      </w:r>
      <w:r w:rsidR="002768D1" w:rsidRPr="007008C9">
        <w:rPr>
          <w:szCs w:val="18"/>
        </w:rPr>
        <w:t>A/HRC/35/23</w:t>
      </w:r>
      <w:r w:rsidR="002768D1">
        <w:rPr>
          <w:szCs w:val="18"/>
        </w:rPr>
        <w:t>)</w:t>
      </w:r>
      <w:r w:rsidR="002768D1" w:rsidRPr="00083B11">
        <w:rPr>
          <w:lang w:val="en-US"/>
        </w:rPr>
        <w:t>. There are, however, situations where the obligation to protect is not enough or cannot apply</w:t>
      </w:r>
      <w:r w:rsidR="002768D1">
        <w:rPr>
          <w:lang w:val="en-US"/>
        </w:rPr>
        <w:t xml:space="preserve">, such as </w:t>
      </w:r>
      <w:r w:rsidR="002768D1" w:rsidRPr="00083B11">
        <w:rPr>
          <w:lang w:val="en-US"/>
        </w:rPr>
        <w:t xml:space="preserve">in the context of </w:t>
      </w:r>
      <w:r w:rsidR="002768D1">
        <w:rPr>
          <w:lang w:val="en-US"/>
        </w:rPr>
        <w:t xml:space="preserve">NIACs </w:t>
      </w:r>
      <w:r w:rsidR="002768D1" w:rsidRPr="00083B11">
        <w:rPr>
          <w:lang w:val="en-US"/>
        </w:rPr>
        <w:lastRenderedPageBreak/>
        <w:t>or whenever ANSA</w:t>
      </w:r>
      <w:r w:rsidR="002768D1">
        <w:rPr>
          <w:lang w:val="en-US"/>
        </w:rPr>
        <w:t>s</w:t>
      </w:r>
      <w:r w:rsidR="002768D1" w:rsidRPr="00083B11">
        <w:rPr>
          <w:lang w:val="en-US"/>
        </w:rPr>
        <w:t xml:space="preserve"> have escaped the effective control of the State</w:t>
      </w:r>
      <w:r w:rsidR="00BE6091">
        <w:rPr>
          <w:rStyle w:val="FootnoteReference"/>
          <w:lang w:val="en-US"/>
        </w:rPr>
        <w:footnoteReference w:id="20"/>
      </w:r>
      <w:r w:rsidR="002768D1">
        <w:rPr>
          <w:lang w:val="en-US"/>
        </w:rPr>
        <w:t>.</w:t>
      </w:r>
      <w:r w:rsidR="002768D1" w:rsidRPr="00083B11">
        <w:rPr>
          <w:lang w:val="en-US"/>
        </w:rPr>
        <w:t xml:space="preserve"> Under the due diligence requirement, the State is not required to accept responsibility for the acts of insurgents</w:t>
      </w:r>
      <w:r w:rsidR="00BE6091">
        <w:rPr>
          <w:rStyle w:val="FootnoteReference"/>
          <w:lang w:val="en-US"/>
        </w:rPr>
        <w:footnoteReference w:id="21"/>
      </w:r>
      <w:r w:rsidR="002768D1" w:rsidRPr="00083B11">
        <w:rPr>
          <w:lang w:val="en-US"/>
        </w:rPr>
        <w:t>. Domestic adjudication is often unr</w:t>
      </w:r>
      <w:r w:rsidR="002768D1">
        <w:rPr>
          <w:lang w:val="en-US"/>
        </w:rPr>
        <w:t xml:space="preserve">ealistic, particularly during </w:t>
      </w:r>
      <w:r w:rsidR="002768D1" w:rsidRPr="00083B11">
        <w:rPr>
          <w:lang w:val="en-US"/>
        </w:rPr>
        <w:t>conflict, which greatly limits both the applicability and the usefulness of the State due diligence framework,</w:t>
      </w:r>
      <w:r w:rsidR="00BE6091">
        <w:rPr>
          <w:rStyle w:val="FootnoteReference"/>
          <w:lang w:val="en-US"/>
        </w:rPr>
        <w:footnoteReference w:id="22"/>
      </w:r>
      <w:r w:rsidR="002768D1" w:rsidRPr="00083B11">
        <w:rPr>
          <w:lang w:val="en-US"/>
        </w:rPr>
        <w:t xml:space="preserve"> leaving major gaps in terms of accountability. </w:t>
      </w:r>
    </w:p>
    <w:p w14:paraId="25C0B587" w14:textId="51A95AB1" w:rsidR="002768D1" w:rsidRPr="00083B11" w:rsidRDefault="003440A9" w:rsidP="00B52AF7">
      <w:pPr>
        <w:spacing w:after="120"/>
        <w:ind w:left="1134" w:right="1134"/>
        <w:jc w:val="both"/>
        <w:rPr>
          <w:lang w:val="en-US"/>
        </w:rPr>
      </w:pPr>
      <w:r>
        <w:rPr>
          <w:lang w:val="en-US"/>
        </w:rPr>
        <w:t>24</w:t>
      </w:r>
      <w:r w:rsidR="005146D9">
        <w:rPr>
          <w:lang w:val="en-US"/>
        </w:rPr>
        <w:t>.</w:t>
      </w:r>
      <w:r w:rsidR="00B52AF7">
        <w:rPr>
          <w:lang w:val="en-US"/>
        </w:rPr>
        <w:tab/>
      </w:r>
      <w:r w:rsidR="000D2A38">
        <w:rPr>
          <w:lang w:val="en-US"/>
        </w:rPr>
        <w:t>Moreover</w:t>
      </w:r>
      <w:r w:rsidR="002768D1" w:rsidRPr="00083B11">
        <w:rPr>
          <w:lang w:val="en-US"/>
        </w:rPr>
        <w:t>, there is a range of situations, where States’ interventions t</w:t>
      </w:r>
      <w:r w:rsidR="002768D1">
        <w:rPr>
          <w:lang w:val="en-US"/>
        </w:rPr>
        <w:t>o re-establish their authority</w:t>
      </w:r>
      <w:r w:rsidR="002768D1" w:rsidRPr="00083B11">
        <w:rPr>
          <w:lang w:val="en-US"/>
        </w:rPr>
        <w:t xml:space="preserve"> and control may, themselves, lead</w:t>
      </w:r>
      <w:r w:rsidR="002768D1">
        <w:rPr>
          <w:lang w:val="en-US"/>
        </w:rPr>
        <w:t xml:space="preserve"> </w:t>
      </w:r>
      <w:r w:rsidR="002768D1" w:rsidRPr="00083B11">
        <w:rPr>
          <w:lang w:val="en-US"/>
        </w:rPr>
        <w:t xml:space="preserve">to violations, including of the </w:t>
      </w:r>
      <w:r w:rsidR="002768D1" w:rsidRPr="00083B11">
        <w:rPr>
          <w:lang w:val="en-US"/>
        </w:rPr>
        <w:lastRenderedPageBreak/>
        <w:t>right to life. In such circumstances, invoking the States’ responsibility to protect against ANSA</w:t>
      </w:r>
      <w:r w:rsidR="002768D1">
        <w:rPr>
          <w:lang w:val="en-US"/>
        </w:rPr>
        <w:t>s</w:t>
      </w:r>
      <w:r w:rsidR="002768D1" w:rsidRPr="00083B11">
        <w:rPr>
          <w:lang w:val="en-US"/>
        </w:rPr>
        <w:t xml:space="preserve"> vi</w:t>
      </w:r>
      <w:r w:rsidR="002768D1">
        <w:rPr>
          <w:lang w:val="en-US"/>
        </w:rPr>
        <w:t>olations could be instrumentaliz</w:t>
      </w:r>
      <w:r w:rsidR="002768D1" w:rsidRPr="00083B11">
        <w:rPr>
          <w:lang w:val="en-US"/>
        </w:rPr>
        <w:t xml:space="preserve">ed for greater repression and will unlikely deliver protection. The Special Rapporteur is not suggesting that State’s obligation to protect be ignored. She is recommending that binding ANSAs to human rights obligations </w:t>
      </w:r>
      <w:r w:rsidR="002768D1">
        <w:rPr>
          <w:lang w:val="en-US"/>
        </w:rPr>
        <w:t xml:space="preserve">will </w:t>
      </w:r>
      <w:r w:rsidR="002768D1" w:rsidRPr="00083B11">
        <w:rPr>
          <w:lang w:val="en-US"/>
        </w:rPr>
        <w:t>complement it.</w:t>
      </w:r>
      <w:r w:rsidR="00BE6091">
        <w:rPr>
          <w:rStyle w:val="FootnoteReference"/>
          <w:lang w:val="en-US"/>
        </w:rPr>
        <w:footnoteReference w:id="23"/>
      </w:r>
      <w:r w:rsidR="002768D1" w:rsidRPr="00083B11">
        <w:rPr>
          <w:lang w:val="en-US"/>
        </w:rPr>
        <w:t xml:space="preserve"> </w:t>
      </w:r>
    </w:p>
    <w:p w14:paraId="6D00CFA9" w14:textId="77777777" w:rsidR="002768D1" w:rsidRPr="00553DC3" w:rsidRDefault="00C84BBC" w:rsidP="00C84BBC">
      <w:pPr>
        <w:pStyle w:val="H23G"/>
        <w:rPr>
          <w:lang w:val="en-US"/>
        </w:rPr>
      </w:pPr>
      <w:r>
        <w:rPr>
          <w:lang w:val="en-US"/>
        </w:rPr>
        <w:tab/>
      </w:r>
      <w:r w:rsidR="005146D9">
        <w:rPr>
          <w:lang w:val="en-US"/>
        </w:rPr>
        <w:t>2.</w:t>
      </w:r>
      <w:r>
        <w:rPr>
          <w:lang w:val="en-US"/>
        </w:rPr>
        <w:tab/>
      </w:r>
      <w:r w:rsidR="002768D1" w:rsidRPr="00553DC3">
        <w:rPr>
          <w:lang w:val="en-US"/>
        </w:rPr>
        <w:t xml:space="preserve">International humanitarian law </w:t>
      </w:r>
    </w:p>
    <w:p w14:paraId="532B7B82" w14:textId="77777777" w:rsidR="002768D1" w:rsidRPr="00083B11" w:rsidRDefault="003440A9" w:rsidP="00B52AF7">
      <w:pPr>
        <w:spacing w:after="120"/>
        <w:ind w:left="1134" w:right="1134"/>
        <w:jc w:val="both"/>
        <w:rPr>
          <w:lang w:val="en-US"/>
        </w:rPr>
      </w:pPr>
      <w:r>
        <w:rPr>
          <w:lang w:val="en-US"/>
        </w:rPr>
        <w:t>25</w:t>
      </w:r>
      <w:r w:rsidR="005146D9">
        <w:rPr>
          <w:lang w:val="en-US"/>
        </w:rPr>
        <w:t>.</w:t>
      </w:r>
      <w:r w:rsidR="00B52AF7">
        <w:rPr>
          <w:lang w:val="en-US"/>
        </w:rPr>
        <w:tab/>
      </w:r>
      <w:r w:rsidR="002768D1">
        <w:rPr>
          <w:lang w:val="en-US"/>
        </w:rPr>
        <w:t>In the context of NIACs, Common Article 3 of the Geneva Conventions</w:t>
      </w:r>
      <w:r w:rsidR="002768D1" w:rsidRPr="00083B11">
        <w:rPr>
          <w:lang w:val="en-US"/>
        </w:rPr>
        <w:t xml:space="preserve"> (</w:t>
      </w:r>
      <w:r w:rsidR="002768D1">
        <w:rPr>
          <w:lang w:val="en-US"/>
        </w:rPr>
        <w:t>CA</w:t>
      </w:r>
      <w:r w:rsidR="002768D1" w:rsidRPr="00083B11">
        <w:rPr>
          <w:lang w:val="en-US"/>
        </w:rPr>
        <w:t xml:space="preserve">3), along with </w:t>
      </w:r>
      <w:r w:rsidR="002768D1">
        <w:rPr>
          <w:lang w:val="en-US"/>
        </w:rPr>
        <w:t>Additional</w:t>
      </w:r>
      <w:r w:rsidR="002768D1" w:rsidRPr="00083B11">
        <w:rPr>
          <w:lang w:val="en-US"/>
        </w:rPr>
        <w:t xml:space="preserve"> Protocol II </w:t>
      </w:r>
      <w:r w:rsidR="002768D1">
        <w:rPr>
          <w:lang w:val="en-US"/>
        </w:rPr>
        <w:t xml:space="preserve">(APII) </w:t>
      </w:r>
      <w:r w:rsidR="002768D1" w:rsidRPr="00083B11">
        <w:rPr>
          <w:lang w:val="en-US"/>
        </w:rPr>
        <w:t xml:space="preserve">or customary IHL are binding on ANSAs operating under responsible command, controlling territory, and demonstrating a capacity to conduct sustained and concerted military operations. </w:t>
      </w:r>
      <w:r w:rsidR="002768D1" w:rsidRPr="00083B11">
        <w:rPr>
          <w:lang w:val="en-US"/>
        </w:rPr>
        <w:lastRenderedPageBreak/>
        <w:t>C</w:t>
      </w:r>
      <w:r w:rsidR="002768D1">
        <w:rPr>
          <w:lang w:val="en-US"/>
        </w:rPr>
        <w:t>A3 provides the “most essential protection”</w:t>
      </w:r>
      <w:r w:rsidR="002768D1" w:rsidRPr="00083B11">
        <w:rPr>
          <w:lang w:val="en-US"/>
        </w:rPr>
        <w:t xml:space="preserve"> to civilians’ and persons </w:t>
      </w:r>
      <w:r w:rsidR="002768D1" w:rsidRPr="00083B11">
        <w:rPr>
          <w:i/>
          <w:lang w:val="en-US"/>
        </w:rPr>
        <w:t>hors de combat</w:t>
      </w:r>
      <w:r w:rsidR="002768D1" w:rsidRPr="00083B11">
        <w:rPr>
          <w:lang w:val="en-US"/>
        </w:rPr>
        <w:t xml:space="preserve">. Many of the provisions in </w:t>
      </w:r>
      <w:r w:rsidR="002768D1">
        <w:rPr>
          <w:lang w:val="en-US"/>
        </w:rPr>
        <w:t>APII</w:t>
      </w:r>
      <w:r w:rsidR="002768D1" w:rsidRPr="00083B11">
        <w:rPr>
          <w:lang w:val="en-US"/>
        </w:rPr>
        <w:t xml:space="preserve">, which focus on the conduct of hostilities, have become customary law. The broadest </w:t>
      </w:r>
      <w:r w:rsidR="002768D1">
        <w:rPr>
          <w:lang w:val="en-US"/>
        </w:rPr>
        <w:t xml:space="preserve">demand </w:t>
      </w:r>
      <w:r w:rsidR="002768D1" w:rsidRPr="00083B11">
        <w:rPr>
          <w:lang w:val="en-US"/>
        </w:rPr>
        <w:t>is that “the civilian population as such, as well as individual civilians, shall not be the object of attack.”</w:t>
      </w:r>
      <w:r w:rsidR="00BE6091">
        <w:rPr>
          <w:rStyle w:val="FootnoteReference"/>
          <w:lang w:val="en-US"/>
        </w:rPr>
        <w:footnoteReference w:id="24"/>
      </w:r>
      <w:r w:rsidR="002768D1" w:rsidRPr="00083B11">
        <w:rPr>
          <w:lang w:val="en-US"/>
        </w:rPr>
        <w:t xml:space="preserve">  Another prohibition applies to indiscriminate and disproportionate attacks</w:t>
      </w:r>
      <w:r w:rsidR="00BE6091">
        <w:rPr>
          <w:rStyle w:val="FootnoteReference"/>
          <w:lang w:val="en-US"/>
        </w:rPr>
        <w:footnoteReference w:id="25"/>
      </w:r>
      <w:r w:rsidR="002768D1" w:rsidRPr="00083B11">
        <w:rPr>
          <w:lang w:val="en-US"/>
        </w:rPr>
        <w:t xml:space="preserve">. </w:t>
      </w:r>
    </w:p>
    <w:p w14:paraId="462E0078" w14:textId="77777777" w:rsidR="002768D1" w:rsidRPr="00083B11" w:rsidRDefault="003440A9" w:rsidP="00B52AF7">
      <w:pPr>
        <w:spacing w:after="120"/>
        <w:ind w:left="1134" w:right="1134"/>
        <w:jc w:val="both"/>
        <w:rPr>
          <w:i/>
          <w:lang w:val="en-US"/>
        </w:rPr>
      </w:pPr>
      <w:r>
        <w:rPr>
          <w:lang w:val="en-US"/>
        </w:rPr>
        <w:t>26</w:t>
      </w:r>
      <w:r w:rsidR="005146D9">
        <w:rPr>
          <w:lang w:val="en-US"/>
        </w:rPr>
        <w:t>.</w:t>
      </w:r>
      <w:r w:rsidR="00B52AF7">
        <w:rPr>
          <w:lang w:val="en-US"/>
        </w:rPr>
        <w:tab/>
      </w:r>
      <w:r w:rsidR="002768D1" w:rsidRPr="00083B11">
        <w:rPr>
          <w:lang w:val="en-US"/>
        </w:rPr>
        <w:t xml:space="preserve">It should be recalled that </w:t>
      </w:r>
      <w:r w:rsidR="002768D1">
        <w:rPr>
          <w:lang w:val="en-US"/>
        </w:rPr>
        <w:t>IHL and IHRL</w:t>
      </w:r>
      <w:r w:rsidR="002768D1" w:rsidRPr="00083B11">
        <w:rPr>
          <w:lang w:val="en-US"/>
        </w:rPr>
        <w:t xml:space="preserve"> are complementary and not mutually exclusive. In </w:t>
      </w:r>
      <w:r w:rsidR="002768D1">
        <w:rPr>
          <w:lang w:val="en-US"/>
        </w:rPr>
        <w:t xml:space="preserve">case </w:t>
      </w:r>
      <w:r w:rsidR="002768D1" w:rsidRPr="00083B11">
        <w:rPr>
          <w:lang w:val="en-US"/>
        </w:rPr>
        <w:t xml:space="preserve">of conflict between </w:t>
      </w:r>
      <w:r w:rsidR="002768D1">
        <w:rPr>
          <w:lang w:val="en-US"/>
        </w:rPr>
        <w:t>them</w:t>
      </w:r>
      <w:r w:rsidR="002768D1" w:rsidRPr="00083B11">
        <w:rPr>
          <w:lang w:val="en-US"/>
        </w:rPr>
        <w:t xml:space="preserve">, the </w:t>
      </w:r>
      <w:r w:rsidR="002768D1" w:rsidRPr="00083B11">
        <w:rPr>
          <w:iCs/>
          <w:lang w:val="en-US"/>
        </w:rPr>
        <w:t xml:space="preserve">lex specialis </w:t>
      </w:r>
      <w:r w:rsidR="002768D1" w:rsidRPr="00083B11">
        <w:rPr>
          <w:lang w:val="en-US"/>
        </w:rPr>
        <w:t>should app</w:t>
      </w:r>
      <w:r w:rsidR="002768D1">
        <w:rPr>
          <w:lang w:val="en-US"/>
        </w:rPr>
        <w:t>ly (</w:t>
      </w:r>
      <w:r w:rsidR="002768D1" w:rsidRPr="00417184">
        <w:t>E/CN.4/2005/7, para. 50</w:t>
      </w:r>
      <w:r w:rsidR="002768D1">
        <w:rPr>
          <w:sz w:val="18"/>
          <w:szCs w:val="18"/>
        </w:rPr>
        <w:t>)</w:t>
      </w:r>
      <w:r w:rsidR="002768D1" w:rsidRPr="00083B11">
        <w:rPr>
          <w:lang w:val="en-US"/>
        </w:rPr>
        <w:t xml:space="preserve"> while respect for the right to life applies also in hostilities</w:t>
      </w:r>
      <w:r w:rsidR="00BE6091">
        <w:rPr>
          <w:rStyle w:val="FootnoteReference"/>
          <w:lang w:val="en-US"/>
        </w:rPr>
        <w:footnoteReference w:id="26"/>
      </w:r>
      <w:r w:rsidR="002768D1" w:rsidRPr="00083B11">
        <w:rPr>
          <w:lang w:val="en-US"/>
        </w:rPr>
        <w:t>.</w:t>
      </w:r>
      <w:r w:rsidR="002768D1" w:rsidRPr="00083B11">
        <w:rPr>
          <w:i/>
          <w:lang w:val="en-US"/>
        </w:rPr>
        <w:t xml:space="preserve"> </w:t>
      </w:r>
      <w:r w:rsidR="002768D1" w:rsidRPr="00083B11">
        <w:rPr>
          <w:lang w:val="en-US"/>
        </w:rPr>
        <w:t xml:space="preserve">The Special Rapporteur </w:t>
      </w:r>
      <w:r w:rsidR="002768D1">
        <w:rPr>
          <w:lang w:val="en-US"/>
        </w:rPr>
        <w:t xml:space="preserve">further </w:t>
      </w:r>
      <w:r w:rsidR="002768D1" w:rsidRPr="00083B11">
        <w:rPr>
          <w:lang w:val="en-US"/>
        </w:rPr>
        <w:t xml:space="preserve">recalls that </w:t>
      </w:r>
      <w:r w:rsidR="002768D1">
        <w:rPr>
          <w:lang w:val="en-US"/>
        </w:rPr>
        <w:t xml:space="preserve">IHL </w:t>
      </w:r>
      <w:r w:rsidR="002768D1" w:rsidRPr="00083B11">
        <w:rPr>
          <w:lang w:val="en-US"/>
        </w:rPr>
        <w:t xml:space="preserve">falls within her </w:t>
      </w:r>
      <w:r w:rsidR="002768D1" w:rsidRPr="00083B11">
        <w:rPr>
          <w:lang w:val="en-US"/>
        </w:rPr>
        <w:lastRenderedPageBreak/>
        <w:t>mandate, as per the relevant resolutions</w:t>
      </w:r>
      <w:r w:rsidR="002768D1">
        <w:rPr>
          <w:lang w:val="en-US"/>
        </w:rPr>
        <w:t xml:space="preserve"> (e.g. </w:t>
      </w:r>
      <w:r w:rsidR="002768D1" w:rsidRPr="001842CD">
        <w:rPr>
          <w:szCs w:val="18"/>
        </w:rPr>
        <w:t>A/RES/71/198</w:t>
      </w:r>
      <w:r w:rsidR="002768D1">
        <w:rPr>
          <w:szCs w:val="18"/>
        </w:rPr>
        <w:t>)</w:t>
      </w:r>
      <w:r w:rsidR="002768D1" w:rsidRPr="00083B11">
        <w:rPr>
          <w:lang w:val="en-US"/>
        </w:rPr>
        <w:t xml:space="preserve"> and her predecessors’ reports.  </w:t>
      </w:r>
    </w:p>
    <w:p w14:paraId="6DD4D80E" w14:textId="77777777" w:rsidR="002768D1" w:rsidRDefault="003440A9" w:rsidP="00B52AF7">
      <w:pPr>
        <w:spacing w:after="120"/>
        <w:ind w:left="1134" w:right="1134"/>
        <w:jc w:val="both"/>
        <w:rPr>
          <w:lang w:val="en-US"/>
        </w:rPr>
      </w:pPr>
      <w:r>
        <w:rPr>
          <w:lang w:val="en-US"/>
        </w:rPr>
        <w:t>27</w:t>
      </w:r>
      <w:r w:rsidR="005146D9">
        <w:rPr>
          <w:lang w:val="en-US"/>
        </w:rPr>
        <w:t>.</w:t>
      </w:r>
      <w:r w:rsidR="00B52AF7">
        <w:rPr>
          <w:lang w:val="en-US"/>
        </w:rPr>
        <w:tab/>
      </w:r>
      <w:r w:rsidR="002768D1" w:rsidRPr="00083B11">
        <w:rPr>
          <w:lang w:val="en-US"/>
        </w:rPr>
        <w:t xml:space="preserve">One often heard argument is that IHL is sufficient to bind ANSAs to obligations, and that it is sufficient to protect the right to life, particularly because customary </w:t>
      </w:r>
      <w:r w:rsidR="002768D1">
        <w:rPr>
          <w:lang w:val="en-US"/>
        </w:rPr>
        <w:t xml:space="preserve">IHL </w:t>
      </w:r>
      <w:r w:rsidR="002768D1" w:rsidRPr="00083B11">
        <w:rPr>
          <w:lang w:val="en-US"/>
        </w:rPr>
        <w:t xml:space="preserve">rules applicable in </w:t>
      </w:r>
      <w:r w:rsidR="002768D1">
        <w:rPr>
          <w:lang w:val="en-US"/>
        </w:rPr>
        <w:t>NIACs</w:t>
      </w:r>
      <w:r w:rsidR="002768D1" w:rsidRPr="00083B11">
        <w:rPr>
          <w:lang w:val="en-US"/>
        </w:rPr>
        <w:t xml:space="preserve"> have grown dramatically since the mid-1990s, including through the ICTY </w:t>
      </w:r>
      <w:r w:rsidR="002768D1" w:rsidRPr="00083B11">
        <w:rPr>
          <w:i/>
          <w:lang w:val="en-US"/>
        </w:rPr>
        <w:t>Tadic</w:t>
      </w:r>
      <w:r w:rsidR="002768D1" w:rsidRPr="00083B11">
        <w:rPr>
          <w:lang w:val="en-US"/>
        </w:rPr>
        <w:t xml:space="preserve"> decision</w:t>
      </w:r>
      <w:r w:rsidR="00BE6091">
        <w:rPr>
          <w:rStyle w:val="FootnoteReference"/>
          <w:lang w:val="en-US"/>
        </w:rPr>
        <w:footnoteReference w:id="27"/>
      </w:r>
      <w:r w:rsidR="002768D1" w:rsidRPr="00083B11">
        <w:rPr>
          <w:lang w:val="en-US"/>
        </w:rPr>
        <w:t xml:space="preserve">.  </w:t>
      </w:r>
    </w:p>
    <w:p w14:paraId="19717079" w14:textId="3FC7987D" w:rsidR="002768D1" w:rsidRPr="00083B11" w:rsidRDefault="003440A9" w:rsidP="00C84BBC">
      <w:pPr>
        <w:spacing w:after="120"/>
        <w:ind w:left="1134" w:right="1134"/>
        <w:jc w:val="both"/>
        <w:rPr>
          <w:lang w:val="en-US"/>
        </w:rPr>
      </w:pPr>
      <w:r>
        <w:rPr>
          <w:lang w:val="en-US"/>
        </w:rPr>
        <w:t>28</w:t>
      </w:r>
      <w:r w:rsidR="005146D9">
        <w:rPr>
          <w:lang w:val="en-US"/>
        </w:rPr>
        <w:t>.</w:t>
      </w:r>
      <w:r w:rsidR="00B52AF7">
        <w:rPr>
          <w:lang w:val="en-US"/>
        </w:rPr>
        <w:tab/>
      </w:r>
      <w:r w:rsidR="002768D1" w:rsidRPr="00083B11">
        <w:rPr>
          <w:lang w:val="en-US"/>
        </w:rPr>
        <w:t xml:space="preserve">In fact, there are a number of limitations to the respect for, and protection against, ANSAs arbitrary deprivation of life. First, </w:t>
      </w:r>
      <w:r w:rsidR="002768D1">
        <w:rPr>
          <w:lang w:val="en-US"/>
        </w:rPr>
        <w:t xml:space="preserve">IHL </w:t>
      </w:r>
      <w:r w:rsidR="002768D1" w:rsidRPr="00083B11">
        <w:rPr>
          <w:lang w:val="en-US"/>
        </w:rPr>
        <w:t xml:space="preserve">accountability mechanisms and enforcement for violations committed in </w:t>
      </w:r>
      <w:r w:rsidR="002768D1">
        <w:rPr>
          <w:lang w:val="en-US"/>
        </w:rPr>
        <w:t xml:space="preserve">NIACs </w:t>
      </w:r>
      <w:r w:rsidR="002768D1" w:rsidRPr="00083B11">
        <w:rPr>
          <w:lang w:val="en-US"/>
        </w:rPr>
        <w:t>have been historically weak, and particularly so with regard to ANSA</w:t>
      </w:r>
      <w:r w:rsidR="002768D1">
        <w:rPr>
          <w:lang w:val="en-US"/>
        </w:rPr>
        <w:t>s</w:t>
      </w:r>
      <w:r w:rsidR="00F103CD">
        <w:rPr>
          <w:rStyle w:val="FootnoteReference"/>
          <w:lang w:val="en-US"/>
        </w:rPr>
        <w:footnoteReference w:id="28"/>
      </w:r>
      <w:r w:rsidR="002768D1" w:rsidRPr="00083B11">
        <w:rPr>
          <w:lang w:val="en-US"/>
        </w:rPr>
        <w:t xml:space="preserve">.  Second, States parties to a conflict remain </w:t>
      </w:r>
      <w:r w:rsidR="002768D1" w:rsidRPr="00083B11">
        <w:rPr>
          <w:lang w:val="en-US"/>
        </w:rPr>
        <w:lastRenderedPageBreak/>
        <w:t xml:space="preserve">bound by IHRL. </w:t>
      </w:r>
      <w:r w:rsidR="002768D1">
        <w:rPr>
          <w:lang w:val="en-US"/>
        </w:rPr>
        <w:t>Limiting ANSAs obligations to CA</w:t>
      </w:r>
      <w:r w:rsidR="002768D1" w:rsidRPr="00083B11">
        <w:rPr>
          <w:lang w:val="en-US"/>
        </w:rPr>
        <w:t>3 and customary IHL establishes an inequality of obligations as a fundamental principle. Thirdly, the application of IHL to ANSA</w:t>
      </w:r>
      <w:r w:rsidR="002768D1">
        <w:rPr>
          <w:lang w:val="en-US"/>
        </w:rPr>
        <w:t>s</w:t>
      </w:r>
      <w:r w:rsidR="002768D1" w:rsidRPr="00083B11">
        <w:rPr>
          <w:lang w:val="en-US"/>
        </w:rPr>
        <w:t xml:space="preserve"> requires a “nexus” to </w:t>
      </w:r>
      <w:r w:rsidR="002768D1">
        <w:rPr>
          <w:lang w:val="en-US"/>
        </w:rPr>
        <w:t xml:space="preserve">the </w:t>
      </w:r>
      <w:r w:rsidR="002768D1" w:rsidRPr="00083B11">
        <w:rPr>
          <w:lang w:val="en-US"/>
        </w:rPr>
        <w:t>conflict.</w:t>
      </w:r>
      <w:r w:rsidR="00F103CD">
        <w:rPr>
          <w:rStyle w:val="FootnoteReference"/>
          <w:lang w:val="en-US"/>
        </w:rPr>
        <w:footnoteReference w:id="29"/>
      </w:r>
      <w:r w:rsidR="002768D1" w:rsidRPr="00083B11">
        <w:rPr>
          <w:lang w:val="en-US"/>
        </w:rPr>
        <w:t xml:space="preserve">  This</w:t>
      </w:r>
      <w:r w:rsidR="002768D1">
        <w:rPr>
          <w:lang w:val="en-US"/>
        </w:rPr>
        <w:t xml:space="preserve"> excludes </w:t>
      </w:r>
      <w:r w:rsidR="002768D1" w:rsidRPr="00083B11">
        <w:rPr>
          <w:lang w:val="en-US"/>
        </w:rPr>
        <w:t>areas</w:t>
      </w:r>
      <w:r w:rsidR="002768D1">
        <w:rPr>
          <w:lang w:val="en-US"/>
        </w:rPr>
        <w:t xml:space="preserve"> under ANSAs control</w:t>
      </w:r>
      <w:r w:rsidR="002768D1" w:rsidRPr="00083B11">
        <w:rPr>
          <w:lang w:val="en-US"/>
        </w:rPr>
        <w:t xml:space="preserve"> where a certain “peace” or normality exists, and </w:t>
      </w:r>
      <w:r w:rsidR="002768D1">
        <w:rPr>
          <w:lang w:val="en-US"/>
        </w:rPr>
        <w:t xml:space="preserve">ANSAs activities </w:t>
      </w:r>
      <w:r w:rsidR="002768D1" w:rsidRPr="00083B11">
        <w:rPr>
          <w:lang w:val="en-US"/>
        </w:rPr>
        <w:t xml:space="preserve">that are distinct from confrontations with an enemy combatant, such as </w:t>
      </w:r>
      <w:r w:rsidR="002768D1">
        <w:rPr>
          <w:lang w:val="en-US"/>
        </w:rPr>
        <w:t>administration</w:t>
      </w:r>
      <w:r w:rsidR="002768D1" w:rsidRPr="00083B11">
        <w:rPr>
          <w:lang w:val="en-US"/>
        </w:rPr>
        <w:t xml:space="preserve">. Other bodies of law should apply, including </w:t>
      </w:r>
      <w:r w:rsidR="002768D1">
        <w:rPr>
          <w:lang w:val="en-US"/>
        </w:rPr>
        <w:t>IHRL</w:t>
      </w:r>
      <w:r w:rsidR="002768D1" w:rsidRPr="00083B11">
        <w:rPr>
          <w:lang w:val="en-US"/>
        </w:rPr>
        <w:t>.</w:t>
      </w:r>
      <w:r w:rsidR="00F103CD">
        <w:rPr>
          <w:rStyle w:val="FootnoteReference"/>
          <w:lang w:val="en-US"/>
        </w:rPr>
        <w:footnoteReference w:id="30"/>
      </w:r>
      <w:r w:rsidR="002768D1" w:rsidRPr="00083B11">
        <w:rPr>
          <w:lang w:val="en-US"/>
        </w:rPr>
        <w:t xml:space="preserve">  The notion that ANSA</w:t>
      </w:r>
      <w:r w:rsidR="003113A1">
        <w:rPr>
          <w:lang w:val="en-US"/>
        </w:rPr>
        <w:t>s</w:t>
      </w:r>
      <w:r w:rsidR="002768D1" w:rsidRPr="00083B11">
        <w:rPr>
          <w:lang w:val="en-US"/>
        </w:rPr>
        <w:t xml:space="preserve"> should continue</w:t>
      </w:r>
      <w:r w:rsidR="002768D1">
        <w:rPr>
          <w:lang w:val="en-US"/>
        </w:rPr>
        <w:t xml:space="preserve"> to be solely governed by IHL CA</w:t>
      </w:r>
      <w:r w:rsidR="002768D1" w:rsidRPr="00083B11">
        <w:rPr>
          <w:lang w:val="en-US"/>
        </w:rPr>
        <w:t>3 creates unacceptable</w:t>
      </w:r>
      <w:r w:rsidR="002768D1">
        <w:rPr>
          <w:lang w:val="en-US"/>
        </w:rPr>
        <w:t xml:space="preserve"> protection gaps: victims under ANSAs’</w:t>
      </w:r>
      <w:r w:rsidR="002768D1" w:rsidRPr="00083B11">
        <w:rPr>
          <w:lang w:val="en-US"/>
        </w:rPr>
        <w:t xml:space="preserve"> control will be inadequately protected unless ANSAs are obliged to respect human rights</w:t>
      </w:r>
      <w:r w:rsidR="00F103CD">
        <w:rPr>
          <w:rStyle w:val="FootnoteReference"/>
          <w:lang w:val="en-US"/>
        </w:rPr>
        <w:footnoteReference w:id="31"/>
      </w:r>
      <w:r w:rsidR="002768D1" w:rsidRPr="00083B11">
        <w:rPr>
          <w:lang w:val="en-US"/>
        </w:rPr>
        <w:t>.  Lastly, IHL applicable to NIAC</w:t>
      </w:r>
      <w:r w:rsidR="002768D1">
        <w:rPr>
          <w:lang w:val="en-US"/>
        </w:rPr>
        <w:t>s</w:t>
      </w:r>
      <w:r w:rsidR="002768D1" w:rsidRPr="00083B11">
        <w:rPr>
          <w:lang w:val="en-US"/>
        </w:rPr>
        <w:t xml:space="preserve"> does </w:t>
      </w:r>
      <w:r w:rsidR="002768D1" w:rsidRPr="00083B11">
        <w:rPr>
          <w:lang w:val="en-US"/>
        </w:rPr>
        <w:lastRenderedPageBreak/>
        <w:t xml:space="preserve">not mention reparation, </w:t>
      </w:r>
      <w:r w:rsidR="002768D1" w:rsidRPr="00756046">
        <w:rPr>
          <w:i/>
          <w:lang w:val="en-US"/>
        </w:rPr>
        <w:t>“and there have been virtually no instances where armed opposition groups have undertaken to make reparations for violation of IHL or have made such reparations in practice</w:t>
      </w:r>
      <w:r w:rsidR="002768D1" w:rsidRPr="00083B11">
        <w:rPr>
          <w:lang w:val="en-US"/>
        </w:rPr>
        <w:t>.”</w:t>
      </w:r>
      <w:r w:rsidR="00F103CD">
        <w:rPr>
          <w:rStyle w:val="FootnoteReference"/>
          <w:lang w:val="en-US"/>
        </w:rPr>
        <w:footnoteReference w:id="32"/>
      </w:r>
      <w:r w:rsidR="002768D1" w:rsidRPr="00083B11">
        <w:rPr>
          <w:lang w:val="en-US"/>
        </w:rPr>
        <w:t xml:space="preserve"> The right to reparation is limited to a State’s omission to protect individuals from ANSA violence, as clarified by the ICRC Summary of Rule 150.</w:t>
      </w:r>
      <w:r w:rsidR="00F103CD">
        <w:rPr>
          <w:rStyle w:val="FootnoteReference"/>
          <w:lang w:val="en-US"/>
        </w:rPr>
        <w:footnoteReference w:id="33"/>
      </w:r>
      <w:r w:rsidR="002768D1" w:rsidRPr="00083B11">
        <w:rPr>
          <w:lang w:val="en-US"/>
        </w:rPr>
        <w:t xml:space="preserve"> </w:t>
      </w:r>
    </w:p>
    <w:p w14:paraId="2FF48E47" w14:textId="7F301C61" w:rsidR="002768D1" w:rsidRPr="00083B11" w:rsidRDefault="003440A9" w:rsidP="00C84BBC">
      <w:pPr>
        <w:tabs>
          <w:tab w:val="left" w:pos="1134"/>
        </w:tabs>
        <w:spacing w:after="120"/>
        <w:ind w:left="1134" w:right="1134"/>
        <w:jc w:val="both"/>
        <w:rPr>
          <w:lang w:val="en-US"/>
        </w:rPr>
      </w:pPr>
      <w:r>
        <w:rPr>
          <w:lang w:val="en-US"/>
        </w:rPr>
        <w:t>29</w:t>
      </w:r>
      <w:r w:rsidR="005146D9">
        <w:rPr>
          <w:lang w:val="en-US"/>
        </w:rPr>
        <w:t>.</w:t>
      </w:r>
      <w:r w:rsidR="00B52AF7">
        <w:rPr>
          <w:lang w:val="en-US"/>
        </w:rPr>
        <w:tab/>
      </w:r>
      <w:r w:rsidR="002768D1" w:rsidRPr="00083B11">
        <w:rPr>
          <w:lang w:val="en-US"/>
        </w:rPr>
        <w:t xml:space="preserve">A final and most obvious limitation is that there </w:t>
      </w:r>
      <w:r w:rsidR="002768D1">
        <w:rPr>
          <w:lang w:val="en-US"/>
        </w:rPr>
        <w:t xml:space="preserve">are </w:t>
      </w:r>
      <w:r w:rsidR="002768D1" w:rsidRPr="00083B11">
        <w:rPr>
          <w:lang w:val="en-US"/>
        </w:rPr>
        <w:t xml:space="preserve">situations involving ANSAs, and massive loss of lives, which </w:t>
      </w:r>
      <w:r w:rsidR="002768D1">
        <w:rPr>
          <w:lang w:val="en-US"/>
        </w:rPr>
        <w:t xml:space="preserve">are not </w:t>
      </w:r>
      <w:r w:rsidR="002768D1" w:rsidRPr="00083B11">
        <w:rPr>
          <w:lang w:val="en-US"/>
        </w:rPr>
        <w:t>armed conflicts</w:t>
      </w:r>
      <w:r w:rsidR="002768D1">
        <w:rPr>
          <w:lang w:val="en-US"/>
        </w:rPr>
        <w:t xml:space="preserve"> and thus where</w:t>
      </w:r>
      <w:r w:rsidR="002768D1" w:rsidRPr="00083B11">
        <w:rPr>
          <w:lang w:val="en-US"/>
        </w:rPr>
        <w:t xml:space="preserve"> IHL does not apply. </w:t>
      </w:r>
      <w:r w:rsidR="00200A9A">
        <w:rPr>
          <w:lang w:val="en-US"/>
        </w:rPr>
        <w:t xml:space="preserve">For instance, at </w:t>
      </w:r>
      <w:r w:rsidR="002768D1" w:rsidRPr="00083B11">
        <w:rPr>
          <w:lang w:val="en-US"/>
        </w:rPr>
        <w:t>the start of the Syria catastrophe, the C</w:t>
      </w:r>
      <w:r w:rsidR="002768D1">
        <w:rPr>
          <w:lang w:val="en-US"/>
        </w:rPr>
        <w:t xml:space="preserve">OI </w:t>
      </w:r>
      <w:r w:rsidR="002768D1" w:rsidRPr="00083B11">
        <w:rPr>
          <w:lang w:val="en-US"/>
        </w:rPr>
        <w:t xml:space="preserve">considered that the threshold for the application of armed conflict had not been reached, </w:t>
      </w:r>
      <w:r w:rsidR="002768D1">
        <w:rPr>
          <w:lang w:val="en-US"/>
        </w:rPr>
        <w:lastRenderedPageBreak/>
        <w:t xml:space="preserve">and therefore that </w:t>
      </w:r>
      <w:r w:rsidR="002768D1" w:rsidRPr="00083B11">
        <w:rPr>
          <w:lang w:val="en-US"/>
        </w:rPr>
        <w:t>armed groups operating in Syria were bound by peremptory rules of international law (</w:t>
      </w:r>
      <w:r w:rsidR="002768D1" w:rsidRPr="00083B11">
        <w:rPr>
          <w:i/>
          <w:iCs/>
          <w:lang w:val="en-US"/>
        </w:rPr>
        <w:t>ius cogens</w:t>
      </w:r>
      <w:r w:rsidR="002768D1" w:rsidRPr="00083B11">
        <w:rPr>
          <w:lang w:val="en-US"/>
        </w:rPr>
        <w:t>)</w:t>
      </w:r>
      <w:r w:rsidR="002768D1">
        <w:rPr>
          <w:lang w:val="en-US"/>
        </w:rPr>
        <w:t xml:space="preserve"> (</w:t>
      </w:r>
      <w:r w:rsidR="002768D1" w:rsidRPr="00D1730F">
        <w:rPr>
          <w:lang w:val="en-US"/>
        </w:rPr>
        <w:t>A/HRC/S-17/2/Add.1</w:t>
      </w:r>
      <w:r w:rsidR="002768D1">
        <w:rPr>
          <w:lang w:val="en-US"/>
        </w:rPr>
        <w:t>)</w:t>
      </w:r>
      <w:r w:rsidR="002768D1" w:rsidRPr="00083B11">
        <w:rPr>
          <w:lang w:val="en-US"/>
        </w:rPr>
        <w:t xml:space="preserve">. </w:t>
      </w:r>
      <w:r w:rsidR="00200A9A">
        <w:rPr>
          <w:lang w:val="en-US"/>
        </w:rPr>
        <w:t xml:space="preserve">More generally, </w:t>
      </w:r>
      <w:r w:rsidR="00200A9A" w:rsidRPr="00083B11">
        <w:rPr>
          <w:lang w:val="en-US"/>
        </w:rPr>
        <w:t>so-called low intensity conflicts involving organized criminal cartels, have not been deemed as amounting to NIAC</w:t>
      </w:r>
      <w:r w:rsidR="00200A9A">
        <w:rPr>
          <w:lang w:val="en-US"/>
        </w:rPr>
        <w:t>s</w:t>
      </w:r>
      <w:r w:rsidR="00200A9A" w:rsidRPr="00083B11">
        <w:rPr>
          <w:lang w:val="en-US"/>
        </w:rPr>
        <w:t xml:space="preserve">. </w:t>
      </w:r>
      <w:r w:rsidR="00200A9A">
        <w:rPr>
          <w:lang w:val="en-US"/>
        </w:rPr>
        <w:t xml:space="preserve"> </w:t>
      </w:r>
    </w:p>
    <w:p w14:paraId="5402F5BC" w14:textId="77777777" w:rsidR="002768D1" w:rsidRPr="00553DC3" w:rsidRDefault="00C84BBC" w:rsidP="00C84BBC">
      <w:pPr>
        <w:pStyle w:val="H23G"/>
        <w:rPr>
          <w:lang w:val="en-US"/>
        </w:rPr>
      </w:pPr>
      <w:r>
        <w:rPr>
          <w:lang w:val="en-US"/>
        </w:rPr>
        <w:tab/>
      </w:r>
      <w:r w:rsidR="005146D9">
        <w:rPr>
          <w:lang w:val="en-US"/>
        </w:rPr>
        <w:t>3.</w:t>
      </w:r>
      <w:r>
        <w:rPr>
          <w:lang w:val="en-US"/>
        </w:rPr>
        <w:tab/>
      </w:r>
      <w:r w:rsidR="002768D1" w:rsidRPr="00553DC3">
        <w:rPr>
          <w:lang w:val="en-US"/>
        </w:rPr>
        <w:t>I</w:t>
      </w:r>
      <w:r w:rsidR="002768D1">
        <w:rPr>
          <w:lang w:val="en-US"/>
        </w:rPr>
        <w:t xml:space="preserve">nternational criminal law </w:t>
      </w:r>
    </w:p>
    <w:p w14:paraId="109A1321" w14:textId="6ACE7DD7" w:rsidR="002768D1" w:rsidRPr="00083B11" w:rsidRDefault="003440A9" w:rsidP="00C84BBC">
      <w:pPr>
        <w:spacing w:after="120"/>
        <w:ind w:left="1134" w:right="1134"/>
        <w:jc w:val="both"/>
        <w:rPr>
          <w:lang w:val="en-US"/>
        </w:rPr>
      </w:pPr>
      <w:r>
        <w:rPr>
          <w:lang w:val="en-US"/>
        </w:rPr>
        <w:t>30</w:t>
      </w:r>
      <w:r w:rsidR="005146D9">
        <w:rPr>
          <w:lang w:val="en-US"/>
        </w:rPr>
        <w:t>.</w:t>
      </w:r>
      <w:r w:rsidR="00B52AF7">
        <w:rPr>
          <w:lang w:val="en-US"/>
        </w:rPr>
        <w:tab/>
      </w:r>
      <w:r w:rsidR="002768D1" w:rsidRPr="00083B11">
        <w:rPr>
          <w:lang w:val="en-US"/>
        </w:rPr>
        <w:t>ANSAs</w:t>
      </w:r>
      <w:r w:rsidR="002768D1">
        <w:rPr>
          <w:lang w:val="en-US"/>
        </w:rPr>
        <w:t>’ i</w:t>
      </w:r>
      <w:r w:rsidR="002768D1" w:rsidRPr="00083B11">
        <w:rPr>
          <w:lang w:val="en-US"/>
        </w:rPr>
        <w:t>ndividual members may be held to account, under ICL, for war crimes, crimes against humanity or indeed genocide.  ANSA</w:t>
      </w:r>
      <w:r w:rsidR="00BC5030">
        <w:rPr>
          <w:lang w:val="en-US"/>
        </w:rPr>
        <w:t>s</w:t>
      </w:r>
      <w:r w:rsidR="002768D1" w:rsidRPr="00083B11">
        <w:rPr>
          <w:lang w:val="en-US"/>
        </w:rPr>
        <w:t xml:space="preserve"> may be subject to international obligations outside armed conflict, in the context of crimes against humanity and genocide.  Such crimes may be prosecuted by the I</w:t>
      </w:r>
      <w:r w:rsidR="002768D1">
        <w:rPr>
          <w:lang w:val="en-US"/>
        </w:rPr>
        <w:t xml:space="preserve">nternational </w:t>
      </w:r>
      <w:r w:rsidR="002768D1" w:rsidRPr="00083B11">
        <w:rPr>
          <w:lang w:val="en-US"/>
        </w:rPr>
        <w:t>C</w:t>
      </w:r>
      <w:r w:rsidR="002768D1">
        <w:rPr>
          <w:lang w:val="en-US"/>
        </w:rPr>
        <w:t xml:space="preserve">riminal </w:t>
      </w:r>
      <w:r w:rsidR="002768D1" w:rsidRPr="00083B11">
        <w:rPr>
          <w:lang w:val="en-US"/>
        </w:rPr>
        <w:t>C</w:t>
      </w:r>
      <w:r w:rsidR="002768D1">
        <w:rPr>
          <w:lang w:val="en-US"/>
        </w:rPr>
        <w:t>ourt (ICC)</w:t>
      </w:r>
      <w:r w:rsidR="002768D1" w:rsidRPr="00083B11">
        <w:rPr>
          <w:lang w:val="en-US"/>
        </w:rPr>
        <w:t>, ad hoc tribunals and national courts that have domesticated the</w:t>
      </w:r>
      <w:r w:rsidR="00BC5030">
        <w:rPr>
          <w:lang w:val="en-US"/>
        </w:rPr>
        <w:t>se</w:t>
      </w:r>
      <w:r w:rsidR="002768D1" w:rsidRPr="00083B11">
        <w:rPr>
          <w:lang w:val="en-US"/>
        </w:rPr>
        <w:t xml:space="preserve"> crimes.  </w:t>
      </w:r>
    </w:p>
    <w:p w14:paraId="01DC86B3" w14:textId="77777777" w:rsidR="002768D1" w:rsidRPr="00083B11" w:rsidRDefault="003440A9" w:rsidP="00C84BBC">
      <w:pPr>
        <w:spacing w:after="120"/>
        <w:ind w:left="1134" w:right="1134"/>
        <w:jc w:val="both"/>
        <w:rPr>
          <w:lang w:val="en-US"/>
        </w:rPr>
      </w:pPr>
      <w:r>
        <w:rPr>
          <w:lang w:val="en-US"/>
        </w:rPr>
        <w:t>31</w:t>
      </w:r>
      <w:r w:rsidR="005146D9">
        <w:rPr>
          <w:lang w:val="en-US"/>
        </w:rPr>
        <w:t>.</w:t>
      </w:r>
      <w:r w:rsidR="00B52AF7">
        <w:rPr>
          <w:lang w:val="en-US"/>
        </w:rPr>
        <w:tab/>
      </w:r>
      <w:r w:rsidR="002768D1" w:rsidRPr="00083B11">
        <w:rPr>
          <w:lang w:val="en-US"/>
        </w:rPr>
        <w:t>The S</w:t>
      </w:r>
      <w:r w:rsidR="002768D1">
        <w:rPr>
          <w:lang w:val="en-US"/>
        </w:rPr>
        <w:t xml:space="preserve">pecial </w:t>
      </w:r>
      <w:r w:rsidR="002768D1" w:rsidRPr="00083B11">
        <w:rPr>
          <w:lang w:val="en-US"/>
        </w:rPr>
        <w:t>R</w:t>
      </w:r>
      <w:r w:rsidR="002768D1">
        <w:rPr>
          <w:lang w:val="en-US"/>
        </w:rPr>
        <w:t>apporteur</w:t>
      </w:r>
      <w:r w:rsidR="002768D1" w:rsidRPr="00083B11">
        <w:rPr>
          <w:lang w:val="en-US"/>
        </w:rPr>
        <w:t xml:space="preserve"> acknowledges the importance of ICL and the </w:t>
      </w:r>
      <w:r w:rsidR="002768D1">
        <w:rPr>
          <w:lang w:val="en-US"/>
        </w:rPr>
        <w:t xml:space="preserve">Rome Statute, as </w:t>
      </w:r>
      <w:r w:rsidR="002768D1" w:rsidRPr="00083B11">
        <w:rPr>
          <w:lang w:val="en-US"/>
        </w:rPr>
        <w:t xml:space="preserve">breakthrough in the fight against impunity, including in </w:t>
      </w:r>
      <w:r w:rsidR="002768D1" w:rsidRPr="00083B11">
        <w:rPr>
          <w:lang w:val="en-US"/>
        </w:rPr>
        <w:lastRenderedPageBreak/>
        <w:t>terms of holding members of ANSAs accountable.  For instance, through the self-referral process</w:t>
      </w:r>
      <w:r w:rsidR="002768D1">
        <w:rPr>
          <w:lang w:val="en-US"/>
        </w:rPr>
        <w:t>, the ICC</w:t>
      </w:r>
      <w:r w:rsidR="002768D1" w:rsidRPr="00083B11">
        <w:rPr>
          <w:lang w:val="en-US"/>
        </w:rPr>
        <w:t xml:space="preserve"> issu</w:t>
      </w:r>
      <w:r w:rsidR="002768D1">
        <w:rPr>
          <w:lang w:val="en-US"/>
        </w:rPr>
        <w:t>ed</w:t>
      </w:r>
      <w:r w:rsidR="002768D1" w:rsidRPr="00083B11">
        <w:rPr>
          <w:lang w:val="en-US"/>
        </w:rPr>
        <w:t xml:space="preserve"> arrests warrants against members of ANSAs</w:t>
      </w:r>
      <w:r w:rsidR="002768D1">
        <w:rPr>
          <w:lang w:val="en-US"/>
        </w:rPr>
        <w:t xml:space="preserve"> in</w:t>
      </w:r>
      <w:r w:rsidR="002768D1" w:rsidRPr="00083B11">
        <w:rPr>
          <w:lang w:val="en-US"/>
        </w:rPr>
        <w:t xml:space="preserve"> Uganda, D</w:t>
      </w:r>
      <w:r w:rsidR="002768D1">
        <w:rPr>
          <w:lang w:val="en-US"/>
        </w:rPr>
        <w:t xml:space="preserve">RC </w:t>
      </w:r>
      <w:r w:rsidR="002768D1" w:rsidRPr="00083B11">
        <w:rPr>
          <w:lang w:val="en-US"/>
        </w:rPr>
        <w:t xml:space="preserve">and Central African Republic. In September 2017, </w:t>
      </w:r>
      <w:r w:rsidR="002768D1">
        <w:rPr>
          <w:lang w:val="en-US"/>
        </w:rPr>
        <w:t xml:space="preserve">UNSC </w:t>
      </w:r>
      <w:r w:rsidR="002768D1" w:rsidRPr="00083B11">
        <w:rPr>
          <w:lang w:val="en-US"/>
        </w:rPr>
        <w:t>adopted Resolution 2379, which establishes an independent investigative team to support Iraqi efforts to hold ISIS accountable.</w:t>
      </w:r>
      <w:r w:rsidR="002768D1" w:rsidRPr="00083B11">
        <w:rPr>
          <w:vertAlign w:val="superscript"/>
          <w:lang w:val="en-US"/>
        </w:rPr>
        <w:t xml:space="preserve"> </w:t>
      </w:r>
      <w:r w:rsidR="00F103CD">
        <w:rPr>
          <w:rStyle w:val="FootnoteReference"/>
          <w:lang w:val="en-US"/>
        </w:rPr>
        <w:footnoteReference w:id="34"/>
      </w:r>
      <w:r w:rsidR="002768D1" w:rsidRPr="00083B11">
        <w:rPr>
          <w:lang w:val="en-US"/>
        </w:rPr>
        <w:t xml:space="preserve"> </w:t>
      </w:r>
    </w:p>
    <w:p w14:paraId="04282CDD" w14:textId="3BA00E71" w:rsidR="002768D1" w:rsidRPr="00083B11" w:rsidRDefault="003440A9" w:rsidP="00C84BBC">
      <w:pPr>
        <w:spacing w:after="120"/>
        <w:ind w:left="1134" w:right="1134"/>
        <w:jc w:val="both"/>
        <w:rPr>
          <w:lang w:val="en-US"/>
        </w:rPr>
      </w:pPr>
      <w:r>
        <w:rPr>
          <w:lang w:val="en-US"/>
        </w:rPr>
        <w:t>32</w:t>
      </w:r>
      <w:r w:rsidR="005146D9">
        <w:rPr>
          <w:lang w:val="en-US"/>
        </w:rPr>
        <w:t>.</w:t>
      </w:r>
      <w:r w:rsidR="003B1856">
        <w:rPr>
          <w:lang w:val="en-US"/>
        </w:rPr>
        <w:tab/>
      </w:r>
      <w:r w:rsidR="002768D1" w:rsidRPr="00083B11">
        <w:rPr>
          <w:lang w:val="en-US"/>
        </w:rPr>
        <w:t>The</w:t>
      </w:r>
      <w:r w:rsidR="002768D1">
        <w:rPr>
          <w:lang w:val="en-US"/>
        </w:rPr>
        <w:t>se initiatives are welcomed but</w:t>
      </w:r>
      <w:r w:rsidR="002768D1" w:rsidRPr="00083B11">
        <w:rPr>
          <w:lang w:val="en-US"/>
        </w:rPr>
        <w:t xml:space="preserve"> raise many risks, including </w:t>
      </w:r>
      <w:r w:rsidR="00BE3D59">
        <w:rPr>
          <w:lang w:val="en-US"/>
        </w:rPr>
        <w:t xml:space="preserve">by </w:t>
      </w:r>
      <w:r w:rsidR="002768D1">
        <w:rPr>
          <w:lang w:val="en-US"/>
        </w:rPr>
        <w:t xml:space="preserve">selecting perpetrators and </w:t>
      </w:r>
      <w:r w:rsidR="002768D1" w:rsidRPr="00083B11">
        <w:rPr>
          <w:lang w:val="en-US"/>
        </w:rPr>
        <w:t>entrenching a culture of impunity for State actors. Furthermore, the ICC referral process or indeed the establishment of international tribunals or special courts</w:t>
      </w:r>
      <w:r w:rsidR="002768D1">
        <w:rPr>
          <w:lang w:val="en-US"/>
        </w:rPr>
        <w:t xml:space="preserve"> is a complex and lengthy one. </w:t>
      </w:r>
      <w:r w:rsidR="002768D1" w:rsidRPr="00083B11">
        <w:rPr>
          <w:lang w:val="en-US"/>
        </w:rPr>
        <w:t xml:space="preserve">Another limit is the lack of jurisdiction over </w:t>
      </w:r>
      <w:r w:rsidR="002768D1">
        <w:rPr>
          <w:lang w:val="en-US"/>
        </w:rPr>
        <w:t xml:space="preserve">ANSAs </w:t>
      </w:r>
      <w:r w:rsidR="002768D1" w:rsidRPr="00083B11">
        <w:rPr>
          <w:lang w:val="en-US"/>
        </w:rPr>
        <w:t>as “collective entities”.</w:t>
      </w:r>
      <w:r w:rsidR="00F103CD">
        <w:rPr>
          <w:rStyle w:val="FootnoteReference"/>
          <w:lang w:val="en-US"/>
        </w:rPr>
        <w:footnoteReference w:id="35"/>
      </w:r>
      <w:r w:rsidR="002768D1" w:rsidRPr="00083B11">
        <w:rPr>
          <w:lang w:val="en-US"/>
        </w:rPr>
        <w:t xml:space="preserve"> </w:t>
      </w:r>
      <w:r w:rsidR="002768D1">
        <w:rPr>
          <w:lang w:val="en-US"/>
        </w:rPr>
        <w:t xml:space="preserve">Further, </w:t>
      </w:r>
      <w:r w:rsidR="002768D1" w:rsidRPr="00083B11">
        <w:rPr>
          <w:lang w:val="en-US"/>
        </w:rPr>
        <w:lastRenderedPageBreak/>
        <w:t>ICL does not provide for reparations to victims of ANSAs violations</w:t>
      </w:r>
      <w:r w:rsidR="00F103CD">
        <w:rPr>
          <w:rStyle w:val="FootnoteReference"/>
          <w:lang w:val="en-US"/>
        </w:rPr>
        <w:footnoteReference w:id="36"/>
      </w:r>
      <w:r w:rsidR="002768D1" w:rsidRPr="00083B11">
        <w:rPr>
          <w:lang w:val="en-US"/>
        </w:rPr>
        <w:t xml:space="preserve"> while States that domesticate the R</w:t>
      </w:r>
      <w:r w:rsidR="002768D1">
        <w:rPr>
          <w:lang w:val="en-US"/>
        </w:rPr>
        <w:t xml:space="preserve">ome Statute do not undertake to </w:t>
      </w:r>
      <w:r w:rsidR="002768D1" w:rsidRPr="00083B11">
        <w:rPr>
          <w:lang w:val="en-US"/>
        </w:rPr>
        <w:t xml:space="preserve">establish judicial remedies for individual reparations. A final and obvious limitation with ICL is that not all crimes committed by ANSAs meet the required ICL threshold. </w:t>
      </w:r>
    </w:p>
    <w:p w14:paraId="144DD7BB" w14:textId="77777777" w:rsidR="002768D1" w:rsidRPr="00553DC3" w:rsidRDefault="00C84BBC" w:rsidP="00C84BBC">
      <w:pPr>
        <w:pStyle w:val="H23G"/>
        <w:rPr>
          <w:lang w:val="en-US"/>
        </w:rPr>
      </w:pPr>
      <w:r>
        <w:rPr>
          <w:lang w:val="en-US"/>
        </w:rPr>
        <w:tab/>
      </w:r>
      <w:r w:rsidR="002768D1" w:rsidRPr="00553DC3">
        <w:rPr>
          <w:lang w:val="en-US"/>
        </w:rPr>
        <w:t>4.</w:t>
      </w:r>
      <w:r>
        <w:rPr>
          <w:lang w:val="en-US"/>
        </w:rPr>
        <w:tab/>
      </w:r>
      <w:r w:rsidR="002768D1" w:rsidRPr="00553DC3">
        <w:rPr>
          <w:lang w:val="en-US"/>
        </w:rPr>
        <w:t xml:space="preserve">The international counter-terrorism framework </w:t>
      </w:r>
    </w:p>
    <w:p w14:paraId="0959E94F" w14:textId="77777777" w:rsidR="002768D1" w:rsidRPr="00083B11" w:rsidRDefault="003440A9" w:rsidP="00C84BBC">
      <w:pPr>
        <w:spacing w:after="120"/>
        <w:ind w:left="1134" w:right="1134"/>
        <w:jc w:val="both"/>
        <w:rPr>
          <w:lang w:val="en-US"/>
        </w:rPr>
      </w:pPr>
      <w:r>
        <w:rPr>
          <w:lang w:val="en-US"/>
        </w:rPr>
        <w:t>33</w:t>
      </w:r>
      <w:r w:rsidR="005146D9">
        <w:rPr>
          <w:lang w:val="en-US"/>
        </w:rPr>
        <w:t>.</w:t>
      </w:r>
      <w:r w:rsidR="003B1856">
        <w:rPr>
          <w:lang w:val="en-US"/>
        </w:rPr>
        <w:tab/>
      </w:r>
      <w:r w:rsidR="002768D1" w:rsidRPr="00083B11">
        <w:rPr>
          <w:lang w:val="en-US"/>
        </w:rPr>
        <w:t>Since 9/11, int</w:t>
      </w:r>
      <w:r w:rsidR="002768D1">
        <w:rPr>
          <w:lang w:val="en-US"/>
        </w:rPr>
        <w:t>ernational counter-terrorism legislation</w:t>
      </w:r>
      <w:r w:rsidR="002768D1" w:rsidRPr="00083B11">
        <w:rPr>
          <w:lang w:val="en-US"/>
        </w:rPr>
        <w:t xml:space="preserve"> </w:t>
      </w:r>
      <w:r w:rsidR="002768D1">
        <w:rPr>
          <w:lang w:val="en-US"/>
        </w:rPr>
        <w:t xml:space="preserve">(ICTL) </w:t>
      </w:r>
      <w:r w:rsidR="002768D1" w:rsidRPr="00083B11">
        <w:rPr>
          <w:lang w:val="en-US"/>
        </w:rPr>
        <w:t>has</w:t>
      </w:r>
      <w:r w:rsidR="002768D1">
        <w:rPr>
          <w:lang w:val="en-US"/>
        </w:rPr>
        <w:t xml:space="preserve"> emerged as one of the main bodies</w:t>
      </w:r>
      <w:r w:rsidR="002768D1" w:rsidRPr="00083B11">
        <w:rPr>
          <w:lang w:val="en-US"/>
        </w:rPr>
        <w:t xml:space="preserve"> of law to frame </w:t>
      </w:r>
      <w:r w:rsidR="002768D1">
        <w:rPr>
          <w:lang w:val="en-US"/>
        </w:rPr>
        <w:t>th</w:t>
      </w:r>
      <w:r w:rsidR="002768D1" w:rsidRPr="00083B11">
        <w:rPr>
          <w:lang w:val="en-US"/>
        </w:rPr>
        <w:t>e acts of a number of ANSAs.</w:t>
      </w:r>
      <w:r w:rsidR="00A66C19">
        <w:rPr>
          <w:rStyle w:val="FootnoteReference"/>
          <w:lang w:val="en-US"/>
        </w:rPr>
        <w:footnoteReference w:id="37"/>
      </w:r>
      <w:r w:rsidR="002768D1" w:rsidRPr="00083B11">
        <w:rPr>
          <w:lang w:val="en-US"/>
        </w:rPr>
        <w:t xml:space="preserve"> While there is no international consensus on a </w:t>
      </w:r>
      <w:r w:rsidR="002768D1" w:rsidRPr="00083B11">
        <w:rPr>
          <w:lang w:val="en-US"/>
        </w:rPr>
        <w:lastRenderedPageBreak/>
        <w:t>definition of terrorism, there is loose cons</w:t>
      </w:r>
      <w:r w:rsidR="002768D1">
        <w:rPr>
          <w:lang w:val="en-US"/>
        </w:rPr>
        <w:t>ensus around the idea that it entails</w:t>
      </w:r>
      <w:r w:rsidR="002768D1" w:rsidRPr="00083B11">
        <w:rPr>
          <w:lang w:val="en-US"/>
        </w:rPr>
        <w:t xml:space="preserve"> acts that either cause death or injury to persons, or damage to property, combined with a specific intent to intimidate a population.</w:t>
      </w:r>
      <w:r w:rsidR="00A66C19">
        <w:rPr>
          <w:rStyle w:val="FootnoteReference"/>
          <w:lang w:val="en-US"/>
        </w:rPr>
        <w:footnoteReference w:id="38"/>
      </w:r>
      <w:r w:rsidR="002768D1" w:rsidRPr="00083B11">
        <w:rPr>
          <w:lang w:val="en-US"/>
        </w:rPr>
        <w:t xml:space="preserve"> Individual acts of terrorism may fall within the category of war crimes or crimes against humanity while disproportionate illegal State responses to terrorism may also fall within the definition of international crimes and human rights violations</w:t>
      </w:r>
      <w:r w:rsidR="00A66C19">
        <w:rPr>
          <w:rStyle w:val="FootnoteReference"/>
          <w:lang w:val="en-US"/>
        </w:rPr>
        <w:footnoteReference w:id="39"/>
      </w:r>
      <w:r w:rsidR="002768D1" w:rsidRPr="00083B11">
        <w:rPr>
          <w:lang w:val="en-US"/>
        </w:rPr>
        <w:t xml:space="preserve">.  </w:t>
      </w:r>
    </w:p>
    <w:p w14:paraId="595831C2" w14:textId="77777777" w:rsidR="002768D1" w:rsidRPr="00083B11" w:rsidRDefault="003440A9" w:rsidP="00C84BBC">
      <w:pPr>
        <w:spacing w:after="120"/>
        <w:ind w:left="1134" w:right="1134"/>
        <w:jc w:val="both"/>
        <w:rPr>
          <w:lang w:val="en-US"/>
        </w:rPr>
      </w:pPr>
      <w:r>
        <w:rPr>
          <w:lang w:val="en-US"/>
        </w:rPr>
        <w:t>34</w:t>
      </w:r>
      <w:r w:rsidR="005146D9">
        <w:rPr>
          <w:lang w:val="en-US"/>
        </w:rPr>
        <w:t>.</w:t>
      </w:r>
      <w:r w:rsidR="003B1856">
        <w:rPr>
          <w:lang w:val="en-US"/>
        </w:rPr>
        <w:tab/>
      </w:r>
      <w:r w:rsidR="002768D1" w:rsidRPr="00083B11">
        <w:rPr>
          <w:lang w:val="en-US"/>
        </w:rPr>
        <w:t>One first issue with characterizing ANSAs as “terrorists” and their acts as falling within IC</w:t>
      </w:r>
      <w:r w:rsidR="002768D1">
        <w:rPr>
          <w:lang w:val="en-US"/>
        </w:rPr>
        <w:t>T</w:t>
      </w:r>
      <w:r w:rsidR="002768D1" w:rsidRPr="00083B11">
        <w:rPr>
          <w:lang w:val="en-US"/>
        </w:rPr>
        <w:t xml:space="preserve">L, is that </w:t>
      </w:r>
      <w:r w:rsidR="002768D1">
        <w:rPr>
          <w:lang w:val="en-US"/>
        </w:rPr>
        <w:t xml:space="preserve">many </w:t>
      </w:r>
      <w:r w:rsidR="002768D1" w:rsidRPr="00083B11">
        <w:rPr>
          <w:lang w:val="en-US"/>
        </w:rPr>
        <w:t xml:space="preserve">groups </w:t>
      </w:r>
      <w:r w:rsidR="002768D1">
        <w:rPr>
          <w:lang w:val="en-US"/>
        </w:rPr>
        <w:t xml:space="preserve">allegedly </w:t>
      </w:r>
      <w:r w:rsidR="002768D1" w:rsidRPr="00083B11">
        <w:rPr>
          <w:lang w:val="en-US"/>
        </w:rPr>
        <w:t>engaged in</w:t>
      </w:r>
      <w:r w:rsidR="002768D1">
        <w:rPr>
          <w:lang w:val="en-US"/>
        </w:rPr>
        <w:t xml:space="preserve"> “acts of </w:t>
      </w:r>
      <w:r w:rsidR="002768D1" w:rsidRPr="00083B11">
        <w:rPr>
          <w:lang w:val="en-US"/>
        </w:rPr>
        <w:t>terrorism</w:t>
      </w:r>
      <w:r w:rsidR="002768D1">
        <w:rPr>
          <w:lang w:val="en-US"/>
        </w:rPr>
        <w:t>”</w:t>
      </w:r>
      <w:r w:rsidR="002768D1" w:rsidRPr="00083B11">
        <w:rPr>
          <w:lang w:val="en-US"/>
        </w:rPr>
        <w:t xml:space="preserve"> are ill-</w:t>
      </w:r>
      <w:r w:rsidR="002768D1">
        <w:rPr>
          <w:lang w:val="en-US"/>
        </w:rPr>
        <w:t>defined, or not defined at all.</w:t>
      </w:r>
      <w:r w:rsidR="002768D1" w:rsidRPr="00083B11">
        <w:rPr>
          <w:lang w:val="en-US"/>
        </w:rPr>
        <w:t xml:space="preserve"> One is left with the impression </w:t>
      </w:r>
      <w:r w:rsidR="002768D1" w:rsidRPr="00083B11">
        <w:rPr>
          <w:lang w:val="en-US"/>
        </w:rPr>
        <w:lastRenderedPageBreak/>
        <w:t xml:space="preserve">that everyone may be labeled a “terrorist,” including journalists and human rights defenders, so long as governments have determined so. </w:t>
      </w:r>
    </w:p>
    <w:p w14:paraId="2779CE8F" w14:textId="74307A8C" w:rsidR="002768D1" w:rsidRDefault="003440A9" w:rsidP="00C84BBC">
      <w:pPr>
        <w:spacing w:after="120"/>
        <w:ind w:left="1134" w:right="1134"/>
        <w:jc w:val="both"/>
        <w:rPr>
          <w:lang w:val="en-US"/>
        </w:rPr>
      </w:pPr>
      <w:r>
        <w:rPr>
          <w:lang w:val="en-US"/>
        </w:rPr>
        <w:t>35</w:t>
      </w:r>
      <w:r w:rsidR="005146D9">
        <w:rPr>
          <w:lang w:val="en-US"/>
        </w:rPr>
        <w:t>.</w:t>
      </w:r>
      <w:r w:rsidR="003B1856">
        <w:rPr>
          <w:lang w:val="en-US"/>
        </w:rPr>
        <w:tab/>
      </w:r>
      <w:r w:rsidR="002768D1" w:rsidRPr="00083B11">
        <w:rPr>
          <w:lang w:val="en-US"/>
        </w:rPr>
        <w:t>Secondly, concerns for civilian</w:t>
      </w:r>
      <w:r w:rsidR="002768D1">
        <w:rPr>
          <w:lang w:val="en-US"/>
        </w:rPr>
        <w:t>s</w:t>
      </w:r>
      <w:r w:rsidR="002768D1" w:rsidRPr="00083B11">
        <w:rPr>
          <w:lang w:val="en-US"/>
        </w:rPr>
        <w:t xml:space="preserve"> in the context of counter-terrorism efforts,</w:t>
      </w:r>
      <w:r w:rsidR="00A66C19">
        <w:rPr>
          <w:rStyle w:val="FootnoteReference"/>
          <w:lang w:val="en-US"/>
        </w:rPr>
        <w:footnoteReference w:id="40"/>
      </w:r>
      <w:r w:rsidR="002768D1" w:rsidRPr="00083B11">
        <w:rPr>
          <w:lang w:val="en-US"/>
        </w:rPr>
        <w:t xml:space="preserve"> extend to the rights of victims.</w:t>
      </w:r>
      <w:r w:rsidR="00A66C19">
        <w:rPr>
          <w:rStyle w:val="FootnoteReference"/>
          <w:lang w:val="en-US"/>
        </w:rPr>
        <w:footnoteReference w:id="41"/>
      </w:r>
      <w:r w:rsidR="002768D1" w:rsidRPr="00083B11">
        <w:rPr>
          <w:vertAlign w:val="superscript"/>
          <w:lang w:val="en-US"/>
        </w:rPr>
        <w:t xml:space="preserve"> </w:t>
      </w:r>
      <w:r w:rsidR="002768D1" w:rsidRPr="00083B11">
        <w:rPr>
          <w:lang w:val="en-US"/>
        </w:rPr>
        <w:t>The United Nations Global Count</w:t>
      </w:r>
      <w:r w:rsidR="002768D1">
        <w:rPr>
          <w:lang w:val="en-US"/>
        </w:rPr>
        <w:t>er-Terrorism Strategy includes five</w:t>
      </w:r>
      <w:r w:rsidR="00BE3D59">
        <w:rPr>
          <w:lang w:val="en-US"/>
        </w:rPr>
        <w:t xml:space="preserve"> references </w:t>
      </w:r>
      <w:r w:rsidR="002768D1" w:rsidRPr="00083B11">
        <w:rPr>
          <w:lang w:val="en-US"/>
        </w:rPr>
        <w:t>to victims, three of which are in paragraph 8 of the first pillar</w:t>
      </w:r>
      <w:r w:rsidR="002768D1">
        <w:rPr>
          <w:lang w:val="en-US"/>
        </w:rPr>
        <w:t>,</w:t>
      </w:r>
      <w:r w:rsidR="002768D1" w:rsidRPr="00083B11">
        <w:rPr>
          <w:lang w:val="en-US"/>
        </w:rPr>
        <w:t xml:space="preserve"> which demand of States that they put in place, on a</w:t>
      </w:r>
      <w:r w:rsidR="002768D1" w:rsidRPr="00083B11">
        <w:rPr>
          <w:i/>
          <w:lang w:val="en-US"/>
        </w:rPr>
        <w:t xml:space="preserve"> </w:t>
      </w:r>
      <w:r w:rsidR="002768D1" w:rsidRPr="00083B11">
        <w:rPr>
          <w:b/>
          <w:i/>
          <w:lang w:val="en-US"/>
        </w:rPr>
        <w:t>voluntary</w:t>
      </w:r>
      <w:r w:rsidR="002768D1" w:rsidRPr="00083B11">
        <w:rPr>
          <w:i/>
          <w:lang w:val="en-US"/>
        </w:rPr>
        <w:t xml:space="preserve"> </w:t>
      </w:r>
      <w:r w:rsidR="002768D1" w:rsidRPr="00083B11">
        <w:rPr>
          <w:lang w:val="en-US"/>
        </w:rPr>
        <w:t>basis, national systems of assistance for victims of terrorism.</w:t>
      </w:r>
      <w:r w:rsidR="002768D1">
        <w:rPr>
          <w:lang w:val="en-US"/>
        </w:rPr>
        <w:t xml:space="preserve"> The </w:t>
      </w:r>
      <w:r w:rsidR="00756A9A">
        <w:rPr>
          <w:lang w:val="en-US"/>
        </w:rPr>
        <w:t>Mandate</w:t>
      </w:r>
      <w:r w:rsidR="002768D1">
        <w:rPr>
          <w:lang w:val="en-US"/>
        </w:rPr>
        <w:t xml:space="preserve"> on </w:t>
      </w:r>
      <w:r w:rsidR="00756A9A">
        <w:rPr>
          <w:lang w:val="en-US"/>
        </w:rPr>
        <w:t xml:space="preserve">human rights protection while </w:t>
      </w:r>
      <w:r w:rsidR="002768D1">
        <w:rPr>
          <w:lang w:val="en-US"/>
        </w:rPr>
        <w:t>countering-terrorism</w:t>
      </w:r>
      <w:r w:rsidR="002768D1" w:rsidRPr="00083B11">
        <w:rPr>
          <w:lang w:val="en-US"/>
        </w:rPr>
        <w:t xml:space="preserve"> insisted that the protection of the rights of the victims constitutes a genuine legal duty</w:t>
      </w:r>
      <w:r w:rsidR="002768D1">
        <w:rPr>
          <w:lang w:val="en-US"/>
        </w:rPr>
        <w:t xml:space="preserve"> </w:t>
      </w:r>
      <w:r w:rsidR="002768D1" w:rsidRPr="00083B11">
        <w:rPr>
          <w:lang w:val="en-US"/>
        </w:rPr>
        <w:t xml:space="preserve">modeled on the aforementioned Basic </w:t>
      </w:r>
      <w:r w:rsidR="002768D1" w:rsidRPr="00083B11">
        <w:rPr>
          <w:lang w:val="en-US"/>
        </w:rPr>
        <w:lastRenderedPageBreak/>
        <w:t>Principles</w:t>
      </w:r>
      <w:r w:rsidR="002768D1">
        <w:rPr>
          <w:lang w:val="en-US"/>
        </w:rPr>
        <w:t xml:space="preserve"> (</w:t>
      </w:r>
      <w:r w:rsidR="002768D1" w:rsidRPr="001842CD">
        <w:rPr>
          <w:szCs w:val="18"/>
        </w:rPr>
        <w:t>A/66/310</w:t>
      </w:r>
      <w:r w:rsidR="002768D1">
        <w:rPr>
          <w:szCs w:val="18"/>
        </w:rPr>
        <w:t>)</w:t>
      </w:r>
      <w:r w:rsidR="002768D1" w:rsidRPr="00083B11">
        <w:rPr>
          <w:lang w:val="en-US"/>
        </w:rPr>
        <w:t xml:space="preserve">. </w:t>
      </w:r>
      <w:r w:rsidR="002768D1">
        <w:rPr>
          <w:lang w:val="en-US"/>
        </w:rPr>
        <w:t>T</w:t>
      </w:r>
      <w:r w:rsidR="002768D1" w:rsidRPr="00083B11">
        <w:rPr>
          <w:lang w:val="en-US"/>
        </w:rPr>
        <w:t xml:space="preserve">o this day, such a legal obligation has rarely been implemented. </w:t>
      </w:r>
      <w:r w:rsidR="002768D1">
        <w:rPr>
          <w:lang w:val="en-US"/>
        </w:rPr>
        <w:t>I</w:t>
      </w:r>
      <w:r w:rsidR="002768D1" w:rsidRPr="00083B11">
        <w:rPr>
          <w:lang w:val="en-US"/>
        </w:rPr>
        <w:t xml:space="preserve">t would appear that the counter-terrorism framework remains essentially conceived and perceived as addressing crimes against the State.  </w:t>
      </w:r>
    </w:p>
    <w:p w14:paraId="06F6157A" w14:textId="2CB82267" w:rsidR="002768D1" w:rsidRPr="00756046" w:rsidRDefault="003440A9" w:rsidP="00C84BBC">
      <w:pPr>
        <w:spacing w:after="120"/>
        <w:ind w:left="1134" w:right="1134"/>
        <w:jc w:val="both"/>
        <w:rPr>
          <w:lang w:val="en-US"/>
        </w:rPr>
      </w:pPr>
      <w:r>
        <w:t>36</w:t>
      </w:r>
      <w:r w:rsidR="005146D9">
        <w:t>.</w:t>
      </w:r>
      <w:r w:rsidR="003B1856">
        <w:tab/>
      </w:r>
      <w:r w:rsidR="002768D1" w:rsidRPr="00083B11">
        <w:t xml:space="preserve">At </w:t>
      </w:r>
      <w:r w:rsidR="002768D1">
        <w:t xml:space="preserve">the </w:t>
      </w:r>
      <w:r w:rsidR="002768D1" w:rsidRPr="00083B11">
        <w:t xml:space="preserve">domestic level, ANSAs individual members may be tried under a combination of counter-terrorism and criminal law. There are intrinsic and serious weaknesses to counter-terrorism laws around the world, such as vague and broad definitions, and the potential criminalization of democratic rights. The </w:t>
      </w:r>
      <w:r w:rsidR="002768D1">
        <w:t xml:space="preserve">Special Rapporteur is concerned that the offence </w:t>
      </w:r>
      <w:r w:rsidR="002768D1" w:rsidRPr="00083B11">
        <w:t xml:space="preserve">of “membership to a terrorist organization” </w:t>
      </w:r>
      <w:r w:rsidR="002768D1">
        <w:t xml:space="preserve">is </w:t>
      </w:r>
      <w:r w:rsidR="002768D1" w:rsidRPr="00756046">
        <w:rPr>
          <w:rFonts w:asciiTheme="majorHAnsi" w:hAnsiTheme="majorHAnsi"/>
        </w:rPr>
        <w:t xml:space="preserve">used as “short-cuts” by over-stretched, under-resourced, and at times unwilling policing institutions. The characterization of “terrorism” </w:t>
      </w:r>
      <w:r w:rsidR="002768D1" w:rsidRPr="00083B11">
        <w:t xml:space="preserve">for what may amount to war crimes, crimes against humanity or genocide constitutes, in the Special </w:t>
      </w:r>
      <w:r w:rsidR="002768D1" w:rsidRPr="00083B11">
        <w:lastRenderedPageBreak/>
        <w:t xml:space="preserve">Rapporteur’s opinion, a fallacy of historical proportion and a potential violation of the right to justice, the right to know, </w:t>
      </w:r>
      <w:r w:rsidR="002768D1">
        <w:t xml:space="preserve">and </w:t>
      </w:r>
      <w:r w:rsidR="002768D1" w:rsidRPr="00083B11">
        <w:t xml:space="preserve">the right to participate. Finally, the place and experiences of victims in the judicial accountability process is </w:t>
      </w:r>
      <w:r w:rsidR="002768D1" w:rsidRPr="00756046">
        <w:rPr>
          <w:i/>
        </w:rPr>
        <w:t>ad hoc</w:t>
      </w:r>
      <w:r w:rsidR="002768D1" w:rsidRPr="00083B11">
        <w:t xml:space="preserve"> and limited, and there is, to date, limited evidence of victims of “terrorism” accessing remedies and reparations. </w:t>
      </w:r>
    </w:p>
    <w:p w14:paraId="29A28E69" w14:textId="77777777" w:rsidR="002768D1" w:rsidRPr="00553DC3" w:rsidRDefault="00C84BBC" w:rsidP="00C84BBC">
      <w:pPr>
        <w:pStyle w:val="H1G"/>
        <w:rPr>
          <w:lang w:val="en-US"/>
        </w:rPr>
      </w:pPr>
      <w:r>
        <w:rPr>
          <w:lang w:val="en-US"/>
        </w:rPr>
        <w:tab/>
      </w:r>
      <w:r w:rsidR="005146D9">
        <w:rPr>
          <w:lang w:val="en-US"/>
        </w:rPr>
        <w:t>C.</w:t>
      </w:r>
      <w:r w:rsidR="002768D1">
        <w:rPr>
          <w:lang w:val="en-US"/>
        </w:rPr>
        <w:tab/>
      </w:r>
      <w:r w:rsidR="002768D1" w:rsidRPr="00553DC3">
        <w:rPr>
          <w:lang w:val="en-US"/>
        </w:rPr>
        <w:t>The international human rights regime and non-State actors</w:t>
      </w:r>
    </w:p>
    <w:p w14:paraId="5C3E289C" w14:textId="77777777" w:rsidR="002768D1" w:rsidRPr="00083B11" w:rsidRDefault="003440A9" w:rsidP="003B1856">
      <w:pPr>
        <w:spacing w:after="120"/>
        <w:ind w:left="1134" w:right="1134"/>
        <w:jc w:val="both"/>
      </w:pPr>
      <w:r>
        <w:rPr>
          <w:lang w:val="en-US"/>
        </w:rPr>
        <w:t>37</w:t>
      </w:r>
      <w:r w:rsidR="005146D9">
        <w:rPr>
          <w:lang w:val="en-US"/>
        </w:rPr>
        <w:t>.</w:t>
      </w:r>
      <w:r w:rsidR="003B1856">
        <w:rPr>
          <w:lang w:val="en-US"/>
        </w:rPr>
        <w:tab/>
      </w:r>
      <w:r w:rsidR="002768D1" w:rsidRPr="00083B11">
        <w:rPr>
          <w:lang w:val="en-US"/>
        </w:rPr>
        <w:t xml:space="preserve">The Special Rapporteur </w:t>
      </w:r>
      <w:r w:rsidR="002768D1">
        <w:rPr>
          <w:lang w:val="en-US"/>
        </w:rPr>
        <w:t xml:space="preserve">reaffirms </w:t>
      </w:r>
      <w:r w:rsidR="002768D1" w:rsidRPr="00083B11">
        <w:rPr>
          <w:lang w:val="en-US"/>
        </w:rPr>
        <w:t xml:space="preserve">the centrality of States </w:t>
      </w:r>
      <w:r w:rsidR="002768D1">
        <w:rPr>
          <w:lang w:val="en-US"/>
        </w:rPr>
        <w:t xml:space="preserve">and their obligations </w:t>
      </w:r>
      <w:r w:rsidR="002768D1" w:rsidRPr="00083B11">
        <w:rPr>
          <w:lang w:val="en-US"/>
        </w:rPr>
        <w:t xml:space="preserve">to international law, including human rights law.  She insists however that the State’s central role does not exclude other actors and that States were not meant to be, and are not, the sole duty bearer under the </w:t>
      </w:r>
      <w:r w:rsidR="002768D1">
        <w:rPr>
          <w:lang w:val="en-US"/>
        </w:rPr>
        <w:t xml:space="preserve">IHRL </w:t>
      </w:r>
      <w:r w:rsidR="002768D1" w:rsidRPr="00083B11">
        <w:rPr>
          <w:lang w:val="en-US"/>
        </w:rPr>
        <w:t xml:space="preserve">regime. </w:t>
      </w:r>
    </w:p>
    <w:p w14:paraId="57A8DA0A" w14:textId="77777777" w:rsidR="002768D1" w:rsidRPr="00553DC3" w:rsidRDefault="00C84BBC" w:rsidP="00C84BBC">
      <w:pPr>
        <w:pStyle w:val="H23G"/>
      </w:pPr>
      <w:r>
        <w:rPr>
          <w:lang w:val="en-US"/>
        </w:rPr>
        <w:lastRenderedPageBreak/>
        <w:tab/>
      </w:r>
      <w:r w:rsidR="005146D9">
        <w:rPr>
          <w:lang w:val="en-US"/>
        </w:rPr>
        <w:t>1.</w:t>
      </w:r>
      <w:r>
        <w:rPr>
          <w:lang w:val="en-US"/>
        </w:rPr>
        <w:tab/>
      </w:r>
      <w:r w:rsidR="002768D1" w:rsidRPr="00553DC3">
        <w:rPr>
          <w:lang w:val="en-US"/>
        </w:rPr>
        <w:t>Inalienable human rights</w:t>
      </w:r>
    </w:p>
    <w:p w14:paraId="03C184A8" w14:textId="77777777" w:rsidR="002768D1" w:rsidRPr="00083B11" w:rsidRDefault="003440A9" w:rsidP="00C84BBC">
      <w:pPr>
        <w:spacing w:after="120"/>
        <w:ind w:left="1134" w:right="1134"/>
        <w:jc w:val="both"/>
        <w:rPr>
          <w:lang w:val="en-US"/>
        </w:rPr>
      </w:pPr>
      <w:r>
        <w:rPr>
          <w:lang w:val="en-US"/>
        </w:rPr>
        <w:t>38</w:t>
      </w:r>
      <w:r w:rsidR="005146D9">
        <w:rPr>
          <w:lang w:val="en-US"/>
        </w:rPr>
        <w:t>.</w:t>
      </w:r>
      <w:r w:rsidR="003B1856">
        <w:rPr>
          <w:lang w:val="en-US"/>
        </w:rPr>
        <w:tab/>
      </w:r>
      <w:r w:rsidR="002768D1">
        <w:rPr>
          <w:lang w:val="en-US"/>
        </w:rPr>
        <w:t>N</w:t>
      </w:r>
      <w:r w:rsidR="002768D1" w:rsidRPr="00083B11">
        <w:rPr>
          <w:lang w:val="en-US"/>
        </w:rPr>
        <w:t>o matter whether they derive naturally or from international legal sources, human rights are fundamentally the entitlements of humans.</w:t>
      </w:r>
      <w:r w:rsidR="002768D1" w:rsidRPr="00083B11">
        <w:rPr>
          <w:i/>
          <w:lang w:val="en-US"/>
        </w:rPr>
        <w:t xml:space="preserve"> </w:t>
      </w:r>
      <w:r w:rsidR="002768D1" w:rsidRPr="00083B11">
        <w:rPr>
          <w:lang w:val="en-US"/>
        </w:rPr>
        <w:t xml:space="preserve">They are “inalienable” and thus ought to be applied against any “State, </w:t>
      </w:r>
      <w:r w:rsidR="002768D1" w:rsidRPr="00083B11">
        <w:rPr>
          <w:i/>
          <w:lang w:val="en-US"/>
        </w:rPr>
        <w:t>group</w:t>
      </w:r>
      <w:r w:rsidR="002768D1" w:rsidRPr="00083B11">
        <w:rPr>
          <w:lang w:val="en-US"/>
        </w:rPr>
        <w:t>, or person” aiming at the destruction of these rights.</w:t>
      </w:r>
      <w:r w:rsidR="00052F29">
        <w:rPr>
          <w:rStyle w:val="FootnoteReference"/>
          <w:lang w:val="en-US"/>
        </w:rPr>
        <w:footnoteReference w:id="42"/>
      </w:r>
      <w:r w:rsidR="002768D1" w:rsidRPr="00083B11">
        <w:rPr>
          <w:lang w:val="en-US"/>
        </w:rPr>
        <w:t xml:space="preserve">   </w:t>
      </w:r>
      <w:r w:rsidR="002768D1">
        <w:rPr>
          <w:lang w:val="en-US"/>
        </w:rPr>
        <w:t>For instance, t</w:t>
      </w:r>
      <w:r w:rsidR="002768D1" w:rsidRPr="00083B11">
        <w:rPr>
          <w:lang w:val="en-US"/>
        </w:rPr>
        <w:t xml:space="preserve">he intent of </w:t>
      </w:r>
      <w:r w:rsidR="002768D1">
        <w:rPr>
          <w:lang w:val="en-US"/>
        </w:rPr>
        <w:t xml:space="preserve">the UDHR </w:t>
      </w:r>
      <w:r w:rsidR="002768D1" w:rsidRPr="00083B11">
        <w:rPr>
          <w:lang w:val="en-US"/>
        </w:rPr>
        <w:t xml:space="preserve">is to </w:t>
      </w:r>
      <w:r w:rsidR="002768D1">
        <w:rPr>
          <w:lang w:val="en-US"/>
        </w:rPr>
        <w:t>prohibit</w:t>
      </w:r>
      <w:r w:rsidR="002768D1" w:rsidRPr="00083B11">
        <w:rPr>
          <w:lang w:val="en-US"/>
        </w:rPr>
        <w:t xml:space="preserve"> and provide redress for human rights violations regardless of whether the violations </w:t>
      </w:r>
      <w:r w:rsidR="002768D1">
        <w:rPr>
          <w:lang w:val="en-US"/>
        </w:rPr>
        <w:t>a</w:t>
      </w:r>
      <w:r w:rsidR="002768D1" w:rsidRPr="00083B11">
        <w:rPr>
          <w:lang w:val="en-US"/>
        </w:rPr>
        <w:t xml:space="preserve">re committed by a State or a separate entity. </w:t>
      </w:r>
    </w:p>
    <w:p w14:paraId="320ADE66" w14:textId="2F0C8ECB" w:rsidR="002768D1" w:rsidRPr="00083B11" w:rsidRDefault="003440A9" w:rsidP="00C84BBC">
      <w:pPr>
        <w:spacing w:after="120"/>
        <w:ind w:left="1134" w:right="1134"/>
        <w:jc w:val="both"/>
        <w:rPr>
          <w:lang w:val="en-US"/>
        </w:rPr>
      </w:pPr>
      <w:r>
        <w:rPr>
          <w:lang w:val="en-US"/>
        </w:rPr>
        <w:t>39</w:t>
      </w:r>
      <w:r w:rsidR="005146D9">
        <w:rPr>
          <w:lang w:val="en-US"/>
        </w:rPr>
        <w:t>.</w:t>
      </w:r>
      <w:r w:rsidR="003B1856">
        <w:rPr>
          <w:lang w:val="en-US"/>
        </w:rPr>
        <w:tab/>
      </w:r>
      <w:r w:rsidR="002768D1" w:rsidRPr="00083B11">
        <w:rPr>
          <w:lang w:val="en-US"/>
        </w:rPr>
        <w:t xml:space="preserve">This understanding of </w:t>
      </w:r>
      <w:r w:rsidR="002768D1">
        <w:rPr>
          <w:lang w:val="en-US"/>
        </w:rPr>
        <w:t xml:space="preserve">IHRL </w:t>
      </w:r>
      <w:r w:rsidR="002768D1" w:rsidRPr="00083B11">
        <w:rPr>
          <w:lang w:val="en-US"/>
        </w:rPr>
        <w:t>acknowledges that State obligations are an essential attribute. They are the</w:t>
      </w:r>
      <w:r w:rsidR="002768D1">
        <w:rPr>
          <w:lang w:val="en-US"/>
        </w:rPr>
        <w:t xml:space="preserve"> corner stone </w:t>
      </w:r>
      <w:r w:rsidR="002768D1" w:rsidRPr="00083B11">
        <w:rPr>
          <w:lang w:val="en-US"/>
        </w:rPr>
        <w:t xml:space="preserve">of the human rights regime. But they are not its </w:t>
      </w:r>
      <w:r w:rsidR="002768D1" w:rsidRPr="00083B11">
        <w:rPr>
          <w:i/>
          <w:lang w:val="en-US"/>
        </w:rPr>
        <w:t>raison d’etre</w:t>
      </w:r>
      <w:r w:rsidR="00DA0AF6">
        <w:rPr>
          <w:i/>
          <w:lang w:val="en-US"/>
        </w:rPr>
        <w:t>,</w:t>
      </w:r>
      <w:r w:rsidR="002768D1">
        <w:rPr>
          <w:i/>
          <w:lang w:val="en-US"/>
        </w:rPr>
        <w:t xml:space="preserve"> </w:t>
      </w:r>
      <w:r w:rsidR="002768D1" w:rsidRPr="00F91C0B">
        <w:rPr>
          <w:lang w:val="en-US"/>
        </w:rPr>
        <w:t>which is the</w:t>
      </w:r>
      <w:r w:rsidR="002768D1" w:rsidRPr="00083B11">
        <w:rPr>
          <w:lang w:val="en-US"/>
        </w:rPr>
        <w:t xml:space="preserve"> entitlement of humans</w:t>
      </w:r>
      <w:r w:rsidR="002768D1" w:rsidRPr="00083B11">
        <w:rPr>
          <w:i/>
          <w:lang w:val="en-US"/>
        </w:rPr>
        <w:t xml:space="preserve">. </w:t>
      </w:r>
      <w:r w:rsidR="002768D1" w:rsidRPr="00083B11">
        <w:rPr>
          <w:lang w:val="en-US"/>
        </w:rPr>
        <w:t>Further,</w:t>
      </w:r>
      <w:r w:rsidR="002768D1" w:rsidRPr="00083B11">
        <w:rPr>
          <w:i/>
          <w:lang w:val="en-US"/>
        </w:rPr>
        <w:t xml:space="preserve"> </w:t>
      </w:r>
      <w:r w:rsidR="002768D1" w:rsidRPr="00083B11">
        <w:rPr>
          <w:lang w:val="en-US"/>
        </w:rPr>
        <w:t xml:space="preserve">other bricks support the edifice of rights derived from being human, including the duties of </w:t>
      </w:r>
      <w:r w:rsidR="002768D1" w:rsidRPr="00083B11">
        <w:rPr>
          <w:lang w:val="en-US"/>
        </w:rPr>
        <w:lastRenderedPageBreak/>
        <w:t xml:space="preserve">non-State actors: </w:t>
      </w:r>
      <w:r w:rsidR="002768D1">
        <w:rPr>
          <w:i/>
          <w:lang w:val="en-US"/>
        </w:rPr>
        <w:t>“</w:t>
      </w:r>
      <w:r w:rsidR="002768D1" w:rsidRPr="00083B11">
        <w:rPr>
          <w:i/>
          <w:lang w:val="en-US"/>
        </w:rPr>
        <w:t xml:space="preserve">the human rights expectations of the international community operate to protect people, while not thereby affecting the legitimacy of the actors to whom they are addressed. The Security Council has long called upon various groups that Member States do not recognize as having the capacity to formally assume international obligations to respect human rights. </w:t>
      </w:r>
      <w:r w:rsidR="002768D1">
        <w:rPr>
          <w:i/>
          <w:lang w:val="en-US"/>
        </w:rPr>
        <w:t>[</w:t>
      </w:r>
      <w:r w:rsidR="002768D1" w:rsidRPr="00083B11">
        <w:rPr>
          <w:i/>
          <w:lang w:val="en-US"/>
        </w:rPr>
        <w:t>…</w:t>
      </w:r>
      <w:r w:rsidR="002768D1">
        <w:rPr>
          <w:i/>
          <w:lang w:val="en-US"/>
        </w:rPr>
        <w:t>]</w:t>
      </w:r>
      <w:r w:rsidR="002768D1" w:rsidRPr="00083B11">
        <w:rPr>
          <w:i/>
          <w:lang w:val="en-US"/>
        </w:rPr>
        <w:t xml:space="preserve"> insofar as they aspire to represent a people before the world, the international community will evaluate their conduct according to the Universal Declaration’s “common standard of achievement</w:t>
      </w:r>
      <w:r w:rsidR="002768D1">
        <w:rPr>
          <w:i/>
          <w:lang w:val="en-US"/>
        </w:rPr>
        <w:t xml:space="preserve"> </w:t>
      </w:r>
      <w:r w:rsidR="002768D1" w:rsidRPr="00702CA9">
        <w:rPr>
          <w:lang w:val="en-US"/>
        </w:rPr>
        <w:t>(</w:t>
      </w:r>
      <w:r w:rsidR="002768D1" w:rsidRPr="00702CA9">
        <w:rPr>
          <w:szCs w:val="18"/>
        </w:rPr>
        <w:t>E</w:t>
      </w:r>
      <w:r w:rsidR="002768D1" w:rsidRPr="005D39E0">
        <w:rPr>
          <w:szCs w:val="18"/>
        </w:rPr>
        <w:t>/CN.4/2006/53/Add.5, para. 27</w:t>
      </w:r>
      <w:r w:rsidR="002768D1">
        <w:rPr>
          <w:szCs w:val="18"/>
        </w:rPr>
        <w:t>).</w:t>
      </w:r>
    </w:p>
    <w:p w14:paraId="6602BFD3" w14:textId="77777777" w:rsidR="002768D1" w:rsidRDefault="003440A9" w:rsidP="00C84BBC">
      <w:pPr>
        <w:spacing w:after="120"/>
        <w:ind w:left="1134" w:right="1134"/>
        <w:jc w:val="both"/>
        <w:rPr>
          <w:lang w:val="en-US"/>
        </w:rPr>
      </w:pPr>
      <w:r>
        <w:rPr>
          <w:lang w:val="en-US"/>
        </w:rPr>
        <w:t>40</w:t>
      </w:r>
      <w:r w:rsidR="005146D9">
        <w:rPr>
          <w:lang w:val="en-US"/>
        </w:rPr>
        <w:t>.</w:t>
      </w:r>
      <w:r w:rsidR="003B1856">
        <w:rPr>
          <w:lang w:val="en-US"/>
        </w:rPr>
        <w:tab/>
      </w:r>
      <w:r w:rsidR="002768D1" w:rsidRPr="00083B11">
        <w:rPr>
          <w:lang w:val="en-US"/>
        </w:rPr>
        <w:t xml:space="preserve">Interpreters of the UDHR deliberations point out that drafters primarily kept specific language about duties out of the document, and instead included all members of society’s responsibilities towards each other to refrain from </w:t>
      </w:r>
      <w:r w:rsidR="002768D1" w:rsidRPr="00083B11">
        <w:rPr>
          <w:lang w:val="en-US"/>
        </w:rPr>
        <w:lastRenderedPageBreak/>
        <w:t>committing human rights abuses.</w:t>
      </w:r>
      <w:r w:rsidR="00052F29">
        <w:rPr>
          <w:rStyle w:val="FootnoteReference"/>
          <w:lang w:val="en-US"/>
        </w:rPr>
        <w:footnoteReference w:id="43"/>
      </w:r>
      <w:r w:rsidR="002768D1" w:rsidRPr="00083B11">
        <w:rPr>
          <w:lang w:val="en-US"/>
        </w:rPr>
        <w:t xml:space="preserve"> The Travaux Preparatoires of the UDHR and ICCPR highlights a range of debates over non-State actors (NSA), which, along with the wording of s</w:t>
      </w:r>
      <w:r w:rsidR="002768D1">
        <w:rPr>
          <w:lang w:val="en-US"/>
        </w:rPr>
        <w:t>ome</w:t>
      </w:r>
      <w:r w:rsidR="002768D1" w:rsidRPr="00083B11">
        <w:rPr>
          <w:lang w:val="en-US"/>
        </w:rPr>
        <w:t xml:space="preserve"> </w:t>
      </w:r>
      <w:r w:rsidR="002768D1">
        <w:rPr>
          <w:lang w:val="en-US"/>
        </w:rPr>
        <w:t>articles</w:t>
      </w:r>
      <w:r w:rsidR="002768D1" w:rsidRPr="00083B11">
        <w:rPr>
          <w:lang w:val="en-US"/>
        </w:rPr>
        <w:t>, suggest that States are not the only duty-bearers</w:t>
      </w:r>
      <w:r w:rsidR="00052F29">
        <w:rPr>
          <w:rStyle w:val="FootnoteReference"/>
          <w:lang w:val="en-US"/>
        </w:rPr>
        <w:footnoteReference w:id="44"/>
      </w:r>
      <w:r w:rsidR="002768D1" w:rsidRPr="00083B11">
        <w:rPr>
          <w:lang w:val="en-US"/>
        </w:rPr>
        <w:t xml:space="preserve"> and that duties attached to NSA are not one and the same but “specific:” they are distinct from the obligations imposed upon States and they are distinct from one non-State actor to another. </w:t>
      </w:r>
    </w:p>
    <w:p w14:paraId="1285FA84" w14:textId="77777777" w:rsidR="002768D1" w:rsidRPr="00083B11" w:rsidRDefault="003440A9" w:rsidP="00C84BBC">
      <w:pPr>
        <w:spacing w:after="120"/>
        <w:ind w:left="1134" w:right="1134"/>
        <w:jc w:val="both"/>
      </w:pPr>
      <w:r>
        <w:rPr>
          <w:lang w:val="en-US"/>
        </w:rPr>
        <w:t>41</w:t>
      </w:r>
      <w:r w:rsidR="005146D9">
        <w:rPr>
          <w:lang w:val="en-US"/>
        </w:rPr>
        <w:t>.</w:t>
      </w:r>
      <w:r w:rsidR="003B1856">
        <w:rPr>
          <w:lang w:val="en-US"/>
        </w:rPr>
        <w:tab/>
      </w:r>
      <w:r w:rsidR="002768D1" w:rsidRPr="00083B11">
        <w:rPr>
          <w:lang w:val="en-US"/>
        </w:rPr>
        <w:t>Since the adoption of the UDHR and the ICCPR, th</w:t>
      </w:r>
      <w:r w:rsidR="002768D1">
        <w:rPr>
          <w:lang w:val="en-US"/>
        </w:rPr>
        <w:t>e</w:t>
      </w:r>
      <w:r w:rsidR="002768D1" w:rsidRPr="00083B11">
        <w:rPr>
          <w:lang w:val="en-US"/>
        </w:rPr>
        <w:t xml:space="preserve"> recognition </w:t>
      </w:r>
      <w:r w:rsidR="002768D1">
        <w:rPr>
          <w:lang w:val="en-US"/>
        </w:rPr>
        <w:t xml:space="preserve">of ANSAs </w:t>
      </w:r>
      <w:r w:rsidR="002768D1" w:rsidRPr="00083B11">
        <w:rPr>
          <w:lang w:val="en-US"/>
        </w:rPr>
        <w:t xml:space="preserve">has translated into </w:t>
      </w:r>
      <w:r w:rsidR="002768D1">
        <w:rPr>
          <w:lang w:val="en-US"/>
        </w:rPr>
        <w:t xml:space="preserve">a </w:t>
      </w:r>
      <w:r w:rsidR="002768D1" w:rsidRPr="00083B11">
        <w:rPr>
          <w:lang w:val="en-US"/>
        </w:rPr>
        <w:t>few developments at treaty-level</w:t>
      </w:r>
      <w:r w:rsidR="002768D1" w:rsidRPr="00083B11">
        <w:t xml:space="preserve">.  Particularly relevant to the right to life, they include the Optional Protocol to the Convention on the Rights of the Child on the Involvement of </w:t>
      </w:r>
      <w:r w:rsidR="002768D1" w:rsidRPr="00083B11">
        <w:lastRenderedPageBreak/>
        <w:t>Children in Armed Conflict and the African Union Convention for the Protection and Assistance of Internally Displaced Persons.</w:t>
      </w:r>
      <w:r w:rsidR="002768D1" w:rsidRPr="00083B11">
        <w:rPr>
          <w:lang w:val="en-US"/>
        </w:rPr>
        <w:t xml:space="preserve"> In addition, the Committee on the Elimination of Discrimination against Women noted in its General Recommendation No. 30 (2013) that “under certain circumstances, in particular where an armed group with an identifiable political structure exercises significant control over territory and population, non-State actors are obliged to respect international human rights.”</w:t>
      </w:r>
      <w:r w:rsidR="002768D1">
        <w:rPr>
          <w:lang w:val="en-US"/>
        </w:rPr>
        <w:t xml:space="preserve"> (CEDAW/C/GC/30, para. 16).</w:t>
      </w:r>
    </w:p>
    <w:p w14:paraId="38E84CE8" w14:textId="77777777" w:rsidR="002768D1" w:rsidRDefault="00C84BBC" w:rsidP="00C84BBC">
      <w:pPr>
        <w:pStyle w:val="H23G"/>
        <w:rPr>
          <w:lang w:val="en-US"/>
        </w:rPr>
      </w:pPr>
      <w:r>
        <w:rPr>
          <w:lang w:val="en-US"/>
        </w:rPr>
        <w:tab/>
      </w:r>
      <w:r w:rsidR="005146D9">
        <w:rPr>
          <w:lang w:val="en-US"/>
        </w:rPr>
        <w:t>2.</w:t>
      </w:r>
      <w:r>
        <w:rPr>
          <w:lang w:val="en-US"/>
        </w:rPr>
        <w:tab/>
      </w:r>
      <w:r w:rsidR="002768D1" w:rsidRPr="00553DC3">
        <w:rPr>
          <w:lang w:val="en-US"/>
        </w:rPr>
        <w:t>ANSAs possession of legal personality</w:t>
      </w:r>
    </w:p>
    <w:p w14:paraId="42DB278A" w14:textId="77777777" w:rsidR="002768D1" w:rsidRPr="00083B11" w:rsidRDefault="003440A9" w:rsidP="003B1856">
      <w:pPr>
        <w:ind w:left="1134" w:right="1134"/>
        <w:jc w:val="both"/>
        <w:rPr>
          <w:lang w:val="en-US"/>
        </w:rPr>
      </w:pPr>
      <w:r>
        <w:rPr>
          <w:lang w:val="en-US"/>
        </w:rPr>
        <w:t>42</w:t>
      </w:r>
      <w:r w:rsidR="005146D9">
        <w:rPr>
          <w:lang w:val="en-US"/>
        </w:rPr>
        <w:t>.</w:t>
      </w:r>
      <w:r w:rsidR="003B1856">
        <w:rPr>
          <w:lang w:val="en-US"/>
        </w:rPr>
        <w:tab/>
      </w:r>
      <w:r w:rsidR="002768D1" w:rsidRPr="00083B11">
        <w:rPr>
          <w:lang w:val="en-US"/>
        </w:rPr>
        <w:t xml:space="preserve">ANSAs </w:t>
      </w:r>
      <w:r w:rsidR="002768D1">
        <w:rPr>
          <w:lang w:val="en-US"/>
        </w:rPr>
        <w:t xml:space="preserve">international </w:t>
      </w:r>
      <w:r w:rsidR="002768D1" w:rsidRPr="00083B11">
        <w:rPr>
          <w:lang w:val="en-US"/>
        </w:rPr>
        <w:t>legal personality has been the</w:t>
      </w:r>
      <w:r w:rsidR="002768D1">
        <w:rPr>
          <w:lang w:val="en-US"/>
        </w:rPr>
        <w:t xml:space="preserve"> object of extensive research. </w:t>
      </w:r>
      <w:r w:rsidR="002768D1" w:rsidRPr="00083B11">
        <w:rPr>
          <w:lang w:val="en-US"/>
        </w:rPr>
        <w:t>One position is that international personality is derived from only two possible sources, i</w:t>
      </w:r>
      <w:r w:rsidR="002768D1">
        <w:rPr>
          <w:lang w:val="en-US"/>
        </w:rPr>
        <w:t>nternational treaties and State</w:t>
      </w:r>
      <w:r w:rsidR="002768D1" w:rsidRPr="00083B11">
        <w:rPr>
          <w:lang w:val="en-US"/>
        </w:rPr>
        <w:t xml:space="preserve"> consent, which are not deemed to be applicable to </w:t>
      </w:r>
      <w:r w:rsidR="002768D1" w:rsidRPr="00083B11">
        <w:rPr>
          <w:lang w:val="en-US"/>
        </w:rPr>
        <w:lastRenderedPageBreak/>
        <w:t>ANSA</w:t>
      </w:r>
      <w:r w:rsidR="002768D1">
        <w:rPr>
          <w:lang w:val="en-US"/>
        </w:rPr>
        <w:t>s</w:t>
      </w:r>
      <w:r w:rsidR="00052F29">
        <w:rPr>
          <w:rStyle w:val="FootnoteReference"/>
          <w:lang w:val="en-US"/>
        </w:rPr>
        <w:footnoteReference w:id="45"/>
      </w:r>
      <w:r w:rsidR="002768D1" w:rsidRPr="00083B11">
        <w:rPr>
          <w:lang w:val="en-US"/>
        </w:rPr>
        <w:t xml:space="preserve">. The Special Rapporteur is of the view that it is not legally justified (nor realistic) to consider States the only natural persons of international law possessing free discretion to allocate personality to other entities. </w:t>
      </w:r>
    </w:p>
    <w:p w14:paraId="6C88A901" w14:textId="77777777" w:rsidR="002768D1" w:rsidRDefault="003440A9" w:rsidP="005146D9">
      <w:pPr>
        <w:spacing w:before="120"/>
        <w:ind w:left="1134" w:right="1134"/>
        <w:jc w:val="both"/>
        <w:rPr>
          <w:lang w:val="en-US"/>
        </w:rPr>
      </w:pPr>
      <w:r>
        <w:rPr>
          <w:lang w:val="en-US"/>
        </w:rPr>
        <w:t>43</w:t>
      </w:r>
      <w:r w:rsidR="005146D9">
        <w:rPr>
          <w:lang w:val="en-US"/>
        </w:rPr>
        <w:t>.</w:t>
      </w:r>
      <w:r w:rsidR="003B1856">
        <w:rPr>
          <w:lang w:val="en-US"/>
        </w:rPr>
        <w:tab/>
      </w:r>
      <w:r w:rsidR="002768D1">
        <w:rPr>
          <w:lang w:val="en-US"/>
        </w:rPr>
        <w:t xml:space="preserve">International Court of Justice (ICJ) </w:t>
      </w:r>
      <w:r w:rsidR="002768D1" w:rsidRPr="00083B11">
        <w:rPr>
          <w:lang w:val="en-US"/>
        </w:rPr>
        <w:t xml:space="preserve">Advisory Opinion on </w:t>
      </w:r>
      <w:r w:rsidR="002768D1" w:rsidRPr="00083B11">
        <w:rPr>
          <w:i/>
          <w:lang w:val="en-US"/>
        </w:rPr>
        <w:t>Reparation for Injuries</w:t>
      </w:r>
      <w:r w:rsidR="002768D1" w:rsidRPr="00083B11">
        <w:rPr>
          <w:lang w:val="en-US"/>
        </w:rPr>
        <w:t xml:space="preserve"> regarding international legal personality leaves open the possibility of reconsidering the categories of subjects in international law</w:t>
      </w:r>
      <w:r w:rsidR="00052F29">
        <w:rPr>
          <w:rStyle w:val="FootnoteReference"/>
          <w:lang w:val="en-US"/>
        </w:rPr>
        <w:footnoteReference w:id="46"/>
      </w:r>
      <w:r w:rsidR="002768D1" w:rsidRPr="00083B11">
        <w:rPr>
          <w:lang w:val="en-US"/>
        </w:rPr>
        <w:t xml:space="preserve">.  Developments of the last fifty years confirm that legal personality may be derived from a spectrum of sources, including treaty law, customary international law, bilateral agreements, and recognition by third states. A number of non-State entities have been </w:t>
      </w:r>
      <w:r w:rsidR="002768D1" w:rsidRPr="00083B11">
        <w:rPr>
          <w:lang w:val="en-US"/>
        </w:rPr>
        <w:lastRenderedPageBreak/>
        <w:t xml:space="preserve">attributed </w:t>
      </w:r>
      <w:r w:rsidR="002768D1" w:rsidRPr="00083B11">
        <w:rPr>
          <w:i/>
          <w:lang w:val="en-US"/>
        </w:rPr>
        <w:t>some</w:t>
      </w:r>
      <w:r w:rsidR="002768D1" w:rsidRPr="00083B11">
        <w:rPr>
          <w:lang w:val="en-US"/>
        </w:rPr>
        <w:t xml:space="preserve"> international legal personality, under one or another theory, including the United Nations, </w:t>
      </w:r>
      <w:r w:rsidR="002768D1">
        <w:rPr>
          <w:lang w:val="en-US"/>
        </w:rPr>
        <w:t xml:space="preserve">ICRC and NGOs. </w:t>
      </w:r>
      <w:r w:rsidR="002768D1" w:rsidRPr="00083B11">
        <w:rPr>
          <w:lang w:val="en-US"/>
        </w:rPr>
        <w:t xml:space="preserve">Under belligerency, insurgency and </w:t>
      </w:r>
      <w:r w:rsidR="002768D1">
        <w:rPr>
          <w:lang w:val="en-US"/>
        </w:rPr>
        <w:t>IHL</w:t>
      </w:r>
      <w:r w:rsidR="002768D1" w:rsidRPr="00083B11">
        <w:rPr>
          <w:lang w:val="en-US"/>
        </w:rPr>
        <w:t>, new subjects of international law can emerge and have emerged, without th</w:t>
      </w:r>
      <w:r w:rsidR="002768D1">
        <w:rPr>
          <w:lang w:val="en-US"/>
        </w:rPr>
        <w:t>e explicit consent of the State</w:t>
      </w:r>
      <w:r w:rsidR="002768D1" w:rsidRPr="00083B11">
        <w:rPr>
          <w:lang w:val="en-US"/>
        </w:rPr>
        <w:t xml:space="preserve">.  </w:t>
      </w:r>
      <w:r w:rsidR="002768D1">
        <w:rPr>
          <w:lang w:val="en-US"/>
        </w:rPr>
        <w:t xml:space="preserve">Research shows that </w:t>
      </w:r>
      <w:r w:rsidR="002768D1" w:rsidRPr="00083B11">
        <w:rPr>
          <w:lang w:val="en-US"/>
        </w:rPr>
        <w:t>NSAs legal personality exists “along a spectrum</w:t>
      </w:r>
      <w:r w:rsidR="002768D1">
        <w:rPr>
          <w:lang w:val="en-US"/>
        </w:rPr>
        <w:t>”</w:t>
      </w:r>
      <w:r w:rsidR="002768D1" w:rsidRPr="00083B11">
        <w:rPr>
          <w:lang w:val="en-US"/>
        </w:rPr>
        <w:t>:</w:t>
      </w:r>
      <w:r w:rsidR="00052F29">
        <w:rPr>
          <w:rStyle w:val="FootnoteReference"/>
          <w:lang w:val="en-US"/>
        </w:rPr>
        <w:footnoteReference w:id="47"/>
      </w:r>
      <w:r w:rsidR="002768D1" w:rsidRPr="00083B11">
        <w:rPr>
          <w:lang w:val="en-US"/>
        </w:rPr>
        <w:t xml:space="preserve"> It is tied to their functionality on the international sphere and fluctuates over time. ANSAs legal personality is not as extensive as that of States but sufficient </w:t>
      </w:r>
      <w:r w:rsidR="002768D1">
        <w:rPr>
          <w:lang w:val="en-US"/>
        </w:rPr>
        <w:t xml:space="preserve">to imply </w:t>
      </w:r>
      <w:r w:rsidR="002768D1" w:rsidRPr="00083B11">
        <w:rPr>
          <w:lang w:val="en-US"/>
        </w:rPr>
        <w:t>obligations under international law and treaties</w:t>
      </w:r>
      <w:r w:rsidR="00052F29">
        <w:rPr>
          <w:rStyle w:val="FootnoteReference"/>
          <w:lang w:val="en-US"/>
        </w:rPr>
        <w:footnoteReference w:id="48"/>
      </w:r>
      <w:r w:rsidR="002768D1">
        <w:rPr>
          <w:lang w:val="en-US"/>
        </w:rPr>
        <w:t>.</w:t>
      </w:r>
      <w:r w:rsidR="002768D1" w:rsidRPr="00083B11">
        <w:rPr>
          <w:lang w:val="en-US"/>
        </w:rPr>
        <w:t xml:space="preserve"> Different sources of ANSAs legal personality imply different obligations.</w:t>
      </w:r>
    </w:p>
    <w:p w14:paraId="51C87D54" w14:textId="77777777" w:rsidR="002768D1" w:rsidRPr="00083B11" w:rsidRDefault="003440A9" w:rsidP="005146D9">
      <w:pPr>
        <w:spacing w:before="120"/>
        <w:ind w:left="1134" w:right="1134"/>
        <w:jc w:val="both"/>
        <w:rPr>
          <w:lang w:val="en-US"/>
        </w:rPr>
      </w:pPr>
      <w:r>
        <w:rPr>
          <w:lang w:val="en-US"/>
        </w:rPr>
        <w:t>44</w:t>
      </w:r>
      <w:r w:rsidR="005146D9">
        <w:rPr>
          <w:lang w:val="en-US"/>
        </w:rPr>
        <w:t>.</w:t>
      </w:r>
      <w:r w:rsidR="00DF6645">
        <w:rPr>
          <w:lang w:val="en-US"/>
        </w:rPr>
        <w:tab/>
      </w:r>
      <w:r w:rsidR="002768D1">
        <w:rPr>
          <w:lang w:val="en-US"/>
        </w:rPr>
        <w:t>As elaborated below, t</w:t>
      </w:r>
      <w:r w:rsidR="002768D1" w:rsidRPr="00083B11">
        <w:rPr>
          <w:lang w:val="en-US"/>
        </w:rPr>
        <w:t xml:space="preserve">he most straight-forward approach to ANSAs legal personality is to derive it from two possible </w:t>
      </w:r>
      <w:r w:rsidR="002768D1" w:rsidRPr="00083B11">
        <w:rPr>
          <w:lang w:val="en-US"/>
        </w:rPr>
        <w:lastRenderedPageBreak/>
        <w:t xml:space="preserve">sources: </w:t>
      </w:r>
      <w:r w:rsidR="002768D1">
        <w:rPr>
          <w:lang w:val="en-US"/>
        </w:rPr>
        <w:t>CA</w:t>
      </w:r>
      <w:r w:rsidR="002768D1" w:rsidRPr="00083B11">
        <w:rPr>
          <w:lang w:val="en-US"/>
        </w:rPr>
        <w:t xml:space="preserve">3 or the </w:t>
      </w:r>
      <w:r w:rsidR="002768D1" w:rsidRPr="00083B11">
        <w:rPr>
          <w:i/>
          <w:lang w:val="en-US"/>
        </w:rPr>
        <w:t>de facto</w:t>
      </w:r>
      <w:r w:rsidR="002768D1">
        <w:rPr>
          <w:i/>
          <w:lang w:val="en-US"/>
        </w:rPr>
        <w:t xml:space="preserve"> authority</w:t>
      </w:r>
      <w:r w:rsidR="002768D1" w:rsidRPr="00083B11">
        <w:rPr>
          <w:lang w:val="en-US"/>
        </w:rPr>
        <w:t xml:space="preserve"> theory. Under both, the ANSA</w:t>
      </w:r>
      <w:r w:rsidR="002768D1">
        <w:rPr>
          <w:lang w:val="en-US"/>
        </w:rPr>
        <w:t>s</w:t>
      </w:r>
      <w:r w:rsidR="002768D1" w:rsidRPr="00083B11">
        <w:rPr>
          <w:lang w:val="en-US"/>
        </w:rPr>
        <w:t xml:space="preserve"> legal personality is connected to its level of </w:t>
      </w:r>
      <w:r w:rsidR="002768D1" w:rsidRPr="00083B11">
        <w:rPr>
          <w:b/>
          <w:lang w:val="en-US"/>
        </w:rPr>
        <w:t>organization</w:t>
      </w:r>
      <w:r w:rsidR="002768D1" w:rsidRPr="00083B11">
        <w:rPr>
          <w:lang w:val="en-US"/>
        </w:rPr>
        <w:t xml:space="preserve"> and its </w:t>
      </w:r>
      <w:r w:rsidR="002768D1" w:rsidRPr="00083B11">
        <w:rPr>
          <w:b/>
          <w:lang w:val="en-US"/>
        </w:rPr>
        <w:t>control</w:t>
      </w:r>
      <w:r w:rsidR="002768D1" w:rsidRPr="00083B11">
        <w:rPr>
          <w:lang w:val="en-US"/>
        </w:rPr>
        <w:t xml:space="preserve"> of territory or people.</w:t>
      </w:r>
      <w:r w:rsidR="00052F29">
        <w:rPr>
          <w:rStyle w:val="FootnoteReference"/>
          <w:lang w:val="en-US"/>
        </w:rPr>
        <w:footnoteReference w:id="49"/>
      </w:r>
      <w:r w:rsidR="002768D1" w:rsidRPr="00083B11">
        <w:rPr>
          <w:lang w:val="en-US"/>
        </w:rPr>
        <w:t xml:space="preserve">  </w:t>
      </w:r>
    </w:p>
    <w:p w14:paraId="137CE3FF" w14:textId="77777777" w:rsidR="002768D1" w:rsidRPr="00553DC3" w:rsidRDefault="00C84BBC" w:rsidP="005146D9">
      <w:pPr>
        <w:pStyle w:val="H4G"/>
        <w:rPr>
          <w:lang w:val="en-US"/>
        </w:rPr>
      </w:pPr>
      <w:r>
        <w:rPr>
          <w:lang w:val="en-US"/>
        </w:rPr>
        <w:tab/>
      </w:r>
      <w:r w:rsidR="005146D9">
        <w:rPr>
          <w:lang w:val="en-US"/>
        </w:rPr>
        <w:t>2.1</w:t>
      </w:r>
      <w:r>
        <w:rPr>
          <w:lang w:val="en-US"/>
        </w:rPr>
        <w:tab/>
      </w:r>
      <w:r w:rsidR="002768D1" w:rsidRPr="00553DC3">
        <w:rPr>
          <w:lang w:val="en-US"/>
        </w:rPr>
        <w:t>Customary Law</w:t>
      </w:r>
    </w:p>
    <w:p w14:paraId="3943775E" w14:textId="77777777" w:rsidR="002768D1" w:rsidRPr="00083B11" w:rsidRDefault="003440A9" w:rsidP="00DF6645">
      <w:pPr>
        <w:ind w:left="1134" w:right="1134"/>
        <w:jc w:val="both"/>
        <w:rPr>
          <w:lang w:val="en-US"/>
        </w:rPr>
      </w:pPr>
      <w:r>
        <w:rPr>
          <w:lang w:val="en-US"/>
        </w:rPr>
        <w:t>45</w:t>
      </w:r>
      <w:r w:rsidR="005146D9">
        <w:rPr>
          <w:lang w:val="en-US"/>
        </w:rPr>
        <w:t>.</w:t>
      </w:r>
      <w:r w:rsidR="00DF6645">
        <w:rPr>
          <w:lang w:val="en-US"/>
        </w:rPr>
        <w:tab/>
      </w:r>
      <w:r w:rsidR="002768D1" w:rsidRPr="00083B11">
        <w:rPr>
          <w:lang w:val="en-US"/>
        </w:rPr>
        <w:t>Under this approach to legal personality</w:t>
      </w:r>
      <w:r w:rsidR="00052F29">
        <w:rPr>
          <w:rStyle w:val="FootnoteReference"/>
          <w:lang w:val="en-US"/>
        </w:rPr>
        <w:footnoteReference w:id="50"/>
      </w:r>
      <w:r w:rsidR="002768D1" w:rsidRPr="00083B11">
        <w:rPr>
          <w:lang w:val="en-US"/>
        </w:rPr>
        <w:t xml:space="preserve">, </w:t>
      </w:r>
      <w:r w:rsidR="002768D1">
        <w:rPr>
          <w:lang w:val="en-US"/>
        </w:rPr>
        <w:t>t</w:t>
      </w:r>
      <w:r w:rsidR="002768D1" w:rsidRPr="00083B11">
        <w:rPr>
          <w:lang w:val="en-US"/>
        </w:rPr>
        <w:t xml:space="preserve">he fact that </w:t>
      </w:r>
      <w:r w:rsidR="002768D1">
        <w:rPr>
          <w:lang w:val="en-US"/>
        </w:rPr>
        <w:t>ANSAs</w:t>
      </w:r>
      <w:r w:rsidR="002768D1" w:rsidRPr="00083B11">
        <w:rPr>
          <w:lang w:val="en-US"/>
        </w:rPr>
        <w:t xml:space="preserve"> party to a </w:t>
      </w:r>
      <w:r w:rsidR="002768D1">
        <w:rPr>
          <w:lang w:val="en-US"/>
        </w:rPr>
        <w:t>NIACs</w:t>
      </w:r>
      <w:r w:rsidR="002768D1" w:rsidRPr="00083B11">
        <w:rPr>
          <w:lang w:val="en-US"/>
        </w:rPr>
        <w:t xml:space="preserve"> are bound by </w:t>
      </w:r>
      <w:r w:rsidR="002768D1">
        <w:rPr>
          <w:lang w:val="en-US"/>
        </w:rPr>
        <w:t>CA3</w:t>
      </w:r>
      <w:r w:rsidR="002768D1" w:rsidRPr="00083B11">
        <w:rPr>
          <w:lang w:val="en-US"/>
        </w:rPr>
        <w:t xml:space="preserve"> and other customary </w:t>
      </w:r>
      <w:r w:rsidR="002768D1">
        <w:rPr>
          <w:lang w:val="en-US"/>
        </w:rPr>
        <w:t>IHL</w:t>
      </w:r>
      <w:r w:rsidR="002768D1" w:rsidRPr="00083B11">
        <w:rPr>
          <w:lang w:val="en-US"/>
        </w:rPr>
        <w:t xml:space="preserve"> – and thus subject to direct international obligations – means that </w:t>
      </w:r>
      <w:r w:rsidR="002768D1">
        <w:rPr>
          <w:lang w:val="en-US"/>
        </w:rPr>
        <w:t xml:space="preserve">they </w:t>
      </w:r>
      <w:r w:rsidR="002768D1" w:rsidRPr="00083B11">
        <w:rPr>
          <w:lang w:val="en-US"/>
        </w:rPr>
        <w:t xml:space="preserve">should be regarded as possessing international legal personality. </w:t>
      </w:r>
      <w:r w:rsidR="002768D1">
        <w:rPr>
          <w:lang w:val="en-US"/>
        </w:rPr>
        <w:t>Further, t</w:t>
      </w:r>
      <w:r w:rsidR="002768D1" w:rsidRPr="00083B11">
        <w:rPr>
          <w:lang w:val="en-US"/>
        </w:rPr>
        <w:t xml:space="preserve">he </w:t>
      </w:r>
      <w:r w:rsidR="002768D1">
        <w:rPr>
          <w:lang w:val="en-US"/>
        </w:rPr>
        <w:t xml:space="preserve">ICJ and the European Court of Justice </w:t>
      </w:r>
      <w:r w:rsidR="002768D1" w:rsidRPr="00083B11">
        <w:rPr>
          <w:lang w:val="en-US"/>
        </w:rPr>
        <w:t>ha</w:t>
      </w:r>
      <w:r w:rsidR="002768D1">
        <w:rPr>
          <w:lang w:val="en-US"/>
        </w:rPr>
        <w:t>ve</w:t>
      </w:r>
      <w:r w:rsidR="002768D1" w:rsidRPr="00083B11">
        <w:rPr>
          <w:lang w:val="en-US"/>
        </w:rPr>
        <w:t xml:space="preserve"> confirmed that international legal persons are bound by customary international law</w:t>
      </w:r>
      <w:r w:rsidR="002768D1">
        <w:rPr>
          <w:lang w:val="en-US"/>
        </w:rPr>
        <w:t>.</w:t>
      </w:r>
      <w:r w:rsidR="00052F29">
        <w:rPr>
          <w:rStyle w:val="FootnoteReference"/>
          <w:lang w:val="en-US"/>
        </w:rPr>
        <w:footnoteReference w:id="51"/>
      </w:r>
      <w:r w:rsidR="002768D1" w:rsidRPr="00083B11">
        <w:rPr>
          <w:lang w:val="en-US"/>
        </w:rPr>
        <w:t xml:space="preserve"> </w:t>
      </w:r>
      <w:r w:rsidR="002768D1" w:rsidRPr="00083B11">
        <w:rPr>
          <w:lang w:val="en-US"/>
        </w:rPr>
        <w:lastRenderedPageBreak/>
        <w:t xml:space="preserve">Accordingly, it may be argued that ANSAs parties to a </w:t>
      </w:r>
      <w:r w:rsidR="002768D1">
        <w:rPr>
          <w:lang w:val="en-US"/>
        </w:rPr>
        <w:t>NIAC</w:t>
      </w:r>
      <w:r w:rsidR="002768D1" w:rsidRPr="00083B11">
        <w:rPr>
          <w:lang w:val="en-US"/>
        </w:rPr>
        <w:t xml:space="preserve"> are bound by </w:t>
      </w:r>
      <w:r w:rsidR="002768D1">
        <w:rPr>
          <w:lang w:val="en-US"/>
        </w:rPr>
        <w:t xml:space="preserve">some </w:t>
      </w:r>
      <w:r w:rsidR="002768D1" w:rsidRPr="00083B11">
        <w:rPr>
          <w:lang w:val="en-US"/>
        </w:rPr>
        <w:t>customary international law in accordance with their capacities and realities</w:t>
      </w:r>
      <w:r w:rsidR="00052F29">
        <w:rPr>
          <w:rStyle w:val="FootnoteReference"/>
          <w:lang w:val="en-US"/>
        </w:rPr>
        <w:footnoteReference w:id="52"/>
      </w:r>
      <w:r w:rsidR="002768D1" w:rsidRPr="00083B11">
        <w:rPr>
          <w:lang w:val="en-US"/>
        </w:rPr>
        <w:t xml:space="preserve">, including customary </w:t>
      </w:r>
      <w:r w:rsidR="002768D1">
        <w:rPr>
          <w:lang w:val="en-US"/>
        </w:rPr>
        <w:t>IHRL</w:t>
      </w:r>
      <w:r w:rsidR="00052F29">
        <w:rPr>
          <w:rStyle w:val="FootnoteReference"/>
          <w:lang w:val="en-US"/>
        </w:rPr>
        <w:footnoteReference w:id="53"/>
      </w:r>
      <w:r w:rsidR="002768D1" w:rsidRPr="00083B11">
        <w:rPr>
          <w:lang w:val="en-US"/>
        </w:rPr>
        <w:t xml:space="preserve">. </w:t>
      </w:r>
    </w:p>
    <w:p w14:paraId="6C4720CB" w14:textId="77777777" w:rsidR="002768D1" w:rsidRPr="00083B11" w:rsidRDefault="00C84BBC" w:rsidP="005146D9">
      <w:pPr>
        <w:pStyle w:val="H4G"/>
        <w:rPr>
          <w:lang w:val="en-US"/>
        </w:rPr>
      </w:pPr>
      <w:r>
        <w:rPr>
          <w:lang w:val="en-US"/>
        </w:rPr>
        <w:tab/>
      </w:r>
      <w:r w:rsidR="005146D9">
        <w:rPr>
          <w:lang w:val="en-US"/>
        </w:rPr>
        <w:t>2.2</w:t>
      </w:r>
      <w:r>
        <w:rPr>
          <w:lang w:val="en-US"/>
        </w:rPr>
        <w:tab/>
      </w:r>
      <w:r w:rsidR="002768D1" w:rsidRPr="00083B11">
        <w:rPr>
          <w:lang w:val="en-US"/>
        </w:rPr>
        <w:t>De Facto Authorities</w:t>
      </w:r>
    </w:p>
    <w:p w14:paraId="7FC20F2B" w14:textId="6F898A34" w:rsidR="002768D1" w:rsidRPr="00083B11" w:rsidRDefault="003440A9" w:rsidP="00DF6645">
      <w:pPr>
        <w:ind w:left="1134" w:right="1134"/>
        <w:jc w:val="both"/>
        <w:rPr>
          <w:b/>
          <w:i/>
          <w:lang w:val="en-US"/>
        </w:rPr>
      </w:pPr>
      <w:r>
        <w:rPr>
          <w:lang w:val="en-US"/>
        </w:rPr>
        <w:t>46</w:t>
      </w:r>
      <w:r w:rsidR="005146D9">
        <w:rPr>
          <w:lang w:val="en-US"/>
        </w:rPr>
        <w:t>.</w:t>
      </w:r>
      <w:r w:rsidR="00DF6645">
        <w:rPr>
          <w:lang w:val="en-US"/>
        </w:rPr>
        <w:tab/>
      </w:r>
      <w:r w:rsidR="002768D1" w:rsidRPr="00083B11">
        <w:rPr>
          <w:lang w:val="en-US"/>
        </w:rPr>
        <w:t>The legal and political construction of “</w:t>
      </w:r>
      <w:r w:rsidR="002768D1" w:rsidRPr="00083B11">
        <w:rPr>
          <w:i/>
          <w:lang w:val="en-US"/>
        </w:rPr>
        <w:t>de facto</w:t>
      </w:r>
      <w:r w:rsidR="002768D1" w:rsidRPr="00083B11">
        <w:rPr>
          <w:lang w:val="en-US"/>
        </w:rPr>
        <w:t xml:space="preserve">” authority provides ample evidence of the flexibility of the international legal system in response to situations on the ground. While there may be disagreement as to </w:t>
      </w:r>
      <w:r w:rsidR="002768D1" w:rsidRPr="00083B11">
        <w:rPr>
          <w:i/>
          <w:lang w:val="en-US"/>
        </w:rPr>
        <w:t>which ANSAs</w:t>
      </w:r>
      <w:r w:rsidR="002768D1" w:rsidRPr="00083B11">
        <w:rPr>
          <w:lang w:val="en-US"/>
        </w:rPr>
        <w:t xml:space="preserve"> are </w:t>
      </w:r>
      <w:r w:rsidR="002768D1" w:rsidRPr="00083B11">
        <w:rPr>
          <w:i/>
          <w:lang w:val="en-US"/>
        </w:rPr>
        <w:t>de facto</w:t>
      </w:r>
      <w:r w:rsidR="002768D1" w:rsidRPr="00083B11">
        <w:rPr>
          <w:lang w:val="en-US"/>
        </w:rPr>
        <w:t xml:space="preserve"> entity, there is a large level of consensus about their </w:t>
      </w:r>
      <w:r w:rsidR="002768D1">
        <w:rPr>
          <w:lang w:val="en-US"/>
        </w:rPr>
        <w:t xml:space="preserve">conceptual </w:t>
      </w:r>
      <w:r w:rsidR="002768D1" w:rsidRPr="00083B11">
        <w:rPr>
          <w:lang w:val="en-US"/>
        </w:rPr>
        <w:t xml:space="preserve">existence. </w:t>
      </w:r>
      <w:r w:rsidR="002768D1" w:rsidRPr="00083B11">
        <w:rPr>
          <w:i/>
          <w:lang w:val="en-US"/>
        </w:rPr>
        <w:t>De facto</w:t>
      </w:r>
      <w:r w:rsidR="002768D1" w:rsidRPr="00083B11">
        <w:rPr>
          <w:lang w:val="en-US"/>
        </w:rPr>
        <w:t xml:space="preserve"> authorities </w:t>
      </w:r>
      <w:r w:rsidR="002768D1" w:rsidRPr="00083B11">
        <w:rPr>
          <w:lang w:val="en-US"/>
        </w:rPr>
        <w:lastRenderedPageBreak/>
        <w:t xml:space="preserve">are </w:t>
      </w:r>
      <w:r w:rsidR="005B36A4">
        <w:rPr>
          <w:lang w:val="en-US"/>
        </w:rPr>
        <w:t>A</w:t>
      </w:r>
      <w:r w:rsidR="002768D1" w:rsidRPr="00083B11">
        <w:rPr>
          <w:lang w:val="en-US"/>
        </w:rPr>
        <w:t xml:space="preserve">NSAs exercising </w:t>
      </w:r>
      <w:r w:rsidR="002768D1" w:rsidRPr="00083B11">
        <w:rPr>
          <w:i/>
          <w:lang w:val="en-US"/>
        </w:rPr>
        <w:t>exclusive control</w:t>
      </w:r>
      <w:r w:rsidR="002768D1" w:rsidRPr="00083B11">
        <w:rPr>
          <w:lang w:val="en-US"/>
        </w:rPr>
        <w:t xml:space="preserve"> over a specific territory,</w:t>
      </w:r>
      <w:r w:rsidR="00052F29">
        <w:rPr>
          <w:rStyle w:val="FootnoteReference"/>
          <w:lang w:val="en-US"/>
        </w:rPr>
        <w:footnoteReference w:id="54"/>
      </w:r>
      <w:r w:rsidR="002768D1">
        <w:rPr>
          <w:lang w:val="en-US"/>
        </w:rPr>
        <w:t xml:space="preserve"> meaning that they are “</w:t>
      </w:r>
      <w:r w:rsidR="002768D1" w:rsidRPr="00083B11">
        <w:rPr>
          <w:lang w:val="en-US"/>
        </w:rPr>
        <w:t>independent entities that exist side-by-side w</w:t>
      </w:r>
      <w:r w:rsidR="002768D1">
        <w:rPr>
          <w:lang w:val="en-US"/>
        </w:rPr>
        <w:t>ith the established authorities”</w:t>
      </w:r>
      <w:r w:rsidR="00052F29">
        <w:rPr>
          <w:rStyle w:val="FootnoteReference"/>
          <w:lang w:val="en-US"/>
        </w:rPr>
        <w:footnoteReference w:id="55"/>
      </w:r>
      <w:r w:rsidR="002768D1" w:rsidRPr="00083B11">
        <w:rPr>
          <w:lang w:val="en-US"/>
        </w:rPr>
        <w:t>; they have in effect displaced State auth</w:t>
      </w:r>
      <w:r w:rsidR="002768D1">
        <w:rPr>
          <w:lang w:val="en-US"/>
        </w:rPr>
        <w:t>ority and as a result exercise “</w:t>
      </w:r>
      <w:r w:rsidR="002768D1">
        <w:rPr>
          <w:i/>
          <w:lang w:val="en-US"/>
        </w:rPr>
        <w:t>effective sovereignty”</w:t>
      </w:r>
      <w:r w:rsidR="002768D1" w:rsidRPr="00083B11">
        <w:rPr>
          <w:lang w:val="en-US"/>
        </w:rPr>
        <w:t>.</w:t>
      </w:r>
      <w:r w:rsidR="00052F29">
        <w:rPr>
          <w:rStyle w:val="FootnoteReference"/>
          <w:lang w:val="en-US"/>
        </w:rPr>
        <w:footnoteReference w:id="56"/>
      </w:r>
      <w:r w:rsidR="002768D1" w:rsidRPr="00083B11">
        <w:rPr>
          <w:lang w:val="en-US"/>
        </w:rPr>
        <w:t xml:space="preserve"> </w:t>
      </w:r>
      <w:r w:rsidR="002768D1">
        <w:rPr>
          <w:lang w:val="en-US"/>
        </w:rPr>
        <w:t>T</w:t>
      </w:r>
      <w:r w:rsidR="002768D1" w:rsidRPr="00756046">
        <w:rPr>
          <w:lang w:val="en-US"/>
        </w:rPr>
        <w:t>he</w:t>
      </w:r>
      <w:r w:rsidR="002768D1" w:rsidRPr="00083B11">
        <w:rPr>
          <w:i/>
          <w:lang w:val="en-US"/>
        </w:rPr>
        <w:t xml:space="preserve"> de facto </w:t>
      </w:r>
      <w:r w:rsidR="002768D1" w:rsidRPr="00083B11">
        <w:rPr>
          <w:lang w:val="en-US"/>
        </w:rPr>
        <w:t xml:space="preserve">legal construct applies to entities that are </w:t>
      </w:r>
      <w:r w:rsidR="002768D1">
        <w:rPr>
          <w:lang w:val="en-US"/>
        </w:rPr>
        <w:t>party to a conflict but also to those that are not</w:t>
      </w:r>
      <w:r w:rsidR="002768D1" w:rsidRPr="00083B11">
        <w:rPr>
          <w:lang w:val="en-US"/>
        </w:rPr>
        <w:t>.</w:t>
      </w:r>
      <w:r w:rsidR="00052F29">
        <w:rPr>
          <w:rStyle w:val="FootnoteReference"/>
          <w:lang w:val="en-US"/>
        </w:rPr>
        <w:footnoteReference w:id="57"/>
      </w:r>
    </w:p>
    <w:p w14:paraId="52CCD58A" w14:textId="77777777" w:rsidR="002768D1" w:rsidRPr="00083B11" w:rsidRDefault="003440A9" w:rsidP="005146D9">
      <w:pPr>
        <w:spacing w:before="120"/>
        <w:ind w:left="1134" w:right="1134"/>
        <w:jc w:val="both"/>
        <w:rPr>
          <w:lang w:val="en-US"/>
        </w:rPr>
      </w:pPr>
      <w:r>
        <w:rPr>
          <w:lang w:val="en-US"/>
        </w:rPr>
        <w:lastRenderedPageBreak/>
        <w:t>47</w:t>
      </w:r>
      <w:r w:rsidR="005146D9">
        <w:rPr>
          <w:lang w:val="en-US"/>
        </w:rPr>
        <w:t>.</w:t>
      </w:r>
      <w:r w:rsidR="00DF6645">
        <w:rPr>
          <w:lang w:val="en-US"/>
        </w:rPr>
        <w:tab/>
      </w:r>
      <w:r w:rsidR="002768D1" w:rsidRPr="00083B11">
        <w:rPr>
          <w:lang w:val="en-US"/>
        </w:rPr>
        <w:t xml:space="preserve">A decisive element is that the entity exists in an area beyond the reach of the territorial State (the </w:t>
      </w:r>
      <w:r w:rsidR="002768D1" w:rsidRPr="00756046">
        <w:rPr>
          <w:i/>
          <w:lang w:val="en-US"/>
        </w:rPr>
        <w:t>de jure</w:t>
      </w:r>
      <w:r w:rsidR="002768D1" w:rsidRPr="00083B11">
        <w:rPr>
          <w:lang w:val="en-US"/>
        </w:rPr>
        <w:t xml:space="preserve"> authority), thereby generating a </w:t>
      </w:r>
      <w:r w:rsidR="002768D1" w:rsidRPr="00083B11">
        <w:rPr>
          <w:i/>
          <w:lang w:val="en-US"/>
        </w:rPr>
        <w:t>legal vacuum</w:t>
      </w:r>
      <w:r w:rsidR="002768D1" w:rsidRPr="00083B11">
        <w:rPr>
          <w:lang w:val="en-US"/>
        </w:rPr>
        <w:t>.</w:t>
      </w:r>
      <w:r w:rsidR="00052F29">
        <w:rPr>
          <w:rStyle w:val="FootnoteReference"/>
          <w:lang w:val="en-US"/>
        </w:rPr>
        <w:footnoteReference w:id="58"/>
      </w:r>
      <w:r w:rsidR="002768D1" w:rsidRPr="00083B11">
        <w:rPr>
          <w:lang w:val="en-US"/>
        </w:rPr>
        <w:t xml:space="preserve">  The jurisprudence has consistently demonstrated that such a vacuum must be filled</w:t>
      </w:r>
      <w:r w:rsidR="00052F29">
        <w:rPr>
          <w:rStyle w:val="FootnoteReference"/>
          <w:lang w:val="en-US"/>
        </w:rPr>
        <w:footnoteReference w:id="59"/>
      </w:r>
      <w:r w:rsidR="002768D1" w:rsidRPr="00083B11">
        <w:rPr>
          <w:lang w:val="en-US"/>
        </w:rPr>
        <w:t xml:space="preserve">: acts of the de facto authority must be acknowledged and given legal validity, in the interests of both the affected individuals and the international community. The international legal obligations under which </w:t>
      </w:r>
      <w:r w:rsidR="002768D1" w:rsidRPr="00083B11">
        <w:rPr>
          <w:i/>
          <w:lang w:val="en-US"/>
        </w:rPr>
        <w:t>de facto</w:t>
      </w:r>
      <w:r w:rsidR="002768D1" w:rsidRPr="00083B11">
        <w:rPr>
          <w:lang w:val="en-US"/>
        </w:rPr>
        <w:t xml:space="preserve"> authorities are bound include </w:t>
      </w:r>
      <w:r w:rsidR="002768D1">
        <w:rPr>
          <w:lang w:val="en-US"/>
        </w:rPr>
        <w:t>IHRL</w:t>
      </w:r>
      <w:r w:rsidR="002768D1" w:rsidRPr="00083B11">
        <w:rPr>
          <w:lang w:val="en-US"/>
        </w:rPr>
        <w:t>.</w:t>
      </w:r>
      <w:r w:rsidR="00052F29">
        <w:rPr>
          <w:rStyle w:val="FootnoteReference"/>
          <w:lang w:val="en-US"/>
        </w:rPr>
        <w:footnoteReference w:id="60"/>
      </w:r>
      <w:r w:rsidR="002768D1" w:rsidRPr="00083B11">
        <w:rPr>
          <w:lang w:val="en-US"/>
        </w:rPr>
        <w:t xml:space="preserve">  The population and individuals of the State cannot lose their inalienable rights because of changes in the </w:t>
      </w:r>
      <w:r w:rsidR="002768D1" w:rsidRPr="00083B11">
        <w:rPr>
          <w:lang w:val="en-US"/>
        </w:rPr>
        <w:lastRenderedPageBreak/>
        <w:t>authorities. ANSAs retain obligations by virtue of their control and independent existence, and an international legal rejection of legal vacuum</w:t>
      </w:r>
      <w:r w:rsidR="00FB4924">
        <w:rPr>
          <w:rStyle w:val="FootnoteReference"/>
          <w:lang w:val="en-US"/>
        </w:rPr>
        <w:footnoteReference w:id="61"/>
      </w:r>
      <w:r w:rsidR="002768D1" w:rsidRPr="00083B11">
        <w:rPr>
          <w:lang w:val="en-US"/>
        </w:rPr>
        <w:t xml:space="preserve">. </w:t>
      </w:r>
    </w:p>
    <w:p w14:paraId="1728DEC9" w14:textId="77777777" w:rsidR="002768D1" w:rsidRPr="00083B11" w:rsidRDefault="00C84BBC" w:rsidP="005146D9">
      <w:pPr>
        <w:pStyle w:val="H4G"/>
        <w:rPr>
          <w:lang w:val="en-US"/>
        </w:rPr>
      </w:pPr>
      <w:r>
        <w:rPr>
          <w:lang w:val="en-US"/>
        </w:rPr>
        <w:tab/>
      </w:r>
      <w:r w:rsidR="005146D9">
        <w:rPr>
          <w:lang w:val="en-US"/>
        </w:rPr>
        <w:t>2.3.</w:t>
      </w:r>
      <w:r>
        <w:rPr>
          <w:lang w:val="en-US"/>
        </w:rPr>
        <w:tab/>
      </w:r>
      <w:r w:rsidR="002768D1" w:rsidRPr="00083B11">
        <w:rPr>
          <w:lang w:val="en-US"/>
        </w:rPr>
        <w:t>ANSAs with no exclusive control</w:t>
      </w:r>
    </w:p>
    <w:p w14:paraId="15F77BB8" w14:textId="77777777" w:rsidR="002768D1" w:rsidRPr="00083B11" w:rsidRDefault="003440A9" w:rsidP="00DF6645">
      <w:pPr>
        <w:ind w:left="1134" w:right="1134"/>
        <w:jc w:val="both"/>
        <w:rPr>
          <w:lang w:val="en-US"/>
        </w:rPr>
      </w:pPr>
      <w:r>
        <w:rPr>
          <w:lang w:val="en-US"/>
        </w:rPr>
        <w:t>48</w:t>
      </w:r>
      <w:r w:rsidR="005146D9">
        <w:rPr>
          <w:lang w:val="en-US"/>
        </w:rPr>
        <w:t>.</w:t>
      </w:r>
      <w:r w:rsidR="00DF6645">
        <w:rPr>
          <w:lang w:val="en-US"/>
        </w:rPr>
        <w:tab/>
      </w:r>
      <w:r w:rsidR="002768D1">
        <w:rPr>
          <w:lang w:val="en-US"/>
        </w:rPr>
        <w:t>T</w:t>
      </w:r>
      <w:r w:rsidR="002768D1" w:rsidRPr="00083B11">
        <w:rPr>
          <w:lang w:val="en-US"/>
        </w:rPr>
        <w:t xml:space="preserve">he justifications underpinning </w:t>
      </w:r>
      <w:r w:rsidR="002768D1" w:rsidRPr="00083B11">
        <w:rPr>
          <w:i/>
          <w:lang w:val="en-US"/>
        </w:rPr>
        <w:t>de facto</w:t>
      </w:r>
      <w:r w:rsidR="002768D1" w:rsidRPr="00083B11">
        <w:rPr>
          <w:lang w:val="en-US"/>
        </w:rPr>
        <w:t xml:space="preserve"> authorities’ </w:t>
      </w:r>
      <w:r w:rsidR="002768D1">
        <w:rPr>
          <w:lang w:val="en-US"/>
        </w:rPr>
        <w:t xml:space="preserve">legal obligations may be </w:t>
      </w:r>
      <w:r w:rsidR="002768D1" w:rsidRPr="00083B11">
        <w:rPr>
          <w:lang w:val="en-US"/>
        </w:rPr>
        <w:t xml:space="preserve">equally </w:t>
      </w:r>
      <w:r w:rsidR="002768D1">
        <w:rPr>
          <w:lang w:val="en-US"/>
        </w:rPr>
        <w:t xml:space="preserve">applicable to </w:t>
      </w:r>
      <w:r w:rsidR="002768D1" w:rsidRPr="00083B11">
        <w:rPr>
          <w:lang w:val="en-US"/>
        </w:rPr>
        <w:t xml:space="preserve">ANSAs falling below the threshold of exclusive territorial control. By existing independently of the territorial State, ANSAs generate a legal vacuum in the same manner as </w:t>
      </w:r>
      <w:r w:rsidR="002768D1" w:rsidRPr="00083B11">
        <w:rPr>
          <w:i/>
          <w:lang w:val="en-US"/>
        </w:rPr>
        <w:t>de facto</w:t>
      </w:r>
      <w:r w:rsidR="002768D1" w:rsidRPr="00083B11">
        <w:rPr>
          <w:lang w:val="en-US"/>
        </w:rPr>
        <w:t xml:space="preserve"> authorities, the only difference </w:t>
      </w:r>
      <w:r w:rsidR="002768D1">
        <w:rPr>
          <w:lang w:val="en-US"/>
        </w:rPr>
        <w:t>being</w:t>
      </w:r>
      <w:r w:rsidR="002768D1" w:rsidRPr="00083B11">
        <w:rPr>
          <w:lang w:val="en-US"/>
        </w:rPr>
        <w:t xml:space="preserve"> one of degree. Some forms of legal vacuum are generated by ANSAs, whether or not they exercise exclusive control over territories: “</w:t>
      </w:r>
      <w:r w:rsidR="002768D1" w:rsidRPr="00083B11">
        <w:rPr>
          <w:i/>
          <w:lang w:val="en-US"/>
        </w:rPr>
        <w:t xml:space="preserve">In such circumstances, the armed group forces itself onto the </w:t>
      </w:r>
      <w:r w:rsidR="002768D1" w:rsidRPr="00083B11">
        <w:rPr>
          <w:i/>
          <w:lang w:val="en-US"/>
        </w:rPr>
        <w:lastRenderedPageBreak/>
        <w:t>international plane, justifying the application of international law in accordance w</w:t>
      </w:r>
      <w:r w:rsidR="002768D1">
        <w:rPr>
          <w:i/>
          <w:lang w:val="en-US"/>
        </w:rPr>
        <w:t>ith the de facto control theory.</w:t>
      </w:r>
      <w:r w:rsidR="00FB4924">
        <w:rPr>
          <w:rStyle w:val="FootnoteReference"/>
          <w:i/>
          <w:lang w:val="en-US"/>
        </w:rPr>
        <w:footnoteReference w:id="62"/>
      </w:r>
      <w:r w:rsidR="002768D1" w:rsidRPr="00083B11">
        <w:rPr>
          <w:i/>
          <w:lang w:val="en-US"/>
        </w:rPr>
        <w:t xml:space="preserve">” </w:t>
      </w:r>
      <w:r w:rsidR="002768D1" w:rsidRPr="00083B11">
        <w:rPr>
          <w:lang w:val="en-US"/>
        </w:rPr>
        <w:t xml:space="preserve">The implication is that ANSAs are thus bound both by customary international law and the territorial State </w:t>
      </w:r>
      <w:r w:rsidR="002768D1">
        <w:rPr>
          <w:lang w:val="en-US"/>
        </w:rPr>
        <w:t xml:space="preserve">IHRL </w:t>
      </w:r>
      <w:r w:rsidR="002768D1" w:rsidRPr="00083B11">
        <w:rPr>
          <w:lang w:val="en-US"/>
        </w:rPr>
        <w:t>obligations.</w:t>
      </w:r>
    </w:p>
    <w:p w14:paraId="52520C3F" w14:textId="77777777" w:rsidR="002768D1" w:rsidRPr="00083B11" w:rsidRDefault="00C84BBC" w:rsidP="005146D9">
      <w:pPr>
        <w:pStyle w:val="H4G"/>
        <w:rPr>
          <w:lang w:val="en-US"/>
        </w:rPr>
      </w:pPr>
      <w:r>
        <w:rPr>
          <w:lang w:val="en-US"/>
        </w:rPr>
        <w:tab/>
      </w:r>
      <w:r w:rsidR="005146D9">
        <w:rPr>
          <w:lang w:val="en-US"/>
        </w:rPr>
        <w:t>2.4</w:t>
      </w:r>
      <w:r>
        <w:rPr>
          <w:lang w:val="en-US"/>
        </w:rPr>
        <w:tab/>
      </w:r>
      <w:r w:rsidR="002768D1" w:rsidRPr="00083B11">
        <w:rPr>
          <w:lang w:val="en-US"/>
        </w:rPr>
        <w:t>ANSAs capacit</w:t>
      </w:r>
      <w:r w:rsidR="002768D1">
        <w:rPr>
          <w:lang w:val="en-US"/>
        </w:rPr>
        <w:t>y</w:t>
      </w:r>
      <w:r w:rsidR="002768D1" w:rsidRPr="00083B11">
        <w:rPr>
          <w:lang w:val="en-US"/>
        </w:rPr>
        <w:t xml:space="preserve"> to bear obligation</w:t>
      </w:r>
    </w:p>
    <w:p w14:paraId="30ACB4E3" w14:textId="77777777" w:rsidR="002768D1" w:rsidRPr="00083B11" w:rsidRDefault="003440A9" w:rsidP="00DF6645">
      <w:pPr>
        <w:ind w:left="1134" w:right="1134"/>
        <w:jc w:val="both"/>
        <w:rPr>
          <w:lang w:val="en-US"/>
        </w:rPr>
      </w:pPr>
      <w:r>
        <w:rPr>
          <w:lang w:val="en-US"/>
        </w:rPr>
        <w:t>49</w:t>
      </w:r>
      <w:r w:rsidR="005146D9">
        <w:rPr>
          <w:lang w:val="en-US"/>
        </w:rPr>
        <w:t>.</w:t>
      </w:r>
      <w:r w:rsidR="00DF6645">
        <w:rPr>
          <w:lang w:val="en-US"/>
        </w:rPr>
        <w:tab/>
      </w:r>
      <w:r w:rsidR="002768D1" w:rsidRPr="00083B11">
        <w:rPr>
          <w:lang w:val="en-US"/>
        </w:rPr>
        <w:t>An alternative approach to the legal personality focus is to minimize its importance, as an over-stated, “highly subjective notion that is linked to, and formed by, individual scholars’ conceptions of the whole system of international law,</w:t>
      </w:r>
      <w:r w:rsidR="00FB4924">
        <w:rPr>
          <w:rStyle w:val="FootnoteReference"/>
          <w:lang w:val="en-US"/>
        </w:rPr>
        <w:footnoteReference w:id="63"/>
      </w:r>
      <w:r w:rsidR="002768D1" w:rsidRPr="00083B11">
        <w:rPr>
          <w:lang w:val="en-US"/>
        </w:rPr>
        <w:t>” reflecting an outdated vision and an intrinsic lack of imagination</w:t>
      </w:r>
      <w:r w:rsidR="00FB4924">
        <w:rPr>
          <w:rStyle w:val="FootnoteReference"/>
          <w:lang w:val="en-US"/>
        </w:rPr>
        <w:footnoteReference w:id="64"/>
      </w:r>
      <w:r w:rsidR="002768D1" w:rsidRPr="00083B11">
        <w:rPr>
          <w:lang w:val="en-US"/>
        </w:rPr>
        <w:t xml:space="preserve">. It has been </w:t>
      </w:r>
      <w:r w:rsidR="002768D1" w:rsidRPr="00083B11">
        <w:rPr>
          <w:lang w:val="en-US"/>
        </w:rPr>
        <w:lastRenderedPageBreak/>
        <w:t>suggested that participation in the international legal system</w:t>
      </w:r>
      <w:r w:rsidR="00FB4924">
        <w:rPr>
          <w:rStyle w:val="FootnoteReference"/>
          <w:lang w:val="en-US"/>
        </w:rPr>
        <w:footnoteReference w:id="65"/>
      </w:r>
      <w:r w:rsidR="002768D1" w:rsidRPr="00083B11">
        <w:rPr>
          <w:lang w:val="en-US"/>
        </w:rPr>
        <w:t>, or NSA capacities to bear obligations</w:t>
      </w:r>
      <w:r w:rsidR="00C02F11">
        <w:rPr>
          <w:rStyle w:val="FootnoteReference"/>
          <w:lang w:val="en-US"/>
        </w:rPr>
        <w:footnoteReference w:id="66"/>
      </w:r>
      <w:r w:rsidR="002768D1" w:rsidRPr="00083B11">
        <w:rPr>
          <w:lang w:val="en-US"/>
        </w:rPr>
        <w:t xml:space="preserve"> are far more relevant to the determination of whether or not non-State actors have international duties than the existing categories of subjects and objects:</w:t>
      </w:r>
    </w:p>
    <w:p w14:paraId="6CA446CC" w14:textId="77777777" w:rsidR="002768D1" w:rsidRPr="00083B11" w:rsidRDefault="002768D1" w:rsidP="005146D9">
      <w:pPr>
        <w:tabs>
          <w:tab w:val="left" w:pos="8505"/>
        </w:tabs>
        <w:spacing w:before="120"/>
        <w:ind w:left="1701" w:right="1134"/>
        <w:jc w:val="both"/>
        <w:rPr>
          <w:lang w:val="en-US"/>
        </w:rPr>
      </w:pPr>
      <w:r w:rsidRPr="00083B11">
        <w:rPr>
          <w:i/>
          <w:lang w:val="en-US"/>
        </w:rPr>
        <w:t xml:space="preserve">We have an international legal order that admits that states are not the only subjects of international law. It is obvious that non-state entities do not enjoy all the competences, privileges, and rights that states enjoy under international law, </w:t>
      </w:r>
      <w:r>
        <w:rPr>
          <w:i/>
          <w:lang w:val="en-US"/>
        </w:rPr>
        <w:t>(…)</w:t>
      </w:r>
      <w:r w:rsidRPr="00083B11">
        <w:rPr>
          <w:i/>
          <w:lang w:val="en-US"/>
        </w:rPr>
        <w:t xml:space="preserve"> we need to admit that international rights and duties depend on the capacity of the entity to enjoy those rights and bear those obligations; such rights and obligations do not depend on the mysteries of subjectivity.</w:t>
      </w:r>
      <w:r w:rsidR="00C02F11">
        <w:rPr>
          <w:rStyle w:val="FootnoteReference"/>
          <w:i/>
          <w:lang w:val="en-US"/>
        </w:rPr>
        <w:footnoteReference w:id="67"/>
      </w:r>
      <w:r w:rsidRPr="00083B11">
        <w:rPr>
          <w:i/>
          <w:lang w:val="en-US"/>
        </w:rPr>
        <w:t xml:space="preserve"> </w:t>
      </w:r>
    </w:p>
    <w:p w14:paraId="753CF43F" w14:textId="77777777" w:rsidR="002768D1" w:rsidRPr="00083B11" w:rsidRDefault="003440A9" w:rsidP="005146D9">
      <w:pPr>
        <w:spacing w:before="120"/>
        <w:ind w:left="1134" w:right="1134"/>
        <w:jc w:val="both"/>
        <w:rPr>
          <w:lang w:val="en-US"/>
        </w:rPr>
      </w:pPr>
      <w:r>
        <w:rPr>
          <w:lang w:val="en-US"/>
        </w:rPr>
        <w:t>50</w:t>
      </w:r>
      <w:r w:rsidR="005146D9">
        <w:rPr>
          <w:lang w:val="en-US"/>
        </w:rPr>
        <w:t>.</w:t>
      </w:r>
      <w:r w:rsidR="00DF6645">
        <w:rPr>
          <w:lang w:val="en-US"/>
        </w:rPr>
        <w:tab/>
      </w:r>
      <w:r w:rsidR="002768D1" w:rsidRPr="00083B11">
        <w:rPr>
          <w:lang w:val="en-US"/>
        </w:rPr>
        <w:t xml:space="preserve">Interestingly, both the legal personality approach and its rejection lead to more or less the same conclusions as </w:t>
      </w:r>
      <w:r w:rsidR="002768D1">
        <w:rPr>
          <w:lang w:val="en-US"/>
        </w:rPr>
        <w:t xml:space="preserve">to </w:t>
      </w:r>
      <w:r w:rsidR="002768D1" w:rsidRPr="00083B11">
        <w:rPr>
          <w:lang w:val="en-US"/>
        </w:rPr>
        <w:t xml:space="preserve">one of the sources of ANSA human rights obligations:  their </w:t>
      </w:r>
      <w:r w:rsidR="002768D1" w:rsidRPr="00083B11">
        <w:rPr>
          <w:lang w:val="en-US"/>
        </w:rPr>
        <w:lastRenderedPageBreak/>
        <w:t>capacity to bear obligations. Such capacit</w:t>
      </w:r>
      <w:r w:rsidR="002768D1">
        <w:rPr>
          <w:lang w:val="en-US"/>
        </w:rPr>
        <w:t>y</w:t>
      </w:r>
      <w:r w:rsidR="002768D1" w:rsidRPr="00083B11">
        <w:rPr>
          <w:lang w:val="en-US"/>
        </w:rPr>
        <w:t xml:space="preserve"> tend</w:t>
      </w:r>
      <w:r w:rsidR="002768D1">
        <w:rPr>
          <w:lang w:val="en-US"/>
        </w:rPr>
        <w:t>s</w:t>
      </w:r>
      <w:r w:rsidR="002768D1" w:rsidRPr="00083B11">
        <w:rPr>
          <w:lang w:val="en-US"/>
        </w:rPr>
        <w:t xml:space="preserve"> to be assessed according to two main determinants: control </w:t>
      </w:r>
      <w:r w:rsidR="002768D1">
        <w:rPr>
          <w:lang w:val="en-US"/>
        </w:rPr>
        <w:t xml:space="preserve">(e.g. </w:t>
      </w:r>
      <w:r w:rsidR="002768D1" w:rsidRPr="00083B11">
        <w:rPr>
          <w:lang w:val="en-US"/>
        </w:rPr>
        <w:t>over territories and/or population</w:t>
      </w:r>
      <w:r w:rsidR="002768D1">
        <w:rPr>
          <w:lang w:val="en-US"/>
        </w:rPr>
        <w:t>)</w:t>
      </w:r>
      <w:r w:rsidR="002768D1" w:rsidRPr="00083B11">
        <w:rPr>
          <w:lang w:val="en-US"/>
        </w:rPr>
        <w:t>, and an organizational structure capable of ensuring the group’s fulfillment of any obligation under international law</w:t>
      </w:r>
      <w:r w:rsidR="00C02F11">
        <w:rPr>
          <w:rStyle w:val="FootnoteReference"/>
          <w:lang w:val="en-US"/>
        </w:rPr>
        <w:footnoteReference w:id="68"/>
      </w:r>
      <w:r w:rsidR="002768D1" w:rsidRPr="00083B11">
        <w:rPr>
          <w:lang w:val="en-US"/>
        </w:rPr>
        <w:t xml:space="preserve">. </w:t>
      </w:r>
    </w:p>
    <w:p w14:paraId="3E7303B5" w14:textId="77777777" w:rsidR="002768D1" w:rsidRPr="00553DC3" w:rsidRDefault="00C84BBC" w:rsidP="00C84BBC">
      <w:pPr>
        <w:pStyle w:val="H1G"/>
        <w:rPr>
          <w:lang w:val="en-US"/>
        </w:rPr>
      </w:pPr>
      <w:r>
        <w:rPr>
          <w:lang w:val="en-US"/>
        </w:rPr>
        <w:tab/>
      </w:r>
      <w:r w:rsidR="005146D9">
        <w:rPr>
          <w:lang w:val="en-US"/>
        </w:rPr>
        <w:t>D.</w:t>
      </w:r>
      <w:r w:rsidR="002768D1">
        <w:rPr>
          <w:lang w:val="en-US"/>
        </w:rPr>
        <w:tab/>
      </w:r>
      <w:r w:rsidR="002768D1" w:rsidRPr="00553DC3">
        <w:rPr>
          <w:lang w:val="en-US"/>
        </w:rPr>
        <w:t>Key Implications and Moving Forward</w:t>
      </w:r>
    </w:p>
    <w:p w14:paraId="5D62031B" w14:textId="77777777" w:rsidR="002768D1" w:rsidRDefault="003440A9" w:rsidP="00E67182">
      <w:pPr>
        <w:ind w:left="1134" w:right="1134"/>
        <w:jc w:val="both"/>
        <w:rPr>
          <w:b/>
          <w:lang w:val="en-US"/>
        </w:rPr>
      </w:pPr>
      <w:r w:rsidRPr="003440A9">
        <w:rPr>
          <w:lang w:val="en-US"/>
        </w:rPr>
        <w:t>51</w:t>
      </w:r>
      <w:r w:rsidR="002768D1" w:rsidRPr="003440A9">
        <w:rPr>
          <w:lang w:val="en-US"/>
        </w:rPr>
        <w:t>.</w:t>
      </w:r>
      <w:r w:rsidR="00E67182">
        <w:rPr>
          <w:b/>
          <w:lang w:val="en-US"/>
        </w:rPr>
        <w:tab/>
      </w:r>
      <w:r w:rsidR="002768D1">
        <w:rPr>
          <w:b/>
          <w:lang w:val="en-US"/>
        </w:rPr>
        <w:t>T</w:t>
      </w:r>
      <w:r w:rsidR="002768D1" w:rsidRPr="00083B11">
        <w:rPr>
          <w:b/>
          <w:lang w:val="en-US"/>
        </w:rPr>
        <w:t xml:space="preserve">he report has highlighted </w:t>
      </w:r>
      <w:r w:rsidR="002768D1">
        <w:rPr>
          <w:b/>
          <w:lang w:val="en-US"/>
        </w:rPr>
        <w:t>the following</w:t>
      </w:r>
      <w:r w:rsidR="002768D1" w:rsidRPr="00083B11">
        <w:rPr>
          <w:b/>
          <w:lang w:val="en-US"/>
        </w:rPr>
        <w:t>:</w:t>
      </w:r>
    </w:p>
    <w:p w14:paraId="141E002C" w14:textId="77777777" w:rsidR="002768D1" w:rsidRPr="00083B11" w:rsidRDefault="002768D1" w:rsidP="005146D9">
      <w:pPr>
        <w:pStyle w:val="Bullet2G"/>
        <w:spacing w:before="120"/>
        <w:rPr>
          <w:lang w:val="en-US"/>
        </w:rPr>
      </w:pPr>
      <w:r w:rsidRPr="00083B11">
        <w:rPr>
          <w:lang w:val="en-US"/>
        </w:rPr>
        <w:t xml:space="preserve">ANSAs commit violations of the right to life and other human rights. </w:t>
      </w:r>
    </w:p>
    <w:p w14:paraId="5DF957E6" w14:textId="77777777" w:rsidR="002768D1" w:rsidRPr="00083B11" w:rsidRDefault="002768D1" w:rsidP="00C84BBC">
      <w:pPr>
        <w:pStyle w:val="Bullet2G"/>
        <w:rPr>
          <w:lang w:val="en-US"/>
        </w:rPr>
      </w:pPr>
      <w:r w:rsidRPr="00083B11">
        <w:rPr>
          <w:lang w:val="en-US"/>
        </w:rPr>
        <w:t>IHL, ICL and domestic criminal law have a role to play in holding ANSA</w:t>
      </w:r>
      <w:r>
        <w:rPr>
          <w:lang w:val="en-US"/>
        </w:rPr>
        <w:t>s</w:t>
      </w:r>
      <w:r w:rsidRPr="00083B11">
        <w:rPr>
          <w:lang w:val="en-US"/>
        </w:rPr>
        <w:t xml:space="preserve"> to account. However, there are many situations where they do not apply or need to be complemented by IHRL. </w:t>
      </w:r>
    </w:p>
    <w:p w14:paraId="41ADEA12" w14:textId="77777777" w:rsidR="002768D1" w:rsidRPr="00083B11" w:rsidRDefault="002768D1" w:rsidP="00C84BBC">
      <w:pPr>
        <w:pStyle w:val="Bullet2G"/>
        <w:rPr>
          <w:lang w:val="en-US"/>
        </w:rPr>
      </w:pPr>
      <w:r w:rsidRPr="00083B11">
        <w:rPr>
          <w:lang w:val="en-US"/>
        </w:rPr>
        <w:t xml:space="preserve">The current legal regime has resulted in inequality of obligations amongst parties to </w:t>
      </w:r>
      <w:r>
        <w:rPr>
          <w:lang w:val="en-US"/>
        </w:rPr>
        <w:t>an NIAC</w:t>
      </w:r>
      <w:r w:rsidRPr="00083B11">
        <w:rPr>
          <w:lang w:val="en-US"/>
        </w:rPr>
        <w:t xml:space="preserve">; large protection gaps for people affected by ANSAs; and accountability deficits, some of which may actually amount to distinct violations </w:t>
      </w:r>
      <w:r w:rsidRPr="00083B11">
        <w:rPr>
          <w:lang w:val="en-US"/>
        </w:rPr>
        <w:lastRenderedPageBreak/>
        <w:t>of the right to life under Article 6 ICCPR, involving the responsibility of the States.</w:t>
      </w:r>
    </w:p>
    <w:p w14:paraId="47F9945F" w14:textId="403E2DCE" w:rsidR="002768D1" w:rsidRPr="00083B11" w:rsidRDefault="002768D1" w:rsidP="00C84BBC">
      <w:pPr>
        <w:pStyle w:val="Bullet2G"/>
        <w:rPr>
          <w:lang w:val="en-US"/>
        </w:rPr>
      </w:pPr>
      <w:r w:rsidRPr="00083B11">
        <w:rPr>
          <w:lang w:val="en-US"/>
        </w:rPr>
        <w:t>Resolutions by the UNSC, UNGA and HRC have addressed</w:t>
      </w:r>
      <w:r w:rsidR="00871B5D">
        <w:rPr>
          <w:lang w:val="en-US"/>
        </w:rPr>
        <w:t xml:space="preserve"> </w:t>
      </w:r>
      <w:r w:rsidRPr="00083B11">
        <w:rPr>
          <w:lang w:val="en-US"/>
        </w:rPr>
        <w:t xml:space="preserve">ANSAs as </w:t>
      </w:r>
      <w:r>
        <w:rPr>
          <w:lang w:val="en-US"/>
        </w:rPr>
        <w:t xml:space="preserve">perpetrators </w:t>
      </w:r>
      <w:r w:rsidRPr="00083B11">
        <w:rPr>
          <w:lang w:val="en-US"/>
        </w:rPr>
        <w:t xml:space="preserve">of human rights </w:t>
      </w:r>
      <w:r>
        <w:rPr>
          <w:lang w:val="en-US"/>
        </w:rPr>
        <w:t xml:space="preserve">obligations </w:t>
      </w:r>
      <w:r w:rsidRPr="00083B11">
        <w:rPr>
          <w:lang w:val="en-US"/>
        </w:rPr>
        <w:t xml:space="preserve">and </w:t>
      </w:r>
      <w:r>
        <w:rPr>
          <w:lang w:val="en-US"/>
        </w:rPr>
        <w:t xml:space="preserve">as </w:t>
      </w:r>
      <w:r w:rsidRPr="00083B11">
        <w:rPr>
          <w:lang w:val="en-US"/>
        </w:rPr>
        <w:t>duty-bearers.</w:t>
      </w:r>
      <w:r w:rsidR="00604A25">
        <w:rPr>
          <w:rStyle w:val="FootnoteReference"/>
          <w:lang w:val="en-US"/>
        </w:rPr>
        <w:footnoteReference w:id="69"/>
      </w:r>
      <w:r w:rsidRPr="00083B11">
        <w:rPr>
          <w:lang w:val="en-US"/>
        </w:rPr>
        <w:t xml:space="preserve">  </w:t>
      </w:r>
    </w:p>
    <w:p w14:paraId="4CBDE690" w14:textId="4ED87F25" w:rsidR="002768D1" w:rsidRPr="00083B11" w:rsidRDefault="002768D1" w:rsidP="00C84BBC">
      <w:pPr>
        <w:pStyle w:val="Bullet2G"/>
        <w:rPr>
          <w:lang w:val="en-US"/>
        </w:rPr>
      </w:pPr>
      <w:r w:rsidRPr="00083B11">
        <w:rPr>
          <w:lang w:val="en-US"/>
        </w:rPr>
        <w:t>ANSAs</w:t>
      </w:r>
      <w:r w:rsidR="00871B5D">
        <w:rPr>
          <w:lang w:val="en-US"/>
        </w:rPr>
        <w:t>’</w:t>
      </w:r>
      <w:r w:rsidRPr="00083B11">
        <w:rPr>
          <w:lang w:val="en-US"/>
        </w:rPr>
        <w:t xml:space="preserve"> legal personality sources may be traced to, amongst others, treaty and customary law. Under the </w:t>
      </w:r>
      <w:r w:rsidRPr="00083B11">
        <w:rPr>
          <w:i/>
          <w:lang w:val="en-US"/>
        </w:rPr>
        <w:t>de facto authority</w:t>
      </w:r>
      <w:r w:rsidRPr="00083B11">
        <w:rPr>
          <w:lang w:val="en-US"/>
        </w:rPr>
        <w:t xml:space="preserve"> legal construct, ANSAs inherits the Treaty obligations of the State they have displaced. Under the customary law approach, ANSAs are bound by customary human rights law.</w:t>
      </w:r>
    </w:p>
    <w:p w14:paraId="2C430B4A" w14:textId="73D74FE7" w:rsidR="002768D1" w:rsidRPr="00083B11" w:rsidRDefault="002768D1" w:rsidP="00C84BBC">
      <w:pPr>
        <w:pStyle w:val="Bullet2G"/>
        <w:rPr>
          <w:lang w:val="en-US"/>
        </w:rPr>
      </w:pPr>
      <w:r w:rsidRPr="00083B11">
        <w:rPr>
          <w:lang w:val="en-US"/>
        </w:rPr>
        <w:t xml:space="preserve">In addition, ANSAs human rights obligations may be linked to the inalienability of human rights and the ANSAs </w:t>
      </w:r>
      <w:r>
        <w:rPr>
          <w:lang w:val="en-US"/>
        </w:rPr>
        <w:t xml:space="preserve">capacity </w:t>
      </w:r>
      <w:r w:rsidRPr="00083B11">
        <w:rPr>
          <w:lang w:val="en-US"/>
        </w:rPr>
        <w:t>to exercise human rights obligations. This approach</w:t>
      </w:r>
      <w:r w:rsidR="00871B5D">
        <w:rPr>
          <w:lang w:val="en-US"/>
        </w:rPr>
        <w:t>,</w:t>
      </w:r>
      <w:r w:rsidRPr="00083B11">
        <w:rPr>
          <w:lang w:val="en-US"/>
        </w:rPr>
        <w:t xml:space="preserve"> particularly important in cases where ANSAs do not control territories</w:t>
      </w:r>
      <w:r w:rsidR="00871B5D">
        <w:rPr>
          <w:lang w:val="en-US"/>
        </w:rPr>
        <w:t>, may also</w:t>
      </w:r>
      <w:r w:rsidRPr="00083B11">
        <w:rPr>
          <w:lang w:val="en-US"/>
        </w:rPr>
        <w:t xml:space="preserve"> be applied as an overall framework for all ANSAs. </w:t>
      </w:r>
    </w:p>
    <w:p w14:paraId="2314DBB8" w14:textId="7F6087A9" w:rsidR="002768D1" w:rsidRPr="00083B11" w:rsidRDefault="003440A9" w:rsidP="00DF6645">
      <w:pPr>
        <w:ind w:left="1134" w:right="1134"/>
        <w:jc w:val="both"/>
        <w:rPr>
          <w:lang w:val="en-US"/>
        </w:rPr>
      </w:pPr>
      <w:r>
        <w:rPr>
          <w:lang w:val="en-US"/>
        </w:rPr>
        <w:t>52</w:t>
      </w:r>
      <w:r w:rsidR="005146D9">
        <w:rPr>
          <w:lang w:val="en-US"/>
        </w:rPr>
        <w:t>.</w:t>
      </w:r>
      <w:r w:rsidR="00DF6645">
        <w:rPr>
          <w:lang w:val="en-US"/>
        </w:rPr>
        <w:tab/>
      </w:r>
      <w:r w:rsidR="002768D1" w:rsidRPr="00083B11">
        <w:rPr>
          <w:lang w:val="en-US"/>
        </w:rPr>
        <w:t>As highlighted throughout the report, ANSA</w:t>
      </w:r>
      <w:r w:rsidR="002768D1">
        <w:rPr>
          <w:lang w:val="en-US"/>
        </w:rPr>
        <w:t>s</w:t>
      </w:r>
      <w:r w:rsidR="002768D1" w:rsidRPr="00083B11">
        <w:rPr>
          <w:lang w:val="en-US"/>
        </w:rPr>
        <w:t xml:space="preserve"> legal personality and possession of human rights obligations do not mean that there is an equality of </w:t>
      </w:r>
      <w:r w:rsidR="002768D1" w:rsidRPr="00083B11">
        <w:rPr>
          <w:lang w:val="en-US"/>
        </w:rPr>
        <w:lastRenderedPageBreak/>
        <w:t>obligations between States and ANSAs, or amongst ANSAs.</w:t>
      </w:r>
      <w:r w:rsidR="002768D1">
        <w:rPr>
          <w:lang w:val="en-US"/>
        </w:rPr>
        <w:t xml:space="preserve"> </w:t>
      </w:r>
      <w:r w:rsidR="002768D1" w:rsidRPr="00083B11">
        <w:rPr>
          <w:lang w:val="en-US"/>
        </w:rPr>
        <w:t xml:space="preserve">The remaining of the report will suggest that the application of human rights obligations to ANSAs should occur in a </w:t>
      </w:r>
      <w:r w:rsidR="002768D1" w:rsidRPr="00021CF4">
        <w:rPr>
          <w:lang w:val="en-US"/>
        </w:rPr>
        <w:t xml:space="preserve">context-dependent, ANSA-specific and gradated manner. The central element is that the content and extent of ANSAs Human Rights obligations are determined through a review of three interlinked indicators: (i) the nature and extent of ANSAs control; (ii) the level of ANSAs </w:t>
      </w:r>
      <w:r w:rsidR="002768D1" w:rsidRPr="00083B11">
        <w:rPr>
          <w:lang w:val="en-US"/>
        </w:rPr>
        <w:t>governance</w:t>
      </w:r>
      <w:r w:rsidR="002768D1" w:rsidRPr="00021CF4">
        <w:rPr>
          <w:lang w:val="en-US"/>
        </w:rPr>
        <w:t xml:space="preserve"> and (iii) </w:t>
      </w:r>
      <w:r w:rsidR="002768D1">
        <w:rPr>
          <w:lang w:val="en-US"/>
        </w:rPr>
        <w:t xml:space="preserve">consequently, </w:t>
      </w:r>
      <w:r w:rsidR="002768D1" w:rsidRPr="00021CF4">
        <w:rPr>
          <w:lang w:val="en-US"/>
        </w:rPr>
        <w:t xml:space="preserve">the extent </w:t>
      </w:r>
      <w:r w:rsidR="004F6EFB">
        <w:rPr>
          <w:lang w:val="en-US"/>
        </w:rPr>
        <w:t>of their capacity</w:t>
      </w:r>
      <w:r w:rsidR="002768D1" w:rsidRPr="00021CF4">
        <w:rPr>
          <w:lang w:val="en-US"/>
        </w:rPr>
        <w:t>.</w:t>
      </w:r>
      <w:r w:rsidR="002768D1" w:rsidRPr="00083B11">
        <w:rPr>
          <w:b/>
          <w:lang w:val="en-US"/>
        </w:rPr>
        <w:t xml:space="preserve"> </w:t>
      </w:r>
    </w:p>
    <w:p w14:paraId="723DE068" w14:textId="77777777" w:rsidR="002768D1" w:rsidRPr="00553DC3" w:rsidRDefault="00C84BBC" w:rsidP="00C84BBC">
      <w:pPr>
        <w:pStyle w:val="H23G"/>
        <w:rPr>
          <w:lang w:val="en-US"/>
        </w:rPr>
      </w:pPr>
      <w:r>
        <w:rPr>
          <w:lang w:val="en-US"/>
        </w:rPr>
        <w:tab/>
      </w:r>
      <w:r w:rsidR="002768D1" w:rsidRPr="00553DC3">
        <w:rPr>
          <w:lang w:val="en-US"/>
        </w:rPr>
        <w:t>1</w:t>
      </w:r>
      <w:r w:rsidR="002768D1">
        <w:rPr>
          <w:lang w:val="en-US"/>
        </w:rPr>
        <w:t>.</w:t>
      </w:r>
      <w:r>
        <w:rPr>
          <w:lang w:val="en-US"/>
        </w:rPr>
        <w:tab/>
      </w:r>
      <w:r w:rsidR="002768D1" w:rsidRPr="00553DC3">
        <w:rPr>
          <w:lang w:val="en-US"/>
        </w:rPr>
        <w:t xml:space="preserve">Key Characteristics </w:t>
      </w:r>
    </w:p>
    <w:p w14:paraId="4AD6E952" w14:textId="77777777" w:rsidR="002768D1" w:rsidRPr="00553DC3" w:rsidRDefault="00C84BBC" w:rsidP="00C84BBC">
      <w:pPr>
        <w:pStyle w:val="H4G"/>
        <w:rPr>
          <w:lang w:val="en-US"/>
        </w:rPr>
      </w:pPr>
      <w:r>
        <w:rPr>
          <w:lang w:val="en-US"/>
        </w:rPr>
        <w:tab/>
      </w:r>
      <w:r w:rsidR="005146D9">
        <w:rPr>
          <w:lang w:val="en-US"/>
        </w:rPr>
        <w:t>1.1.</w:t>
      </w:r>
      <w:r>
        <w:rPr>
          <w:lang w:val="en-US"/>
        </w:rPr>
        <w:tab/>
      </w:r>
      <w:r w:rsidR="002768D1" w:rsidRPr="00553DC3">
        <w:rPr>
          <w:lang w:val="en-US"/>
        </w:rPr>
        <w:t xml:space="preserve">ANSAs Control </w:t>
      </w:r>
    </w:p>
    <w:p w14:paraId="31C1CC3A" w14:textId="77777777" w:rsidR="002768D1" w:rsidRDefault="003440A9" w:rsidP="005146D9">
      <w:pPr>
        <w:spacing w:before="120"/>
        <w:ind w:left="1134" w:right="1134"/>
        <w:jc w:val="both"/>
        <w:rPr>
          <w:lang w:val="en-US"/>
        </w:rPr>
      </w:pPr>
      <w:r>
        <w:rPr>
          <w:lang w:val="en-US"/>
        </w:rPr>
        <w:t>53</w:t>
      </w:r>
      <w:r w:rsidR="005146D9">
        <w:rPr>
          <w:lang w:val="en-US"/>
        </w:rPr>
        <w:t>.</w:t>
      </w:r>
      <w:r w:rsidR="00DF6645">
        <w:rPr>
          <w:lang w:val="en-US"/>
        </w:rPr>
        <w:tab/>
      </w:r>
      <w:r w:rsidR="002768D1" w:rsidRPr="00083B11">
        <w:rPr>
          <w:lang w:val="en-US"/>
        </w:rPr>
        <w:t xml:space="preserve">Territorial control, extrapolated from IHL, has emerged as a key element of the understanding of ANSA capacities. The focus on territories and territorial control allows for legal personality and for the notion that ANSA controlling territories should be bound by </w:t>
      </w:r>
      <w:r w:rsidR="002768D1" w:rsidRPr="00083B11">
        <w:rPr>
          <w:lang w:val="en-US"/>
        </w:rPr>
        <w:lastRenderedPageBreak/>
        <w:t>the legal obligations of the State</w:t>
      </w:r>
      <w:r w:rsidR="00604A25">
        <w:rPr>
          <w:rStyle w:val="FootnoteReference"/>
          <w:lang w:val="en-US"/>
        </w:rPr>
        <w:footnoteReference w:id="70"/>
      </w:r>
      <w:r w:rsidR="002768D1" w:rsidRPr="00083B11">
        <w:rPr>
          <w:lang w:val="en-US"/>
        </w:rPr>
        <w:t xml:space="preserve"> to the extent that these obligations are owned by and due to the population of the State. </w:t>
      </w:r>
    </w:p>
    <w:p w14:paraId="72C493F3" w14:textId="77777777" w:rsidR="002768D1" w:rsidRPr="00083B11" w:rsidRDefault="003440A9" w:rsidP="005146D9">
      <w:pPr>
        <w:spacing w:before="120"/>
        <w:ind w:left="1134" w:right="1134"/>
        <w:jc w:val="both"/>
        <w:rPr>
          <w:lang w:val="en-US"/>
        </w:rPr>
      </w:pPr>
      <w:r>
        <w:rPr>
          <w:lang w:val="en-US"/>
        </w:rPr>
        <w:t>54</w:t>
      </w:r>
      <w:r w:rsidR="005146D9">
        <w:rPr>
          <w:lang w:val="en-US"/>
        </w:rPr>
        <w:t>.</w:t>
      </w:r>
      <w:r w:rsidR="00DF6645">
        <w:rPr>
          <w:lang w:val="en-US"/>
        </w:rPr>
        <w:tab/>
      </w:r>
      <w:r w:rsidR="002768D1" w:rsidRPr="00083B11">
        <w:rPr>
          <w:lang w:val="en-US"/>
        </w:rPr>
        <w:t xml:space="preserve">The centrality of territory in determining human rights obligations requires some nuancing. </w:t>
      </w:r>
      <w:r w:rsidR="002768D1">
        <w:rPr>
          <w:lang w:val="en-US"/>
        </w:rPr>
        <w:t>F</w:t>
      </w:r>
      <w:r w:rsidR="002768D1" w:rsidRPr="00083B11">
        <w:rPr>
          <w:lang w:val="en-US"/>
        </w:rPr>
        <w:t>irst, territorial control is an elusive concept, which does not say much in terms of how much territory, for how long, and what type of control is required.  On the ground, control over territories</w:t>
      </w:r>
      <w:r w:rsidR="002768D1">
        <w:rPr>
          <w:lang w:val="en-US"/>
        </w:rPr>
        <w:t>,</w:t>
      </w:r>
      <w:r w:rsidR="002768D1" w:rsidRPr="00083B11">
        <w:rPr>
          <w:lang w:val="en-US"/>
        </w:rPr>
        <w:t xml:space="preserve"> within the context of a NIAC or not, tends to shift and move. There is ample evidence highlighting dual, time-specific control, shared between ANSAs and the State. Some ANSAs exert control at night only; others exert control over certain aspects of the community life only while the State continues to govern others; etc.  </w:t>
      </w:r>
    </w:p>
    <w:p w14:paraId="7A6CCB08" w14:textId="77777777" w:rsidR="002768D1" w:rsidRPr="00083B11" w:rsidRDefault="003440A9" w:rsidP="005146D9">
      <w:pPr>
        <w:spacing w:before="120"/>
        <w:ind w:left="1134" w:right="1134"/>
        <w:jc w:val="both"/>
        <w:rPr>
          <w:lang w:val="en-US"/>
        </w:rPr>
      </w:pPr>
      <w:r>
        <w:rPr>
          <w:lang w:val="en-US"/>
        </w:rPr>
        <w:t>55</w:t>
      </w:r>
      <w:r w:rsidR="005146D9">
        <w:rPr>
          <w:lang w:val="en-US"/>
        </w:rPr>
        <w:t>.</w:t>
      </w:r>
      <w:r w:rsidR="00DF6645">
        <w:rPr>
          <w:lang w:val="en-US"/>
        </w:rPr>
        <w:tab/>
      </w:r>
      <w:r w:rsidR="002768D1" w:rsidRPr="00083B11">
        <w:rPr>
          <w:lang w:val="en-US"/>
        </w:rPr>
        <w:t xml:space="preserve">Second, at a normative level, human rights obligations </w:t>
      </w:r>
      <w:r w:rsidR="002768D1" w:rsidRPr="00083B11">
        <w:rPr>
          <w:lang w:val="en-US"/>
        </w:rPr>
        <w:lastRenderedPageBreak/>
        <w:t>are not only derived from a physical territory or implemented towards a given population. ANSAs with no or limited territorial control should still have some human rights obligations, particularly, but not exclusively, when the absence of territorial control is part of the ANSA strategy</w:t>
      </w:r>
      <w:r w:rsidR="009E679B">
        <w:rPr>
          <w:rStyle w:val="FootnoteReference"/>
          <w:lang w:val="en-US"/>
        </w:rPr>
        <w:footnoteReference w:id="71"/>
      </w:r>
      <w:r w:rsidR="002768D1" w:rsidRPr="00083B11">
        <w:rPr>
          <w:lang w:val="en-US"/>
        </w:rPr>
        <w:t xml:space="preserve">.  In fact, with regard to one particularly egregious form of human rights violation, that of crimes against humanity, the jurisprudence has clarified that the primary requirement for ANSAs is that they only need to demonstrate a </w:t>
      </w:r>
      <w:r w:rsidR="002768D1" w:rsidRPr="00C90828">
        <w:rPr>
          <w:lang w:val="en-US"/>
        </w:rPr>
        <w:t>capacity</w:t>
      </w:r>
      <w:r w:rsidR="002768D1" w:rsidRPr="00083B11">
        <w:rPr>
          <w:lang w:val="en-US"/>
        </w:rPr>
        <w:t xml:space="preserve"> to carry out an attack of the scale required by Article 7 of the Rome Statute.</w:t>
      </w:r>
      <w:r w:rsidR="00BB11A0">
        <w:rPr>
          <w:rStyle w:val="FootnoteReference"/>
          <w:lang w:val="en-US"/>
        </w:rPr>
        <w:footnoteReference w:id="72"/>
      </w:r>
      <w:r w:rsidR="002768D1" w:rsidRPr="00083B11">
        <w:rPr>
          <w:lang w:val="en-US"/>
        </w:rPr>
        <w:t xml:space="preserve"> In situations where an ANSA does not control territory, it remains bound by customary </w:t>
      </w:r>
      <w:r w:rsidR="002768D1">
        <w:rPr>
          <w:lang w:val="en-US"/>
        </w:rPr>
        <w:t>IHRL</w:t>
      </w:r>
      <w:r w:rsidR="002768D1" w:rsidRPr="00083B11">
        <w:rPr>
          <w:lang w:val="en-US"/>
        </w:rPr>
        <w:t xml:space="preserve">, by virtue of its functionality and </w:t>
      </w:r>
      <w:r w:rsidR="002768D1" w:rsidRPr="00083B11">
        <w:rPr>
          <w:lang w:val="en-US"/>
        </w:rPr>
        <w:lastRenderedPageBreak/>
        <w:t>provided it meets the organizational requirement.</w:t>
      </w:r>
      <w:r w:rsidR="00BB11A0">
        <w:rPr>
          <w:rStyle w:val="FootnoteReference"/>
          <w:lang w:val="en-US"/>
        </w:rPr>
        <w:footnoteReference w:id="73"/>
      </w:r>
      <w:r w:rsidR="002768D1" w:rsidRPr="00083B11">
        <w:rPr>
          <w:lang w:val="en-US"/>
        </w:rPr>
        <w:t xml:space="preserve"> </w:t>
      </w:r>
    </w:p>
    <w:p w14:paraId="3AB5F88E" w14:textId="77777777" w:rsidR="002768D1" w:rsidRPr="00083B11" w:rsidRDefault="003440A9" w:rsidP="005146D9">
      <w:pPr>
        <w:spacing w:before="120"/>
        <w:ind w:left="1134" w:right="1134"/>
        <w:jc w:val="both"/>
        <w:rPr>
          <w:lang w:val="en-US"/>
        </w:rPr>
      </w:pPr>
      <w:r>
        <w:rPr>
          <w:lang w:val="en-US"/>
        </w:rPr>
        <w:t>56</w:t>
      </w:r>
      <w:r w:rsidR="005146D9">
        <w:rPr>
          <w:lang w:val="en-US"/>
        </w:rPr>
        <w:t>.</w:t>
      </w:r>
      <w:r w:rsidR="00DF6645">
        <w:rPr>
          <w:lang w:val="en-US"/>
        </w:rPr>
        <w:tab/>
      </w:r>
      <w:r w:rsidR="002768D1" w:rsidRPr="00083B11">
        <w:rPr>
          <w:lang w:val="en-US"/>
        </w:rPr>
        <w:t xml:space="preserve">Thirdly, this report will recall the long history of the Mandate demonstrating that the prohibition against targeted killing constitutes an </w:t>
      </w:r>
      <w:r w:rsidR="002768D1" w:rsidRPr="00083B11">
        <w:rPr>
          <w:b/>
          <w:lang w:val="en-US"/>
        </w:rPr>
        <w:t>extraterritorial obligation</w:t>
      </w:r>
      <w:r w:rsidR="002768D1" w:rsidRPr="00083B11">
        <w:rPr>
          <w:lang w:val="en-US"/>
        </w:rPr>
        <w:t xml:space="preserve">. The Special Rapporteur will add that, to the extent that the prohibition against extrajudicial killings constitutes a </w:t>
      </w:r>
      <w:r w:rsidR="002768D1" w:rsidRPr="00083B11">
        <w:rPr>
          <w:i/>
          <w:lang w:val="en-US"/>
        </w:rPr>
        <w:t>jus cogen</w:t>
      </w:r>
      <w:r w:rsidR="002768D1">
        <w:rPr>
          <w:i/>
          <w:lang w:val="en-US"/>
        </w:rPr>
        <w:t>s</w:t>
      </w:r>
      <w:r w:rsidR="002768D1" w:rsidRPr="00083B11">
        <w:rPr>
          <w:lang w:val="en-US"/>
        </w:rPr>
        <w:t xml:space="preserve"> norm applicable to all ANSAs, it should be binding upon th</w:t>
      </w:r>
      <w:r w:rsidR="002768D1">
        <w:rPr>
          <w:lang w:val="en-US"/>
        </w:rPr>
        <w:t>em extra-territorially as well.</w:t>
      </w:r>
      <w:r w:rsidR="002768D1" w:rsidRPr="00083B11">
        <w:rPr>
          <w:lang w:val="en-US"/>
        </w:rPr>
        <w:t xml:space="preserve"> The notion that ISI</w:t>
      </w:r>
      <w:r w:rsidR="002768D1">
        <w:rPr>
          <w:lang w:val="en-US"/>
        </w:rPr>
        <w:t>L</w:t>
      </w:r>
      <w:r w:rsidR="002768D1" w:rsidRPr="00083B11">
        <w:rPr>
          <w:lang w:val="en-US"/>
        </w:rPr>
        <w:t xml:space="preserve"> may have committed a human rights violation when it targeted civilians in Iraq but did not do when it engaged in the same acts in France or Pakistan is untenable. </w:t>
      </w:r>
    </w:p>
    <w:p w14:paraId="720D22CB" w14:textId="77777777" w:rsidR="002768D1" w:rsidRPr="00083B11" w:rsidRDefault="003440A9" w:rsidP="005146D9">
      <w:pPr>
        <w:spacing w:before="120"/>
        <w:ind w:left="1134" w:right="1134"/>
        <w:jc w:val="both"/>
        <w:rPr>
          <w:lang w:val="en-US"/>
        </w:rPr>
      </w:pPr>
      <w:r>
        <w:rPr>
          <w:lang w:val="en-US"/>
        </w:rPr>
        <w:t>57</w:t>
      </w:r>
      <w:r w:rsidR="005146D9">
        <w:rPr>
          <w:lang w:val="en-US"/>
        </w:rPr>
        <w:t>.</w:t>
      </w:r>
      <w:r w:rsidR="00DF6645">
        <w:rPr>
          <w:lang w:val="en-US"/>
        </w:rPr>
        <w:tab/>
      </w:r>
      <w:r w:rsidR="002768D1" w:rsidRPr="00083B11">
        <w:rPr>
          <w:lang w:val="en-US"/>
        </w:rPr>
        <w:t>Finally, so-called “cyber</w:t>
      </w:r>
      <w:r w:rsidR="002768D1">
        <w:rPr>
          <w:lang w:val="en-US"/>
        </w:rPr>
        <w:t>-</w:t>
      </w:r>
      <w:r w:rsidR="002768D1" w:rsidRPr="00083B11">
        <w:rPr>
          <w:lang w:val="en-US"/>
        </w:rPr>
        <w:t>attacks”, including by ANSAs, may violate a range of human right</w:t>
      </w:r>
      <w:r w:rsidR="002768D1">
        <w:rPr>
          <w:lang w:val="en-US"/>
        </w:rPr>
        <w:t>s, including the right to life.</w:t>
      </w:r>
      <w:r w:rsidR="002768D1" w:rsidRPr="00083B11">
        <w:rPr>
          <w:lang w:val="en-US"/>
        </w:rPr>
        <w:t xml:space="preserve"> Such attacks should not be outside the scope of the </w:t>
      </w:r>
      <w:r w:rsidR="002768D1" w:rsidRPr="00083B11">
        <w:rPr>
          <w:lang w:val="en-US"/>
        </w:rPr>
        <w:lastRenderedPageBreak/>
        <w:t>obligations imposed on ANSA</w:t>
      </w:r>
      <w:r w:rsidR="002768D1">
        <w:rPr>
          <w:lang w:val="en-US"/>
        </w:rPr>
        <w:t>s</w:t>
      </w:r>
      <w:r w:rsidR="002768D1" w:rsidRPr="00083B11">
        <w:rPr>
          <w:lang w:val="en-US"/>
        </w:rPr>
        <w:t xml:space="preserve"> simply because of their occurring in a different space, and because they have been initiated </w:t>
      </w:r>
      <w:r w:rsidR="002768D1">
        <w:rPr>
          <w:lang w:val="en-US"/>
        </w:rPr>
        <w:t xml:space="preserve">by them, but </w:t>
      </w:r>
      <w:r w:rsidR="002768D1" w:rsidRPr="00083B11">
        <w:rPr>
          <w:lang w:val="en-US"/>
        </w:rPr>
        <w:t xml:space="preserve">out of territories </w:t>
      </w:r>
      <w:r w:rsidR="002768D1">
        <w:rPr>
          <w:lang w:val="en-US"/>
        </w:rPr>
        <w:t xml:space="preserve">they do not </w:t>
      </w:r>
      <w:r w:rsidR="002768D1" w:rsidRPr="00083B11">
        <w:rPr>
          <w:lang w:val="en-US"/>
        </w:rPr>
        <w:t xml:space="preserve">control. </w:t>
      </w:r>
    </w:p>
    <w:p w14:paraId="7CFCC353" w14:textId="77777777" w:rsidR="002768D1" w:rsidRPr="00083B11" w:rsidRDefault="003440A9" w:rsidP="005146D9">
      <w:pPr>
        <w:spacing w:before="120"/>
        <w:ind w:left="1134" w:right="1134"/>
        <w:jc w:val="both"/>
        <w:rPr>
          <w:lang w:val="en-US"/>
        </w:rPr>
      </w:pPr>
      <w:r>
        <w:rPr>
          <w:lang w:val="en-US"/>
        </w:rPr>
        <w:t>58</w:t>
      </w:r>
      <w:r w:rsidR="005146D9">
        <w:rPr>
          <w:lang w:val="en-US"/>
        </w:rPr>
        <w:t>.</w:t>
      </w:r>
      <w:r w:rsidR="00DF6645">
        <w:rPr>
          <w:lang w:val="en-US"/>
        </w:rPr>
        <w:tab/>
      </w:r>
      <w:r w:rsidR="002768D1" w:rsidRPr="00083B11">
        <w:rPr>
          <w:lang w:val="en-US"/>
        </w:rPr>
        <w:t>Altogether, this suggests that the concept of control be interpreted in a flexible manner:</w:t>
      </w:r>
      <w:r w:rsidR="002768D1" w:rsidRPr="00083B11">
        <w:rPr>
          <w:i/>
          <w:lang w:val="en-US"/>
        </w:rPr>
        <w:t xml:space="preserve"> “In this regard it is the activity made possible by the exercise of control, and not the precise contours of the control itself, that is determinative</w:t>
      </w:r>
      <w:r w:rsidR="002768D1" w:rsidRPr="00083B11">
        <w:rPr>
          <w:lang w:val="en-US"/>
        </w:rPr>
        <w:t>.</w:t>
      </w:r>
      <w:r w:rsidR="00BB11A0">
        <w:rPr>
          <w:rStyle w:val="FootnoteReference"/>
          <w:lang w:val="en-US"/>
        </w:rPr>
        <w:footnoteReference w:id="74"/>
      </w:r>
      <w:r w:rsidR="002768D1" w:rsidRPr="00083B11">
        <w:rPr>
          <w:lang w:val="en-US"/>
        </w:rPr>
        <w:t>”</w:t>
      </w:r>
      <w:r w:rsidR="002768D1">
        <w:rPr>
          <w:lang w:val="en-US"/>
        </w:rPr>
        <w:t xml:space="preserve"> </w:t>
      </w:r>
    </w:p>
    <w:p w14:paraId="07DE317B" w14:textId="77777777" w:rsidR="002768D1" w:rsidRPr="00553DC3" w:rsidRDefault="00C84BBC" w:rsidP="00C84BBC">
      <w:pPr>
        <w:pStyle w:val="H4G"/>
        <w:rPr>
          <w:lang w:val="en-US"/>
        </w:rPr>
      </w:pPr>
      <w:r>
        <w:rPr>
          <w:lang w:val="en-US"/>
        </w:rPr>
        <w:tab/>
      </w:r>
      <w:r w:rsidR="005146D9">
        <w:rPr>
          <w:lang w:val="en-US"/>
        </w:rPr>
        <w:t>1.2.</w:t>
      </w:r>
      <w:r>
        <w:rPr>
          <w:lang w:val="en-US"/>
        </w:rPr>
        <w:tab/>
      </w:r>
      <w:r w:rsidR="002768D1" w:rsidRPr="00553DC3">
        <w:rPr>
          <w:lang w:val="en-US"/>
        </w:rPr>
        <w:t>Organizational Requirement</w:t>
      </w:r>
    </w:p>
    <w:p w14:paraId="721CE591" w14:textId="77777777" w:rsidR="002768D1" w:rsidRPr="00083B11" w:rsidRDefault="00507BA0" w:rsidP="005146D9">
      <w:pPr>
        <w:pStyle w:val="H56G"/>
        <w:rPr>
          <w:lang w:val="en-US"/>
        </w:rPr>
      </w:pPr>
      <w:r>
        <w:rPr>
          <w:lang w:val="en-US"/>
        </w:rPr>
        <w:tab/>
      </w:r>
      <w:r w:rsidR="00E34448">
        <w:rPr>
          <w:lang w:val="en-US"/>
        </w:rPr>
        <w:t>a.</w:t>
      </w:r>
      <w:r>
        <w:rPr>
          <w:lang w:val="en-US"/>
        </w:rPr>
        <w:tab/>
      </w:r>
      <w:r w:rsidR="002768D1" w:rsidRPr="00083B11">
        <w:rPr>
          <w:lang w:val="en-US"/>
        </w:rPr>
        <w:t>ANSAs Governance Functions</w:t>
      </w:r>
    </w:p>
    <w:p w14:paraId="599FDA1E" w14:textId="77777777" w:rsidR="002768D1" w:rsidRPr="00083B11" w:rsidRDefault="003440A9" w:rsidP="00E34448">
      <w:pPr>
        <w:spacing w:before="120"/>
        <w:ind w:left="1134" w:right="1134"/>
        <w:jc w:val="both"/>
        <w:rPr>
          <w:lang w:val="en-US"/>
        </w:rPr>
      </w:pPr>
      <w:r>
        <w:rPr>
          <w:lang w:val="en-US"/>
        </w:rPr>
        <w:t>59</w:t>
      </w:r>
      <w:r w:rsidR="00E34448">
        <w:rPr>
          <w:lang w:val="en-US"/>
        </w:rPr>
        <w:t>.</w:t>
      </w:r>
      <w:r w:rsidR="00E67182">
        <w:rPr>
          <w:lang w:val="en-US"/>
        </w:rPr>
        <w:tab/>
      </w:r>
      <w:r w:rsidR="002768D1">
        <w:rPr>
          <w:lang w:val="en-US"/>
        </w:rPr>
        <w:t>International l</w:t>
      </w:r>
      <w:r w:rsidR="002768D1" w:rsidRPr="00083B11">
        <w:rPr>
          <w:lang w:val="en-US"/>
        </w:rPr>
        <w:t xml:space="preserve">aw and the literature have largely defined the </w:t>
      </w:r>
      <w:r w:rsidR="002768D1">
        <w:rPr>
          <w:lang w:val="en-US"/>
        </w:rPr>
        <w:t xml:space="preserve">indicators with regard to ANSAs level of organization </w:t>
      </w:r>
      <w:r w:rsidR="002768D1" w:rsidRPr="00083B11">
        <w:rPr>
          <w:lang w:val="en-US"/>
        </w:rPr>
        <w:t>in military-like terms</w:t>
      </w:r>
      <w:r w:rsidR="00BB11A0">
        <w:rPr>
          <w:rStyle w:val="FootnoteReference"/>
          <w:lang w:val="en-US"/>
        </w:rPr>
        <w:footnoteReference w:id="75"/>
      </w:r>
      <w:r w:rsidR="002768D1" w:rsidRPr="00083B11">
        <w:rPr>
          <w:lang w:val="en-US"/>
        </w:rPr>
        <w:t xml:space="preserve">. These, however, offer little in terms of </w:t>
      </w:r>
      <w:r w:rsidR="002768D1" w:rsidRPr="00083B11">
        <w:rPr>
          <w:lang w:val="en-US"/>
        </w:rPr>
        <w:lastRenderedPageBreak/>
        <w:t>determining whether they may su</w:t>
      </w:r>
      <w:r w:rsidR="002768D1">
        <w:rPr>
          <w:lang w:val="en-US"/>
        </w:rPr>
        <w:t>pport human rights obligations.</w:t>
      </w:r>
      <w:r w:rsidR="002768D1" w:rsidRPr="00083B11">
        <w:rPr>
          <w:lang w:val="en-US"/>
        </w:rPr>
        <w:t xml:space="preserve"> </w:t>
      </w:r>
      <w:r w:rsidR="002768D1">
        <w:rPr>
          <w:lang w:val="en-US"/>
        </w:rPr>
        <w:t>T</w:t>
      </w:r>
      <w:r w:rsidR="002768D1" w:rsidRPr="00083B11">
        <w:rPr>
          <w:lang w:val="en-US"/>
        </w:rPr>
        <w:t xml:space="preserve">he Special Rapporteur will suggest that </w:t>
      </w:r>
      <w:r w:rsidR="002768D1">
        <w:rPr>
          <w:lang w:val="en-US"/>
        </w:rPr>
        <w:t xml:space="preserve">organizational indicators should include a focus on </w:t>
      </w:r>
      <w:r w:rsidR="002768D1" w:rsidRPr="00083B11">
        <w:rPr>
          <w:lang w:val="en-US"/>
        </w:rPr>
        <w:t xml:space="preserve">ANSAs governance activities. </w:t>
      </w:r>
    </w:p>
    <w:p w14:paraId="647FA735" w14:textId="61149B97" w:rsidR="002768D1" w:rsidRPr="00083B11" w:rsidRDefault="003440A9" w:rsidP="00E34448">
      <w:pPr>
        <w:spacing w:before="120"/>
        <w:ind w:left="1134" w:right="1134"/>
        <w:jc w:val="both"/>
        <w:rPr>
          <w:lang w:val="en-US"/>
        </w:rPr>
      </w:pPr>
      <w:r>
        <w:rPr>
          <w:lang w:val="en-US"/>
        </w:rPr>
        <w:t>60</w:t>
      </w:r>
      <w:r w:rsidR="00E34448">
        <w:rPr>
          <w:lang w:val="en-US"/>
        </w:rPr>
        <w:t>.</w:t>
      </w:r>
      <w:r w:rsidR="00E67182">
        <w:rPr>
          <w:lang w:val="en-US"/>
        </w:rPr>
        <w:tab/>
      </w:r>
      <w:r w:rsidR="002768D1">
        <w:rPr>
          <w:lang w:val="en-US"/>
        </w:rPr>
        <w:t>I</w:t>
      </w:r>
      <w:r w:rsidR="002768D1" w:rsidRPr="00083B11">
        <w:rPr>
          <w:lang w:val="en-US"/>
        </w:rPr>
        <w:t>n 1965, the sociologist Bernard Fall noted: “</w:t>
      </w:r>
      <w:r w:rsidR="002768D1" w:rsidRPr="00083B11">
        <w:rPr>
          <w:i/>
          <w:lang w:val="en-US"/>
        </w:rPr>
        <w:t>A government that is losing to an insurgency isn’t being out-fought, it’s being out-governed</w:t>
      </w:r>
      <w:r w:rsidR="002768D1" w:rsidRPr="00083B11">
        <w:rPr>
          <w:lang w:val="en-US"/>
        </w:rPr>
        <w:t>.”</w:t>
      </w:r>
      <w:r w:rsidR="001F54C9">
        <w:rPr>
          <w:rStyle w:val="FootnoteReference"/>
          <w:lang w:val="en-US"/>
        </w:rPr>
        <w:footnoteReference w:id="76"/>
      </w:r>
      <w:r w:rsidR="002768D1" w:rsidRPr="00083B11">
        <w:rPr>
          <w:lang w:val="en-US"/>
        </w:rPr>
        <w:t xml:space="preserve"> Some twenty years later, studies after studies of rebel groups</w:t>
      </w:r>
      <w:r w:rsidR="001F54C9">
        <w:rPr>
          <w:rStyle w:val="FootnoteReference"/>
          <w:lang w:val="en-US"/>
        </w:rPr>
        <w:footnoteReference w:id="77"/>
      </w:r>
      <w:r w:rsidR="002768D1" w:rsidRPr="00083B11">
        <w:rPr>
          <w:lang w:val="en-US"/>
        </w:rPr>
        <w:t xml:space="preserve"> and, far more recently, of criminal organi</w:t>
      </w:r>
      <w:r w:rsidR="002768D1">
        <w:rPr>
          <w:lang w:val="en-US"/>
        </w:rPr>
        <w:t>z</w:t>
      </w:r>
      <w:r w:rsidR="002768D1" w:rsidRPr="00083B11">
        <w:rPr>
          <w:lang w:val="en-US"/>
        </w:rPr>
        <w:t>ations</w:t>
      </w:r>
      <w:r w:rsidR="001F54C9">
        <w:rPr>
          <w:rStyle w:val="FootnoteReference"/>
          <w:lang w:val="en-US"/>
        </w:rPr>
        <w:footnoteReference w:id="78"/>
      </w:r>
      <w:r w:rsidR="002768D1" w:rsidRPr="00083B11">
        <w:rPr>
          <w:lang w:val="en-US"/>
        </w:rPr>
        <w:t xml:space="preserve">, have provided </w:t>
      </w:r>
      <w:r w:rsidR="002768D1" w:rsidRPr="00083B11">
        <w:rPr>
          <w:lang w:val="en-US"/>
        </w:rPr>
        <w:lastRenderedPageBreak/>
        <w:t>further empirical evidence to his conclusion: the quality of (local) governance</w:t>
      </w:r>
      <w:r w:rsidR="002768D1">
        <w:rPr>
          <w:lang w:val="en-US"/>
        </w:rPr>
        <w:t xml:space="preserve">, including </w:t>
      </w:r>
      <w:r w:rsidR="002768D1" w:rsidRPr="00083B11">
        <w:rPr>
          <w:lang w:val="en-US"/>
        </w:rPr>
        <w:t xml:space="preserve">security and service provisions, </w:t>
      </w:r>
      <w:r w:rsidR="002768D1">
        <w:rPr>
          <w:lang w:val="en-US"/>
        </w:rPr>
        <w:t xml:space="preserve">and </w:t>
      </w:r>
      <w:r w:rsidR="002768D1" w:rsidRPr="00083B11">
        <w:rPr>
          <w:lang w:val="en-US"/>
        </w:rPr>
        <w:t>dispute resolution</w:t>
      </w:r>
      <w:r w:rsidR="001F54C9">
        <w:rPr>
          <w:rStyle w:val="FootnoteReference"/>
          <w:lang w:val="en-US"/>
        </w:rPr>
        <w:footnoteReference w:id="79"/>
      </w:r>
      <w:r w:rsidR="002768D1">
        <w:rPr>
          <w:lang w:val="en-US"/>
        </w:rPr>
        <w:t xml:space="preserve">, </w:t>
      </w:r>
      <w:r w:rsidR="002768D1" w:rsidRPr="00083B11">
        <w:rPr>
          <w:lang w:val="en-US"/>
        </w:rPr>
        <w:t>is a far greater determinant of rebels’ and criminals’ rise to local power, than state capacity to fight or control</w:t>
      </w:r>
      <w:r w:rsidR="002768D1">
        <w:rPr>
          <w:lang w:val="en-US"/>
        </w:rPr>
        <w:t xml:space="preserve">, </w:t>
      </w:r>
    </w:p>
    <w:p w14:paraId="103E9531" w14:textId="77777777" w:rsidR="002768D1" w:rsidRPr="00083B11" w:rsidRDefault="002768D1" w:rsidP="00E34448">
      <w:pPr>
        <w:spacing w:before="120"/>
        <w:ind w:left="1134" w:right="1134"/>
        <w:jc w:val="both"/>
        <w:rPr>
          <w:lang w:val="en-US"/>
        </w:rPr>
      </w:pPr>
      <w:r>
        <w:rPr>
          <w:lang w:val="en-US"/>
        </w:rPr>
        <w:t>6</w:t>
      </w:r>
      <w:r w:rsidR="003440A9">
        <w:rPr>
          <w:lang w:val="en-US"/>
        </w:rPr>
        <w:t>1</w:t>
      </w:r>
      <w:r w:rsidR="00E34448">
        <w:rPr>
          <w:lang w:val="en-US"/>
        </w:rPr>
        <w:t>.</w:t>
      </w:r>
      <w:r w:rsidR="00E67182">
        <w:rPr>
          <w:lang w:val="en-US"/>
        </w:rPr>
        <w:tab/>
      </w:r>
      <w:r w:rsidRPr="00083B11">
        <w:rPr>
          <w:lang w:val="en-US"/>
        </w:rPr>
        <w:t xml:space="preserve">ANSAs systems of governance vary enormously: some engage in diplomacy or external communication while others focus on their domestic audiences; some may seek to impose a radical, revolutionary system of governance and values, while others may rely on </w:t>
      </w:r>
      <w:r>
        <w:rPr>
          <w:lang w:val="en-US"/>
        </w:rPr>
        <w:t xml:space="preserve">existing </w:t>
      </w:r>
      <w:r w:rsidRPr="00083B11">
        <w:rPr>
          <w:lang w:val="en-US"/>
        </w:rPr>
        <w:t xml:space="preserve">social values and </w:t>
      </w:r>
      <w:r w:rsidRPr="00083B11">
        <w:rPr>
          <w:lang w:val="en-US"/>
        </w:rPr>
        <w:lastRenderedPageBreak/>
        <w:t xml:space="preserve">institutions; </w:t>
      </w:r>
      <w:r>
        <w:rPr>
          <w:lang w:val="en-US"/>
        </w:rPr>
        <w:t>s</w:t>
      </w:r>
      <w:r w:rsidRPr="00083B11">
        <w:rPr>
          <w:lang w:val="en-US"/>
        </w:rPr>
        <w:t xml:space="preserve">ome may seek to address grievances and historical injustice, while others may largely be driven by greed. ANSAs </w:t>
      </w:r>
      <w:r>
        <w:rPr>
          <w:lang w:val="en-US"/>
        </w:rPr>
        <w:t xml:space="preserve">may </w:t>
      </w:r>
      <w:r w:rsidRPr="00083B11">
        <w:rPr>
          <w:lang w:val="en-US"/>
        </w:rPr>
        <w:t>govern through lawlessness, uncertainty and fear</w:t>
      </w:r>
      <w:r>
        <w:rPr>
          <w:lang w:val="en-US"/>
        </w:rPr>
        <w:t xml:space="preserve">, but most </w:t>
      </w:r>
      <w:r w:rsidRPr="00083B11">
        <w:rPr>
          <w:lang w:val="en-US"/>
        </w:rPr>
        <w:t>engag</w:t>
      </w:r>
      <w:r>
        <w:rPr>
          <w:lang w:val="en-US"/>
        </w:rPr>
        <w:t>e</w:t>
      </w:r>
      <w:r w:rsidRPr="00083B11">
        <w:rPr>
          <w:lang w:val="en-US"/>
        </w:rPr>
        <w:t xml:space="preserve"> </w:t>
      </w:r>
      <w:r>
        <w:rPr>
          <w:lang w:val="en-US"/>
        </w:rPr>
        <w:t xml:space="preserve">also and </w:t>
      </w:r>
      <w:r w:rsidRPr="00083B11">
        <w:rPr>
          <w:lang w:val="en-US"/>
        </w:rPr>
        <w:t>frequently in promulgation of rules and in their implementation, including through dispute-resolution mechanisms and quasi-law-enforcement functions.</w:t>
      </w:r>
      <w:r w:rsidR="001F54C9">
        <w:rPr>
          <w:rStyle w:val="FootnoteReference"/>
          <w:lang w:val="en-US"/>
        </w:rPr>
        <w:footnoteReference w:id="80"/>
      </w:r>
      <w:r w:rsidRPr="00083B11">
        <w:rPr>
          <w:lang w:val="en-US"/>
        </w:rPr>
        <w:t xml:space="preserve"> </w:t>
      </w:r>
    </w:p>
    <w:p w14:paraId="4BEE32B8" w14:textId="6EA1E903" w:rsidR="002768D1" w:rsidRPr="00083B11" w:rsidRDefault="003440A9" w:rsidP="00E34448">
      <w:pPr>
        <w:spacing w:before="120"/>
        <w:ind w:left="1134" w:right="1134"/>
        <w:jc w:val="both"/>
        <w:rPr>
          <w:lang w:val="en-US"/>
        </w:rPr>
      </w:pPr>
      <w:r>
        <w:rPr>
          <w:lang w:val="en-US"/>
        </w:rPr>
        <w:t>62</w:t>
      </w:r>
      <w:r w:rsidR="00E34448">
        <w:rPr>
          <w:lang w:val="en-US"/>
        </w:rPr>
        <w:t>.</w:t>
      </w:r>
      <w:r w:rsidR="00E67182">
        <w:rPr>
          <w:lang w:val="en-US"/>
        </w:rPr>
        <w:tab/>
      </w:r>
      <w:r w:rsidR="002768D1" w:rsidRPr="00083B11">
        <w:rPr>
          <w:lang w:val="en-US"/>
        </w:rPr>
        <w:t>The reality of ANSA governance particularly well demonstrates the importance of IHRL both in situations in the margins of a NIAC and in situations of unconventional violence. Empirical evidence shows that the ability of ANSAs to establish and maintain their “control” is largely grounded on their capacities to “outperform” the State or to impose their own governance systems by force and fear</w:t>
      </w:r>
      <w:r w:rsidR="002768D1">
        <w:rPr>
          <w:lang w:val="en-US"/>
        </w:rPr>
        <w:t xml:space="preserve">, </w:t>
      </w:r>
      <w:r w:rsidR="002768D1" w:rsidRPr="00083B11">
        <w:rPr>
          <w:lang w:val="en-US"/>
        </w:rPr>
        <w:t>or a combination of both</w:t>
      </w:r>
      <w:r w:rsidR="002768D1">
        <w:rPr>
          <w:lang w:val="en-US"/>
        </w:rPr>
        <w:t xml:space="preserve">. </w:t>
      </w:r>
      <w:r w:rsidR="002768D1" w:rsidRPr="00083B11">
        <w:rPr>
          <w:lang w:val="en-US"/>
        </w:rPr>
        <w:t xml:space="preserve">It suggests that States’ responses to such situations should include a </w:t>
      </w:r>
      <w:r w:rsidR="002768D1" w:rsidRPr="00083B11">
        <w:rPr>
          <w:lang w:val="en-US"/>
        </w:rPr>
        <w:lastRenderedPageBreak/>
        <w:t>strong focus on the provision of goods, services, dispute resolution mechanisms and safety, as these are key to eliciting civilian collaboration. It points to the necessity of understanding ANSA</w:t>
      </w:r>
      <w:r w:rsidR="004024C5">
        <w:rPr>
          <w:lang w:val="en-US"/>
        </w:rPr>
        <w:t>s</w:t>
      </w:r>
      <w:r w:rsidR="002768D1" w:rsidRPr="00083B11">
        <w:rPr>
          <w:lang w:val="en-US"/>
        </w:rPr>
        <w:t xml:space="preserve"> governance</w:t>
      </w:r>
      <w:r w:rsidR="002768D1">
        <w:rPr>
          <w:lang w:val="en-US"/>
        </w:rPr>
        <w:t xml:space="preserve"> and developing indicators</w:t>
      </w:r>
      <w:r w:rsidR="002768D1" w:rsidRPr="00083B11">
        <w:rPr>
          <w:lang w:val="en-US"/>
        </w:rPr>
        <w:t xml:space="preserve"> for the purpose of human rights protection, engagement and accountability. </w:t>
      </w:r>
    </w:p>
    <w:p w14:paraId="0C1CA659" w14:textId="298B39EE" w:rsidR="002768D1" w:rsidRPr="00083B11" w:rsidRDefault="00507BA0" w:rsidP="005146D9">
      <w:pPr>
        <w:pStyle w:val="H56G"/>
        <w:rPr>
          <w:lang w:val="en-US"/>
        </w:rPr>
      </w:pPr>
      <w:r>
        <w:rPr>
          <w:lang w:val="en-US"/>
        </w:rPr>
        <w:tab/>
      </w:r>
      <w:r w:rsidR="00E34448">
        <w:rPr>
          <w:lang w:val="en-US"/>
        </w:rPr>
        <w:t>b.</w:t>
      </w:r>
      <w:r>
        <w:rPr>
          <w:lang w:val="en-US"/>
        </w:rPr>
        <w:tab/>
      </w:r>
      <w:r w:rsidR="002768D1" w:rsidRPr="00083B11">
        <w:rPr>
          <w:lang w:val="en-US"/>
        </w:rPr>
        <w:t>The political character of ANSA</w:t>
      </w:r>
      <w:r w:rsidR="004024C5">
        <w:rPr>
          <w:lang w:val="en-US"/>
        </w:rPr>
        <w:t>s</w:t>
      </w:r>
    </w:p>
    <w:p w14:paraId="42264E38" w14:textId="54750D47" w:rsidR="002768D1" w:rsidRPr="00083B11" w:rsidRDefault="00EC74A8" w:rsidP="00E34448">
      <w:pPr>
        <w:spacing w:before="120"/>
        <w:ind w:left="1134" w:right="1134"/>
        <w:jc w:val="both"/>
        <w:rPr>
          <w:lang w:val="en-US"/>
        </w:rPr>
      </w:pPr>
      <w:r>
        <w:rPr>
          <w:lang w:val="en-US"/>
        </w:rPr>
        <w:t>63</w:t>
      </w:r>
      <w:r w:rsidR="00E34448">
        <w:rPr>
          <w:lang w:val="en-US"/>
        </w:rPr>
        <w:t>.</w:t>
      </w:r>
      <w:r w:rsidR="00E67182">
        <w:rPr>
          <w:lang w:val="en-US"/>
        </w:rPr>
        <w:tab/>
      </w:r>
      <w:r w:rsidR="002768D1" w:rsidRPr="00083B11">
        <w:rPr>
          <w:lang w:val="en-US"/>
        </w:rPr>
        <w:t xml:space="preserve">Studies of modern warfare and organized violence have also indicated a “blurring of the distinction between war (which is defined as violence between states or organized political groups for political moves), organized crime (violence undertaken by privately organized groups for private purposes), and large-scale violations of human rights (violence undertaken by states or politically-organized groups or other groups against </w:t>
      </w:r>
      <w:r w:rsidR="002768D1" w:rsidRPr="00083B11">
        <w:rPr>
          <w:lang w:val="en-US"/>
        </w:rPr>
        <w:lastRenderedPageBreak/>
        <w:t>individuals).”</w:t>
      </w:r>
      <w:bookmarkStart w:id="8" w:name="_Ref505880438"/>
      <w:r w:rsidR="001F54C9">
        <w:rPr>
          <w:rStyle w:val="FootnoteReference"/>
          <w:lang w:val="en-US"/>
        </w:rPr>
        <w:footnoteReference w:id="81"/>
      </w:r>
      <w:bookmarkEnd w:id="8"/>
      <w:r w:rsidR="002768D1" w:rsidRPr="00083B11">
        <w:rPr>
          <w:lang w:val="en-US"/>
        </w:rPr>
        <w:t xml:space="preserve">  They also point to a blurring of ANSA</w:t>
      </w:r>
      <w:r w:rsidR="004024C5">
        <w:rPr>
          <w:lang w:val="en-US"/>
        </w:rPr>
        <w:t>s</w:t>
      </w:r>
      <w:r w:rsidR="002768D1" w:rsidRPr="00083B11">
        <w:rPr>
          <w:lang w:val="en-US"/>
        </w:rPr>
        <w:t xml:space="preserve"> key motivations and modus operandi, with the political and the criminal intersecting in more ways than one.  </w:t>
      </w:r>
    </w:p>
    <w:p w14:paraId="5293826D" w14:textId="77777777" w:rsidR="002768D1" w:rsidRDefault="00EC74A8" w:rsidP="00E34448">
      <w:pPr>
        <w:spacing w:before="120"/>
        <w:ind w:left="1134" w:right="1134"/>
        <w:jc w:val="both"/>
        <w:rPr>
          <w:lang w:val="en-US"/>
        </w:rPr>
      </w:pPr>
      <w:r>
        <w:rPr>
          <w:lang w:val="en-US"/>
        </w:rPr>
        <w:t>64</w:t>
      </w:r>
      <w:r w:rsidR="00E34448">
        <w:rPr>
          <w:lang w:val="en-US"/>
        </w:rPr>
        <w:t>.</w:t>
      </w:r>
      <w:r w:rsidR="00E67182">
        <w:rPr>
          <w:lang w:val="en-US"/>
        </w:rPr>
        <w:tab/>
      </w:r>
      <w:r w:rsidR="002768D1">
        <w:rPr>
          <w:lang w:val="en-US"/>
        </w:rPr>
        <w:t xml:space="preserve">It should be first noted that </w:t>
      </w:r>
      <w:r w:rsidR="002768D1" w:rsidRPr="00083B11">
        <w:rPr>
          <w:lang w:val="en-US"/>
        </w:rPr>
        <w:t xml:space="preserve">the terms used by Governments to refer to ANSAs on their territories or outside have no bearings on the international law in effect or on the attribution of human rights obligations. A group can be both an organized armed group for the purposes of </w:t>
      </w:r>
      <w:r w:rsidR="002768D1">
        <w:rPr>
          <w:lang w:val="en-US"/>
        </w:rPr>
        <w:t>IHL</w:t>
      </w:r>
      <w:r w:rsidR="002768D1" w:rsidRPr="00083B11">
        <w:rPr>
          <w:lang w:val="en-US"/>
        </w:rPr>
        <w:t xml:space="preserve">, </w:t>
      </w:r>
      <w:r w:rsidR="002768D1">
        <w:rPr>
          <w:lang w:val="en-US"/>
        </w:rPr>
        <w:t xml:space="preserve">IHRL or </w:t>
      </w:r>
      <w:r w:rsidR="002768D1" w:rsidRPr="00083B11">
        <w:rPr>
          <w:lang w:val="en-US"/>
        </w:rPr>
        <w:t>criminal law as well as a terrorist group or a criminal organization for the purposes of domestic law or international listing.  This is true as well for individual members of such groups.</w:t>
      </w:r>
      <w:r w:rsidR="001F54C9">
        <w:rPr>
          <w:rStyle w:val="FootnoteReference"/>
          <w:lang w:val="en-US"/>
        </w:rPr>
        <w:footnoteReference w:id="82"/>
      </w:r>
    </w:p>
    <w:p w14:paraId="7FFF5F65" w14:textId="450C00DD" w:rsidR="002768D1" w:rsidRDefault="00EC74A8" w:rsidP="00E34448">
      <w:pPr>
        <w:spacing w:before="120"/>
        <w:ind w:left="1134" w:right="1134"/>
        <w:jc w:val="both"/>
        <w:rPr>
          <w:lang w:val="en-US"/>
        </w:rPr>
      </w:pPr>
      <w:r>
        <w:rPr>
          <w:lang w:val="en-US"/>
        </w:rPr>
        <w:lastRenderedPageBreak/>
        <w:t>65</w:t>
      </w:r>
      <w:r w:rsidR="00E34448">
        <w:rPr>
          <w:lang w:val="en-US"/>
        </w:rPr>
        <w:t>.</w:t>
      </w:r>
      <w:r w:rsidR="00E67182">
        <w:rPr>
          <w:lang w:val="en-US"/>
        </w:rPr>
        <w:tab/>
      </w:r>
      <w:r w:rsidR="002768D1" w:rsidRPr="00083B11">
        <w:rPr>
          <w:lang w:val="en-US"/>
        </w:rPr>
        <w:t>Under IHL, the motive behind ANSA</w:t>
      </w:r>
      <w:r w:rsidR="002768D1">
        <w:rPr>
          <w:lang w:val="en-US"/>
        </w:rPr>
        <w:t>s</w:t>
      </w:r>
      <w:r w:rsidR="002768D1" w:rsidRPr="00083B11">
        <w:rPr>
          <w:lang w:val="en-US"/>
        </w:rPr>
        <w:t xml:space="preserve"> actions is not an element of the test for a </w:t>
      </w:r>
      <w:r w:rsidR="002768D1">
        <w:rPr>
          <w:lang w:val="en-US"/>
        </w:rPr>
        <w:t>NIAC</w:t>
      </w:r>
      <w:r w:rsidR="002768D1" w:rsidRPr="00083B11">
        <w:rPr>
          <w:lang w:val="en-US"/>
        </w:rPr>
        <w:t xml:space="preserve"> nor is it a part of the overall assessment’</w:t>
      </w:r>
      <w:r w:rsidR="00391C70">
        <w:rPr>
          <w:lang w:val="en-US"/>
        </w:rPr>
        <w:t>.</w:t>
      </w:r>
      <w:r w:rsidR="002E71A2">
        <w:rPr>
          <w:rStyle w:val="FootnoteReference"/>
          <w:lang w:val="en-US"/>
        </w:rPr>
        <w:footnoteReference w:id="83"/>
      </w:r>
      <w:r w:rsidR="002768D1" w:rsidRPr="00083B11">
        <w:rPr>
          <w:lang w:val="en-US"/>
        </w:rPr>
        <w:t xml:space="preserve"> </w:t>
      </w:r>
      <w:r w:rsidR="002768D1">
        <w:rPr>
          <w:lang w:val="en-US"/>
        </w:rPr>
        <w:t xml:space="preserve"> </w:t>
      </w:r>
      <w:r w:rsidR="002768D1" w:rsidRPr="00083B11">
        <w:rPr>
          <w:lang w:val="en-US"/>
        </w:rPr>
        <w:t>The question is whether it is relevant in terms of determining the nature and scope of human rights obligations imposed on ANSA</w:t>
      </w:r>
      <w:r w:rsidR="00391C70">
        <w:rPr>
          <w:lang w:val="en-US"/>
        </w:rPr>
        <w:t>s</w:t>
      </w:r>
      <w:r w:rsidR="002768D1">
        <w:rPr>
          <w:lang w:val="en-US"/>
        </w:rPr>
        <w:t>.</w:t>
      </w:r>
      <w:r w:rsidR="002768D1" w:rsidRPr="00083B11">
        <w:rPr>
          <w:lang w:val="en-US"/>
        </w:rPr>
        <w:t xml:space="preserve"> As pointed out, </w:t>
      </w:r>
      <w:r w:rsidR="002768D1">
        <w:rPr>
          <w:lang w:val="en-US"/>
        </w:rPr>
        <w:t xml:space="preserve">a </w:t>
      </w:r>
      <w:r w:rsidR="002768D1" w:rsidRPr="00083B11">
        <w:rPr>
          <w:lang w:val="en-US"/>
        </w:rPr>
        <w:t xml:space="preserve">single ANSA may have a spectrum of motives and modus operandi over its existence. </w:t>
      </w:r>
      <w:r w:rsidR="002768D1">
        <w:rPr>
          <w:lang w:val="en-US"/>
        </w:rPr>
        <w:t xml:space="preserve">From a human rights point of view, the </w:t>
      </w:r>
      <w:r w:rsidR="002768D1" w:rsidRPr="00083B11">
        <w:rPr>
          <w:lang w:val="en-US"/>
        </w:rPr>
        <w:t xml:space="preserve">key issue is not </w:t>
      </w:r>
      <w:r w:rsidR="002768D1" w:rsidRPr="00083B11">
        <w:rPr>
          <w:i/>
          <w:lang w:val="en-US"/>
        </w:rPr>
        <w:t>why</w:t>
      </w:r>
      <w:r w:rsidR="002768D1" w:rsidRPr="00083B11">
        <w:rPr>
          <w:lang w:val="en-US"/>
        </w:rPr>
        <w:t xml:space="preserve"> ANSAs are presiding over people’s lives but the fact that they are. The ANSAs</w:t>
      </w:r>
      <w:r w:rsidR="002768D1">
        <w:rPr>
          <w:lang w:val="en-US"/>
        </w:rPr>
        <w:t>’</w:t>
      </w:r>
      <w:r w:rsidR="002768D1" w:rsidRPr="00083B11">
        <w:rPr>
          <w:lang w:val="en-US"/>
        </w:rPr>
        <w:t xml:space="preserve"> relationship with communities and individuals is defined by the functions that </w:t>
      </w:r>
      <w:r w:rsidR="002768D1">
        <w:rPr>
          <w:lang w:val="en-US"/>
        </w:rPr>
        <w:t>they</w:t>
      </w:r>
      <w:r w:rsidR="002768D1" w:rsidRPr="00083B11">
        <w:rPr>
          <w:lang w:val="en-US"/>
        </w:rPr>
        <w:t xml:space="preserve"> perform or ought to perform,</w:t>
      </w:r>
      <w:r w:rsidR="002768D1">
        <w:rPr>
          <w:lang w:val="en-US"/>
        </w:rPr>
        <w:t xml:space="preserve"> </w:t>
      </w:r>
      <w:r w:rsidR="002768D1" w:rsidRPr="00083B11">
        <w:rPr>
          <w:lang w:val="en-US"/>
        </w:rPr>
        <w:t xml:space="preserve">rather than by their intent. Still, motivations may matter, for instance in terms of assessing ANSAs willingness to respect human rights or the nature of ANSAs governance functions. As such, the Special Rapporteur is suggesting that </w:t>
      </w:r>
      <w:r w:rsidR="002768D1" w:rsidRPr="00083B11">
        <w:rPr>
          <w:lang w:val="en-US"/>
        </w:rPr>
        <w:lastRenderedPageBreak/>
        <w:t>while a particular motive is not a pre-requisite for human rights obligation, it is part of the overall assessment to be made</w:t>
      </w:r>
      <w:r w:rsidR="00391C70">
        <w:rPr>
          <w:lang w:val="en-US"/>
        </w:rPr>
        <w:t xml:space="preserve"> of ANSAs governance</w:t>
      </w:r>
      <w:r w:rsidR="002768D1" w:rsidRPr="00083B11">
        <w:rPr>
          <w:lang w:val="en-US"/>
        </w:rPr>
        <w:t>.</w:t>
      </w:r>
    </w:p>
    <w:p w14:paraId="02FB90B1" w14:textId="2DC556B2" w:rsidR="002768D1" w:rsidRPr="00E34448" w:rsidRDefault="00EC74A8" w:rsidP="00E34448">
      <w:pPr>
        <w:spacing w:before="120"/>
        <w:ind w:left="1134" w:right="1134"/>
        <w:jc w:val="both"/>
      </w:pPr>
      <w:r w:rsidRPr="00EC74A8">
        <w:t>66</w:t>
      </w:r>
      <w:r w:rsidR="002768D1" w:rsidRPr="00EC74A8">
        <w:t>.</w:t>
      </w:r>
      <w:r w:rsidR="00E67182">
        <w:rPr>
          <w:b/>
        </w:rPr>
        <w:tab/>
      </w:r>
      <w:r w:rsidR="002768D1" w:rsidRPr="00E34448">
        <w:t>There is no evidence that the recognition of ANSAs as subjects of IHL, or the UNSC, UNGA or UNHRC resolutions regarding ANSA</w:t>
      </w:r>
      <w:r w:rsidR="00391C70">
        <w:t>s</w:t>
      </w:r>
      <w:r w:rsidR="002768D1" w:rsidRPr="00E34448">
        <w:t xml:space="preserve"> have resu</w:t>
      </w:r>
      <w:r w:rsidR="00391C70">
        <w:t xml:space="preserve">lted into their legitimization, or that it has limited </w:t>
      </w:r>
      <w:r w:rsidR="002768D1" w:rsidRPr="00E34448">
        <w:t>Governments’ right to respond to armed conflicts, rebellions or violence using all lawful means. When ANSAs legitimization occurs, it is not because of international legal principles but for eminently political reasons, reflective of international, regional or domestic realities, and/or as part of peace-building processes.</w:t>
      </w:r>
    </w:p>
    <w:p w14:paraId="07EA9877" w14:textId="77777777" w:rsidR="002768D1" w:rsidRPr="00553DC3" w:rsidRDefault="00507BA0" w:rsidP="00507BA0">
      <w:pPr>
        <w:pStyle w:val="H23G"/>
        <w:rPr>
          <w:lang w:val="en-US"/>
        </w:rPr>
      </w:pPr>
      <w:r>
        <w:rPr>
          <w:lang w:val="en-US"/>
        </w:rPr>
        <w:tab/>
      </w:r>
      <w:r w:rsidR="005146D9">
        <w:rPr>
          <w:lang w:val="en-US"/>
        </w:rPr>
        <w:t>2.</w:t>
      </w:r>
      <w:r>
        <w:rPr>
          <w:lang w:val="en-US"/>
        </w:rPr>
        <w:tab/>
      </w:r>
      <w:r w:rsidR="002768D1" w:rsidRPr="00553DC3">
        <w:rPr>
          <w:lang w:val="en-US"/>
        </w:rPr>
        <w:t xml:space="preserve">A gradated approach applied to the Right to Life </w:t>
      </w:r>
    </w:p>
    <w:p w14:paraId="4DE7CF9E" w14:textId="77777777" w:rsidR="002768D1" w:rsidRPr="00083B11" w:rsidRDefault="00EC74A8" w:rsidP="00E67182">
      <w:pPr>
        <w:ind w:left="1134" w:right="1134"/>
        <w:jc w:val="both"/>
        <w:rPr>
          <w:lang w:val="en-US"/>
        </w:rPr>
      </w:pPr>
      <w:r>
        <w:rPr>
          <w:lang w:val="en-US"/>
        </w:rPr>
        <w:t>67</w:t>
      </w:r>
      <w:r w:rsidR="00E34448">
        <w:rPr>
          <w:lang w:val="en-US"/>
        </w:rPr>
        <w:t>.</w:t>
      </w:r>
      <w:r w:rsidR="00E67182">
        <w:rPr>
          <w:lang w:val="en-US"/>
        </w:rPr>
        <w:tab/>
      </w:r>
      <w:r w:rsidR="002768D1" w:rsidRPr="00083B11">
        <w:rPr>
          <w:lang w:val="en-US"/>
        </w:rPr>
        <w:t xml:space="preserve">International Jurisprudence, Special Procedures and Treaty Bodies have elaborated and strengthened the understanding of the content of the right to </w:t>
      </w:r>
      <w:r w:rsidR="002768D1" w:rsidRPr="00083B11">
        <w:rPr>
          <w:lang w:val="en-US"/>
        </w:rPr>
        <w:lastRenderedPageBreak/>
        <w:t xml:space="preserve">life, and of the prohibition against the arbitrary deprivation of life. </w:t>
      </w:r>
      <w:r w:rsidR="002768D1">
        <w:rPr>
          <w:lang w:val="en-US"/>
        </w:rPr>
        <w:t xml:space="preserve">They </w:t>
      </w:r>
      <w:r w:rsidR="002768D1" w:rsidRPr="00083B11">
        <w:rPr>
          <w:lang w:val="en-US"/>
        </w:rPr>
        <w:t xml:space="preserve">point to a right whose normative content and boundaries fluctuate and evolve rapidly, under the combined effects of technological, normative or judicial developments and breakthrough.  The prohibition against arbitrary deprivation of life covers a range of situations from targeted assassinations to killings in the private sphere, and death by </w:t>
      </w:r>
      <w:r w:rsidR="002768D1">
        <w:rPr>
          <w:lang w:val="en-US"/>
        </w:rPr>
        <w:t xml:space="preserve">neglect or </w:t>
      </w:r>
      <w:r w:rsidR="002768D1" w:rsidRPr="00083B11">
        <w:rPr>
          <w:lang w:val="en-US"/>
        </w:rPr>
        <w:t xml:space="preserve">omission. The Special Rapporteur will highlight here preliminary findings in terms of the Right to Life obligations that ought to be binding on ANSAs. </w:t>
      </w:r>
    </w:p>
    <w:p w14:paraId="5114CEAF" w14:textId="77777777" w:rsidR="002768D1" w:rsidRPr="00507BA0" w:rsidRDefault="00507BA0" w:rsidP="00507BA0">
      <w:pPr>
        <w:pStyle w:val="H56G"/>
        <w:rPr>
          <w:i/>
          <w:lang w:val="en-US"/>
        </w:rPr>
      </w:pPr>
      <w:r>
        <w:rPr>
          <w:lang w:val="en-US"/>
        </w:rPr>
        <w:tab/>
      </w:r>
      <w:r>
        <w:rPr>
          <w:lang w:val="en-US"/>
        </w:rPr>
        <w:tab/>
      </w:r>
      <w:r w:rsidR="002768D1" w:rsidRPr="00507BA0">
        <w:rPr>
          <w:i/>
          <w:lang w:val="en-US"/>
        </w:rPr>
        <w:t xml:space="preserve">The principle of non-discrimination </w:t>
      </w:r>
    </w:p>
    <w:p w14:paraId="2649E884" w14:textId="77777777" w:rsidR="002768D1" w:rsidRPr="00083B11" w:rsidRDefault="00EC74A8" w:rsidP="00AA33B0">
      <w:pPr>
        <w:ind w:left="1134" w:right="1134"/>
        <w:jc w:val="both"/>
        <w:rPr>
          <w:lang w:val="en-US"/>
        </w:rPr>
      </w:pPr>
      <w:r>
        <w:rPr>
          <w:lang w:val="en-US"/>
        </w:rPr>
        <w:t>68</w:t>
      </w:r>
      <w:r w:rsidR="00E34448">
        <w:rPr>
          <w:lang w:val="en-US"/>
        </w:rPr>
        <w:t>.</w:t>
      </w:r>
      <w:r w:rsidR="00AA33B0">
        <w:rPr>
          <w:lang w:val="en-US"/>
        </w:rPr>
        <w:tab/>
      </w:r>
      <w:r w:rsidR="002768D1" w:rsidRPr="00083B11">
        <w:rPr>
          <w:lang w:val="en-US"/>
        </w:rPr>
        <w:t xml:space="preserve">Central to human rights, it applies with particular force to the right to life. It ought to be binding on all ANSAs in all their various interactions with populations and individuals, including acts </w:t>
      </w:r>
      <w:r w:rsidR="002768D1">
        <w:rPr>
          <w:lang w:val="en-US"/>
        </w:rPr>
        <w:t>of</w:t>
      </w:r>
      <w:r w:rsidR="002768D1" w:rsidRPr="00083B11">
        <w:rPr>
          <w:lang w:val="en-US"/>
        </w:rPr>
        <w:t xml:space="preserve"> policing, law enforcement, dispute </w:t>
      </w:r>
      <w:r w:rsidR="002768D1" w:rsidRPr="00083B11">
        <w:rPr>
          <w:lang w:val="en-US"/>
        </w:rPr>
        <w:lastRenderedPageBreak/>
        <w:t xml:space="preserve">resolutions, etc.  This principle ought to apply in its full, including on the basis of ethnicity, tribe, race, religion, </w:t>
      </w:r>
      <w:r w:rsidR="002768D1">
        <w:rPr>
          <w:lang w:val="en-US"/>
        </w:rPr>
        <w:t xml:space="preserve">social group, </w:t>
      </w:r>
      <w:r w:rsidR="002768D1" w:rsidRPr="00083B11">
        <w:rPr>
          <w:lang w:val="en-US"/>
        </w:rPr>
        <w:t xml:space="preserve">gender and sexuality, to name some. </w:t>
      </w:r>
    </w:p>
    <w:p w14:paraId="7C69DABA" w14:textId="77777777" w:rsidR="002768D1" w:rsidRPr="00507BA0" w:rsidRDefault="00507BA0" w:rsidP="00507BA0">
      <w:pPr>
        <w:pStyle w:val="H56G"/>
        <w:rPr>
          <w:i/>
          <w:lang w:val="en-US"/>
        </w:rPr>
      </w:pPr>
      <w:r>
        <w:rPr>
          <w:lang w:val="en-US"/>
        </w:rPr>
        <w:tab/>
      </w:r>
      <w:r>
        <w:rPr>
          <w:lang w:val="en-US"/>
        </w:rPr>
        <w:tab/>
      </w:r>
      <w:r w:rsidR="002768D1" w:rsidRPr="00507BA0">
        <w:rPr>
          <w:i/>
          <w:lang w:val="en-US"/>
        </w:rPr>
        <w:t>Obligation to Respect</w:t>
      </w:r>
    </w:p>
    <w:p w14:paraId="03F91C6B" w14:textId="77777777" w:rsidR="002768D1" w:rsidRPr="00083B11" w:rsidRDefault="00EC74A8" w:rsidP="00E34448">
      <w:pPr>
        <w:spacing w:before="120"/>
        <w:ind w:left="1134" w:right="1134"/>
        <w:jc w:val="both"/>
        <w:rPr>
          <w:lang w:val="en-US"/>
        </w:rPr>
      </w:pPr>
      <w:r>
        <w:rPr>
          <w:lang w:val="en-US"/>
        </w:rPr>
        <w:t>69</w:t>
      </w:r>
      <w:r w:rsidR="00E34448">
        <w:rPr>
          <w:lang w:val="en-US"/>
        </w:rPr>
        <w:t>.</w:t>
      </w:r>
      <w:r w:rsidR="00AA33B0">
        <w:rPr>
          <w:lang w:val="en-US"/>
        </w:rPr>
        <w:tab/>
      </w:r>
      <w:r w:rsidR="002768D1" w:rsidRPr="00083B11">
        <w:rPr>
          <w:lang w:val="en-US"/>
        </w:rPr>
        <w:t>Th</w:t>
      </w:r>
      <w:r w:rsidR="002768D1">
        <w:rPr>
          <w:lang w:val="en-US"/>
        </w:rPr>
        <w:t xml:space="preserve">is </w:t>
      </w:r>
      <w:r w:rsidR="002768D1" w:rsidRPr="00083B11">
        <w:rPr>
          <w:lang w:val="en-US"/>
        </w:rPr>
        <w:t xml:space="preserve">is primarily </w:t>
      </w:r>
      <w:r w:rsidR="002768D1">
        <w:rPr>
          <w:lang w:val="en-US"/>
        </w:rPr>
        <w:t xml:space="preserve">a </w:t>
      </w:r>
      <w:r w:rsidR="002768D1" w:rsidRPr="00083B11">
        <w:rPr>
          <w:lang w:val="en-US"/>
        </w:rPr>
        <w:t>negative obligation, which require</w:t>
      </w:r>
      <w:r w:rsidR="002768D1">
        <w:rPr>
          <w:lang w:val="en-US"/>
        </w:rPr>
        <w:t>s</w:t>
      </w:r>
      <w:r w:rsidR="002768D1" w:rsidRPr="00083B11">
        <w:rPr>
          <w:lang w:val="en-US"/>
        </w:rPr>
        <w:t xml:space="preserve"> that armed groups do not violate individuals’ right to life.  </w:t>
      </w:r>
      <w:r w:rsidR="002768D1">
        <w:rPr>
          <w:lang w:val="en-US"/>
        </w:rPr>
        <w:t>T</w:t>
      </w:r>
      <w:r w:rsidR="002768D1" w:rsidRPr="00083B11">
        <w:rPr>
          <w:lang w:val="en-US"/>
        </w:rPr>
        <w:t>he absolute prohibition against extrajudicial executions applies to all ANSAs in all situations.</w:t>
      </w:r>
      <w:r w:rsidR="002768D1">
        <w:rPr>
          <w:lang w:val="en-US"/>
        </w:rPr>
        <w:t xml:space="preserve"> </w:t>
      </w:r>
      <w:r w:rsidR="002768D1" w:rsidRPr="00083B11">
        <w:rPr>
          <w:lang w:val="en-US"/>
        </w:rPr>
        <w:t>Within the context of a NIAC, the added value of IHRL resides in the range of obligations to respect the right to life, which falls below the immediate threshold of intentional mu</w:t>
      </w:r>
      <w:r w:rsidR="002768D1">
        <w:rPr>
          <w:lang w:val="en-US"/>
        </w:rPr>
        <w:t>rder, (already covered by IHL CA</w:t>
      </w:r>
      <w:r w:rsidR="002768D1" w:rsidRPr="00083B11">
        <w:rPr>
          <w:lang w:val="en-US"/>
        </w:rPr>
        <w:t xml:space="preserve">3), and those related to the use of force more generally.  </w:t>
      </w:r>
    </w:p>
    <w:p w14:paraId="06C3D851" w14:textId="7AB68FE8" w:rsidR="002768D1" w:rsidRPr="00083B11" w:rsidRDefault="00EC74A8" w:rsidP="00E34448">
      <w:pPr>
        <w:spacing w:before="120"/>
        <w:ind w:left="1134" w:right="1134"/>
        <w:jc w:val="both"/>
        <w:rPr>
          <w:lang w:val="en-US"/>
        </w:rPr>
      </w:pPr>
      <w:r>
        <w:rPr>
          <w:lang w:val="en-US"/>
        </w:rPr>
        <w:t>70</w:t>
      </w:r>
      <w:r w:rsidR="00E34448">
        <w:rPr>
          <w:lang w:val="en-US"/>
        </w:rPr>
        <w:t>.</w:t>
      </w:r>
      <w:r w:rsidR="00AA33B0">
        <w:rPr>
          <w:lang w:val="en-US"/>
        </w:rPr>
        <w:tab/>
      </w:r>
      <w:r w:rsidR="002768D1" w:rsidRPr="00083B11">
        <w:rPr>
          <w:lang w:val="en-US"/>
        </w:rPr>
        <w:t xml:space="preserve">Respect for the right to life also implies that </w:t>
      </w:r>
      <w:r w:rsidR="002768D1">
        <w:rPr>
          <w:lang w:val="en-US"/>
        </w:rPr>
        <w:t xml:space="preserve">all </w:t>
      </w:r>
      <w:r w:rsidR="002768D1" w:rsidRPr="00083B11">
        <w:rPr>
          <w:lang w:val="en-US"/>
        </w:rPr>
        <w:t xml:space="preserve">ANSAs </w:t>
      </w:r>
      <w:r w:rsidR="002768D1">
        <w:rPr>
          <w:lang w:val="en-US"/>
        </w:rPr>
        <w:t xml:space="preserve">should </w:t>
      </w:r>
      <w:r w:rsidR="009B20F6">
        <w:rPr>
          <w:lang w:val="en-US"/>
        </w:rPr>
        <w:t>implement a total ban on a</w:t>
      </w:r>
      <w:r w:rsidR="002768D1" w:rsidRPr="00083B11">
        <w:rPr>
          <w:lang w:val="en-US"/>
        </w:rPr>
        <w:t xml:space="preserve">nti-personnel mines, and cooperate in mine clearance </w:t>
      </w:r>
      <w:r w:rsidR="002768D1" w:rsidRPr="00083B11">
        <w:rPr>
          <w:lang w:val="en-US"/>
        </w:rPr>
        <w:lastRenderedPageBreak/>
        <w:t>and support to victims of mine</w:t>
      </w:r>
      <w:r w:rsidR="002768D1">
        <w:rPr>
          <w:lang w:val="en-US"/>
        </w:rPr>
        <w:t>s</w:t>
      </w:r>
      <w:r w:rsidR="00615D45">
        <w:rPr>
          <w:rStyle w:val="FootnoteReference"/>
          <w:lang w:val="en-US"/>
        </w:rPr>
        <w:footnoteReference w:id="84"/>
      </w:r>
      <w:r w:rsidR="002768D1" w:rsidRPr="00083B11">
        <w:rPr>
          <w:lang w:val="en-US"/>
        </w:rPr>
        <w:t xml:space="preserve">. </w:t>
      </w:r>
    </w:p>
    <w:p w14:paraId="224E4BAF" w14:textId="662FCE22" w:rsidR="002768D1" w:rsidRPr="00083B11" w:rsidRDefault="00EC74A8" w:rsidP="00E34448">
      <w:pPr>
        <w:spacing w:before="120"/>
        <w:ind w:left="1134" w:right="1134"/>
        <w:jc w:val="both"/>
        <w:rPr>
          <w:lang w:val="en-US"/>
        </w:rPr>
      </w:pPr>
      <w:r>
        <w:t>71</w:t>
      </w:r>
      <w:r w:rsidR="00E34448">
        <w:t>.</w:t>
      </w:r>
      <w:r w:rsidR="00AA33B0">
        <w:tab/>
      </w:r>
      <w:r w:rsidR="002768D1" w:rsidRPr="00083B11">
        <w:t xml:space="preserve">Violence against women and children </w:t>
      </w:r>
      <w:r w:rsidR="002768D1">
        <w:t xml:space="preserve">by </w:t>
      </w:r>
      <w:r w:rsidR="002768D1" w:rsidRPr="00083B11">
        <w:t xml:space="preserve">ANSAs members and/or as part of a sanctioned policy is prohibited by IHL and sanctioned by ICL. </w:t>
      </w:r>
      <w:r w:rsidR="002768D1">
        <w:t>Furthermore</w:t>
      </w:r>
      <w:r w:rsidR="002768D1" w:rsidRPr="00083B11">
        <w:t>, Article 4 of the Optional Protocol to the C</w:t>
      </w:r>
      <w:r w:rsidR="002768D1">
        <w:t xml:space="preserve">RC </w:t>
      </w:r>
      <w:r w:rsidR="002768D1" w:rsidRPr="00083B11">
        <w:t>is addressed to ANSAs and prohibits them from recruiting and using children.  A</w:t>
      </w:r>
      <w:r w:rsidR="009B20F6">
        <w:t>ll</w:t>
      </w:r>
      <w:r w:rsidR="002768D1" w:rsidRPr="00083B11">
        <w:t xml:space="preserve"> ANSAs should be bound by these obligations</w:t>
      </w:r>
      <w:r w:rsidR="002768D1">
        <w:t>.</w:t>
      </w:r>
    </w:p>
    <w:p w14:paraId="30BA2B27" w14:textId="77777777" w:rsidR="002768D1" w:rsidRPr="00507BA0" w:rsidRDefault="00507BA0" w:rsidP="00507BA0">
      <w:pPr>
        <w:pStyle w:val="H56G"/>
        <w:rPr>
          <w:i/>
          <w:lang w:val="en-US"/>
        </w:rPr>
      </w:pPr>
      <w:r>
        <w:rPr>
          <w:lang w:val="en-US"/>
        </w:rPr>
        <w:tab/>
      </w:r>
      <w:r>
        <w:rPr>
          <w:lang w:val="en-US"/>
        </w:rPr>
        <w:tab/>
      </w:r>
      <w:r w:rsidR="002768D1" w:rsidRPr="00507BA0">
        <w:rPr>
          <w:i/>
          <w:lang w:val="en-US"/>
        </w:rPr>
        <w:t>“Policing and Justice”</w:t>
      </w:r>
    </w:p>
    <w:p w14:paraId="711641F2" w14:textId="57FAB9BB" w:rsidR="002768D1" w:rsidRPr="00083B11" w:rsidRDefault="00EC74A8" w:rsidP="00E34448">
      <w:pPr>
        <w:spacing w:before="120"/>
        <w:ind w:left="1134" w:right="1134"/>
        <w:jc w:val="both"/>
        <w:rPr>
          <w:lang w:val="en-US"/>
        </w:rPr>
      </w:pPr>
      <w:r>
        <w:rPr>
          <w:lang w:val="en-US"/>
        </w:rPr>
        <w:t>72</w:t>
      </w:r>
      <w:r w:rsidR="00E34448">
        <w:rPr>
          <w:lang w:val="en-US"/>
        </w:rPr>
        <w:t>.</w:t>
      </w:r>
      <w:r w:rsidR="00AA33B0">
        <w:rPr>
          <w:lang w:val="en-US"/>
        </w:rPr>
        <w:tab/>
      </w:r>
      <w:r w:rsidR="002768D1" w:rsidRPr="00083B11">
        <w:rPr>
          <w:lang w:val="en-US"/>
        </w:rPr>
        <w:t xml:space="preserve">The responsibility to respect includes a range of other prohibitions.  </w:t>
      </w:r>
      <w:r w:rsidR="002768D1">
        <w:rPr>
          <w:lang w:val="en-US"/>
        </w:rPr>
        <w:t>A</w:t>
      </w:r>
      <w:r w:rsidR="002768D1" w:rsidRPr="00083B11">
        <w:rPr>
          <w:lang w:val="en-US"/>
        </w:rPr>
        <w:t xml:space="preserve"> central concern of the </w:t>
      </w:r>
      <w:r w:rsidR="009B20F6">
        <w:rPr>
          <w:lang w:val="en-US"/>
        </w:rPr>
        <w:t>Special Rapporteur</w:t>
      </w:r>
      <w:r w:rsidR="002768D1" w:rsidRPr="00083B11">
        <w:rPr>
          <w:lang w:val="en-US"/>
        </w:rPr>
        <w:t xml:space="preserve"> has been the use of lethal force by </w:t>
      </w:r>
      <w:r w:rsidR="002768D1">
        <w:rPr>
          <w:lang w:val="en-US"/>
        </w:rPr>
        <w:t xml:space="preserve">State </w:t>
      </w:r>
      <w:r w:rsidR="002768D1" w:rsidRPr="00083B11">
        <w:rPr>
          <w:lang w:val="en-US"/>
        </w:rPr>
        <w:t xml:space="preserve">agents in violation of the principles of necessity, proportionality and precaution. The imposition of the death penalty in contravention of </w:t>
      </w:r>
      <w:r w:rsidR="002768D1">
        <w:rPr>
          <w:lang w:val="en-US"/>
        </w:rPr>
        <w:t xml:space="preserve">fair trial </w:t>
      </w:r>
      <w:r w:rsidR="002768D1" w:rsidRPr="00083B11">
        <w:rPr>
          <w:lang w:val="en-US"/>
        </w:rPr>
        <w:t xml:space="preserve">guarantees also constitutes an arbitrary deprivation of life. </w:t>
      </w:r>
    </w:p>
    <w:p w14:paraId="7DECC564" w14:textId="77777777" w:rsidR="002768D1" w:rsidRPr="00083B11" w:rsidRDefault="00EC74A8" w:rsidP="00E34448">
      <w:pPr>
        <w:spacing w:before="120"/>
        <w:ind w:left="1134" w:right="1134"/>
        <w:jc w:val="both"/>
      </w:pPr>
      <w:r>
        <w:rPr>
          <w:lang w:val="en-US"/>
        </w:rPr>
        <w:lastRenderedPageBreak/>
        <w:t>73</w:t>
      </w:r>
      <w:r w:rsidR="00E34448">
        <w:rPr>
          <w:lang w:val="en-US"/>
        </w:rPr>
        <w:t>.</w:t>
      </w:r>
      <w:r w:rsidR="00AA33B0">
        <w:rPr>
          <w:lang w:val="en-US"/>
        </w:rPr>
        <w:tab/>
      </w:r>
      <w:r w:rsidR="002768D1" w:rsidRPr="00083B11">
        <w:rPr>
          <w:lang w:val="en-US"/>
        </w:rPr>
        <w:t>Many of these violations take place in the context of law enforcement, which, if or when performed by ANSA, raises</w:t>
      </w:r>
      <w:r w:rsidR="002768D1">
        <w:rPr>
          <w:lang w:val="en-US"/>
        </w:rPr>
        <w:t xml:space="preserve"> many</w:t>
      </w:r>
      <w:r w:rsidR="002768D1" w:rsidRPr="00083B11">
        <w:rPr>
          <w:lang w:val="en-US"/>
        </w:rPr>
        <w:t xml:space="preserve"> concerns.  The default position within the human rights community is </w:t>
      </w:r>
      <w:r w:rsidR="002768D1">
        <w:rPr>
          <w:lang w:val="en-US"/>
        </w:rPr>
        <w:t xml:space="preserve">that </w:t>
      </w:r>
      <w:r w:rsidR="002768D1" w:rsidRPr="00083B11">
        <w:rPr>
          <w:lang w:val="en-US"/>
        </w:rPr>
        <w:t>policing and judicial functions by ANSA</w:t>
      </w:r>
      <w:r w:rsidR="002768D1">
        <w:rPr>
          <w:lang w:val="en-US"/>
        </w:rPr>
        <w:t>s</w:t>
      </w:r>
      <w:r w:rsidR="002768D1" w:rsidRPr="00083B11">
        <w:rPr>
          <w:lang w:val="en-US"/>
        </w:rPr>
        <w:t xml:space="preserve">, outside de facto </w:t>
      </w:r>
      <w:r w:rsidR="002768D1">
        <w:rPr>
          <w:lang w:val="en-US"/>
        </w:rPr>
        <w:t>S</w:t>
      </w:r>
      <w:r w:rsidR="002768D1" w:rsidRPr="00083B11">
        <w:rPr>
          <w:lang w:val="en-US"/>
        </w:rPr>
        <w:t xml:space="preserve">tates, </w:t>
      </w:r>
      <w:r w:rsidR="002768D1">
        <w:rPr>
          <w:lang w:val="en-US"/>
        </w:rPr>
        <w:t xml:space="preserve">are </w:t>
      </w:r>
      <w:r w:rsidR="002768D1" w:rsidRPr="00083B11">
        <w:rPr>
          <w:lang w:val="en-US"/>
        </w:rPr>
        <w:t>largely illegitimate.</w:t>
      </w:r>
      <w:r w:rsidR="002768D1" w:rsidRPr="00083B11">
        <w:t xml:space="preserve"> And yet, empirical evidence tells us that ANSAs perform some of these functions regularly. It also tells us that local population demands law and order and stability.  ANSAs policing functions may also play a role in terms of responding to crimes committed by </w:t>
      </w:r>
      <w:r w:rsidR="002768D1">
        <w:t xml:space="preserve">their </w:t>
      </w:r>
      <w:r w:rsidR="002768D1" w:rsidRPr="00083B11">
        <w:t>members. The conflicts or violence, and the breakdown of law and order heighten women and girls vulnerability to such violence. ANSAs may be the only actors able to offer some degree of protection and accountability</w:t>
      </w:r>
      <w:r w:rsidR="00960BC9">
        <w:rPr>
          <w:rStyle w:val="FootnoteReference"/>
        </w:rPr>
        <w:footnoteReference w:id="85"/>
      </w:r>
      <w:r w:rsidR="002768D1" w:rsidRPr="00083B11">
        <w:t xml:space="preserve">.  </w:t>
      </w:r>
    </w:p>
    <w:p w14:paraId="7F5D7D7E" w14:textId="4B610DBD" w:rsidR="002768D1" w:rsidRPr="00083B11" w:rsidRDefault="00EC74A8" w:rsidP="00E34448">
      <w:pPr>
        <w:spacing w:before="120"/>
        <w:ind w:left="1134" w:right="1134"/>
        <w:jc w:val="both"/>
      </w:pPr>
      <w:r>
        <w:t>74</w:t>
      </w:r>
      <w:r w:rsidR="00E34448">
        <w:t>.</w:t>
      </w:r>
      <w:r w:rsidR="00AA33B0">
        <w:tab/>
      </w:r>
      <w:r w:rsidR="002768D1" w:rsidRPr="00083B11">
        <w:t>The Special Rapporteur is not suggesting that all ANSA</w:t>
      </w:r>
      <w:r w:rsidR="00B34383">
        <w:t>s</w:t>
      </w:r>
      <w:r w:rsidR="002768D1" w:rsidRPr="00083B11">
        <w:t xml:space="preserve"> should be under the obligation </w:t>
      </w:r>
      <w:r w:rsidR="002768D1" w:rsidRPr="00083B11">
        <w:lastRenderedPageBreak/>
        <w:t xml:space="preserve">to </w:t>
      </w:r>
      <w:r w:rsidR="002768D1">
        <w:t>deliver policing functions or justice</w:t>
      </w:r>
      <w:r w:rsidR="002768D1" w:rsidRPr="00083B11">
        <w:t xml:space="preserve">.  She is suggesting, however, that there are minimum guarantees that ANSAs should be required to provide, as far as law enforcement is concerned, </w:t>
      </w:r>
      <w:r w:rsidR="002768D1">
        <w:t xml:space="preserve">depending on </w:t>
      </w:r>
      <w:r w:rsidR="002768D1" w:rsidRPr="00083B11">
        <w:t>the sophistication of the</w:t>
      </w:r>
      <w:r w:rsidR="002768D1">
        <w:t>ir</w:t>
      </w:r>
      <w:r w:rsidR="002768D1" w:rsidRPr="00083B11">
        <w:t xml:space="preserve"> governance </w:t>
      </w:r>
      <w:r w:rsidR="002768D1">
        <w:t>capacity</w:t>
      </w:r>
      <w:r w:rsidR="002768D1" w:rsidRPr="00083B11">
        <w:t>. Such minimum guarantees may be extrapolated from the Minnesota protocol, “</w:t>
      </w:r>
      <w:r w:rsidR="002768D1" w:rsidRPr="00083B11">
        <w:rPr>
          <w:i/>
        </w:rPr>
        <w:t>Common Article 3, as elaborated in the 2016 ICRC Commentary, the substance of the obligations in Article 75 of API, the Provisions of APII, the 1990 Turku Declaration of Minimum Humanitarian Standards</w:t>
      </w:r>
      <w:r w:rsidR="002768D1" w:rsidRPr="00083B11">
        <w:t>.</w:t>
      </w:r>
      <w:r w:rsidR="00960BC9">
        <w:rPr>
          <w:rStyle w:val="FootnoteReference"/>
        </w:rPr>
        <w:footnoteReference w:id="86"/>
      </w:r>
      <w:r w:rsidR="002768D1" w:rsidRPr="00083B11">
        <w:t xml:space="preserve">” </w:t>
      </w:r>
    </w:p>
    <w:p w14:paraId="40A447D4" w14:textId="1F3DE79B" w:rsidR="002768D1" w:rsidRDefault="00EC74A8" w:rsidP="00E34448">
      <w:pPr>
        <w:spacing w:before="120"/>
        <w:ind w:left="1134" w:right="1134"/>
        <w:jc w:val="both"/>
      </w:pPr>
      <w:r>
        <w:t>75</w:t>
      </w:r>
      <w:r w:rsidR="00E34448">
        <w:t>.</w:t>
      </w:r>
      <w:r w:rsidR="00AA33B0">
        <w:tab/>
      </w:r>
      <w:r w:rsidR="002768D1" w:rsidRPr="00083B11">
        <w:t>The</w:t>
      </w:r>
      <w:r w:rsidR="00B34383">
        <w:t xml:space="preserve"> obligation to investigate is </w:t>
      </w:r>
      <w:r w:rsidR="002768D1" w:rsidRPr="00083B11">
        <w:t xml:space="preserve">particularly </w:t>
      </w:r>
      <w:r w:rsidR="002768D1">
        <w:t xml:space="preserve">important </w:t>
      </w:r>
      <w:r w:rsidR="002768D1" w:rsidRPr="00083B11">
        <w:t xml:space="preserve">within the human rights framework. It applies </w:t>
      </w:r>
      <w:r w:rsidR="002768D1" w:rsidRPr="00083B11">
        <w:lastRenderedPageBreak/>
        <w:t xml:space="preserve">with particular force to the right to life. </w:t>
      </w:r>
      <w:r w:rsidR="002768D1" w:rsidRPr="00083B11">
        <w:rPr>
          <w:lang w:val="en-US"/>
        </w:rPr>
        <w:t>It gives practical effect to the duties to respect and protect the right to life.</w:t>
      </w:r>
      <w:r w:rsidR="002768D1" w:rsidRPr="00083B11">
        <w:rPr>
          <w:vertAlign w:val="superscript"/>
          <w:lang w:val="en-US"/>
        </w:rPr>
        <w:t xml:space="preserve"> </w:t>
      </w:r>
      <w:r w:rsidR="00960BC9">
        <w:rPr>
          <w:rStyle w:val="FootnoteReference"/>
          <w:lang w:val="en-US"/>
        </w:rPr>
        <w:footnoteReference w:id="87"/>
      </w:r>
      <w:r w:rsidR="002768D1" w:rsidRPr="00083B11">
        <w:rPr>
          <w:lang w:val="en-US"/>
        </w:rPr>
        <w:t xml:space="preserve"> </w:t>
      </w:r>
      <w:r w:rsidR="002768D1">
        <w:rPr>
          <w:lang w:val="en-US"/>
        </w:rPr>
        <w:t xml:space="preserve"> </w:t>
      </w:r>
      <w:r w:rsidR="002768D1">
        <w:t xml:space="preserve">ANSAs should, as a </w:t>
      </w:r>
      <w:r w:rsidR="002768D1" w:rsidRPr="00083B11">
        <w:t xml:space="preserve">priority, investigate killings (or acts of torture or sexual violence) committed by their members. Depending on their capacities, ANSAs obligation should be extended to investigating killings by third parties operating on their territories. </w:t>
      </w:r>
    </w:p>
    <w:p w14:paraId="79646FFF" w14:textId="77777777" w:rsidR="002768D1" w:rsidRPr="00083B11" w:rsidRDefault="00EC74A8" w:rsidP="00E34448">
      <w:pPr>
        <w:tabs>
          <w:tab w:val="left" w:pos="1701"/>
          <w:tab w:val="left" w:pos="8505"/>
        </w:tabs>
        <w:spacing w:before="120"/>
        <w:ind w:left="1134" w:right="1134"/>
        <w:jc w:val="both"/>
      </w:pPr>
      <w:r>
        <w:t>76</w:t>
      </w:r>
      <w:r w:rsidR="002768D1">
        <w:t>.</w:t>
      </w:r>
      <w:r w:rsidR="00E34448">
        <w:tab/>
      </w:r>
      <w:r w:rsidR="002768D1" w:rsidRPr="00083B11">
        <w:t xml:space="preserve">ANSAs should be absolutely prohibited from issuing death penalty sanctions. </w:t>
      </w:r>
    </w:p>
    <w:p w14:paraId="1D297DA1" w14:textId="77777777" w:rsidR="002768D1" w:rsidRPr="00507BA0" w:rsidRDefault="00507BA0" w:rsidP="00507BA0">
      <w:pPr>
        <w:pStyle w:val="H56G"/>
        <w:rPr>
          <w:i/>
        </w:rPr>
      </w:pPr>
      <w:r>
        <w:tab/>
      </w:r>
      <w:r>
        <w:tab/>
      </w:r>
      <w:r w:rsidR="002768D1" w:rsidRPr="00507BA0">
        <w:rPr>
          <w:i/>
        </w:rPr>
        <w:t xml:space="preserve">Obligations to Protect: Prevent and Punish </w:t>
      </w:r>
    </w:p>
    <w:p w14:paraId="5BC543DB" w14:textId="77777777" w:rsidR="002768D1" w:rsidRPr="00083B11" w:rsidRDefault="00EC74A8" w:rsidP="00AA33B0">
      <w:pPr>
        <w:ind w:left="1134" w:right="1134"/>
        <w:jc w:val="both"/>
        <w:rPr>
          <w:lang w:val="en-US"/>
        </w:rPr>
      </w:pPr>
      <w:r>
        <w:t>77</w:t>
      </w:r>
      <w:r w:rsidR="00E34448">
        <w:t>.</w:t>
      </w:r>
      <w:r w:rsidR="00AA33B0">
        <w:tab/>
      </w:r>
      <w:r w:rsidR="002768D1" w:rsidRPr="00083B11">
        <w:t xml:space="preserve">CEDAW General Recommendation 30, also addressed to ANSAs, </w:t>
      </w:r>
      <w:r w:rsidR="002768D1" w:rsidRPr="00083B11">
        <w:rPr>
          <w:lang w:val="en-US"/>
        </w:rPr>
        <w:t xml:space="preserve">elaborates on the obligations to prevent, investigate and punish all forms of violence against women, including sexual violence.  Some of the steps pertinent to the obligation to </w:t>
      </w:r>
      <w:r w:rsidR="002768D1" w:rsidRPr="00083B11">
        <w:rPr>
          <w:i/>
          <w:lang w:val="en-US"/>
        </w:rPr>
        <w:t>prevent</w:t>
      </w:r>
      <w:r w:rsidR="002768D1" w:rsidRPr="00083B11">
        <w:rPr>
          <w:lang w:val="en-US"/>
        </w:rPr>
        <w:t xml:space="preserve"> acts of violence against </w:t>
      </w:r>
      <w:r w:rsidR="002768D1" w:rsidRPr="00083B11">
        <w:rPr>
          <w:lang w:val="en-US"/>
        </w:rPr>
        <w:lastRenderedPageBreak/>
        <w:t xml:space="preserve">women or other individuals may be applicable to a large number of ANSAs.  </w:t>
      </w:r>
    </w:p>
    <w:p w14:paraId="39C91581" w14:textId="77777777" w:rsidR="002768D1" w:rsidRPr="00507BA0" w:rsidRDefault="00507BA0" w:rsidP="00507BA0">
      <w:pPr>
        <w:pStyle w:val="H56G"/>
        <w:rPr>
          <w:i/>
        </w:rPr>
      </w:pPr>
      <w:r>
        <w:tab/>
      </w:r>
      <w:r>
        <w:tab/>
      </w:r>
      <w:r w:rsidR="002768D1" w:rsidRPr="00507BA0">
        <w:rPr>
          <w:i/>
        </w:rPr>
        <w:t>Obligation to fulfil</w:t>
      </w:r>
    </w:p>
    <w:p w14:paraId="724AD3BF" w14:textId="77777777" w:rsidR="002768D1" w:rsidRPr="00083B11" w:rsidRDefault="00EC74A8" w:rsidP="00343558">
      <w:pPr>
        <w:ind w:left="1134" w:right="1134"/>
        <w:jc w:val="both"/>
        <w:rPr>
          <w:lang w:val="en-US"/>
        </w:rPr>
      </w:pPr>
      <w:r>
        <w:rPr>
          <w:lang w:val="en-US"/>
        </w:rPr>
        <w:t>78</w:t>
      </w:r>
      <w:r w:rsidR="00E34448">
        <w:rPr>
          <w:lang w:val="en-US"/>
        </w:rPr>
        <w:t>.</w:t>
      </w:r>
      <w:r w:rsidR="00343558">
        <w:rPr>
          <w:lang w:val="en-US"/>
        </w:rPr>
        <w:tab/>
      </w:r>
      <w:r w:rsidR="002768D1" w:rsidRPr="00083B11">
        <w:rPr>
          <w:lang w:val="en-US"/>
        </w:rPr>
        <w:t xml:space="preserve">ANSAs should also have a range of positive obligations, related to minimum survival requirements (rights to health, housing, water and food) </w:t>
      </w:r>
      <w:r w:rsidR="002768D1">
        <w:rPr>
          <w:lang w:val="en-US"/>
        </w:rPr>
        <w:t xml:space="preserve">when </w:t>
      </w:r>
      <w:r w:rsidR="002768D1" w:rsidRPr="00083B11">
        <w:rPr>
          <w:lang w:val="en-US"/>
        </w:rPr>
        <w:t>the right to life is concerned</w:t>
      </w:r>
      <w:r w:rsidR="00960BC9">
        <w:rPr>
          <w:rStyle w:val="FootnoteReference"/>
          <w:lang w:val="en-US"/>
        </w:rPr>
        <w:footnoteReference w:id="88"/>
      </w:r>
      <w:r w:rsidR="002768D1">
        <w:rPr>
          <w:lang w:val="en-US"/>
        </w:rPr>
        <w:t>. A</w:t>
      </w:r>
      <w:r w:rsidR="002768D1" w:rsidRPr="00083B11">
        <w:rPr>
          <w:lang w:val="en-US"/>
        </w:rPr>
        <w:t>ll ANSAs</w:t>
      </w:r>
      <w:r w:rsidR="002768D1">
        <w:rPr>
          <w:lang w:val="en-US"/>
        </w:rPr>
        <w:t xml:space="preserve"> should be prohibited from </w:t>
      </w:r>
      <w:r w:rsidR="002768D1" w:rsidRPr="00083B11">
        <w:rPr>
          <w:lang w:val="en-US"/>
        </w:rPr>
        <w:t>withhold</w:t>
      </w:r>
      <w:r w:rsidR="002768D1">
        <w:rPr>
          <w:lang w:val="en-US"/>
        </w:rPr>
        <w:t>ing</w:t>
      </w:r>
      <w:r w:rsidR="002768D1" w:rsidRPr="00083B11">
        <w:rPr>
          <w:lang w:val="en-US"/>
        </w:rPr>
        <w:t xml:space="preserve"> access to international assistance</w:t>
      </w:r>
      <w:r w:rsidR="002768D1">
        <w:rPr>
          <w:lang w:val="en-US"/>
        </w:rPr>
        <w:t>.</w:t>
      </w:r>
      <w:r w:rsidR="002768D1" w:rsidRPr="00083B11">
        <w:rPr>
          <w:lang w:val="en-US"/>
        </w:rPr>
        <w:t xml:space="preserve"> They should also take all reasonable steps to protect and ensure access to humanitarian aid, and other services, </w:t>
      </w:r>
      <w:r w:rsidR="002768D1">
        <w:rPr>
          <w:lang w:val="en-US"/>
        </w:rPr>
        <w:t xml:space="preserve">particularly </w:t>
      </w:r>
      <w:r w:rsidR="002768D1" w:rsidRPr="00083B11">
        <w:rPr>
          <w:lang w:val="en-US"/>
        </w:rPr>
        <w:t>to all vulnerable groups</w:t>
      </w:r>
      <w:r w:rsidR="002768D1">
        <w:rPr>
          <w:lang w:val="en-US"/>
        </w:rPr>
        <w:t>,</w:t>
      </w:r>
      <w:r w:rsidR="002768D1" w:rsidRPr="00083B11">
        <w:rPr>
          <w:lang w:val="en-US"/>
        </w:rPr>
        <w:t xml:space="preserve"> without discrimination.</w:t>
      </w:r>
      <w:r w:rsidR="00960BC9">
        <w:rPr>
          <w:rStyle w:val="FootnoteReference"/>
          <w:lang w:val="en-US"/>
        </w:rPr>
        <w:footnoteReference w:id="89"/>
      </w:r>
      <w:r w:rsidR="00960BC9">
        <w:rPr>
          <w:lang w:val="en-US"/>
        </w:rPr>
        <w:t xml:space="preserve"> </w:t>
      </w:r>
    </w:p>
    <w:p w14:paraId="3BAA3714" w14:textId="77777777" w:rsidR="002768D1" w:rsidRPr="00553DC3" w:rsidRDefault="00507BA0" w:rsidP="00507BA0">
      <w:pPr>
        <w:pStyle w:val="H23G"/>
        <w:rPr>
          <w:lang w:val="en-US"/>
        </w:rPr>
      </w:pPr>
      <w:r>
        <w:rPr>
          <w:lang w:val="en-US"/>
        </w:rPr>
        <w:lastRenderedPageBreak/>
        <w:tab/>
      </w:r>
      <w:r w:rsidR="005146D9">
        <w:rPr>
          <w:lang w:val="en-US"/>
        </w:rPr>
        <w:t>3.</w:t>
      </w:r>
      <w:r>
        <w:rPr>
          <w:lang w:val="en-US"/>
        </w:rPr>
        <w:tab/>
      </w:r>
      <w:r w:rsidR="002768D1" w:rsidRPr="00553DC3">
        <w:rPr>
          <w:lang w:val="en-US"/>
        </w:rPr>
        <w:t>Protection of those engaging with ANSAs</w:t>
      </w:r>
    </w:p>
    <w:p w14:paraId="0C0FDB4D" w14:textId="7CBC6D80" w:rsidR="002768D1" w:rsidRPr="00083B11" w:rsidRDefault="00EC74A8" w:rsidP="00E34448">
      <w:pPr>
        <w:spacing w:before="120"/>
        <w:ind w:left="1134" w:right="1134"/>
        <w:jc w:val="both"/>
        <w:rPr>
          <w:lang w:val="en-US"/>
        </w:rPr>
      </w:pPr>
      <w:r>
        <w:rPr>
          <w:lang w:val="en-US"/>
        </w:rPr>
        <w:t>79</w:t>
      </w:r>
      <w:r w:rsidR="00E34448">
        <w:rPr>
          <w:lang w:val="en-US"/>
        </w:rPr>
        <w:t>.</w:t>
      </w:r>
      <w:r w:rsidR="00343558">
        <w:rPr>
          <w:lang w:val="en-US"/>
        </w:rPr>
        <w:tab/>
      </w:r>
      <w:r w:rsidR="002768D1" w:rsidRPr="00083B11">
        <w:rPr>
          <w:lang w:val="en-US"/>
        </w:rPr>
        <w:t>ANSAs</w:t>
      </w:r>
      <w:r w:rsidR="00B34383">
        <w:rPr>
          <w:lang w:val="en-US"/>
        </w:rPr>
        <w:t>’</w:t>
      </w:r>
      <w:r w:rsidR="002768D1" w:rsidRPr="00083B11">
        <w:rPr>
          <w:lang w:val="en-US"/>
        </w:rPr>
        <w:t xml:space="preserve"> duty to ensure access to humanitarian aid and other services imposes a complementary duty on States: that they permit international and domestic actors access to areas under ANSAs control: The</w:t>
      </w:r>
      <w:r w:rsidR="002768D1" w:rsidRPr="00083B11">
        <w:rPr>
          <w:i/>
          <w:lang w:val="en-US"/>
        </w:rPr>
        <w:t xml:space="preserve"> “[I]mproved compliance with international humanitarian law and human rights law will always remain a distant prospect in the absence of, and absent acceptance of the need for, systematic and consistent engagement with non-State actors.” </w:t>
      </w:r>
      <w:r w:rsidR="002768D1">
        <w:rPr>
          <w:i/>
          <w:lang w:val="en-US"/>
        </w:rPr>
        <w:t>(</w:t>
      </w:r>
      <w:r w:rsidR="002768D1" w:rsidRPr="005D39E0">
        <w:rPr>
          <w:szCs w:val="18"/>
        </w:rPr>
        <w:t>S/2009/277, para. 39</w:t>
      </w:r>
      <w:r w:rsidR="002768D1">
        <w:rPr>
          <w:szCs w:val="18"/>
        </w:rPr>
        <w:t>).</w:t>
      </w:r>
    </w:p>
    <w:p w14:paraId="575CD510" w14:textId="266EB872" w:rsidR="002768D1" w:rsidRPr="00083B11" w:rsidRDefault="00EC74A8" w:rsidP="00E34448">
      <w:pPr>
        <w:spacing w:before="120"/>
        <w:ind w:left="1134" w:right="1134"/>
        <w:jc w:val="both"/>
        <w:rPr>
          <w:lang w:val="en-US"/>
        </w:rPr>
      </w:pPr>
      <w:r>
        <w:rPr>
          <w:lang w:val="en-US"/>
        </w:rPr>
        <w:t>80</w:t>
      </w:r>
      <w:r w:rsidR="00E34448">
        <w:rPr>
          <w:lang w:val="en-US"/>
        </w:rPr>
        <w:t>.</w:t>
      </w:r>
      <w:r w:rsidR="00984A30">
        <w:rPr>
          <w:lang w:val="en-US"/>
        </w:rPr>
        <w:tab/>
      </w:r>
      <w:r w:rsidR="002768D1">
        <w:rPr>
          <w:lang w:val="en-US"/>
        </w:rPr>
        <w:t xml:space="preserve">Humanitarian and human rights actors seeking to provide assistance to populations under control of ANSAs internationally listed as “terrorists” or engage with them for the purpose of human rights protection face </w:t>
      </w:r>
      <w:r w:rsidR="002768D1" w:rsidRPr="00083B11">
        <w:rPr>
          <w:lang w:val="en-US"/>
        </w:rPr>
        <w:t xml:space="preserve">a range of </w:t>
      </w:r>
      <w:r w:rsidR="00B34383">
        <w:rPr>
          <w:lang w:val="en-US"/>
        </w:rPr>
        <w:t>problems.</w:t>
      </w:r>
      <w:r w:rsidR="002768D1">
        <w:rPr>
          <w:lang w:val="en-US"/>
        </w:rPr>
        <w:t xml:space="preserve"> </w:t>
      </w:r>
      <w:r w:rsidR="002768D1" w:rsidRPr="00083B11">
        <w:rPr>
          <w:lang w:val="en-US"/>
        </w:rPr>
        <w:t xml:space="preserve">There has been repeated evidence of these groups’ efforts being undermined, prevented or </w:t>
      </w:r>
      <w:r w:rsidR="002768D1" w:rsidRPr="00083B11">
        <w:rPr>
          <w:lang w:val="en-US"/>
        </w:rPr>
        <w:lastRenderedPageBreak/>
        <w:t xml:space="preserve">criminalized, and </w:t>
      </w:r>
      <w:r w:rsidR="00B34383">
        <w:rPr>
          <w:lang w:val="en-US"/>
        </w:rPr>
        <w:t>humanitarian staff</w:t>
      </w:r>
      <w:r w:rsidR="002768D1" w:rsidRPr="00083B11">
        <w:rPr>
          <w:lang w:val="en-US"/>
        </w:rPr>
        <w:t xml:space="preserve"> arrested. </w:t>
      </w:r>
    </w:p>
    <w:p w14:paraId="1F66BA94" w14:textId="77777777" w:rsidR="002768D1" w:rsidRPr="00083B11" w:rsidRDefault="00EC74A8" w:rsidP="00E34448">
      <w:pPr>
        <w:spacing w:before="120"/>
        <w:ind w:left="1134" w:right="1134"/>
        <w:jc w:val="both"/>
        <w:rPr>
          <w:lang w:val="en-US"/>
        </w:rPr>
      </w:pPr>
      <w:r>
        <w:rPr>
          <w:lang w:val="en-US"/>
        </w:rPr>
        <w:t>81</w:t>
      </w:r>
      <w:r w:rsidR="00E34448">
        <w:rPr>
          <w:lang w:val="en-US"/>
        </w:rPr>
        <w:t>.</w:t>
      </w:r>
      <w:r w:rsidR="00984A30">
        <w:rPr>
          <w:lang w:val="en-US"/>
        </w:rPr>
        <w:tab/>
      </w:r>
      <w:r w:rsidR="002768D1" w:rsidRPr="00083B11">
        <w:rPr>
          <w:lang w:val="en-US"/>
        </w:rPr>
        <w:t xml:space="preserve">Counter-terrorism laws have proven very blunt in their application, </w:t>
      </w:r>
      <w:r w:rsidR="002768D1" w:rsidRPr="00A6147F">
        <w:t>discouraging compliance with human rights norms, and restricting promotion and training efforts</w:t>
      </w:r>
      <w:r w:rsidR="002768D1">
        <w:rPr>
          <w:b/>
        </w:rPr>
        <w:t xml:space="preserve"> (</w:t>
      </w:r>
      <w:r w:rsidR="002768D1" w:rsidRPr="00F64125">
        <w:t>A/HRC/6/17/Add.3, para. 42</w:t>
      </w:r>
      <w:r w:rsidR="002768D1" w:rsidRPr="00F64125">
        <w:rPr>
          <w:sz w:val="18"/>
          <w:szCs w:val="18"/>
        </w:rPr>
        <w:t>)</w:t>
      </w:r>
      <w:r w:rsidR="002768D1" w:rsidRPr="00F64125">
        <w:t>.</w:t>
      </w:r>
      <w:r w:rsidR="002768D1" w:rsidRPr="00083B11">
        <w:rPr>
          <w:b/>
        </w:rPr>
        <w:t xml:space="preserve"> </w:t>
      </w:r>
      <w:r w:rsidR="002768D1" w:rsidRPr="00083B11">
        <w:rPr>
          <w:lang w:val="en-US"/>
        </w:rPr>
        <w:t>These laws also may harm civilians in conflict-affected areas by preventing the distribution of humanitarian aid and services,</w:t>
      </w:r>
      <w:r w:rsidR="00197D60">
        <w:rPr>
          <w:rStyle w:val="FootnoteReference"/>
          <w:lang w:val="en-US"/>
        </w:rPr>
        <w:footnoteReference w:id="90"/>
      </w:r>
      <w:r w:rsidR="002768D1" w:rsidRPr="00083B11">
        <w:rPr>
          <w:lang w:val="en-US"/>
        </w:rPr>
        <w:t xml:space="preserve"> making delivery of even the most basic assistance difficult.</w:t>
      </w:r>
      <w:r w:rsidR="00197D60">
        <w:rPr>
          <w:rStyle w:val="FootnoteReference"/>
          <w:lang w:val="en-US"/>
        </w:rPr>
        <w:footnoteReference w:id="91"/>
      </w:r>
      <w:r w:rsidR="002768D1" w:rsidRPr="00083B11">
        <w:rPr>
          <w:lang w:val="en-US"/>
        </w:rPr>
        <w:t xml:space="preserve"> This impedes access to health care and basic education, and worsens the overall situation of the area.</w:t>
      </w:r>
      <w:r w:rsidR="00197D60">
        <w:rPr>
          <w:rStyle w:val="FootnoteReference"/>
          <w:lang w:val="en-US"/>
        </w:rPr>
        <w:footnoteReference w:id="92"/>
      </w:r>
    </w:p>
    <w:p w14:paraId="43108B98" w14:textId="77777777" w:rsidR="002768D1" w:rsidRPr="00553DC3" w:rsidRDefault="00507BA0" w:rsidP="00507BA0">
      <w:pPr>
        <w:pStyle w:val="H23G"/>
        <w:rPr>
          <w:lang w:val="en-US"/>
        </w:rPr>
      </w:pPr>
      <w:r>
        <w:rPr>
          <w:lang w:val="en-US"/>
        </w:rPr>
        <w:tab/>
      </w:r>
      <w:r w:rsidR="005146D9">
        <w:rPr>
          <w:lang w:val="en-US"/>
        </w:rPr>
        <w:t>4.</w:t>
      </w:r>
      <w:r>
        <w:rPr>
          <w:lang w:val="en-US"/>
        </w:rPr>
        <w:tab/>
      </w:r>
      <w:r w:rsidR="002768D1" w:rsidRPr="00553DC3">
        <w:rPr>
          <w:lang w:val="en-US"/>
        </w:rPr>
        <w:t>A New Instrument</w:t>
      </w:r>
    </w:p>
    <w:p w14:paraId="6CC81929" w14:textId="77777777" w:rsidR="002768D1" w:rsidRPr="00083B11" w:rsidRDefault="00EC74A8" w:rsidP="00984A30">
      <w:pPr>
        <w:ind w:left="1134" w:right="1134"/>
        <w:jc w:val="both"/>
        <w:rPr>
          <w:lang w:val="en-US"/>
        </w:rPr>
      </w:pPr>
      <w:r>
        <w:rPr>
          <w:lang w:val="en-US"/>
        </w:rPr>
        <w:t>82</w:t>
      </w:r>
      <w:r w:rsidR="00E34448">
        <w:rPr>
          <w:lang w:val="en-US"/>
        </w:rPr>
        <w:t>.</w:t>
      </w:r>
      <w:r w:rsidR="00984A30">
        <w:rPr>
          <w:lang w:val="en-US"/>
        </w:rPr>
        <w:tab/>
      </w:r>
      <w:r w:rsidR="002768D1">
        <w:rPr>
          <w:lang w:val="en-US"/>
        </w:rPr>
        <w:t xml:space="preserve">Some </w:t>
      </w:r>
      <w:r w:rsidR="002768D1" w:rsidRPr="00083B11">
        <w:rPr>
          <w:lang w:val="en-US"/>
        </w:rPr>
        <w:t xml:space="preserve">international civil society organizations </w:t>
      </w:r>
      <w:r w:rsidR="002768D1">
        <w:rPr>
          <w:lang w:val="en-US"/>
        </w:rPr>
        <w:t xml:space="preserve">have </w:t>
      </w:r>
      <w:r w:rsidR="002768D1" w:rsidRPr="00083B11">
        <w:rPr>
          <w:lang w:val="en-US"/>
        </w:rPr>
        <w:t>engage</w:t>
      </w:r>
      <w:r w:rsidR="002768D1">
        <w:rPr>
          <w:lang w:val="en-US"/>
        </w:rPr>
        <w:t>d</w:t>
      </w:r>
      <w:r w:rsidR="002768D1" w:rsidRPr="00083B11">
        <w:rPr>
          <w:lang w:val="en-US"/>
        </w:rPr>
        <w:t xml:space="preserve"> with ANSAs to ensure respect for human rights and </w:t>
      </w:r>
      <w:r w:rsidR="002768D1" w:rsidRPr="00083B11">
        <w:rPr>
          <w:lang w:val="en-US"/>
        </w:rPr>
        <w:lastRenderedPageBreak/>
        <w:t>humanitarian standards. This includes Geneva Call “Deed of Commitments for Adherence to a Total ban on Anti-Personnel Mines” which ANSA</w:t>
      </w:r>
      <w:r w:rsidR="002768D1">
        <w:rPr>
          <w:lang w:val="en-US"/>
        </w:rPr>
        <w:t>s</w:t>
      </w:r>
      <w:r w:rsidR="002768D1" w:rsidRPr="00083B11">
        <w:rPr>
          <w:lang w:val="en-US"/>
        </w:rPr>
        <w:t xml:space="preserve"> are encouraged to sign and implement, and which constitutes an “effective model of procedural accountability”</w:t>
      </w:r>
      <w:r w:rsidR="00197D60">
        <w:rPr>
          <w:rStyle w:val="FootnoteReference"/>
          <w:lang w:val="en-US"/>
        </w:rPr>
        <w:footnoteReference w:id="93"/>
      </w:r>
      <w:r w:rsidR="002768D1">
        <w:rPr>
          <w:lang w:val="en-US"/>
        </w:rPr>
        <w:t>.</w:t>
      </w:r>
      <w:r w:rsidR="002768D1" w:rsidRPr="00083B11">
        <w:rPr>
          <w:lang w:val="en-US"/>
        </w:rPr>
        <w:t xml:space="preserve"> Another initiative, the 1990 Declaration on Minimum Humanitarian Standards, </w:t>
      </w:r>
      <w:r w:rsidR="002768D1">
        <w:rPr>
          <w:lang w:val="en-US"/>
        </w:rPr>
        <w:t>seeks</w:t>
      </w:r>
      <w:r w:rsidR="002768D1" w:rsidRPr="00083B11">
        <w:rPr>
          <w:lang w:val="en-US"/>
        </w:rPr>
        <w:t xml:space="preserve"> to address gaps regarding ANSAS as well.   </w:t>
      </w:r>
    </w:p>
    <w:p w14:paraId="537A3D05" w14:textId="59005EFD" w:rsidR="002768D1" w:rsidRPr="00083B11" w:rsidRDefault="00EC74A8" w:rsidP="00E34448">
      <w:pPr>
        <w:spacing w:before="120"/>
        <w:ind w:left="1134" w:right="1134"/>
        <w:jc w:val="both"/>
        <w:rPr>
          <w:lang w:val="en-US"/>
        </w:rPr>
      </w:pPr>
      <w:r>
        <w:rPr>
          <w:lang w:val="en-US"/>
        </w:rPr>
        <w:t>83</w:t>
      </w:r>
      <w:r w:rsidR="00E34448">
        <w:rPr>
          <w:lang w:val="en-US"/>
        </w:rPr>
        <w:t>.</w:t>
      </w:r>
      <w:r w:rsidR="00984A30">
        <w:rPr>
          <w:lang w:val="en-US"/>
        </w:rPr>
        <w:tab/>
      </w:r>
      <w:r w:rsidR="002768D1" w:rsidRPr="00083B11">
        <w:rPr>
          <w:lang w:val="en-US"/>
        </w:rPr>
        <w:t xml:space="preserve">The Special Rapporteur is recommending that such initiatives should be strengthened, or that </w:t>
      </w:r>
      <w:r w:rsidR="00A6147F" w:rsidRPr="00083B11">
        <w:rPr>
          <w:lang w:val="en-US"/>
        </w:rPr>
        <w:t>representatives of States, civil society, UN agencies, ANSAs, along with individual experts, develop a new instrument outlining “Principles and guidelines on human rights and humanitarian standards protection, implementation, and dissemination”</w:t>
      </w:r>
      <w:r w:rsidR="002768D1">
        <w:rPr>
          <w:lang w:val="en-US"/>
        </w:rPr>
        <w:t>.</w:t>
      </w:r>
      <w:r w:rsidR="002768D1" w:rsidRPr="00083B11">
        <w:rPr>
          <w:lang w:val="en-US"/>
        </w:rPr>
        <w:t xml:space="preserve"> ANSAs could be encouraged to adopt </w:t>
      </w:r>
      <w:r w:rsidR="002768D1">
        <w:rPr>
          <w:lang w:val="en-US"/>
        </w:rPr>
        <w:t xml:space="preserve">it </w:t>
      </w:r>
      <w:r w:rsidR="002768D1" w:rsidRPr="00083B11">
        <w:rPr>
          <w:lang w:val="en-US"/>
        </w:rPr>
        <w:t>and implement</w:t>
      </w:r>
      <w:r w:rsidR="002768D1">
        <w:rPr>
          <w:lang w:val="en-US"/>
        </w:rPr>
        <w:t xml:space="preserve"> it</w:t>
      </w:r>
      <w:r w:rsidR="002768D1" w:rsidRPr="00083B11">
        <w:rPr>
          <w:lang w:val="en-US"/>
        </w:rPr>
        <w:t xml:space="preserve">. </w:t>
      </w:r>
      <w:r w:rsidR="0010019F">
        <w:rPr>
          <w:lang w:val="en-US"/>
        </w:rPr>
        <w:t xml:space="preserve">Such instrument will be enforced </w:t>
      </w:r>
      <w:r w:rsidR="0010019F">
        <w:rPr>
          <w:lang w:val="en-US"/>
        </w:rPr>
        <w:lastRenderedPageBreak/>
        <w:t xml:space="preserve">through </w:t>
      </w:r>
      <w:r w:rsidR="002768D1" w:rsidRPr="00083B11">
        <w:rPr>
          <w:lang w:val="en-US"/>
        </w:rPr>
        <w:t xml:space="preserve">self-monitoring and reporting, in addition to monitoring by an external </w:t>
      </w:r>
      <w:r w:rsidR="00A6147F">
        <w:rPr>
          <w:lang w:val="en-US"/>
        </w:rPr>
        <w:t>impartial</w:t>
      </w:r>
      <w:r w:rsidR="002768D1" w:rsidRPr="00083B11">
        <w:rPr>
          <w:lang w:val="en-US"/>
        </w:rPr>
        <w:t xml:space="preserve"> body</w:t>
      </w:r>
      <w:r w:rsidR="00197D60">
        <w:rPr>
          <w:rStyle w:val="FootnoteReference"/>
          <w:lang w:val="en-US"/>
        </w:rPr>
        <w:footnoteReference w:id="94"/>
      </w:r>
      <w:r w:rsidR="002768D1" w:rsidRPr="00083B11">
        <w:rPr>
          <w:lang w:val="en-US"/>
        </w:rPr>
        <w:t xml:space="preserve">. </w:t>
      </w:r>
    </w:p>
    <w:p w14:paraId="1383BDDD" w14:textId="77777777" w:rsidR="002768D1" w:rsidRPr="00553DC3" w:rsidRDefault="00507BA0" w:rsidP="00507BA0">
      <w:pPr>
        <w:pStyle w:val="H23G"/>
        <w:rPr>
          <w:lang w:val="en-US"/>
        </w:rPr>
      </w:pPr>
      <w:r>
        <w:rPr>
          <w:lang w:val="en-US"/>
        </w:rPr>
        <w:tab/>
      </w:r>
      <w:r w:rsidR="005146D9">
        <w:rPr>
          <w:lang w:val="en-US"/>
        </w:rPr>
        <w:t>5.</w:t>
      </w:r>
      <w:r>
        <w:rPr>
          <w:lang w:val="en-US"/>
        </w:rPr>
        <w:tab/>
      </w:r>
      <w:r w:rsidR="002768D1" w:rsidRPr="00553DC3">
        <w:rPr>
          <w:lang w:val="en-US"/>
        </w:rPr>
        <w:t xml:space="preserve">Enforceability </w:t>
      </w:r>
    </w:p>
    <w:p w14:paraId="401780FB" w14:textId="77777777" w:rsidR="002768D1" w:rsidRPr="00083B11" w:rsidRDefault="00EC74A8" w:rsidP="00984A30">
      <w:pPr>
        <w:ind w:left="1134" w:right="1134"/>
        <w:jc w:val="both"/>
        <w:rPr>
          <w:lang w:val="en-US"/>
        </w:rPr>
      </w:pPr>
      <w:r>
        <w:rPr>
          <w:lang w:val="en-US"/>
        </w:rPr>
        <w:t>84</w:t>
      </w:r>
      <w:r w:rsidR="00E34448">
        <w:rPr>
          <w:lang w:val="en-US"/>
        </w:rPr>
        <w:t>.</w:t>
      </w:r>
      <w:r w:rsidR="00984A30">
        <w:rPr>
          <w:lang w:val="en-US"/>
        </w:rPr>
        <w:tab/>
      </w:r>
      <w:r w:rsidR="002768D1" w:rsidRPr="00083B11">
        <w:rPr>
          <w:lang w:val="en-US"/>
        </w:rPr>
        <w:t>Extending the applicability of human rights law to ANSAs raise the difficult question of identifying and establishing appropriate mechanisms and b</w:t>
      </w:r>
      <w:r w:rsidR="002768D1">
        <w:rPr>
          <w:lang w:val="en-US"/>
        </w:rPr>
        <w:t>odies to hold ANSAs accountable</w:t>
      </w:r>
      <w:r w:rsidR="002768D1" w:rsidRPr="00083B11">
        <w:rPr>
          <w:lang w:val="en-US"/>
        </w:rPr>
        <w:t xml:space="preserve">. Below are some existing mechanisms that could be scaled up and additional options. </w:t>
      </w:r>
    </w:p>
    <w:p w14:paraId="60BBF1C7" w14:textId="77777777" w:rsidR="002768D1" w:rsidRPr="00083B11" w:rsidRDefault="00507BA0" w:rsidP="00507BA0">
      <w:pPr>
        <w:pStyle w:val="H4G"/>
        <w:rPr>
          <w:lang w:val="en-US"/>
        </w:rPr>
      </w:pPr>
      <w:r>
        <w:rPr>
          <w:lang w:val="en-US"/>
        </w:rPr>
        <w:tab/>
      </w:r>
      <w:r w:rsidR="005146D9">
        <w:rPr>
          <w:lang w:val="en-US"/>
        </w:rPr>
        <w:t>a.</w:t>
      </w:r>
      <w:r>
        <w:rPr>
          <w:lang w:val="en-US"/>
        </w:rPr>
        <w:tab/>
      </w:r>
      <w:r w:rsidR="002768D1">
        <w:rPr>
          <w:lang w:val="en-US"/>
        </w:rPr>
        <w:t xml:space="preserve">The </w:t>
      </w:r>
      <w:r w:rsidR="002768D1" w:rsidRPr="00083B11">
        <w:rPr>
          <w:lang w:val="en-US"/>
        </w:rPr>
        <w:t xml:space="preserve">ICC </w:t>
      </w:r>
    </w:p>
    <w:p w14:paraId="25373BE8" w14:textId="52190FEF" w:rsidR="002768D1" w:rsidRPr="00083B11" w:rsidRDefault="00EC74A8" w:rsidP="00984A30">
      <w:pPr>
        <w:ind w:left="1134" w:right="1134"/>
        <w:jc w:val="both"/>
        <w:rPr>
          <w:lang w:val="en-US"/>
        </w:rPr>
      </w:pPr>
      <w:r>
        <w:rPr>
          <w:lang w:val="en-US"/>
        </w:rPr>
        <w:t>85</w:t>
      </w:r>
      <w:r w:rsidR="00E34448">
        <w:rPr>
          <w:lang w:val="en-US"/>
        </w:rPr>
        <w:t>.</w:t>
      </w:r>
      <w:r w:rsidR="00984A30">
        <w:rPr>
          <w:lang w:val="en-US"/>
        </w:rPr>
        <w:tab/>
      </w:r>
      <w:r w:rsidR="002768D1" w:rsidRPr="00083B11">
        <w:rPr>
          <w:lang w:val="en-US"/>
        </w:rPr>
        <w:t xml:space="preserve">The ICC remains an important tool to ensure that members of an ANSA be held accountable </w:t>
      </w:r>
      <w:r w:rsidR="002768D1">
        <w:rPr>
          <w:lang w:val="en-US"/>
        </w:rPr>
        <w:t xml:space="preserve">under the Rome Statute. </w:t>
      </w:r>
      <w:r w:rsidR="002768D1" w:rsidRPr="00083B11">
        <w:rPr>
          <w:lang w:val="en-US"/>
        </w:rPr>
        <w:t>While the focus is on individual criminal responsibility, international law does not preclude the possibility that an organization engaged in crime</w:t>
      </w:r>
      <w:r w:rsidR="002768D1">
        <w:rPr>
          <w:lang w:val="en-US"/>
        </w:rPr>
        <w:t>s</w:t>
      </w:r>
      <w:r w:rsidR="002768D1" w:rsidRPr="00083B11">
        <w:rPr>
          <w:lang w:val="en-US"/>
        </w:rPr>
        <w:t xml:space="preserve"> against </w:t>
      </w:r>
      <w:r w:rsidR="002768D1" w:rsidRPr="00083B11">
        <w:rPr>
          <w:lang w:val="en-US"/>
        </w:rPr>
        <w:lastRenderedPageBreak/>
        <w:t xml:space="preserve">humanity may be </w:t>
      </w:r>
      <w:r w:rsidR="002768D1">
        <w:rPr>
          <w:lang w:val="en-US"/>
        </w:rPr>
        <w:t xml:space="preserve">held </w:t>
      </w:r>
      <w:r w:rsidR="002768D1" w:rsidRPr="00083B11">
        <w:rPr>
          <w:lang w:val="en-US"/>
        </w:rPr>
        <w:t>internationally responsible.</w:t>
      </w:r>
      <w:r w:rsidR="00197D60">
        <w:rPr>
          <w:rStyle w:val="FootnoteReference"/>
          <w:lang w:val="en-US"/>
        </w:rPr>
        <w:footnoteReference w:id="95"/>
      </w:r>
      <w:r w:rsidR="002768D1" w:rsidRPr="00083B11">
        <w:rPr>
          <w:lang w:val="en-US"/>
        </w:rPr>
        <w:t xml:space="preserve"> Extrapolating from the international jurisprudence, including the ICC Pre-Trial Chamber reasoning, it can be further determined that organized criminal gangs may </w:t>
      </w:r>
      <w:r w:rsidR="0010019F">
        <w:rPr>
          <w:lang w:val="en-US"/>
        </w:rPr>
        <w:t xml:space="preserve">also </w:t>
      </w:r>
      <w:r w:rsidR="002768D1" w:rsidRPr="00083B11">
        <w:rPr>
          <w:lang w:val="en-US"/>
        </w:rPr>
        <w:t>commit crimes against humanity</w:t>
      </w:r>
      <w:r w:rsidR="00971EE8">
        <w:rPr>
          <w:rStyle w:val="FootnoteReference"/>
          <w:lang w:val="en-US"/>
        </w:rPr>
        <w:footnoteReference w:id="96"/>
      </w:r>
      <w:r w:rsidR="002768D1" w:rsidRPr="00083B11">
        <w:rPr>
          <w:lang w:val="en-US"/>
        </w:rPr>
        <w:t xml:space="preserve">. </w:t>
      </w:r>
    </w:p>
    <w:p w14:paraId="5301FA3D" w14:textId="77777777" w:rsidR="002768D1" w:rsidRPr="00083B11" w:rsidRDefault="00507BA0" w:rsidP="00507BA0">
      <w:pPr>
        <w:pStyle w:val="H4G"/>
        <w:rPr>
          <w:lang w:val="en-US"/>
        </w:rPr>
      </w:pPr>
      <w:r>
        <w:rPr>
          <w:lang w:val="en-US"/>
        </w:rPr>
        <w:tab/>
      </w:r>
      <w:r w:rsidR="005146D9">
        <w:rPr>
          <w:lang w:val="en-US"/>
        </w:rPr>
        <w:t>b.</w:t>
      </w:r>
      <w:r>
        <w:rPr>
          <w:lang w:val="en-US"/>
        </w:rPr>
        <w:tab/>
      </w:r>
      <w:r w:rsidR="002768D1" w:rsidRPr="00083B11">
        <w:rPr>
          <w:lang w:val="en-US"/>
        </w:rPr>
        <w:t>Sanctions</w:t>
      </w:r>
    </w:p>
    <w:p w14:paraId="0DE9D087" w14:textId="4307E3FA" w:rsidR="002768D1" w:rsidRPr="00083B11" w:rsidRDefault="00EC74A8" w:rsidP="00984A30">
      <w:pPr>
        <w:ind w:left="1134" w:right="1134"/>
        <w:jc w:val="both"/>
        <w:rPr>
          <w:lang w:val="en-US"/>
        </w:rPr>
      </w:pPr>
      <w:r>
        <w:rPr>
          <w:lang w:val="en-US"/>
        </w:rPr>
        <w:t>86</w:t>
      </w:r>
      <w:r w:rsidR="00E34448">
        <w:rPr>
          <w:lang w:val="en-US"/>
        </w:rPr>
        <w:t>.</w:t>
      </w:r>
      <w:r w:rsidR="00984A30">
        <w:rPr>
          <w:lang w:val="en-US"/>
        </w:rPr>
        <w:tab/>
      </w:r>
      <w:r w:rsidR="002768D1">
        <w:rPr>
          <w:lang w:val="en-US"/>
        </w:rPr>
        <w:t xml:space="preserve">Under Chapter VII, UNSC </w:t>
      </w:r>
      <w:r w:rsidR="002768D1" w:rsidRPr="00083B11">
        <w:rPr>
          <w:lang w:val="en-US"/>
        </w:rPr>
        <w:t>has imposed sanctions</w:t>
      </w:r>
      <w:r w:rsidR="002768D1">
        <w:rPr>
          <w:lang w:val="en-US"/>
        </w:rPr>
        <w:t xml:space="preserve">, </w:t>
      </w:r>
      <w:r w:rsidR="002768D1" w:rsidRPr="00083B11">
        <w:rPr>
          <w:lang w:val="en-US"/>
        </w:rPr>
        <w:t>includ</w:t>
      </w:r>
      <w:r w:rsidR="002768D1">
        <w:rPr>
          <w:lang w:val="en-US"/>
        </w:rPr>
        <w:t>ing</w:t>
      </w:r>
      <w:r w:rsidR="002768D1" w:rsidRPr="00083B11">
        <w:rPr>
          <w:lang w:val="en-US"/>
        </w:rPr>
        <w:t xml:space="preserve"> travel bans and asset freezes, against members of ANSAs for alleged </w:t>
      </w:r>
      <w:r w:rsidR="002768D1">
        <w:rPr>
          <w:lang w:val="en-US"/>
        </w:rPr>
        <w:t xml:space="preserve">human rights </w:t>
      </w:r>
      <w:r w:rsidR="002768D1" w:rsidRPr="00083B11">
        <w:rPr>
          <w:lang w:val="en-US"/>
        </w:rPr>
        <w:t xml:space="preserve">violations in </w:t>
      </w:r>
      <w:r w:rsidR="002768D1">
        <w:rPr>
          <w:lang w:val="en-US"/>
        </w:rPr>
        <w:lastRenderedPageBreak/>
        <w:t>Darfur/Sudan, Cote d'Ivoire and</w:t>
      </w:r>
      <w:r w:rsidR="002768D1" w:rsidRPr="00083B11">
        <w:rPr>
          <w:lang w:val="en-US"/>
        </w:rPr>
        <w:t xml:space="preserve"> DRC. Such measures ought to be </w:t>
      </w:r>
      <w:r w:rsidR="002768D1">
        <w:rPr>
          <w:lang w:val="en-US"/>
        </w:rPr>
        <w:t xml:space="preserve">evaluated in terms of their human rights impact and expanded to other </w:t>
      </w:r>
      <w:r w:rsidR="0010019F">
        <w:rPr>
          <w:lang w:val="en-US"/>
        </w:rPr>
        <w:t>ANSAs</w:t>
      </w:r>
      <w:r w:rsidR="002768D1">
        <w:rPr>
          <w:lang w:val="en-US"/>
        </w:rPr>
        <w:t xml:space="preserve"> when and where deemed useful</w:t>
      </w:r>
      <w:r w:rsidR="0010019F">
        <w:rPr>
          <w:lang w:val="en-US"/>
        </w:rPr>
        <w:t>, including criminal networks</w:t>
      </w:r>
      <w:r w:rsidR="002768D1">
        <w:rPr>
          <w:lang w:val="en-US"/>
        </w:rPr>
        <w:t xml:space="preserve">.  </w:t>
      </w:r>
    </w:p>
    <w:p w14:paraId="5DF180C4" w14:textId="77777777" w:rsidR="002768D1" w:rsidRPr="00083B11" w:rsidRDefault="00507BA0" w:rsidP="00507BA0">
      <w:pPr>
        <w:pStyle w:val="H4G"/>
        <w:rPr>
          <w:lang w:val="en-US"/>
        </w:rPr>
      </w:pPr>
      <w:r>
        <w:rPr>
          <w:lang w:val="en-US"/>
        </w:rPr>
        <w:tab/>
      </w:r>
      <w:r w:rsidR="005146D9">
        <w:rPr>
          <w:lang w:val="en-US"/>
        </w:rPr>
        <w:t>c.</w:t>
      </w:r>
      <w:r>
        <w:rPr>
          <w:lang w:val="en-US"/>
        </w:rPr>
        <w:tab/>
      </w:r>
      <w:r w:rsidR="002768D1" w:rsidRPr="00083B11">
        <w:rPr>
          <w:lang w:val="en-US"/>
        </w:rPr>
        <w:t xml:space="preserve">A Role for Treaty Body and Special Procedures </w:t>
      </w:r>
    </w:p>
    <w:p w14:paraId="14E5C21D" w14:textId="77777777" w:rsidR="002768D1" w:rsidRPr="00083B11" w:rsidRDefault="00EC74A8" w:rsidP="00E34448">
      <w:pPr>
        <w:spacing w:before="120"/>
        <w:ind w:left="1134" w:right="1134"/>
        <w:jc w:val="both"/>
        <w:rPr>
          <w:lang w:val="en-US"/>
        </w:rPr>
      </w:pPr>
      <w:r>
        <w:rPr>
          <w:lang w:val="en-US"/>
        </w:rPr>
        <w:t>87</w:t>
      </w:r>
      <w:r w:rsidR="00E34448">
        <w:rPr>
          <w:lang w:val="en-US"/>
        </w:rPr>
        <w:t>.</w:t>
      </w:r>
      <w:r w:rsidR="00984A30">
        <w:rPr>
          <w:lang w:val="en-US"/>
        </w:rPr>
        <w:tab/>
      </w:r>
      <w:r w:rsidR="002768D1">
        <w:rPr>
          <w:lang w:val="en-US"/>
        </w:rPr>
        <w:t xml:space="preserve">Special Procedures should continue to cover human rights violations by ANSAs and to engage with ANSAs. Some Treaties Provisions could also be more systematically assessed as far as ANSAs are concerned. For instance, </w:t>
      </w:r>
      <w:r w:rsidR="002768D1" w:rsidRPr="00083B11">
        <w:rPr>
          <w:lang w:val="en-US"/>
        </w:rPr>
        <w:t xml:space="preserve">the UN Working Group on Enforced or Involuntary Disappearances, the UN Committee on the Rights of the Child or the Committee on the Rights of Persons with Disabilities may be able to assess ANSAs violations. </w:t>
      </w:r>
    </w:p>
    <w:p w14:paraId="4D547D05" w14:textId="77777777" w:rsidR="002768D1" w:rsidRPr="00083B11" w:rsidRDefault="00EC74A8" w:rsidP="00E34448">
      <w:pPr>
        <w:spacing w:before="120"/>
        <w:ind w:left="1134" w:right="1134"/>
        <w:jc w:val="both"/>
        <w:rPr>
          <w:lang w:val="en-US"/>
        </w:rPr>
      </w:pPr>
      <w:r>
        <w:rPr>
          <w:lang w:val="en-US"/>
        </w:rPr>
        <w:t>88</w:t>
      </w:r>
      <w:r w:rsidR="00E34448">
        <w:rPr>
          <w:lang w:val="en-US"/>
        </w:rPr>
        <w:t>.</w:t>
      </w:r>
      <w:r w:rsidR="00984A30">
        <w:rPr>
          <w:lang w:val="en-US"/>
        </w:rPr>
        <w:tab/>
      </w:r>
      <w:r w:rsidR="002768D1" w:rsidRPr="00083B11">
        <w:rPr>
          <w:lang w:val="en-US"/>
        </w:rPr>
        <w:t xml:space="preserve">It may be possible to set up experimental </w:t>
      </w:r>
      <w:r w:rsidR="002768D1">
        <w:rPr>
          <w:lang w:val="en-US"/>
        </w:rPr>
        <w:t xml:space="preserve">or ad hoc </w:t>
      </w:r>
      <w:r w:rsidR="002768D1" w:rsidRPr="00083B11">
        <w:rPr>
          <w:lang w:val="en-US"/>
        </w:rPr>
        <w:t>institutions focus</w:t>
      </w:r>
      <w:r w:rsidR="002768D1">
        <w:rPr>
          <w:lang w:val="en-US"/>
        </w:rPr>
        <w:t>ing</w:t>
      </w:r>
      <w:r w:rsidR="002768D1" w:rsidRPr="00083B11">
        <w:rPr>
          <w:lang w:val="en-US"/>
        </w:rPr>
        <w:t xml:space="preserve"> on the acts of ANSAs, </w:t>
      </w:r>
      <w:r w:rsidR="002768D1">
        <w:rPr>
          <w:lang w:val="en-US"/>
        </w:rPr>
        <w:t xml:space="preserve">including </w:t>
      </w:r>
      <w:r w:rsidR="002768D1" w:rsidRPr="00083B11">
        <w:rPr>
          <w:lang w:val="en-US"/>
        </w:rPr>
        <w:t xml:space="preserve">violations </w:t>
      </w:r>
      <w:r w:rsidR="002768D1">
        <w:rPr>
          <w:lang w:val="en-US"/>
        </w:rPr>
        <w:t xml:space="preserve">of the new proposed </w:t>
      </w:r>
      <w:r w:rsidR="002768D1">
        <w:rPr>
          <w:lang w:val="en-US"/>
        </w:rPr>
        <w:lastRenderedPageBreak/>
        <w:t xml:space="preserve">instrument, </w:t>
      </w:r>
      <w:r w:rsidR="002768D1" w:rsidRPr="00083B11">
        <w:rPr>
          <w:lang w:val="en-US"/>
        </w:rPr>
        <w:t xml:space="preserve">or </w:t>
      </w:r>
      <w:r w:rsidR="002768D1">
        <w:rPr>
          <w:lang w:val="en-US"/>
        </w:rPr>
        <w:t xml:space="preserve">other </w:t>
      </w:r>
      <w:r w:rsidR="002768D1" w:rsidRPr="00083B11">
        <w:rPr>
          <w:lang w:val="en-US"/>
        </w:rPr>
        <w:t>specific ANSAs human rights obligations</w:t>
      </w:r>
      <w:r w:rsidR="002768D1">
        <w:rPr>
          <w:lang w:val="en-US"/>
        </w:rPr>
        <w:t>.</w:t>
      </w:r>
      <w:r w:rsidR="002768D1" w:rsidRPr="00083B11">
        <w:rPr>
          <w:lang w:val="en-US"/>
        </w:rPr>
        <w:t xml:space="preserve"> </w:t>
      </w:r>
    </w:p>
    <w:p w14:paraId="3D4D0248" w14:textId="77777777" w:rsidR="002768D1" w:rsidRPr="00083B11" w:rsidRDefault="00507BA0" w:rsidP="00507BA0">
      <w:pPr>
        <w:pStyle w:val="H4G"/>
        <w:rPr>
          <w:lang w:val="en-US"/>
        </w:rPr>
      </w:pPr>
      <w:r>
        <w:rPr>
          <w:lang w:val="en-US"/>
        </w:rPr>
        <w:tab/>
      </w:r>
      <w:r w:rsidR="005146D9">
        <w:rPr>
          <w:lang w:val="en-US"/>
        </w:rPr>
        <w:t>d.</w:t>
      </w:r>
      <w:r>
        <w:rPr>
          <w:lang w:val="en-US"/>
        </w:rPr>
        <w:tab/>
      </w:r>
      <w:r w:rsidR="002768D1" w:rsidRPr="00083B11">
        <w:rPr>
          <w:lang w:val="en-US"/>
        </w:rPr>
        <w:t>Compensation and Reparations</w:t>
      </w:r>
    </w:p>
    <w:p w14:paraId="4E5D5959" w14:textId="1BB6F27E" w:rsidR="002768D1" w:rsidRPr="00083B11" w:rsidRDefault="00EC74A8" w:rsidP="00E34448">
      <w:pPr>
        <w:spacing w:before="120"/>
        <w:ind w:left="1134" w:right="1134"/>
        <w:jc w:val="both"/>
        <w:rPr>
          <w:lang w:val="en-US"/>
        </w:rPr>
      </w:pPr>
      <w:r>
        <w:rPr>
          <w:lang w:val="en-US"/>
        </w:rPr>
        <w:t>89</w:t>
      </w:r>
      <w:r w:rsidR="00E34448">
        <w:rPr>
          <w:lang w:val="en-US"/>
        </w:rPr>
        <w:t>.</w:t>
      </w:r>
      <w:r w:rsidR="00A756D8">
        <w:rPr>
          <w:lang w:val="en-US"/>
        </w:rPr>
        <w:tab/>
      </w:r>
      <w:r w:rsidR="002768D1" w:rsidRPr="00083B11">
        <w:rPr>
          <w:lang w:val="en-US"/>
        </w:rPr>
        <w:t xml:space="preserve">The attribution of (financial) remedies and reparations for human rights violations by ANSAS is challenging, both from a procedural and substantive standpoint. </w:t>
      </w:r>
      <w:r w:rsidR="00C143E9">
        <w:rPr>
          <w:lang w:val="en-US"/>
        </w:rPr>
        <w:t xml:space="preserve">The Special Rapporteur suggests that Transitional Justice may constitute an important opportunity for new developments. </w:t>
      </w:r>
    </w:p>
    <w:p w14:paraId="6E399953" w14:textId="77777777" w:rsidR="002768D1" w:rsidRPr="00083B11" w:rsidRDefault="00EC74A8" w:rsidP="00E34448">
      <w:pPr>
        <w:tabs>
          <w:tab w:val="left" w:pos="1134"/>
        </w:tabs>
        <w:spacing w:before="120"/>
        <w:ind w:left="1134" w:right="1134"/>
        <w:jc w:val="both"/>
        <w:rPr>
          <w:lang w:val="en-US"/>
        </w:rPr>
      </w:pPr>
      <w:r>
        <w:rPr>
          <w:lang w:val="en-US"/>
        </w:rPr>
        <w:t>90</w:t>
      </w:r>
      <w:r w:rsidR="002768D1">
        <w:rPr>
          <w:lang w:val="en-US"/>
        </w:rPr>
        <w:t>.</w:t>
      </w:r>
      <w:r w:rsidR="002768D1">
        <w:rPr>
          <w:lang w:val="en-US"/>
        </w:rPr>
        <w:tab/>
      </w:r>
      <w:r w:rsidR="002768D1" w:rsidRPr="00083B11">
        <w:rPr>
          <w:lang w:val="en-US"/>
        </w:rPr>
        <w:t>For instance, Truth and Peace and Reconciliation Commissions might be tailored to address ANSAs collective responsibility, and ensure that individuals have a legal right to reparation</w:t>
      </w:r>
      <w:r w:rsidR="005E5506">
        <w:rPr>
          <w:rStyle w:val="FootnoteReference"/>
          <w:lang w:val="en-US"/>
        </w:rPr>
        <w:footnoteReference w:id="97"/>
      </w:r>
      <w:r w:rsidR="002768D1" w:rsidRPr="00083B11">
        <w:rPr>
          <w:lang w:val="en-US"/>
        </w:rPr>
        <w:t xml:space="preserve">.  </w:t>
      </w:r>
      <w:r w:rsidR="002768D1">
        <w:rPr>
          <w:lang w:val="en-US"/>
        </w:rPr>
        <w:t>T</w:t>
      </w:r>
      <w:r w:rsidR="002768D1" w:rsidRPr="00083B11">
        <w:rPr>
          <w:lang w:val="en-US"/>
        </w:rPr>
        <w:t xml:space="preserve">he Peace Plan between the Colombia </w:t>
      </w:r>
      <w:r w:rsidR="002768D1" w:rsidRPr="00083B11">
        <w:rPr>
          <w:lang w:val="en-US"/>
        </w:rPr>
        <w:lastRenderedPageBreak/>
        <w:t>Government and the FARC</w:t>
      </w:r>
      <w:r w:rsidR="002768D1">
        <w:rPr>
          <w:lang w:val="en-US"/>
        </w:rPr>
        <w:t xml:space="preserve"> included the adoption in </w:t>
      </w:r>
      <w:r w:rsidR="002768D1" w:rsidRPr="00083B11">
        <w:rPr>
          <w:lang w:val="en-US"/>
        </w:rPr>
        <w:t>2011</w:t>
      </w:r>
      <w:r w:rsidR="002768D1">
        <w:rPr>
          <w:lang w:val="en-US"/>
        </w:rPr>
        <w:t xml:space="preserve"> of</w:t>
      </w:r>
      <w:r w:rsidR="002768D1" w:rsidRPr="00083B11">
        <w:rPr>
          <w:lang w:val="en-US"/>
        </w:rPr>
        <w:t xml:space="preserve"> Law 1448</w:t>
      </w:r>
      <w:r w:rsidR="005E5506">
        <w:rPr>
          <w:rStyle w:val="FootnoteReference"/>
          <w:lang w:val="en-US"/>
        </w:rPr>
        <w:footnoteReference w:id="98"/>
      </w:r>
      <w:r w:rsidR="002768D1" w:rsidRPr="00083B11">
        <w:rPr>
          <w:lang w:val="en-US"/>
        </w:rPr>
        <w:t>, which affirmed the responsibility of the State to provide reparations irrespective of the identity of the perpetrators.</w:t>
      </w:r>
      <w:r w:rsidR="005E5506">
        <w:rPr>
          <w:rStyle w:val="FootnoteReference"/>
          <w:lang w:val="en-US"/>
        </w:rPr>
        <w:footnoteReference w:id="99"/>
      </w:r>
      <w:r w:rsidR="002768D1" w:rsidRPr="00083B11">
        <w:rPr>
          <w:lang w:val="en-US"/>
        </w:rPr>
        <w:t xml:space="preserve"> In October 2016, FARC declared that it would forfeit all assets to fund victim reparations, as a condition of transitioning into a legitimate political party. The group also issued a public apology to all victims. </w:t>
      </w:r>
    </w:p>
    <w:p w14:paraId="32BBF7DE" w14:textId="77777777" w:rsidR="002768D1" w:rsidRPr="00083B11" w:rsidRDefault="00EC74A8" w:rsidP="00E34448">
      <w:pPr>
        <w:tabs>
          <w:tab w:val="left" w:pos="1134"/>
        </w:tabs>
        <w:spacing w:before="120"/>
        <w:ind w:left="1134" w:right="1134"/>
        <w:jc w:val="both"/>
        <w:rPr>
          <w:lang w:val="en-US"/>
        </w:rPr>
      </w:pPr>
      <w:r>
        <w:rPr>
          <w:lang w:val="en-US"/>
        </w:rPr>
        <w:t>91</w:t>
      </w:r>
      <w:r w:rsidR="002768D1">
        <w:rPr>
          <w:lang w:val="en-US"/>
        </w:rPr>
        <w:t>.</w:t>
      </w:r>
      <w:r w:rsidR="002768D1">
        <w:rPr>
          <w:lang w:val="en-US"/>
        </w:rPr>
        <w:tab/>
      </w:r>
      <w:r w:rsidR="002768D1" w:rsidRPr="00083B11">
        <w:rPr>
          <w:lang w:val="en-US"/>
        </w:rPr>
        <w:t xml:space="preserve">The International Commission of Inquiry on Darfur emphasized that Sudan </w:t>
      </w:r>
      <w:r w:rsidR="002768D1">
        <w:rPr>
          <w:lang w:val="en-US"/>
        </w:rPr>
        <w:t xml:space="preserve">but also rebels are </w:t>
      </w:r>
      <w:r w:rsidR="002768D1" w:rsidRPr="00083B11">
        <w:rPr>
          <w:lang w:val="en-US"/>
        </w:rPr>
        <w:t xml:space="preserve">responsible to pay compensation for </w:t>
      </w:r>
      <w:r w:rsidR="002768D1">
        <w:rPr>
          <w:lang w:val="en-US"/>
        </w:rPr>
        <w:t xml:space="preserve">their </w:t>
      </w:r>
      <w:r w:rsidR="002768D1" w:rsidRPr="00083B11">
        <w:rPr>
          <w:lang w:val="en-US"/>
        </w:rPr>
        <w:t>crimes in Darfur, whether or not the perpetrato</w:t>
      </w:r>
      <w:r w:rsidR="002768D1">
        <w:rPr>
          <w:lang w:val="en-US"/>
        </w:rPr>
        <w:t>rs are identified and punished.</w:t>
      </w:r>
      <w:r w:rsidR="005E5506">
        <w:rPr>
          <w:rStyle w:val="FootnoteReference"/>
          <w:lang w:val="en-US"/>
        </w:rPr>
        <w:footnoteReference w:id="100"/>
      </w:r>
      <w:r w:rsidR="002768D1" w:rsidRPr="00083B11">
        <w:rPr>
          <w:lang w:val="en-US"/>
        </w:rPr>
        <w:t xml:space="preserve"> </w:t>
      </w:r>
      <w:r w:rsidR="002768D1">
        <w:rPr>
          <w:lang w:val="en-US"/>
        </w:rPr>
        <w:t xml:space="preserve">A </w:t>
      </w:r>
      <w:r w:rsidR="002768D1" w:rsidRPr="00083B11">
        <w:rPr>
          <w:lang w:val="en-US"/>
        </w:rPr>
        <w:t xml:space="preserve">compensation commission was </w:t>
      </w:r>
      <w:r w:rsidR="002768D1">
        <w:rPr>
          <w:lang w:val="en-US"/>
        </w:rPr>
        <w:lastRenderedPageBreak/>
        <w:t>envisaged in the</w:t>
      </w:r>
      <w:r w:rsidR="002768D1" w:rsidRPr="00083B11">
        <w:rPr>
          <w:lang w:val="en-US"/>
        </w:rPr>
        <w:t xml:space="preserve"> 2006 peace agreements</w:t>
      </w:r>
      <w:r w:rsidR="002768D1">
        <w:rPr>
          <w:lang w:val="en-US"/>
        </w:rPr>
        <w:t>.</w:t>
      </w:r>
      <w:r w:rsidR="002768D1" w:rsidRPr="00083B11">
        <w:rPr>
          <w:lang w:val="en-US"/>
        </w:rPr>
        <w:t xml:space="preserve"> </w:t>
      </w:r>
      <w:r w:rsidR="002768D1">
        <w:rPr>
          <w:lang w:val="en-US"/>
        </w:rPr>
        <w:t>Even though it was not established</w:t>
      </w:r>
      <w:r w:rsidR="002768D1" w:rsidRPr="00083B11">
        <w:rPr>
          <w:lang w:val="en-US"/>
        </w:rPr>
        <w:t>, this may still constitute an ex</w:t>
      </w:r>
      <w:r w:rsidR="002768D1">
        <w:rPr>
          <w:lang w:val="en-US"/>
        </w:rPr>
        <w:t xml:space="preserve">ample for future reference. </w:t>
      </w:r>
      <w:r w:rsidR="002768D1" w:rsidRPr="00083B11">
        <w:rPr>
          <w:lang w:val="en-US"/>
        </w:rPr>
        <w:t>Related to this is the possibility to tie forfeiture of ANSAs assets to peace-process, and/or truth and reconciliation. Otherwise, there would need to be a means of seizing, for example, ANSAs-held bank accounts.</w:t>
      </w:r>
    </w:p>
    <w:p w14:paraId="7020DD15" w14:textId="77777777" w:rsidR="002768D1" w:rsidRPr="00083B11" w:rsidRDefault="00EC74A8" w:rsidP="00E34448">
      <w:pPr>
        <w:tabs>
          <w:tab w:val="left" w:pos="1134"/>
        </w:tabs>
        <w:spacing w:before="120"/>
        <w:ind w:left="1134" w:right="1134"/>
        <w:jc w:val="both"/>
        <w:rPr>
          <w:lang w:val="en-US"/>
        </w:rPr>
      </w:pPr>
      <w:r>
        <w:rPr>
          <w:lang w:val="en-US"/>
        </w:rPr>
        <w:t>92</w:t>
      </w:r>
      <w:r w:rsidR="002768D1">
        <w:rPr>
          <w:lang w:val="en-US"/>
        </w:rPr>
        <w:t>.</w:t>
      </w:r>
      <w:r w:rsidR="002768D1">
        <w:rPr>
          <w:lang w:val="en-US"/>
        </w:rPr>
        <w:tab/>
        <w:t xml:space="preserve">A </w:t>
      </w:r>
      <w:r w:rsidR="002768D1" w:rsidRPr="00083B11">
        <w:rPr>
          <w:lang w:val="en-US"/>
        </w:rPr>
        <w:t>third option will be for the “international community” to step in, having recognized a victim’s right to reparations for right to life violations</w:t>
      </w:r>
      <w:r w:rsidR="002768D1">
        <w:rPr>
          <w:lang w:val="en-US"/>
        </w:rPr>
        <w:t>,</w:t>
      </w:r>
      <w:r w:rsidR="002768D1" w:rsidRPr="00083B11">
        <w:rPr>
          <w:lang w:val="en-US"/>
        </w:rPr>
        <w:t xml:space="preserve"> irrespective of the perpetrator’s identity. </w:t>
      </w:r>
    </w:p>
    <w:p w14:paraId="37CE5BE0" w14:textId="77777777" w:rsidR="002768D1" w:rsidRPr="00083B11" w:rsidRDefault="00507BA0" w:rsidP="00507BA0">
      <w:pPr>
        <w:pStyle w:val="H4G"/>
        <w:rPr>
          <w:lang w:val="en-US"/>
        </w:rPr>
      </w:pPr>
      <w:r>
        <w:rPr>
          <w:lang w:val="en-US"/>
        </w:rPr>
        <w:tab/>
      </w:r>
      <w:r w:rsidR="005146D9">
        <w:rPr>
          <w:lang w:val="en-US"/>
        </w:rPr>
        <w:t>e.</w:t>
      </w:r>
      <w:r>
        <w:rPr>
          <w:lang w:val="en-US"/>
        </w:rPr>
        <w:tab/>
      </w:r>
      <w:r w:rsidR="002768D1" w:rsidRPr="00083B11">
        <w:rPr>
          <w:lang w:val="en-US"/>
        </w:rPr>
        <w:t>Collective and Symbolic Reparations</w:t>
      </w:r>
    </w:p>
    <w:p w14:paraId="02A773ED" w14:textId="77777777" w:rsidR="002768D1" w:rsidRPr="00083B11" w:rsidRDefault="00EC74A8" w:rsidP="00A756D8">
      <w:pPr>
        <w:ind w:left="1134" w:right="1134"/>
        <w:jc w:val="both"/>
        <w:rPr>
          <w:lang w:val="en-US"/>
        </w:rPr>
      </w:pPr>
      <w:r>
        <w:rPr>
          <w:lang w:val="en-US"/>
        </w:rPr>
        <w:t>93</w:t>
      </w:r>
      <w:r w:rsidR="002768D1">
        <w:rPr>
          <w:lang w:val="en-US"/>
        </w:rPr>
        <w:t xml:space="preserve"> </w:t>
      </w:r>
      <w:r w:rsidR="00A756D8">
        <w:rPr>
          <w:lang w:val="en-US"/>
        </w:rPr>
        <w:tab/>
      </w:r>
      <w:r w:rsidR="002768D1" w:rsidRPr="00083B11">
        <w:rPr>
          <w:lang w:val="en-US"/>
        </w:rPr>
        <w:t xml:space="preserve">Collective reparations are a way to make amends for rights violations that affect entire communities. They are focused on victims as a group, bound by a common identity, experience, or form of </w:t>
      </w:r>
      <w:r w:rsidR="002768D1" w:rsidRPr="00083B11">
        <w:rPr>
          <w:lang w:val="en-US"/>
        </w:rPr>
        <w:lastRenderedPageBreak/>
        <w:t>violation.</w:t>
      </w:r>
      <w:r w:rsidR="005E5506">
        <w:rPr>
          <w:rStyle w:val="FootnoteReference"/>
          <w:lang w:val="en-US"/>
        </w:rPr>
        <w:footnoteReference w:id="101"/>
      </w:r>
      <w:r w:rsidR="002768D1" w:rsidRPr="00083B11">
        <w:rPr>
          <w:lang w:val="en-US"/>
        </w:rPr>
        <w:t xml:space="preserve"> The Inter-American Court of Human Rights (IACtHR) and the Extraordinary Chambers in the Courts of Cambodia (ECCC) have handed rulings with collective and moral reparations, which may be useful models for violations by ANSAs. </w:t>
      </w:r>
    </w:p>
    <w:p w14:paraId="6D16EC83" w14:textId="5364D645" w:rsidR="002768D1" w:rsidRPr="00083B11" w:rsidRDefault="00EC74A8" w:rsidP="005146D9">
      <w:pPr>
        <w:spacing w:before="120"/>
        <w:ind w:left="1134" w:right="1134"/>
        <w:jc w:val="both"/>
        <w:rPr>
          <w:lang w:val="en-US"/>
        </w:rPr>
      </w:pPr>
      <w:r>
        <w:rPr>
          <w:lang w:val="en-US"/>
        </w:rPr>
        <w:t>94</w:t>
      </w:r>
      <w:r w:rsidR="00E34448">
        <w:rPr>
          <w:lang w:val="en-US"/>
        </w:rPr>
        <w:t>.</w:t>
      </w:r>
      <w:r w:rsidR="00A756D8">
        <w:rPr>
          <w:lang w:val="en-US"/>
        </w:rPr>
        <w:tab/>
      </w:r>
      <w:r w:rsidR="002768D1" w:rsidRPr="00083B11">
        <w:rPr>
          <w:lang w:val="en-US"/>
        </w:rPr>
        <w:t>There are examples of successful truth and reconciliation commissions involving ANSAs.</w:t>
      </w:r>
      <w:r w:rsidR="005E5506">
        <w:rPr>
          <w:rStyle w:val="FootnoteReference"/>
          <w:lang w:val="en-US"/>
        </w:rPr>
        <w:footnoteReference w:id="102"/>
      </w:r>
      <w:r w:rsidR="002768D1" w:rsidRPr="00083B11">
        <w:rPr>
          <w:lang w:val="en-US"/>
        </w:rPr>
        <w:t xml:space="preserve">. When they are the perpetrators of right to life violations, ANSAs </w:t>
      </w:r>
      <w:r w:rsidR="0080092E">
        <w:rPr>
          <w:lang w:val="en-US"/>
        </w:rPr>
        <w:t xml:space="preserve">should </w:t>
      </w:r>
      <w:r w:rsidR="002768D1">
        <w:rPr>
          <w:lang w:val="en-US"/>
        </w:rPr>
        <w:t>provide reparations</w:t>
      </w:r>
      <w:r w:rsidR="002768D1" w:rsidRPr="00083B11">
        <w:rPr>
          <w:lang w:val="en-US"/>
        </w:rPr>
        <w:t>. Here, the goal is to find out what happened in order to advance community reckoning with the past and public acknowledgment of harm inflicted on victims</w:t>
      </w:r>
      <w:r w:rsidR="005E5506">
        <w:rPr>
          <w:rStyle w:val="FootnoteReference"/>
          <w:lang w:val="en-US"/>
        </w:rPr>
        <w:footnoteReference w:id="103"/>
      </w:r>
      <w:r w:rsidR="002768D1">
        <w:rPr>
          <w:lang w:val="en-US"/>
        </w:rPr>
        <w:t>.</w:t>
      </w:r>
      <w:r w:rsidR="002768D1" w:rsidRPr="00083B11">
        <w:rPr>
          <w:lang w:val="en-US"/>
        </w:rPr>
        <w:t xml:space="preserve"> </w:t>
      </w:r>
      <w:r w:rsidR="002768D1">
        <w:rPr>
          <w:lang w:val="en-US"/>
        </w:rPr>
        <w:t xml:space="preserve">ANSAs </w:t>
      </w:r>
      <w:r w:rsidR="002768D1">
        <w:rPr>
          <w:lang w:val="en-US"/>
        </w:rPr>
        <w:lastRenderedPageBreak/>
        <w:t xml:space="preserve">should </w:t>
      </w:r>
      <w:r w:rsidR="0080092E">
        <w:rPr>
          <w:lang w:val="en-US"/>
        </w:rPr>
        <w:t xml:space="preserve">also </w:t>
      </w:r>
      <w:r w:rsidR="002768D1" w:rsidRPr="00083B11">
        <w:rPr>
          <w:lang w:val="en-US"/>
        </w:rPr>
        <w:t>provide public apologies, and contribute to national memorial</w:t>
      </w:r>
      <w:r w:rsidR="002768D1">
        <w:rPr>
          <w:lang w:val="en-US"/>
        </w:rPr>
        <w:t>s and commemoration ceremonies.</w:t>
      </w:r>
    </w:p>
    <w:p w14:paraId="237C5E3F" w14:textId="77777777" w:rsidR="002768D1" w:rsidRPr="00083B11" w:rsidRDefault="002768D1" w:rsidP="002768D1">
      <w:pPr>
        <w:pStyle w:val="HChG"/>
      </w:pPr>
      <w:r w:rsidRPr="00083B11">
        <w:tab/>
      </w:r>
      <w:bookmarkStart w:id="10" w:name="_Toc484184266"/>
      <w:r w:rsidRPr="00083B11">
        <w:t>IV.</w:t>
      </w:r>
      <w:r w:rsidRPr="00083B11">
        <w:tab/>
        <w:t>Conclusions</w:t>
      </w:r>
      <w:bookmarkEnd w:id="10"/>
      <w:r w:rsidRPr="00083B11">
        <w:t xml:space="preserve"> </w:t>
      </w:r>
    </w:p>
    <w:p w14:paraId="75385CA4" w14:textId="77777777" w:rsidR="002768D1" w:rsidRPr="00A57D6F" w:rsidRDefault="00EC74A8" w:rsidP="002768D1">
      <w:pPr>
        <w:ind w:left="1134" w:right="1134"/>
        <w:jc w:val="both"/>
        <w:rPr>
          <w:b/>
        </w:rPr>
      </w:pPr>
      <w:r w:rsidRPr="00EC74A8">
        <w:t>95</w:t>
      </w:r>
      <w:r w:rsidR="002768D1" w:rsidRPr="00EC74A8">
        <w:t>.</w:t>
      </w:r>
      <w:r w:rsidR="00A756D8">
        <w:rPr>
          <w:b/>
        </w:rPr>
        <w:tab/>
      </w:r>
      <w:r w:rsidR="002768D1" w:rsidRPr="00083B11">
        <w:rPr>
          <w:b/>
        </w:rPr>
        <w:t>The current legal framework applicable to ANSAs presents unacceptable accountab</w:t>
      </w:r>
      <w:r w:rsidR="002768D1">
        <w:rPr>
          <w:b/>
        </w:rPr>
        <w:t>ility</w:t>
      </w:r>
      <w:r w:rsidR="002768D1" w:rsidRPr="00083B11">
        <w:rPr>
          <w:b/>
        </w:rPr>
        <w:t xml:space="preserve"> and protection deficits. </w:t>
      </w:r>
      <w:r w:rsidR="002768D1">
        <w:rPr>
          <w:b/>
        </w:rPr>
        <w:t>I</w:t>
      </w:r>
      <w:r w:rsidR="002768D1" w:rsidRPr="00083B11">
        <w:rPr>
          <w:b/>
        </w:rPr>
        <w:t>n 2009</w:t>
      </w:r>
      <w:r w:rsidR="002768D1">
        <w:rPr>
          <w:b/>
        </w:rPr>
        <w:t>, then</w:t>
      </w:r>
      <w:r w:rsidR="002768D1" w:rsidRPr="00083B11">
        <w:rPr>
          <w:b/>
        </w:rPr>
        <w:t xml:space="preserve"> UN S</w:t>
      </w:r>
      <w:r w:rsidR="002768D1">
        <w:rPr>
          <w:b/>
        </w:rPr>
        <w:t>ecretary-</w:t>
      </w:r>
      <w:r w:rsidR="002768D1" w:rsidRPr="00083B11">
        <w:rPr>
          <w:b/>
        </w:rPr>
        <w:t>G</w:t>
      </w:r>
      <w:r w:rsidR="002768D1">
        <w:rPr>
          <w:b/>
        </w:rPr>
        <w:t>eneral</w:t>
      </w:r>
      <w:r w:rsidR="002768D1" w:rsidRPr="00083B11">
        <w:rPr>
          <w:b/>
        </w:rPr>
        <w:t xml:space="preserve"> Ban Ki Moon observed that </w:t>
      </w:r>
      <w:r w:rsidR="002768D1" w:rsidRPr="00083B11">
        <w:rPr>
          <w:b/>
          <w:i/>
        </w:rPr>
        <w:t>“we need urgently to develop a comprehensive approach towards improving compliance by all these [non-state armed] groups with the law, encompassing actions that range</w:t>
      </w:r>
      <w:r w:rsidR="002768D1">
        <w:rPr>
          <w:b/>
          <w:i/>
        </w:rPr>
        <w:t xml:space="preserve"> from engagement to enforcement</w:t>
      </w:r>
      <w:r w:rsidR="002768D1" w:rsidRPr="00083B11">
        <w:rPr>
          <w:b/>
          <w:i/>
        </w:rPr>
        <w:t>”</w:t>
      </w:r>
      <w:r w:rsidR="002768D1">
        <w:rPr>
          <w:b/>
          <w:i/>
        </w:rPr>
        <w:t xml:space="preserve"> </w:t>
      </w:r>
      <w:r w:rsidR="002768D1" w:rsidRPr="00A57D6F">
        <w:rPr>
          <w:b/>
        </w:rPr>
        <w:t xml:space="preserve">(S/2009/277, para. 39). </w:t>
      </w:r>
    </w:p>
    <w:p w14:paraId="0E4703E8" w14:textId="77777777" w:rsidR="002768D1" w:rsidRPr="00083B11" w:rsidRDefault="00EC74A8" w:rsidP="00E34448">
      <w:pPr>
        <w:spacing w:before="120"/>
        <w:ind w:left="1134" w:right="1134"/>
        <w:jc w:val="both"/>
        <w:rPr>
          <w:b/>
        </w:rPr>
      </w:pPr>
      <w:r w:rsidRPr="00EC74A8">
        <w:t>96</w:t>
      </w:r>
      <w:r w:rsidR="002768D1" w:rsidRPr="00EC74A8">
        <w:t>.</w:t>
      </w:r>
      <w:r w:rsidR="00A756D8">
        <w:rPr>
          <w:b/>
        </w:rPr>
        <w:tab/>
      </w:r>
      <w:r w:rsidR="002768D1" w:rsidRPr="00083B11">
        <w:rPr>
          <w:b/>
        </w:rPr>
        <w:t xml:space="preserve">This report has shown that ANSAs can be accommodated as subjects of </w:t>
      </w:r>
      <w:r w:rsidR="002768D1">
        <w:rPr>
          <w:b/>
        </w:rPr>
        <w:t>IHRL</w:t>
      </w:r>
      <w:r w:rsidR="002768D1" w:rsidRPr="00083B11">
        <w:rPr>
          <w:b/>
        </w:rPr>
        <w:t xml:space="preserve">, without treating them as akin to </w:t>
      </w:r>
      <w:r w:rsidR="002768D1">
        <w:rPr>
          <w:b/>
        </w:rPr>
        <w:t>S</w:t>
      </w:r>
      <w:r w:rsidR="002768D1" w:rsidRPr="00083B11">
        <w:rPr>
          <w:b/>
        </w:rPr>
        <w:t>tates. ANSAs are not bound by the full range of human rights law but to a threshold of norms</w:t>
      </w:r>
      <w:r w:rsidR="002768D1">
        <w:rPr>
          <w:b/>
        </w:rPr>
        <w:t xml:space="preserve"> derived </w:t>
      </w:r>
      <w:r w:rsidR="002768D1">
        <w:rPr>
          <w:b/>
        </w:rPr>
        <w:lastRenderedPageBreak/>
        <w:t xml:space="preserve">from the nature of their control and degree of organisation, or capacity.  </w:t>
      </w:r>
      <w:r w:rsidR="002768D1" w:rsidRPr="00083B11">
        <w:rPr>
          <w:b/>
        </w:rPr>
        <w:t>Attributing certain human rights obligations to certain NSAs does not nullify but complement State’s responsibilities.</w:t>
      </w:r>
      <w:r w:rsidR="002768D1">
        <w:rPr>
          <w:b/>
        </w:rPr>
        <w:t xml:space="preserve"> T</w:t>
      </w:r>
      <w:r w:rsidR="002768D1" w:rsidRPr="00083B11">
        <w:rPr>
          <w:b/>
        </w:rPr>
        <w:t xml:space="preserve">he benefits of holding </w:t>
      </w:r>
      <w:r w:rsidR="002768D1">
        <w:rPr>
          <w:b/>
        </w:rPr>
        <w:t>A</w:t>
      </w:r>
      <w:r w:rsidR="002768D1" w:rsidRPr="00083B11">
        <w:rPr>
          <w:b/>
        </w:rPr>
        <w:t xml:space="preserve">NSAs obligated under </w:t>
      </w:r>
      <w:r w:rsidR="002768D1">
        <w:rPr>
          <w:b/>
        </w:rPr>
        <w:t xml:space="preserve">IHRL </w:t>
      </w:r>
      <w:r w:rsidR="002768D1" w:rsidRPr="00083B11">
        <w:rPr>
          <w:b/>
        </w:rPr>
        <w:t xml:space="preserve">is </w:t>
      </w:r>
      <w:r w:rsidR="002768D1">
        <w:rPr>
          <w:b/>
        </w:rPr>
        <w:t xml:space="preserve">also </w:t>
      </w:r>
      <w:r w:rsidR="002768D1" w:rsidRPr="00083B11">
        <w:rPr>
          <w:b/>
        </w:rPr>
        <w:t xml:space="preserve">derived from the complementary duty that States continue to have to respect, protect, and fulfil human rights.  </w:t>
      </w:r>
    </w:p>
    <w:p w14:paraId="556D865D" w14:textId="5E7CFCEA" w:rsidR="002768D1" w:rsidRPr="00083B11" w:rsidRDefault="00EC74A8" w:rsidP="00E34448">
      <w:pPr>
        <w:spacing w:before="120"/>
        <w:ind w:left="1134" w:right="1134"/>
        <w:jc w:val="both"/>
        <w:rPr>
          <w:b/>
        </w:rPr>
      </w:pPr>
      <w:r w:rsidRPr="00EC74A8">
        <w:t>97</w:t>
      </w:r>
      <w:r w:rsidR="002768D1" w:rsidRPr="00EC74A8">
        <w:t>.</w:t>
      </w:r>
      <w:r w:rsidR="00A756D8">
        <w:rPr>
          <w:b/>
        </w:rPr>
        <w:tab/>
      </w:r>
      <w:r w:rsidR="002768D1" w:rsidRPr="00083B11">
        <w:rPr>
          <w:b/>
        </w:rPr>
        <w:t xml:space="preserve">There is no evidence that the recognition of ANSAs as subjects of </w:t>
      </w:r>
      <w:r w:rsidR="002768D1">
        <w:rPr>
          <w:b/>
        </w:rPr>
        <w:t xml:space="preserve">IHL, or </w:t>
      </w:r>
      <w:r w:rsidR="002768D1" w:rsidRPr="00083B11">
        <w:rPr>
          <w:b/>
        </w:rPr>
        <w:t xml:space="preserve">the UNSC, UNGA or UNHRC resolutions regarding ANSA has resulted into </w:t>
      </w:r>
      <w:r w:rsidR="002768D1">
        <w:rPr>
          <w:b/>
        </w:rPr>
        <w:t>their</w:t>
      </w:r>
      <w:r w:rsidR="002768D1" w:rsidRPr="00083B11">
        <w:rPr>
          <w:b/>
        </w:rPr>
        <w:t xml:space="preserve"> legitimization. When </w:t>
      </w:r>
      <w:r w:rsidR="002768D1">
        <w:rPr>
          <w:b/>
        </w:rPr>
        <w:t xml:space="preserve">ANSAs </w:t>
      </w:r>
      <w:r w:rsidR="002768D1" w:rsidRPr="00083B11">
        <w:rPr>
          <w:b/>
        </w:rPr>
        <w:t>legitim</w:t>
      </w:r>
      <w:r w:rsidR="002768D1">
        <w:rPr>
          <w:b/>
        </w:rPr>
        <w:t xml:space="preserve">ization </w:t>
      </w:r>
      <w:r w:rsidR="002768D1" w:rsidRPr="00083B11">
        <w:rPr>
          <w:b/>
        </w:rPr>
        <w:t>occurs, it is not because of international legal principles but for eminently political reasons, reflective of international, regional or domestic realities, and/or as part of peace-building processes.</w:t>
      </w:r>
    </w:p>
    <w:p w14:paraId="65C888A2" w14:textId="77777777" w:rsidR="002768D1" w:rsidRPr="00083B11" w:rsidRDefault="00EC74A8" w:rsidP="00E34448">
      <w:pPr>
        <w:spacing w:before="120"/>
        <w:ind w:left="1134" w:right="1134"/>
        <w:jc w:val="both"/>
        <w:rPr>
          <w:b/>
        </w:rPr>
      </w:pPr>
      <w:r>
        <w:t>98</w:t>
      </w:r>
      <w:r w:rsidR="002768D1" w:rsidRPr="00EC74A8">
        <w:t>.</w:t>
      </w:r>
      <w:r w:rsidR="00A756D8">
        <w:rPr>
          <w:b/>
        </w:rPr>
        <w:tab/>
      </w:r>
      <w:r w:rsidR="002768D1" w:rsidRPr="00083B11">
        <w:rPr>
          <w:b/>
        </w:rPr>
        <w:t xml:space="preserve">Binding ANSAs members to human rights obligations fills </w:t>
      </w:r>
      <w:r w:rsidR="002768D1">
        <w:rPr>
          <w:b/>
        </w:rPr>
        <w:t xml:space="preserve">existing </w:t>
      </w:r>
      <w:r w:rsidR="002768D1" w:rsidRPr="00083B11">
        <w:rPr>
          <w:b/>
        </w:rPr>
        <w:t xml:space="preserve">gaps </w:t>
      </w:r>
      <w:r w:rsidR="002768D1">
        <w:rPr>
          <w:b/>
        </w:rPr>
        <w:lastRenderedPageBreak/>
        <w:t xml:space="preserve">in relation to </w:t>
      </w:r>
      <w:r w:rsidR="002768D1" w:rsidRPr="00083B11">
        <w:rPr>
          <w:b/>
        </w:rPr>
        <w:t xml:space="preserve">international accountability for human rights violations. It provides a legal foundation for access to remedies and reparation for </w:t>
      </w:r>
      <w:r w:rsidR="002768D1">
        <w:rPr>
          <w:b/>
        </w:rPr>
        <w:t xml:space="preserve">victims of </w:t>
      </w:r>
      <w:r w:rsidR="002768D1" w:rsidRPr="00083B11">
        <w:rPr>
          <w:b/>
        </w:rPr>
        <w:t>ANSAs violations.</w:t>
      </w:r>
      <w:r w:rsidR="00884EAC">
        <w:rPr>
          <w:rStyle w:val="FootnoteReference"/>
          <w:b/>
        </w:rPr>
        <w:footnoteReference w:id="104"/>
      </w:r>
      <w:r w:rsidR="002768D1" w:rsidRPr="00083B11">
        <w:rPr>
          <w:b/>
        </w:rPr>
        <w:t xml:space="preserve"> </w:t>
      </w:r>
    </w:p>
    <w:p w14:paraId="592E8970" w14:textId="77777777" w:rsidR="002768D1" w:rsidRPr="00083B11" w:rsidRDefault="002768D1" w:rsidP="00E34448">
      <w:pPr>
        <w:pStyle w:val="HChG"/>
        <w:spacing w:before="120"/>
      </w:pPr>
      <w:r w:rsidRPr="00083B11">
        <w:tab/>
      </w:r>
      <w:bookmarkStart w:id="11" w:name="_Toc484184267"/>
      <w:r w:rsidRPr="00083B11">
        <w:t>V.</w:t>
      </w:r>
      <w:r w:rsidRPr="00083B11">
        <w:tab/>
        <w:t>Recommendations</w:t>
      </w:r>
      <w:bookmarkEnd w:id="11"/>
    </w:p>
    <w:p w14:paraId="695B7EAD" w14:textId="77777777" w:rsidR="002768D1" w:rsidRPr="00A756D8" w:rsidRDefault="0097529A" w:rsidP="002768D1">
      <w:pPr>
        <w:ind w:left="1134" w:right="1134"/>
        <w:jc w:val="both"/>
        <w:outlineLvl w:val="0"/>
        <w:rPr>
          <w:rFonts w:asciiTheme="majorHAnsi" w:hAnsiTheme="majorHAnsi"/>
          <w:b/>
        </w:rPr>
      </w:pPr>
      <w:r>
        <w:t>99</w:t>
      </w:r>
      <w:r w:rsidR="002768D1">
        <w:t>.</w:t>
      </w:r>
      <w:r w:rsidR="002768D1">
        <w:tab/>
      </w:r>
      <w:r w:rsidR="002768D1" w:rsidRPr="00A756D8">
        <w:rPr>
          <w:rFonts w:asciiTheme="majorHAnsi" w:hAnsiTheme="majorHAnsi"/>
          <w:b/>
        </w:rPr>
        <w:t>States should:</w:t>
      </w:r>
    </w:p>
    <w:p w14:paraId="7617AFC0" w14:textId="23CE4D9A" w:rsidR="002768D1" w:rsidRPr="00E03B55" w:rsidRDefault="002768D1" w:rsidP="00E34448">
      <w:pPr>
        <w:pStyle w:val="SingleTxtG"/>
        <w:numPr>
          <w:ilvl w:val="0"/>
          <w:numId w:val="30"/>
        </w:numPr>
        <w:spacing w:before="120"/>
        <w:ind w:left="1134" w:firstLine="567"/>
        <w:rPr>
          <w:b/>
        </w:rPr>
      </w:pPr>
      <w:r w:rsidRPr="00E03B55">
        <w:rPr>
          <w:b/>
        </w:rPr>
        <w:t xml:space="preserve">Encourage ANSAs’ adoption of policies, practices, and codes of conduct </w:t>
      </w:r>
      <w:r w:rsidR="00287F77">
        <w:rPr>
          <w:b/>
        </w:rPr>
        <w:t xml:space="preserve">for </w:t>
      </w:r>
      <w:r w:rsidRPr="00E03B55">
        <w:rPr>
          <w:b/>
        </w:rPr>
        <w:t>human rights protection</w:t>
      </w:r>
      <w:r w:rsidR="00E34448">
        <w:rPr>
          <w:b/>
        </w:rPr>
        <w:t>;</w:t>
      </w:r>
    </w:p>
    <w:p w14:paraId="385FB7EB" w14:textId="77777777" w:rsidR="00847EE0" w:rsidRDefault="00847EE0" w:rsidP="00847EE0">
      <w:pPr>
        <w:pStyle w:val="SingleTxtG"/>
        <w:numPr>
          <w:ilvl w:val="0"/>
          <w:numId w:val="30"/>
        </w:numPr>
        <w:ind w:left="1134" w:firstLine="567"/>
        <w:rPr>
          <w:b/>
        </w:rPr>
      </w:pPr>
      <w:r>
        <w:rPr>
          <w:b/>
        </w:rPr>
        <w:t xml:space="preserve">Develop guidelines for human-rights based </w:t>
      </w:r>
      <w:r w:rsidRPr="00E03B55">
        <w:rPr>
          <w:b/>
        </w:rPr>
        <w:t>engagements with ANSAs</w:t>
      </w:r>
      <w:r>
        <w:rPr>
          <w:b/>
        </w:rPr>
        <w:t>;</w:t>
      </w:r>
    </w:p>
    <w:p w14:paraId="4E2C2EC7" w14:textId="2B93AAD3" w:rsidR="00AF2565" w:rsidRPr="00E03B55" w:rsidRDefault="005B6D60" w:rsidP="00847EE0">
      <w:pPr>
        <w:pStyle w:val="SingleTxtG"/>
        <w:numPr>
          <w:ilvl w:val="0"/>
          <w:numId w:val="30"/>
        </w:numPr>
        <w:ind w:left="1134" w:firstLine="567"/>
        <w:rPr>
          <w:b/>
        </w:rPr>
      </w:pPr>
      <w:r>
        <w:rPr>
          <w:b/>
        </w:rPr>
        <w:t xml:space="preserve">Fully implement </w:t>
      </w:r>
      <w:r w:rsidR="00E82E74">
        <w:rPr>
          <w:b/>
        </w:rPr>
        <w:t xml:space="preserve">their </w:t>
      </w:r>
      <w:r>
        <w:rPr>
          <w:b/>
        </w:rPr>
        <w:t>obligation</w:t>
      </w:r>
      <w:r w:rsidR="00AF2565">
        <w:rPr>
          <w:b/>
        </w:rPr>
        <w:t xml:space="preserve"> </w:t>
      </w:r>
      <w:r w:rsidR="00E82E74">
        <w:rPr>
          <w:b/>
        </w:rPr>
        <w:t>of</w:t>
      </w:r>
      <w:r w:rsidR="00AF2565">
        <w:rPr>
          <w:b/>
        </w:rPr>
        <w:t xml:space="preserve"> protect</w:t>
      </w:r>
      <w:r w:rsidR="00E82E74">
        <w:rPr>
          <w:b/>
        </w:rPr>
        <w:t>ion</w:t>
      </w:r>
      <w:r>
        <w:rPr>
          <w:b/>
        </w:rPr>
        <w:t xml:space="preserve"> against killings</w:t>
      </w:r>
      <w:r w:rsidR="00AF2565">
        <w:rPr>
          <w:b/>
        </w:rPr>
        <w:t xml:space="preserve"> </w:t>
      </w:r>
      <w:r>
        <w:rPr>
          <w:b/>
        </w:rPr>
        <w:t xml:space="preserve">by ANSAs; evaluate current </w:t>
      </w:r>
      <w:r w:rsidR="00E82E74">
        <w:rPr>
          <w:b/>
        </w:rPr>
        <w:t xml:space="preserve">due diligence </w:t>
      </w:r>
      <w:r>
        <w:rPr>
          <w:b/>
        </w:rPr>
        <w:t>mechanisms</w:t>
      </w:r>
      <w:r w:rsidR="00FE16D4">
        <w:rPr>
          <w:b/>
        </w:rPr>
        <w:t xml:space="preserve"> in light of ANSAs activities, </w:t>
      </w:r>
      <w:r>
        <w:rPr>
          <w:b/>
        </w:rPr>
        <w:t xml:space="preserve">and strengthen their implementation, in full respect with IHRL; </w:t>
      </w:r>
    </w:p>
    <w:p w14:paraId="05BE5117" w14:textId="492510DA" w:rsidR="002768D1" w:rsidRPr="00E03B55" w:rsidRDefault="002768D1" w:rsidP="00E34448">
      <w:pPr>
        <w:pStyle w:val="SingleTxtG"/>
        <w:numPr>
          <w:ilvl w:val="0"/>
          <w:numId w:val="30"/>
        </w:numPr>
        <w:ind w:left="1134" w:firstLine="567"/>
        <w:rPr>
          <w:b/>
        </w:rPr>
      </w:pPr>
      <w:r w:rsidRPr="00E03B55">
        <w:rPr>
          <w:b/>
        </w:rPr>
        <w:t xml:space="preserve">Hold ANSAs individual members to account under </w:t>
      </w:r>
      <w:r w:rsidR="002A39BD">
        <w:rPr>
          <w:b/>
        </w:rPr>
        <w:t xml:space="preserve">IHRL and </w:t>
      </w:r>
      <w:r w:rsidRPr="00E03B55">
        <w:rPr>
          <w:b/>
        </w:rPr>
        <w:t>ICL, when applicable</w:t>
      </w:r>
      <w:r w:rsidR="00E34448">
        <w:rPr>
          <w:b/>
        </w:rPr>
        <w:t>;</w:t>
      </w:r>
    </w:p>
    <w:p w14:paraId="2DAB244E" w14:textId="6F75C7F8" w:rsidR="002768D1" w:rsidRPr="00E03B55" w:rsidRDefault="002768D1" w:rsidP="00E34448">
      <w:pPr>
        <w:pStyle w:val="SingleTxtG"/>
        <w:numPr>
          <w:ilvl w:val="0"/>
          <w:numId w:val="30"/>
        </w:numPr>
        <w:ind w:left="1134" w:firstLine="567"/>
        <w:rPr>
          <w:b/>
        </w:rPr>
      </w:pPr>
      <w:r w:rsidRPr="00E03B55">
        <w:rPr>
          <w:b/>
        </w:rPr>
        <w:t>Define “membership,” “assistance,” “material support,” to illegal organizations, including “terrorist” organizations, armed groups or crim</w:t>
      </w:r>
      <w:r w:rsidR="00E82E74">
        <w:rPr>
          <w:b/>
        </w:rPr>
        <w:t>inal cartels, in ways that are</w:t>
      </w:r>
      <w:r w:rsidRPr="00E03B55">
        <w:rPr>
          <w:b/>
        </w:rPr>
        <w:t xml:space="preserve"> precise and restricted to the type of conduct </w:t>
      </w:r>
      <w:r w:rsidRPr="00E03B55">
        <w:rPr>
          <w:b/>
        </w:rPr>
        <w:lastRenderedPageBreak/>
        <w:t>to be suppressed for the purpose of prot</w:t>
      </w:r>
      <w:r w:rsidR="00E34448">
        <w:rPr>
          <w:b/>
        </w:rPr>
        <w:t>ecting human rights;</w:t>
      </w:r>
    </w:p>
    <w:p w14:paraId="199C9064" w14:textId="573A6CE9" w:rsidR="002768D1" w:rsidRPr="00E03B55" w:rsidRDefault="00322863" w:rsidP="00E34448">
      <w:pPr>
        <w:pStyle w:val="SingleTxtG"/>
        <w:numPr>
          <w:ilvl w:val="0"/>
          <w:numId w:val="30"/>
        </w:numPr>
        <w:ind w:left="1134" w:firstLine="567"/>
        <w:rPr>
          <w:b/>
        </w:rPr>
      </w:pPr>
      <w:r>
        <w:rPr>
          <w:b/>
        </w:rPr>
        <w:t xml:space="preserve">Ensure and </w:t>
      </w:r>
      <w:r w:rsidR="008325E3">
        <w:rPr>
          <w:b/>
        </w:rPr>
        <w:t>p</w:t>
      </w:r>
      <w:r w:rsidR="002768D1" w:rsidRPr="00E03B55">
        <w:rPr>
          <w:b/>
        </w:rPr>
        <w:t xml:space="preserve">ermit </w:t>
      </w:r>
      <w:r w:rsidR="008325E3">
        <w:rPr>
          <w:b/>
        </w:rPr>
        <w:t xml:space="preserve">international and national civil society organisations and others </w:t>
      </w:r>
      <w:r w:rsidR="002768D1" w:rsidRPr="00E03B55">
        <w:rPr>
          <w:b/>
        </w:rPr>
        <w:t xml:space="preserve">to engage with ANSAs </w:t>
      </w:r>
      <w:r w:rsidR="008325E3">
        <w:rPr>
          <w:b/>
        </w:rPr>
        <w:t xml:space="preserve">for the purpose </w:t>
      </w:r>
      <w:r w:rsidR="00E34448">
        <w:rPr>
          <w:b/>
        </w:rPr>
        <w:t xml:space="preserve">of </w:t>
      </w:r>
      <w:r w:rsidR="008325E3">
        <w:rPr>
          <w:b/>
        </w:rPr>
        <w:t xml:space="preserve">human rights </w:t>
      </w:r>
      <w:r w:rsidR="00E34448">
        <w:rPr>
          <w:b/>
        </w:rPr>
        <w:t>protection;</w:t>
      </w:r>
    </w:p>
    <w:p w14:paraId="265C0DD1" w14:textId="77777777" w:rsidR="002768D1" w:rsidRPr="00E03B55" w:rsidRDefault="002768D1" w:rsidP="00E34448">
      <w:pPr>
        <w:pStyle w:val="SingleTxtG"/>
        <w:numPr>
          <w:ilvl w:val="0"/>
          <w:numId w:val="30"/>
        </w:numPr>
        <w:ind w:left="1134" w:firstLine="567"/>
        <w:rPr>
          <w:b/>
        </w:rPr>
      </w:pPr>
      <w:r w:rsidRPr="00E03B55">
        <w:rPr>
          <w:b/>
        </w:rPr>
        <w:t>In situations of armed conflicts, respect the provisions of IHL and IHRL regarding humanitarian acc</w:t>
      </w:r>
      <w:r w:rsidR="00E34448">
        <w:rPr>
          <w:b/>
        </w:rPr>
        <w:t>ess and protection of civilians;</w:t>
      </w:r>
    </w:p>
    <w:p w14:paraId="348ADB53" w14:textId="77777777" w:rsidR="002768D1" w:rsidRPr="00E03B55" w:rsidRDefault="00322863" w:rsidP="00E34448">
      <w:pPr>
        <w:pStyle w:val="SingleTxtG"/>
        <w:numPr>
          <w:ilvl w:val="0"/>
          <w:numId w:val="30"/>
        </w:numPr>
        <w:ind w:left="1134" w:firstLine="567"/>
        <w:rPr>
          <w:b/>
        </w:rPr>
      </w:pPr>
      <w:r>
        <w:rPr>
          <w:b/>
        </w:rPr>
        <w:t>D</w:t>
      </w:r>
      <w:r w:rsidR="002768D1" w:rsidRPr="00E03B55">
        <w:rPr>
          <w:b/>
        </w:rPr>
        <w:t>esign nuanced and flexible li</w:t>
      </w:r>
      <w:r w:rsidR="00E34448">
        <w:rPr>
          <w:b/>
        </w:rPr>
        <w:t>sting and delisting instruments</w:t>
      </w:r>
      <w:r>
        <w:rPr>
          <w:b/>
        </w:rPr>
        <w:t xml:space="preserve"> related to “terrorism”</w:t>
      </w:r>
      <w:r w:rsidR="00E34448">
        <w:rPr>
          <w:b/>
        </w:rPr>
        <w:t>.</w:t>
      </w:r>
    </w:p>
    <w:p w14:paraId="56C3D2CB" w14:textId="77777777" w:rsidR="001E116A" w:rsidRDefault="001E116A" w:rsidP="002768D1">
      <w:pPr>
        <w:widowControl w:val="0"/>
        <w:ind w:left="1134" w:right="1134"/>
        <w:jc w:val="both"/>
        <w:outlineLvl w:val="0"/>
        <w:rPr>
          <w:b/>
        </w:rPr>
      </w:pPr>
    </w:p>
    <w:p w14:paraId="6EF1ACC3" w14:textId="011BB3C4" w:rsidR="002768D1" w:rsidRDefault="001E116A" w:rsidP="002768D1">
      <w:pPr>
        <w:widowControl w:val="0"/>
        <w:ind w:left="1134" w:right="1134"/>
        <w:jc w:val="both"/>
        <w:outlineLvl w:val="0"/>
        <w:rPr>
          <w:b/>
        </w:rPr>
      </w:pPr>
      <w:r>
        <w:rPr>
          <w:b/>
        </w:rPr>
        <w:t>100</w:t>
      </w:r>
      <w:r w:rsidR="002768D1" w:rsidRPr="00E03B55">
        <w:rPr>
          <w:b/>
        </w:rPr>
        <w:t>.</w:t>
      </w:r>
      <w:r w:rsidR="002768D1" w:rsidRPr="00E03B55">
        <w:rPr>
          <w:b/>
        </w:rPr>
        <w:tab/>
      </w:r>
      <w:r w:rsidR="009D3F78">
        <w:rPr>
          <w:b/>
        </w:rPr>
        <w:t xml:space="preserve">States, </w:t>
      </w:r>
      <w:r w:rsidR="002768D1" w:rsidRPr="00E03B55">
        <w:rPr>
          <w:b/>
        </w:rPr>
        <w:t>under the auspices of the UN</w:t>
      </w:r>
      <w:r w:rsidR="009D3F78">
        <w:rPr>
          <w:b/>
        </w:rPr>
        <w:t xml:space="preserve"> or other international process</w:t>
      </w:r>
      <w:r w:rsidR="002768D1" w:rsidRPr="00E03B55">
        <w:rPr>
          <w:b/>
        </w:rPr>
        <w:t xml:space="preserve">, should: </w:t>
      </w:r>
    </w:p>
    <w:p w14:paraId="487DA3F5" w14:textId="77777777" w:rsidR="005843B3" w:rsidRPr="00E03B55" w:rsidRDefault="005843B3" w:rsidP="002768D1">
      <w:pPr>
        <w:widowControl w:val="0"/>
        <w:ind w:left="1134" w:right="1134"/>
        <w:jc w:val="both"/>
        <w:outlineLvl w:val="0"/>
        <w:rPr>
          <w:b/>
        </w:rPr>
      </w:pPr>
    </w:p>
    <w:p w14:paraId="23859C37" w14:textId="55FB0459" w:rsidR="001E116A" w:rsidRPr="00E03B55" w:rsidRDefault="000B2542" w:rsidP="001E116A">
      <w:pPr>
        <w:pStyle w:val="SingleTxtG"/>
        <w:numPr>
          <w:ilvl w:val="0"/>
          <w:numId w:val="34"/>
        </w:numPr>
        <w:ind w:firstLine="990"/>
        <w:rPr>
          <w:b/>
        </w:rPr>
      </w:pPr>
      <w:r>
        <w:rPr>
          <w:b/>
        </w:rPr>
        <w:t>Strengthen accountability for ANSAs human rights violations</w:t>
      </w:r>
      <w:r w:rsidRPr="00E03B55">
        <w:rPr>
          <w:b/>
        </w:rPr>
        <w:t xml:space="preserve"> </w:t>
      </w:r>
      <w:r>
        <w:rPr>
          <w:b/>
        </w:rPr>
        <w:t>including by e</w:t>
      </w:r>
      <w:r w:rsidR="001E116A" w:rsidRPr="00E03B55">
        <w:rPr>
          <w:b/>
        </w:rPr>
        <w:t>stablish</w:t>
      </w:r>
      <w:r>
        <w:rPr>
          <w:b/>
        </w:rPr>
        <w:t>ing</w:t>
      </w:r>
      <w:r w:rsidR="001E116A" w:rsidRPr="00E03B55">
        <w:rPr>
          <w:b/>
        </w:rPr>
        <w:t xml:space="preserve"> trust funds to ensure remedies and reparations for victims of ANSAs violations</w:t>
      </w:r>
      <w:r w:rsidR="001E116A">
        <w:rPr>
          <w:b/>
        </w:rPr>
        <w:t>;</w:t>
      </w:r>
      <w:r>
        <w:rPr>
          <w:b/>
        </w:rPr>
        <w:t xml:space="preserve"> Imposing</w:t>
      </w:r>
      <w:r w:rsidR="00712634">
        <w:rPr>
          <w:b/>
        </w:rPr>
        <w:t xml:space="preserve"> sanctions</w:t>
      </w:r>
      <w:r w:rsidR="003162BA">
        <w:rPr>
          <w:b/>
        </w:rPr>
        <w:t xml:space="preserve"> on ANSAs leaders responsible for</w:t>
      </w:r>
      <w:r w:rsidR="00712634">
        <w:rPr>
          <w:b/>
        </w:rPr>
        <w:t xml:space="preserve"> human rights violations;</w:t>
      </w:r>
    </w:p>
    <w:p w14:paraId="2DB909C0" w14:textId="16019BAB" w:rsidR="002768D1" w:rsidRPr="005B40A7" w:rsidRDefault="002768D1" w:rsidP="005B40A7">
      <w:pPr>
        <w:pStyle w:val="SingleTxtG"/>
        <w:numPr>
          <w:ilvl w:val="0"/>
          <w:numId w:val="34"/>
        </w:numPr>
        <w:ind w:left="1134" w:firstLine="567"/>
        <w:rPr>
          <w:b/>
        </w:rPr>
      </w:pPr>
      <w:r w:rsidRPr="00E03B55">
        <w:rPr>
          <w:b/>
        </w:rPr>
        <w:t xml:space="preserve">Support </w:t>
      </w:r>
      <w:r w:rsidR="00855E4D">
        <w:rPr>
          <w:b/>
        </w:rPr>
        <w:t>initiatives to develop</w:t>
      </w:r>
      <w:r w:rsidR="00344A1D">
        <w:rPr>
          <w:b/>
        </w:rPr>
        <w:t xml:space="preserve"> a coherent</w:t>
      </w:r>
      <w:r w:rsidRPr="00E03B55">
        <w:rPr>
          <w:b/>
        </w:rPr>
        <w:t xml:space="preserve"> </w:t>
      </w:r>
      <w:r w:rsidR="00344A1D">
        <w:rPr>
          <w:b/>
        </w:rPr>
        <w:t>taxonomy of ANSAs</w:t>
      </w:r>
      <w:r w:rsidR="005B40A7">
        <w:rPr>
          <w:b/>
        </w:rPr>
        <w:t xml:space="preserve"> </w:t>
      </w:r>
      <w:r w:rsidR="00344A1D">
        <w:rPr>
          <w:b/>
        </w:rPr>
        <w:t xml:space="preserve">and </w:t>
      </w:r>
      <w:r w:rsidR="00184D0C">
        <w:rPr>
          <w:b/>
        </w:rPr>
        <w:t>identify</w:t>
      </w:r>
      <w:r w:rsidR="000B2542">
        <w:rPr>
          <w:b/>
        </w:rPr>
        <w:t xml:space="preserve"> </w:t>
      </w:r>
      <w:r w:rsidRPr="00E03B55">
        <w:rPr>
          <w:b/>
        </w:rPr>
        <w:t>indicators to assess ANSAs</w:t>
      </w:r>
      <w:r w:rsidR="00344A1D">
        <w:rPr>
          <w:b/>
        </w:rPr>
        <w:t>’</w:t>
      </w:r>
      <w:r w:rsidRPr="00E03B55">
        <w:rPr>
          <w:b/>
        </w:rPr>
        <w:t xml:space="preserve"> governance</w:t>
      </w:r>
      <w:r w:rsidR="0005179E">
        <w:rPr>
          <w:b/>
        </w:rPr>
        <w:t xml:space="preserve"> and capacity to hold h</w:t>
      </w:r>
      <w:r w:rsidR="00846C78">
        <w:rPr>
          <w:b/>
        </w:rPr>
        <w:t xml:space="preserve">uman </w:t>
      </w:r>
      <w:r w:rsidR="0005179E">
        <w:rPr>
          <w:b/>
        </w:rPr>
        <w:t>r</w:t>
      </w:r>
      <w:r w:rsidR="00846C78">
        <w:rPr>
          <w:b/>
        </w:rPr>
        <w:t xml:space="preserve">ights </w:t>
      </w:r>
      <w:r w:rsidR="0005179E">
        <w:rPr>
          <w:b/>
        </w:rPr>
        <w:t>o</w:t>
      </w:r>
      <w:r w:rsidR="00846C78">
        <w:rPr>
          <w:b/>
        </w:rPr>
        <w:t>bligation</w:t>
      </w:r>
      <w:r w:rsidRPr="00E03B55">
        <w:rPr>
          <w:b/>
        </w:rPr>
        <w:t xml:space="preserve">s; </w:t>
      </w:r>
    </w:p>
    <w:p w14:paraId="110402EE" w14:textId="64177432" w:rsidR="007A49A8" w:rsidRPr="007A49A8" w:rsidRDefault="00846C78" w:rsidP="007A49A8">
      <w:pPr>
        <w:pStyle w:val="SingleTxtG"/>
        <w:numPr>
          <w:ilvl w:val="0"/>
          <w:numId w:val="34"/>
        </w:numPr>
        <w:ind w:left="1134" w:firstLine="567"/>
        <w:rPr>
          <w:b/>
        </w:rPr>
      </w:pPr>
      <w:r>
        <w:rPr>
          <w:b/>
        </w:rPr>
        <w:t xml:space="preserve">Support </w:t>
      </w:r>
      <w:r w:rsidRPr="007A49A8">
        <w:rPr>
          <w:b/>
        </w:rPr>
        <w:t xml:space="preserve">research into </w:t>
      </w:r>
      <w:r w:rsidR="002768D1" w:rsidRPr="007A49A8">
        <w:rPr>
          <w:b/>
        </w:rPr>
        <w:t xml:space="preserve">the </w:t>
      </w:r>
      <w:r w:rsidR="000B2542">
        <w:rPr>
          <w:b/>
        </w:rPr>
        <w:t xml:space="preserve">background, </w:t>
      </w:r>
      <w:r w:rsidR="00BD478B">
        <w:rPr>
          <w:b/>
        </w:rPr>
        <w:t xml:space="preserve">legal </w:t>
      </w:r>
      <w:r w:rsidR="002768D1" w:rsidRPr="007A49A8">
        <w:rPr>
          <w:b/>
        </w:rPr>
        <w:t xml:space="preserve">status and impact of U.N. Security </w:t>
      </w:r>
      <w:r w:rsidR="002768D1" w:rsidRPr="007A49A8">
        <w:rPr>
          <w:b/>
        </w:rPr>
        <w:lastRenderedPageBreak/>
        <w:t>Council</w:t>
      </w:r>
      <w:r w:rsidR="00EA7E9F">
        <w:rPr>
          <w:b/>
        </w:rPr>
        <w:t>, General Assembly and Human Rights Council</w:t>
      </w:r>
      <w:r w:rsidR="002768D1" w:rsidRPr="007A49A8">
        <w:rPr>
          <w:b/>
        </w:rPr>
        <w:t xml:space="preserve"> resolutions</w:t>
      </w:r>
      <w:r w:rsidR="00BD478B">
        <w:rPr>
          <w:b/>
        </w:rPr>
        <w:t xml:space="preserve"> on ANSAs</w:t>
      </w:r>
      <w:r w:rsidR="00E34448" w:rsidRPr="007A49A8">
        <w:rPr>
          <w:b/>
        </w:rPr>
        <w:t>;</w:t>
      </w:r>
    </w:p>
    <w:p w14:paraId="25441BE5" w14:textId="2C94A591" w:rsidR="00712634" w:rsidRPr="00712634" w:rsidRDefault="007A49A8" w:rsidP="00712634">
      <w:pPr>
        <w:pStyle w:val="SingleTxtG"/>
        <w:numPr>
          <w:ilvl w:val="0"/>
          <w:numId w:val="34"/>
        </w:numPr>
        <w:ind w:left="1134" w:firstLine="567"/>
        <w:rPr>
          <w:b/>
        </w:rPr>
      </w:pPr>
      <w:r w:rsidRPr="007A49A8">
        <w:rPr>
          <w:b/>
          <w:lang w:val="en-US"/>
        </w:rPr>
        <w:t xml:space="preserve">Identify, </w:t>
      </w:r>
      <w:r w:rsidR="000B2542">
        <w:rPr>
          <w:b/>
          <w:lang w:val="en-US"/>
        </w:rPr>
        <w:t xml:space="preserve">evaluate, develop </w:t>
      </w:r>
      <w:r w:rsidRPr="007A49A8">
        <w:rPr>
          <w:b/>
          <w:lang w:val="en-US"/>
        </w:rPr>
        <w:t>and</w:t>
      </w:r>
      <w:r w:rsidR="000B2542">
        <w:rPr>
          <w:b/>
          <w:lang w:val="en-US"/>
        </w:rPr>
        <w:t>/or</w:t>
      </w:r>
      <w:r w:rsidRPr="007A49A8">
        <w:rPr>
          <w:b/>
          <w:lang w:val="en-US"/>
        </w:rPr>
        <w:t xml:space="preserve"> implement mechanisms to move international law toward a </w:t>
      </w:r>
      <w:r w:rsidR="00BD478B">
        <w:rPr>
          <w:b/>
          <w:lang w:val="en-US"/>
        </w:rPr>
        <w:t>more formal recognition of ANSAs</w:t>
      </w:r>
      <w:r w:rsidRPr="007A49A8">
        <w:rPr>
          <w:b/>
          <w:lang w:val="en-US"/>
        </w:rPr>
        <w:t xml:space="preserve"> obligations under IHRL</w:t>
      </w:r>
      <w:r w:rsidR="00712634">
        <w:rPr>
          <w:b/>
          <w:lang w:val="en-US"/>
        </w:rPr>
        <w:t>;</w:t>
      </w:r>
    </w:p>
    <w:p w14:paraId="609218E5" w14:textId="40EEE5F3" w:rsidR="00712634" w:rsidRPr="00712634" w:rsidRDefault="00712634" w:rsidP="00712634">
      <w:pPr>
        <w:pStyle w:val="SingleTxtG"/>
        <w:numPr>
          <w:ilvl w:val="0"/>
          <w:numId w:val="34"/>
        </w:numPr>
        <w:ind w:left="1134" w:firstLine="567"/>
        <w:rPr>
          <w:b/>
        </w:rPr>
      </w:pPr>
      <w:r w:rsidRPr="00712634">
        <w:rPr>
          <w:b/>
        </w:rPr>
        <w:t>Explore the establishment of specialized human rights court(s) to try ANSAs;</w:t>
      </w:r>
    </w:p>
    <w:p w14:paraId="5FD4C602" w14:textId="322F6DBF" w:rsidR="002768D1" w:rsidRPr="007A49A8" w:rsidRDefault="007A49A8" w:rsidP="00712634">
      <w:pPr>
        <w:pStyle w:val="SingleTxtG"/>
        <w:ind w:left="1701"/>
        <w:rPr>
          <w:b/>
        </w:rPr>
      </w:pPr>
      <w:r w:rsidRPr="007A49A8">
        <w:rPr>
          <w:b/>
          <w:lang w:val="en-US"/>
        </w:rPr>
        <w:t xml:space="preserve"> </w:t>
      </w:r>
    </w:p>
    <w:p w14:paraId="2562B4EE" w14:textId="77777777" w:rsidR="001E116A" w:rsidRDefault="001E116A" w:rsidP="001E116A">
      <w:pPr>
        <w:widowControl w:val="0"/>
        <w:ind w:left="567" w:right="1134" w:firstLine="567"/>
        <w:jc w:val="both"/>
        <w:outlineLvl w:val="0"/>
        <w:rPr>
          <w:b/>
        </w:rPr>
      </w:pPr>
    </w:p>
    <w:p w14:paraId="4E003F04" w14:textId="135B01DA" w:rsidR="001E116A" w:rsidRDefault="001E116A" w:rsidP="001E116A">
      <w:pPr>
        <w:widowControl w:val="0"/>
        <w:ind w:left="567" w:right="1134" w:firstLine="567"/>
        <w:jc w:val="both"/>
        <w:outlineLvl w:val="0"/>
        <w:rPr>
          <w:b/>
        </w:rPr>
      </w:pPr>
      <w:r>
        <w:rPr>
          <w:b/>
        </w:rPr>
        <w:t>101</w:t>
      </w:r>
      <w:r w:rsidRPr="00E03B55">
        <w:rPr>
          <w:b/>
        </w:rPr>
        <w:t>.</w:t>
      </w:r>
      <w:r w:rsidRPr="00E03B55">
        <w:rPr>
          <w:b/>
        </w:rPr>
        <w:tab/>
        <w:t>ANSAs should:</w:t>
      </w:r>
    </w:p>
    <w:p w14:paraId="7A7E64DD" w14:textId="77777777" w:rsidR="001E116A" w:rsidRPr="00E03B55" w:rsidRDefault="001E116A" w:rsidP="001E116A">
      <w:pPr>
        <w:widowControl w:val="0"/>
        <w:ind w:left="567" w:right="1134" w:firstLine="567"/>
        <w:jc w:val="both"/>
        <w:outlineLvl w:val="0"/>
        <w:rPr>
          <w:b/>
        </w:rPr>
      </w:pPr>
    </w:p>
    <w:p w14:paraId="5DF063BA" w14:textId="77777777" w:rsidR="001E116A" w:rsidRPr="00E03B55" w:rsidRDefault="001E116A" w:rsidP="001E116A">
      <w:pPr>
        <w:pStyle w:val="SingleTxtG"/>
        <w:numPr>
          <w:ilvl w:val="0"/>
          <w:numId w:val="32"/>
        </w:numPr>
        <w:ind w:left="1134" w:firstLine="567"/>
        <w:rPr>
          <w:b/>
        </w:rPr>
      </w:pPr>
      <w:r w:rsidRPr="00E03B55">
        <w:rPr>
          <w:b/>
        </w:rPr>
        <w:t>Respect the right to life, without discrimination, including the prohibition agains</w:t>
      </w:r>
      <w:r>
        <w:rPr>
          <w:b/>
        </w:rPr>
        <w:t>t arbitrary deprivation of life;</w:t>
      </w:r>
    </w:p>
    <w:p w14:paraId="6A2EB0B5" w14:textId="77777777" w:rsidR="001E116A" w:rsidRPr="00E03B55" w:rsidRDefault="001E116A" w:rsidP="001E116A">
      <w:pPr>
        <w:pStyle w:val="SingleTxtG"/>
        <w:numPr>
          <w:ilvl w:val="0"/>
          <w:numId w:val="32"/>
        </w:numPr>
        <w:ind w:left="1134" w:firstLine="567"/>
        <w:rPr>
          <w:b/>
        </w:rPr>
      </w:pPr>
      <w:r w:rsidRPr="00E03B55">
        <w:rPr>
          <w:b/>
        </w:rPr>
        <w:t>Protect all civilians as well as members of armed forces hors de combat or taken prisoners</w:t>
      </w:r>
      <w:r>
        <w:rPr>
          <w:b/>
        </w:rPr>
        <w:t>;</w:t>
      </w:r>
    </w:p>
    <w:p w14:paraId="1C3DFD4D" w14:textId="77777777" w:rsidR="001E116A" w:rsidRPr="00E03B55" w:rsidRDefault="001E116A" w:rsidP="001E116A">
      <w:pPr>
        <w:pStyle w:val="SingleTxtG"/>
        <w:numPr>
          <w:ilvl w:val="0"/>
          <w:numId w:val="32"/>
        </w:numPr>
        <w:ind w:left="1134" w:firstLine="567"/>
        <w:rPr>
          <w:b/>
        </w:rPr>
      </w:pPr>
      <w:r w:rsidRPr="00E03B55">
        <w:rPr>
          <w:b/>
        </w:rPr>
        <w:t xml:space="preserve">Adopt and implement policies, practices, and codes of conduct to </w:t>
      </w:r>
      <w:r>
        <w:rPr>
          <w:b/>
        </w:rPr>
        <w:t xml:space="preserve">protect </w:t>
      </w:r>
      <w:r w:rsidRPr="00E03B55">
        <w:rPr>
          <w:b/>
        </w:rPr>
        <w:t>human rights; Draft or contribute to the drafting of commitments</w:t>
      </w:r>
      <w:r>
        <w:rPr>
          <w:b/>
        </w:rPr>
        <w:t>;</w:t>
      </w:r>
    </w:p>
    <w:p w14:paraId="112B3BE2" w14:textId="77777777" w:rsidR="001E116A" w:rsidRPr="00E03B55" w:rsidRDefault="001E116A" w:rsidP="001E116A">
      <w:pPr>
        <w:pStyle w:val="SingleTxtG"/>
        <w:numPr>
          <w:ilvl w:val="0"/>
          <w:numId w:val="32"/>
        </w:numPr>
        <w:ind w:left="1134" w:firstLine="567"/>
        <w:rPr>
          <w:b/>
        </w:rPr>
      </w:pPr>
      <w:r w:rsidRPr="00E03B55">
        <w:rPr>
          <w:b/>
        </w:rPr>
        <w:t xml:space="preserve">Not engage </w:t>
      </w:r>
      <w:r>
        <w:rPr>
          <w:b/>
        </w:rPr>
        <w:t>in reprisal or revenge attacks;</w:t>
      </w:r>
    </w:p>
    <w:p w14:paraId="42A4F676" w14:textId="47889031" w:rsidR="001E116A" w:rsidRPr="00E03B55" w:rsidRDefault="001E116A" w:rsidP="001E116A">
      <w:pPr>
        <w:pStyle w:val="SingleTxtG"/>
        <w:numPr>
          <w:ilvl w:val="0"/>
          <w:numId w:val="32"/>
        </w:numPr>
        <w:ind w:left="1134" w:firstLine="567"/>
        <w:rPr>
          <w:b/>
        </w:rPr>
      </w:pPr>
      <w:r w:rsidRPr="00E03B55">
        <w:rPr>
          <w:b/>
        </w:rPr>
        <w:t>Allow external independent and impartial bodies to monitor compliance wi</w:t>
      </w:r>
      <w:r>
        <w:rPr>
          <w:b/>
        </w:rPr>
        <w:t>th human rights commitments</w:t>
      </w:r>
      <w:r w:rsidR="009F6D5C">
        <w:rPr>
          <w:b/>
        </w:rPr>
        <w:t xml:space="preserve"> and obligations</w:t>
      </w:r>
      <w:r>
        <w:rPr>
          <w:b/>
        </w:rPr>
        <w:t>;</w:t>
      </w:r>
    </w:p>
    <w:p w14:paraId="4D8FF0E5" w14:textId="77777777" w:rsidR="001E116A" w:rsidRPr="00E03B55" w:rsidRDefault="001E116A" w:rsidP="001E116A">
      <w:pPr>
        <w:pStyle w:val="SingleTxtG"/>
        <w:numPr>
          <w:ilvl w:val="0"/>
          <w:numId w:val="32"/>
        </w:numPr>
        <w:ind w:left="1134" w:firstLine="567"/>
        <w:rPr>
          <w:b/>
        </w:rPr>
      </w:pPr>
      <w:r w:rsidRPr="00E03B55">
        <w:rPr>
          <w:b/>
        </w:rPr>
        <w:lastRenderedPageBreak/>
        <w:t>Abide by the principle of non-discrimination in all their policies/governance interventions</w:t>
      </w:r>
      <w:r>
        <w:rPr>
          <w:b/>
        </w:rPr>
        <w:t>;</w:t>
      </w:r>
    </w:p>
    <w:p w14:paraId="26196DD7" w14:textId="77777777" w:rsidR="001E116A" w:rsidRPr="00E03B55" w:rsidRDefault="001E116A" w:rsidP="001E116A">
      <w:pPr>
        <w:pStyle w:val="SingleTxtG"/>
        <w:numPr>
          <w:ilvl w:val="0"/>
          <w:numId w:val="32"/>
        </w:numPr>
        <w:ind w:left="1134" w:firstLine="567"/>
        <w:rPr>
          <w:b/>
        </w:rPr>
      </w:pPr>
      <w:r w:rsidRPr="00E03B55">
        <w:rPr>
          <w:b/>
        </w:rPr>
        <w:t>Adopt and implement minimum guaran</w:t>
      </w:r>
      <w:r>
        <w:rPr>
          <w:b/>
        </w:rPr>
        <w:t>tees related to law enforcement;</w:t>
      </w:r>
    </w:p>
    <w:p w14:paraId="3897931E" w14:textId="77777777" w:rsidR="001E116A" w:rsidRPr="00E03B55" w:rsidRDefault="001E116A" w:rsidP="001E116A">
      <w:pPr>
        <w:pStyle w:val="SingleTxtG"/>
        <w:numPr>
          <w:ilvl w:val="0"/>
          <w:numId w:val="32"/>
        </w:numPr>
        <w:ind w:left="1134" w:firstLine="567"/>
        <w:rPr>
          <w:b/>
        </w:rPr>
      </w:pPr>
      <w:r w:rsidRPr="00E03B55">
        <w:rPr>
          <w:b/>
        </w:rPr>
        <w:t>Ensure access to international humanitarian assistance of populations under their control</w:t>
      </w:r>
      <w:r>
        <w:rPr>
          <w:b/>
        </w:rPr>
        <w:t>.</w:t>
      </w:r>
    </w:p>
    <w:p w14:paraId="1ECC0CA5" w14:textId="77777777" w:rsidR="001E116A" w:rsidRDefault="001E116A" w:rsidP="002768D1">
      <w:pPr>
        <w:widowControl w:val="0"/>
        <w:ind w:left="567" w:right="1134" w:firstLine="567"/>
        <w:jc w:val="both"/>
        <w:outlineLvl w:val="0"/>
        <w:rPr>
          <w:b/>
        </w:rPr>
      </w:pPr>
    </w:p>
    <w:p w14:paraId="150DD064" w14:textId="77777777" w:rsidR="001E116A" w:rsidRDefault="001E116A" w:rsidP="002768D1">
      <w:pPr>
        <w:widowControl w:val="0"/>
        <w:ind w:left="567" w:right="1134" w:firstLine="567"/>
        <w:jc w:val="both"/>
        <w:outlineLvl w:val="0"/>
        <w:rPr>
          <w:b/>
        </w:rPr>
      </w:pPr>
    </w:p>
    <w:p w14:paraId="00BD2A00" w14:textId="24DBDFE0" w:rsidR="002768D1" w:rsidRDefault="0097529A" w:rsidP="002768D1">
      <w:pPr>
        <w:widowControl w:val="0"/>
        <w:ind w:left="567" w:right="1134" w:firstLine="567"/>
        <w:jc w:val="both"/>
        <w:outlineLvl w:val="0"/>
        <w:rPr>
          <w:b/>
        </w:rPr>
      </w:pPr>
      <w:r w:rsidRPr="00E03B55">
        <w:rPr>
          <w:b/>
        </w:rPr>
        <w:t>102</w:t>
      </w:r>
      <w:r w:rsidR="002768D1" w:rsidRPr="00E03B55">
        <w:rPr>
          <w:b/>
        </w:rPr>
        <w:t>.</w:t>
      </w:r>
      <w:r w:rsidR="002768D1" w:rsidRPr="00E03B55">
        <w:rPr>
          <w:b/>
        </w:rPr>
        <w:tab/>
        <w:t>UN Agencies</w:t>
      </w:r>
      <w:r w:rsidR="002B5C41">
        <w:rPr>
          <w:b/>
        </w:rPr>
        <w:t>, International and National Civil Society Organisations</w:t>
      </w:r>
      <w:r w:rsidR="002768D1" w:rsidRPr="00E03B55">
        <w:rPr>
          <w:b/>
        </w:rPr>
        <w:t xml:space="preserve"> should:</w:t>
      </w:r>
    </w:p>
    <w:p w14:paraId="7400EB5C" w14:textId="77777777" w:rsidR="00846C78" w:rsidRPr="00E03B55" w:rsidRDefault="00846C78" w:rsidP="002768D1">
      <w:pPr>
        <w:widowControl w:val="0"/>
        <w:ind w:left="567" w:right="1134" w:firstLine="567"/>
        <w:jc w:val="both"/>
        <w:outlineLvl w:val="0"/>
        <w:rPr>
          <w:b/>
        </w:rPr>
      </w:pPr>
    </w:p>
    <w:p w14:paraId="62520C73" w14:textId="1DA40A0E" w:rsidR="002768D1" w:rsidRPr="00E03B55" w:rsidRDefault="0059304E" w:rsidP="00E34448">
      <w:pPr>
        <w:pStyle w:val="SingleTxtG"/>
        <w:numPr>
          <w:ilvl w:val="0"/>
          <w:numId w:val="36"/>
        </w:numPr>
        <w:ind w:left="1134" w:firstLine="567"/>
        <w:rPr>
          <w:b/>
        </w:rPr>
      </w:pPr>
      <w:r>
        <w:rPr>
          <w:b/>
        </w:rPr>
        <w:t>Develop and i</w:t>
      </w:r>
      <w:r w:rsidR="0013264B">
        <w:rPr>
          <w:b/>
        </w:rPr>
        <w:t>mplement guidelines for e</w:t>
      </w:r>
      <w:r w:rsidR="002768D1" w:rsidRPr="00E03B55">
        <w:rPr>
          <w:b/>
        </w:rPr>
        <w:t>ngage</w:t>
      </w:r>
      <w:r w:rsidR="0013264B">
        <w:rPr>
          <w:b/>
        </w:rPr>
        <w:t>ment</w:t>
      </w:r>
      <w:r w:rsidR="002768D1" w:rsidRPr="00E03B55">
        <w:rPr>
          <w:b/>
        </w:rPr>
        <w:t xml:space="preserve"> with ANSAs for the purpose of human rights protection</w:t>
      </w:r>
      <w:r w:rsidR="00E34448">
        <w:rPr>
          <w:b/>
        </w:rPr>
        <w:t>;</w:t>
      </w:r>
      <w:r w:rsidR="0013264B">
        <w:rPr>
          <w:b/>
        </w:rPr>
        <w:t xml:space="preserve"> </w:t>
      </w:r>
    </w:p>
    <w:p w14:paraId="00B4900B" w14:textId="70E09257" w:rsidR="002768D1" w:rsidRPr="00E03B55" w:rsidRDefault="002768D1" w:rsidP="00E34448">
      <w:pPr>
        <w:pStyle w:val="SingleTxtG"/>
        <w:numPr>
          <w:ilvl w:val="0"/>
          <w:numId w:val="36"/>
        </w:numPr>
        <w:ind w:left="1134" w:firstLine="567"/>
        <w:rPr>
          <w:b/>
        </w:rPr>
      </w:pPr>
      <w:r w:rsidRPr="00E03B55">
        <w:rPr>
          <w:b/>
        </w:rPr>
        <w:t>Encourage and support ANSAs</w:t>
      </w:r>
      <w:r w:rsidR="0059304E">
        <w:rPr>
          <w:b/>
        </w:rPr>
        <w:t>’</w:t>
      </w:r>
      <w:r w:rsidRPr="00E03B55">
        <w:rPr>
          <w:b/>
        </w:rPr>
        <w:t xml:space="preserve"> adoption of, and adherence to, IHRL</w:t>
      </w:r>
      <w:r w:rsidR="00E34448">
        <w:rPr>
          <w:b/>
        </w:rPr>
        <w:t>;</w:t>
      </w:r>
    </w:p>
    <w:p w14:paraId="2A069791" w14:textId="06BC6487" w:rsidR="002768D1" w:rsidRPr="00E03B55" w:rsidRDefault="002768D1" w:rsidP="00E34448">
      <w:pPr>
        <w:pStyle w:val="SingleTxtG"/>
        <w:numPr>
          <w:ilvl w:val="0"/>
          <w:numId w:val="36"/>
        </w:numPr>
        <w:ind w:left="1134" w:firstLine="567"/>
        <w:rPr>
          <w:b/>
        </w:rPr>
      </w:pPr>
      <w:r w:rsidRPr="00E03B55">
        <w:rPr>
          <w:b/>
        </w:rPr>
        <w:t>Encourage and support ANSAs</w:t>
      </w:r>
      <w:r w:rsidR="0059304E">
        <w:rPr>
          <w:b/>
        </w:rPr>
        <w:t>’</w:t>
      </w:r>
      <w:r w:rsidRPr="00E03B55">
        <w:rPr>
          <w:b/>
        </w:rPr>
        <w:t xml:space="preserve"> development of writte</w:t>
      </w:r>
      <w:r w:rsidR="0013264B">
        <w:rPr>
          <w:b/>
        </w:rPr>
        <w:t xml:space="preserve">n commitments on </w:t>
      </w:r>
      <w:r w:rsidR="0059304E">
        <w:rPr>
          <w:b/>
        </w:rPr>
        <w:t>human rights</w:t>
      </w:r>
      <w:r w:rsidR="0013264B">
        <w:rPr>
          <w:b/>
        </w:rPr>
        <w:t xml:space="preserve"> protection, including oversight monitoring mechanisms;</w:t>
      </w:r>
    </w:p>
    <w:p w14:paraId="59F1578A" w14:textId="77777777" w:rsidR="002768D1" w:rsidRPr="00E03B55" w:rsidRDefault="002768D1" w:rsidP="00E34448">
      <w:pPr>
        <w:pStyle w:val="SingleTxtG"/>
        <w:numPr>
          <w:ilvl w:val="0"/>
          <w:numId w:val="36"/>
        </w:numPr>
        <w:ind w:left="1134" w:firstLine="567"/>
        <w:rPr>
          <w:b/>
        </w:rPr>
      </w:pPr>
      <w:r w:rsidRPr="00E03B55">
        <w:rPr>
          <w:b/>
        </w:rPr>
        <w:t xml:space="preserve">Provide </w:t>
      </w:r>
      <w:r w:rsidR="0024228E">
        <w:rPr>
          <w:b/>
        </w:rPr>
        <w:t xml:space="preserve">human rights </w:t>
      </w:r>
      <w:r w:rsidRPr="00E03B55">
        <w:rPr>
          <w:b/>
        </w:rPr>
        <w:t>technical advice and trainings to ANSAs</w:t>
      </w:r>
      <w:r w:rsidR="00E34448">
        <w:rPr>
          <w:b/>
        </w:rPr>
        <w:t>;</w:t>
      </w:r>
    </w:p>
    <w:p w14:paraId="1AB82183" w14:textId="5E0D23C6" w:rsidR="002768D1" w:rsidRPr="00E03B55" w:rsidRDefault="002768D1" w:rsidP="00E34448">
      <w:pPr>
        <w:pStyle w:val="SingleTxtG"/>
        <w:numPr>
          <w:ilvl w:val="0"/>
          <w:numId w:val="36"/>
        </w:numPr>
        <w:ind w:left="1134" w:firstLine="567"/>
        <w:rPr>
          <w:b/>
        </w:rPr>
      </w:pPr>
      <w:r w:rsidRPr="00E03B55">
        <w:rPr>
          <w:b/>
        </w:rPr>
        <w:t>Monitor and report o</w:t>
      </w:r>
      <w:r w:rsidR="00E34448">
        <w:rPr>
          <w:b/>
        </w:rPr>
        <w:t>n ANSAs</w:t>
      </w:r>
      <w:r w:rsidR="00695388">
        <w:rPr>
          <w:b/>
        </w:rPr>
        <w:t>’</w:t>
      </w:r>
      <w:r w:rsidR="00E34448">
        <w:rPr>
          <w:b/>
        </w:rPr>
        <w:t xml:space="preserve"> </w:t>
      </w:r>
      <w:r w:rsidR="0024228E">
        <w:rPr>
          <w:b/>
        </w:rPr>
        <w:t xml:space="preserve">human rights </w:t>
      </w:r>
      <w:r w:rsidR="00E34448">
        <w:rPr>
          <w:b/>
        </w:rPr>
        <w:t>protection;</w:t>
      </w:r>
    </w:p>
    <w:p w14:paraId="24EA6E9E" w14:textId="15C224B3" w:rsidR="002768D1" w:rsidRPr="00B1751F" w:rsidRDefault="002768D1" w:rsidP="00E34448">
      <w:pPr>
        <w:pStyle w:val="SingleTxtG"/>
        <w:numPr>
          <w:ilvl w:val="0"/>
          <w:numId w:val="36"/>
        </w:numPr>
        <w:ind w:left="1134" w:firstLine="567"/>
        <w:rPr>
          <w:b/>
          <w:bCs/>
        </w:rPr>
      </w:pPr>
      <w:r w:rsidRPr="00E03B55">
        <w:rPr>
          <w:b/>
        </w:rPr>
        <w:lastRenderedPageBreak/>
        <w:t xml:space="preserve">Document </w:t>
      </w:r>
      <w:r w:rsidRPr="00E03B55">
        <w:rPr>
          <w:b/>
          <w:bCs/>
        </w:rPr>
        <w:t xml:space="preserve">case studies and best practices </w:t>
      </w:r>
      <w:r w:rsidR="009F6D5C">
        <w:rPr>
          <w:b/>
          <w:bCs/>
        </w:rPr>
        <w:t xml:space="preserve">on </w:t>
      </w:r>
      <w:r w:rsidR="009F6D5C">
        <w:rPr>
          <w:b/>
        </w:rPr>
        <w:t xml:space="preserve">engagement with </w:t>
      </w:r>
      <w:r w:rsidR="00287F77">
        <w:rPr>
          <w:b/>
        </w:rPr>
        <w:t>ANSAs for the purpose of human rights protection</w:t>
      </w:r>
      <w:r w:rsidR="00E34448">
        <w:rPr>
          <w:b/>
        </w:rPr>
        <w:t>.</w:t>
      </w:r>
    </w:p>
    <w:p w14:paraId="77747B2F" w14:textId="55A8461A" w:rsidR="00B40AC2" w:rsidRPr="00E03B55" w:rsidRDefault="00B40AC2" w:rsidP="00B1751F">
      <w:pPr>
        <w:pStyle w:val="SingleTxtG"/>
        <w:rPr>
          <w:b/>
          <w:bCs/>
        </w:rPr>
      </w:pPr>
      <w:r>
        <w:rPr>
          <w:b/>
        </w:rPr>
        <w:t xml:space="preserve"> </w:t>
      </w:r>
    </w:p>
    <w:p w14:paraId="4AA6AD3D" w14:textId="77777777" w:rsidR="002768D1" w:rsidRPr="00DC47C9" w:rsidRDefault="002768D1" w:rsidP="002768D1">
      <w:pPr>
        <w:spacing w:before="240"/>
        <w:ind w:right="1134"/>
        <w:jc w:val="center"/>
        <w:rPr>
          <w:u w:val="single"/>
        </w:rPr>
      </w:pPr>
      <w:r w:rsidRPr="00DC47C9">
        <w:rPr>
          <w:u w:val="single"/>
        </w:rPr>
        <w:tab/>
      </w:r>
      <w:r w:rsidRPr="00DC47C9">
        <w:rPr>
          <w:u w:val="single"/>
        </w:rPr>
        <w:tab/>
      </w:r>
      <w:r w:rsidRPr="00DC47C9">
        <w:rPr>
          <w:u w:val="single"/>
        </w:rPr>
        <w:tab/>
      </w:r>
    </w:p>
    <w:p w14:paraId="7750DE0A" w14:textId="77777777" w:rsidR="002768D1" w:rsidRPr="00E03B55" w:rsidRDefault="002768D1" w:rsidP="002768D1">
      <w:pPr>
        <w:rPr>
          <w:b/>
        </w:rPr>
      </w:pPr>
    </w:p>
    <w:sectPr w:rsidR="002768D1" w:rsidRPr="00E03B55" w:rsidSect="005C12FB">
      <w:headerReference w:type="even" r:id="rId7"/>
      <w:headerReference w:type="default" r:id="rId8"/>
      <w:footerReference w:type="even" r:id="rId9"/>
      <w:footerReference w:type="default" r:id="rId10"/>
      <w:endnotePr>
        <w:numFmt w:val="decimal"/>
      </w:endnotePr>
      <w:pgSz w:w="11907" w:h="16840" w:code="9"/>
      <w:pgMar w:top="1417" w:right="1134" w:bottom="1134" w:left="1134" w:header="850" w:footer="567"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4D268C" w14:textId="77777777" w:rsidR="00A65DC8" w:rsidRDefault="00A65DC8"/>
  </w:endnote>
  <w:endnote w:type="continuationSeparator" w:id="0">
    <w:p w14:paraId="13092486" w14:textId="77777777" w:rsidR="00A65DC8" w:rsidRDefault="00A65DC8"/>
  </w:endnote>
  <w:endnote w:type="continuationNotice" w:id="1">
    <w:p w14:paraId="606727F8" w14:textId="77777777" w:rsidR="00A65DC8" w:rsidRDefault="00A65D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4D"/>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no-pro-subhead">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3E6CE4" w14:textId="77777777" w:rsidR="00A65DC8" w:rsidRPr="005C12FB" w:rsidRDefault="00A65DC8" w:rsidP="005C12FB">
    <w:pPr>
      <w:pStyle w:val="Footer"/>
      <w:tabs>
        <w:tab w:val="right" w:pos="9638"/>
      </w:tabs>
      <w:rPr>
        <w:sz w:val="18"/>
      </w:rPr>
    </w:pPr>
    <w:r w:rsidRPr="005C12FB">
      <w:rPr>
        <w:b/>
        <w:sz w:val="18"/>
      </w:rPr>
      <w:fldChar w:fldCharType="begin"/>
    </w:r>
    <w:r w:rsidRPr="005C12FB">
      <w:rPr>
        <w:b/>
        <w:sz w:val="18"/>
      </w:rPr>
      <w:instrText xml:space="preserve"> PAGE  \* MERGEFORMAT </w:instrText>
    </w:r>
    <w:r w:rsidRPr="005C12FB">
      <w:rPr>
        <w:b/>
        <w:sz w:val="18"/>
      </w:rPr>
      <w:fldChar w:fldCharType="separate"/>
    </w:r>
    <w:r w:rsidR="00A32CEA">
      <w:rPr>
        <w:b/>
        <w:noProof/>
        <w:sz w:val="18"/>
      </w:rPr>
      <w:t>20</w:t>
    </w:r>
    <w:r w:rsidRPr="005C12FB">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52A025" w14:textId="77777777" w:rsidR="00A65DC8" w:rsidRPr="005C12FB" w:rsidRDefault="00A65DC8" w:rsidP="005C12FB">
    <w:pPr>
      <w:pStyle w:val="Footer"/>
      <w:tabs>
        <w:tab w:val="right" w:pos="9638"/>
      </w:tabs>
      <w:rPr>
        <w:b/>
        <w:sz w:val="18"/>
      </w:rPr>
    </w:pPr>
    <w:r>
      <w:tab/>
    </w:r>
    <w:r w:rsidRPr="005C12FB">
      <w:rPr>
        <w:b/>
        <w:sz w:val="18"/>
      </w:rPr>
      <w:fldChar w:fldCharType="begin"/>
    </w:r>
    <w:r w:rsidRPr="005C12FB">
      <w:rPr>
        <w:b/>
        <w:sz w:val="18"/>
      </w:rPr>
      <w:instrText xml:space="preserve"> PAGE  \* MERGEFORMAT </w:instrText>
    </w:r>
    <w:r w:rsidRPr="005C12FB">
      <w:rPr>
        <w:b/>
        <w:sz w:val="18"/>
      </w:rPr>
      <w:fldChar w:fldCharType="separate"/>
    </w:r>
    <w:r w:rsidR="00A32CEA">
      <w:rPr>
        <w:b/>
        <w:noProof/>
        <w:sz w:val="18"/>
      </w:rPr>
      <w:t>21</w:t>
    </w:r>
    <w:r w:rsidRPr="005C12FB">
      <w:rPr>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632083" w14:textId="77777777" w:rsidR="00A65DC8" w:rsidRPr="000B175B" w:rsidRDefault="00A65DC8" w:rsidP="000B175B">
      <w:pPr>
        <w:tabs>
          <w:tab w:val="right" w:pos="2155"/>
        </w:tabs>
        <w:spacing w:after="80"/>
        <w:ind w:left="680"/>
        <w:rPr>
          <w:u w:val="single"/>
        </w:rPr>
      </w:pPr>
      <w:r>
        <w:rPr>
          <w:u w:val="single"/>
        </w:rPr>
        <w:tab/>
      </w:r>
    </w:p>
  </w:footnote>
  <w:footnote w:type="continuationSeparator" w:id="0">
    <w:p w14:paraId="3DBEE1BC" w14:textId="77777777" w:rsidR="00A65DC8" w:rsidRPr="00FC68B7" w:rsidRDefault="00A65DC8" w:rsidP="00FC68B7">
      <w:pPr>
        <w:tabs>
          <w:tab w:val="left" w:pos="2155"/>
        </w:tabs>
        <w:spacing w:after="80"/>
        <w:ind w:left="680"/>
        <w:rPr>
          <w:u w:val="single"/>
        </w:rPr>
      </w:pPr>
      <w:r>
        <w:rPr>
          <w:u w:val="single"/>
        </w:rPr>
        <w:tab/>
      </w:r>
    </w:p>
  </w:footnote>
  <w:footnote w:type="continuationNotice" w:id="1">
    <w:p w14:paraId="56E9FB1A" w14:textId="77777777" w:rsidR="00A65DC8" w:rsidRDefault="00A65DC8"/>
  </w:footnote>
  <w:footnote w:id="2">
    <w:p w14:paraId="59DA4516" w14:textId="77777777" w:rsidR="00A65DC8" w:rsidRPr="005D39E0" w:rsidRDefault="00A65DC8" w:rsidP="002768D1">
      <w:pPr>
        <w:pStyle w:val="FootnoteText"/>
        <w:rPr>
          <w:szCs w:val="18"/>
        </w:rPr>
      </w:pPr>
      <w:r w:rsidRPr="005D39E0">
        <w:rPr>
          <w:szCs w:val="18"/>
        </w:rPr>
        <w:tab/>
      </w:r>
      <w:r w:rsidRPr="005146D9">
        <w:rPr>
          <w:sz w:val="20"/>
        </w:rPr>
        <w:t>*</w:t>
      </w:r>
      <w:r w:rsidRPr="005D39E0">
        <w:rPr>
          <w:szCs w:val="18"/>
        </w:rPr>
        <w:tab/>
      </w:r>
      <w:r w:rsidRPr="005D39E0">
        <w:rPr>
          <w:color w:val="000000"/>
          <w:szCs w:val="18"/>
          <w:lang w:eastAsia="en-GB"/>
        </w:rPr>
        <w:t>The present report was submitted after the deadline in order to reflect the most recent developments.</w:t>
      </w:r>
    </w:p>
  </w:footnote>
  <w:footnote w:id="3">
    <w:p w14:paraId="2599387B" w14:textId="77777777" w:rsidR="00A65DC8" w:rsidRPr="004128EB" w:rsidRDefault="00A65DC8" w:rsidP="004128EB">
      <w:pPr>
        <w:pStyle w:val="FootnoteText"/>
        <w:ind w:hanging="141"/>
        <w:rPr>
          <w:szCs w:val="18"/>
        </w:rPr>
      </w:pPr>
      <w:r>
        <w:tab/>
      </w:r>
      <w:r>
        <w:rPr>
          <w:rStyle w:val="FootnoteReference"/>
        </w:rPr>
        <w:footnoteRef/>
      </w:r>
      <w:r>
        <w:tab/>
      </w:r>
      <w:r w:rsidRPr="005D39E0">
        <w:rPr>
          <w:szCs w:val="18"/>
          <w:lang w:val="en-US"/>
        </w:rPr>
        <w:t>The Special Rapporteur also wishes to thank the Human Rights Law Clinic of Berkeley Law School for their assistance.</w:t>
      </w:r>
    </w:p>
  </w:footnote>
  <w:footnote w:id="4">
    <w:p w14:paraId="02189836" w14:textId="77777777" w:rsidR="00A65DC8" w:rsidRPr="00351EFD" w:rsidRDefault="00A65DC8" w:rsidP="004128EB">
      <w:pPr>
        <w:pStyle w:val="FootnoteText"/>
        <w:widowControl w:val="0"/>
        <w:tabs>
          <w:tab w:val="clear" w:pos="1021"/>
          <w:tab w:val="right" w:pos="1020"/>
        </w:tabs>
      </w:pPr>
      <w:r>
        <w:tab/>
      </w:r>
      <w:r>
        <w:rPr>
          <w:rStyle w:val="FootnoteReference"/>
        </w:rPr>
        <w:footnoteRef/>
      </w:r>
      <w:r>
        <w:tab/>
      </w:r>
      <w:r w:rsidRPr="005D39E0">
        <w:rPr>
          <w:szCs w:val="18"/>
        </w:rPr>
        <w:t>Transmitted on 11</w:t>
      </w:r>
      <w:r>
        <w:rPr>
          <w:szCs w:val="18"/>
        </w:rPr>
        <w:t>/10/2017; 20/03/2018, 17 and 18/05/</w:t>
      </w:r>
      <w:r w:rsidRPr="005D39E0">
        <w:rPr>
          <w:szCs w:val="18"/>
        </w:rPr>
        <w:t>2018.</w:t>
      </w:r>
    </w:p>
  </w:footnote>
  <w:footnote w:id="5">
    <w:p w14:paraId="0493F4B6" w14:textId="55B26057" w:rsidR="00A65DC8" w:rsidRPr="00351EFD" w:rsidRDefault="00A65DC8" w:rsidP="004128EB">
      <w:pPr>
        <w:pStyle w:val="FootnoteText"/>
        <w:widowControl w:val="0"/>
        <w:tabs>
          <w:tab w:val="clear" w:pos="1021"/>
          <w:tab w:val="right" w:pos="1020"/>
        </w:tabs>
      </w:pPr>
      <w:r>
        <w:tab/>
      </w:r>
      <w:r>
        <w:rPr>
          <w:rStyle w:val="FootnoteReference"/>
        </w:rPr>
        <w:footnoteRef/>
      </w:r>
      <w:r>
        <w:tab/>
      </w:r>
      <w:r w:rsidRPr="005D39E0">
        <w:rPr>
          <w:szCs w:val="18"/>
        </w:rPr>
        <w:t>ANSAs are “Groups that have the</w:t>
      </w:r>
      <w:r w:rsidRPr="005D39E0">
        <w:rPr>
          <w:b/>
          <w:szCs w:val="18"/>
        </w:rPr>
        <w:t xml:space="preserve"> </w:t>
      </w:r>
      <w:r w:rsidRPr="005D39E0">
        <w:rPr>
          <w:szCs w:val="18"/>
        </w:rPr>
        <w:t xml:space="preserve">potential to employ arms in the use of force to achieve political, ideological or economic objectives; are not within the formal military structures of States, State-alliances or intergovernmental organizations; and are not under the control of the State(s) in which they operate.” </w:t>
      </w:r>
      <w:r w:rsidRPr="005D39E0">
        <w:rPr>
          <w:color w:val="000000" w:themeColor="text1"/>
          <w:szCs w:val="18"/>
        </w:rPr>
        <w:t xml:space="preserve">G. McHugh, M. Bessler, </w:t>
      </w:r>
      <w:r w:rsidRPr="00692AB1">
        <w:rPr>
          <w:i/>
          <w:color w:val="000000" w:themeColor="text1"/>
          <w:szCs w:val="18"/>
        </w:rPr>
        <w:t>Humanitarian negotiations with armed groups: A manual for practitioners,</w:t>
      </w:r>
      <w:r>
        <w:rPr>
          <w:color w:val="000000" w:themeColor="text1"/>
          <w:szCs w:val="18"/>
        </w:rPr>
        <w:t xml:space="preserve"> 2006, p.</w:t>
      </w:r>
      <w:r w:rsidRPr="005D39E0">
        <w:rPr>
          <w:color w:val="000000" w:themeColor="text1"/>
          <w:szCs w:val="18"/>
        </w:rPr>
        <w:t xml:space="preserve"> 87.</w:t>
      </w:r>
    </w:p>
  </w:footnote>
  <w:footnote w:id="6">
    <w:p w14:paraId="3B1F9A39" w14:textId="65F609F1" w:rsidR="00A65DC8" w:rsidRPr="00351EFD" w:rsidRDefault="00A65DC8" w:rsidP="004128EB">
      <w:pPr>
        <w:pStyle w:val="FootnoteText"/>
        <w:widowControl w:val="0"/>
        <w:tabs>
          <w:tab w:val="clear" w:pos="1021"/>
          <w:tab w:val="right" w:pos="1020"/>
        </w:tabs>
      </w:pPr>
      <w:r>
        <w:tab/>
      </w:r>
      <w:r>
        <w:rPr>
          <w:rStyle w:val="FootnoteReference"/>
        </w:rPr>
        <w:footnoteRef/>
      </w:r>
      <w:r>
        <w:tab/>
      </w:r>
      <w:r w:rsidRPr="005D39E0">
        <w:rPr>
          <w:szCs w:val="18"/>
        </w:rPr>
        <w:t xml:space="preserve">Such situations are characterized by recourse to the police, often supported by the armed forces, to restore law and order. </w:t>
      </w:r>
      <w:r>
        <w:rPr>
          <w:szCs w:val="18"/>
        </w:rPr>
        <w:t>See Yves-Sandov, Christophe-Swinarski and Brun-</w:t>
      </w:r>
      <w:r w:rsidRPr="005D39E0">
        <w:rPr>
          <w:szCs w:val="18"/>
        </w:rPr>
        <w:t xml:space="preserve">Zimmermann (eds), </w:t>
      </w:r>
      <w:r w:rsidRPr="0026649F">
        <w:rPr>
          <w:i/>
          <w:szCs w:val="18"/>
        </w:rPr>
        <w:t>Commentary on the Additional Protocols to the Geneva Conventions</w:t>
      </w:r>
      <w:r>
        <w:rPr>
          <w:szCs w:val="18"/>
        </w:rPr>
        <w:t>, 1987</w:t>
      </w:r>
    </w:p>
  </w:footnote>
  <w:footnote w:id="7">
    <w:p w14:paraId="466C5EB4" w14:textId="77777777" w:rsidR="00A65DC8" w:rsidRPr="004128EB" w:rsidRDefault="00A65DC8" w:rsidP="004128EB">
      <w:pPr>
        <w:pStyle w:val="FootnoteText"/>
        <w:ind w:hanging="141"/>
        <w:rPr>
          <w:szCs w:val="18"/>
        </w:rPr>
      </w:pPr>
      <w:r>
        <w:tab/>
      </w:r>
      <w:r>
        <w:rPr>
          <w:rStyle w:val="FootnoteReference"/>
        </w:rPr>
        <w:footnoteRef/>
      </w:r>
      <w:r>
        <w:tab/>
      </w:r>
      <w:r>
        <w:rPr>
          <w:szCs w:val="18"/>
        </w:rPr>
        <w:t xml:space="preserve">Hugo </w:t>
      </w:r>
      <w:r w:rsidRPr="005D39E0">
        <w:rPr>
          <w:szCs w:val="18"/>
        </w:rPr>
        <w:t xml:space="preserve">Slim, </w:t>
      </w:r>
      <w:r w:rsidRPr="0026649F">
        <w:rPr>
          <w:i/>
          <w:szCs w:val="18"/>
        </w:rPr>
        <w:t>Killing Civilians: Methods, Madness and Morality in War</w:t>
      </w:r>
      <w:r w:rsidRPr="005D39E0">
        <w:rPr>
          <w:szCs w:val="18"/>
        </w:rPr>
        <w:t>, 2008</w:t>
      </w:r>
      <w:r>
        <w:rPr>
          <w:szCs w:val="18"/>
        </w:rPr>
        <w:t>.</w:t>
      </w:r>
    </w:p>
  </w:footnote>
  <w:footnote w:id="8">
    <w:p w14:paraId="467A006C" w14:textId="77777777" w:rsidR="00A65DC8" w:rsidRPr="004128EB" w:rsidRDefault="00A65DC8" w:rsidP="004128EB">
      <w:pPr>
        <w:pStyle w:val="FootnoteText"/>
        <w:ind w:hanging="141"/>
        <w:rPr>
          <w:szCs w:val="18"/>
        </w:rPr>
      </w:pPr>
      <w:r>
        <w:tab/>
      </w:r>
      <w:r>
        <w:rPr>
          <w:rStyle w:val="FootnoteReference"/>
        </w:rPr>
        <w:footnoteRef/>
      </w:r>
      <w:r>
        <w:tab/>
      </w:r>
      <w:r w:rsidRPr="005D39E0">
        <w:rPr>
          <w:szCs w:val="18"/>
        </w:rPr>
        <w:t xml:space="preserve">Nigel Rodley, </w:t>
      </w:r>
      <w:r w:rsidRPr="005D39E0">
        <w:rPr>
          <w:i/>
          <w:szCs w:val="18"/>
        </w:rPr>
        <w:t>Can Armed Opposition Groups Violate Human Rights?</w:t>
      </w:r>
      <w:r w:rsidRPr="005D39E0">
        <w:rPr>
          <w:szCs w:val="18"/>
        </w:rPr>
        <w:t xml:space="preserve"> Human Rights in the Twenty-First Century: A Gl</w:t>
      </w:r>
      <w:r>
        <w:rPr>
          <w:szCs w:val="18"/>
        </w:rPr>
        <w:t>obal Challenge 297, 298 (1993).</w:t>
      </w:r>
    </w:p>
  </w:footnote>
  <w:footnote w:id="9">
    <w:p w14:paraId="516F11B0" w14:textId="77777777" w:rsidR="00A65DC8" w:rsidRPr="004128EB" w:rsidRDefault="00A65DC8" w:rsidP="004128EB">
      <w:pPr>
        <w:pStyle w:val="CommentText"/>
        <w:ind w:left="1134" w:right="1134" w:hanging="141"/>
        <w:rPr>
          <w:sz w:val="18"/>
          <w:szCs w:val="18"/>
        </w:rPr>
      </w:pPr>
      <w:r>
        <w:rPr>
          <w:rStyle w:val="FootnoteReference"/>
        </w:rPr>
        <w:footnoteRef/>
      </w:r>
      <w:r>
        <w:tab/>
      </w:r>
      <w:r w:rsidRPr="005D39E0">
        <w:rPr>
          <w:sz w:val="18"/>
          <w:szCs w:val="18"/>
        </w:rPr>
        <w:t>https</w:t>
      </w:r>
      <w:r>
        <w:rPr>
          <w:sz w:val="18"/>
          <w:szCs w:val="18"/>
        </w:rPr>
        <w:t>://pilac.law.harvard.edu/ansas</w:t>
      </w:r>
      <w:r w:rsidRPr="00D90FDA">
        <w:rPr>
          <w:sz w:val="18"/>
          <w:szCs w:val="18"/>
        </w:rPr>
        <w:t>/; Andrew Clapham, ‘Focusing on ANSAs’ in Clapham &amp; Gaeta</w:t>
      </w:r>
      <w:r w:rsidRPr="00D90FDA">
        <w:rPr>
          <w:szCs w:val="18"/>
        </w:rPr>
        <w:t xml:space="preserve"> </w:t>
      </w:r>
      <w:r w:rsidRPr="00D90FDA">
        <w:rPr>
          <w:sz w:val="18"/>
          <w:szCs w:val="18"/>
        </w:rPr>
        <w:t xml:space="preserve">(eds) </w:t>
      </w:r>
      <w:r w:rsidRPr="00D90FDA">
        <w:rPr>
          <w:i/>
          <w:sz w:val="18"/>
          <w:szCs w:val="18"/>
        </w:rPr>
        <w:t xml:space="preserve">The Oxford Handbook of International Law in Armed Conflict </w:t>
      </w:r>
      <w:r w:rsidRPr="00D90FDA">
        <w:rPr>
          <w:sz w:val="18"/>
          <w:szCs w:val="18"/>
        </w:rPr>
        <w:t>(2014).</w:t>
      </w:r>
    </w:p>
  </w:footnote>
  <w:footnote w:id="10">
    <w:p w14:paraId="2D0680B4" w14:textId="77777777" w:rsidR="00A65DC8" w:rsidRPr="00351EFD" w:rsidRDefault="00A65DC8" w:rsidP="004128EB">
      <w:pPr>
        <w:pStyle w:val="FootnoteText"/>
        <w:widowControl w:val="0"/>
        <w:tabs>
          <w:tab w:val="clear" w:pos="1021"/>
          <w:tab w:val="right" w:pos="1020"/>
        </w:tabs>
      </w:pPr>
      <w:r>
        <w:tab/>
      </w:r>
      <w:r>
        <w:rPr>
          <w:rStyle w:val="FootnoteReference"/>
        </w:rPr>
        <w:footnoteRef/>
      </w:r>
      <w:r>
        <w:tab/>
      </w:r>
      <w:hyperlink r:id="rId1" w:history="1">
        <w:r w:rsidRPr="0020620F">
          <w:rPr>
            <w:rStyle w:val="Hyperlink"/>
            <w:szCs w:val="18"/>
          </w:rPr>
          <w:t>https://pilac.law.harvard.edu/ansas</w:t>
        </w:r>
      </w:hyperlink>
      <w:r>
        <w:rPr>
          <w:szCs w:val="18"/>
        </w:rPr>
        <w:t>, conclusion</w:t>
      </w:r>
    </w:p>
  </w:footnote>
  <w:footnote w:id="11">
    <w:p w14:paraId="6D844537" w14:textId="77777777" w:rsidR="00A65DC8" w:rsidRPr="004128EB" w:rsidRDefault="00A65DC8" w:rsidP="004128EB">
      <w:pPr>
        <w:pStyle w:val="FootnoteText"/>
        <w:ind w:hanging="141"/>
        <w:rPr>
          <w:szCs w:val="18"/>
        </w:rPr>
      </w:pPr>
      <w:r>
        <w:tab/>
      </w:r>
      <w:r>
        <w:rPr>
          <w:rStyle w:val="FootnoteReference"/>
        </w:rPr>
        <w:footnoteRef/>
      </w:r>
      <w:r>
        <w:tab/>
      </w:r>
      <w:r w:rsidRPr="005D39E0">
        <w:rPr>
          <w:szCs w:val="18"/>
        </w:rPr>
        <w:t>https://childrenandarmedconfli</w:t>
      </w:r>
      <w:r>
        <w:rPr>
          <w:szCs w:val="18"/>
        </w:rPr>
        <w:t>ct.un.org/six-grave-violations/</w:t>
      </w:r>
    </w:p>
  </w:footnote>
  <w:footnote w:id="12">
    <w:p w14:paraId="0660484B" w14:textId="77777777" w:rsidR="00A65DC8" w:rsidRPr="00351EFD" w:rsidRDefault="00A65DC8" w:rsidP="004128EB">
      <w:pPr>
        <w:pStyle w:val="FootnoteText"/>
        <w:widowControl w:val="0"/>
        <w:tabs>
          <w:tab w:val="clear" w:pos="1021"/>
          <w:tab w:val="right" w:pos="1020"/>
        </w:tabs>
      </w:pPr>
      <w:r>
        <w:tab/>
      </w:r>
      <w:r>
        <w:rPr>
          <w:rStyle w:val="FootnoteReference"/>
        </w:rPr>
        <w:footnoteRef/>
      </w:r>
      <w:r>
        <w:tab/>
      </w:r>
      <w:r w:rsidRPr="005D39E0">
        <w:rPr>
          <w:szCs w:val="18"/>
        </w:rPr>
        <w:t>Genev</w:t>
      </w:r>
      <w:r>
        <w:rPr>
          <w:szCs w:val="18"/>
        </w:rPr>
        <w:t>a Academy, Academy In-Brief No.</w:t>
      </w:r>
      <w:r w:rsidRPr="005D39E0">
        <w:rPr>
          <w:szCs w:val="18"/>
        </w:rPr>
        <w:t>7, December 2016.</w:t>
      </w:r>
    </w:p>
  </w:footnote>
  <w:footnote w:id="13">
    <w:p w14:paraId="36C21BB8" w14:textId="77777777" w:rsidR="00A65DC8" w:rsidRPr="00351EFD" w:rsidRDefault="00A65DC8" w:rsidP="004128EB">
      <w:pPr>
        <w:pStyle w:val="FootnoteText"/>
        <w:widowControl w:val="0"/>
        <w:tabs>
          <w:tab w:val="clear" w:pos="1021"/>
          <w:tab w:val="right" w:pos="1020"/>
        </w:tabs>
      </w:pPr>
      <w:r>
        <w:tab/>
      </w:r>
      <w:r>
        <w:rPr>
          <w:rStyle w:val="FootnoteReference"/>
        </w:rPr>
        <w:footnoteRef/>
      </w:r>
      <w:r>
        <w:tab/>
        <w:t>Andrew Clapham, “</w:t>
      </w:r>
      <w:r w:rsidRPr="00BE02F9">
        <w:rPr>
          <w:i/>
          <w:kern w:val="36"/>
          <w:szCs w:val="18"/>
          <w:lang w:val="en-US"/>
        </w:rPr>
        <w:t>Human Rights Obligations for Non-State-Actors: Where are We Now</w:t>
      </w:r>
      <w:r w:rsidRPr="00BE02F9">
        <w:rPr>
          <w:kern w:val="36"/>
          <w:szCs w:val="18"/>
          <w:lang w:val="en-US"/>
        </w:rPr>
        <w:t>”?</w:t>
      </w:r>
      <w:r w:rsidRPr="00BE02F9">
        <w:rPr>
          <w:i/>
          <w:iCs/>
          <w:szCs w:val="18"/>
          <w:shd w:val="clear" w:color="auto" w:fill="FFFFFF"/>
        </w:rPr>
        <w:t xml:space="preserve"> </w:t>
      </w:r>
      <w:r w:rsidRPr="00BE02F9">
        <w:rPr>
          <w:iCs/>
          <w:szCs w:val="18"/>
          <w:shd w:val="clear" w:color="auto" w:fill="FFFFFF"/>
        </w:rPr>
        <w:t xml:space="preserve">In </w:t>
      </w:r>
      <w:r w:rsidRPr="00BE02F9">
        <w:rPr>
          <w:iCs/>
          <w:szCs w:val="18"/>
          <w:shd w:val="clear" w:color="auto" w:fill="FFFFFF"/>
          <w:lang w:val="en-US"/>
        </w:rPr>
        <w:t>Fannie Lafontaine and François Larocque, ed., Essays in Honour of Louise Arbour,</w:t>
      </w:r>
      <w:r w:rsidRPr="00BE02F9">
        <w:rPr>
          <w:i/>
          <w:iCs/>
          <w:szCs w:val="18"/>
          <w:shd w:val="clear" w:color="auto" w:fill="FFFFFF"/>
          <w:lang w:val="en-US"/>
        </w:rPr>
        <w:t xml:space="preserve"> 2018</w:t>
      </w:r>
      <w:r w:rsidRPr="00BE02F9">
        <w:rPr>
          <w:szCs w:val="18"/>
        </w:rPr>
        <w:t>;</w:t>
      </w:r>
      <w:r w:rsidRPr="005D39E0">
        <w:rPr>
          <w:szCs w:val="18"/>
        </w:rPr>
        <w:t xml:space="preserve"> </w:t>
      </w:r>
      <w:r>
        <w:rPr>
          <w:szCs w:val="18"/>
        </w:rPr>
        <w:t xml:space="preserve">See also </w:t>
      </w:r>
      <w:r w:rsidRPr="005D39E0">
        <w:rPr>
          <w:szCs w:val="18"/>
        </w:rPr>
        <w:t>T. Rodenhäuser, 'International legal obligations of armed opposition groups in Syria',</w:t>
      </w:r>
      <w:r w:rsidRPr="004128EB">
        <w:rPr>
          <w:i/>
          <w:iCs/>
          <w:szCs w:val="18"/>
        </w:rPr>
        <w:t xml:space="preserve"> </w:t>
      </w:r>
      <w:r w:rsidRPr="005D39E0">
        <w:rPr>
          <w:i/>
          <w:iCs/>
          <w:szCs w:val="18"/>
        </w:rPr>
        <w:t xml:space="preserve">International Review of Law </w:t>
      </w:r>
      <w:r>
        <w:rPr>
          <w:szCs w:val="18"/>
        </w:rPr>
        <w:t>2, 2015</w:t>
      </w:r>
      <w:r w:rsidRPr="005D39E0">
        <w:rPr>
          <w:szCs w:val="18"/>
        </w:rPr>
        <w:t xml:space="preserve">.  </w:t>
      </w:r>
    </w:p>
  </w:footnote>
  <w:footnote w:id="14">
    <w:p w14:paraId="4FAE3DB5" w14:textId="77777777" w:rsidR="00A65DC8" w:rsidRPr="00351EFD" w:rsidRDefault="00A65DC8" w:rsidP="004128EB">
      <w:pPr>
        <w:pStyle w:val="FootnoteText"/>
        <w:widowControl w:val="0"/>
        <w:tabs>
          <w:tab w:val="clear" w:pos="1021"/>
          <w:tab w:val="right" w:pos="1020"/>
        </w:tabs>
      </w:pPr>
      <w:r>
        <w:tab/>
      </w:r>
      <w:r>
        <w:rPr>
          <w:rStyle w:val="FootnoteReference"/>
        </w:rPr>
        <w:footnoteRef/>
      </w:r>
      <w:r>
        <w:tab/>
      </w:r>
      <w:r w:rsidRPr="005D39E0">
        <w:rPr>
          <w:szCs w:val="18"/>
        </w:rPr>
        <w:t>HLSPILAC, 2017, pp.21-29</w:t>
      </w:r>
    </w:p>
  </w:footnote>
  <w:footnote w:id="15">
    <w:p w14:paraId="6A8216C1" w14:textId="77777777" w:rsidR="00A65DC8" w:rsidRPr="00351EFD" w:rsidRDefault="00A65DC8" w:rsidP="004128EB">
      <w:pPr>
        <w:pStyle w:val="FootnoteText"/>
        <w:widowControl w:val="0"/>
        <w:tabs>
          <w:tab w:val="clear" w:pos="1021"/>
          <w:tab w:val="right" w:pos="1020"/>
        </w:tabs>
      </w:pPr>
      <w:r>
        <w:tab/>
      </w:r>
      <w:r>
        <w:rPr>
          <w:rStyle w:val="FootnoteReference"/>
        </w:rPr>
        <w:footnoteRef/>
      </w:r>
      <w:r>
        <w:tab/>
      </w:r>
      <w:r w:rsidRPr="005D39E0">
        <w:rPr>
          <w:szCs w:val="18"/>
        </w:rPr>
        <w:t>ICTY Appeals Chamber, 2 October 1995</w:t>
      </w:r>
      <w:r>
        <w:rPr>
          <w:szCs w:val="18"/>
        </w:rPr>
        <w:t>, Prosecutor v. Tadi6, Case No.</w:t>
      </w:r>
      <w:r w:rsidRPr="005D39E0">
        <w:rPr>
          <w:szCs w:val="18"/>
        </w:rPr>
        <w:t>IT-94-1</w:t>
      </w:r>
      <w:r>
        <w:rPr>
          <w:szCs w:val="18"/>
        </w:rPr>
        <w:t>-AR72, para. 133</w:t>
      </w:r>
      <w:r w:rsidRPr="005D39E0">
        <w:rPr>
          <w:szCs w:val="18"/>
        </w:rPr>
        <w:t>; ILA Final report on Customary International Law, London, 2000</w:t>
      </w:r>
      <w:r>
        <w:rPr>
          <w:szCs w:val="18"/>
        </w:rPr>
        <w:t>.</w:t>
      </w:r>
    </w:p>
  </w:footnote>
  <w:footnote w:id="16">
    <w:p w14:paraId="1BAFC754" w14:textId="77777777" w:rsidR="00A65DC8" w:rsidRPr="00BE6091" w:rsidRDefault="00A65DC8" w:rsidP="00BE6091">
      <w:pPr>
        <w:pStyle w:val="FootnoteText"/>
        <w:rPr>
          <w:szCs w:val="18"/>
        </w:rPr>
      </w:pPr>
      <w:r>
        <w:tab/>
      </w:r>
      <w:r>
        <w:rPr>
          <w:rStyle w:val="FootnoteReference"/>
        </w:rPr>
        <w:footnoteRef/>
      </w:r>
      <w:r>
        <w:tab/>
      </w:r>
      <w:r w:rsidRPr="005D39E0">
        <w:rPr>
          <w:szCs w:val="18"/>
        </w:rPr>
        <w:t>HLSPILAC, 2017</w:t>
      </w:r>
    </w:p>
  </w:footnote>
  <w:footnote w:id="17">
    <w:p w14:paraId="417E937E" w14:textId="3BD686C1" w:rsidR="00A65DC8" w:rsidRPr="00BE6091" w:rsidRDefault="00A65DC8" w:rsidP="00BE6091">
      <w:pPr>
        <w:pStyle w:val="FootnoteText"/>
        <w:rPr>
          <w:szCs w:val="18"/>
        </w:rPr>
      </w:pPr>
      <w:r>
        <w:tab/>
      </w:r>
      <w:r>
        <w:rPr>
          <w:rStyle w:val="FootnoteReference"/>
        </w:rPr>
        <w:footnoteRef/>
      </w:r>
      <w:r>
        <w:tab/>
      </w:r>
      <w:r w:rsidRPr="005D39E0">
        <w:rPr>
          <w:color w:val="000000" w:themeColor="text1"/>
          <w:szCs w:val="18"/>
        </w:rPr>
        <w:t>Carla Ferstman, Mariana Goetz, &amp; Alan Stephens</w:t>
      </w:r>
      <w:r>
        <w:rPr>
          <w:color w:val="000000" w:themeColor="text1"/>
          <w:szCs w:val="18"/>
        </w:rPr>
        <w:t>, eds.</w:t>
      </w:r>
      <w:r w:rsidRPr="005D39E0">
        <w:rPr>
          <w:color w:val="000000" w:themeColor="text1"/>
          <w:szCs w:val="18"/>
        </w:rPr>
        <w:t xml:space="preserve">, </w:t>
      </w:r>
      <w:r w:rsidRPr="0026649F">
        <w:rPr>
          <w:i/>
          <w:color w:val="000000" w:themeColor="text1"/>
          <w:szCs w:val="18"/>
        </w:rPr>
        <w:t xml:space="preserve">Reparations for Victims of </w:t>
      </w:r>
      <w:r w:rsidR="00A32CEA">
        <w:rPr>
          <w:i/>
          <w:color w:val="000000" w:themeColor="text1"/>
          <w:szCs w:val="18"/>
        </w:rPr>
        <w:t>Genocide, War Crime and Crimes a</w:t>
      </w:r>
      <w:r w:rsidRPr="0026649F">
        <w:rPr>
          <w:i/>
          <w:color w:val="000000" w:themeColor="text1"/>
          <w:szCs w:val="18"/>
        </w:rPr>
        <w:t>gainst Humanity</w:t>
      </w:r>
      <w:r w:rsidRPr="005D39E0">
        <w:rPr>
          <w:color w:val="000000" w:themeColor="text1"/>
          <w:szCs w:val="18"/>
        </w:rPr>
        <w:t xml:space="preserve"> (2009). </w:t>
      </w:r>
    </w:p>
  </w:footnote>
  <w:footnote w:id="18">
    <w:p w14:paraId="2FED2888" w14:textId="77777777" w:rsidR="00A65DC8" w:rsidRPr="00302C4F" w:rsidRDefault="00A65DC8" w:rsidP="00BE6091">
      <w:pPr>
        <w:pStyle w:val="FootnoteText"/>
        <w:widowControl w:val="0"/>
        <w:tabs>
          <w:tab w:val="clear" w:pos="1021"/>
          <w:tab w:val="right" w:pos="1020"/>
        </w:tabs>
        <w:rPr>
          <w:szCs w:val="18"/>
        </w:rPr>
      </w:pPr>
      <w:r>
        <w:tab/>
      </w:r>
      <w:r>
        <w:rPr>
          <w:rStyle w:val="FootnoteReference"/>
        </w:rPr>
        <w:footnoteRef/>
      </w:r>
      <w:r>
        <w:tab/>
      </w:r>
      <w:r w:rsidRPr="00302C4F">
        <w:rPr>
          <w:szCs w:val="18"/>
        </w:rPr>
        <w:t>Christine Evans,</w:t>
      </w:r>
      <w:r>
        <w:rPr>
          <w:szCs w:val="18"/>
        </w:rPr>
        <w:t xml:space="preserve"> </w:t>
      </w:r>
      <w:r w:rsidRPr="0026649F">
        <w:rPr>
          <w:i/>
          <w:szCs w:val="18"/>
        </w:rPr>
        <w:t>The Right to Reparation in International Law for Victims of Armed</w:t>
      </w:r>
      <w:r>
        <w:rPr>
          <w:szCs w:val="18"/>
        </w:rPr>
        <w:t>, 2012, pp.44,</w:t>
      </w:r>
      <w:r w:rsidRPr="00302C4F">
        <w:rPr>
          <w:szCs w:val="18"/>
        </w:rPr>
        <w:t xml:space="preserve"> 75.</w:t>
      </w:r>
    </w:p>
  </w:footnote>
  <w:footnote w:id="19">
    <w:p w14:paraId="3838C87E" w14:textId="77777777" w:rsidR="00A65DC8" w:rsidRPr="00BE6091" w:rsidRDefault="00A65DC8" w:rsidP="00BE6091">
      <w:pPr>
        <w:pStyle w:val="FootnoteText"/>
        <w:widowControl w:val="0"/>
        <w:tabs>
          <w:tab w:val="clear" w:pos="1021"/>
          <w:tab w:val="right" w:pos="1020"/>
        </w:tabs>
      </w:pPr>
      <w:r>
        <w:tab/>
      </w:r>
      <w:r>
        <w:rPr>
          <w:rStyle w:val="FootnoteReference"/>
        </w:rPr>
        <w:footnoteRef/>
      </w:r>
      <w:r>
        <w:tab/>
      </w:r>
      <w:r w:rsidRPr="00BE6091">
        <w:t>https://soundcloud.com/uniofessex/professor-s</w:t>
      </w:r>
      <w:r>
        <w:t>ir-nigel-rodley/reposts (2014).</w:t>
      </w:r>
    </w:p>
  </w:footnote>
  <w:footnote w:id="20">
    <w:p w14:paraId="75705081" w14:textId="77777777" w:rsidR="00A65DC8" w:rsidRPr="00BE6091" w:rsidRDefault="00A65DC8" w:rsidP="00BE6091">
      <w:pPr>
        <w:pStyle w:val="FootnoteText"/>
        <w:widowControl w:val="0"/>
        <w:tabs>
          <w:tab w:val="clear" w:pos="1021"/>
          <w:tab w:val="right" w:pos="1020"/>
        </w:tabs>
      </w:pPr>
      <w:r>
        <w:tab/>
      </w:r>
      <w:r>
        <w:rPr>
          <w:rStyle w:val="FootnoteReference"/>
        </w:rPr>
        <w:footnoteRef/>
      </w:r>
      <w:r>
        <w:tab/>
      </w:r>
      <w:r w:rsidRPr="00BE6091">
        <w:t xml:space="preserve">Katharine Fortin, </w:t>
      </w:r>
      <w:r w:rsidRPr="00BE6091">
        <w:rPr>
          <w:i/>
        </w:rPr>
        <w:t>The Accountability of Armed Groups under Human Rights Law</w:t>
      </w:r>
      <w:r w:rsidRPr="00BE6091">
        <w:t xml:space="preserve">, </w:t>
      </w:r>
      <w:r>
        <w:t>2017, pp.210-216</w:t>
      </w:r>
    </w:p>
  </w:footnote>
  <w:footnote w:id="21">
    <w:p w14:paraId="70CD50AF" w14:textId="77777777" w:rsidR="00A65DC8" w:rsidRPr="00351EFD" w:rsidRDefault="00A65DC8" w:rsidP="00BE6091">
      <w:pPr>
        <w:pStyle w:val="FootnoteText"/>
        <w:widowControl w:val="0"/>
        <w:tabs>
          <w:tab w:val="clear" w:pos="1021"/>
          <w:tab w:val="right" w:pos="1020"/>
        </w:tabs>
      </w:pPr>
      <w:r>
        <w:tab/>
      </w:r>
      <w:r>
        <w:rPr>
          <w:rStyle w:val="FootnoteReference"/>
        </w:rPr>
        <w:footnoteRef/>
      </w:r>
      <w:r>
        <w:tab/>
      </w:r>
      <w:r>
        <w:rPr>
          <w:szCs w:val="18"/>
        </w:rPr>
        <w:t>Extract</w:t>
      </w:r>
      <w:r w:rsidRPr="005D39E0">
        <w:rPr>
          <w:szCs w:val="18"/>
        </w:rPr>
        <w:t xml:space="preserve"> Yearbook of International Law Commission</w:t>
      </w:r>
      <w:r>
        <w:rPr>
          <w:szCs w:val="18"/>
        </w:rPr>
        <w:t xml:space="preserve"> 1972</w:t>
      </w:r>
      <w:r w:rsidRPr="005D39E0">
        <w:rPr>
          <w:szCs w:val="18"/>
        </w:rPr>
        <w:t xml:space="preserve"> Vol. II </w:t>
      </w:r>
      <w:r>
        <w:rPr>
          <w:szCs w:val="18"/>
        </w:rPr>
        <w:t>(A/CN</w:t>
      </w:r>
      <w:r w:rsidRPr="005D39E0">
        <w:rPr>
          <w:szCs w:val="18"/>
        </w:rPr>
        <w:t>.4/264</w:t>
      </w:r>
      <w:r>
        <w:rPr>
          <w:szCs w:val="18"/>
        </w:rPr>
        <w:t>,</w:t>
      </w:r>
      <w:r w:rsidRPr="005D39E0">
        <w:rPr>
          <w:szCs w:val="18"/>
        </w:rPr>
        <w:t xml:space="preserve"> 136</w:t>
      </w:r>
      <w:r>
        <w:rPr>
          <w:szCs w:val="18"/>
        </w:rPr>
        <w:t>)</w:t>
      </w:r>
      <w:r w:rsidRPr="005D39E0">
        <w:rPr>
          <w:szCs w:val="18"/>
        </w:rPr>
        <w:t>; Sambiaggio</w:t>
      </w:r>
      <w:r>
        <w:rPr>
          <w:szCs w:val="18"/>
        </w:rPr>
        <w:t xml:space="preserve"> </w:t>
      </w:r>
      <w:r w:rsidRPr="005D39E0">
        <w:rPr>
          <w:szCs w:val="18"/>
        </w:rPr>
        <w:t>Case; GL Solis (USA) v Unite</w:t>
      </w:r>
      <w:r>
        <w:rPr>
          <w:szCs w:val="18"/>
        </w:rPr>
        <w:t>d Mexican States, 3 October 1928</w:t>
      </w:r>
      <w:r w:rsidRPr="005D39E0">
        <w:rPr>
          <w:szCs w:val="18"/>
        </w:rPr>
        <w:t>.</w:t>
      </w:r>
    </w:p>
  </w:footnote>
  <w:footnote w:id="22">
    <w:p w14:paraId="0F9D321A" w14:textId="77777777" w:rsidR="00A65DC8" w:rsidRPr="00351EFD" w:rsidRDefault="00A65DC8" w:rsidP="00BE6091">
      <w:pPr>
        <w:pStyle w:val="FootnoteText"/>
        <w:widowControl w:val="0"/>
        <w:tabs>
          <w:tab w:val="clear" w:pos="1021"/>
          <w:tab w:val="right" w:pos="1020"/>
        </w:tabs>
      </w:pPr>
      <w:r>
        <w:tab/>
      </w:r>
      <w:r>
        <w:rPr>
          <w:rStyle w:val="FootnoteReference"/>
        </w:rPr>
        <w:footnoteRef/>
      </w:r>
      <w:r>
        <w:tab/>
      </w:r>
      <w:r w:rsidRPr="005D39E0">
        <w:rPr>
          <w:szCs w:val="18"/>
        </w:rPr>
        <w:t xml:space="preserve">Human Rights Watch, </w:t>
      </w:r>
      <w:r w:rsidRPr="005D39E0">
        <w:rPr>
          <w:i/>
          <w:szCs w:val="18"/>
        </w:rPr>
        <w:t>The Justice Questions After ISIS</w:t>
      </w:r>
      <w:r>
        <w:rPr>
          <w:i/>
          <w:szCs w:val="18"/>
        </w:rPr>
        <w:t xml:space="preserve">, </w:t>
      </w:r>
      <w:r>
        <w:rPr>
          <w:szCs w:val="18"/>
        </w:rPr>
        <w:t>2017</w:t>
      </w:r>
    </w:p>
  </w:footnote>
  <w:footnote w:id="23">
    <w:p w14:paraId="1C97D1E9" w14:textId="77777777" w:rsidR="00A65DC8" w:rsidRPr="00BE6091" w:rsidRDefault="00A65DC8" w:rsidP="00BE6091">
      <w:pPr>
        <w:pStyle w:val="FootnoteText"/>
        <w:rPr>
          <w:szCs w:val="18"/>
        </w:rPr>
      </w:pPr>
      <w:r>
        <w:tab/>
      </w:r>
      <w:r>
        <w:rPr>
          <w:rStyle w:val="FootnoteReference"/>
        </w:rPr>
        <w:footnoteRef/>
      </w:r>
      <w:r>
        <w:tab/>
      </w:r>
      <w:r w:rsidRPr="005D39E0">
        <w:rPr>
          <w:szCs w:val="18"/>
        </w:rPr>
        <w:t xml:space="preserve">Liesbeth Zegveld, </w:t>
      </w:r>
      <w:r w:rsidRPr="005D39E0">
        <w:rPr>
          <w:i/>
          <w:szCs w:val="18"/>
        </w:rPr>
        <w:t xml:space="preserve">Accountability of Armed Opposition Groups in International Law </w:t>
      </w:r>
      <w:r>
        <w:rPr>
          <w:szCs w:val="18"/>
        </w:rPr>
        <w:t>183, 2002</w:t>
      </w:r>
    </w:p>
  </w:footnote>
  <w:footnote w:id="24">
    <w:p w14:paraId="075C8F8B" w14:textId="77777777" w:rsidR="00A65DC8" w:rsidRPr="00CE49EE" w:rsidRDefault="00A65DC8" w:rsidP="00CE49EE">
      <w:pPr>
        <w:rPr>
          <w:sz w:val="18"/>
          <w:szCs w:val="18"/>
          <w:lang w:val="en-US"/>
        </w:rPr>
      </w:pPr>
      <w:r>
        <w:tab/>
        <w:t xml:space="preserve">       </w:t>
      </w:r>
      <w:r>
        <w:rPr>
          <w:rStyle w:val="FootnoteReference"/>
        </w:rPr>
        <w:footnoteRef/>
      </w:r>
      <w:r>
        <w:tab/>
      </w:r>
      <w:r w:rsidRPr="00A32CEA">
        <w:rPr>
          <w:iCs/>
          <w:sz w:val="18"/>
          <w:szCs w:val="18"/>
          <w:lang w:val="en-US"/>
        </w:rPr>
        <w:t>Sandesh Sivakumaran,</w:t>
      </w:r>
      <w:r w:rsidRPr="00A32CEA">
        <w:rPr>
          <w:i/>
          <w:iCs/>
          <w:sz w:val="18"/>
          <w:szCs w:val="18"/>
          <w:lang w:val="en-US"/>
        </w:rPr>
        <w:t xml:space="preserve"> The Law of Non-International Armed Conflict</w:t>
      </w:r>
      <w:r w:rsidRPr="00A32CEA">
        <w:rPr>
          <w:sz w:val="18"/>
          <w:szCs w:val="18"/>
          <w:shd w:val="clear" w:color="auto" w:fill="FFFFFF"/>
          <w:lang w:val="en-US"/>
        </w:rPr>
        <w:t xml:space="preserve">, 2012, </w:t>
      </w:r>
      <w:r w:rsidRPr="00A32CEA">
        <w:rPr>
          <w:szCs w:val="18"/>
        </w:rPr>
        <w:t>p. 339</w:t>
      </w:r>
    </w:p>
  </w:footnote>
  <w:footnote w:id="25">
    <w:p w14:paraId="04FB8E4F" w14:textId="77777777" w:rsidR="00A65DC8" w:rsidRPr="00351EFD" w:rsidRDefault="00A65DC8" w:rsidP="00BE6091">
      <w:pPr>
        <w:pStyle w:val="FootnoteText"/>
        <w:widowControl w:val="0"/>
        <w:tabs>
          <w:tab w:val="clear" w:pos="1021"/>
          <w:tab w:val="right" w:pos="1020"/>
        </w:tabs>
      </w:pPr>
      <w:r>
        <w:tab/>
      </w:r>
      <w:r>
        <w:rPr>
          <w:rStyle w:val="FootnoteReference"/>
        </w:rPr>
        <w:footnoteRef/>
      </w:r>
      <w:r>
        <w:tab/>
      </w:r>
      <w:r w:rsidRPr="00702CA9">
        <w:rPr>
          <w:szCs w:val="18"/>
        </w:rPr>
        <w:t>Ibid, pp.348-257</w:t>
      </w:r>
    </w:p>
  </w:footnote>
  <w:footnote w:id="26">
    <w:p w14:paraId="418F12C3" w14:textId="77777777" w:rsidR="00A65DC8" w:rsidRPr="00351EFD" w:rsidRDefault="00A65DC8" w:rsidP="00BE6091">
      <w:pPr>
        <w:pStyle w:val="FootnoteText"/>
        <w:widowControl w:val="0"/>
        <w:tabs>
          <w:tab w:val="clear" w:pos="1021"/>
          <w:tab w:val="right" w:pos="1020"/>
        </w:tabs>
      </w:pPr>
      <w:r>
        <w:tab/>
      </w:r>
      <w:r>
        <w:rPr>
          <w:rStyle w:val="FootnoteReference"/>
        </w:rPr>
        <w:footnoteRef/>
      </w:r>
      <w:r>
        <w:tab/>
      </w:r>
      <w:r w:rsidRPr="005D39E0">
        <w:rPr>
          <w:szCs w:val="18"/>
        </w:rPr>
        <w:t xml:space="preserve">ICJ, Advisory opinion, </w:t>
      </w:r>
      <w:r w:rsidRPr="005D39E0">
        <w:rPr>
          <w:color w:val="222222"/>
          <w:szCs w:val="18"/>
        </w:rPr>
        <w:t>Legality of the Th</w:t>
      </w:r>
      <w:r>
        <w:rPr>
          <w:color w:val="222222"/>
          <w:szCs w:val="18"/>
        </w:rPr>
        <w:t>reat or Use of Nuclear Weapons [</w:t>
      </w:r>
      <w:r w:rsidRPr="005D39E0">
        <w:rPr>
          <w:color w:val="222222"/>
          <w:szCs w:val="18"/>
        </w:rPr>
        <w:t xml:space="preserve">1996], </w:t>
      </w:r>
      <w:r w:rsidRPr="005D39E0">
        <w:rPr>
          <w:szCs w:val="18"/>
        </w:rPr>
        <w:t>Para 25</w:t>
      </w:r>
      <w:r>
        <w:t xml:space="preserve"> </w:t>
      </w:r>
    </w:p>
  </w:footnote>
  <w:footnote w:id="27">
    <w:p w14:paraId="28CFA72C" w14:textId="77777777" w:rsidR="00A65DC8" w:rsidRPr="00351EFD" w:rsidRDefault="00A65DC8" w:rsidP="00E34448">
      <w:pPr>
        <w:pStyle w:val="FootnoteText"/>
        <w:tabs>
          <w:tab w:val="clear" w:pos="1021"/>
          <w:tab w:val="right" w:pos="1020"/>
        </w:tabs>
        <w:rPr>
          <w:lang w:val="es-VE"/>
        </w:rPr>
      </w:pPr>
      <w:r>
        <w:tab/>
      </w:r>
      <w:r>
        <w:rPr>
          <w:rStyle w:val="FootnoteReference"/>
        </w:rPr>
        <w:footnoteRef/>
      </w:r>
      <w:r w:rsidRPr="00351EFD">
        <w:rPr>
          <w:lang w:val="es-VE"/>
        </w:rPr>
        <w:tab/>
      </w:r>
      <w:hyperlink r:id="rId2" w:history="1">
        <w:r w:rsidRPr="005D39E0">
          <w:rPr>
            <w:rStyle w:val="Hyperlink"/>
            <w:szCs w:val="18"/>
            <w:lang w:val="es-VE"/>
          </w:rPr>
          <w:t>http://www.icty.org/case/tadic/4</w:t>
        </w:r>
      </w:hyperlink>
      <w:r>
        <w:rPr>
          <w:szCs w:val="18"/>
          <w:lang w:val="es-VE"/>
        </w:rPr>
        <w:t>; Sivakumaran, 2012, pp.56-57.</w:t>
      </w:r>
    </w:p>
  </w:footnote>
  <w:footnote w:id="28">
    <w:p w14:paraId="414CFEC7" w14:textId="701CE615" w:rsidR="00A65DC8" w:rsidRPr="00351EFD" w:rsidRDefault="00A65DC8" w:rsidP="00F103CD">
      <w:pPr>
        <w:pStyle w:val="FootnoteText"/>
        <w:widowControl w:val="0"/>
        <w:tabs>
          <w:tab w:val="clear" w:pos="1021"/>
          <w:tab w:val="right" w:pos="1020"/>
        </w:tabs>
      </w:pPr>
      <w:r w:rsidRPr="00351EFD">
        <w:rPr>
          <w:lang w:val="es-VE"/>
        </w:rPr>
        <w:tab/>
      </w:r>
      <w:r>
        <w:rPr>
          <w:rStyle w:val="FootnoteReference"/>
        </w:rPr>
        <w:footnoteRef/>
      </w:r>
      <w:r>
        <w:tab/>
        <w:t xml:space="preserve"> </w:t>
      </w:r>
      <w:r>
        <w:rPr>
          <w:szCs w:val="18"/>
        </w:rPr>
        <w:t>Sivakumaran,</w:t>
      </w:r>
      <w:r w:rsidRPr="005D39E0">
        <w:rPr>
          <w:szCs w:val="18"/>
        </w:rPr>
        <w:t xml:space="preserve"> </w:t>
      </w:r>
      <w:r>
        <w:rPr>
          <w:szCs w:val="18"/>
        </w:rPr>
        <w:t xml:space="preserve">2012, </w:t>
      </w:r>
      <w:r w:rsidRPr="005D39E0">
        <w:rPr>
          <w:szCs w:val="18"/>
        </w:rPr>
        <w:t>Chapters 10 and 11</w:t>
      </w:r>
      <w:r>
        <w:rPr>
          <w:szCs w:val="18"/>
        </w:rPr>
        <w:t>.</w:t>
      </w:r>
    </w:p>
  </w:footnote>
  <w:footnote w:id="29">
    <w:p w14:paraId="41D6F02F" w14:textId="77777777" w:rsidR="00A65DC8" w:rsidRPr="00351EFD" w:rsidRDefault="00A65DC8" w:rsidP="00F103CD">
      <w:pPr>
        <w:pStyle w:val="FootnoteText"/>
        <w:widowControl w:val="0"/>
        <w:tabs>
          <w:tab w:val="clear" w:pos="1021"/>
          <w:tab w:val="right" w:pos="1020"/>
        </w:tabs>
      </w:pPr>
      <w:r>
        <w:tab/>
      </w:r>
      <w:r>
        <w:rPr>
          <w:rStyle w:val="FootnoteReference"/>
        </w:rPr>
        <w:footnoteRef/>
      </w:r>
      <w:r>
        <w:tab/>
        <w:t xml:space="preserve"> </w:t>
      </w:r>
      <w:r w:rsidRPr="005D39E0">
        <w:rPr>
          <w:szCs w:val="18"/>
        </w:rPr>
        <w:t xml:space="preserve">Fortin, p.47-51; </w:t>
      </w:r>
      <w:hyperlink r:id="rId3" w:history="1">
        <w:r w:rsidRPr="005D39E0">
          <w:rPr>
            <w:rStyle w:val="Hyperlink"/>
            <w:szCs w:val="18"/>
          </w:rPr>
          <w:t>https://link.springer.com/article/10.1007/s40802-016-0061-2</w:t>
        </w:r>
      </w:hyperlink>
      <w:r>
        <w:rPr>
          <w:rStyle w:val="Hyperlink"/>
          <w:szCs w:val="18"/>
        </w:rPr>
        <w:t>.</w:t>
      </w:r>
    </w:p>
  </w:footnote>
  <w:footnote w:id="30">
    <w:p w14:paraId="6DC91762" w14:textId="77777777" w:rsidR="00A65DC8" w:rsidRPr="00351EFD" w:rsidRDefault="00A65DC8" w:rsidP="00F103CD">
      <w:pPr>
        <w:pStyle w:val="FootnoteText"/>
        <w:widowControl w:val="0"/>
        <w:tabs>
          <w:tab w:val="clear" w:pos="1021"/>
          <w:tab w:val="right" w:pos="1020"/>
        </w:tabs>
      </w:pPr>
      <w:r>
        <w:tab/>
      </w:r>
      <w:r>
        <w:rPr>
          <w:rStyle w:val="FootnoteReference"/>
        </w:rPr>
        <w:footnoteRef/>
      </w:r>
      <w:r>
        <w:tab/>
        <w:t xml:space="preserve"> </w:t>
      </w:r>
      <w:r w:rsidRPr="005D39E0">
        <w:rPr>
          <w:szCs w:val="18"/>
        </w:rPr>
        <w:t>Sivakumaran, 2012, p. 98</w:t>
      </w:r>
      <w:r>
        <w:rPr>
          <w:szCs w:val="18"/>
        </w:rPr>
        <w:t>.</w:t>
      </w:r>
    </w:p>
  </w:footnote>
  <w:footnote w:id="31">
    <w:p w14:paraId="56930269" w14:textId="77777777" w:rsidR="00A65DC8" w:rsidRPr="00351EFD" w:rsidRDefault="00A65DC8" w:rsidP="00F103CD">
      <w:pPr>
        <w:pStyle w:val="FootnoteText"/>
        <w:widowControl w:val="0"/>
        <w:tabs>
          <w:tab w:val="clear" w:pos="1021"/>
          <w:tab w:val="right" w:pos="1020"/>
        </w:tabs>
      </w:pPr>
      <w:r>
        <w:tab/>
      </w:r>
      <w:r>
        <w:rPr>
          <w:rStyle w:val="FootnoteReference"/>
        </w:rPr>
        <w:footnoteRef/>
      </w:r>
      <w:r>
        <w:tab/>
        <w:t xml:space="preserve"> </w:t>
      </w:r>
      <w:r w:rsidRPr="005D39E0">
        <w:rPr>
          <w:szCs w:val="18"/>
        </w:rPr>
        <w:t>Geneva Academy, December 2016, p. 21; Fortin, 2017, 52-53</w:t>
      </w:r>
      <w:r>
        <w:rPr>
          <w:szCs w:val="18"/>
        </w:rPr>
        <w:t>.</w:t>
      </w:r>
    </w:p>
  </w:footnote>
  <w:footnote w:id="32">
    <w:p w14:paraId="60D06111" w14:textId="77777777" w:rsidR="00A65DC8" w:rsidRPr="00A33F55" w:rsidRDefault="00A65DC8" w:rsidP="00F103CD">
      <w:pPr>
        <w:pStyle w:val="FootnoteText"/>
        <w:widowControl w:val="0"/>
        <w:tabs>
          <w:tab w:val="clear" w:pos="1021"/>
          <w:tab w:val="right" w:pos="1020"/>
        </w:tabs>
        <w:rPr>
          <w:szCs w:val="18"/>
        </w:rPr>
      </w:pPr>
      <w:r>
        <w:tab/>
      </w:r>
      <w:r>
        <w:rPr>
          <w:rStyle w:val="FootnoteReference"/>
        </w:rPr>
        <w:footnoteRef/>
      </w:r>
      <w:r>
        <w:tab/>
        <w:t xml:space="preserve"> </w:t>
      </w:r>
      <w:r w:rsidRPr="00A33F55">
        <w:rPr>
          <w:szCs w:val="18"/>
        </w:rPr>
        <w:t xml:space="preserve">Gillard, Emanuela-Chiara Gillard, </w:t>
      </w:r>
      <w:r w:rsidRPr="00A33F55">
        <w:rPr>
          <w:i/>
          <w:szCs w:val="18"/>
        </w:rPr>
        <w:t>Reparation for violations of international humanitarian law</w:t>
      </w:r>
      <w:r w:rsidRPr="00A33F55">
        <w:rPr>
          <w:szCs w:val="18"/>
        </w:rPr>
        <w:t xml:space="preserve">, 85 </w:t>
      </w:r>
      <w:r>
        <w:rPr>
          <w:szCs w:val="18"/>
        </w:rPr>
        <w:t>Int’l Rev. of the Red Cross, 2003, p.3</w:t>
      </w:r>
      <w:r w:rsidRPr="00A33F55">
        <w:rPr>
          <w:szCs w:val="18"/>
        </w:rPr>
        <w:t>4-35.</w:t>
      </w:r>
    </w:p>
  </w:footnote>
  <w:footnote w:id="33">
    <w:p w14:paraId="3528AABC" w14:textId="77777777" w:rsidR="00A65DC8" w:rsidRPr="00351EFD" w:rsidRDefault="00A65DC8" w:rsidP="00F103CD">
      <w:pPr>
        <w:pStyle w:val="FootnoteText"/>
        <w:widowControl w:val="0"/>
        <w:tabs>
          <w:tab w:val="clear" w:pos="1021"/>
          <w:tab w:val="right" w:pos="1020"/>
        </w:tabs>
      </w:pPr>
      <w:r>
        <w:tab/>
      </w:r>
      <w:r>
        <w:rPr>
          <w:rStyle w:val="FootnoteReference"/>
        </w:rPr>
        <w:footnoteRef/>
      </w:r>
      <w:r>
        <w:tab/>
        <w:t xml:space="preserve"> </w:t>
      </w:r>
      <w:hyperlink r:id="rId4" w:history="1">
        <w:r w:rsidRPr="005D39E0">
          <w:rPr>
            <w:rStyle w:val="Hyperlink"/>
            <w:szCs w:val="18"/>
          </w:rPr>
          <w:t>https://ihl-databases.icrc.org/customary-ihl/eng/docs/v1_rul_rule150</w:t>
        </w:r>
      </w:hyperlink>
      <w:r>
        <w:rPr>
          <w:szCs w:val="18"/>
        </w:rPr>
        <w:t>.</w:t>
      </w:r>
    </w:p>
  </w:footnote>
  <w:footnote w:id="34">
    <w:p w14:paraId="742AB4CD" w14:textId="77777777" w:rsidR="00A65DC8" w:rsidRPr="00351EFD" w:rsidRDefault="00A65DC8" w:rsidP="00F103CD">
      <w:pPr>
        <w:pStyle w:val="FootnoteText"/>
        <w:widowControl w:val="0"/>
        <w:tabs>
          <w:tab w:val="clear" w:pos="1021"/>
          <w:tab w:val="right" w:pos="1020"/>
        </w:tabs>
      </w:pPr>
      <w:r>
        <w:tab/>
      </w:r>
      <w:r>
        <w:rPr>
          <w:rStyle w:val="FootnoteReference"/>
        </w:rPr>
        <w:footnoteRef/>
      </w:r>
      <w:r>
        <w:tab/>
        <w:t xml:space="preserve"> </w:t>
      </w:r>
      <w:hyperlink r:id="rId5" w:history="1">
        <w:r w:rsidRPr="005D39E0">
          <w:rPr>
            <w:rStyle w:val="Hyperlink"/>
            <w:szCs w:val="18"/>
          </w:rPr>
          <w:t>https://www.un.org/press/en/2017/sc12998.doc.htm</w:t>
        </w:r>
      </w:hyperlink>
      <w:r w:rsidRPr="005D39E0">
        <w:rPr>
          <w:szCs w:val="18"/>
        </w:rPr>
        <w:t>.</w:t>
      </w:r>
    </w:p>
  </w:footnote>
  <w:footnote w:id="35">
    <w:p w14:paraId="256719C1" w14:textId="77777777" w:rsidR="00A65DC8" w:rsidRPr="00351EFD" w:rsidRDefault="00A65DC8" w:rsidP="00F103CD">
      <w:pPr>
        <w:pStyle w:val="FootnoteText"/>
        <w:widowControl w:val="0"/>
        <w:tabs>
          <w:tab w:val="clear" w:pos="1021"/>
          <w:tab w:val="right" w:pos="1020"/>
        </w:tabs>
      </w:pPr>
      <w:r>
        <w:tab/>
      </w:r>
      <w:r>
        <w:rPr>
          <w:rStyle w:val="FootnoteReference"/>
        </w:rPr>
        <w:footnoteRef/>
      </w:r>
      <w:r>
        <w:tab/>
      </w:r>
      <w:r w:rsidRPr="005D39E0">
        <w:rPr>
          <w:szCs w:val="18"/>
        </w:rPr>
        <w:t xml:space="preserve">Annyssa Bellal, </w:t>
      </w:r>
      <w:r w:rsidRPr="00081DC9">
        <w:rPr>
          <w:i/>
          <w:szCs w:val="18"/>
        </w:rPr>
        <w:t>Non-State Armed Groups in Transitional Justice Processes: Adapting to New       Realities of Conflict</w:t>
      </w:r>
      <w:r w:rsidRPr="005D39E0">
        <w:rPr>
          <w:szCs w:val="18"/>
        </w:rPr>
        <w:t>,</w:t>
      </w:r>
      <w:r>
        <w:rPr>
          <w:szCs w:val="18"/>
        </w:rPr>
        <w:t xml:space="preserve"> 2017</w:t>
      </w:r>
      <w:r w:rsidRPr="005D39E0">
        <w:rPr>
          <w:szCs w:val="18"/>
        </w:rPr>
        <w:t xml:space="preserve"> </w:t>
      </w:r>
    </w:p>
  </w:footnote>
  <w:footnote w:id="36">
    <w:p w14:paraId="7F53CF8F" w14:textId="77777777" w:rsidR="00A65DC8" w:rsidRPr="00351EFD" w:rsidRDefault="00A65DC8" w:rsidP="00F103CD">
      <w:pPr>
        <w:pStyle w:val="FootnoteText"/>
        <w:widowControl w:val="0"/>
        <w:tabs>
          <w:tab w:val="clear" w:pos="1021"/>
          <w:tab w:val="right" w:pos="1020"/>
        </w:tabs>
      </w:pPr>
      <w:r>
        <w:tab/>
      </w:r>
      <w:r>
        <w:rPr>
          <w:rStyle w:val="FootnoteReference"/>
        </w:rPr>
        <w:footnoteRef/>
      </w:r>
      <w:r>
        <w:tab/>
      </w:r>
      <w:r w:rsidRPr="005D39E0">
        <w:rPr>
          <w:szCs w:val="18"/>
        </w:rPr>
        <w:t>Under the Rome Statute, a Trust Fund for Victims (TFV) was established to provide restitution,</w:t>
      </w:r>
      <w:r>
        <w:rPr>
          <w:szCs w:val="18"/>
        </w:rPr>
        <w:t xml:space="preserve"> compensation</w:t>
      </w:r>
      <w:r w:rsidRPr="005D39E0">
        <w:rPr>
          <w:szCs w:val="18"/>
        </w:rPr>
        <w:t xml:space="preserve"> and rehabilitation for</w:t>
      </w:r>
      <w:r>
        <w:rPr>
          <w:szCs w:val="18"/>
        </w:rPr>
        <w:t xml:space="preserve"> victims under a dual mandate.</w:t>
      </w:r>
      <w:r>
        <w:t xml:space="preserve"> </w:t>
      </w:r>
    </w:p>
  </w:footnote>
  <w:footnote w:id="37">
    <w:p w14:paraId="4D4EA7F8" w14:textId="77777777" w:rsidR="00A65DC8" w:rsidRPr="00351EFD" w:rsidRDefault="00A65DC8" w:rsidP="00A66C19">
      <w:pPr>
        <w:pStyle w:val="FootnoteText"/>
        <w:widowControl w:val="0"/>
        <w:tabs>
          <w:tab w:val="clear" w:pos="1021"/>
          <w:tab w:val="right" w:pos="1020"/>
        </w:tabs>
      </w:pPr>
      <w:r>
        <w:tab/>
      </w:r>
      <w:r>
        <w:rPr>
          <w:rStyle w:val="FootnoteReference"/>
        </w:rPr>
        <w:footnoteRef/>
      </w:r>
      <w:r>
        <w:tab/>
        <w:t xml:space="preserve">Robert Barnidge, </w:t>
      </w:r>
      <w:r w:rsidRPr="00081DC9">
        <w:rPr>
          <w:i/>
        </w:rPr>
        <w:t>Non-State Actors and Terrorism</w:t>
      </w:r>
      <w:r>
        <w:t xml:space="preserve">, </w:t>
      </w:r>
      <w:r>
        <w:rPr>
          <w:szCs w:val="18"/>
        </w:rPr>
        <w:t>2008,</w:t>
      </w:r>
      <w:r w:rsidRPr="005D39E0">
        <w:rPr>
          <w:szCs w:val="18"/>
        </w:rPr>
        <w:t xml:space="preserve"> 14-18.</w:t>
      </w:r>
    </w:p>
  </w:footnote>
  <w:footnote w:id="38">
    <w:p w14:paraId="5D8EBB38" w14:textId="1FB395F0" w:rsidR="00A65DC8" w:rsidRPr="00351EFD" w:rsidRDefault="00A65DC8" w:rsidP="00A66C19">
      <w:pPr>
        <w:pStyle w:val="FootnoteText"/>
        <w:widowControl w:val="0"/>
        <w:tabs>
          <w:tab w:val="clear" w:pos="1021"/>
          <w:tab w:val="right" w:pos="1020"/>
        </w:tabs>
      </w:pPr>
      <w:r>
        <w:tab/>
      </w:r>
      <w:r>
        <w:rPr>
          <w:rStyle w:val="FootnoteReference"/>
        </w:rPr>
        <w:footnoteRef/>
      </w:r>
      <w:r>
        <w:tab/>
        <w:t xml:space="preserve">DIIS, </w:t>
      </w:r>
      <w:r w:rsidRPr="00081DC9">
        <w:rPr>
          <w:i/>
        </w:rPr>
        <w:t>Armed Non-State Actors: Counter-Terrorism and the Protection of Civilians</w:t>
      </w:r>
      <w:r>
        <w:t xml:space="preserve">, </w:t>
      </w:r>
      <w:r w:rsidRPr="005D39E0">
        <w:rPr>
          <w:szCs w:val="18"/>
        </w:rPr>
        <w:t>17 (2015), p.21.</w:t>
      </w:r>
    </w:p>
  </w:footnote>
  <w:footnote w:id="39">
    <w:p w14:paraId="47B14349" w14:textId="77777777" w:rsidR="00A65DC8" w:rsidRPr="00351EFD" w:rsidRDefault="00A65DC8" w:rsidP="00A66C19">
      <w:pPr>
        <w:pStyle w:val="FootnoteText"/>
        <w:widowControl w:val="0"/>
        <w:tabs>
          <w:tab w:val="clear" w:pos="1021"/>
          <w:tab w:val="right" w:pos="1020"/>
        </w:tabs>
      </w:pPr>
      <w:r>
        <w:tab/>
      </w:r>
      <w:r>
        <w:rPr>
          <w:rStyle w:val="FootnoteReference"/>
        </w:rPr>
        <w:footnoteRef/>
      </w:r>
      <w:r>
        <w:tab/>
      </w:r>
      <w:r w:rsidRPr="005D39E0">
        <w:rPr>
          <w:szCs w:val="18"/>
        </w:rPr>
        <w:t xml:space="preserve">UNODC, </w:t>
      </w:r>
      <w:r w:rsidRPr="00081DC9">
        <w:rPr>
          <w:i/>
          <w:szCs w:val="18"/>
        </w:rPr>
        <w:t>international Law Aspects of Countering Terrorism</w:t>
      </w:r>
      <w:r w:rsidRPr="005D39E0">
        <w:rPr>
          <w:szCs w:val="18"/>
        </w:rPr>
        <w:t>, 2009, p.41</w:t>
      </w:r>
      <w:r>
        <w:t xml:space="preserve"> </w:t>
      </w:r>
    </w:p>
  </w:footnote>
  <w:footnote w:id="40">
    <w:p w14:paraId="766F2F98" w14:textId="77777777" w:rsidR="00A65DC8" w:rsidRPr="00351EFD" w:rsidRDefault="00A65DC8" w:rsidP="00A66C19">
      <w:pPr>
        <w:pStyle w:val="FootnoteText"/>
        <w:widowControl w:val="0"/>
        <w:tabs>
          <w:tab w:val="clear" w:pos="1021"/>
          <w:tab w:val="right" w:pos="1020"/>
        </w:tabs>
        <w:rPr>
          <w:lang w:val="es-VE"/>
        </w:rPr>
      </w:pPr>
      <w:r>
        <w:tab/>
      </w:r>
      <w:r>
        <w:rPr>
          <w:rStyle w:val="FootnoteReference"/>
        </w:rPr>
        <w:footnoteRef/>
      </w:r>
      <w:r w:rsidRPr="00351EFD">
        <w:rPr>
          <w:lang w:val="es-VE"/>
        </w:rPr>
        <w:tab/>
      </w:r>
      <w:r w:rsidRPr="005D39E0">
        <w:rPr>
          <w:szCs w:val="18"/>
          <w:lang w:val="es-VE"/>
        </w:rPr>
        <w:t>E/CN.4/2006/98, para</w:t>
      </w:r>
      <w:r>
        <w:rPr>
          <w:szCs w:val="18"/>
          <w:lang w:val="es-VE"/>
        </w:rPr>
        <w:t>s</w:t>
      </w:r>
      <w:r w:rsidRPr="005D39E0">
        <w:rPr>
          <w:szCs w:val="18"/>
          <w:lang w:val="es-VE"/>
        </w:rPr>
        <w:t xml:space="preserve"> 67-71, 74</w:t>
      </w:r>
      <w:r>
        <w:rPr>
          <w:szCs w:val="18"/>
          <w:lang w:val="es-VE"/>
        </w:rPr>
        <w:t>.</w:t>
      </w:r>
    </w:p>
  </w:footnote>
  <w:footnote w:id="41">
    <w:p w14:paraId="2281BF86" w14:textId="77777777" w:rsidR="00A65DC8" w:rsidRPr="00351EFD" w:rsidRDefault="00A65DC8" w:rsidP="00A66C19">
      <w:pPr>
        <w:pStyle w:val="FootnoteText"/>
        <w:widowControl w:val="0"/>
        <w:tabs>
          <w:tab w:val="clear" w:pos="1021"/>
          <w:tab w:val="right" w:pos="1020"/>
        </w:tabs>
        <w:rPr>
          <w:lang w:val="es-VE"/>
        </w:rPr>
      </w:pPr>
      <w:r w:rsidRPr="00351EFD">
        <w:rPr>
          <w:lang w:val="es-VE"/>
        </w:rPr>
        <w:tab/>
      </w:r>
      <w:r>
        <w:rPr>
          <w:rStyle w:val="FootnoteReference"/>
        </w:rPr>
        <w:footnoteRef/>
      </w:r>
      <w:r w:rsidRPr="00351EFD">
        <w:rPr>
          <w:lang w:val="es-VE"/>
        </w:rPr>
        <w:tab/>
      </w:r>
      <w:hyperlink r:id="rId6" w:history="1">
        <w:r w:rsidRPr="005D39E0">
          <w:rPr>
            <w:rStyle w:val="Hyperlink"/>
            <w:szCs w:val="18"/>
            <w:lang w:val="es-VE"/>
          </w:rPr>
          <w:t>http://www.ohchr.org/EN/Issues/Terrorism/Pages/Statements.aspx</w:t>
        </w:r>
      </w:hyperlink>
      <w:r w:rsidRPr="005D39E0">
        <w:rPr>
          <w:szCs w:val="18"/>
          <w:lang w:val="es-VE"/>
        </w:rPr>
        <w:t>.</w:t>
      </w:r>
    </w:p>
  </w:footnote>
  <w:footnote w:id="42">
    <w:p w14:paraId="669D4155" w14:textId="77777777" w:rsidR="00A65DC8" w:rsidRPr="00351EFD" w:rsidRDefault="00A65DC8" w:rsidP="00052F29">
      <w:pPr>
        <w:pStyle w:val="FootnoteText"/>
        <w:widowControl w:val="0"/>
        <w:tabs>
          <w:tab w:val="clear" w:pos="1021"/>
          <w:tab w:val="right" w:pos="1020"/>
        </w:tabs>
      </w:pPr>
      <w:r w:rsidRPr="00351EFD">
        <w:rPr>
          <w:lang w:val="es-VE"/>
        </w:rPr>
        <w:tab/>
      </w:r>
      <w:r>
        <w:rPr>
          <w:rStyle w:val="FootnoteReference"/>
        </w:rPr>
        <w:footnoteRef/>
      </w:r>
      <w:r>
        <w:tab/>
      </w:r>
      <w:r w:rsidRPr="005D39E0">
        <w:rPr>
          <w:szCs w:val="18"/>
        </w:rPr>
        <w:t>G.A. Res. 217A (III</w:t>
      </w:r>
      <w:r>
        <w:rPr>
          <w:szCs w:val="18"/>
        </w:rPr>
        <w:t>), U.N. Doc.A/810 at 71 (1948)</w:t>
      </w:r>
      <w:r>
        <w:t xml:space="preserve"> </w:t>
      </w:r>
    </w:p>
  </w:footnote>
  <w:footnote w:id="43">
    <w:p w14:paraId="39E048EC" w14:textId="478BD7A7" w:rsidR="00A65DC8" w:rsidRPr="00052F29" w:rsidRDefault="00A65DC8" w:rsidP="00052F29">
      <w:pPr>
        <w:pStyle w:val="FootnoteText"/>
        <w:rPr>
          <w:szCs w:val="18"/>
        </w:rPr>
      </w:pPr>
      <w:r>
        <w:tab/>
      </w:r>
      <w:r>
        <w:rPr>
          <w:rStyle w:val="FootnoteReference"/>
        </w:rPr>
        <w:footnoteRef/>
      </w:r>
      <w:r>
        <w:tab/>
      </w:r>
      <w:r w:rsidRPr="005D39E0">
        <w:rPr>
          <w:szCs w:val="18"/>
        </w:rPr>
        <w:t xml:space="preserve">Johannes Morsink, </w:t>
      </w:r>
      <w:r w:rsidRPr="005D39E0">
        <w:rPr>
          <w:i/>
          <w:szCs w:val="18"/>
        </w:rPr>
        <w:t>The Universal Decl</w:t>
      </w:r>
      <w:r>
        <w:rPr>
          <w:i/>
          <w:szCs w:val="18"/>
        </w:rPr>
        <w:t>a</w:t>
      </w:r>
      <w:r w:rsidRPr="005D39E0">
        <w:rPr>
          <w:i/>
          <w:szCs w:val="18"/>
        </w:rPr>
        <w:t>ration of Human Rights: Origins, Drafting, and Intent</w:t>
      </w:r>
      <w:r>
        <w:rPr>
          <w:i/>
          <w:szCs w:val="18"/>
        </w:rPr>
        <w:t>,</w:t>
      </w:r>
      <w:r w:rsidRPr="005D39E0">
        <w:rPr>
          <w:i/>
          <w:szCs w:val="18"/>
        </w:rPr>
        <w:t xml:space="preserve"> </w:t>
      </w:r>
      <w:r>
        <w:rPr>
          <w:szCs w:val="18"/>
        </w:rPr>
        <w:t>Ch. 7 (2004).</w:t>
      </w:r>
    </w:p>
  </w:footnote>
  <w:footnote w:id="44">
    <w:p w14:paraId="6C5A66EA" w14:textId="77777777" w:rsidR="00A65DC8" w:rsidRPr="00351EFD" w:rsidRDefault="00A65DC8" w:rsidP="00052F29">
      <w:pPr>
        <w:pStyle w:val="FootnoteText"/>
        <w:widowControl w:val="0"/>
        <w:tabs>
          <w:tab w:val="clear" w:pos="1021"/>
          <w:tab w:val="right" w:pos="1020"/>
        </w:tabs>
      </w:pPr>
      <w:r>
        <w:tab/>
      </w:r>
      <w:r>
        <w:rPr>
          <w:rStyle w:val="FootnoteReference"/>
        </w:rPr>
        <w:footnoteRef/>
      </w:r>
      <w:r>
        <w:tab/>
      </w:r>
      <w:r w:rsidRPr="005D39E0">
        <w:rPr>
          <w:szCs w:val="18"/>
        </w:rPr>
        <w:t xml:space="preserve">Fortin, pp.210-216. </w:t>
      </w:r>
      <w:r>
        <w:t xml:space="preserve"> </w:t>
      </w:r>
    </w:p>
  </w:footnote>
  <w:footnote w:id="45">
    <w:p w14:paraId="632B0F66" w14:textId="77777777" w:rsidR="00A65DC8" w:rsidRPr="00351EFD" w:rsidRDefault="00A65DC8" w:rsidP="00052F29">
      <w:pPr>
        <w:pStyle w:val="FootnoteText"/>
        <w:widowControl w:val="0"/>
        <w:tabs>
          <w:tab w:val="clear" w:pos="1021"/>
          <w:tab w:val="right" w:pos="1020"/>
        </w:tabs>
      </w:pPr>
      <w:r>
        <w:tab/>
      </w:r>
      <w:r>
        <w:rPr>
          <w:rStyle w:val="FootnoteReference"/>
        </w:rPr>
        <w:footnoteRef/>
      </w:r>
      <w:r>
        <w:tab/>
      </w:r>
      <w:r w:rsidRPr="005D39E0">
        <w:rPr>
          <w:szCs w:val="18"/>
        </w:rPr>
        <w:t xml:space="preserve">Duncan b. Hollis, </w:t>
      </w:r>
      <w:r w:rsidRPr="005D39E0">
        <w:rPr>
          <w:i/>
          <w:szCs w:val="18"/>
        </w:rPr>
        <w:t xml:space="preserve">Why State Consent Still Matters, </w:t>
      </w:r>
      <w:r w:rsidRPr="005D39E0">
        <w:rPr>
          <w:szCs w:val="18"/>
        </w:rPr>
        <w:t>Berkeley Journal of In</w:t>
      </w:r>
      <w:r>
        <w:rPr>
          <w:szCs w:val="18"/>
        </w:rPr>
        <w:t>ternational Law 137, 139 (2005);</w:t>
      </w:r>
      <w:r w:rsidRPr="005D39E0">
        <w:rPr>
          <w:szCs w:val="18"/>
        </w:rPr>
        <w:t xml:space="preserve"> Zegveld, 2002.</w:t>
      </w:r>
    </w:p>
  </w:footnote>
  <w:footnote w:id="46">
    <w:p w14:paraId="05FAA795" w14:textId="77777777" w:rsidR="00A65DC8" w:rsidRPr="00351EFD" w:rsidRDefault="00A65DC8" w:rsidP="00052F29">
      <w:pPr>
        <w:pStyle w:val="FootnoteText"/>
        <w:widowControl w:val="0"/>
        <w:tabs>
          <w:tab w:val="clear" w:pos="1021"/>
          <w:tab w:val="right" w:pos="1020"/>
        </w:tabs>
      </w:pPr>
      <w:r>
        <w:tab/>
      </w:r>
      <w:r>
        <w:rPr>
          <w:rStyle w:val="FootnoteReference"/>
        </w:rPr>
        <w:footnoteRef/>
      </w:r>
      <w:r>
        <w:tab/>
      </w:r>
      <w:r>
        <w:rPr>
          <w:szCs w:val="18"/>
        </w:rPr>
        <w:t>ICJ Advisory O</w:t>
      </w:r>
      <w:r w:rsidRPr="005D39E0">
        <w:rPr>
          <w:szCs w:val="18"/>
        </w:rPr>
        <w:t>pinion</w:t>
      </w:r>
      <w:r>
        <w:rPr>
          <w:szCs w:val="18"/>
        </w:rPr>
        <w:t xml:space="preserve">, </w:t>
      </w:r>
      <w:r w:rsidRPr="005D39E0">
        <w:rPr>
          <w:szCs w:val="18"/>
        </w:rPr>
        <w:t>11 April 1949, p.174.</w:t>
      </w:r>
    </w:p>
  </w:footnote>
  <w:footnote w:id="47">
    <w:p w14:paraId="7BFBA557" w14:textId="77777777" w:rsidR="00A65DC8" w:rsidRPr="00351EFD" w:rsidRDefault="00A65DC8" w:rsidP="00052F29">
      <w:pPr>
        <w:pStyle w:val="FootnoteText"/>
        <w:widowControl w:val="0"/>
        <w:tabs>
          <w:tab w:val="clear" w:pos="1021"/>
          <w:tab w:val="right" w:pos="1020"/>
        </w:tabs>
      </w:pPr>
      <w:r>
        <w:tab/>
      </w:r>
      <w:r>
        <w:rPr>
          <w:rStyle w:val="FootnoteReference"/>
        </w:rPr>
        <w:footnoteRef/>
      </w:r>
      <w:r>
        <w:tab/>
      </w:r>
      <w:r w:rsidRPr="005D39E0">
        <w:rPr>
          <w:szCs w:val="18"/>
        </w:rPr>
        <w:t>Fortin, p.98</w:t>
      </w:r>
    </w:p>
  </w:footnote>
  <w:footnote w:id="48">
    <w:p w14:paraId="0002ECE0" w14:textId="77777777" w:rsidR="00A65DC8" w:rsidRPr="00351EFD" w:rsidRDefault="00A65DC8" w:rsidP="00052F29">
      <w:pPr>
        <w:pStyle w:val="FootnoteText"/>
        <w:widowControl w:val="0"/>
        <w:tabs>
          <w:tab w:val="clear" w:pos="1021"/>
          <w:tab w:val="right" w:pos="1020"/>
        </w:tabs>
      </w:pPr>
      <w:r>
        <w:tab/>
      </w:r>
      <w:r>
        <w:rPr>
          <w:rStyle w:val="FootnoteReference"/>
        </w:rPr>
        <w:footnoteRef/>
      </w:r>
      <w:r>
        <w:tab/>
      </w:r>
      <w:r w:rsidRPr="005D39E0">
        <w:rPr>
          <w:szCs w:val="18"/>
        </w:rPr>
        <w:t xml:space="preserve">Andrew Clapham, </w:t>
      </w:r>
      <w:r w:rsidRPr="005D39E0">
        <w:rPr>
          <w:i/>
          <w:szCs w:val="18"/>
        </w:rPr>
        <w:t>Human Rights Obligations of Non-State Actors</w:t>
      </w:r>
      <w:r>
        <w:rPr>
          <w:szCs w:val="18"/>
        </w:rPr>
        <w:t>, (2006)</w:t>
      </w:r>
      <w:r w:rsidRPr="005D39E0">
        <w:rPr>
          <w:szCs w:val="18"/>
        </w:rPr>
        <w:t>, p.82</w:t>
      </w:r>
      <w:r>
        <w:t xml:space="preserve"> </w:t>
      </w:r>
    </w:p>
  </w:footnote>
  <w:footnote w:id="49">
    <w:p w14:paraId="0B460101" w14:textId="77777777" w:rsidR="00A65DC8" w:rsidRPr="00351EFD" w:rsidRDefault="00A65DC8" w:rsidP="00052F29">
      <w:pPr>
        <w:pStyle w:val="FootnoteText"/>
        <w:widowControl w:val="0"/>
        <w:tabs>
          <w:tab w:val="clear" w:pos="1021"/>
          <w:tab w:val="right" w:pos="1020"/>
        </w:tabs>
      </w:pPr>
      <w:r>
        <w:tab/>
      </w:r>
      <w:r>
        <w:rPr>
          <w:rStyle w:val="FootnoteReference"/>
        </w:rPr>
        <w:footnoteRef/>
      </w:r>
      <w:r>
        <w:tab/>
      </w:r>
      <w:r w:rsidRPr="005D39E0">
        <w:rPr>
          <w:szCs w:val="18"/>
        </w:rPr>
        <w:t>See in-depth review by Fortin, Chapters 4 and 5</w:t>
      </w:r>
      <w:r>
        <w:rPr>
          <w:szCs w:val="18"/>
        </w:rPr>
        <w:t>.</w:t>
      </w:r>
    </w:p>
  </w:footnote>
  <w:footnote w:id="50">
    <w:p w14:paraId="17A13C9D" w14:textId="77777777" w:rsidR="00A65DC8" w:rsidRPr="00351EFD" w:rsidRDefault="00A65DC8" w:rsidP="00052F29">
      <w:pPr>
        <w:pStyle w:val="FootnoteText"/>
        <w:widowControl w:val="0"/>
        <w:tabs>
          <w:tab w:val="clear" w:pos="1021"/>
          <w:tab w:val="right" w:pos="1020"/>
        </w:tabs>
      </w:pPr>
      <w:r>
        <w:tab/>
      </w:r>
      <w:r>
        <w:rPr>
          <w:rStyle w:val="FootnoteReference"/>
        </w:rPr>
        <w:footnoteRef/>
      </w:r>
      <w:r>
        <w:tab/>
        <w:t xml:space="preserve">Daragh </w:t>
      </w:r>
      <w:r w:rsidRPr="005D39E0">
        <w:rPr>
          <w:szCs w:val="18"/>
        </w:rPr>
        <w:t xml:space="preserve">Murray, </w:t>
      </w:r>
      <w:r w:rsidRPr="00081DC9">
        <w:rPr>
          <w:i/>
          <w:szCs w:val="18"/>
        </w:rPr>
        <w:t>Submission to the Special Rapporteur</w:t>
      </w:r>
      <w:r w:rsidRPr="005D39E0">
        <w:rPr>
          <w:szCs w:val="18"/>
        </w:rPr>
        <w:t>, 2017</w:t>
      </w:r>
      <w:r>
        <w:rPr>
          <w:szCs w:val="18"/>
        </w:rPr>
        <w:t>.</w:t>
      </w:r>
      <w:r>
        <w:t xml:space="preserve"> </w:t>
      </w:r>
    </w:p>
  </w:footnote>
  <w:footnote w:id="51">
    <w:p w14:paraId="1F9F0BA8" w14:textId="77777777" w:rsidR="00A65DC8" w:rsidRPr="00351EFD" w:rsidRDefault="00A65DC8" w:rsidP="00052F29">
      <w:pPr>
        <w:pStyle w:val="FootnoteText"/>
        <w:widowControl w:val="0"/>
        <w:tabs>
          <w:tab w:val="clear" w:pos="1021"/>
          <w:tab w:val="right" w:pos="1020"/>
        </w:tabs>
      </w:pPr>
      <w:r>
        <w:tab/>
      </w:r>
      <w:r>
        <w:rPr>
          <w:rStyle w:val="FootnoteReference"/>
        </w:rPr>
        <w:footnoteRef/>
      </w:r>
      <w:r>
        <w:tab/>
      </w:r>
      <w:r w:rsidRPr="005D39E0">
        <w:rPr>
          <w:szCs w:val="18"/>
        </w:rPr>
        <w:t>Interpretation of the Agreement of 25 March 1951 Between the WHO and Egypt, Advisory Opinion, ICJ, 20 December 1980, para. 37; A Racke GmbH &amp; Co v. Hauptzollamt Mainz, European Court of Just</w:t>
      </w:r>
      <w:r>
        <w:rPr>
          <w:szCs w:val="18"/>
        </w:rPr>
        <w:t>ice, 16 June 1998, para. 45.</w:t>
      </w:r>
    </w:p>
  </w:footnote>
  <w:footnote w:id="52">
    <w:p w14:paraId="338EE461" w14:textId="77777777" w:rsidR="00A65DC8" w:rsidRPr="00351EFD" w:rsidRDefault="00A65DC8" w:rsidP="00052F29">
      <w:pPr>
        <w:pStyle w:val="FootnoteText"/>
        <w:widowControl w:val="0"/>
        <w:tabs>
          <w:tab w:val="clear" w:pos="1021"/>
          <w:tab w:val="right" w:pos="1020"/>
        </w:tabs>
      </w:pPr>
      <w:r>
        <w:tab/>
      </w:r>
      <w:r>
        <w:rPr>
          <w:rStyle w:val="FootnoteReference"/>
        </w:rPr>
        <w:footnoteRef/>
      </w:r>
      <w:r>
        <w:tab/>
      </w:r>
      <w:r w:rsidRPr="005D39E0">
        <w:rPr>
          <w:szCs w:val="18"/>
        </w:rPr>
        <w:t xml:space="preserve">Marco Sassoli, </w:t>
      </w:r>
      <w:r w:rsidRPr="00081DC9">
        <w:rPr>
          <w:i/>
          <w:szCs w:val="18"/>
        </w:rPr>
        <w:t>Two fascinating questions</w:t>
      </w:r>
      <w:r w:rsidRPr="005D39E0">
        <w:rPr>
          <w:szCs w:val="18"/>
        </w:rPr>
        <w:t>, EJIL: Talk, November 4, 2016</w:t>
      </w:r>
      <w:r>
        <w:rPr>
          <w:szCs w:val="18"/>
        </w:rPr>
        <w:t>.</w:t>
      </w:r>
      <w:r>
        <w:t xml:space="preserve"> </w:t>
      </w:r>
    </w:p>
  </w:footnote>
  <w:footnote w:id="53">
    <w:p w14:paraId="0BDC277F" w14:textId="77777777" w:rsidR="00A65DC8" w:rsidRPr="00351EFD" w:rsidRDefault="00A65DC8" w:rsidP="00052F29">
      <w:pPr>
        <w:pStyle w:val="FootnoteText"/>
        <w:widowControl w:val="0"/>
        <w:tabs>
          <w:tab w:val="clear" w:pos="1021"/>
          <w:tab w:val="right" w:pos="1020"/>
        </w:tabs>
      </w:pPr>
      <w:r>
        <w:tab/>
      </w:r>
      <w:r>
        <w:rPr>
          <w:rStyle w:val="FootnoteReference"/>
        </w:rPr>
        <w:footnoteRef/>
      </w:r>
      <w:r>
        <w:tab/>
      </w:r>
      <w:r w:rsidRPr="00955FD5">
        <w:rPr>
          <w:color w:val="333333"/>
          <w:szCs w:val="18"/>
          <w:lang w:val="en-US"/>
        </w:rPr>
        <w:t xml:space="preserve">Daragh Murray, </w:t>
      </w:r>
      <w:r w:rsidRPr="00955FD5">
        <w:rPr>
          <w:i/>
          <w:color w:val="333333"/>
          <w:szCs w:val="18"/>
          <w:lang w:val="en-US"/>
        </w:rPr>
        <w:t>Human Rights Obligations of Non-State Armed Groups</w:t>
      </w:r>
      <w:r w:rsidRPr="00955FD5">
        <w:rPr>
          <w:color w:val="333333"/>
          <w:szCs w:val="18"/>
          <w:lang w:val="en-US"/>
        </w:rPr>
        <w:t>, 2016</w:t>
      </w:r>
      <w:r>
        <w:rPr>
          <w:szCs w:val="18"/>
        </w:rPr>
        <w:t>, Chapter 4</w:t>
      </w:r>
      <w:r>
        <w:t xml:space="preserve"> </w:t>
      </w:r>
    </w:p>
  </w:footnote>
  <w:footnote w:id="54">
    <w:p w14:paraId="17E3E6D7" w14:textId="5ADCF5BC" w:rsidR="00A65DC8" w:rsidRPr="00351EFD" w:rsidRDefault="00A65DC8" w:rsidP="00052F29">
      <w:pPr>
        <w:pStyle w:val="FootnoteText"/>
        <w:widowControl w:val="0"/>
        <w:tabs>
          <w:tab w:val="clear" w:pos="1021"/>
          <w:tab w:val="right" w:pos="1020"/>
        </w:tabs>
      </w:pPr>
      <w:r>
        <w:tab/>
      </w:r>
      <w:r>
        <w:rPr>
          <w:rStyle w:val="FootnoteReference"/>
        </w:rPr>
        <w:footnoteRef/>
      </w:r>
      <w:r>
        <w:tab/>
      </w:r>
      <w:r w:rsidRPr="005D39E0">
        <w:rPr>
          <w:szCs w:val="18"/>
        </w:rPr>
        <w:t>See Jochen A Frowein, ‘De Facto Regime’ in Max Planck</w:t>
      </w:r>
      <w:r>
        <w:rPr>
          <w:szCs w:val="18"/>
        </w:rPr>
        <w:t>,</w:t>
      </w:r>
      <w:r w:rsidRPr="005D39E0">
        <w:rPr>
          <w:szCs w:val="18"/>
        </w:rPr>
        <w:t xml:space="preserve"> </w:t>
      </w:r>
      <w:r w:rsidRPr="00081DC9">
        <w:rPr>
          <w:i/>
          <w:szCs w:val="18"/>
        </w:rPr>
        <w:t>Encyclopaedia of Public International Law</w:t>
      </w:r>
      <w:r w:rsidRPr="005D39E0">
        <w:rPr>
          <w:szCs w:val="18"/>
        </w:rPr>
        <w:t xml:space="preserve">, para 3; Jean S Pictet (ed), Commentary: </w:t>
      </w:r>
      <w:r w:rsidRPr="00081DC9">
        <w:rPr>
          <w:i/>
          <w:szCs w:val="18"/>
        </w:rPr>
        <w:t>III Geneva Convention Relative to the Treatment of Prisoners of War</w:t>
      </w:r>
      <w:r w:rsidRPr="005D39E0">
        <w:rPr>
          <w:szCs w:val="18"/>
        </w:rPr>
        <w:t xml:space="preserve"> (Geneva, International Commit</w:t>
      </w:r>
      <w:r>
        <w:rPr>
          <w:szCs w:val="18"/>
        </w:rPr>
        <w:t>tee of the Red Cross, 1960) 37.</w:t>
      </w:r>
    </w:p>
  </w:footnote>
  <w:footnote w:id="55">
    <w:p w14:paraId="1D1B8652" w14:textId="77777777" w:rsidR="00A65DC8" w:rsidRPr="00351EFD" w:rsidRDefault="00A65DC8" w:rsidP="00052F29">
      <w:pPr>
        <w:pStyle w:val="FootnoteText"/>
        <w:widowControl w:val="0"/>
        <w:tabs>
          <w:tab w:val="clear" w:pos="1021"/>
          <w:tab w:val="right" w:pos="1020"/>
        </w:tabs>
        <w:rPr>
          <w:lang w:val="nl-NL"/>
        </w:rPr>
      </w:pPr>
      <w:r>
        <w:tab/>
      </w:r>
      <w:r>
        <w:rPr>
          <w:rStyle w:val="FootnoteReference"/>
        </w:rPr>
        <w:footnoteRef/>
      </w:r>
      <w:r w:rsidRPr="00351EFD">
        <w:rPr>
          <w:lang w:val="nl-NL"/>
        </w:rPr>
        <w:tab/>
      </w:r>
      <w:r w:rsidRPr="005D39E0">
        <w:rPr>
          <w:szCs w:val="18"/>
          <w:lang w:val="nl-NL"/>
        </w:rPr>
        <w:t>Zegveld, 2002, p.15.</w:t>
      </w:r>
    </w:p>
  </w:footnote>
  <w:footnote w:id="56">
    <w:p w14:paraId="43FCC4D1" w14:textId="77777777" w:rsidR="00A65DC8" w:rsidRPr="00351EFD" w:rsidRDefault="00A65DC8" w:rsidP="00052F29">
      <w:pPr>
        <w:pStyle w:val="FootnoteText"/>
        <w:widowControl w:val="0"/>
        <w:tabs>
          <w:tab w:val="clear" w:pos="1021"/>
          <w:tab w:val="right" w:pos="1020"/>
        </w:tabs>
        <w:rPr>
          <w:lang w:val="nl-NL"/>
        </w:rPr>
      </w:pPr>
      <w:r w:rsidRPr="00351EFD">
        <w:rPr>
          <w:lang w:val="nl-NL"/>
        </w:rPr>
        <w:tab/>
      </w:r>
      <w:r>
        <w:rPr>
          <w:rStyle w:val="FootnoteReference"/>
        </w:rPr>
        <w:footnoteRef/>
      </w:r>
      <w:r w:rsidRPr="00351EFD">
        <w:rPr>
          <w:lang w:val="nl-NL"/>
        </w:rPr>
        <w:tab/>
      </w:r>
      <w:r w:rsidRPr="005D39E0">
        <w:rPr>
          <w:szCs w:val="18"/>
          <w:lang w:val="nl-NL"/>
        </w:rPr>
        <w:t>Jean S. Pictet, 1960, p.37.</w:t>
      </w:r>
    </w:p>
  </w:footnote>
  <w:footnote w:id="57">
    <w:p w14:paraId="53175546" w14:textId="1ACE2A6C" w:rsidR="00A65DC8" w:rsidRPr="00351EFD" w:rsidRDefault="00A65DC8" w:rsidP="00052F29">
      <w:pPr>
        <w:pStyle w:val="FootnoteText"/>
        <w:widowControl w:val="0"/>
        <w:tabs>
          <w:tab w:val="clear" w:pos="1021"/>
          <w:tab w:val="right" w:pos="1020"/>
        </w:tabs>
      </w:pPr>
      <w:r w:rsidRPr="00351EFD">
        <w:rPr>
          <w:lang w:val="nl-NL"/>
        </w:rPr>
        <w:tab/>
      </w:r>
      <w:r>
        <w:rPr>
          <w:rStyle w:val="FootnoteReference"/>
        </w:rPr>
        <w:footnoteRef/>
      </w:r>
      <w:r>
        <w:tab/>
      </w:r>
      <w:r w:rsidRPr="005D39E0">
        <w:rPr>
          <w:szCs w:val="18"/>
        </w:rPr>
        <w:t xml:space="preserve">Michael Schoiswohl, </w:t>
      </w:r>
      <w:r w:rsidRPr="00081DC9">
        <w:rPr>
          <w:i/>
          <w:szCs w:val="18"/>
        </w:rPr>
        <w:t>'De Facto Regimes and Human Rights Obligations</w:t>
      </w:r>
      <w:r>
        <w:rPr>
          <w:szCs w:val="18"/>
        </w:rPr>
        <w:t>,</w:t>
      </w:r>
      <w:r w:rsidRPr="005D39E0">
        <w:rPr>
          <w:szCs w:val="18"/>
        </w:rPr>
        <w:t xml:space="preserve"> 6 Austrian Review of</w:t>
      </w:r>
      <w:r>
        <w:rPr>
          <w:szCs w:val="18"/>
        </w:rPr>
        <w:t xml:space="preserve"> </w:t>
      </w:r>
      <w:r w:rsidRPr="005D39E0">
        <w:rPr>
          <w:szCs w:val="18"/>
        </w:rPr>
        <w:t>International and European Law 50</w:t>
      </w:r>
      <w:r>
        <w:rPr>
          <w:szCs w:val="18"/>
        </w:rPr>
        <w:t>, 2001</w:t>
      </w:r>
      <w:r w:rsidRPr="005D39E0">
        <w:rPr>
          <w:szCs w:val="18"/>
        </w:rPr>
        <w:t>.</w:t>
      </w:r>
    </w:p>
  </w:footnote>
  <w:footnote w:id="58">
    <w:p w14:paraId="412F45FB" w14:textId="5CC6D36D" w:rsidR="00A65DC8" w:rsidRPr="00052F29" w:rsidRDefault="00A65DC8" w:rsidP="00052F29">
      <w:pPr>
        <w:pStyle w:val="FootnoteText"/>
        <w:rPr>
          <w:szCs w:val="18"/>
        </w:rPr>
      </w:pPr>
      <w:r>
        <w:tab/>
      </w:r>
      <w:r>
        <w:rPr>
          <w:rStyle w:val="FootnoteReference"/>
        </w:rPr>
        <w:footnoteRef/>
      </w:r>
      <w:r>
        <w:tab/>
      </w:r>
      <w:r w:rsidRPr="005D39E0">
        <w:rPr>
          <w:szCs w:val="18"/>
        </w:rPr>
        <w:t xml:space="preserve">Philip Brown, </w:t>
      </w:r>
      <w:r w:rsidRPr="00081DC9">
        <w:rPr>
          <w:i/>
          <w:szCs w:val="18"/>
        </w:rPr>
        <w:t>'The Legal Effects of Recognition</w:t>
      </w:r>
      <w:r>
        <w:rPr>
          <w:i/>
          <w:szCs w:val="18"/>
        </w:rPr>
        <w:t>,</w:t>
      </w:r>
      <w:r w:rsidRPr="00081DC9">
        <w:rPr>
          <w:i/>
          <w:szCs w:val="18"/>
        </w:rPr>
        <w:t>'</w:t>
      </w:r>
      <w:r>
        <w:rPr>
          <w:szCs w:val="18"/>
        </w:rPr>
        <w:t xml:space="preserve"> </w:t>
      </w:r>
      <w:r w:rsidRPr="005D39E0">
        <w:rPr>
          <w:szCs w:val="18"/>
        </w:rPr>
        <w:t>44 American J</w:t>
      </w:r>
      <w:r>
        <w:rPr>
          <w:szCs w:val="18"/>
        </w:rPr>
        <w:t>ournal of International Law 630, 1950</w:t>
      </w:r>
    </w:p>
  </w:footnote>
  <w:footnote w:id="59">
    <w:p w14:paraId="4D9C8912" w14:textId="77777777" w:rsidR="00A65DC8" w:rsidRPr="00351EFD" w:rsidRDefault="00A65DC8" w:rsidP="00052F29">
      <w:pPr>
        <w:pStyle w:val="FootnoteText"/>
        <w:widowControl w:val="0"/>
        <w:tabs>
          <w:tab w:val="clear" w:pos="1021"/>
          <w:tab w:val="right" w:pos="1020"/>
        </w:tabs>
      </w:pPr>
      <w:r>
        <w:tab/>
      </w:r>
      <w:r>
        <w:rPr>
          <w:rStyle w:val="FootnoteReference"/>
        </w:rPr>
        <w:footnoteRef/>
      </w:r>
      <w:r>
        <w:tab/>
      </w:r>
      <w:r>
        <w:rPr>
          <w:szCs w:val="18"/>
        </w:rPr>
        <w:t>UNSC Resolution 276 (1970);</w:t>
      </w:r>
      <w:r w:rsidRPr="005D39E0">
        <w:rPr>
          <w:szCs w:val="18"/>
        </w:rPr>
        <w:t xml:space="preserve"> </w:t>
      </w:r>
      <w:r>
        <w:rPr>
          <w:szCs w:val="18"/>
        </w:rPr>
        <w:t>ICJ Advisory Opinion</w:t>
      </w:r>
      <w:r w:rsidRPr="005D39E0">
        <w:rPr>
          <w:szCs w:val="18"/>
        </w:rPr>
        <w:t>, 21 June 1971, para. 125; Loizidou v. Turkey,</w:t>
      </w:r>
      <w:r>
        <w:rPr>
          <w:szCs w:val="18"/>
        </w:rPr>
        <w:t xml:space="preserve"> </w:t>
      </w:r>
      <w:r w:rsidRPr="005D39E0">
        <w:rPr>
          <w:szCs w:val="18"/>
        </w:rPr>
        <w:t>EC</w:t>
      </w:r>
      <w:r>
        <w:rPr>
          <w:szCs w:val="18"/>
        </w:rPr>
        <w:t>tHR, 18 December 1996, para. 45.</w:t>
      </w:r>
    </w:p>
  </w:footnote>
  <w:footnote w:id="60">
    <w:p w14:paraId="09435E0B" w14:textId="77777777" w:rsidR="00A65DC8" w:rsidRPr="00351EFD" w:rsidRDefault="00A65DC8" w:rsidP="00052F29">
      <w:pPr>
        <w:pStyle w:val="FootnoteText"/>
        <w:widowControl w:val="0"/>
        <w:tabs>
          <w:tab w:val="clear" w:pos="1021"/>
          <w:tab w:val="right" w:pos="1020"/>
        </w:tabs>
      </w:pPr>
      <w:r>
        <w:tab/>
      </w:r>
      <w:r>
        <w:rPr>
          <w:rStyle w:val="FootnoteReference"/>
        </w:rPr>
        <w:footnoteRef/>
      </w:r>
      <w:r>
        <w:tab/>
        <w:t xml:space="preserve"> </w:t>
      </w:r>
      <w:r w:rsidRPr="005D39E0">
        <w:rPr>
          <w:szCs w:val="18"/>
        </w:rPr>
        <w:t>Cyprus v. Turkey, EC</w:t>
      </w:r>
      <w:r>
        <w:rPr>
          <w:szCs w:val="18"/>
        </w:rPr>
        <w:t>t</w:t>
      </w:r>
      <w:r w:rsidRPr="005D39E0">
        <w:rPr>
          <w:szCs w:val="18"/>
        </w:rPr>
        <w:t>HR, 10 May 2001, para. 96.</w:t>
      </w:r>
    </w:p>
  </w:footnote>
  <w:footnote w:id="61">
    <w:p w14:paraId="787B920D" w14:textId="47A93E68" w:rsidR="00A65DC8" w:rsidRPr="00FB4924" w:rsidRDefault="00A65DC8" w:rsidP="00FB4924">
      <w:pPr>
        <w:pStyle w:val="FootnoteText"/>
        <w:rPr>
          <w:szCs w:val="18"/>
        </w:rPr>
      </w:pPr>
      <w:r>
        <w:tab/>
      </w:r>
      <w:r>
        <w:rPr>
          <w:rStyle w:val="FootnoteReference"/>
        </w:rPr>
        <w:footnoteRef/>
      </w:r>
      <w:r>
        <w:tab/>
        <w:t xml:space="preserve"> </w:t>
      </w:r>
      <w:r>
        <w:rPr>
          <w:szCs w:val="18"/>
        </w:rPr>
        <w:t>HRC</w:t>
      </w:r>
      <w:r w:rsidRPr="005D39E0">
        <w:rPr>
          <w:szCs w:val="18"/>
        </w:rPr>
        <w:t xml:space="preserve"> GC 26 also supports this position, even though it does not deal w</w:t>
      </w:r>
      <w:r>
        <w:rPr>
          <w:szCs w:val="18"/>
        </w:rPr>
        <w:t>ith ANSA.</w:t>
      </w:r>
    </w:p>
  </w:footnote>
  <w:footnote w:id="62">
    <w:p w14:paraId="379EF68F" w14:textId="77777777" w:rsidR="00A65DC8" w:rsidRPr="00351EFD" w:rsidRDefault="00A65DC8" w:rsidP="00FB4924">
      <w:pPr>
        <w:pStyle w:val="FootnoteText"/>
        <w:widowControl w:val="0"/>
        <w:tabs>
          <w:tab w:val="clear" w:pos="1021"/>
          <w:tab w:val="right" w:pos="1020"/>
        </w:tabs>
      </w:pPr>
      <w:r>
        <w:tab/>
      </w:r>
      <w:r>
        <w:rPr>
          <w:rStyle w:val="FootnoteReference"/>
        </w:rPr>
        <w:footnoteRef/>
      </w:r>
      <w:r>
        <w:tab/>
        <w:t xml:space="preserve"> </w:t>
      </w:r>
      <w:r w:rsidRPr="005D39E0">
        <w:rPr>
          <w:szCs w:val="18"/>
        </w:rPr>
        <w:t>Murray, 2017, para. 27</w:t>
      </w:r>
      <w:r>
        <w:rPr>
          <w:szCs w:val="18"/>
        </w:rPr>
        <w:t>.</w:t>
      </w:r>
    </w:p>
  </w:footnote>
  <w:footnote w:id="63">
    <w:p w14:paraId="68658CE9" w14:textId="77777777" w:rsidR="00A65DC8" w:rsidRPr="00351EFD" w:rsidRDefault="00A65DC8" w:rsidP="00FB4924">
      <w:pPr>
        <w:pStyle w:val="FootnoteText"/>
        <w:widowControl w:val="0"/>
        <w:tabs>
          <w:tab w:val="clear" w:pos="1021"/>
          <w:tab w:val="right" w:pos="1020"/>
        </w:tabs>
      </w:pPr>
      <w:r>
        <w:tab/>
      </w:r>
      <w:r>
        <w:rPr>
          <w:rStyle w:val="FootnoteReference"/>
        </w:rPr>
        <w:footnoteRef/>
      </w:r>
      <w:r>
        <w:tab/>
        <w:t xml:space="preserve"> </w:t>
      </w:r>
      <w:r w:rsidRPr="005D39E0">
        <w:rPr>
          <w:szCs w:val="18"/>
        </w:rPr>
        <w:t>Fortin, p.71</w:t>
      </w:r>
      <w:r>
        <w:rPr>
          <w:szCs w:val="18"/>
        </w:rPr>
        <w:t>.</w:t>
      </w:r>
    </w:p>
  </w:footnote>
  <w:footnote w:id="64">
    <w:p w14:paraId="1ADBB2FE" w14:textId="77777777" w:rsidR="00A65DC8" w:rsidRPr="00A957D5" w:rsidRDefault="00A65DC8" w:rsidP="00FB4924">
      <w:pPr>
        <w:pStyle w:val="FootnoteText"/>
        <w:widowControl w:val="0"/>
        <w:tabs>
          <w:tab w:val="clear" w:pos="1021"/>
          <w:tab w:val="right" w:pos="1020"/>
        </w:tabs>
        <w:rPr>
          <w:i/>
          <w:szCs w:val="18"/>
        </w:rPr>
      </w:pPr>
      <w:r>
        <w:tab/>
      </w:r>
      <w:r>
        <w:rPr>
          <w:rStyle w:val="FootnoteReference"/>
        </w:rPr>
        <w:footnoteRef/>
      </w:r>
      <w:r>
        <w:tab/>
        <w:t xml:space="preserve"> </w:t>
      </w:r>
      <w:r w:rsidRPr="005D39E0">
        <w:rPr>
          <w:noProof/>
          <w:szCs w:val="18"/>
        </w:rPr>
        <w:t>Reinisch 2005; Clapham 2006</w:t>
      </w:r>
      <w:r>
        <w:rPr>
          <w:noProof/>
          <w:szCs w:val="18"/>
        </w:rPr>
        <w:t xml:space="preserve">. </w:t>
      </w:r>
      <w:r w:rsidRPr="005D39E0">
        <w:rPr>
          <w:szCs w:val="18"/>
        </w:rPr>
        <w:t xml:space="preserve">Rosalyn Higgins, </w:t>
      </w:r>
      <w:r w:rsidRPr="00A957D5">
        <w:rPr>
          <w:i/>
          <w:szCs w:val="18"/>
        </w:rPr>
        <w:t xml:space="preserve">Problems and Process: International. </w:t>
      </w:r>
    </w:p>
    <w:p w14:paraId="796E86C6" w14:textId="5900BFAB" w:rsidR="00A65DC8" w:rsidRPr="00351EFD" w:rsidRDefault="00A65DC8" w:rsidP="00FB4924">
      <w:pPr>
        <w:pStyle w:val="FootnoteText"/>
        <w:widowControl w:val="0"/>
        <w:tabs>
          <w:tab w:val="clear" w:pos="1021"/>
          <w:tab w:val="right" w:pos="1020"/>
        </w:tabs>
      </w:pPr>
      <w:r w:rsidRPr="00A957D5">
        <w:rPr>
          <w:i/>
          <w:szCs w:val="18"/>
        </w:rPr>
        <w:tab/>
      </w:r>
      <w:r w:rsidRPr="00A957D5">
        <w:rPr>
          <w:i/>
          <w:szCs w:val="18"/>
        </w:rPr>
        <w:tab/>
        <w:t xml:space="preserve"> Law and How We Use It</w:t>
      </w:r>
      <w:r>
        <w:rPr>
          <w:szCs w:val="18"/>
        </w:rPr>
        <w:t>, 1994</w:t>
      </w:r>
      <w:r w:rsidRPr="005D39E0">
        <w:rPr>
          <w:szCs w:val="18"/>
        </w:rPr>
        <w:t>, p.4</w:t>
      </w:r>
      <w:r>
        <w:rPr>
          <w:szCs w:val="18"/>
        </w:rPr>
        <w:t>.</w:t>
      </w:r>
    </w:p>
  </w:footnote>
  <w:footnote w:id="65">
    <w:p w14:paraId="2035453B" w14:textId="421B9C5E" w:rsidR="00A65DC8" w:rsidRPr="00C02F11" w:rsidRDefault="00A65DC8" w:rsidP="00C02F11">
      <w:pPr>
        <w:pStyle w:val="FootnoteText"/>
        <w:rPr>
          <w:szCs w:val="18"/>
        </w:rPr>
      </w:pPr>
      <w:r>
        <w:tab/>
      </w:r>
      <w:r>
        <w:rPr>
          <w:rStyle w:val="FootnoteReference"/>
        </w:rPr>
        <w:footnoteRef/>
      </w:r>
      <w:r>
        <w:tab/>
        <w:t xml:space="preserve"> </w:t>
      </w:r>
      <w:r w:rsidRPr="005D39E0">
        <w:rPr>
          <w:szCs w:val="18"/>
        </w:rPr>
        <w:t>R.McCorquodale, ‘</w:t>
      </w:r>
      <w:r w:rsidRPr="00A957D5">
        <w:rPr>
          <w:i/>
          <w:szCs w:val="18"/>
        </w:rPr>
        <w:t>An Inclusive International Legal System</w:t>
      </w:r>
      <w:r w:rsidRPr="005D39E0">
        <w:rPr>
          <w:szCs w:val="18"/>
        </w:rPr>
        <w:t>’, 17 LJIL</w:t>
      </w:r>
      <w:r>
        <w:rPr>
          <w:szCs w:val="18"/>
        </w:rPr>
        <w:t xml:space="preserve"> 477, 2004</w:t>
      </w:r>
    </w:p>
  </w:footnote>
  <w:footnote w:id="66">
    <w:p w14:paraId="36ADA01B" w14:textId="77777777" w:rsidR="00A65DC8" w:rsidRPr="00351EFD" w:rsidRDefault="00A65DC8" w:rsidP="00C02F11">
      <w:pPr>
        <w:pStyle w:val="FootnoteText"/>
        <w:widowControl w:val="0"/>
        <w:tabs>
          <w:tab w:val="clear" w:pos="1021"/>
          <w:tab w:val="right" w:pos="1020"/>
        </w:tabs>
      </w:pPr>
      <w:r>
        <w:tab/>
      </w:r>
      <w:r>
        <w:rPr>
          <w:rStyle w:val="FootnoteReference"/>
        </w:rPr>
        <w:footnoteRef/>
      </w:r>
      <w:r>
        <w:tab/>
        <w:t xml:space="preserve"> </w:t>
      </w:r>
      <w:r>
        <w:rPr>
          <w:noProof/>
          <w:szCs w:val="18"/>
        </w:rPr>
        <w:t>Clapham 2006, 68-9</w:t>
      </w:r>
    </w:p>
  </w:footnote>
  <w:footnote w:id="67">
    <w:p w14:paraId="3DE40413" w14:textId="77777777" w:rsidR="00A65DC8" w:rsidRPr="00351EFD" w:rsidRDefault="00A65DC8" w:rsidP="00C02F11">
      <w:pPr>
        <w:pStyle w:val="FootnoteText"/>
        <w:widowControl w:val="0"/>
        <w:tabs>
          <w:tab w:val="clear" w:pos="1021"/>
          <w:tab w:val="right" w:pos="1020"/>
        </w:tabs>
      </w:pPr>
      <w:r>
        <w:tab/>
      </w:r>
      <w:r>
        <w:rPr>
          <w:rStyle w:val="FootnoteReference"/>
        </w:rPr>
        <w:footnoteRef/>
      </w:r>
      <w:r>
        <w:tab/>
        <w:t xml:space="preserve"> </w:t>
      </w:r>
      <w:r>
        <w:rPr>
          <w:szCs w:val="18"/>
        </w:rPr>
        <w:t>Ibid</w:t>
      </w:r>
    </w:p>
  </w:footnote>
  <w:footnote w:id="68">
    <w:p w14:paraId="6F7D25B1" w14:textId="77777777" w:rsidR="00A65DC8" w:rsidRPr="00351EFD" w:rsidRDefault="00A65DC8" w:rsidP="00C02F11">
      <w:pPr>
        <w:pStyle w:val="FootnoteText"/>
        <w:widowControl w:val="0"/>
        <w:tabs>
          <w:tab w:val="clear" w:pos="1021"/>
          <w:tab w:val="right" w:pos="1020"/>
        </w:tabs>
      </w:pPr>
      <w:r>
        <w:tab/>
      </w:r>
      <w:r>
        <w:rPr>
          <w:rStyle w:val="FootnoteReference"/>
        </w:rPr>
        <w:footnoteRef/>
      </w:r>
      <w:r>
        <w:tab/>
        <w:t xml:space="preserve"> </w:t>
      </w:r>
      <w:r>
        <w:rPr>
          <w:szCs w:val="18"/>
        </w:rPr>
        <w:t>Murray, 2016, p.75</w:t>
      </w:r>
    </w:p>
  </w:footnote>
  <w:footnote w:id="69">
    <w:p w14:paraId="2F1BDA82" w14:textId="385E932F" w:rsidR="00A65DC8" w:rsidRPr="00351EFD" w:rsidRDefault="00A65DC8" w:rsidP="00604A25">
      <w:pPr>
        <w:pStyle w:val="FootnoteText"/>
        <w:widowControl w:val="0"/>
        <w:tabs>
          <w:tab w:val="clear" w:pos="1021"/>
          <w:tab w:val="right" w:pos="1020"/>
        </w:tabs>
      </w:pPr>
      <w:r>
        <w:tab/>
      </w:r>
      <w:r>
        <w:rPr>
          <w:rStyle w:val="FootnoteReference"/>
        </w:rPr>
        <w:footnoteRef/>
      </w:r>
      <w:r w:rsidR="00A32CEA">
        <w:tab/>
      </w:r>
      <w:r>
        <w:rPr>
          <w:szCs w:val="18"/>
        </w:rPr>
        <w:t>HLSPILAC, 2017</w:t>
      </w:r>
    </w:p>
  </w:footnote>
  <w:footnote w:id="70">
    <w:p w14:paraId="5A9A7395" w14:textId="77777777" w:rsidR="00A65DC8" w:rsidRPr="00351EFD" w:rsidRDefault="00A65DC8" w:rsidP="00604A25">
      <w:pPr>
        <w:pStyle w:val="FootnoteText"/>
        <w:widowControl w:val="0"/>
        <w:tabs>
          <w:tab w:val="clear" w:pos="1021"/>
          <w:tab w:val="right" w:pos="1020"/>
        </w:tabs>
      </w:pPr>
      <w:r>
        <w:tab/>
      </w:r>
      <w:r>
        <w:rPr>
          <w:rStyle w:val="FootnoteReference"/>
        </w:rPr>
        <w:footnoteRef/>
      </w:r>
      <w:r>
        <w:tab/>
      </w:r>
      <w:r w:rsidRPr="005D39E0">
        <w:rPr>
          <w:szCs w:val="18"/>
        </w:rPr>
        <w:t>Fortin, Chapter 9</w:t>
      </w:r>
      <w:r>
        <w:rPr>
          <w:szCs w:val="18"/>
        </w:rPr>
        <w:t>.</w:t>
      </w:r>
    </w:p>
  </w:footnote>
  <w:footnote w:id="71">
    <w:p w14:paraId="72510A78" w14:textId="77777777" w:rsidR="00A65DC8" w:rsidRPr="00351EFD" w:rsidRDefault="00A65DC8" w:rsidP="009E679B">
      <w:pPr>
        <w:pStyle w:val="FootnoteText"/>
        <w:widowControl w:val="0"/>
        <w:tabs>
          <w:tab w:val="clear" w:pos="1021"/>
          <w:tab w:val="right" w:pos="1020"/>
        </w:tabs>
      </w:pPr>
      <w:r>
        <w:tab/>
      </w:r>
      <w:r>
        <w:rPr>
          <w:rStyle w:val="FootnoteReference"/>
        </w:rPr>
        <w:footnoteRef/>
      </w:r>
      <w:r>
        <w:tab/>
      </w:r>
      <w:r w:rsidRPr="005D39E0">
        <w:rPr>
          <w:szCs w:val="18"/>
        </w:rPr>
        <w:t>This was the strategy for instance of the Lord Resistance Army</w:t>
      </w:r>
      <w:r>
        <w:rPr>
          <w:szCs w:val="18"/>
        </w:rPr>
        <w:t>.</w:t>
      </w:r>
      <w:r>
        <w:t xml:space="preserve"> </w:t>
      </w:r>
    </w:p>
  </w:footnote>
  <w:footnote w:id="72">
    <w:p w14:paraId="2A0B9AA7" w14:textId="77777777" w:rsidR="00A65DC8" w:rsidRPr="00BB11A0" w:rsidRDefault="00A65DC8" w:rsidP="00BB11A0">
      <w:pPr>
        <w:pStyle w:val="FootnoteText"/>
        <w:rPr>
          <w:szCs w:val="18"/>
        </w:rPr>
      </w:pPr>
      <w:r>
        <w:tab/>
      </w:r>
      <w:r>
        <w:rPr>
          <w:rStyle w:val="FootnoteReference"/>
        </w:rPr>
        <w:footnoteRef/>
      </w:r>
      <w:r>
        <w:tab/>
      </w:r>
      <w:r w:rsidRPr="005D39E0">
        <w:rPr>
          <w:szCs w:val="18"/>
        </w:rPr>
        <w:t>See for instance, Katanga Trial Judgement, 1119; Fortin, Ch</w:t>
      </w:r>
      <w:r>
        <w:rPr>
          <w:szCs w:val="18"/>
        </w:rPr>
        <w:t>a</w:t>
      </w:r>
      <w:r w:rsidRPr="005D39E0">
        <w:rPr>
          <w:szCs w:val="18"/>
        </w:rPr>
        <w:t>p</w:t>
      </w:r>
      <w:r>
        <w:rPr>
          <w:szCs w:val="18"/>
        </w:rPr>
        <w:t>ter 10.</w:t>
      </w:r>
    </w:p>
  </w:footnote>
  <w:footnote w:id="73">
    <w:p w14:paraId="1A38B24A" w14:textId="77777777" w:rsidR="00A65DC8" w:rsidRPr="00351EFD" w:rsidRDefault="00A65DC8" w:rsidP="00BB11A0">
      <w:pPr>
        <w:pStyle w:val="FootnoteText"/>
        <w:widowControl w:val="0"/>
        <w:tabs>
          <w:tab w:val="clear" w:pos="1021"/>
          <w:tab w:val="right" w:pos="1020"/>
        </w:tabs>
      </w:pPr>
      <w:r>
        <w:tab/>
      </w:r>
      <w:r>
        <w:rPr>
          <w:rStyle w:val="FootnoteReference"/>
        </w:rPr>
        <w:footnoteRef/>
      </w:r>
      <w:r>
        <w:tab/>
      </w:r>
      <w:r w:rsidRPr="005D39E0">
        <w:rPr>
          <w:szCs w:val="18"/>
        </w:rPr>
        <w:t>Fortin, 382-385</w:t>
      </w:r>
    </w:p>
  </w:footnote>
  <w:footnote w:id="74">
    <w:p w14:paraId="0C1C8E83" w14:textId="77777777" w:rsidR="00A65DC8" w:rsidRPr="00351EFD" w:rsidRDefault="00A65DC8" w:rsidP="00BB11A0">
      <w:pPr>
        <w:pStyle w:val="FootnoteText"/>
        <w:widowControl w:val="0"/>
        <w:tabs>
          <w:tab w:val="clear" w:pos="1021"/>
          <w:tab w:val="right" w:pos="1020"/>
        </w:tabs>
      </w:pPr>
      <w:r>
        <w:tab/>
      </w:r>
      <w:r>
        <w:rPr>
          <w:rStyle w:val="FootnoteReference"/>
        </w:rPr>
        <w:footnoteRef/>
      </w:r>
      <w:r>
        <w:tab/>
      </w:r>
      <w:r w:rsidRPr="005D39E0">
        <w:rPr>
          <w:szCs w:val="18"/>
        </w:rPr>
        <w:t>Murray, 2017</w:t>
      </w:r>
      <w:r>
        <w:rPr>
          <w:szCs w:val="18"/>
        </w:rPr>
        <w:t>.</w:t>
      </w:r>
    </w:p>
  </w:footnote>
  <w:footnote w:id="75">
    <w:p w14:paraId="3E93F1F6" w14:textId="77777777" w:rsidR="00A65DC8" w:rsidRPr="00351EFD" w:rsidRDefault="00A65DC8" w:rsidP="00BB11A0">
      <w:pPr>
        <w:pStyle w:val="FootnoteText"/>
        <w:widowControl w:val="0"/>
        <w:tabs>
          <w:tab w:val="clear" w:pos="1021"/>
          <w:tab w:val="right" w:pos="1020"/>
        </w:tabs>
      </w:pPr>
      <w:r>
        <w:tab/>
      </w:r>
      <w:r>
        <w:rPr>
          <w:rStyle w:val="FootnoteReference"/>
        </w:rPr>
        <w:footnoteRef/>
      </w:r>
      <w:r>
        <w:tab/>
      </w:r>
      <w:r w:rsidRPr="005D39E0">
        <w:rPr>
          <w:szCs w:val="18"/>
        </w:rPr>
        <w:t>Indicators include the existence of a command structure; the modes of communication; whether</w:t>
      </w:r>
      <w:r w:rsidRPr="00BB11A0">
        <w:rPr>
          <w:szCs w:val="18"/>
        </w:rPr>
        <w:t xml:space="preserve"> </w:t>
      </w:r>
      <w:r w:rsidRPr="005D39E0">
        <w:rPr>
          <w:szCs w:val="18"/>
        </w:rPr>
        <w:t>military training is provided; external relations; the ability to control te</w:t>
      </w:r>
      <w:r>
        <w:rPr>
          <w:szCs w:val="18"/>
        </w:rPr>
        <w:t>rritory; the ability to procure.</w:t>
      </w:r>
    </w:p>
  </w:footnote>
  <w:footnote w:id="76">
    <w:p w14:paraId="4CB630F3" w14:textId="2DDA00DB" w:rsidR="00A65DC8" w:rsidRPr="00351EFD" w:rsidRDefault="00A65DC8" w:rsidP="001F54C9">
      <w:pPr>
        <w:pStyle w:val="FootnoteText"/>
        <w:widowControl w:val="0"/>
        <w:tabs>
          <w:tab w:val="clear" w:pos="1021"/>
          <w:tab w:val="right" w:pos="1020"/>
        </w:tabs>
      </w:pPr>
      <w:r>
        <w:tab/>
      </w:r>
      <w:r>
        <w:rPr>
          <w:rStyle w:val="FootnoteReference"/>
        </w:rPr>
        <w:footnoteRef/>
      </w:r>
      <w:r>
        <w:tab/>
      </w:r>
      <w:r w:rsidRPr="005D39E0">
        <w:rPr>
          <w:szCs w:val="18"/>
        </w:rPr>
        <w:t>Fortin, p.45; referring to B. Fall, “</w:t>
      </w:r>
      <w:r w:rsidRPr="00A957D5">
        <w:rPr>
          <w:i/>
          <w:szCs w:val="18"/>
        </w:rPr>
        <w:t>The Theory and Practice of Insurgency and Counter Insurgency</w:t>
      </w:r>
      <w:r>
        <w:rPr>
          <w:i/>
          <w:szCs w:val="18"/>
        </w:rPr>
        <w:t>,</w:t>
      </w:r>
      <w:r w:rsidRPr="005D39E0">
        <w:rPr>
          <w:szCs w:val="18"/>
        </w:rPr>
        <w:t>”</w:t>
      </w:r>
      <w:r>
        <w:rPr>
          <w:szCs w:val="18"/>
        </w:rPr>
        <w:t xml:space="preserve"> </w:t>
      </w:r>
      <w:r w:rsidRPr="005D39E0">
        <w:rPr>
          <w:szCs w:val="18"/>
        </w:rPr>
        <w:t>US Naval War College Review, Ne</w:t>
      </w:r>
      <w:r>
        <w:rPr>
          <w:szCs w:val="18"/>
        </w:rPr>
        <w:t>wport Rhode Island, April 1965.</w:t>
      </w:r>
    </w:p>
  </w:footnote>
  <w:footnote w:id="77">
    <w:p w14:paraId="0480B82B" w14:textId="77777777" w:rsidR="00A65DC8" w:rsidRPr="00351EFD" w:rsidRDefault="00A65DC8" w:rsidP="001F54C9">
      <w:pPr>
        <w:pStyle w:val="FootnoteText"/>
        <w:widowControl w:val="0"/>
        <w:tabs>
          <w:tab w:val="clear" w:pos="1021"/>
          <w:tab w:val="right" w:pos="1020"/>
        </w:tabs>
      </w:pPr>
      <w:r>
        <w:tab/>
      </w:r>
      <w:r>
        <w:rPr>
          <w:rStyle w:val="FootnoteReference"/>
        </w:rPr>
        <w:footnoteRef/>
      </w:r>
      <w:r>
        <w:tab/>
      </w:r>
      <w:r w:rsidRPr="00486E1F">
        <w:rPr>
          <w:szCs w:val="18"/>
        </w:rPr>
        <w:t xml:space="preserve">Zachariah Cherian Mampilly, </w:t>
      </w:r>
      <w:r w:rsidRPr="00E60D53">
        <w:rPr>
          <w:i/>
          <w:szCs w:val="18"/>
        </w:rPr>
        <w:t>Insurgent Governance and Civilian Life during War,</w:t>
      </w:r>
      <w:r w:rsidRPr="00486E1F">
        <w:rPr>
          <w:szCs w:val="18"/>
        </w:rPr>
        <w:t xml:space="preserve"> 2011; Ana Arjona et al, </w:t>
      </w:r>
      <w:r w:rsidRPr="00E60D53">
        <w:rPr>
          <w:i/>
          <w:szCs w:val="18"/>
        </w:rPr>
        <w:t>Rebel Governance in Civil War</w:t>
      </w:r>
      <w:r w:rsidRPr="00486E1F">
        <w:rPr>
          <w:szCs w:val="18"/>
        </w:rPr>
        <w:t>,</w:t>
      </w:r>
      <w:r>
        <w:rPr>
          <w:szCs w:val="18"/>
        </w:rPr>
        <w:t xml:space="preserve"> </w:t>
      </w:r>
      <w:r w:rsidRPr="00486E1F">
        <w:rPr>
          <w:szCs w:val="18"/>
        </w:rPr>
        <w:t>2015.</w:t>
      </w:r>
    </w:p>
  </w:footnote>
  <w:footnote w:id="78">
    <w:p w14:paraId="5925ED96" w14:textId="31EF145E" w:rsidR="00A65DC8" w:rsidRPr="00351EFD" w:rsidRDefault="00A65DC8" w:rsidP="001F54C9">
      <w:pPr>
        <w:pStyle w:val="FootnoteText"/>
        <w:widowControl w:val="0"/>
        <w:tabs>
          <w:tab w:val="clear" w:pos="1021"/>
          <w:tab w:val="right" w:pos="1020"/>
        </w:tabs>
      </w:pPr>
      <w:r>
        <w:tab/>
      </w:r>
      <w:r>
        <w:rPr>
          <w:rStyle w:val="FootnoteReference"/>
        </w:rPr>
        <w:footnoteRef/>
      </w:r>
      <w:r>
        <w:tab/>
      </w:r>
      <w:r w:rsidRPr="00486E1F">
        <w:rPr>
          <w:szCs w:val="18"/>
        </w:rPr>
        <w:t xml:space="preserve">Enrique Desmond Arias, </w:t>
      </w:r>
      <w:r w:rsidRPr="00A138D9">
        <w:rPr>
          <w:i/>
          <w:szCs w:val="18"/>
        </w:rPr>
        <w:t>Criminal Enterprises and Governance in Latin America and the Caribbean</w:t>
      </w:r>
      <w:r>
        <w:rPr>
          <w:szCs w:val="18"/>
        </w:rPr>
        <w:t xml:space="preserve">, </w:t>
      </w:r>
      <w:r w:rsidRPr="00486E1F">
        <w:rPr>
          <w:szCs w:val="18"/>
        </w:rPr>
        <w:t>2017; Kent Eaton, “</w:t>
      </w:r>
      <w:r w:rsidRPr="00A957D5">
        <w:rPr>
          <w:i/>
          <w:szCs w:val="18"/>
        </w:rPr>
        <w:t>The Downside of Decentralization: Armed Clientelism in Colombia</w:t>
      </w:r>
      <w:r>
        <w:rPr>
          <w:szCs w:val="18"/>
        </w:rPr>
        <w:t>,</w:t>
      </w:r>
      <w:r w:rsidRPr="00486E1F">
        <w:rPr>
          <w:szCs w:val="18"/>
        </w:rPr>
        <w:t xml:space="preserve">” Security Studies 15(4): 1-30, 2006; Angelica Duran-Martinez, </w:t>
      </w:r>
      <w:r>
        <w:rPr>
          <w:szCs w:val="18"/>
        </w:rPr>
        <w:t>“</w:t>
      </w:r>
      <w:r w:rsidRPr="00EC169C">
        <w:rPr>
          <w:i/>
          <w:szCs w:val="18"/>
        </w:rPr>
        <w:t>To Kill and Tell? State Power, Criminal Competition, and Drug Violence</w:t>
      </w:r>
      <w:r>
        <w:rPr>
          <w:szCs w:val="18"/>
        </w:rPr>
        <w:t xml:space="preserve">”, </w:t>
      </w:r>
      <w:r w:rsidRPr="00EC169C">
        <w:rPr>
          <w:szCs w:val="18"/>
        </w:rPr>
        <w:t>Journal of Conflict Resolution</w:t>
      </w:r>
      <w:r>
        <w:rPr>
          <w:szCs w:val="18"/>
        </w:rPr>
        <w:t xml:space="preserve"> </w:t>
      </w:r>
      <w:r w:rsidRPr="00486E1F">
        <w:rPr>
          <w:szCs w:val="18"/>
        </w:rPr>
        <w:t>59(8): 1377–1402, 2015.</w:t>
      </w:r>
    </w:p>
  </w:footnote>
  <w:footnote w:id="79">
    <w:p w14:paraId="1F187487" w14:textId="77777777" w:rsidR="00A65DC8" w:rsidRPr="00351EFD" w:rsidRDefault="00A65DC8" w:rsidP="001F54C9">
      <w:pPr>
        <w:pStyle w:val="FootnoteText"/>
        <w:widowControl w:val="0"/>
        <w:tabs>
          <w:tab w:val="clear" w:pos="1021"/>
          <w:tab w:val="right" w:pos="1020"/>
        </w:tabs>
      </w:pPr>
      <w:r>
        <w:tab/>
      </w:r>
      <w:r>
        <w:rPr>
          <w:rStyle w:val="FootnoteReference"/>
        </w:rPr>
        <w:footnoteRef/>
      </w:r>
      <w:r>
        <w:tab/>
        <w:t xml:space="preserve">Ana </w:t>
      </w:r>
      <w:r w:rsidRPr="005D39E0">
        <w:rPr>
          <w:szCs w:val="18"/>
        </w:rPr>
        <w:t xml:space="preserve">Arjona, </w:t>
      </w:r>
      <w:r>
        <w:rPr>
          <w:szCs w:val="18"/>
        </w:rPr>
        <w:t xml:space="preserve">Presentation, </w:t>
      </w:r>
      <w:r w:rsidRPr="005D39E0">
        <w:rPr>
          <w:szCs w:val="18"/>
        </w:rPr>
        <w:t xml:space="preserve">Columbia University </w:t>
      </w:r>
      <w:r>
        <w:rPr>
          <w:szCs w:val="18"/>
        </w:rPr>
        <w:t>Conference</w:t>
      </w:r>
      <w:r w:rsidRPr="005D39E0">
        <w:rPr>
          <w:szCs w:val="18"/>
        </w:rPr>
        <w:t>, 2018</w:t>
      </w:r>
    </w:p>
  </w:footnote>
  <w:footnote w:id="80">
    <w:p w14:paraId="083B1B24" w14:textId="77777777" w:rsidR="00A65DC8" w:rsidRPr="00351EFD" w:rsidRDefault="00A65DC8" w:rsidP="001F54C9">
      <w:pPr>
        <w:pStyle w:val="FootnoteText"/>
        <w:widowControl w:val="0"/>
        <w:tabs>
          <w:tab w:val="clear" w:pos="1021"/>
          <w:tab w:val="right" w:pos="1020"/>
        </w:tabs>
      </w:pPr>
      <w:r>
        <w:tab/>
      </w:r>
      <w:r>
        <w:rPr>
          <w:rStyle w:val="FootnoteReference"/>
        </w:rPr>
        <w:footnoteRef/>
      </w:r>
      <w:r>
        <w:tab/>
      </w:r>
      <w:r>
        <w:rPr>
          <w:szCs w:val="18"/>
        </w:rPr>
        <w:t>Fortin, p.362</w:t>
      </w:r>
      <w:r w:rsidRPr="005D39E0">
        <w:rPr>
          <w:szCs w:val="18"/>
        </w:rPr>
        <w:t xml:space="preserve"> </w:t>
      </w:r>
      <w:r>
        <w:t xml:space="preserve"> </w:t>
      </w:r>
    </w:p>
  </w:footnote>
  <w:footnote w:id="81">
    <w:p w14:paraId="5E8CDB1D" w14:textId="77777777" w:rsidR="00A65DC8" w:rsidRPr="00351EFD" w:rsidRDefault="00A65DC8" w:rsidP="001F54C9">
      <w:pPr>
        <w:pStyle w:val="FootnoteText"/>
        <w:widowControl w:val="0"/>
        <w:tabs>
          <w:tab w:val="clear" w:pos="1021"/>
          <w:tab w:val="right" w:pos="1020"/>
        </w:tabs>
      </w:pPr>
      <w:r>
        <w:tab/>
      </w:r>
      <w:r>
        <w:rPr>
          <w:rStyle w:val="FootnoteReference"/>
        </w:rPr>
        <w:footnoteRef/>
      </w:r>
      <w:r>
        <w:tab/>
      </w:r>
      <w:r>
        <w:rPr>
          <w:szCs w:val="18"/>
        </w:rPr>
        <w:t xml:space="preserve">Kaldor M, </w:t>
      </w:r>
      <w:r w:rsidRPr="00A138D9">
        <w:rPr>
          <w:i/>
          <w:szCs w:val="18"/>
        </w:rPr>
        <w:t>New and Old Wars: Organized Violence in a Global Era</w:t>
      </w:r>
      <w:r>
        <w:rPr>
          <w:szCs w:val="18"/>
        </w:rPr>
        <w:t>, 2012, 2.</w:t>
      </w:r>
    </w:p>
  </w:footnote>
  <w:footnote w:id="82">
    <w:p w14:paraId="5CBED9B9" w14:textId="77777777" w:rsidR="00A65DC8" w:rsidRPr="00351EFD" w:rsidRDefault="00A65DC8" w:rsidP="001F54C9">
      <w:pPr>
        <w:pStyle w:val="FootnoteText"/>
        <w:widowControl w:val="0"/>
        <w:tabs>
          <w:tab w:val="clear" w:pos="1021"/>
          <w:tab w:val="right" w:pos="1020"/>
        </w:tabs>
      </w:pPr>
      <w:r>
        <w:tab/>
      </w:r>
      <w:r>
        <w:rPr>
          <w:rStyle w:val="FootnoteReference"/>
        </w:rPr>
        <w:footnoteRef/>
      </w:r>
      <w:r>
        <w:tab/>
      </w:r>
      <w:r w:rsidRPr="005D39E0">
        <w:rPr>
          <w:szCs w:val="18"/>
        </w:rPr>
        <w:t xml:space="preserve">Sandesh Sivakumaran, </w:t>
      </w:r>
      <w:r w:rsidRPr="00EC169C">
        <w:rPr>
          <w:i/>
          <w:szCs w:val="18"/>
        </w:rPr>
        <w:t>T</w:t>
      </w:r>
      <w:r w:rsidRPr="00EC169C">
        <w:rPr>
          <w:bCs/>
          <w:i/>
          <w:szCs w:val="18"/>
        </w:rPr>
        <w:t>he potential applicability of IHL to the use of state force against large-scale</w:t>
      </w:r>
      <w:r w:rsidRPr="00EC169C">
        <w:rPr>
          <w:i/>
        </w:rPr>
        <w:t xml:space="preserve"> </w:t>
      </w:r>
      <w:r w:rsidRPr="00EC169C">
        <w:rPr>
          <w:bCs/>
          <w:i/>
          <w:szCs w:val="18"/>
        </w:rPr>
        <w:t>criminal organizations,</w:t>
      </w:r>
      <w:r w:rsidRPr="005D39E0">
        <w:rPr>
          <w:bCs/>
          <w:szCs w:val="18"/>
        </w:rPr>
        <w:t xml:space="preserve"> </w:t>
      </w:r>
      <w:r w:rsidRPr="005D39E0">
        <w:rPr>
          <w:szCs w:val="18"/>
        </w:rPr>
        <w:t>7 November 2017</w:t>
      </w:r>
      <w:r>
        <w:rPr>
          <w:szCs w:val="18"/>
        </w:rPr>
        <w:t>.</w:t>
      </w:r>
    </w:p>
  </w:footnote>
  <w:footnote w:id="83">
    <w:p w14:paraId="20B38785" w14:textId="77777777" w:rsidR="00A65DC8" w:rsidRPr="00351EFD" w:rsidRDefault="00A65DC8" w:rsidP="002E71A2">
      <w:pPr>
        <w:pStyle w:val="FootnoteText"/>
        <w:widowControl w:val="0"/>
        <w:tabs>
          <w:tab w:val="clear" w:pos="1021"/>
          <w:tab w:val="right" w:pos="1020"/>
        </w:tabs>
      </w:pPr>
      <w:r>
        <w:tab/>
      </w:r>
      <w:r>
        <w:rPr>
          <w:rStyle w:val="FootnoteReference"/>
        </w:rPr>
        <w:footnoteRef/>
      </w:r>
      <w:r>
        <w:tab/>
      </w:r>
      <w:r w:rsidRPr="005D39E0">
        <w:rPr>
          <w:szCs w:val="18"/>
        </w:rPr>
        <w:t xml:space="preserve">Limaj </w:t>
      </w:r>
      <w:r>
        <w:rPr>
          <w:szCs w:val="18"/>
        </w:rPr>
        <w:t>Trial Judgment, ICTY, para. 170.</w:t>
      </w:r>
    </w:p>
  </w:footnote>
  <w:footnote w:id="84">
    <w:p w14:paraId="2262AFB7" w14:textId="77777777" w:rsidR="00A65DC8" w:rsidRPr="00351EFD" w:rsidRDefault="00A65DC8" w:rsidP="00615D45">
      <w:pPr>
        <w:pStyle w:val="FootnoteText"/>
        <w:widowControl w:val="0"/>
        <w:tabs>
          <w:tab w:val="clear" w:pos="1021"/>
          <w:tab w:val="right" w:pos="1020"/>
        </w:tabs>
      </w:pPr>
      <w:r>
        <w:tab/>
      </w:r>
      <w:r>
        <w:rPr>
          <w:rStyle w:val="FootnoteReference"/>
        </w:rPr>
        <w:footnoteRef/>
      </w:r>
      <w:r>
        <w:tab/>
      </w:r>
      <w:r w:rsidRPr="005D39E0">
        <w:rPr>
          <w:szCs w:val="18"/>
        </w:rPr>
        <w:t>Geneva Call</w:t>
      </w:r>
    </w:p>
  </w:footnote>
  <w:footnote w:id="85">
    <w:p w14:paraId="3EFBD460" w14:textId="77777777" w:rsidR="00A65DC8" w:rsidRPr="00351EFD" w:rsidRDefault="00A65DC8" w:rsidP="00960BC9">
      <w:pPr>
        <w:pStyle w:val="FootnoteText"/>
        <w:widowControl w:val="0"/>
        <w:tabs>
          <w:tab w:val="clear" w:pos="1021"/>
          <w:tab w:val="right" w:pos="1020"/>
        </w:tabs>
      </w:pPr>
      <w:r>
        <w:tab/>
      </w:r>
      <w:r>
        <w:rPr>
          <w:rStyle w:val="FootnoteReference"/>
        </w:rPr>
        <w:footnoteRef/>
      </w:r>
      <w:r>
        <w:tab/>
      </w:r>
      <w:r w:rsidRPr="005D39E0">
        <w:rPr>
          <w:szCs w:val="18"/>
        </w:rPr>
        <w:t>Sivakumaran, p. 559</w:t>
      </w:r>
      <w:r>
        <w:t>.</w:t>
      </w:r>
    </w:p>
  </w:footnote>
  <w:footnote w:id="86">
    <w:p w14:paraId="5E0F38FF" w14:textId="129D0B8D" w:rsidR="00A65DC8" w:rsidRPr="00351EFD" w:rsidRDefault="00A65DC8" w:rsidP="00960BC9">
      <w:pPr>
        <w:pStyle w:val="FootnoteText"/>
        <w:widowControl w:val="0"/>
        <w:tabs>
          <w:tab w:val="clear" w:pos="1021"/>
          <w:tab w:val="right" w:pos="1020"/>
        </w:tabs>
      </w:pPr>
      <w:r>
        <w:tab/>
      </w:r>
      <w:r>
        <w:rPr>
          <w:rStyle w:val="FootnoteReference"/>
        </w:rPr>
        <w:footnoteRef/>
      </w:r>
      <w:r>
        <w:tab/>
        <w:t xml:space="preserve">Andrew </w:t>
      </w:r>
      <w:r w:rsidRPr="005D39E0">
        <w:rPr>
          <w:szCs w:val="18"/>
        </w:rPr>
        <w:t xml:space="preserve">Clapham, </w:t>
      </w:r>
      <w:r>
        <w:rPr>
          <w:szCs w:val="18"/>
        </w:rPr>
        <w:t>“</w:t>
      </w:r>
      <w:r w:rsidRPr="00EC169C">
        <w:rPr>
          <w:i/>
          <w:szCs w:val="18"/>
        </w:rPr>
        <w:t>Detention by Armed Groups under International law</w:t>
      </w:r>
      <w:r>
        <w:rPr>
          <w:i/>
          <w:szCs w:val="18"/>
        </w:rPr>
        <w:t>”</w:t>
      </w:r>
      <w:r w:rsidRPr="005D39E0">
        <w:rPr>
          <w:szCs w:val="18"/>
        </w:rPr>
        <w:t>, Vol.93, International Law Studies, 93</w:t>
      </w:r>
      <w:r w:rsidRPr="00960BC9">
        <w:rPr>
          <w:szCs w:val="18"/>
        </w:rPr>
        <w:t xml:space="preserve"> </w:t>
      </w:r>
      <w:r w:rsidRPr="005D39E0">
        <w:rPr>
          <w:szCs w:val="18"/>
        </w:rPr>
        <w:t>International Law Studies (2017), p.31. See also, Murray, 2017, op cit.</w:t>
      </w:r>
    </w:p>
  </w:footnote>
  <w:footnote w:id="87">
    <w:p w14:paraId="090A6B7A" w14:textId="77777777" w:rsidR="00A65DC8" w:rsidRPr="00351EFD" w:rsidRDefault="00A65DC8" w:rsidP="00960BC9">
      <w:pPr>
        <w:pStyle w:val="FootnoteText"/>
        <w:widowControl w:val="0"/>
        <w:tabs>
          <w:tab w:val="clear" w:pos="1021"/>
          <w:tab w:val="right" w:pos="1020"/>
        </w:tabs>
      </w:pPr>
      <w:r>
        <w:tab/>
      </w:r>
      <w:r>
        <w:rPr>
          <w:rStyle w:val="FootnoteReference"/>
        </w:rPr>
        <w:footnoteRef/>
      </w:r>
      <w:r>
        <w:tab/>
      </w:r>
      <w:r w:rsidRPr="005D39E0">
        <w:rPr>
          <w:szCs w:val="18"/>
        </w:rPr>
        <w:t>Minnesota Protocol</w:t>
      </w:r>
    </w:p>
  </w:footnote>
  <w:footnote w:id="88">
    <w:p w14:paraId="6FC9DCD1" w14:textId="77777777" w:rsidR="00A65DC8" w:rsidRPr="009D27A1" w:rsidRDefault="00A65DC8" w:rsidP="00960BC9">
      <w:pPr>
        <w:pStyle w:val="FootnoteText"/>
        <w:widowControl w:val="0"/>
        <w:tabs>
          <w:tab w:val="clear" w:pos="1021"/>
          <w:tab w:val="right" w:pos="1020"/>
        </w:tabs>
        <w:rPr>
          <w:szCs w:val="18"/>
        </w:rPr>
      </w:pPr>
      <w:r>
        <w:tab/>
      </w:r>
      <w:r>
        <w:rPr>
          <w:rStyle w:val="FootnoteReference"/>
        </w:rPr>
        <w:footnoteRef/>
      </w:r>
      <w:r>
        <w:tab/>
      </w:r>
      <w:r w:rsidRPr="009D27A1">
        <w:rPr>
          <w:szCs w:val="18"/>
        </w:rPr>
        <w:t xml:space="preserve">See also </w:t>
      </w:r>
      <w:hyperlink r:id="rId7" w:history="1">
        <w:r w:rsidRPr="009D27A1">
          <w:rPr>
            <w:rStyle w:val="Hyperlink"/>
            <w:szCs w:val="18"/>
          </w:rPr>
          <w:t>https://www.genevacall.org/wp-content/uploads/dlm_uploads/2016/08/GaranceTalks_Issue01_Report.pdf</w:t>
        </w:r>
      </w:hyperlink>
      <w:r w:rsidRPr="009D27A1">
        <w:rPr>
          <w:rStyle w:val="Hyperlink"/>
          <w:szCs w:val="18"/>
        </w:rPr>
        <w:t>.</w:t>
      </w:r>
    </w:p>
  </w:footnote>
  <w:footnote w:id="89">
    <w:p w14:paraId="2E29324A" w14:textId="77777777" w:rsidR="00A65DC8" w:rsidRPr="009D27A1" w:rsidRDefault="00A65DC8" w:rsidP="00960BC9">
      <w:pPr>
        <w:pStyle w:val="FootnoteText"/>
        <w:widowControl w:val="0"/>
        <w:tabs>
          <w:tab w:val="clear" w:pos="1021"/>
          <w:tab w:val="right" w:pos="1020"/>
        </w:tabs>
        <w:rPr>
          <w:szCs w:val="18"/>
        </w:rPr>
      </w:pPr>
      <w:r w:rsidRPr="009D27A1">
        <w:rPr>
          <w:szCs w:val="18"/>
        </w:rPr>
        <w:tab/>
      </w:r>
      <w:r w:rsidRPr="009D27A1">
        <w:rPr>
          <w:rStyle w:val="FootnoteReference"/>
          <w:szCs w:val="18"/>
        </w:rPr>
        <w:footnoteRef/>
      </w:r>
      <w:r w:rsidRPr="009D27A1">
        <w:rPr>
          <w:szCs w:val="18"/>
        </w:rPr>
        <w:tab/>
        <w:t>UN doc. S/PRST/2014/3, p.1</w:t>
      </w:r>
    </w:p>
  </w:footnote>
  <w:footnote w:id="90">
    <w:p w14:paraId="7D7B1E2A" w14:textId="77777777" w:rsidR="00A65DC8" w:rsidRPr="009D27A1" w:rsidRDefault="00A65DC8" w:rsidP="00197D60">
      <w:pPr>
        <w:pStyle w:val="FootnoteText"/>
        <w:widowControl w:val="0"/>
        <w:tabs>
          <w:tab w:val="clear" w:pos="1021"/>
          <w:tab w:val="right" w:pos="1020"/>
        </w:tabs>
        <w:rPr>
          <w:szCs w:val="18"/>
        </w:rPr>
      </w:pPr>
      <w:r w:rsidRPr="009D27A1">
        <w:rPr>
          <w:szCs w:val="18"/>
        </w:rPr>
        <w:tab/>
      </w:r>
      <w:r w:rsidRPr="009D27A1">
        <w:rPr>
          <w:rStyle w:val="FootnoteReference"/>
          <w:szCs w:val="18"/>
        </w:rPr>
        <w:footnoteRef/>
      </w:r>
      <w:r w:rsidRPr="009D27A1">
        <w:rPr>
          <w:szCs w:val="18"/>
        </w:rPr>
        <w:tab/>
        <w:t xml:space="preserve"> </w:t>
      </w:r>
      <w:hyperlink r:id="rId8" w:history="1">
        <w:r w:rsidRPr="009D27A1">
          <w:rPr>
            <w:rStyle w:val="Hyperlink"/>
            <w:szCs w:val="18"/>
          </w:rPr>
          <w:t>https://law.duke.edu/humanrights/tighteningthepursestrings/</w:t>
        </w:r>
      </w:hyperlink>
    </w:p>
  </w:footnote>
  <w:footnote w:id="91">
    <w:p w14:paraId="774136ED" w14:textId="77777777" w:rsidR="00A65DC8" w:rsidRPr="009D27A1" w:rsidRDefault="00A65DC8" w:rsidP="00197D60">
      <w:pPr>
        <w:pStyle w:val="FootnoteText"/>
        <w:widowControl w:val="0"/>
        <w:tabs>
          <w:tab w:val="clear" w:pos="1021"/>
          <w:tab w:val="right" w:pos="1020"/>
        </w:tabs>
        <w:rPr>
          <w:szCs w:val="18"/>
        </w:rPr>
      </w:pPr>
      <w:r w:rsidRPr="009D27A1">
        <w:rPr>
          <w:szCs w:val="18"/>
        </w:rPr>
        <w:tab/>
      </w:r>
      <w:r w:rsidRPr="009D27A1">
        <w:rPr>
          <w:rStyle w:val="FootnoteReference"/>
          <w:szCs w:val="18"/>
        </w:rPr>
        <w:footnoteRef/>
      </w:r>
      <w:r w:rsidRPr="009D27A1">
        <w:rPr>
          <w:szCs w:val="18"/>
        </w:rPr>
        <w:tab/>
        <w:t>A/HRS/6/17 ¶ 46, 47.</w:t>
      </w:r>
    </w:p>
  </w:footnote>
  <w:footnote w:id="92">
    <w:p w14:paraId="1BE5241A" w14:textId="77777777" w:rsidR="00A65DC8" w:rsidRPr="00A32CEA" w:rsidRDefault="00A65DC8" w:rsidP="00197D60">
      <w:pPr>
        <w:pStyle w:val="FootnoteText"/>
        <w:widowControl w:val="0"/>
        <w:tabs>
          <w:tab w:val="clear" w:pos="1021"/>
          <w:tab w:val="right" w:pos="1020"/>
        </w:tabs>
        <w:rPr>
          <w:szCs w:val="18"/>
        </w:rPr>
      </w:pPr>
      <w:r w:rsidRPr="009D27A1">
        <w:rPr>
          <w:szCs w:val="18"/>
        </w:rPr>
        <w:tab/>
      </w:r>
      <w:r w:rsidRPr="009D27A1">
        <w:rPr>
          <w:rStyle w:val="FootnoteReference"/>
          <w:szCs w:val="18"/>
        </w:rPr>
        <w:footnoteRef/>
      </w:r>
      <w:r w:rsidRPr="009D27A1">
        <w:rPr>
          <w:szCs w:val="18"/>
        </w:rPr>
        <w:tab/>
      </w:r>
      <w:r w:rsidRPr="00A32CEA">
        <w:rPr>
          <w:szCs w:val="18"/>
        </w:rPr>
        <w:t xml:space="preserve">Ibid. </w:t>
      </w:r>
      <w:bookmarkStart w:id="9" w:name="_GoBack"/>
      <w:bookmarkEnd w:id="9"/>
    </w:p>
  </w:footnote>
  <w:footnote w:id="93">
    <w:p w14:paraId="40A6B29E" w14:textId="77777777" w:rsidR="00A65DC8" w:rsidRPr="00351EFD" w:rsidRDefault="00A65DC8" w:rsidP="00197D60">
      <w:pPr>
        <w:pStyle w:val="FootnoteText"/>
        <w:widowControl w:val="0"/>
        <w:tabs>
          <w:tab w:val="clear" w:pos="1021"/>
          <w:tab w:val="right" w:pos="1020"/>
        </w:tabs>
      </w:pPr>
      <w:r w:rsidRPr="009D27A1">
        <w:rPr>
          <w:szCs w:val="18"/>
        </w:rPr>
        <w:tab/>
      </w:r>
      <w:r w:rsidRPr="009D27A1">
        <w:rPr>
          <w:rStyle w:val="FootnoteReference"/>
          <w:szCs w:val="18"/>
        </w:rPr>
        <w:footnoteRef/>
      </w:r>
      <w:r w:rsidRPr="009D27A1">
        <w:rPr>
          <w:szCs w:val="18"/>
        </w:rPr>
        <w:tab/>
        <w:t>Fortin, p.392</w:t>
      </w:r>
      <w:r>
        <w:t xml:space="preserve"> </w:t>
      </w:r>
    </w:p>
  </w:footnote>
  <w:footnote w:id="94">
    <w:p w14:paraId="561F2194" w14:textId="77777777" w:rsidR="00A65DC8" w:rsidRPr="00351EFD" w:rsidRDefault="00A65DC8" w:rsidP="00197D60">
      <w:pPr>
        <w:pStyle w:val="FootnoteText"/>
        <w:widowControl w:val="0"/>
        <w:tabs>
          <w:tab w:val="clear" w:pos="1021"/>
          <w:tab w:val="right" w:pos="1020"/>
        </w:tabs>
      </w:pPr>
      <w:r>
        <w:tab/>
      </w:r>
      <w:r>
        <w:rPr>
          <w:rStyle w:val="FootnoteReference"/>
        </w:rPr>
        <w:footnoteRef/>
      </w:r>
      <w:r>
        <w:tab/>
      </w:r>
      <w:r w:rsidRPr="005D39E0">
        <w:rPr>
          <w:szCs w:val="18"/>
        </w:rPr>
        <w:t>Sivakumaran, pp.566-567</w:t>
      </w:r>
      <w:r>
        <w:rPr>
          <w:szCs w:val="18"/>
        </w:rPr>
        <w:t>.</w:t>
      </w:r>
    </w:p>
  </w:footnote>
  <w:footnote w:id="95">
    <w:p w14:paraId="0357FDDD" w14:textId="77777777" w:rsidR="00A65DC8" w:rsidRPr="00351EFD" w:rsidRDefault="00A65DC8" w:rsidP="00197D60">
      <w:pPr>
        <w:pStyle w:val="FootnoteText"/>
        <w:widowControl w:val="0"/>
        <w:tabs>
          <w:tab w:val="clear" w:pos="1021"/>
          <w:tab w:val="right" w:pos="1020"/>
        </w:tabs>
      </w:pPr>
      <w:r>
        <w:tab/>
      </w:r>
      <w:r>
        <w:rPr>
          <w:rStyle w:val="FootnoteReference"/>
        </w:rPr>
        <w:footnoteRef/>
      </w:r>
      <w:r>
        <w:tab/>
      </w:r>
      <w:r w:rsidRPr="005D39E0">
        <w:rPr>
          <w:szCs w:val="18"/>
        </w:rPr>
        <w:t>Daragh Murray, 2016, p.67 – The author reviews the international jurisprudence to demonstrate his</w:t>
      </w:r>
      <w:r>
        <w:rPr>
          <w:szCs w:val="18"/>
        </w:rPr>
        <w:t xml:space="preserve"> </w:t>
      </w:r>
      <w:r w:rsidRPr="005D39E0">
        <w:rPr>
          <w:szCs w:val="18"/>
        </w:rPr>
        <w:t>point.</w:t>
      </w:r>
    </w:p>
  </w:footnote>
  <w:footnote w:id="96">
    <w:p w14:paraId="61B2CB9E" w14:textId="28375CF4" w:rsidR="00A65DC8" w:rsidRPr="00351EFD" w:rsidRDefault="00A65DC8" w:rsidP="00971EE8">
      <w:pPr>
        <w:pStyle w:val="FootnoteText"/>
        <w:widowControl w:val="0"/>
        <w:tabs>
          <w:tab w:val="clear" w:pos="1021"/>
          <w:tab w:val="right" w:pos="1020"/>
        </w:tabs>
      </w:pPr>
      <w:r>
        <w:tab/>
      </w:r>
      <w:r>
        <w:rPr>
          <w:rStyle w:val="FootnoteReference"/>
        </w:rPr>
        <w:footnoteRef/>
      </w:r>
      <w:r>
        <w:tab/>
      </w:r>
      <w:r w:rsidRPr="005D39E0">
        <w:rPr>
          <w:szCs w:val="18"/>
        </w:rPr>
        <w:t xml:space="preserve">Murray, 2016, p.69. </w:t>
      </w:r>
      <w:r w:rsidRPr="005D39E0">
        <w:rPr>
          <w:color w:val="000000"/>
          <w:szCs w:val="18"/>
          <w:shd w:val="clear" w:color="auto" w:fill="FFFFFF"/>
        </w:rPr>
        <w:t>The Open Society Justice Initiative has suggested that both the Mexican</w:t>
      </w:r>
      <w:r>
        <w:rPr>
          <w:color w:val="000000"/>
          <w:szCs w:val="18"/>
          <w:shd w:val="clear" w:color="auto" w:fill="FFFFFF"/>
        </w:rPr>
        <w:t xml:space="preserve"> </w:t>
      </w:r>
      <w:r w:rsidRPr="005D39E0">
        <w:rPr>
          <w:color w:val="000000"/>
          <w:szCs w:val="18"/>
          <w:shd w:val="clear" w:color="auto" w:fill="FFFFFF"/>
        </w:rPr>
        <w:t xml:space="preserve">government forces and the Zetas drug cartel have committed crimes against humanity: </w:t>
      </w:r>
      <w:hyperlink r:id="rId9" w:history="1">
        <w:r w:rsidRPr="005D39E0">
          <w:rPr>
            <w:rStyle w:val="Hyperlink"/>
            <w:szCs w:val="18"/>
            <w:shd w:val="clear" w:color="auto" w:fill="FFFFFF"/>
          </w:rPr>
          <w:t>https://www.opensocietyfoundations.org/reports/undeniable-atrocities-confronting-crimes-against-humanity-mexico</w:t>
        </w:r>
      </w:hyperlink>
      <w:r>
        <w:rPr>
          <w:rStyle w:val="Hyperlink"/>
          <w:szCs w:val="18"/>
          <w:shd w:val="clear" w:color="auto" w:fill="FFFFFF"/>
        </w:rPr>
        <w:t>.</w:t>
      </w:r>
    </w:p>
  </w:footnote>
  <w:footnote w:id="97">
    <w:p w14:paraId="233A5F6A" w14:textId="77777777" w:rsidR="00A65DC8" w:rsidRPr="005E5506" w:rsidRDefault="00A65DC8" w:rsidP="005E5506">
      <w:pPr>
        <w:pStyle w:val="FootnoteText"/>
        <w:ind w:hanging="283"/>
        <w:rPr>
          <w:szCs w:val="18"/>
        </w:rPr>
      </w:pPr>
      <w:r>
        <w:tab/>
      </w:r>
      <w:r>
        <w:rPr>
          <w:rStyle w:val="FootnoteReference"/>
        </w:rPr>
        <w:footnoteRef/>
      </w:r>
      <w:r>
        <w:tab/>
      </w:r>
      <w:r w:rsidRPr="005D39E0">
        <w:rPr>
          <w:szCs w:val="18"/>
        </w:rPr>
        <w:t>https://www.ictj.org/sites/default/files/IC</w:t>
      </w:r>
      <w:r>
        <w:rPr>
          <w:szCs w:val="18"/>
        </w:rPr>
        <w:t>TJ_Book_JusticeMosaics_2017.pdf.</w:t>
      </w:r>
    </w:p>
  </w:footnote>
  <w:footnote w:id="98">
    <w:p w14:paraId="116B3862" w14:textId="77777777" w:rsidR="00A65DC8" w:rsidRPr="00351EFD" w:rsidRDefault="00A65DC8" w:rsidP="005E5506">
      <w:pPr>
        <w:pStyle w:val="FootnoteText"/>
        <w:widowControl w:val="0"/>
        <w:tabs>
          <w:tab w:val="clear" w:pos="1021"/>
          <w:tab w:val="right" w:pos="1020"/>
        </w:tabs>
      </w:pPr>
      <w:r>
        <w:tab/>
      </w:r>
      <w:r>
        <w:rPr>
          <w:rStyle w:val="FootnoteReference"/>
        </w:rPr>
        <w:footnoteRef/>
      </w:r>
      <w:r>
        <w:tab/>
      </w:r>
      <w:r w:rsidRPr="005D39E0">
        <w:rPr>
          <w:szCs w:val="18"/>
        </w:rPr>
        <w:t>Law 1448 on Victims’ Right to Comprehensive Reparation and Land Restitution.</w:t>
      </w:r>
      <w:r>
        <w:t xml:space="preserve"> </w:t>
      </w:r>
    </w:p>
  </w:footnote>
  <w:footnote w:id="99">
    <w:p w14:paraId="595EB708" w14:textId="77777777" w:rsidR="00A65DC8" w:rsidRPr="00351EFD" w:rsidRDefault="00A65DC8" w:rsidP="005E5506">
      <w:pPr>
        <w:pStyle w:val="FootnoteText"/>
        <w:widowControl w:val="0"/>
        <w:tabs>
          <w:tab w:val="clear" w:pos="1021"/>
          <w:tab w:val="right" w:pos="1020"/>
        </w:tabs>
      </w:pPr>
      <w:r>
        <w:tab/>
      </w:r>
      <w:r>
        <w:rPr>
          <w:rStyle w:val="FootnoteReference"/>
        </w:rPr>
        <w:footnoteRef/>
      </w:r>
      <w:r>
        <w:tab/>
      </w:r>
      <w:r w:rsidRPr="005D39E0">
        <w:rPr>
          <w:szCs w:val="18"/>
        </w:rPr>
        <w:t>Evans, at 220.</w:t>
      </w:r>
    </w:p>
  </w:footnote>
  <w:footnote w:id="100">
    <w:p w14:paraId="21A086EC" w14:textId="77777777" w:rsidR="00A65DC8" w:rsidRPr="005E5506" w:rsidRDefault="00A65DC8" w:rsidP="005E5506">
      <w:pPr>
        <w:pStyle w:val="FootnoteText"/>
        <w:ind w:hanging="283"/>
        <w:rPr>
          <w:szCs w:val="18"/>
        </w:rPr>
      </w:pPr>
      <w:r>
        <w:tab/>
      </w:r>
      <w:r>
        <w:rPr>
          <w:rStyle w:val="FootnoteReference"/>
        </w:rPr>
        <w:footnoteRef/>
      </w:r>
      <w:r>
        <w:tab/>
      </w:r>
      <w:r w:rsidRPr="005D39E0">
        <w:rPr>
          <w:szCs w:val="18"/>
        </w:rPr>
        <w:t>Report of the International Commission of Inquiry on Darfur of the United Nations Secretar</w:t>
      </w:r>
      <w:r>
        <w:rPr>
          <w:szCs w:val="18"/>
        </w:rPr>
        <w:t>y-</w:t>
      </w:r>
      <w:r w:rsidRPr="005D39E0">
        <w:rPr>
          <w:szCs w:val="18"/>
        </w:rPr>
        <w:t>General</w:t>
      </w:r>
      <w:r>
        <w:rPr>
          <w:szCs w:val="18"/>
        </w:rPr>
        <w:t>, para.</w:t>
      </w:r>
      <w:r w:rsidRPr="005D39E0">
        <w:rPr>
          <w:szCs w:val="18"/>
        </w:rPr>
        <w:t xml:space="preserve"> 591 (</w:t>
      </w:r>
      <w:r>
        <w:rPr>
          <w:szCs w:val="18"/>
        </w:rPr>
        <w:t>25 January 2005).</w:t>
      </w:r>
    </w:p>
  </w:footnote>
  <w:footnote w:id="101">
    <w:p w14:paraId="2664DD7C" w14:textId="77777777" w:rsidR="00A65DC8" w:rsidRPr="00351EFD" w:rsidRDefault="00A65DC8" w:rsidP="00DC47C9">
      <w:pPr>
        <w:pStyle w:val="FootnoteText"/>
        <w:tabs>
          <w:tab w:val="clear" w:pos="1021"/>
          <w:tab w:val="right" w:pos="1020"/>
        </w:tabs>
        <w:ind w:hanging="283"/>
      </w:pPr>
      <w:r>
        <w:tab/>
      </w:r>
      <w:r>
        <w:rPr>
          <w:rStyle w:val="FootnoteReference"/>
        </w:rPr>
        <w:footnoteRef/>
      </w:r>
      <w:r>
        <w:tab/>
      </w:r>
      <w:r w:rsidRPr="00A613B0">
        <w:rPr>
          <w:szCs w:val="18"/>
        </w:rPr>
        <w:t>The Rabat Report: The Concept and Challenges of Collective Reparations</w:t>
      </w:r>
      <w:r>
        <w:rPr>
          <w:szCs w:val="18"/>
        </w:rPr>
        <w:t>, Feb. 2009</w:t>
      </w:r>
      <w:r w:rsidRPr="005D39E0">
        <w:rPr>
          <w:szCs w:val="18"/>
        </w:rPr>
        <w:t xml:space="preserve">, </w:t>
      </w:r>
      <w:hyperlink r:id="rId10" w:history="1">
        <w:r w:rsidRPr="005D39E0">
          <w:rPr>
            <w:rStyle w:val="Hyperlink"/>
            <w:szCs w:val="18"/>
          </w:rPr>
          <w:t>https://www.ictj.org/sites/default/files/ICTJ-Morocco-Reparations-Report-2009-English.pdf</w:t>
        </w:r>
      </w:hyperlink>
      <w:r w:rsidRPr="005D39E0">
        <w:rPr>
          <w:szCs w:val="18"/>
        </w:rPr>
        <w:t>.</w:t>
      </w:r>
      <w:r>
        <w:t xml:space="preserve"> </w:t>
      </w:r>
    </w:p>
  </w:footnote>
  <w:footnote w:id="102">
    <w:p w14:paraId="0691980C" w14:textId="77777777" w:rsidR="00A65DC8" w:rsidRPr="00351EFD" w:rsidRDefault="00A65DC8" w:rsidP="005E5506">
      <w:pPr>
        <w:pStyle w:val="FootnoteText"/>
        <w:widowControl w:val="0"/>
        <w:tabs>
          <w:tab w:val="clear" w:pos="1021"/>
          <w:tab w:val="right" w:pos="1020"/>
        </w:tabs>
      </w:pPr>
      <w:r>
        <w:tab/>
      </w:r>
      <w:r>
        <w:rPr>
          <w:rStyle w:val="FootnoteReference"/>
        </w:rPr>
        <w:footnoteRef/>
      </w:r>
      <w:r>
        <w:tab/>
      </w:r>
      <w:r w:rsidRPr="005D39E0">
        <w:rPr>
          <w:szCs w:val="18"/>
        </w:rPr>
        <w:t>E.g. the Peruvian Truth and Reconciliation Commission.</w:t>
      </w:r>
    </w:p>
  </w:footnote>
  <w:footnote w:id="103">
    <w:p w14:paraId="1A82A81A" w14:textId="77777777" w:rsidR="00A65DC8" w:rsidRPr="00351EFD" w:rsidRDefault="00A65DC8" w:rsidP="005E5506">
      <w:pPr>
        <w:pStyle w:val="FootnoteText"/>
        <w:widowControl w:val="0"/>
        <w:tabs>
          <w:tab w:val="clear" w:pos="1021"/>
          <w:tab w:val="right" w:pos="1020"/>
        </w:tabs>
      </w:pPr>
      <w:r>
        <w:tab/>
      </w:r>
      <w:r>
        <w:rPr>
          <w:rStyle w:val="FootnoteReference"/>
        </w:rPr>
        <w:footnoteRef/>
      </w:r>
      <w:r>
        <w:tab/>
      </w:r>
      <w:r w:rsidRPr="005D39E0">
        <w:rPr>
          <w:szCs w:val="18"/>
        </w:rPr>
        <w:t>Evans, at 160</w:t>
      </w:r>
    </w:p>
  </w:footnote>
  <w:footnote w:id="104">
    <w:p w14:paraId="2177B993" w14:textId="5C7086AF" w:rsidR="00A65DC8" w:rsidRPr="00351EFD" w:rsidRDefault="00A65DC8" w:rsidP="00884EAC">
      <w:pPr>
        <w:pStyle w:val="FootnoteText"/>
        <w:widowControl w:val="0"/>
        <w:tabs>
          <w:tab w:val="clear" w:pos="1021"/>
          <w:tab w:val="right" w:pos="1020"/>
        </w:tabs>
      </w:pPr>
      <w:r>
        <w:tab/>
      </w:r>
      <w:r>
        <w:rPr>
          <w:rStyle w:val="FootnoteReference"/>
        </w:rPr>
        <w:footnoteRef/>
      </w:r>
      <w:r>
        <w:tab/>
      </w:r>
      <w:r w:rsidRPr="005D39E0">
        <w:rPr>
          <w:szCs w:val="18"/>
        </w:rPr>
        <w:t xml:space="preserve">Andrew Clapham, </w:t>
      </w:r>
      <w:r>
        <w:rPr>
          <w:szCs w:val="18"/>
        </w:rPr>
        <w:t>2006</w:t>
      </w:r>
      <w:r w:rsidRPr="005D39E0">
        <w:rPr>
          <w:szCs w:val="18"/>
        </w:rPr>
        <w: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A45EE" w14:textId="77777777" w:rsidR="00A65DC8" w:rsidRPr="005C12FB" w:rsidRDefault="00A32CEA">
    <w:pPr>
      <w:pStyle w:val="Header"/>
    </w:pPr>
    <w:r>
      <w:fldChar w:fldCharType="begin"/>
    </w:r>
    <w:r>
      <w:instrText xml:space="preserve"> TITLE  \* MERGEFORMAT </w:instrText>
    </w:r>
    <w:r>
      <w:fldChar w:fldCharType="separate"/>
    </w:r>
    <w:r w:rsidR="00A65DC8">
      <w:t>A/HRC/38/44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03D6D" w14:textId="77777777" w:rsidR="00A65DC8" w:rsidRPr="005C12FB" w:rsidRDefault="00A32CEA" w:rsidP="005C12FB">
    <w:pPr>
      <w:pStyle w:val="Header"/>
      <w:jc w:val="right"/>
    </w:pPr>
    <w:r>
      <w:fldChar w:fldCharType="begin"/>
    </w:r>
    <w:r>
      <w:instrText xml:space="preserve"> TITLE  \* MERGEFORMAT </w:instrText>
    </w:r>
    <w:r>
      <w:fldChar w:fldCharType="separate"/>
    </w:r>
    <w:r w:rsidR="00A65DC8">
      <w:t>A/HRC/38/44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1625A4"/>
    <w:multiLevelType w:val="hybridMultilevel"/>
    <w:tmpl w:val="92B47232"/>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4C446D"/>
    <w:multiLevelType w:val="hybridMultilevel"/>
    <w:tmpl w:val="B9663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0F992387"/>
    <w:multiLevelType w:val="hybridMultilevel"/>
    <w:tmpl w:val="66FE87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2917A4B"/>
    <w:multiLevelType w:val="hybridMultilevel"/>
    <w:tmpl w:val="D558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90053B"/>
    <w:multiLevelType w:val="hybridMultilevel"/>
    <w:tmpl w:val="B02E4C10"/>
    <w:lvl w:ilvl="0" w:tplc="FF564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E64688"/>
    <w:multiLevelType w:val="hybridMultilevel"/>
    <w:tmpl w:val="28048A74"/>
    <w:lvl w:ilvl="0" w:tplc="FF564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F94ACC"/>
    <w:multiLevelType w:val="hybridMultilevel"/>
    <w:tmpl w:val="B2562568"/>
    <w:lvl w:ilvl="0" w:tplc="08090017">
      <w:start w:val="1"/>
      <w:numFmt w:val="lowerLetter"/>
      <w:lvlText w:val="%1)"/>
      <w:lvlJc w:val="left"/>
      <w:pPr>
        <w:ind w:left="4313" w:hanging="360"/>
      </w:pPr>
    </w:lvl>
    <w:lvl w:ilvl="1" w:tplc="08090019" w:tentative="1">
      <w:start w:val="1"/>
      <w:numFmt w:val="lowerLetter"/>
      <w:lvlText w:val="%2."/>
      <w:lvlJc w:val="left"/>
      <w:pPr>
        <w:ind w:left="5033" w:hanging="360"/>
      </w:pPr>
    </w:lvl>
    <w:lvl w:ilvl="2" w:tplc="0809001B" w:tentative="1">
      <w:start w:val="1"/>
      <w:numFmt w:val="lowerRoman"/>
      <w:lvlText w:val="%3."/>
      <w:lvlJc w:val="right"/>
      <w:pPr>
        <w:ind w:left="5753" w:hanging="180"/>
      </w:pPr>
    </w:lvl>
    <w:lvl w:ilvl="3" w:tplc="0809000F" w:tentative="1">
      <w:start w:val="1"/>
      <w:numFmt w:val="decimal"/>
      <w:lvlText w:val="%4."/>
      <w:lvlJc w:val="left"/>
      <w:pPr>
        <w:ind w:left="6473" w:hanging="360"/>
      </w:pPr>
    </w:lvl>
    <w:lvl w:ilvl="4" w:tplc="08090019" w:tentative="1">
      <w:start w:val="1"/>
      <w:numFmt w:val="lowerLetter"/>
      <w:lvlText w:val="%5."/>
      <w:lvlJc w:val="left"/>
      <w:pPr>
        <w:ind w:left="7193" w:hanging="360"/>
      </w:pPr>
    </w:lvl>
    <w:lvl w:ilvl="5" w:tplc="0809001B" w:tentative="1">
      <w:start w:val="1"/>
      <w:numFmt w:val="lowerRoman"/>
      <w:lvlText w:val="%6."/>
      <w:lvlJc w:val="right"/>
      <w:pPr>
        <w:ind w:left="7913" w:hanging="180"/>
      </w:pPr>
    </w:lvl>
    <w:lvl w:ilvl="6" w:tplc="0809000F" w:tentative="1">
      <w:start w:val="1"/>
      <w:numFmt w:val="decimal"/>
      <w:lvlText w:val="%7."/>
      <w:lvlJc w:val="left"/>
      <w:pPr>
        <w:ind w:left="8633" w:hanging="360"/>
      </w:pPr>
    </w:lvl>
    <w:lvl w:ilvl="7" w:tplc="08090019" w:tentative="1">
      <w:start w:val="1"/>
      <w:numFmt w:val="lowerLetter"/>
      <w:lvlText w:val="%8."/>
      <w:lvlJc w:val="left"/>
      <w:pPr>
        <w:ind w:left="9353" w:hanging="360"/>
      </w:pPr>
    </w:lvl>
    <w:lvl w:ilvl="8" w:tplc="0809001B" w:tentative="1">
      <w:start w:val="1"/>
      <w:numFmt w:val="lowerRoman"/>
      <w:lvlText w:val="%9."/>
      <w:lvlJc w:val="right"/>
      <w:pPr>
        <w:ind w:left="10073" w:hanging="180"/>
      </w:pPr>
    </w:lvl>
  </w:abstractNum>
  <w:abstractNum w:abstractNumId="11" w15:restartNumberingAfterBreak="0">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BB4C7B"/>
    <w:multiLevelType w:val="hybridMultilevel"/>
    <w:tmpl w:val="BA2C9B06"/>
    <w:lvl w:ilvl="0" w:tplc="FF564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1F626C"/>
    <w:multiLevelType w:val="hybridMultilevel"/>
    <w:tmpl w:val="08421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37BEC"/>
    <w:multiLevelType w:val="hybridMultilevel"/>
    <w:tmpl w:val="D440558C"/>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5" w15:restartNumberingAfterBreak="0">
    <w:nsid w:val="30991DF6"/>
    <w:multiLevelType w:val="hybridMultilevel"/>
    <w:tmpl w:val="195AE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964A7"/>
    <w:multiLevelType w:val="hybridMultilevel"/>
    <w:tmpl w:val="2AF09916"/>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CF07CC"/>
    <w:multiLevelType w:val="hybridMultilevel"/>
    <w:tmpl w:val="88FCBD3A"/>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236FCA"/>
    <w:multiLevelType w:val="hybridMultilevel"/>
    <w:tmpl w:val="74EAA984"/>
    <w:lvl w:ilvl="0" w:tplc="6E46F2E8">
      <w:start w:val="1"/>
      <w:numFmt w:val="lowerLetter"/>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0" w15:restartNumberingAfterBreak="0">
    <w:nsid w:val="354735B8"/>
    <w:multiLevelType w:val="hybridMultilevel"/>
    <w:tmpl w:val="30825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B6F93"/>
    <w:multiLevelType w:val="hybridMultilevel"/>
    <w:tmpl w:val="5AC00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7B5789"/>
    <w:multiLevelType w:val="hybridMultilevel"/>
    <w:tmpl w:val="C370574A"/>
    <w:lvl w:ilvl="0" w:tplc="F6DCFA02">
      <w:start w:val="1"/>
      <w:numFmt w:val="lowerLetter"/>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3" w15:restartNumberingAfterBreak="0">
    <w:nsid w:val="3A9A5F14"/>
    <w:multiLevelType w:val="hybridMultilevel"/>
    <w:tmpl w:val="B02E4C10"/>
    <w:lvl w:ilvl="0" w:tplc="FF564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917529"/>
    <w:multiLevelType w:val="hybridMultilevel"/>
    <w:tmpl w:val="FCE6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A50B36"/>
    <w:multiLevelType w:val="hybridMultilevel"/>
    <w:tmpl w:val="78BAD9AA"/>
    <w:lvl w:ilvl="0" w:tplc="EDF45EFC">
      <w:start w:val="1"/>
      <w:numFmt w:val="lowerLetter"/>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6" w15:restartNumberingAfterBreak="0">
    <w:nsid w:val="551B2D5A"/>
    <w:multiLevelType w:val="hybridMultilevel"/>
    <w:tmpl w:val="03DC6A5C"/>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026170"/>
    <w:multiLevelType w:val="multilevel"/>
    <w:tmpl w:val="833C2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8E35725"/>
    <w:multiLevelType w:val="hybridMultilevel"/>
    <w:tmpl w:val="ECBCA45A"/>
    <w:lvl w:ilvl="0" w:tplc="08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E01A2"/>
    <w:multiLevelType w:val="hybridMultilevel"/>
    <w:tmpl w:val="BCB05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15:restartNumberingAfterBreak="0">
    <w:nsid w:val="65F1253E"/>
    <w:multiLevelType w:val="hybridMultilevel"/>
    <w:tmpl w:val="EC4C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862366"/>
    <w:multiLevelType w:val="hybridMultilevel"/>
    <w:tmpl w:val="5E88258E"/>
    <w:lvl w:ilvl="0" w:tplc="13F28500">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15:restartNumberingAfterBreak="0">
    <w:nsid w:val="749831A3"/>
    <w:multiLevelType w:val="hybridMultilevel"/>
    <w:tmpl w:val="DCB48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6130E0"/>
    <w:multiLevelType w:val="hybridMultilevel"/>
    <w:tmpl w:val="80DC0FB0"/>
    <w:lvl w:ilvl="0" w:tplc="08090017">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6" w15:restartNumberingAfterBreak="0">
    <w:nsid w:val="78703ABA"/>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B7F0F3D"/>
    <w:multiLevelType w:val="hybridMultilevel"/>
    <w:tmpl w:val="84E258EA"/>
    <w:lvl w:ilvl="0" w:tplc="FF5643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05298A"/>
    <w:multiLevelType w:val="hybridMultilevel"/>
    <w:tmpl w:val="E20EC7B6"/>
    <w:lvl w:ilvl="0" w:tplc="087A6DDA">
      <w:start w:val="1"/>
      <w:numFmt w:val="lowerLetter"/>
      <w:lvlText w:val="%1)"/>
      <w:lvlJc w:val="left"/>
      <w:pPr>
        <w:ind w:left="2271" w:hanging="570"/>
      </w:pPr>
      <w:rPr>
        <w:rFonts w:hint="default"/>
      </w:rPr>
    </w:lvl>
    <w:lvl w:ilvl="1" w:tplc="08090019" w:tentative="1">
      <w:start w:val="1"/>
      <w:numFmt w:val="lowerLetter"/>
      <w:lvlText w:val="%2."/>
      <w:lvlJc w:val="left"/>
      <w:pPr>
        <w:ind w:left="2781" w:hanging="360"/>
      </w:pPr>
    </w:lvl>
    <w:lvl w:ilvl="2" w:tplc="0809001B" w:tentative="1">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num w:numId="1">
    <w:abstractNumId w:val="17"/>
  </w:num>
  <w:num w:numId="2">
    <w:abstractNumId w:val="11"/>
  </w:num>
  <w:num w:numId="3">
    <w:abstractNumId w:val="33"/>
  </w:num>
  <w:num w:numId="4">
    <w:abstractNumId w:val="6"/>
  </w:num>
  <w:num w:numId="5">
    <w:abstractNumId w:val="0"/>
  </w:num>
  <w:num w:numId="6">
    <w:abstractNumId w:val="3"/>
  </w:num>
  <w:num w:numId="7">
    <w:abstractNumId w:val="32"/>
  </w:num>
  <w:num w:numId="8">
    <w:abstractNumId w:val="4"/>
  </w:num>
  <w:num w:numId="9">
    <w:abstractNumId w:val="30"/>
  </w:num>
  <w:num w:numId="10">
    <w:abstractNumId w:val="36"/>
  </w:num>
  <w:num w:numId="11">
    <w:abstractNumId w:val="13"/>
  </w:num>
  <w:num w:numId="12">
    <w:abstractNumId w:val="7"/>
  </w:num>
  <w:num w:numId="13">
    <w:abstractNumId w:val="20"/>
  </w:num>
  <w:num w:numId="14">
    <w:abstractNumId w:val="24"/>
  </w:num>
  <w:num w:numId="15">
    <w:abstractNumId w:val="31"/>
  </w:num>
  <w:num w:numId="16">
    <w:abstractNumId w:val="21"/>
  </w:num>
  <w:num w:numId="17">
    <w:abstractNumId w:val="15"/>
  </w:num>
  <w:num w:numId="18">
    <w:abstractNumId w:val="5"/>
  </w:num>
  <w:num w:numId="19">
    <w:abstractNumId w:val="2"/>
  </w:num>
  <w:num w:numId="20">
    <w:abstractNumId w:val="29"/>
  </w:num>
  <w:num w:numId="21">
    <w:abstractNumId w:val="10"/>
  </w:num>
  <w:num w:numId="22">
    <w:abstractNumId w:val="26"/>
  </w:num>
  <w:num w:numId="23">
    <w:abstractNumId w:val="14"/>
  </w:num>
  <w:num w:numId="24">
    <w:abstractNumId w:val="35"/>
  </w:num>
  <w:num w:numId="25">
    <w:abstractNumId w:val="16"/>
  </w:num>
  <w:num w:numId="26">
    <w:abstractNumId w:val="28"/>
  </w:num>
  <w:num w:numId="27">
    <w:abstractNumId w:val="18"/>
  </w:num>
  <w:num w:numId="28">
    <w:abstractNumId w:val="1"/>
  </w:num>
  <w:num w:numId="29">
    <w:abstractNumId w:val="34"/>
  </w:num>
  <w:num w:numId="30">
    <w:abstractNumId w:val="9"/>
  </w:num>
  <w:num w:numId="31">
    <w:abstractNumId w:val="38"/>
  </w:num>
  <w:num w:numId="32">
    <w:abstractNumId w:val="12"/>
  </w:num>
  <w:num w:numId="33">
    <w:abstractNumId w:val="25"/>
  </w:num>
  <w:num w:numId="34">
    <w:abstractNumId w:val="8"/>
  </w:num>
  <w:num w:numId="35">
    <w:abstractNumId w:val="22"/>
  </w:num>
  <w:num w:numId="36">
    <w:abstractNumId w:val="37"/>
  </w:num>
  <w:num w:numId="37">
    <w:abstractNumId w:val="19"/>
  </w:num>
  <w:num w:numId="38">
    <w:abstractNumId w:val="27"/>
  </w:num>
  <w:num w:numId="39">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es-VE" w:vendorID="64" w:dllVersion="131078"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FB"/>
    <w:rsid w:val="00007F7F"/>
    <w:rsid w:val="00022DB5"/>
    <w:rsid w:val="000403D1"/>
    <w:rsid w:val="000449AA"/>
    <w:rsid w:val="00050F6B"/>
    <w:rsid w:val="0005179E"/>
    <w:rsid w:val="00052F29"/>
    <w:rsid w:val="0005662A"/>
    <w:rsid w:val="00072C8C"/>
    <w:rsid w:val="00073E70"/>
    <w:rsid w:val="00081DC9"/>
    <w:rsid w:val="000876EB"/>
    <w:rsid w:val="00091419"/>
    <w:rsid w:val="000931C0"/>
    <w:rsid w:val="00097B94"/>
    <w:rsid w:val="000A167C"/>
    <w:rsid w:val="000B175B"/>
    <w:rsid w:val="000B2542"/>
    <w:rsid w:val="000B2851"/>
    <w:rsid w:val="000B3A0F"/>
    <w:rsid w:val="000B4912"/>
    <w:rsid w:val="000B4A3B"/>
    <w:rsid w:val="000C59D8"/>
    <w:rsid w:val="000D1851"/>
    <w:rsid w:val="000D2A38"/>
    <w:rsid w:val="000E0415"/>
    <w:rsid w:val="0010019F"/>
    <w:rsid w:val="00126DF1"/>
    <w:rsid w:val="0013264B"/>
    <w:rsid w:val="00146D32"/>
    <w:rsid w:val="001509BA"/>
    <w:rsid w:val="00184D0C"/>
    <w:rsid w:val="00197D60"/>
    <w:rsid w:val="001B4B04"/>
    <w:rsid w:val="001B5D5B"/>
    <w:rsid w:val="001C6663"/>
    <w:rsid w:val="001C7895"/>
    <w:rsid w:val="001D26DF"/>
    <w:rsid w:val="001E0248"/>
    <w:rsid w:val="001E116A"/>
    <w:rsid w:val="001E2790"/>
    <w:rsid w:val="001F54C9"/>
    <w:rsid w:val="00200A9A"/>
    <w:rsid w:val="00211E0B"/>
    <w:rsid w:val="00211E72"/>
    <w:rsid w:val="00214047"/>
    <w:rsid w:val="0021747D"/>
    <w:rsid w:val="0022130F"/>
    <w:rsid w:val="00221855"/>
    <w:rsid w:val="002256A1"/>
    <w:rsid w:val="00237785"/>
    <w:rsid w:val="002410DD"/>
    <w:rsid w:val="00241466"/>
    <w:rsid w:val="0024228E"/>
    <w:rsid w:val="002476A5"/>
    <w:rsid w:val="00253D58"/>
    <w:rsid w:val="0026649F"/>
    <w:rsid w:val="002768D1"/>
    <w:rsid w:val="0027725F"/>
    <w:rsid w:val="00287F77"/>
    <w:rsid w:val="002A39BD"/>
    <w:rsid w:val="002A7BAB"/>
    <w:rsid w:val="002B5C41"/>
    <w:rsid w:val="002C21F0"/>
    <w:rsid w:val="002C493D"/>
    <w:rsid w:val="002C686B"/>
    <w:rsid w:val="002E71A2"/>
    <w:rsid w:val="00302C4F"/>
    <w:rsid w:val="003107FA"/>
    <w:rsid w:val="003113A1"/>
    <w:rsid w:val="003162BA"/>
    <w:rsid w:val="00322863"/>
    <w:rsid w:val="003229D8"/>
    <w:rsid w:val="00325E39"/>
    <w:rsid w:val="003314D1"/>
    <w:rsid w:val="00335A2F"/>
    <w:rsid w:val="00341937"/>
    <w:rsid w:val="00343558"/>
    <w:rsid w:val="003440A9"/>
    <w:rsid w:val="00344A1D"/>
    <w:rsid w:val="00351EFD"/>
    <w:rsid w:val="003626F1"/>
    <w:rsid w:val="003646D6"/>
    <w:rsid w:val="00376920"/>
    <w:rsid w:val="00391C70"/>
    <w:rsid w:val="0039277A"/>
    <w:rsid w:val="003972E0"/>
    <w:rsid w:val="003975ED"/>
    <w:rsid w:val="003B1856"/>
    <w:rsid w:val="003B18D4"/>
    <w:rsid w:val="003C2CC4"/>
    <w:rsid w:val="003D4B23"/>
    <w:rsid w:val="004024C5"/>
    <w:rsid w:val="00405C07"/>
    <w:rsid w:val="004128EB"/>
    <w:rsid w:val="00424C80"/>
    <w:rsid w:val="004325CB"/>
    <w:rsid w:val="0044503A"/>
    <w:rsid w:val="00446DE4"/>
    <w:rsid w:val="00447761"/>
    <w:rsid w:val="00451EC3"/>
    <w:rsid w:val="00464CCB"/>
    <w:rsid w:val="004721B1"/>
    <w:rsid w:val="004859EC"/>
    <w:rsid w:val="00496A15"/>
    <w:rsid w:val="004B75D2"/>
    <w:rsid w:val="004D1140"/>
    <w:rsid w:val="004F3F32"/>
    <w:rsid w:val="004F55ED"/>
    <w:rsid w:val="004F6EFB"/>
    <w:rsid w:val="00507BA0"/>
    <w:rsid w:val="005146D9"/>
    <w:rsid w:val="0052176C"/>
    <w:rsid w:val="005261E5"/>
    <w:rsid w:val="00531216"/>
    <w:rsid w:val="00541A4F"/>
    <w:rsid w:val="005420F2"/>
    <w:rsid w:val="00542574"/>
    <w:rsid w:val="005436AB"/>
    <w:rsid w:val="00546924"/>
    <w:rsid w:val="00546DBF"/>
    <w:rsid w:val="00551D42"/>
    <w:rsid w:val="00553D76"/>
    <w:rsid w:val="005552B5"/>
    <w:rsid w:val="0056117B"/>
    <w:rsid w:val="00562621"/>
    <w:rsid w:val="00571365"/>
    <w:rsid w:val="005843B3"/>
    <w:rsid w:val="0059304E"/>
    <w:rsid w:val="005A0217"/>
    <w:rsid w:val="005A0E16"/>
    <w:rsid w:val="005B36A4"/>
    <w:rsid w:val="005B3DB3"/>
    <w:rsid w:val="005B40A7"/>
    <w:rsid w:val="005B6D60"/>
    <w:rsid w:val="005B6E48"/>
    <w:rsid w:val="005C12FB"/>
    <w:rsid w:val="005D53BE"/>
    <w:rsid w:val="005E1712"/>
    <w:rsid w:val="005E5506"/>
    <w:rsid w:val="00604A25"/>
    <w:rsid w:val="00611FC4"/>
    <w:rsid w:val="00615D45"/>
    <w:rsid w:val="006176FB"/>
    <w:rsid w:val="00620FF0"/>
    <w:rsid w:val="00640B26"/>
    <w:rsid w:val="00655653"/>
    <w:rsid w:val="00655B60"/>
    <w:rsid w:val="00656371"/>
    <w:rsid w:val="00670741"/>
    <w:rsid w:val="00692AB1"/>
    <w:rsid w:val="00695388"/>
    <w:rsid w:val="00696BD6"/>
    <w:rsid w:val="006A6B9D"/>
    <w:rsid w:val="006A7392"/>
    <w:rsid w:val="006B3189"/>
    <w:rsid w:val="006B7D65"/>
    <w:rsid w:val="006D5831"/>
    <w:rsid w:val="006D6DA6"/>
    <w:rsid w:val="006E564B"/>
    <w:rsid w:val="006F13F0"/>
    <w:rsid w:val="006F5035"/>
    <w:rsid w:val="007049BB"/>
    <w:rsid w:val="007065EB"/>
    <w:rsid w:val="00712634"/>
    <w:rsid w:val="00715625"/>
    <w:rsid w:val="00720183"/>
    <w:rsid w:val="0072632A"/>
    <w:rsid w:val="007371E4"/>
    <w:rsid w:val="0074200B"/>
    <w:rsid w:val="00756A9A"/>
    <w:rsid w:val="007571FF"/>
    <w:rsid w:val="007A49A8"/>
    <w:rsid w:val="007A6296"/>
    <w:rsid w:val="007A79E4"/>
    <w:rsid w:val="007B6BA5"/>
    <w:rsid w:val="007C1B62"/>
    <w:rsid w:val="007C3390"/>
    <w:rsid w:val="007C4F4B"/>
    <w:rsid w:val="007C7EDA"/>
    <w:rsid w:val="007D0B31"/>
    <w:rsid w:val="007D2CDC"/>
    <w:rsid w:val="007D5327"/>
    <w:rsid w:val="007F6611"/>
    <w:rsid w:val="0080092E"/>
    <w:rsid w:val="008155C3"/>
    <w:rsid w:val="008175E9"/>
    <w:rsid w:val="0082243E"/>
    <w:rsid w:val="008242D7"/>
    <w:rsid w:val="008325E3"/>
    <w:rsid w:val="00846C78"/>
    <w:rsid w:val="00847EE0"/>
    <w:rsid w:val="00855E4D"/>
    <w:rsid w:val="00856CD2"/>
    <w:rsid w:val="00861BC6"/>
    <w:rsid w:val="00871B5D"/>
    <w:rsid w:val="00871FD5"/>
    <w:rsid w:val="00873C8D"/>
    <w:rsid w:val="008847BB"/>
    <w:rsid w:val="00884EAC"/>
    <w:rsid w:val="008979B1"/>
    <w:rsid w:val="008A6B25"/>
    <w:rsid w:val="008A6C4F"/>
    <w:rsid w:val="008C1E4D"/>
    <w:rsid w:val="008D2ACC"/>
    <w:rsid w:val="008E0E46"/>
    <w:rsid w:val="0090452C"/>
    <w:rsid w:val="00907C3F"/>
    <w:rsid w:val="0092237C"/>
    <w:rsid w:val="0093707B"/>
    <w:rsid w:val="009400EB"/>
    <w:rsid w:val="009427E3"/>
    <w:rsid w:val="00946575"/>
    <w:rsid w:val="00953A76"/>
    <w:rsid w:val="00956D9B"/>
    <w:rsid w:val="00960BC9"/>
    <w:rsid w:val="00963CBA"/>
    <w:rsid w:val="009654B7"/>
    <w:rsid w:val="00971EE8"/>
    <w:rsid w:val="0097529A"/>
    <w:rsid w:val="00984A30"/>
    <w:rsid w:val="00991261"/>
    <w:rsid w:val="009A0B83"/>
    <w:rsid w:val="009B20F6"/>
    <w:rsid w:val="009B3800"/>
    <w:rsid w:val="009D22AC"/>
    <w:rsid w:val="009D27A1"/>
    <w:rsid w:val="009D3F78"/>
    <w:rsid w:val="009D50DB"/>
    <w:rsid w:val="009E1C4E"/>
    <w:rsid w:val="009E679B"/>
    <w:rsid w:val="009F6D5C"/>
    <w:rsid w:val="00A0036A"/>
    <w:rsid w:val="00A05E0B"/>
    <w:rsid w:val="00A138D9"/>
    <w:rsid w:val="00A1427D"/>
    <w:rsid w:val="00A32997"/>
    <w:rsid w:val="00A32CEA"/>
    <w:rsid w:val="00A33F55"/>
    <w:rsid w:val="00A4634F"/>
    <w:rsid w:val="00A51CF3"/>
    <w:rsid w:val="00A613B0"/>
    <w:rsid w:val="00A6147F"/>
    <w:rsid w:val="00A63ACE"/>
    <w:rsid w:val="00A65DC8"/>
    <w:rsid w:val="00A66C19"/>
    <w:rsid w:val="00A72F22"/>
    <w:rsid w:val="00A73D32"/>
    <w:rsid w:val="00A748A6"/>
    <w:rsid w:val="00A756D8"/>
    <w:rsid w:val="00A757F3"/>
    <w:rsid w:val="00A879A4"/>
    <w:rsid w:val="00A87E95"/>
    <w:rsid w:val="00A92E29"/>
    <w:rsid w:val="00A957D5"/>
    <w:rsid w:val="00AA0C7D"/>
    <w:rsid w:val="00AA33B0"/>
    <w:rsid w:val="00AC5AE2"/>
    <w:rsid w:val="00AD09E9"/>
    <w:rsid w:val="00AF0576"/>
    <w:rsid w:val="00AF2565"/>
    <w:rsid w:val="00AF3829"/>
    <w:rsid w:val="00B01394"/>
    <w:rsid w:val="00B037F0"/>
    <w:rsid w:val="00B073F8"/>
    <w:rsid w:val="00B1751F"/>
    <w:rsid w:val="00B2327D"/>
    <w:rsid w:val="00B2718F"/>
    <w:rsid w:val="00B30179"/>
    <w:rsid w:val="00B3317B"/>
    <w:rsid w:val="00B334DC"/>
    <w:rsid w:val="00B34383"/>
    <w:rsid w:val="00B3631A"/>
    <w:rsid w:val="00B40AC2"/>
    <w:rsid w:val="00B52AF7"/>
    <w:rsid w:val="00B53013"/>
    <w:rsid w:val="00B601DC"/>
    <w:rsid w:val="00B64CE3"/>
    <w:rsid w:val="00B67F5E"/>
    <w:rsid w:val="00B70562"/>
    <w:rsid w:val="00B73E65"/>
    <w:rsid w:val="00B81E12"/>
    <w:rsid w:val="00B87110"/>
    <w:rsid w:val="00B97B5B"/>
    <w:rsid w:val="00B97FA8"/>
    <w:rsid w:val="00BA71E5"/>
    <w:rsid w:val="00BB11A0"/>
    <w:rsid w:val="00BC1385"/>
    <w:rsid w:val="00BC5030"/>
    <w:rsid w:val="00BC74E9"/>
    <w:rsid w:val="00BD43DE"/>
    <w:rsid w:val="00BD478B"/>
    <w:rsid w:val="00BE02F9"/>
    <w:rsid w:val="00BE3D59"/>
    <w:rsid w:val="00BE6091"/>
    <w:rsid w:val="00BE618E"/>
    <w:rsid w:val="00BE655C"/>
    <w:rsid w:val="00BF6232"/>
    <w:rsid w:val="00C02F11"/>
    <w:rsid w:val="00C143E9"/>
    <w:rsid w:val="00C217E7"/>
    <w:rsid w:val="00C24693"/>
    <w:rsid w:val="00C35D7E"/>
    <w:rsid w:val="00C35F0B"/>
    <w:rsid w:val="00C37DD9"/>
    <w:rsid w:val="00C41041"/>
    <w:rsid w:val="00C463DD"/>
    <w:rsid w:val="00C52B35"/>
    <w:rsid w:val="00C64458"/>
    <w:rsid w:val="00C745C3"/>
    <w:rsid w:val="00C84BBC"/>
    <w:rsid w:val="00C92429"/>
    <w:rsid w:val="00CA2A58"/>
    <w:rsid w:val="00CC0B55"/>
    <w:rsid w:val="00CC78DA"/>
    <w:rsid w:val="00CD6995"/>
    <w:rsid w:val="00CE49EE"/>
    <w:rsid w:val="00CE4A8F"/>
    <w:rsid w:val="00CE4F2C"/>
    <w:rsid w:val="00CF0214"/>
    <w:rsid w:val="00CF586F"/>
    <w:rsid w:val="00CF7D43"/>
    <w:rsid w:val="00D0055A"/>
    <w:rsid w:val="00D11129"/>
    <w:rsid w:val="00D2031B"/>
    <w:rsid w:val="00D22332"/>
    <w:rsid w:val="00D25FE2"/>
    <w:rsid w:val="00D43252"/>
    <w:rsid w:val="00D550F9"/>
    <w:rsid w:val="00D572B0"/>
    <w:rsid w:val="00D62E90"/>
    <w:rsid w:val="00D76BE5"/>
    <w:rsid w:val="00D90FDA"/>
    <w:rsid w:val="00D978C6"/>
    <w:rsid w:val="00DA0AF6"/>
    <w:rsid w:val="00DA67AD"/>
    <w:rsid w:val="00DB18CE"/>
    <w:rsid w:val="00DB3FDA"/>
    <w:rsid w:val="00DB5566"/>
    <w:rsid w:val="00DC47C9"/>
    <w:rsid w:val="00DE3EC0"/>
    <w:rsid w:val="00DF6645"/>
    <w:rsid w:val="00E03B55"/>
    <w:rsid w:val="00E11593"/>
    <w:rsid w:val="00E12B6B"/>
    <w:rsid w:val="00E130AB"/>
    <w:rsid w:val="00E21830"/>
    <w:rsid w:val="00E34448"/>
    <w:rsid w:val="00E438D9"/>
    <w:rsid w:val="00E44969"/>
    <w:rsid w:val="00E5644E"/>
    <w:rsid w:val="00E60D53"/>
    <w:rsid w:val="00E645A7"/>
    <w:rsid w:val="00E67182"/>
    <w:rsid w:val="00E7260F"/>
    <w:rsid w:val="00E806EE"/>
    <w:rsid w:val="00E82E74"/>
    <w:rsid w:val="00E96630"/>
    <w:rsid w:val="00EA7E9F"/>
    <w:rsid w:val="00EB0FB9"/>
    <w:rsid w:val="00EC169C"/>
    <w:rsid w:val="00EC74A8"/>
    <w:rsid w:val="00ED0CA9"/>
    <w:rsid w:val="00ED7A2A"/>
    <w:rsid w:val="00EF1D7F"/>
    <w:rsid w:val="00EF5BDB"/>
    <w:rsid w:val="00F07FD9"/>
    <w:rsid w:val="00F103CD"/>
    <w:rsid w:val="00F23933"/>
    <w:rsid w:val="00F24119"/>
    <w:rsid w:val="00F40E75"/>
    <w:rsid w:val="00F42CD9"/>
    <w:rsid w:val="00F46848"/>
    <w:rsid w:val="00F52936"/>
    <w:rsid w:val="00F54083"/>
    <w:rsid w:val="00F677CB"/>
    <w:rsid w:val="00F67B04"/>
    <w:rsid w:val="00F83DE8"/>
    <w:rsid w:val="00F85431"/>
    <w:rsid w:val="00FA7DF3"/>
    <w:rsid w:val="00FB4924"/>
    <w:rsid w:val="00FC68B7"/>
    <w:rsid w:val="00FD621C"/>
    <w:rsid w:val="00FD7C12"/>
    <w:rsid w:val="00FE16D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2D2D2EB"/>
  <w15:docId w15:val="{9A8867AE-D411-49B3-BDA2-78FD668AC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924"/>
    <w:pPr>
      <w:suppressAutoHyphens/>
      <w:spacing w:line="240" w:lineRule="atLeast"/>
    </w:pPr>
    <w:rPr>
      <w:lang w:val="en-GB" w:eastAsia="en-US"/>
    </w:rPr>
  </w:style>
  <w:style w:type="paragraph" w:styleId="Heading1">
    <w:name w:val="heading 1"/>
    <w:aliases w:val="Table_G"/>
    <w:basedOn w:val="SingleTxtG"/>
    <w:next w:val="SingleTxtG"/>
    <w:link w:val="Heading1Char"/>
    <w:qFormat/>
    <w:rsid w:val="00CF0214"/>
    <w:pPr>
      <w:spacing w:after="0" w:line="240" w:lineRule="auto"/>
      <w:ind w:right="0"/>
      <w:jc w:val="left"/>
      <w:outlineLvl w:val="0"/>
    </w:pPr>
  </w:style>
  <w:style w:type="paragraph" w:styleId="Heading2">
    <w:name w:val="heading 2"/>
    <w:basedOn w:val="Normal"/>
    <w:next w:val="Normal"/>
    <w:link w:val="Heading2Char"/>
    <w:semiHidden/>
    <w:qFormat/>
    <w:rsid w:val="00CF0214"/>
    <w:pPr>
      <w:spacing w:line="240" w:lineRule="auto"/>
      <w:outlineLvl w:val="1"/>
    </w:pPr>
  </w:style>
  <w:style w:type="paragraph" w:styleId="Heading3">
    <w:name w:val="heading 3"/>
    <w:basedOn w:val="Normal"/>
    <w:next w:val="Normal"/>
    <w:link w:val="Heading3Char"/>
    <w:semiHidden/>
    <w:qFormat/>
    <w:rsid w:val="00CF0214"/>
    <w:pPr>
      <w:spacing w:line="240" w:lineRule="auto"/>
      <w:outlineLvl w:val="2"/>
    </w:pPr>
  </w:style>
  <w:style w:type="paragraph" w:styleId="Heading4">
    <w:name w:val="heading 4"/>
    <w:basedOn w:val="Normal"/>
    <w:next w:val="Normal"/>
    <w:link w:val="Heading4Char"/>
    <w:semiHidden/>
    <w:qFormat/>
    <w:rsid w:val="00CF0214"/>
    <w:pPr>
      <w:spacing w:line="240" w:lineRule="auto"/>
      <w:outlineLvl w:val="3"/>
    </w:pPr>
  </w:style>
  <w:style w:type="paragraph" w:styleId="Heading5">
    <w:name w:val="heading 5"/>
    <w:basedOn w:val="Normal"/>
    <w:next w:val="Normal"/>
    <w:link w:val="Heading5Char"/>
    <w:semiHidden/>
    <w:qFormat/>
    <w:rsid w:val="00CF0214"/>
    <w:pPr>
      <w:spacing w:line="240" w:lineRule="auto"/>
      <w:outlineLvl w:val="4"/>
    </w:pPr>
  </w:style>
  <w:style w:type="paragraph" w:styleId="Heading6">
    <w:name w:val="heading 6"/>
    <w:basedOn w:val="Normal"/>
    <w:next w:val="Normal"/>
    <w:link w:val="Heading6Char"/>
    <w:semiHidden/>
    <w:qFormat/>
    <w:rsid w:val="00CF0214"/>
    <w:pPr>
      <w:spacing w:line="240" w:lineRule="auto"/>
      <w:outlineLvl w:val="5"/>
    </w:pPr>
  </w:style>
  <w:style w:type="paragraph" w:styleId="Heading7">
    <w:name w:val="heading 7"/>
    <w:basedOn w:val="Normal"/>
    <w:next w:val="Normal"/>
    <w:link w:val="Heading7Char"/>
    <w:semiHidden/>
    <w:qFormat/>
    <w:rsid w:val="00CF0214"/>
    <w:pPr>
      <w:spacing w:line="240" w:lineRule="auto"/>
      <w:outlineLvl w:val="6"/>
    </w:pPr>
  </w:style>
  <w:style w:type="paragraph" w:styleId="Heading8">
    <w:name w:val="heading 8"/>
    <w:basedOn w:val="Normal"/>
    <w:next w:val="Normal"/>
    <w:link w:val="Heading8Char"/>
    <w:semiHidden/>
    <w:qFormat/>
    <w:rsid w:val="00CF0214"/>
    <w:pPr>
      <w:spacing w:line="240" w:lineRule="auto"/>
      <w:outlineLvl w:val="7"/>
    </w:pPr>
  </w:style>
  <w:style w:type="paragraph" w:styleId="Heading9">
    <w:name w:val="heading 9"/>
    <w:basedOn w:val="Normal"/>
    <w:next w:val="Normal"/>
    <w:link w:val="Heading9Char"/>
    <w:semiHidden/>
    <w:qFormat/>
    <w:rsid w:val="00CF021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CF0214"/>
    <w:pPr>
      <w:spacing w:after="120"/>
      <w:ind w:left="1134" w:right="1134"/>
      <w:jc w:val="both"/>
    </w:pPr>
  </w:style>
  <w:style w:type="paragraph" w:customStyle="1" w:styleId="HMG">
    <w:name w:val="_ H __M_G"/>
    <w:basedOn w:val="Normal"/>
    <w:next w:val="Normal"/>
    <w:qFormat/>
    <w:rsid w:val="00CF021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CF0214"/>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basedOn w:val="DefaultParagraphFont"/>
    <w:uiPriority w:val="99"/>
    <w:qFormat/>
    <w:rsid w:val="00CF0214"/>
    <w:rPr>
      <w:rFonts w:ascii="Times New Roman" w:hAnsi="Times New Roman"/>
      <w:sz w:val="18"/>
      <w:vertAlign w:val="superscript"/>
    </w:rPr>
  </w:style>
  <w:style w:type="character" w:styleId="EndnoteReference">
    <w:name w:val="endnote reference"/>
    <w:aliases w:val="1_G"/>
    <w:basedOn w:val="FootnoteReference"/>
    <w:qFormat/>
    <w:rsid w:val="00CF0214"/>
    <w:rPr>
      <w:rFonts w:ascii="Times New Roman" w:hAnsi="Times New Roman"/>
      <w:sz w:val="18"/>
      <w:vertAlign w:val="superscript"/>
    </w:rPr>
  </w:style>
  <w:style w:type="paragraph" w:styleId="Header">
    <w:name w:val="header"/>
    <w:aliases w:val="6_G"/>
    <w:basedOn w:val="Normal"/>
    <w:link w:val="HeaderChar"/>
    <w:uiPriority w:val="99"/>
    <w:qFormat/>
    <w:rsid w:val="00CF0214"/>
    <w:pPr>
      <w:pBdr>
        <w:bottom w:val="single" w:sz="4" w:space="4" w:color="auto"/>
      </w:pBdr>
      <w:spacing w:line="240" w:lineRule="auto"/>
    </w:pPr>
    <w:rPr>
      <w:b/>
      <w:sz w:val="18"/>
    </w:rPr>
  </w:style>
  <w:style w:type="table" w:styleId="TableGrid">
    <w:name w:val="Table Grid"/>
    <w:basedOn w:val="TableNormal"/>
    <w:rsid w:val="00CF021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rsid w:val="00CF0214"/>
    <w:rPr>
      <w:color w:val="auto"/>
      <w:u w:val="none"/>
    </w:rPr>
  </w:style>
  <w:style w:type="character" w:styleId="FollowedHyperlink">
    <w:name w:val="FollowedHyperlink"/>
    <w:basedOn w:val="DefaultParagraphFont"/>
    <w:uiPriority w:val="99"/>
    <w:rsid w:val="00CF0214"/>
    <w:rPr>
      <w:color w:val="auto"/>
      <w:u w:val="none"/>
    </w:rPr>
  </w:style>
  <w:style w:type="paragraph" w:customStyle="1" w:styleId="SMG">
    <w:name w:val="__S_M_G"/>
    <w:basedOn w:val="Normal"/>
    <w:next w:val="Normal"/>
    <w:rsid w:val="00CF0214"/>
    <w:pPr>
      <w:keepNext/>
      <w:keepLines/>
      <w:spacing w:before="240" w:after="240" w:line="420" w:lineRule="exact"/>
      <w:ind w:left="1134" w:right="1134"/>
    </w:pPr>
    <w:rPr>
      <w:b/>
      <w:sz w:val="40"/>
    </w:rPr>
  </w:style>
  <w:style w:type="paragraph" w:customStyle="1" w:styleId="SLG">
    <w:name w:val="__S_L_G"/>
    <w:basedOn w:val="Normal"/>
    <w:next w:val="Normal"/>
    <w:rsid w:val="00CF0214"/>
    <w:pPr>
      <w:keepNext/>
      <w:keepLines/>
      <w:spacing w:before="240" w:after="240" w:line="580" w:lineRule="exact"/>
      <w:ind w:left="1134" w:right="1134"/>
    </w:pPr>
    <w:rPr>
      <w:b/>
      <w:sz w:val="56"/>
    </w:rPr>
  </w:style>
  <w:style w:type="paragraph" w:customStyle="1" w:styleId="SSG">
    <w:name w:val="__S_S_G"/>
    <w:basedOn w:val="Normal"/>
    <w:next w:val="Normal"/>
    <w:rsid w:val="00CF0214"/>
    <w:pPr>
      <w:keepNext/>
      <w:keepLines/>
      <w:spacing w:before="240" w:after="240" w:line="300" w:lineRule="exact"/>
      <w:ind w:left="1134" w:right="1134"/>
    </w:pPr>
    <w:rPr>
      <w:b/>
      <w:sz w:val="28"/>
    </w:rPr>
  </w:style>
  <w:style w:type="paragraph" w:styleId="FootnoteText">
    <w:name w:val="footnote text"/>
    <w:aliases w:val="5_G"/>
    <w:basedOn w:val="Normal"/>
    <w:link w:val="FootnoteTextChar"/>
    <w:uiPriority w:val="99"/>
    <w:qFormat/>
    <w:rsid w:val="00CF0214"/>
    <w:pPr>
      <w:tabs>
        <w:tab w:val="right" w:pos="1021"/>
      </w:tabs>
      <w:spacing w:line="220" w:lineRule="exact"/>
      <w:ind w:left="1134" w:right="1134" w:hanging="1134"/>
    </w:pPr>
    <w:rPr>
      <w:sz w:val="18"/>
    </w:rPr>
  </w:style>
  <w:style w:type="paragraph" w:styleId="EndnoteText">
    <w:name w:val="endnote text"/>
    <w:aliases w:val="2_G"/>
    <w:basedOn w:val="FootnoteText"/>
    <w:link w:val="EndnoteTextChar"/>
    <w:qFormat/>
    <w:rsid w:val="00CF0214"/>
  </w:style>
  <w:style w:type="character" w:styleId="PageNumber">
    <w:name w:val="page number"/>
    <w:aliases w:val="7_G"/>
    <w:basedOn w:val="DefaultParagraphFont"/>
    <w:qFormat/>
    <w:rsid w:val="00CF0214"/>
    <w:rPr>
      <w:rFonts w:ascii="Times New Roman" w:hAnsi="Times New Roman"/>
      <w:b/>
      <w:sz w:val="18"/>
    </w:rPr>
  </w:style>
  <w:style w:type="paragraph" w:customStyle="1" w:styleId="XLargeG">
    <w:name w:val="__XLarge_G"/>
    <w:basedOn w:val="Normal"/>
    <w:next w:val="Normal"/>
    <w:rsid w:val="00CF0214"/>
    <w:pPr>
      <w:keepNext/>
      <w:keepLines/>
      <w:spacing w:before="240" w:after="240" w:line="420" w:lineRule="exact"/>
      <w:ind w:left="1134" w:right="1134"/>
    </w:pPr>
    <w:rPr>
      <w:b/>
      <w:sz w:val="40"/>
    </w:rPr>
  </w:style>
  <w:style w:type="paragraph" w:customStyle="1" w:styleId="Bullet1G">
    <w:name w:val="_Bullet 1_G"/>
    <w:basedOn w:val="Normal"/>
    <w:qFormat/>
    <w:rsid w:val="00CF0214"/>
    <w:pPr>
      <w:numPr>
        <w:numId w:val="6"/>
      </w:numPr>
      <w:spacing w:after="120"/>
      <w:ind w:right="1134"/>
      <w:jc w:val="both"/>
    </w:pPr>
  </w:style>
  <w:style w:type="paragraph" w:styleId="Footer">
    <w:name w:val="footer"/>
    <w:aliases w:val="3_G"/>
    <w:basedOn w:val="Normal"/>
    <w:link w:val="FooterChar"/>
    <w:uiPriority w:val="99"/>
    <w:qFormat/>
    <w:rsid w:val="00CF0214"/>
    <w:pPr>
      <w:spacing w:line="240" w:lineRule="auto"/>
    </w:pPr>
    <w:rPr>
      <w:sz w:val="16"/>
    </w:rPr>
  </w:style>
  <w:style w:type="paragraph" w:customStyle="1" w:styleId="Bullet2G">
    <w:name w:val="_Bullet 2_G"/>
    <w:basedOn w:val="Normal"/>
    <w:qFormat/>
    <w:rsid w:val="00CF0214"/>
    <w:pPr>
      <w:numPr>
        <w:numId w:val="7"/>
      </w:numPr>
      <w:spacing w:after="120"/>
      <w:ind w:right="1134"/>
      <w:jc w:val="both"/>
    </w:pPr>
  </w:style>
  <w:style w:type="paragraph" w:customStyle="1" w:styleId="H1G">
    <w:name w:val="_ H_1_G"/>
    <w:basedOn w:val="Normal"/>
    <w:next w:val="Normal"/>
    <w:qFormat/>
    <w:rsid w:val="00CF0214"/>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CF0214"/>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CF021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CF0214"/>
    <w:pPr>
      <w:keepNext/>
      <w:keepLines/>
      <w:tabs>
        <w:tab w:val="right" w:pos="851"/>
      </w:tabs>
      <w:spacing w:before="240" w:after="120" w:line="240" w:lineRule="exact"/>
      <w:ind w:left="1134" w:right="1134" w:hanging="1134"/>
    </w:pPr>
  </w:style>
  <w:style w:type="paragraph" w:styleId="BalloonText">
    <w:name w:val="Balloon Text"/>
    <w:basedOn w:val="Normal"/>
    <w:link w:val="BalloonTextChar"/>
    <w:uiPriority w:val="99"/>
    <w:semiHidden/>
    <w:rsid w:val="0094657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575"/>
    <w:rPr>
      <w:rFonts w:ascii="Tahoma" w:hAnsi="Tahoma" w:cs="Tahoma"/>
      <w:sz w:val="16"/>
      <w:szCs w:val="16"/>
      <w:lang w:val="en-GB" w:eastAsia="en-US"/>
    </w:rPr>
  </w:style>
  <w:style w:type="paragraph" w:customStyle="1" w:styleId="ParNoG">
    <w:name w:val="_ParNo_G"/>
    <w:basedOn w:val="SingleTxtG"/>
    <w:qFormat/>
    <w:rsid w:val="005A0E16"/>
    <w:pPr>
      <w:numPr>
        <w:numId w:val="8"/>
      </w:numPr>
      <w:kinsoku w:val="0"/>
      <w:overflowPunct w:val="0"/>
      <w:autoSpaceDE w:val="0"/>
      <w:autoSpaceDN w:val="0"/>
      <w:adjustRightInd w:val="0"/>
      <w:snapToGrid w:val="0"/>
    </w:pPr>
  </w:style>
  <w:style w:type="character" w:customStyle="1" w:styleId="FootnoteTextChar">
    <w:name w:val="Footnote Text Char"/>
    <w:aliases w:val="5_G Char"/>
    <w:basedOn w:val="DefaultParagraphFont"/>
    <w:link w:val="FootnoteText"/>
    <w:uiPriority w:val="99"/>
    <w:rsid w:val="002768D1"/>
    <w:rPr>
      <w:sz w:val="18"/>
      <w:lang w:val="en-GB" w:eastAsia="en-US"/>
    </w:rPr>
  </w:style>
  <w:style w:type="character" w:customStyle="1" w:styleId="SingleTxtGChar">
    <w:name w:val="_ Single Txt_G Char"/>
    <w:link w:val="SingleTxtG"/>
    <w:rsid w:val="002768D1"/>
    <w:rPr>
      <w:lang w:val="en-GB" w:eastAsia="en-US"/>
    </w:rPr>
  </w:style>
  <w:style w:type="character" w:customStyle="1" w:styleId="HeaderChar">
    <w:name w:val="Header Char"/>
    <w:aliases w:val="6_G Char"/>
    <w:basedOn w:val="DefaultParagraphFont"/>
    <w:link w:val="Header"/>
    <w:uiPriority w:val="99"/>
    <w:rsid w:val="002768D1"/>
    <w:rPr>
      <w:b/>
      <w:sz w:val="18"/>
      <w:lang w:val="en-GB" w:eastAsia="en-US"/>
    </w:rPr>
  </w:style>
  <w:style w:type="character" w:customStyle="1" w:styleId="FooterChar">
    <w:name w:val="Footer Char"/>
    <w:aliases w:val="3_G Char"/>
    <w:basedOn w:val="DefaultParagraphFont"/>
    <w:link w:val="Footer"/>
    <w:uiPriority w:val="99"/>
    <w:rsid w:val="002768D1"/>
    <w:rPr>
      <w:sz w:val="16"/>
      <w:lang w:val="en-GB" w:eastAsia="en-US"/>
    </w:rPr>
  </w:style>
  <w:style w:type="paragraph" w:customStyle="1" w:styleId="ParaNoG">
    <w:name w:val="_ParaNo._G"/>
    <w:basedOn w:val="SingleTxtG"/>
    <w:qFormat/>
    <w:rsid w:val="002768D1"/>
    <w:pPr>
      <w:tabs>
        <w:tab w:val="num" w:pos="0"/>
      </w:tabs>
      <w:kinsoku w:val="0"/>
      <w:overflowPunct w:val="0"/>
      <w:autoSpaceDE w:val="0"/>
      <w:autoSpaceDN w:val="0"/>
      <w:adjustRightInd w:val="0"/>
      <w:snapToGrid w:val="0"/>
    </w:pPr>
    <w:rPr>
      <w:rFonts w:eastAsiaTheme="minorHAnsi"/>
    </w:rPr>
  </w:style>
  <w:style w:type="numbering" w:styleId="111111">
    <w:name w:val="Outline List 2"/>
    <w:basedOn w:val="NoList"/>
    <w:semiHidden/>
    <w:rsid w:val="002768D1"/>
    <w:pPr>
      <w:numPr>
        <w:numId w:val="9"/>
      </w:numPr>
    </w:pPr>
  </w:style>
  <w:style w:type="numbering" w:styleId="1ai">
    <w:name w:val="Outline List 1"/>
    <w:basedOn w:val="NoList"/>
    <w:semiHidden/>
    <w:rsid w:val="002768D1"/>
    <w:pPr>
      <w:numPr>
        <w:numId w:val="10"/>
      </w:numPr>
    </w:pPr>
  </w:style>
  <w:style w:type="character" w:customStyle="1" w:styleId="EndnoteTextChar">
    <w:name w:val="Endnote Text Char"/>
    <w:aliases w:val="2_G Char"/>
    <w:basedOn w:val="DefaultParagraphFont"/>
    <w:link w:val="EndnoteText"/>
    <w:rsid w:val="002768D1"/>
    <w:rPr>
      <w:sz w:val="18"/>
      <w:lang w:val="en-GB" w:eastAsia="en-US"/>
    </w:rPr>
  </w:style>
  <w:style w:type="character" w:customStyle="1" w:styleId="Heading1Char">
    <w:name w:val="Heading 1 Char"/>
    <w:aliases w:val="Table_G Char"/>
    <w:basedOn w:val="DefaultParagraphFont"/>
    <w:link w:val="Heading1"/>
    <w:rsid w:val="002768D1"/>
    <w:rPr>
      <w:lang w:val="en-GB" w:eastAsia="en-US"/>
    </w:rPr>
  </w:style>
  <w:style w:type="character" w:customStyle="1" w:styleId="Heading2Char">
    <w:name w:val="Heading 2 Char"/>
    <w:basedOn w:val="DefaultParagraphFont"/>
    <w:link w:val="Heading2"/>
    <w:semiHidden/>
    <w:rsid w:val="002768D1"/>
    <w:rPr>
      <w:lang w:val="en-GB" w:eastAsia="en-US"/>
    </w:rPr>
  </w:style>
  <w:style w:type="character" w:customStyle="1" w:styleId="Heading3Char">
    <w:name w:val="Heading 3 Char"/>
    <w:basedOn w:val="DefaultParagraphFont"/>
    <w:link w:val="Heading3"/>
    <w:semiHidden/>
    <w:rsid w:val="002768D1"/>
    <w:rPr>
      <w:lang w:val="en-GB" w:eastAsia="en-US"/>
    </w:rPr>
  </w:style>
  <w:style w:type="character" w:customStyle="1" w:styleId="Heading4Char">
    <w:name w:val="Heading 4 Char"/>
    <w:basedOn w:val="DefaultParagraphFont"/>
    <w:link w:val="Heading4"/>
    <w:semiHidden/>
    <w:rsid w:val="002768D1"/>
    <w:rPr>
      <w:lang w:val="en-GB" w:eastAsia="en-US"/>
    </w:rPr>
  </w:style>
  <w:style w:type="character" w:customStyle="1" w:styleId="Heading5Char">
    <w:name w:val="Heading 5 Char"/>
    <w:basedOn w:val="DefaultParagraphFont"/>
    <w:link w:val="Heading5"/>
    <w:semiHidden/>
    <w:rsid w:val="002768D1"/>
    <w:rPr>
      <w:lang w:val="en-GB" w:eastAsia="en-US"/>
    </w:rPr>
  </w:style>
  <w:style w:type="character" w:customStyle="1" w:styleId="Heading6Char">
    <w:name w:val="Heading 6 Char"/>
    <w:basedOn w:val="DefaultParagraphFont"/>
    <w:link w:val="Heading6"/>
    <w:semiHidden/>
    <w:rsid w:val="002768D1"/>
    <w:rPr>
      <w:lang w:val="en-GB" w:eastAsia="en-US"/>
    </w:rPr>
  </w:style>
  <w:style w:type="character" w:customStyle="1" w:styleId="Heading7Char">
    <w:name w:val="Heading 7 Char"/>
    <w:basedOn w:val="DefaultParagraphFont"/>
    <w:link w:val="Heading7"/>
    <w:semiHidden/>
    <w:rsid w:val="002768D1"/>
    <w:rPr>
      <w:lang w:val="en-GB" w:eastAsia="en-US"/>
    </w:rPr>
  </w:style>
  <w:style w:type="character" w:customStyle="1" w:styleId="Heading8Char">
    <w:name w:val="Heading 8 Char"/>
    <w:basedOn w:val="DefaultParagraphFont"/>
    <w:link w:val="Heading8"/>
    <w:semiHidden/>
    <w:rsid w:val="002768D1"/>
    <w:rPr>
      <w:lang w:val="en-GB" w:eastAsia="en-US"/>
    </w:rPr>
  </w:style>
  <w:style w:type="character" w:customStyle="1" w:styleId="Heading9Char">
    <w:name w:val="Heading 9 Char"/>
    <w:basedOn w:val="DefaultParagraphFont"/>
    <w:link w:val="Heading9"/>
    <w:semiHidden/>
    <w:rsid w:val="002768D1"/>
    <w:rPr>
      <w:lang w:val="en-GB" w:eastAsia="en-US"/>
    </w:rPr>
  </w:style>
  <w:style w:type="character" w:styleId="BookTitle">
    <w:name w:val="Book Title"/>
    <w:basedOn w:val="DefaultParagraphFont"/>
    <w:uiPriority w:val="33"/>
    <w:semiHidden/>
    <w:rsid w:val="002768D1"/>
    <w:rPr>
      <w:b/>
      <w:bCs/>
      <w:smallCaps/>
      <w:spacing w:val="5"/>
    </w:rPr>
  </w:style>
  <w:style w:type="paragraph" w:styleId="TOC1">
    <w:name w:val="toc 1"/>
    <w:basedOn w:val="Normal"/>
    <w:next w:val="Normal"/>
    <w:autoRedefine/>
    <w:uiPriority w:val="39"/>
    <w:unhideWhenUsed/>
    <w:rsid w:val="002768D1"/>
    <w:pPr>
      <w:kinsoku w:val="0"/>
      <w:overflowPunct w:val="0"/>
      <w:autoSpaceDE w:val="0"/>
      <w:autoSpaceDN w:val="0"/>
      <w:adjustRightInd w:val="0"/>
      <w:snapToGrid w:val="0"/>
      <w:spacing w:after="100"/>
    </w:pPr>
    <w:rPr>
      <w:rFonts w:eastAsiaTheme="minorHAnsi"/>
    </w:rPr>
  </w:style>
  <w:style w:type="paragraph" w:styleId="TOC2">
    <w:name w:val="toc 2"/>
    <w:basedOn w:val="Normal"/>
    <w:next w:val="Normal"/>
    <w:autoRedefine/>
    <w:uiPriority w:val="39"/>
    <w:unhideWhenUsed/>
    <w:rsid w:val="002768D1"/>
    <w:pPr>
      <w:kinsoku w:val="0"/>
      <w:overflowPunct w:val="0"/>
      <w:autoSpaceDE w:val="0"/>
      <w:autoSpaceDN w:val="0"/>
      <w:adjustRightInd w:val="0"/>
      <w:snapToGrid w:val="0"/>
      <w:spacing w:after="100"/>
      <w:ind w:left="200"/>
    </w:pPr>
    <w:rPr>
      <w:rFonts w:eastAsiaTheme="minorHAnsi"/>
    </w:rPr>
  </w:style>
  <w:style w:type="character" w:styleId="CommentReference">
    <w:name w:val="annotation reference"/>
    <w:basedOn w:val="DefaultParagraphFont"/>
    <w:uiPriority w:val="99"/>
    <w:semiHidden/>
    <w:unhideWhenUsed/>
    <w:rsid w:val="002768D1"/>
    <w:rPr>
      <w:sz w:val="16"/>
      <w:szCs w:val="16"/>
    </w:rPr>
  </w:style>
  <w:style w:type="paragraph" w:styleId="CommentText">
    <w:name w:val="annotation text"/>
    <w:basedOn w:val="Normal"/>
    <w:link w:val="CommentTextChar"/>
    <w:uiPriority w:val="99"/>
    <w:unhideWhenUsed/>
    <w:rsid w:val="002768D1"/>
    <w:pPr>
      <w:kinsoku w:val="0"/>
      <w:overflowPunct w:val="0"/>
      <w:autoSpaceDE w:val="0"/>
      <w:autoSpaceDN w:val="0"/>
      <w:adjustRightInd w:val="0"/>
      <w:snapToGrid w:val="0"/>
      <w:spacing w:line="240" w:lineRule="auto"/>
    </w:pPr>
    <w:rPr>
      <w:rFonts w:eastAsiaTheme="minorHAnsi"/>
    </w:rPr>
  </w:style>
  <w:style w:type="character" w:customStyle="1" w:styleId="CommentTextChar">
    <w:name w:val="Comment Text Char"/>
    <w:basedOn w:val="DefaultParagraphFont"/>
    <w:link w:val="CommentText"/>
    <w:uiPriority w:val="99"/>
    <w:rsid w:val="002768D1"/>
    <w:rPr>
      <w:rFonts w:eastAsiaTheme="minorHAnsi"/>
      <w:lang w:val="en-GB" w:eastAsia="en-US"/>
    </w:rPr>
  </w:style>
  <w:style w:type="paragraph" w:styleId="CommentSubject">
    <w:name w:val="annotation subject"/>
    <w:basedOn w:val="CommentText"/>
    <w:next w:val="CommentText"/>
    <w:link w:val="CommentSubjectChar"/>
    <w:uiPriority w:val="99"/>
    <w:semiHidden/>
    <w:unhideWhenUsed/>
    <w:rsid w:val="002768D1"/>
    <w:rPr>
      <w:b/>
      <w:bCs/>
    </w:rPr>
  </w:style>
  <w:style w:type="character" w:customStyle="1" w:styleId="CommentSubjectChar">
    <w:name w:val="Comment Subject Char"/>
    <w:basedOn w:val="CommentTextChar"/>
    <w:link w:val="CommentSubject"/>
    <w:uiPriority w:val="99"/>
    <w:semiHidden/>
    <w:rsid w:val="002768D1"/>
    <w:rPr>
      <w:rFonts w:eastAsiaTheme="minorHAnsi"/>
      <w:b/>
      <w:bCs/>
      <w:lang w:val="en-GB" w:eastAsia="en-US"/>
    </w:rPr>
  </w:style>
  <w:style w:type="paragraph" w:styleId="ListParagraph">
    <w:name w:val="List Paragraph"/>
    <w:basedOn w:val="Normal"/>
    <w:uiPriority w:val="34"/>
    <w:qFormat/>
    <w:rsid w:val="002768D1"/>
    <w:pPr>
      <w:suppressAutoHyphens w:val="0"/>
      <w:spacing w:line="240" w:lineRule="auto"/>
      <w:ind w:left="720"/>
      <w:contextualSpacing/>
    </w:pPr>
    <w:rPr>
      <w:rFonts w:asciiTheme="minorHAnsi" w:eastAsiaTheme="minorEastAsia" w:hAnsiTheme="minorHAnsi" w:cstheme="minorBidi"/>
      <w:sz w:val="24"/>
      <w:szCs w:val="24"/>
      <w:lang w:val="en-US"/>
    </w:rPr>
  </w:style>
  <w:style w:type="paragraph" w:styleId="NormalWeb">
    <w:name w:val="Normal (Web)"/>
    <w:basedOn w:val="Normal"/>
    <w:uiPriority w:val="99"/>
    <w:unhideWhenUsed/>
    <w:rsid w:val="002768D1"/>
    <w:pPr>
      <w:suppressAutoHyphens w:val="0"/>
      <w:spacing w:before="100" w:beforeAutospacing="1" w:after="100" w:afterAutospacing="1" w:line="240" w:lineRule="auto"/>
    </w:pPr>
    <w:rPr>
      <w:rFonts w:ascii="Times" w:eastAsiaTheme="minorEastAsia" w:hAnsi="Times"/>
      <w:lang w:val="en-US"/>
    </w:rPr>
  </w:style>
  <w:style w:type="paragraph" w:customStyle="1" w:styleId="SingleTxt">
    <w:name w:val="__Single Txt"/>
    <w:basedOn w:val="Normal"/>
    <w:rsid w:val="002768D1"/>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val="0"/>
      <w:spacing w:after="120"/>
      <w:ind w:left="1267" w:right="1267"/>
      <w:jc w:val="both"/>
    </w:pPr>
    <w:rPr>
      <w:rFonts w:eastAsia="SimSun"/>
      <w:spacing w:val="4"/>
      <w:w w:val="103"/>
      <w:kern w:val="14"/>
      <w:lang w:val="fr-CA"/>
    </w:rPr>
  </w:style>
  <w:style w:type="paragraph" w:customStyle="1" w:styleId="cmnormal">
    <w:name w:val="cm_normal"/>
    <w:basedOn w:val="Normal"/>
    <w:rsid w:val="002768D1"/>
    <w:pPr>
      <w:suppressAutoHyphens w:val="0"/>
      <w:spacing w:before="100" w:beforeAutospacing="1" w:after="100" w:afterAutospacing="1" w:line="240" w:lineRule="auto"/>
    </w:pPr>
    <w:rPr>
      <w:sz w:val="24"/>
      <w:szCs w:val="24"/>
    </w:rPr>
  </w:style>
  <w:style w:type="paragraph" w:customStyle="1" w:styleId="Default">
    <w:name w:val="Default"/>
    <w:rsid w:val="002768D1"/>
    <w:pPr>
      <w:widowControl w:val="0"/>
      <w:autoSpaceDE w:val="0"/>
      <w:autoSpaceDN w:val="0"/>
      <w:adjustRightInd w:val="0"/>
    </w:pPr>
    <w:rPr>
      <w:rFonts w:eastAsiaTheme="minorEastAsia"/>
      <w:color w:val="000000"/>
      <w:sz w:val="24"/>
      <w:szCs w:val="24"/>
      <w:lang w:val="en-US" w:eastAsia="en-US"/>
    </w:rPr>
  </w:style>
  <w:style w:type="character" w:customStyle="1" w:styleId="apple-converted-space">
    <w:name w:val="apple-converted-space"/>
    <w:basedOn w:val="DefaultParagraphFont"/>
    <w:rsid w:val="002768D1"/>
  </w:style>
  <w:style w:type="character" w:styleId="Strong">
    <w:name w:val="Strong"/>
    <w:basedOn w:val="DefaultParagraphFont"/>
    <w:uiPriority w:val="22"/>
    <w:qFormat/>
    <w:rsid w:val="002768D1"/>
    <w:rPr>
      <w:b/>
      <w:bCs/>
    </w:rPr>
  </w:style>
  <w:style w:type="paragraph" w:styleId="Revision">
    <w:name w:val="Revision"/>
    <w:hidden/>
    <w:uiPriority w:val="99"/>
    <w:semiHidden/>
    <w:rsid w:val="002768D1"/>
    <w:rPr>
      <w:rFonts w:asciiTheme="minorHAnsi" w:eastAsiaTheme="minorEastAsia" w:hAnsiTheme="minorHAnsi" w:cstheme="minorBidi"/>
      <w:sz w:val="24"/>
      <w:szCs w:val="24"/>
      <w:lang w:val="en-US" w:eastAsia="en-US"/>
    </w:rPr>
  </w:style>
  <w:style w:type="character" w:styleId="PlaceholderText">
    <w:name w:val="Placeholder Text"/>
    <w:basedOn w:val="DefaultParagraphFont"/>
    <w:uiPriority w:val="99"/>
    <w:semiHidden/>
    <w:rsid w:val="002768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91182">
      <w:bodyDiv w:val="1"/>
      <w:marLeft w:val="0"/>
      <w:marRight w:val="0"/>
      <w:marTop w:val="0"/>
      <w:marBottom w:val="0"/>
      <w:divBdr>
        <w:top w:val="none" w:sz="0" w:space="0" w:color="auto"/>
        <w:left w:val="none" w:sz="0" w:space="0" w:color="auto"/>
        <w:bottom w:val="none" w:sz="0" w:space="0" w:color="auto"/>
        <w:right w:val="none" w:sz="0" w:space="0" w:color="auto"/>
      </w:divBdr>
      <w:divsChild>
        <w:div w:id="1153178166">
          <w:marLeft w:val="0"/>
          <w:marRight w:val="0"/>
          <w:marTop w:val="0"/>
          <w:marBottom w:val="0"/>
          <w:divBdr>
            <w:top w:val="none" w:sz="0" w:space="0" w:color="auto"/>
            <w:left w:val="none" w:sz="0" w:space="0" w:color="auto"/>
            <w:bottom w:val="none" w:sz="0" w:space="0" w:color="auto"/>
            <w:right w:val="none" w:sz="0" w:space="0" w:color="auto"/>
          </w:divBdr>
          <w:divsChild>
            <w:div w:id="1822888699">
              <w:marLeft w:val="0"/>
              <w:marRight w:val="0"/>
              <w:marTop w:val="0"/>
              <w:marBottom w:val="0"/>
              <w:divBdr>
                <w:top w:val="none" w:sz="0" w:space="0" w:color="auto"/>
                <w:left w:val="none" w:sz="0" w:space="0" w:color="auto"/>
                <w:bottom w:val="none" w:sz="0" w:space="0" w:color="auto"/>
                <w:right w:val="none" w:sz="0" w:space="0" w:color="auto"/>
              </w:divBdr>
              <w:divsChild>
                <w:div w:id="7296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0172">
      <w:bodyDiv w:val="1"/>
      <w:marLeft w:val="0"/>
      <w:marRight w:val="0"/>
      <w:marTop w:val="0"/>
      <w:marBottom w:val="0"/>
      <w:divBdr>
        <w:top w:val="none" w:sz="0" w:space="0" w:color="auto"/>
        <w:left w:val="none" w:sz="0" w:space="0" w:color="auto"/>
        <w:bottom w:val="none" w:sz="0" w:space="0" w:color="auto"/>
        <w:right w:val="none" w:sz="0" w:space="0" w:color="auto"/>
      </w:divBdr>
    </w:div>
    <w:div w:id="1217819371">
      <w:bodyDiv w:val="1"/>
      <w:marLeft w:val="0"/>
      <w:marRight w:val="0"/>
      <w:marTop w:val="0"/>
      <w:marBottom w:val="0"/>
      <w:divBdr>
        <w:top w:val="none" w:sz="0" w:space="0" w:color="auto"/>
        <w:left w:val="none" w:sz="0" w:space="0" w:color="auto"/>
        <w:bottom w:val="none" w:sz="0" w:space="0" w:color="auto"/>
        <w:right w:val="none" w:sz="0" w:space="0" w:color="auto"/>
      </w:divBdr>
    </w:div>
    <w:div w:id="1914193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law.duke.edu/humanrights/tighteningthepursestrings/" TargetMode="External"/><Relationship Id="rId3" Type="http://schemas.openxmlformats.org/officeDocument/2006/relationships/hyperlink" Target="https://link.springer.com/article/10.1007/s40802-016-0061-2" TargetMode="External"/><Relationship Id="rId7" Type="http://schemas.openxmlformats.org/officeDocument/2006/relationships/hyperlink" Target="https://www.genevacall.org/wp-content/uploads/dlm_uploads/2016/08/GaranceTalks_Issue01_Report.pdf" TargetMode="External"/><Relationship Id="rId2" Type="http://schemas.openxmlformats.org/officeDocument/2006/relationships/hyperlink" Target="http://www.icty.org/case/tadic/4" TargetMode="External"/><Relationship Id="rId1" Type="http://schemas.openxmlformats.org/officeDocument/2006/relationships/hyperlink" Target="https://pilac.law.harvard.edu/ansas" TargetMode="External"/><Relationship Id="rId6" Type="http://schemas.openxmlformats.org/officeDocument/2006/relationships/hyperlink" Target="https://www.ohchr.org/EN/Issues/Terrorism/Pages/Statements.aspx" TargetMode="External"/><Relationship Id="rId5" Type="http://schemas.openxmlformats.org/officeDocument/2006/relationships/hyperlink" Target="https://www.un.org/press/en/2017/sc12998.doc.htm" TargetMode="External"/><Relationship Id="rId10" Type="http://schemas.openxmlformats.org/officeDocument/2006/relationships/hyperlink" Target="https://www.ictj.org/sites/default/files/ICTJ-Morocco-Reparations-Report-2009-English.pdf" TargetMode="External"/><Relationship Id="rId4" Type="http://schemas.openxmlformats.org/officeDocument/2006/relationships/hyperlink" Target="https://ihl-databases.icrc.org/customary-ihl/eng/docs/v1_rul_rule150" TargetMode="External"/><Relationship Id="rId9" Type="http://schemas.openxmlformats.org/officeDocument/2006/relationships/hyperlink" Target="https://www.opensocietyfoundations.org/reports/undeniable-atrocities-confronting-crimes-against-humanity-mexic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N-Docs2017\Templates\A\A_E.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714E1A-81C2-47D3-8424-AD8DA1961822}"/>
</file>

<file path=customXml/itemProps2.xml><?xml version="1.0" encoding="utf-8"?>
<ds:datastoreItem xmlns:ds="http://schemas.openxmlformats.org/officeDocument/2006/customXml" ds:itemID="{E72A1D5C-0AB8-43C1-8A16-5C227F0F90DF}"/>
</file>

<file path=customXml/itemProps3.xml><?xml version="1.0" encoding="utf-8"?>
<ds:datastoreItem xmlns:ds="http://schemas.openxmlformats.org/officeDocument/2006/customXml" ds:itemID="{7C47EF5C-664A-4180-B61B-6EAEA21FC673}"/>
</file>

<file path=docProps/app.xml><?xml version="1.0" encoding="utf-8"?>
<Properties xmlns="http://schemas.openxmlformats.org/officeDocument/2006/extended-properties" xmlns:vt="http://schemas.openxmlformats.org/officeDocument/2006/docPropsVTypes">
  <Template>A_E.dotm</Template>
  <TotalTime>0</TotalTime>
  <Pages>21</Pages>
  <Words>9307</Words>
  <Characters>53055</Characters>
  <Application>Microsoft Office Word</Application>
  <DocSecurity>4</DocSecurity>
  <Lines>442</Lines>
  <Paragraphs>124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A/HRC/38/44</vt:lpstr>
      <vt:lpstr/>
    </vt:vector>
  </TitlesOfParts>
  <Company>CSD</Company>
  <LinksUpToDate>false</LinksUpToDate>
  <CharactersWithSpaces>62238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Geneviève CLOTTEY</dc:creator>
  <cp:lastModifiedBy>Laura Kruger</cp:lastModifiedBy>
  <cp:revision>2</cp:revision>
  <cp:lastPrinted>2018-05-23T09:38:00Z</cp:lastPrinted>
  <dcterms:created xsi:type="dcterms:W3CDTF">2018-06-11T11:09:00Z</dcterms:created>
  <dcterms:modified xsi:type="dcterms:W3CDTF">2018-06-11T11:09:00Z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