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E440E" w14:textId="70CF28BA" w:rsidR="00B73FD1" w:rsidRPr="00F14740" w:rsidRDefault="00A22A44" w:rsidP="00B73FD1">
      <w:pPr>
        <w:jc w:val="center"/>
        <w:rPr>
          <w:b/>
          <w:bCs/>
        </w:rPr>
      </w:pPr>
      <w:bookmarkStart w:id="0" w:name="_GoBack"/>
      <w:bookmarkEnd w:id="0"/>
      <w:r>
        <w:rPr>
          <w:b/>
          <w:bCs/>
          <w:noProof/>
        </w:rPr>
        <w:t xml:space="preserve">Mandate of the </w:t>
      </w:r>
      <w:r w:rsidR="00117F5F">
        <w:rPr>
          <w:b/>
          <w:bCs/>
          <w:noProof/>
        </w:rPr>
        <w:t xml:space="preserve">Special Rapporteur on </w:t>
      </w:r>
      <w:r w:rsidR="00206D43">
        <w:rPr>
          <w:b/>
          <w:bCs/>
          <w:noProof/>
        </w:rPr>
        <w:t>Extrajudicial, Summary or Arbitrary Killings</w:t>
      </w:r>
    </w:p>
    <w:tbl>
      <w:tblPr>
        <w:tblW w:w="0" w:type="auto"/>
        <w:tblInd w:w="-936" w:type="dxa"/>
        <w:tblLook w:val="04A0" w:firstRow="1" w:lastRow="0" w:firstColumn="1" w:lastColumn="0" w:noHBand="0" w:noVBand="1"/>
      </w:tblPr>
      <w:tblGrid>
        <w:gridCol w:w="63"/>
        <w:gridCol w:w="119"/>
      </w:tblGrid>
      <w:tr w:rsidR="00130C65" w:rsidRPr="0025174E" w14:paraId="38423929" w14:textId="77777777" w:rsidTr="00E9219C">
        <w:tc>
          <w:tcPr>
            <w:tcW w:w="0" w:type="auto"/>
            <w:shd w:val="clear" w:color="auto" w:fill="auto"/>
            <w:tcMar>
              <w:top w:w="113" w:type="dxa"/>
              <w:left w:w="57" w:type="dxa"/>
              <w:bottom w:w="113" w:type="dxa"/>
              <w:right w:w="0" w:type="dxa"/>
            </w:tcMar>
          </w:tcPr>
          <w:p w14:paraId="3A6918F6" w14:textId="3E4444BE" w:rsidR="00130C65" w:rsidRPr="0025174E" w:rsidRDefault="00130C65" w:rsidP="00E9219C">
            <w:pPr>
              <w:rPr>
                <w:sz w:val="14"/>
                <w:szCs w:val="14"/>
              </w:rPr>
            </w:pPr>
          </w:p>
        </w:tc>
        <w:tc>
          <w:tcPr>
            <w:tcW w:w="0" w:type="auto"/>
            <w:shd w:val="clear" w:color="auto" w:fill="auto"/>
            <w:tcMar>
              <w:top w:w="113" w:type="dxa"/>
              <w:left w:w="113" w:type="dxa"/>
              <w:bottom w:w="113" w:type="dxa"/>
              <w:right w:w="0" w:type="dxa"/>
            </w:tcMar>
          </w:tcPr>
          <w:p w14:paraId="6CEF6D55" w14:textId="77777777" w:rsidR="00130C65" w:rsidRPr="0025174E" w:rsidRDefault="00130C65" w:rsidP="00E9219C">
            <w:pPr>
              <w:rPr>
                <w:sz w:val="24"/>
                <w:szCs w:val="24"/>
              </w:rPr>
            </w:pPr>
          </w:p>
        </w:tc>
      </w:tr>
    </w:tbl>
    <w:p w14:paraId="54519397" w14:textId="4F150481" w:rsidR="00206D43" w:rsidRDefault="00206D43" w:rsidP="00206D43">
      <w:pPr>
        <w:jc w:val="center"/>
        <w:rPr>
          <w:b/>
          <w:bCs/>
          <w:lang w:val="en-US"/>
        </w:rPr>
      </w:pPr>
      <w:r w:rsidRPr="005A4C13">
        <w:rPr>
          <w:b/>
          <w:bCs/>
          <w:lang w:val="en-US"/>
        </w:rPr>
        <w:t>#COVI19 HUMAN RIGH</w:t>
      </w:r>
      <w:r>
        <w:rPr>
          <w:b/>
          <w:bCs/>
          <w:lang w:val="en-US"/>
        </w:rPr>
        <w:t>T</w:t>
      </w:r>
      <w:r w:rsidRPr="005A4C13">
        <w:rPr>
          <w:b/>
          <w:bCs/>
          <w:lang w:val="en-US"/>
        </w:rPr>
        <w:t xml:space="preserve">S </w:t>
      </w:r>
      <w:r>
        <w:rPr>
          <w:b/>
          <w:bCs/>
          <w:lang w:val="en-US"/>
        </w:rPr>
        <w:t>DISPATCH –</w:t>
      </w:r>
      <w:r w:rsidRPr="005A4C13">
        <w:rPr>
          <w:b/>
          <w:bCs/>
          <w:lang w:val="en-US"/>
        </w:rPr>
        <w:t xml:space="preserve"> </w:t>
      </w:r>
      <w:r w:rsidRPr="00C960C2">
        <w:rPr>
          <w:b/>
          <w:bCs/>
          <w:lang w:val="en-US"/>
        </w:rPr>
        <w:t>NUMBER 1</w:t>
      </w:r>
    </w:p>
    <w:p w14:paraId="5D61001A" w14:textId="77777777" w:rsidR="00206D43" w:rsidRDefault="00206D43" w:rsidP="00206D43">
      <w:pPr>
        <w:pStyle w:val="ListParagraph"/>
        <w:jc w:val="center"/>
        <w:rPr>
          <w:b/>
          <w:bCs/>
          <w:u w:val="single"/>
          <w:lang w:val="en-US"/>
        </w:rPr>
      </w:pPr>
    </w:p>
    <w:p w14:paraId="5897FAA5" w14:textId="5FC8092D" w:rsidR="00206D43" w:rsidRPr="00206D43" w:rsidRDefault="00206D43" w:rsidP="00206D43">
      <w:pPr>
        <w:pStyle w:val="ListParagraph"/>
        <w:jc w:val="center"/>
        <w:rPr>
          <w:b/>
          <w:bCs/>
          <w:lang w:val="en-US"/>
        </w:rPr>
      </w:pPr>
      <w:r w:rsidRPr="00206D43">
        <w:rPr>
          <w:b/>
          <w:bCs/>
          <w:lang w:val="en-US"/>
        </w:rPr>
        <w:t>POLICE</w:t>
      </w:r>
      <w:r w:rsidR="008B0AC2">
        <w:rPr>
          <w:b/>
          <w:bCs/>
          <w:lang w:val="en-US"/>
        </w:rPr>
        <w:t xml:space="preserve"> AND MILITARY </w:t>
      </w:r>
      <w:r w:rsidRPr="00206D43">
        <w:rPr>
          <w:b/>
          <w:bCs/>
          <w:lang w:val="en-US"/>
        </w:rPr>
        <w:t>USE OF FORCE IN A STATE OF EMERGENCY</w:t>
      </w:r>
    </w:p>
    <w:p w14:paraId="59777045" w14:textId="609E5935" w:rsidR="00206D43" w:rsidRDefault="00206D43" w:rsidP="00206D43">
      <w:pPr>
        <w:pStyle w:val="ListParagraph"/>
        <w:jc w:val="center"/>
        <w:rPr>
          <w:b/>
          <w:bCs/>
          <w:lang w:val="en-US"/>
        </w:rPr>
      </w:pPr>
    </w:p>
    <w:p w14:paraId="561AE939" w14:textId="3108D6A4" w:rsidR="00206D43" w:rsidRDefault="00206D43" w:rsidP="00206D43">
      <w:pPr>
        <w:pStyle w:val="ListParagraph"/>
        <w:jc w:val="center"/>
        <w:rPr>
          <w:b/>
          <w:bCs/>
          <w:lang w:val="en-US"/>
        </w:rPr>
      </w:pPr>
      <w:r>
        <w:rPr>
          <w:b/>
          <w:bCs/>
          <w:lang w:val="en-US"/>
        </w:rPr>
        <w:t>#</w:t>
      </w:r>
      <w:proofErr w:type="spellStart"/>
      <w:r>
        <w:rPr>
          <w:b/>
          <w:bCs/>
          <w:lang w:val="en-US"/>
        </w:rPr>
        <w:t>NoCurfewOnHumanRights</w:t>
      </w:r>
      <w:proofErr w:type="spellEnd"/>
    </w:p>
    <w:p w14:paraId="2CEC78EF" w14:textId="3B1F2786" w:rsidR="00EE03EE" w:rsidRDefault="00EE03EE" w:rsidP="00206D43">
      <w:pPr>
        <w:pStyle w:val="ListParagraph"/>
        <w:jc w:val="center"/>
        <w:rPr>
          <w:b/>
          <w:bCs/>
          <w:lang w:val="en-US"/>
        </w:rPr>
      </w:pPr>
      <w:r>
        <w:rPr>
          <w:noProof/>
          <w:color w:val="000000"/>
          <w:sz w:val="24"/>
          <w:szCs w:val="24"/>
          <w:lang w:eastAsia="en-GB"/>
        </w:rPr>
        <mc:AlternateContent>
          <mc:Choice Requires="wps">
            <w:drawing>
              <wp:anchor distT="0" distB="0" distL="114300" distR="114300" simplePos="0" relativeHeight="251659264" behindDoc="1" locked="0" layoutInCell="1" allowOverlap="1" wp14:anchorId="178D97C4" wp14:editId="09388724">
                <wp:simplePos x="0" y="0"/>
                <wp:positionH relativeFrom="column">
                  <wp:posOffset>69215</wp:posOffset>
                </wp:positionH>
                <wp:positionV relativeFrom="paragraph">
                  <wp:posOffset>274320</wp:posOffset>
                </wp:positionV>
                <wp:extent cx="5353050" cy="2819400"/>
                <wp:effectExtent l="0" t="0" r="19050" b="19050"/>
                <wp:wrapTight wrapText="bothSides">
                  <wp:wrapPolygon edited="0">
                    <wp:start x="0" y="0"/>
                    <wp:lineTo x="0" y="21600"/>
                    <wp:lineTo x="21600" y="21600"/>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5353050" cy="2819400"/>
                        </a:xfrm>
                        <a:prstGeom prst="rect">
                          <a:avLst/>
                        </a:prstGeom>
                        <a:solidFill>
                          <a:schemeClr val="lt1"/>
                        </a:solidFill>
                        <a:ln w="6350">
                          <a:solidFill>
                            <a:prstClr val="black"/>
                          </a:solidFill>
                        </a:ln>
                      </wps:spPr>
                      <wps:txbx>
                        <w:txbxContent>
                          <w:p w14:paraId="70DCEC57" w14:textId="24486147" w:rsidR="00B832E4" w:rsidRPr="00B832E4" w:rsidRDefault="00B832E4" w:rsidP="00B832E4">
                            <w:pPr>
                              <w:ind w:left="720" w:right="654"/>
                              <w:jc w:val="center"/>
                              <w:rPr>
                                <w:rFonts w:ascii="Arial" w:hAnsi="Arial" w:cs="Arial"/>
                                <w:b/>
                                <w:bCs/>
                                <w:color w:val="365F91" w:themeColor="accent1" w:themeShade="BF"/>
                                <w:sz w:val="24"/>
                                <w:szCs w:val="24"/>
                                <w:lang w:val="en-US"/>
                              </w:rPr>
                            </w:pPr>
                            <w:r w:rsidRPr="00B832E4">
                              <w:rPr>
                                <w:rFonts w:ascii="Arial" w:hAnsi="Arial" w:cs="Arial"/>
                                <w:b/>
                                <w:bCs/>
                                <w:color w:val="365F91" w:themeColor="accent1" w:themeShade="BF"/>
                                <w:sz w:val="24"/>
                                <w:szCs w:val="24"/>
                                <w:lang w:val="en-US"/>
                              </w:rPr>
                              <w:t>Guidance on the use of force by law-enforcement personnel in time of COVID-19 emergency</w:t>
                            </w:r>
                          </w:p>
                          <w:p w14:paraId="6663CC06" w14:textId="075EF653" w:rsidR="00B832E4" w:rsidRPr="00EE03EE" w:rsidRDefault="00B832E4"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 xml:space="preserve">States of emergency </w:t>
                            </w:r>
                            <w:r w:rsidRPr="00EE03EE">
                              <w:rPr>
                                <w:rFonts w:asciiTheme="minorHAnsi" w:hAnsiTheme="minorHAnsi" w:cstheme="minorHAnsi"/>
                                <w:lang w:val="en-US"/>
                              </w:rPr>
                              <w:t>are exceptional; their duration should be strictly limited</w:t>
                            </w:r>
                          </w:p>
                          <w:p w14:paraId="611C7A6F" w14:textId="155DDCCF" w:rsidR="00EE03EE" w:rsidRPr="00EE03EE" w:rsidRDefault="00EE03EE"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The right to life is non-</w:t>
                            </w:r>
                            <w:proofErr w:type="spellStart"/>
                            <w:r w:rsidRPr="00EE03EE">
                              <w:rPr>
                                <w:rFonts w:asciiTheme="minorHAnsi" w:hAnsiTheme="minorHAnsi" w:cstheme="minorHAnsi"/>
                                <w:b/>
                                <w:bCs/>
                                <w:color w:val="0070C0"/>
                                <w:lang w:val="en-US"/>
                              </w:rPr>
                              <w:t>derogable</w:t>
                            </w:r>
                            <w:proofErr w:type="spellEnd"/>
                          </w:p>
                          <w:p w14:paraId="1D96FD4A" w14:textId="0900C454" w:rsidR="00B832E4" w:rsidRPr="00EE03EE" w:rsidRDefault="00EE03EE"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L</w:t>
                            </w:r>
                            <w:r w:rsidR="00B832E4" w:rsidRPr="00EE03EE">
                              <w:rPr>
                                <w:rFonts w:asciiTheme="minorHAnsi" w:hAnsiTheme="minorHAnsi" w:cstheme="minorHAnsi"/>
                                <w:b/>
                                <w:bCs/>
                                <w:color w:val="0070C0"/>
                                <w:lang w:val="en-US"/>
                              </w:rPr>
                              <w:t xml:space="preserve">aw-enforcement measures </w:t>
                            </w:r>
                            <w:r w:rsidR="00B832E4" w:rsidRPr="00EE03EE">
                              <w:rPr>
                                <w:rFonts w:asciiTheme="minorHAnsi" w:hAnsiTheme="minorHAnsi" w:cstheme="minorHAnsi"/>
                                <w:color w:val="000000" w:themeColor="text1"/>
                                <w:lang w:val="en-US"/>
                              </w:rPr>
                              <w:t>should be guided by the</w:t>
                            </w:r>
                            <w:r w:rsidR="00B832E4" w:rsidRPr="00EE03EE">
                              <w:rPr>
                                <w:rFonts w:asciiTheme="minorHAnsi" w:hAnsiTheme="minorHAnsi" w:cstheme="minorHAnsi"/>
                                <w:b/>
                                <w:bCs/>
                                <w:color w:val="000000" w:themeColor="text1"/>
                                <w:lang w:val="en-US"/>
                              </w:rPr>
                              <w:t xml:space="preserve"> </w:t>
                            </w:r>
                            <w:r w:rsidR="00B832E4" w:rsidRPr="00EE03EE">
                              <w:rPr>
                                <w:rFonts w:asciiTheme="minorHAnsi" w:hAnsiTheme="minorHAnsi" w:cstheme="minorHAnsi"/>
                                <w:b/>
                                <w:bCs/>
                                <w:color w:val="0070C0"/>
                                <w:lang w:val="en-US"/>
                              </w:rPr>
                              <w:t xml:space="preserve">principles of legality, necessity, proportion, precaution </w:t>
                            </w:r>
                            <w:r w:rsidR="00B832E4" w:rsidRPr="00EE03EE">
                              <w:rPr>
                                <w:rFonts w:asciiTheme="minorHAnsi" w:hAnsiTheme="minorHAnsi" w:cstheme="minorHAnsi"/>
                                <w:color w:val="000000" w:themeColor="text1"/>
                                <w:lang w:val="en-US"/>
                              </w:rPr>
                              <w:t>and</w:t>
                            </w:r>
                            <w:r w:rsidR="00B832E4" w:rsidRPr="00EE03EE">
                              <w:rPr>
                                <w:rFonts w:asciiTheme="minorHAnsi" w:hAnsiTheme="minorHAnsi" w:cstheme="minorHAnsi"/>
                                <w:b/>
                                <w:bCs/>
                                <w:color w:val="0070C0"/>
                                <w:lang w:val="en-US"/>
                              </w:rPr>
                              <w:t xml:space="preserve"> non-discrimination. </w:t>
                            </w:r>
                            <w:r w:rsidR="00B832E4" w:rsidRPr="00EE03EE">
                              <w:rPr>
                                <w:rFonts w:asciiTheme="minorHAnsi" w:hAnsiTheme="minorHAnsi" w:cstheme="minorHAnsi"/>
                                <w:lang w:val="en-US"/>
                              </w:rPr>
                              <w:t xml:space="preserve"> These are fundamental principles of international human rights law that binds all states</w:t>
                            </w:r>
                          </w:p>
                          <w:p w14:paraId="447FC411" w14:textId="643965BC" w:rsidR="00B832E4" w:rsidRPr="00BC3115" w:rsidRDefault="00B832E4"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Vulnerable groups</w:t>
                            </w:r>
                            <w:r w:rsidRPr="00EE03EE">
                              <w:rPr>
                                <w:rFonts w:asciiTheme="minorHAnsi" w:hAnsiTheme="minorHAnsi" w:cstheme="minorHAnsi"/>
                                <w:color w:val="0070C0"/>
                                <w:lang w:val="en-US"/>
                              </w:rPr>
                              <w:t xml:space="preserve"> </w:t>
                            </w:r>
                            <w:r w:rsidRPr="00EE03EE">
                              <w:rPr>
                                <w:rFonts w:asciiTheme="minorHAnsi" w:hAnsiTheme="minorHAnsi" w:cstheme="minorHAnsi"/>
                                <w:lang w:val="en-US"/>
                              </w:rPr>
                              <w:t xml:space="preserve">– such as the poor, migrant workers, the homeless – are already affected disproportionately by the virus.  They should not be rendered victimized </w:t>
                            </w:r>
                            <w:r w:rsidR="00377C05" w:rsidRPr="00EE03EE">
                              <w:rPr>
                                <w:rFonts w:asciiTheme="minorHAnsi" w:hAnsiTheme="minorHAnsi" w:cstheme="minorHAnsi"/>
                                <w:lang w:val="en-US"/>
                              </w:rPr>
                              <w:t>further</w:t>
                            </w:r>
                            <w:r w:rsidRPr="00EE03EE">
                              <w:rPr>
                                <w:rFonts w:asciiTheme="minorHAnsi" w:hAnsiTheme="minorHAnsi" w:cstheme="minorHAnsi"/>
                                <w:lang w:val="en-US"/>
                              </w:rPr>
                              <w:t xml:space="preserve"> </w:t>
                            </w:r>
                            <w:r w:rsidR="00377C05" w:rsidRPr="00EE03EE">
                              <w:rPr>
                                <w:rFonts w:asciiTheme="minorHAnsi" w:hAnsiTheme="minorHAnsi" w:cstheme="minorHAnsi"/>
                                <w:lang w:val="en-US"/>
                              </w:rPr>
                              <w:t xml:space="preserve">because of </w:t>
                            </w:r>
                            <w:r w:rsidRPr="00EE03EE">
                              <w:rPr>
                                <w:rFonts w:asciiTheme="minorHAnsi" w:hAnsiTheme="minorHAnsi" w:cstheme="minorHAnsi"/>
                                <w:lang w:val="en-US"/>
                              </w:rPr>
                              <w:t>state of emergency measures.</w:t>
                            </w:r>
                            <w:r w:rsidR="00EE03EE" w:rsidRPr="00EE03EE">
                              <w:rPr>
                                <w:rFonts w:asciiTheme="minorHAnsi" w:hAnsiTheme="minorHAnsi" w:cstheme="minorHAnsi"/>
                                <w:lang w:val="en-US"/>
                              </w:rPr>
                              <w:t xml:space="preserve"> </w:t>
                            </w:r>
                            <w:r w:rsidR="00EE03EE">
                              <w:rPr>
                                <w:rFonts w:asciiTheme="minorHAnsi" w:hAnsiTheme="minorHAnsi" w:cstheme="minorHAnsi"/>
                                <w:lang w:val="en-US"/>
                              </w:rPr>
                              <w:t xml:space="preserve">Police must take </w:t>
                            </w:r>
                            <w:r w:rsidR="00EE03EE" w:rsidRPr="00EE03EE">
                              <w:rPr>
                                <w:rFonts w:asciiTheme="minorHAnsi" w:hAnsiTheme="minorHAnsi" w:cstheme="minorHAnsi"/>
                                <w:b/>
                                <w:bCs/>
                                <w:color w:val="0070C0"/>
                                <w:lang w:val="en-US"/>
                              </w:rPr>
                              <w:t>appropriate and heightened precautionary measures</w:t>
                            </w:r>
                            <w:r w:rsidR="00EE03EE" w:rsidRPr="00EE03EE">
                              <w:rPr>
                                <w:rFonts w:asciiTheme="minorHAnsi" w:hAnsiTheme="minorHAnsi" w:cstheme="minorHAnsi"/>
                                <w:lang w:val="en-US"/>
                              </w:rPr>
                              <w:t xml:space="preserve">, and </w:t>
                            </w:r>
                            <w:r w:rsidR="00EE03EE">
                              <w:rPr>
                                <w:rFonts w:asciiTheme="minorHAnsi" w:hAnsiTheme="minorHAnsi" w:cstheme="minorHAnsi"/>
                                <w:lang w:val="en-US"/>
                              </w:rPr>
                              <w:t xml:space="preserve">conduct </w:t>
                            </w:r>
                            <w:r w:rsidR="00EE03EE" w:rsidRPr="00EE03EE">
                              <w:rPr>
                                <w:rFonts w:asciiTheme="minorHAnsi" w:hAnsiTheme="minorHAnsi" w:cstheme="minorHAnsi"/>
                                <w:b/>
                                <w:bCs/>
                                <w:color w:val="0070C0"/>
                                <w:lang w:val="en-US"/>
                              </w:rPr>
                              <w:t>context-based assessment of whether the use of force is necessary and proportionate</w:t>
                            </w:r>
                          </w:p>
                          <w:p w14:paraId="3905B630" w14:textId="2B2B2349" w:rsidR="00BC3115" w:rsidRPr="00EE03EE" w:rsidRDefault="00BC3115"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BC3115">
                              <w:rPr>
                                <w:rFonts w:asciiTheme="minorHAnsi" w:hAnsiTheme="minorHAnsi" w:cstheme="minorHAnsi"/>
                                <w:b/>
                                <w:bCs/>
                                <w:color w:val="0070C0"/>
                                <w:lang w:val="en-US"/>
                              </w:rPr>
                              <w:t>Discussion, instruction, consultation and community engagement</w:t>
                            </w:r>
                            <w:r>
                              <w:rPr>
                                <w:rFonts w:eastAsia="Calibri"/>
                                <w:color w:val="000000"/>
                                <w:lang w:val="en-US"/>
                              </w:rPr>
                              <w:t xml:space="preserve"> – these should be the operating principles for the police</w:t>
                            </w:r>
                          </w:p>
                          <w:p w14:paraId="24E9B476" w14:textId="77777777" w:rsidR="00B832E4" w:rsidRDefault="00B832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8D97C4" id="_x0000_t202" coordsize="21600,21600" o:spt="202" path="m,l,21600r21600,l21600,xe">
                <v:stroke joinstyle="miter"/>
                <v:path gradientshapeok="t" o:connecttype="rect"/>
              </v:shapetype>
              <v:shape id="Text Box 4" o:spid="_x0000_s1026" type="#_x0000_t202" style="position:absolute;left:0;text-align:left;margin-left:5.45pt;margin-top:21.6pt;width:421.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" fillcolor="white [3201]" strokeweight=".5pt">
                <v:textbox>
                  <w:txbxContent>
                    <w:p w14:paraId="70DCEC57" w14:textId="24486147" w:rsidR="00B832E4" w:rsidRPr="00B832E4" w:rsidRDefault="00B832E4" w:rsidP="00B832E4">
                      <w:pPr>
                        <w:ind w:left="720" w:right="654"/>
                        <w:jc w:val="center"/>
                        <w:rPr>
                          <w:rFonts w:ascii="Arial" w:hAnsi="Arial" w:cs="Arial"/>
                          <w:b/>
                          <w:bCs/>
                          <w:color w:val="365F91" w:themeColor="accent1" w:themeShade="BF"/>
                          <w:sz w:val="24"/>
                          <w:szCs w:val="24"/>
                          <w:lang w:val="en-US"/>
                        </w:rPr>
                      </w:pPr>
                      <w:r w:rsidRPr="00B832E4">
                        <w:rPr>
                          <w:rFonts w:ascii="Arial" w:hAnsi="Arial" w:cs="Arial"/>
                          <w:b/>
                          <w:bCs/>
                          <w:color w:val="365F91" w:themeColor="accent1" w:themeShade="BF"/>
                          <w:sz w:val="24"/>
                          <w:szCs w:val="24"/>
                          <w:lang w:val="en-US"/>
                        </w:rPr>
                        <w:t>Guidance on the use of force by law-enforcement personnel in time of COVID-19 emergency</w:t>
                      </w:r>
                    </w:p>
                    <w:p w14:paraId="6663CC06" w14:textId="075EF653" w:rsidR="00B832E4" w:rsidRPr="00EE03EE" w:rsidRDefault="00B832E4"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 xml:space="preserve">States of emergency </w:t>
                      </w:r>
                      <w:r w:rsidRPr="00EE03EE">
                        <w:rPr>
                          <w:rFonts w:asciiTheme="minorHAnsi" w:hAnsiTheme="minorHAnsi" w:cstheme="minorHAnsi"/>
                          <w:lang w:val="en-US"/>
                        </w:rPr>
                        <w:t>are exceptional; their duration should be strictly limited</w:t>
                      </w:r>
                    </w:p>
                    <w:p w14:paraId="611C7A6F" w14:textId="155DDCCF" w:rsidR="00EE03EE" w:rsidRPr="00EE03EE" w:rsidRDefault="00EE03EE"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The right to life is non-</w:t>
                      </w:r>
                      <w:proofErr w:type="spellStart"/>
                      <w:r w:rsidRPr="00EE03EE">
                        <w:rPr>
                          <w:rFonts w:asciiTheme="minorHAnsi" w:hAnsiTheme="minorHAnsi" w:cstheme="minorHAnsi"/>
                          <w:b/>
                          <w:bCs/>
                          <w:color w:val="0070C0"/>
                          <w:lang w:val="en-US"/>
                        </w:rPr>
                        <w:t>derogable</w:t>
                      </w:r>
                      <w:proofErr w:type="spellEnd"/>
                    </w:p>
                    <w:p w14:paraId="1D96FD4A" w14:textId="0900C454" w:rsidR="00B832E4" w:rsidRPr="00EE03EE" w:rsidRDefault="00EE03EE"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L</w:t>
                      </w:r>
                      <w:r w:rsidR="00B832E4" w:rsidRPr="00EE03EE">
                        <w:rPr>
                          <w:rFonts w:asciiTheme="minorHAnsi" w:hAnsiTheme="minorHAnsi" w:cstheme="minorHAnsi"/>
                          <w:b/>
                          <w:bCs/>
                          <w:color w:val="0070C0"/>
                          <w:lang w:val="en-US"/>
                        </w:rPr>
                        <w:t xml:space="preserve">aw-enforcement measures </w:t>
                      </w:r>
                      <w:r w:rsidR="00B832E4" w:rsidRPr="00EE03EE">
                        <w:rPr>
                          <w:rFonts w:asciiTheme="minorHAnsi" w:hAnsiTheme="minorHAnsi" w:cstheme="minorHAnsi"/>
                          <w:color w:val="000000" w:themeColor="text1"/>
                          <w:lang w:val="en-US"/>
                        </w:rPr>
                        <w:t>should be guided by the</w:t>
                      </w:r>
                      <w:r w:rsidR="00B832E4" w:rsidRPr="00EE03EE">
                        <w:rPr>
                          <w:rFonts w:asciiTheme="minorHAnsi" w:hAnsiTheme="minorHAnsi" w:cstheme="minorHAnsi"/>
                          <w:b/>
                          <w:bCs/>
                          <w:color w:val="000000" w:themeColor="text1"/>
                          <w:lang w:val="en-US"/>
                        </w:rPr>
                        <w:t xml:space="preserve"> </w:t>
                      </w:r>
                      <w:r w:rsidR="00B832E4" w:rsidRPr="00EE03EE">
                        <w:rPr>
                          <w:rFonts w:asciiTheme="minorHAnsi" w:hAnsiTheme="minorHAnsi" w:cstheme="minorHAnsi"/>
                          <w:b/>
                          <w:bCs/>
                          <w:color w:val="0070C0"/>
                          <w:lang w:val="en-US"/>
                        </w:rPr>
                        <w:t xml:space="preserve">principles of legality, necessity, proportion, precaution </w:t>
                      </w:r>
                      <w:r w:rsidR="00B832E4" w:rsidRPr="00EE03EE">
                        <w:rPr>
                          <w:rFonts w:asciiTheme="minorHAnsi" w:hAnsiTheme="minorHAnsi" w:cstheme="minorHAnsi"/>
                          <w:color w:val="000000" w:themeColor="text1"/>
                          <w:lang w:val="en-US"/>
                        </w:rPr>
                        <w:t>and</w:t>
                      </w:r>
                      <w:r w:rsidR="00B832E4" w:rsidRPr="00EE03EE">
                        <w:rPr>
                          <w:rFonts w:asciiTheme="minorHAnsi" w:hAnsiTheme="minorHAnsi" w:cstheme="minorHAnsi"/>
                          <w:b/>
                          <w:bCs/>
                          <w:color w:val="0070C0"/>
                          <w:lang w:val="en-US"/>
                        </w:rPr>
                        <w:t xml:space="preserve"> non-discrimination. </w:t>
                      </w:r>
                      <w:r w:rsidR="00B832E4" w:rsidRPr="00EE03EE">
                        <w:rPr>
                          <w:rFonts w:asciiTheme="minorHAnsi" w:hAnsiTheme="minorHAnsi" w:cstheme="minorHAnsi"/>
                          <w:lang w:val="en-US"/>
                        </w:rPr>
                        <w:t xml:space="preserve"> These are fundamental principles of international human rights law that binds all states</w:t>
                      </w:r>
                    </w:p>
                    <w:p w14:paraId="447FC411" w14:textId="643965BC" w:rsidR="00B832E4" w:rsidRPr="00BC3115" w:rsidRDefault="00B832E4"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EE03EE">
                        <w:rPr>
                          <w:rFonts w:asciiTheme="minorHAnsi" w:hAnsiTheme="minorHAnsi" w:cstheme="minorHAnsi"/>
                          <w:b/>
                          <w:bCs/>
                          <w:color w:val="0070C0"/>
                          <w:lang w:val="en-US"/>
                        </w:rPr>
                        <w:t>Vulnerable groups</w:t>
                      </w:r>
                      <w:r w:rsidRPr="00EE03EE">
                        <w:rPr>
                          <w:rFonts w:asciiTheme="minorHAnsi" w:hAnsiTheme="minorHAnsi" w:cstheme="minorHAnsi"/>
                          <w:color w:val="0070C0"/>
                          <w:lang w:val="en-US"/>
                        </w:rPr>
                        <w:t xml:space="preserve"> </w:t>
                      </w:r>
                      <w:r w:rsidRPr="00EE03EE">
                        <w:rPr>
                          <w:rFonts w:asciiTheme="minorHAnsi" w:hAnsiTheme="minorHAnsi" w:cstheme="minorHAnsi"/>
                          <w:lang w:val="en-US"/>
                        </w:rPr>
                        <w:t xml:space="preserve">– such as the poor, migrant workers, the homeless – are already affected disproportionately by the virus.  They should not be rendered victimized </w:t>
                      </w:r>
                      <w:r w:rsidR="00377C05" w:rsidRPr="00EE03EE">
                        <w:rPr>
                          <w:rFonts w:asciiTheme="minorHAnsi" w:hAnsiTheme="minorHAnsi" w:cstheme="minorHAnsi"/>
                          <w:lang w:val="en-US"/>
                        </w:rPr>
                        <w:t>further</w:t>
                      </w:r>
                      <w:r w:rsidRPr="00EE03EE">
                        <w:rPr>
                          <w:rFonts w:asciiTheme="minorHAnsi" w:hAnsiTheme="minorHAnsi" w:cstheme="minorHAnsi"/>
                          <w:lang w:val="en-US"/>
                        </w:rPr>
                        <w:t xml:space="preserve"> </w:t>
                      </w:r>
                      <w:r w:rsidR="00377C05" w:rsidRPr="00EE03EE">
                        <w:rPr>
                          <w:rFonts w:asciiTheme="minorHAnsi" w:hAnsiTheme="minorHAnsi" w:cstheme="minorHAnsi"/>
                          <w:lang w:val="en-US"/>
                        </w:rPr>
                        <w:t xml:space="preserve">because of </w:t>
                      </w:r>
                      <w:r w:rsidRPr="00EE03EE">
                        <w:rPr>
                          <w:rFonts w:asciiTheme="minorHAnsi" w:hAnsiTheme="minorHAnsi" w:cstheme="minorHAnsi"/>
                          <w:lang w:val="en-US"/>
                        </w:rPr>
                        <w:t>state of emergency measures.</w:t>
                      </w:r>
                      <w:r w:rsidR="00EE03EE" w:rsidRPr="00EE03EE">
                        <w:rPr>
                          <w:rFonts w:asciiTheme="minorHAnsi" w:hAnsiTheme="minorHAnsi" w:cstheme="minorHAnsi"/>
                          <w:lang w:val="en-US"/>
                        </w:rPr>
                        <w:t xml:space="preserve"> </w:t>
                      </w:r>
                      <w:r w:rsidR="00EE03EE">
                        <w:rPr>
                          <w:rFonts w:asciiTheme="minorHAnsi" w:hAnsiTheme="minorHAnsi" w:cstheme="minorHAnsi"/>
                          <w:lang w:val="en-US"/>
                        </w:rPr>
                        <w:t xml:space="preserve">Police must take </w:t>
                      </w:r>
                      <w:r w:rsidR="00EE03EE" w:rsidRPr="00EE03EE">
                        <w:rPr>
                          <w:rFonts w:asciiTheme="minorHAnsi" w:hAnsiTheme="minorHAnsi" w:cstheme="minorHAnsi"/>
                          <w:b/>
                          <w:bCs/>
                          <w:color w:val="0070C0"/>
                          <w:lang w:val="en-US"/>
                        </w:rPr>
                        <w:t>appropriate and heightened precautionary measures</w:t>
                      </w:r>
                      <w:r w:rsidR="00EE03EE" w:rsidRPr="00EE03EE">
                        <w:rPr>
                          <w:rFonts w:asciiTheme="minorHAnsi" w:hAnsiTheme="minorHAnsi" w:cstheme="minorHAnsi"/>
                          <w:lang w:val="en-US"/>
                        </w:rPr>
                        <w:t xml:space="preserve">, and </w:t>
                      </w:r>
                      <w:r w:rsidR="00EE03EE">
                        <w:rPr>
                          <w:rFonts w:asciiTheme="minorHAnsi" w:hAnsiTheme="minorHAnsi" w:cstheme="minorHAnsi"/>
                          <w:lang w:val="en-US"/>
                        </w:rPr>
                        <w:t xml:space="preserve">conduct </w:t>
                      </w:r>
                      <w:r w:rsidR="00EE03EE" w:rsidRPr="00EE03EE">
                        <w:rPr>
                          <w:rFonts w:asciiTheme="minorHAnsi" w:hAnsiTheme="minorHAnsi" w:cstheme="minorHAnsi"/>
                          <w:b/>
                          <w:bCs/>
                          <w:color w:val="0070C0"/>
                          <w:lang w:val="en-US"/>
                        </w:rPr>
                        <w:t>context-based assessment of whether the use of force is necessary and proportionate</w:t>
                      </w:r>
                    </w:p>
                    <w:p w14:paraId="3905B630" w14:textId="2B2B2349" w:rsidR="00BC3115" w:rsidRPr="00EE03EE" w:rsidRDefault="00BC3115" w:rsidP="00B832E4">
                      <w:pPr>
                        <w:pStyle w:val="ListParagraph"/>
                        <w:numPr>
                          <w:ilvl w:val="0"/>
                          <w:numId w:val="26"/>
                        </w:numPr>
                        <w:spacing w:before="120"/>
                        <w:ind w:left="630" w:hanging="270"/>
                        <w:contextualSpacing w:val="0"/>
                        <w:jc w:val="both"/>
                        <w:rPr>
                          <w:rFonts w:asciiTheme="minorHAnsi" w:hAnsiTheme="minorHAnsi" w:cstheme="minorHAnsi"/>
                          <w:lang w:val="en-US"/>
                        </w:rPr>
                      </w:pPr>
                      <w:r w:rsidRPr="00BC3115">
                        <w:rPr>
                          <w:rFonts w:asciiTheme="minorHAnsi" w:hAnsiTheme="minorHAnsi" w:cstheme="minorHAnsi"/>
                          <w:b/>
                          <w:bCs/>
                          <w:color w:val="0070C0"/>
                          <w:lang w:val="en-US"/>
                        </w:rPr>
                        <w:t>Discussion, instruction, consultation and community engagement</w:t>
                      </w:r>
                      <w:r>
                        <w:rPr>
                          <w:rFonts w:eastAsia="Calibri"/>
                          <w:color w:val="000000"/>
                          <w:lang w:val="en-US"/>
                        </w:rPr>
                        <w:t xml:space="preserve"> – these should be the operating principles for the police</w:t>
                      </w:r>
                    </w:p>
                    <w:p w14:paraId="24E9B476" w14:textId="77777777" w:rsidR="00B832E4" w:rsidRDefault="00B832E4"/>
                  </w:txbxContent>
                </v:textbox>
                <w10:wrap type="tight"/>
              </v:shape>
            </w:pict>
          </mc:Fallback>
        </mc:AlternateContent>
      </w:r>
    </w:p>
    <w:p w14:paraId="50A8D095" w14:textId="675C83A3" w:rsidR="00EE03EE" w:rsidRDefault="00EE03EE" w:rsidP="00206D43">
      <w:pPr>
        <w:pStyle w:val="ListParagraph"/>
        <w:jc w:val="center"/>
        <w:rPr>
          <w:b/>
          <w:bCs/>
          <w:lang w:val="en-US"/>
        </w:rPr>
      </w:pPr>
    </w:p>
    <w:p w14:paraId="61720799" w14:textId="79697184" w:rsidR="00206D43" w:rsidRDefault="00206D43" w:rsidP="00206D43">
      <w:pPr>
        <w:jc w:val="both"/>
        <w:rPr>
          <w:lang w:val="en-US"/>
        </w:rPr>
      </w:pPr>
      <w:r>
        <w:rPr>
          <w:lang w:val="en-US"/>
        </w:rPr>
        <w:t>The numbers of allegations of police killings and their excessive use of force that I am receiving and have been reading are deeply concerning.  Graphic accounts of police cruelty</w:t>
      </w:r>
      <w:r w:rsidR="000A21A1">
        <w:rPr>
          <w:lang w:val="en-US"/>
        </w:rPr>
        <w:t xml:space="preserve"> and </w:t>
      </w:r>
      <w:r w:rsidR="00AB0278">
        <w:rPr>
          <w:lang w:val="en-US"/>
        </w:rPr>
        <w:t>violence</w:t>
      </w:r>
      <w:r>
        <w:rPr>
          <w:lang w:val="en-US"/>
        </w:rPr>
        <w:t>, often directed at the most vulnerable individuals and communities, are multiplying.  In real time, it is difficult to prove that Governments’ responses to #Coronavirus are leading to increased rates of unlawful killings</w:t>
      </w:r>
      <w:r w:rsidRPr="001C577B">
        <w:rPr>
          <w:lang w:val="en-US"/>
        </w:rPr>
        <w:t xml:space="preserve"> </w:t>
      </w:r>
      <w:r>
        <w:rPr>
          <w:lang w:val="en-US"/>
        </w:rPr>
        <w:t xml:space="preserve">and injury by police </w:t>
      </w:r>
      <w:r w:rsidR="00AB0278">
        <w:rPr>
          <w:lang w:val="en-US"/>
        </w:rPr>
        <w:t xml:space="preserve">or other law-enforcement personnel </w:t>
      </w:r>
      <w:r>
        <w:rPr>
          <w:lang w:val="en-US"/>
        </w:rPr>
        <w:t>but history warns us to be on high alert.  History tells us that more often than not states of emergency and curfews</w:t>
      </w:r>
      <w:r w:rsidR="00AB0278">
        <w:rPr>
          <w:lang w:val="en-US"/>
        </w:rPr>
        <w:t xml:space="preserve">, whatever their purported motivation, </w:t>
      </w:r>
      <w:r>
        <w:rPr>
          <w:lang w:val="en-US"/>
        </w:rPr>
        <w:t>lead to an increase in violence</w:t>
      </w:r>
      <w:r w:rsidRPr="001C577B">
        <w:rPr>
          <w:lang w:val="en-US"/>
        </w:rPr>
        <w:t xml:space="preserve"> </w:t>
      </w:r>
      <w:r>
        <w:rPr>
          <w:lang w:val="en-US"/>
        </w:rPr>
        <w:t xml:space="preserve">by </w:t>
      </w:r>
      <w:r w:rsidR="00AB0278">
        <w:rPr>
          <w:lang w:val="en-US"/>
        </w:rPr>
        <w:t>the state</w:t>
      </w:r>
      <w:r>
        <w:rPr>
          <w:lang w:val="en-US"/>
        </w:rPr>
        <w:t xml:space="preserve">. </w:t>
      </w:r>
    </w:p>
    <w:p w14:paraId="75655552" w14:textId="77777777" w:rsidR="00206D43" w:rsidRDefault="00206D43" w:rsidP="00206D43">
      <w:pPr>
        <w:jc w:val="both"/>
        <w:rPr>
          <w:lang w:val="en-US"/>
        </w:rPr>
      </w:pPr>
    </w:p>
    <w:p w14:paraId="6E9A54E4" w14:textId="755BBD72" w:rsidR="00206D43" w:rsidRDefault="00206D43" w:rsidP="00206D43">
      <w:pPr>
        <w:jc w:val="both"/>
        <w:rPr>
          <w:lang w:val="en-US"/>
        </w:rPr>
      </w:pPr>
      <w:r>
        <w:rPr>
          <w:lang w:val="en-US"/>
        </w:rPr>
        <w:t>There are several reasons for this: the imposition by legislators of ill-defined laws that grant, or at least appear to grant, “exceptional” excessive powers to the police; the existence of institutional cultures in policing which tolerate – even rel</w:t>
      </w:r>
      <w:r w:rsidR="00AB0278">
        <w:rPr>
          <w:lang w:val="en-US"/>
        </w:rPr>
        <w:t>y</w:t>
      </w:r>
      <w:r>
        <w:rPr>
          <w:lang w:val="en-US"/>
        </w:rPr>
        <w:t xml:space="preserve"> upon – the use of force; greater public tolerance for police violence under circumstances of real and/or perceived threats; a weakening of institutional arrangements for monitoring, reporting and oversight; press censorship and suppressions of scrutiny from civil society;  </w:t>
      </w:r>
      <w:r w:rsidR="00AB0278">
        <w:rPr>
          <w:lang w:val="en-US"/>
        </w:rPr>
        <w:t xml:space="preserve">as well as </w:t>
      </w:r>
      <w:r>
        <w:rPr>
          <w:lang w:val="en-US"/>
        </w:rPr>
        <w:t xml:space="preserve">dehumanization of certain groups in society;  etc. </w:t>
      </w:r>
    </w:p>
    <w:p w14:paraId="1A611145" w14:textId="77777777" w:rsidR="00206D43" w:rsidRDefault="00206D43" w:rsidP="00206D43">
      <w:pPr>
        <w:jc w:val="both"/>
        <w:rPr>
          <w:lang w:val="en-US"/>
        </w:rPr>
      </w:pPr>
    </w:p>
    <w:p w14:paraId="31B7A6A4" w14:textId="7863FBDC" w:rsidR="00206D43" w:rsidRPr="000A21A1" w:rsidRDefault="00AB0278" w:rsidP="00206D43">
      <w:pPr>
        <w:jc w:val="both"/>
        <w:rPr>
          <w:b/>
          <w:lang w:val="en-US"/>
        </w:rPr>
      </w:pPr>
      <w:r w:rsidRPr="000A21A1">
        <w:rPr>
          <w:b/>
          <w:lang w:val="en-US"/>
        </w:rPr>
        <w:t>E</w:t>
      </w:r>
      <w:r w:rsidR="00206D43" w:rsidRPr="000A21A1">
        <w:rPr>
          <w:b/>
          <w:lang w:val="en-US"/>
        </w:rPr>
        <w:t xml:space="preserve">xcessive use of force by police is always unlawful </w:t>
      </w:r>
      <w:r w:rsidRPr="000A21A1">
        <w:rPr>
          <w:b/>
          <w:lang w:val="en-US"/>
        </w:rPr>
        <w:t xml:space="preserve">under international law, </w:t>
      </w:r>
      <w:r w:rsidR="00206D43" w:rsidRPr="000A21A1">
        <w:rPr>
          <w:b/>
          <w:lang w:val="en-US"/>
        </w:rPr>
        <w:t xml:space="preserve">including </w:t>
      </w:r>
      <w:r w:rsidRPr="000A21A1">
        <w:rPr>
          <w:b/>
          <w:lang w:val="en-US"/>
        </w:rPr>
        <w:t xml:space="preserve">during </w:t>
      </w:r>
      <w:r w:rsidR="00206D43" w:rsidRPr="000A21A1">
        <w:rPr>
          <w:b/>
          <w:lang w:val="en-US"/>
        </w:rPr>
        <w:t>states of emergency.</w:t>
      </w:r>
    </w:p>
    <w:p w14:paraId="6D0D3DAC" w14:textId="77777777" w:rsidR="00206D43" w:rsidRPr="000A21A1" w:rsidRDefault="00206D43" w:rsidP="00206D43">
      <w:pPr>
        <w:jc w:val="both"/>
        <w:rPr>
          <w:b/>
          <w:lang w:val="en-US"/>
        </w:rPr>
      </w:pPr>
    </w:p>
    <w:p w14:paraId="6D80A623" w14:textId="679EB2AD" w:rsidR="00206D43" w:rsidRDefault="00206D43" w:rsidP="00206D43">
      <w:pPr>
        <w:jc w:val="both"/>
        <w:rPr>
          <w:lang w:val="en-US"/>
        </w:rPr>
      </w:pPr>
      <w:r>
        <w:rPr>
          <w:lang w:val="en-US"/>
        </w:rPr>
        <w:t xml:space="preserve">According to </w:t>
      </w:r>
      <w:r>
        <w:t>Article</w:t>
      </w:r>
      <w:r>
        <w:rPr>
          <w:lang w:val="en-US"/>
        </w:rPr>
        <w:t xml:space="preserve"> </w:t>
      </w:r>
      <w:r>
        <w:t>4 of the ICCPR</w:t>
      </w:r>
      <w:r>
        <w:rPr>
          <w:lang w:val="en-US"/>
        </w:rPr>
        <w:t xml:space="preserve">, </w:t>
      </w:r>
      <w:r>
        <w:t>States may derogat</w:t>
      </w:r>
      <w:r w:rsidR="00AB0278">
        <w:t>e</w:t>
      </w:r>
      <w:r>
        <w:t xml:space="preserve"> from their obligations under the Covenant</w:t>
      </w:r>
      <w:r w:rsidR="00AB0278">
        <w:t xml:space="preserve"> </w:t>
      </w:r>
      <w:r>
        <w:t>but only “in time of public emergency which threatens the life of the nation and the existence of which is officially proclaimed</w:t>
      </w:r>
      <w:r>
        <w:rPr>
          <w:lang w:val="en-US"/>
        </w:rPr>
        <w:t>.</w:t>
      </w:r>
      <w:r>
        <w:t>”</w:t>
      </w:r>
      <w:r>
        <w:rPr>
          <w:lang w:val="en-US"/>
        </w:rPr>
        <w:t xml:space="preserve">  </w:t>
      </w:r>
      <w:r w:rsidR="00AB0278">
        <w:rPr>
          <w:lang w:val="en-US"/>
        </w:rPr>
        <w:t>D</w:t>
      </w:r>
      <w:r>
        <w:rPr>
          <w:lang w:val="en-US"/>
        </w:rPr>
        <w:t>erogation</w:t>
      </w:r>
      <w:r w:rsidR="00AB0278">
        <w:rPr>
          <w:lang w:val="en-US"/>
        </w:rPr>
        <w:t>s</w:t>
      </w:r>
      <w:r>
        <w:rPr>
          <w:lang w:val="en-US"/>
        </w:rPr>
        <w:t xml:space="preserve"> must be set in law</w:t>
      </w:r>
      <w:r w:rsidR="00954190">
        <w:rPr>
          <w:lang w:val="en-US"/>
        </w:rPr>
        <w:t xml:space="preserve"> </w:t>
      </w:r>
      <w:r>
        <w:rPr>
          <w:lang w:val="en-US"/>
        </w:rPr>
        <w:t xml:space="preserve">and </w:t>
      </w:r>
      <w:r>
        <w:t>may be taken only “to the extent strictly required by the exigencies of the situation.”</w:t>
      </w:r>
      <w:r>
        <w:rPr>
          <w:lang w:val="en-US"/>
        </w:rPr>
        <w:t xml:space="preserve"> </w:t>
      </w:r>
    </w:p>
    <w:p w14:paraId="22905ECB" w14:textId="77777777" w:rsidR="00206D43" w:rsidRDefault="00206D43" w:rsidP="00206D43">
      <w:pPr>
        <w:jc w:val="both"/>
        <w:rPr>
          <w:lang w:val="en-US"/>
        </w:rPr>
      </w:pPr>
    </w:p>
    <w:p w14:paraId="5F456716" w14:textId="77777777" w:rsidR="00206D43" w:rsidRPr="000A21A1" w:rsidRDefault="00206D43" w:rsidP="00206D43">
      <w:pPr>
        <w:jc w:val="both"/>
        <w:rPr>
          <w:b/>
          <w:lang w:val="en-US"/>
        </w:rPr>
      </w:pPr>
      <w:r w:rsidRPr="000A21A1">
        <w:rPr>
          <w:b/>
          <w:lang w:val="en-US"/>
        </w:rPr>
        <w:lastRenderedPageBreak/>
        <w:t xml:space="preserve">Most importantly: THE RIGHT TO LIFE IS NON-DEROGABLE. </w:t>
      </w:r>
    </w:p>
    <w:p w14:paraId="3D91B931" w14:textId="77777777" w:rsidR="00206D43" w:rsidRDefault="00206D43" w:rsidP="00206D43">
      <w:pPr>
        <w:jc w:val="both"/>
        <w:rPr>
          <w:lang w:val="en-US"/>
        </w:rPr>
      </w:pPr>
    </w:p>
    <w:p w14:paraId="7B726E45" w14:textId="48B07C86" w:rsidR="00206D43" w:rsidRDefault="000A21A1" w:rsidP="00206D43">
      <w:pPr>
        <w:jc w:val="both"/>
      </w:pPr>
      <w:r>
        <w:rPr>
          <w:lang w:val="en-US"/>
        </w:rPr>
        <w:t>The prohibition against a</w:t>
      </w:r>
      <w:r w:rsidR="00206D43">
        <w:rPr>
          <w:lang w:val="en-US"/>
        </w:rPr>
        <w:t>rbitrary deprivation of life is non-</w:t>
      </w:r>
      <w:proofErr w:type="spellStart"/>
      <w:r w:rsidR="00206D43">
        <w:rPr>
          <w:lang w:val="en-US"/>
        </w:rPr>
        <w:t>derogable</w:t>
      </w:r>
      <w:proofErr w:type="spellEnd"/>
      <w:r w:rsidR="00206D43">
        <w:rPr>
          <w:lang w:val="en-US"/>
        </w:rPr>
        <w:t xml:space="preserve"> at all times, even in states of emergency</w:t>
      </w:r>
      <w:r>
        <w:rPr>
          <w:lang w:val="en-US"/>
        </w:rPr>
        <w:t>, meaning it cannot be taken away or compromised</w:t>
      </w:r>
      <w:r w:rsidR="00206D43">
        <w:rPr>
          <w:lang w:val="en-US"/>
        </w:rPr>
        <w:t xml:space="preserve">. </w:t>
      </w:r>
      <w:r>
        <w:rPr>
          <w:lang w:val="en-US"/>
        </w:rPr>
        <w:t xml:space="preserve">The implication is that </w:t>
      </w:r>
      <w:r w:rsidR="00206D43" w:rsidRPr="00680C9D">
        <w:t xml:space="preserve">the use of force </w:t>
      </w:r>
      <w:r w:rsidR="00206D43">
        <w:rPr>
          <w:lang w:val="en-US"/>
        </w:rPr>
        <w:t xml:space="preserve">including of </w:t>
      </w:r>
      <w:r w:rsidR="00206D43" w:rsidRPr="00680C9D">
        <w:t xml:space="preserve">firearms </w:t>
      </w:r>
      <w:r w:rsidR="00206D43">
        <w:rPr>
          <w:lang w:val="en-US"/>
        </w:rPr>
        <w:t>must be</w:t>
      </w:r>
      <w:r w:rsidR="00206D43" w:rsidRPr="00680C9D">
        <w:t xml:space="preserve"> governed by national legislation in compliance with international obligations. </w:t>
      </w:r>
    </w:p>
    <w:p w14:paraId="3BFC832A" w14:textId="77777777" w:rsidR="00206D43" w:rsidRDefault="00206D43" w:rsidP="00206D43">
      <w:pPr>
        <w:jc w:val="both"/>
        <w:rPr>
          <w:lang w:val="en-US"/>
        </w:rPr>
      </w:pPr>
    </w:p>
    <w:p w14:paraId="6FFD3A16" w14:textId="5A5388A1" w:rsidR="00206D43" w:rsidRDefault="00206D43" w:rsidP="00206D43">
      <w:pPr>
        <w:jc w:val="both"/>
        <w:rPr>
          <w:lang w:val="en-US"/>
        </w:rPr>
      </w:pPr>
      <w:r>
        <w:rPr>
          <w:lang w:val="en-US"/>
        </w:rPr>
        <w:t>A state of emergency</w:t>
      </w:r>
      <w:r w:rsidR="00954190">
        <w:rPr>
          <w:lang w:val="en-US"/>
        </w:rPr>
        <w:t xml:space="preserve">, </w:t>
      </w:r>
      <w:r>
        <w:rPr>
          <w:lang w:val="en-US"/>
        </w:rPr>
        <w:t>including the imposition of curfew</w:t>
      </w:r>
      <w:r w:rsidR="00954190">
        <w:rPr>
          <w:lang w:val="en-US"/>
        </w:rPr>
        <w:t xml:space="preserve">, </w:t>
      </w:r>
      <w:r>
        <w:rPr>
          <w:lang w:val="en-US"/>
        </w:rPr>
        <w:t xml:space="preserve">may legitimately grant law enforcement officers more powers but that option can NEVER include “the power” to take life arbitrarily. Under a state of emergency, when law enforcement agencies </w:t>
      </w:r>
      <w:r w:rsidR="00954190">
        <w:rPr>
          <w:lang w:val="en-US"/>
        </w:rPr>
        <w:t>are resorting to force</w:t>
      </w:r>
      <w:r w:rsidR="001009D6">
        <w:rPr>
          <w:lang w:val="en-US"/>
        </w:rPr>
        <w:t>,</w:t>
      </w:r>
      <w:r w:rsidR="00954190">
        <w:rPr>
          <w:lang w:val="en-US"/>
        </w:rPr>
        <w:t xml:space="preserve"> they</w:t>
      </w:r>
      <w:r w:rsidR="001009D6">
        <w:rPr>
          <w:lang w:val="en-US"/>
        </w:rPr>
        <w:t xml:space="preserve"> must continue abiding by </w:t>
      </w:r>
      <w:r>
        <w:t xml:space="preserve">the principles of </w:t>
      </w:r>
      <w:r w:rsidRPr="00CE33D7">
        <w:rPr>
          <w:i/>
          <w:iCs/>
        </w:rPr>
        <w:t>necessity</w:t>
      </w:r>
      <w:r>
        <w:t xml:space="preserve">, </w:t>
      </w:r>
      <w:r w:rsidRPr="00CE33D7">
        <w:rPr>
          <w:i/>
          <w:iCs/>
        </w:rPr>
        <w:t>proportionality</w:t>
      </w:r>
      <w:r>
        <w:t xml:space="preserve"> and </w:t>
      </w:r>
      <w:r w:rsidRPr="00CE33D7">
        <w:rPr>
          <w:i/>
          <w:iCs/>
        </w:rPr>
        <w:t>precaution</w:t>
      </w:r>
      <w:r>
        <w:rPr>
          <w:lang w:val="en-US"/>
        </w:rPr>
        <w:t>:</w:t>
      </w:r>
    </w:p>
    <w:p w14:paraId="63B19A8F" w14:textId="77777777" w:rsidR="00206D43" w:rsidRPr="00B34173" w:rsidRDefault="00206D43" w:rsidP="00206D43">
      <w:pPr>
        <w:jc w:val="both"/>
        <w:rPr>
          <w:lang w:val="en-US"/>
        </w:rPr>
      </w:pPr>
    </w:p>
    <w:p w14:paraId="60AA42EB" w14:textId="77777777" w:rsidR="00206D43" w:rsidRPr="00680C9D" w:rsidRDefault="00206D43" w:rsidP="003670B7">
      <w:pPr>
        <w:widowControl w:val="0"/>
        <w:ind w:left="720"/>
        <w:jc w:val="both"/>
        <w:rPr>
          <w:rFonts w:eastAsia="Calibri"/>
          <w:color w:val="000000"/>
        </w:rPr>
      </w:pPr>
      <w:r w:rsidRPr="00540465">
        <w:rPr>
          <w:b/>
          <w:bCs/>
          <w:i/>
          <w:iCs/>
          <w:lang w:val="en-US"/>
        </w:rPr>
        <w:t>Necessity</w:t>
      </w:r>
      <w:r>
        <w:rPr>
          <w:lang w:val="en-US"/>
        </w:rPr>
        <w:t xml:space="preserve">: </w:t>
      </w:r>
      <w:r w:rsidRPr="00680C9D">
        <w:rPr>
          <w:lang w:val="en-US"/>
        </w:rPr>
        <w:t>L</w:t>
      </w:r>
      <w:proofErr w:type="spellStart"/>
      <w:r w:rsidRPr="00680C9D">
        <w:t>aw</w:t>
      </w:r>
      <w:proofErr w:type="spellEnd"/>
      <w:r w:rsidRPr="00680C9D">
        <w:t xml:space="preserve"> enforcement officials may only use force when it is strictly necessary and only to the extent required for the performance of their duties. </w:t>
      </w:r>
      <w:r>
        <w:rPr>
          <w:lang w:val="en-US"/>
        </w:rPr>
        <w:t>A</w:t>
      </w:r>
      <w:proofErr w:type="spellStart"/>
      <w:r w:rsidRPr="00680C9D">
        <w:t>s</w:t>
      </w:r>
      <w:proofErr w:type="spellEnd"/>
      <w:r w:rsidRPr="00680C9D">
        <w:t xml:space="preserve"> far as possible</w:t>
      </w:r>
      <w:r>
        <w:rPr>
          <w:lang w:val="en-US"/>
        </w:rPr>
        <w:t>,</w:t>
      </w:r>
      <w:r w:rsidRPr="00680C9D">
        <w:t xml:space="preserve"> </w:t>
      </w:r>
      <w:r>
        <w:rPr>
          <w:lang w:val="en-US"/>
        </w:rPr>
        <w:t>t</w:t>
      </w:r>
      <w:r w:rsidRPr="00680C9D">
        <w:t xml:space="preserve">he use of force and </w:t>
      </w:r>
      <w:r>
        <w:rPr>
          <w:lang w:val="en-US"/>
        </w:rPr>
        <w:t xml:space="preserve">of </w:t>
      </w:r>
      <w:r w:rsidRPr="00680C9D">
        <w:t xml:space="preserve">firearms must be avoided, </w:t>
      </w:r>
      <w:r>
        <w:rPr>
          <w:lang w:val="en-US"/>
        </w:rPr>
        <w:t xml:space="preserve">with </w:t>
      </w:r>
      <w:r w:rsidRPr="00680C9D">
        <w:t xml:space="preserve">non-violent means </w:t>
      </w:r>
      <w:r>
        <w:rPr>
          <w:lang w:val="en-US"/>
        </w:rPr>
        <w:t xml:space="preserve">exhausted </w:t>
      </w:r>
      <w:r w:rsidRPr="00680C9D">
        <w:t xml:space="preserve">before resort to violent means. </w:t>
      </w:r>
      <w:r>
        <w:rPr>
          <w:rFonts w:eastAsia="Calibri"/>
          <w:color w:val="000000"/>
          <w:lang w:val="en-US"/>
        </w:rPr>
        <w:t>F</w:t>
      </w:r>
      <w:proofErr w:type="spellStart"/>
      <w:r w:rsidRPr="00680C9D">
        <w:rPr>
          <w:rFonts w:eastAsia="Calibri"/>
          <w:color w:val="000000"/>
        </w:rPr>
        <w:t>irearms</w:t>
      </w:r>
      <w:proofErr w:type="spellEnd"/>
      <w:r w:rsidRPr="00680C9D">
        <w:rPr>
          <w:rFonts w:eastAsia="Calibri"/>
          <w:color w:val="000000"/>
        </w:rPr>
        <w:t xml:space="preserve"> </w:t>
      </w:r>
      <w:r>
        <w:rPr>
          <w:rFonts w:eastAsia="Calibri"/>
          <w:color w:val="000000"/>
          <w:lang w:val="en-US"/>
        </w:rPr>
        <w:t xml:space="preserve">shall not be used </w:t>
      </w:r>
      <w:r w:rsidRPr="00680C9D">
        <w:rPr>
          <w:rFonts w:eastAsia="Calibri"/>
          <w:color w:val="000000"/>
        </w:rPr>
        <w:t xml:space="preserve">against persons except: </w:t>
      </w:r>
      <w:proofErr w:type="spellStart"/>
      <w:r w:rsidRPr="00680C9D">
        <w:rPr>
          <w:rFonts w:eastAsia="Calibri"/>
          <w:color w:val="000000"/>
        </w:rPr>
        <w:t>i</w:t>
      </w:r>
      <w:proofErr w:type="spellEnd"/>
      <w:r w:rsidRPr="00680C9D">
        <w:rPr>
          <w:rFonts w:eastAsia="Calibri"/>
          <w:color w:val="000000"/>
        </w:rPr>
        <w:t xml:space="preserve">) in self-defence, ii) in defence of others against the imminent threat of death or serious injury, iii) to prevent a particularly serious crime involving grave threat to life, iv) or to arrest a person presenting such a danger. </w:t>
      </w:r>
    </w:p>
    <w:p w14:paraId="59C83AFB" w14:textId="77777777" w:rsidR="00206D43" w:rsidRDefault="00206D43" w:rsidP="003670B7">
      <w:pPr>
        <w:ind w:left="720"/>
        <w:jc w:val="both"/>
        <w:rPr>
          <w:b/>
          <w:bCs/>
          <w:i/>
          <w:iCs/>
          <w:lang w:val="en-US"/>
        </w:rPr>
      </w:pPr>
    </w:p>
    <w:p w14:paraId="7ED624FB" w14:textId="2F8343AE" w:rsidR="00206D43" w:rsidRDefault="00206D43" w:rsidP="003670B7">
      <w:pPr>
        <w:ind w:left="720"/>
        <w:jc w:val="both"/>
        <w:rPr>
          <w:lang w:val="en-US"/>
        </w:rPr>
      </w:pPr>
      <w:r w:rsidRPr="00540465">
        <w:rPr>
          <w:b/>
          <w:bCs/>
          <w:i/>
          <w:iCs/>
          <w:lang w:val="en-US"/>
        </w:rPr>
        <w:t>Proportionality</w:t>
      </w:r>
      <w:r>
        <w:rPr>
          <w:lang w:val="en-US"/>
        </w:rPr>
        <w:t xml:space="preserve">: </w:t>
      </w:r>
      <w:r w:rsidRPr="00680C9D">
        <w:t xml:space="preserve">Force used must be proportionate to the legitimate objective to be achieved. Should lethal force be used, restraint must be exercised at all times and damage and/or injury mitigated, including </w:t>
      </w:r>
      <w:r>
        <w:rPr>
          <w:lang w:val="en-US"/>
        </w:rPr>
        <w:t xml:space="preserve">by </w:t>
      </w:r>
      <w:r w:rsidRPr="00680C9D">
        <w:t>giving a clear warning of the intent to use force</w:t>
      </w:r>
      <w:r>
        <w:rPr>
          <w:lang w:val="en-US"/>
        </w:rPr>
        <w:t>,</w:t>
      </w:r>
      <w:r w:rsidRPr="00680C9D">
        <w:t xml:space="preserve"> </w:t>
      </w:r>
      <w:r>
        <w:rPr>
          <w:lang w:val="en-US"/>
        </w:rPr>
        <w:t xml:space="preserve">by </w:t>
      </w:r>
      <w:proofErr w:type="spellStart"/>
      <w:r w:rsidRPr="00680C9D">
        <w:t>provid</w:t>
      </w:r>
      <w:r>
        <w:rPr>
          <w:lang w:val="en-US"/>
        </w:rPr>
        <w:t>ing</w:t>
      </w:r>
      <w:proofErr w:type="spellEnd"/>
      <w:r w:rsidRPr="00680C9D">
        <w:t xml:space="preserve"> sufficient time to heed that warning, and </w:t>
      </w:r>
      <w:r>
        <w:rPr>
          <w:lang w:val="en-US"/>
        </w:rPr>
        <w:t xml:space="preserve">by </w:t>
      </w:r>
      <w:r w:rsidRPr="00680C9D">
        <w:t>providing medical assistance as soon as possible when necessary</w:t>
      </w:r>
      <w:r>
        <w:rPr>
          <w:lang w:val="en-US"/>
        </w:rPr>
        <w:t xml:space="preserve">. </w:t>
      </w:r>
      <w:r w:rsidRPr="005A4C13">
        <w:rPr>
          <w:lang w:val="en-US"/>
        </w:rPr>
        <w:t>L</w:t>
      </w:r>
      <w:proofErr w:type="spellStart"/>
      <w:r w:rsidRPr="005A4C13">
        <w:rPr>
          <w:rFonts w:eastAsia="Calibri"/>
          <w:color w:val="000000"/>
        </w:rPr>
        <w:t>aw</w:t>
      </w:r>
      <w:proofErr w:type="spellEnd"/>
      <w:r w:rsidRPr="005A4C13">
        <w:rPr>
          <w:rFonts w:eastAsia="Calibri"/>
          <w:color w:val="000000"/>
        </w:rPr>
        <w:t xml:space="preserve"> enforcement officials </w:t>
      </w:r>
      <w:r>
        <w:rPr>
          <w:rFonts w:eastAsia="Calibri"/>
          <w:color w:val="000000"/>
          <w:lang w:val="en-US"/>
        </w:rPr>
        <w:t xml:space="preserve">are to be empowered </w:t>
      </w:r>
      <w:r w:rsidRPr="005A4C13">
        <w:rPr>
          <w:rFonts w:eastAsia="Calibri"/>
          <w:color w:val="000000"/>
        </w:rPr>
        <w:t xml:space="preserve">to put life at risk only for the purpose of saving or protecting </w:t>
      </w:r>
      <w:r>
        <w:rPr>
          <w:rFonts w:eastAsia="Calibri"/>
          <w:color w:val="000000"/>
          <w:lang w:val="en-US"/>
        </w:rPr>
        <w:t>other lives</w:t>
      </w:r>
      <w:r w:rsidRPr="005A4C13">
        <w:rPr>
          <w:rFonts w:eastAsia="Calibri"/>
          <w:color w:val="000000"/>
        </w:rPr>
        <w:t xml:space="preserve">. Just as with the principle of </w:t>
      </w:r>
      <w:r w:rsidRPr="00CE33D7">
        <w:rPr>
          <w:rFonts w:eastAsia="Calibri"/>
          <w:i/>
          <w:iCs/>
          <w:color w:val="000000"/>
        </w:rPr>
        <w:t>necessity</w:t>
      </w:r>
      <w:r w:rsidRPr="005A4C13">
        <w:rPr>
          <w:rFonts w:eastAsia="Calibri"/>
          <w:color w:val="000000"/>
        </w:rPr>
        <w:t xml:space="preserve">, the proportionality </w:t>
      </w:r>
      <w:r w:rsidRPr="00CE33D7">
        <w:rPr>
          <w:rFonts w:eastAsia="Calibri"/>
          <w:i/>
          <w:iCs/>
          <w:color w:val="000000"/>
        </w:rPr>
        <w:t>principle</w:t>
      </w:r>
      <w:r w:rsidRPr="005A4C13">
        <w:rPr>
          <w:rFonts w:eastAsia="Calibri"/>
          <w:color w:val="000000"/>
        </w:rPr>
        <w:t xml:space="preserve"> limits the use of lethal force by police officers to situations where the primary aim must be to save life</w:t>
      </w:r>
    </w:p>
    <w:p w14:paraId="15BA8750" w14:textId="77777777" w:rsidR="00206D43" w:rsidRDefault="00206D43" w:rsidP="003670B7">
      <w:pPr>
        <w:ind w:left="720"/>
        <w:jc w:val="both"/>
        <w:rPr>
          <w:rFonts w:eastAsia="Calibri"/>
          <w:b/>
          <w:bCs/>
          <w:i/>
          <w:iCs/>
          <w:color w:val="000000"/>
          <w:lang w:val="en-US"/>
        </w:rPr>
      </w:pPr>
    </w:p>
    <w:p w14:paraId="7855BBCC" w14:textId="718BA80A" w:rsidR="00206D43" w:rsidRDefault="00206D43" w:rsidP="003670B7">
      <w:pPr>
        <w:ind w:left="720"/>
        <w:jc w:val="both"/>
        <w:rPr>
          <w:rFonts w:eastAsia="Calibri"/>
          <w:color w:val="000000"/>
          <w:lang w:val="en-US"/>
        </w:rPr>
      </w:pPr>
      <w:r w:rsidRPr="00540465">
        <w:rPr>
          <w:rFonts w:eastAsia="Calibri"/>
          <w:b/>
          <w:bCs/>
          <w:i/>
          <w:iCs/>
          <w:color w:val="000000"/>
          <w:lang w:val="en-US"/>
        </w:rPr>
        <w:t>Precaution</w:t>
      </w:r>
      <w:r>
        <w:rPr>
          <w:rFonts w:eastAsia="Calibri"/>
          <w:color w:val="000000"/>
          <w:lang w:val="en-US"/>
        </w:rPr>
        <w:t>: R</w:t>
      </w:r>
      <w:proofErr w:type="spellStart"/>
      <w:r w:rsidRPr="005A4C13">
        <w:rPr>
          <w:rFonts w:eastAsia="Calibri"/>
          <w:color w:val="000000"/>
        </w:rPr>
        <w:t>easonable</w:t>
      </w:r>
      <w:proofErr w:type="spellEnd"/>
      <w:r w:rsidRPr="005A4C13">
        <w:rPr>
          <w:rFonts w:eastAsia="Calibri"/>
          <w:color w:val="000000"/>
        </w:rPr>
        <w:t xml:space="preserve"> precautions </w:t>
      </w:r>
      <w:r w:rsidRPr="005A4C13">
        <w:rPr>
          <w:rFonts w:eastAsia="Calibri"/>
          <w:color w:val="000000"/>
          <w:lang w:val="en-US"/>
        </w:rPr>
        <w:t xml:space="preserve">must be adopted </w:t>
      </w:r>
      <w:r w:rsidRPr="005A4C13">
        <w:rPr>
          <w:rFonts w:eastAsia="Calibri"/>
          <w:color w:val="000000"/>
        </w:rPr>
        <w:t xml:space="preserve">to prevent loss of life. This includes putting in place appropriate command and control structures; providing for the proper training of law enforcement officials in the use of force, including less lethal techniques; </w:t>
      </w:r>
      <w:r>
        <w:rPr>
          <w:rFonts w:eastAsia="Calibri"/>
          <w:color w:val="000000"/>
          <w:lang w:val="en-US"/>
        </w:rPr>
        <w:t xml:space="preserve">and, </w:t>
      </w:r>
      <w:r w:rsidRPr="005A4C13">
        <w:rPr>
          <w:rFonts w:eastAsia="Calibri"/>
          <w:color w:val="000000"/>
        </w:rPr>
        <w:t>where possible, requiring the issuing of a clear warning before using force; and ensuring medical assistance is available</w:t>
      </w:r>
      <w:r>
        <w:rPr>
          <w:rFonts w:eastAsia="Calibri"/>
          <w:color w:val="000000"/>
          <w:lang w:val="en-US"/>
        </w:rPr>
        <w:t xml:space="preserve">. </w:t>
      </w:r>
    </w:p>
    <w:p w14:paraId="1E4F4CAA" w14:textId="63E82C50" w:rsidR="00206D43" w:rsidRDefault="00206D43" w:rsidP="00206D43">
      <w:pPr>
        <w:autoSpaceDE w:val="0"/>
        <w:autoSpaceDN w:val="0"/>
        <w:adjustRightInd w:val="0"/>
        <w:jc w:val="both"/>
        <w:rPr>
          <w:rFonts w:eastAsia="Calibri"/>
          <w:color w:val="000000"/>
          <w:lang w:val="en-US"/>
        </w:rPr>
      </w:pPr>
    </w:p>
    <w:p w14:paraId="5CF8F5D1" w14:textId="1D4418C9" w:rsidR="000A21A1" w:rsidRDefault="000A21A1" w:rsidP="00206D43">
      <w:pPr>
        <w:autoSpaceDE w:val="0"/>
        <w:autoSpaceDN w:val="0"/>
        <w:adjustRightInd w:val="0"/>
        <w:jc w:val="both"/>
        <w:rPr>
          <w:rFonts w:eastAsia="Calibri"/>
          <w:color w:val="000000"/>
          <w:lang w:val="en-US"/>
        </w:rPr>
      </w:pPr>
      <w:r>
        <w:rPr>
          <w:rFonts w:cs="PlantinStd"/>
          <w:lang w:val="en-US"/>
        </w:rPr>
        <w:t>While COVID19 is new, the applicable human rights norms are not.  The principles of legality, necessity, proportionality, and precaution applied to the right to life, must be implemented.</w:t>
      </w:r>
    </w:p>
    <w:p w14:paraId="42A58B92" w14:textId="77777777" w:rsidR="000A21A1" w:rsidRDefault="000A21A1" w:rsidP="00206D43">
      <w:pPr>
        <w:autoSpaceDE w:val="0"/>
        <w:autoSpaceDN w:val="0"/>
        <w:adjustRightInd w:val="0"/>
        <w:jc w:val="both"/>
        <w:rPr>
          <w:rFonts w:eastAsia="Calibri"/>
          <w:color w:val="000000"/>
          <w:lang w:val="en-US"/>
        </w:rPr>
      </w:pPr>
    </w:p>
    <w:p w14:paraId="0C1282D0" w14:textId="5EB1CB40" w:rsidR="00206D43" w:rsidRDefault="00954190" w:rsidP="00206D43">
      <w:pPr>
        <w:autoSpaceDE w:val="0"/>
        <w:autoSpaceDN w:val="0"/>
        <w:adjustRightInd w:val="0"/>
        <w:jc w:val="both"/>
        <w:rPr>
          <w:rFonts w:cs="PlantinStd"/>
          <w:lang w:val="en-US"/>
        </w:rPr>
      </w:pPr>
      <w:r w:rsidRPr="001009D6">
        <w:rPr>
          <w:rFonts w:eastAsia="Calibri"/>
          <w:b/>
          <w:bCs/>
          <w:color w:val="000000"/>
          <w:lang w:val="en-US"/>
        </w:rPr>
        <w:t xml:space="preserve">In addition, </w:t>
      </w:r>
      <w:r w:rsidR="00206D43" w:rsidRPr="001009D6">
        <w:rPr>
          <w:rFonts w:eastAsia="Calibri"/>
          <w:b/>
          <w:bCs/>
          <w:color w:val="000000"/>
          <w:lang w:val="en-US"/>
        </w:rPr>
        <w:t xml:space="preserve">law enforcement officers </w:t>
      </w:r>
      <w:r w:rsidRPr="001009D6">
        <w:rPr>
          <w:rFonts w:eastAsia="Calibri"/>
          <w:b/>
          <w:bCs/>
          <w:color w:val="000000"/>
          <w:lang w:val="en-US"/>
        </w:rPr>
        <w:t>are</w:t>
      </w:r>
      <w:r w:rsidR="00206D43" w:rsidRPr="001009D6">
        <w:rPr>
          <w:rFonts w:eastAsia="Calibri"/>
          <w:b/>
          <w:bCs/>
          <w:color w:val="000000"/>
          <w:lang w:val="en-US"/>
        </w:rPr>
        <w:t xml:space="preserve"> required to </w:t>
      </w:r>
      <w:r w:rsidRPr="001009D6">
        <w:rPr>
          <w:rFonts w:eastAsia="Calibri"/>
          <w:b/>
          <w:bCs/>
          <w:color w:val="000000"/>
          <w:lang w:val="en-US"/>
        </w:rPr>
        <w:t xml:space="preserve">abide by </w:t>
      </w:r>
      <w:r w:rsidR="00206D43" w:rsidRPr="001009D6">
        <w:rPr>
          <w:rFonts w:eastAsia="Calibri"/>
          <w:b/>
          <w:bCs/>
          <w:color w:val="000000"/>
          <w:lang w:val="en-US"/>
        </w:rPr>
        <w:t>the principle of</w:t>
      </w:r>
      <w:r w:rsidR="00206D43" w:rsidRPr="008B5A67">
        <w:rPr>
          <w:rFonts w:eastAsia="Calibri"/>
          <w:color w:val="000000"/>
          <w:lang w:val="en-US"/>
        </w:rPr>
        <w:t xml:space="preserve"> </w:t>
      </w:r>
      <w:r w:rsidR="00206D43" w:rsidRPr="000A21A1">
        <w:rPr>
          <w:rFonts w:eastAsia="Calibri"/>
          <w:b/>
          <w:bCs/>
          <w:color w:val="000000"/>
          <w:lang w:val="en-US"/>
        </w:rPr>
        <w:t>non-discrimination</w:t>
      </w:r>
      <w:r w:rsidR="00206D43" w:rsidRPr="008B5A67">
        <w:rPr>
          <w:rFonts w:eastAsia="Calibri"/>
          <w:color w:val="000000"/>
          <w:lang w:val="en-US"/>
        </w:rPr>
        <w:t xml:space="preserve">: </w:t>
      </w:r>
      <w:r w:rsidR="00206D43" w:rsidRPr="008B5A67">
        <w:rPr>
          <w:rFonts w:cs="PlantinStd"/>
        </w:rPr>
        <w:t xml:space="preserve">they have the duty to respect and protect the human rights of every person, </w:t>
      </w:r>
      <w:r>
        <w:rPr>
          <w:rFonts w:cs="PlantinStd"/>
        </w:rPr>
        <w:t>irrespective</w:t>
      </w:r>
      <w:r w:rsidR="00206D43" w:rsidRPr="008B5A67">
        <w:rPr>
          <w:rFonts w:cs="PlantinStd"/>
        </w:rPr>
        <w:t xml:space="preserve"> of their race, colour, sex, language, religion, political or other</w:t>
      </w:r>
      <w:r w:rsidR="00206D43" w:rsidRPr="008B5A67">
        <w:rPr>
          <w:rFonts w:cs="PlantinStd"/>
          <w:lang w:val="en-US"/>
        </w:rPr>
        <w:t xml:space="preserve"> </w:t>
      </w:r>
      <w:r w:rsidR="00206D43" w:rsidRPr="008B5A67">
        <w:rPr>
          <w:rFonts w:cs="PlantinStd"/>
        </w:rPr>
        <w:t>opinion, national or social origin, property, birth or other status</w:t>
      </w:r>
      <w:r w:rsidR="00206D43">
        <w:rPr>
          <w:rFonts w:cs="PlantinStd"/>
          <w:lang w:val="en-US"/>
        </w:rPr>
        <w:t xml:space="preserve">. </w:t>
      </w:r>
    </w:p>
    <w:p w14:paraId="3D312939" w14:textId="77777777" w:rsidR="00206D43" w:rsidRDefault="00206D43" w:rsidP="00206D43">
      <w:pPr>
        <w:autoSpaceDE w:val="0"/>
        <w:autoSpaceDN w:val="0"/>
        <w:adjustRightInd w:val="0"/>
        <w:jc w:val="both"/>
        <w:rPr>
          <w:rFonts w:cs="PlantinStd"/>
          <w:lang w:val="en-US"/>
        </w:rPr>
      </w:pPr>
    </w:p>
    <w:p w14:paraId="22074A5F" w14:textId="5840F65B" w:rsidR="00206D43" w:rsidRDefault="00206D43" w:rsidP="003670B7">
      <w:pPr>
        <w:autoSpaceDE w:val="0"/>
        <w:autoSpaceDN w:val="0"/>
        <w:adjustRightInd w:val="0"/>
        <w:ind w:left="720"/>
        <w:jc w:val="both"/>
        <w:rPr>
          <w:rFonts w:cs="PlantinStd"/>
          <w:lang w:val="en-US"/>
        </w:rPr>
      </w:pPr>
      <w:r>
        <w:rPr>
          <w:rFonts w:cs="PlantinStd"/>
          <w:lang w:val="en-US"/>
        </w:rPr>
        <w:t xml:space="preserve">Yet, as reports from around the world reveal, states of emergency </w:t>
      </w:r>
      <w:r w:rsidRPr="001009D6">
        <w:rPr>
          <w:rFonts w:cs="PlantinStd"/>
          <w:bCs/>
          <w:lang w:val="en-US"/>
        </w:rPr>
        <w:t>are increasing</w:t>
      </w:r>
      <w:r>
        <w:rPr>
          <w:rFonts w:cs="PlantinStd"/>
          <w:lang w:val="en-US"/>
        </w:rPr>
        <w:t xml:space="preserve"> the vulnerability </w:t>
      </w:r>
      <w:r w:rsidR="00011217">
        <w:rPr>
          <w:rFonts w:cs="PlantinStd"/>
          <w:lang w:val="en-US"/>
        </w:rPr>
        <w:t xml:space="preserve">to police violence </w:t>
      </w:r>
      <w:r>
        <w:rPr>
          <w:rFonts w:cs="PlantinStd"/>
          <w:lang w:val="en-US"/>
        </w:rPr>
        <w:t xml:space="preserve">of particular groups and individuals, including </w:t>
      </w:r>
      <w:r w:rsidR="000E2FAD">
        <w:rPr>
          <w:rFonts w:cs="PlantinStd"/>
          <w:lang w:val="en-US"/>
        </w:rPr>
        <w:t xml:space="preserve">poor people forced to go out to make a living,; </w:t>
      </w:r>
      <w:r w:rsidR="00011217">
        <w:rPr>
          <w:rFonts w:cs="PlantinStd"/>
          <w:lang w:val="en-US"/>
        </w:rPr>
        <w:t xml:space="preserve">homeless men, women and children; women and children in situations of domestic violence; </w:t>
      </w:r>
      <w:r>
        <w:rPr>
          <w:rFonts w:cs="PlantinStd"/>
          <w:lang w:val="en-US"/>
        </w:rPr>
        <w:t xml:space="preserve">migrants and refugees; slum dwellers and all those who live a “hand to mouth” existence for whom daily economic activity is essential for daily survival.   </w:t>
      </w:r>
    </w:p>
    <w:p w14:paraId="0CBCF01D" w14:textId="77777777" w:rsidR="00206D43" w:rsidRDefault="00206D43" w:rsidP="003670B7">
      <w:pPr>
        <w:autoSpaceDE w:val="0"/>
        <w:autoSpaceDN w:val="0"/>
        <w:adjustRightInd w:val="0"/>
        <w:ind w:left="720"/>
        <w:jc w:val="both"/>
        <w:rPr>
          <w:rFonts w:cs="PlantinStd"/>
          <w:lang w:val="en-US"/>
        </w:rPr>
      </w:pPr>
    </w:p>
    <w:p w14:paraId="47543498" w14:textId="2B20B3FB" w:rsidR="00206D43" w:rsidRDefault="00206D43" w:rsidP="003670B7">
      <w:pPr>
        <w:autoSpaceDE w:val="0"/>
        <w:autoSpaceDN w:val="0"/>
        <w:adjustRightInd w:val="0"/>
        <w:ind w:left="720"/>
        <w:jc w:val="both"/>
        <w:rPr>
          <w:rFonts w:cs="PlantinStd"/>
          <w:lang w:val="en-US"/>
        </w:rPr>
      </w:pPr>
      <w:r>
        <w:rPr>
          <w:rFonts w:cs="PlantinStd"/>
          <w:lang w:val="en-US"/>
        </w:rPr>
        <w:t xml:space="preserve">As those people seek to make their and their family’s existence viable under </w:t>
      </w:r>
      <w:r w:rsidR="00011217">
        <w:rPr>
          <w:rFonts w:cs="PlantinStd"/>
          <w:lang w:val="en-US"/>
        </w:rPr>
        <w:t xml:space="preserve">the </w:t>
      </w:r>
      <w:r>
        <w:rPr>
          <w:rFonts w:cs="PlantinStd"/>
          <w:lang w:val="en-US"/>
        </w:rPr>
        <w:t xml:space="preserve">shadow of contagion’s heavy threat, inevitably it is they who are also more likely to find themselves in breach of state of emergency regulations, particularly </w:t>
      </w:r>
      <w:r w:rsidR="003204DC">
        <w:rPr>
          <w:rFonts w:cs="PlantinStd"/>
          <w:lang w:val="en-US"/>
        </w:rPr>
        <w:t xml:space="preserve">as they </w:t>
      </w:r>
      <w:r>
        <w:rPr>
          <w:rFonts w:cs="PlantinStd"/>
          <w:lang w:val="en-US"/>
        </w:rPr>
        <w:t xml:space="preserve">pertain to freedom of movement.  </w:t>
      </w:r>
      <w:r w:rsidRPr="001009D6">
        <w:rPr>
          <w:rFonts w:cs="PlantinStd"/>
          <w:b/>
          <w:bCs/>
          <w:lang w:val="en-US"/>
        </w:rPr>
        <w:t xml:space="preserve">You can’t stay home if you don’t have one.  </w:t>
      </w:r>
      <w:r w:rsidR="00011217" w:rsidRPr="001009D6">
        <w:rPr>
          <w:rFonts w:cs="PlantinStd"/>
          <w:b/>
          <w:bCs/>
          <w:lang w:val="en-US"/>
        </w:rPr>
        <w:t xml:space="preserve">You can’t </w:t>
      </w:r>
      <w:r w:rsidR="001009D6">
        <w:rPr>
          <w:rFonts w:cs="PlantinStd"/>
          <w:b/>
          <w:bCs/>
          <w:lang w:val="en-US"/>
        </w:rPr>
        <w:t xml:space="preserve">be under lockdown </w:t>
      </w:r>
      <w:r w:rsidR="00011217" w:rsidRPr="001009D6">
        <w:rPr>
          <w:rFonts w:cs="PlantinStd"/>
          <w:b/>
          <w:bCs/>
          <w:lang w:val="en-US"/>
        </w:rPr>
        <w:t xml:space="preserve">if </w:t>
      </w:r>
      <w:r w:rsidR="003204DC">
        <w:rPr>
          <w:rFonts w:cs="PlantinStd"/>
          <w:b/>
          <w:bCs/>
          <w:lang w:val="en-US"/>
        </w:rPr>
        <w:t xml:space="preserve">don’t have what </w:t>
      </w:r>
      <w:r w:rsidR="00011217" w:rsidRPr="001009D6">
        <w:rPr>
          <w:rFonts w:cs="PlantinStd"/>
          <w:b/>
          <w:bCs/>
          <w:lang w:val="en-US"/>
        </w:rPr>
        <w:t xml:space="preserve">you need to feed your family. </w:t>
      </w:r>
      <w:r w:rsidRPr="001009D6">
        <w:rPr>
          <w:rFonts w:cs="PlantinStd"/>
          <w:b/>
          <w:bCs/>
          <w:lang w:val="en-US"/>
        </w:rPr>
        <w:t>How do you “socially distance” in an urban slum?</w:t>
      </w:r>
    </w:p>
    <w:p w14:paraId="04727D92" w14:textId="77777777" w:rsidR="00206D43" w:rsidRDefault="00206D43" w:rsidP="003670B7">
      <w:pPr>
        <w:autoSpaceDE w:val="0"/>
        <w:autoSpaceDN w:val="0"/>
        <w:adjustRightInd w:val="0"/>
        <w:ind w:left="720"/>
        <w:jc w:val="both"/>
        <w:rPr>
          <w:rFonts w:cs="PlantinStd"/>
          <w:lang w:val="en-US"/>
        </w:rPr>
      </w:pPr>
    </w:p>
    <w:p w14:paraId="09028F11" w14:textId="20A562C0" w:rsidR="008B0AC2" w:rsidRDefault="003204DC" w:rsidP="003670B7">
      <w:pPr>
        <w:autoSpaceDE w:val="0"/>
        <w:autoSpaceDN w:val="0"/>
        <w:adjustRightInd w:val="0"/>
        <w:ind w:left="720"/>
        <w:jc w:val="both"/>
        <w:rPr>
          <w:rFonts w:cs="PlantinStd"/>
          <w:lang w:val="en-US"/>
        </w:rPr>
      </w:pPr>
      <w:r>
        <w:rPr>
          <w:rFonts w:cs="PlantinStd"/>
          <w:b/>
          <w:bCs/>
          <w:lang w:val="en-US"/>
        </w:rPr>
        <w:t xml:space="preserve">Addressing </w:t>
      </w:r>
      <w:r w:rsidR="008B0AC2">
        <w:rPr>
          <w:rFonts w:cs="PlantinStd"/>
          <w:b/>
          <w:bCs/>
          <w:lang w:val="en-US"/>
        </w:rPr>
        <w:t xml:space="preserve">increased </w:t>
      </w:r>
      <w:r w:rsidR="00206D43" w:rsidRPr="008B0AC2">
        <w:rPr>
          <w:rFonts w:cs="PlantinStd"/>
          <w:b/>
          <w:bCs/>
          <w:lang w:val="en-US"/>
        </w:rPr>
        <w:t>vulnerab</w:t>
      </w:r>
      <w:r w:rsidR="008B0AC2">
        <w:rPr>
          <w:rFonts w:cs="PlantinStd"/>
          <w:b/>
          <w:bCs/>
          <w:lang w:val="en-US"/>
        </w:rPr>
        <w:t xml:space="preserve">ility and </w:t>
      </w:r>
      <w:r>
        <w:rPr>
          <w:rFonts w:cs="PlantinStd"/>
          <w:b/>
          <w:bCs/>
          <w:lang w:val="en-US"/>
        </w:rPr>
        <w:t xml:space="preserve">the </w:t>
      </w:r>
      <w:r w:rsidR="001009D6">
        <w:rPr>
          <w:rFonts w:cs="PlantinStd"/>
          <w:b/>
          <w:bCs/>
          <w:lang w:val="en-US"/>
        </w:rPr>
        <w:t xml:space="preserve">consecutive </w:t>
      </w:r>
      <w:r w:rsidR="008B0AC2">
        <w:rPr>
          <w:rFonts w:cs="PlantinStd"/>
          <w:b/>
          <w:bCs/>
          <w:lang w:val="en-US"/>
        </w:rPr>
        <w:t xml:space="preserve">risks to life and dignity must be integrated in the design and implementation of emergency regulations. </w:t>
      </w:r>
    </w:p>
    <w:p w14:paraId="5C03724D" w14:textId="77777777" w:rsidR="008B0AC2" w:rsidRDefault="008B0AC2" w:rsidP="003670B7">
      <w:pPr>
        <w:autoSpaceDE w:val="0"/>
        <w:autoSpaceDN w:val="0"/>
        <w:adjustRightInd w:val="0"/>
        <w:ind w:left="720"/>
        <w:jc w:val="both"/>
        <w:rPr>
          <w:rFonts w:cs="PlantinStd"/>
          <w:lang w:val="en-US"/>
        </w:rPr>
      </w:pPr>
    </w:p>
    <w:p w14:paraId="2871803D" w14:textId="7E2A5D61" w:rsidR="003204DC" w:rsidRDefault="008B0AC2" w:rsidP="003670B7">
      <w:pPr>
        <w:autoSpaceDE w:val="0"/>
        <w:autoSpaceDN w:val="0"/>
        <w:adjustRightInd w:val="0"/>
        <w:ind w:left="720"/>
        <w:jc w:val="both"/>
        <w:rPr>
          <w:rFonts w:cs="PlantinStd"/>
          <w:lang w:val="en-US"/>
        </w:rPr>
      </w:pPr>
      <w:r>
        <w:rPr>
          <w:rFonts w:cs="PlantinStd"/>
          <w:lang w:val="en-US"/>
        </w:rPr>
        <w:t xml:space="preserve">Government are required to </w:t>
      </w:r>
      <w:r w:rsidR="00206D43">
        <w:rPr>
          <w:rFonts w:cs="PlantinStd"/>
          <w:lang w:val="en-US"/>
        </w:rPr>
        <w:t>de</w:t>
      </w:r>
      <w:r>
        <w:rPr>
          <w:rFonts w:cs="PlantinStd"/>
          <w:lang w:val="en-US"/>
        </w:rPr>
        <w:t>vise</w:t>
      </w:r>
      <w:r w:rsidR="00206D43">
        <w:rPr>
          <w:rFonts w:cs="PlantinStd"/>
          <w:lang w:val="en-US"/>
        </w:rPr>
        <w:t xml:space="preserve"> specific </w:t>
      </w:r>
      <w:r w:rsidR="0084754F">
        <w:rPr>
          <w:rFonts w:cs="PlantinStd"/>
          <w:lang w:val="en-US"/>
        </w:rPr>
        <w:t>measures to mitigate the impact of the state of emergency on vulnerable groups</w:t>
      </w:r>
      <w:r>
        <w:rPr>
          <w:rFonts w:cs="PlantinStd"/>
          <w:lang w:val="en-US"/>
        </w:rPr>
        <w:t xml:space="preserve"> and </w:t>
      </w:r>
      <w:r w:rsidR="003204DC">
        <w:rPr>
          <w:rFonts w:cs="PlantinStd"/>
          <w:lang w:val="en-US"/>
        </w:rPr>
        <w:t xml:space="preserve">take steps to </w:t>
      </w:r>
      <w:r>
        <w:rPr>
          <w:rFonts w:cs="PlantinStd"/>
          <w:lang w:val="en-US"/>
        </w:rPr>
        <w:t>protect them against disproportionate effects</w:t>
      </w:r>
      <w:r w:rsidR="001009D6">
        <w:rPr>
          <w:rFonts w:cs="PlantinStd"/>
          <w:lang w:val="en-US"/>
        </w:rPr>
        <w:t>, including on their right to life</w:t>
      </w:r>
      <w:r w:rsidR="0084754F">
        <w:rPr>
          <w:rFonts w:cs="PlantinStd"/>
          <w:lang w:val="en-US"/>
        </w:rPr>
        <w:t>.</w:t>
      </w:r>
      <w:r w:rsidR="00206D43">
        <w:rPr>
          <w:rFonts w:cs="PlantinStd"/>
          <w:lang w:val="en-US"/>
        </w:rPr>
        <w:t xml:space="preserve"> </w:t>
      </w:r>
      <w:r w:rsidR="003204DC">
        <w:rPr>
          <w:rFonts w:cs="PlantinStd"/>
          <w:lang w:val="en-US"/>
        </w:rPr>
        <w:t xml:space="preserve"> </w:t>
      </w:r>
    </w:p>
    <w:p w14:paraId="404D8F57" w14:textId="7A80C8E1" w:rsidR="003204DC" w:rsidRDefault="003204DC" w:rsidP="003670B7">
      <w:pPr>
        <w:autoSpaceDE w:val="0"/>
        <w:autoSpaceDN w:val="0"/>
        <w:adjustRightInd w:val="0"/>
        <w:ind w:left="720"/>
        <w:jc w:val="both"/>
        <w:rPr>
          <w:rFonts w:cs="PlantinStd"/>
          <w:lang w:val="en-US"/>
        </w:rPr>
      </w:pPr>
    </w:p>
    <w:p w14:paraId="79EB389D" w14:textId="5BCAE69D" w:rsidR="00206D43" w:rsidRDefault="0084754F" w:rsidP="003670B7">
      <w:pPr>
        <w:autoSpaceDE w:val="0"/>
        <w:autoSpaceDN w:val="0"/>
        <w:adjustRightInd w:val="0"/>
        <w:ind w:left="720"/>
        <w:jc w:val="both"/>
        <w:rPr>
          <w:rFonts w:cs="PlantinStd"/>
          <w:lang w:val="en-US"/>
        </w:rPr>
      </w:pPr>
      <w:r>
        <w:rPr>
          <w:rFonts w:cs="PlantinStd"/>
          <w:lang w:val="en-US"/>
        </w:rPr>
        <w:t xml:space="preserve">Such mitigation must be reflected as well at </w:t>
      </w:r>
      <w:r w:rsidR="003204DC">
        <w:rPr>
          <w:rFonts w:cs="PlantinStd"/>
          <w:lang w:val="en-US"/>
        </w:rPr>
        <w:t xml:space="preserve">the level of </w:t>
      </w:r>
      <w:r>
        <w:rPr>
          <w:rFonts w:cs="PlantinStd"/>
          <w:lang w:val="en-US"/>
        </w:rPr>
        <w:t xml:space="preserve">policing.  Law enforcement institutions and individual officers are required to </w:t>
      </w:r>
      <w:r w:rsidR="008B0AC2">
        <w:rPr>
          <w:rFonts w:cs="PlantinStd"/>
          <w:lang w:val="en-US"/>
        </w:rPr>
        <w:t xml:space="preserve">integrate </w:t>
      </w:r>
      <w:r w:rsidR="003204DC">
        <w:rPr>
          <w:rFonts w:cs="PlantinStd"/>
          <w:lang w:val="en-US"/>
        </w:rPr>
        <w:t xml:space="preserve">understanding of </w:t>
      </w:r>
      <w:r>
        <w:rPr>
          <w:rFonts w:cs="PlantinStd"/>
          <w:lang w:val="en-US"/>
        </w:rPr>
        <w:t xml:space="preserve">the vulnerability of specific groups when enforcing state of emergency regulations. </w:t>
      </w:r>
      <w:bookmarkStart w:id="1" w:name="_Hlk36720276"/>
      <w:r w:rsidRPr="003670B7">
        <w:rPr>
          <w:rFonts w:cs="PlantinStd"/>
          <w:lang w:val="en-US"/>
        </w:rPr>
        <w:t xml:space="preserve">This calls for </w:t>
      </w:r>
      <w:r w:rsidR="00206D43" w:rsidRPr="003670B7">
        <w:rPr>
          <w:rFonts w:cs="PlantinStd"/>
          <w:lang w:val="en-US"/>
        </w:rPr>
        <w:t>appropriate</w:t>
      </w:r>
      <w:r w:rsidR="003204DC" w:rsidRPr="003670B7">
        <w:rPr>
          <w:rFonts w:cs="PlantinStd"/>
          <w:lang w:val="en-US"/>
        </w:rPr>
        <w:t xml:space="preserve"> </w:t>
      </w:r>
      <w:r w:rsidRPr="003670B7">
        <w:rPr>
          <w:rFonts w:cs="PlantinStd"/>
          <w:lang w:val="en-US"/>
        </w:rPr>
        <w:t xml:space="preserve">and heightened </w:t>
      </w:r>
      <w:r w:rsidR="00206D43" w:rsidRPr="003670B7">
        <w:rPr>
          <w:rFonts w:cs="PlantinStd"/>
          <w:lang w:val="en-US"/>
        </w:rPr>
        <w:lastRenderedPageBreak/>
        <w:t>precautionary measures</w:t>
      </w:r>
      <w:r w:rsidR="008B0AC2" w:rsidRPr="003670B7">
        <w:rPr>
          <w:rFonts w:cs="PlantinStd"/>
          <w:lang w:val="en-US"/>
        </w:rPr>
        <w:t xml:space="preserve">, and context-based </w:t>
      </w:r>
      <w:r w:rsidRPr="003670B7">
        <w:rPr>
          <w:rFonts w:cs="PlantinStd"/>
          <w:lang w:val="en-US"/>
        </w:rPr>
        <w:t xml:space="preserve">assessment of </w:t>
      </w:r>
      <w:r w:rsidR="008B0AC2" w:rsidRPr="003670B7">
        <w:rPr>
          <w:rFonts w:cs="PlantinStd"/>
          <w:lang w:val="en-US"/>
        </w:rPr>
        <w:t>whether the use of force is necessary and proportionate</w:t>
      </w:r>
      <w:bookmarkEnd w:id="1"/>
      <w:r w:rsidR="008B0AC2" w:rsidRPr="003670B7">
        <w:rPr>
          <w:rFonts w:cs="PlantinStd"/>
          <w:lang w:val="en-US"/>
        </w:rPr>
        <w:t>.</w:t>
      </w:r>
      <w:r w:rsidR="008B0AC2">
        <w:rPr>
          <w:rFonts w:cs="PlantinStd"/>
          <w:lang w:val="en-US"/>
        </w:rPr>
        <w:t xml:space="preserve"> </w:t>
      </w:r>
    </w:p>
    <w:p w14:paraId="4FE7D80B" w14:textId="77777777" w:rsidR="00206D43" w:rsidRDefault="00206D43" w:rsidP="00206D43">
      <w:pPr>
        <w:autoSpaceDE w:val="0"/>
        <w:autoSpaceDN w:val="0"/>
        <w:adjustRightInd w:val="0"/>
        <w:jc w:val="both"/>
        <w:rPr>
          <w:rFonts w:cs="PlantinStd"/>
          <w:lang w:val="en-US"/>
        </w:rPr>
      </w:pPr>
    </w:p>
    <w:p w14:paraId="27D10723" w14:textId="2DA7D057" w:rsidR="00206D43" w:rsidRDefault="00206D43" w:rsidP="00206D43">
      <w:pPr>
        <w:widowControl w:val="0"/>
        <w:jc w:val="both"/>
        <w:rPr>
          <w:rFonts w:eastAsia="Calibri"/>
          <w:color w:val="000000"/>
          <w:lang w:val="en-US"/>
        </w:rPr>
      </w:pPr>
      <w:r>
        <w:rPr>
          <w:rFonts w:eastAsia="Calibri"/>
          <w:color w:val="000000"/>
          <w:lang w:val="en-US"/>
        </w:rPr>
        <w:t>Impositions of derogations of freedom of movement, including curfews, are permitted under international law in specific circumstances and may be a necessity in th</w:t>
      </w:r>
      <w:r w:rsidR="000E2FAD">
        <w:rPr>
          <w:rFonts w:eastAsia="Calibri"/>
          <w:color w:val="000000"/>
          <w:lang w:val="en-US"/>
        </w:rPr>
        <w:t>e context of the</w:t>
      </w:r>
      <w:r>
        <w:rPr>
          <w:rFonts w:eastAsia="Calibri"/>
          <w:color w:val="000000"/>
          <w:lang w:val="en-US"/>
        </w:rPr>
        <w:t xml:space="preserve"> COVID19 </w:t>
      </w:r>
      <w:r w:rsidR="000E2FAD">
        <w:rPr>
          <w:rFonts w:eastAsia="Calibri"/>
          <w:color w:val="000000"/>
          <w:lang w:val="en-US"/>
        </w:rPr>
        <w:t>epidemic</w:t>
      </w:r>
      <w:r>
        <w:rPr>
          <w:rFonts w:eastAsia="Calibri"/>
          <w:color w:val="000000"/>
          <w:lang w:val="en-US"/>
        </w:rPr>
        <w:t>.</w:t>
      </w:r>
      <w:r w:rsidR="000E2FAD">
        <w:rPr>
          <w:rFonts w:eastAsia="Calibri"/>
          <w:color w:val="000000"/>
          <w:lang w:val="en-US"/>
        </w:rPr>
        <w:t xml:space="preserve"> </w:t>
      </w:r>
      <w:r w:rsidR="008B0AC2">
        <w:rPr>
          <w:rFonts w:eastAsia="Calibri"/>
          <w:color w:val="000000"/>
          <w:lang w:val="en-US"/>
        </w:rPr>
        <w:t>But t</w:t>
      </w:r>
      <w:r>
        <w:rPr>
          <w:rFonts w:eastAsia="Calibri"/>
          <w:color w:val="000000"/>
          <w:lang w:val="en-US"/>
        </w:rPr>
        <w:t>he</w:t>
      </w:r>
      <w:r>
        <w:rPr>
          <w:rFonts w:cs="PlantinStd"/>
          <w:lang w:val="en-US"/>
        </w:rPr>
        <w:t xml:space="preserve"> breaking of a curfew</w:t>
      </w:r>
      <w:r w:rsidR="003204DC">
        <w:rPr>
          <w:rFonts w:cs="PlantinStd"/>
          <w:lang w:val="en-US"/>
        </w:rPr>
        <w:t>,</w:t>
      </w:r>
      <w:r>
        <w:rPr>
          <w:rFonts w:cs="PlantinStd"/>
          <w:lang w:val="en-US"/>
        </w:rPr>
        <w:t xml:space="preserve"> or of any </w:t>
      </w:r>
      <w:r w:rsidR="000E2FAD">
        <w:rPr>
          <w:rFonts w:cs="PlantinStd"/>
          <w:lang w:val="en-US"/>
        </w:rPr>
        <w:t xml:space="preserve">restriction </w:t>
      </w:r>
      <w:r>
        <w:rPr>
          <w:rFonts w:eastAsia="Calibri"/>
          <w:color w:val="000000"/>
          <w:lang w:val="en-US"/>
        </w:rPr>
        <w:t>o</w:t>
      </w:r>
      <w:r w:rsidR="000E2FAD">
        <w:rPr>
          <w:rFonts w:eastAsia="Calibri"/>
          <w:color w:val="000000"/>
          <w:lang w:val="en-US"/>
        </w:rPr>
        <w:t>n</w:t>
      </w:r>
      <w:r>
        <w:rPr>
          <w:rFonts w:eastAsia="Calibri"/>
          <w:color w:val="000000"/>
          <w:lang w:val="en-US"/>
        </w:rPr>
        <w:t xml:space="preserve"> freedom of movement for that matter, should NOT constitute grounds for excessive use of force by the police and under NO circumstances should it lead to the use of lethal force.  This rule applies to all at all times</w:t>
      </w:r>
      <w:r w:rsidR="003204DC">
        <w:rPr>
          <w:rFonts w:eastAsia="Calibri"/>
          <w:color w:val="000000"/>
          <w:lang w:val="en-US"/>
        </w:rPr>
        <w:t xml:space="preserve"> – no exceptions.  It is crucial to recall this</w:t>
      </w:r>
      <w:r>
        <w:rPr>
          <w:rFonts w:eastAsia="Calibri"/>
          <w:color w:val="000000"/>
          <w:lang w:val="en-US"/>
        </w:rPr>
        <w:t xml:space="preserve"> particularly in view of the fact that so many people have no home in which to remain confined nor the means by which to sustain their families under such isolation.   </w:t>
      </w:r>
    </w:p>
    <w:p w14:paraId="1604EB11" w14:textId="77777777" w:rsidR="00206D43" w:rsidRDefault="00206D43" w:rsidP="00206D43">
      <w:pPr>
        <w:widowControl w:val="0"/>
        <w:ind w:firstLine="720"/>
        <w:jc w:val="both"/>
        <w:rPr>
          <w:rFonts w:eastAsia="Calibri"/>
          <w:color w:val="000000"/>
          <w:lang w:val="en-US"/>
        </w:rPr>
      </w:pPr>
    </w:p>
    <w:p w14:paraId="190B9638" w14:textId="19F0600A" w:rsidR="00206D43" w:rsidRDefault="00206D43" w:rsidP="00206D43">
      <w:pPr>
        <w:widowControl w:val="0"/>
        <w:jc w:val="both"/>
        <w:rPr>
          <w:rFonts w:eastAsia="Calibri"/>
          <w:color w:val="000000"/>
          <w:lang w:val="en-US"/>
        </w:rPr>
      </w:pPr>
      <w:r>
        <w:rPr>
          <w:rFonts w:eastAsia="Calibri"/>
          <w:color w:val="000000"/>
          <w:lang w:val="en-US"/>
        </w:rPr>
        <w:t>Law enforcement officers, their commanders, the systems that support them and the Government</w:t>
      </w:r>
      <w:r w:rsidR="003204DC">
        <w:rPr>
          <w:rFonts w:eastAsia="Calibri"/>
          <w:color w:val="000000"/>
          <w:lang w:val="en-US"/>
        </w:rPr>
        <w:t>s</w:t>
      </w:r>
      <w:r>
        <w:rPr>
          <w:rFonts w:eastAsia="Calibri"/>
          <w:color w:val="000000"/>
          <w:lang w:val="en-US"/>
        </w:rPr>
        <w:t xml:space="preserve"> who direct them, must understand these realities. For millions of people</w:t>
      </w:r>
      <w:r w:rsidR="003204DC">
        <w:rPr>
          <w:rFonts w:eastAsia="Calibri"/>
          <w:color w:val="000000"/>
          <w:lang w:val="en-US"/>
        </w:rPr>
        <w:t>,</w:t>
      </w:r>
      <w:r>
        <w:rPr>
          <w:rFonts w:eastAsia="Calibri"/>
          <w:color w:val="000000"/>
          <w:lang w:val="en-US"/>
        </w:rPr>
        <w:t xml:space="preserve"> policies such as curfews can be the more direct threats to their dignity and wellbeing than </w:t>
      </w:r>
      <w:r w:rsidR="003204DC">
        <w:rPr>
          <w:rFonts w:eastAsia="Calibri"/>
          <w:color w:val="000000"/>
          <w:lang w:val="en-US"/>
        </w:rPr>
        <w:t xml:space="preserve">even </w:t>
      </w:r>
      <w:r>
        <w:rPr>
          <w:rFonts w:eastAsia="Calibri"/>
          <w:color w:val="000000"/>
          <w:lang w:val="en-US"/>
        </w:rPr>
        <w:t>the virus itself.  There are other ways to police than force first.  Discussion, instruction, consultation and community engagement – these should be the operating principles for the police as well. Th</w:t>
      </w:r>
      <w:r w:rsidR="000E2FAD">
        <w:rPr>
          <w:rFonts w:eastAsia="Calibri"/>
          <w:color w:val="000000"/>
          <w:lang w:val="en-US"/>
        </w:rPr>
        <w:t xml:space="preserve">is is </w:t>
      </w:r>
      <w:r>
        <w:rPr>
          <w:rFonts w:eastAsia="Calibri"/>
          <w:color w:val="000000"/>
          <w:lang w:val="en-US"/>
        </w:rPr>
        <w:t>what international law demands because it is what protection of human rights in a time of contagion requires.</w:t>
      </w:r>
    </w:p>
    <w:p w14:paraId="6C8EA746" w14:textId="77777777" w:rsidR="00206D43" w:rsidRDefault="00206D43" w:rsidP="00206D43">
      <w:pPr>
        <w:widowControl w:val="0"/>
        <w:jc w:val="both"/>
        <w:rPr>
          <w:rFonts w:cs="PlantinStd"/>
          <w:b/>
          <w:bCs/>
          <w:lang w:val="en-US"/>
        </w:rPr>
      </w:pPr>
    </w:p>
    <w:p w14:paraId="37B42CD4" w14:textId="77777777" w:rsidR="00206D43" w:rsidRDefault="00206D43" w:rsidP="008B0AC2">
      <w:pPr>
        <w:widowControl w:val="0"/>
        <w:jc w:val="center"/>
        <w:rPr>
          <w:rFonts w:cs="PlantinStd"/>
          <w:b/>
          <w:bCs/>
          <w:lang w:val="en-US"/>
        </w:rPr>
      </w:pPr>
    </w:p>
    <w:p w14:paraId="1628995C" w14:textId="77777777" w:rsidR="00206D43" w:rsidRPr="00A343A4" w:rsidRDefault="00206D43" w:rsidP="00206D43">
      <w:pPr>
        <w:widowControl w:val="0"/>
        <w:jc w:val="right"/>
        <w:rPr>
          <w:rFonts w:cs="PlantinStd"/>
          <w:b/>
          <w:bCs/>
          <w:lang w:val="en-US"/>
        </w:rPr>
      </w:pPr>
      <w:r w:rsidRPr="00A343A4">
        <w:rPr>
          <w:rFonts w:cs="PlantinStd"/>
          <w:b/>
          <w:bCs/>
          <w:lang w:val="en-US"/>
        </w:rPr>
        <w:t xml:space="preserve">Agnes Callamard, </w:t>
      </w:r>
    </w:p>
    <w:p w14:paraId="2E9017D1" w14:textId="77777777" w:rsidR="00206D43" w:rsidRPr="00A343A4" w:rsidRDefault="00206D43" w:rsidP="00206D43">
      <w:pPr>
        <w:widowControl w:val="0"/>
        <w:jc w:val="right"/>
        <w:rPr>
          <w:rFonts w:cs="PlantinStd"/>
          <w:b/>
          <w:bCs/>
          <w:lang w:val="en-US"/>
        </w:rPr>
      </w:pPr>
      <w:r w:rsidRPr="00A343A4">
        <w:rPr>
          <w:rFonts w:cs="PlantinStd"/>
          <w:b/>
          <w:bCs/>
          <w:lang w:val="en-US"/>
        </w:rPr>
        <w:t>United Nations Special Rapporteur on Extrajudicial, Summary or Arbitrary Killings</w:t>
      </w:r>
    </w:p>
    <w:p w14:paraId="3DC596E4" w14:textId="557A0F6B" w:rsidR="00B73FD1" w:rsidRPr="00917C1C" w:rsidRDefault="008B0AC2" w:rsidP="003670B7">
      <w:pPr>
        <w:widowControl w:val="0"/>
        <w:jc w:val="right"/>
        <w:rPr>
          <w:sz w:val="22"/>
        </w:rPr>
      </w:pPr>
      <w:r>
        <w:rPr>
          <w:rFonts w:cs="PlantinStd"/>
          <w:b/>
          <w:bCs/>
          <w:lang w:val="en-US"/>
        </w:rPr>
        <w:t>2</w:t>
      </w:r>
      <w:r w:rsidR="00206D43" w:rsidRPr="00A343A4">
        <w:rPr>
          <w:rFonts w:cs="PlantinStd"/>
          <w:b/>
          <w:bCs/>
          <w:lang w:val="en-US"/>
        </w:rPr>
        <w:t xml:space="preserve"> April 2020</w:t>
      </w:r>
      <w:r w:rsidR="00206D43" w:rsidRPr="00A343A4">
        <w:rPr>
          <w:rFonts w:cs="PlantinStd"/>
          <w:lang w:val="en-US"/>
        </w:rPr>
        <w:t xml:space="preserve"> </w:t>
      </w:r>
    </w:p>
    <w:sectPr w:rsidR="00B73FD1" w:rsidRPr="00917C1C" w:rsidSect="00C772EF">
      <w:headerReference w:type="default" r:id="rId11"/>
      <w:footerReference w:type="default"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A2224" w14:textId="77777777" w:rsidR="00E907C1" w:rsidRDefault="00E907C1">
      <w:r>
        <w:separator/>
      </w:r>
    </w:p>
  </w:endnote>
  <w:endnote w:type="continuationSeparator" w:id="0">
    <w:p w14:paraId="6B061242" w14:textId="77777777" w:rsidR="00E907C1" w:rsidRDefault="00E9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St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F" w14:textId="77777777" w:rsidR="00D4007B" w:rsidRDefault="00D4007B"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6DAE1" w14:textId="77777777" w:rsidR="00E907C1" w:rsidRDefault="00E907C1">
      <w:r>
        <w:separator/>
      </w:r>
    </w:p>
  </w:footnote>
  <w:footnote w:type="continuationSeparator" w:id="0">
    <w:p w14:paraId="48E5DDAE" w14:textId="77777777" w:rsidR="00E907C1" w:rsidRDefault="00E9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E" w14:textId="69E6BDE7" w:rsidR="00D4007B" w:rsidRPr="00AD4CA9" w:rsidRDefault="00D4007B"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00AA2691">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C0" w14:textId="09B78184" w:rsidR="00D4007B" w:rsidRPr="00925A9D" w:rsidRDefault="00D4007B"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D4007B" w:rsidRPr="002745FF" w:rsidRDefault="00917C1C"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D4007B" w:rsidRPr="002745FF">
      <w:rPr>
        <w:sz w:val="14"/>
        <w:szCs w:val="14"/>
        <w:lang w:val="fr-CH"/>
      </w:rPr>
      <w:t>registry@ohchr.org</w:t>
    </w:r>
  </w:p>
  <w:p w14:paraId="0276FBC3" w14:textId="77777777" w:rsidR="00D4007B" w:rsidRPr="00B73FD1" w:rsidRDefault="00D4007B"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DC1F5E"/>
    <w:multiLevelType w:val="hybridMultilevel"/>
    <w:tmpl w:val="CF06D9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5E7169B5"/>
    <w:multiLevelType w:val="hybridMultilevel"/>
    <w:tmpl w:val="22CE9F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600868AD"/>
    <w:multiLevelType w:val="hybridMultilevel"/>
    <w:tmpl w:val="0618FE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17"/>
  </w:num>
  <w:num w:numId="4">
    <w:abstractNumId w:val="8"/>
  </w:num>
  <w:num w:numId="5">
    <w:abstractNumId w:val="18"/>
  </w:num>
  <w:num w:numId="6">
    <w:abstractNumId w:val="10"/>
  </w:num>
  <w:num w:numId="7">
    <w:abstractNumId w:val="2"/>
  </w:num>
  <w:num w:numId="8">
    <w:abstractNumId w:val="11"/>
  </w:num>
  <w:num w:numId="9">
    <w:abstractNumId w:val="4"/>
  </w:num>
  <w:num w:numId="10">
    <w:abstractNumId w:val="1"/>
  </w:num>
  <w:num w:numId="11">
    <w:abstractNumId w:val="9"/>
  </w:num>
  <w:num w:numId="12">
    <w:abstractNumId w:val="23"/>
  </w:num>
  <w:num w:numId="13">
    <w:abstractNumId w:val="24"/>
  </w:num>
  <w:num w:numId="14">
    <w:abstractNumId w:val="14"/>
  </w:num>
  <w:num w:numId="15">
    <w:abstractNumId w:val="6"/>
  </w:num>
  <w:num w:numId="16">
    <w:abstractNumId w:val="0"/>
  </w:num>
  <w:num w:numId="17">
    <w:abstractNumId w:val="20"/>
  </w:num>
  <w:num w:numId="18">
    <w:abstractNumId w:val="7"/>
  </w:num>
  <w:num w:numId="19">
    <w:abstractNumId w:val="13"/>
  </w:num>
  <w:num w:numId="20">
    <w:abstractNumId w:val="5"/>
  </w:num>
  <w:num w:numId="21">
    <w:abstractNumId w:val="19"/>
  </w:num>
  <w:num w:numId="22">
    <w:abstractNumId w:val="16"/>
  </w:num>
  <w:num w:numId="23">
    <w:abstractNumId w:val="12"/>
  </w:num>
  <w:num w:numId="24">
    <w:abstractNumId w:val="3"/>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217"/>
    <w:rsid w:val="000138F6"/>
    <w:rsid w:val="000225FC"/>
    <w:rsid w:val="00026D1F"/>
    <w:rsid w:val="0003674D"/>
    <w:rsid w:val="0005390B"/>
    <w:rsid w:val="00063BFD"/>
    <w:rsid w:val="00077294"/>
    <w:rsid w:val="000875C6"/>
    <w:rsid w:val="00091BF0"/>
    <w:rsid w:val="000A21A1"/>
    <w:rsid w:val="000A2B89"/>
    <w:rsid w:val="000A6F03"/>
    <w:rsid w:val="000C7660"/>
    <w:rsid w:val="000D210E"/>
    <w:rsid w:val="000D34F2"/>
    <w:rsid w:val="000D5600"/>
    <w:rsid w:val="000E2860"/>
    <w:rsid w:val="000E2FAD"/>
    <w:rsid w:val="000E42EE"/>
    <w:rsid w:val="000F183C"/>
    <w:rsid w:val="001009D6"/>
    <w:rsid w:val="00103AE3"/>
    <w:rsid w:val="00106F64"/>
    <w:rsid w:val="00115798"/>
    <w:rsid w:val="00117F5F"/>
    <w:rsid w:val="001205D6"/>
    <w:rsid w:val="00130C65"/>
    <w:rsid w:val="0013487C"/>
    <w:rsid w:val="001456CB"/>
    <w:rsid w:val="001537CC"/>
    <w:rsid w:val="00153DB2"/>
    <w:rsid w:val="0015615C"/>
    <w:rsid w:val="001676BA"/>
    <w:rsid w:val="00183B60"/>
    <w:rsid w:val="00194332"/>
    <w:rsid w:val="001A596D"/>
    <w:rsid w:val="001B7B09"/>
    <w:rsid w:val="001C4360"/>
    <w:rsid w:val="001D3313"/>
    <w:rsid w:val="001E3384"/>
    <w:rsid w:val="002028A9"/>
    <w:rsid w:val="00206D43"/>
    <w:rsid w:val="0021296A"/>
    <w:rsid w:val="002129D5"/>
    <w:rsid w:val="00221893"/>
    <w:rsid w:val="00224386"/>
    <w:rsid w:val="00224BDB"/>
    <w:rsid w:val="00227E2F"/>
    <w:rsid w:val="00230775"/>
    <w:rsid w:val="00235A1A"/>
    <w:rsid w:val="002431DB"/>
    <w:rsid w:val="00244860"/>
    <w:rsid w:val="0024583B"/>
    <w:rsid w:val="0025174E"/>
    <w:rsid w:val="00257195"/>
    <w:rsid w:val="00266D70"/>
    <w:rsid w:val="00282E14"/>
    <w:rsid w:val="0028624E"/>
    <w:rsid w:val="002863A2"/>
    <w:rsid w:val="002873B2"/>
    <w:rsid w:val="00293243"/>
    <w:rsid w:val="002969BF"/>
    <w:rsid w:val="002A2F06"/>
    <w:rsid w:val="002E326D"/>
    <w:rsid w:val="002E65F4"/>
    <w:rsid w:val="00305B08"/>
    <w:rsid w:val="003204DC"/>
    <w:rsid w:val="00335FB9"/>
    <w:rsid w:val="00356299"/>
    <w:rsid w:val="003577DB"/>
    <w:rsid w:val="003670B7"/>
    <w:rsid w:val="00377C05"/>
    <w:rsid w:val="00380489"/>
    <w:rsid w:val="00394359"/>
    <w:rsid w:val="003956EF"/>
    <w:rsid w:val="00396E4C"/>
    <w:rsid w:val="003A3957"/>
    <w:rsid w:val="003C37C3"/>
    <w:rsid w:val="003D0C10"/>
    <w:rsid w:val="003D3D66"/>
    <w:rsid w:val="003E552B"/>
    <w:rsid w:val="00401FD2"/>
    <w:rsid w:val="00410560"/>
    <w:rsid w:val="00411C0A"/>
    <w:rsid w:val="004153DE"/>
    <w:rsid w:val="00415EFC"/>
    <w:rsid w:val="00440385"/>
    <w:rsid w:val="00440E30"/>
    <w:rsid w:val="00440ED0"/>
    <w:rsid w:val="00443DF5"/>
    <w:rsid w:val="00447412"/>
    <w:rsid w:val="00455C6D"/>
    <w:rsid w:val="00456419"/>
    <w:rsid w:val="00460258"/>
    <w:rsid w:val="00483C11"/>
    <w:rsid w:val="00483FC0"/>
    <w:rsid w:val="004A5D9B"/>
    <w:rsid w:val="004B4CAC"/>
    <w:rsid w:val="004B709A"/>
    <w:rsid w:val="004C044F"/>
    <w:rsid w:val="004D21C9"/>
    <w:rsid w:val="004D3D30"/>
    <w:rsid w:val="004D5717"/>
    <w:rsid w:val="004D5D19"/>
    <w:rsid w:val="004E0AB6"/>
    <w:rsid w:val="004E49EC"/>
    <w:rsid w:val="004E4D86"/>
    <w:rsid w:val="004F4DB0"/>
    <w:rsid w:val="005167F0"/>
    <w:rsid w:val="00520DCB"/>
    <w:rsid w:val="00530EF5"/>
    <w:rsid w:val="00535992"/>
    <w:rsid w:val="005417E4"/>
    <w:rsid w:val="005455F8"/>
    <w:rsid w:val="0055573E"/>
    <w:rsid w:val="00562D63"/>
    <w:rsid w:val="00570A1B"/>
    <w:rsid w:val="00570E41"/>
    <w:rsid w:val="00576638"/>
    <w:rsid w:val="005849E6"/>
    <w:rsid w:val="00585F8E"/>
    <w:rsid w:val="005871D9"/>
    <w:rsid w:val="00590218"/>
    <w:rsid w:val="005957ED"/>
    <w:rsid w:val="005B284C"/>
    <w:rsid w:val="005C677D"/>
    <w:rsid w:val="005D622D"/>
    <w:rsid w:val="005E7C37"/>
    <w:rsid w:val="005F283E"/>
    <w:rsid w:val="0060068B"/>
    <w:rsid w:val="0060785C"/>
    <w:rsid w:val="00627A52"/>
    <w:rsid w:val="0063240F"/>
    <w:rsid w:val="00635102"/>
    <w:rsid w:val="00636BD7"/>
    <w:rsid w:val="006375A5"/>
    <w:rsid w:val="006412EA"/>
    <w:rsid w:val="00645695"/>
    <w:rsid w:val="00650CD4"/>
    <w:rsid w:val="00657F7E"/>
    <w:rsid w:val="006605E5"/>
    <w:rsid w:val="00660EDA"/>
    <w:rsid w:val="006617A4"/>
    <w:rsid w:val="00667227"/>
    <w:rsid w:val="006749F6"/>
    <w:rsid w:val="00682D26"/>
    <w:rsid w:val="00682DDB"/>
    <w:rsid w:val="006834E4"/>
    <w:rsid w:val="00687E4F"/>
    <w:rsid w:val="00695D3E"/>
    <w:rsid w:val="006A7352"/>
    <w:rsid w:val="006B5A71"/>
    <w:rsid w:val="006D5B97"/>
    <w:rsid w:val="006E6CC3"/>
    <w:rsid w:val="006F790C"/>
    <w:rsid w:val="007114F8"/>
    <w:rsid w:val="00712363"/>
    <w:rsid w:val="00712EFD"/>
    <w:rsid w:val="00716D30"/>
    <w:rsid w:val="007210F6"/>
    <w:rsid w:val="00723438"/>
    <w:rsid w:val="0073103D"/>
    <w:rsid w:val="00733660"/>
    <w:rsid w:val="00741EBC"/>
    <w:rsid w:val="007432E5"/>
    <w:rsid w:val="007450E8"/>
    <w:rsid w:val="007625BA"/>
    <w:rsid w:val="00776BDB"/>
    <w:rsid w:val="00790C76"/>
    <w:rsid w:val="00790CBE"/>
    <w:rsid w:val="0079503A"/>
    <w:rsid w:val="00795469"/>
    <w:rsid w:val="00796729"/>
    <w:rsid w:val="00797214"/>
    <w:rsid w:val="007A4975"/>
    <w:rsid w:val="007B01A6"/>
    <w:rsid w:val="007B5929"/>
    <w:rsid w:val="007C4483"/>
    <w:rsid w:val="007C4A8E"/>
    <w:rsid w:val="007C5369"/>
    <w:rsid w:val="007D1657"/>
    <w:rsid w:val="007D47FE"/>
    <w:rsid w:val="007E39E1"/>
    <w:rsid w:val="007F7DA3"/>
    <w:rsid w:val="00800915"/>
    <w:rsid w:val="0081788D"/>
    <w:rsid w:val="00842120"/>
    <w:rsid w:val="00842220"/>
    <w:rsid w:val="008427AA"/>
    <w:rsid w:val="00846B4A"/>
    <w:rsid w:val="0084754F"/>
    <w:rsid w:val="008553DE"/>
    <w:rsid w:val="008568EA"/>
    <w:rsid w:val="00863357"/>
    <w:rsid w:val="008656FA"/>
    <w:rsid w:val="00874280"/>
    <w:rsid w:val="008774E3"/>
    <w:rsid w:val="008A19BD"/>
    <w:rsid w:val="008A2623"/>
    <w:rsid w:val="008A2957"/>
    <w:rsid w:val="008B0AC2"/>
    <w:rsid w:val="008B33E8"/>
    <w:rsid w:val="008B4DD7"/>
    <w:rsid w:val="008B4F3E"/>
    <w:rsid w:val="008B6B53"/>
    <w:rsid w:val="008C2924"/>
    <w:rsid w:val="008C60C0"/>
    <w:rsid w:val="008D1A3C"/>
    <w:rsid w:val="008D3B8A"/>
    <w:rsid w:val="008E46C1"/>
    <w:rsid w:val="008F3473"/>
    <w:rsid w:val="009066BC"/>
    <w:rsid w:val="00917C1C"/>
    <w:rsid w:val="009240B2"/>
    <w:rsid w:val="00925A9D"/>
    <w:rsid w:val="009337F5"/>
    <w:rsid w:val="009358CD"/>
    <w:rsid w:val="00944040"/>
    <w:rsid w:val="00944E25"/>
    <w:rsid w:val="00945265"/>
    <w:rsid w:val="009469B5"/>
    <w:rsid w:val="00946B6F"/>
    <w:rsid w:val="00951601"/>
    <w:rsid w:val="00954190"/>
    <w:rsid w:val="00977C96"/>
    <w:rsid w:val="00982FCF"/>
    <w:rsid w:val="00983FB8"/>
    <w:rsid w:val="0098565E"/>
    <w:rsid w:val="00986237"/>
    <w:rsid w:val="00997618"/>
    <w:rsid w:val="009A2849"/>
    <w:rsid w:val="009B459A"/>
    <w:rsid w:val="009D76A9"/>
    <w:rsid w:val="009E00AF"/>
    <w:rsid w:val="009F18EC"/>
    <w:rsid w:val="009F2043"/>
    <w:rsid w:val="00A01741"/>
    <w:rsid w:val="00A153DB"/>
    <w:rsid w:val="00A21EF1"/>
    <w:rsid w:val="00A22A44"/>
    <w:rsid w:val="00A34DA7"/>
    <w:rsid w:val="00A364CF"/>
    <w:rsid w:val="00A3761B"/>
    <w:rsid w:val="00A40490"/>
    <w:rsid w:val="00A439B9"/>
    <w:rsid w:val="00A54482"/>
    <w:rsid w:val="00A564C7"/>
    <w:rsid w:val="00A61E26"/>
    <w:rsid w:val="00A63977"/>
    <w:rsid w:val="00A86B19"/>
    <w:rsid w:val="00A86E08"/>
    <w:rsid w:val="00A9048E"/>
    <w:rsid w:val="00A92159"/>
    <w:rsid w:val="00AA2691"/>
    <w:rsid w:val="00AA3895"/>
    <w:rsid w:val="00AB0278"/>
    <w:rsid w:val="00AC02D0"/>
    <w:rsid w:val="00AC50E4"/>
    <w:rsid w:val="00AD1796"/>
    <w:rsid w:val="00AD4CA9"/>
    <w:rsid w:val="00AE2231"/>
    <w:rsid w:val="00AE69A2"/>
    <w:rsid w:val="00AE796C"/>
    <w:rsid w:val="00AF291B"/>
    <w:rsid w:val="00AF3626"/>
    <w:rsid w:val="00AF73D0"/>
    <w:rsid w:val="00B04529"/>
    <w:rsid w:val="00B13589"/>
    <w:rsid w:val="00B14752"/>
    <w:rsid w:val="00B234F6"/>
    <w:rsid w:val="00B246B4"/>
    <w:rsid w:val="00B2618C"/>
    <w:rsid w:val="00B26B71"/>
    <w:rsid w:val="00B31236"/>
    <w:rsid w:val="00B42B30"/>
    <w:rsid w:val="00B43D96"/>
    <w:rsid w:val="00B458F6"/>
    <w:rsid w:val="00B54DD5"/>
    <w:rsid w:val="00B61545"/>
    <w:rsid w:val="00B73FA8"/>
    <w:rsid w:val="00B73FD1"/>
    <w:rsid w:val="00B7425B"/>
    <w:rsid w:val="00B832E4"/>
    <w:rsid w:val="00B84F46"/>
    <w:rsid w:val="00BC3115"/>
    <w:rsid w:val="00BD2C78"/>
    <w:rsid w:val="00BD6119"/>
    <w:rsid w:val="00BF539E"/>
    <w:rsid w:val="00BF69D2"/>
    <w:rsid w:val="00C07B5F"/>
    <w:rsid w:val="00C12BED"/>
    <w:rsid w:val="00C162CD"/>
    <w:rsid w:val="00C17B65"/>
    <w:rsid w:val="00C234D8"/>
    <w:rsid w:val="00C23DDD"/>
    <w:rsid w:val="00C35851"/>
    <w:rsid w:val="00C50365"/>
    <w:rsid w:val="00C6141D"/>
    <w:rsid w:val="00C64254"/>
    <w:rsid w:val="00C707EA"/>
    <w:rsid w:val="00C73CD7"/>
    <w:rsid w:val="00C74811"/>
    <w:rsid w:val="00C772EF"/>
    <w:rsid w:val="00C82CCE"/>
    <w:rsid w:val="00CA19A9"/>
    <w:rsid w:val="00CA65D2"/>
    <w:rsid w:val="00CB1C6E"/>
    <w:rsid w:val="00CC5BEF"/>
    <w:rsid w:val="00CE6A0E"/>
    <w:rsid w:val="00D00DDC"/>
    <w:rsid w:val="00D02F61"/>
    <w:rsid w:val="00D075E5"/>
    <w:rsid w:val="00D1125E"/>
    <w:rsid w:val="00D115F7"/>
    <w:rsid w:val="00D129FA"/>
    <w:rsid w:val="00D230B7"/>
    <w:rsid w:val="00D32E5B"/>
    <w:rsid w:val="00D337A9"/>
    <w:rsid w:val="00D3608E"/>
    <w:rsid w:val="00D36635"/>
    <w:rsid w:val="00D4007B"/>
    <w:rsid w:val="00D4635B"/>
    <w:rsid w:val="00D5082F"/>
    <w:rsid w:val="00D67524"/>
    <w:rsid w:val="00D70178"/>
    <w:rsid w:val="00D82BE4"/>
    <w:rsid w:val="00D84C7E"/>
    <w:rsid w:val="00D963DD"/>
    <w:rsid w:val="00D968C8"/>
    <w:rsid w:val="00DA5FC2"/>
    <w:rsid w:val="00DB415F"/>
    <w:rsid w:val="00DB5055"/>
    <w:rsid w:val="00DB5616"/>
    <w:rsid w:val="00DC0CA6"/>
    <w:rsid w:val="00DD4909"/>
    <w:rsid w:val="00DE5C84"/>
    <w:rsid w:val="00E15347"/>
    <w:rsid w:val="00E22392"/>
    <w:rsid w:val="00E30296"/>
    <w:rsid w:val="00E4367D"/>
    <w:rsid w:val="00E56372"/>
    <w:rsid w:val="00E60057"/>
    <w:rsid w:val="00E679E8"/>
    <w:rsid w:val="00E73F13"/>
    <w:rsid w:val="00E84288"/>
    <w:rsid w:val="00E907C1"/>
    <w:rsid w:val="00E955B7"/>
    <w:rsid w:val="00E97A8F"/>
    <w:rsid w:val="00EA6B3E"/>
    <w:rsid w:val="00EB4CDE"/>
    <w:rsid w:val="00EC123F"/>
    <w:rsid w:val="00EC3E83"/>
    <w:rsid w:val="00EE03EE"/>
    <w:rsid w:val="00EE0A7C"/>
    <w:rsid w:val="00EE5BA8"/>
    <w:rsid w:val="00EE6532"/>
    <w:rsid w:val="00EE6765"/>
    <w:rsid w:val="00EF0B0D"/>
    <w:rsid w:val="00F006B5"/>
    <w:rsid w:val="00F0710E"/>
    <w:rsid w:val="00F07C8F"/>
    <w:rsid w:val="00F130B3"/>
    <w:rsid w:val="00F14740"/>
    <w:rsid w:val="00F161EC"/>
    <w:rsid w:val="00F44EA7"/>
    <w:rsid w:val="00F47B64"/>
    <w:rsid w:val="00F611C6"/>
    <w:rsid w:val="00F62027"/>
    <w:rsid w:val="00F80A14"/>
    <w:rsid w:val="00F80D28"/>
    <w:rsid w:val="00F927D4"/>
    <w:rsid w:val="00FA61F7"/>
    <w:rsid w:val="00FB1650"/>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NormalWeb">
    <w:name w:val="Normal (Web)"/>
    <w:basedOn w:val="Normal"/>
    <w:uiPriority w:val="99"/>
    <w:semiHidden/>
    <w:unhideWhenUsed/>
    <w:rsid w:val="00224BD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18198">
      <w:bodyDiv w:val="1"/>
      <w:marLeft w:val="0"/>
      <w:marRight w:val="0"/>
      <w:marTop w:val="0"/>
      <w:marBottom w:val="0"/>
      <w:divBdr>
        <w:top w:val="none" w:sz="0" w:space="0" w:color="auto"/>
        <w:left w:val="none" w:sz="0" w:space="0" w:color="auto"/>
        <w:bottom w:val="none" w:sz="0" w:space="0" w:color="auto"/>
        <w:right w:val="none" w:sz="0" w:space="0" w:color="auto"/>
      </w:divBdr>
    </w:div>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2.xml><?xml version="1.0" encoding="utf-8"?>
<ds:datastoreItem xmlns:ds="http://schemas.openxmlformats.org/officeDocument/2006/customXml" ds:itemID="{0FB61197-64E8-4CDB-94D4-B18B6C1930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8623BF8-DDEB-4B2C-9E43-CEFC2CD4459F}"/>
</file>

<file path=customXml/itemProps4.xml><?xml version="1.0" encoding="utf-8"?>
<ds:datastoreItem xmlns:ds="http://schemas.openxmlformats.org/officeDocument/2006/customXml" ds:itemID="{EA1B77F4-91F6-482A-A72D-C2363712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6712</Characters>
  <Application>Microsoft Office Word</Application>
  <DocSecurity>0</DocSecurity>
  <Lines>55</Lines>
  <Paragraphs>15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2020-04-02T16:13:00Z</dcterms:created>
  <dcterms:modified xsi:type="dcterms:W3CDTF">2020-04-02T16:13:00Z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