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300" w:before="300" w:line="276" w:lineRule="auto"/>
        <w:ind w:left="0" w:right="0" w:firstLine="0"/>
        <w:jc w:val="both"/>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Asunto:</w:t>
      </w:r>
      <w:r w:rsidDel="00000000" w:rsidR="00000000" w:rsidRPr="00000000">
        <w:rPr>
          <w:rFonts w:ascii="Verdana" w:cs="Verdana" w:eastAsia="Verdana" w:hAnsi="Verdana"/>
          <w:sz w:val="19"/>
          <w:szCs w:val="19"/>
          <w:rtl w:val="0"/>
        </w:rPr>
        <w:t xml:space="preserve"> </w:t>
      </w:r>
      <w:r w:rsidDel="00000000" w:rsidR="00000000" w:rsidRPr="00000000">
        <w:rPr>
          <w:rFonts w:ascii="Verdana" w:cs="Verdana" w:eastAsia="Verdana" w:hAnsi="Verdana"/>
          <w:sz w:val="19"/>
          <w:szCs w:val="19"/>
          <w:rtl w:val="0"/>
        </w:rPr>
        <w:t xml:space="preserve">Cuestionario sobre sistemas alimentarios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300" w:before="300" w:line="276" w:lineRule="auto"/>
        <w:ind w:left="0" w:right="0" w:firstLine="0"/>
        <w:jc w:val="both"/>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Parte interesada:</w:t>
      </w:r>
      <w:r w:rsidDel="00000000" w:rsidR="00000000" w:rsidRPr="00000000">
        <w:rPr>
          <w:rFonts w:ascii="Verdana" w:cs="Verdana" w:eastAsia="Verdana" w:hAnsi="Verdana"/>
          <w:sz w:val="19"/>
          <w:szCs w:val="19"/>
          <w:rtl w:val="0"/>
        </w:rPr>
        <w:t xml:space="preserve"> Relator Especial de la ONU sobre el Derecho a la Alimentación.</w:t>
      </w:r>
    </w:p>
    <w:p w:rsidR="00000000" w:rsidDel="00000000" w:rsidP="00000000" w:rsidRDefault="00000000" w:rsidRPr="00000000" w14:paraId="00000003">
      <w:pPr>
        <w:shd w:fill="ffffff" w:val="clear"/>
        <w:spacing w:after="300" w:before="300" w:lineRule="auto"/>
        <w:ind w:left="0" w:firstLine="0"/>
        <w:jc w:val="right"/>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4">
      <w:pPr>
        <w:shd w:fill="ffffff" w:val="clear"/>
        <w:spacing w:after="300" w:before="300" w:lineRule="auto"/>
        <w:ind w:left="0" w:firstLine="0"/>
        <w:jc w:val="right"/>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Brasil, 30 de junio de 2021.</w:t>
        <w:tab/>
      </w:r>
    </w:p>
    <w:p w:rsidR="00000000" w:rsidDel="00000000" w:rsidP="00000000" w:rsidRDefault="00000000" w:rsidRPr="00000000" w14:paraId="00000005">
      <w:pPr>
        <w:shd w:fill="ffffff" w:val="clear"/>
        <w:spacing w:after="300" w:before="300" w:lineRule="auto"/>
        <w:ind w:left="0" w:firstLine="0"/>
        <w:jc w:val="both"/>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Prezado Señor Relator,</w:t>
      </w:r>
    </w:p>
    <w:p w:rsidR="00000000" w:rsidDel="00000000" w:rsidP="00000000" w:rsidRDefault="00000000" w:rsidRPr="00000000" w14:paraId="00000006">
      <w:pPr>
        <w:shd w:fill="ffffff" w:val="clear"/>
        <w:spacing w:after="300" w:before="300" w:lineRule="auto"/>
        <w:ind w:left="0" w:firstLine="720"/>
        <w:jc w:val="both"/>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En Brasil, hemos creado desde 2019 un proceso continuado que constituimos como una Conferencia Popular por Soberanía y Seguridad alimentaria y Nutricional cuyo objetivo es la defensa de derechos, democracia y  sistemas alimentarios saludables y sostenibles (</w:t>
      </w:r>
      <w:hyperlink r:id="rId6">
        <w:r w:rsidDel="00000000" w:rsidR="00000000" w:rsidRPr="00000000">
          <w:rPr>
            <w:rFonts w:ascii="Verdana" w:cs="Verdana" w:eastAsia="Verdana" w:hAnsi="Verdana"/>
            <w:color w:val="1155cc"/>
            <w:sz w:val="19"/>
            <w:szCs w:val="19"/>
            <w:u w:val="single"/>
            <w:rtl w:val="0"/>
          </w:rPr>
          <w:t xml:space="preserve">https://conferenciassan.org.br/</w:t>
        </w:r>
      </w:hyperlink>
      <w:r w:rsidDel="00000000" w:rsidR="00000000" w:rsidRPr="00000000">
        <w:rPr>
          <w:rFonts w:ascii="Verdana" w:cs="Verdana" w:eastAsia="Verdana" w:hAnsi="Verdana"/>
          <w:sz w:val="19"/>
          <w:szCs w:val="19"/>
          <w:rtl w:val="0"/>
        </w:rPr>
        <w:t xml:space="preserve">).</w:t>
      </w:r>
    </w:p>
    <w:p w:rsidR="00000000" w:rsidDel="00000000" w:rsidP="00000000" w:rsidRDefault="00000000" w:rsidRPr="00000000" w14:paraId="00000007">
      <w:pPr>
        <w:shd w:fill="ffffff" w:val="clear"/>
        <w:spacing w:after="300" w:before="300" w:lineRule="auto"/>
        <w:ind w:left="0" w:firstLine="720"/>
        <w:jc w:val="both"/>
        <w:rPr>
          <w:rFonts w:ascii="Verdana" w:cs="Verdana" w:eastAsia="Verdana" w:hAnsi="Verdana"/>
          <w:b w:val="1"/>
          <w:sz w:val="19"/>
          <w:szCs w:val="19"/>
          <w:highlight w:val="white"/>
        </w:rPr>
      </w:pPr>
      <w:r w:rsidDel="00000000" w:rsidR="00000000" w:rsidRPr="00000000">
        <w:rPr>
          <w:rFonts w:ascii="Verdana" w:cs="Verdana" w:eastAsia="Verdana" w:hAnsi="Verdana"/>
          <w:sz w:val="19"/>
          <w:szCs w:val="19"/>
          <w:rtl w:val="0"/>
        </w:rPr>
        <w:t xml:space="preserve">Tras el anuncio de la realización de la cumbre global de sistemas alimentarios, hemos dedicado atención a analizar el proceso de organización del evento, su contenido e impactos a nivel local. Frente a la convocatoria de contribuciones sobre sistemas alimentarios y derechos humanos, nos gustaría destacar algunos puntos acumulados en nuestras discusiones respeto a las cuestiones:</w:t>
      </w:r>
      <w:r w:rsidDel="00000000" w:rsidR="00000000" w:rsidRPr="00000000">
        <w:rPr>
          <w:rtl w:val="0"/>
        </w:rPr>
      </w:r>
    </w:p>
    <w:p w:rsidR="00000000" w:rsidDel="00000000" w:rsidP="00000000" w:rsidRDefault="00000000" w:rsidRPr="00000000" w14:paraId="00000008">
      <w:pPr>
        <w:numPr>
          <w:ilvl w:val="0"/>
          <w:numId w:val="1"/>
        </w:numPr>
        <w:shd w:fill="ffffff" w:val="clear"/>
        <w:spacing w:after="0" w:afterAutospacing="0" w:before="300" w:lineRule="auto"/>
        <w:ind w:left="720" w:hanging="360"/>
        <w:jc w:val="both"/>
        <w:rPr>
          <w:rFonts w:ascii="Verdana" w:cs="Verdana" w:eastAsia="Verdana" w:hAnsi="Verdana"/>
          <w:sz w:val="19"/>
          <w:szCs w:val="19"/>
          <w:highlight w:val="white"/>
          <w:u w:val="none"/>
        </w:rPr>
      </w:pPr>
      <w:r w:rsidDel="00000000" w:rsidR="00000000" w:rsidRPr="00000000">
        <w:rPr>
          <w:rFonts w:ascii="Verdana" w:cs="Verdana" w:eastAsia="Verdana" w:hAnsi="Verdana"/>
          <w:sz w:val="19"/>
          <w:szCs w:val="19"/>
          <w:highlight w:val="white"/>
          <w:rtl w:val="0"/>
        </w:rPr>
        <w:t xml:space="preserve">Hemos notado y denunciado el aumento del hambre como consecuencia de un sistema alimentario que produce desigualdades, un vaciamiento de las políticas de seguridad alimentaria y nutricional y un total descontrol de la economía. Anunciamos esta situación en el </w:t>
      </w:r>
      <w:r w:rsidDel="00000000" w:rsidR="00000000" w:rsidRPr="00000000">
        <w:rPr>
          <w:rFonts w:ascii="Verdana" w:cs="Verdana" w:eastAsia="Verdana" w:hAnsi="Verdana"/>
          <w:b w:val="1"/>
          <w:sz w:val="19"/>
          <w:szCs w:val="19"/>
          <w:highlight w:val="white"/>
          <w:rtl w:val="0"/>
        </w:rPr>
        <w:t xml:space="preserve">Manifiesto</w:t>
      </w:r>
      <w:r w:rsidDel="00000000" w:rsidR="00000000" w:rsidRPr="00000000">
        <w:rPr>
          <w:rFonts w:ascii="Verdana" w:cs="Verdana" w:eastAsia="Verdana" w:hAnsi="Verdana"/>
          <w:sz w:val="19"/>
          <w:szCs w:val="19"/>
          <w:highlight w:val="white"/>
          <w:rtl w:val="0"/>
        </w:rPr>
        <w:t xml:space="preserve"> “</w:t>
      </w:r>
      <w:r w:rsidDel="00000000" w:rsidR="00000000" w:rsidRPr="00000000">
        <w:rPr>
          <w:rFonts w:ascii="Verdana" w:cs="Verdana" w:eastAsia="Verdana" w:hAnsi="Verdana"/>
          <w:b w:val="1"/>
          <w:sz w:val="19"/>
          <w:szCs w:val="19"/>
          <w:highlight w:val="white"/>
          <w:rtl w:val="0"/>
        </w:rPr>
        <w:t xml:space="preserve">Superando el Hambre con la fuerza de nuestras luchas”</w:t>
      </w:r>
      <w:r w:rsidDel="00000000" w:rsidR="00000000" w:rsidRPr="00000000">
        <w:rPr>
          <w:rFonts w:ascii="Verdana" w:cs="Verdana" w:eastAsia="Verdana" w:hAnsi="Verdana"/>
          <w:sz w:val="19"/>
          <w:szCs w:val="19"/>
          <w:highlight w:val="white"/>
          <w:rtl w:val="0"/>
        </w:rPr>
        <w:t xml:space="preserve"> (disponible en </w:t>
      </w:r>
      <w:hyperlink r:id="rId7">
        <w:r w:rsidDel="00000000" w:rsidR="00000000" w:rsidRPr="00000000">
          <w:rPr>
            <w:rFonts w:ascii="Verdana" w:cs="Verdana" w:eastAsia="Verdana" w:hAnsi="Verdana"/>
            <w:color w:val="1155cc"/>
            <w:sz w:val="19"/>
            <w:szCs w:val="19"/>
            <w:highlight w:val="white"/>
            <w:u w:val="single"/>
            <w:rtl w:val="0"/>
          </w:rPr>
          <w:t xml:space="preserve">https://conferenciassan.org.br/wp-content/uploads/2021/05/Manifestoversao3vf.pd</w:t>
        </w:r>
      </w:hyperlink>
      <w:r w:rsidDel="00000000" w:rsidR="00000000" w:rsidRPr="00000000">
        <w:rPr>
          <w:rFonts w:ascii="Verdana" w:cs="Verdana" w:eastAsia="Verdana" w:hAnsi="Verdana"/>
          <w:sz w:val="19"/>
          <w:szCs w:val="19"/>
          <w:highlight w:val="white"/>
          <w:rtl w:val="0"/>
        </w:rPr>
        <w:t xml:space="preserve">);</w:t>
      </w:r>
    </w:p>
    <w:p w:rsidR="00000000" w:rsidDel="00000000" w:rsidP="00000000" w:rsidRDefault="00000000" w:rsidRPr="00000000" w14:paraId="00000009">
      <w:pPr>
        <w:numPr>
          <w:ilvl w:val="0"/>
          <w:numId w:val="1"/>
        </w:numPr>
        <w:shd w:fill="ffffff" w:val="clear"/>
        <w:spacing w:after="0" w:afterAutospacing="0" w:before="0" w:beforeAutospacing="0" w:lineRule="auto"/>
        <w:ind w:left="720" w:hanging="360"/>
        <w:jc w:val="both"/>
        <w:rPr>
          <w:rFonts w:ascii="Verdana" w:cs="Verdana" w:eastAsia="Verdana" w:hAnsi="Verdana"/>
          <w:sz w:val="19"/>
          <w:szCs w:val="19"/>
          <w:highlight w:val="white"/>
          <w:u w:val="none"/>
        </w:rPr>
      </w:pPr>
      <w:r w:rsidDel="00000000" w:rsidR="00000000" w:rsidRPr="00000000">
        <w:rPr>
          <w:rFonts w:ascii="Verdana" w:cs="Verdana" w:eastAsia="Verdana" w:hAnsi="Verdana"/>
          <w:sz w:val="19"/>
          <w:szCs w:val="19"/>
          <w:highlight w:val="white"/>
          <w:rtl w:val="0"/>
        </w:rPr>
        <w:t xml:space="preserve">La cumbre responde a intereses privados y no toma en cuenta la situación agravada por la pandemia que tiene impactos en el sistema alimentario; aumento de los precios de los alimentos. </w:t>
      </w:r>
      <w:r w:rsidDel="00000000" w:rsidR="00000000" w:rsidRPr="00000000">
        <w:rPr>
          <w:rFonts w:ascii="Verdana" w:cs="Verdana" w:eastAsia="Verdana" w:hAnsi="Verdana"/>
          <w:b w:val="1"/>
          <w:sz w:val="19"/>
          <w:szCs w:val="19"/>
          <w:highlight w:val="white"/>
          <w:rtl w:val="0"/>
        </w:rPr>
        <w:t xml:space="preserve">En </w:t>
      </w:r>
      <w:r w:rsidDel="00000000" w:rsidR="00000000" w:rsidRPr="00000000">
        <w:rPr>
          <w:rFonts w:ascii="Verdana" w:cs="Verdana" w:eastAsia="Verdana" w:hAnsi="Verdana"/>
          <w:sz w:val="19"/>
          <w:szCs w:val="19"/>
          <w:highlight w:val="white"/>
          <w:rtl w:val="0"/>
        </w:rPr>
        <w:t xml:space="preserve">el contexto brasileño, poca información son públicos. El Ministerio de Agricultura y Ganadería (MAPA) abrió una "consulta público "dirigido específicamente al sector privado con un guión temático y preguntas para más detalles. En paralelo con el También inauguró el Ministerio de Ciudadanía, por días, la consulta pública a un documento descriptivo sobre programas y acciones relacionadas con la Seguridad Alimentaria y Nutricional. Recientemente el Ministerio de Foreign Affairs publicó en su sitio web el anuncio de dos sesiones públicas virtuales que se configurará en lo previsto en el El proceso de cumbres como “Diálogo Nacional". Pero el sitio web no es suficiente informativo y sin detallar agenda o cómo participar. El documento de referencia del Ministerio de La ciudadanía sorprende al presentar un serie de políticas de seguridad alimentaria y nutricionales (SAN) que ya no son pie. La verdad es que tales políticas y todas las Sistema Nacional de Seguridad Alimentaria y Nutricionales (SISAN) están experimentando una proceso de debilitamiento acelerado y ruina. El documento usa un serie de datos sobre estas políticas sin ningún tipo de identificación de periodos de ejecución, objeto de acciones, alcance o cualquier otra información más calificada (narios). El escenario actual de crecimiento significativo del hambre en Brasil simplemente se ignora a expensas de la construcción de la imagen de un país ficticio que estaría dando continuidad de las políticas orientadas a garantía del Derecho Humano a la Alimentación Adecuado para su población. No es de extrañar que MAPA esté dirigido a sólo al sector privado en su proceso de consulta. En manifestación funcionario, Embajador João Lucas Quental, de la Departamento de Derechos Humanos y Ciudadanía del MRE, dirigido al sector privado planteando preocupaciones sobre lineamientos de la Cumbre que, a su juicio, puede dañar la agroindustria Brasileño, como las recomendaciones refiriéndose a la disminución del consumo de proteína animal y el énfasis en los mercados a expensas del comercio Internacional.</w:t>
      </w:r>
    </w:p>
    <w:p w:rsidR="00000000" w:rsidDel="00000000" w:rsidP="00000000" w:rsidRDefault="00000000" w:rsidRPr="00000000" w14:paraId="0000000A">
      <w:pPr>
        <w:numPr>
          <w:ilvl w:val="0"/>
          <w:numId w:val="1"/>
        </w:numPr>
        <w:shd w:fill="ffffff" w:val="clear"/>
        <w:spacing w:after="0" w:afterAutospacing="0" w:before="0" w:beforeAutospacing="0" w:lineRule="auto"/>
        <w:ind w:left="720" w:hanging="360"/>
        <w:jc w:val="both"/>
        <w:rPr>
          <w:rFonts w:ascii="Verdana" w:cs="Verdana" w:eastAsia="Verdana" w:hAnsi="Verdana"/>
          <w:sz w:val="19"/>
          <w:szCs w:val="19"/>
          <w:highlight w:val="white"/>
          <w:u w:val="none"/>
        </w:rPr>
      </w:pPr>
      <w:r w:rsidDel="00000000" w:rsidR="00000000" w:rsidRPr="00000000">
        <w:rPr>
          <w:rtl w:val="0"/>
        </w:rPr>
        <w:t xml:space="preserve">La presencia de intereses privados en centro de organización de la Cumbre Coaduna con un proceso de captura más amplio corporativo del Sistema de las Naciones Unidas. dado a incumplimientos y el boicot de algunos países a las organizaciones multilaterales, el la financiación de las actividades de la ONU es vez más realizado por corporaciones o fundaciones relacionadas con intereses negocio. La exclusión inicial de la FAO y la Comité Mundial de Seguridad Alimentaria (CSA) de la organización de la Cumbre son señales de esta tendencia. Desde su jubilación, en 2009, la CSA se convirtió en la más importante en la gobernanza internacional de Seguridad alimentaria. Además, se trata de uno de los más democráticos y representativos espacios de todo el sistema de la ONU, teniendo como iniciativa ejemplar la institución de Mecanismo de la sociedad civil y los pueblos Pueblos Indígenas (MSC). Este mecanismo, de carácter consultivo, permite una amplia participación de movimientos sociales, ONG, académicos y organizaciones representativas de la agricultura familiar, pueblos y comunidades grupos tradicionales, grupos urbanos, sindicatos y activistas en decisiones globales sobre sistemas alimentarios. (https://conferenciassan.org.br/wp-content/uploads/2021/05/NotaPublica15h.pdf)</w:t>
      </w:r>
    </w:p>
    <w:p w:rsidR="00000000" w:rsidDel="00000000" w:rsidP="00000000" w:rsidRDefault="00000000" w:rsidRPr="00000000" w14:paraId="0000000B">
      <w:pPr>
        <w:numPr>
          <w:ilvl w:val="0"/>
          <w:numId w:val="1"/>
        </w:numPr>
        <w:shd w:fill="ffffff" w:val="clear"/>
        <w:spacing w:after="300" w:before="0" w:beforeAutospacing="0" w:lineRule="auto"/>
        <w:ind w:left="720" w:hanging="360"/>
        <w:jc w:val="both"/>
        <w:rPr>
          <w:u w:val="none"/>
        </w:rPr>
      </w:pPr>
      <w:r w:rsidDel="00000000" w:rsidR="00000000" w:rsidRPr="00000000">
        <w:rPr>
          <w:rtl w:val="0"/>
        </w:rPr>
        <w:t xml:space="preserve">Inmediatamente después del anuncio de la pandemia del covid-19, la Conferencia Popular por la Soberanía y la Nutrición en Brasil presentó recomendaciones de medidas al gobierno brasileño y las esferas subnacionales para garantizar la seguridad alimentaria y nutricional durante este período (</w:t>
      </w:r>
      <w:hyperlink r:id="rId8">
        <w:r w:rsidDel="00000000" w:rsidR="00000000" w:rsidRPr="00000000">
          <w:rPr>
            <w:color w:val="1155cc"/>
            <w:u w:val="single"/>
            <w:rtl w:val="0"/>
          </w:rPr>
          <w:t xml:space="preserve">https://conferenciassan.org.br/wp-content/uploads/2020/11/Derecho-Alimentacion-y-Pandemia-Espan%CC%83ol-.pdf</w:t>
        </w:r>
      </w:hyperlink>
      <w:r w:rsidDel="00000000" w:rsidR="00000000" w:rsidRPr="00000000">
        <w:rPr>
          <w:rtl w:val="0"/>
        </w:rPr>
        <w:t xml:space="preserve">). Asimismo, en el mismo período, con motivo de las elecciones de alcaldes y parlamentarios a nivel municipal, presentamos subsidios para contribuir a la elección de candidatos comprometidos con sistemas alimentarios locales saludables y sostenibles. (</w:t>
      </w:r>
      <w:hyperlink r:id="rId9">
        <w:r w:rsidDel="00000000" w:rsidR="00000000" w:rsidRPr="00000000">
          <w:rPr>
            <w:color w:val="1155cc"/>
            <w:u w:val="single"/>
            <w:rtl w:val="0"/>
          </w:rPr>
          <w:t xml:space="preserve">https://conferenciassan.org.br/wp-content/uploads/2020/10/CartaEleicoes-2.pdf</w:t>
        </w:r>
      </w:hyperlink>
      <w:r w:rsidDel="00000000" w:rsidR="00000000" w:rsidRPr="00000000">
        <w:rPr>
          <w:rtl w:val="0"/>
        </w:rPr>
        <w:t xml:space="preserve">)</w:t>
      </w:r>
    </w:p>
    <w:p w:rsidR="00000000" w:rsidDel="00000000" w:rsidP="00000000" w:rsidRDefault="00000000" w:rsidRPr="00000000" w14:paraId="0000000C">
      <w:pPr>
        <w:shd w:fill="ffffff" w:val="clear"/>
        <w:spacing w:after="300" w:before="300" w:lineRule="auto"/>
        <w:jc w:val="both"/>
        <w:rPr/>
      </w:pPr>
      <w:r w:rsidDel="00000000" w:rsidR="00000000" w:rsidRPr="00000000">
        <w:rPr>
          <w:rtl w:val="0"/>
        </w:rPr>
        <w:t xml:space="preserve">Así, considerando los diálogos profundos con nuestras comunidades, queremos reafirmar la necesidad de colocar la soberanía alimentaria y la promoción del derecho humano a la alimentación en el centro de las prioridades.</w:t>
      </w:r>
    </w:p>
    <w:p w:rsidR="00000000" w:rsidDel="00000000" w:rsidP="00000000" w:rsidRDefault="00000000" w:rsidRPr="00000000" w14:paraId="0000000D">
      <w:pPr>
        <w:shd w:fill="ffffff" w:val="clear"/>
        <w:spacing w:after="300" w:before="300" w:lineRule="auto"/>
        <w:jc w:val="both"/>
        <w:rPr/>
      </w:pPr>
      <w:r w:rsidDel="00000000" w:rsidR="00000000" w:rsidRPr="00000000">
        <w:rPr>
          <w:rtl w:val="0"/>
        </w:rPr>
      </w:r>
    </w:p>
    <w:p w:rsidR="00000000" w:rsidDel="00000000" w:rsidP="00000000" w:rsidRDefault="00000000" w:rsidRPr="00000000" w14:paraId="0000000E">
      <w:pPr>
        <w:shd w:fill="ffffff" w:val="clear"/>
        <w:spacing w:after="300" w:before="300" w:lineRule="auto"/>
        <w:jc w:val="both"/>
        <w:rPr>
          <w:b w:val="1"/>
        </w:rPr>
      </w:pPr>
      <w:r w:rsidDel="00000000" w:rsidR="00000000" w:rsidRPr="00000000">
        <w:rPr>
          <w:b w:val="1"/>
          <w:rtl w:val="0"/>
        </w:rPr>
        <w:t xml:space="preserve">Para más informaciones:</w:t>
      </w:r>
    </w:p>
    <w:p w:rsidR="00000000" w:rsidDel="00000000" w:rsidP="00000000" w:rsidRDefault="00000000" w:rsidRPr="00000000" w14:paraId="0000000F">
      <w:pPr>
        <w:shd w:fill="ffffff" w:val="clear"/>
        <w:spacing w:after="300" w:before="300" w:lineRule="auto"/>
        <w:jc w:val="both"/>
        <w:rPr/>
      </w:pPr>
      <w:r w:rsidDel="00000000" w:rsidR="00000000" w:rsidRPr="00000000">
        <w:rPr>
          <w:rtl w:val="0"/>
        </w:rPr>
        <w:t xml:space="preserve">correo electrónico: </w:t>
      </w:r>
      <w:hyperlink r:id="rId10">
        <w:r w:rsidDel="00000000" w:rsidR="00000000" w:rsidRPr="00000000">
          <w:rPr>
            <w:color w:val="1155cc"/>
            <w:u w:val="single"/>
            <w:rtl w:val="0"/>
          </w:rPr>
          <w:t xml:space="preserve">conferenciapopularssan@gmail.com</w:t>
        </w:r>
      </w:hyperlink>
      <w:r w:rsidDel="00000000" w:rsidR="00000000" w:rsidRPr="00000000">
        <w:rPr>
          <w:rtl w:val="0"/>
        </w:rPr>
        <w:t xml:space="preserve"> | https://conferenciassan.org.br/</w:t>
      </w:r>
    </w:p>
    <w:p w:rsidR="00000000" w:rsidDel="00000000" w:rsidP="00000000" w:rsidRDefault="00000000" w:rsidRPr="00000000" w14:paraId="00000010">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conferenciassan.org.br/wp-content/uploads/2020/11/Derecho-Alimentacion-y-Pandemia-Espan%CC%83ol-.pdf" TargetMode="Externa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yperlink" Target="https://conferenciassan.org.br/wp-content/uploads/2021/05/Manifestoversao3vf.pd"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conferenciassan.org.br/" TargetMode="External"/><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hyperlink" Target="mailto:conferenciapopularssan@gmail.com" TargetMode="External"/><Relationship Id="rId4" Type="http://schemas.openxmlformats.org/officeDocument/2006/relationships/numbering" Target="numbering.xml"/><Relationship Id="rId9" Type="http://schemas.openxmlformats.org/officeDocument/2006/relationships/hyperlink" Target="https://conferenciassan.org.br/wp-content/uploads/2020/10/CartaEleicoe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A54872-94AF-4158-A4F4-9816A773A4AE}"/>
</file>

<file path=customXml/itemProps2.xml><?xml version="1.0" encoding="utf-8"?>
<ds:datastoreItem xmlns:ds="http://schemas.openxmlformats.org/officeDocument/2006/customXml" ds:itemID="{B1E7848B-3417-4B14-A59C-5F487AD14A61}"/>
</file>

<file path=customXml/itemProps3.xml><?xml version="1.0" encoding="utf-8"?>
<ds:datastoreItem xmlns:ds="http://schemas.openxmlformats.org/officeDocument/2006/customXml" ds:itemID="{C3538DE3-15A2-43F3-826F-C919C7E1DE5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