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89B0" w14:textId="77777777" w:rsidR="00FC4BF1" w:rsidRDefault="00FC4BF1" w:rsidP="00D362E6">
      <w:pPr>
        <w:shd w:val="clear" w:color="auto" w:fill="FFFFFF"/>
        <w:spacing w:before="30" w:after="30" w:line="240" w:lineRule="auto"/>
        <w:ind w:left="850" w:right="850"/>
        <w:jc w:val="center"/>
        <w:rPr>
          <w:rFonts w:asciiTheme="minorHAnsi" w:eastAsia="Times New Roman" w:hAnsiTheme="minorHAnsi" w:cstheme="minorHAnsi"/>
          <w:b/>
          <w:color w:val="000000"/>
          <w:sz w:val="16"/>
          <w:szCs w:val="16"/>
          <w:lang w:eastAsia="es-MX"/>
        </w:rPr>
      </w:pPr>
    </w:p>
    <w:p w14:paraId="28B0EC1F" w14:textId="77777777" w:rsidR="00FC4BF1" w:rsidRDefault="00FC4BF1" w:rsidP="00FC4BF1">
      <w:pPr>
        <w:spacing w:line="276" w:lineRule="auto"/>
        <w:ind w:left="567" w:right="452"/>
        <w:jc w:val="right"/>
        <w:rPr>
          <w:rFonts w:eastAsia="Times New Roman" w:cs="Arial"/>
          <w:color w:val="222222"/>
          <w:shd w:val="clear" w:color="auto" w:fill="FFFFFF"/>
        </w:rPr>
      </w:pPr>
      <w:r w:rsidRPr="00FC4BF1">
        <w:rPr>
          <w:rFonts w:eastAsia="Times New Roman" w:cs="Arial"/>
          <w:color w:val="222222"/>
          <w:shd w:val="clear" w:color="auto" w:fill="FFFFFF"/>
        </w:rPr>
        <w:t>SR. MICHAEL FAKHRI</w:t>
      </w:r>
    </w:p>
    <w:p w14:paraId="265F2A2B" w14:textId="77777777" w:rsidR="00FC4BF1" w:rsidRPr="00D405EA" w:rsidRDefault="00FC4BF1" w:rsidP="00FC4BF1">
      <w:pPr>
        <w:spacing w:line="276" w:lineRule="auto"/>
        <w:ind w:left="567" w:right="452"/>
        <w:jc w:val="right"/>
        <w:rPr>
          <w:rFonts w:eastAsia="Times New Roman" w:cs="Arial"/>
          <w:color w:val="222222"/>
          <w:shd w:val="clear" w:color="auto" w:fill="FFFFFF"/>
        </w:rPr>
      </w:pPr>
      <w:r w:rsidRPr="009E6C4C">
        <w:rPr>
          <w:rFonts w:eastAsia="Times New Roman" w:cs="Arial"/>
          <w:color w:val="222222"/>
          <w:shd w:val="clear" w:color="auto" w:fill="FFFFFF"/>
        </w:rPr>
        <w:t xml:space="preserve">RELATOR ESPECIAL SOBRE </w:t>
      </w:r>
      <w:r>
        <w:rPr>
          <w:rFonts w:eastAsia="Times New Roman" w:cs="Arial"/>
          <w:color w:val="222222"/>
          <w:shd w:val="clear" w:color="auto" w:fill="FFFFFF"/>
        </w:rPr>
        <w:t>EL DERECHO A LA ALIMENTACIÓN</w:t>
      </w:r>
    </w:p>
    <w:p w14:paraId="2BE18359" w14:textId="77777777" w:rsidR="00FC4BF1" w:rsidRDefault="00FC4BF1" w:rsidP="00FC4BF1">
      <w:pPr>
        <w:spacing w:line="276" w:lineRule="auto"/>
        <w:ind w:left="567" w:right="452"/>
        <w:jc w:val="right"/>
        <w:rPr>
          <w:rFonts w:eastAsia="Times New Roman" w:cs="Arial"/>
          <w:color w:val="222222"/>
          <w:shd w:val="clear" w:color="auto" w:fill="FFFFFF"/>
        </w:rPr>
      </w:pPr>
      <w:r w:rsidRPr="009E6C4C">
        <w:rPr>
          <w:rFonts w:eastAsia="Times New Roman" w:cs="Arial"/>
          <w:color w:val="222222"/>
          <w:shd w:val="clear" w:color="auto" w:fill="FFFFFF"/>
        </w:rPr>
        <w:t xml:space="preserve">Alimentación sana y sostenible </w:t>
      </w:r>
      <w:r>
        <w:rPr>
          <w:rFonts w:eastAsia="Times New Roman" w:cs="Arial"/>
          <w:color w:val="222222"/>
          <w:shd w:val="clear" w:color="auto" w:fill="FFFFFF"/>
        </w:rPr>
        <w:t>–</w:t>
      </w:r>
      <w:r w:rsidRPr="009E6C4C">
        <w:rPr>
          <w:rFonts w:eastAsia="Times New Roman" w:cs="Arial"/>
          <w:color w:val="222222"/>
          <w:shd w:val="clear" w:color="auto" w:fill="FFFFFF"/>
        </w:rPr>
        <w:t xml:space="preserve"> </w:t>
      </w:r>
      <w:r>
        <w:rPr>
          <w:rFonts w:eastAsia="Times New Roman" w:cs="Arial"/>
          <w:color w:val="222222"/>
          <w:shd w:val="clear" w:color="auto" w:fill="FFFFFF"/>
        </w:rPr>
        <w:t>Sistemas alimentarios-</w:t>
      </w:r>
      <w:r w:rsidRPr="00FC4BF1">
        <w:rPr>
          <w:rFonts w:ascii="Verdana" w:hAnsi="Verdana"/>
          <w:color w:val="000000"/>
          <w:sz w:val="19"/>
          <w:szCs w:val="19"/>
          <w:shd w:val="clear" w:color="auto" w:fill="FFFFFF"/>
        </w:rPr>
        <w:t xml:space="preserve"> </w:t>
      </w:r>
      <w:r>
        <w:rPr>
          <w:rFonts w:ascii="Verdana" w:hAnsi="Verdana"/>
          <w:color w:val="000000"/>
          <w:sz w:val="19"/>
          <w:szCs w:val="19"/>
          <w:shd w:val="clear" w:color="auto" w:fill="FFFFFF"/>
        </w:rPr>
        <w:t>Cumbre sobre Sistemas Alimentarios</w:t>
      </w:r>
      <w:r>
        <w:rPr>
          <w:rFonts w:eastAsia="Times New Roman" w:cs="Arial"/>
          <w:color w:val="222222"/>
          <w:shd w:val="clear" w:color="auto" w:fill="FFFFFF"/>
        </w:rPr>
        <w:t>.</w:t>
      </w:r>
    </w:p>
    <w:p w14:paraId="0578AB00" w14:textId="77777777" w:rsidR="00FC4BF1" w:rsidRDefault="00FC4BF1" w:rsidP="00FC4BF1">
      <w:pPr>
        <w:spacing w:line="276" w:lineRule="auto"/>
        <w:ind w:left="567" w:right="452" w:firstLine="708"/>
        <w:jc w:val="right"/>
        <w:rPr>
          <w:rFonts w:eastAsia="Times New Roman" w:cs="Arial"/>
          <w:color w:val="222222"/>
          <w:shd w:val="clear" w:color="auto" w:fill="FFFFFF"/>
        </w:rPr>
      </w:pPr>
      <w:r>
        <w:rPr>
          <w:rFonts w:eastAsia="Times New Roman" w:cs="Arial"/>
          <w:color w:val="222222"/>
          <w:shd w:val="clear" w:color="auto" w:fill="FFFFFF"/>
        </w:rPr>
        <w:t>Solicitud de contribuciones.</w:t>
      </w:r>
    </w:p>
    <w:p w14:paraId="0144E549" w14:textId="77777777" w:rsidR="00FC4BF1" w:rsidRDefault="00FC4BF1" w:rsidP="00FC4BF1">
      <w:pPr>
        <w:spacing w:line="276" w:lineRule="auto"/>
        <w:ind w:left="567" w:right="452" w:firstLine="708"/>
        <w:jc w:val="right"/>
        <w:rPr>
          <w:rFonts w:eastAsia="Times New Roman" w:cs="Arial"/>
          <w:color w:val="222222"/>
          <w:shd w:val="clear" w:color="auto" w:fill="FFFFFF"/>
        </w:rPr>
      </w:pPr>
    </w:p>
    <w:p w14:paraId="4B1CE388" w14:textId="77777777" w:rsidR="00FC4BF1" w:rsidRDefault="00FC4BF1" w:rsidP="00FC4BF1">
      <w:pPr>
        <w:spacing w:line="276" w:lineRule="auto"/>
        <w:ind w:left="567" w:right="452" w:firstLine="708"/>
        <w:jc w:val="right"/>
        <w:rPr>
          <w:rFonts w:eastAsia="Times New Roman" w:cs="Arial"/>
          <w:color w:val="222222"/>
          <w:shd w:val="clear" w:color="auto" w:fill="FFFFFF"/>
        </w:rPr>
      </w:pPr>
    </w:p>
    <w:p w14:paraId="2E51B339" w14:textId="77777777" w:rsidR="00FC4BF1" w:rsidRDefault="00FC4BF1" w:rsidP="00FC4BF1">
      <w:pPr>
        <w:spacing w:line="276" w:lineRule="auto"/>
        <w:ind w:left="567" w:right="452" w:firstLine="708"/>
        <w:jc w:val="right"/>
        <w:rPr>
          <w:rFonts w:eastAsia="Times New Roman" w:cs="Arial"/>
          <w:color w:val="222222"/>
          <w:shd w:val="clear" w:color="auto" w:fill="FFFFFF"/>
        </w:rPr>
      </w:pPr>
    </w:p>
    <w:p w14:paraId="0F555658" w14:textId="77777777" w:rsidR="00FC4BF1" w:rsidRPr="00D405EA" w:rsidRDefault="00FC4BF1" w:rsidP="00FC4BF1">
      <w:pPr>
        <w:spacing w:line="276" w:lineRule="auto"/>
        <w:ind w:left="567" w:right="452" w:firstLine="708"/>
        <w:jc w:val="right"/>
        <w:rPr>
          <w:rFonts w:eastAsia="Times New Roman" w:cs="Arial"/>
          <w:color w:val="222222"/>
          <w:shd w:val="clear" w:color="auto" w:fill="FFFFFF"/>
        </w:rPr>
      </w:pPr>
    </w:p>
    <w:p w14:paraId="57DE3021" w14:textId="77777777" w:rsidR="00FC4BF1" w:rsidRPr="00FC4BF1" w:rsidRDefault="008B43ED" w:rsidP="00FC4BF1">
      <w:pPr>
        <w:spacing w:line="276" w:lineRule="auto"/>
        <w:ind w:left="567" w:right="452"/>
        <w:jc w:val="center"/>
        <w:rPr>
          <w:rFonts w:eastAsia="Times New Roman" w:cs="Arial"/>
          <w:b/>
          <w:color w:val="222222"/>
          <w:sz w:val="36"/>
          <w:szCs w:val="36"/>
          <w:shd w:val="clear" w:color="auto" w:fill="FFFFFF"/>
        </w:rPr>
      </w:pPr>
      <w:r>
        <w:rPr>
          <w:rFonts w:eastAsia="Times New Roman" w:cs="Arial"/>
          <w:color w:val="222222"/>
          <w:shd w:val="clear" w:color="auto" w:fill="FFFFFF"/>
        </w:rPr>
        <w:pict w14:anchorId="1B00B168">
          <v:rect id="_x0000_i1025" style="width:266.45pt;height:2pt" o:hralign="center" o:hrstd="t" o:hrnoshade="t" o:hr="t" fillcolor="black [3213]" stroked="f"/>
        </w:pict>
      </w:r>
      <w:r w:rsidR="00FC4BF1" w:rsidRPr="00D405EA">
        <w:rPr>
          <w:rFonts w:ascii="Times" w:eastAsia="Times New Roman" w:hAnsi="Times" w:cs="Times New Roman"/>
          <w:sz w:val="20"/>
          <w:szCs w:val="20"/>
        </w:rPr>
        <w:t xml:space="preserve"> </w:t>
      </w:r>
      <w:r w:rsidR="00FC4BF1" w:rsidRPr="00FC4BF1">
        <w:rPr>
          <w:rFonts w:eastAsia="Times New Roman" w:cs="Arial"/>
          <w:b/>
          <w:color w:val="222222"/>
          <w:sz w:val="36"/>
          <w:szCs w:val="36"/>
          <w:shd w:val="clear" w:color="auto" w:fill="FFFFFF"/>
        </w:rPr>
        <w:t>Convocatoria de contribuciones: Sistemas alimentarios y derechos humanos</w:t>
      </w:r>
    </w:p>
    <w:p w14:paraId="01E94ABE" w14:textId="77777777" w:rsidR="00FC4BF1" w:rsidRPr="00D405EA" w:rsidRDefault="008B43ED" w:rsidP="00FC4BF1">
      <w:pPr>
        <w:spacing w:line="276" w:lineRule="auto"/>
        <w:ind w:left="567" w:right="452"/>
        <w:jc w:val="center"/>
        <w:rPr>
          <w:rFonts w:eastAsia="Times New Roman" w:cs="Arial"/>
          <w:b/>
          <w:color w:val="222222"/>
          <w:shd w:val="clear" w:color="auto" w:fill="FFFFFF"/>
        </w:rPr>
      </w:pPr>
      <w:r>
        <w:rPr>
          <w:rFonts w:eastAsia="Times New Roman" w:cs="Arial"/>
          <w:b/>
          <w:color w:val="222222"/>
          <w:shd w:val="clear" w:color="auto" w:fill="FFFFFF"/>
        </w:rPr>
        <w:pict w14:anchorId="04A29B0E">
          <v:rect id="_x0000_i1026" style="width:266.45pt;height:2pt" o:hralign="center" o:hrstd="t" o:hrnoshade="t" o:hr="t" fillcolor="black [3213]" stroked="f"/>
        </w:pict>
      </w:r>
    </w:p>
    <w:p w14:paraId="6DE50BF3" w14:textId="77777777" w:rsidR="00FC4BF1" w:rsidRDefault="00FC4BF1" w:rsidP="00FC4BF1">
      <w:pPr>
        <w:spacing w:line="276" w:lineRule="auto"/>
        <w:ind w:left="567" w:right="452"/>
        <w:jc w:val="both"/>
        <w:rPr>
          <w:rFonts w:eastAsia="Times New Roman" w:cs="Arial"/>
          <w:b/>
          <w:color w:val="222222"/>
          <w:shd w:val="clear" w:color="auto" w:fill="FFFFFF"/>
        </w:rPr>
      </w:pPr>
    </w:p>
    <w:p w14:paraId="07085A93" w14:textId="77777777" w:rsidR="00FC4BF1" w:rsidRDefault="00FC4BF1" w:rsidP="00FC4BF1">
      <w:pPr>
        <w:spacing w:line="276" w:lineRule="auto"/>
        <w:ind w:left="567" w:right="452"/>
        <w:jc w:val="both"/>
        <w:rPr>
          <w:rFonts w:eastAsia="Times New Roman" w:cs="Arial"/>
          <w:b/>
          <w:color w:val="222222"/>
          <w:shd w:val="clear" w:color="auto" w:fill="FFFFFF"/>
        </w:rPr>
      </w:pPr>
    </w:p>
    <w:p w14:paraId="6687762B" w14:textId="77777777" w:rsidR="00FC4BF1" w:rsidRDefault="00FC4BF1" w:rsidP="00FC4BF1">
      <w:pPr>
        <w:spacing w:line="276" w:lineRule="auto"/>
        <w:ind w:left="567" w:right="452"/>
        <w:jc w:val="both"/>
        <w:rPr>
          <w:rFonts w:eastAsia="Times New Roman" w:cs="Arial"/>
          <w:b/>
          <w:color w:val="222222"/>
          <w:shd w:val="clear" w:color="auto" w:fill="FFFFFF"/>
        </w:rPr>
      </w:pPr>
    </w:p>
    <w:p w14:paraId="75CD355F" w14:textId="77777777" w:rsidR="00FC4BF1" w:rsidRPr="00D405EA" w:rsidRDefault="00FC4BF1" w:rsidP="00FC4BF1">
      <w:pPr>
        <w:spacing w:line="276" w:lineRule="auto"/>
        <w:ind w:left="567" w:right="452"/>
        <w:jc w:val="both"/>
        <w:rPr>
          <w:rFonts w:eastAsia="Times New Roman" w:cs="Arial"/>
          <w:b/>
          <w:color w:val="222222"/>
          <w:shd w:val="clear" w:color="auto" w:fill="FFFFFF"/>
        </w:rPr>
      </w:pPr>
    </w:p>
    <w:p w14:paraId="5C8570FA" w14:textId="77777777" w:rsidR="00FC4BF1" w:rsidRPr="00D405EA" w:rsidRDefault="00FC4BF1" w:rsidP="00FC4BF1">
      <w:pPr>
        <w:spacing w:line="276" w:lineRule="auto"/>
        <w:ind w:left="567" w:right="452"/>
        <w:jc w:val="both"/>
        <w:rPr>
          <w:rFonts w:eastAsia="Times New Roman" w:cs="Arial"/>
          <w:b/>
          <w:color w:val="222222"/>
          <w:shd w:val="clear" w:color="auto" w:fill="FFFFFF"/>
        </w:rPr>
      </w:pPr>
      <w:r>
        <w:rPr>
          <w:rFonts w:eastAsia="Times New Roman" w:cs="Arial"/>
          <w:b/>
          <w:color w:val="222222"/>
          <w:shd w:val="clear" w:color="auto" w:fill="FFFFFF"/>
        </w:rPr>
        <w:t xml:space="preserve">SOLICITUD DE CONTRIBUCIÓN </w:t>
      </w:r>
      <w:r w:rsidR="00226D80">
        <w:rPr>
          <w:rFonts w:eastAsia="Times New Roman" w:cs="Arial"/>
          <w:b/>
          <w:color w:val="222222"/>
          <w:shd w:val="clear" w:color="auto" w:fill="FFFFFF"/>
        </w:rPr>
        <w:t>PRESENTADA</w:t>
      </w:r>
      <w:r w:rsidRPr="00D405EA">
        <w:rPr>
          <w:rFonts w:eastAsia="Times New Roman" w:cs="Arial"/>
          <w:b/>
          <w:color w:val="222222"/>
          <w:shd w:val="clear" w:color="auto" w:fill="FFFFFF"/>
        </w:rPr>
        <w:t xml:space="preserve"> POR:</w:t>
      </w:r>
      <w:r w:rsidRPr="00D405EA">
        <w:rPr>
          <w:rFonts w:eastAsia="Times New Roman" w:cs="Arial"/>
          <w:b/>
          <w:color w:val="222222"/>
          <w:shd w:val="clear" w:color="auto" w:fill="FFFFFF"/>
        </w:rPr>
        <w:tab/>
      </w:r>
    </w:p>
    <w:p w14:paraId="064BFD37" w14:textId="77777777" w:rsidR="00FC4BF1" w:rsidRPr="00D405EA" w:rsidRDefault="00FC4BF1" w:rsidP="00FC4BF1">
      <w:pPr>
        <w:spacing w:line="276" w:lineRule="auto"/>
        <w:ind w:left="567" w:right="452"/>
        <w:jc w:val="both"/>
        <w:rPr>
          <w:rFonts w:eastAsia="Times New Roman" w:cs="Arial"/>
          <w:b/>
          <w:color w:val="222222"/>
          <w:shd w:val="clear" w:color="auto" w:fill="FFFFFF"/>
        </w:rPr>
      </w:pPr>
    </w:p>
    <w:p w14:paraId="2C3DEB04" w14:textId="77777777" w:rsidR="00FC4BF1" w:rsidRPr="00D405EA" w:rsidRDefault="00FC4BF1" w:rsidP="00FC4BF1">
      <w:pPr>
        <w:spacing w:line="276" w:lineRule="auto"/>
        <w:ind w:left="567" w:right="452"/>
        <w:jc w:val="both"/>
        <w:rPr>
          <w:rFonts w:eastAsia="Times New Roman" w:cs="Arial"/>
          <w:b/>
          <w:color w:val="222222"/>
          <w:shd w:val="clear" w:color="auto" w:fill="FFFFFF"/>
        </w:rPr>
      </w:pPr>
      <w:r w:rsidRPr="00D405EA">
        <w:rPr>
          <w:rFonts w:eastAsia="Times New Roman" w:cs="Arial"/>
          <w:b/>
          <w:noProof/>
          <w:color w:val="222222"/>
          <w:lang w:eastAsia="es-MX"/>
        </w:rPr>
        <mc:AlternateContent>
          <mc:Choice Requires="wps">
            <w:drawing>
              <wp:anchor distT="0" distB="0" distL="114300" distR="114300" simplePos="0" relativeHeight="251659264" behindDoc="0" locked="0" layoutInCell="1" allowOverlap="1" wp14:anchorId="6D232B5E" wp14:editId="7943B9B2">
                <wp:simplePos x="0" y="0"/>
                <wp:positionH relativeFrom="column">
                  <wp:posOffset>-2540</wp:posOffset>
                </wp:positionH>
                <wp:positionV relativeFrom="paragraph">
                  <wp:posOffset>138430</wp:posOffset>
                </wp:positionV>
                <wp:extent cx="1716405" cy="1694815"/>
                <wp:effectExtent l="0" t="0" r="0" b="6985"/>
                <wp:wrapSquare wrapText="bothSides"/>
                <wp:docPr id="2" name="Text Box 2"/>
                <wp:cNvGraphicFramePr/>
                <a:graphic xmlns:a="http://schemas.openxmlformats.org/drawingml/2006/main">
                  <a:graphicData uri="http://schemas.microsoft.com/office/word/2010/wordprocessingShape">
                    <wps:wsp>
                      <wps:cNvSpPr txBox="1"/>
                      <wps:spPr>
                        <a:xfrm>
                          <a:off x="0" y="0"/>
                          <a:ext cx="1716405" cy="16948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6AB452" w14:textId="77777777" w:rsidR="00FC4BF1" w:rsidRDefault="00FC4BF1" w:rsidP="00FC4BF1">
                            <w:r w:rsidRPr="00D405EA">
                              <w:rPr>
                                <w:rFonts w:eastAsia="Times New Roman" w:cs="Arial"/>
                                <w:b/>
                                <w:noProof/>
                                <w:color w:val="222222"/>
                                <w:shd w:val="clear" w:color="auto" w:fill="FFFFFF"/>
                                <w:lang w:eastAsia="es-MX"/>
                              </w:rPr>
                              <w:drawing>
                                <wp:inline distT="0" distB="0" distL="0" distR="0" wp14:anchorId="00FCA425" wp14:editId="7731CAD2">
                                  <wp:extent cx="1488349" cy="1488349"/>
                                  <wp:effectExtent l="0" t="0" r="10795" b="1079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l Poder del Consumidor_rojo_250dpi.jpg"/>
                                          <pic:cNvPicPr/>
                                        </pic:nvPicPr>
                                        <pic:blipFill>
                                          <a:blip r:embed="rId8">
                                            <a:extLst>
                                              <a:ext uri="{28A0092B-C50C-407E-A947-70E740481C1C}">
                                                <a14:useLocalDpi xmlns:a14="http://schemas.microsoft.com/office/drawing/2010/main" val="0"/>
                                              </a:ext>
                                            </a:extLst>
                                          </a:blip>
                                          <a:stretch>
                                            <a:fillRect/>
                                          </a:stretch>
                                        </pic:blipFill>
                                        <pic:spPr>
                                          <a:xfrm>
                                            <a:off x="0" y="0"/>
                                            <a:ext cx="1502663" cy="15026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32B5E" id="_x0000_t202" coordsize="21600,21600" o:spt="202" path="m,l,21600r21600,l21600,xe">
                <v:stroke joinstyle="miter"/>
                <v:path gradientshapeok="t" o:connecttype="rect"/>
              </v:shapetype>
              <v:shape id="Text Box 2" o:spid="_x0000_s1026" type="#_x0000_t202" style="position:absolute;left:0;text-align:left;margin-left:-.2pt;margin-top:10.9pt;width:135.15pt;height:1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" filled="f" stroked="f">
                <v:textbox>
                  <w:txbxContent>
                    <w:p w14:paraId="6E6AB452" w14:textId="77777777" w:rsidR="00FC4BF1" w:rsidRDefault="00FC4BF1" w:rsidP="00FC4BF1">
                      <w:r w:rsidRPr="00D405EA">
                        <w:rPr>
                          <w:rFonts w:eastAsia="Times New Roman" w:cs="Arial"/>
                          <w:b/>
                          <w:noProof/>
                          <w:color w:val="222222"/>
                          <w:shd w:val="clear" w:color="auto" w:fill="FFFFFF"/>
                          <w:lang w:eastAsia="es-MX"/>
                        </w:rPr>
                        <w:drawing>
                          <wp:inline distT="0" distB="0" distL="0" distR="0" wp14:anchorId="00FCA425" wp14:editId="7731CAD2">
                            <wp:extent cx="1488349" cy="1488349"/>
                            <wp:effectExtent l="0" t="0" r="10795" b="1079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l Poder del Consumidor_rojo_250dpi.jpg"/>
                                    <pic:cNvPicPr/>
                                  </pic:nvPicPr>
                                  <pic:blipFill>
                                    <a:blip r:embed="rId8">
                                      <a:extLst>
                                        <a:ext uri="{28A0092B-C50C-407E-A947-70E740481C1C}">
                                          <a14:useLocalDpi xmlns:a14="http://schemas.microsoft.com/office/drawing/2010/main" val="0"/>
                                        </a:ext>
                                      </a:extLst>
                                    </a:blip>
                                    <a:stretch>
                                      <a:fillRect/>
                                    </a:stretch>
                                  </pic:blipFill>
                                  <pic:spPr>
                                    <a:xfrm>
                                      <a:off x="0" y="0"/>
                                      <a:ext cx="1502663" cy="1502663"/>
                                    </a:xfrm>
                                    <a:prstGeom prst="rect">
                                      <a:avLst/>
                                    </a:prstGeom>
                                  </pic:spPr>
                                </pic:pic>
                              </a:graphicData>
                            </a:graphic>
                          </wp:inline>
                        </w:drawing>
                      </w:r>
                    </w:p>
                  </w:txbxContent>
                </v:textbox>
                <w10:wrap type="square"/>
              </v:shape>
            </w:pict>
          </mc:Fallback>
        </mc:AlternateContent>
      </w:r>
      <w:r w:rsidRPr="00D405EA">
        <w:rPr>
          <w:rFonts w:eastAsia="Times New Roman" w:cs="Arial"/>
          <w:b/>
          <w:color w:val="222222"/>
          <w:shd w:val="clear" w:color="auto" w:fill="FFFFFF"/>
        </w:rPr>
        <w:t>El Poder del Consumidor, A.C.</w:t>
      </w:r>
    </w:p>
    <w:p w14:paraId="5E6DCF98" w14:textId="77777777" w:rsidR="00FC4BF1" w:rsidRDefault="00FC4BF1" w:rsidP="00FC4BF1">
      <w:pPr>
        <w:spacing w:line="276" w:lineRule="auto"/>
        <w:ind w:left="567" w:right="452"/>
        <w:jc w:val="both"/>
        <w:rPr>
          <w:rFonts w:eastAsia="Times New Roman" w:cs="Arial"/>
          <w:color w:val="222222"/>
          <w:shd w:val="clear" w:color="auto" w:fill="FFFFFF"/>
        </w:rPr>
      </w:pPr>
      <w:r>
        <w:rPr>
          <w:rFonts w:eastAsia="Times New Roman" w:cs="Arial"/>
          <w:color w:val="222222"/>
          <w:shd w:val="clear" w:color="auto" w:fill="FFFFFF"/>
        </w:rPr>
        <w:t>A</w:t>
      </w:r>
      <w:r w:rsidRPr="00D405EA">
        <w:rPr>
          <w:rFonts w:eastAsia="Times New Roman" w:cs="Arial"/>
          <w:color w:val="222222"/>
          <w:shd w:val="clear" w:color="auto" w:fill="FFFFFF"/>
        </w:rPr>
        <w:t>sociación civil cuya misión es promover y realizar la defensa de los derechos de los consumidores</w:t>
      </w:r>
      <w:r>
        <w:rPr>
          <w:rFonts w:eastAsia="Times New Roman" w:cs="Arial"/>
          <w:color w:val="222222"/>
          <w:shd w:val="clear" w:color="auto" w:fill="FFFFFF"/>
        </w:rPr>
        <w:t xml:space="preserve">, </w:t>
      </w:r>
      <w:r w:rsidRPr="00D405EA">
        <w:rPr>
          <w:rFonts w:eastAsia="Times New Roman" w:cs="Arial"/>
          <w:color w:val="222222"/>
          <w:shd w:val="clear" w:color="auto" w:fill="FFFFFF"/>
        </w:rPr>
        <w:t xml:space="preserve">reconocidos </w:t>
      </w:r>
      <w:r>
        <w:rPr>
          <w:rFonts w:eastAsia="Times New Roman" w:cs="Arial"/>
          <w:color w:val="222222"/>
          <w:shd w:val="clear" w:color="auto" w:fill="FFFFFF"/>
        </w:rPr>
        <w:t xml:space="preserve">tanto por las </w:t>
      </w:r>
      <w:r w:rsidRPr="00D405EA">
        <w:rPr>
          <w:rFonts w:eastAsia="Times New Roman" w:cs="Arial"/>
          <w:color w:val="222222"/>
          <w:shd w:val="clear" w:color="auto" w:fill="FFFFFF"/>
        </w:rPr>
        <w:t xml:space="preserve">leyes </w:t>
      </w:r>
      <w:r>
        <w:rPr>
          <w:rFonts w:eastAsia="Times New Roman" w:cs="Arial"/>
          <w:color w:val="222222"/>
          <w:shd w:val="clear" w:color="auto" w:fill="FFFFFF"/>
        </w:rPr>
        <w:t>nacionales como por los tratados internacionales. S</w:t>
      </w:r>
      <w:r w:rsidRPr="00D405EA">
        <w:rPr>
          <w:rFonts w:eastAsia="Times New Roman" w:cs="Arial"/>
          <w:color w:val="222222"/>
          <w:shd w:val="clear" w:color="auto" w:fill="FFFFFF"/>
        </w:rPr>
        <w:t>e busca promover e informar a la sociedad respecto de opciones en productos y servicios.</w:t>
      </w:r>
    </w:p>
    <w:p w14:paraId="35C1DD93" w14:textId="77777777" w:rsidR="00FC4BF1" w:rsidRDefault="00FC4BF1" w:rsidP="00FC4BF1">
      <w:pPr>
        <w:spacing w:line="276" w:lineRule="auto"/>
        <w:ind w:left="567" w:right="452"/>
        <w:jc w:val="both"/>
        <w:rPr>
          <w:rFonts w:eastAsia="Times New Roman" w:cs="Arial"/>
          <w:color w:val="222222"/>
          <w:shd w:val="clear" w:color="auto" w:fill="FFFFFF"/>
        </w:rPr>
      </w:pPr>
    </w:p>
    <w:p w14:paraId="695E24B2" w14:textId="77777777" w:rsidR="00FC4BF1" w:rsidRPr="00D405EA" w:rsidRDefault="00FC4BF1" w:rsidP="00FC4BF1">
      <w:pPr>
        <w:spacing w:line="276" w:lineRule="auto"/>
        <w:ind w:left="567" w:right="452"/>
        <w:jc w:val="both"/>
        <w:rPr>
          <w:rFonts w:eastAsia="Times New Roman" w:cs="Arial"/>
          <w:color w:val="222222"/>
          <w:shd w:val="clear" w:color="auto" w:fill="FFFFFF"/>
        </w:rPr>
      </w:pPr>
    </w:p>
    <w:p w14:paraId="5BB2A7C4" w14:textId="77777777" w:rsidR="00FC4BF1" w:rsidRDefault="00FC4BF1" w:rsidP="00FC4BF1">
      <w:pPr>
        <w:spacing w:line="276" w:lineRule="auto"/>
        <w:ind w:left="567" w:right="452"/>
        <w:jc w:val="both"/>
        <w:rPr>
          <w:rFonts w:eastAsia="Times New Roman" w:cs="Arial"/>
          <w:color w:val="222222"/>
          <w:shd w:val="clear" w:color="auto" w:fill="FFFFFF"/>
        </w:rPr>
      </w:pPr>
    </w:p>
    <w:p w14:paraId="6FDAE1A4" w14:textId="77777777" w:rsidR="00FC4BF1" w:rsidRDefault="00FC4BF1" w:rsidP="00FC4BF1">
      <w:pPr>
        <w:spacing w:line="276" w:lineRule="auto"/>
        <w:ind w:right="452"/>
        <w:jc w:val="both"/>
        <w:rPr>
          <w:rFonts w:eastAsia="Times New Roman" w:cs="Arial"/>
          <w:color w:val="222222"/>
          <w:shd w:val="clear" w:color="auto" w:fill="FFFFFF"/>
        </w:rPr>
      </w:pPr>
    </w:p>
    <w:p w14:paraId="3B0F4FCF" w14:textId="77777777" w:rsidR="00FC4BF1" w:rsidRDefault="00FC4BF1" w:rsidP="00FC4BF1">
      <w:pPr>
        <w:spacing w:line="276" w:lineRule="auto"/>
        <w:ind w:right="452"/>
        <w:jc w:val="both"/>
        <w:rPr>
          <w:rFonts w:eastAsia="Times New Roman" w:cs="Arial"/>
          <w:color w:val="222222"/>
          <w:shd w:val="clear" w:color="auto" w:fill="FFFFFF"/>
        </w:rPr>
      </w:pPr>
    </w:p>
    <w:p w14:paraId="55757C28" w14:textId="77777777" w:rsidR="00FC4BF1" w:rsidRDefault="00FC4BF1">
      <w:pPr>
        <w:rPr>
          <w:rFonts w:asciiTheme="minorHAnsi" w:eastAsia="Times New Roman" w:hAnsiTheme="minorHAnsi" w:cstheme="minorHAnsi"/>
          <w:b/>
          <w:color w:val="000000"/>
          <w:sz w:val="16"/>
          <w:szCs w:val="16"/>
          <w:lang w:eastAsia="es-MX"/>
        </w:rPr>
      </w:pPr>
    </w:p>
    <w:p w14:paraId="17290112" w14:textId="77777777" w:rsidR="003E1D81" w:rsidRPr="00202C73" w:rsidRDefault="003E1D81" w:rsidP="00D362E6">
      <w:pPr>
        <w:shd w:val="clear" w:color="auto" w:fill="FFFFFF"/>
        <w:spacing w:before="30" w:after="30" w:line="240" w:lineRule="auto"/>
        <w:ind w:left="850" w:right="850"/>
        <w:jc w:val="center"/>
        <w:rPr>
          <w:rFonts w:asciiTheme="minorHAnsi" w:eastAsia="Times New Roman" w:hAnsiTheme="minorHAnsi" w:cstheme="minorHAnsi"/>
          <w:b/>
          <w:color w:val="000000"/>
          <w:sz w:val="16"/>
          <w:szCs w:val="16"/>
          <w:lang w:eastAsia="es-MX"/>
        </w:rPr>
      </w:pPr>
      <w:r w:rsidRPr="00202C73">
        <w:rPr>
          <w:rFonts w:asciiTheme="minorHAnsi" w:eastAsia="Times New Roman" w:hAnsiTheme="minorHAnsi" w:cstheme="minorHAnsi"/>
          <w:b/>
          <w:color w:val="000000"/>
          <w:sz w:val="16"/>
          <w:szCs w:val="16"/>
          <w:lang w:eastAsia="es-MX"/>
        </w:rPr>
        <w:lastRenderedPageBreak/>
        <w:t>CUESTIONARIO SOBRE SISTEMAS ALIMENTARIOS</w:t>
      </w:r>
    </w:p>
    <w:p w14:paraId="1B1AD0A8" w14:textId="77777777" w:rsidR="00FB5F25" w:rsidRPr="00202C73" w:rsidRDefault="003E1D81" w:rsidP="00D362E6">
      <w:pPr>
        <w:shd w:val="clear" w:color="auto" w:fill="FFFFFF"/>
        <w:spacing w:before="30" w:after="30" w:line="240" w:lineRule="auto"/>
        <w:ind w:left="850" w:right="850"/>
        <w:jc w:val="center"/>
        <w:rPr>
          <w:rFonts w:asciiTheme="minorHAnsi" w:eastAsia="Times New Roman" w:hAnsiTheme="minorHAnsi" w:cstheme="minorHAnsi"/>
          <w:b/>
          <w:bCs/>
          <w:color w:val="000000"/>
          <w:sz w:val="16"/>
          <w:szCs w:val="16"/>
          <w:lang w:eastAsia="es-MX"/>
        </w:rPr>
      </w:pPr>
      <w:r w:rsidRPr="00202C73">
        <w:rPr>
          <w:rFonts w:asciiTheme="minorHAnsi" w:eastAsia="Times New Roman" w:hAnsiTheme="minorHAnsi" w:cstheme="minorHAnsi"/>
          <w:b/>
          <w:bCs/>
          <w:color w:val="000000"/>
          <w:sz w:val="16"/>
          <w:szCs w:val="16"/>
          <w:lang w:eastAsia="es-MX"/>
        </w:rPr>
        <w:t>Sr. Michael Fakhri, Relator Especial sobre el derecho a la alimentación</w:t>
      </w:r>
    </w:p>
    <w:p w14:paraId="6EC36A96" w14:textId="77777777" w:rsidR="009120C1" w:rsidRPr="009120C1" w:rsidRDefault="009120C1" w:rsidP="009120C1">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p>
    <w:p w14:paraId="59DCE71D" w14:textId="77777777" w:rsidR="00D81E2A" w:rsidRPr="00202C73" w:rsidRDefault="00D81E2A" w:rsidP="00D362E6">
      <w:pPr>
        <w:numPr>
          <w:ilvl w:val="0"/>
          <w:numId w:val="1"/>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D81E2A">
        <w:rPr>
          <w:rFonts w:asciiTheme="minorHAnsi" w:eastAsia="Times New Roman" w:hAnsiTheme="minorHAnsi" w:cstheme="minorHAnsi"/>
          <w:color w:val="000000"/>
          <w:sz w:val="16"/>
          <w:szCs w:val="16"/>
          <w:lang w:eastAsia="es-MX"/>
        </w:rPr>
        <w:t>¿Cuáles son los retos más destacados a los que se enfrentan los sistemas alimentarios de su país/región? Por favor, explique por qué.</w:t>
      </w:r>
    </w:p>
    <w:p w14:paraId="7A0E837F" w14:textId="707BA308" w:rsidR="00E92E2F" w:rsidRPr="0038313F" w:rsidRDefault="00232974" w:rsidP="005103B0">
      <w:pPr>
        <w:pStyle w:val="Prrafodelista"/>
        <w:numPr>
          <w:ilvl w:val="0"/>
          <w:numId w:val="6"/>
        </w:numPr>
        <w:shd w:val="clear" w:color="auto" w:fill="FFFFFF"/>
        <w:spacing w:before="30" w:after="30" w:line="240" w:lineRule="auto"/>
        <w:ind w:left="1418" w:right="850"/>
        <w:jc w:val="both"/>
        <w:rPr>
          <w:rFonts w:asciiTheme="minorHAnsi" w:eastAsia="Times New Roman" w:hAnsiTheme="minorHAnsi" w:cstheme="minorHAnsi"/>
          <w:b/>
          <w:color w:val="000000"/>
          <w:sz w:val="16"/>
          <w:szCs w:val="16"/>
          <w:lang w:eastAsia="es-MX"/>
        </w:rPr>
      </w:pPr>
      <w:r w:rsidRPr="0038313F">
        <w:rPr>
          <w:rFonts w:asciiTheme="minorHAnsi" w:eastAsia="Times New Roman" w:hAnsiTheme="minorHAnsi" w:cstheme="minorHAnsi"/>
          <w:b/>
          <w:color w:val="000000"/>
          <w:sz w:val="16"/>
          <w:szCs w:val="16"/>
          <w:lang w:eastAsia="es-MX"/>
        </w:rPr>
        <w:t>Alto c</w:t>
      </w:r>
      <w:r w:rsidR="001203FA" w:rsidRPr="0038313F">
        <w:rPr>
          <w:rFonts w:asciiTheme="minorHAnsi" w:eastAsia="Times New Roman" w:hAnsiTheme="minorHAnsi" w:cstheme="minorHAnsi"/>
          <w:b/>
          <w:color w:val="000000"/>
          <w:sz w:val="16"/>
          <w:szCs w:val="16"/>
          <w:lang w:eastAsia="es-MX"/>
        </w:rPr>
        <w:t xml:space="preserve">onsumo de ultraprocesados. </w:t>
      </w:r>
      <w:r w:rsidRPr="0038313F">
        <w:rPr>
          <w:rFonts w:asciiTheme="minorHAnsi" w:eastAsia="Times New Roman" w:hAnsiTheme="minorHAnsi" w:cstheme="minorHAnsi"/>
          <w:color w:val="000000"/>
          <w:sz w:val="16"/>
          <w:szCs w:val="16"/>
          <w:lang w:eastAsia="es-MX"/>
        </w:rPr>
        <w:t>H</w:t>
      </w:r>
      <w:r w:rsidR="001203FA" w:rsidRPr="0038313F">
        <w:rPr>
          <w:rFonts w:asciiTheme="minorHAnsi" w:eastAsia="Times New Roman" w:hAnsiTheme="minorHAnsi" w:cstheme="minorHAnsi"/>
          <w:color w:val="000000"/>
          <w:sz w:val="16"/>
          <w:szCs w:val="16"/>
          <w:lang w:eastAsia="es-MX"/>
        </w:rPr>
        <w:t xml:space="preserve">a ocasionado que la población mexicana </w:t>
      </w:r>
      <w:r w:rsidR="00613CD9" w:rsidRPr="0038313F">
        <w:rPr>
          <w:rFonts w:asciiTheme="minorHAnsi" w:eastAsia="Times New Roman" w:hAnsiTheme="minorHAnsi" w:cstheme="minorHAnsi"/>
          <w:color w:val="000000"/>
          <w:sz w:val="16"/>
          <w:szCs w:val="16"/>
          <w:lang w:eastAsia="es-MX"/>
        </w:rPr>
        <w:t>presente índices elevados de</w:t>
      </w:r>
      <w:r w:rsidR="001203FA" w:rsidRPr="0038313F">
        <w:rPr>
          <w:rFonts w:asciiTheme="minorHAnsi" w:eastAsia="Times New Roman" w:hAnsiTheme="minorHAnsi" w:cstheme="minorHAnsi"/>
          <w:color w:val="000000"/>
          <w:sz w:val="16"/>
          <w:szCs w:val="16"/>
          <w:lang w:eastAsia="es-MX"/>
        </w:rPr>
        <w:t xml:space="preserve"> sobrepeso, obesidad y enfermedades cr</w:t>
      </w:r>
      <w:r w:rsidRPr="0038313F">
        <w:rPr>
          <w:rFonts w:asciiTheme="minorHAnsi" w:eastAsia="Times New Roman" w:hAnsiTheme="minorHAnsi" w:cstheme="minorHAnsi"/>
          <w:color w:val="000000"/>
          <w:sz w:val="16"/>
          <w:szCs w:val="16"/>
          <w:lang w:eastAsia="es-MX"/>
        </w:rPr>
        <w:t>ónicas no transmisibles.</w:t>
      </w:r>
      <w:r w:rsidR="00D362E6" w:rsidRPr="00202C73">
        <w:rPr>
          <w:rStyle w:val="Refdenotaalfinal"/>
          <w:rFonts w:asciiTheme="minorHAnsi" w:eastAsia="Times New Roman" w:hAnsiTheme="minorHAnsi" w:cstheme="minorHAnsi"/>
          <w:color w:val="000000"/>
          <w:sz w:val="16"/>
          <w:szCs w:val="16"/>
          <w:lang w:eastAsia="es-MX"/>
        </w:rPr>
        <w:endnoteReference w:id="1"/>
      </w:r>
      <w:r w:rsidR="00D362E6" w:rsidRPr="0038313F">
        <w:rPr>
          <w:rFonts w:asciiTheme="minorHAnsi" w:eastAsia="Times New Roman" w:hAnsiTheme="minorHAnsi" w:cstheme="minorHAnsi"/>
          <w:color w:val="000000"/>
          <w:sz w:val="16"/>
          <w:szCs w:val="16"/>
          <w:lang w:eastAsia="es-MX"/>
        </w:rPr>
        <w:t xml:space="preserve"> También causa </w:t>
      </w:r>
      <w:r w:rsidR="00D362E6" w:rsidRPr="0038313F">
        <w:rPr>
          <w:rFonts w:eastAsia="Times New Roman" w:cs="Calibri"/>
          <w:color w:val="000000"/>
          <w:sz w:val="16"/>
          <w:szCs w:val="16"/>
          <w:lang w:eastAsia="es-MX"/>
        </w:rPr>
        <w:t>contaminación por empaques plásticos</w:t>
      </w:r>
      <w:r w:rsidR="00D362E6" w:rsidRPr="0038313F">
        <w:rPr>
          <w:rFonts w:eastAsia="Times New Roman" w:cs="Calibri"/>
          <w:b/>
          <w:color w:val="000000"/>
          <w:sz w:val="16"/>
          <w:szCs w:val="16"/>
          <w:lang w:eastAsia="es-MX"/>
        </w:rPr>
        <w:t>.</w:t>
      </w:r>
      <w:r w:rsidR="00D362E6" w:rsidRPr="00202C73">
        <w:rPr>
          <w:rStyle w:val="Refdenotaalfinal"/>
          <w:rFonts w:eastAsia="Times New Roman" w:cs="Calibri"/>
          <w:color w:val="000000"/>
          <w:sz w:val="16"/>
          <w:szCs w:val="16"/>
          <w:lang w:eastAsia="es-MX"/>
        </w:rPr>
        <w:endnoteReference w:id="2"/>
      </w:r>
      <w:r w:rsidR="00D362E6" w:rsidRPr="00202C73">
        <w:rPr>
          <w:rStyle w:val="Refdenotaalfinal"/>
          <w:rFonts w:eastAsia="Times New Roman" w:cs="Calibri"/>
          <w:color w:val="000000"/>
          <w:sz w:val="16"/>
          <w:szCs w:val="16"/>
          <w:lang w:eastAsia="es-MX"/>
        </w:rPr>
        <w:endnoteReference w:id="3"/>
      </w:r>
      <w:r w:rsidR="0038313F" w:rsidRPr="0038313F">
        <w:rPr>
          <w:rFonts w:eastAsia="Times New Roman" w:cs="Calibri"/>
          <w:b/>
          <w:color w:val="000000"/>
          <w:sz w:val="16"/>
          <w:szCs w:val="16"/>
          <w:lang w:eastAsia="es-MX"/>
        </w:rPr>
        <w:t xml:space="preserve"> </w:t>
      </w:r>
      <w:r w:rsidR="0038313F" w:rsidRPr="00790A25">
        <w:rPr>
          <w:rFonts w:eastAsia="Times New Roman" w:cs="Calibri"/>
          <w:color w:val="000000"/>
          <w:sz w:val="16"/>
          <w:szCs w:val="16"/>
          <w:lang w:eastAsia="es-MX"/>
        </w:rPr>
        <w:t>Estos productos han reemplazado la dieta tradicional,</w:t>
      </w:r>
      <w:r w:rsidR="0038313F">
        <w:rPr>
          <w:rFonts w:eastAsia="Times New Roman" w:cs="Calibri"/>
          <w:color w:val="000000"/>
          <w:sz w:val="16"/>
          <w:szCs w:val="16"/>
          <w:lang w:eastAsia="es-MX"/>
        </w:rPr>
        <w:t xml:space="preserve"> y han tenido efectos negativos en</w:t>
      </w:r>
      <w:r w:rsidR="0038313F" w:rsidRPr="00790A25">
        <w:rPr>
          <w:rFonts w:eastAsia="Times New Roman" w:cs="Calibri"/>
          <w:color w:val="000000"/>
          <w:sz w:val="16"/>
          <w:szCs w:val="16"/>
          <w:lang w:eastAsia="es-MX"/>
        </w:rPr>
        <w:t xml:space="preserve"> la</w:t>
      </w:r>
      <w:r w:rsidR="0038313F">
        <w:rPr>
          <w:rFonts w:eastAsia="Times New Roman" w:cs="Calibri"/>
          <w:color w:val="000000"/>
          <w:sz w:val="16"/>
          <w:szCs w:val="16"/>
          <w:lang w:eastAsia="es-MX"/>
        </w:rPr>
        <w:t>s</w:t>
      </w:r>
      <w:r w:rsidR="0038313F" w:rsidRPr="00790A25">
        <w:rPr>
          <w:rFonts w:eastAsia="Times New Roman" w:cs="Calibri"/>
          <w:color w:val="000000"/>
          <w:sz w:val="16"/>
          <w:szCs w:val="16"/>
          <w:lang w:eastAsia="es-MX"/>
        </w:rPr>
        <w:t xml:space="preserve"> economía</w:t>
      </w:r>
      <w:r w:rsidR="0038313F">
        <w:rPr>
          <w:rFonts w:eastAsia="Times New Roman" w:cs="Calibri"/>
          <w:color w:val="000000"/>
          <w:sz w:val="16"/>
          <w:szCs w:val="16"/>
          <w:lang w:eastAsia="es-MX"/>
        </w:rPr>
        <w:t>s</w:t>
      </w:r>
      <w:r w:rsidR="0038313F" w:rsidRPr="00790A25">
        <w:rPr>
          <w:rFonts w:eastAsia="Times New Roman" w:cs="Calibri"/>
          <w:color w:val="000000"/>
          <w:sz w:val="16"/>
          <w:szCs w:val="16"/>
          <w:lang w:eastAsia="es-MX"/>
        </w:rPr>
        <w:t xml:space="preserve"> local</w:t>
      </w:r>
      <w:r w:rsidR="0038313F">
        <w:rPr>
          <w:rFonts w:eastAsia="Times New Roman" w:cs="Calibri"/>
          <w:color w:val="000000"/>
          <w:sz w:val="16"/>
          <w:szCs w:val="16"/>
          <w:lang w:eastAsia="es-MX"/>
        </w:rPr>
        <w:t>es</w:t>
      </w:r>
      <w:r w:rsidR="0038313F" w:rsidRPr="00790A25">
        <w:rPr>
          <w:rFonts w:eastAsia="Times New Roman" w:cs="Calibri"/>
          <w:color w:val="000000"/>
          <w:sz w:val="16"/>
          <w:szCs w:val="16"/>
          <w:lang w:eastAsia="es-MX"/>
        </w:rPr>
        <w:t xml:space="preserve"> y los mercados locales.</w:t>
      </w:r>
    </w:p>
    <w:p w14:paraId="140B6A93" w14:textId="77777777" w:rsidR="00D362E6" w:rsidRPr="003E3AF4" w:rsidRDefault="00D362E6" w:rsidP="00B04094">
      <w:pPr>
        <w:pStyle w:val="Prrafodelista"/>
        <w:numPr>
          <w:ilvl w:val="0"/>
          <w:numId w:val="6"/>
        </w:numPr>
        <w:shd w:val="clear" w:color="auto" w:fill="FFFFFF"/>
        <w:spacing w:before="30" w:after="30" w:line="240" w:lineRule="auto"/>
        <w:ind w:left="1418" w:right="850"/>
        <w:jc w:val="both"/>
        <w:rPr>
          <w:rFonts w:asciiTheme="minorHAnsi" w:eastAsia="Times New Roman" w:hAnsiTheme="minorHAnsi" w:cstheme="minorHAnsi"/>
          <w:b/>
          <w:color w:val="000000"/>
          <w:sz w:val="16"/>
          <w:szCs w:val="16"/>
          <w:lang w:eastAsia="es-MX"/>
        </w:rPr>
      </w:pPr>
      <w:r w:rsidRPr="003E3AF4">
        <w:rPr>
          <w:b/>
          <w:sz w:val="16"/>
          <w:szCs w:val="16"/>
          <w:lang w:val="es-ES"/>
        </w:rPr>
        <w:t xml:space="preserve">Uso de transgénicos y agrotóxicos. </w:t>
      </w:r>
      <w:r w:rsidRPr="003E3AF4">
        <w:rPr>
          <w:sz w:val="16"/>
          <w:szCs w:val="16"/>
          <w:lang w:val="es-ES"/>
        </w:rPr>
        <w:t>El uso de estos productos mina la diversidad biológica y los derechos de los campesinos, pues provoca su dependencia a las empresas agroindustriales</w:t>
      </w:r>
      <w:r w:rsidRPr="003E3AF4">
        <w:rPr>
          <w:rStyle w:val="Refdenotaalfinal"/>
          <w:sz w:val="16"/>
          <w:szCs w:val="16"/>
          <w:lang w:val="es-ES"/>
        </w:rPr>
        <w:endnoteReference w:id="4"/>
      </w:r>
      <w:r w:rsidRPr="003E3AF4">
        <w:rPr>
          <w:rStyle w:val="Refdenotaalfinal"/>
          <w:sz w:val="16"/>
          <w:szCs w:val="16"/>
          <w:lang w:val="es-ES"/>
        </w:rPr>
        <w:endnoteReference w:id="5"/>
      </w:r>
    </w:p>
    <w:p w14:paraId="15044007" w14:textId="77777777" w:rsidR="00D362E6" w:rsidRPr="00202C73" w:rsidRDefault="00D362E6" w:rsidP="00B04094">
      <w:pPr>
        <w:pStyle w:val="Prrafodelista"/>
        <w:numPr>
          <w:ilvl w:val="0"/>
          <w:numId w:val="6"/>
        </w:numPr>
        <w:shd w:val="clear" w:color="auto" w:fill="FFFFFF"/>
        <w:spacing w:before="30" w:after="30" w:line="240" w:lineRule="auto"/>
        <w:ind w:left="1418" w:right="850"/>
        <w:jc w:val="both"/>
        <w:rPr>
          <w:rFonts w:asciiTheme="minorHAnsi" w:eastAsia="Times New Roman" w:hAnsiTheme="minorHAnsi" w:cstheme="minorHAnsi"/>
          <w:b/>
          <w:color w:val="000000"/>
          <w:sz w:val="16"/>
          <w:szCs w:val="16"/>
          <w:lang w:eastAsia="es-MX"/>
        </w:rPr>
      </w:pPr>
      <w:r w:rsidRPr="00202C73">
        <w:rPr>
          <w:rFonts w:eastAsia="Times New Roman" w:cs="Calibri"/>
          <w:b/>
          <w:color w:val="000000"/>
          <w:sz w:val="16"/>
          <w:szCs w:val="16"/>
          <w:lang w:eastAsia="es-MX"/>
        </w:rPr>
        <w:t xml:space="preserve">Monocultivos (aguacate, palma africana y soya). </w:t>
      </w:r>
      <w:r w:rsidRPr="00202C73">
        <w:rPr>
          <w:rFonts w:eastAsia="Times New Roman" w:cs="Calibri"/>
          <w:color w:val="000000"/>
          <w:sz w:val="16"/>
          <w:szCs w:val="16"/>
          <w:lang w:eastAsia="es-MX"/>
        </w:rPr>
        <w:t>Los monocultivos han tenido como consecuencia el uso de agrotóxicos, la deforestación, el cambio de uso de tierras, la afectación a los medios de subsistencia de comunidades campesinas e indígenas y violaciones a los derechos laborales de los jornaleros.</w:t>
      </w:r>
      <w:r w:rsidRPr="00202C73">
        <w:rPr>
          <w:rStyle w:val="Refdenotaalfinal"/>
          <w:rFonts w:eastAsia="Times New Roman" w:cs="Calibri"/>
          <w:b/>
          <w:color w:val="000000"/>
          <w:sz w:val="16"/>
          <w:szCs w:val="16"/>
          <w:lang w:eastAsia="es-MX"/>
        </w:rPr>
        <w:endnoteReference w:id="6"/>
      </w:r>
      <w:r w:rsidRPr="00202C73">
        <w:rPr>
          <w:rFonts w:eastAsia="Times New Roman" w:cs="Calibri"/>
          <w:color w:val="000000"/>
          <w:sz w:val="16"/>
          <w:szCs w:val="16"/>
          <w:lang w:eastAsia="es-MX"/>
        </w:rPr>
        <w:t xml:space="preserve">  </w:t>
      </w:r>
    </w:p>
    <w:p w14:paraId="5ACD4C67" w14:textId="77777777" w:rsidR="0038313F" w:rsidRPr="00E92E2F" w:rsidRDefault="00D362E6" w:rsidP="00E92E2F">
      <w:pPr>
        <w:pStyle w:val="Prrafodelista"/>
        <w:numPr>
          <w:ilvl w:val="0"/>
          <w:numId w:val="6"/>
        </w:numPr>
        <w:shd w:val="clear" w:color="auto" w:fill="FFFFFF"/>
        <w:spacing w:before="30" w:after="30" w:line="240" w:lineRule="auto"/>
        <w:ind w:left="1418" w:right="850"/>
        <w:jc w:val="both"/>
        <w:rPr>
          <w:rFonts w:eastAsia="Times New Roman" w:cs="Calibri"/>
          <w:b/>
          <w:color w:val="000000"/>
          <w:sz w:val="16"/>
          <w:szCs w:val="16"/>
          <w:lang w:eastAsia="es-MX"/>
        </w:rPr>
      </w:pPr>
      <w:r w:rsidRPr="00202C73">
        <w:rPr>
          <w:rFonts w:eastAsia="Times New Roman" w:cs="Calibri"/>
          <w:b/>
          <w:color w:val="000000"/>
          <w:sz w:val="16"/>
          <w:szCs w:val="16"/>
          <w:lang w:eastAsia="es-MX"/>
        </w:rPr>
        <w:t xml:space="preserve">Ganadería industrial. </w:t>
      </w:r>
      <w:r w:rsidRPr="00202C73">
        <w:rPr>
          <w:rFonts w:eastAsia="Times New Roman" w:cs="Calibri"/>
          <w:color w:val="000000"/>
          <w:sz w:val="16"/>
          <w:szCs w:val="16"/>
          <w:lang w:eastAsia="es-MX"/>
        </w:rPr>
        <w:t>Provoca la pérdida de ecosistemas, deforestación</w:t>
      </w:r>
      <w:r w:rsidRPr="00202C73">
        <w:rPr>
          <w:rStyle w:val="Refdenotaalfinal"/>
          <w:rFonts w:eastAsia="Times New Roman" w:cs="Calibri"/>
          <w:color w:val="000000"/>
          <w:sz w:val="16"/>
          <w:szCs w:val="16"/>
          <w:lang w:eastAsia="es-MX"/>
        </w:rPr>
        <w:endnoteReference w:id="7"/>
      </w:r>
      <w:r w:rsidRPr="00202C73">
        <w:rPr>
          <w:rFonts w:eastAsia="Times New Roman" w:cs="Calibri"/>
          <w:color w:val="000000"/>
          <w:sz w:val="16"/>
          <w:szCs w:val="16"/>
          <w:lang w:eastAsia="es-MX"/>
        </w:rPr>
        <w:t>, la contaminación de agua y suelo y afecta la realización de actividades de sustento de personas vecinas a ellas.</w:t>
      </w:r>
      <w:r w:rsidRPr="00202C73">
        <w:rPr>
          <w:rStyle w:val="Refdenotaalfinal"/>
          <w:rFonts w:eastAsia="Times New Roman" w:cs="Calibri"/>
          <w:color w:val="000000"/>
          <w:sz w:val="16"/>
          <w:szCs w:val="16"/>
          <w:lang w:eastAsia="es-MX"/>
        </w:rPr>
        <w:endnoteReference w:id="8"/>
      </w:r>
    </w:p>
    <w:p w14:paraId="7D5F4483" w14:textId="717CC638" w:rsidR="0038313F" w:rsidRPr="00E92E2F" w:rsidRDefault="0038313F" w:rsidP="00E92E2F">
      <w:pPr>
        <w:pStyle w:val="Prrafodelista"/>
        <w:numPr>
          <w:ilvl w:val="0"/>
          <w:numId w:val="6"/>
        </w:numPr>
        <w:shd w:val="clear" w:color="auto" w:fill="FFFFFF"/>
        <w:spacing w:before="30" w:after="30" w:line="240" w:lineRule="auto"/>
        <w:ind w:left="1418" w:right="850"/>
        <w:jc w:val="both"/>
        <w:rPr>
          <w:rFonts w:eastAsia="Times New Roman" w:cs="Calibri"/>
          <w:b/>
          <w:color w:val="000000"/>
          <w:sz w:val="16"/>
          <w:szCs w:val="16"/>
          <w:lang w:eastAsia="es-MX"/>
        </w:rPr>
      </w:pPr>
      <w:r w:rsidRPr="00E92E2F">
        <w:rPr>
          <w:rFonts w:asciiTheme="minorHAnsi" w:eastAsia="Times New Roman" w:hAnsiTheme="minorHAnsi" w:cstheme="minorHAnsi"/>
          <w:b/>
          <w:color w:val="000000"/>
          <w:sz w:val="16"/>
          <w:szCs w:val="16"/>
          <w:lang w:eastAsia="es-MX"/>
        </w:rPr>
        <w:t xml:space="preserve">Desperdicio de alimentos. </w:t>
      </w:r>
      <w:r w:rsidRPr="00E92E2F">
        <w:rPr>
          <w:rFonts w:eastAsia="Times New Roman" w:cs="Calibri"/>
          <w:color w:val="000000"/>
          <w:sz w:val="16"/>
          <w:szCs w:val="16"/>
          <w:lang w:eastAsia="es-MX"/>
        </w:rPr>
        <w:t>México impacta en el cambio climático,</w:t>
      </w:r>
      <w:r w:rsidRPr="00202C73">
        <w:rPr>
          <w:rStyle w:val="Refdenotaalfinal"/>
          <w:rFonts w:eastAsia="Times New Roman" w:cs="Calibri"/>
          <w:color w:val="000000"/>
          <w:sz w:val="16"/>
          <w:szCs w:val="16"/>
          <w:lang w:eastAsia="es-MX"/>
        </w:rPr>
        <w:endnoteReference w:id="9"/>
      </w:r>
      <w:r w:rsidRPr="00E92E2F">
        <w:rPr>
          <w:rFonts w:eastAsia="Times New Roman" w:cs="Calibri"/>
          <w:color w:val="000000"/>
          <w:sz w:val="16"/>
          <w:szCs w:val="16"/>
          <w:lang w:eastAsia="es-MX"/>
        </w:rPr>
        <w:t xml:space="preserve"> al desperdiciar 28 millones</w:t>
      </w:r>
      <w:r w:rsidRPr="00202C73">
        <w:rPr>
          <w:rStyle w:val="Refdenotaalfinal"/>
          <w:rFonts w:eastAsia="Times New Roman" w:cs="Calibri"/>
          <w:color w:val="000000"/>
          <w:sz w:val="16"/>
          <w:szCs w:val="16"/>
          <w:lang w:eastAsia="es-MX"/>
        </w:rPr>
        <w:endnoteReference w:id="10"/>
      </w:r>
      <w:r w:rsidRPr="00E92E2F">
        <w:rPr>
          <w:rFonts w:eastAsia="Times New Roman" w:cs="Calibri"/>
          <w:color w:val="000000"/>
          <w:sz w:val="16"/>
          <w:szCs w:val="16"/>
          <w:lang w:eastAsia="es-MX"/>
        </w:rPr>
        <w:t xml:space="preserve"> de toneladas de alimentos al año y emitir cerca de 36 millones de toneladas de dióxido de carbono.</w:t>
      </w:r>
      <w:r w:rsidRPr="0038313F">
        <w:rPr>
          <w:rStyle w:val="Refdenotaalfinal"/>
          <w:rFonts w:eastAsia="Times New Roman" w:cs="Calibri"/>
          <w:color w:val="000000"/>
          <w:sz w:val="16"/>
          <w:szCs w:val="16"/>
          <w:lang w:eastAsia="es-MX"/>
        </w:rPr>
        <w:t xml:space="preserve"> </w:t>
      </w:r>
      <w:r w:rsidRPr="00202C73">
        <w:rPr>
          <w:rStyle w:val="Refdenotaalfinal"/>
          <w:rFonts w:eastAsia="Times New Roman" w:cs="Calibri"/>
          <w:color w:val="000000"/>
          <w:sz w:val="16"/>
          <w:szCs w:val="16"/>
          <w:lang w:eastAsia="es-MX"/>
        </w:rPr>
        <w:endnoteReference w:id="11"/>
      </w:r>
    </w:p>
    <w:p w14:paraId="5F86D5F1" w14:textId="77777777" w:rsidR="00D362E6" w:rsidRPr="00E92E2F" w:rsidRDefault="00D362E6" w:rsidP="00E92E2F">
      <w:pPr>
        <w:pStyle w:val="Prrafodelista"/>
        <w:shd w:val="clear" w:color="auto" w:fill="FFFFFF"/>
        <w:spacing w:before="30" w:after="30" w:line="240" w:lineRule="auto"/>
        <w:ind w:left="1418" w:right="850"/>
        <w:jc w:val="both"/>
        <w:rPr>
          <w:rFonts w:eastAsia="Times New Roman" w:cs="Calibri"/>
          <w:b/>
          <w:color w:val="000000"/>
          <w:sz w:val="16"/>
          <w:szCs w:val="16"/>
          <w:lang w:eastAsia="es-MX"/>
        </w:rPr>
      </w:pPr>
    </w:p>
    <w:p w14:paraId="52CA5C83" w14:textId="77777777" w:rsidR="00D362E6" w:rsidRPr="00202C73" w:rsidRDefault="00D362E6" w:rsidP="00D362E6">
      <w:pPr>
        <w:pStyle w:val="Prrafodelista"/>
        <w:numPr>
          <w:ilvl w:val="0"/>
          <w:numId w:val="1"/>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202C73">
        <w:rPr>
          <w:rFonts w:asciiTheme="minorHAnsi" w:eastAsia="Times New Roman" w:hAnsiTheme="minorHAnsi" w:cstheme="minorHAnsi"/>
          <w:color w:val="000000"/>
          <w:sz w:val="16"/>
          <w:szCs w:val="16"/>
          <w:lang w:eastAsia="es-MX"/>
        </w:rPr>
        <w:t>¿Cuáles son los ejemplos de las formas en que los desafíos a los que se enfrenta el sistema alimentario mundial están teniendo un impacto negativo en los derechos humanos en general, y en el derecho a la alimentación en particular?</w:t>
      </w:r>
    </w:p>
    <w:p w14:paraId="384BDEE3" w14:textId="7D666B40" w:rsidR="004E45FF" w:rsidRDefault="004E45FF" w:rsidP="00D362E6">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 xml:space="preserve">Algunos de los ejemplos negativos que enfrenta </w:t>
      </w:r>
      <w:r w:rsidR="00D362E6" w:rsidRPr="00202C73">
        <w:rPr>
          <w:rFonts w:asciiTheme="minorHAnsi" w:eastAsia="Times New Roman" w:hAnsiTheme="minorHAnsi" w:cstheme="minorHAnsi"/>
          <w:color w:val="000000"/>
          <w:sz w:val="16"/>
          <w:szCs w:val="16"/>
          <w:lang w:eastAsia="es-MX"/>
        </w:rPr>
        <w:t>el sistema alimentario mundial</w:t>
      </w:r>
      <w:r>
        <w:rPr>
          <w:rFonts w:asciiTheme="minorHAnsi" w:eastAsia="Times New Roman" w:hAnsiTheme="minorHAnsi" w:cstheme="minorHAnsi"/>
          <w:color w:val="000000"/>
          <w:sz w:val="16"/>
          <w:szCs w:val="16"/>
          <w:lang w:eastAsia="es-MX"/>
        </w:rPr>
        <w:t xml:space="preserve"> y afectan </w:t>
      </w:r>
      <w:r w:rsidR="00D362E6" w:rsidRPr="00202C73">
        <w:rPr>
          <w:rFonts w:asciiTheme="minorHAnsi" w:eastAsia="Times New Roman" w:hAnsiTheme="minorHAnsi" w:cstheme="minorHAnsi"/>
          <w:color w:val="000000"/>
          <w:sz w:val="16"/>
          <w:szCs w:val="16"/>
          <w:lang w:eastAsia="es-MX"/>
        </w:rPr>
        <w:t>los derechos a la alimentación, salud, agua y medio ambiente sano</w:t>
      </w:r>
      <w:r>
        <w:rPr>
          <w:rFonts w:asciiTheme="minorHAnsi" w:eastAsia="Times New Roman" w:hAnsiTheme="minorHAnsi" w:cstheme="minorHAnsi"/>
          <w:color w:val="000000"/>
          <w:sz w:val="16"/>
          <w:szCs w:val="16"/>
          <w:lang w:eastAsia="es-MX"/>
        </w:rPr>
        <w:t xml:space="preserve"> son:</w:t>
      </w:r>
    </w:p>
    <w:p w14:paraId="51B28760" w14:textId="3DCB51BA" w:rsidR="004E45FF" w:rsidRPr="004E45FF" w:rsidRDefault="004E45FF" w:rsidP="004E45FF">
      <w:pPr>
        <w:pStyle w:val="Prrafodelista"/>
        <w:numPr>
          <w:ilvl w:val="0"/>
          <w:numId w:val="13"/>
        </w:numPr>
        <w:shd w:val="clear" w:color="auto" w:fill="FFFFFF"/>
        <w:spacing w:before="30" w:after="30" w:line="240" w:lineRule="auto"/>
        <w:ind w:left="1134" w:right="850"/>
        <w:jc w:val="both"/>
        <w:rPr>
          <w:rFonts w:eastAsia="Times New Roman" w:cs="Calibri"/>
          <w:color w:val="000000"/>
          <w:sz w:val="16"/>
          <w:szCs w:val="16"/>
          <w:lang w:eastAsia="es-MX"/>
        </w:rPr>
      </w:pPr>
      <w:r>
        <w:rPr>
          <w:rFonts w:eastAsia="Times New Roman" w:cs="Calibri"/>
          <w:color w:val="000000"/>
          <w:sz w:val="16"/>
          <w:szCs w:val="16"/>
          <w:lang w:eastAsia="es-MX"/>
        </w:rPr>
        <w:t>La</w:t>
      </w:r>
      <w:r w:rsidR="00DE09BA">
        <w:rPr>
          <w:rFonts w:eastAsia="Times New Roman" w:cs="Calibri"/>
          <w:color w:val="000000"/>
          <w:sz w:val="16"/>
          <w:szCs w:val="16"/>
          <w:lang w:eastAsia="es-MX"/>
        </w:rPr>
        <w:t xml:space="preserve"> interferencia de las industrias de alimentos ultraprocesados y bebidas azucaradas frente a la adopción </w:t>
      </w:r>
      <w:r w:rsidR="00E92E2F">
        <w:rPr>
          <w:rFonts w:eastAsia="Times New Roman" w:cs="Calibri"/>
          <w:color w:val="000000"/>
          <w:sz w:val="16"/>
          <w:szCs w:val="16"/>
          <w:lang w:eastAsia="es-MX"/>
        </w:rPr>
        <w:t>de medidas</w:t>
      </w:r>
      <w:r>
        <w:rPr>
          <w:rFonts w:eastAsia="Times New Roman" w:cs="Calibri"/>
          <w:color w:val="000000"/>
          <w:sz w:val="16"/>
          <w:szCs w:val="16"/>
          <w:lang w:eastAsia="es-MX"/>
        </w:rPr>
        <w:t xml:space="preserve"> en favor de los consumidores contribuyen cada vez más a la epidemia de obesidad, sobrepeso y diabetes que vive el país.  </w:t>
      </w:r>
    </w:p>
    <w:p w14:paraId="490050B5" w14:textId="77777777" w:rsidR="004E45FF" w:rsidRDefault="004E45FF" w:rsidP="004E45FF">
      <w:pPr>
        <w:pStyle w:val="Prrafodelista"/>
        <w:numPr>
          <w:ilvl w:val="0"/>
          <w:numId w:val="13"/>
        </w:numPr>
        <w:shd w:val="clear" w:color="auto" w:fill="FFFFFF"/>
        <w:spacing w:before="30" w:after="30" w:line="240" w:lineRule="auto"/>
        <w:ind w:left="1134" w:right="850"/>
        <w:jc w:val="both"/>
        <w:rPr>
          <w:rFonts w:eastAsia="Times New Roman" w:cs="Calibri"/>
          <w:color w:val="000000"/>
          <w:sz w:val="16"/>
          <w:szCs w:val="16"/>
          <w:lang w:eastAsia="es-MX"/>
        </w:rPr>
      </w:pPr>
      <w:r>
        <w:rPr>
          <w:rFonts w:asciiTheme="minorHAnsi" w:eastAsia="Times New Roman" w:hAnsiTheme="minorHAnsi" w:cstheme="minorHAnsi"/>
          <w:color w:val="000000"/>
          <w:sz w:val="16"/>
          <w:szCs w:val="16"/>
          <w:lang w:eastAsia="es-MX"/>
        </w:rPr>
        <w:t>E</w:t>
      </w:r>
      <w:r w:rsidR="00D362E6" w:rsidRPr="004E45FF">
        <w:rPr>
          <w:rFonts w:asciiTheme="minorHAnsi" w:eastAsia="Times New Roman" w:hAnsiTheme="minorHAnsi" w:cstheme="minorHAnsi"/>
          <w:color w:val="000000"/>
          <w:sz w:val="16"/>
          <w:szCs w:val="16"/>
          <w:lang w:eastAsia="es-MX"/>
        </w:rPr>
        <w:t xml:space="preserve">l uso del agrotóxico glifosato ha </w:t>
      </w:r>
      <w:r w:rsidR="00D362E6" w:rsidRPr="004E45FF">
        <w:rPr>
          <w:rFonts w:eastAsia="Times New Roman" w:cs="Calibri"/>
          <w:color w:val="000000"/>
          <w:sz w:val="16"/>
          <w:szCs w:val="16"/>
          <w:lang w:eastAsia="es-MX"/>
        </w:rPr>
        <w:t>contaminado el aire y el agua, ha sido respirado o ingerido por las personas,</w:t>
      </w:r>
      <w:r w:rsidR="00D362E6" w:rsidRPr="00202C73">
        <w:rPr>
          <w:rStyle w:val="Refdenotaalfinal"/>
          <w:rFonts w:eastAsia="Times New Roman" w:cs="Calibri"/>
          <w:color w:val="000000"/>
          <w:sz w:val="16"/>
          <w:szCs w:val="16"/>
          <w:lang w:eastAsia="es-MX"/>
        </w:rPr>
        <w:endnoteReference w:id="12"/>
      </w:r>
      <w:r w:rsidR="00D362E6" w:rsidRPr="004E45FF">
        <w:rPr>
          <w:rFonts w:eastAsia="Times New Roman" w:cs="Calibri"/>
          <w:color w:val="000000"/>
          <w:sz w:val="16"/>
          <w:szCs w:val="16"/>
          <w:lang w:eastAsia="es-MX"/>
        </w:rPr>
        <w:t xml:space="preserve"> ha afectado la inocuidad de los alimentos, pues se han encontrado rastros en ellos</w:t>
      </w:r>
      <w:r w:rsidR="00D362E6" w:rsidRPr="00202C73">
        <w:rPr>
          <w:rStyle w:val="Refdenotaalfinal"/>
          <w:rFonts w:eastAsia="Times New Roman" w:cs="Calibri"/>
          <w:color w:val="000000"/>
          <w:sz w:val="16"/>
          <w:szCs w:val="16"/>
          <w:lang w:eastAsia="es-MX"/>
        </w:rPr>
        <w:endnoteReference w:id="13"/>
      </w:r>
    </w:p>
    <w:p w14:paraId="2C24F9A2" w14:textId="77777777" w:rsidR="004E45FF" w:rsidRDefault="004E45FF" w:rsidP="004E45FF">
      <w:pPr>
        <w:pStyle w:val="Prrafodelista"/>
        <w:numPr>
          <w:ilvl w:val="0"/>
          <w:numId w:val="13"/>
        </w:numPr>
        <w:shd w:val="clear" w:color="auto" w:fill="FFFFFF"/>
        <w:spacing w:before="30" w:after="30" w:line="240" w:lineRule="auto"/>
        <w:ind w:left="1134" w:right="850"/>
        <w:jc w:val="both"/>
        <w:rPr>
          <w:rFonts w:eastAsia="Times New Roman" w:cs="Calibri"/>
          <w:color w:val="000000"/>
          <w:sz w:val="16"/>
          <w:szCs w:val="16"/>
          <w:lang w:eastAsia="es-MX"/>
        </w:rPr>
      </w:pPr>
      <w:r>
        <w:rPr>
          <w:rFonts w:eastAsia="Times New Roman" w:cs="Calibri"/>
          <w:color w:val="000000"/>
          <w:sz w:val="16"/>
          <w:szCs w:val="16"/>
          <w:lang w:eastAsia="es-MX"/>
        </w:rPr>
        <w:t xml:space="preserve">Se </w:t>
      </w:r>
      <w:r w:rsidR="00D362E6" w:rsidRPr="004E45FF">
        <w:rPr>
          <w:rFonts w:eastAsia="Times New Roman" w:cs="Calibri"/>
          <w:color w:val="000000"/>
          <w:sz w:val="16"/>
          <w:szCs w:val="16"/>
          <w:lang w:eastAsia="es-MX"/>
        </w:rPr>
        <w:t>vulnera</w:t>
      </w:r>
      <w:r>
        <w:rPr>
          <w:rFonts w:eastAsia="Times New Roman" w:cs="Calibri"/>
          <w:color w:val="000000"/>
          <w:sz w:val="16"/>
          <w:szCs w:val="16"/>
          <w:lang w:eastAsia="es-MX"/>
        </w:rPr>
        <w:t>n</w:t>
      </w:r>
      <w:r w:rsidR="00D362E6" w:rsidRPr="004E45FF">
        <w:rPr>
          <w:rFonts w:eastAsia="Times New Roman" w:cs="Calibri"/>
          <w:color w:val="000000"/>
          <w:sz w:val="16"/>
          <w:szCs w:val="16"/>
          <w:lang w:eastAsia="es-MX"/>
        </w:rPr>
        <w:t xml:space="preserve"> los derechos de pueblos indígenas a su territorio y a sus medios de subsistencia, como en el caso de las comunidades apicultoras mayas, que sufren daños en sus abejas a causa de la siembra del monocultivo de soya transgénica resistente a este herbicida.</w:t>
      </w:r>
      <w:r w:rsidR="00D362E6" w:rsidRPr="00202C73">
        <w:rPr>
          <w:rStyle w:val="Refdenotaalfinal"/>
          <w:rFonts w:eastAsia="Times New Roman" w:cs="Calibri"/>
          <w:color w:val="000000"/>
          <w:sz w:val="16"/>
          <w:szCs w:val="16"/>
          <w:lang w:eastAsia="es-MX"/>
        </w:rPr>
        <w:endnoteReference w:id="14"/>
      </w:r>
      <w:r w:rsidR="00D362E6" w:rsidRPr="004E45FF">
        <w:rPr>
          <w:rFonts w:eastAsia="Times New Roman" w:cs="Calibri"/>
          <w:color w:val="000000"/>
          <w:sz w:val="16"/>
          <w:szCs w:val="16"/>
          <w:lang w:eastAsia="es-MX"/>
        </w:rPr>
        <w:t xml:space="preserve"> </w:t>
      </w:r>
    </w:p>
    <w:p w14:paraId="21899970" w14:textId="77777777" w:rsidR="00D362E6" w:rsidRPr="004E45FF" w:rsidRDefault="004E45FF" w:rsidP="004E45FF">
      <w:pPr>
        <w:pStyle w:val="Prrafodelista"/>
        <w:numPr>
          <w:ilvl w:val="0"/>
          <w:numId w:val="13"/>
        </w:numPr>
        <w:shd w:val="clear" w:color="auto" w:fill="FFFFFF"/>
        <w:spacing w:before="30" w:after="30" w:line="240" w:lineRule="auto"/>
        <w:ind w:left="1134" w:right="850"/>
        <w:jc w:val="both"/>
        <w:rPr>
          <w:rFonts w:eastAsia="Times New Roman" w:cs="Calibri"/>
          <w:color w:val="000000"/>
          <w:sz w:val="16"/>
          <w:szCs w:val="16"/>
          <w:lang w:eastAsia="es-MX"/>
        </w:rPr>
      </w:pPr>
      <w:r>
        <w:rPr>
          <w:rFonts w:eastAsia="Times New Roman" w:cs="Calibri"/>
          <w:color w:val="000000"/>
          <w:sz w:val="16"/>
          <w:szCs w:val="16"/>
          <w:lang w:eastAsia="es-MX"/>
        </w:rPr>
        <w:t>L</w:t>
      </w:r>
      <w:r w:rsidR="00D362E6" w:rsidRPr="004E45FF">
        <w:rPr>
          <w:rFonts w:eastAsia="Times New Roman" w:cs="Calibri"/>
          <w:color w:val="000000"/>
          <w:sz w:val="16"/>
          <w:szCs w:val="16"/>
          <w:lang w:eastAsia="es-MX"/>
        </w:rPr>
        <w:t>a instalación de granjas de cerdos que han contaminado fuentes de abastecimiento de agua de las comunidades aledañas, afectando el ejercicio de su derecho al líquido y la realización de actividades económicas, como la agricultura y los servicios turísticos.</w:t>
      </w:r>
      <w:r w:rsidR="00D362E6" w:rsidRPr="00202C73">
        <w:rPr>
          <w:rStyle w:val="Refdenotaalfinal"/>
          <w:rFonts w:eastAsia="Times New Roman" w:cs="Calibri"/>
          <w:color w:val="000000"/>
          <w:sz w:val="16"/>
          <w:szCs w:val="16"/>
          <w:lang w:eastAsia="es-MX"/>
        </w:rPr>
        <w:endnoteReference w:id="15"/>
      </w:r>
    </w:p>
    <w:p w14:paraId="36D03282" w14:textId="77777777" w:rsidR="00B04094" w:rsidRPr="00202C73" w:rsidRDefault="00B04094" w:rsidP="00D362E6">
      <w:pPr>
        <w:shd w:val="clear" w:color="auto" w:fill="FFFFFF"/>
        <w:spacing w:before="30" w:after="30" w:line="240" w:lineRule="auto"/>
        <w:ind w:left="850" w:right="850"/>
        <w:jc w:val="both"/>
        <w:rPr>
          <w:rFonts w:eastAsia="Times New Roman" w:cs="Calibri"/>
          <w:color w:val="000000"/>
          <w:sz w:val="16"/>
          <w:szCs w:val="16"/>
          <w:lang w:eastAsia="es-MX"/>
        </w:rPr>
      </w:pPr>
    </w:p>
    <w:p w14:paraId="6C2E7061" w14:textId="77777777" w:rsidR="00D362E6" w:rsidRPr="00202C73" w:rsidRDefault="00D362E6" w:rsidP="00D362E6">
      <w:pPr>
        <w:numPr>
          <w:ilvl w:val="0"/>
          <w:numId w:val="1"/>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D81E2A">
        <w:rPr>
          <w:rFonts w:asciiTheme="minorHAnsi" w:eastAsia="Times New Roman" w:hAnsiTheme="minorHAnsi" w:cstheme="minorHAnsi"/>
          <w:color w:val="000000"/>
          <w:sz w:val="16"/>
          <w:szCs w:val="16"/>
          <w:lang w:eastAsia="es-MX"/>
        </w:rPr>
        <w:t>¿Existen desafíos específicos a los que se haya enfrentado su país al intentar emplear un enfoque basado en los derechos para transformar los sistemas alimentarios sin dejar a nadie atrás?</w:t>
      </w:r>
    </w:p>
    <w:p w14:paraId="4C9A1A32" w14:textId="721753E9" w:rsidR="00D362E6" w:rsidRDefault="00D362E6" w:rsidP="00D362E6">
      <w:pPr>
        <w:shd w:val="clear" w:color="auto" w:fill="FFFFFF"/>
        <w:spacing w:before="30" w:after="30" w:line="240" w:lineRule="auto"/>
        <w:ind w:left="850" w:right="850"/>
        <w:jc w:val="both"/>
        <w:rPr>
          <w:rFonts w:eastAsia="Times New Roman" w:cs="Calibri"/>
          <w:color w:val="000000"/>
          <w:sz w:val="16"/>
          <w:szCs w:val="16"/>
          <w:lang w:eastAsia="es-MX"/>
        </w:rPr>
      </w:pPr>
      <w:r w:rsidRPr="00202C73">
        <w:rPr>
          <w:rFonts w:eastAsia="Times New Roman" w:cs="Calibri"/>
          <w:color w:val="000000"/>
          <w:sz w:val="16"/>
          <w:szCs w:val="16"/>
          <w:lang w:eastAsia="es-MX"/>
        </w:rPr>
        <w:t>Se ha enfrentado la contradicción y falta de coordinación entre los actores gubernamentales para implementar medidas para el mejoramiento del</w:t>
      </w:r>
      <w:r w:rsidR="004E45FF">
        <w:rPr>
          <w:rFonts w:eastAsia="Times New Roman" w:cs="Calibri"/>
          <w:color w:val="000000"/>
          <w:sz w:val="16"/>
          <w:szCs w:val="16"/>
          <w:lang w:eastAsia="es-MX"/>
        </w:rPr>
        <w:t xml:space="preserve"> sistema alimentario,</w:t>
      </w:r>
      <w:r w:rsidRPr="00202C73">
        <w:rPr>
          <w:rStyle w:val="Refdenotaalfinal"/>
          <w:rFonts w:eastAsia="Times New Roman" w:cs="Calibri"/>
          <w:color w:val="000000"/>
          <w:sz w:val="16"/>
          <w:szCs w:val="16"/>
          <w:lang w:eastAsia="es-MX"/>
        </w:rPr>
        <w:endnoteReference w:id="16"/>
      </w:r>
      <w:r w:rsidR="004E45FF">
        <w:rPr>
          <w:rFonts w:eastAsia="Times New Roman" w:cs="Calibri"/>
          <w:color w:val="000000"/>
          <w:sz w:val="16"/>
          <w:szCs w:val="16"/>
          <w:lang w:eastAsia="es-MX"/>
        </w:rPr>
        <w:t xml:space="preserve"> a</w:t>
      </w:r>
      <w:r w:rsidRPr="00202C73">
        <w:rPr>
          <w:rFonts w:eastAsia="Times New Roman" w:cs="Calibri"/>
          <w:color w:val="000000"/>
          <w:sz w:val="16"/>
          <w:szCs w:val="16"/>
          <w:lang w:eastAsia="es-MX"/>
        </w:rPr>
        <w:t>sí como la interferencia de la industria agroalimentaria en el desarrollo, aprobación e  implementación de dichas medidas.</w:t>
      </w:r>
      <w:r w:rsidRPr="00202C73">
        <w:rPr>
          <w:rStyle w:val="Refdenotaalfinal"/>
          <w:rFonts w:eastAsia="Times New Roman" w:cs="Calibri"/>
          <w:color w:val="000000"/>
          <w:sz w:val="16"/>
          <w:szCs w:val="16"/>
          <w:lang w:eastAsia="es-MX"/>
        </w:rPr>
        <w:endnoteReference w:id="17"/>
      </w:r>
      <w:r w:rsidRPr="00202C73">
        <w:rPr>
          <w:rStyle w:val="Refdenotaalfinal"/>
          <w:rFonts w:eastAsia="Times New Roman" w:cs="Calibri"/>
          <w:color w:val="000000"/>
          <w:sz w:val="16"/>
          <w:szCs w:val="16"/>
          <w:lang w:eastAsia="es-MX"/>
        </w:rPr>
        <w:endnoteReference w:id="18"/>
      </w:r>
      <w:r w:rsidRPr="00202C73">
        <w:rPr>
          <w:rStyle w:val="Refdenotaalfinal"/>
          <w:rFonts w:eastAsia="Times New Roman" w:cs="Calibri"/>
          <w:color w:val="000000"/>
          <w:sz w:val="16"/>
          <w:szCs w:val="16"/>
          <w:lang w:eastAsia="es-MX"/>
        </w:rPr>
        <w:endnoteReference w:id="19"/>
      </w:r>
      <w:r w:rsidRPr="00202C73">
        <w:rPr>
          <w:rStyle w:val="Refdenotaalfinal"/>
          <w:rFonts w:eastAsia="Times New Roman" w:cs="Calibri"/>
          <w:color w:val="000000"/>
          <w:sz w:val="16"/>
          <w:szCs w:val="16"/>
          <w:lang w:eastAsia="es-MX"/>
        </w:rPr>
        <w:endnoteReference w:id="20"/>
      </w:r>
      <w:r w:rsidRPr="00202C73">
        <w:rPr>
          <w:rFonts w:eastAsia="Times New Roman" w:cs="Calibri"/>
          <w:color w:val="000000"/>
          <w:sz w:val="16"/>
          <w:szCs w:val="16"/>
          <w:lang w:eastAsia="es-MX"/>
        </w:rPr>
        <w:t xml:space="preserve"> </w:t>
      </w:r>
      <w:r w:rsidR="004E45FF">
        <w:rPr>
          <w:rFonts w:eastAsia="Times New Roman" w:cs="Calibri"/>
          <w:color w:val="000000"/>
          <w:sz w:val="16"/>
          <w:szCs w:val="16"/>
          <w:lang w:eastAsia="es-MX"/>
        </w:rPr>
        <w:t>Dos medidas específicas que han encontrado esta oposición es la prohibición del uso de glifosato y del maíz transgénico, y la implementación de los sellos de</w:t>
      </w:r>
      <w:r w:rsidR="0038313F">
        <w:rPr>
          <w:rFonts w:eastAsia="Times New Roman" w:cs="Calibri"/>
          <w:color w:val="000000"/>
          <w:sz w:val="16"/>
          <w:szCs w:val="16"/>
          <w:lang w:eastAsia="es-MX"/>
        </w:rPr>
        <w:t xml:space="preserve"> advertencia en productos ultra</w:t>
      </w:r>
      <w:r w:rsidR="004E45FF">
        <w:rPr>
          <w:rFonts w:eastAsia="Times New Roman" w:cs="Calibri"/>
          <w:color w:val="000000"/>
          <w:sz w:val="16"/>
          <w:szCs w:val="16"/>
          <w:lang w:eastAsia="es-MX"/>
        </w:rPr>
        <w:t xml:space="preserve">procesados. </w:t>
      </w:r>
      <w:r w:rsidRPr="00202C73">
        <w:rPr>
          <w:rFonts w:eastAsia="Times New Roman" w:cs="Calibri"/>
          <w:color w:val="000000"/>
          <w:sz w:val="16"/>
          <w:szCs w:val="16"/>
          <w:lang w:eastAsia="es-MX"/>
        </w:rPr>
        <w:t>También, existe una tendencia a no señalar la responsabilidad de las empresas en la contaminación por el uso de plásticos generados por la industria de ul</w:t>
      </w:r>
      <w:r>
        <w:rPr>
          <w:rFonts w:eastAsia="Times New Roman" w:cs="Calibri"/>
          <w:color w:val="000000"/>
          <w:sz w:val="16"/>
          <w:szCs w:val="16"/>
          <w:lang w:eastAsia="es-MX"/>
        </w:rPr>
        <w:t>traprocesados.</w:t>
      </w:r>
      <w:r w:rsidRPr="003E3AF4">
        <w:rPr>
          <w:rStyle w:val="Refdenotaalfinal"/>
          <w:rFonts w:eastAsia="Times New Roman" w:cs="Calibri"/>
          <w:color w:val="000000"/>
          <w:sz w:val="16"/>
          <w:szCs w:val="16"/>
          <w:lang w:eastAsia="es-MX"/>
        </w:rPr>
        <w:endnoteReference w:id="21"/>
      </w:r>
    </w:p>
    <w:p w14:paraId="4EEBCBCD" w14:textId="77777777" w:rsidR="00B04094" w:rsidRPr="00D81E2A" w:rsidRDefault="00B04094" w:rsidP="00D362E6">
      <w:pPr>
        <w:shd w:val="clear" w:color="auto" w:fill="FFFFFF"/>
        <w:spacing w:before="30" w:after="30" w:line="240" w:lineRule="auto"/>
        <w:ind w:left="850" w:right="850"/>
        <w:jc w:val="both"/>
        <w:rPr>
          <w:rFonts w:eastAsia="Times New Roman" w:cs="Calibri"/>
          <w:color w:val="000000"/>
          <w:sz w:val="16"/>
          <w:szCs w:val="16"/>
          <w:lang w:eastAsia="es-MX"/>
        </w:rPr>
      </w:pPr>
    </w:p>
    <w:p w14:paraId="46F656EE" w14:textId="77777777" w:rsidR="00D362E6" w:rsidRPr="00202C73" w:rsidRDefault="00D362E6" w:rsidP="00D362E6">
      <w:pPr>
        <w:numPr>
          <w:ilvl w:val="0"/>
          <w:numId w:val="1"/>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D81E2A">
        <w:rPr>
          <w:rFonts w:asciiTheme="minorHAnsi" w:eastAsia="Times New Roman" w:hAnsiTheme="minorHAnsi" w:cstheme="minorHAnsi"/>
          <w:color w:val="000000"/>
          <w:sz w:val="16"/>
          <w:szCs w:val="16"/>
          <w:lang w:eastAsia="es-MX"/>
        </w:rPr>
        <w:t>¿En qué medida la Cumbre del Sistema Alimentario de las Naciones Unidas ha tenido en cuenta estos desafíos en sus deliberaciones? Por favor, explique.</w:t>
      </w:r>
    </w:p>
    <w:p w14:paraId="7371D208" w14:textId="28D580F7" w:rsidR="00D362E6" w:rsidRDefault="00D362E6" w:rsidP="00D362E6">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202C73">
        <w:rPr>
          <w:rFonts w:asciiTheme="minorHAnsi" w:eastAsia="Times New Roman" w:hAnsiTheme="minorHAnsi" w:cstheme="minorHAnsi"/>
          <w:color w:val="000000"/>
          <w:sz w:val="16"/>
          <w:szCs w:val="16"/>
          <w:lang w:eastAsia="es-MX"/>
        </w:rPr>
        <w:t xml:space="preserve">La Cumbre no ha tenido en cuenta estos desafíos, de hecho, estas problemáticas se han replicado a nivel global en ella. La Cumbre ha sido un proceso </w:t>
      </w:r>
      <w:r w:rsidR="00E92E2F">
        <w:rPr>
          <w:rFonts w:asciiTheme="minorHAnsi" w:eastAsia="Times New Roman" w:hAnsiTheme="minorHAnsi" w:cstheme="minorHAnsi"/>
          <w:color w:val="000000"/>
          <w:sz w:val="16"/>
          <w:szCs w:val="16"/>
          <w:lang w:eastAsia="es-MX"/>
        </w:rPr>
        <w:t xml:space="preserve">en el  que ha </w:t>
      </w:r>
      <w:r w:rsidR="0038313F">
        <w:rPr>
          <w:rFonts w:asciiTheme="minorHAnsi" w:eastAsia="Times New Roman" w:hAnsiTheme="minorHAnsi" w:cstheme="minorHAnsi"/>
          <w:color w:val="000000"/>
          <w:sz w:val="16"/>
          <w:szCs w:val="16"/>
          <w:lang w:eastAsia="es-MX"/>
        </w:rPr>
        <w:t>falta</w:t>
      </w:r>
      <w:r w:rsidR="00E92E2F">
        <w:rPr>
          <w:rFonts w:asciiTheme="minorHAnsi" w:eastAsia="Times New Roman" w:hAnsiTheme="minorHAnsi" w:cstheme="minorHAnsi"/>
          <w:color w:val="000000"/>
          <w:sz w:val="16"/>
          <w:szCs w:val="16"/>
          <w:lang w:eastAsia="es-MX"/>
        </w:rPr>
        <w:t>do</w:t>
      </w:r>
      <w:r w:rsidR="0038313F">
        <w:rPr>
          <w:rFonts w:asciiTheme="minorHAnsi" w:eastAsia="Times New Roman" w:hAnsiTheme="minorHAnsi" w:cstheme="minorHAnsi"/>
          <w:color w:val="000000"/>
          <w:sz w:val="16"/>
          <w:szCs w:val="16"/>
          <w:lang w:eastAsia="es-MX"/>
        </w:rPr>
        <w:t xml:space="preserve"> </w:t>
      </w:r>
      <w:r w:rsidRPr="00202C73">
        <w:rPr>
          <w:rFonts w:asciiTheme="minorHAnsi" w:eastAsia="Times New Roman" w:hAnsiTheme="minorHAnsi" w:cstheme="minorHAnsi"/>
          <w:color w:val="000000"/>
          <w:sz w:val="16"/>
          <w:szCs w:val="16"/>
          <w:lang w:eastAsia="es-MX"/>
        </w:rPr>
        <w:t xml:space="preserve">transparencia y salvaguardas contra el conflicto de interés, ha desprotegido a los sistemas alimentarios </w:t>
      </w:r>
      <w:r w:rsidR="00DE09BA">
        <w:rPr>
          <w:rFonts w:asciiTheme="minorHAnsi" w:eastAsia="Times New Roman" w:hAnsiTheme="minorHAnsi" w:cstheme="minorHAnsi"/>
          <w:color w:val="000000"/>
          <w:sz w:val="16"/>
          <w:szCs w:val="16"/>
          <w:lang w:eastAsia="es-MX"/>
        </w:rPr>
        <w:t>frente a</w:t>
      </w:r>
      <w:r w:rsidRPr="00202C73">
        <w:rPr>
          <w:rFonts w:asciiTheme="minorHAnsi" w:eastAsia="Times New Roman" w:hAnsiTheme="minorHAnsi" w:cstheme="minorHAnsi"/>
          <w:color w:val="000000"/>
          <w:sz w:val="16"/>
          <w:szCs w:val="16"/>
          <w:lang w:eastAsia="es-MX"/>
        </w:rPr>
        <w:t xml:space="preserve"> la industria agroalimentaria y ha sido limitada en cuanto a la concepción sobre los sistemas alimentarios, pues ha adoptado una visión de producción industrial e intensiva de alimentos.</w:t>
      </w:r>
    </w:p>
    <w:p w14:paraId="70937A7C" w14:textId="77777777" w:rsidR="004E45FF" w:rsidRPr="00D81E2A" w:rsidRDefault="004E45FF" w:rsidP="004E45FF">
      <w:pPr>
        <w:shd w:val="clear" w:color="auto" w:fill="FFFFFF"/>
        <w:spacing w:before="30" w:after="30" w:line="240" w:lineRule="auto"/>
        <w:ind w:right="850"/>
        <w:jc w:val="both"/>
        <w:rPr>
          <w:rFonts w:asciiTheme="minorHAnsi" w:eastAsia="Times New Roman" w:hAnsiTheme="minorHAnsi" w:cstheme="minorHAnsi"/>
          <w:color w:val="000000"/>
          <w:sz w:val="16"/>
          <w:szCs w:val="16"/>
          <w:lang w:eastAsia="es-MX"/>
        </w:rPr>
      </w:pPr>
    </w:p>
    <w:p w14:paraId="64CED15E" w14:textId="77777777" w:rsidR="00D362E6" w:rsidRPr="00202C73" w:rsidRDefault="00D362E6" w:rsidP="00D362E6">
      <w:pPr>
        <w:numPr>
          <w:ilvl w:val="0"/>
          <w:numId w:val="1"/>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D81E2A">
        <w:rPr>
          <w:rFonts w:asciiTheme="minorHAnsi" w:eastAsia="Times New Roman" w:hAnsiTheme="minorHAnsi" w:cstheme="minorHAnsi"/>
          <w:color w:val="000000"/>
          <w:sz w:val="16"/>
          <w:szCs w:val="16"/>
          <w:lang w:eastAsia="es-MX"/>
        </w:rPr>
        <w:t>¿Cuáles son las obligaciones específicas de los Estados y las responsabilidades de las empresas en cuanto a prevenir y hacer frente a los impactos adversos causados por la producción o el consumo insostenibles de alimentos?</w:t>
      </w:r>
    </w:p>
    <w:p w14:paraId="6D42F9C2" w14:textId="77777777" w:rsidR="00D362E6" w:rsidRPr="00202C73" w:rsidRDefault="00D362E6" w:rsidP="00D362E6">
      <w:pPr>
        <w:pStyle w:val="Prrafodelista"/>
        <w:numPr>
          <w:ilvl w:val="0"/>
          <w:numId w:val="12"/>
        </w:numPr>
        <w:shd w:val="clear" w:color="auto" w:fill="FFFFFF"/>
        <w:spacing w:before="30" w:after="30" w:line="240" w:lineRule="auto"/>
        <w:ind w:left="850" w:right="850"/>
        <w:jc w:val="both"/>
        <w:rPr>
          <w:rFonts w:eastAsia="Times New Roman" w:cs="Calibri"/>
          <w:b/>
          <w:color w:val="000000"/>
          <w:sz w:val="16"/>
          <w:szCs w:val="16"/>
          <w:lang w:eastAsia="es-MX"/>
        </w:rPr>
      </w:pPr>
      <w:r w:rsidRPr="00202C73">
        <w:rPr>
          <w:rFonts w:eastAsia="Times New Roman" w:cs="Calibri"/>
          <w:b/>
          <w:color w:val="000000"/>
          <w:sz w:val="16"/>
          <w:szCs w:val="16"/>
          <w:lang w:eastAsia="es-MX"/>
        </w:rPr>
        <w:t>Obligaciones estatales.</w:t>
      </w:r>
      <w:r w:rsidRPr="00202C73">
        <w:rPr>
          <w:rFonts w:eastAsia="Times New Roman" w:cs="Calibri"/>
          <w:color w:val="000000"/>
          <w:sz w:val="16"/>
          <w:szCs w:val="16"/>
          <w:lang w:eastAsia="es-MX"/>
        </w:rPr>
        <w:t xml:space="preserve"> Aplicar el principio precautorio, proteger los derechos de los pueblos indígenas y equiparables, respetar el conocimiento agrícola tradicional de los campesinos y pueblos indígenas, regular y vigilar la inocuidad y calidad nutricional de los alimentos.</w:t>
      </w:r>
      <w:r w:rsidRPr="00202C73">
        <w:rPr>
          <w:rStyle w:val="Refdenotaalfinal"/>
          <w:rFonts w:eastAsia="Times New Roman" w:cs="Calibri"/>
          <w:color w:val="000000"/>
          <w:sz w:val="16"/>
          <w:szCs w:val="16"/>
          <w:lang w:eastAsia="es-MX"/>
        </w:rPr>
        <w:endnoteReference w:id="22"/>
      </w:r>
    </w:p>
    <w:p w14:paraId="3D7475EC" w14:textId="77777777" w:rsidR="00D362E6" w:rsidRPr="004E45FF" w:rsidRDefault="00D362E6" w:rsidP="00D362E6">
      <w:pPr>
        <w:pStyle w:val="Prrafodelista"/>
        <w:numPr>
          <w:ilvl w:val="0"/>
          <w:numId w:val="12"/>
        </w:numPr>
        <w:shd w:val="clear" w:color="auto" w:fill="FFFFFF"/>
        <w:spacing w:before="30" w:after="30" w:line="240" w:lineRule="auto"/>
        <w:ind w:left="850" w:right="850"/>
        <w:jc w:val="both"/>
        <w:rPr>
          <w:rFonts w:eastAsia="Times New Roman" w:cs="Calibri"/>
          <w:b/>
          <w:color w:val="000000"/>
          <w:sz w:val="16"/>
          <w:szCs w:val="16"/>
          <w:lang w:eastAsia="es-MX"/>
        </w:rPr>
      </w:pPr>
      <w:r w:rsidRPr="00202C73">
        <w:rPr>
          <w:rFonts w:eastAsia="Times New Roman" w:cs="Calibri"/>
          <w:b/>
          <w:color w:val="000000"/>
          <w:sz w:val="16"/>
          <w:szCs w:val="16"/>
          <w:lang w:eastAsia="es-MX"/>
        </w:rPr>
        <w:t xml:space="preserve">Responsabilidades de las empresas. </w:t>
      </w:r>
      <w:r w:rsidRPr="00202C73">
        <w:rPr>
          <w:rFonts w:eastAsia="Times New Roman" w:cs="Calibri"/>
          <w:color w:val="000000"/>
          <w:sz w:val="16"/>
          <w:szCs w:val="16"/>
          <w:lang w:eastAsia="es-MX"/>
        </w:rPr>
        <w:t>Respetar los derechos humanos,  evitar interferir en elaboración de la  regulación establecida por el Estado y cumplirla,</w:t>
      </w:r>
      <w:r w:rsidRPr="00202C73">
        <w:rPr>
          <w:rStyle w:val="Refdenotaalfinal"/>
          <w:rFonts w:eastAsia="Times New Roman" w:cs="Calibri"/>
          <w:color w:val="000000"/>
          <w:sz w:val="16"/>
          <w:szCs w:val="16"/>
          <w:lang w:eastAsia="es-MX"/>
        </w:rPr>
        <w:endnoteReference w:id="23"/>
      </w:r>
      <w:r w:rsidRPr="00202C73">
        <w:rPr>
          <w:rFonts w:eastAsia="Times New Roman" w:cs="Calibri"/>
          <w:color w:val="000000"/>
          <w:sz w:val="16"/>
          <w:szCs w:val="16"/>
          <w:lang w:eastAsia="es-MX"/>
        </w:rPr>
        <w:t xml:space="preserve">  así como aplicar la debida diligencia en sus actividades y prevenir y mitigar sus consecuencias negativas.</w:t>
      </w:r>
      <w:r w:rsidRPr="00202C73">
        <w:rPr>
          <w:rStyle w:val="Refdenotaalfinal"/>
          <w:rFonts w:eastAsia="Times New Roman" w:cs="Calibri"/>
          <w:color w:val="000000"/>
          <w:sz w:val="16"/>
          <w:szCs w:val="16"/>
          <w:lang w:eastAsia="es-MX"/>
        </w:rPr>
        <w:endnoteReference w:id="24"/>
      </w:r>
    </w:p>
    <w:p w14:paraId="37DCAEAF" w14:textId="77777777" w:rsidR="004E45FF" w:rsidRPr="00202C73" w:rsidRDefault="004E45FF" w:rsidP="004E45FF">
      <w:pPr>
        <w:pStyle w:val="Prrafodelista"/>
        <w:shd w:val="clear" w:color="auto" w:fill="FFFFFF"/>
        <w:spacing w:before="30" w:after="30" w:line="240" w:lineRule="auto"/>
        <w:ind w:left="850" w:right="850"/>
        <w:jc w:val="both"/>
        <w:rPr>
          <w:rFonts w:eastAsia="Times New Roman" w:cs="Calibri"/>
          <w:b/>
          <w:color w:val="000000"/>
          <w:sz w:val="16"/>
          <w:szCs w:val="16"/>
          <w:lang w:eastAsia="es-MX"/>
        </w:rPr>
      </w:pPr>
    </w:p>
    <w:p w14:paraId="28264226" w14:textId="77777777" w:rsidR="00D362E6" w:rsidRPr="00202C73" w:rsidRDefault="00D362E6" w:rsidP="00D362E6">
      <w:pPr>
        <w:numPr>
          <w:ilvl w:val="0"/>
          <w:numId w:val="1"/>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D81E2A">
        <w:rPr>
          <w:rFonts w:asciiTheme="minorHAnsi" w:eastAsia="Times New Roman" w:hAnsiTheme="minorHAnsi" w:cstheme="minorHAnsi"/>
          <w:color w:val="000000"/>
          <w:sz w:val="16"/>
          <w:szCs w:val="16"/>
          <w:lang w:eastAsia="es-MX"/>
        </w:rPr>
        <w:t>A pesar de los desafíos de la pandemia, ¿cuáles son los ejemplos específicos de iniciativas y buenas prácticas basadas en los derechos (incluyendo políticas, normas y programas) que han mejorado con éxito el acceso de las personas a una alimentación adecuada de forma sostenible y sistémica? </w:t>
      </w:r>
    </w:p>
    <w:p w14:paraId="5EC465B9" w14:textId="77777777" w:rsidR="00D362E6" w:rsidRPr="00202C73" w:rsidRDefault="00D362E6" w:rsidP="00D362E6">
      <w:pPr>
        <w:pStyle w:val="Prrafodelista"/>
        <w:numPr>
          <w:ilvl w:val="0"/>
          <w:numId w:val="11"/>
        </w:numPr>
        <w:shd w:val="clear" w:color="auto" w:fill="FFFFFF"/>
        <w:spacing w:before="30" w:after="30" w:line="240" w:lineRule="auto"/>
        <w:ind w:left="850" w:right="850"/>
        <w:jc w:val="both"/>
        <w:rPr>
          <w:rFonts w:eastAsia="Times New Roman" w:cs="Calibri"/>
          <w:color w:val="000000"/>
          <w:sz w:val="16"/>
          <w:szCs w:val="16"/>
          <w:lang w:eastAsia="es-MX"/>
        </w:rPr>
      </w:pPr>
      <w:r w:rsidRPr="00202C73">
        <w:rPr>
          <w:rFonts w:eastAsia="Times New Roman" w:cs="Calibri"/>
          <w:b/>
          <w:color w:val="000000"/>
          <w:sz w:val="16"/>
          <w:szCs w:val="16"/>
          <w:lang w:eastAsia="es-MX"/>
        </w:rPr>
        <w:t>Etiquetado Frontal de Advertencia.</w:t>
      </w:r>
      <w:r w:rsidRPr="00202C73">
        <w:rPr>
          <w:rStyle w:val="Refdenotaalfinal"/>
          <w:rFonts w:eastAsia="Times New Roman" w:cs="Calibri"/>
          <w:b/>
          <w:color w:val="000000"/>
          <w:sz w:val="16"/>
          <w:szCs w:val="16"/>
          <w:lang w:eastAsia="es-MX"/>
        </w:rPr>
        <w:endnoteReference w:id="25"/>
      </w:r>
      <w:r w:rsidRPr="00202C73">
        <w:rPr>
          <w:rFonts w:eastAsia="Times New Roman" w:cs="Calibri"/>
          <w:b/>
          <w:color w:val="000000"/>
          <w:sz w:val="16"/>
          <w:szCs w:val="16"/>
          <w:lang w:eastAsia="es-MX"/>
        </w:rPr>
        <w:t xml:space="preserve"> </w:t>
      </w:r>
      <w:r w:rsidRPr="00202C73">
        <w:rPr>
          <w:rFonts w:eastAsia="Times New Roman" w:cs="Calibri"/>
          <w:color w:val="000000"/>
          <w:sz w:val="16"/>
          <w:szCs w:val="16"/>
          <w:lang w:eastAsia="es-MX"/>
        </w:rPr>
        <w:t xml:space="preserve">Vigente en su totalidad desde abril de 2021, brinda información clara sobre los nutrimentos críticos que contienen los alimentos y bebidas ultraprocesados para desincentivar su consumo. </w:t>
      </w:r>
    </w:p>
    <w:p w14:paraId="2F7F53B5" w14:textId="77777777" w:rsidR="00D362E6" w:rsidRPr="00202C73" w:rsidRDefault="00D362E6" w:rsidP="00D362E6">
      <w:pPr>
        <w:pStyle w:val="Prrafodelista"/>
        <w:numPr>
          <w:ilvl w:val="0"/>
          <w:numId w:val="11"/>
        </w:numPr>
        <w:shd w:val="clear" w:color="auto" w:fill="FFFFFF"/>
        <w:spacing w:before="30" w:after="30" w:line="240" w:lineRule="auto"/>
        <w:ind w:left="850" w:right="850"/>
        <w:jc w:val="both"/>
        <w:rPr>
          <w:rFonts w:eastAsia="Times New Roman" w:cs="Calibri"/>
          <w:color w:val="000000"/>
          <w:sz w:val="16"/>
          <w:szCs w:val="16"/>
          <w:lang w:eastAsia="es-MX"/>
        </w:rPr>
      </w:pPr>
      <w:r w:rsidRPr="00202C73">
        <w:rPr>
          <w:rFonts w:eastAsia="Times New Roman" w:cs="Calibri"/>
          <w:b/>
          <w:color w:val="000000"/>
          <w:sz w:val="16"/>
          <w:szCs w:val="16"/>
          <w:lang w:eastAsia="es-MX"/>
        </w:rPr>
        <w:t>Decreto para la sustitución gradual del glifosato y que prohíbe la siembra de maíz transgénico.</w:t>
      </w:r>
      <w:r w:rsidRPr="00202C73">
        <w:rPr>
          <w:rStyle w:val="Refdenotaalfinal"/>
          <w:rFonts w:eastAsia="Times New Roman" w:cs="Calibri"/>
          <w:b/>
          <w:color w:val="000000"/>
          <w:sz w:val="16"/>
          <w:szCs w:val="16"/>
          <w:lang w:eastAsia="es-MX"/>
        </w:rPr>
        <w:endnoteReference w:id="26"/>
      </w:r>
      <w:r w:rsidRPr="00202C73">
        <w:rPr>
          <w:rFonts w:eastAsia="Times New Roman" w:cs="Calibri"/>
          <w:b/>
          <w:color w:val="000000"/>
          <w:sz w:val="16"/>
          <w:szCs w:val="16"/>
          <w:lang w:eastAsia="es-MX"/>
        </w:rPr>
        <w:t xml:space="preserve"> </w:t>
      </w:r>
      <w:r w:rsidRPr="00202C73">
        <w:rPr>
          <w:rFonts w:eastAsia="Times New Roman" w:cs="Calibri"/>
          <w:color w:val="000000"/>
          <w:sz w:val="16"/>
          <w:szCs w:val="16"/>
          <w:lang w:eastAsia="es-MX"/>
        </w:rPr>
        <w:t xml:space="preserve">Publicado el 31 de diciembre de 2020, establece un régimen de transición hacia la prohibición del glifosato y la siembra de maíz transgénico para 2024. </w:t>
      </w:r>
    </w:p>
    <w:p w14:paraId="42BB1701" w14:textId="77777777" w:rsidR="00D362E6" w:rsidRPr="00202C73" w:rsidRDefault="00D362E6" w:rsidP="00D362E6">
      <w:pPr>
        <w:pStyle w:val="Prrafodelista"/>
        <w:numPr>
          <w:ilvl w:val="0"/>
          <w:numId w:val="11"/>
        </w:numPr>
        <w:shd w:val="clear" w:color="auto" w:fill="FFFFFF"/>
        <w:spacing w:before="30" w:after="30" w:line="240" w:lineRule="auto"/>
        <w:ind w:left="850" w:right="850"/>
        <w:jc w:val="both"/>
        <w:rPr>
          <w:rFonts w:eastAsia="Times New Roman" w:cs="Calibri"/>
          <w:color w:val="000000"/>
          <w:sz w:val="16"/>
          <w:szCs w:val="16"/>
          <w:lang w:eastAsia="es-MX"/>
        </w:rPr>
      </w:pPr>
      <w:r w:rsidRPr="00202C73">
        <w:rPr>
          <w:rFonts w:eastAsia="Times New Roman" w:cs="Calibri"/>
          <w:b/>
          <w:color w:val="000000"/>
          <w:sz w:val="16"/>
          <w:szCs w:val="16"/>
          <w:lang w:eastAsia="es-MX"/>
        </w:rPr>
        <w:t>Prohibición</w:t>
      </w:r>
      <w:r w:rsidRPr="00202C73">
        <w:rPr>
          <w:rFonts w:eastAsia="Times New Roman" w:cs="Calibri"/>
          <w:color w:val="000000"/>
          <w:sz w:val="16"/>
          <w:szCs w:val="16"/>
          <w:lang w:eastAsia="es-MX"/>
        </w:rPr>
        <w:t xml:space="preserve"> </w:t>
      </w:r>
      <w:r w:rsidRPr="00202C73">
        <w:rPr>
          <w:rFonts w:eastAsia="Times New Roman" w:cs="Calibri"/>
          <w:b/>
          <w:color w:val="000000"/>
          <w:sz w:val="16"/>
          <w:szCs w:val="16"/>
          <w:lang w:eastAsia="es-MX"/>
        </w:rPr>
        <w:t>de venta a niños de alimentos ultraprocesados con alto contenido de nutrimentos críticos en Oaxaca y otras entidades federativas.</w:t>
      </w:r>
      <w:r w:rsidRPr="00202C73">
        <w:rPr>
          <w:rStyle w:val="Refdenotaalfinal"/>
          <w:rFonts w:eastAsia="Times New Roman" w:cs="Calibri"/>
          <w:b/>
          <w:color w:val="000000"/>
          <w:sz w:val="16"/>
          <w:szCs w:val="16"/>
          <w:lang w:eastAsia="es-MX"/>
        </w:rPr>
        <w:endnoteReference w:id="27"/>
      </w:r>
      <w:r w:rsidRPr="00202C73">
        <w:rPr>
          <w:rFonts w:eastAsia="Times New Roman" w:cs="Calibri"/>
          <w:b/>
          <w:color w:val="000000"/>
          <w:sz w:val="16"/>
          <w:szCs w:val="16"/>
          <w:lang w:eastAsia="es-MX"/>
        </w:rPr>
        <w:t xml:space="preserve"> </w:t>
      </w:r>
      <w:r w:rsidRPr="00202C73">
        <w:rPr>
          <w:rFonts w:eastAsia="Times New Roman" w:cs="Calibri"/>
          <w:color w:val="000000"/>
          <w:sz w:val="16"/>
          <w:szCs w:val="16"/>
          <w:lang w:eastAsia="es-MX"/>
        </w:rPr>
        <w:t>Para frenar el desplazamiento de las formas de alimentación saludable y tradicional. Hasta el momento no se ha implementado.</w:t>
      </w:r>
      <w:r w:rsidRPr="00202C73">
        <w:rPr>
          <w:rStyle w:val="Refdenotaalfinal"/>
          <w:rFonts w:eastAsia="Times New Roman" w:cs="Calibri"/>
          <w:color w:val="000000"/>
          <w:sz w:val="16"/>
          <w:szCs w:val="16"/>
          <w:lang w:eastAsia="es-MX"/>
        </w:rPr>
        <w:endnoteReference w:id="28"/>
      </w:r>
    </w:p>
    <w:p w14:paraId="1E6E4972" w14:textId="77777777" w:rsidR="00D362E6" w:rsidRPr="00202C73" w:rsidRDefault="00D362E6" w:rsidP="00D362E6">
      <w:pPr>
        <w:pStyle w:val="Prrafodelista"/>
        <w:numPr>
          <w:ilvl w:val="0"/>
          <w:numId w:val="11"/>
        </w:numPr>
        <w:shd w:val="clear" w:color="auto" w:fill="FFFFFF"/>
        <w:spacing w:before="30" w:after="30" w:line="240" w:lineRule="auto"/>
        <w:ind w:left="850" w:right="850"/>
        <w:jc w:val="both"/>
        <w:rPr>
          <w:rFonts w:eastAsia="Times New Roman" w:cs="Calibri"/>
          <w:color w:val="000000"/>
          <w:sz w:val="16"/>
          <w:szCs w:val="16"/>
          <w:lang w:eastAsia="es-MX"/>
        </w:rPr>
      </w:pPr>
      <w:r w:rsidRPr="00202C73">
        <w:rPr>
          <w:b/>
          <w:sz w:val="16"/>
          <w:szCs w:val="16"/>
          <w:lang w:val="es-ES"/>
        </w:rPr>
        <w:t>Impuesto a las bebidas azucarada</w:t>
      </w:r>
      <w:r w:rsidRPr="00202C73">
        <w:rPr>
          <w:rFonts w:eastAsia="Times New Roman" w:cs="Calibri"/>
          <w:b/>
          <w:color w:val="000000"/>
          <w:sz w:val="16"/>
          <w:szCs w:val="16"/>
          <w:lang w:eastAsia="es-MX"/>
        </w:rPr>
        <w:t>s</w:t>
      </w:r>
      <w:r w:rsidRPr="00202C73">
        <w:rPr>
          <w:b/>
          <w:sz w:val="16"/>
          <w:szCs w:val="16"/>
          <w:lang w:val="es-ES"/>
        </w:rPr>
        <w:t>.</w:t>
      </w:r>
      <w:r w:rsidRPr="00202C73">
        <w:rPr>
          <w:rStyle w:val="Refdenotaalfinal"/>
          <w:b/>
          <w:sz w:val="16"/>
          <w:szCs w:val="16"/>
          <w:lang w:val="es-ES"/>
        </w:rPr>
        <w:endnoteReference w:id="29"/>
      </w:r>
      <w:r w:rsidRPr="00202C73">
        <w:rPr>
          <w:sz w:val="16"/>
          <w:szCs w:val="16"/>
          <w:lang w:val="es-ES"/>
        </w:rPr>
        <w:t>Se aplica desde el 2014, sin embargo, el gravamen debe incrementarse para cumplir con las recomendaciones de la OMS.</w:t>
      </w:r>
      <w:r w:rsidRPr="00202C73">
        <w:rPr>
          <w:rStyle w:val="Refdenotaalfinal"/>
          <w:sz w:val="16"/>
          <w:szCs w:val="16"/>
          <w:lang w:val="es-ES"/>
        </w:rPr>
        <w:endnoteReference w:id="30"/>
      </w:r>
    </w:p>
    <w:p w14:paraId="08046A37" w14:textId="77777777" w:rsidR="00215422" w:rsidRPr="004E45FF" w:rsidRDefault="00D362E6" w:rsidP="00D362E6">
      <w:pPr>
        <w:pStyle w:val="Prrafodelista"/>
        <w:numPr>
          <w:ilvl w:val="0"/>
          <w:numId w:val="11"/>
        </w:numPr>
        <w:shd w:val="clear" w:color="auto" w:fill="FFFFFF"/>
        <w:spacing w:before="30" w:after="30" w:line="240" w:lineRule="auto"/>
        <w:ind w:left="850" w:right="850"/>
        <w:jc w:val="both"/>
        <w:rPr>
          <w:rFonts w:eastAsia="Times New Roman" w:cs="Calibri"/>
          <w:color w:val="000000"/>
          <w:sz w:val="16"/>
          <w:szCs w:val="16"/>
          <w:lang w:eastAsia="es-MX"/>
        </w:rPr>
      </w:pPr>
      <w:r w:rsidRPr="00202C73">
        <w:rPr>
          <w:b/>
          <w:sz w:val="16"/>
          <w:szCs w:val="16"/>
          <w:lang w:val="es-ES"/>
        </w:rPr>
        <w:t xml:space="preserve">Ley de </w:t>
      </w:r>
      <w:r w:rsidRPr="00202C73">
        <w:rPr>
          <w:b/>
          <w:sz w:val="16"/>
          <w:szCs w:val="16"/>
          <w:lang w:eastAsia="es-MX"/>
        </w:rPr>
        <w:t>protección y fomento del maíz nativo</w:t>
      </w:r>
      <w:r w:rsidRPr="00202C73">
        <w:rPr>
          <w:sz w:val="16"/>
          <w:szCs w:val="16"/>
          <w:lang w:eastAsia="es-MX"/>
        </w:rPr>
        <w:t>.</w:t>
      </w:r>
      <w:r w:rsidRPr="00202C73">
        <w:rPr>
          <w:rStyle w:val="Refdenotaalfinal"/>
          <w:sz w:val="16"/>
          <w:szCs w:val="16"/>
          <w:lang w:eastAsia="es-MX"/>
        </w:rPr>
        <w:endnoteReference w:id="31"/>
      </w:r>
      <w:r w:rsidRPr="00202C73">
        <w:rPr>
          <w:sz w:val="16"/>
          <w:szCs w:val="16"/>
          <w:lang w:eastAsia="es-MX"/>
        </w:rPr>
        <w:t xml:space="preserve"> </w:t>
      </w:r>
      <w:r w:rsidR="00215422" w:rsidRPr="00202C73">
        <w:rPr>
          <w:sz w:val="16"/>
          <w:szCs w:val="16"/>
          <w:lang w:eastAsia="es-MX"/>
        </w:rPr>
        <w:t>Esta norma reconoce la producción, comercialización y consumo del maíz nativo como manifestación cultural y establece diversas acciones para su fomento y protección.</w:t>
      </w:r>
    </w:p>
    <w:p w14:paraId="2C6B849E" w14:textId="77777777" w:rsidR="004E45FF" w:rsidRDefault="004E45FF" w:rsidP="004E45FF">
      <w:pPr>
        <w:shd w:val="clear" w:color="auto" w:fill="FFFFFF"/>
        <w:spacing w:before="30" w:after="30" w:line="240" w:lineRule="auto"/>
        <w:ind w:right="850"/>
        <w:jc w:val="both"/>
        <w:rPr>
          <w:rFonts w:eastAsia="Times New Roman" w:cs="Calibri"/>
          <w:color w:val="000000"/>
          <w:sz w:val="16"/>
          <w:szCs w:val="16"/>
          <w:lang w:eastAsia="es-MX"/>
        </w:rPr>
      </w:pPr>
    </w:p>
    <w:p w14:paraId="33CB6390" w14:textId="77777777" w:rsidR="004E45FF" w:rsidRPr="004E45FF" w:rsidRDefault="004E45FF" w:rsidP="004E45FF">
      <w:pPr>
        <w:shd w:val="clear" w:color="auto" w:fill="FFFFFF"/>
        <w:spacing w:before="30" w:after="30" w:line="240" w:lineRule="auto"/>
        <w:ind w:right="850"/>
        <w:jc w:val="both"/>
        <w:rPr>
          <w:rFonts w:eastAsia="Times New Roman" w:cs="Calibri"/>
          <w:color w:val="000000"/>
          <w:sz w:val="16"/>
          <w:szCs w:val="16"/>
          <w:lang w:eastAsia="es-MX"/>
        </w:rPr>
      </w:pPr>
    </w:p>
    <w:p w14:paraId="1CB74DB4" w14:textId="77777777" w:rsidR="00FB5F25" w:rsidRPr="00FB5F25" w:rsidRDefault="00FB5F25" w:rsidP="00D362E6">
      <w:pPr>
        <w:shd w:val="clear" w:color="auto" w:fill="FFFFFF"/>
        <w:spacing w:before="30" w:after="30" w:line="240" w:lineRule="auto"/>
        <w:ind w:left="850" w:right="850"/>
        <w:jc w:val="both"/>
        <w:rPr>
          <w:rFonts w:asciiTheme="minorHAnsi" w:eastAsia="Times New Roman" w:hAnsiTheme="minorHAnsi" w:cstheme="minorHAnsi"/>
          <w:color w:val="000000"/>
          <w:sz w:val="16"/>
          <w:szCs w:val="16"/>
          <w:u w:val="single"/>
          <w:lang w:eastAsia="es-MX"/>
        </w:rPr>
      </w:pPr>
      <w:r w:rsidRPr="00FB5F25">
        <w:rPr>
          <w:rFonts w:asciiTheme="minorHAnsi" w:eastAsia="Times New Roman" w:hAnsiTheme="minorHAnsi" w:cstheme="minorHAnsi"/>
          <w:color w:val="000000"/>
          <w:sz w:val="16"/>
          <w:szCs w:val="16"/>
          <w:u w:val="single"/>
          <w:lang w:eastAsia="es-MX"/>
        </w:rPr>
        <w:t>Participación y acceso a la información durante la Cumbre sobre Sistemas Alimentarios</w:t>
      </w:r>
    </w:p>
    <w:p w14:paraId="3F2CA352" w14:textId="77777777" w:rsidR="00FB5F25" w:rsidRDefault="00FB5F25" w:rsidP="00D362E6">
      <w:pPr>
        <w:numPr>
          <w:ilvl w:val="0"/>
          <w:numId w:val="4"/>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FB5F25">
        <w:rPr>
          <w:rFonts w:asciiTheme="minorHAnsi" w:eastAsia="Times New Roman" w:hAnsiTheme="minorHAnsi" w:cstheme="minorHAnsi"/>
          <w:color w:val="000000"/>
          <w:sz w:val="16"/>
          <w:szCs w:val="16"/>
          <w:lang w:eastAsia="es-MX"/>
        </w:rPr>
        <w:t>¿En qué medida la información de la Cumbre era accesible, clara y práctica para usted y su comunidad y socios?</w:t>
      </w:r>
    </w:p>
    <w:p w14:paraId="2E824BB8" w14:textId="79628B26" w:rsidR="00552300" w:rsidRDefault="00552300" w:rsidP="00552300">
      <w:pPr>
        <w:shd w:val="clear" w:color="auto" w:fill="FFFFFF"/>
        <w:spacing w:before="30" w:after="30" w:line="240" w:lineRule="auto"/>
        <w:ind w:left="284" w:right="850"/>
        <w:jc w:val="both"/>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 xml:space="preserve">Aunque la información era accesible, clara y, hasta cierto punto práctica, al revisar </w:t>
      </w:r>
      <w:r w:rsidRPr="00552300">
        <w:rPr>
          <w:rFonts w:asciiTheme="minorHAnsi" w:eastAsia="Times New Roman" w:hAnsiTheme="minorHAnsi" w:cstheme="minorHAnsi"/>
          <w:color w:val="000000"/>
          <w:sz w:val="16"/>
          <w:szCs w:val="16"/>
          <w:lang w:eastAsia="es-MX"/>
        </w:rPr>
        <w:t xml:space="preserve">las  Directrices Voluntarias del Comité de Seguridad Alimentaria (CSA) de la FAO sobre los Sistemas Alimentarios y la Nutrición aprobadas en febrero durante la 47ª Asamblea , encontramos que la Cumbre no incorpora  el sentir de las organizaciones de las y los campesinos que producen a pequeña escala (no obstante que alimentan al 70% de la población mundial) , y se orienta hacia directrices marcadas por corporativos transnacionales de la  industria </w:t>
      </w:r>
      <w:r w:rsidR="009461AF">
        <w:rPr>
          <w:rFonts w:asciiTheme="minorHAnsi" w:eastAsia="Times New Roman" w:hAnsiTheme="minorHAnsi" w:cstheme="minorHAnsi"/>
          <w:color w:val="000000"/>
          <w:sz w:val="16"/>
          <w:szCs w:val="16"/>
          <w:lang w:eastAsia="es-MX"/>
        </w:rPr>
        <w:t>agro</w:t>
      </w:r>
      <w:r w:rsidRPr="00552300">
        <w:rPr>
          <w:rFonts w:asciiTheme="minorHAnsi" w:eastAsia="Times New Roman" w:hAnsiTheme="minorHAnsi" w:cstheme="minorHAnsi"/>
          <w:color w:val="000000"/>
          <w:sz w:val="16"/>
          <w:szCs w:val="16"/>
          <w:lang w:eastAsia="es-MX"/>
        </w:rPr>
        <w:t>alimentaria</w:t>
      </w:r>
      <w:r w:rsidR="00835955">
        <w:rPr>
          <w:rFonts w:asciiTheme="minorHAnsi" w:eastAsia="Times New Roman" w:hAnsiTheme="minorHAnsi" w:cstheme="minorHAnsi"/>
          <w:color w:val="000000"/>
          <w:sz w:val="16"/>
          <w:szCs w:val="16"/>
          <w:lang w:eastAsia="es-MX"/>
        </w:rPr>
        <w:t xml:space="preserve">, cuyos intereses priorizan el lucro por encima de  de la salud de la </w:t>
      </w:r>
      <w:r w:rsidRPr="00552300">
        <w:rPr>
          <w:rFonts w:asciiTheme="minorHAnsi" w:eastAsia="Times New Roman" w:hAnsiTheme="minorHAnsi" w:cstheme="minorHAnsi"/>
          <w:color w:val="000000"/>
          <w:sz w:val="16"/>
          <w:szCs w:val="16"/>
          <w:lang w:eastAsia="es-MX"/>
        </w:rPr>
        <w:t xml:space="preserve"> población mundial al ofrecer alimentos</w:t>
      </w:r>
      <w:r w:rsidR="00835955">
        <w:rPr>
          <w:rFonts w:asciiTheme="minorHAnsi" w:eastAsia="Times New Roman" w:hAnsiTheme="minorHAnsi" w:cstheme="minorHAnsi"/>
          <w:color w:val="000000"/>
          <w:sz w:val="16"/>
          <w:szCs w:val="16"/>
          <w:lang w:eastAsia="es-MX"/>
        </w:rPr>
        <w:t xml:space="preserve"> con altas cantidades de sodio, </w:t>
      </w:r>
      <w:r w:rsidRPr="00552300">
        <w:rPr>
          <w:rFonts w:asciiTheme="minorHAnsi" w:eastAsia="Times New Roman" w:hAnsiTheme="minorHAnsi" w:cstheme="minorHAnsi"/>
          <w:color w:val="000000"/>
          <w:sz w:val="16"/>
          <w:szCs w:val="16"/>
          <w:lang w:eastAsia="es-MX"/>
        </w:rPr>
        <w:t xml:space="preserve"> azúcares, grasas, </w:t>
      </w:r>
      <w:r w:rsidR="00835955">
        <w:rPr>
          <w:rFonts w:asciiTheme="minorHAnsi" w:eastAsia="Times New Roman" w:hAnsiTheme="minorHAnsi" w:cstheme="minorHAnsi"/>
          <w:color w:val="000000"/>
          <w:sz w:val="16"/>
          <w:szCs w:val="16"/>
          <w:lang w:eastAsia="es-MX"/>
        </w:rPr>
        <w:t xml:space="preserve">aditivos químicos </w:t>
      </w:r>
      <w:r w:rsidRPr="00552300">
        <w:rPr>
          <w:rFonts w:asciiTheme="minorHAnsi" w:eastAsia="Times New Roman" w:hAnsiTheme="minorHAnsi" w:cstheme="minorHAnsi"/>
          <w:color w:val="000000"/>
          <w:sz w:val="16"/>
          <w:szCs w:val="16"/>
          <w:lang w:eastAsia="es-MX"/>
        </w:rPr>
        <w:t xml:space="preserve"> y organismos genéticamente modificados</w:t>
      </w:r>
      <w:r>
        <w:rPr>
          <w:rFonts w:asciiTheme="minorHAnsi" w:eastAsia="Times New Roman" w:hAnsiTheme="minorHAnsi" w:cstheme="minorHAnsi"/>
          <w:color w:val="000000"/>
          <w:sz w:val="16"/>
          <w:szCs w:val="16"/>
          <w:lang w:eastAsia="es-MX"/>
        </w:rPr>
        <w:t>.</w:t>
      </w:r>
    </w:p>
    <w:p w14:paraId="579F9DE5" w14:textId="77777777" w:rsidR="00552300" w:rsidRPr="00FB5F25" w:rsidRDefault="00552300" w:rsidP="00552300">
      <w:pPr>
        <w:shd w:val="clear" w:color="auto" w:fill="FFFFFF"/>
        <w:spacing w:before="30" w:after="30" w:line="240" w:lineRule="auto"/>
        <w:ind w:left="284" w:right="850"/>
        <w:jc w:val="both"/>
        <w:rPr>
          <w:rFonts w:asciiTheme="minorHAnsi" w:eastAsia="Times New Roman" w:hAnsiTheme="minorHAnsi" w:cstheme="minorHAnsi"/>
          <w:color w:val="000000"/>
          <w:sz w:val="16"/>
          <w:szCs w:val="16"/>
          <w:lang w:eastAsia="es-MX"/>
        </w:rPr>
      </w:pPr>
    </w:p>
    <w:p w14:paraId="2179420B" w14:textId="77777777" w:rsidR="00FB5F25" w:rsidRDefault="00FB5F25" w:rsidP="00D362E6">
      <w:pPr>
        <w:numPr>
          <w:ilvl w:val="0"/>
          <w:numId w:val="4"/>
        </w:num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FB5F25">
        <w:rPr>
          <w:rFonts w:asciiTheme="minorHAnsi" w:eastAsia="Times New Roman" w:hAnsiTheme="minorHAnsi" w:cstheme="minorHAnsi"/>
          <w:color w:val="000000"/>
          <w:sz w:val="16"/>
          <w:szCs w:val="16"/>
          <w:lang w:eastAsia="es-MX"/>
        </w:rPr>
        <w:t xml:space="preserve">¿De qué manera ha participado usted en la Cumbre (eventos, diálogos, aportaciones escritas, etc.)? Describa la naturaleza y el contenido de su </w:t>
      </w:r>
      <w:bookmarkStart w:id="0" w:name="_GoBack"/>
      <w:bookmarkEnd w:id="0"/>
      <w:r w:rsidRPr="00FB5F25">
        <w:rPr>
          <w:rFonts w:asciiTheme="minorHAnsi" w:eastAsia="Times New Roman" w:hAnsiTheme="minorHAnsi" w:cstheme="minorHAnsi"/>
          <w:color w:val="000000"/>
          <w:sz w:val="16"/>
          <w:szCs w:val="16"/>
          <w:lang w:eastAsia="es-MX"/>
        </w:rPr>
        <w:t>participación, si procede.</w:t>
      </w:r>
    </w:p>
    <w:p w14:paraId="20CFA8B6" w14:textId="09EAE3A0" w:rsidR="00552300" w:rsidRPr="002876B7" w:rsidRDefault="00D5667F" w:rsidP="00552300">
      <w:pPr>
        <w:shd w:val="clear" w:color="auto" w:fill="FFFFFF"/>
        <w:spacing w:before="30" w:after="30" w:line="240" w:lineRule="auto"/>
        <w:ind w:left="284" w:right="850"/>
        <w:jc w:val="both"/>
        <w:rPr>
          <w:rFonts w:asciiTheme="minorHAnsi" w:eastAsia="Times New Roman" w:hAnsiTheme="minorHAnsi" w:cstheme="minorHAnsi"/>
          <w:color w:val="000000"/>
          <w:sz w:val="16"/>
          <w:szCs w:val="16"/>
          <w:lang w:eastAsia="es-MX"/>
        </w:rPr>
      </w:pPr>
      <w:r>
        <w:rPr>
          <w:rFonts w:asciiTheme="minorHAnsi" w:eastAsia="Times New Roman" w:hAnsiTheme="minorHAnsi" w:cstheme="minorHAnsi"/>
          <w:color w:val="000000"/>
          <w:sz w:val="16"/>
          <w:szCs w:val="16"/>
          <w:lang w:eastAsia="es-MX"/>
        </w:rPr>
        <w:t xml:space="preserve">Nuestra organización, así como una decena de grupos, colectivos, miembros de la sociedad civil y académicas, hemos decidido </w:t>
      </w:r>
      <w:r>
        <w:rPr>
          <w:rFonts w:asciiTheme="minorHAnsi" w:eastAsia="Times New Roman" w:hAnsiTheme="minorHAnsi" w:cstheme="minorHAnsi"/>
          <w:b/>
          <w:color w:val="000000"/>
          <w:sz w:val="16"/>
          <w:szCs w:val="16"/>
          <w:lang w:eastAsia="es-MX"/>
        </w:rPr>
        <w:t>NO PARTICIPAR DE FORMA OFICIAL EN LA CUMBRE</w:t>
      </w:r>
      <w:r w:rsidR="004534D6">
        <w:rPr>
          <w:rFonts w:asciiTheme="minorHAnsi" w:eastAsia="Times New Roman" w:hAnsiTheme="minorHAnsi" w:cstheme="minorHAnsi"/>
          <w:b/>
          <w:color w:val="000000"/>
          <w:sz w:val="16"/>
          <w:szCs w:val="16"/>
          <w:lang w:eastAsia="es-MX"/>
        </w:rPr>
        <w:t xml:space="preserve">. </w:t>
      </w:r>
      <w:r w:rsidR="004534D6" w:rsidRPr="000A1026">
        <w:rPr>
          <w:rFonts w:asciiTheme="minorHAnsi" w:eastAsia="Times New Roman" w:hAnsiTheme="minorHAnsi" w:cstheme="minorHAnsi"/>
          <w:color w:val="000000"/>
          <w:sz w:val="16"/>
          <w:szCs w:val="16"/>
          <w:lang w:eastAsia="es-MX"/>
        </w:rPr>
        <w:t>Si</w:t>
      </w:r>
      <w:r w:rsidR="004534D6" w:rsidRPr="004534D6">
        <w:rPr>
          <w:rFonts w:asciiTheme="minorHAnsi" w:eastAsia="Times New Roman" w:hAnsiTheme="minorHAnsi" w:cstheme="minorHAnsi"/>
          <w:color w:val="000000"/>
          <w:sz w:val="16"/>
          <w:szCs w:val="16"/>
          <w:lang w:eastAsia="es-MX"/>
        </w:rPr>
        <w:t>n embargo, nos unimos</w:t>
      </w:r>
      <w:r w:rsidR="004534D6" w:rsidRPr="000A1026">
        <w:rPr>
          <w:rFonts w:asciiTheme="minorHAnsi" w:eastAsia="Times New Roman" w:hAnsiTheme="minorHAnsi" w:cstheme="minorHAnsi"/>
          <w:color w:val="000000"/>
          <w:sz w:val="16"/>
          <w:szCs w:val="16"/>
          <w:lang w:eastAsia="es-MX"/>
        </w:rPr>
        <w:t xml:space="preserve"> a las movilizaciones</w:t>
      </w:r>
      <w:r w:rsidR="004534D6">
        <w:rPr>
          <w:rFonts w:asciiTheme="minorHAnsi" w:eastAsia="Times New Roman" w:hAnsiTheme="minorHAnsi" w:cstheme="minorHAnsi"/>
          <w:color w:val="000000"/>
          <w:sz w:val="16"/>
          <w:szCs w:val="16"/>
          <w:lang w:eastAsia="es-MX"/>
        </w:rPr>
        <w:t xml:space="preserve"> alternativas</w:t>
      </w:r>
      <w:r w:rsidR="004534D6" w:rsidRPr="000A1026">
        <w:rPr>
          <w:rFonts w:asciiTheme="minorHAnsi" w:eastAsia="Times New Roman" w:hAnsiTheme="minorHAnsi" w:cstheme="minorHAnsi"/>
          <w:color w:val="000000"/>
          <w:sz w:val="16"/>
          <w:szCs w:val="16"/>
          <w:lang w:eastAsia="es-MX"/>
        </w:rPr>
        <w:t xml:space="preserve"> promovidas por el Mecanismo de la Sociedad Civil del CSA</w:t>
      </w:r>
      <w:r w:rsidR="004534D6">
        <w:rPr>
          <w:rStyle w:val="Refdenotaalfinal"/>
          <w:rFonts w:asciiTheme="minorHAnsi" w:eastAsia="Times New Roman" w:hAnsiTheme="minorHAnsi" w:cstheme="minorHAnsi"/>
          <w:color w:val="000000"/>
          <w:sz w:val="16"/>
          <w:szCs w:val="16"/>
          <w:lang w:eastAsia="es-MX"/>
        </w:rPr>
        <w:endnoteReference w:id="32"/>
      </w:r>
      <w:r w:rsidR="004534D6" w:rsidRPr="004534D6">
        <w:rPr>
          <w:rFonts w:asciiTheme="minorHAnsi" w:eastAsia="Times New Roman" w:hAnsiTheme="minorHAnsi" w:cstheme="minorHAnsi"/>
          <w:color w:val="000000"/>
          <w:sz w:val="16"/>
          <w:szCs w:val="16"/>
          <w:lang w:eastAsia="es-MX"/>
        </w:rPr>
        <w:t xml:space="preserve"> y de</w:t>
      </w:r>
      <w:r w:rsidR="004534D6" w:rsidRPr="000A1026">
        <w:rPr>
          <w:rFonts w:asciiTheme="minorHAnsi" w:eastAsia="Times New Roman" w:hAnsiTheme="minorHAnsi" w:cstheme="minorHAnsi"/>
          <w:color w:val="000000"/>
          <w:sz w:val="16"/>
          <w:szCs w:val="16"/>
          <w:lang w:eastAsia="es-MX"/>
        </w:rPr>
        <w:t xml:space="preserve"> la región de América Latina para sumar nuestra perspectiva crítica.</w:t>
      </w:r>
      <w:r w:rsidR="004534D6">
        <w:rPr>
          <w:rFonts w:asciiTheme="minorHAnsi" w:eastAsia="Times New Roman" w:hAnsiTheme="minorHAnsi" w:cstheme="minorHAnsi"/>
          <w:b/>
          <w:color w:val="000000"/>
          <w:sz w:val="16"/>
          <w:szCs w:val="16"/>
          <w:lang w:eastAsia="es-MX"/>
        </w:rPr>
        <w:t xml:space="preserve"> </w:t>
      </w:r>
      <w:r w:rsidR="00835955">
        <w:rPr>
          <w:rFonts w:asciiTheme="minorHAnsi" w:eastAsia="Times New Roman" w:hAnsiTheme="minorHAnsi" w:cstheme="minorHAnsi"/>
          <w:color w:val="000000"/>
          <w:sz w:val="16"/>
          <w:szCs w:val="16"/>
          <w:lang w:eastAsia="es-MX"/>
        </w:rPr>
        <w:t xml:space="preserve"> Consideramos </w:t>
      </w:r>
      <w:r w:rsidR="000A1026">
        <w:rPr>
          <w:rFonts w:asciiTheme="minorHAnsi" w:eastAsia="Times New Roman" w:hAnsiTheme="minorHAnsi" w:cstheme="minorHAnsi"/>
          <w:color w:val="000000"/>
          <w:sz w:val="16"/>
          <w:szCs w:val="16"/>
          <w:lang w:eastAsia="es-MX"/>
        </w:rPr>
        <w:t xml:space="preserve">que en </w:t>
      </w:r>
      <w:r w:rsidR="004534D6">
        <w:rPr>
          <w:rFonts w:asciiTheme="minorHAnsi" w:eastAsia="Times New Roman" w:hAnsiTheme="minorHAnsi" w:cstheme="minorHAnsi"/>
          <w:color w:val="000000"/>
          <w:sz w:val="16"/>
          <w:szCs w:val="16"/>
          <w:lang w:eastAsia="es-MX"/>
        </w:rPr>
        <w:t xml:space="preserve">el proceso de la Cumbre </w:t>
      </w:r>
      <w:r w:rsidR="000A1026">
        <w:rPr>
          <w:rFonts w:asciiTheme="minorHAnsi" w:eastAsia="Times New Roman" w:hAnsiTheme="minorHAnsi" w:cstheme="minorHAnsi"/>
          <w:color w:val="000000"/>
          <w:sz w:val="16"/>
          <w:szCs w:val="16"/>
          <w:lang w:eastAsia="es-MX"/>
        </w:rPr>
        <w:t xml:space="preserve">ha faltado </w:t>
      </w:r>
      <w:r w:rsidR="000A1026" w:rsidRPr="002876B7">
        <w:rPr>
          <w:rFonts w:asciiTheme="minorHAnsi" w:eastAsia="Times New Roman" w:hAnsiTheme="minorHAnsi" w:cstheme="minorHAnsi"/>
          <w:color w:val="000000"/>
          <w:sz w:val="16"/>
          <w:szCs w:val="16"/>
          <w:lang w:eastAsia="es-MX"/>
        </w:rPr>
        <w:t>transparencia</w:t>
      </w:r>
      <w:r w:rsidR="00552300" w:rsidRPr="002876B7">
        <w:rPr>
          <w:rFonts w:asciiTheme="minorHAnsi" w:eastAsia="Times New Roman" w:hAnsiTheme="minorHAnsi" w:cstheme="minorHAnsi"/>
          <w:color w:val="000000"/>
          <w:sz w:val="16"/>
          <w:szCs w:val="16"/>
          <w:lang w:eastAsia="es-MX"/>
        </w:rPr>
        <w:t xml:space="preserve"> y salvaguardas contra el conflicto de interés</w:t>
      </w:r>
      <w:r w:rsidR="004534D6">
        <w:rPr>
          <w:rFonts w:asciiTheme="minorHAnsi" w:eastAsia="Times New Roman" w:hAnsiTheme="minorHAnsi" w:cstheme="minorHAnsi"/>
          <w:color w:val="000000"/>
          <w:sz w:val="16"/>
          <w:szCs w:val="16"/>
          <w:lang w:eastAsia="es-MX"/>
        </w:rPr>
        <w:t>. Al</w:t>
      </w:r>
      <w:r w:rsidR="00552300" w:rsidRPr="002876B7">
        <w:rPr>
          <w:rFonts w:asciiTheme="minorHAnsi" w:eastAsia="Times New Roman" w:hAnsiTheme="minorHAnsi" w:cstheme="minorHAnsi"/>
          <w:color w:val="000000"/>
          <w:sz w:val="16"/>
          <w:szCs w:val="16"/>
          <w:lang w:eastAsia="es-MX"/>
        </w:rPr>
        <w:t xml:space="preserve"> ser concebida como una plataforma multisectorial no existe diferenciación entre los roles de actores privados y los públicos, así el interés público se ve opacado. Su arquitectura es compleja y los criterios de selección y participación en sus órganos principales son poco claros y deja duda sobre quién decidirá los resultados de la Cumbre. Además, desconoció y marginó en un inicio al Comité de Seguridad Alimentaria (CSA) y al Mecanismo de la Sociedad Civil y Pueblos Indígenas, desarrollados por las Naciones Unidas a lo largo de 15 años para asegurar la participación e inclusión de la sociedad civil en l</w:t>
      </w:r>
      <w:r w:rsidR="00D703E8">
        <w:rPr>
          <w:rFonts w:asciiTheme="minorHAnsi" w:eastAsia="Times New Roman" w:hAnsiTheme="minorHAnsi" w:cstheme="minorHAnsi"/>
          <w:color w:val="000000"/>
          <w:sz w:val="16"/>
          <w:szCs w:val="16"/>
          <w:lang w:eastAsia="es-MX"/>
        </w:rPr>
        <w:t xml:space="preserve">os procesos de políticas del </w:t>
      </w:r>
      <w:r w:rsidR="000A1026">
        <w:rPr>
          <w:rFonts w:asciiTheme="minorHAnsi" w:eastAsia="Times New Roman" w:hAnsiTheme="minorHAnsi" w:cstheme="minorHAnsi"/>
          <w:color w:val="000000"/>
          <w:sz w:val="16"/>
          <w:szCs w:val="16"/>
          <w:lang w:eastAsia="es-MX"/>
        </w:rPr>
        <w:t>CSA.</w:t>
      </w:r>
      <w:r w:rsidR="002876B7" w:rsidRPr="002876B7">
        <w:rPr>
          <w:rFonts w:asciiTheme="minorHAnsi" w:eastAsia="Times New Roman" w:hAnsiTheme="minorHAnsi" w:cstheme="minorHAnsi"/>
          <w:color w:val="000000"/>
          <w:sz w:val="16"/>
          <w:szCs w:val="16"/>
          <w:lang w:eastAsia="es-MX"/>
        </w:rPr>
        <w:t xml:space="preserve"> Otros elementos importantes que nos han obligado alejarnos de la cumbre fueron:</w:t>
      </w:r>
    </w:p>
    <w:p w14:paraId="598815AC" w14:textId="7B8944E0" w:rsidR="002876B7" w:rsidRPr="002876B7" w:rsidRDefault="002876B7" w:rsidP="002876B7">
      <w:pPr>
        <w:pStyle w:val="Prrafodelista"/>
        <w:numPr>
          <w:ilvl w:val="0"/>
          <w:numId w:val="14"/>
        </w:numPr>
        <w:shd w:val="clear" w:color="auto" w:fill="FFFFFF"/>
        <w:spacing w:before="30" w:after="30" w:line="240" w:lineRule="auto"/>
        <w:ind w:right="850"/>
        <w:jc w:val="both"/>
        <w:rPr>
          <w:rFonts w:asciiTheme="minorHAnsi" w:eastAsia="Times New Roman" w:hAnsiTheme="minorHAnsi" w:cstheme="minorHAnsi"/>
          <w:color w:val="000000"/>
          <w:sz w:val="16"/>
          <w:szCs w:val="16"/>
          <w:lang w:eastAsia="es-MX"/>
        </w:rPr>
      </w:pPr>
      <w:r w:rsidRPr="002876B7">
        <w:rPr>
          <w:rFonts w:asciiTheme="minorHAnsi" w:eastAsia="Times New Roman" w:hAnsiTheme="minorHAnsi" w:cstheme="minorHAnsi"/>
          <w:color w:val="000000"/>
          <w:sz w:val="16"/>
          <w:szCs w:val="16"/>
          <w:u w:val="single"/>
          <w:lang w:eastAsia="es-MX"/>
        </w:rPr>
        <w:t>E</w:t>
      </w:r>
      <w:r w:rsidR="00835955">
        <w:rPr>
          <w:rFonts w:asciiTheme="minorHAnsi" w:eastAsia="Times New Roman" w:hAnsiTheme="minorHAnsi" w:cstheme="minorHAnsi"/>
          <w:color w:val="000000"/>
          <w:sz w:val="16"/>
          <w:szCs w:val="16"/>
          <w:u w:val="single"/>
          <w:lang w:eastAsia="es-MX"/>
        </w:rPr>
        <w:t xml:space="preserve">l </w:t>
      </w:r>
      <w:r w:rsidR="00411742">
        <w:rPr>
          <w:rFonts w:asciiTheme="minorHAnsi" w:eastAsia="Times New Roman" w:hAnsiTheme="minorHAnsi" w:cstheme="minorHAnsi"/>
          <w:color w:val="000000"/>
          <w:sz w:val="16"/>
          <w:szCs w:val="16"/>
          <w:u w:val="single"/>
          <w:lang w:eastAsia="es-MX"/>
        </w:rPr>
        <w:t>rol de</w:t>
      </w:r>
      <w:r w:rsidR="00835955">
        <w:rPr>
          <w:rFonts w:asciiTheme="minorHAnsi" w:eastAsia="Times New Roman" w:hAnsiTheme="minorHAnsi" w:cstheme="minorHAnsi"/>
          <w:color w:val="000000"/>
          <w:sz w:val="16"/>
          <w:szCs w:val="16"/>
          <w:u w:val="single"/>
          <w:lang w:eastAsia="es-MX"/>
        </w:rPr>
        <w:t xml:space="preserve"> las </w:t>
      </w:r>
      <w:r w:rsidR="000A1026">
        <w:rPr>
          <w:rFonts w:asciiTheme="minorHAnsi" w:eastAsia="Times New Roman" w:hAnsiTheme="minorHAnsi" w:cstheme="minorHAnsi"/>
          <w:color w:val="000000"/>
          <w:sz w:val="16"/>
          <w:szCs w:val="16"/>
          <w:u w:val="single"/>
          <w:lang w:eastAsia="es-MX"/>
        </w:rPr>
        <w:t>corporaciones.</w:t>
      </w:r>
      <w:r w:rsidRPr="002876B7">
        <w:rPr>
          <w:rFonts w:asciiTheme="minorHAnsi" w:eastAsia="Times New Roman" w:hAnsiTheme="minorHAnsi" w:cstheme="minorHAnsi"/>
          <w:color w:val="000000"/>
          <w:sz w:val="16"/>
          <w:szCs w:val="16"/>
          <w:lang w:eastAsia="es-MX"/>
        </w:rPr>
        <w:t xml:space="preserve"> Con la participación del Foro Económico Mundial (FEM) en los preparativos del proceso, así como el nombramiento de la Dra. Agnes Kalibata como Enviada Especial, actual Presidenta de la Alianza para una Revolución Verde en África (AGRA). Los principios para la participación en la Cumbre fueron en gran parte decididos por el sector privado, por científicos y economistas afines; sólo más tarde se invitó a los gobiernos y la sociedad civil a participar dentro de los parámetros establecidos por estos actores, lo que </w:t>
      </w:r>
      <w:r w:rsidR="00411742">
        <w:rPr>
          <w:rFonts w:asciiTheme="minorHAnsi" w:eastAsia="Times New Roman" w:hAnsiTheme="minorHAnsi" w:cstheme="minorHAnsi"/>
          <w:color w:val="000000"/>
          <w:sz w:val="16"/>
          <w:szCs w:val="16"/>
          <w:lang w:eastAsia="es-MX"/>
        </w:rPr>
        <w:t xml:space="preserve">puede </w:t>
      </w:r>
      <w:r w:rsidRPr="002876B7">
        <w:rPr>
          <w:rFonts w:asciiTheme="minorHAnsi" w:eastAsia="Times New Roman" w:hAnsiTheme="minorHAnsi" w:cstheme="minorHAnsi"/>
          <w:color w:val="000000"/>
          <w:sz w:val="16"/>
          <w:szCs w:val="16"/>
          <w:lang w:eastAsia="es-MX"/>
        </w:rPr>
        <w:t>afecta</w:t>
      </w:r>
      <w:r w:rsidR="00411742">
        <w:rPr>
          <w:rFonts w:asciiTheme="minorHAnsi" w:eastAsia="Times New Roman" w:hAnsiTheme="minorHAnsi" w:cstheme="minorHAnsi"/>
          <w:color w:val="000000"/>
          <w:sz w:val="16"/>
          <w:szCs w:val="16"/>
          <w:lang w:eastAsia="es-MX"/>
        </w:rPr>
        <w:t>r</w:t>
      </w:r>
      <w:r w:rsidRPr="002876B7">
        <w:rPr>
          <w:rFonts w:asciiTheme="minorHAnsi" w:eastAsia="Times New Roman" w:hAnsiTheme="minorHAnsi" w:cstheme="minorHAnsi"/>
          <w:color w:val="000000"/>
          <w:sz w:val="16"/>
          <w:szCs w:val="16"/>
          <w:lang w:eastAsia="es-MX"/>
        </w:rPr>
        <w:t xml:space="preserve"> la agenda y los tipos de soluciones bajo consideración en la Cumbre;</w:t>
      </w:r>
    </w:p>
    <w:p w14:paraId="54B4533B" w14:textId="77777777" w:rsidR="002876B7" w:rsidRPr="002876B7" w:rsidRDefault="002876B7" w:rsidP="002876B7">
      <w:pPr>
        <w:pStyle w:val="Prrafodelista"/>
        <w:numPr>
          <w:ilvl w:val="0"/>
          <w:numId w:val="14"/>
        </w:numPr>
        <w:shd w:val="clear" w:color="auto" w:fill="FFFFFF"/>
        <w:spacing w:before="30" w:after="30" w:line="240" w:lineRule="auto"/>
        <w:ind w:right="850"/>
        <w:jc w:val="both"/>
        <w:rPr>
          <w:rFonts w:asciiTheme="minorHAnsi" w:eastAsia="Times New Roman" w:hAnsiTheme="minorHAnsi" w:cstheme="minorHAnsi"/>
          <w:color w:val="000000"/>
          <w:sz w:val="16"/>
          <w:szCs w:val="16"/>
          <w:lang w:eastAsia="es-MX"/>
        </w:rPr>
      </w:pPr>
      <w:r w:rsidRPr="002876B7">
        <w:rPr>
          <w:rFonts w:asciiTheme="minorHAnsi" w:eastAsia="Times New Roman" w:hAnsiTheme="minorHAnsi" w:cstheme="minorHAnsi"/>
          <w:color w:val="000000"/>
          <w:sz w:val="16"/>
          <w:szCs w:val="16"/>
          <w:u w:val="single"/>
          <w:lang w:eastAsia="es-MX"/>
        </w:rPr>
        <w:t>Desprotege a los sistemas alime</w:t>
      </w:r>
      <w:r>
        <w:rPr>
          <w:rFonts w:asciiTheme="minorHAnsi" w:eastAsia="Times New Roman" w:hAnsiTheme="minorHAnsi" w:cstheme="minorHAnsi"/>
          <w:color w:val="000000"/>
          <w:sz w:val="16"/>
          <w:szCs w:val="16"/>
          <w:u w:val="single"/>
          <w:lang w:eastAsia="es-MX"/>
        </w:rPr>
        <w:t xml:space="preserve">ntarios contra la codicia </w:t>
      </w:r>
      <w:r w:rsidRPr="002876B7">
        <w:rPr>
          <w:rFonts w:asciiTheme="minorHAnsi" w:eastAsia="Times New Roman" w:hAnsiTheme="minorHAnsi" w:cstheme="minorHAnsi"/>
          <w:color w:val="000000"/>
          <w:sz w:val="16"/>
          <w:szCs w:val="16"/>
          <w:u w:val="single"/>
          <w:lang w:eastAsia="es-MX"/>
        </w:rPr>
        <w:t>corporativa de las empresas</w:t>
      </w:r>
      <w:r w:rsidR="00835955">
        <w:rPr>
          <w:rFonts w:asciiTheme="minorHAnsi" w:eastAsia="Times New Roman" w:hAnsiTheme="minorHAnsi" w:cstheme="minorHAnsi"/>
          <w:color w:val="000000"/>
          <w:sz w:val="16"/>
          <w:szCs w:val="16"/>
          <w:u w:val="single"/>
          <w:lang w:eastAsia="es-MX"/>
        </w:rPr>
        <w:t xml:space="preserve"> de alimentos y bebidas,</w:t>
      </w:r>
      <w:r w:rsidRPr="002876B7">
        <w:rPr>
          <w:rFonts w:asciiTheme="minorHAnsi" w:eastAsia="Times New Roman" w:hAnsiTheme="minorHAnsi" w:cstheme="minorHAnsi"/>
          <w:color w:val="000000"/>
          <w:sz w:val="16"/>
          <w:szCs w:val="16"/>
          <w:u w:val="single"/>
          <w:lang w:eastAsia="es-MX"/>
        </w:rPr>
        <w:t xml:space="preserve"> de agroquímicos y semillas</w:t>
      </w:r>
      <w:r w:rsidRPr="002876B7">
        <w:rPr>
          <w:rFonts w:asciiTheme="minorHAnsi" w:eastAsia="Times New Roman" w:hAnsiTheme="minorHAnsi" w:cstheme="minorHAnsi"/>
          <w:color w:val="000000"/>
          <w:sz w:val="16"/>
          <w:szCs w:val="16"/>
          <w:lang w:eastAsia="es-MX"/>
        </w:rPr>
        <w:t xml:space="preserve">, acción clave para lograr sistemas </w:t>
      </w:r>
      <w:r w:rsidR="00835955">
        <w:rPr>
          <w:rFonts w:asciiTheme="minorHAnsi" w:eastAsia="Times New Roman" w:hAnsiTheme="minorHAnsi" w:cstheme="minorHAnsi"/>
          <w:color w:val="000000"/>
          <w:sz w:val="16"/>
          <w:szCs w:val="16"/>
          <w:lang w:eastAsia="es-MX"/>
        </w:rPr>
        <w:t xml:space="preserve">alimentarios </w:t>
      </w:r>
      <w:r w:rsidRPr="002876B7">
        <w:rPr>
          <w:rFonts w:asciiTheme="minorHAnsi" w:eastAsia="Times New Roman" w:hAnsiTheme="minorHAnsi" w:cstheme="minorHAnsi"/>
          <w:color w:val="000000"/>
          <w:sz w:val="16"/>
          <w:szCs w:val="16"/>
          <w:lang w:eastAsia="es-MX"/>
        </w:rPr>
        <w:t>agroecológicos, equitativos, sostenibles y saludables. La Cumbre corre riesgo de presentar “soluciones” en sintonía con las mismas industrias responsables del problema de destrucción de la tierra, la mala nutrición, la pobreza y el calenta</w:t>
      </w:r>
      <w:r>
        <w:rPr>
          <w:rFonts w:asciiTheme="minorHAnsi" w:eastAsia="Times New Roman" w:hAnsiTheme="minorHAnsi" w:cstheme="minorHAnsi"/>
          <w:color w:val="000000"/>
          <w:sz w:val="16"/>
          <w:szCs w:val="16"/>
          <w:lang w:eastAsia="es-MX"/>
        </w:rPr>
        <w:t>miento global</w:t>
      </w:r>
      <w:r w:rsidRPr="002876B7">
        <w:rPr>
          <w:rFonts w:asciiTheme="minorHAnsi" w:eastAsia="Times New Roman" w:hAnsiTheme="minorHAnsi" w:cstheme="minorHAnsi"/>
          <w:color w:val="000000"/>
          <w:sz w:val="16"/>
          <w:szCs w:val="16"/>
          <w:lang w:eastAsia="es-MX"/>
        </w:rPr>
        <w:t>.</w:t>
      </w:r>
    </w:p>
    <w:p w14:paraId="24E9DFEB" w14:textId="3FD422B1" w:rsidR="002876B7" w:rsidRPr="002876B7" w:rsidRDefault="002876B7" w:rsidP="002876B7">
      <w:pPr>
        <w:pStyle w:val="Prrafodelista"/>
        <w:numPr>
          <w:ilvl w:val="0"/>
          <w:numId w:val="14"/>
        </w:numPr>
        <w:shd w:val="clear" w:color="auto" w:fill="FFFFFF"/>
        <w:spacing w:before="30" w:after="30" w:line="240" w:lineRule="auto"/>
        <w:ind w:right="850"/>
        <w:jc w:val="both"/>
        <w:rPr>
          <w:rFonts w:asciiTheme="minorHAnsi" w:eastAsia="Times New Roman" w:hAnsiTheme="minorHAnsi" w:cstheme="minorHAnsi"/>
          <w:color w:val="000000"/>
          <w:sz w:val="16"/>
          <w:szCs w:val="16"/>
          <w:lang w:eastAsia="es-MX"/>
        </w:rPr>
      </w:pPr>
      <w:r w:rsidRPr="002876B7">
        <w:rPr>
          <w:rFonts w:asciiTheme="minorHAnsi" w:eastAsia="Times New Roman" w:hAnsiTheme="minorHAnsi" w:cstheme="minorHAnsi"/>
          <w:color w:val="000000"/>
          <w:sz w:val="16"/>
          <w:szCs w:val="16"/>
          <w:u w:val="single"/>
          <w:lang w:eastAsia="es-MX"/>
        </w:rPr>
        <w:t>Es reduccionista y limitada en cuanto a la concepción sobre los sistemas alimentarios</w:t>
      </w:r>
      <w:r w:rsidRPr="002876B7">
        <w:rPr>
          <w:rFonts w:asciiTheme="minorHAnsi" w:eastAsia="Times New Roman" w:hAnsiTheme="minorHAnsi" w:cstheme="minorHAnsi"/>
          <w:color w:val="000000"/>
          <w:sz w:val="16"/>
          <w:szCs w:val="16"/>
          <w:lang w:eastAsia="es-MX"/>
        </w:rPr>
        <w:t>, con una visión predominante de producción industrial e intensiva de alimentos, perdiendo la oportunidad de promover</w:t>
      </w:r>
      <w:r w:rsidR="004534D6">
        <w:rPr>
          <w:rFonts w:asciiTheme="minorHAnsi" w:eastAsia="Times New Roman" w:hAnsiTheme="minorHAnsi" w:cstheme="minorHAnsi"/>
          <w:color w:val="000000"/>
          <w:sz w:val="16"/>
          <w:szCs w:val="16"/>
          <w:lang w:eastAsia="es-MX"/>
        </w:rPr>
        <w:t xml:space="preserve"> </w:t>
      </w:r>
      <w:r w:rsidRPr="002876B7">
        <w:rPr>
          <w:rFonts w:asciiTheme="minorHAnsi" w:eastAsia="Times New Roman" w:hAnsiTheme="minorHAnsi" w:cstheme="minorHAnsi"/>
          <w:color w:val="000000"/>
          <w:sz w:val="16"/>
          <w:szCs w:val="16"/>
          <w:lang w:eastAsia="es-MX"/>
        </w:rPr>
        <w:t xml:space="preserve">una transformación profunda, sistémica e integral, </w:t>
      </w:r>
      <w:r w:rsidR="000A1026" w:rsidRPr="002876B7">
        <w:rPr>
          <w:rFonts w:asciiTheme="minorHAnsi" w:eastAsia="Times New Roman" w:hAnsiTheme="minorHAnsi" w:cstheme="minorHAnsi"/>
          <w:color w:val="000000"/>
          <w:sz w:val="16"/>
          <w:szCs w:val="16"/>
          <w:lang w:eastAsia="es-MX"/>
        </w:rPr>
        <w:t>que incluya</w:t>
      </w:r>
      <w:r w:rsidRPr="002876B7">
        <w:rPr>
          <w:rFonts w:asciiTheme="minorHAnsi" w:eastAsia="Times New Roman" w:hAnsiTheme="minorHAnsi" w:cstheme="minorHAnsi"/>
          <w:color w:val="000000"/>
          <w:sz w:val="16"/>
          <w:szCs w:val="16"/>
          <w:lang w:eastAsia="es-MX"/>
        </w:rPr>
        <w:t xml:space="preserve"> la justicia social, eco</w:t>
      </w:r>
      <w:r>
        <w:rPr>
          <w:rFonts w:asciiTheme="minorHAnsi" w:eastAsia="Times New Roman" w:hAnsiTheme="minorHAnsi" w:cstheme="minorHAnsi"/>
          <w:color w:val="000000"/>
          <w:sz w:val="16"/>
          <w:szCs w:val="16"/>
          <w:lang w:eastAsia="es-MX"/>
        </w:rPr>
        <w:t>nómica, de género y climática.</w:t>
      </w:r>
      <w:r w:rsidRPr="002876B7">
        <w:rPr>
          <w:rFonts w:eastAsia="Calibri" w:cs="Calibri"/>
          <w:color w:val="000000"/>
          <w:sz w:val="22"/>
          <w:vertAlign w:val="superscript"/>
        </w:rPr>
        <w:t xml:space="preserve"> </w:t>
      </w:r>
      <w:r>
        <w:rPr>
          <w:rFonts w:eastAsia="Calibri" w:cs="Calibri"/>
          <w:color w:val="000000"/>
          <w:sz w:val="22"/>
          <w:vertAlign w:val="superscript"/>
        </w:rPr>
        <w:endnoteReference w:id="33"/>
      </w:r>
    </w:p>
    <w:p w14:paraId="19CF19A7" w14:textId="77777777" w:rsidR="00FB5F25" w:rsidRPr="00FB5F25" w:rsidRDefault="00FB5F25" w:rsidP="00D362E6">
      <w:pPr>
        <w:shd w:val="clear" w:color="auto" w:fill="FFFFFF"/>
        <w:spacing w:before="30" w:after="30" w:line="240" w:lineRule="auto"/>
        <w:ind w:left="850" w:right="850"/>
        <w:jc w:val="both"/>
        <w:rPr>
          <w:rFonts w:asciiTheme="minorHAnsi" w:eastAsia="Times New Roman" w:hAnsiTheme="minorHAnsi" w:cstheme="minorHAnsi"/>
          <w:color w:val="000000"/>
          <w:sz w:val="16"/>
          <w:szCs w:val="16"/>
          <w:u w:val="single"/>
          <w:lang w:eastAsia="es-MX"/>
        </w:rPr>
      </w:pPr>
      <w:r w:rsidRPr="00FB5F25">
        <w:rPr>
          <w:rFonts w:asciiTheme="minorHAnsi" w:eastAsia="Times New Roman" w:hAnsiTheme="minorHAnsi" w:cstheme="minorHAnsi"/>
          <w:color w:val="000000"/>
          <w:sz w:val="16"/>
          <w:szCs w:val="16"/>
          <w:u w:val="single"/>
          <w:lang w:eastAsia="es-MX"/>
        </w:rPr>
        <w:t>Resultados de la Cumbre sobre Sistemas Alimentarios</w:t>
      </w:r>
    </w:p>
    <w:p w14:paraId="3917D97C" w14:textId="47CA7461" w:rsidR="00FB5F25" w:rsidRPr="00543925" w:rsidRDefault="00D5667F" w:rsidP="00543925">
      <w:pPr>
        <w:pStyle w:val="Prrafodelista"/>
        <w:numPr>
          <w:ilvl w:val="0"/>
          <w:numId w:val="5"/>
        </w:numPr>
        <w:shd w:val="clear" w:color="auto" w:fill="FFFFFF"/>
        <w:spacing w:before="30" w:after="30" w:line="240" w:lineRule="auto"/>
        <w:ind w:right="850"/>
        <w:jc w:val="both"/>
        <w:rPr>
          <w:rFonts w:asciiTheme="minorHAnsi" w:eastAsia="Times New Roman" w:hAnsiTheme="minorHAnsi" w:cstheme="minorHAnsi"/>
          <w:color w:val="000000"/>
          <w:sz w:val="16"/>
          <w:szCs w:val="16"/>
          <w:lang w:eastAsia="es-MX"/>
        </w:rPr>
      </w:pPr>
      <w:r w:rsidRPr="00543925">
        <w:rPr>
          <w:rFonts w:asciiTheme="minorHAnsi" w:eastAsia="Times New Roman" w:hAnsiTheme="minorHAnsi" w:cstheme="minorHAnsi"/>
          <w:color w:val="000000"/>
          <w:sz w:val="16"/>
          <w:szCs w:val="16"/>
          <w:lang w:eastAsia="es-MX"/>
        </w:rPr>
        <w:t>En respuesta a las preguntas 10, 11 y 12</w:t>
      </w:r>
      <w:r w:rsidR="00543925" w:rsidRPr="00543925">
        <w:rPr>
          <w:rFonts w:asciiTheme="minorHAnsi" w:eastAsia="Times New Roman" w:hAnsiTheme="minorHAnsi" w:cstheme="minorHAnsi"/>
          <w:color w:val="000000"/>
          <w:sz w:val="16"/>
          <w:szCs w:val="16"/>
          <w:lang w:eastAsia="es-MX"/>
        </w:rPr>
        <w:t xml:space="preserve">, </w:t>
      </w:r>
      <w:r w:rsidRPr="00543925">
        <w:rPr>
          <w:rFonts w:asciiTheme="minorHAnsi" w:eastAsia="Times New Roman" w:hAnsiTheme="minorHAnsi" w:cstheme="minorHAnsi"/>
          <w:color w:val="000000"/>
          <w:sz w:val="16"/>
          <w:szCs w:val="16"/>
          <w:lang w:eastAsia="es-MX"/>
        </w:rPr>
        <w:t xml:space="preserve">creemos que es importante que, como parte de los resultados de la cumbre, se </w:t>
      </w:r>
      <w:r w:rsidR="002876B7" w:rsidRPr="00543925">
        <w:rPr>
          <w:rFonts w:asciiTheme="minorHAnsi" w:eastAsia="Times New Roman" w:hAnsiTheme="minorHAnsi" w:cstheme="minorHAnsi"/>
          <w:color w:val="000000"/>
          <w:sz w:val="16"/>
          <w:szCs w:val="16"/>
          <w:lang w:eastAsia="es-MX"/>
        </w:rPr>
        <w:t xml:space="preserve">tomen </w:t>
      </w:r>
      <w:r w:rsidR="00543925" w:rsidRPr="00543925">
        <w:rPr>
          <w:rFonts w:asciiTheme="minorHAnsi" w:eastAsia="Times New Roman" w:hAnsiTheme="minorHAnsi" w:cstheme="minorHAnsi"/>
          <w:color w:val="000000"/>
          <w:sz w:val="16"/>
          <w:szCs w:val="16"/>
          <w:lang w:eastAsia="es-MX"/>
        </w:rPr>
        <w:t>en cuenta</w:t>
      </w:r>
      <w:r w:rsidR="002876B7" w:rsidRPr="00543925">
        <w:rPr>
          <w:rFonts w:asciiTheme="minorHAnsi" w:eastAsia="Times New Roman" w:hAnsiTheme="minorHAnsi" w:cstheme="minorHAnsi"/>
          <w:color w:val="000000"/>
          <w:sz w:val="16"/>
          <w:szCs w:val="16"/>
          <w:lang w:eastAsia="es-MX"/>
        </w:rPr>
        <w:t xml:space="preserve"> los siguientes elementos para la plena realización del derecho </w:t>
      </w:r>
      <w:r w:rsidR="00FB5F25" w:rsidRPr="00543925">
        <w:rPr>
          <w:rFonts w:asciiTheme="minorHAnsi" w:eastAsia="Times New Roman" w:hAnsiTheme="minorHAnsi" w:cstheme="minorHAnsi"/>
          <w:color w:val="000000"/>
          <w:sz w:val="16"/>
          <w:szCs w:val="16"/>
          <w:lang w:eastAsia="es-MX"/>
        </w:rPr>
        <w:t>del derec</w:t>
      </w:r>
      <w:r w:rsidR="002876B7" w:rsidRPr="00543925">
        <w:rPr>
          <w:rFonts w:asciiTheme="minorHAnsi" w:eastAsia="Times New Roman" w:hAnsiTheme="minorHAnsi" w:cstheme="minorHAnsi"/>
          <w:color w:val="000000"/>
          <w:sz w:val="16"/>
          <w:szCs w:val="16"/>
          <w:lang w:eastAsia="es-MX"/>
        </w:rPr>
        <w:t>ho a la alimentación para to</w:t>
      </w:r>
      <w:r w:rsidR="00D703E8">
        <w:rPr>
          <w:rFonts w:asciiTheme="minorHAnsi" w:eastAsia="Times New Roman" w:hAnsiTheme="minorHAnsi" w:cstheme="minorHAnsi"/>
          <w:color w:val="000000"/>
          <w:sz w:val="16"/>
          <w:szCs w:val="16"/>
          <w:lang w:eastAsia="es-MX"/>
        </w:rPr>
        <w:t>das las personas</w:t>
      </w:r>
      <w:r w:rsidR="002876B7" w:rsidRPr="00543925">
        <w:rPr>
          <w:rFonts w:asciiTheme="minorHAnsi" w:eastAsia="Times New Roman" w:hAnsiTheme="minorHAnsi" w:cstheme="minorHAnsi"/>
          <w:color w:val="000000"/>
          <w:sz w:val="16"/>
          <w:szCs w:val="16"/>
          <w:lang w:eastAsia="es-MX"/>
        </w:rPr>
        <w:t>:</w:t>
      </w:r>
    </w:p>
    <w:p w14:paraId="62FF3E44" w14:textId="77777777" w:rsidR="002876B7" w:rsidRPr="002876B7" w:rsidRDefault="002876B7" w:rsidP="002876B7">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543925">
        <w:rPr>
          <w:rFonts w:asciiTheme="minorHAnsi" w:eastAsia="Times New Roman" w:hAnsiTheme="minorHAnsi" w:cstheme="minorHAnsi"/>
          <w:b/>
          <w:color w:val="000000"/>
          <w:sz w:val="16"/>
          <w:szCs w:val="16"/>
          <w:u w:val="single"/>
          <w:lang w:eastAsia="es-MX"/>
        </w:rPr>
        <w:t>1. Que el eje rector de las propuestas sean los Derechos Humanos.</w:t>
      </w:r>
      <w:r w:rsidRPr="002876B7">
        <w:rPr>
          <w:rFonts w:asciiTheme="minorHAnsi" w:eastAsia="Times New Roman" w:hAnsiTheme="minorHAnsi" w:cstheme="minorHAnsi"/>
          <w:color w:val="000000"/>
          <w:sz w:val="16"/>
          <w:szCs w:val="16"/>
          <w:lang w:eastAsia="es-MX"/>
        </w:rPr>
        <w:t xml:space="preserve"> La Cumb</w:t>
      </w:r>
      <w:r w:rsidR="00543925">
        <w:rPr>
          <w:rFonts w:asciiTheme="minorHAnsi" w:eastAsia="Times New Roman" w:hAnsiTheme="minorHAnsi" w:cstheme="minorHAnsi"/>
          <w:color w:val="000000"/>
          <w:sz w:val="16"/>
          <w:szCs w:val="16"/>
          <w:lang w:eastAsia="es-MX"/>
        </w:rPr>
        <w:t xml:space="preserve">re debe estar fundamentada en </w:t>
      </w:r>
      <w:r w:rsidRPr="002876B7">
        <w:rPr>
          <w:rFonts w:asciiTheme="minorHAnsi" w:eastAsia="Times New Roman" w:hAnsiTheme="minorHAnsi" w:cstheme="minorHAnsi"/>
          <w:color w:val="000000"/>
          <w:sz w:val="16"/>
          <w:szCs w:val="16"/>
          <w:lang w:eastAsia="es-MX"/>
        </w:rPr>
        <w:t xml:space="preserve">el derecho a la alimentación, el derecho a la tierra, al territorio y al agua de las y los campesinos que producen a pequeña escala, las mujeres, los pueblos indígenas, las y los trabajadores del sistema alimentario; los derechos de las personas consumidoras; el derecho a la transparencia e información pública sobre cómo se producen los alimentos, cómo se procesan y sus contenidos. Exigimos que las voces de las personas titulares de derechos como las y los productores a pequeña y mediana escala, deben ser priorizadas en el desarrollo de las políticas. Asimismo, los órganos de la ONU con perspectiva de derechos humanos, como el Comité de Seguridad Alimentaria y el Mecanismo de Sociedad Civil, deben ocupar un lugar central en la Cumbre y ser elegidos para dar seguimiento, implementar y monitorear los resultados. </w:t>
      </w:r>
    </w:p>
    <w:p w14:paraId="4C1B6B4E" w14:textId="13A5FABC" w:rsidR="002876B7" w:rsidRPr="002876B7" w:rsidRDefault="00543925" w:rsidP="00D703E8">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sidRPr="00543925">
        <w:rPr>
          <w:rFonts w:asciiTheme="minorHAnsi" w:eastAsia="Times New Roman" w:hAnsiTheme="minorHAnsi" w:cstheme="minorHAnsi"/>
          <w:b/>
          <w:color w:val="000000"/>
          <w:sz w:val="16"/>
          <w:szCs w:val="16"/>
          <w:lang w:eastAsia="es-MX"/>
        </w:rPr>
        <w:t xml:space="preserve">2. </w:t>
      </w:r>
      <w:r w:rsidR="00D703E8" w:rsidRPr="00543925">
        <w:rPr>
          <w:rFonts w:asciiTheme="minorHAnsi" w:eastAsia="Times New Roman" w:hAnsiTheme="minorHAnsi" w:cstheme="minorHAnsi"/>
          <w:b/>
          <w:color w:val="000000"/>
          <w:sz w:val="16"/>
          <w:szCs w:val="16"/>
          <w:lang w:eastAsia="es-MX"/>
        </w:rPr>
        <w:t>Que la agroecología sea el principio central de los sistemas alimentarios en la Cumbre.</w:t>
      </w:r>
      <w:r w:rsidR="00D703E8" w:rsidRPr="002876B7">
        <w:rPr>
          <w:rFonts w:asciiTheme="minorHAnsi" w:eastAsia="Times New Roman" w:hAnsiTheme="minorHAnsi" w:cstheme="minorHAnsi"/>
          <w:color w:val="000000"/>
          <w:sz w:val="16"/>
          <w:szCs w:val="16"/>
          <w:lang w:eastAsia="es-MX"/>
        </w:rPr>
        <w:t xml:space="preserve"> Para que la producción de los alimentos transite de ser productora de gases efecto invernadero (GEI) y contaminantes, a ser sostenible, captadora y almacenadora de estos gases, que permitan enfriar el planeta y restaura</w:t>
      </w:r>
      <w:r w:rsidR="00D703E8">
        <w:rPr>
          <w:rFonts w:asciiTheme="minorHAnsi" w:eastAsia="Times New Roman" w:hAnsiTheme="minorHAnsi" w:cstheme="minorHAnsi"/>
          <w:color w:val="000000"/>
          <w:sz w:val="16"/>
          <w:szCs w:val="16"/>
          <w:lang w:eastAsia="es-MX"/>
        </w:rPr>
        <w:t xml:space="preserve">r la fertilidad de la tierra y </w:t>
      </w:r>
      <w:r w:rsidR="00D703E8" w:rsidRPr="002876B7">
        <w:rPr>
          <w:rFonts w:asciiTheme="minorHAnsi" w:eastAsia="Times New Roman" w:hAnsiTheme="minorHAnsi" w:cstheme="minorHAnsi"/>
          <w:color w:val="000000"/>
          <w:sz w:val="16"/>
          <w:szCs w:val="16"/>
          <w:lang w:eastAsia="es-MX"/>
        </w:rPr>
        <w:t>la calidad de los alimentos. De la misma forma, la soberanía alimentaria debe ser un enfoque central para lograr un sistema alimentario justo, sostenible y saludable. En el mismo sentido, las medidas para disminuir la captura corporativa del sistema alimentario deben proponerse para asegurar que las y los productores a pequeña y mediana escala, así como la agricultura familiar, tengan más control de la cadena agroalimentaria (desde la fase de producción, las semillas, el procesamiento y las cadenas de consumo).</w:t>
      </w:r>
    </w:p>
    <w:p w14:paraId="52F067FA" w14:textId="0461B1B0" w:rsidR="002876B7" w:rsidRPr="002876B7" w:rsidRDefault="00D703E8" w:rsidP="002876B7">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Pr>
          <w:rFonts w:asciiTheme="minorHAnsi" w:eastAsia="Times New Roman" w:hAnsiTheme="minorHAnsi" w:cstheme="minorHAnsi"/>
          <w:b/>
          <w:color w:val="000000"/>
          <w:sz w:val="16"/>
          <w:szCs w:val="16"/>
          <w:lang w:eastAsia="es-MX"/>
        </w:rPr>
        <w:t>3</w:t>
      </w:r>
      <w:r w:rsidR="00543925" w:rsidRPr="00543925">
        <w:rPr>
          <w:rFonts w:asciiTheme="minorHAnsi" w:eastAsia="Times New Roman" w:hAnsiTheme="minorHAnsi" w:cstheme="minorHAnsi"/>
          <w:b/>
          <w:color w:val="000000"/>
          <w:sz w:val="16"/>
          <w:szCs w:val="16"/>
          <w:lang w:eastAsia="es-MX"/>
        </w:rPr>
        <w:t xml:space="preserve">. </w:t>
      </w:r>
      <w:r w:rsidR="002876B7" w:rsidRPr="00543925">
        <w:rPr>
          <w:rFonts w:asciiTheme="minorHAnsi" w:eastAsia="Times New Roman" w:hAnsiTheme="minorHAnsi" w:cstheme="minorHAnsi"/>
          <w:b/>
          <w:color w:val="000000"/>
          <w:sz w:val="16"/>
          <w:szCs w:val="16"/>
          <w:lang w:eastAsia="es-MX"/>
        </w:rPr>
        <w:t>Que se desarrollen mecanismos para salvaguardar a los sistemas alimentarios del conflicto de interés y la captura corporativa</w:t>
      </w:r>
      <w:r w:rsidR="002876B7" w:rsidRPr="002876B7">
        <w:rPr>
          <w:rFonts w:asciiTheme="minorHAnsi" w:eastAsia="Times New Roman" w:hAnsiTheme="minorHAnsi" w:cstheme="minorHAnsi"/>
          <w:color w:val="000000"/>
          <w:sz w:val="16"/>
          <w:szCs w:val="16"/>
          <w:lang w:eastAsia="es-MX"/>
        </w:rPr>
        <w:t>. La toma de decisión, el desarrollo, la implementación y evaluación de la política pú</w:t>
      </w:r>
      <w:r w:rsidR="00543925">
        <w:rPr>
          <w:rFonts w:asciiTheme="minorHAnsi" w:eastAsia="Times New Roman" w:hAnsiTheme="minorHAnsi" w:cstheme="minorHAnsi"/>
          <w:color w:val="000000"/>
          <w:sz w:val="16"/>
          <w:szCs w:val="16"/>
          <w:lang w:eastAsia="es-MX"/>
        </w:rPr>
        <w:t xml:space="preserve">blica deben ser independientes </w:t>
      </w:r>
      <w:r w:rsidR="002876B7" w:rsidRPr="002876B7">
        <w:rPr>
          <w:rFonts w:asciiTheme="minorHAnsi" w:eastAsia="Times New Roman" w:hAnsiTheme="minorHAnsi" w:cstheme="minorHAnsi"/>
          <w:color w:val="000000"/>
          <w:sz w:val="16"/>
          <w:szCs w:val="16"/>
          <w:lang w:eastAsia="es-MX"/>
        </w:rPr>
        <w:t>de los intereses privados y salvaguardados por el gobierno, y bajo vigilancia ciudadana.</w:t>
      </w:r>
    </w:p>
    <w:p w14:paraId="6BD1B716" w14:textId="4DB57443" w:rsidR="002876B7" w:rsidRPr="002876B7" w:rsidRDefault="00D703E8" w:rsidP="002876B7">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Pr>
          <w:rFonts w:asciiTheme="minorHAnsi" w:eastAsia="Times New Roman" w:hAnsiTheme="minorHAnsi" w:cstheme="minorHAnsi"/>
          <w:b/>
          <w:color w:val="000000"/>
          <w:sz w:val="16"/>
          <w:szCs w:val="16"/>
          <w:lang w:eastAsia="es-MX"/>
        </w:rPr>
        <w:t>4</w:t>
      </w:r>
      <w:r w:rsidR="00543925" w:rsidRPr="00543925">
        <w:rPr>
          <w:rFonts w:asciiTheme="minorHAnsi" w:eastAsia="Times New Roman" w:hAnsiTheme="minorHAnsi" w:cstheme="minorHAnsi"/>
          <w:b/>
          <w:color w:val="000000"/>
          <w:sz w:val="16"/>
          <w:szCs w:val="16"/>
          <w:lang w:eastAsia="es-MX"/>
        </w:rPr>
        <w:t xml:space="preserve">. </w:t>
      </w:r>
      <w:r w:rsidR="002876B7" w:rsidRPr="00543925">
        <w:rPr>
          <w:rFonts w:asciiTheme="minorHAnsi" w:eastAsia="Times New Roman" w:hAnsiTheme="minorHAnsi" w:cstheme="minorHAnsi"/>
          <w:b/>
          <w:color w:val="000000"/>
          <w:sz w:val="16"/>
          <w:szCs w:val="16"/>
          <w:lang w:eastAsia="es-MX"/>
        </w:rPr>
        <w:t>Que los sistemas alimentarios combatan la pobreza y la inequidad.</w:t>
      </w:r>
      <w:r w:rsidR="002876B7" w:rsidRPr="002876B7">
        <w:rPr>
          <w:rFonts w:asciiTheme="minorHAnsi" w:eastAsia="Times New Roman" w:hAnsiTheme="minorHAnsi" w:cstheme="minorHAnsi"/>
          <w:color w:val="000000"/>
          <w:sz w:val="16"/>
          <w:szCs w:val="16"/>
          <w:lang w:eastAsia="es-MX"/>
        </w:rPr>
        <w:t xml:space="preserve"> Es clave que los sistemas alimentarios prioricen y protejan las cadenas cortas agroalimentarias, los mercados locales y territoriales y las economías locales, que aseguren medios de vida y el trabajo digno para todas las personas involucradas en el sistema alimentario y que los tratados y acuerdos de comercio impacten de manera positiva a las y los productores y agricultores familiares con una distribución justa de la riqueza, devolviendo la dignidad y una remuneración justa a quienes nos alimentan de forma sana.  Que los comestibles ultraprocesados y las fórmulas infantiles sean regulados en todo el mundo. Deben reconocerse los daños a la salud y al ambiente de los ultraprocesados y proponer políticas para su regulación, como medidas fiscales, etiquetados frontales de advertencia, límites a su publicidad en todos medios, y la implementación completa del Código Internacional de Comercialización de Sucedáneos de Leche Materna.</w:t>
      </w:r>
    </w:p>
    <w:p w14:paraId="6769BBF4" w14:textId="5E7BB472" w:rsidR="00A236D3" w:rsidRDefault="00D703E8" w:rsidP="00543925">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Pr>
          <w:rFonts w:asciiTheme="minorHAnsi" w:eastAsia="Times New Roman" w:hAnsiTheme="minorHAnsi" w:cstheme="minorHAnsi"/>
          <w:b/>
          <w:color w:val="000000"/>
          <w:sz w:val="16"/>
          <w:szCs w:val="16"/>
          <w:lang w:eastAsia="es-MX"/>
        </w:rPr>
        <w:t>5</w:t>
      </w:r>
      <w:r w:rsidR="00543925" w:rsidRPr="00543925">
        <w:rPr>
          <w:rFonts w:asciiTheme="minorHAnsi" w:eastAsia="Times New Roman" w:hAnsiTheme="minorHAnsi" w:cstheme="minorHAnsi"/>
          <w:b/>
          <w:color w:val="000000"/>
          <w:sz w:val="16"/>
          <w:szCs w:val="16"/>
          <w:lang w:eastAsia="es-MX"/>
        </w:rPr>
        <w:t xml:space="preserve">. </w:t>
      </w:r>
      <w:r w:rsidR="002876B7" w:rsidRPr="00543925">
        <w:rPr>
          <w:rFonts w:asciiTheme="minorHAnsi" w:eastAsia="Times New Roman" w:hAnsiTheme="minorHAnsi" w:cstheme="minorHAnsi"/>
          <w:b/>
          <w:color w:val="000000"/>
          <w:sz w:val="16"/>
          <w:szCs w:val="16"/>
          <w:lang w:eastAsia="es-MX"/>
        </w:rPr>
        <w:t>Que se reconozca la relación directa entre los sistemas alimentarios, el cambio climático y la salud de las personas y del planeta</w:t>
      </w:r>
      <w:r w:rsidR="002876B7" w:rsidRPr="002876B7">
        <w:rPr>
          <w:rFonts w:asciiTheme="minorHAnsi" w:eastAsia="Times New Roman" w:hAnsiTheme="minorHAnsi" w:cstheme="minorHAnsi"/>
          <w:color w:val="000000"/>
          <w:sz w:val="16"/>
          <w:szCs w:val="16"/>
          <w:lang w:eastAsia="es-MX"/>
        </w:rPr>
        <w:t>. Los sistemas alimentarios deben estar dirigidos a garantizar la salud humana y planetaria, proteger la biodiversidad, restaurar y mantene</w:t>
      </w:r>
      <w:r w:rsidR="00543925">
        <w:rPr>
          <w:rFonts w:asciiTheme="minorHAnsi" w:eastAsia="Times New Roman" w:hAnsiTheme="minorHAnsi" w:cstheme="minorHAnsi"/>
          <w:color w:val="000000"/>
          <w:sz w:val="16"/>
          <w:szCs w:val="16"/>
          <w:lang w:eastAsia="es-MX"/>
        </w:rPr>
        <w:t xml:space="preserve">r los ciclos de la naturaleza, </w:t>
      </w:r>
      <w:r w:rsidR="002876B7" w:rsidRPr="002876B7">
        <w:rPr>
          <w:rFonts w:asciiTheme="minorHAnsi" w:eastAsia="Times New Roman" w:hAnsiTheme="minorHAnsi" w:cstheme="minorHAnsi"/>
          <w:color w:val="000000"/>
          <w:sz w:val="16"/>
          <w:szCs w:val="16"/>
          <w:lang w:eastAsia="es-MX"/>
        </w:rPr>
        <w:t>regenerar los suelos, así como mantener la conservación y el acceso a las semillas nativas.</w:t>
      </w:r>
    </w:p>
    <w:p w14:paraId="5E5C6E4F" w14:textId="1E7A6F8F" w:rsidR="00D703E8" w:rsidRPr="00543925" w:rsidRDefault="00D703E8" w:rsidP="00543925">
      <w:pPr>
        <w:shd w:val="clear" w:color="auto" w:fill="FFFFFF"/>
        <w:spacing w:before="30" w:after="30" w:line="240" w:lineRule="auto"/>
        <w:ind w:left="850" w:right="850"/>
        <w:jc w:val="both"/>
        <w:rPr>
          <w:rFonts w:asciiTheme="minorHAnsi" w:eastAsia="Times New Roman" w:hAnsiTheme="minorHAnsi" w:cstheme="minorHAnsi"/>
          <w:color w:val="000000"/>
          <w:sz w:val="16"/>
          <w:szCs w:val="16"/>
          <w:lang w:eastAsia="es-MX"/>
        </w:rPr>
      </w:pPr>
      <w:r>
        <w:rPr>
          <w:rFonts w:asciiTheme="minorHAnsi" w:eastAsia="Times New Roman" w:hAnsiTheme="minorHAnsi" w:cstheme="minorHAnsi"/>
          <w:b/>
          <w:color w:val="000000"/>
          <w:sz w:val="16"/>
          <w:szCs w:val="16"/>
          <w:lang w:eastAsia="es-MX"/>
        </w:rPr>
        <w:t xml:space="preserve">6. De forma específica, </w:t>
      </w:r>
      <w:r>
        <w:rPr>
          <w:rFonts w:asciiTheme="minorHAnsi" w:eastAsia="Times New Roman" w:hAnsiTheme="minorHAnsi" w:cstheme="minorHAnsi"/>
          <w:b/>
          <w:color w:val="000000"/>
          <w:sz w:val="16"/>
          <w:szCs w:val="16"/>
          <w:lang w:eastAsia="es-MX"/>
        </w:rPr>
        <w:t>q</w:t>
      </w:r>
      <w:r w:rsidRPr="00543925">
        <w:rPr>
          <w:rFonts w:asciiTheme="minorHAnsi" w:eastAsia="Times New Roman" w:hAnsiTheme="minorHAnsi" w:cstheme="minorHAnsi"/>
          <w:b/>
          <w:color w:val="000000"/>
          <w:sz w:val="16"/>
          <w:szCs w:val="16"/>
          <w:lang w:eastAsia="es-MX"/>
        </w:rPr>
        <w:t>ue el Estado mexicano impulse y promueva pr</w:t>
      </w:r>
      <w:r>
        <w:rPr>
          <w:rFonts w:asciiTheme="minorHAnsi" w:eastAsia="Times New Roman" w:hAnsiTheme="minorHAnsi" w:cstheme="minorHAnsi"/>
          <w:b/>
          <w:color w:val="000000"/>
          <w:sz w:val="16"/>
          <w:szCs w:val="16"/>
          <w:lang w:eastAsia="es-MX"/>
        </w:rPr>
        <w:t xml:space="preserve">ogramas y políticas públicas </w:t>
      </w:r>
      <w:r w:rsidRPr="00543925">
        <w:rPr>
          <w:rFonts w:asciiTheme="minorHAnsi" w:eastAsia="Times New Roman" w:hAnsiTheme="minorHAnsi" w:cstheme="minorHAnsi"/>
          <w:b/>
          <w:color w:val="000000"/>
          <w:sz w:val="16"/>
          <w:szCs w:val="16"/>
          <w:lang w:eastAsia="es-MX"/>
        </w:rPr>
        <w:t>de los sistemas alimentarios de forma integral, desde la producción hasta su consumo junto a sus efectos sociales, ambientales y en salud y la nutrición.</w:t>
      </w:r>
      <w:r w:rsidRPr="002876B7">
        <w:rPr>
          <w:rFonts w:asciiTheme="minorHAnsi" w:eastAsia="Times New Roman" w:hAnsiTheme="minorHAnsi" w:cstheme="minorHAnsi"/>
          <w:color w:val="000000"/>
          <w:sz w:val="16"/>
          <w:szCs w:val="16"/>
          <w:lang w:eastAsia="es-MX"/>
        </w:rPr>
        <w:t xml:space="preserve"> Los sistemas alimentarios tienen objetivos públicos más allá de la salud y la nutrición. Estos deben contribuir a la preservación y regeneración de la naturaleza, a la vida, </w:t>
      </w:r>
      <w:r w:rsidRPr="002876B7">
        <w:rPr>
          <w:rFonts w:asciiTheme="minorHAnsi" w:eastAsia="Times New Roman" w:hAnsiTheme="minorHAnsi" w:cstheme="minorHAnsi"/>
          <w:color w:val="000000"/>
          <w:sz w:val="16"/>
          <w:szCs w:val="16"/>
          <w:lang w:eastAsia="es-MX"/>
        </w:rPr>
        <w:lastRenderedPageBreak/>
        <w:t>el trabajo digno y a la protección de los conocimientos tradicionales de las poblaciones indígenas y originarias, así como de las diversas culturas culinarias.</w:t>
      </w:r>
    </w:p>
    <w:sectPr w:rsidR="00D703E8" w:rsidRPr="00543925" w:rsidSect="00543925">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6E82D" w14:textId="77777777" w:rsidR="008B43ED" w:rsidRDefault="008B43ED" w:rsidP="003E1D81">
      <w:pPr>
        <w:spacing w:after="0" w:line="240" w:lineRule="auto"/>
      </w:pPr>
      <w:r>
        <w:separator/>
      </w:r>
    </w:p>
  </w:endnote>
  <w:endnote w:type="continuationSeparator" w:id="0">
    <w:p w14:paraId="5FBE24EB" w14:textId="77777777" w:rsidR="008B43ED" w:rsidRDefault="008B43ED" w:rsidP="003E1D81">
      <w:pPr>
        <w:spacing w:after="0" w:line="240" w:lineRule="auto"/>
      </w:pPr>
      <w:r>
        <w:continuationSeparator/>
      </w:r>
    </w:p>
  </w:endnote>
  <w:endnote w:id="1">
    <w:p w14:paraId="22DDECF6" w14:textId="77777777" w:rsidR="00D362E6" w:rsidRPr="003E3AF4" w:rsidRDefault="00D362E6">
      <w:pPr>
        <w:pStyle w:val="Textonotaalfinal"/>
        <w:rPr>
          <w:sz w:val="10"/>
          <w:szCs w:val="10"/>
        </w:rPr>
      </w:pPr>
      <w:r w:rsidRPr="003E3AF4">
        <w:rPr>
          <w:rStyle w:val="Refdenotaalfinal"/>
          <w:sz w:val="10"/>
          <w:szCs w:val="10"/>
        </w:rPr>
        <w:endnoteRef/>
      </w:r>
      <w:r w:rsidRPr="003E3AF4">
        <w:rPr>
          <w:sz w:val="10"/>
          <w:szCs w:val="10"/>
        </w:rPr>
        <w:t xml:space="preserve"> INSP, Encuesta Nacional de Salud y Nutrición 2018. Presentación de resultados, págs.31-41, </w:t>
      </w:r>
      <w:hyperlink r:id="rId1" w:history="1">
        <w:r w:rsidRPr="003E3AF4">
          <w:rPr>
            <w:rStyle w:val="Hipervnculo"/>
            <w:sz w:val="10"/>
            <w:szCs w:val="10"/>
          </w:rPr>
          <w:t>https://ensanut.insp.mx/encuestas/ensanut2018/doctos/informes/ensanut_2018_presentacion_resultados.pdf</w:t>
        </w:r>
      </w:hyperlink>
      <w:r w:rsidRPr="003E3AF4">
        <w:rPr>
          <w:sz w:val="10"/>
          <w:szCs w:val="10"/>
        </w:rPr>
        <w:t xml:space="preserve"> </w:t>
      </w:r>
    </w:p>
  </w:endnote>
  <w:endnote w:id="2">
    <w:p w14:paraId="36D869B1" w14:textId="77777777" w:rsidR="00D362E6" w:rsidRPr="003E3AF4" w:rsidRDefault="00D362E6" w:rsidP="00232974">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Xantomilla, Gabriel, Consumo de botellas de plástico marca récord en México: Semarnat, El Sol de México, México, 19 de abril de 2021, </w:t>
      </w:r>
      <w:hyperlink r:id="rId2" w:history="1">
        <w:r w:rsidRPr="003E3AF4">
          <w:rPr>
            <w:rStyle w:val="Hipervnculo"/>
            <w:rFonts w:asciiTheme="minorHAnsi" w:hAnsiTheme="minorHAnsi" w:cstheme="minorHAnsi"/>
            <w:sz w:val="10"/>
            <w:szCs w:val="10"/>
          </w:rPr>
          <w:t>https://www.elsoldemexico.com.mx/mexico/sociedad/consumo-de-botellas-de-plastico-marca-record-en-mexico-semarnat-3435611.html</w:t>
        </w:r>
      </w:hyperlink>
      <w:r w:rsidRPr="003E3AF4">
        <w:rPr>
          <w:rFonts w:asciiTheme="minorHAnsi" w:hAnsiTheme="minorHAnsi" w:cstheme="minorHAnsi"/>
          <w:sz w:val="10"/>
          <w:szCs w:val="10"/>
        </w:rPr>
        <w:t xml:space="preserve">  </w:t>
      </w:r>
    </w:p>
  </w:endnote>
  <w:endnote w:id="3">
    <w:p w14:paraId="275B7A5A" w14:textId="77777777" w:rsidR="00D362E6" w:rsidRPr="000A1026" w:rsidRDefault="00D362E6" w:rsidP="00232974">
      <w:pPr>
        <w:pStyle w:val="Textonotaalfinal"/>
        <w:jc w:val="both"/>
        <w:rPr>
          <w:rFonts w:asciiTheme="minorHAnsi" w:hAnsiTheme="minorHAnsi" w:cstheme="minorHAnsi"/>
          <w:sz w:val="10"/>
          <w:szCs w:val="10"/>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lang w:val="en-AU"/>
        </w:rPr>
        <w:t xml:space="preserve"> Statista, Soft drink per capita consumption in the ten most populated countries worldwide 2019. Published by Jan Conway, Nov 26, 2020. “In 2019, Mexico was the country with the highest carbonated soft drink consumption, namely over 630 8-ounce servings per capita per year. The United States stood in second place, with almost the same quantity, while Brazil, which ranked third, consumed less than half the soft drinks Mexicans drank that year.”. </w:t>
      </w:r>
      <w:r w:rsidRPr="000A1026">
        <w:rPr>
          <w:rFonts w:asciiTheme="minorHAnsi" w:hAnsiTheme="minorHAnsi" w:cstheme="minorHAnsi"/>
          <w:sz w:val="10"/>
          <w:szCs w:val="10"/>
        </w:rPr>
        <w:t xml:space="preserve">Disponible en: </w:t>
      </w:r>
      <w:hyperlink r:id="rId3" w:anchor=":~:text=In%202019%2C%20Mexico%20was%20the,drinks%20Mexicans%20drank%20that%20year" w:history="1">
        <w:r w:rsidRPr="000A1026">
          <w:rPr>
            <w:rStyle w:val="Hipervnculo"/>
            <w:rFonts w:asciiTheme="minorHAnsi" w:hAnsiTheme="minorHAnsi" w:cstheme="minorHAnsi"/>
            <w:sz w:val="10"/>
            <w:szCs w:val="10"/>
          </w:rPr>
          <w:t>https://www.statista.com/statistics/505794/cds-per-capita-consumption-in-worlds-top-ten-population-countries/#:~:text=In%202019%2C%20Mexico%20was%20the,drinks%20Mexicans%20drank%20that%20year</w:t>
        </w:r>
      </w:hyperlink>
      <w:r w:rsidRPr="000A1026">
        <w:rPr>
          <w:rFonts w:asciiTheme="minorHAnsi" w:hAnsiTheme="minorHAnsi" w:cstheme="minorHAnsi"/>
          <w:sz w:val="10"/>
          <w:szCs w:val="10"/>
        </w:rPr>
        <w:t xml:space="preserve">. </w:t>
      </w:r>
    </w:p>
  </w:endnote>
  <w:endnote w:id="4">
    <w:p w14:paraId="70A737D2" w14:textId="77777777" w:rsidR="00D362E6" w:rsidRPr="003E3AF4" w:rsidRDefault="00D362E6" w:rsidP="003E3AF4">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Relator sobre el derecho a la alimentación, A/64/170, El derecho a la alimentación Las políticas de semillas y el derecho a la alimentación: mejora de la biodiversidad de la agricultura y fomento de la innovación, 23 de julio de 2009, párrafos 36-41</w:t>
      </w:r>
    </w:p>
  </w:endnote>
  <w:endnote w:id="5">
    <w:p w14:paraId="5A156EB2" w14:textId="77777777" w:rsidR="00D362E6" w:rsidRPr="003E3AF4" w:rsidRDefault="00D362E6" w:rsidP="003E3AF4">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Ibídem, párrafos 38 y 39</w:t>
      </w:r>
    </w:p>
  </w:endnote>
  <w:endnote w:id="6">
    <w:p w14:paraId="034482CD" w14:textId="77777777" w:rsidR="00D362E6" w:rsidRPr="003E3AF4" w:rsidRDefault="00D362E6" w:rsidP="001203FA">
      <w:pPr>
        <w:autoSpaceDE w:val="0"/>
        <w:autoSpaceDN w:val="0"/>
        <w:adjustRightInd w:val="0"/>
        <w:spacing w:after="0" w:line="240" w:lineRule="auto"/>
        <w:jc w:val="both"/>
        <w:rPr>
          <w:rFonts w:asciiTheme="minorHAnsi" w:hAnsiTheme="minorHAnsi" w:cstheme="minorHAnsi"/>
          <w:sz w:val="10"/>
          <w:szCs w:val="10"/>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Castro, Soto, “Los efectos de la palma africana”, A.A.V.V, Azúcar roja desiertos verdes, HIC-AL-FIAN, México, 2009, págs. 219-228; Notimex, Ecocidio, el costo de la alta demanda en el mercado del aguacate, Forbes, 12 de diciembre de 2019, </w:t>
      </w:r>
      <w:hyperlink r:id="rId4" w:history="1">
        <w:r w:rsidRPr="003E3AF4">
          <w:rPr>
            <w:rStyle w:val="Hipervnculo"/>
            <w:rFonts w:asciiTheme="minorHAnsi" w:hAnsiTheme="minorHAnsi" w:cstheme="minorHAnsi"/>
            <w:sz w:val="10"/>
            <w:szCs w:val="10"/>
          </w:rPr>
          <w:t>https://www.forbes.com.mx/ecocidio-el-costo-de-la-alta-demanda-en-el-mercado-del-aguacate/</w:t>
        </w:r>
      </w:hyperlink>
      <w:r w:rsidRPr="003E3AF4">
        <w:rPr>
          <w:rFonts w:asciiTheme="minorHAnsi" w:hAnsiTheme="minorHAnsi" w:cstheme="minorHAnsi"/>
          <w:sz w:val="10"/>
          <w:szCs w:val="10"/>
        </w:rPr>
        <w:t xml:space="preserve">; y Martínez-Vázquez, Esteban, “Impacto de la expansión de soya transgénica en la producción de maíz y miel en Campeche, México”, Letras Verdes. Revista Latinoamericana de Estudios Socioambientales. No. 26, septiembre-febrero, págs. 173-190, </w:t>
      </w:r>
      <w:hyperlink r:id="rId5" w:history="1">
        <w:r w:rsidRPr="003E3AF4">
          <w:rPr>
            <w:rStyle w:val="Hipervnculo"/>
            <w:rFonts w:asciiTheme="minorHAnsi" w:hAnsiTheme="minorHAnsi" w:cstheme="minorHAnsi"/>
            <w:sz w:val="10"/>
            <w:szCs w:val="10"/>
          </w:rPr>
          <w:t>https://doi.org/10.17141/letrasverdes.26.2019.3840</w:t>
        </w:r>
      </w:hyperlink>
      <w:r w:rsidRPr="003E3AF4">
        <w:rPr>
          <w:rFonts w:asciiTheme="minorHAnsi" w:hAnsiTheme="minorHAnsi" w:cstheme="minorHAnsi"/>
          <w:sz w:val="10"/>
          <w:szCs w:val="10"/>
        </w:rPr>
        <w:t xml:space="preserve">  </w:t>
      </w:r>
    </w:p>
  </w:endnote>
  <w:endnote w:id="7">
    <w:p w14:paraId="765AA7AB" w14:textId="77777777" w:rsidR="00D362E6" w:rsidRPr="003E3AF4" w:rsidRDefault="00D362E6" w:rsidP="00232974">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w:t>
      </w:r>
      <w:r w:rsidRPr="003E3AF4">
        <w:rPr>
          <w:rFonts w:asciiTheme="minorHAnsi" w:hAnsiTheme="minorHAnsi" w:cstheme="minorHAnsi"/>
          <w:sz w:val="10"/>
          <w:szCs w:val="10"/>
          <w:lang w:val="es-ES"/>
        </w:rPr>
        <w:t xml:space="preserve">SEMARNAT, Informe sobre la situación del Medio Ambiente en México 2018, México. 2019, págs. 230-233, </w:t>
      </w:r>
      <w:hyperlink r:id="rId6" w:history="1">
        <w:r w:rsidRPr="003E3AF4">
          <w:rPr>
            <w:rStyle w:val="Hipervnculo"/>
            <w:rFonts w:asciiTheme="minorHAnsi" w:hAnsiTheme="minorHAnsi" w:cstheme="minorHAnsi"/>
            <w:sz w:val="10"/>
            <w:szCs w:val="10"/>
            <w:lang w:val="es-ES"/>
          </w:rPr>
          <w:t>https://apps1.semarnat.gob.mx:8443/dgeia/informe18/tema/pdf/Informe2018GMX_web.pdf</w:t>
        </w:r>
      </w:hyperlink>
      <w:r w:rsidRPr="003E3AF4">
        <w:rPr>
          <w:rFonts w:asciiTheme="minorHAnsi" w:hAnsiTheme="minorHAnsi" w:cstheme="minorHAnsi"/>
          <w:sz w:val="10"/>
          <w:szCs w:val="10"/>
          <w:lang w:val="es-ES"/>
        </w:rPr>
        <w:t xml:space="preserve">  </w:t>
      </w:r>
    </w:p>
  </w:endnote>
  <w:endnote w:id="8">
    <w:p w14:paraId="0EDF49FB" w14:textId="77777777" w:rsidR="00D362E6" w:rsidRPr="003E3AF4" w:rsidRDefault="00D362E6" w:rsidP="00232974">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w:t>
      </w:r>
      <w:r w:rsidRPr="003E3AF4">
        <w:rPr>
          <w:rFonts w:asciiTheme="minorHAnsi" w:hAnsiTheme="minorHAnsi" w:cstheme="minorHAnsi"/>
          <w:sz w:val="10"/>
          <w:szCs w:val="10"/>
          <w:lang w:val="es-ES"/>
        </w:rPr>
        <w:t xml:space="preserve">Greenpeace, ¿Qué hay detrás de la industria porcícola de Yucatán? La carne que está consumiendo al Planeta, México, 2020, 44 pp., </w:t>
      </w:r>
      <w:hyperlink r:id="rId7" w:history="1">
        <w:r w:rsidRPr="003E3AF4">
          <w:rPr>
            <w:rStyle w:val="Hipervnculo"/>
            <w:rFonts w:asciiTheme="minorHAnsi" w:hAnsiTheme="minorHAnsi" w:cstheme="minorHAnsi"/>
            <w:sz w:val="10"/>
            <w:szCs w:val="10"/>
            <w:lang w:val="es-ES"/>
          </w:rPr>
          <w:t>https://www.greenpeace.org/static/planet4-mexico-stateless/2020/05/188dc911-reporte_granjas_webok3.pdf</w:t>
        </w:r>
      </w:hyperlink>
      <w:r w:rsidRPr="003E3AF4">
        <w:rPr>
          <w:rFonts w:asciiTheme="minorHAnsi" w:hAnsiTheme="minorHAnsi" w:cstheme="minorHAnsi"/>
          <w:sz w:val="10"/>
          <w:szCs w:val="10"/>
          <w:lang w:val="es-ES"/>
        </w:rPr>
        <w:t xml:space="preserve">  y EFE, Granja de cerdos en Yucatán contamina el agua de cenotes y afecta la producción de miel, Sin Embargo, México, 13 de enero de 2019, </w:t>
      </w:r>
      <w:hyperlink r:id="rId8" w:history="1">
        <w:r w:rsidRPr="003E3AF4">
          <w:rPr>
            <w:rStyle w:val="Hipervnculo"/>
            <w:rFonts w:asciiTheme="minorHAnsi" w:hAnsiTheme="minorHAnsi" w:cstheme="minorHAnsi"/>
            <w:sz w:val="10"/>
            <w:szCs w:val="10"/>
            <w:lang w:val="es-ES"/>
          </w:rPr>
          <w:t>https://www.sinembargo.mx/13-01-2019/3522021</w:t>
        </w:r>
      </w:hyperlink>
      <w:r w:rsidRPr="003E3AF4">
        <w:rPr>
          <w:rFonts w:asciiTheme="minorHAnsi" w:hAnsiTheme="minorHAnsi" w:cstheme="minorHAnsi"/>
          <w:sz w:val="10"/>
          <w:szCs w:val="10"/>
          <w:lang w:val="es-ES"/>
        </w:rPr>
        <w:t xml:space="preserve"> </w:t>
      </w:r>
    </w:p>
  </w:endnote>
  <w:endnote w:id="9">
    <w:p w14:paraId="4AD4539E" w14:textId="77777777" w:rsidR="0038313F" w:rsidRPr="003E3AF4" w:rsidRDefault="0038313F" w:rsidP="0038313F">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w:t>
      </w:r>
      <w:r w:rsidRPr="003E3AF4">
        <w:rPr>
          <w:rFonts w:asciiTheme="minorHAnsi" w:hAnsiTheme="minorHAnsi" w:cstheme="minorHAnsi"/>
          <w:sz w:val="10"/>
          <w:szCs w:val="10"/>
          <w:lang w:val="es-ES"/>
        </w:rPr>
        <w:t xml:space="preserve">La FAO ha reconocido la relación entre las PDA, la generación de gases de invernadero y el cambio climático, por ello, su disminución contribuye a conseguir el objetivo de desarrollo sustentable 13 Acción por el clima. FAO, El Estado Mundial de la Agricultura y la Alimentación 2019. Progresos en la lucha contra la pérdida y el desperdicio de alimentos, p.20, </w:t>
      </w:r>
      <w:hyperlink r:id="rId9" w:history="1">
        <w:r w:rsidRPr="003E3AF4">
          <w:rPr>
            <w:rStyle w:val="Hipervnculo"/>
            <w:rFonts w:asciiTheme="minorHAnsi" w:hAnsiTheme="minorHAnsi" w:cstheme="minorHAnsi"/>
            <w:sz w:val="10"/>
            <w:szCs w:val="10"/>
            <w:lang w:val="es-ES"/>
          </w:rPr>
          <w:t>http://www.fao.org/3/ca6030es/ca6030es.pdf</w:t>
        </w:r>
      </w:hyperlink>
      <w:r w:rsidRPr="003E3AF4">
        <w:rPr>
          <w:rFonts w:asciiTheme="minorHAnsi" w:hAnsiTheme="minorHAnsi" w:cstheme="minorHAnsi"/>
          <w:sz w:val="10"/>
          <w:szCs w:val="10"/>
          <w:lang w:val="es-ES"/>
        </w:rPr>
        <w:t xml:space="preserve"> </w:t>
      </w:r>
    </w:p>
  </w:endnote>
  <w:endnote w:id="10">
    <w:p w14:paraId="4E98C251" w14:textId="77777777" w:rsidR="0038313F" w:rsidRPr="003E3AF4" w:rsidRDefault="0038313F" w:rsidP="0038313F">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Comisión para la Cooperación Ambiental, Caracterización y gestión de la pérdida y el desperdicio de alimentos en América del Norte, informe sintético, Comisión para la Cooperación Ambiental, Canadá, p. ix, </w:t>
      </w:r>
      <w:hyperlink r:id="rId10" w:history="1">
        <w:r w:rsidRPr="003E3AF4">
          <w:rPr>
            <w:rStyle w:val="Hipervnculo"/>
            <w:rFonts w:asciiTheme="minorHAnsi" w:hAnsiTheme="minorHAnsi" w:cstheme="minorHAnsi"/>
            <w:sz w:val="10"/>
            <w:szCs w:val="10"/>
          </w:rPr>
          <w:t>http://www3.cec.org/islandora/es/item/11772-characterization-and-management-food-loss-and-waste-in-north-america-es.pdf</w:t>
        </w:r>
      </w:hyperlink>
      <w:r w:rsidRPr="003E3AF4">
        <w:rPr>
          <w:rFonts w:asciiTheme="minorHAnsi" w:hAnsiTheme="minorHAnsi" w:cstheme="minorHAnsi"/>
          <w:sz w:val="10"/>
          <w:szCs w:val="10"/>
        </w:rPr>
        <w:t xml:space="preserve"> </w:t>
      </w:r>
    </w:p>
  </w:endnote>
  <w:endnote w:id="11">
    <w:p w14:paraId="5563892C" w14:textId="77777777" w:rsidR="0038313F" w:rsidRPr="003E3AF4" w:rsidRDefault="0038313F" w:rsidP="0038313F">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w:t>
      </w:r>
      <w:r w:rsidRPr="003E3AF4">
        <w:rPr>
          <w:rFonts w:asciiTheme="minorHAnsi" w:hAnsiTheme="minorHAnsi" w:cstheme="minorHAnsi"/>
          <w:sz w:val="10"/>
          <w:szCs w:val="10"/>
          <w:lang w:val="es-ES"/>
        </w:rPr>
        <w:t xml:space="preserve">Notimex, Cada mexicano desperdicia 158 kilos de comida al año, Forbes, México, 15 de enero de 2020, </w:t>
      </w:r>
      <w:hyperlink r:id="rId11" w:history="1">
        <w:r w:rsidRPr="003E3AF4">
          <w:rPr>
            <w:rStyle w:val="Hipervnculo"/>
            <w:rFonts w:asciiTheme="minorHAnsi" w:hAnsiTheme="minorHAnsi" w:cstheme="minorHAnsi"/>
            <w:sz w:val="10"/>
            <w:szCs w:val="10"/>
            <w:lang w:val="es-ES"/>
          </w:rPr>
          <w:t>https://www.forbes.com.mx/cada-mexicano-desperdicia-158-kilos-de-comida-al-ano/</w:t>
        </w:r>
      </w:hyperlink>
      <w:r w:rsidRPr="003E3AF4">
        <w:rPr>
          <w:rFonts w:asciiTheme="minorHAnsi" w:hAnsiTheme="minorHAnsi" w:cstheme="minorHAnsi"/>
          <w:sz w:val="10"/>
          <w:szCs w:val="10"/>
          <w:lang w:val="es-ES"/>
        </w:rPr>
        <w:t xml:space="preserve"> </w:t>
      </w:r>
    </w:p>
  </w:endnote>
  <w:endnote w:id="12">
    <w:p w14:paraId="2725DA28" w14:textId="77777777" w:rsidR="00D362E6" w:rsidRPr="003E3AF4" w:rsidRDefault="00D362E6" w:rsidP="00202C73">
      <w:pPr>
        <w:pStyle w:val="Textonotaalfinal"/>
        <w:jc w:val="both"/>
        <w:rPr>
          <w:rFonts w:asciiTheme="minorHAnsi" w:hAnsiTheme="minorHAnsi" w:cstheme="minorHAnsi"/>
          <w:sz w:val="10"/>
          <w:szCs w:val="10"/>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w:t>
      </w:r>
      <w:r w:rsidRPr="003E3AF4">
        <w:rPr>
          <w:rFonts w:asciiTheme="minorHAnsi" w:hAnsiTheme="minorHAnsi" w:cstheme="minorHAnsi"/>
          <w:sz w:val="10"/>
          <w:szCs w:val="10"/>
          <w:lang w:val="es-ES"/>
        </w:rPr>
        <w:t xml:space="preserve">Lozano, Felipe </w:t>
      </w:r>
      <w:r w:rsidRPr="003E3AF4">
        <w:rPr>
          <w:rFonts w:asciiTheme="minorHAnsi" w:hAnsiTheme="minorHAnsi" w:cstheme="minorHAnsi"/>
          <w:i/>
          <w:sz w:val="10"/>
          <w:szCs w:val="10"/>
        </w:rPr>
        <w:t>et al.</w:t>
      </w:r>
      <w:r w:rsidRPr="003E3AF4">
        <w:rPr>
          <w:rFonts w:asciiTheme="minorHAnsi" w:hAnsiTheme="minorHAnsi" w:cstheme="minorHAnsi"/>
          <w:sz w:val="10"/>
          <w:szCs w:val="10"/>
          <w:lang w:val="es-ES"/>
        </w:rPr>
        <w:t xml:space="preserve">, Entrega de resultados. Proyecto de investigación: Causas de insuficiencia renal en niños de preescolar y primaria de la comunidad El Mentidero, Jal., Universidad de Guadalajara (UDG)-CIESAS UNAM, México, 2019, 2 p., </w:t>
      </w:r>
      <w:hyperlink r:id="rId12" w:history="1">
        <w:r w:rsidRPr="003E3AF4">
          <w:rPr>
            <w:rStyle w:val="Hipervnculo"/>
            <w:rFonts w:asciiTheme="minorHAnsi" w:hAnsiTheme="minorHAnsi" w:cstheme="minorHAnsi"/>
            <w:sz w:val="10"/>
            <w:szCs w:val="10"/>
            <w:lang w:val="es-ES"/>
          </w:rPr>
          <w:t>https://lasillarotarm.blob.core.windows.net/docs/2019/09/23/informeanalisispesticidastelesecundaria.pdf</w:t>
        </w:r>
      </w:hyperlink>
      <w:r w:rsidRPr="003E3AF4">
        <w:rPr>
          <w:rFonts w:asciiTheme="minorHAnsi" w:hAnsiTheme="minorHAnsi" w:cstheme="minorHAnsi"/>
          <w:sz w:val="10"/>
          <w:szCs w:val="10"/>
          <w:lang w:val="es-ES"/>
        </w:rPr>
        <w:t xml:space="preserve"> </w:t>
      </w:r>
      <w:r w:rsidRPr="003E3AF4">
        <w:rPr>
          <w:rFonts w:asciiTheme="minorHAnsi" w:hAnsiTheme="minorHAnsi" w:cstheme="minorHAnsi"/>
          <w:sz w:val="10"/>
          <w:szCs w:val="10"/>
        </w:rPr>
        <w:t xml:space="preserve">y Rendón-von Osten, Jaime </w:t>
      </w:r>
      <w:r w:rsidRPr="003E3AF4">
        <w:rPr>
          <w:rFonts w:asciiTheme="minorHAnsi" w:hAnsiTheme="minorHAnsi" w:cstheme="minorHAnsi"/>
          <w:i/>
          <w:sz w:val="10"/>
          <w:szCs w:val="10"/>
        </w:rPr>
        <w:t>et al.</w:t>
      </w:r>
      <w:r w:rsidRPr="003E3AF4">
        <w:rPr>
          <w:rFonts w:asciiTheme="minorHAnsi" w:hAnsiTheme="minorHAnsi" w:cstheme="minorHAnsi"/>
          <w:sz w:val="10"/>
          <w:szCs w:val="10"/>
        </w:rPr>
        <w:t xml:space="preserve">, “Glyphosate Residues in Groundwater, Drinking Water and Urine of Subsistence Farmers from Intensive Agriculture Localities: A Survey in Hopelchén, Campeche, Mexico”, International Journal of Environmental Research and Public Health, 2017, 14 (6), p. 8-9, </w:t>
      </w:r>
      <w:hyperlink r:id="rId13" w:history="1">
        <w:r w:rsidRPr="003E3AF4">
          <w:rPr>
            <w:rStyle w:val="Hipervnculo"/>
            <w:rFonts w:asciiTheme="minorHAnsi" w:hAnsiTheme="minorHAnsi" w:cstheme="minorHAnsi"/>
            <w:sz w:val="10"/>
            <w:szCs w:val="10"/>
          </w:rPr>
          <w:t>https://www.mdpi.com/1660-4601/14/6/595/htm</w:t>
        </w:r>
      </w:hyperlink>
      <w:r w:rsidRPr="003E3AF4">
        <w:rPr>
          <w:rFonts w:asciiTheme="minorHAnsi" w:hAnsiTheme="minorHAnsi" w:cstheme="minorHAnsi"/>
          <w:sz w:val="10"/>
          <w:szCs w:val="10"/>
        </w:rPr>
        <w:t xml:space="preserve"> </w:t>
      </w:r>
    </w:p>
  </w:endnote>
  <w:endnote w:id="13">
    <w:p w14:paraId="722EFE4E" w14:textId="4DFE5FCA" w:rsidR="00D362E6" w:rsidRPr="003E3AF4" w:rsidRDefault="00D362E6" w:rsidP="00202C73">
      <w:pPr>
        <w:pStyle w:val="Textonotaalfinal"/>
        <w:jc w:val="both"/>
        <w:rPr>
          <w:rFonts w:asciiTheme="minorHAnsi" w:hAnsiTheme="minorHAnsi" w:cstheme="minorHAnsi"/>
          <w:sz w:val="10"/>
          <w:szCs w:val="10"/>
          <w:lang w:val="en-AU"/>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lang w:val="en-AU"/>
        </w:rPr>
        <w:t xml:space="preserve"> E. González-Ortega </w:t>
      </w:r>
      <w:r w:rsidRPr="003E3AF4">
        <w:rPr>
          <w:rFonts w:asciiTheme="minorHAnsi" w:hAnsiTheme="minorHAnsi" w:cstheme="minorHAnsi"/>
          <w:i/>
          <w:sz w:val="10"/>
          <w:szCs w:val="10"/>
          <w:lang w:val="en-AU"/>
        </w:rPr>
        <w:t>et al.</w:t>
      </w:r>
      <w:r w:rsidRPr="003E3AF4">
        <w:rPr>
          <w:rFonts w:asciiTheme="minorHAnsi" w:hAnsiTheme="minorHAnsi" w:cstheme="minorHAnsi"/>
          <w:sz w:val="10"/>
          <w:szCs w:val="10"/>
          <w:lang w:val="en-AU"/>
        </w:rPr>
        <w:t xml:space="preserve"> , “Pervasive presence of transgenes and glyphosate in maize-derived food in Mexico, Agroecology and Sustainable Food Systems”, 2017, 41:9-10, 1146-1161, </w:t>
      </w:r>
      <w:hyperlink w:history="1"/>
      <w:r w:rsidRPr="003E3AF4">
        <w:rPr>
          <w:rFonts w:asciiTheme="minorHAnsi" w:hAnsiTheme="minorHAnsi" w:cstheme="minorHAnsi"/>
          <w:sz w:val="10"/>
          <w:szCs w:val="10"/>
          <w:lang w:val="en-AU"/>
        </w:rPr>
        <w:t xml:space="preserve"> </w:t>
      </w:r>
      <w:hyperlink r:id="rId14" w:history="1">
        <w:r w:rsidR="000A1026" w:rsidRPr="00CF6A28">
          <w:rPr>
            <w:rStyle w:val="Hipervnculo"/>
            <w:rFonts w:asciiTheme="minorHAnsi" w:hAnsiTheme="minorHAnsi" w:cstheme="minorHAnsi"/>
            <w:sz w:val="10"/>
            <w:szCs w:val="10"/>
            <w:lang w:val="en-AU"/>
          </w:rPr>
          <w:t>https://www.tandfonline.com/doi/full/10.1080/21683565.2017.1372841</w:t>
        </w:r>
      </w:hyperlink>
      <w:r w:rsidR="000A1026">
        <w:rPr>
          <w:rFonts w:asciiTheme="minorHAnsi" w:hAnsiTheme="minorHAnsi" w:cstheme="minorHAnsi"/>
          <w:sz w:val="10"/>
          <w:szCs w:val="10"/>
          <w:lang w:val="en-AU"/>
        </w:rPr>
        <w:t xml:space="preserve"> </w:t>
      </w:r>
    </w:p>
  </w:endnote>
  <w:endnote w:id="14">
    <w:p w14:paraId="0FDEE502" w14:textId="77777777" w:rsidR="00D362E6" w:rsidRPr="003E3AF4" w:rsidRDefault="00D362E6" w:rsidP="00202C73">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EFE Noticias, Agricultores mayas de México siguen en pie de guerra contra multinacionales, UDGTV, 29 de enero de 2020, </w:t>
      </w:r>
      <w:hyperlink r:id="rId15" w:history="1">
        <w:r w:rsidRPr="003E3AF4">
          <w:rPr>
            <w:rStyle w:val="Hipervnculo"/>
            <w:rFonts w:asciiTheme="minorHAnsi" w:hAnsiTheme="minorHAnsi" w:cstheme="minorHAnsi"/>
            <w:sz w:val="10"/>
            <w:szCs w:val="10"/>
          </w:rPr>
          <w:t>https://udgtv.com/noticias/agricultores-mayas-mexico-siguen-guerra-contra-multinacionales/</w:t>
        </w:r>
      </w:hyperlink>
      <w:r w:rsidRPr="003E3AF4">
        <w:rPr>
          <w:rFonts w:asciiTheme="minorHAnsi" w:hAnsiTheme="minorHAnsi" w:cstheme="minorHAnsi"/>
          <w:sz w:val="10"/>
          <w:szCs w:val="10"/>
        </w:rPr>
        <w:t xml:space="preserve">  </w:t>
      </w:r>
    </w:p>
  </w:endnote>
  <w:endnote w:id="15">
    <w:p w14:paraId="75043C24" w14:textId="77777777" w:rsidR="00D362E6" w:rsidRPr="003E3AF4" w:rsidRDefault="00D362E6" w:rsidP="00202C73">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w:t>
      </w:r>
      <w:r w:rsidRPr="003E3AF4">
        <w:rPr>
          <w:rFonts w:asciiTheme="minorHAnsi" w:hAnsiTheme="minorHAnsi" w:cstheme="minorHAnsi"/>
          <w:sz w:val="10"/>
          <w:szCs w:val="10"/>
          <w:lang w:val="es-ES"/>
        </w:rPr>
        <w:t>Greenpeace, ¿Qué hay detrás de la industria porcícola de Yucatán</w:t>
      </w:r>
      <w:r w:rsidRPr="003E3AF4">
        <w:rPr>
          <w:rFonts w:asciiTheme="minorHAnsi" w:hAnsiTheme="minorHAnsi" w:cstheme="minorHAnsi"/>
          <w:i/>
          <w:sz w:val="10"/>
          <w:szCs w:val="10"/>
          <w:lang w:val="es-ES"/>
        </w:rPr>
        <w:t>op.cit.</w:t>
      </w:r>
      <w:r w:rsidRPr="003E3AF4">
        <w:rPr>
          <w:rFonts w:asciiTheme="minorHAnsi" w:hAnsiTheme="minorHAnsi" w:cstheme="minorHAnsi"/>
          <w:sz w:val="10"/>
          <w:szCs w:val="10"/>
          <w:lang w:val="es-ES"/>
        </w:rPr>
        <w:t xml:space="preserve">y EFE, Granja de cerdos en Yucatán contamina el agua de cenotes y afecta la producción de miel, Sin Embargo, México, 13 de enero de 2019, </w:t>
      </w:r>
      <w:hyperlink r:id="rId16" w:history="1">
        <w:r w:rsidRPr="003E3AF4">
          <w:rPr>
            <w:rStyle w:val="Hipervnculo"/>
            <w:rFonts w:asciiTheme="minorHAnsi" w:hAnsiTheme="minorHAnsi" w:cstheme="minorHAnsi"/>
            <w:sz w:val="10"/>
            <w:szCs w:val="10"/>
            <w:lang w:val="es-ES"/>
          </w:rPr>
          <w:t>https://www.sinembargo.mx/13-01-2019/3522021</w:t>
        </w:r>
      </w:hyperlink>
      <w:r w:rsidRPr="003E3AF4">
        <w:rPr>
          <w:rFonts w:asciiTheme="minorHAnsi" w:hAnsiTheme="minorHAnsi" w:cstheme="minorHAnsi"/>
          <w:sz w:val="10"/>
          <w:szCs w:val="10"/>
          <w:lang w:val="es-ES"/>
        </w:rPr>
        <w:t xml:space="preserve"> </w:t>
      </w:r>
    </w:p>
  </w:endnote>
  <w:endnote w:id="16">
    <w:p w14:paraId="3E8416AE" w14:textId="77777777" w:rsidR="00D362E6" w:rsidRPr="003E3AF4" w:rsidRDefault="00D362E6" w:rsidP="00215422">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Redacción Animal Político, Gobierno de AMLO ‘está lleno de luchas de poder’, dice titular de Semarnat, Animal Político, México,  5 de agosto, 2020, </w:t>
      </w:r>
      <w:hyperlink r:id="rId17" w:history="1">
        <w:r w:rsidRPr="003E3AF4">
          <w:rPr>
            <w:rStyle w:val="Hipervnculo"/>
            <w:rFonts w:asciiTheme="minorHAnsi" w:hAnsiTheme="minorHAnsi" w:cstheme="minorHAnsi"/>
            <w:sz w:val="10"/>
            <w:szCs w:val="10"/>
          </w:rPr>
          <w:t>https://www.animalpolitico.com/2020/08/titular-semarnat-gobierno-amlo-contradicciones-luchas-de-poder/</w:t>
        </w:r>
      </w:hyperlink>
      <w:r w:rsidRPr="003E3AF4">
        <w:rPr>
          <w:rFonts w:asciiTheme="minorHAnsi" w:hAnsiTheme="minorHAnsi" w:cstheme="minorHAnsi"/>
          <w:sz w:val="10"/>
          <w:szCs w:val="10"/>
        </w:rPr>
        <w:t xml:space="preserve"> </w:t>
      </w:r>
    </w:p>
  </w:endnote>
  <w:endnote w:id="17">
    <w:p w14:paraId="6C66F6BD" w14:textId="77777777" w:rsidR="00D362E6" w:rsidRPr="003E3AF4" w:rsidRDefault="00D362E6" w:rsidP="00215422">
      <w:pPr>
        <w:pStyle w:val="Textonotaalfinal"/>
        <w:jc w:val="both"/>
        <w:rPr>
          <w:rFonts w:asciiTheme="minorHAnsi" w:hAnsiTheme="minorHAnsi" w:cstheme="minorHAnsi"/>
          <w:sz w:val="10"/>
          <w:szCs w:val="10"/>
          <w:lang w:val="es-ES"/>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CAJAR y El Poder del Consumidor, La interferencia de la industria es nociva para la salud. Estrategias corporativas contra el etiquetado frontal de advertencia: un estudio comparado de Chile, Perú, México y Uruguay, 2020, págs. 35-40, </w:t>
      </w:r>
      <w:hyperlink r:id="rId18" w:history="1">
        <w:r w:rsidRPr="003E3AF4">
          <w:rPr>
            <w:rStyle w:val="Hipervnculo"/>
            <w:rFonts w:asciiTheme="minorHAnsi" w:hAnsiTheme="minorHAnsi" w:cstheme="minorHAnsi"/>
            <w:sz w:val="10"/>
            <w:szCs w:val="10"/>
          </w:rPr>
          <w:t>https://elpoderdelconsumidor.org/wp-content/uploads/2020/10/d-2010-interferencia-d-la-industria-nociva-para-la-salud-argumentos-amparos-etiquetado-final-200928.pdf</w:t>
        </w:r>
      </w:hyperlink>
      <w:r w:rsidRPr="003E3AF4">
        <w:rPr>
          <w:rStyle w:val="Hipervnculo"/>
          <w:rFonts w:asciiTheme="minorHAnsi" w:hAnsiTheme="minorHAnsi" w:cstheme="minorHAnsi"/>
          <w:sz w:val="10"/>
          <w:szCs w:val="10"/>
        </w:rPr>
        <w:t xml:space="preserve">  </w:t>
      </w:r>
    </w:p>
  </w:endnote>
  <w:endnote w:id="18">
    <w:p w14:paraId="45148F38" w14:textId="77777777" w:rsidR="00D362E6" w:rsidRPr="003E3AF4" w:rsidRDefault="00D362E6" w:rsidP="00215422">
      <w:pPr>
        <w:pStyle w:val="Textonotaalfinal"/>
        <w:jc w:val="both"/>
        <w:rPr>
          <w:rFonts w:asciiTheme="minorHAnsi" w:hAnsiTheme="minorHAnsi" w:cstheme="minorHAnsi"/>
          <w:sz w:val="10"/>
          <w:szCs w:val="10"/>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Por ejemplo, empresas como Coca Cola han intentado frenar el etiquetado frontal de advertencia </w:t>
      </w:r>
      <w:hyperlink r:id="rId19" w:history="1">
        <w:r w:rsidRPr="003E3AF4">
          <w:rPr>
            <w:rStyle w:val="Hipervnculo"/>
            <w:rFonts w:asciiTheme="minorHAnsi" w:hAnsiTheme="minorHAnsi" w:cstheme="minorHAnsi"/>
            <w:sz w:val="10"/>
            <w:szCs w:val="10"/>
          </w:rPr>
          <w:t>https://piedepagina.mx/coca-cola-promueve-amparo-contra-etiquetado-alega-que-afectara-su-negocio/</w:t>
        </w:r>
      </w:hyperlink>
      <w:r w:rsidRPr="003E3AF4">
        <w:rPr>
          <w:rFonts w:asciiTheme="minorHAnsi" w:hAnsiTheme="minorHAnsi" w:cstheme="minorHAnsi"/>
          <w:sz w:val="10"/>
          <w:szCs w:val="10"/>
        </w:rPr>
        <w:t xml:space="preserve"> , lo mismo que organizaciones empresariales que agrupan a estas empresas </w:t>
      </w:r>
      <w:hyperlink r:id="rId20" w:history="1">
        <w:r w:rsidRPr="003E3AF4">
          <w:rPr>
            <w:rStyle w:val="Hipervnculo"/>
            <w:rFonts w:asciiTheme="minorHAnsi" w:hAnsiTheme="minorHAnsi" w:cstheme="minorHAnsi"/>
            <w:sz w:val="10"/>
            <w:szCs w:val="10"/>
          </w:rPr>
          <w:t>https://www.forbes.com.mx/negocios-empresas-buscaran-mas-amparos-nuevo-etiquetado-conmexico/</w:t>
        </w:r>
      </w:hyperlink>
      <w:r w:rsidRPr="003E3AF4">
        <w:rPr>
          <w:rFonts w:asciiTheme="minorHAnsi" w:hAnsiTheme="minorHAnsi" w:cstheme="minorHAnsi"/>
          <w:sz w:val="10"/>
          <w:szCs w:val="10"/>
        </w:rPr>
        <w:t xml:space="preserve">  </w:t>
      </w:r>
    </w:p>
  </w:endnote>
  <w:endnote w:id="19">
    <w:p w14:paraId="40C73A2D" w14:textId="77777777" w:rsidR="00D362E6" w:rsidRPr="003E3AF4" w:rsidRDefault="00D362E6" w:rsidP="00215422">
      <w:pPr>
        <w:pStyle w:val="Textonotaalfinal"/>
        <w:rPr>
          <w:rFonts w:asciiTheme="minorHAnsi" w:hAnsiTheme="minorHAnsi" w:cstheme="minorHAnsi"/>
          <w:sz w:val="10"/>
          <w:szCs w:val="10"/>
          <w:lang w:val="pt-BR"/>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lang w:val="en-AU"/>
        </w:rPr>
        <w:t xml:space="preserve"> Crosbie, Eric, Hollow Threats: Transnational Food and Beverage Companies’ Use of International Agreements to Fight Front-of-Pack Nutrition Labeling in Mexico and Beyond, Int J Health Policy Manag. </w:t>
      </w:r>
      <w:r w:rsidRPr="003E3AF4">
        <w:rPr>
          <w:rFonts w:asciiTheme="minorHAnsi" w:hAnsiTheme="minorHAnsi" w:cstheme="minorHAnsi"/>
          <w:sz w:val="10"/>
          <w:szCs w:val="10"/>
          <w:lang w:val="pt-BR"/>
        </w:rPr>
        <w:t xml:space="preserve">2020;x(x):x–x. doi:10.34172/ijhpm.2020.146 </w:t>
      </w:r>
      <w:hyperlink r:id="rId21" w:history="1">
        <w:r w:rsidRPr="003E3AF4">
          <w:rPr>
            <w:rStyle w:val="Hipervnculo"/>
            <w:rFonts w:asciiTheme="minorHAnsi" w:hAnsiTheme="minorHAnsi" w:cstheme="minorHAnsi"/>
            <w:sz w:val="10"/>
            <w:szCs w:val="10"/>
            <w:lang w:val="pt-BR"/>
          </w:rPr>
          <w:t>https://www.ijhpm.com/article_3885_d1672fc77b2466a561f03a07ff103462.pdf</w:t>
        </w:r>
      </w:hyperlink>
      <w:r w:rsidRPr="003E3AF4">
        <w:rPr>
          <w:rFonts w:asciiTheme="minorHAnsi" w:hAnsiTheme="minorHAnsi" w:cstheme="minorHAnsi"/>
          <w:sz w:val="10"/>
          <w:szCs w:val="10"/>
          <w:lang w:val="pt-BR"/>
        </w:rPr>
        <w:t xml:space="preserve"> </w:t>
      </w:r>
    </w:p>
  </w:endnote>
  <w:endnote w:id="20">
    <w:p w14:paraId="360F9A3A" w14:textId="77777777" w:rsidR="00D362E6" w:rsidRPr="003E3AF4" w:rsidRDefault="00D362E6" w:rsidP="00215422">
      <w:pPr>
        <w:pStyle w:val="Textonotaalfinal"/>
        <w:jc w:val="both"/>
        <w:rPr>
          <w:rFonts w:asciiTheme="minorHAnsi" w:hAnsiTheme="minorHAnsi" w:cstheme="minorHAnsi"/>
          <w:sz w:val="10"/>
          <w:szCs w:val="10"/>
        </w:rPr>
      </w:pPr>
      <w:r w:rsidRPr="003E3AF4">
        <w:rPr>
          <w:rStyle w:val="Refdenotaalfinal"/>
          <w:rFonts w:asciiTheme="minorHAnsi" w:hAnsiTheme="minorHAnsi" w:cstheme="minorHAnsi"/>
          <w:sz w:val="10"/>
          <w:szCs w:val="10"/>
        </w:rPr>
        <w:endnoteRef/>
      </w:r>
      <w:r w:rsidRPr="003E3AF4">
        <w:rPr>
          <w:rFonts w:asciiTheme="minorHAnsi" w:hAnsiTheme="minorHAnsi" w:cstheme="minorHAnsi"/>
          <w:sz w:val="10"/>
          <w:szCs w:val="10"/>
        </w:rPr>
        <w:t xml:space="preserve"> Un ejemplo de ello son las acciones de la industria para frenar la prohibición del glifosato </w:t>
      </w:r>
      <w:hyperlink r:id="rId22" w:history="1">
        <w:r w:rsidRPr="003E3AF4">
          <w:rPr>
            <w:rStyle w:val="Hipervnculo"/>
            <w:rFonts w:asciiTheme="minorHAnsi" w:hAnsiTheme="minorHAnsi" w:cstheme="minorHAnsi"/>
            <w:sz w:val="10"/>
            <w:szCs w:val="10"/>
          </w:rPr>
          <w:t>https://www.efeverde.com/noticias/glifosato-mexico/</w:t>
        </w:r>
      </w:hyperlink>
      <w:r w:rsidRPr="003E3AF4">
        <w:rPr>
          <w:rFonts w:asciiTheme="minorHAnsi" w:hAnsiTheme="minorHAnsi" w:cstheme="minorHAnsi"/>
          <w:sz w:val="10"/>
          <w:szCs w:val="10"/>
        </w:rPr>
        <w:t xml:space="preserve"> </w:t>
      </w:r>
    </w:p>
  </w:endnote>
  <w:endnote w:id="21">
    <w:p w14:paraId="0F9C80A9" w14:textId="77777777" w:rsidR="00D362E6" w:rsidRPr="00543925" w:rsidRDefault="00D362E6" w:rsidP="003E3AF4">
      <w:pPr>
        <w:pStyle w:val="Textonotaalfinal"/>
        <w:rPr>
          <w:rFonts w:asciiTheme="minorHAnsi" w:hAnsiTheme="minorHAnsi" w:cstheme="minorHAnsi"/>
          <w:sz w:val="10"/>
          <w:szCs w:val="10"/>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Ley General para la Prevención y Gestión Integral de los Residuos </w:t>
      </w:r>
      <w:hyperlink r:id="rId23" w:history="1">
        <w:r w:rsidRPr="00543925">
          <w:rPr>
            <w:rStyle w:val="Hipervnculo"/>
            <w:rFonts w:asciiTheme="minorHAnsi" w:hAnsiTheme="minorHAnsi" w:cstheme="minorHAnsi"/>
            <w:sz w:val="10"/>
            <w:szCs w:val="10"/>
          </w:rPr>
          <w:t>https://www.gob.mx/cms/uploads/attachment/file/131748/23._LEY_GENERAL_PARA_LA_PREVENCI_N_Y_GESTI_N_INTEGRAL_DE_LOS_RESIDUOS.pdf</w:t>
        </w:r>
      </w:hyperlink>
      <w:r w:rsidRPr="00543925">
        <w:rPr>
          <w:rFonts w:asciiTheme="minorHAnsi" w:hAnsiTheme="minorHAnsi" w:cstheme="minorHAnsi"/>
          <w:sz w:val="10"/>
          <w:szCs w:val="10"/>
        </w:rPr>
        <w:t xml:space="preserve"> </w:t>
      </w:r>
    </w:p>
  </w:endnote>
  <w:endnote w:id="22">
    <w:p w14:paraId="020081DB" w14:textId="77777777" w:rsidR="00D362E6" w:rsidRPr="00543925" w:rsidRDefault="00D362E6" w:rsidP="003B6EC4">
      <w:pPr>
        <w:pStyle w:val="Textonotaalfinal"/>
        <w:jc w:val="both"/>
        <w:rPr>
          <w:rFonts w:asciiTheme="minorHAnsi" w:hAnsiTheme="minorHAnsi" w:cstheme="minorHAnsi"/>
          <w:sz w:val="10"/>
          <w:szCs w:val="10"/>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Declaración de Río sobre el Medio Ambiente y Desarrollo (principio 15), Declaración de Naciones Unidas sobre los Derechos de los Pueblos Indígenas (artículos 25, 26, 29 y 31) y Declaración de Naciones Unidas sobre los Derechos de los Campesinos y Otras Personas que trabaja en las zonas rurales, Observación General 12. El derecho a una alimentación adecuada (párrafos 10 y 14)</w:t>
      </w:r>
    </w:p>
  </w:endnote>
  <w:endnote w:id="23">
    <w:p w14:paraId="68825359" w14:textId="77777777" w:rsidR="00D362E6" w:rsidRPr="00543925" w:rsidRDefault="00D362E6" w:rsidP="003B6EC4">
      <w:pPr>
        <w:pStyle w:val="Textonotaalfinal"/>
        <w:jc w:val="both"/>
        <w:rPr>
          <w:rFonts w:asciiTheme="minorHAnsi" w:hAnsiTheme="minorHAnsi" w:cstheme="minorHAnsi"/>
          <w:sz w:val="10"/>
          <w:szCs w:val="10"/>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Relator sobre el derecho a la alimentación, A/58/330, Informe sobre el derecho a la alimentación preparado por el Relator Especial de la Comisión de Derechos Humanos, Sr. Jean Ziegler, 28de agosto de 2003, párrafo 63, inciso f</w:t>
      </w:r>
    </w:p>
  </w:endnote>
  <w:endnote w:id="24">
    <w:p w14:paraId="6AC45E4A" w14:textId="77777777" w:rsidR="00D362E6" w:rsidRPr="00543925" w:rsidRDefault="00D362E6" w:rsidP="003B6EC4">
      <w:pPr>
        <w:pStyle w:val="Textonotaalfinal"/>
        <w:jc w:val="both"/>
        <w:rPr>
          <w:rFonts w:asciiTheme="minorHAnsi" w:hAnsiTheme="minorHAnsi" w:cstheme="minorHAnsi"/>
          <w:sz w:val="10"/>
          <w:szCs w:val="10"/>
          <w:lang w:val="es-ES"/>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Principios Rectores sobre las Empresas y los Derechos Humanos</w:t>
      </w:r>
    </w:p>
  </w:endnote>
  <w:endnote w:id="25">
    <w:p w14:paraId="0A622F60" w14:textId="77777777" w:rsidR="00D362E6" w:rsidRPr="00543925" w:rsidRDefault="00D362E6" w:rsidP="00215422">
      <w:pPr>
        <w:pStyle w:val="Textonotaalfinal"/>
        <w:jc w:val="both"/>
        <w:rPr>
          <w:rFonts w:asciiTheme="minorHAnsi" w:hAnsiTheme="minorHAnsi" w:cstheme="minorHAnsi"/>
          <w:sz w:val="10"/>
          <w:szCs w:val="10"/>
          <w:lang w:val="es-ES"/>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w:t>
      </w:r>
      <w:r w:rsidRPr="00543925">
        <w:rPr>
          <w:rFonts w:asciiTheme="minorHAnsi" w:hAnsiTheme="minorHAnsi" w:cstheme="minorHAnsi"/>
          <w:sz w:val="10"/>
          <w:szCs w:val="10"/>
          <w:lang w:val="es-ES"/>
        </w:rPr>
        <w:t>Establecido en la Modificación a la NOM-051</w:t>
      </w:r>
      <w:r w:rsidRPr="00543925">
        <w:rPr>
          <w:rFonts w:asciiTheme="minorHAnsi" w:hAnsiTheme="minorHAnsi" w:cstheme="minorHAnsi"/>
          <w:sz w:val="10"/>
          <w:szCs w:val="10"/>
        </w:rPr>
        <w:t xml:space="preserve">-SCFI/SSA1-2010, publicada el 27 de marzo de 2020 en el Diario Oficial de la Federación. </w:t>
      </w:r>
      <w:hyperlink r:id="rId24" w:history="1">
        <w:r w:rsidRPr="00543925">
          <w:rPr>
            <w:rStyle w:val="Hipervnculo"/>
            <w:rFonts w:asciiTheme="minorHAnsi" w:hAnsiTheme="minorHAnsi" w:cstheme="minorHAnsi"/>
            <w:sz w:val="10"/>
            <w:szCs w:val="10"/>
          </w:rPr>
          <w:t>https://www.dof.gob.mx/2020/SEECO/NOM_051.pdf</w:t>
        </w:r>
      </w:hyperlink>
      <w:r w:rsidRPr="00543925">
        <w:rPr>
          <w:rFonts w:asciiTheme="minorHAnsi" w:hAnsiTheme="minorHAnsi" w:cstheme="minorHAnsi"/>
          <w:sz w:val="10"/>
          <w:szCs w:val="10"/>
        </w:rPr>
        <w:t xml:space="preserve"> </w:t>
      </w:r>
    </w:p>
  </w:endnote>
  <w:endnote w:id="26">
    <w:p w14:paraId="73C03E54" w14:textId="77777777" w:rsidR="00D362E6" w:rsidRPr="00543925" w:rsidRDefault="00D362E6" w:rsidP="00215422">
      <w:pPr>
        <w:pStyle w:val="Textonotaalfinal"/>
        <w:jc w:val="both"/>
        <w:rPr>
          <w:rFonts w:asciiTheme="minorHAnsi" w:hAnsiTheme="minorHAnsi" w:cstheme="minorHAnsi"/>
          <w:sz w:val="10"/>
          <w:szCs w:val="10"/>
          <w:lang w:val="es-ES"/>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w:t>
      </w:r>
      <w:hyperlink r:id="rId25" w:history="1">
        <w:r w:rsidRPr="00543925">
          <w:rPr>
            <w:rStyle w:val="Hipervnculo"/>
            <w:rFonts w:asciiTheme="minorHAnsi" w:hAnsiTheme="minorHAnsi" w:cstheme="minorHAnsi"/>
            <w:sz w:val="10"/>
            <w:szCs w:val="10"/>
            <w:lang w:val="es-ES"/>
          </w:rPr>
          <w:t>https://www.dof.gob.mx/nota_detalle.php?Codigo=5609365&amp;fecha=31/12/2020</w:t>
        </w:r>
      </w:hyperlink>
    </w:p>
  </w:endnote>
  <w:endnote w:id="27">
    <w:p w14:paraId="31240F28" w14:textId="77777777" w:rsidR="00D362E6" w:rsidRPr="00543925" w:rsidRDefault="00D362E6" w:rsidP="00215422">
      <w:pPr>
        <w:pStyle w:val="Textonotaalfinal"/>
        <w:jc w:val="both"/>
        <w:rPr>
          <w:rFonts w:asciiTheme="minorHAnsi" w:hAnsiTheme="minorHAnsi" w:cstheme="minorHAnsi"/>
          <w:sz w:val="10"/>
          <w:szCs w:val="10"/>
          <w:lang w:val="es-ES"/>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w:t>
      </w:r>
      <w:r w:rsidRPr="00543925">
        <w:rPr>
          <w:rFonts w:asciiTheme="minorHAnsi" w:hAnsiTheme="minorHAnsi" w:cstheme="minorHAnsi"/>
          <w:sz w:val="10"/>
          <w:szCs w:val="10"/>
          <w:lang w:val="es-ES"/>
        </w:rPr>
        <w:t xml:space="preserve">Mediante reformas a leyes sobre derechos de las niñas y niños, salud y educación. En el caso de Oaxaca, se adicionó el artículo 20 BIS a la Ley de los Derechos de Niñas, Niños y Adolescentes del Estado de Oaxaca., publicado en el medio oficial el 4 de septiembre de 2020, </w:t>
      </w:r>
      <w:hyperlink r:id="rId26" w:history="1">
        <w:r w:rsidRPr="00543925">
          <w:rPr>
            <w:rStyle w:val="Hipervnculo"/>
            <w:rFonts w:asciiTheme="minorHAnsi" w:hAnsiTheme="minorHAnsi" w:cstheme="minorHAnsi"/>
            <w:sz w:val="10"/>
            <w:szCs w:val="10"/>
            <w:lang w:val="es-ES"/>
          </w:rPr>
          <w:t>http://www.periodicooficial.oaxaca.gob.mx/listado.php?d=2020-9-4</w:t>
        </w:r>
      </w:hyperlink>
      <w:r w:rsidRPr="00543925">
        <w:rPr>
          <w:rFonts w:asciiTheme="minorHAnsi" w:hAnsiTheme="minorHAnsi" w:cstheme="minorHAnsi"/>
          <w:sz w:val="10"/>
          <w:szCs w:val="10"/>
          <w:lang w:val="es-ES"/>
        </w:rPr>
        <w:t xml:space="preserve"> </w:t>
      </w:r>
    </w:p>
  </w:endnote>
  <w:endnote w:id="28">
    <w:p w14:paraId="4F664813" w14:textId="77777777" w:rsidR="00D362E6" w:rsidRPr="00543925" w:rsidRDefault="00D362E6" w:rsidP="00215422">
      <w:pPr>
        <w:pStyle w:val="Textonotaalfinal"/>
        <w:jc w:val="both"/>
        <w:rPr>
          <w:rFonts w:asciiTheme="minorHAnsi" w:hAnsiTheme="minorHAnsi" w:cstheme="minorHAnsi"/>
          <w:sz w:val="10"/>
          <w:szCs w:val="10"/>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El Poder del Consumidor, Organizaciones civiles instamos al secretario de Salud de Oaxaca a cumplir la ley antichatarra, México, 1 de marzo de 2021, </w:t>
      </w:r>
      <w:hyperlink r:id="rId27" w:history="1">
        <w:r w:rsidRPr="00543925">
          <w:rPr>
            <w:rStyle w:val="Hipervnculo"/>
            <w:rFonts w:asciiTheme="minorHAnsi" w:hAnsiTheme="minorHAnsi" w:cstheme="minorHAnsi"/>
            <w:sz w:val="10"/>
            <w:szCs w:val="10"/>
          </w:rPr>
          <w:t>https://elpoderdelconsumidor.org/2021/03/organizaciones-civiles-instan-al-secretario-de-salud-de-oaxaca-a-cumplir-ley-antichatarra/</w:t>
        </w:r>
      </w:hyperlink>
      <w:r w:rsidRPr="00543925">
        <w:rPr>
          <w:rFonts w:asciiTheme="minorHAnsi" w:hAnsiTheme="minorHAnsi" w:cstheme="minorHAnsi"/>
          <w:sz w:val="10"/>
          <w:szCs w:val="10"/>
        </w:rPr>
        <w:t xml:space="preserve"> </w:t>
      </w:r>
    </w:p>
  </w:endnote>
  <w:endnote w:id="29">
    <w:p w14:paraId="21E7D2E0" w14:textId="77777777" w:rsidR="00D362E6" w:rsidRPr="00543925" w:rsidRDefault="00D362E6" w:rsidP="00215422">
      <w:pPr>
        <w:pStyle w:val="Textonotaalfinal"/>
        <w:jc w:val="both"/>
        <w:rPr>
          <w:rFonts w:asciiTheme="minorHAnsi" w:hAnsiTheme="minorHAnsi" w:cstheme="minorHAnsi"/>
          <w:sz w:val="10"/>
          <w:szCs w:val="10"/>
          <w:lang w:val="es-ES"/>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w:t>
      </w:r>
      <w:r w:rsidRPr="00543925">
        <w:rPr>
          <w:rFonts w:asciiTheme="minorHAnsi" w:hAnsiTheme="minorHAnsi" w:cstheme="minorHAnsi"/>
          <w:sz w:val="10"/>
          <w:szCs w:val="10"/>
          <w:lang w:val="es-ES"/>
        </w:rPr>
        <w:t xml:space="preserve">Establecido en el artículo 2, fracción I, inciso G de la Ley del Impuesto Especial sobre Producción y Servicios </w:t>
      </w:r>
    </w:p>
  </w:endnote>
  <w:endnote w:id="30">
    <w:p w14:paraId="5591AA46" w14:textId="77777777" w:rsidR="00D362E6" w:rsidRPr="00543925" w:rsidRDefault="00D362E6" w:rsidP="00215422">
      <w:pPr>
        <w:pStyle w:val="Textonotaalfinal"/>
        <w:jc w:val="both"/>
        <w:rPr>
          <w:rFonts w:asciiTheme="minorHAnsi" w:hAnsiTheme="minorHAnsi" w:cstheme="minorHAnsi"/>
          <w:sz w:val="10"/>
          <w:szCs w:val="10"/>
          <w:lang w:val="es-ES"/>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w:t>
      </w:r>
      <w:r w:rsidRPr="00543925">
        <w:rPr>
          <w:rFonts w:asciiTheme="minorHAnsi" w:hAnsiTheme="minorHAnsi" w:cstheme="minorHAnsi"/>
          <w:sz w:val="10"/>
          <w:szCs w:val="10"/>
          <w:lang w:val="es-ES"/>
        </w:rPr>
        <w:t xml:space="preserve">OMS/OPS, Los Impuestos a los Refrescos y a las Bebidas Azucaradas como Medida de Salud Pública, (s.d.), </w:t>
      </w:r>
      <w:hyperlink r:id="rId28" w:anchor=":~:text=1.,a%20refrescos%20y%20bebidas%20azucaradas" w:history="1">
        <w:r w:rsidRPr="00543925">
          <w:rPr>
            <w:rStyle w:val="Hipervnculo"/>
            <w:rFonts w:asciiTheme="minorHAnsi" w:hAnsiTheme="minorHAnsi" w:cstheme="minorHAnsi"/>
            <w:sz w:val="10"/>
            <w:szCs w:val="10"/>
            <w:lang w:val="es-ES"/>
          </w:rPr>
          <w:t>https://www.paho.org/mex/index.php?option=com_content&amp;view=article&amp;id=627:los-impuestos-refrescos-bebidas-azucaradas-medida-salud-publica&amp;Itemid=499#:~:text=1.,a%20refrescos%20y%20bebidas%20azucaradas</w:t>
        </w:r>
      </w:hyperlink>
      <w:r w:rsidRPr="00543925">
        <w:rPr>
          <w:rFonts w:asciiTheme="minorHAnsi" w:hAnsiTheme="minorHAnsi" w:cstheme="minorHAnsi"/>
          <w:sz w:val="10"/>
          <w:szCs w:val="10"/>
          <w:lang w:val="es-ES"/>
        </w:rPr>
        <w:t xml:space="preserve">. </w:t>
      </w:r>
    </w:p>
  </w:endnote>
  <w:endnote w:id="31">
    <w:p w14:paraId="503E2389" w14:textId="77777777" w:rsidR="00D362E6" w:rsidRPr="00543925" w:rsidRDefault="00D362E6" w:rsidP="00215422">
      <w:pPr>
        <w:pStyle w:val="Textonotaalfinal"/>
        <w:rPr>
          <w:rFonts w:asciiTheme="minorHAnsi" w:hAnsiTheme="minorHAnsi" w:cstheme="minorHAnsi"/>
          <w:sz w:val="10"/>
          <w:szCs w:val="10"/>
        </w:rPr>
      </w:pPr>
      <w:r w:rsidRPr="00543925">
        <w:rPr>
          <w:rStyle w:val="Refdenotaalfinal"/>
          <w:rFonts w:asciiTheme="minorHAnsi" w:hAnsiTheme="minorHAnsi" w:cstheme="minorHAnsi"/>
          <w:sz w:val="10"/>
          <w:szCs w:val="10"/>
        </w:rPr>
        <w:endnoteRef/>
      </w:r>
      <w:r w:rsidRPr="00543925">
        <w:rPr>
          <w:rFonts w:asciiTheme="minorHAnsi" w:hAnsiTheme="minorHAnsi" w:cstheme="minorHAnsi"/>
          <w:sz w:val="10"/>
          <w:szCs w:val="10"/>
        </w:rPr>
        <w:t xml:space="preserve"> Ley Federal para el Fomento y Protección del Maíz Nativo: </w:t>
      </w:r>
      <w:hyperlink r:id="rId29" w:anchor=":~:text=%22EL%20CONGRESO%20GENERAL%20DE%20LOS,Art%C3%ADculo%20%C3%9Anico.&amp;text=Se%20reconoce%20a%20la%20producci%C3%B3n,Nativo%2C%20como%20manifestaci%C3%B3n%20cultural%20nacional" w:history="1">
        <w:r w:rsidRPr="00543925">
          <w:rPr>
            <w:rStyle w:val="Hipervnculo"/>
            <w:rFonts w:asciiTheme="minorHAnsi" w:hAnsiTheme="minorHAnsi" w:cstheme="minorHAnsi"/>
            <w:sz w:val="10"/>
            <w:szCs w:val="10"/>
          </w:rPr>
          <w:t>http://dof.gob.mx/nota_detalle.php?codigo=5591534&amp;fecha=13/04/2020#:~:text=%22EL%20CONGRESO%20GENERAL%20DE%20LOS,Art%C3%ADculo%20%C3%9Anico.&amp;text=Se%20reconoce%20a%20la%20producci%C3%B3n,Nativo%2C%20como%20manifestaci%C3%B3n%20cultural%20nacional</w:t>
        </w:r>
      </w:hyperlink>
      <w:r w:rsidRPr="00543925">
        <w:rPr>
          <w:rFonts w:asciiTheme="minorHAnsi" w:hAnsiTheme="minorHAnsi" w:cstheme="minorHAnsi"/>
          <w:sz w:val="10"/>
          <w:szCs w:val="10"/>
        </w:rPr>
        <w:t xml:space="preserve"> </w:t>
      </w:r>
    </w:p>
  </w:endnote>
  <w:endnote w:id="32">
    <w:p w14:paraId="7AE60C04" w14:textId="0D5B9C23" w:rsidR="004534D6" w:rsidRPr="000A1026" w:rsidRDefault="004534D6" w:rsidP="000A1026">
      <w:pPr>
        <w:pStyle w:val="Textonotaalfinal"/>
        <w:rPr>
          <w:sz w:val="10"/>
          <w:szCs w:val="10"/>
        </w:rPr>
      </w:pPr>
      <w:r w:rsidRPr="000A1026">
        <w:rPr>
          <w:rStyle w:val="Refdenotaalfinal"/>
          <w:sz w:val="10"/>
          <w:szCs w:val="10"/>
        </w:rPr>
        <w:endnoteRef/>
      </w:r>
      <w:r w:rsidRPr="000A1026">
        <w:rPr>
          <w:sz w:val="10"/>
          <w:szCs w:val="10"/>
        </w:rPr>
        <w:t xml:space="preserve"> </w:t>
      </w:r>
      <w:r w:rsidR="000A1026" w:rsidRPr="000A1026">
        <w:rPr>
          <w:sz w:val="10"/>
          <w:szCs w:val="10"/>
        </w:rPr>
        <w:t xml:space="preserve">Civil </w:t>
      </w:r>
      <w:r w:rsidR="000A1026" w:rsidRPr="000A1026">
        <w:rPr>
          <w:sz w:val="10"/>
          <w:szCs w:val="10"/>
        </w:rPr>
        <w:t xml:space="preserve">Society and Indigenous Peoples' </w:t>
      </w:r>
      <w:r w:rsidR="000A1026" w:rsidRPr="000A1026">
        <w:rPr>
          <w:sz w:val="10"/>
          <w:szCs w:val="10"/>
        </w:rPr>
        <w:t>M</w:t>
      </w:r>
      <w:r w:rsidR="000A1026" w:rsidRPr="000A1026">
        <w:rPr>
          <w:sz w:val="10"/>
          <w:szCs w:val="10"/>
        </w:rPr>
        <w:t xml:space="preserve">echanism for relations with the </w:t>
      </w:r>
      <w:r w:rsidR="000A1026" w:rsidRPr="000A1026">
        <w:rPr>
          <w:sz w:val="10"/>
          <w:szCs w:val="10"/>
        </w:rPr>
        <w:t>UN Committee on World Food Security</w:t>
      </w:r>
      <w:r w:rsidR="000A1026" w:rsidRPr="000A1026">
        <w:rPr>
          <w:sz w:val="10"/>
          <w:szCs w:val="10"/>
        </w:rPr>
        <w:t>, Call to action | Mobilization to Challenge the UN Food Systems Summit and Re-claim Peoples’ Sovereignty over Food Systems</w:t>
      </w:r>
      <w:r w:rsidR="000A1026">
        <w:rPr>
          <w:sz w:val="10"/>
          <w:szCs w:val="10"/>
        </w:rPr>
        <w:t xml:space="preserve">, mayo 2021, </w:t>
      </w:r>
      <w:r w:rsidRPr="00E92E2F">
        <w:rPr>
          <w:sz w:val="10"/>
          <w:szCs w:val="10"/>
        </w:rPr>
        <w:t>http://www.csm4cfs.org/call-action-mobilization-challenge-un-food-systems-summit-re-claim-peoples-sovereignty-food-systems/</w:t>
      </w:r>
    </w:p>
  </w:endnote>
  <w:endnote w:id="33">
    <w:p w14:paraId="66680012" w14:textId="7F411A4D" w:rsidR="002876B7" w:rsidRPr="000A1026" w:rsidRDefault="002876B7" w:rsidP="000A1026">
      <w:pPr>
        <w:pBdr>
          <w:top w:val="nil"/>
          <w:left w:val="nil"/>
          <w:bottom w:val="nil"/>
          <w:right w:val="nil"/>
          <w:between w:val="nil"/>
        </w:pBdr>
        <w:spacing w:after="0" w:line="240" w:lineRule="auto"/>
        <w:rPr>
          <w:rFonts w:eastAsia="Calibri" w:cs="Calibri"/>
          <w:color w:val="000000"/>
          <w:sz w:val="10"/>
          <w:szCs w:val="10"/>
        </w:rPr>
      </w:pPr>
      <w:r w:rsidRPr="00543925">
        <w:rPr>
          <w:sz w:val="10"/>
          <w:szCs w:val="10"/>
          <w:vertAlign w:val="superscript"/>
        </w:rPr>
        <w:endnoteRef/>
      </w:r>
      <w:r w:rsidRPr="00543925">
        <w:rPr>
          <w:rFonts w:eastAsia="Calibri" w:cs="Calibri"/>
          <w:color w:val="000000"/>
          <w:sz w:val="10"/>
          <w:szCs w:val="10"/>
        </w:rPr>
        <w:t xml:space="preserve"> </w:t>
      </w:r>
      <w:r w:rsidR="000A1026">
        <w:rPr>
          <w:rFonts w:eastAsia="Calibri" w:cs="Calibri"/>
          <w:color w:val="000000"/>
          <w:sz w:val="10"/>
          <w:szCs w:val="10"/>
        </w:rPr>
        <w:t xml:space="preserve"> </w:t>
      </w:r>
      <w:r w:rsidR="000A1026" w:rsidRPr="000A1026">
        <w:rPr>
          <w:rFonts w:eastAsia="Calibri" w:cs="Calibri"/>
          <w:color w:val="000000"/>
          <w:sz w:val="10"/>
          <w:szCs w:val="10"/>
        </w:rPr>
        <w:t>¿Q</w:t>
      </w:r>
      <w:r w:rsidR="000A1026">
        <w:rPr>
          <w:rFonts w:eastAsia="Calibri" w:cs="Calibri"/>
          <w:color w:val="000000"/>
          <w:sz w:val="10"/>
          <w:szCs w:val="10"/>
        </w:rPr>
        <w:t xml:space="preserve">ué está mal con la Cumbre sobre </w:t>
      </w:r>
      <w:r w:rsidR="000A1026" w:rsidRPr="000A1026">
        <w:rPr>
          <w:rFonts w:eastAsia="Calibri" w:cs="Calibri"/>
          <w:color w:val="000000"/>
          <w:sz w:val="10"/>
          <w:szCs w:val="10"/>
        </w:rPr>
        <w:t>Sistemas Alimentarios de las Naciones Unidas</w:t>
      </w:r>
      <w:r w:rsidR="000A1026">
        <w:rPr>
          <w:rFonts w:eastAsia="Calibri" w:cs="Calibri"/>
          <w:color w:val="000000"/>
          <w:sz w:val="10"/>
          <w:szCs w:val="10"/>
        </w:rPr>
        <w:t xml:space="preserve">?, </w:t>
      </w:r>
      <w:r w:rsidR="000A1026" w:rsidRPr="000A1026">
        <w:rPr>
          <w:rFonts w:eastAsia="Calibri" w:cs="Calibri"/>
          <w:color w:val="000000"/>
          <w:sz w:val="10"/>
          <w:szCs w:val="10"/>
        </w:rPr>
        <w:t xml:space="preserve"> </w:t>
      </w:r>
      <w:hyperlink r:id="rId30" w:history="1">
        <w:r w:rsidR="00543925" w:rsidRPr="009353BC">
          <w:rPr>
            <w:rStyle w:val="Hipervnculo"/>
            <w:rFonts w:eastAsia="Calibri" w:cs="Calibri"/>
            <w:sz w:val="10"/>
            <w:szCs w:val="10"/>
          </w:rPr>
          <w:t>http://www.csm4cfs.org/wp-content/uploads/2021/06/Common-analysis-ES.pdf</w:t>
        </w:r>
      </w:hyperlink>
      <w:r w:rsidR="00543925">
        <w:rPr>
          <w:rFonts w:eastAsia="Calibri" w:cs="Calibri"/>
          <w:color w:val="000000"/>
          <w:sz w:val="10"/>
          <w:szCs w:val="1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827345"/>
      <w:docPartObj>
        <w:docPartGallery w:val="Page Numbers (Bottom of Page)"/>
        <w:docPartUnique/>
      </w:docPartObj>
    </w:sdtPr>
    <w:sdtEndPr>
      <w:rPr>
        <w:sz w:val="16"/>
        <w:szCs w:val="16"/>
      </w:rPr>
    </w:sdtEndPr>
    <w:sdtContent>
      <w:p w14:paraId="09D49B9E" w14:textId="093497D1" w:rsidR="003E1D81" w:rsidRPr="003E3AF4" w:rsidRDefault="003E1D81">
        <w:pPr>
          <w:pStyle w:val="Piedepgina"/>
          <w:jc w:val="right"/>
          <w:rPr>
            <w:sz w:val="16"/>
            <w:szCs w:val="16"/>
          </w:rPr>
        </w:pPr>
        <w:r w:rsidRPr="003E3AF4">
          <w:rPr>
            <w:sz w:val="16"/>
            <w:szCs w:val="16"/>
          </w:rPr>
          <w:fldChar w:fldCharType="begin"/>
        </w:r>
        <w:r w:rsidRPr="003E3AF4">
          <w:rPr>
            <w:sz w:val="16"/>
            <w:szCs w:val="16"/>
          </w:rPr>
          <w:instrText>PAGE   \* MERGEFORMAT</w:instrText>
        </w:r>
        <w:r w:rsidRPr="003E3AF4">
          <w:rPr>
            <w:sz w:val="16"/>
            <w:szCs w:val="16"/>
          </w:rPr>
          <w:fldChar w:fldCharType="separate"/>
        </w:r>
        <w:r w:rsidR="000A1026" w:rsidRPr="000A1026">
          <w:rPr>
            <w:noProof/>
            <w:sz w:val="16"/>
            <w:szCs w:val="16"/>
            <w:lang w:val="es-ES"/>
          </w:rPr>
          <w:t>4</w:t>
        </w:r>
        <w:r w:rsidRPr="003E3AF4">
          <w:rPr>
            <w:sz w:val="16"/>
            <w:szCs w:val="16"/>
          </w:rPr>
          <w:fldChar w:fldCharType="end"/>
        </w:r>
      </w:p>
    </w:sdtContent>
  </w:sdt>
  <w:p w14:paraId="3C62BD23" w14:textId="77777777" w:rsidR="003E1D81" w:rsidRDefault="003E1D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395F9" w14:textId="77777777" w:rsidR="008B43ED" w:rsidRDefault="008B43ED" w:rsidP="003E1D81">
      <w:pPr>
        <w:spacing w:after="0" w:line="240" w:lineRule="auto"/>
      </w:pPr>
      <w:r>
        <w:separator/>
      </w:r>
    </w:p>
  </w:footnote>
  <w:footnote w:type="continuationSeparator" w:id="0">
    <w:p w14:paraId="120F0D85" w14:textId="77777777" w:rsidR="008B43ED" w:rsidRDefault="008B43ED" w:rsidP="003E1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4F8"/>
    <w:multiLevelType w:val="multilevel"/>
    <w:tmpl w:val="FD2AFC06"/>
    <w:lvl w:ilvl="0">
      <w:start w:val="1"/>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24423"/>
    <w:multiLevelType w:val="hybridMultilevel"/>
    <w:tmpl w:val="495E1B6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 w15:restartNumberingAfterBreak="0">
    <w:nsid w:val="21446D98"/>
    <w:multiLevelType w:val="multilevel"/>
    <w:tmpl w:val="38489D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7379E"/>
    <w:multiLevelType w:val="hybridMultilevel"/>
    <w:tmpl w:val="E6A622E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D5014B"/>
    <w:multiLevelType w:val="multilevel"/>
    <w:tmpl w:val="AA6C99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4E730B"/>
    <w:multiLevelType w:val="hybridMultilevel"/>
    <w:tmpl w:val="CD2226E6"/>
    <w:lvl w:ilvl="0" w:tplc="32CADA38">
      <w:start w:val="1"/>
      <w:numFmt w:val="lowerLetter"/>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BCC1253"/>
    <w:multiLevelType w:val="multilevel"/>
    <w:tmpl w:val="5D18BFEE"/>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b/>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D377E58"/>
    <w:multiLevelType w:val="hybridMultilevel"/>
    <w:tmpl w:val="7C0676B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4E031520"/>
    <w:multiLevelType w:val="multilevel"/>
    <w:tmpl w:val="3828CC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165882"/>
    <w:multiLevelType w:val="multilevel"/>
    <w:tmpl w:val="84646C8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5B3A11D2"/>
    <w:multiLevelType w:val="hybridMultilevel"/>
    <w:tmpl w:val="CD1C69E8"/>
    <w:lvl w:ilvl="0" w:tplc="32CADA38">
      <w:start w:val="1"/>
      <w:numFmt w:val="lowerLetter"/>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0B66F84"/>
    <w:multiLevelType w:val="hybridMultilevel"/>
    <w:tmpl w:val="E41CA3F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8D3A79"/>
    <w:multiLevelType w:val="multilevel"/>
    <w:tmpl w:val="D4A8A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167680"/>
    <w:multiLevelType w:val="hybridMultilevel"/>
    <w:tmpl w:val="BF68A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EF3B84"/>
    <w:multiLevelType w:val="multilevel"/>
    <w:tmpl w:val="EF1CCB12"/>
    <w:lvl w:ilvl="0">
      <w:start w:val="1"/>
      <w:numFmt w:val="lowerLetter"/>
      <w:lvlText w:val="%1)"/>
      <w:lvlJc w:val="left"/>
      <w:pPr>
        <w:tabs>
          <w:tab w:val="num" w:pos="360"/>
        </w:tabs>
        <w:ind w:left="360" w:hanging="360"/>
      </w:pPr>
      <w:rPr>
        <w:rFonts w:hint="default"/>
        <w:b/>
      </w:rPr>
    </w:lvl>
    <w:lvl w:ilvl="1">
      <w:start w:val="1"/>
      <w:numFmt w:val="lowerLetter"/>
      <w:lvlText w:val="%2)"/>
      <w:lvlJc w:val="left"/>
      <w:pPr>
        <w:ind w:left="1080" w:hanging="360"/>
      </w:pPr>
      <w:rPr>
        <w:rFonts w:hint="default"/>
        <w:b/>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2"/>
  </w:num>
  <w:num w:numId="3">
    <w:abstractNumId w:val="8"/>
  </w:num>
  <w:num w:numId="4">
    <w:abstractNumId w:val="2"/>
  </w:num>
  <w:num w:numId="5">
    <w:abstractNumId w:val="4"/>
  </w:num>
  <w:num w:numId="6">
    <w:abstractNumId w:val="5"/>
  </w:num>
  <w:num w:numId="7">
    <w:abstractNumId w:val="13"/>
  </w:num>
  <w:num w:numId="8">
    <w:abstractNumId w:val="6"/>
  </w:num>
  <w:num w:numId="9">
    <w:abstractNumId w:val="11"/>
  </w:num>
  <w:num w:numId="10">
    <w:abstractNumId w:val="3"/>
  </w:num>
  <w:num w:numId="11">
    <w:abstractNumId w:val="10"/>
  </w:num>
  <w:num w:numId="12">
    <w:abstractNumId w:val="14"/>
  </w:num>
  <w:num w:numId="13">
    <w:abstractNumId w:val="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2A"/>
    <w:rsid w:val="00085D9D"/>
    <w:rsid w:val="000A1026"/>
    <w:rsid w:val="001113F2"/>
    <w:rsid w:val="001203FA"/>
    <w:rsid w:val="00120448"/>
    <w:rsid w:val="00202C73"/>
    <w:rsid w:val="00215422"/>
    <w:rsid w:val="00226D80"/>
    <w:rsid w:val="00232974"/>
    <w:rsid w:val="002876B7"/>
    <w:rsid w:val="0038313F"/>
    <w:rsid w:val="003B6EC4"/>
    <w:rsid w:val="003E1D81"/>
    <w:rsid w:val="003E3AF4"/>
    <w:rsid w:val="00411742"/>
    <w:rsid w:val="004534D6"/>
    <w:rsid w:val="004B025B"/>
    <w:rsid w:val="004E45FF"/>
    <w:rsid w:val="00543925"/>
    <w:rsid w:val="00552300"/>
    <w:rsid w:val="00613CD9"/>
    <w:rsid w:val="00744D21"/>
    <w:rsid w:val="007E7459"/>
    <w:rsid w:val="00835955"/>
    <w:rsid w:val="008B43ED"/>
    <w:rsid w:val="009120C1"/>
    <w:rsid w:val="009461AF"/>
    <w:rsid w:val="009A07B1"/>
    <w:rsid w:val="00A236D3"/>
    <w:rsid w:val="00B03DC7"/>
    <w:rsid w:val="00B04094"/>
    <w:rsid w:val="00C3066B"/>
    <w:rsid w:val="00C37F9F"/>
    <w:rsid w:val="00D3496C"/>
    <w:rsid w:val="00D362E6"/>
    <w:rsid w:val="00D5667F"/>
    <w:rsid w:val="00D703E8"/>
    <w:rsid w:val="00D81E2A"/>
    <w:rsid w:val="00DE09BA"/>
    <w:rsid w:val="00E92E2F"/>
    <w:rsid w:val="00FB5F25"/>
    <w:rsid w:val="00FC4B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7B21"/>
  <w15:chartTrackingRefBased/>
  <w15:docId w15:val="{0BC3A366-3953-4D89-8E32-46A6C284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81E2A"/>
    <w:pPr>
      <w:spacing w:before="100" w:beforeAutospacing="1" w:after="100" w:afterAutospacing="1" w:line="240" w:lineRule="auto"/>
    </w:pPr>
    <w:rPr>
      <w:rFonts w:ascii="Times New Roman" w:eastAsia="Times New Roman" w:hAnsi="Times New Roman" w:cs="Times New Roman"/>
      <w:szCs w:val="24"/>
      <w:lang w:eastAsia="es-MX"/>
    </w:rPr>
  </w:style>
  <w:style w:type="character" w:styleId="Refdecomentario">
    <w:name w:val="annotation reference"/>
    <w:basedOn w:val="Fuentedeprrafopredeter"/>
    <w:uiPriority w:val="99"/>
    <w:semiHidden/>
    <w:unhideWhenUsed/>
    <w:rsid w:val="00D81E2A"/>
    <w:rPr>
      <w:sz w:val="16"/>
      <w:szCs w:val="16"/>
    </w:rPr>
  </w:style>
  <w:style w:type="paragraph" w:styleId="Textocomentario">
    <w:name w:val="annotation text"/>
    <w:basedOn w:val="Normal"/>
    <w:link w:val="TextocomentarioCar"/>
    <w:uiPriority w:val="99"/>
    <w:semiHidden/>
    <w:unhideWhenUsed/>
    <w:rsid w:val="00D81E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E2A"/>
    <w:rPr>
      <w:sz w:val="20"/>
      <w:szCs w:val="20"/>
    </w:rPr>
  </w:style>
  <w:style w:type="paragraph" w:styleId="Asuntodelcomentario">
    <w:name w:val="annotation subject"/>
    <w:basedOn w:val="Textocomentario"/>
    <w:next w:val="Textocomentario"/>
    <w:link w:val="AsuntodelcomentarioCar"/>
    <w:uiPriority w:val="99"/>
    <w:unhideWhenUsed/>
    <w:rsid w:val="00D81E2A"/>
    <w:rPr>
      <w:b/>
      <w:bCs/>
    </w:rPr>
  </w:style>
  <w:style w:type="character" w:customStyle="1" w:styleId="AsuntodelcomentarioCar">
    <w:name w:val="Asunto del comentario Car"/>
    <w:basedOn w:val="TextocomentarioCar"/>
    <w:link w:val="Asuntodelcomentario"/>
    <w:uiPriority w:val="99"/>
    <w:rsid w:val="00D81E2A"/>
    <w:rPr>
      <w:b/>
      <w:bCs/>
      <w:sz w:val="20"/>
      <w:szCs w:val="20"/>
    </w:rPr>
  </w:style>
  <w:style w:type="paragraph" w:styleId="Textodeglobo">
    <w:name w:val="Balloon Text"/>
    <w:basedOn w:val="Normal"/>
    <w:link w:val="TextodegloboCar"/>
    <w:uiPriority w:val="99"/>
    <w:semiHidden/>
    <w:unhideWhenUsed/>
    <w:rsid w:val="00D81E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E2A"/>
    <w:rPr>
      <w:rFonts w:ascii="Segoe UI" w:hAnsi="Segoe UI" w:cs="Segoe UI"/>
      <w:sz w:val="18"/>
      <w:szCs w:val="18"/>
    </w:rPr>
  </w:style>
  <w:style w:type="character" w:styleId="Textoennegrita">
    <w:name w:val="Strong"/>
    <w:basedOn w:val="Fuentedeprrafopredeter"/>
    <w:uiPriority w:val="22"/>
    <w:qFormat/>
    <w:rsid w:val="003E1D81"/>
    <w:rPr>
      <w:b/>
      <w:bCs/>
    </w:rPr>
  </w:style>
  <w:style w:type="paragraph" w:styleId="Encabezado">
    <w:name w:val="header"/>
    <w:basedOn w:val="Normal"/>
    <w:link w:val="EncabezadoCar"/>
    <w:uiPriority w:val="99"/>
    <w:unhideWhenUsed/>
    <w:rsid w:val="003E1D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1D81"/>
  </w:style>
  <w:style w:type="paragraph" w:styleId="Piedepgina">
    <w:name w:val="footer"/>
    <w:basedOn w:val="Normal"/>
    <w:link w:val="PiedepginaCar"/>
    <w:uiPriority w:val="99"/>
    <w:unhideWhenUsed/>
    <w:rsid w:val="003E1D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1D81"/>
  </w:style>
  <w:style w:type="paragraph" w:styleId="Prrafodelista">
    <w:name w:val="List Paragraph"/>
    <w:basedOn w:val="Normal"/>
    <w:uiPriority w:val="34"/>
    <w:qFormat/>
    <w:rsid w:val="001203FA"/>
    <w:pPr>
      <w:ind w:left="720"/>
      <w:contextualSpacing/>
    </w:pPr>
  </w:style>
  <w:style w:type="paragraph" w:styleId="Textonotapie">
    <w:name w:val="footnote text"/>
    <w:basedOn w:val="Normal"/>
    <w:link w:val="TextonotapieCar"/>
    <w:uiPriority w:val="99"/>
    <w:unhideWhenUsed/>
    <w:rsid w:val="001203FA"/>
    <w:pPr>
      <w:spacing w:after="0" w:line="240" w:lineRule="auto"/>
    </w:pPr>
    <w:rPr>
      <w:sz w:val="20"/>
      <w:szCs w:val="20"/>
    </w:rPr>
  </w:style>
  <w:style w:type="character" w:customStyle="1" w:styleId="TextonotapieCar">
    <w:name w:val="Texto nota pie Car"/>
    <w:basedOn w:val="Fuentedeprrafopredeter"/>
    <w:link w:val="Textonotapie"/>
    <w:uiPriority w:val="99"/>
    <w:rsid w:val="001203FA"/>
    <w:rPr>
      <w:sz w:val="20"/>
      <w:szCs w:val="20"/>
    </w:rPr>
  </w:style>
  <w:style w:type="character" w:styleId="Refdenotaalpie">
    <w:name w:val="footnote reference"/>
    <w:basedOn w:val="Fuentedeprrafopredeter"/>
    <w:uiPriority w:val="99"/>
    <w:semiHidden/>
    <w:unhideWhenUsed/>
    <w:rsid w:val="001203FA"/>
    <w:rPr>
      <w:vertAlign w:val="superscript"/>
    </w:rPr>
  </w:style>
  <w:style w:type="character" w:styleId="Hipervnculo">
    <w:name w:val="Hyperlink"/>
    <w:basedOn w:val="Fuentedeprrafopredeter"/>
    <w:uiPriority w:val="99"/>
    <w:unhideWhenUsed/>
    <w:rsid w:val="001203FA"/>
    <w:rPr>
      <w:color w:val="0563C1" w:themeColor="hyperlink"/>
      <w:u w:val="single"/>
    </w:rPr>
  </w:style>
  <w:style w:type="paragraph" w:styleId="Textonotaalfinal">
    <w:name w:val="endnote text"/>
    <w:basedOn w:val="Normal"/>
    <w:link w:val="TextonotaalfinalCar"/>
    <w:uiPriority w:val="99"/>
    <w:semiHidden/>
    <w:unhideWhenUsed/>
    <w:rsid w:val="00D362E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362E6"/>
    <w:rPr>
      <w:sz w:val="20"/>
      <w:szCs w:val="20"/>
    </w:rPr>
  </w:style>
  <w:style w:type="character" w:styleId="Refdenotaalfinal">
    <w:name w:val="endnote reference"/>
    <w:basedOn w:val="Fuentedeprrafopredeter"/>
    <w:uiPriority w:val="99"/>
    <w:semiHidden/>
    <w:unhideWhenUsed/>
    <w:rsid w:val="00D362E6"/>
    <w:rPr>
      <w:vertAlign w:val="superscript"/>
    </w:rPr>
  </w:style>
  <w:style w:type="paragraph" w:styleId="Revisin">
    <w:name w:val="Revision"/>
    <w:hidden/>
    <w:uiPriority w:val="99"/>
    <w:semiHidden/>
    <w:rsid w:val="000A1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2427">
      <w:bodyDiv w:val="1"/>
      <w:marLeft w:val="0"/>
      <w:marRight w:val="0"/>
      <w:marTop w:val="0"/>
      <w:marBottom w:val="0"/>
      <w:divBdr>
        <w:top w:val="none" w:sz="0" w:space="0" w:color="auto"/>
        <w:left w:val="none" w:sz="0" w:space="0" w:color="auto"/>
        <w:bottom w:val="none" w:sz="0" w:space="0" w:color="auto"/>
        <w:right w:val="none" w:sz="0" w:space="0" w:color="auto"/>
      </w:divBdr>
    </w:div>
    <w:div w:id="494149199">
      <w:bodyDiv w:val="1"/>
      <w:marLeft w:val="0"/>
      <w:marRight w:val="0"/>
      <w:marTop w:val="0"/>
      <w:marBottom w:val="0"/>
      <w:divBdr>
        <w:top w:val="none" w:sz="0" w:space="0" w:color="auto"/>
        <w:left w:val="none" w:sz="0" w:space="0" w:color="auto"/>
        <w:bottom w:val="none" w:sz="0" w:space="0" w:color="auto"/>
        <w:right w:val="none" w:sz="0" w:space="0" w:color="auto"/>
      </w:divBdr>
    </w:div>
    <w:div w:id="1390612263">
      <w:bodyDiv w:val="1"/>
      <w:marLeft w:val="0"/>
      <w:marRight w:val="0"/>
      <w:marTop w:val="0"/>
      <w:marBottom w:val="0"/>
      <w:divBdr>
        <w:top w:val="none" w:sz="0" w:space="0" w:color="auto"/>
        <w:left w:val="none" w:sz="0" w:space="0" w:color="auto"/>
        <w:bottom w:val="none" w:sz="0" w:space="0" w:color="auto"/>
        <w:right w:val="none" w:sz="0" w:space="0" w:color="auto"/>
      </w:divBdr>
    </w:div>
    <w:div w:id="1747147877">
      <w:bodyDiv w:val="1"/>
      <w:marLeft w:val="0"/>
      <w:marRight w:val="0"/>
      <w:marTop w:val="0"/>
      <w:marBottom w:val="0"/>
      <w:divBdr>
        <w:top w:val="none" w:sz="0" w:space="0" w:color="auto"/>
        <w:left w:val="none" w:sz="0" w:space="0" w:color="auto"/>
        <w:bottom w:val="none" w:sz="0" w:space="0" w:color="auto"/>
        <w:right w:val="none" w:sz="0" w:space="0" w:color="auto"/>
      </w:divBdr>
    </w:div>
    <w:div w:id="18480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s://www.sinembargo.mx/13-01-2019/3522021" TargetMode="External"/><Relationship Id="rId13" Type="http://schemas.openxmlformats.org/officeDocument/2006/relationships/hyperlink" Target="https://www.mdpi.com/1660-4601/14/6/595/htm" TargetMode="External"/><Relationship Id="rId18" Type="http://schemas.openxmlformats.org/officeDocument/2006/relationships/hyperlink" Target="https://elpoderdelconsumidor.org/wp-content/uploads/2020/10/d-2010-interferencia-d-la-industria-nociva-para-la-salud-argumentos-amparos-etiquetado-final-200928.pdf" TargetMode="External"/><Relationship Id="rId26" Type="http://schemas.openxmlformats.org/officeDocument/2006/relationships/hyperlink" Target="http://www.periodicooficial.oaxaca.gob.mx/listado.php?d=2020-9-4" TargetMode="External"/><Relationship Id="rId3" Type="http://schemas.openxmlformats.org/officeDocument/2006/relationships/hyperlink" Target="https://www.statista.com/statistics/505794/cds-per-capita-consumption-in-worlds-top-ten-population-countries/" TargetMode="External"/><Relationship Id="rId21" Type="http://schemas.openxmlformats.org/officeDocument/2006/relationships/hyperlink" Target="https://www.ijhpm.com/article_3885_d1672fc77b2466a561f03a07ff103462.pdf" TargetMode="External"/><Relationship Id="rId7" Type="http://schemas.openxmlformats.org/officeDocument/2006/relationships/hyperlink" Target="https://www.greenpeace.org/static/planet4-mexico-stateless/2020/05/188dc911-reporte_granjas_webok3.pdf" TargetMode="External"/><Relationship Id="rId12" Type="http://schemas.openxmlformats.org/officeDocument/2006/relationships/hyperlink" Target="https://lasillarotarm.blob.core.windows.net/docs/2019/09/23/informeanalisispesticidastelesecundaria.pdf" TargetMode="External"/><Relationship Id="rId17" Type="http://schemas.openxmlformats.org/officeDocument/2006/relationships/hyperlink" Target="https://www.animalpolitico.com/2020/08/titular-semarnat-gobierno-amlo-contradicciones-luchas-de-poder/" TargetMode="External"/><Relationship Id="rId25" Type="http://schemas.openxmlformats.org/officeDocument/2006/relationships/hyperlink" Target="https://www.dof.gob.mx/nota_detalle.php?codigo=5609365&amp;fecha=31/12/2020" TargetMode="External"/><Relationship Id="rId2" Type="http://schemas.openxmlformats.org/officeDocument/2006/relationships/hyperlink" Target="https://www.elsoldemexico.com.mx/mexico/sociedad/consumo-de-botellas-de-plastico-marca-record-en-mexico-semarnat-3435611.html" TargetMode="External"/><Relationship Id="rId16" Type="http://schemas.openxmlformats.org/officeDocument/2006/relationships/hyperlink" Target="https://www.sinembargo.mx/13-01-2019/3522021" TargetMode="External"/><Relationship Id="rId20" Type="http://schemas.openxmlformats.org/officeDocument/2006/relationships/hyperlink" Target="https://www.forbes.com.mx/negocios-empresas-buscaran-mas-amparos-nuevo-etiquetado-conmexico/" TargetMode="External"/><Relationship Id="rId29" Type="http://schemas.openxmlformats.org/officeDocument/2006/relationships/hyperlink" Target="http://dof.gob.mx/nota_detalle.php?codigo=5591534&amp;fecha=13/04/2020" TargetMode="External"/><Relationship Id="rId1" Type="http://schemas.openxmlformats.org/officeDocument/2006/relationships/hyperlink" Target="https://ensanut.insp.mx/encuestas/ensanut2018/doctos/informes/ensanut_2018_presentacion_resultados.pdf" TargetMode="External"/><Relationship Id="rId6" Type="http://schemas.openxmlformats.org/officeDocument/2006/relationships/hyperlink" Target="https://apps1.semarnat.gob.mx:8443/dgeia/informe18/tema/pdf/Informe2018GMX_web.pdf" TargetMode="External"/><Relationship Id="rId11" Type="http://schemas.openxmlformats.org/officeDocument/2006/relationships/hyperlink" Target="https://www.forbes.com.mx/cada-mexicano-desperdicia-158-kilos-de-comida-al-ano/" TargetMode="External"/><Relationship Id="rId24" Type="http://schemas.openxmlformats.org/officeDocument/2006/relationships/hyperlink" Target="https://www.dof.gob.mx/2020/SEECO/NOM_051.pdf" TargetMode="External"/><Relationship Id="rId5" Type="http://schemas.openxmlformats.org/officeDocument/2006/relationships/hyperlink" Target="https://doi.org/10.17141/letrasverdes.26.2019.3840" TargetMode="External"/><Relationship Id="rId15" Type="http://schemas.openxmlformats.org/officeDocument/2006/relationships/hyperlink" Target="https://udgtv.com/noticias/agricultores-mayas-mexico-siguen-guerra-contra-multinacionales/" TargetMode="External"/><Relationship Id="rId23" Type="http://schemas.openxmlformats.org/officeDocument/2006/relationships/hyperlink" Target="https://www.gob.mx/cms/uploads/attachment/file/131748/23._LEY_GENERAL_PARA_LA_PREVENCI_N_Y_GESTI_N_INTEGRAL_DE_LOS_RESIDUOS.pdf" TargetMode="External"/><Relationship Id="rId28" Type="http://schemas.openxmlformats.org/officeDocument/2006/relationships/hyperlink" Target="https://www.paho.org/mex/index.php?option=com_content&amp;view=article&amp;id=627:los-impuestos-refrescos-bebidas-azucaradas-medida-salud-publica&amp;Itemid=499" TargetMode="External"/><Relationship Id="rId10" Type="http://schemas.openxmlformats.org/officeDocument/2006/relationships/hyperlink" Target="http://www3.cec.org/islandora/es/item/11772-characterization-and-management-food-loss-and-waste-in-north-america-es.pdf" TargetMode="External"/><Relationship Id="rId19" Type="http://schemas.openxmlformats.org/officeDocument/2006/relationships/hyperlink" Target="https://piedepagina.mx/coca-cola-promueve-amparo-contra-etiquetado-alega-que-afectara-su-negocio/" TargetMode="External"/><Relationship Id="rId4" Type="http://schemas.openxmlformats.org/officeDocument/2006/relationships/hyperlink" Target="https://www.forbes.com.mx/ecocidio-el-costo-de-la-alta-demanda-en-el-mercado-del-aguacate/" TargetMode="External"/><Relationship Id="rId9" Type="http://schemas.openxmlformats.org/officeDocument/2006/relationships/hyperlink" Target="http://www.fao.org/3/ca6030es/ca6030es.pdf" TargetMode="External"/><Relationship Id="rId14" Type="http://schemas.openxmlformats.org/officeDocument/2006/relationships/hyperlink" Target="https://www.tandfonline.com/doi/full/10.1080/21683565.2017.1372841" TargetMode="External"/><Relationship Id="rId22" Type="http://schemas.openxmlformats.org/officeDocument/2006/relationships/hyperlink" Target="https://www.efeverde.com/noticias/glifosato-mexico/" TargetMode="External"/><Relationship Id="rId27" Type="http://schemas.openxmlformats.org/officeDocument/2006/relationships/hyperlink" Target="https://elpoderdelconsumidor.org/2021/03/organizaciones-civiles-instan-al-secretario-de-salud-de-oaxaca-a-cumplir-ley-antichatarra/" TargetMode="External"/><Relationship Id="rId30" Type="http://schemas.openxmlformats.org/officeDocument/2006/relationships/hyperlink" Target="http://www.csm4cfs.org/wp-content/uploads/2021/06/Common-analysis-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339141-9A45-4814-87AD-A30EECC749BA}">
  <ds:schemaRefs>
    <ds:schemaRef ds:uri="http://schemas.openxmlformats.org/officeDocument/2006/bibliography"/>
  </ds:schemaRefs>
</ds:datastoreItem>
</file>

<file path=customXml/itemProps2.xml><?xml version="1.0" encoding="utf-8"?>
<ds:datastoreItem xmlns:ds="http://schemas.openxmlformats.org/officeDocument/2006/customXml" ds:itemID="{9E58E0F8-8C96-4139-B852-AFDBA2BBA710}"/>
</file>

<file path=customXml/itemProps3.xml><?xml version="1.0" encoding="utf-8"?>
<ds:datastoreItem xmlns:ds="http://schemas.openxmlformats.org/officeDocument/2006/customXml" ds:itemID="{B5F8BF44-59E6-435E-9AE7-01776BB25C4D}"/>
</file>

<file path=customXml/itemProps4.xml><?xml version="1.0" encoding="utf-8"?>
<ds:datastoreItem xmlns:ds="http://schemas.openxmlformats.org/officeDocument/2006/customXml" ds:itemID="{9DB7088D-3591-4469-9B6D-9A9BFFFE453F}"/>
</file>

<file path=docProps/app.xml><?xml version="1.0" encoding="utf-8"?>
<Properties xmlns="http://schemas.openxmlformats.org/officeDocument/2006/extended-properties" xmlns:vt="http://schemas.openxmlformats.org/officeDocument/2006/docPropsVTypes">
  <Template>Normal.dotm</Template>
  <TotalTime>30</TotalTime>
  <Pages>4</Pages>
  <Words>2346</Words>
  <Characters>12909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4</cp:revision>
  <dcterms:created xsi:type="dcterms:W3CDTF">2021-06-30T23:56:00Z</dcterms:created>
  <dcterms:modified xsi:type="dcterms:W3CDTF">2021-07-01T00:35:00Z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