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01" w:rsidRPr="002C6BD4" w:rsidRDefault="00FB3166" w:rsidP="002C6BD4">
      <w:pPr>
        <w:spacing w:line="240" w:lineRule="auto"/>
        <w:jc w:val="center"/>
        <w:rPr>
          <w:rFonts w:eastAsia="Calibri" w:cs="Segoe UI"/>
          <w:b/>
          <w:bCs/>
          <w:color w:val="000000" w:themeColor="text1"/>
          <w:sz w:val="21"/>
          <w:szCs w:val="21"/>
          <w:lang w:val="es-ES"/>
        </w:rPr>
      </w:pPr>
      <w:r w:rsidRPr="002C6BD4">
        <w:rPr>
          <w:rFonts w:eastAsia="Calibri" w:cs="Segoe UI"/>
          <w:b/>
          <w:bCs/>
          <w:color w:val="000000" w:themeColor="text1"/>
          <w:sz w:val="21"/>
          <w:szCs w:val="21"/>
        </w:rPr>
        <w:t xml:space="preserve">CONTRIBUCIONES DE EL SALVADOR SOBRE </w:t>
      </w:r>
      <w:r w:rsidRPr="002C6BD4">
        <w:rPr>
          <w:rFonts w:eastAsia="Calibri" w:cs="Segoe UI"/>
          <w:b/>
          <w:bCs/>
          <w:color w:val="000000" w:themeColor="text1"/>
          <w:sz w:val="21"/>
          <w:szCs w:val="21"/>
          <w:lang w:val="es-ES"/>
        </w:rPr>
        <w:t xml:space="preserve">SISTEMAS ALIMENTARIOS Y DERECHOS HUMANOS </w:t>
      </w:r>
    </w:p>
    <w:p w:rsidR="00347C55" w:rsidRPr="00F84D52" w:rsidRDefault="008B3509" w:rsidP="00F765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b/>
          <w:color w:val="000000" w:themeColor="text1"/>
          <w:sz w:val="21"/>
          <w:szCs w:val="21"/>
          <w:lang w:val="en-US"/>
        </w:rPr>
      </w:pPr>
      <w:r>
        <w:rPr>
          <w:rFonts w:eastAsia="Times New Roman" w:cs="Segoe UI"/>
          <w:b/>
          <w:color w:val="000000" w:themeColor="text1"/>
          <w:sz w:val="21"/>
          <w:szCs w:val="21"/>
          <w:lang w:val="en-GB"/>
        </w:rPr>
        <w:t xml:space="preserve">Pregunta 1: </w:t>
      </w:r>
      <w:r w:rsidR="00A96001" w:rsidRPr="002C6BD4">
        <w:rPr>
          <w:rFonts w:eastAsia="Times New Roman" w:cs="Segoe UI"/>
          <w:b/>
          <w:color w:val="000000" w:themeColor="text1"/>
          <w:sz w:val="21"/>
          <w:szCs w:val="21"/>
          <w:lang w:val="en-GB"/>
        </w:rPr>
        <w:t xml:space="preserve"> </w:t>
      </w:r>
    </w:p>
    <w:p w:rsidR="00B953E4" w:rsidRPr="00F84D52" w:rsidRDefault="00B953E4" w:rsidP="00B60691">
      <w:pPr>
        <w:pStyle w:val="ListParagraph"/>
        <w:numPr>
          <w:ilvl w:val="0"/>
          <w:numId w:val="9"/>
        </w:numPr>
        <w:tabs>
          <w:tab w:val="left" w:pos="360"/>
          <w:tab w:val="left" w:pos="990"/>
        </w:tabs>
        <w:spacing w:after="0" w:line="240" w:lineRule="auto"/>
        <w:ind w:left="720"/>
        <w:jc w:val="both"/>
        <w:rPr>
          <w:rFonts w:cs="Segoe UI"/>
          <w:i/>
          <w:sz w:val="21"/>
          <w:szCs w:val="21"/>
        </w:rPr>
      </w:pPr>
      <w:r w:rsidRPr="00F84D52">
        <w:rPr>
          <w:rFonts w:cs="Segoe UI"/>
          <w:i/>
          <w:sz w:val="21"/>
          <w:szCs w:val="21"/>
        </w:rPr>
        <w:t>Reducir los problemas de  malnutrición y el incremento de las enfermedades crónicas no transmisibles</w:t>
      </w:r>
      <w:r w:rsidR="00E60EC7" w:rsidRPr="00F84D52">
        <w:rPr>
          <w:rFonts w:cs="Segoe UI"/>
          <w:i/>
          <w:sz w:val="21"/>
          <w:szCs w:val="21"/>
        </w:rPr>
        <w:t>.</w:t>
      </w:r>
    </w:p>
    <w:p w:rsidR="00F84D52" w:rsidRPr="00F84D52" w:rsidRDefault="00A96001" w:rsidP="00F84D52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En El Salvador, se evidencia una situación de Inseguridad Alimentaria y Nutricional</w:t>
      </w:r>
      <w:r w:rsidR="00E60EC7" w:rsidRPr="00F84D52">
        <w:rPr>
          <w:rFonts w:eastAsia="Times New Roman" w:cs="Segoe UI"/>
          <w:sz w:val="21"/>
          <w:szCs w:val="21"/>
        </w:rPr>
        <w:t xml:space="preserve">, </w:t>
      </w:r>
      <w:r w:rsidRPr="00F84D52">
        <w:rPr>
          <w:rFonts w:eastAsia="Times New Roman" w:cs="Segoe UI"/>
          <w:sz w:val="21"/>
          <w:szCs w:val="21"/>
        </w:rPr>
        <w:t xml:space="preserve">manifestada </w:t>
      </w:r>
      <w:r w:rsidR="00B2337F" w:rsidRPr="00F84D52">
        <w:rPr>
          <w:rFonts w:eastAsia="Times New Roman" w:cs="Segoe UI"/>
          <w:sz w:val="21"/>
          <w:szCs w:val="21"/>
        </w:rPr>
        <w:t xml:space="preserve">en una </w:t>
      </w:r>
      <w:r w:rsidRPr="00F84D52">
        <w:rPr>
          <w:rFonts w:eastAsia="Times New Roman" w:cs="Segoe UI"/>
          <w:sz w:val="21"/>
          <w:szCs w:val="21"/>
        </w:rPr>
        <w:t>triple carga de malnutrición: desnutrición crónica, deficiencias de micronutrientes, obesidad y sobrepeso. De acuerdo al informe “El costo de la doble carga de malnutrición en El Salvador”</w:t>
      </w:r>
      <w:r w:rsidR="00D460A7" w:rsidRPr="00F84D52">
        <w:rPr>
          <w:rFonts w:eastAsia="Times New Roman" w:cs="Segoe UI"/>
          <w:sz w:val="21"/>
          <w:szCs w:val="21"/>
        </w:rPr>
        <w:t xml:space="preserve"> (de</w:t>
      </w:r>
      <w:r w:rsidRPr="00F84D52">
        <w:rPr>
          <w:rFonts w:eastAsia="Times New Roman" w:cs="Segoe UI"/>
          <w:sz w:val="21"/>
          <w:szCs w:val="21"/>
        </w:rPr>
        <w:t xml:space="preserve"> </w:t>
      </w:r>
      <w:proofErr w:type="spellStart"/>
      <w:r w:rsidRPr="00F84D52">
        <w:rPr>
          <w:rFonts w:eastAsia="Times New Roman" w:cs="Segoe UI"/>
          <w:sz w:val="21"/>
          <w:szCs w:val="21"/>
        </w:rPr>
        <w:t>PMA</w:t>
      </w:r>
      <w:proofErr w:type="spellEnd"/>
      <w:r w:rsidR="00D76006" w:rsidRPr="00F84D52">
        <w:rPr>
          <w:rFonts w:eastAsia="Times New Roman" w:cs="Segoe UI"/>
          <w:sz w:val="21"/>
          <w:szCs w:val="21"/>
        </w:rPr>
        <w:t>/</w:t>
      </w:r>
      <w:r w:rsidRPr="00F84D52">
        <w:rPr>
          <w:rFonts w:eastAsia="Times New Roman" w:cs="Segoe UI"/>
          <w:sz w:val="21"/>
          <w:szCs w:val="21"/>
        </w:rPr>
        <w:t xml:space="preserve">CEPAL </w:t>
      </w:r>
      <w:r w:rsidR="00D76006" w:rsidRPr="00F84D52">
        <w:rPr>
          <w:rFonts w:eastAsia="Times New Roman" w:cs="Segoe UI"/>
          <w:sz w:val="21"/>
          <w:szCs w:val="21"/>
        </w:rPr>
        <w:t xml:space="preserve">e </w:t>
      </w:r>
      <w:proofErr w:type="spellStart"/>
      <w:r w:rsidR="00D76006" w:rsidRPr="00F84D52">
        <w:rPr>
          <w:rFonts w:eastAsia="Times New Roman" w:cs="Segoe UI"/>
          <w:sz w:val="21"/>
          <w:szCs w:val="21"/>
        </w:rPr>
        <w:t>INCAP</w:t>
      </w:r>
      <w:proofErr w:type="spellEnd"/>
      <w:r w:rsidR="00D460A7" w:rsidRPr="00F84D52">
        <w:rPr>
          <w:rFonts w:eastAsia="Times New Roman" w:cs="Segoe UI"/>
          <w:sz w:val="21"/>
          <w:szCs w:val="21"/>
        </w:rPr>
        <w:t>)</w:t>
      </w:r>
      <w:r w:rsidRPr="00F84D52">
        <w:rPr>
          <w:rFonts w:eastAsia="Times New Roman" w:cs="Segoe UI"/>
          <w:sz w:val="21"/>
          <w:szCs w:val="21"/>
        </w:rPr>
        <w:t xml:space="preserve">, los costos atribuibles para el año 2017 fueron iguales al 10.3 % del PIB nacional. </w:t>
      </w:r>
      <w:r w:rsidR="00347C55" w:rsidRPr="00F84D52">
        <w:rPr>
          <w:rFonts w:eastAsia="Times New Roman" w:cs="Segoe UI"/>
          <w:sz w:val="21"/>
          <w:szCs w:val="21"/>
        </w:rPr>
        <w:t xml:space="preserve">Adicional, se incluye un ambiente </w:t>
      </w:r>
      <w:proofErr w:type="spellStart"/>
      <w:r w:rsidR="00347C55" w:rsidRPr="00F84D52">
        <w:rPr>
          <w:rFonts w:eastAsia="Times New Roman" w:cs="Segoe UI"/>
          <w:sz w:val="21"/>
          <w:szCs w:val="21"/>
        </w:rPr>
        <w:t>obesogénico</w:t>
      </w:r>
      <w:proofErr w:type="spellEnd"/>
      <w:r w:rsidR="00347C55" w:rsidRPr="00F84D52">
        <w:rPr>
          <w:rFonts w:eastAsia="Times New Roman" w:cs="Segoe UI"/>
          <w:sz w:val="21"/>
          <w:szCs w:val="21"/>
        </w:rPr>
        <w:t xml:space="preserve"> que  ha incidido en  una creciente tasa de sobrepeso y obesidad en la población, y por ende en mayor riesgo de desarrollar enfermedades crónicas no transmisibles. </w:t>
      </w:r>
    </w:p>
    <w:p w:rsidR="00E331A1" w:rsidRPr="00F84D52" w:rsidRDefault="006224F4" w:rsidP="003E2C25">
      <w:pPr>
        <w:pStyle w:val="ListParagraph"/>
        <w:numPr>
          <w:ilvl w:val="0"/>
          <w:numId w:val="9"/>
        </w:numPr>
        <w:tabs>
          <w:tab w:val="left" w:pos="360"/>
          <w:tab w:val="left" w:pos="990"/>
        </w:tabs>
        <w:spacing w:after="0" w:line="240" w:lineRule="auto"/>
        <w:ind w:left="720"/>
        <w:jc w:val="both"/>
        <w:rPr>
          <w:rFonts w:eastAsia="Times New Roman" w:cs="Segoe UI"/>
          <w:b/>
          <w:i/>
          <w:sz w:val="21"/>
          <w:szCs w:val="21"/>
        </w:rPr>
      </w:pPr>
      <w:r w:rsidRPr="00F84D52">
        <w:rPr>
          <w:rFonts w:cs="Segoe UI"/>
          <w:i/>
          <w:sz w:val="21"/>
          <w:szCs w:val="21"/>
        </w:rPr>
        <w:t>Mitigar el impacto de los fenómenos  climáticos y otras crisis a la producción y medios de vida</w:t>
      </w:r>
      <w:r w:rsidR="00E60EC7" w:rsidRPr="00F84D52">
        <w:rPr>
          <w:rFonts w:cs="Segoe UI"/>
          <w:i/>
          <w:sz w:val="21"/>
          <w:szCs w:val="21"/>
        </w:rPr>
        <w:t>.</w:t>
      </w:r>
    </w:p>
    <w:p w:rsidR="00B60691" w:rsidRPr="00F84D52" w:rsidRDefault="00EF7FEA" w:rsidP="00B606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="Segoe UI"/>
          <w:sz w:val="21"/>
          <w:szCs w:val="21"/>
          <w:lang w:val="es-MX"/>
        </w:rPr>
      </w:pPr>
      <w:r w:rsidRPr="00F84D52">
        <w:rPr>
          <w:rFonts w:eastAsia="Calibri" w:cs="Segoe UI"/>
          <w:sz w:val="21"/>
          <w:szCs w:val="21"/>
          <w:lang w:val="es-MX"/>
        </w:rPr>
        <w:t xml:space="preserve">Situaciones nacionales vinculadas al clima y ambiente </w:t>
      </w:r>
      <w:r w:rsidR="00C56904" w:rsidRPr="00F84D52">
        <w:rPr>
          <w:rFonts w:eastAsia="Calibri" w:cs="Segoe UI"/>
          <w:sz w:val="21"/>
          <w:szCs w:val="21"/>
          <w:lang w:val="es-MX"/>
        </w:rPr>
        <w:t>han afectado</w:t>
      </w:r>
      <w:r w:rsidRPr="00F84D52">
        <w:rPr>
          <w:rFonts w:eastAsia="Calibri" w:cs="Segoe UI"/>
          <w:sz w:val="21"/>
          <w:szCs w:val="21"/>
          <w:lang w:val="es-MX"/>
        </w:rPr>
        <w:t xml:space="preserve"> en los últimos años la situación de SAN, incidiendo negativamente en la producción de alimentos y los medios de vida de algunos grupos de población, tal es el caso de las sequías recurrentes</w:t>
      </w:r>
      <w:r w:rsidR="00E331A1" w:rsidRPr="00F84D52">
        <w:rPr>
          <w:rFonts w:eastAsia="Calibri" w:cs="Segoe UI"/>
          <w:sz w:val="21"/>
          <w:szCs w:val="21"/>
          <w:lang w:val="es-MX"/>
        </w:rPr>
        <w:t xml:space="preserve"> y</w:t>
      </w:r>
      <w:r w:rsidR="00E60EC7" w:rsidRPr="00F84D52">
        <w:rPr>
          <w:rFonts w:eastAsia="Calibri" w:cs="Segoe UI"/>
          <w:sz w:val="21"/>
          <w:szCs w:val="21"/>
          <w:lang w:val="es-MX"/>
        </w:rPr>
        <w:t xml:space="preserve"> las inundaciones,</w:t>
      </w:r>
      <w:r w:rsidRPr="00F84D52">
        <w:rPr>
          <w:rFonts w:eastAsia="Calibri" w:cs="Segoe UI"/>
          <w:sz w:val="21"/>
          <w:szCs w:val="21"/>
          <w:lang w:val="es-MX"/>
        </w:rPr>
        <w:t xml:space="preserve">  golpea</w:t>
      </w:r>
      <w:r w:rsidR="00E60EC7" w:rsidRPr="00F84D52">
        <w:rPr>
          <w:rFonts w:eastAsia="Calibri" w:cs="Segoe UI"/>
          <w:sz w:val="21"/>
          <w:szCs w:val="21"/>
          <w:lang w:val="es-MX"/>
        </w:rPr>
        <w:t>n</w:t>
      </w:r>
      <w:r w:rsidRPr="00F84D52">
        <w:rPr>
          <w:rFonts w:eastAsia="Calibri" w:cs="Segoe UI"/>
          <w:sz w:val="21"/>
          <w:szCs w:val="21"/>
          <w:lang w:val="es-MX"/>
        </w:rPr>
        <w:t>do directamente a pequeños productores y jornaleros, quienes ya constituían una población crónicamente sub alimentada</w:t>
      </w:r>
      <w:r w:rsidR="00F84D52" w:rsidRPr="00F84D52">
        <w:rPr>
          <w:rFonts w:eastAsia="Calibri" w:cs="Segoe UI"/>
          <w:sz w:val="21"/>
          <w:szCs w:val="21"/>
          <w:lang w:val="es-MX"/>
        </w:rPr>
        <w:t xml:space="preserve"> y con alto riesgo nutricional.</w:t>
      </w:r>
      <w:r w:rsidR="00E60EC7" w:rsidRPr="00F84D52">
        <w:rPr>
          <w:rFonts w:eastAsia="Calibri" w:cs="Segoe UI"/>
          <w:sz w:val="21"/>
          <w:szCs w:val="21"/>
          <w:lang w:val="es-MX"/>
        </w:rPr>
        <w:t xml:space="preserve"> Además</w:t>
      </w:r>
      <w:r w:rsidR="002F41D1" w:rsidRPr="00F84D52">
        <w:rPr>
          <w:rFonts w:eastAsia="Calibri" w:cs="Segoe UI"/>
          <w:sz w:val="21"/>
          <w:szCs w:val="21"/>
          <w:lang w:val="es-MX"/>
        </w:rPr>
        <w:t xml:space="preserve"> el </w:t>
      </w:r>
      <w:proofErr w:type="spellStart"/>
      <w:r w:rsidR="002F41D1" w:rsidRPr="00F84D52">
        <w:rPr>
          <w:rFonts w:eastAsia="Calibri" w:cs="Segoe UI"/>
          <w:sz w:val="21"/>
          <w:szCs w:val="21"/>
          <w:lang w:val="es-MX"/>
        </w:rPr>
        <w:t>Covid</w:t>
      </w:r>
      <w:proofErr w:type="spellEnd"/>
      <w:r w:rsidR="002F41D1" w:rsidRPr="00F84D52">
        <w:rPr>
          <w:rFonts w:eastAsia="Calibri" w:cs="Segoe UI"/>
          <w:sz w:val="21"/>
          <w:szCs w:val="21"/>
          <w:lang w:val="es-MX"/>
        </w:rPr>
        <w:t xml:space="preserve">-19 impactó negativamente los sistemas alimentarios con el cierre de las fronteras, </w:t>
      </w:r>
      <w:r w:rsidR="00E60EC7" w:rsidRPr="00F84D52">
        <w:rPr>
          <w:rFonts w:eastAsia="Calibri" w:cs="Segoe UI"/>
          <w:sz w:val="21"/>
          <w:szCs w:val="21"/>
          <w:lang w:val="es-MX"/>
        </w:rPr>
        <w:t>debilitando</w:t>
      </w:r>
      <w:r w:rsidR="002F41D1" w:rsidRPr="00F84D52">
        <w:rPr>
          <w:rFonts w:eastAsia="Calibri" w:cs="Segoe UI"/>
          <w:sz w:val="21"/>
          <w:szCs w:val="21"/>
          <w:lang w:val="es-MX"/>
        </w:rPr>
        <w:t xml:space="preserve"> las cadenas de suministro</w:t>
      </w:r>
      <w:r w:rsidR="00347C55" w:rsidRPr="00F84D52">
        <w:rPr>
          <w:rFonts w:eastAsia="Calibri" w:cs="Segoe UI"/>
          <w:sz w:val="21"/>
          <w:szCs w:val="21"/>
          <w:lang w:val="es-MX"/>
        </w:rPr>
        <w:t>,</w:t>
      </w:r>
      <w:r w:rsidR="002F41D1" w:rsidRPr="00F84D52">
        <w:rPr>
          <w:rFonts w:eastAsia="Calibri" w:cs="Segoe UI"/>
          <w:sz w:val="21"/>
          <w:szCs w:val="21"/>
          <w:lang w:val="es-MX"/>
        </w:rPr>
        <w:t xml:space="preserve"> </w:t>
      </w:r>
      <w:r w:rsidR="00E60EC7" w:rsidRPr="00F84D52">
        <w:rPr>
          <w:rFonts w:eastAsia="Calibri" w:cs="Segoe UI"/>
          <w:sz w:val="21"/>
          <w:szCs w:val="21"/>
          <w:lang w:val="es-MX"/>
        </w:rPr>
        <w:t xml:space="preserve">exacerbando </w:t>
      </w:r>
      <w:r w:rsidR="002F41D1" w:rsidRPr="00F84D52">
        <w:rPr>
          <w:rFonts w:eastAsia="Calibri" w:cs="Segoe UI"/>
          <w:sz w:val="21"/>
          <w:szCs w:val="21"/>
          <w:lang w:val="es-MX"/>
        </w:rPr>
        <w:t xml:space="preserve">el desempleo en el sector formal </w:t>
      </w:r>
      <w:r w:rsidR="00B60691" w:rsidRPr="00F84D52">
        <w:rPr>
          <w:rFonts w:eastAsia="Calibri" w:cs="Segoe UI"/>
          <w:sz w:val="21"/>
          <w:szCs w:val="21"/>
          <w:lang w:val="es-MX"/>
        </w:rPr>
        <w:t xml:space="preserve"> e</w:t>
      </w:r>
      <w:r w:rsidR="002F41D1" w:rsidRPr="00F84D52">
        <w:rPr>
          <w:rFonts w:eastAsia="Calibri" w:cs="Segoe UI"/>
          <w:sz w:val="21"/>
          <w:szCs w:val="21"/>
          <w:lang w:val="es-MX"/>
        </w:rPr>
        <w:t xml:space="preserve"> informal de la economía, lo que agravó la disponibilidad alimentaria en los hogares más pobres.</w:t>
      </w:r>
      <w:r w:rsidR="00506D5F" w:rsidRPr="00F84D52">
        <w:rPr>
          <w:rFonts w:eastAsia="Calibri" w:cs="Segoe UI"/>
          <w:sz w:val="21"/>
          <w:szCs w:val="21"/>
          <w:lang w:val="es-MX"/>
        </w:rPr>
        <w:t xml:space="preserve"> </w:t>
      </w:r>
    </w:p>
    <w:p w:rsidR="00616050" w:rsidRPr="00F84D52" w:rsidRDefault="006224F4" w:rsidP="00B60691">
      <w:pPr>
        <w:pStyle w:val="ListParagraph"/>
        <w:numPr>
          <w:ilvl w:val="0"/>
          <w:numId w:val="9"/>
        </w:numPr>
        <w:tabs>
          <w:tab w:val="left" w:pos="720"/>
          <w:tab w:val="left" w:pos="990"/>
        </w:tabs>
        <w:spacing w:after="0" w:line="240" w:lineRule="auto"/>
        <w:ind w:left="720"/>
        <w:jc w:val="both"/>
        <w:rPr>
          <w:rFonts w:cs="Segoe UI"/>
          <w:i/>
          <w:sz w:val="21"/>
          <w:szCs w:val="21"/>
        </w:rPr>
      </w:pPr>
      <w:r w:rsidRPr="00F84D52">
        <w:rPr>
          <w:rFonts w:cs="Segoe UI"/>
          <w:i/>
          <w:sz w:val="21"/>
          <w:szCs w:val="21"/>
        </w:rPr>
        <w:t xml:space="preserve">Mejorar la </w:t>
      </w:r>
      <w:r w:rsidR="004364AA" w:rsidRPr="00F84D52">
        <w:rPr>
          <w:rFonts w:cs="Segoe UI"/>
          <w:i/>
          <w:sz w:val="21"/>
          <w:szCs w:val="21"/>
        </w:rPr>
        <w:t>disponibilidad y acceso a los alimentos de la población</w:t>
      </w:r>
      <w:r w:rsidR="00B60691" w:rsidRPr="00F84D52">
        <w:rPr>
          <w:rFonts w:cs="Segoe UI"/>
          <w:i/>
          <w:sz w:val="21"/>
          <w:szCs w:val="21"/>
        </w:rPr>
        <w:t>.</w:t>
      </w:r>
      <w:r w:rsidR="004364AA" w:rsidRPr="00F84D52">
        <w:rPr>
          <w:rFonts w:cs="Segoe UI"/>
          <w:i/>
          <w:sz w:val="21"/>
          <w:szCs w:val="21"/>
        </w:rPr>
        <w:t xml:space="preserve"> </w:t>
      </w:r>
    </w:p>
    <w:p w:rsidR="00B60691" w:rsidRPr="00F84D52" w:rsidRDefault="007A15DB" w:rsidP="00B60691">
      <w:pPr>
        <w:spacing w:after="0" w:line="240" w:lineRule="auto"/>
        <w:ind w:left="360"/>
        <w:jc w:val="both"/>
        <w:rPr>
          <w:rFonts w:eastAsia="Calibri" w:cs="Segoe UI"/>
          <w:sz w:val="21"/>
          <w:szCs w:val="21"/>
          <w:lang w:val="es-MX"/>
        </w:rPr>
      </w:pPr>
      <w:r w:rsidRPr="00F84D52">
        <w:rPr>
          <w:rFonts w:eastAsia="Times New Roman" w:cs="Segoe UI"/>
          <w:sz w:val="21"/>
          <w:szCs w:val="21"/>
        </w:rPr>
        <w:t>Históricamente el país ha sido altamente dependiente de la importación de gra</w:t>
      </w:r>
      <w:r w:rsidR="00B60691" w:rsidRPr="00F84D52">
        <w:rPr>
          <w:rFonts w:eastAsia="Times New Roman" w:cs="Segoe UI"/>
          <w:sz w:val="21"/>
          <w:szCs w:val="21"/>
        </w:rPr>
        <w:t>nos básicos, frutas y verduras debido a</w:t>
      </w:r>
      <w:r w:rsidR="00A96001" w:rsidRPr="00F84D52">
        <w:rPr>
          <w:rFonts w:eastAsia="Times New Roman" w:cs="Segoe UI"/>
          <w:sz w:val="21"/>
          <w:szCs w:val="21"/>
        </w:rPr>
        <w:t xml:space="preserve"> la falta de acceso a la tenencia de la tierra</w:t>
      </w:r>
      <w:r w:rsidR="00B60691" w:rsidRPr="00F84D52">
        <w:rPr>
          <w:rFonts w:eastAsia="Times New Roman" w:cs="Segoe UI"/>
          <w:sz w:val="21"/>
          <w:szCs w:val="21"/>
        </w:rPr>
        <w:t>, de insumos y créditos</w:t>
      </w:r>
      <w:r w:rsidR="00506D5F" w:rsidRPr="00F84D52">
        <w:rPr>
          <w:rFonts w:eastAsia="Times New Roman" w:cs="Segoe UI"/>
          <w:sz w:val="21"/>
          <w:szCs w:val="21"/>
        </w:rPr>
        <w:t xml:space="preserve"> </w:t>
      </w:r>
      <w:r w:rsidR="00A96001" w:rsidRPr="00F84D52">
        <w:rPr>
          <w:rFonts w:eastAsia="Times New Roman" w:cs="Segoe UI"/>
          <w:sz w:val="21"/>
          <w:szCs w:val="21"/>
        </w:rPr>
        <w:t>para cultivar los alimentos</w:t>
      </w:r>
      <w:r w:rsidR="00B60691" w:rsidRPr="00F84D52">
        <w:rPr>
          <w:rFonts w:eastAsia="Times New Roman" w:cs="Segoe UI"/>
          <w:sz w:val="21"/>
          <w:szCs w:val="21"/>
        </w:rPr>
        <w:t>,</w:t>
      </w:r>
      <w:r w:rsidR="00A96001" w:rsidRPr="00F84D52">
        <w:rPr>
          <w:rFonts w:eastAsia="Times New Roman" w:cs="Segoe UI"/>
          <w:sz w:val="21"/>
          <w:szCs w:val="21"/>
        </w:rPr>
        <w:t xml:space="preserve"> en el caso de los</w:t>
      </w:r>
      <w:r w:rsidR="00F84D52" w:rsidRPr="00F84D52">
        <w:rPr>
          <w:rFonts w:eastAsia="Times New Roman" w:cs="Segoe UI"/>
          <w:sz w:val="21"/>
          <w:szCs w:val="21"/>
        </w:rPr>
        <w:t xml:space="preserve"> </w:t>
      </w:r>
      <w:r w:rsidR="00A96001" w:rsidRPr="00F84D52">
        <w:rPr>
          <w:rFonts w:eastAsia="Times New Roman" w:cs="Segoe UI"/>
          <w:sz w:val="21"/>
          <w:szCs w:val="21"/>
        </w:rPr>
        <w:t>micro y pequeños</w:t>
      </w:r>
      <w:r w:rsidR="00B60691" w:rsidRPr="00F84D52">
        <w:rPr>
          <w:rFonts w:eastAsia="Times New Roman" w:cs="Segoe UI"/>
          <w:sz w:val="21"/>
          <w:szCs w:val="21"/>
        </w:rPr>
        <w:t xml:space="preserve"> productores</w:t>
      </w:r>
      <w:r w:rsidRPr="00F84D52">
        <w:rPr>
          <w:rFonts w:eastAsia="Times New Roman" w:cs="Segoe UI"/>
          <w:sz w:val="21"/>
          <w:szCs w:val="21"/>
        </w:rPr>
        <w:t>.</w:t>
      </w:r>
      <w:r w:rsidR="00A96001" w:rsidRPr="00F84D52">
        <w:rPr>
          <w:rFonts w:eastAsia="Times New Roman" w:cs="Segoe UI"/>
          <w:sz w:val="21"/>
          <w:szCs w:val="21"/>
        </w:rPr>
        <w:t xml:space="preserve"> </w:t>
      </w:r>
      <w:r w:rsidR="00F84D52" w:rsidRPr="00F84D52">
        <w:rPr>
          <w:rFonts w:eastAsia="Calibri" w:cs="Segoe UI"/>
          <w:sz w:val="21"/>
          <w:szCs w:val="21"/>
          <w:lang w:val="es-MX"/>
        </w:rPr>
        <w:t>Las familias rurales</w:t>
      </w:r>
      <w:r w:rsidR="00616050" w:rsidRPr="00F84D52">
        <w:rPr>
          <w:rFonts w:eastAsia="Calibri" w:cs="Segoe UI"/>
          <w:sz w:val="21"/>
          <w:szCs w:val="21"/>
          <w:lang w:val="es-MX"/>
        </w:rPr>
        <w:t xml:space="preserve">, cuyos ingresos son exiguos, han visto disminuido su poder adquisitivo por la erosión de los salarios que pasaron rígidos por varios años y por la inflación que encarece el costo de vida. </w:t>
      </w:r>
    </w:p>
    <w:p w:rsidR="0046051B" w:rsidRPr="00F84D52" w:rsidRDefault="006224F4" w:rsidP="00B60691">
      <w:pPr>
        <w:pStyle w:val="ListParagraph"/>
        <w:numPr>
          <w:ilvl w:val="0"/>
          <w:numId w:val="9"/>
        </w:numPr>
        <w:tabs>
          <w:tab w:val="left" w:pos="720"/>
          <w:tab w:val="left" w:pos="990"/>
        </w:tabs>
        <w:spacing w:after="0" w:line="240" w:lineRule="auto"/>
        <w:ind w:left="720"/>
        <w:jc w:val="both"/>
        <w:rPr>
          <w:rFonts w:eastAsia="Times New Roman" w:cs="Segoe UI"/>
          <w:b/>
          <w:i/>
          <w:sz w:val="21"/>
          <w:szCs w:val="21"/>
        </w:rPr>
      </w:pPr>
      <w:r w:rsidRPr="00F84D52">
        <w:rPr>
          <w:rFonts w:cs="Segoe UI"/>
          <w:i/>
          <w:sz w:val="21"/>
          <w:szCs w:val="21"/>
        </w:rPr>
        <w:t>Fortalecer el marco político e institucional para la articulación de accione</w:t>
      </w:r>
      <w:r w:rsidR="00B60691" w:rsidRPr="00F84D52">
        <w:rPr>
          <w:rFonts w:cs="Segoe UI"/>
          <w:i/>
          <w:sz w:val="21"/>
          <w:szCs w:val="21"/>
        </w:rPr>
        <w:t>s a nivel nacional y territorial.</w:t>
      </w:r>
    </w:p>
    <w:p w:rsidR="003B21A1" w:rsidRPr="00F84D52" w:rsidRDefault="006E3C2E" w:rsidP="00B77DD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L</w:t>
      </w:r>
      <w:r w:rsidR="00773602" w:rsidRPr="00F84D52">
        <w:rPr>
          <w:rFonts w:eastAsia="Times New Roman" w:cs="Segoe UI"/>
          <w:sz w:val="21"/>
          <w:szCs w:val="21"/>
        </w:rPr>
        <w:t>a realidad nacional demanda que el país cuen</w:t>
      </w:r>
      <w:r w:rsidR="00F84D52">
        <w:rPr>
          <w:rFonts w:eastAsia="Times New Roman" w:cs="Segoe UI"/>
          <w:sz w:val="21"/>
          <w:szCs w:val="21"/>
        </w:rPr>
        <w:t>te con una institucionalidad funcional</w:t>
      </w:r>
      <w:r w:rsidR="00773602" w:rsidRPr="00F84D52">
        <w:rPr>
          <w:rFonts w:eastAsia="Times New Roman" w:cs="Segoe UI"/>
          <w:sz w:val="21"/>
          <w:szCs w:val="21"/>
        </w:rPr>
        <w:t>.</w:t>
      </w:r>
      <w:r w:rsidRPr="00F84D52">
        <w:rPr>
          <w:rFonts w:eastAsia="Times New Roman" w:cs="Segoe UI"/>
          <w:sz w:val="21"/>
          <w:szCs w:val="21"/>
        </w:rPr>
        <w:t xml:space="preserve"> </w:t>
      </w:r>
      <w:r w:rsidR="002F41D1" w:rsidRPr="00F84D52">
        <w:rPr>
          <w:rFonts w:eastAsia="Times New Roman" w:cs="Segoe UI"/>
          <w:sz w:val="21"/>
          <w:szCs w:val="21"/>
        </w:rPr>
        <w:t>Asimismo, s</w:t>
      </w:r>
      <w:r w:rsidRPr="00F84D52">
        <w:rPr>
          <w:rFonts w:eastAsia="Times New Roman" w:cs="Segoe UI"/>
          <w:sz w:val="21"/>
          <w:szCs w:val="21"/>
        </w:rPr>
        <w:t>e requiere</w:t>
      </w:r>
      <w:r w:rsidR="00DC2533" w:rsidRPr="00F84D52">
        <w:rPr>
          <w:rFonts w:eastAsia="Times New Roman" w:cs="Segoe UI"/>
          <w:sz w:val="21"/>
          <w:szCs w:val="21"/>
        </w:rPr>
        <w:t xml:space="preserve"> contar con el marco legal </w:t>
      </w:r>
      <w:r w:rsidRPr="00F84D52">
        <w:rPr>
          <w:rFonts w:eastAsia="Times New Roman" w:cs="Segoe UI"/>
          <w:sz w:val="21"/>
          <w:szCs w:val="21"/>
        </w:rPr>
        <w:t xml:space="preserve"> </w:t>
      </w:r>
      <w:r w:rsidR="00DC2533" w:rsidRPr="00F84D52">
        <w:rPr>
          <w:rFonts w:eastAsia="Times New Roman" w:cs="Segoe UI"/>
          <w:sz w:val="21"/>
          <w:szCs w:val="21"/>
        </w:rPr>
        <w:t xml:space="preserve">y </w:t>
      </w:r>
      <w:r w:rsidR="00163EDB" w:rsidRPr="00F84D52">
        <w:rPr>
          <w:rFonts w:eastAsia="Times New Roman" w:cs="Segoe UI"/>
          <w:sz w:val="21"/>
          <w:szCs w:val="21"/>
        </w:rPr>
        <w:t xml:space="preserve">fortalecer la articulación del gobierno central con los gobiernos departamentales y municipales, para que las políticas vinculadas a la seguridad alimentaria y nutricional, puedan llegar a territorios. </w:t>
      </w:r>
    </w:p>
    <w:p w:rsidR="00A1269F" w:rsidRPr="00F84D52" w:rsidRDefault="00A1269F" w:rsidP="004D7A8A">
      <w:pPr>
        <w:spacing w:after="0" w:line="240" w:lineRule="auto"/>
        <w:ind w:left="720"/>
        <w:jc w:val="both"/>
        <w:rPr>
          <w:rFonts w:eastAsia="Times New Roman" w:cs="Segoe UI"/>
          <w:sz w:val="21"/>
          <w:szCs w:val="21"/>
        </w:rPr>
      </w:pPr>
    </w:p>
    <w:p w:rsidR="00B77DDB" w:rsidRPr="00F84D52" w:rsidRDefault="008B3509" w:rsidP="00F765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2:</w:t>
      </w:r>
      <w:r w:rsidR="00576D34" w:rsidRPr="00F84D52">
        <w:rPr>
          <w:rFonts w:eastAsia="Times New Roman" w:cs="Segoe UI"/>
          <w:sz w:val="21"/>
          <w:szCs w:val="21"/>
          <w:lang w:val="en-US"/>
        </w:rPr>
        <w:t xml:space="preserve"> </w:t>
      </w:r>
    </w:p>
    <w:p w:rsidR="00784D38" w:rsidRPr="00F84D52" w:rsidRDefault="00A33FE4" w:rsidP="00DC2533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 xml:space="preserve">El  Salvador es firmante del </w:t>
      </w:r>
      <w:proofErr w:type="spellStart"/>
      <w:r w:rsidR="00F765CB" w:rsidRPr="00F84D52">
        <w:rPr>
          <w:rFonts w:eastAsia="Times New Roman" w:cs="Segoe UI"/>
          <w:sz w:val="21"/>
          <w:szCs w:val="21"/>
        </w:rPr>
        <w:t>PDESC</w:t>
      </w:r>
      <w:proofErr w:type="spellEnd"/>
      <w:r w:rsidRPr="00F84D52">
        <w:rPr>
          <w:rFonts w:eastAsia="Times New Roman" w:cs="Segoe UI"/>
          <w:sz w:val="21"/>
          <w:szCs w:val="21"/>
        </w:rPr>
        <w:t>, así como del Protocolo de San Salvador, los cuales comprometen al Estado a velar por los derechos fundamentales, incluyendo el derecho a la</w:t>
      </w:r>
      <w:r w:rsidR="002536C0" w:rsidRPr="00F84D52">
        <w:rPr>
          <w:rFonts w:eastAsia="Times New Roman" w:cs="Segoe UI"/>
          <w:sz w:val="21"/>
          <w:szCs w:val="21"/>
        </w:rPr>
        <w:t xml:space="preserve"> salud y el derecho a la</w:t>
      </w:r>
      <w:r w:rsidR="00F84D52" w:rsidRPr="00F84D52">
        <w:rPr>
          <w:rFonts w:eastAsia="Times New Roman" w:cs="Segoe UI"/>
          <w:sz w:val="21"/>
          <w:szCs w:val="21"/>
        </w:rPr>
        <w:t xml:space="preserve"> alimentación</w:t>
      </w:r>
      <w:r w:rsidR="00F84D52">
        <w:rPr>
          <w:rFonts w:eastAsia="Times New Roman" w:cs="Segoe UI"/>
          <w:sz w:val="21"/>
          <w:szCs w:val="21"/>
        </w:rPr>
        <w:t xml:space="preserve"> </w:t>
      </w:r>
      <w:r w:rsidR="00784D38" w:rsidRPr="00F84D52">
        <w:rPr>
          <w:rFonts w:eastAsia="Times New Roman" w:cs="Segoe UI"/>
          <w:sz w:val="21"/>
          <w:szCs w:val="21"/>
        </w:rPr>
        <w:t>En este marco es necesario enfatizar que el derecho a la alimentación, está ligado al derecho a la salud y a la educación, por lo que como país se están realizando esfuerzos por garantizar este derecho desde la primera infancia y a lo largo del ciclo de vida, con un enfoque inclusivo.</w:t>
      </w:r>
    </w:p>
    <w:p w:rsidR="00784D38" w:rsidRPr="00F84D52" w:rsidRDefault="00784D38" w:rsidP="00DC2533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</w:p>
    <w:p w:rsidR="00A96001" w:rsidRPr="00F84D52" w:rsidRDefault="008B3509" w:rsidP="00F765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3:</w:t>
      </w:r>
      <w:r w:rsidR="00B32173" w:rsidRPr="00F84D52">
        <w:rPr>
          <w:rFonts w:eastAsia="Times New Roman" w:cs="Segoe UI"/>
          <w:sz w:val="21"/>
          <w:szCs w:val="21"/>
          <w:lang w:val="en-US"/>
        </w:rPr>
        <w:t xml:space="preserve"> </w:t>
      </w:r>
    </w:p>
    <w:p w:rsidR="009C6F3E" w:rsidRPr="00F84D52" w:rsidRDefault="009C6F3E" w:rsidP="00B77DD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 xml:space="preserve">La debilidad en los marcos normativos e institucionales </w:t>
      </w:r>
      <w:r w:rsidR="00F765CB" w:rsidRPr="00F84D52">
        <w:rPr>
          <w:rFonts w:eastAsia="Times New Roman" w:cs="Segoe UI"/>
          <w:sz w:val="21"/>
          <w:szCs w:val="21"/>
        </w:rPr>
        <w:t>actuales</w:t>
      </w:r>
      <w:r w:rsidR="00D460A7" w:rsidRPr="00F84D52">
        <w:rPr>
          <w:rFonts w:eastAsia="Times New Roman" w:cs="Segoe UI"/>
          <w:sz w:val="21"/>
          <w:szCs w:val="21"/>
        </w:rPr>
        <w:t xml:space="preserve"> </w:t>
      </w:r>
      <w:r w:rsidRPr="00F84D52">
        <w:rPr>
          <w:rFonts w:eastAsia="Times New Roman" w:cs="Segoe UI"/>
          <w:sz w:val="21"/>
          <w:szCs w:val="21"/>
        </w:rPr>
        <w:t>p</w:t>
      </w:r>
      <w:r w:rsidR="00DD30CE" w:rsidRPr="00F84D52">
        <w:rPr>
          <w:rFonts w:eastAsia="Times New Roman" w:cs="Segoe UI"/>
          <w:sz w:val="21"/>
          <w:szCs w:val="21"/>
        </w:rPr>
        <w:t>ara transformar los sistemas alimentarios bajo un nuevo enfoque</w:t>
      </w:r>
      <w:r w:rsidR="00F765CB" w:rsidRPr="00F84D52">
        <w:rPr>
          <w:rFonts w:eastAsia="Times New Roman" w:cs="Segoe UI"/>
          <w:sz w:val="21"/>
          <w:szCs w:val="21"/>
        </w:rPr>
        <w:t xml:space="preserve">; </w:t>
      </w:r>
      <w:r w:rsidR="00B77DDB" w:rsidRPr="00F84D52">
        <w:rPr>
          <w:rFonts w:eastAsia="Times New Roman" w:cs="Segoe UI"/>
          <w:sz w:val="21"/>
          <w:szCs w:val="21"/>
        </w:rPr>
        <w:t>l</w:t>
      </w:r>
      <w:r w:rsidRPr="00F84D52">
        <w:rPr>
          <w:rFonts w:eastAsia="Times New Roman" w:cs="Segoe UI"/>
          <w:sz w:val="21"/>
          <w:szCs w:val="21"/>
        </w:rPr>
        <w:t xml:space="preserve">a falta de interés de algunos sectores de trabajar de forma </w:t>
      </w:r>
      <w:r w:rsidR="00DD30CE" w:rsidRPr="00F84D52">
        <w:rPr>
          <w:rFonts w:eastAsia="Times New Roman" w:cs="Segoe UI"/>
          <w:sz w:val="21"/>
          <w:szCs w:val="21"/>
        </w:rPr>
        <w:t>articulada</w:t>
      </w:r>
      <w:r w:rsidR="00787CE9">
        <w:rPr>
          <w:rFonts w:eastAsia="Times New Roman" w:cs="Segoe UI"/>
          <w:sz w:val="21"/>
          <w:szCs w:val="21"/>
        </w:rPr>
        <w:t xml:space="preserve">, </w:t>
      </w:r>
      <w:r w:rsidR="00843944" w:rsidRPr="00F84D52">
        <w:rPr>
          <w:rFonts w:eastAsia="Times New Roman" w:cs="Segoe UI"/>
          <w:sz w:val="21"/>
          <w:szCs w:val="21"/>
        </w:rPr>
        <w:t xml:space="preserve"> vacíos en los procesos de</w:t>
      </w:r>
      <w:r w:rsidR="003F7B31" w:rsidRPr="00F84D52">
        <w:rPr>
          <w:rFonts w:eastAsia="Times New Roman" w:cs="Segoe UI"/>
          <w:sz w:val="21"/>
          <w:szCs w:val="21"/>
        </w:rPr>
        <w:t xml:space="preserve"> planificación de políticas </w:t>
      </w:r>
      <w:r w:rsidR="001E1FAA" w:rsidRPr="00F84D52">
        <w:rPr>
          <w:rFonts w:eastAsia="Times New Roman" w:cs="Segoe UI"/>
          <w:sz w:val="21"/>
          <w:szCs w:val="21"/>
        </w:rPr>
        <w:t>y programas</w:t>
      </w:r>
      <w:r w:rsidR="003F7B31" w:rsidRPr="00F84D52">
        <w:rPr>
          <w:rFonts w:eastAsia="Times New Roman" w:cs="Segoe UI"/>
          <w:sz w:val="21"/>
          <w:szCs w:val="21"/>
        </w:rPr>
        <w:t>, con enfoques integrales</w:t>
      </w:r>
      <w:r w:rsidR="00843944" w:rsidRPr="00F84D52">
        <w:rPr>
          <w:rFonts w:eastAsia="Times New Roman" w:cs="Segoe UI"/>
          <w:sz w:val="21"/>
          <w:szCs w:val="21"/>
        </w:rPr>
        <w:t xml:space="preserve">, </w:t>
      </w:r>
      <w:r w:rsidR="003F7B31" w:rsidRPr="00F84D52">
        <w:rPr>
          <w:rFonts w:eastAsia="Times New Roman" w:cs="Segoe UI"/>
          <w:sz w:val="21"/>
          <w:szCs w:val="21"/>
        </w:rPr>
        <w:t>articulados</w:t>
      </w:r>
      <w:r w:rsidR="00843944" w:rsidRPr="00F84D52">
        <w:rPr>
          <w:rFonts w:eastAsia="Times New Roman" w:cs="Segoe UI"/>
          <w:sz w:val="21"/>
          <w:szCs w:val="21"/>
        </w:rPr>
        <w:t xml:space="preserve"> e</w:t>
      </w:r>
      <w:r w:rsidR="003F7B31" w:rsidRPr="00F84D52">
        <w:rPr>
          <w:rFonts w:eastAsia="Times New Roman" w:cs="Segoe UI"/>
          <w:sz w:val="21"/>
          <w:szCs w:val="21"/>
        </w:rPr>
        <w:t xml:space="preserve"> inclusivos</w:t>
      </w:r>
      <w:r w:rsidR="00F765CB" w:rsidRPr="00F84D52">
        <w:rPr>
          <w:rFonts w:eastAsia="Times New Roman" w:cs="Segoe UI"/>
          <w:sz w:val="21"/>
          <w:szCs w:val="21"/>
        </w:rPr>
        <w:t>;</w:t>
      </w:r>
      <w:r w:rsidR="00B77DDB" w:rsidRPr="00F84D52">
        <w:rPr>
          <w:rFonts w:eastAsia="Times New Roman" w:cs="Segoe UI"/>
          <w:sz w:val="21"/>
          <w:szCs w:val="21"/>
        </w:rPr>
        <w:t xml:space="preserve"> l</w:t>
      </w:r>
      <w:r w:rsidRPr="00F84D52">
        <w:rPr>
          <w:rFonts w:eastAsia="Times New Roman" w:cs="Segoe UI"/>
          <w:sz w:val="21"/>
          <w:szCs w:val="21"/>
        </w:rPr>
        <w:t xml:space="preserve">os ambientes </w:t>
      </w:r>
      <w:r w:rsidR="00DD30CE" w:rsidRPr="00F84D52">
        <w:rPr>
          <w:rFonts w:eastAsia="Times New Roman" w:cs="Segoe UI"/>
          <w:sz w:val="21"/>
          <w:szCs w:val="21"/>
        </w:rPr>
        <w:t>obesogénicos</w:t>
      </w:r>
      <w:r w:rsidR="00354684" w:rsidRPr="00F84D52">
        <w:rPr>
          <w:rFonts w:eastAsia="Times New Roman" w:cs="Segoe UI"/>
          <w:sz w:val="21"/>
          <w:szCs w:val="21"/>
        </w:rPr>
        <w:t xml:space="preserve"> </w:t>
      </w:r>
      <w:r w:rsidR="00754D5D" w:rsidRPr="00F84D52">
        <w:rPr>
          <w:rFonts w:eastAsia="Times New Roman" w:cs="Segoe UI"/>
          <w:sz w:val="21"/>
          <w:szCs w:val="21"/>
        </w:rPr>
        <w:t xml:space="preserve">u </w:t>
      </w:r>
      <w:r w:rsidR="00354684" w:rsidRPr="00F84D52">
        <w:rPr>
          <w:rFonts w:eastAsia="Times New Roman" w:cs="Segoe UI"/>
          <w:sz w:val="21"/>
          <w:szCs w:val="21"/>
        </w:rPr>
        <w:t>entornos alimentarios no saludables</w:t>
      </w:r>
      <w:r w:rsidR="00F765CB" w:rsidRPr="00F84D52">
        <w:rPr>
          <w:rFonts w:eastAsia="Times New Roman" w:cs="Segoe UI"/>
          <w:sz w:val="21"/>
          <w:szCs w:val="21"/>
        </w:rPr>
        <w:t>;</w:t>
      </w:r>
      <w:r w:rsidR="00B77DDB" w:rsidRPr="00F84D52">
        <w:rPr>
          <w:rFonts w:eastAsia="Times New Roman" w:cs="Segoe UI"/>
          <w:sz w:val="21"/>
          <w:szCs w:val="21"/>
        </w:rPr>
        <w:t xml:space="preserve"> l</w:t>
      </w:r>
      <w:r w:rsidR="00DD30CE" w:rsidRPr="00F84D52">
        <w:rPr>
          <w:rFonts w:eastAsia="Times New Roman" w:cs="Segoe UI"/>
          <w:sz w:val="21"/>
          <w:szCs w:val="21"/>
        </w:rPr>
        <w:t>os factores externos y coyunturales</w:t>
      </w:r>
      <w:r w:rsidR="001E1FAA" w:rsidRPr="00F84D52">
        <w:rPr>
          <w:rFonts w:eastAsia="Times New Roman" w:cs="Segoe UI"/>
          <w:sz w:val="21"/>
          <w:szCs w:val="21"/>
        </w:rPr>
        <w:t>,</w:t>
      </w:r>
      <w:r w:rsidR="00DD30CE" w:rsidRPr="00F84D52">
        <w:rPr>
          <w:rFonts w:eastAsia="Times New Roman" w:cs="Segoe UI"/>
          <w:sz w:val="21"/>
          <w:szCs w:val="21"/>
        </w:rPr>
        <w:t xml:space="preserve"> </w:t>
      </w:r>
      <w:r w:rsidR="00754D5D" w:rsidRPr="00F84D52">
        <w:rPr>
          <w:rFonts w:eastAsia="Times New Roman" w:cs="Segoe UI"/>
          <w:sz w:val="21"/>
          <w:szCs w:val="21"/>
        </w:rPr>
        <w:t>como por ejemplo la afectación a la producción por el cambio climático, las crisis internacionales en los precios de alimentos</w:t>
      </w:r>
      <w:r w:rsidR="00787CE9">
        <w:rPr>
          <w:rFonts w:eastAsia="Times New Roman" w:cs="Segoe UI"/>
          <w:sz w:val="21"/>
          <w:szCs w:val="21"/>
        </w:rPr>
        <w:t xml:space="preserve"> y</w:t>
      </w:r>
      <w:r w:rsidR="00754D5D" w:rsidRPr="00F84D52">
        <w:rPr>
          <w:rFonts w:eastAsia="Times New Roman" w:cs="Segoe UI"/>
          <w:sz w:val="21"/>
          <w:szCs w:val="21"/>
        </w:rPr>
        <w:t xml:space="preserve"> las emergencias sanitarias como la generada por el Covid</w:t>
      </w:r>
      <w:r w:rsidR="00843944" w:rsidRPr="00F84D52">
        <w:rPr>
          <w:rFonts w:eastAsia="Times New Roman" w:cs="Segoe UI"/>
          <w:sz w:val="21"/>
          <w:szCs w:val="21"/>
        </w:rPr>
        <w:t>-19</w:t>
      </w:r>
      <w:r w:rsidR="0046670B" w:rsidRPr="00F84D52">
        <w:rPr>
          <w:rFonts w:eastAsia="Times New Roman" w:cs="Segoe UI"/>
          <w:sz w:val="21"/>
          <w:szCs w:val="21"/>
        </w:rPr>
        <w:t>.</w:t>
      </w:r>
    </w:p>
    <w:p w:rsidR="00B77DDB" w:rsidRPr="00F84D52" w:rsidRDefault="00B77DDB" w:rsidP="00B77DD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</w:p>
    <w:p w:rsidR="00B32173" w:rsidRPr="00F84D52" w:rsidRDefault="008B3509" w:rsidP="002C6BD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 xml:space="preserve">Pregunta 4: </w:t>
      </w:r>
    </w:p>
    <w:p w:rsidR="008E17F8" w:rsidRPr="00F84D52" w:rsidRDefault="008544E1" w:rsidP="00B55899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Los desafíos identificados fueron considerados</w:t>
      </w:r>
      <w:r w:rsidR="00F84D52" w:rsidRPr="00F84D52">
        <w:rPr>
          <w:rFonts w:eastAsia="Times New Roman" w:cs="Segoe UI"/>
          <w:sz w:val="21"/>
          <w:szCs w:val="21"/>
        </w:rPr>
        <w:t>,</w:t>
      </w:r>
      <w:r w:rsidRPr="00F84D52">
        <w:rPr>
          <w:rFonts w:eastAsia="Times New Roman" w:cs="Segoe UI"/>
          <w:sz w:val="21"/>
          <w:szCs w:val="21"/>
        </w:rPr>
        <w:t xml:space="preserve"> a través de mesas de discusión que se establecieron en los diálogos regionales</w:t>
      </w:r>
      <w:r w:rsidR="00A42EF1" w:rsidRPr="00F84D52">
        <w:rPr>
          <w:rFonts w:eastAsia="Times New Roman" w:cs="Segoe UI"/>
          <w:sz w:val="21"/>
          <w:szCs w:val="21"/>
        </w:rPr>
        <w:t xml:space="preserve"> y nacionales</w:t>
      </w:r>
      <w:r w:rsidRPr="00F84D52">
        <w:rPr>
          <w:rFonts w:eastAsia="Times New Roman" w:cs="Segoe UI"/>
          <w:sz w:val="21"/>
          <w:szCs w:val="21"/>
        </w:rPr>
        <w:t>, alrededor de las vías de acción establecidas por la Cumbre</w:t>
      </w:r>
      <w:r w:rsidR="00DC2533" w:rsidRPr="00F84D52">
        <w:rPr>
          <w:rFonts w:eastAsia="Times New Roman" w:cs="Segoe UI"/>
          <w:sz w:val="21"/>
          <w:szCs w:val="21"/>
        </w:rPr>
        <w:t xml:space="preserve">. </w:t>
      </w:r>
      <w:r w:rsidR="00A96001" w:rsidRPr="00F84D52">
        <w:rPr>
          <w:rFonts w:eastAsia="Times New Roman" w:cs="Segoe UI"/>
          <w:sz w:val="21"/>
          <w:szCs w:val="21"/>
        </w:rPr>
        <w:t>También hubo mesas de discusión</w:t>
      </w:r>
      <w:r w:rsidR="0075520A" w:rsidRPr="00F84D52">
        <w:rPr>
          <w:rFonts w:eastAsia="Times New Roman" w:cs="Segoe UI"/>
          <w:sz w:val="21"/>
          <w:szCs w:val="21"/>
        </w:rPr>
        <w:t xml:space="preserve"> especiales en donde se dialogó en forma particular</w:t>
      </w:r>
      <w:r w:rsidR="00A96001" w:rsidRPr="00F84D52">
        <w:rPr>
          <w:rFonts w:eastAsia="Times New Roman" w:cs="Segoe UI"/>
          <w:sz w:val="21"/>
          <w:szCs w:val="21"/>
        </w:rPr>
        <w:t xml:space="preserve"> sobre temas vinculados </w:t>
      </w:r>
      <w:r w:rsidR="0075520A" w:rsidRPr="00F84D52">
        <w:rPr>
          <w:rFonts w:eastAsia="Times New Roman" w:cs="Segoe UI"/>
          <w:sz w:val="21"/>
          <w:szCs w:val="21"/>
        </w:rPr>
        <w:t>a cada uno de estos grandes temas.</w:t>
      </w:r>
      <w:r w:rsidR="00A96001" w:rsidRPr="00F84D52">
        <w:rPr>
          <w:rFonts w:eastAsia="Times New Roman" w:cs="Segoe UI"/>
          <w:sz w:val="21"/>
          <w:szCs w:val="21"/>
        </w:rPr>
        <w:t xml:space="preserve"> </w:t>
      </w:r>
      <w:r w:rsidR="008E17F8" w:rsidRPr="00F84D52">
        <w:rPr>
          <w:rFonts w:eastAsia="Times New Roman" w:cs="Segoe UI"/>
          <w:sz w:val="21"/>
          <w:szCs w:val="21"/>
        </w:rPr>
        <w:t>En los diálogos realizados, se analizó toda la problemática de país, considerando las diferentes etapas de los sistemas alimentari</w:t>
      </w:r>
      <w:r w:rsidR="00F84D52">
        <w:rPr>
          <w:rFonts w:eastAsia="Times New Roman" w:cs="Segoe UI"/>
          <w:sz w:val="21"/>
          <w:szCs w:val="21"/>
        </w:rPr>
        <w:t xml:space="preserve">os, desde la perspectiva de </w:t>
      </w:r>
      <w:r w:rsidR="008E17F8" w:rsidRPr="00F84D52">
        <w:rPr>
          <w:rFonts w:eastAsia="Times New Roman" w:cs="Segoe UI"/>
          <w:sz w:val="21"/>
          <w:szCs w:val="21"/>
        </w:rPr>
        <w:t xml:space="preserve">diferentes sectores. El proceso de consulta ha sido </w:t>
      </w:r>
      <w:r w:rsidR="008E17F8" w:rsidRPr="00F84D52">
        <w:rPr>
          <w:rFonts w:eastAsia="Times New Roman" w:cs="Segoe UI"/>
          <w:sz w:val="21"/>
          <w:szCs w:val="21"/>
        </w:rPr>
        <w:lastRenderedPageBreak/>
        <w:t xml:space="preserve">altamente participativo y con un enfoque  inclusivo, reconociendo que es importante </w:t>
      </w:r>
      <w:r w:rsidR="00B55899" w:rsidRPr="00F84D52">
        <w:rPr>
          <w:rFonts w:eastAsia="Times New Roman" w:cs="Segoe UI"/>
          <w:sz w:val="21"/>
          <w:szCs w:val="21"/>
        </w:rPr>
        <w:t>identificar</w:t>
      </w:r>
      <w:r w:rsidR="008E17F8" w:rsidRPr="00F84D52">
        <w:rPr>
          <w:rFonts w:eastAsia="Times New Roman" w:cs="Segoe UI"/>
          <w:sz w:val="21"/>
          <w:szCs w:val="21"/>
        </w:rPr>
        <w:t xml:space="preserve"> las condiciones particulares y requerimientos de atención alimentaria que tienen  grupos de población</w:t>
      </w:r>
      <w:r w:rsidR="00B55899" w:rsidRPr="00F84D52">
        <w:rPr>
          <w:rFonts w:eastAsia="Times New Roman" w:cs="Segoe UI"/>
          <w:sz w:val="21"/>
          <w:szCs w:val="21"/>
        </w:rPr>
        <w:t xml:space="preserve"> específicos</w:t>
      </w:r>
      <w:r w:rsidR="008E17F8" w:rsidRPr="00F84D52">
        <w:rPr>
          <w:rFonts w:eastAsia="Times New Roman" w:cs="Segoe UI"/>
          <w:sz w:val="21"/>
          <w:szCs w:val="21"/>
        </w:rPr>
        <w:t xml:space="preserve">, como </w:t>
      </w:r>
      <w:r w:rsidR="00B55899" w:rsidRPr="00F84D52">
        <w:rPr>
          <w:rFonts w:eastAsia="Times New Roman" w:cs="Segoe UI"/>
          <w:sz w:val="21"/>
          <w:szCs w:val="21"/>
        </w:rPr>
        <w:t xml:space="preserve">la niñez, </w:t>
      </w:r>
      <w:r w:rsidR="008E17F8" w:rsidRPr="00F84D52">
        <w:rPr>
          <w:rFonts w:eastAsia="Times New Roman" w:cs="Segoe UI"/>
          <w:sz w:val="21"/>
          <w:szCs w:val="21"/>
        </w:rPr>
        <w:t xml:space="preserve">los adultos mayores y las personas con discapacidad.  </w:t>
      </w:r>
    </w:p>
    <w:p w:rsidR="008E17F8" w:rsidRPr="00F84D52" w:rsidRDefault="008E17F8" w:rsidP="008E17F8">
      <w:pPr>
        <w:spacing w:after="0" w:line="240" w:lineRule="auto"/>
        <w:jc w:val="both"/>
        <w:rPr>
          <w:rFonts w:eastAsia="Times New Roman" w:cs="Segoe UI"/>
          <w:sz w:val="21"/>
          <w:szCs w:val="21"/>
        </w:rPr>
      </w:pPr>
    </w:p>
    <w:p w:rsidR="00B77DDB" w:rsidRPr="00F84D52" w:rsidRDefault="008B3509" w:rsidP="002C6BD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5:</w:t>
      </w:r>
    </w:p>
    <w:p w:rsidR="00354684" w:rsidRPr="00F84D52" w:rsidRDefault="002C6BD4" w:rsidP="00D27DD6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 xml:space="preserve">Se </w:t>
      </w:r>
      <w:r w:rsidR="00D27DD6" w:rsidRPr="00F84D52">
        <w:rPr>
          <w:rFonts w:eastAsia="Times New Roman" w:cs="Segoe UI"/>
          <w:sz w:val="21"/>
          <w:szCs w:val="21"/>
        </w:rPr>
        <w:t>debe trabajar en la normativa pertinente</w:t>
      </w:r>
      <w:r w:rsidR="00510B79" w:rsidRPr="00F84D52">
        <w:rPr>
          <w:rFonts w:eastAsia="Times New Roman" w:cs="Segoe UI"/>
          <w:sz w:val="21"/>
          <w:szCs w:val="21"/>
        </w:rPr>
        <w:t xml:space="preserve"> para garantizar la seguridad alimentaria y nutricional de la </w:t>
      </w:r>
      <w:r w:rsidR="00787CE9">
        <w:rPr>
          <w:rFonts w:eastAsia="Times New Roman" w:cs="Segoe UI"/>
          <w:sz w:val="21"/>
          <w:szCs w:val="21"/>
        </w:rPr>
        <w:t>población, en</w:t>
      </w:r>
      <w:r w:rsidR="00510B79" w:rsidRPr="00F84D52">
        <w:rPr>
          <w:rFonts w:eastAsia="Times New Roman" w:cs="Segoe UI"/>
          <w:sz w:val="21"/>
          <w:szCs w:val="21"/>
        </w:rPr>
        <w:t xml:space="preserve"> </w:t>
      </w:r>
      <w:r w:rsidR="001A13CA" w:rsidRPr="00F84D52">
        <w:rPr>
          <w:rFonts w:eastAsia="Times New Roman" w:cs="Segoe UI"/>
          <w:sz w:val="21"/>
          <w:szCs w:val="21"/>
        </w:rPr>
        <w:t>fortalecer</w:t>
      </w:r>
      <w:r w:rsidR="00D27DD6" w:rsidRPr="00F84D52">
        <w:rPr>
          <w:rFonts w:eastAsia="Times New Roman" w:cs="Segoe UI"/>
          <w:sz w:val="21"/>
          <w:szCs w:val="21"/>
        </w:rPr>
        <w:t xml:space="preserve"> los mecanismos para </w:t>
      </w:r>
      <w:r w:rsidR="00E77986" w:rsidRPr="00F84D52">
        <w:rPr>
          <w:rFonts w:eastAsia="Times New Roman" w:cs="Segoe UI"/>
          <w:sz w:val="21"/>
          <w:szCs w:val="21"/>
        </w:rPr>
        <w:t>vigilar</w:t>
      </w:r>
      <w:r w:rsidR="004721E6" w:rsidRPr="00F84D52">
        <w:rPr>
          <w:rFonts w:eastAsia="Times New Roman" w:cs="Segoe UI"/>
          <w:sz w:val="21"/>
          <w:szCs w:val="21"/>
        </w:rPr>
        <w:t xml:space="preserve"> </w:t>
      </w:r>
      <w:r w:rsidR="00510B79" w:rsidRPr="00F84D52">
        <w:rPr>
          <w:rFonts w:eastAsia="Times New Roman" w:cs="Segoe UI"/>
          <w:sz w:val="21"/>
          <w:szCs w:val="21"/>
        </w:rPr>
        <w:t xml:space="preserve">el cumplimiento </w:t>
      </w:r>
      <w:r w:rsidR="00E77986" w:rsidRPr="00F84D52">
        <w:rPr>
          <w:rFonts w:eastAsia="Times New Roman" w:cs="Segoe UI"/>
          <w:sz w:val="21"/>
          <w:szCs w:val="21"/>
        </w:rPr>
        <w:t>de la normativa en esta materia</w:t>
      </w:r>
      <w:r w:rsidRPr="00F84D52">
        <w:rPr>
          <w:rFonts w:eastAsia="Times New Roman" w:cs="Segoe UI"/>
          <w:sz w:val="21"/>
          <w:szCs w:val="21"/>
        </w:rPr>
        <w:t xml:space="preserve"> y </w:t>
      </w:r>
      <w:r w:rsidR="004721E6" w:rsidRPr="00F84D52">
        <w:rPr>
          <w:rFonts w:eastAsia="Times New Roman" w:cs="Segoe UI"/>
          <w:sz w:val="21"/>
          <w:szCs w:val="21"/>
        </w:rPr>
        <w:t xml:space="preserve">trabajar en la sensibilización y establecimiento de acuerdos con el sector empresarial, para prevenir y abordar los impactos generados por las malas prácticas de producción, incentivando una producción más amigable con el medio ambiente. También hay que sensibilizar a los consumidores, de forma que generar un consumo más responsable. </w:t>
      </w:r>
      <w:r w:rsidR="003E5B97" w:rsidRPr="00F84D52">
        <w:rPr>
          <w:rFonts w:eastAsia="Times New Roman" w:cs="Segoe UI"/>
          <w:sz w:val="21"/>
          <w:szCs w:val="21"/>
        </w:rPr>
        <w:t>En este marco, una de las obligaciones</w:t>
      </w:r>
      <w:r w:rsidR="00594E0C" w:rsidRPr="00F84D52">
        <w:rPr>
          <w:rFonts w:eastAsia="Times New Roman" w:cs="Segoe UI"/>
          <w:sz w:val="21"/>
          <w:szCs w:val="21"/>
        </w:rPr>
        <w:t xml:space="preserve"> apremiantes será dar seguimiento a toda </w:t>
      </w:r>
      <w:r w:rsidR="00506D5F" w:rsidRPr="00F84D52">
        <w:rPr>
          <w:rFonts w:eastAsia="Times New Roman" w:cs="Segoe UI"/>
          <w:sz w:val="21"/>
          <w:szCs w:val="21"/>
        </w:rPr>
        <w:t>la legislación</w:t>
      </w:r>
      <w:r w:rsidR="00594E0C" w:rsidRPr="00F84D52">
        <w:rPr>
          <w:rFonts w:eastAsia="Times New Roman" w:cs="Segoe UI"/>
          <w:sz w:val="21"/>
          <w:szCs w:val="21"/>
        </w:rPr>
        <w:t xml:space="preserve"> vigente vinculad</w:t>
      </w:r>
      <w:r w:rsidR="00506D5F" w:rsidRPr="00F84D52">
        <w:rPr>
          <w:rFonts w:eastAsia="Times New Roman" w:cs="Segoe UI"/>
          <w:sz w:val="21"/>
          <w:szCs w:val="21"/>
        </w:rPr>
        <w:t>a</w:t>
      </w:r>
      <w:r w:rsidR="00594E0C" w:rsidRPr="00F84D52">
        <w:rPr>
          <w:rFonts w:eastAsia="Times New Roman" w:cs="Segoe UI"/>
          <w:sz w:val="21"/>
          <w:szCs w:val="21"/>
        </w:rPr>
        <w:t xml:space="preserve"> con la seguridad alimentaria, y a la recién aprobada Ley de Rescate del Sector Agropecuario, la cual tiene por objeto crear un fidecomiso para la soberanía alimentaria.</w:t>
      </w:r>
    </w:p>
    <w:p w:rsidR="00A96001" w:rsidRPr="00F84D52" w:rsidRDefault="00A96001" w:rsidP="0046670B">
      <w:pPr>
        <w:spacing w:after="0" w:line="240" w:lineRule="auto"/>
        <w:jc w:val="both"/>
        <w:rPr>
          <w:rFonts w:eastAsia="Times New Roman" w:cs="Segoe UI"/>
          <w:sz w:val="21"/>
          <w:szCs w:val="21"/>
        </w:rPr>
      </w:pPr>
    </w:p>
    <w:p w:rsidR="0075520A" w:rsidRPr="00F84D52" w:rsidRDefault="008B3509" w:rsidP="002C6BD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b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6:</w:t>
      </w:r>
      <w:r w:rsidR="00A96001" w:rsidRPr="00F84D52">
        <w:rPr>
          <w:rFonts w:eastAsia="Times New Roman" w:cs="Segoe UI"/>
          <w:b/>
          <w:sz w:val="21"/>
          <w:szCs w:val="21"/>
          <w:lang w:val="en-GB"/>
        </w:rPr>
        <w:t xml:space="preserve"> </w:t>
      </w:r>
    </w:p>
    <w:p w:rsidR="0075520A" w:rsidRPr="00F84D52" w:rsidRDefault="0075520A" w:rsidP="0075520A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El Gobierno ha establecido líneas de acción para la reducción de la pobreza y el hambre</w:t>
      </w:r>
      <w:r w:rsidR="00F84D52" w:rsidRPr="00F84D52">
        <w:rPr>
          <w:rFonts w:eastAsia="Times New Roman" w:cs="Segoe UI"/>
          <w:sz w:val="21"/>
          <w:szCs w:val="21"/>
        </w:rPr>
        <w:t xml:space="preserve">, </w:t>
      </w:r>
      <w:r w:rsidR="00046337" w:rsidRPr="00F84D52">
        <w:rPr>
          <w:rFonts w:eastAsia="Times New Roman" w:cs="Segoe UI"/>
          <w:sz w:val="21"/>
          <w:szCs w:val="21"/>
        </w:rPr>
        <w:t>formulando</w:t>
      </w:r>
      <w:r w:rsidRPr="00F84D52">
        <w:rPr>
          <w:rFonts w:eastAsia="Times New Roman" w:cs="Segoe UI"/>
          <w:sz w:val="21"/>
          <w:szCs w:val="21"/>
        </w:rPr>
        <w:t xml:space="preserve"> el Plan de Desarrollo Social 2020 -2024</w:t>
      </w:r>
      <w:r w:rsidR="00F84D52" w:rsidRPr="00F84D52">
        <w:rPr>
          <w:rFonts w:eastAsia="Times New Roman" w:cs="Segoe UI"/>
          <w:sz w:val="21"/>
          <w:szCs w:val="21"/>
        </w:rPr>
        <w:t xml:space="preserve">, </w:t>
      </w:r>
      <w:r w:rsidR="00046337" w:rsidRPr="00F84D52">
        <w:rPr>
          <w:rFonts w:eastAsia="Times New Roman" w:cs="Segoe UI"/>
          <w:sz w:val="21"/>
          <w:szCs w:val="21"/>
        </w:rPr>
        <w:t>y</w:t>
      </w:r>
      <w:r w:rsidRPr="00F84D52">
        <w:rPr>
          <w:rFonts w:eastAsia="Times New Roman" w:cs="Segoe UI"/>
          <w:sz w:val="21"/>
          <w:szCs w:val="21"/>
        </w:rPr>
        <w:t xml:space="preserve"> la Política Crecer Juntos, las cuales definen como uno de sus principales resultados erradicar los problemas de malnutrición de la población, con énfasis en</w:t>
      </w:r>
      <w:r w:rsidR="00E838C6" w:rsidRPr="00F84D52">
        <w:rPr>
          <w:rFonts w:eastAsia="Times New Roman" w:cs="Segoe UI"/>
          <w:sz w:val="21"/>
          <w:szCs w:val="21"/>
        </w:rPr>
        <w:t xml:space="preserve"> la primera infancia y a lo largo d</w:t>
      </w:r>
      <w:r w:rsidRPr="00F84D52">
        <w:rPr>
          <w:rFonts w:eastAsia="Times New Roman" w:cs="Segoe UI"/>
          <w:sz w:val="21"/>
          <w:szCs w:val="21"/>
        </w:rPr>
        <w:t xml:space="preserve">el ciclo de </w:t>
      </w:r>
      <w:r w:rsidR="00F84D52">
        <w:rPr>
          <w:rFonts w:eastAsia="Times New Roman" w:cs="Segoe UI"/>
          <w:sz w:val="21"/>
          <w:szCs w:val="21"/>
        </w:rPr>
        <w:t xml:space="preserve">vida; </w:t>
      </w:r>
      <w:r w:rsidRPr="00F84D52">
        <w:rPr>
          <w:rFonts w:eastAsia="Times New Roman" w:cs="Segoe UI"/>
          <w:sz w:val="21"/>
          <w:szCs w:val="21"/>
        </w:rPr>
        <w:t xml:space="preserve">ha lanzado la Estrategia de Alimentación Escolar  Saludable y Sostenible, </w:t>
      </w:r>
      <w:r w:rsidR="00E838C6" w:rsidRPr="00F84D52">
        <w:rPr>
          <w:rFonts w:eastAsia="Times New Roman" w:cs="Segoe UI"/>
          <w:sz w:val="21"/>
          <w:szCs w:val="21"/>
        </w:rPr>
        <w:t xml:space="preserve">la cual </w:t>
      </w:r>
      <w:r w:rsidR="00506D5F" w:rsidRPr="00F84D52">
        <w:rPr>
          <w:rFonts w:eastAsia="Times New Roman" w:cs="Segoe UI"/>
          <w:sz w:val="21"/>
          <w:szCs w:val="21"/>
        </w:rPr>
        <w:t>enfatiza</w:t>
      </w:r>
      <w:r w:rsidR="00E838C6" w:rsidRPr="00F84D52">
        <w:rPr>
          <w:rFonts w:eastAsia="Times New Roman" w:cs="Segoe UI"/>
          <w:sz w:val="21"/>
          <w:szCs w:val="21"/>
        </w:rPr>
        <w:t xml:space="preserve"> en la educación alimentaria y nutricional, la provisión de alimentos saludables a los estudiantes, la promoción de la producción de alimentos en los centros educativos y la comunidad,</w:t>
      </w:r>
      <w:r w:rsidR="00F84D52" w:rsidRPr="00F84D52">
        <w:rPr>
          <w:rFonts w:eastAsia="Times New Roman" w:cs="Segoe UI"/>
          <w:sz w:val="21"/>
          <w:szCs w:val="21"/>
        </w:rPr>
        <w:t xml:space="preserve"> </w:t>
      </w:r>
      <w:r w:rsidR="00046337" w:rsidRPr="00F84D52">
        <w:rPr>
          <w:rFonts w:eastAsia="Times New Roman" w:cs="Segoe UI"/>
          <w:sz w:val="21"/>
          <w:szCs w:val="21"/>
        </w:rPr>
        <w:t xml:space="preserve">y </w:t>
      </w:r>
      <w:r w:rsidR="00E838C6" w:rsidRPr="00F84D52">
        <w:rPr>
          <w:rFonts w:eastAsia="Times New Roman" w:cs="Segoe UI"/>
          <w:sz w:val="21"/>
          <w:szCs w:val="21"/>
        </w:rPr>
        <w:t>la vi</w:t>
      </w:r>
      <w:r w:rsidR="00F84D52">
        <w:rPr>
          <w:rFonts w:eastAsia="Times New Roman" w:cs="Segoe UI"/>
          <w:sz w:val="21"/>
          <w:szCs w:val="21"/>
        </w:rPr>
        <w:t xml:space="preserve">nculación con mercados locales; </w:t>
      </w:r>
      <w:r w:rsidR="00E838C6" w:rsidRPr="00F84D52">
        <w:rPr>
          <w:rFonts w:eastAsia="Times New Roman" w:cs="Segoe UI"/>
          <w:sz w:val="21"/>
          <w:szCs w:val="21"/>
        </w:rPr>
        <w:t xml:space="preserve">ha formulado </w:t>
      </w:r>
      <w:r w:rsidRPr="00F84D52">
        <w:rPr>
          <w:rFonts w:eastAsia="Times New Roman" w:cs="Segoe UI"/>
          <w:sz w:val="21"/>
          <w:szCs w:val="21"/>
        </w:rPr>
        <w:t xml:space="preserve">el Plan Maestro de Rescate Agropecuario, que </w:t>
      </w:r>
      <w:r w:rsidR="00A85218">
        <w:rPr>
          <w:rFonts w:eastAsia="Times New Roman" w:cs="Segoe UI"/>
          <w:sz w:val="21"/>
          <w:szCs w:val="21"/>
        </w:rPr>
        <w:t>mejorara las c</w:t>
      </w:r>
      <w:r w:rsidRPr="00F84D52">
        <w:rPr>
          <w:rFonts w:eastAsia="Times New Roman" w:cs="Segoe UI"/>
          <w:sz w:val="21"/>
          <w:szCs w:val="21"/>
        </w:rPr>
        <w:t>ondiciones de vida</w:t>
      </w:r>
      <w:r w:rsidR="00046337" w:rsidRPr="00F84D52">
        <w:rPr>
          <w:rFonts w:eastAsia="Times New Roman" w:cs="Segoe UI"/>
          <w:sz w:val="21"/>
          <w:szCs w:val="21"/>
        </w:rPr>
        <w:t>,</w:t>
      </w:r>
      <w:r w:rsidR="00A85218">
        <w:rPr>
          <w:rFonts w:eastAsia="Times New Roman" w:cs="Segoe UI"/>
          <w:sz w:val="21"/>
          <w:szCs w:val="21"/>
        </w:rPr>
        <w:t xml:space="preserve"> proporcionando </w:t>
      </w:r>
      <w:r w:rsidR="003E2C25">
        <w:rPr>
          <w:rFonts w:eastAsia="Times New Roman" w:cs="Segoe UI"/>
          <w:sz w:val="21"/>
          <w:szCs w:val="21"/>
        </w:rPr>
        <w:t>créditos</w:t>
      </w:r>
      <w:r w:rsidR="00E838C6" w:rsidRPr="00F84D52">
        <w:rPr>
          <w:rFonts w:eastAsia="Times New Roman" w:cs="Segoe UI"/>
          <w:sz w:val="21"/>
          <w:szCs w:val="21"/>
        </w:rPr>
        <w:t xml:space="preserve"> a pequeños productores e infraestructura productiva para el agro</w:t>
      </w:r>
      <w:r w:rsidRPr="00F84D52">
        <w:rPr>
          <w:rFonts w:eastAsia="Times New Roman" w:cs="Segoe UI"/>
          <w:sz w:val="21"/>
          <w:szCs w:val="21"/>
        </w:rPr>
        <w:t>.</w:t>
      </w:r>
      <w:r w:rsidR="00B973E5" w:rsidRPr="00F84D52">
        <w:rPr>
          <w:rFonts w:eastAsia="Times New Roman" w:cs="Segoe UI"/>
          <w:sz w:val="21"/>
          <w:szCs w:val="21"/>
        </w:rPr>
        <w:t xml:space="preserve"> </w:t>
      </w:r>
    </w:p>
    <w:p w:rsidR="00A96001" w:rsidRPr="003E2C25" w:rsidRDefault="00A96001" w:rsidP="004D7A8A">
      <w:pPr>
        <w:spacing w:after="0" w:line="240" w:lineRule="auto"/>
        <w:jc w:val="both"/>
        <w:rPr>
          <w:rFonts w:eastAsia="Times New Roman" w:cs="Segoe UI"/>
          <w:b/>
          <w:i/>
          <w:sz w:val="21"/>
          <w:szCs w:val="21"/>
          <w:u w:val="single"/>
        </w:rPr>
      </w:pPr>
    </w:p>
    <w:p w:rsidR="0010209B" w:rsidRPr="00F84D52" w:rsidRDefault="008B3509" w:rsidP="000463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 xml:space="preserve">Pregunta 7: </w:t>
      </w:r>
      <w:r w:rsidR="00A96001" w:rsidRPr="00F84D52">
        <w:rPr>
          <w:rFonts w:eastAsia="Times New Roman" w:cs="Segoe UI"/>
          <w:sz w:val="21"/>
          <w:szCs w:val="21"/>
          <w:lang w:val="en-US"/>
        </w:rPr>
        <w:t xml:space="preserve"> </w:t>
      </w:r>
      <w:r w:rsidR="002B350F" w:rsidRPr="00F84D52">
        <w:rPr>
          <w:rFonts w:eastAsia="Times New Roman" w:cs="Segoe UI"/>
          <w:sz w:val="21"/>
          <w:szCs w:val="21"/>
          <w:lang w:val="en-US"/>
        </w:rPr>
        <w:t xml:space="preserve"> </w:t>
      </w:r>
    </w:p>
    <w:p w:rsidR="00EE4466" w:rsidRPr="00F84D52" w:rsidRDefault="00A85218" w:rsidP="00DC5BAF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A85218">
        <w:rPr>
          <w:rFonts w:eastAsia="Times New Roman" w:cs="Segoe UI"/>
          <w:sz w:val="21"/>
          <w:szCs w:val="21"/>
        </w:rPr>
        <w:t>Se</w:t>
      </w:r>
      <w:r>
        <w:rPr>
          <w:rFonts w:eastAsia="Times New Roman" w:cs="Segoe UI"/>
          <w:sz w:val="21"/>
          <w:szCs w:val="21"/>
        </w:rPr>
        <w:t xml:space="preserve"> desarrollaron </w:t>
      </w:r>
      <w:r w:rsidR="005749AD" w:rsidRPr="00F84D52">
        <w:rPr>
          <w:rFonts w:eastAsia="Times New Roman" w:cs="Segoe UI"/>
          <w:sz w:val="21"/>
          <w:szCs w:val="21"/>
        </w:rPr>
        <w:t>25 diálogos.</w:t>
      </w:r>
      <w:r w:rsidR="00046337" w:rsidRPr="00F84D52">
        <w:rPr>
          <w:rFonts w:eastAsia="Times New Roman" w:cs="Segoe UI"/>
          <w:sz w:val="21"/>
          <w:szCs w:val="21"/>
        </w:rPr>
        <w:t>, siendo la</w:t>
      </w:r>
      <w:r w:rsidR="005749AD" w:rsidRPr="00F84D52">
        <w:rPr>
          <w:rFonts w:eastAsia="Times New Roman" w:cs="Segoe UI"/>
          <w:sz w:val="21"/>
          <w:szCs w:val="21"/>
        </w:rPr>
        <w:t xml:space="preserve"> plataforma de la Cumbre de gran ayuda para difundir los eventos y sus resultados. Paralelamente se divulgo a través de las redes sociales de gobierno información sobre el desarrollo de los diálogos, y se abrió espacio de par</w:t>
      </w:r>
      <w:r>
        <w:rPr>
          <w:rFonts w:eastAsia="Times New Roman" w:cs="Segoe UI"/>
          <w:sz w:val="21"/>
          <w:szCs w:val="21"/>
        </w:rPr>
        <w:t xml:space="preserve">ticipación virtual con </w:t>
      </w:r>
      <w:r w:rsidR="005749AD" w:rsidRPr="00F84D52">
        <w:rPr>
          <w:rFonts w:eastAsia="Times New Roman" w:cs="Segoe UI"/>
          <w:sz w:val="21"/>
          <w:szCs w:val="21"/>
        </w:rPr>
        <w:t>diferentes sectores de país</w:t>
      </w:r>
      <w:r w:rsidR="00374307" w:rsidRPr="00F84D52">
        <w:rPr>
          <w:rFonts w:eastAsia="Times New Roman" w:cs="Segoe UI"/>
          <w:sz w:val="21"/>
          <w:szCs w:val="21"/>
        </w:rPr>
        <w:t>, sistematizando</w:t>
      </w:r>
      <w:r w:rsidR="005749AD" w:rsidRPr="00F84D52">
        <w:rPr>
          <w:rFonts w:eastAsia="Times New Roman" w:cs="Segoe UI"/>
          <w:sz w:val="21"/>
          <w:szCs w:val="21"/>
        </w:rPr>
        <w:t xml:space="preserve"> el proceso con un video, y </w:t>
      </w:r>
      <w:r w:rsidR="00374307" w:rsidRPr="00F84D52">
        <w:rPr>
          <w:rFonts w:eastAsia="Times New Roman" w:cs="Segoe UI"/>
          <w:sz w:val="21"/>
          <w:szCs w:val="21"/>
        </w:rPr>
        <w:t>realizando la</w:t>
      </w:r>
      <w:r w:rsidR="005749AD" w:rsidRPr="00F84D52">
        <w:rPr>
          <w:rFonts w:eastAsia="Times New Roman" w:cs="Segoe UI"/>
          <w:sz w:val="21"/>
          <w:szCs w:val="21"/>
        </w:rPr>
        <w:t xml:space="preserve"> adaptación de las metodologías</w:t>
      </w:r>
      <w:r w:rsidR="00DC5BAF" w:rsidRPr="00F84D52">
        <w:rPr>
          <w:rFonts w:eastAsia="Times New Roman" w:cs="Segoe UI"/>
          <w:sz w:val="21"/>
          <w:szCs w:val="21"/>
        </w:rPr>
        <w:t xml:space="preserve"> y materiales </w:t>
      </w:r>
      <w:r w:rsidR="005749AD" w:rsidRPr="00F84D52">
        <w:rPr>
          <w:rFonts w:eastAsia="Times New Roman" w:cs="Segoe UI"/>
          <w:sz w:val="21"/>
          <w:szCs w:val="21"/>
        </w:rPr>
        <w:t>para los diálogos con gru</w:t>
      </w:r>
      <w:r w:rsidR="00A42EF1" w:rsidRPr="00F84D52">
        <w:rPr>
          <w:rFonts w:eastAsia="Times New Roman" w:cs="Segoe UI"/>
          <w:sz w:val="21"/>
          <w:szCs w:val="21"/>
        </w:rPr>
        <w:t xml:space="preserve">pos especiales, como niñez </w:t>
      </w:r>
      <w:r w:rsidR="005749AD" w:rsidRPr="00F84D52">
        <w:rPr>
          <w:rFonts w:eastAsia="Times New Roman" w:cs="Segoe UI"/>
          <w:sz w:val="21"/>
          <w:szCs w:val="21"/>
        </w:rPr>
        <w:t>y personas con discapacidad.</w:t>
      </w:r>
      <w:r w:rsidR="008530D0" w:rsidRPr="00F84D52">
        <w:rPr>
          <w:rFonts w:eastAsia="Times New Roman" w:cs="Segoe UI"/>
          <w:sz w:val="21"/>
          <w:szCs w:val="21"/>
        </w:rPr>
        <w:t xml:space="preserve"> </w:t>
      </w:r>
    </w:p>
    <w:p w:rsidR="0010209B" w:rsidRPr="00F84D52" w:rsidRDefault="0010209B" w:rsidP="0010209B">
      <w:pPr>
        <w:spacing w:after="0" w:line="240" w:lineRule="auto"/>
        <w:ind w:left="720"/>
        <w:jc w:val="both"/>
        <w:rPr>
          <w:rFonts w:eastAsia="Times New Roman" w:cs="Segoe UI"/>
          <w:sz w:val="21"/>
          <w:szCs w:val="21"/>
        </w:rPr>
      </w:pPr>
    </w:p>
    <w:p w:rsidR="00A96001" w:rsidRPr="00F84D52" w:rsidRDefault="008B3509" w:rsidP="003743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8:</w:t>
      </w:r>
      <w:r w:rsidR="00A96001" w:rsidRPr="00F84D52">
        <w:rPr>
          <w:rFonts w:eastAsia="Times New Roman" w:cs="Segoe UI"/>
          <w:sz w:val="21"/>
          <w:szCs w:val="21"/>
          <w:lang w:val="en-US"/>
        </w:rPr>
        <w:t xml:space="preserve"> </w:t>
      </w:r>
    </w:p>
    <w:p w:rsidR="00FC061E" w:rsidRPr="00F84D52" w:rsidRDefault="00F84D52" w:rsidP="00AD766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El Gobiern</w:t>
      </w:r>
      <w:r w:rsidR="00787CE9">
        <w:rPr>
          <w:rFonts w:eastAsia="Times New Roman" w:cs="Segoe UI"/>
          <w:sz w:val="21"/>
          <w:szCs w:val="21"/>
        </w:rPr>
        <w:t>o</w:t>
      </w:r>
      <w:r w:rsidR="001A4824" w:rsidRPr="00F84D52">
        <w:rPr>
          <w:rFonts w:eastAsia="Times New Roman" w:cs="Segoe UI"/>
          <w:sz w:val="21"/>
          <w:szCs w:val="21"/>
        </w:rPr>
        <w:t xml:space="preserve"> </w:t>
      </w:r>
      <w:r w:rsidR="00A85218">
        <w:rPr>
          <w:rFonts w:eastAsia="Times New Roman" w:cs="Segoe UI"/>
          <w:sz w:val="21"/>
          <w:szCs w:val="21"/>
        </w:rPr>
        <w:t>y ONU han trabajado</w:t>
      </w:r>
      <w:r w:rsidR="00374307" w:rsidRPr="00F84D52">
        <w:rPr>
          <w:rFonts w:eastAsia="Times New Roman" w:cs="Segoe UI"/>
          <w:sz w:val="21"/>
          <w:szCs w:val="21"/>
        </w:rPr>
        <w:t xml:space="preserve"> </w:t>
      </w:r>
      <w:r w:rsidR="001A4824" w:rsidRPr="00F84D52">
        <w:rPr>
          <w:rFonts w:eastAsia="Times New Roman" w:cs="Segoe UI"/>
          <w:sz w:val="21"/>
          <w:szCs w:val="21"/>
        </w:rPr>
        <w:t>en el desarrollo  de eventos de di</w:t>
      </w:r>
      <w:r w:rsidR="007A15DB" w:rsidRPr="00F84D52">
        <w:rPr>
          <w:rFonts w:eastAsia="Times New Roman" w:cs="Segoe UI"/>
          <w:sz w:val="21"/>
          <w:szCs w:val="21"/>
        </w:rPr>
        <w:t>á</w:t>
      </w:r>
      <w:r w:rsidR="001A4824" w:rsidRPr="00F84D52">
        <w:rPr>
          <w:rFonts w:eastAsia="Times New Roman" w:cs="Segoe UI"/>
          <w:sz w:val="21"/>
          <w:szCs w:val="21"/>
        </w:rPr>
        <w:t>logo</w:t>
      </w:r>
      <w:r w:rsidR="007A15DB" w:rsidRPr="00F84D52">
        <w:rPr>
          <w:rFonts w:eastAsia="Times New Roman" w:cs="Segoe UI"/>
          <w:sz w:val="21"/>
          <w:szCs w:val="21"/>
        </w:rPr>
        <w:t>s</w:t>
      </w:r>
      <w:r w:rsidR="001A4824" w:rsidRPr="00F84D52">
        <w:rPr>
          <w:rFonts w:eastAsia="Times New Roman" w:cs="Segoe UI"/>
          <w:sz w:val="21"/>
          <w:szCs w:val="21"/>
        </w:rPr>
        <w:t xml:space="preserve"> multisectoriales </w:t>
      </w:r>
      <w:r w:rsidR="007A15DB" w:rsidRPr="00F84D52">
        <w:rPr>
          <w:rFonts w:eastAsia="Times New Roman" w:cs="Segoe UI"/>
          <w:sz w:val="21"/>
          <w:szCs w:val="21"/>
        </w:rPr>
        <w:t>sobre los sistemas alimentarios, a</w:t>
      </w:r>
      <w:r w:rsidR="001A4824" w:rsidRPr="00F84D52">
        <w:rPr>
          <w:rFonts w:eastAsia="Times New Roman" w:cs="Segoe UI"/>
          <w:sz w:val="21"/>
          <w:szCs w:val="21"/>
        </w:rPr>
        <w:t xml:space="preserve"> nivel </w:t>
      </w:r>
      <w:r w:rsidR="007A15DB" w:rsidRPr="00F84D52">
        <w:rPr>
          <w:rFonts w:eastAsia="Times New Roman" w:cs="Segoe UI"/>
          <w:sz w:val="21"/>
          <w:szCs w:val="21"/>
        </w:rPr>
        <w:t xml:space="preserve">nacional </w:t>
      </w:r>
      <w:r w:rsidR="001A4824" w:rsidRPr="00F84D52">
        <w:rPr>
          <w:rFonts w:eastAsia="Times New Roman" w:cs="Segoe UI"/>
          <w:sz w:val="21"/>
          <w:szCs w:val="21"/>
        </w:rPr>
        <w:t>y</w:t>
      </w:r>
      <w:r w:rsidR="007A15DB" w:rsidRPr="00F84D52">
        <w:rPr>
          <w:rFonts w:eastAsia="Times New Roman" w:cs="Segoe UI"/>
          <w:sz w:val="21"/>
          <w:szCs w:val="21"/>
        </w:rPr>
        <w:t xml:space="preserve"> </w:t>
      </w:r>
      <w:proofErr w:type="spellStart"/>
      <w:r w:rsidR="007A15DB" w:rsidRPr="00F84D52">
        <w:rPr>
          <w:rFonts w:eastAsia="Times New Roman" w:cs="Segoe UI"/>
          <w:sz w:val="21"/>
          <w:szCs w:val="21"/>
        </w:rPr>
        <w:t>subnacional</w:t>
      </w:r>
      <w:proofErr w:type="spellEnd"/>
      <w:r w:rsidR="001A4824" w:rsidRPr="00F84D52">
        <w:rPr>
          <w:rFonts w:eastAsia="Times New Roman" w:cs="Segoe UI"/>
          <w:sz w:val="21"/>
          <w:szCs w:val="21"/>
        </w:rPr>
        <w:t>, con el fin  de identificar los principales desafíos y prioridades que serán presentados en la Cumbre en septiembre de este año, y que además</w:t>
      </w:r>
      <w:r w:rsidR="00374307" w:rsidRPr="00F84D52">
        <w:rPr>
          <w:rFonts w:eastAsia="Times New Roman" w:cs="Segoe UI"/>
          <w:sz w:val="21"/>
          <w:szCs w:val="21"/>
        </w:rPr>
        <w:t>,</w:t>
      </w:r>
      <w:r w:rsidR="001A4824" w:rsidRPr="00F84D52">
        <w:rPr>
          <w:rFonts w:eastAsia="Times New Roman" w:cs="Segoe UI"/>
          <w:sz w:val="21"/>
          <w:szCs w:val="21"/>
        </w:rPr>
        <w:t xml:space="preserve"> servirán de base para  la formulación de una nueva Política de Seguridad Alimentaria y Nutricional.</w:t>
      </w:r>
      <w:r w:rsidR="00923731" w:rsidRPr="00F84D52">
        <w:rPr>
          <w:rFonts w:eastAsia="Times New Roman" w:cs="Segoe UI"/>
          <w:sz w:val="21"/>
          <w:szCs w:val="21"/>
        </w:rPr>
        <w:t xml:space="preserve"> </w:t>
      </w:r>
      <w:r w:rsidR="001A4824" w:rsidRPr="00F84D52">
        <w:rPr>
          <w:rFonts w:eastAsia="Times New Roman" w:cs="Segoe UI"/>
          <w:sz w:val="21"/>
          <w:szCs w:val="21"/>
        </w:rPr>
        <w:t xml:space="preserve">En este contexto </w:t>
      </w:r>
      <w:r w:rsidR="00C77B71" w:rsidRPr="00F84D52">
        <w:rPr>
          <w:rFonts w:eastAsia="Times New Roman" w:cs="Segoe UI"/>
          <w:sz w:val="21"/>
          <w:szCs w:val="21"/>
        </w:rPr>
        <w:t xml:space="preserve">realizaron </w:t>
      </w:r>
      <w:r w:rsidR="001A4824" w:rsidRPr="00F84D52">
        <w:rPr>
          <w:rFonts w:eastAsia="Times New Roman" w:cs="Segoe UI"/>
          <w:sz w:val="21"/>
          <w:szCs w:val="21"/>
        </w:rPr>
        <w:t>25 diálogos</w:t>
      </w:r>
      <w:r w:rsidR="00C77B71" w:rsidRPr="00F84D52">
        <w:rPr>
          <w:rFonts w:eastAsia="Times New Roman" w:cs="Segoe UI"/>
          <w:sz w:val="21"/>
          <w:szCs w:val="21"/>
        </w:rPr>
        <w:t xml:space="preserve"> entre mayo y junio de este año</w:t>
      </w:r>
      <w:r w:rsidR="001A4824" w:rsidRPr="00F84D52">
        <w:rPr>
          <w:rFonts w:eastAsia="Times New Roman" w:cs="Segoe UI"/>
          <w:sz w:val="21"/>
          <w:szCs w:val="21"/>
        </w:rPr>
        <w:t>, en mod</w:t>
      </w:r>
      <w:r w:rsidR="00C77B71" w:rsidRPr="00F84D52">
        <w:rPr>
          <w:rFonts w:eastAsia="Times New Roman" w:cs="Segoe UI"/>
          <w:sz w:val="21"/>
          <w:szCs w:val="21"/>
        </w:rPr>
        <w:t xml:space="preserve">alidad híbrida,  </w:t>
      </w:r>
      <w:r w:rsidR="001A4824" w:rsidRPr="00F84D52">
        <w:rPr>
          <w:rFonts w:eastAsia="Times New Roman" w:cs="Segoe UI"/>
          <w:sz w:val="21"/>
          <w:szCs w:val="21"/>
        </w:rPr>
        <w:t>con la participación de aproximadamente 600 actores claves de todos los sectores vinculados</w:t>
      </w:r>
      <w:r w:rsidR="000C310D" w:rsidRPr="00F84D52">
        <w:rPr>
          <w:rFonts w:eastAsia="Times New Roman" w:cs="Segoe UI"/>
          <w:sz w:val="21"/>
          <w:szCs w:val="21"/>
        </w:rPr>
        <w:t>, desarrollando un proceso ampliamente participativo e inclusivo,</w:t>
      </w:r>
      <w:r w:rsidR="001A4824" w:rsidRPr="00F84D52">
        <w:rPr>
          <w:rFonts w:eastAsia="Times New Roman" w:cs="Segoe UI"/>
          <w:sz w:val="21"/>
          <w:szCs w:val="21"/>
        </w:rPr>
        <w:t xml:space="preserve"> </w:t>
      </w:r>
      <w:r w:rsidR="00C77B71" w:rsidRPr="00F84D52">
        <w:rPr>
          <w:rFonts w:eastAsia="Times New Roman" w:cs="Segoe UI"/>
          <w:sz w:val="21"/>
          <w:szCs w:val="21"/>
        </w:rPr>
        <w:t xml:space="preserve">realizando </w:t>
      </w:r>
      <w:r w:rsidR="001A4824" w:rsidRPr="00F84D52">
        <w:rPr>
          <w:rFonts w:eastAsia="Times New Roman" w:cs="Segoe UI"/>
          <w:sz w:val="21"/>
          <w:szCs w:val="21"/>
        </w:rPr>
        <w:t xml:space="preserve">consultas a nivel nacional y regional, encuestas virtuales, </w:t>
      </w:r>
      <w:r w:rsidR="00C77B71" w:rsidRPr="00F84D52">
        <w:rPr>
          <w:rFonts w:eastAsia="Times New Roman" w:cs="Segoe UI"/>
          <w:sz w:val="21"/>
          <w:szCs w:val="21"/>
        </w:rPr>
        <w:t xml:space="preserve">y </w:t>
      </w:r>
      <w:r w:rsidR="001A4824" w:rsidRPr="00F84D52">
        <w:rPr>
          <w:rFonts w:eastAsia="Times New Roman" w:cs="Segoe UI"/>
          <w:sz w:val="21"/>
          <w:szCs w:val="21"/>
        </w:rPr>
        <w:t>diálogos especiales con grupos específicos como niñez, juventud, mujeres rurales, adultos mayores, población indígena</w:t>
      </w:r>
      <w:r w:rsidR="00C77B71" w:rsidRPr="00F84D52">
        <w:rPr>
          <w:rFonts w:eastAsia="Times New Roman" w:cs="Segoe UI"/>
          <w:sz w:val="21"/>
          <w:szCs w:val="21"/>
        </w:rPr>
        <w:t xml:space="preserve"> y personas con discapacidad, siendo el único país en incluir a este grupo</w:t>
      </w:r>
      <w:r w:rsidR="001A4824" w:rsidRPr="00F84D52">
        <w:rPr>
          <w:rFonts w:eastAsia="Times New Roman" w:cs="Segoe UI"/>
          <w:sz w:val="21"/>
          <w:szCs w:val="21"/>
        </w:rPr>
        <w:t>.</w:t>
      </w:r>
      <w:r w:rsidR="00923731" w:rsidRPr="00F84D52">
        <w:rPr>
          <w:rFonts w:eastAsia="Times New Roman" w:cs="Segoe UI"/>
          <w:sz w:val="21"/>
          <w:szCs w:val="21"/>
        </w:rPr>
        <w:t xml:space="preserve"> </w:t>
      </w:r>
      <w:r w:rsidR="000C310D" w:rsidRPr="00F84D52">
        <w:rPr>
          <w:rFonts w:eastAsia="Times New Roman" w:cs="Segoe UI"/>
          <w:sz w:val="21"/>
          <w:szCs w:val="21"/>
        </w:rPr>
        <w:t>Además,</w:t>
      </w:r>
      <w:r w:rsidR="004A5DCD" w:rsidRPr="00F84D52">
        <w:rPr>
          <w:rFonts w:eastAsia="Times New Roman" w:cs="Segoe UI"/>
          <w:sz w:val="21"/>
          <w:szCs w:val="21"/>
        </w:rPr>
        <w:t xml:space="preserve"> se desarrollaron metodologías especiales, adaptadas a estos grupos de po</w:t>
      </w:r>
      <w:r w:rsidR="003E2C25">
        <w:rPr>
          <w:rFonts w:eastAsia="Times New Roman" w:cs="Segoe UI"/>
          <w:sz w:val="21"/>
          <w:szCs w:val="21"/>
        </w:rPr>
        <w:t xml:space="preserve">blación, como guías en lenguaje </w:t>
      </w:r>
      <w:proofErr w:type="spellStart"/>
      <w:r w:rsidR="004A5DCD" w:rsidRPr="00F84D52">
        <w:rPr>
          <w:rFonts w:eastAsia="Times New Roman" w:cs="Segoe UI"/>
          <w:sz w:val="21"/>
          <w:szCs w:val="21"/>
        </w:rPr>
        <w:t>LESSA</w:t>
      </w:r>
      <w:proofErr w:type="spellEnd"/>
      <w:r w:rsidR="004A5DCD" w:rsidRPr="00F84D52">
        <w:rPr>
          <w:rFonts w:eastAsia="Times New Roman" w:cs="Segoe UI"/>
          <w:sz w:val="21"/>
          <w:szCs w:val="21"/>
        </w:rPr>
        <w:t xml:space="preserve"> y Braille, para personas con discapacidad auditiva y personas con discapacidad visual, respectivamente. </w:t>
      </w:r>
    </w:p>
    <w:p w:rsidR="00DA4F0B" w:rsidRPr="00F84D52" w:rsidRDefault="00DA4F0B" w:rsidP="00AD766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</w:p>
    <w:p w:rsidR="008B3509" w:rsidRPr="008B3509" w:rsidRDefault="008B3509" w:rsidP="008B350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 w:rsidRPr="008B3509">
        <w:rPr>
          <w:rFonts w:eastAsia="Times New Roman" w:cs="Segoe UI"/>
          <w:b/>
          <w:sz w:val="21"/>
          <w:szCs w:val="21"/>
        </w:rPr>
        <w:t xml:space="preserve">Pregunta 9: </w:t>
      </w:r>
      <w:r w:rsidR="00A96001" w:rsidRPr="008B3509">
        <w:rPr>
          <w:rFonts w:eastAsia="Times New Roman" w:cs="Segoe UI"/>
          <w:b/>
          <w:sz w:val="21"/>
          <w:szCs w:val="21"/>
        </w:rPr>
        <w:t xml:space="preserve"> </w:t>
      </w:r>
    </w:p>
    <w:p w:rsidR="004A5DCD" w:rsidRPr="003E2C25" w:rsidRDefault="000C310D" w:rsidP="008B3509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8B3509">
        <w:rPr>
          <w:rFonts w:eastAsia="Times New Roman" w:cs="Segoe UI"/>
          <w:sz w:val="21"/>
          <w:szCs w:val="21"/>
        </w:rPr>
        <w:t xml:space="preserve">El </w:t>
      </w:r>
      <w:r w:rsidR="003B48A9" w:rsidRPr="008B3509">
        <w:rPr>
          <w:rFonts w:eastAsia="Times New Roman" w:cs="Segoe UI"/>
          <w:sz w:val="21"/>
          <w:szCs w:val="21"/>
        </w:rPr>
        <w:t xml:space="preserve">proceso de preparación para la participación </w:t>
      </w:r>
      <w:r w:rsidRPr="008B3509">
        <w:rPr>
          <w:rFonts w:eastAsia="Times New Roman" w:cs="Segoe UI"/>
          <w:sz w:val="21"/>
          <w:szCs w:val="21"/>
        </w:rPr>
        <w:t xml:space="preserve">nacional </w:t>
      </w:r>
      <w:r w:rsidR="003B48A9" w:rsidRPr="008B3509">
        <w:rPr>
          <w:rFonts w:eastAsia="Times New Roman" w:cs="Segoe UI"/>
          <w:sz w:val="21"/>
          <w:szCs w:val="21"/>
        </w:rPr>
        <w:t>en la Cumbre de Sistemas Alimentarios, ha sido significativa, trabajando de la mano con Naciones Unidas y otros sectores, para desarrollar diálogos participativos e inclusivos, que han generado los insumos para la posición de país</w:t>
      </w:r>
      <w:r w:rsidR="00E630D7" w:rsidRPr="008B3509">
        <w:rPr>
          <w:rFonts w:eastAsia="Times New Roman" w:cs="Segoe UI"/>
          <w:sz w:val="21"/>
          <w:szCs w:val="21"/>
        </w:rPr>
        <w:t>.</w:t>
      </w:r>
      <w:r w:rsidR="002202E7" w:rsidRPr="008B3509">
        <w:rPr>
          <w:rFonts w:eastAsia="Times New Roman" w:cs="Segoe UI"/>
          <w:sz w:val="21"/>
          <w:szCs w:val="21"/>
        </w:rPr>
        <w:t xml:space="preserve"> </w:t>
      </w:r>
      <w:r w:rsidR="00B77DDB" w:rsidRPr="008B3509">
        <w:rPr>
          <w:rFonts w:eastAsia="Times New Roman" w:cs="Segoe UI"/>
          <w:sz w:val="21"/>
          <w:szCs w:val="21"/>
        </w:rPr>
        <w:t xml:space="preserve"> </w:t>
      </w:r>
      <w:r w:rsidR="00DA4F0B" w:rsidRPr="008B3509">
        <w:rPr>
          <w:rFonts w:eastAsia="Times New Roman" w:cs="Segoe UI"/>
          <w:sz w:val="21"/>
          <w:szCs w:val="21"/>
        </w:rPr>
        <w:t>T</w:t>
      </w:r>
      <w:r w:rsidR="00BF5449" w:rsidRPr="008B3509">
        <w:rPr>
          <w:rFonts w:cs="Segoe UI"/>
          <w:sz w:val="21"/>
          <w:szCs w:val="21"/>
        </w:rPr>
        <w:t>ambién</w:t>
      </w:r>
      <w:r w:rsidR="00DA4F0B" w:rsidRPr="008B3509">
        <w:rPr>
          <w:rFonts w:cs="Segoe UI"/>
          <w:sz w:val="21"/>
          <w:szCs w:val="21"/>
        </w:rPr>
        <w:t xml:space="preserve"> se</w:t>
      </w:r>
      <w:r w:rsidR="004A5DCD" w:rsidRPr="008B3509">
        <w:rPr>
          <w:rFonts w:cs="Segoe UI"/>
          <w:sz w:val="21"/>
          <w:szCs w:val="21"/>
        </w:rPr>
        <w:t xml:space="preserve"> ha participado</w:t>
      </w:r>
      <w:r w:rsidR="00BF5449" w:rsidRPr="008B3509">
        <w:rPr>
          <w:rFonts w:cs="Segoe UI"/>
          <w:sz w:val="21"/>
          <w:szCs w:val="21"/>
        </w:rPr>
        <w:t xml:space="preserve"> activamente, </w:t>
      </w:r>
      <w:r w:rsidR="004A5DCD" w:rsidRPr="008B3509">
        <w:rPr>
          <w:rFonts w:cs="Segoe UI"/>
          <w:sz w:val="21"/>
          <w:szCs w:val="21"/>
        </w:rPr>
        <w:t>en las jornadas de capacitación de los convocantes</w:t>
      </w:r>
      <w:r w:rsidR="00B5384F" w:rsidRPr="008B3509">
        <w:rPr>
          <w:rFonts w:cs="Segoe UI"/>
          <w:sz w:val="21"/>
          <w:szCs w:val="21"/>
        </w:rPr>
        <w:t xml:space="preserve"> y administradores de los diálogos</w:t>
      </w:r>
      <w:r w:rsidR="004A5DCD" w:rsidRPr="008B3509">
        <w:rPr>
          <w:rFonts w:cs="Segoe UI"/>
          <w:sz w:val="21"/>
          <w:szCs w:val="21"/>
        </w:rPr>
        <w:t xml:space="preserve">, </w:t>
      </w:r>
      <w:r w:rsidR="00BF5449" w:rsidRPr="008B3509">
        <w:rPr>
          <w:rFonts w:cs="Segoe UI"/>
          <w:sz w:val="21"/>
          <w:szCs w:val="21"/>
        </w:rPr>
        <w:t>así como</w:t>
      </w:r>
      <w:r w:rsidR="004A5DCD" w:rsidRPr="008B3509">
        <w:rPr>
          <w:rFonts w:cs="Segoe UI"/>
          <w:sz w:val="21"/>
          <w:szCs w:val="21"/>
        </w:rPr>
        <w:t xml:space="preserve"> en las reuniones </w:t>
      </w:r>
      <w:r w:rsidR="00BF5449" w:rsidRPr="008B3509">
        <w:rPr>
          <w:rFonts w:cs="Segoe UI"/>
          <w:sz w:val="21"/>
          <w:szCs w:val="21"/>
        </w:rPr>
        <w:lastRenderedPageBreak/>
        <w:t xml:space="preserve">organizadas por la Oficina de Seguimiento a los Diálogos de ONU, con el propósito </w:t>
      </w:r>
      <w:r w:rsidR="004A5DCD" w:rsidRPr="008B3509">
        <w:rPr>
          <w:rFonts w:cs="Segoe UI"/>
          <w:sz w:val="21"/>
          <w:szCs w:val="21"/>
        </w:rPr>
        <w:t xml:space="preserve">de preparación </w:t>
      </w:r>
      <w:proofErr w:type="gramStart"/>
      <w:r w:rsidR="004A5DCD" w:rsidRPr="008B3509">
        <w:rPr>
          <w:rFonts w:cs="Segoe UI"/>
          <w:sz w:val="21"/>
          <w:szCs w:val="21"/>
        </w:rPr>
        <w:t>de l</w:t>
      </w:r>
      <w:r w:rsidR="00070EEC" w:rsidRPr="008B3509">
        <w:rPr>
          <w:rFonts w:cs="Segoe UI"/>
          <w:sz w:val="21"/>
          <w:szCs w:val="21"/>
        </w:rPr>
        <w:t>a</w:t>
      </w:r>
      <w:proofErr w:type="gramEnd"/>
      <w:r w:rsidR="00070EEC" w:rsidRPr="008B3509">
        <w:rPr>
          <w:rFonts w:cs="Segoe UI"/>
          <w:sz w:val="21"/>
          <w:szCs w:val="21"/>
        </w:rPr>
        <w:t xml:space="preserve"> pre cumbre, brindando un informe</w:t>
      </w:r>
      <w:r w:rsidR="004A5DCD" w:rsidRPr="008B3509">
        <w:rPr>
          <w:rFonts w:cs="Segoe UI"/>
          <w:sz w:val="21"/>
          <w:szCs w:val="21"/>
        </w:rPr>
        <w:t xml:space="preserve"> </w:t>
      </w:r>
      <w:r w:rsidR="00BF5449" w:rsidRPr="008B3509">
        <w:rPr>
          <w:rFonts w:cs="Segoe UI"/>
          <w:sz w:val="21"/>
          <w:szCs w:val="21"/>
        </w:rPr>
        <w:t xml:space="preserve">de país sobre los avances y resultados de </w:t>
      </w:r>
      <w:r w:rsidR="004A5DCD" w:rsidRPr="008B3509">
        <w:rPr>
          <w:rFonts w:cs="Segoe UI"/>
          <w:sz w:val="21"/>
          <w:szCs w:val="21"/>
        </w:rPr>
        <w:t>los diálogos a nivel nacional.</w:t>
      </w:r>
    </w:p>
    <w:p w:rsidR="00A96001" w:rsidRPr="003E2C25" w:rsidRDefault="00A96001" w:rsidP="004D7A8A">
      <w:pPr>
        <w:spacing w:after="0" w:line="240" w:lineRule="auto"/>
        <w:jc w:val="both"/>
        <w:rPr>
          <w:rFonts w:eastAsia="Times New Roman" w:cs="Segoe UI"/>
          <w:b/>
          <w:sz w:val="21"/>
          <w:szCs w:val="21"/>
        </w:rPr>
      </w:pPr>
    </w:p>
    <w:p w:rsidR="00B77DDB" w:rsidRPr="00F84D52" w:rsidRDefault="008B3509" w:rsidP="00457B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10:</w:t>
      </w:r>
    </w:p>
    <w:p w:rsidR="0010209B" w:rsidRPr="00F84D52" w:rsidRDefault="00070EEC" w:rsidP="00B77DD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>Generar</w:t>
      </w:r>
      <w:r w:rsidR="00923731" w:rsidRPr="00F84D52">
        <w:rPr>
          <w:rFonts w:eastAsia="Times New Roman" w:cs="Segoe UI"/>
          <w:sz w:val="21"/>
          <w:szCs w:val="21"/>
        </w:rPr>
        <w:t xml:space="preserve"> mayor </w:t>
      </w:r>
      <w:r w:rsidR="00FF4C53" w:rsidRPr="00F84D52">
        <w:rPr>
          <w:rFonts w:eastAsia="Times New Roman" w:cs="Segoe UI"/>
          <w:sz w:val="21"/>
          <w:szCs w:val="21"/>
        </w:rPr>
        <w:t xml:space="preserve">compromiso de los gobiernos de trabajar en forma conjunta por </w:t>
      </w:r>
      <w:r w:rsidR="00923731" w:rsidRPr="00F84D52">
        <w:rPr>
          <w:rFonts w:eastAsia="Times New Roman" w:cs="Segoe UI"/>
          <w:sz w:val="21"/>
          <w:szCs w:val="21"/>
        </w:rPr>
        <w:t xml:space="preserve">contar con </w:t>
      </w:r>
      <w:r w:rsidR="00FF4C53" w:rsidRPr="00F84D52">
        <w:rPr>
          <w:rFonts w:eastAsia="Times New Roman" w:cs="Segoe UI"/>
          <w:sz w:val="21"/>
          <w:szCs w:val="21"/>
        </w:rPr>
        <w:t xml:space="preserve">sistemas alimentarios </w:t>
      </w:r>
      <w:r w:rsidR="001A4824" w:rsidRPr="00F84D52">
        <w:rPr>
          <w:rFonts w:eastAsia="Times New Roman" w:cs="Segoe UI"/>
          <w:sz w:val="21"/>
          <w:szCs w:val="21"/>
        </w:rPr>
        <w:t>más</w:t>
      </w:r>
      <w:r w:rsidR="00FF4C53" w:rsidRPr="00F84D52">
        <w:rPr>
          <w:rFonts w:eastAsia="Times New Roman" w:cs="Segoe UI"/>
          <w:sz w:val="21"/>
          <w:szCs w:val="21"/>
        </w:rPr>
        <w:t xml:space="preserve"> sostenibles, articulando acciones de manera regional, gestionando mayor inversión para el desarrollo de programas e iniciativas de seguridad alimentaria en los países, para </w:t>
      </w:r>
      <w:r w:rsidR="001A4824" w:rsidRPr="00F84D52">
        <w:rPr>
          <w:rFonts w:eastAsia="Times New Roman" w:cs="Segoe UI"/>
          <w:sz w:val="21"/>
          <w:szCs w:val="21"/>
        </w:rPr>
        <w:t>mejorar la</w:t>
      </w:r>
      <w:r w:rsidR="00FF4C53" w:rsidRPr="00F84D52">
        <w:rPr>
          <w:rFonts w:eastAsia="Times New Roman" w:cs="Segoe UI"/>
          <w:sz w:val="21"/>
          <w:szCs w:val="21"/>
        </w:rPr>
        <w:t xml:space="preserve"> investigación y para el fortalecimiento de capacidades</w:t>
      </w:r>
      <w:r w:rsidR="001A4824" w:rsidRPr="00F84D52">
        <w:rPr>
          <w:rFonts w:eastAsia="Times New Roman" w:cs="Segoe UI"/>
          <w:sz w:val="21"/>
          <w:szCs w:val="21"/>
        </w:rPr>
        <w:t xml:space="preserve"> de todos los actores </w:t>
      </w:r>
      <w:r w:rsidR="00457BEC" w:rsidRPr="00F84D52">
        <w:rPr>
          <w:rFonts w:eastAsia="Times New Roman" w:cs="Segoe UI"/>
          <w:sz w:val="21"/>
          <w:szCs w:val="21"/>
        </w:rPr>
        <w:t>involucrados</w:t>
      </w:r>
      <w:r w:rsidR="00FF4C53" w:rsidRPr="00F84D52">
        <w:rPr>
          <w:rFonts w:eastAsia="Times New Roman" w:cs="Segoe UI"/>
          <w:sz w:val="21"/>
          <w:szCs w:val="21"/>
        </w:rPr>
        <w:t>.</w:t>
      </w:r>
      <w:r w:rsidR="00923731" w:rsidRPr="00F84D52">
        <w:rPr>
          <w:rFonts w:eastAsia="Times New Roman" w:cs="Segoe UI"/>
          <w:sz w:val="21"/>
          <w:szCs w:val="21"/>
        </w:rPr>
        <w:t xml:space="preserve"> </w:t>
      </w:r>
      <w:r w:rsidR="00457BEC" w:rsidRPr="00F84D52">
        <w:rPr>
          <w:rFonts w:eastAsia="Times New Roman" w:cs="Segoe UI"/>
          <w:sz w:val="21"/>
          <w:szCs w:val="21"/>
        </w:rPr>
        <w:t>Además</w:t>
      </w:r>
      <w:r w:rsidRPr="00F84D52">
        <w:rPr>
          <w:rFonts w:eastAsia="Times New Roman" w:cs="Segoe UI"/>
          <w:sz w:val="21"/>
          <w:szCs w:val="21"/>
        </w:rPr>
        <w:t>,</w:t>
      </w:r>
      <w:r w:rsidR="00457BEC" w:rsidRPr="00F84D52">
        <w:rPr>
          <w:rFonts w:eastAsia="Times New Roman" w:cs="Segoe UI"/>
          <w:sz w:val="21"/>
          <w:szCs w:val="21"/>
        </w:rPr>
        <w:t xml:space="preserve"> fortalecer la cooperación internacional, asistencia técnica,  </w:t>
      </w:r>
      <w:r w:rsidRPr="00F84D52">
        <w:rPr>
          <w:rFonts w:eastAsia="Times New Roman" w:cs="Segoe UI"/>
          <w:sz w:val="21"/>
          <w:szCs w:val="21"/>
        </w:rPr>
        <w:t xml:space="preserve">e </w:t>
      </w:r>
      <w:r w:rsidR="00457BEC" w:rsidRPr="00F84D52">
        <w:rPr>
          <w:rFonts w:eastAsia="Times New Roman" w:cs="Segoe UI"/>
          <w:sz w:val="21"/>
          <w:szCs w:val="21"/>
        </w:rPr>
        <w:t xml:space="preserve">intercambio de experiencias y buenas </w:t>
      </w:r>
      <w:r w:rsidR="00A85218" w:rsidRPr="00F84D52">
        <w:rPr>
          <w:rFonts w:eastAsia="Times New Roman" w:cs="Segoe UI"/>
          <w:sz w:val="21"/>
          <w:szCs w:val="21"/>
        </w:rPr>
        <w:t>prácticas</w:t>
      </w:r>
      <w:r w:rsidR="00457BEC" w:rsidRPr="00F84D52">
        <w:rPr>
          <w:rFonts w:eastAsia="Times New Roman" w:cs="Segoe UI"/>
          <w:sz w:val="21"/>
          <w:szCs w:val="21"/>
        </w:rPr>
        <w:t xml:space="preserve"> entre los países.</w:t>
      </w:r>
      <w:r w:rsidR="00B77DDB" w:rsidRPr="00F84D52">
        <w:rPr>
          <w:rFonts w:eastAsia="Times New Roman" w:cs="Segoe UI"/>
          <w:sz w:val="21"/>
          <w:szCs w:val="21"/>
        </w:rPr>
        <w:t xml:space="preserve"> </w:t>
      </w:r>
      <w:r w:rsidR="00457BEC" w:rsidRPr="00F84D52">
        <w:rPr>
          <w:rFonts w:eastAsia="Times New Roman" w:cs="Segoe UI"/>
          <w:sz w:val="21"/>
          <w:szCs w:val="21"/>
        </w:rPr>
        <w:t xml:space="preserve">A nivel  </w:t>
      </w:r>
      <w:r w:rsidRPr="00F84D52">
        <w:rPr>
          <w:rFonts w:eastAsia="Times New Roman" w:cs="Segoe UI"/>
          <w:sz w:val="21"/>
          <w:szCs w:val="21"/>
        </w:rPr>
        <w:t>nacional</w:t>
      </w:r>
      <w:r w:rsidR="00457BEC" w:rsidRPr="00F84D52">
        <w:rPr>
          <w:rFonts w:eastAsia="Times New Roman" w:cs="Segoe UI"/>
          <w:sz w:val="21"/>
          <w:szCs w:val="21"/>
        </w:rPr>
        <w:t xml:space="preserve">, </w:t>
      </w:r>
      <w:r w:rsidR="00D808D6" w:rsidRPr="00F84D52">
        <w:rPr>
          <w:rFonts w:eastAsia="Times New Roman" w:cs="Segoe UI"/>
          <w:sz w:val="21"/>
          <w:szCs w:val="21"/>
        </w:rPr>
        <w:t xml:space="preserve">se </w:t>
      </w:r>
      <w:r w:rsidR="00457BEC" w:rsidRPr="00F84D52">
        <w:rPr>
          <w:rFonts w:eastAsia="Times New Roman" w:cs="Segoe UI"/>
          <w:sz w:val="21"/>
          <w:szCs w:val="21"/>
        </w:rPr>
        <w:t>espera</w:t>
      </w:r>
      <w:r w:rsidR="00D808D6" w:rsidRPr="00F84D52">
        <w:rPr>
          <w:rFonts w:eastAsia="Times New Roman" w:cs="Segoe UI"/>
          <w:sz w:val="21"/>
          <w:szCs w:val="21"/>
        </w:rPr>
        <w:t xml:space="preserve"> </w:t>
      </w:r>
      <w:r w:rsidR="00457BEC" w:rsidRPr="00F84D52">
        <w:rPr>
          <w:rFonts w:eastAsia="Times New Roman" w:cs="Segoe UI"/>
          <w:sz w:val="21"/>
          <w:szCs w:val="21"/>
        </w:rPr>
        <w:t>que los resultados de los diálogos sienten la base para la formulación de políticas públicas de seguridad alimentari</w:t>
      </w:r>
      <w:r w:rsidR="00FC061E" w:rsidRPr="00F84D52">
        <w:rPr>
          <w:rFonts w:eastAsia="Times New Roman" w:cs="Segoe UI"/>
          <w:sz w:val="21"/>
          <w:szCs w:val="21"/>
        </w:rPr>
        <w:t>a</w:t>
      </w:r>
      <w:r w:rsidRPr="00F84D52">
        <w:rPr>
          <w:rFonts w:eastAsia="Times New Roman" w:cs="Segoe UI"/>
          <w:sz w:val="21"/>
          <w:szCs w:val="21"/>
        </w:rPr>
        <w:t xml:space="preserve">, con enfoque integral de </w:t>
      </w:r>
      <w:r w:rsidR="00457BEC" w:rsidRPr="00F84D52">
        <w:rPr>
          <w:rFonts w:eastAsia="Times New Roman" w:cs="Segoe UI"/>
          <w:sz w:val="21"/>
          <w:szCs w:val="21"/>
        </w:rPr>
        <w:t>los sis</w:t>
      </w:r>
      <w:r w:rsidR="00B77DDB" w:rsidRPr="00F84D52">
        <w:rPr>
          <w:rFonts w:eastAsia="Times New Roman" w:cs="Segoe UI"/>
          <w:sz w:val="21"/>
          <w:szCs w:val="21"/>
        </w:rPr>
        <w:t>temas alimentarios sostenibles</w:t>
      </w:r>
      <w:r w:rsidR="00A42EF1" w:rsidRPr="00F84D52">
        <w:rPr>
          <w:rFonts w:eastAsia="Times New Roman" w:cs="Segoe UI"/>
          <w:sz w:val="21"/>
          <w:szCs w:val="21"/>
        </w:rPr>
        <w:t xml:space="preserve">, que mejoren la condición alimentaria y nutricional y permitan avanzar en el cumplimiento de los ODS y el </w:t>
      </w:r>
      <w:proofErr w:type="spellStart"/>
      <w:r w:rsidR="00A42EF1" w:rsidRPr="00F84D52">
        <w:rPr>
          <w:rFonts w:eastAsia="Times New Roman" w:cs="Segoe UI"/>
          <w:sz w:val="21"/>
          <w:szCs w:val="21"/>
        </w:rPr>
        <w:t>DAA</w:t>
      </w:r>
      <w:proofErr w:type="spellEnd"/>
      <w:r w:rsidR="00B77DDB" w:rsidRPr="00F84D52">
        <w:rPr>
          <w:rFonts w:eastAsia="Times New Roman" w:cs="Segoe UI"/>
          <w:sz w:val="21"/>
          <w:szCs w:val="21"/>
        </w:rPr>
        <w:t>.</w:t>
      </w:r>
    </w:p>
    <w:p w:rsidR="00D771A3" w:rsidRPr="00F84D52" w:rsidRDefault="00D771A3" w:rsidP="00D10AFD">
      <w:pPr>
        <w:spacing w:after="0" w:line="240" w:lineRule="auto"/>
        <w:jc w:val="both"/>
        <w:rPr>
          <w:rFonts w:eastAsia="Times New Roman" w:cs="Segoe UI"/>
          <w:sz w:val="21"/>
          <w:szCs w:val="21"/>
        </w:rPr>
      </w:pPr>
    </w:p>
    <w:p w:rsidR="00D771A3" w:rsidRPr="00F84D52" w:rsidRDefault="008B3509" w:rsidP="004D7A8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11:</w:t>
      </w:r>
      <w:r w:rsidR="00A96001" w:rsidRPr="00F84D52">
        <w:rPr>
          <w:rFonts w:eastAsia="Times New Roman" w:cs="Segoe UI"/>
          <w:b/>
          <w:sz w:val="21"/>
          <w:szCs w:val="21"/>
          <w:lang w:val="en-GB"/>
        </w:rPr>
        <w:t xml:space="preserve"> </w:t>
      </w:r>
    </w:p>
    <w:p w:rsidR="00051B6B" w:rsidRPr="00F84D52" w:rsidRDefault="00923731" w:rsidP="00B77DDB">
      <w:pPr>
        <w:spacing w:after="0" w:line="240" w:lineRule="auto"/>
        <w:ind w:left="360"/>
        <w:jc w:val="both"/>
        <w:rPr>
          <w:rFonts w:eastAsia="Times New Roman" w:cs="Segoe UI"/>
          <w:sz w:val="21"/>
          <w:szCs w:val="21"/>
        </w:rPr>
      </w:pPr>
      <w:r w:rsidRPr="00F84D52">
        <w:rPr>
          <w:rFonts w:eastAsia="Times New Roman" w:cs="Segoe UI"/>
          <w:sz w:val="21"/>
          <w:szCs w:val="21"/>
        </w:rPr>
        <w:t xml:space="preserve">Se </w:t>
      </w:r>
      <w:r w:rsidR="007A15DB" w:rsidRPr="00F84D52">
        <w:rPr>
          <w:rFonts w:eastAsia="Times New Roman" w:cs="Segoe UI"/>
          <w:sz w:val="21"/>
          <w:szCs w:val="21"/>
        </w:rPr>
        <w:t xml:space="preserve">debería </w:t>
      </w:r>
      <w:r w:rsidRPr="00F84D52">
        <w:rPr>
          <w:rFonts w:eastAsia="Times New Roman" w:cs="Segoe UI"/>
          <w:sz w:val="21"/>
          <w:szCs w:val="21"/>
        </w:rPr>
        <w:t xml:space="preserve"> e</w:t>
      </w:r>
      <w:r w:rsidR="00FF4C53" w:rsidRPr="00F84D52">
        <w:rPr>
          <w:rFonts w:eastAsia="Times New Roman" w:cs="Segoe UI"/>
          <w:sz w:val="21"/>
          <w:szCs w:val="21"/>
        </w:rPr>
        <w:t>stablecer un</w:t>
      </w:r>
      <w:r w:rsidR="00A52193" w:rsidRPr="00F84D52">
        <w:rPr>
          <w:rFonts w:eastAsia="Times New Roman" w:cs="Segoe UI"/>
          <w:sz w:val="21"/>
          <w:szCs w:val="21"/>
        </w:rPr>
        <w:t>a D</w:t>
      </w:r>
      <w:r w:rsidR="004966AF" w:rsidRPr="00F84D52">
        <w:rPr>
          <w:rFonts w:eastAsia="Times New Roman" w:cs="Segoe UI"/>
          <w:sz w:val="21"/>
          <w:szCs w:val="21"/>
        </w:rPr>
        <w:t xml:space="preserve">eclaratoria de la </w:t>
      </w:r>
      <w:r w:rsidR="001A4824" w:rsidRPr="00F84D52">
        <w:rPr>
          <w:rFonts w:eastAsia="Times New Roman" w:cs="Segoe UI"/>
          <w:sz w:val="21"/>
          <w:szCs w:val="21"/>
        </w:rPr>
        <w:t>C</w:t>
      </w:r>
      <w:r w:rsidR="004966AF" w:rsidRPr="00F84D52">
        <w:rPr>
          <w:rFonts w:eastAsia="Times New Roman" w:cs="Segoe UI"/>
          <w:sz w:val="21"/>
          <w:szCs w:val="21"/>
        </w:rPr>
        <w:t>umbre</w:t>
      </w:r>
      <w:r w:rsidR="001A4824" w:rsidRPr="00F84D52">
        <w:rPr>
          <w:rFonts w:eastAsia="Times New Roman" w:cs="Segoe UI"/>
          <w:sz w:val="21"/>
          <w:szCs w:val="21"/>
        </w:rPr>
        <w:t xml:space="preserve"> y una Hoja de Ruta</w:t>
      </w:r>
      <w:r w:rsidR="004966AF" w:rsidRPr="00F84D52">
        <w:rPr>
          <w:rFonts w:eastAsia="Times New Roman" w:cs="Segoe UI"/>
          <w:sz w:val="21"/>
          <w:szCs w:val="21"/>
        </w:rPr>
        <w:t xml:space="preserve">, </w:t>
      </w:r>
      <w:r w:rsidR="001A4824" w:rsidRPr="00F84D52">
        <w:rPr>
          <w:rFonts w:eastAsia="Times New Roman" w:cs="Segoe UI"/>
          <w:sz w:val="21"/>
          <w:szCs w:val="21"/>
        </w:rPr>
        <w:t>con</w:t>
      </w:r>
      <w:r w:rsidR="004966AF" w:rsidRPr="00F84D52">
        <w:rPr>
          <w:rFonts w:eastAsia="Times New Roman" w:cs="Segoe UI"/>
          <w:sz w:val="21"/>
          <w:szCs w:val="21"/>
        </w:rPr>
        <w:t xml:space="preserve"> la cual se comprometan los países, y </w:t>
      </w:r>
      <w:r w:rsidRPr="00F84D52">
        <w:rPr>
          <w:rFonts w:eastAsia="Times New Roman" w:cs="Segoe UI"/>
          <w:sz w:val="21"/>
          <w:szCs w:val="21"/>
        </w:rPr>
        <w:t>definan</w:t>
      </w:r>
      <w:r w:rsidR="004966AF" w:rsidRPr="00F84D52">
        <w:rPr>
          <w:rFonts w:eastAsia="Times New Roman" w:cs="Segoe UI"/>
          <w:sz w:val="21"/>
          <w:szCs w:val="21"/>
        </w:rPr>
        <w:t xml:space="preserve"> los mecanismos para dar seguimiento a su cumplimiento. Esto </w:t>
      </w:r>
      <w:r w:rsidR="007A15DB" w:rsidRPr="00F84D52">
        <w:rPr>
          <w:rFonts w:eastAsia="Times New Roman" w:cs="Segoe UI"/>
          <w:sz w:val="21"/>
          <w:szCs w:val="21"/>
        </w:rPr>
        <w:t xml:space="preserve">requeriría  </w:t>
      </w:r>
      <w:r w:rsidR="004966AF" w:rsidRPr="00F84D52">
        <w:rPr>
          <w:rFonts w:eastAsia="Times New Roman" w:cs="Segoe UI"/>
          <w:sz w:val="21"/>
          <w:szCs w:val="21"/>
        </w:rPr>
        <w:t>además</w:t>
      </w:r>
      <w:r w:rsidR="00A52193" w:rsidRPr="00F84D52">
        <w:rPr>
          <w:rFonts w:eastAsia="Times New Roman" w:cs="Segoe UI"/>
          <w:sz w:val="21"/>
          <w:szCs w:val="21"/>
        </w:rPr>
        <w:t>, el fortalecimiento de</w:t>
      </w:r>
      <w:r w:rsidR="004966AF" w:rsidRPr="00F84D52">
        <w:rPr>
          <w:rFonts w:eastAsia="Times New Roman" w:cs="Segoe UI"/>
          <w:sz w:val="21"/>
          <w:szCs w:val="21"/>
        </w:rPr>
        <w:t xml:space="preserve"> la gobernanza de los estados para poner en marcha dichos compromisos, mediante mayor soporte técnico y financiero de los organismos </w:t>
      </w:r>
      <w:r w:rsidR="007A15DB" w:rsidRPr="00F84D52">
        <w:rPr>
          <w:rFonts w:eastAsia="Times New Roman" w:cs="Segoe UI"/>
          <w:sz w:val="21"/>
          <w:szCs w:val="21"/>
        </w:rPr>
        <w:t xml:space="preserve">internacionales </w:t>
      </w:r>
      <w:r w:rsidR="004966AF" w:rsidRPr="00F84D52">
        <w:rPr>
          <w:rFonts w:eastAsia="Times New Roman" w:cs="Segoe UI"/>
          <w:sz w:val="21"/>
          <w:szCs w:val="21"/>
        </w:rPr>
        <w:t xml:space="preserve">de cooperación. </w:t>
      </w:r>
      <w:r w:rsidR="007A15DB" w:rsidRPr="00F84D52">
        <w:rPr>
          <w:rFonts w:eastAsia="Times New Roman" w:cs="Segoe UI"/>
          <w:sz w:val="21"/>
          <w:szCs w:val="21"/>
        </w:rPr>
        <w:t>Para el seguimiento y articulación a nivel global, s</w:t>
      </w:r>
      <w:r w:rsidR="004966AF" w:rsidRPr="00F84D52">
        <w:rPr>
          <w:rFonts w:eastAsia="Times New Roman" w:cs="Segoe UI"/>
          <w:sz w:val="21"/>
          <w:szCs w:val="21"/>
        </w:rPr>
        <w:t xml:space="preserve">e deberían fortalecer los foros internacionales y regionales ya existentes, </w:t>
      </w:r>
      <w:r w:rsidR="001A4824" w:rsidRPr="00F84D52">
        <w:rPr>
          <w:rFonts w:eastAsia="Times New Roman" w:cs="Segoe UI"/>
          <w:sz w:val="21"/>
          <w:szCs w:val="21"/>
        </w:rPr>
        <w:t xml:space="preserve">no crear nuevos. </w:t>
      </w:r>
    </w:p>
    <w:p w:rsidR="00117B54" w:rsidRPr="00F84D52" w:rsidRDefault="00117B54" w:rsidP="00D10AFD">
      <w:pPr>
        <w:spacing w:after="0" w:line="240" w:lineRule="auto"/>
        <w:jc w:val="both"/>
        <w:rPr>
          <w:rFonts w:eastAsia="Times New Roman" w:cs="Segoe UI"/>
          <w:sz w:val="21"/>
          <w:szCs w:val="21"/>
        </w:rPr>
      </w:pPr>
    </w:p>
    <w:p w:rsidR="00240FE4" w:rsidRPr="00F84D52" w:rsidRDefault="008B3509" w:rsidP="00240FE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eastAsia="Times New Roman" w:cs="Segoe UI"/>
          <w:sz w:val="21"/>
          <w:szCs w:val="21"/>
          <w:lang w:val="en-US"/>
        </w:rPr>
      </w:pPr>
      <w:r>
        <w:rPr>
          <w:rFonts w:eastAsia="Times New Roman" w:cs="Segoe UI"/>
          <w:b/>
          <w:sz w:val="21"/>
          <w:szCs w:val="21"/>
          <w:lang w:val="en-GB"/>
        </w:rPr>
        <w:t>Pregunta 12:</w:t>
      </w:r>
      <w:r w:rsidR="00A96001" w:rsidRPr="00F84D52">
        <w:rPr>
          <w:rFonts w:eastAsia="Times New Roman" w:cs="Segoe UI"/>
          <w:sz w:val="21"/>
          <w:szCs w:val="21"/>
          <w:lang w:val="en-GB"/>
        </w:rPr>
        <w:t xml:space="preserve"> </w:t>
      </w:r>
    </w:p>
    <w:p w:rsidR="00B2337F" w:rsidRPr="00F84D52" w:rsidRDefault="00787CE9" w:rsidP="00041009">
      <w:pPr>
        <w:shd w:val="clear" w:color="auto" w:fill="FFFFFF"/>
        <w:spacing w:after="0" w:line="240" w:lineRule="auto"/>
        <w:ind w:left="360"/>
        <w:jc w:val="both"/>
        <w:rPr>
          <w:rFonts w:cs="Segoe UI"/>
          <w:lang w:val="es-MX"/>
        </w:rPr>
      </w:pPr>
      <w:r>
        <w:rPr>
          <w:rFonts w:cs="Segoe UI"/>
          <w:sz w:val="21"/>
          <w:szCs w:val="21"/>
          <w:lang w:val="es-MX"/>
        </w:rPr>
        <w:t>S</w:t>
      </w:r>
      <w:r w:rsidR="00A52193" w:rsidRPr="00F84D52">
        <w:rPr>
          <w:rFonts w:cs="Segoe UI"/>
          <w:sz w:val="21"/>
          <w:szCs w:val="21"/>
          <w:lang w:val="es-MX"/>
        </w:rPr>
        <w:t>e fortalecerá</w:t>
      </w:r>
      <w:r w:rsidR="00B2337F" w:rsidRPr="00F84D52">
        <w:rPr>
          <w:rFonts w:cs="Segoe UI"/>
          <w:sz w:val="21"/>
          <w:szCs w:val="21"/>
          <w:lang w:val="es-MX"/>
        </w:rPr>
        <w:t xml:space="preserve"> el marco de políticas </w:t>
      </w:r>
      <w:r w:rsidR="00240FE4" w:rsidRPr="00F84D52">
        <w:rPr>
          <w:rFonts w:cs="Segoe UI"/>
          <w:sz w:val="21"/>
          <w:szCs w:val="21"/>
          <w:lang w:val="es-MX"/>
        </w:rPr>
        <w:t>públicas vinculad</w:t>
      </w:r>
      <w:r>
        <w:rPr>
          <w:rFonts w:cs="Segoe UI"/>
          <w:sz w:val="21"/>
          <w:szCs w:val="21"/>
          <w:lang w:val="es-MX"/>
        </w:rPr>
        <w:t xml:space="preserve">as a los sistemas alimentarios y </w:t>
      </w:r>
      <w:r w:rsidR="00240FE4" w:rsidRPr="00F84D52">
        <w:rPr>
          <w:rFonts w:cs="Segoe UI"/>
          <w:sz w:val="21"/>
          <w:szCs w:val="21"/>
          <w:lang w:val="es-MX"/>
        </w:rPr>
        <w:t>la institucionalidad para dar seguimiento a los compromisos adquiridos</w:t>
      </w:r>
      <w:r>
        <w:rPr>
          <w:rFonts w:cs="Segoe UI"/>
          <w:sz w:val="21"/>
          <w:szCs w:val="21"/>
          <w:lang w:val="es-MX"/>
        </w:rPr>
        <w:t>, articulando con gobiernos departamentales,</w:t>
      </w:r>
      <w:r w:rsidR="00240FE4" w:rsidRPr="00F84D52">
        <w:rPr>
          <w:rFonts w:cs="Segoe UI"/>
          <w:sz w:val="21"/>
          <w:szCs w:val="21"/>
          <w:lang w:val="es-MX"/>
        </w:rPr>
        <w:t xml:space="preserve"> municipales, todos los sectores y la cooperación internacional, para llevar las iniciativas hasta los territorios.</w:t>
      </w:r>
    </w:p>
    <w:sectPr w:rsidR="00B2337F" w:rsidRPr="00F84D52" w:rsidSect="00A52193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4" w:rsidRDefault="00CC7CE4">
      <w:pPr>
        <w:spacing w:after="0" w:line="240" w:lineRule="auto"/>
      </w:pPr>
      <w:r>
        <w:separator/>
      </w:r>
    </w:p>
  </w:endnote>
  <w:endnote w:type="continuationSeparator" w:id="0">
    <w:p w:rsidR="00CC7CE4" w:rsidRDefault="00CC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767493246"/>
      <w:docPartObj>
        <w:docPartGallery w:val="Page Numbers (Bottom of Page)"/>
        <w:docPartUnique/>
      </w:docPartObj>
    </w:sdtPr>
    <w:sdtContent>
      <w:p w:rsidR="00E8400E" w:rsidRDefault="00F17336" w:rsidP="00E840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F259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8400E" w:rsidRDefault="00E8400E" w:rsidP="00E840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3"/>
        <w:szCs w:val="23"/>
      </w:rPr>
      <w:id w:val="13711989"/>
      <w:docPartObj>
        <w:docPartGallery w:val="Page Numbers (Bottom of Page)"/>
        <w:docPartUnique/>
      </w:docPartObj>
    </w:sdtPr>
    <w:sdtContent>
      <w:p w:rsidR="00E8400E" w:rsidRPr="00DB2842" w:rsidRDefault="00F17336" w:rsidP="00E8400E">
        <w:pPr>
          <w:pStyle w:val="Footer"/>
          <w:ind w:right="360"/>
          <w:rPr>
            <w:sz w:val="23"/>
            <w:szCs w:val="23"/>
          </w:rPr>
        </w:pPr>
        <w:r w:rsidRPr="00F17336">
          <w:rPr>
            <w:noProof/>
            <w:sz w:val="23"/>
            <w:szCs w:val="23"/>
            <w:lang w:eastAsia="zh-TW"/>
          </w:rPr>
          <w:pict>
            <v:rect id="_x0000_s2049" style="position:absolute;margin-left:0;margin-top:0;width:60pt;height:70.5pt;z-index:251661312;mso-position-horizontal:center;mso-position-horizontal-relative:left-margin-area;mso-position-vertical:top;mso-position-vertical-relative:bottom-margin-area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8"/>
                      </w:rPr>
                      <w:id w:val="260152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8"/>
                          </w:rPr>
                          <w:id w:val="260152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A52193" w:rsidRDefault="00F17336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  <w:fldSimple w:instr=" PAGE   \* MERGEFORMAT ">
                              <w:r w:rsidR="003E2C25" w:rsidRPr="003E2C25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8"/>
                                </w:rPr>
                                <w:t>1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4" w:rsidRDefault="00CC7CE4">
      <w:pPr>
        <w:spacing w:after="0" w:line="240" w:lineRule="auto"/>
      </w:pPr>
      <w:r>
        <w:separator/>
      </w:r>
    </w:p>
  </w:footnote>
  <w:footnote w:type="continuationSeparator" w:id="0">
    <w:p w:rsidR="00CC7CE4" w:rsidRDefault="00CC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09" w:rsidRDefault="008B3509">
    <w:pPr>
      <w:pStyle w:val="Header"/>
    </w:pPr>
    <w:r>
      <w:rPr>
        <w:noProof/>
        <w:lang w:val="es-SV"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1766570</wp:posOffset>
          </wp:positionH>
          <wp:positionV relativeFrom="paragraph">
            <wp:posOffset>-358775</wp:posOffset>
          </wp:positionV>
          <wp:extent cx="2348230" cy="752475"/>
          <wp:effectExtent l="0" t="0" r="0" b="0"/>
          <wp:wrapSquare wrapText="bothSides"/>
          <wp:docPr id="2" name="Picture 1" descr="LOGO RREE 2019_LOGO 1LINE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REE 2019_LOGO 1LINEA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3509" w:rsidRDefault="008B3509">
    <w:pPr>
      <w:pStyle w:val="Header"/>
    </w:pPr>
  </w:p>
  <w:p w:rsidR="00A52193" w:rsidRDefault="00A521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66" w:rsidRDefault="00FB3166">
    <w:pPr>
      <w:pStyle w:val="Header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2095500</wp:posOffset>
          </wp:positionH>
          <wp:positionV relativeFrom="paragraph">
            <wp:posOffset>-342900</wp:posOffset>
          </wp:positionV>
          <wp:extent cx="2197100" cy="704850"/>
          <wp:effectExtent l="0" t="0" r="0" b="0"/>
          <wp:wrapSquare wrapText="bothSides"/>
          <wp:docPr id="1" name="Picture 0" descr="LOGO RREE 2019_LOGO 1LINE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REE 2019_LOGO 1LINEA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C3B"/>
    <w:multiLevelType w:val="multilevel"/>
    <w:tmpl w:val="7F9273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21DB4"/>
    <w:multiLevelType w:val="hybridMultilevel"/>
    <w:tmpl w:val="90B4B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D7A4C"/>
    <w:multiLevelType w:val="hybridMultilevel"/>
    <w:tmpl w:val="17E03D6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AA009B"/>
    <w:multiLevelType w:val="hybridMultilevel"/>
    <w:tmpl w:val="C2D27A68"/>
    <w:lvl w:ilvl="0" w:tplc="76E82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46CF"/>
    <w:multiLevelType w:val="hybridMultilevel"/>
    <w:tmpl w:val="8A84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7782D"/>
    <w:multiLevelType w:val="hybridMultilevel"/>
    <w:tmpl w:val="4022D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92B7B"/>
    <w:multiLevelType w:val="multilevel"/>
    <w:tmpl w:val="1FE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13271"/>
    <w:multiLevelType w:val="hybridMultilevel"/>
    <w:tmpl w:val="ABB27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81F01"/>
    <w:multiLevelType w:val="hybridMultilevel"/>
    <w:tmpl w:val="255800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6001"/>
    <w:rsid w:val="00041009"/>
    <w:rsid w:val="000433A3"/>
    <w:rsid w:val="00046337"/>
    <w:rsid w:val="00050FE2"/>
    <w:rsid w:val="00051B6B"/>
    <w:rsid w:val="00053C20"/>
    <w:rsid w:val="00057430"/>
    <w:rsid w:val="00060745"/>
    <w:rsid w:val="0006160B"/>
    <w:rsid w:val="00065BDB"/>
    <w:rsid w:val="00070EEC"/>
    <w:rsid w:val="00072A4B"/>
    <w:rsid w:val="0008538C"/>
    <w:rsid w:val="000A2868"/>
    <w:rsid w:val="000C310D"/>
    <w:rsid w:val="000E38EB"/>
    <w:rsid w:val="000E49A8"/>
    <w:rsid w:val="000F7671"/>
    <w:rsid w:val="0010209B"/>
    <w:rsid w:val="001142B5"/>
    <w:rsid w:val="001155C9"/>
    <w:rsid w:val="00117B54"/>
    <w:rsid w:val="00154B09"/>
    <w:rsid w:val="00163EDB"/>
    <w:rsid w:val="0016537A"/>
    <w:rsid w:val="001A13CA"/>
    <w:rsid w:val="001A4824"/>
    <w:rsid w:val="001B460A"/>
    <w:rsid w:val="001E1FAA"/>
    <w:rsid w:val="002202E7"/>
    <w:rsid w:val="002255E0"/>
    <w:rsid w:val="00240FE4"/>
    <w:rsid w:val="00247021"/>
    <w:rsid w:val="0025034E"/>
    <w:rsid w:val="002536C0"/>
    <w:rsid w:val="00262A8B"/>
    <w:rsid w:val="00281487"/>
    <w:rsid w:val="002B11BE"/>
    <w:rsid w:val="002B350F"/>
    <w:rsid w:val="002B4D54"/>
    <w:rsid w:val="002C6BD4"/>
    <w:rsid w:val="002F41D1"/>
    <w:rsid w:val="003030D1"/>
    <w:rsid w:val="003118A7"/>
    <w:rsid w:val="00347C55"/>
    <w:rsid w:val="00354684"/>
    <w:rsid w:val="00374307"/>
    <w:rsid w:val="00394BB8"/>
    <w:rsid w:val="003A679C"/>
    <w:rsid w:val="003B21A1"/>
    <w:rsid w:val="003B2A19"/>
    <w:rsid w:val="003B48A9"/>
    <w:rsid w:val="003C22E8"/>
    <w:rsid w:val="003E2C25"/>
    <w:rsid w:val="003E5B97"/>
    <w:rsid w:val="003F7B31"/>
    <w:rsid w:val="004364AA"/>
    <w:rsid w:val="0043670D"/>
    <w:rsid w:val="00457BEC"/>
    <w:rsid w:val="0046051B"/>
    <w:rsid w:val="0046670B"/>
    <w:rsid w:val="004721E6"/>
    <w:rsid w:val="004825CE"/>
    <w:rsid w:val="004966AF"/>
    <w:rsid w:val="004A537B"/>
    <w:rsid w:val="004A5DCD"/>
    <w:rsid w:val="004C1CB2"/>
    <w:rsid w:val="004D7A8A"/>
    <w:rsid w:val="00506D5F"/>
    <w:rsid w:val="00510B79"/>
    <w:rsid w:val="005220FB"/>
    <w:rsid w:val="005229E2"/>
    <w:rsid w:val="00525583"/>
    <w:rsid w:val="00530FB3"/>
    <w:rsid w:val="005749AD"/>
    <w:rsid w:val="00576D34"/>
    <w:rsid w:val="00594E0C"/>
    <w:rsid w:val="00604A81"/>
    <w:rsid w:val="0061005E"/>
    <w:rsid w:val="00610C8C"/>
    <w:rsid w:val="00616050"/>
    <w:rsid w:val="006224F4"/>
    <w:rsid w:val="00631E17"/>
    <w:rsid w:val="006812A7"/>
    <w:rsid w:val="006844A5"/>
    <w:rsid w:val="006A117F"/>
    <w:rsid w:val="006E3C2E"/>
    <w:rsid w:val="00754D5D"/>
    <w:rsid w:val="0075520A"/>
    <w:rsid w:val="00773602"/>
    <w:rsid w:val="00784D38"/>
    <w:rsid w:val="00787CE9"/>
    <w:rsid w:val="007A15DB"/>
    <w:rsid w:val="007A1E81"/>
    <w:rsid w:val="007A2582"/>
    <w:rsid w:val="007E55A1"/>
    <w:rsid w:val="008078AE"/>
    <w:rsid w:val="0083202C"/>
    <w:rsid w:val="00843944"/>
    <w:rsid w:val="00847E10"/>
    <w:rsid w:val="008530D0"/>
    <w:rsid w:val="008544E1"/>
    <w:rsid w:val="008957E9"/>
    <w:rsid w:val="008B3509"/>
    <w:rsid w:val="008C615F"/>
    <w:rsid w:val="008E17F8"/>
    <w:rsid w:val="008F2595"/>
    <w:rsid w:val="00923731"/>
    <w:rsid w:val="009255A0"/>
    <w:rsid w:val="009430C9"/>
    <w:rsid w:val="00960D28"/>
    <w:rsid w:val="00963A18"/>
    <w:rsid w:val="009A5569"/>
    <w:rsid w:val="009C6F3E"/>
    <w:rsid w:val="009E075F"/>
    <w:rsid w:val="00A1269F"/>
    <w:rsid w:val="00A33FE4"/>
    <w:rsid w:val="00A42EF1"/>
    <w:rsid w:val="00A51C5E"/>
    <w:rsid w:val="00A52193"/>
    <w:rsid w:val="00A52631"/>
    <w:rsid w:val="00A817E4"/>
    <w:rsid w:val="00A85218"/>
    <w:rsid w:val="00A96001"/>
    <w:rsid w:val="00AB6E14"/>
    <w:rsid w:val="00AD766B"/>
    <w:rsid w:val="00AE44F7"/>
    <w:rsid w:val="00B03F42"/>
    <w:rsid w:val="00B10524"/>
    <w:rsid w:val="00B2337F"/>
    <w:rsid w:val="00B32173"/>
    <w:rsid w:val="00B5384F"/>
    <w:rsid w:val="00B53909"/>
    <w:rsid w:val="00B55899"/>
    <w:rsid w:val="00B60691"/>
    <w:rsid w:val="00B77DDB"/>
    <w:rsid w:val="00B87814"/>
    <w:rsid w:val="00B953E4"/>
    <w:rsid w:val="00B973E5"/>
    <w:rsid w:val="00B97CD5"/>
    <w:rsid w:val="00BF5449"/>
    <w:rsid w:val="00C20262"/>
    <w:rsid w:val="00C55341"/>
    <w:rsid w:val="00C56904"/>
    <w:rsid w:val="00C758D8"/>
    <w:rsid w:val="00C77B71"/>
    <w:rsid w:val="00C813E0"/>
    <w:rsid w:val="00CA71A3"/>
    <w:rsid w:val="00CC7CE4"/>
    <w:rsid w:val="00CD44E5"/>
    <w:rsid w:val="00D10AFD"/>
    <w:rsid w:val="00D142F8"/>
    <w:rsid w:val="00D16BEB"/>
    <w:rsid w:val="00D27DD6"/>
    <w:rsid w:val="00D460A7"/>
    <w:rsid w:val="00D76006"/>
    <w:rsid w:val="00D771A3"/>
    <w:rsid w:val="00D808D6"/>
    <w:rsid w:val="00D852D4"/>
    <w:rsid w:val="00DA4F0B"/>
    <w:rsid w:val="00DC2533"/>
    <w:rsid w:val="00DC31A6"/>
    <w:rsid w:val="00DC4140"/>
    <w:rsid w:val="00DC5BAF"/>
    <w:rsid w:val="00DD30CE"/>
    <w:rsid w:val="00DE09C6"/>
    <w:rsid w:val="00DE71BD"/>
    <w:rsid w:val="00E331A1"/>
    <w:rsid w:val="00E4027A"/>
    <w:rsid w:val="00E60EC7"/>
    <w:rsid w:val="00E630D7"/>
    <w:rsid w:val="00E77986"/>
    <w:rsid w:val="00E838C6"/>
    <w:rsid w:val="00E8400E"/>
    <w:rsid w:val="00EB0879"/>
    <w:rsid w:val="00ED133A"/>
    <w:rsid w:val="00EE3C83"/>
    <w:rsid w:val="00EE4466"/>
    <w:rsid w:val="00EF7FEA"/>
    <w:rsid w:val="00F127DA"/>
    <w:rsid w:val="00F15330"/>
    <w:rsid w:val="00F17336"/>
    <w:rsid w:val="00F41DE5"/>
    <w:rsid w:val="00F674EE"/>
    <w:rsid w:val="00F71DFD"/>
    <w:rsid w:val="00F72988"/>
    <w:rsid w:val="00F75613"/>
    <w:rsid w:val="00F765CB"/>
    <w:rsid w:val="00F80259"/>
    <w:rsid w:val="00F84D52"/>
    <w:rsid w:val="00F92FD1"/>
    <w:rsid w:val="00FB08FC"/>
    <w:rsid w:val="00FB3166"/>
    <w:rsid w:val="00FC061E"/>
    <w:rsid w:val="00FF2355"/>
    <w:rsid w:val="00FF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0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60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0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60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6001"/>
  </w:style>
  <w:style w:type="table" w:styleId="TableGrid">
    <w:name w:val="Table Grid"/>
    <w:basedOn w:val="TableNormal"/>
    <w:uiPriority w:val="39"/>
    <w:rsid w:val="00A96001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4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316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316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60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960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60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96001"/>
  </w:style>
  <w:style w:type="table" w:styleId="Tablaconcuadrcula">
    <w:name w:val="Table Grid"/>
    <w:basedOn w:val="Tablanormal"/>
    <w:uiPriority w:val="39"/>
    <w:rsid w:val="00A9600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4B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C51C8D-5773-4BD4-9C08-A3E269352BF4}"/>
</file>

<file path=customXml/itemProps2.xml><?xml version="1.0" encoding="utf-8"?>
<ds:datastoreItem xmlns:ds="http://schemas.openxmlformats.org/officeDocument/2006/customXml" ds:itemID="{27199354-D844-4E0B-931C-2B045DE260D8}"/>
</file>

<file path=customXml/itemProps3.xml><?xml version="1.0" encoding="utf-8"?>
<ds:datastoreItem xmlns:ds="http://schemas.openxmlformats.org/officeDocument/2006/customXml" ds:itemID="{5BA09478-3935-4FC1-82CE-FDD9912EB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CONASAN2</dc:creator>
  <cp:lastModifiedBy>jamiranda</cp:lastModifiedBy>
  <cp:revision>3</cp:revision>
  <cp:lastPrinted>2021-06-24T19:06:00Z</cp:lastPrinted>
  <dcterms:created xsi:type="dcterms:W3CDTF">2021-06-28T19:49:00Z</dcterms:created>
  <dcterms:modified xsi:type="dcterms:W3CDTF">2021-06-28T20:02:00Z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