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F29B9" w14:textId="63DAB998" w:rsidR="00122DF1" w:rsidRDefault="00DB50A0">
      <w:pPr>
        <w:pStyle w:val="BodyText"/>
        <w:spacing w:before="2"/>
        <w:rPr>
          <w:sz w:val="17"/>
        </w:rPr>
      </w:pPr>
      <w:r>
        <w:rPr>
          <w:sz w:val="17"/>
        </w:rPr>
        <w:t xml:space="preserve"> </w:t>
      </w:r>
    </w:p>
    <w:p w14:paraId="5F706503" w14:textId="77777777" w:rsidR="00122DF1" w:rsidRPr="00FE00E9" w:rsidRDefault="00B53652">
      <w:pPr>
        <w:spacing w:before="90"/>
        <w:ind w:left="652" w:right="668"/>
        <w:jc w:val="center"/>
        <w:rPr>
          <w:b/>
        </w:rPr>
      </w:pPr>
      <w:r w:rsidRPr="00FE00E9">
        <w:rPr>
          <w:b/>
        </w:rPr>
        <w:t>Policy</w:t>
      </w:r>
      <w:r w:rsidRPr="00FE00E9">
        <w:rPr>
          <w:b/>
          <w:spacing w:val="-3"/>
        </w:rPr>
        <w:t xml:space="preserve"> </w:t>
      </w:r>
      <w:r w:rsidRPr="00FE00E9">
        <w:rPr>
          <w:b/>
        </w:rPr>
        <w:t>Brief</w:t>
      </w:r>
    </w:p>
    <w:p w14:paraId="75E016E1" w14:textId="5AC53948" w:rsidR="00122DF1" w:rsidRPr="003D442A" w:rsidRDefault="003D442A">
      <w:pPr>
        <w:spacing w:before="120" w:line="343" w:lineRule="auto"/>
        <w:ind w:left="654" w:right="668"/>
        <w:jc w:val="center"/>
        <w:rPr>
          <w:b/>
          <w:lang w:val="es-ES"/>
        </w:rPr>
      </w:pPr>
      <w:r w:rsidRPr="003D442A">
        <w:rPr>
          <w:b/>
          <w:lang w:val="es-ES"/>
        </w:rPr>
        <w:t xml:space="preserve">Última oportunidad para que la Cumbre sobre Sistemas Alimentarios sea realmente una "cumbre de la gente" </w:t>
      </w:r>
      <w:r w:rsidR="00B53652" w:rsidRPr="003D442A">
        <w:rPr>
          <w:b/>
          <w:lang w:val="es-ES"/>
        </w:rPr>
        <w:t xml:space="preserve">19 </w:t>
      </w:r>
      <w:r w:rsidR="00AB23B8" w:rsidRPr="003D442A">
        <w:rPr>
          <w:b/>
          <w:lang w:val="es-ES"/>
        </w:rPr>
        <w:t>agosto</w:t>
      </w:r>
      <w:r w:rsidR="00B53652" w:rsidRPr="003D442A">
        <w:rPr>
          <w:b/>
          <w:lang w:val="es-ES"/>
        </w:rPr>
        <w:t xml:space="preserve"> 2021</w:t>
      </w:r>
    </w:p>
    <w:p w14:paraId="30DA9A12" w14:textId="4F790C9A" w:rsidR="00122DF1" w:rsidRPr="003D442A" w:rsidRDefault="00122DF1">
      <w:pPr>
        <w:pStyle w:val="BodyText"/>
        <w:spacing w:before="6"/>
        <w:rPr>
          <w:b/>
          <w:sz w:val="35"/>
          <w:lang w:val="es-ES"/>
        </w:rPr>
      </w:pPr>
    </w:p>
    <w:tbl>
      <w:tblPr>
        <w:tblStyle w:val="TableGrid"/>
        <w:tblW w:w="0" w:type="auto"/>
        <w:tblInd w:w="214" w:type="dxa"/>
        <w:tblLook w:val="04A0" w:firstRow="1" w:lastRow="0" w:firstColumn="1" w:lastColumn="0" w:noHBand="0" w:noVBand="1"/>
      </w:tblPr>
      <w:tblGrid>
        <w:gridCol w:w="8646"/>
      </w:tblGrid>
      <w:tr w:rsidR="00BD19E3" w14:paraId="6722B148" w14:textId="77777777" w:rsidTr="00BD19E3">
        <w:tc>
          <w:tcPr>
            <w:tcW w:w="8860" w:type="dxa"/>
          </w:tcPr>
          <w:p w14:paraId="7240BA4E" w14:textId="77777777" w:rsidR="00BD19E3" w:rsidRPr="00DB50A0" w:rsidRDefault="00BD19E3" w:rsidP="00BD19E3">
            <w:pPr>
              <w:ind w:left="214"/>
              <w:rPr>
                <w:b/>
                <w:lang w:val="es-ES"/>
              </w:rPr>
            </w:pPr>
            <w:r>
              <w:rPr>
                <w:b/>
                <w:u w:val="single"/>
                <w:lang w:val="es-ES"/>
              </w:rPr>
              <w:t>Resumen</w:t>
            </w:r>
          </w:p>
          <w:p w14:paraId="38383068" w14:textId="77777777" w:rsidR="00BD19E3" w:rsidRPr="00DB50A0" w:rsidRDefault="00BD19E3" w:rsidP="00BD19E3">
            <w:pPr>
              <w:pStyle w:val="BodyText"/>
              <w:spacing w:before="11"/>
              <w:rPr>
                <w:b/>
                <w:sz w:val="15"/>
                <w:lang w:val="es-ES"/>
              </w:rPr>
            </w:pPr>
          </w:p>
          <w:p w14:paraId="5EA5D92D" w14:textId="5B3361D6" w:rsidR="00BD19E3" w:rsidRPr="003D442A" w:rsidRDefault="00BD19E3" w:rsidP="00BD19E3">
            <w:pPr>
              <w:pStyle w:val="BodyText"/>
              <w:spacing w:before="90"/>
              <w:ind w:left="214" w:right="225"/>
              <w:jc w:val="both"/>
              <w:rPr>
                <w:lang w:val="es-ES"/>
              </w:rPr>
            </w:pPr>
            <w:r w:rsidRPr="003D442A">
              <w:rPr>
                <w:lang w:val="es-ES"/>
              </w:rPr>
              <w:t xml:space="preserve">El cambio climático está asolando el planeta. La biodiversidad disminuye cada día. El hambre aumenta. La desigualdad es incesante. </w:t>
            </w:r>
            <w:r>
              <w:rPr>
                <w:lang w:val="es-ES"/>
              </w:rPr>
              <w:t>El fiasco de l</w:t>
            </w:r>
            <w:r w:rsidRPr="003D442A">
              <w:rPr>
                <w:lang w:val="es-ES"/>
              </w:rPr>
              <w:t xml:space="preserve">os sistemas alimentarios mundiales lleva mucho tiempo </w:t>
            </w:r>
            <w:r>
              <w:rPr>
                <w:lang w:val="es-ES"/>
              </w:rPr>
              <w:t>afectando</w:t>
            </w:r>
            <w:r w:rsidRPr="003D442A">
              <w:rPr>
                <w:lang w:val="es-ES"/>
              </w:rPr>
              <w:t xml:space="preserve"> a la mayoría de las personas, y la pandemia de COVID-19 ha empeorado aún más una situación crítica</w:t>
            </w:r>
            <w:r w:rsidRPr="00FE00E9">
              <w:rPr>
                <w:lang w:val="es-ES"/>
              </w:rPr>
              <w:t xml:space="preserve">. </w:t>
            </w:r>
            <w:r>
              <w:rPr>
                <w:lang w:val="es-ES"/>
              </w:rPr>
              <w:t xml:space="preserve">Los pueblos / las comunidades </w:t>
            </w:r>
            <w:r w:rsidRPr="00FE00E9">
              <w:rPr>
                <w:lang w:val="es-ES"/>
              </w:rPr>
              <w:t>ya está</w:t>
            </w:r>
            <w:r>
              <w:rPr>
                <w:lang w:val="es-ES"/>
              </w:rPr>
              <w:t>n</w:t>
            </w:r>
            <w:r w:rsidRPr="00FE00E9">
              <w:rPr>
                <w:lang w:val="es-ES"/>
              </w:rPr>
              <w:t xml:space="preserve"> transformando sus sistemas alimentarios para adaptarse y sobrevivir. Ahora es el momento de coordinar globalmente </w:t>
            </w:r>
            <w:r>
              <w:rPr>
                <w:lang w:val="es-ES"/>
              </w:rPr>
              <w:t xml:space="preserve">sus </w:t>
            </w:r>
            <w:r w:rsidRPr="00FE00E9">
              <w:rPr>
                <w:lang w:val="es-ES"/>
              </w:rPr>
              <w:t xml:space="preserve">acciones para construir sistemas alimentarios equitativos y </w:t>
            </w:r>
            <w:r w:rsidR="00AB23B8" w:rsidRPr="00FE00E9">
              <w:rPr>
                <w:lang w:val="es-ES"/>
              </w:rPr>
              <w:t>prósperos</w:t>
            </w:r>
            <w:r w:rsidRPr="00FE00E9">
              <w:rPr>
                <w:lang w:val="es-ES"/>
              </w:rPr>
              <w:t>.</w:t>
            </w:r>
          </w:p>
          <w:p w14:paraId="1B89738F" w14:textId="77777777" w:rsidR="00BD19E3" w:rsidRPr="003D442A" w:rsidRDefault="00BD19E3" w:rsidP="00BD19E3">
            <w:pPr>
              <w:pStyle w:val="BodyText"/>
              <w:spacing w:before="90"/>
              <w:ind w:left="214" w:right="225"/>
              <w:jc w:val="both"/>
              <w:rPr>
                <w:lang w:val="es-ES"/>
              </w:rPr>
            </w:pPr>
          </w:p>
          <w:p w14:paraId="0322F11F" w14:textId="5D3D310C" w:rsidR="00BD19E3" w:rsidRDefault="00BD19E3" w:rsidP="00BD19E3">
            <w:pPr>
              <w:pStyle w:val="BodyText"/>
              <w:spacing w:before="1"/>
              <w:ind w:left="214" w:right="226"/>
              <w:jc w:val="both"/>
              <w:rPr>
                <w:lang w:val="es-ES"/>
              </w:rPr>
            </w:pPr>
            <w:r w:rsidRPr="003D442A">
              <w:rPr>
                <w:lang w:val="es-ES"/>
              </w:rPr>
              <w:t>Aunque la convocatoria de la Cumbre de Sistemas Alimentarios de la ONU por parte del Secretario General fue bien recibida, persiste la preocupación de que la "cumbre de l</w:t>
            </w:r>
            <w:r>
              <w:rPr>
                <w:lang w:val="es-ES"/>
              </w:rPr>
              <w:t>os pueblos</w:t>
            </w:r>
            <w:r w:rsidRPr="003D442A">
              <w:rPr>
                <w:lang w:val="es-ES"/>
              </w:rPr>
              <w:t xml:space="preserve">" </w:t>
            </w:r>
            <w:r>
              <w:rPr>
                <w:lang w:val="es-ES"/>
              </w:rPr>
              <w:t xml:space="preserve">se convierta en un fracaso para </w:t>
            </w:r>
            <w:r w:rsidRPr="003D442A">
              <w:rPr>
                <w:lang w:val="es-ES"/>
              </w:rPr>
              <w:t xml:space="preserve">las personas a las que dice servir. Elementos clave como los derechos humanos, la equidad y la responsabilidad no están en la agenda. Los derechos humanos son esenciales para garantizar que nuestros sistemas alimentarios estén al servicio de las personas y del planeta, </w:t>
            </w:r>
            <w:r>
              <w:rPr>
                <w:lang w:val="es-ES"/>
              </w:rPr>
              <w:t>antes del lucro</w:t>
            </w:r>
            <w:r w:rsidRPr="003D442A">
              <w:rPr>
                <w:lang w:val="es-ES"/>
              </w:rPr>
              <w:t>. El derecho a una alimentación y nutrición adecuadas es fundamental para que las comunidades definan quiénes son.</w:t>
            </w:r>
          </w:p>
          <w:p w14:paraId="6E88E044" w14:textId="77777777" w:rsidR="00BD19E3" w:rsidRDefault="00BD19E3" w:rsidP="00BD19E3">
            <w:pPr>
              <w:pStyle w:val="BodyText"/>
              <w:spacing w:before="1"/>
              <w:ind w:left="214" w:right="226"/>
              <w:jc w:val="both"/>
              <w:rPr>
                <w:lang w:val="es-ES"/>
              </w:rPr>
            </w:pPr>
          </w:p>
          <w:p w14:paraId="14107EC7" w14:textId="77777777" w:rsidR="00BD19E3" w:rsidRPr="003D442A" w:rsidRDefault="00BD19E3" w:rsidP="00BD19E3">
            <w:pPr>
              <w:pStyle w:val="BodyText"/>
              <w:spacing w:before="1"/>
              <w:ind w:left="214" w:right="226"/>
              <w:jc w:val="both"/>
              <w:rPr>
                <w:lang w:val="es-ES"/>
              </w:rPr>
            </w:pPr>
            <w:r w:rsidRPr="003D442A">
              <w:rPr>
                <w:lang w:val="es-ES"/>
              </w:rPr>
              <w:t xml:space="preserve">En este informe político, el Relator Especial sobre el derecho a la alimentación, Michael </w:t>
            </w:r>
            <w:proofErr w:type="spellStart"/>
            <w:r w:rsidRPr="003D442A">
              <w:rPr>
                <w:lang w:val="es-ES"/>
              </w:rPr>
              <w:t>Fakhri</w:t>
            </w:r>
            <w:proofErr w:type="spellEnd"/>
            <w:r w:rsidRPr="003D442A">
              <w:rPr>
                <w:lang w:val="es-ES"/>
              </w:rPr>
              <w:t xml:space="preserve">, comparte sus observaciones críticas sobre las áreas que deben mejorarse con respecto a la próxima Cumbre de Sistemas Alimentarios de la ONU, para asegurar que </w:t>
            </w:r>
            <w:r>
              <w:rPr>
                <w:lang w:val="es-ES"/>
              </w:rPr>
              <w:t xml:space="preserve">mejore su coherencia </w:t>
            </w:r>
            <w:r w:rsidRPr="003D442A">
              <w:rPr>
                <w:lang w:val="es-ES"/>
              </w:rPr>
              <w:t xml:space="preserve">con los objetivos profesados por el Secretario General de "hacer que los sistemas alimentarios funcionen para la gente, el planeta y la prosperidad". El Relator Especial destaca las principales deficiencias, como la llamativa ausencia de respuesta a la COVID-19 en las deliberaciones de la Cumbre, la vista gorda ante las causas estructurales del fracaso de los sistemas alimentarios, </w:t>
            </w:r>
            <w:r>
              <w:rPr>
                <w:lang w:val="es-ES"/>
              </w:rPr>
              <w:t xml:space="preserve">el hecho de ignorar </w:t>
            </w:r>
            <w:r w:rsidRPr="003D442A">
              <w:rPr>
                <w:lang w:val="es-ES"/>
              </w:rPr>
              <w:t xml:space="preserve">la preocupante concentración de poder de las empresas y la dilución del derecho a la participación en la toma de decisiones a través del llamado enfoque </w:t>
            </w:r>
            <w:r w:rsidRPr="00DB50A0">
              <w:rPr>
                <w:lang w:val="es-ES"/>
              </w:rPr>
              <w:t>multisectorial.</w:t>
            </w:r>
          </w:p>
          <w:p w14:paraId="3BCBF9CA" w14:textId="77777777" w:rsidR="00BD19E3" w:rsidRPr="00DB50A0" w:rsidRDefault="00BD19E3" w:rsidP="00BD19E3">
            <w:pPr>
              <w:pStyle w:val="BodyText"/>
              <w:ind w:right="228"/>
              <w:jc w:val="both"/>
              <w:rPr>
                <w:lang w:val="es-ES"/>
              </w:rPr>
            </w:pPr>
          </w:p>
          <w:p w14:paraId="1B3A7B80" w14:textId="0F0F2883" w:rsidR="00BD19E3" w:rsidRPr="003D442A" w:rsidRDefault="00BD19E3" w:rsidP="00BD19E3">
            <w:pPr>
              <w:pStyle w:val="BodyText"/>
              <w:ind w:left="214" w:right="228"/>
              <w:jc w:val="both"/>
              <w:rPr>
                <w:lang w:val="es-ES"/>
              </w:rPr>
            </w:pPr>
            <w:r w:rsidRPr="003D442A">
              <w:rPr>
                <w:lang w:val="es-ES"/>
              </w:rPr>
              <w:t xml:space="preserve">El objetivo del Relator Especial es orientar a los Estados en sus inminentes deliberaciones en la Cumbre del 23 de septiembre de 2021, con vistas a convertirla en un evento verdaderamente transformador, </w:t>
            </w:r>
            <w:r w:rsidR="00AB23B8">
              <w:rPr>
                <w:lang w:val="es-ES"/>
              </w:rPr>
              <w:t xml:space="preserve">multilateral y </w:t>
            </w:r>
            <w:r w:rsidRPr="003D442A">
              <w:rPr>
                <w:lang w:val="es-ES"/>
              </w:rPr>
              <w:t>basado en derechos.</w:t>
            </w:r>
          </w:p>
          <w:p w14:paraId="409D21B3" w14:textId="77777777" w:rsidR="00BD19E3" w:rsidRDefault="00BD19E3">
            <w:pPr>
              <w:rPr>
                <w:b/>
                <w:u w:val="single"/>
                <w:lang w:val="es-ES"/>
              </w:rPr>
            </w:pPr>
          </w:p>
        </w:tc>
      </w:tr>
    </w:tbl>
    <w:p w14:paraId="7C6223DF" w14:textId="2DA08B0F" w:rsidR="00122DF1" w:rsidRPr="004741E0" w:rsidRDefault="00122DF1">
      <w:pPr>
        <w:pStyle w:val="BodyText"/>
        <w:spacing w:before="6"/>
        <w:rPr>
          <w:sz w:val="18"/>
          <w:lang w:val="es-ES"/>
        </w:rPr>
      </w:pPr>
    </w:p>
    <w:p w14:paraId="030382B7" w14:textId="38BA45CD" w:rsidR="00BD19E3" w:rsidRPr="004741E0" w:rsidRDefault="00BD19E3">
      <w:pPr>
        <w:pStyle w:val="BodyText"/>
        <w:spacing w:before="6"/>
        <w:rPr>
          <w:sz w:val="18"/>
          <w:lang w:val="es-ES"/>
        </w:rPr>
      </w:pPr>
    </w:p>
    <w:p w14:paraId="5D14A077" w14:textId="33AE424B" w:rsidR="00BD19E3" w:rsidRDefault="00BD19E3">
      <w:pPr>
        <w:pStyle w:val="BodyText"/>
        <w:spacing w:before="6"/>
        <w:rPr>
          <w:sz w:val="18"/>
          <w:lang w:val="es-ES"/>
        </w:rPr>
      </w:pPr>
      <w:bookmarkStart w:id="0" w:name="_GoBack"/>
    </w:p>
    <w:bookmarkEnd w:id="0"/>
    <w:p w14:paraId="3F321907" w14:textId="77777777" w:rsidR="004741E0" w:rsidRPr="004741E0" w:rsidRDefault="004741E0">
      <w:pPr>
        <w:pStyle w:val="BodyText"/>
        <w:spacing w:before="6"/>
        <w:rPr>
          <w:sz w:val="18"/>
          <w:lang w:val="es-ES"/>
        </w:rPr>
      </w:pPr>
    </w:p>
    <w:p w14:paraId="35499724" w14:textId="77777777" w:rsidR="00BD19E3" w:rsidRPr="004741E0" w:rsidRDefault="00BD19E3">
      <w:pPr>
        <w:pStyle w:val="BodyText"/>
        <w:spacing w:before="6"/>
        <w:rPr>
          <w:sz w:val="18"/>
          <w:lang w:val="es-ES"/>
        </w:rPr>
      </w:pPr>
    </w:p>
    <w:p w14:paraId="5C07212A" w14:textId="77777777" w:rsidR="00122DF1" w:rsidRPr="00BD19E3" w:rsidRDefault="00B53652">
      <w:pPr>
        <w:pStyle w:val="Heading1"/>
        <w:jc w:val="left"/>
        <w:rPr>
          <w:lang w:val="es-ES"/>
        </w:rPr>
      </w:pPr>
      <w:proofErr w:type="spellStart"/>
      <w:r w:rsidRPr="00BD19E3">
        <w:rPr>
          <w:u w:val="single"/>
          <w:lang w:val="es-ES"/>
        </w:rPr>
        <w:t>Introduction</w:t>
      </w:r>
      <w:proofErr w:type="spellEnd"/>
    </w:p>
    <w:p w14:paraId="50864C69" w14:textId="77777777" w:rsidR="003D442A" w:rsidRPr="00BD19E3" w:rsidRDefault="003D442A">
      <w:pPr>
        <w:jc w:val="both"/>
        <w:rPr>
          <w:lang w:val="es-ES"/>
        </w:rPr>
      </w:pPr>
    </w:p>
    <w:p w14:paraId="6DE31A75" w14:textId="13933108" w:rsidR="003D442A" w:rsidRPr="003D442A" w:rsidRDefault="003D442A">
      <w:pPr>
        <w:jc w:val="both"/>
        <w:rPr>
          <w:lang w:val="es-ES"/>
        </w:rPr>
        <w:sectPr w:rsidR="003D442A" w:rsidRPr="003D442A">
          <w:headerReference w:type="default" r:id="rId7"/>
          <w:footerReference w:type="default" r:id="rId8"/>
          <w:type w:val="continuous"/>
          <w:pgSz w:w="11910" w:h="16840"/>
          <w:pgMar w:top="2580" w:right="1440" w:bottom="1220" w:left="1600" w:header="558" w:footer="1022" w:gutter="0"/>
          <w:pgNumType w:start="1"/>
          <w:cols w:space="720"/>
        </w:sectPr>
      </w:pPr>
      <w:r w:rsidRPr="003D442A">
        <w:rPr>
          <w:lang w:val="es-ES"/>
        </w:rPr>
        <w:t xml:space="preserve">Dada la urgencia de reformar nuestros sistemas alimentarios, el Relator Especial sobre el derecho a la alimentación ha </w:t>
      </w:r>
      <w:r w:rsidR="00AB23B8">
        <w:rPr>
          <w:lang w:val="es-ES"/>
        </w:rPr>
        <w:t xml:space="preserve">dado seguimiento a </w:t>
      </w:r>
      <w:r w:rsidRPr="003D442A">
        <w:rPr>
          <w:lang w:val="es-ES"/>
        </w:rPr>
        <w:t xml:space="preserve">la Cumbre de Sistemas Alimentarios de la ONU (la Cumbre) </w:t>
      </w:r>
      <w:r w:rsidRPr="003D442A">
        <w:rPr>
          <w:lang w:val="es-ES"/>
        </w:rPr>
        <w:lastRenderedPageBreak/>
        <w:t xml:space="preserve">desde su anuncio en 2019 y </w:t>
      </w:r>
      <w:r w:rsidR="00AB23B8">
        <w:rPr>
          <w:lang w:val="es-ES"/>
        </w:rPr>
        <w:t>ha sido</w:t>
      </w:r>
      <w:r w:rsidRPr="003D442A">
        <w:rPr>
          <w:lang w:val="es-ES"/>
        </w:rPr>
        <w:t xml:space="preserve"> miembro del Equipo Integrador de la Cumbre. Compartió las primeras observaciones sobre los preparativos de la Cumbre en su </w:t>
      </w:r>
      <w:hyperlink r:id="rId9" w:history="1">
        <w:r w:rsidRPr="00C07628">
          <w:rPr>
            <w:rStyle w:val="Hyperlink"/>
            <w:lang w:val="es-ES"/>
          </w:rPr>
          <w:t>último informe</w:t>
        </w:r>
      </w:hyperlink>
      <w:r w:rsidRPr="003D442A">
        <w:rPr>
          <w:color w:val="000000" w:themeColor="text1"/>
          <w:lang w:val="es-ES"/>
        </w:rPr>
        <w:t xml:space="preserve"> </w:t>
      </w:r>
      <w:r w:rsidRPr="003D442A">
        <w:rPr>
          <w:lang w:val="es-ES"/>
        </w:rPr>
        <w:t>al Consejo de Derechos Humanos en marzo de 2021. El Relator Especial participó y siguió de cerca la Pre</w:t>
      </w:r>
      <w:r w:rsidR="00EB05A8">
        <w:rPr>
          <w:lang w:val="es-ES"/>
        </w:rPr>
        <w:t>-</w:t>
      </w:r>
      <w:r w:rsidRPr="003D442A">
        <w:rPr>
          <w:lang w:val="es-ES"/>
        </w:rPr>
        <w:t xml:space="preserve">cumbre, que tuvo lugar del 26 al 28 de julio de 2021, y presentará un informe </w:t>
      </w:r>
      <w:r w:rsidR="00FE00E9" w:rsidRPr="003D442A">
        <w:rPr>
          <w:lang w:val="es-ES"/>
        </w:rPr>
        <w:t xml:space="preserve">sobre la Cumbre </w:t>
      </w:r>
      <w:r w:rsidRPr="003D442A">
        <w:rPr>
          <w:lang w:val="es-ES"/>
        </w:rPr>
        <w:t xml:space="preserve">a la Asamblea General en octubre de 2021, basándose en un amplio abanico de </w:t>
      </w:r>
      <w:hyperlink r:id="rId10" w:history="1">
        <w:r w:rsidRPr="00981A04">
          <w:rPr>
            <w:rStyle w:val="Hyperlink"/>
            <w:lang w:val="es-ES"/>
          </w:rPr>
          <w:t>aportaciones</w:t>
        </w:r>
      </w:hyperlink>
      <w:r w:rsidRPr="003D442A">
        <w:rPr>
          <w:lang w:val="es-ES"/>
        </w:rPr>
        <w:t xml:space="preserve"> recibidas por los Estados miembros</w:t>
      </w:r>
      <w:r w:rsidR="00AB23B8">
        <w:rPr>
          <w:lang w:val="es-ES"/>
        </w:rPr>
        <w:t>,</w:t>
      </w:r>
      <w:r w:rsidRPr="003D442A">
        <w:rPr>
          <w:lang w:val="es-ES"/>
        </w:rPr>
        <w:t xml:space="preserve"> las organizaciones internacionales y la sociedad civil.</w:t>
      </w:r>
    </w:p>
    <w:p w14:paraId="3C7AE5BA" w14:textId="77777777" w:rsidR="00122DF1" w:rsidRPr="003D442A" w:rsidRDefault="00122DF1">
      <w:pPr>
        <w:pStyle w:val="BodyText"/>
        <w:spacing w:before="9"/>
        <w:rPr>
          <w:sz w:val="16"/>
          <w:lang w:val="es-ES"/>
        </w:rPr>
      </w:pPr>
    </w:p>
    <w:p w14:paraId="6F3A1172" w14:textId="37084BAD" w:rsidR="003D442A" w:rsidRPr="003D442A" w:rsidRDefault="003D442A">
      <w:pPr>
        <w:pStyle w:val="BodyText"/>
        <w:spacing w:before="90"/>
        <w:ind w:left="102" w:right="112"/>
        <w:jc w:val="both"/>
        <w:rPr>
          <w:lang w:val="es-ES"/>
        </w:rPr>
      </w:pPr>
      <w:r w:rsidRPr="003D442A">
        <w:rPr>
          <w:lang w:val="es-ES"/>
        </w:rPr>
        <w:t>En previsión de su informe y en el período previo a la Cumbre de septiembre, el Relator Especial comparte otras reflexiones y recomendaciones prácticas sobre los resultados esperados, el seguimiento y la revisión de la Cumbre. Este informe político pretende orientar a los Estados miembros sobre cómo pueden garantizar que la Cumbre logre poner nuestros sistemas alimentarios al servicio de las personas y del planeta, así como superar los retos que plantean el hambre, la desigualdad y la pandemia mundial de COVID-19.</w:t>
      </w:r>
    </w:p>
    <w:p w14:paraId="1685147A" w14:textId="77777777" w:rsidR="00122DF1" w:rsidRPr="003D442A" w:rsidRDefault="00122DF1">
      <w:pPr>
        <w:pStyle w:val="BodyText"/>
        <w:rPr>
          <w:sz w:val="26"/>
          <w:lang w:val="es-ES"/>
        </w:rPr>
      </w:pPr>
    </w:p>
    <w:p w14:paraId="3E4FF2DF" w14:textId="1C25311A" w:rsidR="003D442A" w:rsidRPr="00BD19E3" w:rsidRDefault="003D442A">
      <w:pPr>
        <w:pStyle w:val="BodyText"/>
        <w:rPr>
          <w:sz w:val="26"/>
          <w:lang w:val="es-ES"/>
        </w:rPr>
      </w:pPr>
    </w:p>
    <w:p w14:paraId="14899640" w14:textId="77777777" w:rsidR="003D442A" w:rsidRPr="00C07628" w:rsidRDefault="003D442A" w:rsidP="00C07628">
      <w:pPr>
        <w:pStyle w:val="BodyText"/>
        <w:jc w:val="both"/>
        <w:rPr>
          <w:b/>
          <w:bCs/>
          <w:u w:val="single"/>
          <w:lang w:val="es-ES"/>
        </w:rPr>
      </w:pPr>
      <w:r w:rsidRPr="00C07628">
        <w:rPr>
          <w:b/>
          <w:bCs/>
          <w:u w:val="single"/>
          <w:lang w:val="es-ES"/>
        </w:rPr>
        <w:t>Principales observaciones</w:t>
      </w:r>
    </w:p>
    <w:p w14:paraId="7D55C739" w14:textId="77777777" w:rsidR="003D442A" w:rsidRPr="00C07628" w:rsidRDefault="003D442A" w:rsidP="00C07628">
      <w:pPr>
        <w:pStyle w:val="BodyText"/>
        <w:jc w:val="both"/>
        <w:rPr>
          <w:lang w:val="es-ES"/>
        </w:rPr>
      </w:pPr>
    </w:p>
    <w:p w14:paraId="5EC8DBD4" w14:textId="77777777" w:rsidR="003D442A" w:rsidRPr="00C07628" w:rsidRDefault="003D442A" w:rsidP="00C07628">
      <w:pPr>
        <w:pStyle w:val="BodyText"/>
        <w:jc w:val="both"/>
        <w:rPr>
          <w:lang w:val="es-ES"/>
        </w:rPr>
      </w:pPr>
    </w:p>
    <w:p w14:paraId="5AA63340" w14:textId="77777777" w:rsidR="003D442A" w:rsidRPr="00C07628" w:rsidRDefault="003D442A" w:rsidP="00C07628">
      <w:pPr>
        <w:pStyle w:val="BodyText"/>
        <w:jc w:val="both"/>
        <w:rPr>
          <w:b/>
          <w:bCs/>
          <w:lang w:val="es-ES"/>
        </w:rPr>
      </w:pPr>
      <w:r w:rsidRPr="00C07628">
        <w:rPr>
          <w:b/>
          <w:bCs/>
          <w:lang w:val="es-ES"/>
        </w:rPr>
        <w:t>COVID-19 brilla por su ausencia en la Cumbre, a pesar de su devastador impacto</w:t>
      </w:r>
    </w:p>
    <w:p w14:paraId="59D96EFC" w14:textId="51744379" w:rsidR="003D442A" w:rsidRPr="00C07628" w:rsidRDefault="003D442A" w:rsidP="00C07628">
      <w:pPr>
        <w:pStyle w:val="BodyText"/>
        <w:jc w:val="both"/>
        <w:rPr>
          <w:lang w:val="es-ES"/>
        </w:rPr>
      </w:pPr>
      <w:r w:rsidRPr="00C07628">
        <w:rPr>
          <w:lang w:val="es-ES"/>
        </w:rPr>
        <w:t>La Cumbre se anunció justo antes del brote de COVID-19. A medida que el brote se convirtió en una pandemia y que se fueron produciendo s</w:t>
      </w:r>
      <w:r w:rsidR="00FE00E9" w:rsidRPr="00C07628">
        <w:rPr>
          <w:lang w:val="es-ES"/>
        </w:rPr>
        <w:t>us</w:t>
      </w:r>
      <w:r w:rsidRPr="00C07628">
        <w:rPr>
          <w:lang w:val="es-ES"/>
        </w:rPr>
        <w:t xml:space="preserve"> impactos en los sistemas alimentarios mundiales y en la seguridad alimentaria, los objetivos de la Cumbre no se ajustaron a la nueva realidad. El programa de la Pre-Cumbre no dedic</w:t>
      </w:r>
      <w:r w:rsidR="00EB05A8">
        <w:rPr>
          <w:lang w:val="es-ES"/>
        </w:rPr>
        <w:t>a</w:t>
      </w:r>
      <w:r w:rsidRPr="00C07628">
        <w:rPr>
          <w:lang w:val="es-ES"/>
        </w:rPr>
        <w:t xml:space="preserve"> ninguna sesión a la pandemia. Todo ello a pesar de las devastadoras consecuencias de la crisis del COVID-19, que ha trastornado los medios de vida de las personas y toda la cadena mundial de suministro de alimentos. El Relator Especial ha subrayado que es necesaria una acción multilateral para hacer frente a los efectos nocivos de la pandemia sobre el derecho a la alimentación de todos, especialmente de las personas más pobres, vulnerables y marginadas. También </w:t>
      </w:r>
      <w:r w:rsidRPr="00C07628">
        <w:rPr>
          <w:lang w:val="es-ES"/>
        </w:rPr>
        <w:lastRenderedPageBreak/>
        <w:t>ha subrayado que la convergencia de la seguridad alimentaria, la salud pública y las crisis laborales han tenido un impacto agudo en la salud y la seguridad de los trabajadores de</w:t>
      </w:r>
      <w:r w:rsidR="00FE00E9" w:rsidRPr="00C07628">
        <w:rPr>
          <w:lang w:val="es-ES"/>
        </w:rPr>
        <w:t>l sector alimentario</w:t>
      </w:r>
      <w:r w:rsidRPr="00C07628">
        <w:rPr>
          <w:lang w:val="es-ES"/>
        </w:rPr>
        <w:t>.</w:t>
      </w:r>
    </w:p>
    <w:p w14:paraId="2820DBF1" w14:textId="0FA281BF" w:rsidR="003D442A" w:rsidRPr="003D442A" w:rsidRDefault="003D442A">
      <w:pPr>
        <w:pStyle w:val="BodyText"/>
        <w:rPr>
          <w:sz w:val="26"/>
          <w:lang w:val="es-ES"/>
        </w:rPr>
      </w:pPr>
    </w:p>
    <w:p w14:paraId="68584404" w14:textId="77777777" w:rsidR="003D442A" w:rsidRPr="003D442A" w:rsidRDefault="003D442A">
      <w:pPr>
        <w:pStyle w:val="BodyText"/>
        <w:rPr>
          <w:sz w:val="26"/>
          <w:lang w:val="es-ES"/>
        </w:rPr>
      </w:pPr>
    </w:p>
    <w:p w14:paraId="27C50122" w14:textId="4BC948BF" w:rsidR="00D444B7" w:rsidRPr="00BD19E3" w:rsidRDefault="00D444B7" w:rsidP="004741E0">
      <w:pPr>
        <w:pStyle w:val="BodyText"/>
        <w:spacing w:before="115"/>
        <w:ind w:right="111"/>
        <w:jc w:val="both"/>
        <w:rPr>
          <w:lang w:val="es-ES"/>
        </w:rPr>
      </w:pPr>
    </w:p>
    <w:p w14:paraId="5F64C296" w14:textId="77777777" w:rsidR="00D444B7" w:rsidRPr="00D444B7" w:rsidRDefault="00D444B7" w:rsidP="00D444B7">
      <w:pPr>
        <w:pStyle w:val="BodyText"/>
        <w:spacing w:before="115"/>
        <w:ind w:left="102" w:right="111"/>
        <w:jc w:val="both"/>
        <w:rPr>
          <w:b/>
          <w:bCs/>
          <w:lang w:val="es-ES"/>
        </w:rPr>
      </w:pPr>
      <w:r w:rsidRPr="00D444B7">
        <w:rPr>
          <w:b/>
          <w:bCs/>
          <w:lang w:val="es-ES"/>
        </w:rPr>
        <w:t>La Cumbre hace oídos sordos a las causas profundas y a los problemas de gobernanza relacionados con el hambre y la malnutrición</w:t>
      </w:r>
    </w:p>
    <w:p w14:paraId="3789CB09" w14:textId="591A237E" w:rsidR="00D444B7" w:rsidRPr="00D444B7" w:rsidRDefault="00D444B7" w:rsidP="00D444B7">
      <w:pPr>
        <w:pStyle w:val="BodyText"/>
        <w:spacing w:before="115"/>
        <w:ind w:left="102" w:right="111"/>
        <w:jc w:val="both"/>
        <w:rPr>
          <w:lang w:val="es-ES"/>
        </w:rPr>
      </w:pPr>
      <w:r w:rsidRPr="00D444B7">
        <w:rPr>
          <w:lang w:val="es-ES"/>
        </w:rPr>
        <w:t>El hambre, la malnutrición y la hambruna están causad</w:t>
      </w:r>
      <w:r w:rsidR="00EB05A8">
        <w:rPr>
          <w:lang w:val="es-ES"/>
        </w:rPr>
        <w:t>o</w:t>
      </w:r>
      <w:r w:rsidRPr="00D444B7">
        <w:rPr>
          <w:lang w:val="es-ES"/>
        </w:rPr>
        <w:t xml:space="preserve">s por fallos políticos y deficiencias en la gobernanza, más que por la escasez de alimentos. Sin embargo, desde el principio se decidió que la Cumbre evitaría considerar las causas fundamentales de los fallos de nuestros sistemas alimentarios. El énfasis general de la Cumbre se ha centrado en cómo "impulsar la producción" de forma sostenible mediante nuevas tecnologías. Sin embargo, los retos a los que se enfrentan nuestros sistemas alimentarios consisten en garantizar un acceso mejor y más equitativo: cuestiones sobre cómo se producen los alimentos, quién los produce y quién obtiene la mayor parte de los beneficios de su procesamiento y comercio. Incluso en el </w:t>
      </w:r>
      <w:r w:rsidR="00FE00E9">
        <w:rPr>
          <w:lang w:val="es-ES"/>
        </w:rPr>
        <w:t>pico</w:t>
      </w:r>
      <w:r w:rsidRPr="00D444B7">
        <w:rPr>
          <w:lang w:val="es-ES"/>
        </w:rPr>
        <w:t xml:space="preserve"> de la pandemia, la mayor amenaza para la seguridad alimentaria y la nutrición no se debió a la falta de alimentos. Las personas tenían menos acceso a una alimentación adecuada porque habían perdido su trabajo, su medio de vida o su hogar. Los alimentos insalubres e insostenibles se están abaratando al no contabilizarse su verdadero coste, mientras que los alimentos sanos y sostenibles son cada vez más inaccesibles. La Cumbre tampoco ha prestado la debida atención a los formidables avances logrados recientemente en agroecología</w:t>
      </w:r>
      <w:r w:rsidR="00FE00E9">
        <w:rPr>
          <w:lang w:val="es-ES"/>
        </w:rPr>
        <w:t xml:space="preserve">, </w:t>
      </w:r>
      <w:r w:rsidR="00EB05A8">
        <w:rPr>
          <w:lang w:val="es-ES"/>
        </w:rPr>
        <w:lastRenderedPageBreak/>
        <w:t>así</w:t>
      </w:r>
      <w:r w:rsidR="00FE00E9">
        <w:rPr>
          <w:lang w:val="es-ES"/>
        </w:rPr>
        <w:t xml:space="preserve"> como en los</w:t>
      </w:r>
      <w:r w:rsidRPr="00D444B7">
        <w:rPr>
          <w:lang w:val="es-ES"/>
        </w:rPr>
        <w:t xml:space="preserve"> mercados territoriales.</w:t>
      </w:r>
    </w:p>
    <w:p w14:paraId="03F8A799" w14:textId="77777777" w:rsidR="00D444B7" w:rsidRPr="00D444B7" w:rsidRDefault="00D444B7">
      <w:pPr>
        <w:pStyle w:val="BodyText"/>
        <w:spacing w:before="115"/>
        <w:ind w:left="102" w:right="111"/>
        <w:jc w:val="both"/>
        <w:rPr>
          <w:lang w:val="es-ES"/>
        </w:rPr>
      </w:pPr>
    </w:p>
    <w:p w14:paraId="32EA768E" w14:textId="77777777" w:rsidR="00122DF1" w:rsidRPr="00D444B7" w:rsidRDefault="00122DF1">
      <w:pPr>
        <w:jc w:val="both"/>
        <w:rPr>
          <w:lang w:val="es-ES"/>
        </w:rPr>
        <w:sectPr w:rsidR="00122DF1" w:rsidRPr="00D444B7">
          <w:pgSz w:w="11910" w:h="16840"/>
          <w:pgMar w:top="2580" w:right="1440" w:bottom="1220" w:left="1600" w:header="558" w:footer="1022" w:gutter="0"/>
          <w:cols w:space="720"/>
        </w:sectPr>
      </w:pPr>
    </w:p>
    <w:p w14:paraId="67D2E9FE" w14:textId="77777777" w:rsidR="00122DF1" w:rsidRPr="00D444B7" w:rsidRDefault="00122DF1">
      <w:pPr>
        <w:pStyle w:val="BodyText"/>
        <w:spacing w:before="2"/>
        <w:rPr>
          <w:sz w:val="17"/>
          <w:lang w:val="es-ES"/>
        </w:rPr>
      </w:pPr>
    </w:p>
    <w:p w14:paraId="44D0E568" w14:textId="1CFD9934" w:rsidR="00D444B7" w:rsidRPr="00BD19E3" w:rsidRDefault="00D444B7">
      <w:pPr>
        <w:pStyle w:val="BodyText"/>
        <w:spacing w:before="118"/>
        <w:ind w:left="102" w:right="110"/>
        <w:jc w:val="both"/>
        <w:rPr>
          <w:lang w:val="es-ES"/>
        </w:rPr>
      </w:pPr>
    </w:p>
    <w:p w14:paraId="4B02971A" w14:textId="09008BC3" w:rsidR="00D444B7" w:rsidRPr="00D444B7" w:rsidRDefault="00D444B7" w:rsidP="00D444B7">
      <w:pPr>
        <w:pStyle w:val="BodyText"/>
        <w:spacing w:before="118"/>
        <w:ind w:left="102" w:right="110"/>
        <w:jc w:val="both"/>
        <w:rPr>
          <w:b/>
          <w:bCs/>
          <w:lang w:val="es-ES"/>
        </w:rPr>
      </w:pPr>
      <w:r w:rsidRPr="00D444B7">
        <w:rPr>
          <w:b/>
          <w:bCs/>
          <w:lang w:val="es-ES"/>
        </w:rPr>
        <w:t xml:space="preserve">La concentración de poder de las empresas sigue siendo el </w:t>
      </w:r>
      <w:r w:rsidR="00EB05A8">
        <w:rPr>
          <w:b/>
          <w:bCs/>
          <w:lang w:val="es-ES"/>
        </w:rPr>
        <w:t>verdadero problema</w:t>
      </w:r>
      <w:r w:rsidRPr="00D444B7">
        <w:rPr>
          <w:b/>
          <w:bCs/>
          <w:lang w:val="es-ES"/>
        </w:rPr>
        <w:t xml:space="preserve"> </w:t>
      </w:r>
      <w:r w:rsidR="00EB05A8">
        <w:rPr>
          <w:b/>
          <w:bCs/>
          <w:lang w:val="es-ES"/>
        </w:rPr>
        <w:t xml:space="preserve">a discutir en </w:t>
      </w:r>
      <w:r w:rsidRPr="00D444B7">
        <w:rPr>
          <w:b/>
          <w:bCs/>
          <w:lang w:val="es-ES"/>
        </w:rPr>
        <w:t>la Cumbre</w:t>
      </w:r>
    </w:p>
    <w:p w14:paraId="3D6B93B1" w14:textId="77777777" w:rsidR="00D444B7" w:rsidRPr="00D444B7" w:rsidRDefault="00D444B7" w:rsidP="00D444B7">
      <w:pPr>
        <w:pStyle w:val="BodyText"/>
        <w:spacing w:before="118"/>
        <w:ind w:left="102" w:right="110"/>
        <w:jc w:val="both"/>
        <w:rPr>
          <w:lang w:val="es-ES"/>
        </w:rPr>
      </w:pPr>
      <w:r w:rsidRPr="00D444B7">
        <w:rPr>
          <w:lang w:val="es-ES"/>
        </w:rPr>
        <w:t>La extrema concentración de poder en manos de un actor privado en los sistemas alimentarios hace a estas entidades corresponsables de la malnutrición, la pérdida de biodiversidad y las crisis climáticas, todos los temas que la Cumbre declaró abordar. Las empresas transnacionales dominan el mercado mundial, desde las semillas hasta los supermercados. Sin embargo, la Cumbre no aborda el papel y la responsabilidad del sector empresarial en los sistemas alimentarios. El desequilibrio y la concentración de poder han beneficiado enormemente a las empresas transnacionales y han socavado la tenencia, los derechos humanos y los hábitats de las comunidades locales.</w:t>
      </w:r>
    </w:p>
    <w:p w14:paraId="47EB323D" w14:textId="630DBF92" w:rsidR="00D444B7" w:rsidRPr="00D444B7" w:rsidRDefault="00D444B7" w:rsidP="00D444B7">
      <w:pPr>
        <w:pStyle w:val="BodyText"/>
        <w:spacing w:before="118"/>
        <w:ind w:left="102" w:right="110"/>
        <w:jc w:val="both"/>
        <w:rPr>
          <w:lang w:val="es-ES"/>
        </w:rPr>
      </w:pPr>
      <w:r w:rsidRPr="00D444B7">
        <w:rPr>
          <w:lang w:val="es-ES"/>
        </w:rPr>
        <w:t>Se ha planteado la preocupación de que la innovación impulsada por la tecnología y el énfasis en un determinado modelo de ciencia promovido en la Cumbre corren el riesgo de marginar aún más las necesidades de los pequeños agricultores. Este enfoque ignora el hecho de que los pequeños agricultores producen aproximadamente el 70% de los alimentos del mundo, al tiempo que preservan la agrobiodiversidad y promueven la resiliencia al cambio climático. Este enfoque también ignora el hecho de que los pueblos indígenas gestionan con éxito el 80% de la biodiversidad mundial en la tierra. Los agricultores, los trabajadores agrícolas y los pueblos indígenas de todo el mundo están totalmente a merced de los poderes corporativos, y no es casualidad que sufran ham</w:t>
      </w:r>
      <w:r w:rsidRPr="00D444B7">
        <w:rPr>
          <w:lang w:val="es-ES"/>
        </w:rPr>
        <w:lastRenderedPageBreak/>
        <w:t>bre, malnutrición y violaciones de derechos. Además, son las mujeres y las niñas de esas comunidades las que suelen soportar las cargas más pesadas.</w:t>
      </w:r>
    </w:p>
    <w:p w14:paraId="3CCB1627" w14:textId="77777777" w:rsidR="00122DF1" w:rsidRPr="00D444B7" w:rsidRDefault="00122DF1">
      <w:pPr>
        <w:pStyle w:val="BodyText"/>
        <w:rPr>
          <w:sz w:val="26"/>
          <w:lang w:val="es-ES"/>
        </w:rPr>
      </w:pPr>
    </w:p>
    <w:p w14:paraId="207CEB2A" w14:textId="7356661F" w:rsidR="00D444B7" w:rsidRPr="00BD19E3" w:rsidRDefault="00D444B7">
      <w:pPr>
        <w:pStyle w:val="BodyText"/>
        <w:rPr>
          <w:sz w:val="26"/>
          <w:lang w:val="es-ES"/>
        </w:rPr>
      </w:pPr>
    </w:p>
    <w:p w14:paraId="500057C1" w14:textId="77777777" w:rsidR="00D444B7" w:rsidRPr="00C07628" w:rsidRDefault="00D444B7" w:rsidP="00C07628">
      <w:pPr>
        <w:pStyle w:val="BodyText"/>
        <w:jc w:val="both"/>
        <w:rPr>
          <w:b/>
          <w:bCs/>
          <w:lang w:val="es-ES"/>
        </w:rPr>
      </w:pPr>
      <w:r w:rsidRPr="00C07628">
        <w:rPr>
          <w:b/>
          <w:bCs/>
          <w:lang w:val="es-ES"/>
        </w:rPr>
        <w:t>El enfoque multisectorial de la Cumbre es una cortina de humo para ahogar la participación</w:t>
      </w:r>
    </w:p>
    <w:p w14:paraId="5498B87C" w14:textId="2CC42832" w:rsidR="00D444B7" w:rsidRDefault="00D444B7" w:rsidP="00C07628">
      <w:pPr>
        <w:pStyle w:val="BodyText"/>
        <w:jc w:val="both"/>
        <w:rPr>
          <w:lang w:val="es-ES"/>
        </w:rPr>
      </w:pPr>
      <w:r w:rsidRPr="00C07628">
        <w:rPr>
          <w:lang w:val="es-ES"/>
        </w:rPr>
        <w:t>Para que la participación sea efectiva y significativa en la toma de decisiones, hay que tener mucho cuidado de que los procesos sean transparentes e informativos. Los procesos también deben adaptarse a las necesidades de los diferentes actores implicados, ser inclusivos sin discriminación y garantizar que los responsables de la toma de decisiones rindan cuentas a los titulares de derechos. Sin embargo, el llamado enfoque multisectorial de la Cumbre no ha sido transparente, ni ha ofrecido a las comunidades afectadas y a la sociedad civil oportunidades significativas de participación. El proceso de toma de decisiones ha sido descendente y opaco. La Cumbre, influ</w:t>
      </w:r>
      <w:r w:rsidR="00FE00E9" w:rsidRPr="00C07628">
        <w:rPr>
          <w:lang w:val="es-ES"/>
        </w:rPr>
        <w:t>enc</w:t>
      </w:r>
      <w:r w:rsidRPr="00C07628">
        <w:rPr>
          <w:lang w:val="es-ES"/>
        </w:rPr>
        <w:t>i</w:t>
      </w:r>
      <w:r w:rsidR="00FE00E9" w:rsidRPr="00C07628">
        <w:rPr>
          <w:lang w:val="es-ES"/>
        </w:rPr>
        <w:t>a</w:t>
      </w:r>
      <w:r w:rsidRPr="00C07628">
        <w:rPr>
          <w:lang w:val="es-ES"/>
        </w:rPr>
        <w:t xml:space="preserve">da por las empresas agroalimentarias, los grupos de reflexión y los filántropos, no ha reflejado </w:t>
      </w:r>
      <w:hyperlink r:id="rId11" w:history="1">
        <w:r w:rsidRPr="00925336">
          <w:rPr>
            <w:rStyle w:val="Hyperlink"/>
            <w:lang w:val="es-ES"/>
          </w:rPr>
          <w:t>la rica historia de participación e inclusión de los foros multilaterales de la ONU</w:t>
        </w:r>
      </w:hyperlink>
      <w:r w:rsidRPr="00925336">
        <w:rPr>
          <w:lang w:val="es-ES"/>
        </w:rPr>
        <w:t>. La Pre</w:t>
      </w:r>
      <w:r w:rsidR="00EB05A8">
        <w:rPr>
          <w:lang w:val="es-ES"/>
        </w:rPr>
        <w:t>-</w:t>
      </w:r>
      <w:r w:rsidRPr="00925336">
        <w:rPr>
          <w:lang w:val="es-ES"/>
        </w:rPr>
        <w:t>cumbre careció notablemente de una participación interactiva y significativa de los movimientos de base, los pu</w:t>
      </w:r>
      <w:r w:rsidRPr="00C07628">
        <w:rPr>
          <w:lang w:val="es-ES"/>
        </w:rPr>
        <w:t xml:space="preserve">eblos indígenas, los pequeños agricultores, los pastores, los pescadores y los grupos </w:t>
      </w:r>
      <w:r w:rsidR="00EB05A8">
        <w:rPr>
          <w:lang w:val="es-ES"/>
        </w:rPr>
        <w:t>en</w:t>
      </w:r>
      <w:r w:rsidRPr="00C07628">
        <w:rPr>
          <w:lang w:val="es-ES"/>
        </w:rPr>
        <w:t xml:space="preserve"> defensa de los derechos humanos. Dado que la Cumbre no incluyó de forma significativa a la sociedad civil desde el principio, millones de personas decidieron boicotear la Cumbre a través del Mecanismo de la Sociedad Civil y los Pueblos Indígenas del Comité de Seguridad Alimentaria Mundial de la ONU. Los miles de personas que participaron en los eventos y reuniones de la Cumbre en línea </w:t>
      </w:r>
      <w:r w:rsidR="00FE00E9" w:rsidRPr="00C07628">
        <w:rPr>
          <w:lang w:val="es-ES"/>
        </w:rPr>
        <w:t xml:space="preserve">acabaron </w:t>
      </w:r>
      <w:r w:rsidR="00EB05A8">
        <w:rPr>
          <w:lang w:val="es-ES"/>
        </w:rPr>
        <w:t xml:space="preserve">dudando </w:t>
      </w:r>
      <w:proofErr w:type="spellStart"/>
      <w:r w:rsidR="00EB05A8">
        <w:rPr>
          <w:lang w:val="es-ES"/>
        </w:rPr>
        <w:t>de</w:t>
      </w:r>
      <w:r w:rsidRPr="00C07628">
        <w:rPr>
          <w:lang w:val="es-ES"/>
        </w:rPr>
        <w:t>todo</w:t>
      </w:r>
      <w:proofErr w:type="spellEnd"/>
      <w:r w:rsidRPr="00C07628">
        <w:rPr>
          <w:lang w:val="es-ES"/>
        </w:rPr>
        <w:t xml:space="preserve"> el proceso, ya que no hubo una conexión clara entre las aportaciones de la gente y los resultados de la Cumbre.</w:t>
      </w:r>
    </w:p>
    <w:p w14:paraId="16699E94" w14:textId="77777777" w:rsidR="00EB05A8" w:rsidRPr="00C07628" w:rsidRDefault="00EB05A8" w:rsidP="00C07628">
      <w:pPr>
        <w:pStyle w:val="BodyText"/>
        <w:jc w:val="both"/>
        <w:rPr>
          <w:lang w:val="es-ES"/>
        </w:rPr>
      </w:pPr>
    </w:p>
    <w:p w14:paraId="75178857" w14:textId="77777777" w:rsidR="00D444B7" w:rsidRPr="00D444B7" w:rsidRDefault="00D444B7" w:rsidP="00D444B7">
      <w:pPr>
        <w:jc w:val="both"/>
        <w:rPr>
          <w:b/>
          <w:bCs/>
          <w:lang w:val="es-ES"/>
        </w:rPr>
      </w:pPr>
      <w:r w:rsidRPr="00D444B7">
        <w:rPr>
          <w:b/>
          <w:bCs/>
          <w:lang w:val="es-ES"/>
        </w:rPr>
        <w:t>Recomendaciones para que la Cumbre esté más centrada en el ser humano</w:t>
      </w:r>
    </w:p>
    <w:p w14:paraId="200BC484" w14:textId="43BF128C" w:rsidR="00D444B7" w:rsidRDefault="00D444B7" w:rsidP="00D444B7">
      <w:pPr>
        <w:jc w:val="both"/>
        <w:rPr>
          <w:lang w:val="es-ES"/>
        </w:rPr>
      </w:pPr>
      <w:r w:rsidRPr="00D444B7">
        <w:rPr>
          <w:lang w:val="es-ES"/>
        </w:rPr>
        <w:t xml:space="preserve">Como defensor mundial de la ONU sobre el derecho a la alimentación, el Relator Especial ha sido testigo de primera mano de la importancia de reforzar la </w:t>
      </w:r>
      <w:r w:rsidR="00FE00E9">
        <w:rPr>
          <w:lang w:val="es-ES"/>
        </w:rPr>
        <w:t xml:space="preserve">generación de </w:t>
      </w:r>
      <w:r w:rsidRPr="00D444B7">
        <w:rPr>
          <w:lang w:val="es-ES"/>
        </w:rPr>
        <w:t>responsabilidad en los sistemas alimentarios</w:t>
      </w:r>
      <w:r w:rsidR="00FE00E9">
        <w:rPr>
          <w:lang w:val="es-ES"/>
        </w:rPr>
        <w:t>,</w:t>
      </w:r>
      <w:r w:rsidRPr="00D444B7">
        <w:rPr>
          <w:lang w:val="es-ES"/>
        </w:rPr>
        <w:t xml:space="preserve"> y del valor de los conocimientos locales y tradicionales de las personas. En una coyuntura crítica en el camino hacia la Cumbre</w:t>
      </w:r>
      <w:r w:rsidRPr="00925336">
        <w:rPr>
          <w:lang w:val="es-ES"/>
        </w:rPr>
        <w:t xml:space="preserve">, </w:t>
      </w:r>
      <w:hyperlink r:id="rId12" w:history="1">
        <w:r w:rsidRPr="00925336">
          <w:rPr>
            <w:rStyle w:val="Hyperlink"/>
            <w:lang w:val="es-ES"/>
          </w:rPr>
          <w:t>tres expertos en derechos de la ONU advirtieron</w:t>
        </w:r>
      </w:hyperlink>
      <w:r w:rsidRPr="00925336">
        <w:rPr>
          <w:lang w:val="es-ES"/>
        </w:rPr>
        <w:t xml:space="preserve"> que ésta no sería una "cumbre de la gente" a menos </w:t>
      </w:r>
      <w:r w:rsidRPr="00EB05A8">
        <w:rPr>
          <w:lang w:val="es-ES"/>
        </w:rPr>
        <w:t>que</w:t>
      </w:r>
      <w:r w:rsidR="00FE00E9" w:rsidRPr="004741E0">
        <w:rPr>
          <w:color w:val="000000"/>
          <w:lang w:val="es-ES"/>
        </w:rPr>
        <w:t xml:space="preserve"> </w:t>
      </w:r>
      <w:r w:rsidR="00FE00E9" w:rsidRPr="004741E0">
        <w:rPr>
          <w:rStyle w:val="ts-alignment-element"/>
          <w:color w:val="000000"/>
          <w:lang w:val="es-ES"/>
        </w:rPr>
        <w:t>sea</w:t>
      </w:r>
      <w:r w:rsidR="00FE00E9" w:rsidRPr="004741E0">
        <w:rPr>
          <w:color w:val="000000"/>
          <w:lang w:val="es-ES"/>
        </w:rPr>
        <w:t xml:space="preserve"> </w:t>
      </w:r>
      <w:r w:rsidR="00FE00E9" w:rsidRPr="004741E0">
        <w:rPr>
          <w:rStyle w:val="ts-alignment-element"/>
          <w:color w:val="000000"/>
          <w:lang w:val="es-ES"/>
        </w:rPr>
        <w:t>replanteada urgentemente</w:t>
      </w:r>
      <w:r w:rsidR="00FE00E9" w:rsidRPr="004741E0">
        <w:rPr>
          <w:color w:val="000000"/>
          <w:lang w:val="es-ES"/>
        </w:rPr>
        <w:t xml:space="preserve"> </w:t>
      </w:r>
      <w:r w:rsidR="00EB05A8">
        <w:rPr>
          <w:lang w:val="es-ES"/>
        </w:rPr>
        <w:t>de manera a</w:t>
      </w:r>
      <w:r w:rsidRPr="00925336">
        <w:rPr>
          <w:lang w:val="es-ES"/>
        </w:rPr>
        <w:t xml:space="preserve"> integrar los derechos humanos en s</w:t>
      </w:r>
      <w:r w:rsidRPr="00D444B7">
        <w:rPr>
          <w:lang w:val="es-ES"/>
        </w:rPr>
        <w:t xml:space="preserve">us resultados y </w:t>
      </w:r>
      <w:r w:rsidR="00EB05A8">
        <w:rPr>
          <w:lang w:val="es-ES"/>
        </w:rPr>
        <w:t xml:space="preserve">a </w:t>
      </w:r>
      <w:r w:rsidRPr="00D444B7">
        <w:rPr>
          <w:lang w:val="es-ES"/>
        </w:rPr>
        <w:t xml:space="preserve">abordar las cuestiones pendientes de poder, participación y </w:t>
      </w:r>
      <w:r w:rsidR="00FE00E9">
        <w:rPr>
          <w:lang w:val="es-ES"/>
        </w:rPr>
        <w:t xml:space="preserve">generación de responsabilidad </w:t>
      </w:r>
      <w:r w:rsidRPr="00D444B7">
        <w:rPr>
          <w:lang w:val="es-ES"/>
        </w:rPr>
        <w:t xml:space="preserve">(es decir, cómo y </w:t>
      </w:r>
      <w:r w:rsidR="00FE00E9">
        <w:rPr>
          <w:lang w:val="es-ES"/>
        </w:rPr>
        <w:t xml:space="preserve">por </w:t>
      </w:r>
      <w:r w:rsidRPr="00D444B7">
        <w:rPr>
          <w:lang w:val="es-ES"/>
        </w:rPr>
        <w:t xml:space="preserve">quién </w:t>
      </w:r>
      <w:r w:rsidR="00FE00E9">
        <w:rPr>
          <w:lang w:val="es-ES"/>
        </w:rPr>
        <w:t xml:space="preserve">se </w:t>
      </w:r>
      <w:r w:rsidR="00EB05A8">
        <w:rPr>
          <w:lang w:val="es-ES"/>
        </w:rPr>
        <w:t>entregarán</w:t>
      </w:r>
      <w:r w:rsidR="00FE00E9">
        <w:rPr>
          <w:lang w:val="es-ES"/>
        </w:rPr>
        <w:t xml:space="preserve"> </w:t>
      </w:r>
      <w:r w:rsidRPr="00D444B7">
        <w:rPr>
          <w:lang w:val="es-ES"/>
        </w:rPr>
        <w:t>los resultados).</w:t>
      </w:r>
    </w:p>
    <w:p w14:paraId="14800375" w14:textId="77777777" w:rsidR="00EB05A8" w:rsidRPr="00D444B7" w:rsidRDefault="00EB05A8" w:rsidP="00D444B7">
      <w:pPr>
        <w:jc w:val="both"/>
        <w:rPr>
          <w:lang w:val="es-ES"/>
        </w:rPr>
      </w:pPr>
    </w:p>
    <w:p w14:paraId="7E7ED198" w14:textId="1F1BFA44" w:rsidR="00D444B7" w:rsidRDefault="00D444B7" w:rsidP="00D444B7">
      <w:pPr>
        <w:jc w:val="both"/>
        <w:rPr>
          <w:lang w:val="es-ES"/>
        </w:rPr>
      </w:pPr>
      <w:r w:rsidRPr="00D444B7">
        <w:rPr>
          <w:lang w:val="es-ES"/>
        </w:rPr>
        <w:t>En previsión de la Cumbre de septiembre de 2021, los Estados miembros deberían movilizarse más y evaluar la Cumbre a través de los siete principios del marco PANTHER (participación, rendición de cuentas</w:t>
      </w:r>
      <w:r w:rsidR="00C07628">
        <w:rPr>
          <w:lang w:val="es-ES"/>
        </w:rPr>
        <w:t xml:space="preserve">, </w:t>
      </w:r>
      <w:r w:rsidRPr="00D444B7">
        <w:rPr>
          <w:lang w:val="es-ES"/>
        </w:rPr>
        <w:t>no discriminación, transparencia, dignidad humana, empoderamiento y estado de derecho), teniendo en cuenta que los Estados son los principales responsables de la gobernanza en aras del interés público.</w:t>
      </w:r>
    </w:p>
    <w:p w14:paraId="0F5CBC40" w14:textId="77777777" w:rsidR="006E0D83" w:rsidRPr="00D444B7" w:rsidRDefault="006E0D83" w:rsidP="00D444B7">
      <w:pPr>
        <w:jc w:val="both"/>
        <w:rPr>
          <w:lang w:val="es-ES"/>
        </w:rPr>
      </w:pPr>
    </w:p>
    <w:p w14:paraId="623BA5A9" w14:textId="3DBE8EF8" w:rsidR="00D444B7" w:rsidRDefault="00D444B7" w:rsidP="00D444B7">
      <w:pPr>
        <w:jc w:val="both"/>
        <w:rPr>
          <w:lang w:val="es-ES"/>
        </w:rPr>
      </w:pPr>
      <w:r w:rsidRPr="00D444B7">
        <w:rPr>
          <w:lang w:val="es-ES"/>
        </w:rPr>
        <w:t>El Relator Especial desaconseja la creación de nuevas instituciones tras la Cumbre y recomienda reforzar los foros multilaterales de la ONU existentes en Roma y Ginebra para su seguimiento y revisión. El Comité de Seguridad Alimentaria Mundial de la ONU debería ser el lugar donde se discutan y evalúen en última instancia los resultados de la Cumbre, utilizando sus mecanismos de participación inclusiva.</w:t>
      </w:r>
    </w:p>
    <w:p w14:paraId="527F9104" w14:textId="77777777" w:rsidR="006E0D83" w:rsidRPr="00D444B7" w:rsidRDefault="006E0D83" w:rsidP="00D444B7">
      <w:pPr>
        <w:jc w:val="both"/>
        <w:rPr>
          <w:lang w:val="es-ES"/>
        </w:rPr>
      </w:pPr>
    </w:p>
    <w:p w14:paraId="254F1E89" w14:textId="4948C859" w:rsidR="00D444B7" w:rsidRDefault="00D444B7" w:rsidP="00D444B7">
      <w:pPr>
        <w:jc w:val="both"/>
        <w:rPr>
          <w:lang w:val="es-ES"/>
        </w:rPr>
      </w:pPr>
      <w:r w:rsidRPr="00D444B7">
        <w:rPr>
          <w:lang w:val="es-ES"/>
        </w:rPr>
        <w:lastRenderedPageBreak/>
        <w:t>Tomando nota de la aparición de coaliciones de acción en torno a determinadas cuestiones, el Relator Especial alienta a los Estados miembros a que se aseguren de que todas las coaliciones respondan a las demandas de los países y las regiones centrándose en los derechos humanos y abordando las prioridades transversales de equidad, empoderamiento y responsabilidad en los sistemas alimentarios.</w:t>
      </w:r>
    </w:p>
    <w:p w14:paraId="083ACDB0" w14:textId="77777777" w:rsidR="006E0D83" w:rsidRPr="00D444B7" w:rsidRDefault="006E0D83" w:rsidP="00D444B7">
      <w:pPr>
        <w:jc w:val="both"/>
        <w:rPr>
          <w:lang w:val="es-ES"/>
        </w:rPr>
      </w:pPr>
    </w:p>
    <w:p w14:paraId="2016B9D6" w14:textId="2B4A09ED" w:rsidR="00D444B7" w:rsidRDefault="00D444B7" w:rsidP="00D444B7">
      <w:pPr>
        <w:jc w:val="both"/>
        <w:rPr>
          <w:lang w:val="es-ES"/>
        </w:rPr>
      </w:pPr>
      <w:r w:rsidRPr="00D444B7">
        <w:rPr>
          <w:lang w:val="es-ES"/>
        </w:rPr>
        <w:t xml:space="preserve">Por último, el Relator Especial recomienda que los resultados de la Cumbre se evalúen a través de un marco de derechos humanos. Esto implica preguntarse qué contribución </w:t>
      </w:r>
      <w:r w:rsidR="006E0D83">
        <w:rPr>
          <w:lang w:val="es-ES"/>
        </w:rPr>
        <w:t>pueden hacer</w:t>
      </w:r>
      <w:r w:rsidR="006E0D83" w:rsidRPr="00D444B7">
        <w:rPr>
          <w:lang w:val="es-ES"/>
        </w:rPr>
        <w:t xml:space="preserve"> </w:t>
      </w:r>
      <w:r w:rsidRPr="00D444B7">
        <w:rPr>
          <w:lang w:val="es-ES"/>
        </w:rPr>
        <w:t>los resultados y cualquier seguimiento y revisión de la Cumbre a la realización del derecho a la alimentación y de los derechos humanos en general. En este sentido, se pueden plantear las siguientes preguntas:</w:t>
      </w:r>
    </w:p>
    <w:p w14:paraId="02DF42E2" w14:textId="77777777" w:rsidR="006E0D83" w:rsidRDefault="006E0D83" w:rsidP="00D444B7">
      <w:pPr>
        <w:jc w:val="both"/>
        <w:rPr>
          <w:lang w:val="es-ES"/>
        </w:rPr>
      </w:pPr>
    </w:p>
    <w:p w14:paraId="52CC3CE9" w14:textId="77777777" w:rsidR="00D444B7" w:rsidRPr="00D444B7" w:rsidRDefault="00D444B7" w:rsidP="00D444B7">
      <w:pPr>
        <w:jc w:val="both"/>
        <w:rPr>
          <w:lang w:val="es-ES"/>
        </w:rPr>
      </w:pPr>
      <w:r w:rsidRPr="00D444B7">
        <w:rPr>
          <w:lang w:val="es-ES"/>
        </w:rPr>
        <w:t>(a) ¿Cómo ayudan los resultados de la Cumbre a que los gobiernos y las personas se unan para hacer frente al hambre, la malnutrición y la desigualdad exacerbada por la pandemia del COVID-19?</w:t>
      </w:r>
    </w:p>
    <w:p w14:paraId="0049998E" w14:textId="526B89C3" w:rsidR="00D444B7" w:rsidRPr="00D444B7" w:rsidRDefault="00D444B7" w:rsidP="00D444B7">
      <w:pPr>
        <w:jc w:val="both"/>
        <w:rPr>
          <w:lang w:val="es-ES"/>
        </w:rPr>
      </w:pPr>
      <w:r w:rsidRPr="00D444B7">
        <w:rPr>
          <w:lang w:val="es-ES"/>
        </w:rPr>
        <w:t xml:space="preserve">(b) ¿Cómo guían </w:t>
      </w:r>
      <w:r w:rsidR="006E0D83">
        <w:rPr>
          <w:lang w:val="es-ES"/>
        </w:rPr>
        <w:t>dichos</w:t>
      </w:r>
      <w:r w:rsidRPr="00D444B7">
        <w:rPr>
          <w:lang w:val="es-ES"/>
        </w:rPr>
        <w:t xml:space="preserve"> resultados a los Estados para identificar y asignar el máximo de recursos disponibles para la realización del derecho a la alimentación, y evitar el retroceso en la realización de los derechos humanos?</w:t>
      </w:r>
    </w:p>
    <w:p w14:paraId="22948713" w14:textId="5B16BF2C" w:rsidR="00D444B7" w:rsidRPr="00D444B7" w:rsidRDefault="00D444B7" w:rsidP="00D444B7">
      <w:pPr>
        <w:jc w:val="both"/>
        <w:rPr>
          <w:lang w:val="es-ES"/>
        </w:rPr>
      </w:pPr>
      <w:r w:rsidRPr="00D444B7">
        <w:rPr>
          <w:lang w:val="es-ES"/>
        </w:rPr>
        <w:t>(c) ¿Cómo identifican los resultados</w:t>
      </w:r>
      <w:r w:rsidR="006E0D83">
        <w:rPr>
          <w:lang w:val="es-ES"/>
        </w:rPr>
        <w:t xml:space="preserve"> de la Cumbre</w:t>
      </w:r>
      <w:r w:rsidRPr="00D444B7">
        <w:rPr>
          <w:lang w:val="es-ES"/>
        </w:rPr>
        <w:t xml:space="preserve"> la causa fundamental de la crisis y hacen responsables a las empresas y otros actores de las violaciones de los derechos humanos?</w:t>
      </w:r>
    </w:p>
    <w:p w14:paraId="599D763E" w14:textId="24E5BA0F" w:rsidR="00D444B7" w:rsidRDefault="00D444B7" w:rsidP="00D444B7">
      <w:pPr>
        <w:jc w:val="both"/>
        <w:rPr>
          <w:lang w:val="es-ES"/>
        </w:rPr>
      </w:pPr>
      <w:r w:rsidRPr="00D444B7">
        <w:rPr>
          <w:lang w:val="es-ES"/>
        </w:rPr>
        <w:t>(d) ¿Cómo se basan los resultados en una comprensión del</w:t>
      </w:r>
      <w:r w:rsidR="00FE00E9">
        <w:rPr>
          <w:lang w:val="es-ES"/>
        </w:rPr>
        <w:t xml:space="preserve"> </w:t>
      </w:r>
      <w:r w:rsidRPr="00D444B7">
        <w:rPr>
          <w:lang w:val="es-ES"/>
        </w:rPr>
        <w:t>a</w:t>
      </w:r>
      <w:r w:rsidR="00FE00E9">
        <w:rPr>
          <w:lang w:val="es-ES"/>
        </w:rPr>
        <w:t xml:space="preserve">rbitrio </w:t>
      </w:r>
      <w:r w:rsidRPr="00D444B7">
        <w:rPr>
          <w:lang w:val="es-ES"/>
        </w:rPr>
        <w:t xml:space="preserve">que pone el control de los sistemas alimentarios en manos de las personas en su calidad de titulares de derechos? ¿Y </w:t>
      </w:r>
      <w:r w:rsidR="006E0D83">
        <w:rPr>
          <w:lang w:val="es-ES"/>
        </w:rPr>
        <w:t xml:space="preserve">cómo </w:t>
      </w:r>
      <w:r w:rsidRPr="00D444B7">
        <w:rPr>
          <w:lang w:val="es-ES"/>
        </w:rPr>
        <w:t>hacen que los mecanismos de gobernanza nacionales e internacionales sean más responsables ante las personas y respondan a las desigualdades estructurales?</w:t>
      </w:r>
    </w:p>
    <w:p w14:paraId="66764AD4" w14:textId="77777777" w:rsidR="00D444B7" w:rsidRDefault="00D444B7" w:rsidP="00D444B7">
      <w:pPr>
        <w:jc w:val="both"/>
        <w:rPr>
          <w:lang w:val="es-ES"/>
        </w:rPr>
      </w:pPr>
    </w:p>
    <w:p w14:paraId="1AC8BBA9" w14:textId="77777777" w:rsidR="00D444B7" w:rsidRDefault="00D444B7" w:rsidP="00D444B7">
      <w:pPr>
        <w:jc w:val="both"/>
        <w:rPr>
          <w:lang w:val="es-ES"/>
        </w:rPr>
      </w:pPr>
    </w:p>
    <w:p w14:paraId="5C38B5EC" w14:textId="77777777" w:rsidR="00D444B7" w:rsidRPr="00D444B7" w:rsidRDefault="00D444B7" w:rsidP="00D444B7">
      <w:pPr>
        <w:jc w:val="both"/>
        <w:rPr>
          <w:b/>
          <w:bCs/>
          <w:u w:val="single"/>
          <w:lang w:val="es-ES"/>
        </w:rPr>
      </w:pPr>
    </w:p>
    <w:p w14:paraId="0BB006EB" w14:textId="77777777" w:rsidR="00D444B7" w:rsidRPr="00D444B7" w:rsidRDefault="00D444B7" w:rsidP="00D444B7">
      <w:pPr>
        <w:jc w:val="both"/>
        <w:rPr>
          <w:b/>
          <w:bCs/>
          <w:u w:val="single"/>
          <w:lang w:val="es-ES"/>
        </w:rPr>
      </w:pPr>
      <w:r w:rsidRPr="00D444B7">
        <w:rPr>
          <w:b/>
          <w:bCs/>
          <w:u w:val="single"/>
          <w:lang w:val="es-ES"/>
        </w:rPr>
        <w:t>Más información</w:t>
      </w:r>
    </w:p>
    <w:p w14:paraId="7B062428" w14:textId="77777777" w:rsidR="00D444B7" w:rsidRPr="00BD19E3" w:rsidRDefault="00D444B7" w:rsidP="00D444B7">
      <w:pPr>
        <w:jc w:val="both"/>
        <w:rPr>
          <w:rStyle w:val="Hyperlink"/>
          <w:lang w:val="es-ES"/>
        </w:rPr>
      </w:pPr>
      <w:r w:rsidRPr="00D444B7">
        <w:rPr>
          <w:lang w:val="es-ES"/>
        </w:rPr>
        <w:t xml:space="preserve">Se puede solicitar más información y detalles sobre el informe político y el próximo informe a través del mandato del Relator Especial sobre el derecho a la alimentación: </w:t>
      </w:r>
      <w:r w:rsidRPr="00BD19E3">
        <w:rPr>
          <w:rStyle w:val="Hyperlink"/>
          <w:lang w:val="es-ES"/>
        </w:rPr>
        <w:t>srfood@ohchr.org</w:t>
      </w:r>
    </w:p>
    <w:p w14:paraId="7A218198" w14:textId="77777777" w:rsidR="00FE00E9" w:rsidRDefault="00FE00E9" w:rsidP="00D444B7">
      <w:pPr>
        <w:jc w:val="both"/>
        <w:rPr>
          <w:lang w:val="es-ES"/>
        </w:rPr>
      </w:pPr>
    </w:p>
    <w:p w14:paraId="4239AC5E" w14:textId="783D545F" w:rsidR="00122DF1" w:rsidRPr="00D444B7" w:rsidRDefault="00D444B7" w:rsidP="00DB50A0">
      <w:pPr>
        <w:jc w:val="both"/>
        <w:rPr>
          <w:sz w:val="16"/>
          <w:lang w:val="es-ES"/>
        </w:rPr>
      </w:pPr>
      <w:r w:rsidRPr="00D444B7">
        <w:rPr>
          <w:lang w:val="es-ES"/>
        </w:rPr>
        <w:t>El Relator Especial sigue disponible para otras consultas y sugerencias de cooperación.</w:t>
      </w:r>
    </w:p>
    <w:p w14:paraId="2447F181" w14:textId="77777777" w:rsidR="00122DF1" w:rsidRPr="00D444B7" w:rsidRDefault="00122DF1">
      <w:pPr>
        <w:pStyle w:val="BodyText"/>
        <w:rPr>
          <w:sz w:val="26"/>
          <w:lang w:val="es-ES"/>
        </w:rPr>
      </w:pPr>
    </w:p>
    <w:sectPr w:rsidR="00122DF1" w:rsidRPr="00D444B7">
      <w:pgSz w:w="11910" w:h="16840"/>
      <w:pgMar w:top="2580" w:right="1440" w:bottom="1220" w:left="1600" w:header="558"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87536" w14:textId="77777777" w:rsidR="00BA2913" w:rsidRDefault="00BA2913">
      <w:r>
        <w:separator/>
      </w:r>
    </w:p>
  </w:endnote>
  <w:endnote w:type="continuationSeparator" w:id="0">
    <w:p w14:paraId="49C9D7C7" w14:textId="77777777" w:rsidR="00BA2913" w:rsidRDefault="00BA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93A9A" w14:textId="4958871A" w:rsidR="00122DF1" w:rsidRDefault="00D444B7">
    <w:pPr>
      <w:pStyle w:val="BodyText"/>
      <w:spacing w:line="14" w:lineRule="auto"/>
      <w:rPr>
        <w:sz w:val="20"/>
      </w:rPr>
    </w:pPr>
    <w:r>
      <w:rPr>
        <w:noProof/>
        <w:lang w:eastAsia="en-GB"/>
      </w:rPr>
      <mc:AlternateContent>
        <mc:Choice Requires="wps">
          <w:drawing>
            <wp:anchor distT="0" distB="0" distL="114300" distR="114300" simplePos="0" relativeHeight="487532544" behindDoc="1" locked="0" layoutInCell="1" allowOverlap="1" wp14:anchorId="453B3AF0" wp14:editId="5BEDB57E">
              <wp:simplePos x="0" y="0"/>
              <wp:positionH relativeFrom="page">
                <wp:posOffset>6464300</wp:posOffset>
              </wp:positionH>
              <wp:positionV relativeFrom="page">
                <wp:posOffset>9903460</wp:posOffset>
              </wp:positionV>
              <wp:extent cx="159385" cy="180975"/>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18322" w14:textId="2D4ADEE2" w:rsidR="00122DF1" w:rsidRDefault="00B53652">
                          <w:pPr>
                            <w:spacing w:before="11"/>
                            <w:ind w:left="60"/>
                          </w:pPr>
                          <w:r>
                            <w:fldChar w:fldCharType="begin"/>
                          </w:r>
                          <w:r>
                            <w:instrText xml:space="preserve"> PAGE </w:instrText>
                          </w:r>
                          <w:r>
                            <w:fldChar w:fldCharType="separate"/>
                          </w:r>
                          <w:r w:rsidR="004741E0">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B3AF0" id="_x0000_t202" coordsize="21600,21600" o:spt="202" path="m,l,21600r21600,l21600,xe">
              <v:stroke joinstyle="miter"/>
              <v:path gradientshapeok="t" o:connecttype="rect"/>
            </v:shapetype>
            <v:shape id="docshape4" o:spid="_x0000_s1029" type="#_x0000_t202" style="position:absolute;margin-left:509pt;margin-top:779.8pt;width:12.55pt;height:14.25pt;z-index:-1578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" filled="f" stroked="f">
              <v:textbox inset="0,0,0,0">
                <w:txbxContent>
                  <w:p w14:paraId="3D318322" w14:textId="2D4ADEE2" w:rsidR="00122DF1" w:rsidRDefault="00B53652">
                    <w:pPr>
                      <w:spacing w:before="11"/>
                      <w:ind w:left="60"/>
                    </w:pPr>
                    <w:r>
                      <w:fldChar w:fldCharType="begin"/>
                    </w:r>
                    <w:r>
                      <w:instrText xml:space="preserve"> PAGE </w:instrText>
                    </w:r>
                    <w:r>
                      <w:fldChar w:fldCharType="separate"/>
                    </w:r>
                    <w:r w:rsidR="004741E0">
                      <w:rPr>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94E40" w14:textId="77777777" w:rsidR="00BA2913" w:rsidRDefault="00BA2913">
      <w:r>
        <w:separator/>
      </w:r>
    </w:p>
  </w:footnote>
  <w:footnote w:type="continuationSeparator" w:id="0">
    <w:p w14:paraId="72275304" w14:textId="77777777" w:rsidR="00BA2913" w:rsidRDefault="00BA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68639" w14:textId="32BEE212" w:rsidR="00122DF1" w:rsidRDefault="00B53652">
    <w:pPr>
      <w:pStyle w:val="BodyText"/>
      <w:spacing w:line="14" w:lineRule="auto"/>
      <w:rPr>
        <w:sz w:val="20"/>
      </w:rPr>
    </w:pPr>
    <w:r>
      <w:rPr>
        <w:noProof/>
        <w:lang w:eastAsia="en-GB"/>
      </w:rPr>
      <w:drawing>
        <wp:anchor distT="0" distB="0" distL="0" distR="0" simplePos="0" relativeHeight="487530496" behindDoc="1" locked="0" layoutInCell="1" allowOverlap="1" wp14:anchorId="10D4527B" wp14:editId="3C6D04E3">
          <wp:simplePos x="0" y="0"/>
          <wp:positionH relativeFrom="page">
            <wp:posOffset>3212072</wp:posOffset>
          </wp:positionH>
          <wp:positionV relativeFrom="page">
            <wp:posOffset>354512</wp:posOffset>
          </wp:positionV>
          <wp:extent cx="1226080" cy="5133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26080" cy="513350"/>
                  </a:xfrm>
                  <a:prstGeom prst="rect">
                    <a:avLst/>
                  </a:prstGeom>
                </pic:spPr>
              </pic:pic>
            </a:graphicData>
          </a:graphic>
        </wp:anchor>
      </w:drawing>
    </w:r>
    <w:r w:rsidR="00D444B7">
      <w:rPr>
        <w:noProof/>
        <w:lang w:eastAsia="en-GB"/>
      </w:rPr>
      <mc:AlternateContent>
        <mc:Choice Requires="wps">
          <w:drawing>
            <wp:anchor distT="0" distB="0" distL="114300" distR="114300" simplePos="0" relativeHeight="487531008" behindDoc="1" locked="0" layoutInCell="1" allowOverlap="1" wp14:anchorId="3D6147E4" wp14:editId="0CC9BF5C">
              <wp:simplePos x="0" y="0"/>
              <wp:positionH relativeFrom="page">
                <wp:posOffset>2863850</wp:posOffset>
              </wp:positionH>
              <wp:positionV relativeFrom="page">
                <wp:posOffset>1123950</wp:posOffset>
              </wp:positionV>
              <wp:extent cx="2040890" cy="114300"/>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8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0F22A" w14:textId="77777777" w:rsidR="00122DF1" w:rsidRDefault="00B53652">
                          <w:pPr>
                            <w:spacing w:line="162" w:lineRule="exact"/>
                            <w:ind w:left="20"/>
                            <w:rPr>
                              <w:rFonts w:ascii="Calibri" w:hAnsi="Calibri"/>
                              <w:sz w:val="14"/>
                            </w:rPr>
                          </w:pPr>
                          <w:r>
                            <w:rPr>
                              <w:rFonts w:ascii="Calibri" w:hAnsi="Calibri"/>
                              <w:sz w:val="14"/>
                            </w:rPr>
                            <w:t>PALAIS</w:t>
                          </w:r>
                          <w:r>
                            <w:rPr>
                              <w:rFonts w:ascii="Calibri" w:hAnsi="Calibri"/>
                              <w:spacing w:val="-4"/>
                              <w:sz w:val="14"/>
                            </w:rPr>
                            <w:t xml:space="preserve"> </w:t>
                          </w:r>
                          <w:r>
                            <w:rPr>
                              <w:rFonts w:ascii="Calibri" w:hAnsi="Calibri"/>
                              <w:sz w:val="14"/>
                            </w:rPr>
                            <w:t>DES</w:t>
                          </w:r>
                          <w:r>
                            <w:rPr>
                              <w:rFonts w:ascii="Calibri" w:hAnsi="Calibri"/>
                              <w:spacing w:val="-3"/>
                              <w:sz w:val="14"/>
                            </w:rPr>
                            <w:t xml:space="preserve"> </w:t>
                          </w:r>
                          <w:r>
                            <w:rPr>
                              <w:rFonts w:ascii="Calibri" w:hAnsi="Calibri"/>
                              <w:sz w:val="14"/>
                            </w:rPr>
                            <w:t>NATIONS</w:t>
                          </w:r>
                          <w:r>
                            <w:rPr>
                              <w:rFonts w:ascii="Calibri" w:hAnsi="Calibri"/>
                              <w:spacing w:val="-4"/>
                              <w:sz w:val="14"/>
                            </w:rPr>
                            <w:t xml:space="preserve"> </w:t>
                          </w:r>
                          <w:r>
                            <w:rPr>
                              <w:rFonts w:ascii="Calibri" w:hAnsi="Calibri"/>
                              <w:sz w:val="14"/>
                            </w:rPr>
                            <w:t>•</w:t>
                          </w:r>
                          <w:r>
                            <w:rPr>
                              <w:rFonts w:ascii="Calibri" w:hAnsi="Calibri"/>
                              <w:spacing w:val="-2"/>
                              <w:sz w:val="14"/>
                            </w:rPr>
                            <w:t xml:space="preserve"> </w:t>
                          </w:r>
                          <w:r>
                            <w:rPr>
                              <w:rFonts w:ascii="Calibri" w:hAnsi="Calibri"/>
                              <w:sz w:val="14"/>
                            </w:rPr>
                            <w:t>1211</w:t>
                          </w:r>
                          <w:r>
                            <w:rPr>
                              <w:rFonts w:ascii="Calibri" w:hAnsi="Calibri"/>
                              <w:spacing w:val="-6"/>
                              <w:sz w:val="14"/>
                            </w:rPr>
                            <w:t xml:space="preserve"> </w:t>
                          </w:r>
                          <w:r>
                            <w:rPr>
                              <w:rFonts w:ascii="Calibri" w:hAnsi="Calibri"/>
                              <w:sz w:val="14"/>
                            </w:rPr>
                            <w:t>GENEVA</w:t>
                          </w:r>
                          <w:r>
                            <w:rPr>
                              <w:rFonts w:ascii="Calibri" w:hAnsi="Calibri"/>
                              <w:spacing w:val="-1"/>
                              <w:sz w:val="14"/>
                            </w:rPr>
                            <w:t xml:space="preserve"> </w:t>
                          </w:r>
                          <w:r>
                            <w:rPr>
                              <w:rFonts w:ascii="Calibri" w:hAnsi="Calibri"/>
                              <w:sz w:val="14"/>
                            </w:rPr>
                            <w:t>10,</w:t>
                          </w:r>
                          <w:r>
                            <w:rPr>
                              <w:rFonts w:ascii="Calibri" w:hAnsi="Calibri"/>
                              <w:spacing w:val="-6"/>
                              <w:sz w:val="14"/>
                            </w:rPr>
                            <w:t xml:space="preserve"> </w:t>
                          </w:r>
                          <w:r>
                            <w:rPr>
                              <w:rFonts w:ascii="Calibri" w:hAnsi="Calibri"/>
                              <w:sz w:val="14"/>
                            </w:rPr>
                            <w:t>SWITZERLAND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D6147E4" id="_x0000_t202" coordsize="21600,21600" o:spt="202" path="m,l,21600r21600,l21600,xe">
              <v:stroke joinstyle="miter"/>
              <v:path gradientshapeok="t" o:connecttype="rect"/>
            </v:shapetype>
            <v:shape id="docshape1" o:spid="_x0000_s1026" type="#_x0000_t202" style="position:absolute;margin-left:225.5pt;margin-top:88.5pt;width:160.7pt;height:9pt;z-index:-1578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" filled="f" stroked="f">
              <v:textbox inset="0,0,0,0">
                <w:txbxContent>
                  <w:p w14:paraId="0C50F22A" w14:textId="77777777" w:rsidR="00122DF1" w:rsidRDefault="00B53652">
                    <w:pPr>
                      <w:spacing w:line="162" w:lineRule="exact"/>
                      <w:ind w:left="20"/>
                      <w:rPr>
                        <w:rFonts w:ascii="Calibri" w:hAnsi="Calibri"/>
                        <w:sz w:val="14"/>
                      </w:rPr>
                    </w:pPr>
                    <w:r>
                      <w:rPr>
                        <w:rFonts w:ascii="Calibri" w:hAnsi="Calibri"/>
                        <w:sz w:val="14"/>
                      </w:rPr>
                      <w:t>PALAIS</w:t>
                    </w:r>
                    <w:r>
                      <w:rPr>
                        <w:rFonts w:ascii="Calibri" w:hAnsi="Calibri"/>
                        <w:spacing w:val="-4"/>
                        <w:sz w:val="14"/>
                      </w:rPr>
                      <w:t xml:space="preserve"> </w:t>
                    </w:r>
                    <w:r>
                      <w:rPr>
                        <w:rFonts w:ascii="Calibri" w:hAnsi="Calibri"/>
                        <w:sz w:val="14"/>
                      </w:rPr>
                      <w:t>DES</w:t>
                    </w:r>
                    <w:r>
                      <w:rPr>
                        <w:rFonts w:ascii="Calibri" w:hAnsi="Calibri"/>
                        <w:spacing w:val="-3"/>
                        <w:sz w:val="14"/>
                      </w:rPr>
                      <w:t xml:space="preserve"> </w:t>
                    </w:r>
                    <w:r>
                      <w:rPr>
                        <w:rFonts w:ascii="Calibri" w:hAnsi="Calibri"/>
                        <w:sz w:val="14"/>
                      </w:rPr>
                      <w:t>NATIONS</w:t>
                    </w:r>
                    <w:r>
                      <w:rPr>
                        <w:rFonts w:ascii="Calibri" w:hAnsi="Calibri"/>
                        <w:spacing w:val="-4"/>
                        <w:sz w:val="14"/>
                      </w:rPr>
                      <w:t xml:space="preserve"> </w:t>
                    </w:r>
                    <w:r>
                      <w:rPr>
                        <w:rFonts w:ascii="Calibri" w:hAnsi="Calibri"/>
                        <w:sz w:val="14"/>
                      </w:rPr>
                      <w:t>•</w:t>
                    </w:r>
                    <w:r>
                      <w:rPr>
                        <w:rFonts w:ascii="Calibri" w:hAnsi="Calibri"/>
                        <w:spacing w:val="-2"/>
                        <w:sz w:val="14"/>
                      </w:rPr>
                      <w:t xml:space="preserve"> </w:t>
                    </w:r>
                    <w:r>
                      <w:rPr>
                        <w:rFonts w:ascii="Calibri" w:hAnsi="Calibri"/>
                        <w:sz w:val="14"/>
                      </w:rPr>
                      <w:t>1211</w:t>
                    </w:r>
                    <w:r>
                      <w:rPr>
                        <w:rFonts w:ascii="Calibri" w:hAnsi="Calibri"/>
                        <w:spacing w:val="-6"/>
                        <w:sz w:val="14"/>
                      </w:rPr>
                      <w:t xml:space="preserve"> </w:t>
                    </w:r>
                    <w:r>
                      <w:rPr>
                        <w:rFonts w:ascii="Calibri" w:hAnsi="Calibri"/>
                        <w:sz w:val="14"/>
                      </w:rPr>
                      <w:t>GENEVA</w:t>
                    </w:r>
                    <w:r>
                      <w:rPr>
                        <w:rFonts w:ascii="Calibri" w:hAnsi="Calibri"/>
                        <w:spacing w:val="-1"/>
                        <w:sz w:val="14"/>
                      </w:rPr>
                      <w:t xml:space="preserve"> </w:t>
                    </w:r>
                    <w:r>
                      <w:rPr>
                        <w:rFonts w:ascii="Calibri" w:hAnsi="Calibri"/>
                        <w:sz w:val="14"/>
                      </w:rPr>
                      <w:t>10,</w:t>
                    </w:r>
                    <w:r>
                      <w:rPr>
                        <w:rFonts w:ascii="Calibri" w:hAnsi="Calibri"/>
                        <w:spacing w:val="-6"/>
                        <w:sz w:val="14"/>
                      </w:rPr>
                      <w:t xml:space="preserve"> </w:t>
                    </w:r>
                    <w:r>
                      <w:rPr>
                        <w:rFonts w:ascii="Calibri" w:hAnsi="Calibri"/>
                        <w:sz w:val="14"/>
                      </w:rPr>
                      <w:t>SWITZERLAND</w:t>
                    </w:r>
                  </w:p>
                </w:txbxContent>
              </v:textbox>
              <w10:wrap anchorx="page" anchory="page"/>
            </v:shape>
          </w:pict>
        </mc:Fallback>
      </mc:AlternateContent>
    </w:r>
    <w:r w:rsidR="00D444B7">
      <w:rPr>
        <w:noProof/>
        <w:lang w:eastAsia="en-GB"/>
      </w:rPr>
      <mc:AlternateContent>
        <mc:Choice Requires="wps">
          <w:drawing>
            <wp:anchor distT="0" distB="0" distL="114300" distR="114300" simplePos="0" relativeHeight="487531520" behindDoc="1" locked="0" layoutInCell="1" allowOverlap="1" wp14:anchorId="580FBDFC" wp14:editId="6A0337E4">
              <wp:simplePos x="0" y="0"/>
              <wp:positionH relativeFrom="page">
                <wp:posOffset>2125980</wp:posOffset>
              </wp:positionH>
              <wp:positionV relativeFrom="page">
                <wp:posOffset>1308100</wp:posOffset>
              </wp:positionV>
              <wp:extent cx="3399155" cy="114300"/>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915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B8649" w14:textId="77777777" w:rsidR="00122DF1" w:rsidRDefault="004741E0">
                          <w:pPr>
                            <w:spacing w:line="162" w:lineRule="exact"/>
                            <w:ind w:left="20"/>
                            <w:rPr>
                              <w:rFonts w:ascii="Calibri" w:hAnsi="Calibri"/>
                              <w:sz w:val="14"/>
                            </w:rPr>
                          </w:pPr>
                          <w:hyperlink r:id="rId2">
                            <w:r w:rsidR="00B53652">
                              <w:rPr>
                                <w:rFonts w:ascii="Calibri" w:hAnsi="Calibri"/>
                                <w:sz w:val="14"/>
                              </w:rPr>
                              <w:t>www.ohchr.org</w:t>
                            </w:r>
                            <w:r w:rsidR="00B53652">
                              <w:rPr>
                                <w:rFonts w:ascii="Calibri" w:hAnsi="Calibri"/>
                                <w:spacing w:val="-3"/>
                                <w:sz w:val="14"/>
                              </w:rPr>
                              <w:t xml:space="preserve"> </w:t>
                            </w:r>
                          </w:hyperlink>
                          <w:r w:rsidR="00B53652">
                            <w:rPr>
                              <w:rFonts w:ascii="Calibri" w:hAnsi="Calibri"/>
                              <w:sz w:val="14"/>
                            </w:rPr>
                            <w:t>•</w:t>
                          </w:r>
                          <w:r w:rsidR="00B53652">
                            <w:rPr>
                              <w:rFonts w:ascii="Calibri" w:hAnsi="Calibri"/>
                              <w:spacing w:val="-1"/>
                              <w:sz w:val="14"/>
                            </w:rPr>
                            <w:t xml:space="preserve"> </w:t>
                          </w:r>
                          <w:r w:rsidR="00B53652">
                            <w:rPr>
                              <w:rFonts w:ascii="Calibri" w:hAnsi="Calibri"/>
                              <w:sz w:val="14"/>
                            </w:rPr>
                            <w:t>TEL:</w:t>
                          </w:r>
                          <w:r w:rsidR="00B53652">
                            <w:rPr>
                              <w:rFonts w:ascii="Calibri" w:hAnsi="Calibri"/>
                              <w:spacing w:val="-1"/>
                              <w:sz w:val="14"/>
                            </w:rPr>
                            <w:t xml:space="preserve"> </w:t>
                          </w:r>
                          <w:r w:rsidR="00B53652">
                            <w:rPr>
                              <w:rFonts w:ascii="Calibri" w:hAnsi="Calibri"/>
                              <w:sz w:val="14"/>
                            </w:rPr>
                            <w:t>+41</w:t>
                          </w:r>
                          <w:r w:rsidR="00B53652">
                            <w:rPr>
                              <w:rFonts w:ascii="Calibri" w:hAnsi="Calibri"/>
                              <w:spacing w:val="-2"/>
                              <w:sz w:val="14"/>
                            </w:rPr>
                            <w:t xml:space="preserve"> </w:t>
                          </w:r>
                          <w:r w:rsidR="00B53652">
                            <w:rPr>
                              <w:rFonts w:ascii="Calibri" w:hAnsi="Calibri"/>
                              <w:sz w:val="14"/>
                            </w:rPr>
                            <w:t>22</w:t>
                          </w:r>
                          <w:r w:rsidR="00B53652">
                            <w:rPr>
                              <w:rFonts w:ascii="Calibri" w:hAnsi="Calibri"/>
                              <w:spacing w:val="-2"/>
                              <w:sz w:val="14"/>
                            </w:rPr>
                            <w:t xml:space="preserve"> </w:t>
                          </w:r>
                          <w:r w:rsidR="00B53652">
                            <w:rPr>
                              <w:rFonts w:ascii="Calibri" w:hAnsi="Calibri"/>
                              <w:sz w:val="14"/>
                            </w:rPr>
                            <w:t>917</w:t>
                          </w:r>
                          <w:r w:rsidR="00B53652">
                            <w:rPr>
                              <w:rFonts w:ascii="Calibri" w:hAnsi="Calibri"/>
                              <w:spacing w:val="-1"/>
                              <w:sz w:val="14"/>
                            </w:rPr>
                            <w:t xml:space="preserve"> </w:t>
                          </w:r>
                          <w:r w:rsidR="00B53652">
                            <w:rPr>
                              <w:rFonts w:ascii="Calibri" w:hAnsi="Calibri"/>
                              <w:sz w:val="14"/>
                            </w:rPr>
                            <w:t>9000</w:t>
                          </w:r>
                          <w:r w:rsidR="00B53652">
                            <w:rPr>
                              <w:rFonts w:ascii="Calibri" w:hAnsi="Calibri"/>
                              <w:spacing w:val="-4"/>
                              <w:sz w:val="14"/>
                            </w:rPr>
                            <w:t xml:space="preserve"> </w:t>
                          </w:r>
                          <w:r w:rsidR="00B53652">
                            <w:rPr>
                              <w:rFonts w:ascii="Calibri" w:hAnsi="Calibri"/>
                              <w:sz w:val="14"/>
                            </w:rPr>
                            <w:t>•</w:t>
                          </w:r>
                          <w:r w:rsidR="00B53652">
                            <w:rPr>
                              <w:rFonts w:ascii="Calibri" w:hAnsi="Calibri"/>
                              <w:spacing w:val="-3"/>
                              <w:sz w:val="14"/>
                            </w:rPr>
                            <w:t xml:space="preserve"> </w:t>
                          </w:r>
                          <w:r w:rsidR="00B53652">
                            <w:rPr>
                              <w:rFonts w:ascii="Calibri" w:hAnsi="Calibri"/>
                              <w:sz w:val="14"/>
                            </w:rPr>
                            <w:t>FAX:</w:t>
                          </w:r>
                          <w:r w:rsidR="00B53652">
                            <w:rPr>
                              <w:rFonts w:ascii="Calibri" w:hAnsi="Calibri"/>
                              <w:spacing w:val="-2"/>
                              <w:sz w:val="14"/>
                            </w:rPr>
                            <w:t xml:space="preserve"> </w:t>
                          </w:r>
                          <w:r w:rsidR="00B53652">
                            <w:rPr>
                              <w:rFonts w:ascii="Calibri" w:hAnsi="Calibri"/>
                              <w:sz w:val="14"/>
                            </w:rPr>
                            <w:t>+41</w:t>
                          </w:r>
                          <w:r w:rsidR="00B53652">
                            <w:rPr>
                              <w:rFonts w:ascii="Calibri" w:hAnsi="Calibri"/>
                              <w:spacing w:val="-2"/>
                              <w:sz w:val="14"/>
                            </w:rPr>
                            <w:t xml:space="preserve"> </w:t>
                          </w:r>
                          <w:r w:rsidR="00B53652">
                            <w:rPr>
                              <w:rFonts w:ascii="Calibri" w:hAnsi="Calibri"/>
                              <w:sz w:val="14"/>
                            </w:rPr>
                            <w:t>22</w:t>
                          </w:r>
                          <w:r w:rsidR="00B53652">
                            <w:rPr>
                              <w:rFonts w:ascii="Calibri" w:hAnsi="Calibri"/>
                              <w:spacing w:val="-1"/>
                              <w:sz w:val="14"/>
                            </w:rPr>
                            <w:t xml:space="preserve"> </w:t>
                          </w:r>
                          <w:r w:rsidR="00B53652">
                            <w:rPr>
                              <w:rFonts w:ascii="Calibri" w:hAnsi="Calibri"/>
                              <w:sz w:val="14"/>
                            </w:rPr>
                            <w:t>917</w:t>
                          </w:r>
                          <w:r w:rsidR="00B53652">
                            <w:rPr>
                              <w:rFonts w:ascii="Calibri" w:hAnsi="Calibri"/>
                              <w:spacing w:val="-2"/>
                              <w:sz w:val="14"/>
                            </w:rPr>
                            <w:t xml:space="preserve"> </w:t>
                          </w:r>
                          <w:r w:rsidR="00B53652">
                            <w:rPr>
                              <w:rFonts w:ascii="Calibri" w:hAnsi="Calibri"/>
                              <w:sz w:val="14"/>
                            </w:rPr>
                            <w:t>9008</w:t>
                          </w:r>
                          <w:r w:rsidR="00B53652">
                            <w:rPr>
                              <w:rFonts w:ascii="Calibri" w:hAnsi="Calibri"/>
                              <w:spacing w:val="-4"/>
                              <w:sz w:val="14"/>
                            </w:rPr>
                            <w:t xml:space="preserve"> </w:t>
                          </w:r>
                          <w:r w:rsidR="00B53652">
                            <w:rPr>
                              <w:rFonts w:ascii="Calibri" w:hAnsi="Calibri"/>
                              <w:sz w:val="14"/>
                            </w:rPr>
                            <w:t>•</w:t>
                          </w:r>
                          <w:r w:rsidR="00B53652">
                            <w:rPr>
                              <w:rFonts w:ascii="Calibri" w:hAnsi="Calibri"/>
                              <w:spacing w:val="-1"/>
                              <w:sz w:val="14"/>
                            </w:rPr>
                            <w:t xml:space="preserve"> </w:t>
                          </w:r>
                          <w:r w:rsidR="00B53652">
                            <w:rPr>
                              <w:rFonts w:ascii="Calibri" w:hAnsi="Calibri"/>
                              <w:sz w:val="14"/>
                            </w:rPr>
                            <w:t>E-MAIL:</w:t>
                          </w:r>
                          <w:r w:rsidR="00B53652">
                            <w:rPr>
                              <w:rFonts w:ascii="Calibri" w:hAnsi="Calibri"/>
                              <w:spacing w:val="-1"/>
                              <w:sz w:val="14"/>
                            </w:rPr>
                            <w:t xml:space="preserve"> </w:t>
                          </w:r>
                          <w:hyperlink r:id="rId3">
                            <w:r w:rsidR="00B53652">
                              <w:rPr>
                                <w:rFonts w:ascii="Calibri" w:hAnsi="Calibri"/>
                                <w:color w:val="0000FF"/>
                                <w:sz w:val="14"/>
                                <w:u w:val="single" w:color="0000FF"/>
                              </w:rPr>
                              <w:t>registry@ohchr.org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80FBDFC" id="docshape2" o:spid="_x0000_s1027" type="#_x0000_t202" style="position:absolute;margin-left:167.4pt;margin-top:103pt;width:267.65pt;height:9pt;z-index:-1578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" filled="f" stroked="f">
              <v:textbox inset="0,0,0,0">
                <w:txbxContent>
                  <w:p w14:paraId="41BB8649" w14:textId="77777777" w:rsidR="00122DF1" w:rsidRDefault="008A7A2D">
                    <w:pPr>
                      <w:spacing w:line="162" w:lineRule="exact"/>
                      <w:ind w:left="20"/>
                      <w:rPr>
                        <w:rFonts w:ascii="Calibri" w:hAnsi="Calibri"/>
                        <w:sz w:val="14"/>
                      </w:rPr>
                    </w:pPr>
                    <w:hyperlink r:id="rId4">
                      <w:r w:rsidR="00B53652">
                        <w:rPr>
                          <w:rFonts w:ascii="Calibri" w:hAnsi="Calibri"/>
                          <w:sz w:val="14"/>
                        </w:rPr>
                        <w:t>www.ohchr.org</w:t>
                      </w:r>
                      <w:r w:rsidR="00B53652">
                        <w:rPr>
                          <w:rFonts w:ascii="Calibri" w:hAnsi="Calibri"/>
                          <w:spacing w:val="-3"/>
                          <w:sz w:val="14"/>
                        </w:rPr>
                        <w:t xml:space="preserve"> </w:t>
                      </w:r>
                    </w:hyperlink>
                    <w:r w:rsidR="00B53652">
                      <w:rPr>
                        <w:rFonts w:ascii="Calibri" w:hAnsi="Calibri"/>
                        <w:sz w:val="14"/>
                      </w:rPr>
                      <w:t>•</w:t>
                    </w:r>
                    <w:r w:rsidR="00B53652">
                      <w:rPr>
                        <w:rFonts w:ascii="Calibri" w:hAnsi="Calibri"/>
                        <w:spacing w:val="-1"/>
                        <w:sz w:val="14"/>
                      </w:rPr>
                      <w:t xml:space="preserve"> </w:t>
                    </w:r>
                    <w:r w:rsidR="00B53652">
                      <w:rPr>
                        <w:rFonts w:ascii="Calibri" w:hAnsi="Calibri"/>
                        <w:sz w:val="14"/>
                      </w:rPr>
                      <w:t>TEL:</w:t>
                    </w:r>
                    <w:r w:rsidR="00B53652">
                      <w:rPr>
                        <w:rFonts w:ascii="Calibri" w:hAnsi="Calibri"/>
                        <w:spacing w:val="-1"/>
                        <w:sz w:val="14"/>
                      </w:rPr>
                      <w:t xml:space="preserve"> </w:t>
                    </w:r>
                    <w:r w:rsidR="00B53652">
                      <w:rPr>
                        <w:rFonts w:ascii="Calibri" w:hAnsi="Calibri"/>
                        <w:sz w:val="14"/>
                      </w:rPr>
                      <w:t>+41</w:t>
                    </w:r>
                    <w:r w:rsidR="00B53652">
                      <w:rPr>
                        <w:rFonts w:ascii="Calibri" w:hAnsi="Calibri"/>
                        <w:spacing w:val="-2"/>
                        <w:sz w:val="14"/>
                      </w:rPr>
                      <w:t xml:space="preserve"> </w:t>
                    </w:r>
                    <w:r w:rsidR="00B53652">
                      <w:rPr>
                        <w:rFonts w:ascii="Calibri" w:hAnsi="Calibri"/>
                        <w:sz w:val="14"/>
                      </w:rPr>
                      <w:t>22</w:t>
                    </w:r>
                    <w:r w:rsidR="00B53652">
                      <w:rPr>
                        <w:rFonts w:ascii="Calibri" w:hAnsi="Calibri"/>
                        <w:spacing w:val="-2"/>
                        <w:sz w:val="14"/>
                      </w:rPr>
                      <w:t xml:space="preserve"> </w:t>
                    </w:r>
                    <w:r w:rsidR="00B53652">
                      <w:rPr>
                        <w:rFonts w:ascii="Calibri" w:hAnsi="Calibri"/>
                        <w:sz w:val="14"/>
                      </w:rPr>
                      <w:t>917</w:t>
                    </w:r>
                    <w:r w:rsidR="00B53652">
                      <w:rPr>
                        <w:rFonts w:ascii="Calibri" w:hAnsi="Calibri"/>
                        <w:spacing w:val="-1"/>
                        <w:sz w:val="14"/>
                      </w:rPr>
                      <w:t xml:space="preserve"> </w:t>
                    </w:r>
                    <w:r w:rsidR="00B53652">
                      <w:rPr>
                        <w:rFonts w:ascii="Calibri" w:hAnsi="Calibri"/>
                        <w:sz w:val="14"/>
                      </w:rPr>
                      <w:t>9000</w:t>
                    </w:r>
                    <w:r w:rsidR="00B53652">
                      <w:rPr>
                        <w:rFonts w:ascii="Calibri" w:hAnsi="Calibri"/>
                        <w:spacing w:val="-4"/>
                        <w:sz w:val="14"/>
                      </w:rPr>
                      <w:t xml:space="preserve"> </w:t>
                    </w:r>
                    <w:r w:rsidR="00B53652">
                      <w:rPr>
                        <w:rFonts w:ascii="Calibri" w:hAnsi="Calibri"/>
                        <w:sz w:val="14"/>
                      </w:rPr>
                      <w:t>•</w:t>
                    </w:r>
                    <w:r w:rsidR="00B53652">
                      <w:rPr>
                        <w:rFonts w:ascii="Calibri" w:hAnsi="Calibri"/>
                        <w:spacing w:val="-3"/>
                        <w:sz w:val="14"/>
                      </w:rPr>
                      <w:t xml:space="preserve"> </w:t>
                    </w:r>
                    <w:r w:rsidR="00B53652">
                      <w:rPr>
                        <w:rFonts w:ascii="Calibri" w:hAnsi="Calibri"/>
                        <w:sz w:val="14"/>
                      </w:rPr>
                      <w:t>FAX:</w:t>
                    </w:r>
                    <w:r w:rsidR="00B53652">
                      <w:rPr>
                        <w:rFonts w:ascii="Calibri" w:hAnsi="Calibri"/>
                        <w:spacing w:val="-2"/>
                        <w:sz w:val="14"/>
                      </w:rPr>
                      <w:t xml:space="preserve"> </w:t>
                    </w:r>
                    <w:r w:rsidR="00B53652">
                      <w:rPr>
                        <w:rFonts w:ascii="Calibri" w:hAnsi="Calibri"/>
                        <w:sz w:val="14"/>
                      </w:rPr>
                      <w:t>+41</w:t>
                    </w:r>
                    <w:r w:rsidR="00B53652">
                      <w:rPr>
                        <w:rFonts w:ascii="Calibri" w:hAnsi="Calibri"/>
                        <w:spacing w:val="-2"/>
                        <w:sz w:val="14"/>
                      </w:rPr>
                      <w:t xml:space="preserve"> </w:t>
                    </w:r>
                    <w:r w:rsidR="00B53652">
                      <w:rPr>
                        <w:rFonts w:ascii="Calibri" w:hAnsi="Calibri"/>
                        <w:sz w:val="14"/>
                      </w:rPr>
                      <w:t>22</w:t>
                    </w:r>
                    <w:r w:rsidR="00B53652">
                      <w:rPr>
                        <w:rFonts w:ascii="Calibri" w:hAnsi="Calibri"/>
                        <w:spacing w:val="-1"/>
                        <w:sz w:val="14"/>
                      </w:rPr>
                      <w:t xml:space="preserve"> </w:t>
                    </w:r>
                    <w:r w:rsidR="00B53652">
                      <w:rPr>
                        <w:rFonts w:ascii="Calibri" w:hAnsi="Calibri"/>
                        <w:sz w:val="14"/>
                      </w:rPr>
                      <w:t>917</w:t>
                    </w:r>
                    <w:r w:rsidR="00B53652">
                      <w:rPr>
                        <w:rFonts w:ascii="Calibri" w:hAnsi="Calibri"/>
                        <w:spacing w:val="-2"/>
                        <w:sz w:val="14"/>
                      </w:rPr>
                      <w:t xml:space="preserve"> </w:t>
                    </w:r>
                    <w:r w:rsidR="00B53652">
                      <w:rPr>
                        <w:rFonts w:ascii="Calibri" w:hAnsi="Calibri"/>
                        <w:sz w:val="14"/>
                      </w:rPr>
                      <w:t>9008</w:t>
                    </w:r>
                    <w:r w:rsidR="00B53652">
                      <w:rPr>
                        <w:rFonts w:ascii="Calibri" w:hAnsi="Calibri"/>
                        <w:spacing w:val="-4"/>
                        <w:sz w:val="14"/>
                      </w:rPr>
                      <w:t xml:space="preserve"> </w:t>
                    </w:r>
                    <w:r w:rsidR="00B53652">
                      <w:rPr>
                        <w:rFonts w:ascii="Calibri" w:hAnsi="Calibri"/>
                        <w:sz w:val="14"/>
                      </w:rPr>
                      <w:t>•</w:t>
                    </w:r>
                    <w:r w:rsidR="00B53652">
                      <w:rPr>
                        <w:rFonts w:ascii="Calibri" w:hAnsi="Calibri"/>
                        <w:spacing w:val="-1"/>
                        <w:sz w:val="14"/>
                      </w:rPr>
                      <w:t xml:space="preserve"> </w:t>
                    </w:r>
                    <w:r w:rsidR="00B53652">
                      <w:rPr>
                        <w:rFonts w:ascii="Calibri" w:hAnsi="Calibri"/>
                        <w:sz w:val="14"/>
                      </w:rPr>
                      <w:t>E-MAIL:</w:t>
                    </w:r>
                    <w:r w:rsidR="00B53652">
                      <w:rPr>
                        <w:rFonts w:ascii="Calibri" w:hAnsi="Calibri"/>
                        <w:spacing w:val="-1"/>
                        <w:sz w:val="14"/>
                      </w:rPr>
                      <w:t xml:space="preserve"> </w:t>
                    </w:r>
                    <w:hyperlink r:id="rId5">
                      <w:r w:rsidR="00B53652">
                        <w:rPr>
                          <w:rFonts w:ascii="Calibri" w:hAnsi="Calibri"/>
                          <w:color w:val="0000FF"/>
                          <w:sz w:val="14"/>
                          <w:u w:val="single" w:color="0000FF"/>
                        </w:rPr>
                        <w:t>registry@ohchr.org</w:t>
                      </w:r>
                    </w:hyperlink>
                  </w:p>
                </w:txbxContent>
              </v:textbox>
              <w10:wrap anchorx="page" anchory="page"/>
            </v:shape>
          </w:pict>
        </mc:Fallback>
      </mc:AlternateContent>
    </w:r>
    <w:r w:rsidR="00D444B7">
      <w:rPr>
        <w:noProof/>
        <w:lang w:eastAsia="en-GB"/>
      </w:rPr>
      <mc:AlternateContent>
        <mc:Choice Requires="wps">
          <w:drawing>
            <wp:anchor distT="0" distB="0" distL="114300" distR="114300" simplePos="0" relativeHeight="487532032" behindDoc="1" locked="0" layoutInCell="1" allowOverlap="1" wp14:anchorId="6EF84350" wp14:editId="55CAFD88">
              <wp:simplePos x="0" y="0"/>
              <wp:positionH relativeFrom="page">
                <wp:posOffset>2354580</wp:posOffset>
              </wp:positionH>
              <wp:positionV relativeFrom="page">
                <wp:posOffset>1501775</wp:posOffset>
              </wp:positionV>
              <wp:extent cx="2942590" cy="152400"/>
              <wp:effectExtent l="0" t="0" r="0" b="0"/>
              <wp:wrapNone/>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25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F68F4" w14:textId="77777777" w:rsidR="00122DF1" w:rsidRPr="00DB50A0" w:rsidRDefault="00B53652">
                          <w:pPr>
                            <w:spacing w:line="223" w:lineRule="exact"/>
                            <w:ind w:left="20"/>
                            <w:rPr>
                              <w:rFonts w:ascii="Calibri"/>
                              <w:b/>
                              <w:sz w:val="20"/>
                              <w:lang w:val="en-GB"/>
                            </w:rPr>
                          </w:pPr>
                          <w:r w:rsidRPr="00DB50A0">
                            <w:rPr>
                              <w:rFonts w:ascii="Calibri"/>
                              <w:b/>
                              <w:sz w:val="20"/>
                              <w:lang w:val="en-GB"/>
                            </w:rPr>
                            <w:t>Mandate</w:t>
                          </w:r>
                          <w:r w:rsidRPr="00DB50A0">
                            <w:rPr>
                              <w:rFonts w:ascii="Calibri"/>
                              <w:b/>
                              <w:spacing w:val="-2"/>
                              <w:sz w:val="20"/>
                              <w:lang w:val="en-GB"/>
                            </w:rPr>
                            <w:t xml:space="preserve"> </w:t>
                          </w:r>
                          <w:r w:rsidRPr="00DB50A0">
                            <w:rPr>
                              <w:rFonts w:ascii="Calibri"/>
                              <w:b/>
                              <w:sz w:val="20"/>
                              <w:lang w:val="en-GB"/>
                            </w:rPr>
                            <w:t>of</w:t>
                          </w:r>
                          <w:r w:rsidRPr="00DB50A0">
                            <w:rPr>
                              <w:rFonts w:ascii="Calibri"/>
                              <w:b/>
                              <w:spacing w:val="-2"/>
                              <w:sz w:val="20"/>
                              <w:lang w:val="en-GB"/>
                            </w:rPr>
                            <w:t xml:space="preserve"> </w:t>
                          </w:r>
                          <w:r w:rsidRPr="00DB50A0">
                            <w:rPr>
                              <w:rFonts w:ascii="Calibri"/>
                              <w:b/>
                              <w:sz w:val="20"/>
                              <w:lang w:val="en-GB"/>
                            </w:rPr>
                            <w:t>the</w:t>
                          </w:r>
                          <w:r w:rsidRPr="00DB50A0">
                            <w:rPr>
                              <w:rFonts w:ascii="Calibri"/>
                              <w:b/>
                              <w:spacing w:val="-1"/>
                              <w:sz w:val="20"/>
                              <w:lang w:val="en-GB"/>
                            </w:rPr>
                            <w:t xml:space="preserve"> </w:t>
                          </w:r>
                          <w:r w:rsidRPr="00DB50A0">
                            <w:rPr>
                              <w:rFonts w:ascii="Calibri"/>
                              <w:b/>
                              <w:sz w:val="20"/>
                              <w:lang w:val="en-GB"/>
                            </w:rPr>
                            <w:t>Special</w:t>
                          </w:r>
                          <w:r w:rsidRPr="00DB50A0">
                            <w:rPr>
                              <w:rFonts w:ascii="Calibri"/>
                              <w:b/>
                              <w:spacing w:val="-3"/>
                              <w:sz w:val="20"/>
                              <w:lang w:val="en-GB"/>
                            </w:rPr>
                            <w:t xml:space="preserve"> </w:t>
                          </w:r>
                          <w:r w:rsidRPr="00DB50A0">
                            <w:rPr>
                              <w:rFonts w:ascii="Calibri"/>
                              <w:b/>
                              <w:sz w:val="20"/>
                              <w:lang w:val="en-GB"/>
                            </w:rPr>
                            <w:t>Rapporteur</w:t>
                          </w:r>
                          <w:r w:rsidRPr="00DB50A0">
                            <w:rPr>
                              <w:rFonts w:ascii="Calibri"/>
                              <w:b/>
                              <w:spacing w:val="-4"/>
                              <w:sz w:val="20"/>
                              <w:lang w:val="en-GB"/>
                            </w:rPr>
                            <w:t xml:space="preserve"> </w:t>
                          </w:r>
                          <w:r w:rsidRPr="00DB50A0">
                            <w:rPr>
                              <w:rFonts w:ascii="Calibri"/>
                              <w:b/>
                              <w:sz w:val="20"/>
                              <w:lang w:val="en-GB"/>
                            </w:rPr>
                            <w:t>on</w:t>
                          </w:r>
                          <w:r w:rsidRPr="00DB50A0">
                            <w:rPr>
                              <w:rFonts w:ascii="Calibri"/>
                              <w:b/>
                              <w:spacing w:val="-2"/>
                              <w:sz w:val="20"/>
                              <w:lang w:val="en-GB"/>
                            </w:rPr>
                            <w:t xml:space="preserve"> </w:t>
                          </w:r>
                          <w:r w:rsidRPr="00DB50A0">
                            <w:rPr>
                              <w:rFonts w:ascii="Calibri"/>
                              <w:b/>
                              <w:sz w:val="20"/>
                              <w:lang w:val="en-GB"/>
                            </w:rPr>
                            <w:t>the</w:t>
                          </w:r>
                          <w:r w:rsidRPr="00DB50A0">
                            <w:rPr>
                              <w:rFonts w:ascii="Calibri"/>
                              <w:b/>
                              <w:spacing w:val="-2"/>
                              <w:sz w:val="20"/>
                              <w:lang w:val="en-GB"/>
                            </w:rPr>
                            <w:t xml:space="preserve"> </w:t>
                          </w:r>
                          <w:r w:rsidRPr="00DB50A0">
                            <w:rPr>
                              <w:rFonts w:ascii="Calibri"/>
                              <w:b/>
                              <w:sz w:val="20"/>
                              <w:lang w:val="en-GB"/>
                            </w:rPr>
                            <w:t>right</w:t>
                          </w:r>
                          <w:r w:rsidRPr="00DB50A0">
                            <w:rPr>
                              <w:rFonts w:ascii="Calibri"/>
                              <w:b/>
                              <w:spacing w:val="-2"/>
                              <w:sz w:val="20"/>
                              <w:lang w:val="en-GB"/>
                            </w:rPr>
                            <w:t xml:space="preserve"> </w:t>
                          </w:r>
                          <w:r w:rsidRPr="00DB50A0">
                            <w:rPr>
                              <w:rFonts w:ascii="Calibri"/>
                              <w:b/>
                              <w:sz w:val="20"/>
                              <w:lang w:val="en-GB"/>
                            </w:rPr>
                            <w:t>to</w:t>
                          </w:r>
                          <w:r w:rsidRPr="00DB50A0">
                            <w:rPr>
                              <w:rFonts w:ascii="Calibri"/>
                              <w:b/>
                              <w:spacing w:val="-1"/>
                              <w:sz w:val="20"/>
                              <w:lang w:val="en-GB"/>
                            </w:rPr>
                            <w:t xml:space="preserve"> </w:t>
                          </w:r>
                          <w:r w:rsidRPr="00DB50A0">
                            <w:rPr>
                              <w:rFonts w:ascii="Calibri"/>
                              <w:b/>
                              <w:sz w:val="20"/>
                              <w:lang w:val="en-GB"/>
                            </w:rPr>
                            <w:t>food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EF84350" id="_x0000_t202" coordsize="21600,21600" o:spt="202" path="m,l,21600r21600,l21600,xe">
              <v:stroke joinstyle="miter"/>
              <v:path gradientshapeok="t" o:connecttype="rect"/>
            </v:shapetype>
            <v:shape id="docshape3" o:spid="_x0000_s1028" type="#_x0000_t202" style="position:absolute;margin-left:185.4pt;margin-top:118.25pt;width:231.7pt;height:12pt;z-index:-1578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" filled="f" stroked="f">
              <v:textbox inset="0,0,0,0">
                <w:txbxContent>
                  <w:p w14:paraId="00FF68F4" w14:textId="77777777" w:rsidR="00122DF1" w:rsidRPr="00DB50A0" w:rsidRDefault="00B53652">
                    <w:pPr>
                      <w:spacing w:line="223" w:lineRule="exact"/>
                      <w:ind w:left="20"/>
                      <w:rPr>
                        <w:rFonts w:ascii="Calibri"/>
                        <w:b/>
                        <w:sz w:val="20"/>
                        <w:lang w:val="en-GB"/>
                      </w:rPr>
                    </w:pPr>
                    <w:r w:rsidRPr="00DB50A0">
                      <w:rPr>
                        <w:rFonts w:ascii="Calibri"/>
                        <w:b/>
                        <w:sz w:val="20"/>
                        <w:lang w:val="en-GB"/>
                      </w:rPr>
                      <w:t>Mandate</w:t>
                    </w:r>
                    <w:r w:rsidRPr="00DB50A0">
                      <w:rPr>
                        <w:rFonts w:ascii="Calibri"/>
                        <w:b/>
                        <w:spacing w:val="-2"/>
                        <w:sz w:val="20"/>
                        <w:lang w:val="en-GB"/>
                      </w:rPr>
                      <w:t xml:space="preserve"> </w:t>
                    </w:r>
                    <w:r w:rsidRPr="00DB50A0">
                      <w:rPr>
                        <w:rFonts w:ascii="Calibri"/>
                        <w:b/>
                        <w:sz w:val="20"/>
                        <w:lang w:val="en-GB"/>
                      </w:rPr>
                      <w:t>of</w:t>
                    </w:r>
                    <w:r w:rsidRPr="00DB50A0">
                      <w:rPr>
                        <w:rFonts w:ascii="Calibri"/>
                        <w:b/>
                        <w:spacing w:val="-2"/>
                        <w:sz w:val="20"/>
                        <w:lang w:val="en-GB"/>
                      </w:rPr>
                      <w:t xml:space="preserve"> </w:t>
                    </w:r>
                    <w:r w:rsidRPr="00DB50A0">
                      <w:rPr>
                        <w:rFonts w:ascii="Calibri"/>
                        <w:b/>
                        <w:sz w:val="20"/>
                        <w:lang w:val="en-GB"/>
                      </w:rPr>
                      <w:t>the</w:t>
                    </w:r>
                    <w:r w:rsidRPr="00DB50A0">
                      <w:rPr>
                        <w:rFonts w:ascii="Calibri"/>
                        <w:b/>
                        <w:spacing w:val="-1"/>
                        <w:sz w:val="20"/>
                        <w:lang w:val="en-GB"/>
                      </w:rPr>
                      <w:t xml:space="preserve"> </w:t>
                    </w:r>
                    <w:r w:rsidRPr="00DB50A0">
                      <w:rPr>
                        <w:rFonts w:ascii="Calibri"/>
                        <w:b/>
                        <w:sz w:val="20"/>
                        <w:lang w:val="en-GB"/>
                      </w:rPr>
                      <w:t>Special</w:t>
                    </w:r>
                    <w:r w:rsidRPr="00DB50A0">
                      <w:rPr>
                        <w:rFonts w:ascii="Calibri"/>
                        <w:b/>
                        <w:spacing w:val="-3"/>
                        <w:sz w:val="20"/>
                        <w:lang w:val="en-GB"/>
                      </w:rPr>
                      <w:t xml:space="preserve"> </w:t>
                    </w:r>
                    <w:r w:rsidRPr="00DB50A0">
                      <w:rPr>
                        <w:rFonts w:ascii="Calibri"/>
                        <w:b/>
                        <w:sz w:val="20"/>
                        <w:lang w:val="en-GB"/>
                      </w:rPr>
                      <w:t>Rapporteur</w:t>
                    </w:r>
                    <w:r w:rsidRPr="00DB50A0">
                      <w:rPr>
                        <w:rFonts w:ascii="Calibri"/>
                        <w:b/>
                        <w:spacing w:val="-4"/>
                        <w:sz w:val="20"/>
                        <w:lang w:val="en-GB"/>
                      </w:rPr>
                      <w:t xml:space="preserve"> </w:t>
                    </w:r>
                    <w:r w:rsidRPr="00DB50A0">
                      <w:rPr>
                        <w:rFonts w:ascii="Calibri"/>
                        <w:b/>
                        <w:sz w:val="20"/>
                        <w:lang w:val="en-GB"/>
                      </w:rPr>
                      <w:t>on</w:t>
                    </w:r>
                    <w:r w:rsidRPr="00DB50A0">
                      <w:rPr>
                        <w:rFonts w:ascii="Calibri"/>
                        <w:b/>
                        <w:spacing w:val="-2"/>
                        <w:sz w:val="20"/>
                        <w:lang w:val="en-GB"/>
                      </w:rPr>
                      <w:t xml:space="preserve"> </w:t>
                    </w:r>
                    <w:r w:rsidRPr="00DB50A0">
                      <w:rPr>
                        <w:rFonts w:ascii="Calibri"/>
                        <w:b/>
                        <w:sz w:val="20"/>
                        <w:lang w:val="en-GB"/>
                      </w:rPr>
                      <w:t>the</w:t>
                    </w:r>
                    <w:r w:rsidRPr="00DB50A0">
                      <w:rPr>
                        <w:rFonts w:ascii="Calibri"/>
                        <w:b/>
                        <w:spacing w:val="-2"/>
                        <w:sz w:val="20"/>
                        <w:lang w:val="en-GB"/>
                      </w:rPr>
                      <w:t xml:space="preserve"> </w:t>
                    </w:r>
                    <w:r w:rsidRPr="00DB50A0">
                      <w:rPr>
                        <w:rFonts w:ascii="Calibri"/>
                        <w:b/>
                        <w:sz w:val="20"/>
                        <w:lang w:val="en-GB"/>
                      </w:rPr>
                      <w:t>right</w:t>
                    </w:r>
                    <w:r w:rsidRPr="00DB50A0">
                      <w:rPr>
                        <w:rFonts w:ascii="Calibri"/>
                        <w:b/>
                        <w:spacing w:val="-2"/>
                        <w:sz w:val="20"/>
                        <w:lang w:val="en-GB"/>
                      </w:rPr>
                      <w:t xml:space="preserve"> </w:t>
                    </w:r>
                    <w:r w:rsidRPr="00DB50A0">
                      <w:rPr>
                        <w:rFonts w:ascii="Calibri"/>
                        <w:b/>
                        <w:sz w:val="20"/>
                        <w:lang w:val="en-GB"/>
                      </w:rPr>
                      <w:t>to</w:t>
                    </w:r>
                    <w:r w:rsidRPr="00DB50A0">
                      <w:rPr>
                        <w:rFonts w:ascii="Calibri"/>
                        <w:b/>
                        <w:spacing w:val="-1"/>
                        <w:sz w:val="20"/>
                        <w:lang w:val="en-GB"/>
                      </w:rPr>
                      <w:t xml:space="preserve"> </w:t>
                    </w:r>
                    <w:r w:rsidRPr="00DB50A0">
                      <w:rPr>
                        <w:rFonts w:ascii="Calibri"/>
                        <w:b/>
                        <w:sz w:val="20"/>
                        <w:lang w:val="en-GB"/>
                      </w:rPr>
                      <w:t>food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80DDF"/>
    <w:multiLevelType w:val="hybridMultilevel"/>
    <w:tmpl w:val="8BA6E6FE"/>
    <w:lvl w:ilvl="0" w:tplc="3A60DADC">
      <w:start w:val="1"/>
      <w:numFmt w:val="lowerLetter"/>
      <w:lvlText w:val="(%1)"/>
      <w:lvlJc w:val="left"/>
      <w:pPr>
        <w:ind w:left="102" w:hanging="567"/>
      </w:pPr>
      <w:rPr>
        <w:rFonts w:ascii="Times New Roman" w:eastAsia="Times New Roman" w:hAnsi="Times New Roman" w:cs="Times New Roman" w:hint="default"/>
        <w:b w:val="0"/>
        <w:bCs w:val="0"/>
        <w:i w:val="0"/>
        <w:iCs w:val="0"/>
        <w:spacing w:val="-2"/>
        <w:w w:val="99"/>
        <w:sz w:val="24"/>
        <w:szCs w:val="24"/>
        <w:lang w:val="en-GB" w:eastAsia="en-US" w:bidi="ar-SA"/>
      </w:rPr>
    </w:lvl>
    <w:lvl w:ilvl="1" w:tplc="A838E4AE">
      <w:numFmt w:val="bullet"/>
      <w:lvlText w:val="•"/>
      <w:lvlJc w:val="left"/>
      <w:pPr>
        <w:ind w:left="976" w:hanging="567"/>
      </w:pPr>
      <w:rPr>
        <w:rFonts w:hint="default"/>
        <w:lang w:val="en-GB" w:eastAsia="en-US" w:bidi="ar-SA"/>
      </w:rPr>
    </w:lvl>
    <w:lvl w:ilvl="2" w:tplc="83028062">
      <w:numFmt w:val="bullet"/>
      <w:lvlText w:val="•"/>
      <w:lvlJc w:val="left"/>
      <w:pPr>
        <w:ind w:left="1853" w:hanging="567"/>
      </w:pPr>
      <w:rPr>
        <w:rFonts w:hint="default"/>
        <w:lang w:val="en-GB" w:eastAsia="en-US" w:bidi="ar-SA"/>
      </w:rPr>
    </w:lvl>
    <w:lvl w:ilvl="3" w:tplc="97981986">
      <w:numFmt w:val="bullet"/>
      <w:lvlText w:val="•"/>
      <w:lvlJc w:val="left"/>
      <w:pPr>
        <w:ind w:left="2729" w:hanging="567"/>
      </w:pPr>
      <w:rPr>
        <w:rFonts w:hint="default"/>
        <w:lang w:val="en-GB" w:eastAsia="en-US" w:bidi="ar-SA"/>
      </w:rPr>
    </w:lvl>
    <w:lvl w:ilvl="4" w:tplc="B17A0E06">
      <w:numFmt w:val="bullet"/>
      <w:lvlText w:val="•"/>
      <w:lvlJc w:val="left"/>
      <w:pPr>
        <w:ind w:left="3606" w:hanging="567"/>
      </w:pPr>
      <w:rPr>
        <w:rFonts w:hint="default"/>
        <w:lang w:val="en-GB" w:eastAsia="en-US" w:bidi="ar-SA"/>
      </w:rPr>
    </w:lvl>
    <w:lvl w:ilvl="5" w:tplc="45F675CA">
      <w:numFmt w:val="bullet"/>
      <w:lvlText w:val="•"/>
      <w:lvlJc w:val="left"/>
      <w:pPr>
        <w:ind w:left="4483" w:hanging="567"/>
      </w:pPr>
      <w:rPr>
        <w:rFonts w:hint="default"/>
        <w:lang w:val="en-GB" w:eastAsia="en-US" w:bidi="ar-SA"/>
      </w:rPr>
    </w:lvl>
    <w:lvl w:ilvl="6" w:tplc="2C88B1F0">
      <w:numFmt w:val="bullet"/>
      <w:lvlText w:val="•"/>
      <w:lvlJc w:val="left"/>
      <w:pPr>
        <w:ind w:left="5359" w:hanging="567"/>
      </w:pPr>
      <w:rPr>
        <w:rFonts w:hint="default"/>
        <w:lang w:val="en-GB" w:eastAsia="en-US" w:bidi="ar-SA"/>
      </w:rPr>
    </w:lvl>
    <w:lvl w:ilvl="7" w:tplc="E8247428">
      <w:numFmt w:val="bullet"/>
      <w:lvlText w:val="•"/>
      <w:lvlJc w:val="left"/>
      <w:pPr>
        <w:ind w:left="6236" w:hanging="567"/>
      </w:pPr>
      <w:rPr>
        <w:rFonts w:hint="default"/>
        <w:lang w:val="en-GB" w:eastAsia="en-US" w:bidi="ar-SA"/>
      </w:rPr>
    </w:lvl>
    <w:lvl w:ilvl="8" w:tplc="B902233A">
      <w:numFmt w:val="bullet"/>
      <w:lvlText w:val="•"/>
      <w:lvlJc w:val="left"/>
      <w:pPr>
        <w:ind w:left="7113" w:hanging="567"/>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proofState w:spelling="clean" w:grammar="clean"/>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DF1"/>
    <w:rsid w:val="0002115A"/>
    <w:rsid w:val="00122DF1"/>
    <w:rsid w:val="003D442A"/>
    <w:rsid w:val="004741E0"/>
    <w:rsid w:val="005E7AE3"/>
    <w:rsid w:val="006E0D83"/>
    <w:rsid w:val="008A7A2D"/>
    <w:rsid w:val="00925336"/>
    <w:rsid w:val="00967CE0"/>
    <w:rsid w:val="00981A04"/>
    <w:rsid w:val="00AB23B8"/>
    <w:rsid w:val="00B53652"/>
    <w:rsid w:val="00BA2913"/>
    <w:rsid w:val="00BD19E3"/>
    <w:rsid w:val="00C07628"/>
    <w:rsid w:val="00D444B7"/>
    <w:rsid w:val="00D93DB5"/>
    <w:rsid w:val="00DB50A0"/>
    <w:rsid w:val="00EB05A8"/>
    <w:rsid w:val="00FE00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98380B"/>
  <w15:docId w15:val="{B2686609-6697-4F85-8955-932E9C25B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0E9"/>
    <w:pPr>
      <w:widowControl/>
      <w:autoSpaceDE/>
      <w:autoSpaceDN/>
    </w:pPr>
    <w:rPr>
      <w:rFonts w:ascii="Times New Roman" w:eastAsia="Times New Roman" w:hAnsi="Times New Roman" w:cs="Times New Roman"/>
      <w:sz w:val="24"/>
      <w:szCs w:val="24"/>
      <w:lang w:val="it-IT" w:eastAsia="it-IT"/>
    </w:rPr>
  </w:style>
  <w:style w:type="paragraph" w:styleId="Heading1">
    <w:name w:val="heading 1"/>
    <w:basedOn w:val="Normal"/>
    <w:uiPriority w:val="9"/>
    <w:qFormat/>
    <w:pPr>
      <w:widowControl w:val="0"/>
      <w:autoSpaceDE w:val="0"/>
      <w:autoSpaceDN w:val="0"/>
      <w:spacing w:before="90"/>
      <w:ind w:left="102"/>
      <w:jc w:val="both"/>
      <w:outlineLvl w:val="0"/>
    </w:pPr>
    <w:rPr>
      <w:b/>
      <w:bCs/>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widowControl w:val="0"/>
      <w:autoSpaceDE w:val="0"/>
      <w:autoSpaceDN w:val="0"/>
    </w:pPr>
    <w:rPr>
      <w:lang w:val="en-GB" w:eastAsia="en-US"/>
    </w:rPr>
  </w:style>
  <w:style w:type="paragraph" w:styleId="ListParagraph">
    <w:name w:val="List Paragraph"/>
    <w:basedOn w:val="Normal"/>
    <w:uiPriority w:val="1"/>
    <w:qFormat/>
    <w:pPr>
      <w:widowControl w:val="0"/>
      <w:autoSpaceDE w:val="0"/>
      <w:autoSpaceDN w:val="0"/>
      <w:spacing w:before="120"/>
      <w:ind w:left="102" w:right="108" w:firstLine="141"/>
      <w:jc w:val="both"/>
    </w:pPr>
    <w:rPr>
      <w:sz w:val="22"/>
      <w:szCs w:val="22"/>
      <w:lang w:val="en-GB" w:eastAsia="en-US"/>
    </w:rPr>
  </w:style>
  <w:style w:type="paragraph" w:customStyle="1" w:styleId="TableParagraph">
    <w:name w:val="Table Paragraph"/>
    <w:basedOn w:val="Normal"/>
    <w:uiPriority w:val="1"/>
    <w:qFormat/>
    <w:pPr>
      <w:widowControl w:val="0"/>
      <w:autoSpaceDE w:val="0"/>
      <w:autoSpaceDN w:val="0"/>
    </w:pPr>
    <w:rPr>
      <w:sz w:val="22"/>
      <w:szCs w:val="22"/>
      <w:lang w:val="en-GB" w:eastAsia="en-US"/>
    </w:rPr>
  </w:style>
  <w:style w:type="character" w:customStyle="1" w:styleId="ts-alignment-element">
    <w:name w:val="ts-alignment-element"/>
    <w:basedOn w:val="DefaultParagraphFont"/>
    <w:rsid w:val="00FE00E9"/>
  </w:style>
  <w:style w:type="character" w:styleId="Hyperlink">
    <w:name w:val="Hyperlink"/>
    <w:basedOn w:val="DefaultParagraphFont"/>
    <w:uiPriority w:val="99"/>
    <w:unhideWhenUsed/>
    <w:rsid w:val="00DB50A0"/>
    <w:rPr>
      <w:color w:val="0000FF" w:themeColor="hyperlink"/>
      <w:u w:val="single"/>
    </w:rPr>
  </w:style>
  <w:style w:type="character" w:customStyle="1" w:styleId="UnresolvedMention">
    <w:name w:val="Unresolved Mention"/>
    <w:basedOn w:val="DefaultParagraphFont"/>
    <w:uiPriority w:val="99"/>
    <w:semiHidden/>
    <w:unhideWhenUsed/>
    <w:rsid w:val="00DB50A0"/>
    <w:rPr>
      <w:color w:val="605E5C"/>
      <w:shd w:val="clear" w:color="auto" w:fill="E1DFDD"/>
    </w:rPr>
  </w:style>
  <w:style w:type="table" w:styleId="TableGrid">
    <w:name w:val="Table Grid"/>
    <w:basedOn w:val="TableNormal"/>
    <w:uiPriority w:val="39"/>
    <w:rsid w:val="00BD1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23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3B8"/>
    <w:rPr>
      <w:rFonts w:ascii="Segoe UI" w:eastAsia="Times New Roman" w:hAnsi="Segoe UI" w:cs="Segoe UI"/>
      <w:sz w:val="18"/>
      <w:szCs w:val="18"/>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466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ipsnews.net/2021/03/un-food-systems-summit-not-respond-urgency-reform/"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es-food.org/pages/history-of-food-governance"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ohchr.org/SP/Issues/Food/Pages/cfi-food-systems.aspx" TargetMode="External"/><Relationship Id="rId4" Type="http://schemas.openxmlformats.org/officeDocument/2006/relationships/webSettings" Target="webSettings.xml"/><Relationship Id="rId9" Type="http://schemas.openxmlformats.org/officeDocument/2006/relationships/hyperlink" Target="https://undocs.org/es/A/HRC/46/3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image" Target="media/image1.png"/><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DC531D1-1194-475E-A7BF-A8A7BD574F54}"/>
</file>

<file path=customXml/itemProps2.xml><?xml version="1.0" encoding="utf-8"?>
<ds:datastoreItem xmlns:ds="http://schemas.openxmlformats.org/officeDocument/2006/customXml" ds:itemID="{89BA326C-D6AC-4B00-BE02-3BDED6B1F703}"/>
</file>

<file path=customXml/itemProps3.xml><?xml version="1.0" encoding="utf-8"?>
<ds:datastoreItem xmlns:ds="http://schemas.openxmlformats.org/officeDocument/2006/customXml" ds:itemID="{DA9C8FB9-9754-45A6-808A-2C5BD7122384}"/>
</file>

<file path=docProps/app.xml><?xml version="1.0" encoding="utf-8"?>
<Properties xmlns="http://schemas.openxmlformats.org/officeDocument/2006/extended-properties" xmlns:vt="http://schemas.openxmlformats.org/officeDocument/2006/docPropsVTypes">
  <Template>Normal.dotm</Template>
  <TotalTime>0</TotalTime>
  <Pages>6</Pages>
  <Words>2010</Words>
  <Characters>11460</Characters>
  <Application>Microsoft Office Word</Application>
  <DocSecurity>4</DocSecurity>
  <Lines>95</Lines>
  <Paragraphs>26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GAZIYEV Jamshid</dc:creator>
  <cp:lastModifiedBy>BOURQUE Frederique</cp:lastModifiedBy>
  <cp:revision>2</cp:revision>
  <dcterms:created xsi:type="dcterms:W3CDTF">2021-09-10T15:11:00Z</dcterms:created>
  <dcterms:modified xsi:type="dcterms:W3CDTF">2021-09-10T15:11:00Z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2021-08-23T00:00:00Z</vt:filetime>
  </property>
  <property fmtid="{D5CDD505-2E9C-101B-9397-08002B2CF9AE}" pid="3" name="Creator">
    <vt:lpwstr>Microsoft® Word 2016</vt:lpwstr>
  </property>
  <property fmtid="{D5CDD505-2E9C-101B-9397-08002B2CF9AE}" pid="4" name="LastSaved">
    <vt:filetime>2021-08-27T00:00:00Z</vt:filetime>
  </property>
  <property fmtid="{D5CDD505-2E9C-101B-9397-08002B2CF9AE}" pid="5" name="ContentTypeId">
    <vt:lpwstr>0x0101008822B9E06671B54FA89F14538B9B0FEA</vt:lpwstr>
  </property>
</Properties>
</file>