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CBE5" w14:textId="3BBC86ED" w:rsidR="00353F4E" w:rsidRDefault="00353F4E">
      <w:pPr>
        <w:pStyle w:val="Corpotesto"/>
        <w:spacing w:before="2"/>
        <w:rPr>
          <w:sz w:val="17"/>
        </w:rPr>
      </w:pPr>
      <w:bookmarkStart w:id="0" w:name="_Hlk81045288"/>
    </w:p>
    <w:p w14:paraId="609587DB" w14:textId="47FC43E1" w:rsidR="0065396A" w:rsidRPr="0065396A" w:rsidRDefault="00073184" w:rsidP="0065396A">
      <w:pPr>
        <w:spacing w:before="120" w:line="343" w:lineRule="auto"/>
        <w:ind w:left="654" w:right="668"/>
        <w:jc w:val="center"/>
        <w:rPr>
          <w:b/>
          <w:sz w:val="24"/>
          <w:lang w:val="fr-RE"/>
        </w:rPr>
      </w:pPr>
      <w:r>
        <w:rPr>
          <w:b/>
          <w:sz w:val="24"/>
          <w:lang w:val="fr-RE"/>
        </w:rPr>
        <w:t>Note d’Orientation</w:t>
      </w:r>
    </w:p>
    <w:bookmarkEnd w:id="0"/>
    <w:p w14:paraId="3808B9E8" w14:textId="027E9F35" w:rsidR="00353F4E" w:rsidRPr="00A9174F" w:rsidRDefault="0065396A" w:rsidP="0065396A">
      <w:pPr>
        <w:spacing w:before="120" w:line="343" w:lineRule="auto"/>
        <w:ind w:left="654" w:right="668"/>
        <w:jc w:val="center"/>
        <w:rPr>
          <w:b/>
          <w:sz w:val="24"/>
          <w:lang w:val="fr-RE"/>
        </w:rPr>
      </w:pPr>
      <w:r w:rsidRPr="0065396A">
        <w:rPr>
          <w:b/>
          <w:sz w:val="24"/>
          <w:lang w:val="fr-RE"/>
        </w:rPr>
        <w:t xml:space="preserve">Dernière chance pour faire du Sommet sur les systèmes alimentaires un véritable "sommet des peuples". </w:t>
      </w:r>
      <w:r w:rsidR="007C618F" w:rsidRPr="00A9174F">
        <w:rPr>
          <w:b/>
          <w:sz w:val="24"/>
          <w:lang w:val="fr-RE"/>
        </w:rPr>
        <w:t>19 A</w:t>
      </w:r>
      <w:r w:rsidRPr="00A9174F">
        <w:rPr>
          <w:b/>
          <w:sz w:val="24"/>
          <w:lang w:val="fr-RE"/>
        </w:rPr>
        <w:t xml:space="preserve">out </w:t>
      </w:r>
      <w:r w:rsidR="007C618F" w:rsidRPr="00A9174F">
        <w:rPr>
          <w:b/>
          <w:sz w:val="24"/>
          <w:lang w:val="fr-RE"/>
        </w:rPr>
        <w:t>2021</w:t>
      </w:r>
    </w:p>
    <w:p w14:paraId="41D0BE71" w14:textId="49764B5C" w:rsidR="00353F4E" w:rsidRPr="00A9174F" w:rsidRDefault="00353F4E">
      <w:pPr>
        <w:pStyle w:val="Corpotesto"/>
        <w:spacing w:before="6"/>
        <w:rPr>
          <w:b/>
          <w:sz w:val="35"/>
          <w:lang w:val="fr-RE"/>
        </w:rPr>
      </w:pPr>
    </w:p>
    <w:p w14:paraId="3104F787" w14:textId="77777777" w:rsidR="00353F4E" w:rsidRPr="008E743C" w:rsidRDefault="00353F4E">
      <w:pPr>
        <w:pStyle w:val="Corpotesto"/>
        <w:rPr>
          <w:sz w:val="20"/>
          <w:lang w:val="fr-RE"/>
        </w:rPr>
      </w:pPr>
    </w:p>
    <w:tbl>
      <w:tblPr>
        <w:tblStyle w:val="Grigliatabella"/>
        <w:tblW w:w="0" w:type="auto"/>
        <w:tblLook w:val="04A0" w:firstRow="1" w:lastRow="0" w:firstColumn="1" w:lastColumn="0" w:noHBand="0" w:noVBand="1"/>
      </w:tblPr>
      <w:tblGrid>
        <w:gridCol w:w="9042"/>
      </w:tblGrid>
      <w:tr w:rsidR="009B36AA" w:rsidRPr="00AE3AA5" w14:paraId="18C19421" w14:textId="77777777" w:rsidTr="009B36AA">
        <w:tc>
          <w:tcPr>
            <w:tcW w:w="9042" w:type="dxa"/>
          </w:tcPr>
          <w:p w14:paraId="1B8B0DCD" w14:textId="77777777" w:rsidR="009B36AA" w:rsidRDefault="009B36AA">
            <w:pPr>
              <w:pStyle w:val="Corpotesto"/>
              <w:spacing w:before="6"/>
              <w:rPr>
                <w:sz w:val="18"/>
                <w:lang w:val="fr-RE"/>
              </w:rPr>
            </w:pPr>
          </w:p>
          <w:p w14:paraId="00E7E3FE" w14:textId="77777777" w:rsidR="009B36AA" w:rsidRPr="00264DE7" w:rsidRDefault="009B36AA" w:rsidP="009B36AA">
            <w:pPr>
              <w:pStyle w:val="Corpotesto"/>
              <w:spacing w:before="90"/>
              <w:ind w:right="225"/>
              <w:jc w:val="both"/>
              <w:rPr>
                <w:b/>
                <w:bCs/>
                <w:u w:val="single"/>
                <w:lang w:val="fr-RE"/>
              </w:rPr>
            </w:pPr>
            <w:proofErr w:type="spellStart"/>
            <w:r w:rsidRPr="00264DE7">
              <w:rPr>
                <w:b/>
                <w:bCs/>
                <w:u w:val="single"/>
                <w:lang w:val="fr-RE"/>
              </w:rPr>
              <w:t>Resumé</w:t>
            </w:r>
            <w:proofErr w:type="spellEnd"/>
          </w:p>
          <w:p w14:paraId="5B223DD2" w14:textId="200707C9" w:rsidR="009B36AA" w:rsidRPr="009B36AA" w:rsidRDefault="009B36AA" w:rsidP="009B36AA">
            <w:pPr>
              <w:pStyle w:val="Corpotesto"/>
              <w:spacing w:before="90"/>
              <w:ind w:right="225"/>
              <w:jc w:val="both"/>
              <w:rPr>
                <w:lang w:val="fr-RE"/>
              </w:rPr>
            </w:pPr>
            <w:r w:rsidRPr="0065396A">
              <w:rPr>
                <w:lang w:val="fr-RE"/>
              </w:rPr>
              <w:t>Le changement climatique ravage la planète. La biodiversité diminue chaque jour. L’</w:t>
            </w:r>
            <w:r>
              <w:rPr>
                <w:lang w:val="fr-RE"/>
              </w:rPr>
              <w:t xml:space="preserve">augmentation de la </w:t>
            </w:r>
            <w:r w:rsidRPr="0065396A">
              <w:rPr>
                <w:lang w:val="fr-RE"/>
              </w:rPr>
              <w:t xml:space="preserve">faim </w:t>
            </w:r>
            <w:r>
              <w:rPr>
                <w:lang w:val="fr-RE"/>
              </w:rPr>
              <w:t xml:space="preserve">et des </w:t>
            </w:r>
            <w:r w:rsidRPr="0065396A">
              <w:rPr>
                <w:lang w:val="fr-RE"/>
              </w:rPr>
              <w:t>inégalités sont incessantes. Les systèmes alimentaires mondiaux ne répondent plus aux besoins de la plupart des gens depuis longtemps, et la pandémie de COVID-19 a aggravé</w:t>
            </w:r>
            <w:r w:rsidR="00307E2E">
              <w:rPr>
                <w:lang w:val="fr-RE"/>
              </w:rPr>
              <w:t xml:space="preserve"> davantage</w:t>
            </w:r>
            <w:r w:rsidRPr="0065396A">
              <w:rPr>
                <w:lang w:val="fr-RE"/>
              </w:rPr>
              <w:t xml:space="preserve"> cette situation critique. Les gens sont déjà en train de transformer leurs systèmes alimentaires pour s'adapter et survivre. Le moment est venu de coordonner à l'échelle mondiale les actions des populations pour construire des systèmes alimentaires équitables et florissants.</w:t>
            </w:r>
          </w:p>
          <w:p w14:paraId="4BAA841F" w14:textId="71060C57" w:rsidR="009B36AA" w:rsidRPr="00374270" w:rsidRDefault="009B36AA" w:rsidP="009B36AA">
            <w:pPr>
              <w:pStyle w:val="Corpotesto"/>
              <w:spacing w:before="1"/>
              <w:ind w:right="226"/>
              <w:jc w:val="both"/>
              <w:rPr>
                <w:lang w:val="fr-RE"/>
              </w:rPr>
            </w:pPr>
            <w:r w:rsidRPr="0065396A">
              <w:rPr>
                <w:lang w:val="fr-RE"/>
              </w:rPr>
              <w:t xml:space="preserve">Bien que la convocation du Sommet des Nations </w:t>
            </w:r>
            <w:r w:rsidR="00307E2E">
              <w:rPr>
                <w:lang w:val="fr-RE"/>
              </w:rPr>
              <w:t>U</w:t>
            </w:r>
            <w:r w:rsidRPr="0065396A">
              <w:rPr>
                <w:lang w:val="fr-RE"/>
              </w:rPr>
              <w:t xml:space="preserve">nies sur les systèmes alimentaires par le Secrétaire général ait été accueillie favorablement, on craint toujours que le "sommet des peuples" ne laisse tomber les personnes qu'il prétend servir. Des éléments clés tels que les droits </w:t>
            </w:r>
            <w:r w:rsidR="00307E2E">
              <w:rPr>
                <w:lang w:val="fr-RE"/>
              </w:rPr>
              <w:t>humains</w:t>
            </w:r>
            <w:r w:rsidRPr="0065396A">
              <w:rPr>
                <w:lang w:val="fr-RE"/>
              </w:rPr>
              <w:t xml:space="preserve">, l'équité et </w:t>
            </w:r>
            <w:r>
              <w:rPr>
                <w:lang w:val="fr-RE"/>
              </w:rPr>
              <w:t>le devoir de rendre compte</w:t>
            </w:r>
            <w:r w:rsidRPr="0065396A">
              <w:rPr>
                <w:lang w:val="fr-RE"/>
              </w:rPr>
              <w:t xml:space="preserve"> ne figurent pas à l'ordre du jour. </w:t>
            </w:r>
            <w:r>
              <w:rPr>
                <w:lang w:val="fr-RE"/>
              </w:rPr>
              <w:t>Pourtant, l</w:t>
            </w:r>
            <w:r w:rsidRPr="0065396A">
              <w:rPr>
                <w:lang w:val="fr-RE"/>
              </w:rPr>
              <w:t xml:space="preserve">es droits </w:t>
            </w:r>
            <w:r w:rsidR="00307E2E">
              <w:rPr>
                <w:lang w:val="fr-RE"/>
              </w:rPr>
              <w:t>humains</w:t>
            </w:r>
            <w:r w:rsidRPr="0065396A">
              <w:rPr>
                <w:lang w:val="fr-RE"/>
              </w:rPr>
              <w:t xml:space="preserve"> sont essentiels pour garantir que nos systèmes alimentaires servent les personnes et la planète et non les profits. Le droit à une alimentation et une nutrition adéquate est au cœur de la manière dont les communautés définissent leur identité.</w:t>
            </w:r>
          </w:p>
          <w:p w14:paraId="679B6E9A" w14:textId="10145DCB" w:rsidR="009B36AA" w:rsidRPr="008E743C" w:rsidRDefault="009B36AA" w:rsidP="009B36AA">
            <w:pPr>
              <w:pStyle w:val="Corpotesto"/>
              <w:spacing w:before="119"/>
              <w:ind w:right="224"/>
              <w:jc w:val="both"/>
              <w:rPr>
                <w:lang w:val="fr-RE"/>
              </w:rPr>
            </w:pPr>
            <w:r w:rsidRPr="008E743C">
              <w:rPr>
                <w:lang w:val="fr-RE"/>
              </w:rPr>
              <w:t xml:space="preserve">Dans cette note d'orientation, le Rapporteur spécial sur le droit à l'alimentation, Michael </w:t>
            </w:r>
            <w:proofErr w:type="spellStart"/>
            <w:r w:rsidRPr="008E743C">
              <w:rPr>
                <w:lang w:val="fr-RE"/>
              </w:rPr>
              <w:t>Fakhri</w:t>
            </w:r>
            <w:proofErr w:type="spellEnd"/>
            <w:r w:rsidRPr="008E743C">
              <w:rPr>
                <w:lang w:val="fr-RE"/>
              </w:rPr>
              <w:t xml:space="preserve">, partage ses observations critiques sur les domaines à améliorer en ce qui concerne le prochain Sommet des Nations Unies sur les systèmes alimentaires, afin de s'assurer qu'il s'aligne davantage sur les objectifs déclarés du Secrétaire général, à savoir "mettre les systèmes alimentaires au service des personnes, de la planète et de la prospérité". Le Rapporteur spécial souligne les principales lacunes, telles que l'absence manifeste de réponse à la COVID-19 dans les délibérations du Sommet, le fait de fermer les yeux sur les causes structurelles de l'échec des systèmes alimentaires, d'ignorer la concentration inquiétante du pouvoir des entreprises et de diluer </w:t>
            </w:r>
            <w:r w:rsidRPr="004530F8">
              <w:rPr>
                <w:lang w:val="fr-RE"/>
              </w:rPr>
              <w:t>le droit de participation à la prise de décision par le biais de l'approche dite multi</w:t>
            </w:r>
            <w:r w:rsidR="004530F8" w:rsidRPr="004530F8">
              <w:rPr>
                <w:lang w:val="fr-RE"/>
              </w:rPr>
              <w:t>partite</w:t>
            </w:r>
            <w:r w:rsidRPr="004530F8">
              <w:rPr>
                <w:lang w:val="fr-RE"/>
              </w:rPr>
              <w:t>.</w:t>
            </w:r>
          </w:p>
          <w:p w14:paraId="50EF05E0" w14:textId="73D0FE59" w:rsidR="009B36AA" w:rsidRPr="008E743C" w:rsidRDefault="009B36AA" w:rsidP="009B36AA">
            <w:pPr>
              <w:pStyle w:val="Corpotesto"/>
              <w:spacing w:before="119"/>
              <w:ind w:right="224"/>
              <w:jc w:val="both"/>
              <w:rPr>
                <w:lang w:val="fr-RE"/>
              </w:rPr>
            </w:pPr>
            <w:r w:rsidRPr="008E743C">
              <w:rPr>
                <w:lang w:val="fr-RE"/>
              </w:rPr>
              <w:t>L'objectif du Rapporteur spécial est de guider les États dans leurs délibérations imminentes lors du Sommet du 23 septembre 2021, afin d'en faire un év</w:t>
            </w:r>
            <w:r w:rsidRPr="004530F8">
              <w:rPr>
                <w:lang w:val="fr-RE"/>
              </w:rPr>
              <w:t xml:space="preserve">énement </w:t>
            </w:r>
            <w:r w:rsidR="004530F8" w:rsidRPr="00AE3AA5">
              <w:rPr>
                <w:lang w:val="fr-RE"/>
              </w:rPr>
              <w:t>multilatéral</w:t>
            </w:r>
            <w:r w:rsidR="004530F8" w:rsidRPr="004530F8">
              <w:rPr>
                <w:lang w:val="fr-RE"/>
              </w:rPr>
              <w:t xml:space="preserve"> </w:t>
            </w:r>
            <w:r w:rsidRPr="004530F8">
              <w:rPr>
                <w:lang w:val="fr-RE"/>
              </w:rPr>
              <w:t>véritablement transformateur</w:t>
            </w:r>
            <w:r w:rsidR="004530F8" w:rsidRPr="004530F8">
              <w:rPr>
                <w:lang w:val="fr-RE"/>
              </w:rPr>
              <w:t xml:space="preserve"> et</w:t>
            </w:r>
            <w:r w:rsidRPr="004530F8">
              <w:rPr>
                <w:lang w:val="fr-RE"/>
              </w:rPr>
              <w:t xml:space="preserve"> fondé sur les droits.</w:t>
            </w:r>
          </w:p>
          <w:p w14:paraId="6A5CB064" w14:textId="77777777" w:rsidR="009B36AA" w:rsidRDefault="009B36AA">
            <w:pPr>
              <w:pStyle w:val="Corpotesto"/>
              <w:spacing w:before="6"/>
              <w:rPr>
                <w:sz w:val="18"/>
                <w:lang w:val="fr-RE"/>
              </w:rPr>
            </w:pPr>
          </w:p>
          <w:p w14:paraId="3A48DFE1" w14:textId="409D373B" w:rsidR="009B36AA" w:rsidRDefault="009B36AA">
            <w:pPr>
              <w:pStyle w:val="Corpotesto"/>
              <w:spacing w:before="6"/>
              <w:rPr>
                <w:sz w:val="18"/>
                <w:lang w:val="fr-RE"/>
              </w:rPr>
            </w:pPr>
          </w:p>
        </w:tc>
      </w:tr>
    </w:tbl>
    <w:p w14:paraId="2698C7B7" w14:textId="77777777" w:rsidR="00353F4E" w:rsidRPr="008E743C" w:rsidRDefault="00353F4E">
      <w:pPr>
        <w:pStyle w:val="Corpotesto"/>
        <w:spacing w:before="6"/>
        <w:rPr>
          <w:sz w:val="18"/>
          <w:lang w:val="fr-RE"/>
        </w:rPr>
      </w:pPr>
    </w:p>
    <w:p w14:paraId="2B22E58B" w14:textId="77777777" w:rsidR="009713B1" w:rsidRDefault="009713B1" w:rsidP="006C55A6">
      <w:pPr>
        <w:ind w:left="142" w:hanging="142"/>
        <w:jc w:val="both"/>
        <w:rPr>
          <w:b/>
          <w:bCs/>
          <w:sz w:val="24"/>
          <w:szCs w:val="24"/>
          <w:u w:val="single"/>
          <w:lang w:val="fr-RE"/>
        </w:rPr>
      </w:pPr>
    </w:p>
    <w:p w14:paraId="726FDA1C" w14:textId="77777777" w:rsidR="009713B1" w:rsidRDefault="009713B1" w:rsidP="006C55A6">
      <w:pPr>
        <w:ind w:left="142" w:hanging="142"/>
        <w:jc w:val="both"/>
        <w:rPr>
          <w:b/>
          <w:bCs/>
          <w:sz w:val="24"/>
          <w:szCs w:val="24"/>
          <w:u w:val="single"/>
          <w:lang w:val="fr-RE"/>
        </w:rPr>
      </w:pPr>
    </w:p>
    <w:p w14:paraId="107C54C8" w14:textId="77777777" w:rsidR="009713B1" w:rsidRDefault="009713B1" w:rsidP="006C55A6">
      <w:pPr>
        <w:ind w:left="142" w:hanging="142"/>
        <w:jc w:val="both"/>
        <w:rPr>
          <w:b/>
          <w:bCs/>
          <w:sz w:val="24"/>
          <w:szCs w:val="24"/>
          <w:u w:val="single"/>
          <w:lang w:val="fr-RE"/>
        </w:rPr>
      </w:pPr>
    </w:p>
    <w:p w14:paraId="3846284E" w14:textId="77777777" w:rsidR="009713B1" w:rsidRDefault="009713B1" w:rsidP="006C55A6">
      <w:pPr>
        <w:ind w:left="142" w:hanging="142"/>
        <w:jc w:val="both"/>
        <w:rPr>
          <w:b/>
          <w:bCs/>
          <w:sz w:val="24"/>
          <w:szCs w:val="24"/>
          <w:u w:val="single"/>
          <w:lang w:val="fr-RE"/>
        </w:rPr>
      </w:pPr>
    </w:p>
    <w:p w14:paraId="6BA6A80A" w14:textId="77777777" w:rsidR="009713B1" w:rsidRDefault="009713B1" w:rsidP="006C55A6">
      <w:pPr>
        <w:ind w:left="142" w:hanging="142"/>
        <w:jc w:val="both"/>
        <w:rPr>
          <w:b/>
          <w:bCs/>
          <w:sz w:val="24"/>
          <w:szCs w:val="24"/>
          <w:u w:val="single"/>
          <w:lang w:val="fr-RE"/>
        </w:rPr>
      </w:pPr>
    </w:p>
    <w:p w14:paraId="3C582F7D" w14:textId="76851C96" w:rsidR="008E743C" w:rsidRPr="00264DE7" w:rsidRDefault="008E743C" w:rsidP="006C55A6">
      <w:pPr>
        <w:ind w:left="142" w:hanging="142"/>
        <w:jc w:val="both"/>
        <w:rPr>
          <w:b/>
          <w:bCs/>
          <w:sz w:val="24"/>
          <w:szCs w:val="24"/>
          <w:u w:val="single"/>
          <w:lang w:val="fr-RE"/>
        </w:rPr>
      </w:pPr>
      <w:r w:rsidRPr="00264DE7">
        <w:rPr>
          <w:b/>
          <w:bCs/>
          <w:sz w:val="24"/>
          <w:szCs w:val="24"/>
          <w:u w:val="single"/>
          <w:lang w:val="fr-RE"/>
        </w:rPr>
        <w:lastRenderedPageBreak/>
        <w:t>Introduction</w:t>
      </w:r>
    </w:p>
    <w:p w14:paraId="5B5D7224" w14:textId="3688208E" w:rsidR="008E743C" w:rsidRDefault="008E743C" w:rsidP="008E743C">
      <w:pPr>
        <w:jc w:val="both"/>
        <w:rPr>
          <w:sz w:val="24"/>
          <w:szCs w:val="24"/>
          <w:lang w:val="fr-RE"/>
        </w:rPr>
      </w:pPr>
      <w:r w:rsidRPr="00264DE7">
        <w:rPr>
          <w:sz w:val="24"/>
          <w:szCs w:val="24"/>
          <w:lang w:val="fr-RE"/>
        </w:rPr>
        <w:t xml:space="preserve">Étant donné l'urgence de réformer nos systèmes alimentaires, le Rapporteur spécial sur le droit à l'alimentation a suivi de près le Sommet des Nations </w:t>
      </w:r>
      <w:r w:rsidR="00502D0B">
        <w:rPr>
          <w:sz w:val="24"/>
          <w:szCs w:val="24"/>
          <w:lang w:val="fr-RE"/>
        </w:rPr>
        <w:t>U</w:t>
      </w:r>
      <w:r w:rsidRPr="00264DE7">
        <w:rPr>
          <w:sz w:val="24"/>
          <w:szCs w:val="24"/>
          <w:lang w:val="fr-RE"/>
        </w:rPr>
        <w:t xml:space="preserve">nies sur les systèmes alimentaires (le Sommet) depuis son annonce en 2019 et a été membre de l'équipe d'intégration du Sommet. Il a partagé ses premières observations sur les préparatifs du Sommet dans son </w:t>
      </w:r>
      <w:hyperlink r:id="rId8" w:history="1">
        <w:r w:rsidRPr="00943EE6">
          <w:rPr>
            <w:rStyle w:val="Collegamentoipertestuale"/>
            <w:sz w:val="24"/>
            <w:szCs w:val="24"/>
            <w:lang w:val="fr-RE"/>
          </w:rPr>
          <w:t>dernier rapport</w:t>
        </w:r>
      </w:hyperlink>
      <w:r w:rsidRPr="00264DE7">
        <w:rPr>
          <w:sz w:val="24"/>
          <w:szCs w:val="24"/>
          <w:lang w:val="fr-RE"/>
        </w:rPr>
        <w:t xml:space="preserve"> au Conseil des droits de l'homme en mars 2021. Le Rapporteur spécial a participé et </w:t>
      </w:r>
      <w:r w:rsidR="00502D0B">
        <w:rPr>
          <w:sz w:val="24"/>
          <w:szCs w:val="24"/>
          <w:lang w:val="fr-RE"/>
        </w:rPr>
        <w:t xml:space="preserve">a </w:t>
      </w:r>
      <w:r w:rsidRPr="00264DE7">
        <w:rPr>
          <w:sz w:val="24"/>
          <w:szCs w:val="24"/>
          <w:lang w:val="fr-RE"/>
        </w:rPr>
        <w:t>suivi de près le Pré-Sommet, qui s'est déroulé du 26 au 28 juillet 2021</w:t>
      </w:r>
      <w:r w:rsidR="00502D0B">
        <w:rPr>
          <w:sz w:val="24"/>
          <w:szCs w:val="24"/>
          <w:lang w:val="fr-RE"/>
        </w:rPr>
        <w:t>.</w:t>
      </w:r>
      <w:r w:rsidRPr="00264DE7">
        <w:rPr>
          <w:sz w:val="24"/>
          <w:szCs w:val="24"/>
          <w:lang w:val="fr-RE"/>
        </w:rPr>
        <w:t xml:space="preserve"> </w:t>
      </w:r>
      <w:r w:rsidR="00502D0B">
        <w:rPr>
          <w:sz w:val="24"/>
          <w:szCs w:val="24"/>
          <w:lang w:val="fr-RE"/>
        </w:rPr>
        <w:t>I</w:t>
      </w:r>
      <w:r w:rsidRPr="00264DE7">
        <w:rPr>
          <w:sz w:val="24"/>
          <w:szCs w:val="24"/>
          <w:lang w:val="fr-RE"/>
        </w:rPr>
        <w:t>l fera</w:t>
      </w:r>
      <w:r w:rsidR="00502D0B">
        <w:rPr>
          <w:sz w:val="24"/>
          <w:szCs w:val="24"/>
          <w:lang w:val="fr-RE"/>
        </w:rPr>
        <w:t xml:space="preserve"> également</w:t>
      </w:r>
      <w:r w:rsidRPr="00264DE7">
        <w:rPr>
          <w:sz w:val="24"/>
          <w:szCs w:val="24"/>
          <w:lang w:val="fr-RE"/>
        </w:rPr>
        <w:t xml:space="preserve"> rapport </w:t>
      </w:r>
      <w:r w:rsidR="00502D0B" w:rsidRPr="00264DE7">
        <w:rPr>
          <w:sz w:val="24"/>
          <w:szCs w:val="24"/>
          <w:lang w:val="fr-RE"/>
        </w:rPr>
        <w:t xml:space="preserve">sur le Sommet </w:t>
      </w:r>
      <w:r w:rsidRPr="00264DE7">
        <w:rPr>
          <w:sz w:val="24"/>
          <w:szCs w:val="24"/>
          <w:lang w:val="fr-RE"/>
        </w:rPr>
        <w:t>à l'Assemblée générale en octobre 2021, en s'appuyant sur un vaste éventail d</w:t>
      </w:r>
      <w:r w:rsidRPr="00943EE6">
        <w:rPr>
          <w:sz w:val="24"/>
          <w:szCs w:val="24"/>
          <w:lang w:val="fr-RE"/>
        </w:rPr>
        <w:t xml:space="preserve">e </w:t>
      </w:r>
      <w:hyperlink r:id="rId9" w:history="1">
        <w:r w:rsidRPr="00943EE6">
          <w:rPr>
            <w:rStyle w:val="Collegamentoipertestuale"/>
            <w:sz w:val="24"/>
            <w:szCs w:val="24"/>
            <w:lang w:val="fr-RE"/>
          </w:rPr>
          <w:t>contributions</w:t>
        </w:r>
      </w:hyperlink>
      <w:r w:rsidRPr="00264DE7">
        <w:rPr>
          <w:sz w:val="24"/>
          <w:szCs w:val="24"/>
          <w:lang w:val="fr-RE"/>
        </w:rPr>
        <w:t xml:space="preserve"> reçues des États membres, des organisations internationales et de la société civile.</w:t>
      </w:r>
    </w:p>
    <w:p w14:paraId="3C5967BE" w14:textId="385D3F19" w:rsidR="009713B1" w:rsidRPr="008E743C" w:rsidRDefault="009713B1" w:rsidP="009713B1">
      <w:pPr>
        <w:pStyle w:val="Corpotesto"/>
        <w:spacing w:before="90"/>
        <w:ind w:right="112"/>
        <w:jc w:val="both"/>
        <w:rPr>
          <w:lang w:val="fr-RE"/>
        </w:rPr>
      </w:pPr>
      <w:r w:rsidRPr="008E743C">
        <w:rPr>
          <w:lang w:val="fr-RE"/>
        </w:rPr>
        <w:t xml:space="preserve">Dans l'attente de son rapport et à l'approche du Sommet de septembre, le Rapporteur spécial </w:t>
      </w:r>
      <w:r w:rsidR="00502D0B">
        <w:rPr>
          <w:lang w:val="fr-RE"/>
        </w:rPr>
        <w:t>fait part de</w:t>
      </w:r>
      <w:r w:rsidRPr="008E743C">
        <w:rPr>
          <w:lang w:val="fr-RE"/>
        </w:rPr>
        <w:t xml:space="preserve"> ses réflexions et ses recommandations pratiques concernant les résultats attendus du Sommet, son suivi et son évaluation. Cette note d'orientation a pour but de guider les États membres sur la manière dont ils peuvent faire en sorte que le Sommet réussisse à mettre nos systèmes alimentaires au service des personnes et de la planète, ainsi qu'à surmonter les défis posés par la faim, les inégalités et la pandémie mondiale de COVID-19.</w:t>
      </w:r>
    </w:p>
    <w:p w14:paraId="4CEDC641" w14:textId="77777777" w:rsidR="009713B1" w:rsidRPr="008E743C" w:rsidRDefault="009713B1" w:rsidP="009713B1">
      <w:pPr>
        <w:pStyle w:val="Corpotesto"/>
        <w:rPr>
          <w:sz w:val="26"/>
          <w:lang w:val="fr-RE"/>
        </w:rPr>
      </w:pPr>
    </w:p>
    <w:p w14:paraId="0159B4EB" w14:textId="311DB2B4" w:rsidR="009713B1" w:rsidRPr="00264DE7" w:rsidRDefault="009713B1" w:rsidP="008E743C">
      <w:pPr>
        <w:jc w:val="both"/>
        <w:rPr>
          <w:sz w:val="24"/>
          <w:szCs w:val="24"/>
          <w:lang w:val="fr-RE"/>
        </w:rPr>
        <w:sectPr w:rsidR="009713B1" w:rsidRPr="00264DE7" w:rsidSect="006C55A6">
          <w:headerReference w:type="default" r:id="rId10"/>
          <w:footerReference w:type="default" r:id="rId11"/>
          <w:type w:val="continuous"/>
          <w:pgSz w:w="11910" w:h="16840"/>
          <w:pgMar w:top="2580" w:right="1440" w:bottom="1219" w:left="1418" w:header="556" w:footer="1021" w:gutter="0"/>
          <w:pgNumType w:start="1"/>
          <w:cols w:space="720"/>
        </w:sectPr>
      </w:pPr>
    </w:p>
    <w:p w14:paraId="6319730D" w14:textId="77777777" w:rsidR="008E743C" w:rsidRPr="008E743C" w:rsidRDefault="008E743C" w:rsidP="008E743C">
      <w:pPr>
        <w:pStyle w:val="Corpotesto"/>
        <w:spacing w:before="115"/>
        <w:ind w:left="102" w:right="111"/>
        <w:jc w:val="both"/>
        <w:rPr>
          <w:b/>
          <w:bCs/>
          <w:u w:val="single"/>
          <w:lang w:val="fr-RE"/>
        </w:rPr>
      </w:pPr>
      <w:r w:rsidRPr="008E743C">
        <w:rPr>
          <w:b/>
          <w:bCs/>
          <w:u w:val="single"/>
          <w:lang w:val="fr-RE"/>
        </w:rPr>
        <w:lastRenderedPageBreak/>
        <w:t>Principales observations</w:t>
      </w:r>
    </w:p>
    <w:p w14:paraId="0B16A5AC" w14:textId="77777777" w:rsidR="008E743C" w:rsidRPr="008E743C" w:rsidRDefault="008E743C" w:rsidP="008E743C">
      <w:pPr>
        <w:pStyle w:val="Corpotesto"/>
        <w:spacing w:before="115"/>
        <w:ind w:right="111"/>
        <w:jc w:val="both"/>
        <w:rPr>
          <w:lang w:val="fr-RE"/>
        </w:rPr>
      </w:pPr>
    </w:p>
    <w:p w14:paraId="7EDE77B2" w14:textId="77777777" w:rsidR="008E743C" w:rsidRPr="008E743C" w:rsidRDefault="008E743C" w:rsidP="008E743C">
      <w:pPr>
        <w:pStyle w:val="Corpotesto"/>
        <w:spacing w:before="115"/>
        <w:ind w:left="102" w:right="111"/>
        <w:jc w:val="both"/>
        <w:rPr>
          <w:b/>
          <w:bCs/>
          <w:lang w:val="fr-RE"/>
        </w:rPr>
      </w:pPr>
      <w:r w:rsidRPr="008E743C">
        <w:rPr>
          <w:b/>
          <w:bCs/>
          <w:lang w:val="fr-RE"/>
        </w:rPr>
        <w:t>Le COVID-19 brille par son absence au Sommet, malgré son impact dévastateur</w:t>
      </w:r>
    </w:p>
    <w:p w14:paraId="37A2DB0E" w14:textId="4EDC873F" w:rsidR="008E743C" w:rsidRPr="008E743C" w:rsidRDefault="008E743C" w:rsidP="008E743C">
      <w:pPr>
        <w:pStyle w:val="Corpotesto"/>
        <w:spacing w:before="115"/>
        <w:ind w:left="102" w:right="111"/>
        <w:jc w:val="both"/>
        <w:rPr>
          <w:lang w:val="fr-RE"/>
        </w:rPr>
      </w:pPr>
      <w:r w:rsidRPr="008E743C">
        <w:rPr>
          <w:lang w:val="fr-RE"/>
        </w:rPr>
        <w:t xml:space="preserve">Le Sommet a été annoncé juste avant l'épidémie de COVID-19. Lorsque l'épidémie s'est transformée en pandémie et que les impacts sur les systèmes alimentaires mondiaux et la sécurité alimentaire se sont développés, les objectifs du Sommet n'ont pas été adaptés à la nouvelle réalité. Le programme du </w:t>
      </w:r>
      <w:r w:rsidR="00502D0B">
        <w:rPr>
          <w:lang w:val="fr-RE"/>
        </w:rPr>
        <w:t>P</w:t>
      </w:r>
      <w:r w:rsidRPr="008E743C">
        <w:rPr>
          <w:lang w:val="fr-RE"/>
        </w:rPr>
        <w:t>ré-</w:t>
      </w:r>
      <w:r w:rsidR="00502D0B">
        <w:rPr>
          <w:lang w:val="fr-RE"/>
        </w:rPr>
        <w:t>S</w:t>
      </w:r>
      <w:r w:rsidRPr="008E743C">
        <w:rPr>
          <w:lang w:val="fr-RE"/>
        </w:rPr>
        <w:t>ommet ne consacrait aucune session à la pandémie. Et ce, malgré les conséquences dévastatrices de la crise du COVID-19, qui a bouleversé les moyens de subsistance des populations et l'ensemble de la chaîne alimentaire mondiale. Le Rapporteur spécial a insisté sur la nécessité d'une action multilatérale pour lutter contre les effets délétères de la pandémie sur le droit à l'alimentation de tous, en particulier des personnes les plus pauvres, les plus vulnérables et les plus marginalisées. Il a également souligné que la convergence des crises de la sécurité alimentaire, de la santé publique et de l'emploi a eu un impact considérable sur la santé et la sécurité des travailleurs du secteur alimentaire.</w:t>
      </w:r>
    </w:p>
    <w:p w14:paraId="3B66A02E" w14:textId="77777777" w:rsidR="008E743C" w:rsidRPr="008E743C" w:rsidRDefault="008E743C">
      <w:pPr>
        <w:pStyle w:val="Corpotesto"/>
        <w:spacing w:before="115"/>
        <w:ind w:left="102" w:right="111"/>
        <w:jc w:val="both"/>
        <w:rPr>
          <w:lang w:val="fr-RE"/>
        </w:rPr>
      </w:pPr>
    </w:p>
    <w:p w14:paraId="49883B24" w14:textId="77777777" w:rsidR="009E1327" w:rsidRPr="009B36AA" w:rsidRDefault="009E1327">
      <w:pPr>
        <w:jc w:val="both"/>
        <w:rPr>
          <w:lang w:val="fr-RE"/>
        </w:rPr>
      </w:pPr>
    </w:p>
    <w:p w14:paraId="084E0015" w14:textId="77777777" w:rsidR="009E1327" w:rsidRPr="00264DE7" w:rsidRDefault="009E1327" w:rsidP="009E1327">
      <w:pPr>
        <w:jc w:val="both"/>
        <w:rPr>
          <w:b/>
          <w:bCs/>
          <w:sz w:val="24"/>
          <w:szCs w:val="24"/>
          <w:lang w:val="fr-RE"/>
        </w:rPr>
      </w:pPr>
      <w:r w:rsidRPr="00264DE7">
        <w:rPr>
          <w:b/>
          <w:bCs/>
          <w:sz w:val="24"/>
          <w:szCs w:val="24"/>
          <w:lang w:val="fr-RE"/>
        </w:rPr>
        <w:t>Le sommet ferme les yeux sur les causes profondes et les problèmes de gouvernance liés à la faim et à la malnutrition.</w:t>
      </w:r>
    </w:p>
    <w:p w14:paraId="3AD93CEF" w14:textId="47CDF91C" w:rsidR="009E1327" w:rsidRPr="00264DE7" w:rsidRDefault="009E1327" w:rsidP="009E1327">
      <w:pPr>
        <w:jc w:val="both"/>
        <w:rPr>
          <w:sz w:val="24"/>
          <w:szCs w:val="24"/>
          <w:lang w:val="fr-RE"/>
        </w:rPr>
        <w:sectPr w:rsidR="009E1327" w:rsidRPr="00264DE7">
          <w:pgSz w:w="11910" w:h="16840"/>
          <w:pgMar w:top="2580" w:right="1440" w:bottom="1220" w:left="1600" w:header="558" w:footer="1022" w:gutter="0"/>
          <w:cols w:space="720"/>
        </w:sectPr>
      </w:pPr>
      <w:r w:rsidRPr="00264DE7">
        <w:rPr>
          <w:sz w:val="24"/>
          <w:szCs w:val="24"/>
          <w:lang w:val="fr-RE"/>
        </w:rPr>
        <w:t xml:space="preserve">La faim, la malnutrition et la famine sont causées par des échecs politiques et des lacunes en matière de gouvernance, plutôt que par </w:t>
      </w:r>
      <w:r w:rsidR="00502D0B">
        <w:rPr>
          <w:sz w:val="24"/>
          <w:szCs w:val="24"/>
          <w:lang w:val="fr-RE"/>
        </w:rPr>
        <w:t>une</w:t>
      </w:r>
      <w:r w:rsidR="00502D0B" w:rsidRPr="00264DE7">
        <w:rPr>
          <w:sz w:val="24"/>
          <w:szCs w:val="24"/>
          <w:lang w:val="fr-RE"/>
        </w:rPr>
        <w:t xml:space="preserve"> </w:t>
      </w:r>
      <w:r w:rsidRPr="00264DE7">
        <w:rPr>
          <w:sz w:val="24"/>
          <w:szCs w:val="24"/>
          <w:lang w:val="fr-RE"/>
        </w:rPr>
        <w:t xml:space="preserve">pénurie alimentaire. Cependant, dès le départ, il a été décidé que le Sommet éviterait d'examiner les causes profondes des défaillances de nos systèmes alimentaires. L'accent général du Sommet a été mis sur la manière de "stimuler la production" de </w:t>
      </w:r>
      <w:r w:rsidR="00502D0B">
        <w:rPr>
          <w:sz w:val="24"/>
          <w:szCs w:val="24"/>
          <w:lang w:val="fr-RE"/>
        </w:rPr>
        <w:t>façon</w:t>
      </w:r>
      <w:r w:rsidR="00502D0B" w:rsidRPr="00264DE7">
        <w:rPr>
          <w:sz w:val="24"/>
          <w:szCs w:val="24"/>
          <w:lang w:val="fr-RE"/>
        </w:rPr>
        <w:t xml:space="preserve"> </w:t>
      </w:r>
      <w:r w:rsidRPr="00264DE7">
        <w:rPr>
          <w:sz w:val="24"/>
          <w:szCs w:val="24"/>
          <w:lang w:val="fr-RE"/>
        </w:rPr>
        <w:t xml:space="preserve">durable grâce aux nouvelles technologies. Cependant, les défis auxquels sont confrontés nos systèmes alimentaires consistent à garantir un </w:t>
      </w:r>
      <w:r w:rsidR="00502D0B" w:rsidRPr="00264DE7">
        <w:rPr>
          <w:sz w:val="24"/>
          <w:szCs w:val="24"/>
          <w:lang w:val="fr-RE"/>
        </w:rPr>
        <w:t xml:space="preserve">meilleur </w:t>
      </w:r>
      <w:r w:rsidRPr="00264DE7">
        <w:rPr>
          <w:sz w:val="24"/>
          <w:szCs w:val="24"/>
          <w:lang w:val="fr-RE"/>
        </w:rPr>
        <w:t>accès</w:t>
      </w:r>
      <w:r w:rsidR="00502D0B">
        <w:rPr>
          <w:sz w:val="24"/>
          <w:szCs w:val="24"/>
          <w:lang w:val="fr-RE"/>
        </w:rPr>
        <w:t xml:space="preserve"> qui soit</w:t>
      </w:r>
      <w:r w:rsidRPr="00264DE7">
        <w:rPr>
          <w:sz w:val="24"/>
          <w:szCs w:val="24"/>
          <w:lang w:val="fr-RE"/>
        </w:rPr>
        <w:t xml:space="preserve"> plus équitable - il s'agit de savoir comment les aliments sont produits, par qui, et qui tire </w:t>
      </w:r>
      <w:r w:rsidR="00502D0B">
        <w:rPr>
          <w:sz w:val="24"/>
          <w:szCs w:val="24"/>
          <w:lang w:val="fr-RE"/>
        </w:rPr>
        <w:t xml:space="preserve">les plus grands </w:t>
      </w:r>
      <w:r w:rsidRPr="00264DE7">
        <w:rPr>
          <w:sz w:val="24"/>
          <w:szCs w:val="24"/>
          <w:lang w:val="fr-RE"/>
        </w:rPr>
        <w:t xml:space="preserve">bénéfices de leur transformation </w:t>
      </w:r>
      <w:r w:rsidR="00502D0B">
        <w:rPr>
          <w:sz w:val="24"/>
          <w:szCs w:val="24"/>
          <w:lang w:val="fr-RE"/>
        </w:rPr>
        <w:t>ainsi que</w:t>
      </w:r>
      <w:r w:rsidR="00502D0B" w:rsidRPr="00264DE7">
        <w:rPr>
          <w:sz w:val="24"/>
          <w:szCs w:val="24"/>
          <w:lang w:val="fr-RE"/>
        </w:rPr>
        <w:t xml:space="preserve"> </w:t>
      </w:r>
      <w:r w:rsidRPr="00264DE7">
        <w:rPr>
          <w:sz w:val="24"/>
          <w:szCs w:val="24"/>
          <w:lang w:val="fr-RE"/>
        </w:rPr>
        <w:t xml:space="preserve">de leur commerce. Même au plus fort de la pandémie, la plus grande menace pour la sécurité alimentaire et la nutrition n'était pas </w:t>
      </w:r>
      <w:r w:rsidR="00502D0B">
        <w:rPr>
          <w:sz w:val="24"/>
          <w:szCs w:val="24"/>
          <w:lang w:val="fr-RE"/>
        </w:rPr>
        <w:t>causée par</w:t>
      </w:r>
      <w:r w:rsidRPr="00264DE7">
        <w:rPr>
          <w:sz w:val="24"/>
          <w:szCs w:val="24"/>
          <w:lang w:val="fr-RE"/>
        </w:rPr>
        <w:t xml:space="preserve"> l'indisponibilité des aliments. Les gens avaient moins accès à une alimentation adéquate parce qu'ils avaient perdu leur emploi, leurs moyens de subsistance ou leur maison. Les aliments malsains et non durables deviennent moins chers car leur coût réel n'est pas pris en compte, tandis que les aliments sains et durables sont de plus en plus inaccessibles. Le Sommet n'a pas non plus accordé une attention suffisante aux formidables avancées réalisées récemment en matière d'agroécologie et de marchés territoriaux.</w:t>
      </w:r>
    </w:p>
    <w:p w14:paraId="3B036E32" w14:textId="77777777" w:rsidR="00353F4E" w:rsidRPr="009E1327" w:rsidRDefault="00353F4E">
      <w:pPr>
        <w:pStyle w:val="Corpotesto"/>
        <w:spacing w:before="2"/>
        <w:rPr>
          <w:sz w:val="17"/>
          <w:lang w:val="fr-RE"/>
        </w:rPr>
      </w:pPr>
    </w:p>
    <w:p w14:paraId="5AD49257" w14:textId="77777777" w:rsidR="009E1327" w:rsidRPr="009E1327" w:rsidRDefault="009E1327" w:rsidP="009E1327">
      <w:pPr>
        <w:pStyle w:val="Corpotesto"/>
        <w:spacing w:before="118"/>
        <w:ind w:left="102" w:right="110"/>
        <w:jc w:val="both"/>
        <w:rPr>
          <w:b/>
          <w:bCs/>
          <w:lang w:val="fr-RE"/>
        </w:rPr>
      </w:pPr>
      <w:r w:rsidRPr="009E1327">
        <w:rPr>
          <w:b/>
          <w:bCs/>
          <w:lang w:val="fr-RE"/>
        </w:rPr>
        <w:t>La concentration du pouvoir des entreprises reste l'éléphant dans la pièce du Sommet</w:t>
      </w:r>
    </w:p>
    <w:p w14:paraId="27FEEA99" w14:textId="43DA8F79" w:rsidR="009E1327" w:rsidRPr="009E1327" w:rsidRDefault="009E1327" w:rsidP="009E1327">
      <w:pPr>
        <w:pStyle w:val="Corpotesto"/>
        <w:spacing w:before="118"/>
        <w:ind w:left="102" w:right="110"/>
        <w:jc w:val="both"/>
        <w:rPr>
          <w:lang w:val="fr-RE"/>
        </w:rPr>
      </w:pPr>
      <w:r w:rsidRPr="009E1327">
        <w:rPr>
          <w:lang w:val="fr-RE"/>
        </w:rPr>
        <w:t xml:space="preserve">L'extrême concentration du pouvoir entre les mains d'acteurs privés des systèmes alimentaires rend ces entités coresponsables de la malnutrition, de la perte de biodiversité et des crises climatiques, autant de problèmes auxquels le Sommet a déclaré s'attaquer. Les sociétés transnationales dominent le marché mondial, des semences aux supermarchés. Pourtant, le sommet n'a pas abordé le rôle et la responsabilité des entreprises dans les systèmes alimentaires. Le déséquilibre et la concentration du pouvoir ont largement profité aux sociétés transnationales et ont porté atteinte aux droits de propriété, aux droits </w:t>
      </w:r>
      <w:r w:rsidR="00502D0B">
        <w:rPr>
          <w:lang w:val="fr-RE"/>
        </w:rPr>
        <w:t xml:space="preserve">humains </w:t>
      </w:r>
      <w:r w:rsidRPr="009E1327">
        <w:rPr>
          <w:lang w:val="fr-RE"/>
        </w:rPr>
        <w:t>et aux habitats des communautés locales.</w:t>
      </w:r>
    </w:p>
    <w:p w14:paraId="797AC4FF" w14:textId="32BEE8CE" w:rsidR="009E1327" w:rsidRPr="009E1327" w:rsidRDefault="009E1327" w:rsidP="009E1327">
      <w:pPr>
        <w:pStyle w:val="Corpotesto"/>
        <w:spacing w:before="118"/>
        <w:ind w:left="102" w:right="110"/>
        <w:jc w:val="both"/>
        <w:rPr>
          <w:lang w:val="fr-RE"/>
        </w:rPr>
      </w:pPr>
      <w:r w:rsidRPr="009E1327">
        <w:rPr>
          <w:lang w:val="fr-RE"/>
        </w:rPr>
        <w:t>Des inquiétudes ont été exprimées quant au fait que l'innovation axée sur la technologie et l'accent mis sur un certain modèle de science promu lors du sommet risquent de marginaliser davantage les besoins des petits exploitants agricoles. Cette approche ignore le fait que les petits exploitants produisent environ 70 % de la nourriture mondiale tout en préservant l'</w:t>
      </w:r>
      <w:proofErr w:type="spellStart"/>
      <w:r w:rsidRPr="009E1327">
        <w:rPr>
          <w:lang w:val="fr-RE"/>
        </w:rPr>
        <w:t>agrobiodiversité</w:t>
      </w:r>
      <w:proofErr w:type="spellEnd"/>
      <w:r w:rsidRPr="009E1327">
        <w:rPr>
          <w:lang w:val="fr-RE"/>
        </w:rPr>
        <w:t xml:space="preserve"> et en favorisant la résilience au changement climatique. Cette approche ne tient pas compte non plus du fait que les peuples </w:t>
      </w:r>
      <w:r w:rsidR="00502D0B">
        <w:rPr>
          <w:lang w:val="fr-RE"/>
        </w:rPr>
        <w:t xml:space="preserve">autochtones </w:t>
      </w:r>
      <w:r w:rsidRPr="009E1327">
        <w:rPr>
          <w:lang w:val="fr-RE"/>
        </w:rPr>
        <w:t>gèrent avec succès 80 % de la biodiversité mondiale sur les terres. Les agriculteurs, les travailleurs agricoles et les peuples autochtones du monde entier sont entièrement à la merci des entreprises, et ce n'est pas un hasard s'ils souffrent de la faim, de la malnutrition et de violations de leurs droits. En outre, ce sont les femmes et les jeunes filles de ces communautés qui portent souvent le plus lourd fardeau.</w:t>
      </w:r>
    </w:p>
    <w:p w14:paraId="78E2CB61" w14:textId="77777777" w:rsidR="009E1327" w:rsidRPr="009E1327" w:rsidRDefault="009E1327">
      <w:pPr>
        <w:pStyle w:val="Corpotesto"/>
        <w:spacing w:before="118"/>
        <w:ind w:left="102" w:right="110"/>
        <w:jc w:val="both"/>
        <w:rPr>
          <w:lang w:val="fr-RE"/>
        </w:rPr>
      </w:pPr>
    </w:p>
    <w:p w14:paraId="602784CA" w14:textId="77777777" w:rsidR="00353F4E" w:rsidRPr="009E1327" w:rsidRDefault="00353F4E">
      <w:pPr>
        <w:pStyle w:val="Corpotesto"/>
        <w:rPr>
          <w:sz w:val="26"/>
          <w:lang w:val="fr-RE"/>
        </w:rPr>
      </w:pPr>
    </w:p>
    <w:p w14:paraId="0B0A9D21" w14:textId="77777777" w:rsidR="009E1327" w:rsidRPr="00BB2C41" w:rsidRDefault="009E1327" w:rsidP="009E1327">
      <w:pPr>
        <w:pStyle w:val="Corpotesto"/>
        <w:rPr>
          <w:b/>
          <w:bCs/>
          <w:lang w:val="fr-RE"/>
        </w:rPr>
      </w:pPr>
      <w:r w:rsidRPr="00BB2C41">
        <w:rPr>
          <w:b/>
          <w:bCs/>
          <w:lang w:val="fr-RE"/>
        </w:rPr>
        <w:t>L'approche multipartite du sommet est un écran de fumée pour étouffer la participation</w:t>
      </w:r>
    </w:p>
    <w:p w14:paraId="1F54DADD" w14:textId="0A2FEF5A" w:rsidR="009E1327" w:rsidRPr="00BB2C41" w:rsidRDefault="009E1327" w:rsidP="001F5847">
      <w:pPr>
        <w:pStyle w:val="Corpotesto"/>
        <w:jc w:val="both"/>
        <w:rPr>
          <w:lang w:val="fr-RE"/>
        </w:rPr>
      </w:pPr>
      <w:r w:rsidRPr="00BB2C41">
        <w:rPr>
          <w:lang w:val="fr-RE"/>
        </w:rPr>
        <w:t xml:space="preserve">Pour que la participation soit effective et significative dans la prise de décision, il faut veiller à ce que les processus soient transparents et informatifs. Les processus doivent également être adaptés aux besoins des différents acteurs impliqués, être inclusifs sans discrimination, et garantir que les décideurs soient responsables devant les détenteurs de droits. Cependant, l'approche dite multipartite du Sommet n'a pas été transparente et n'a pas offert aux communautés affectées et à la société civile des opportunités significatives de participation. Le processus décisionnel a été </w:t>
      </w:r>
      <w:r w:rsidR="004530F8">
        <w:rPr>
          <w:lang w:val="fr-RE"/>
        </w:rPr>
        <w:t xml:space="preserve">réalisé par une approche </w:t>
      </w:r>
      <w:r w:rsidRPr="004530F8">
        <w:rPr>
          <w:lang w:val="fr-RE"/>
        </w:rPr>
        <w:t>descendant</w:t>
      </w:r>
      <w:r w:rsidR="004530F8" w:rsidRPr="00AE3AA5">
        <w:rPr>
          <w:lang w:val="fr-RE"/>
        </w:rPr>
        <w:t>e</w:t>
      </w:r>
      <w:r w:rsidRPr="004530F8">
        <w:rPr>
          <w:lang w:val="fr-RE"/>
        </w:rPr>
        <w:t xml:space="preserve"> et opaque.</w:t>
      </w:r>
      <w:r w:rsidRPr="00BB2C41">
        <w:rPr>
          <w:lang w:val="fr-RE"/>
        </w:rPr>
        <w:t xml:space="preserve"> Le sommet, influencé par les entreprises agroalimentaires, les groupes de réflexion et les philanthropes, n'a pas reflété </w:t>
      </w:r>
      <w:hyperlink r:id="rId12" w:history="1">
        <w:r w:rsidRPr="00943EE6">
          <w:rPr>
            <w:rStyle w:val="Collegamentoipertestuale"/>
            <w:lang w:val="fr-RE"/>
          </w:rPr>
          <w:t>la riche histoire de participation et d'inclusion</w:t>
        </w:r>
      </w:hyperlink>
      <w:r w:rsidRPr="00BB2C41">
        <w:rPr>
          <w:lang w:val="fr-RE"/>
        </w:rPr>
        <w:t xml:space="preserve"> des forums multilatéraux des Nations </w:t>
      </w:r>
      <w:r w:rsidR="00E20236">
        <w:rPr>
          <w:lang w:val="fr-RE"/>
        </w:rPr>
        <w:t>U</w:t>
      </w:r>
      <w:r w:rsidRPr="00BB2C41">
        <w:rPr>
          <w:lang w:val="fr-RE"/>
        </w:rPr>
        <w:t xml:space="preserve">nies. Le </w:t>
      </w:r>
      <w:r w:rsidR="00E20236">
        <w:rPr>
          <w:lang w:val="fr-RE"/>
        </w:rPr>
        <w:t>P</w:t>
      </w:r>
      <w:r w:rsidRPr="00BB2C41">
        <w:rPr>
          <w:lang w:val="fr-RE"/>
        </w:rPr>
        <w:t>ré-</w:t>
      </w:r>
      <w:r w:rsidR="00E20236">
        <w:rPr>
          <w:lang w:val="fr-RE"/>
        </w:rPr>
        <w:t>S</w:t>
      </w:r>
      <w:r w:rsidRPr="00BB2C41">
        <w:rPr>
          <w:lang w:val="fr-RE"/>
        </w:rPr>
        <w:t xml:space="preserve">ommet a visiblement manqué de participation interactive et significative des mouvements </w:t>
      </w:r>
      <w:r w:rsidR="004530F8">
        <w:rPr>
          <w:lang w:val="fr-RE"/>
        </w:rPr>
        <w:t>sur le terrain</w:t>
      </w:r>
      <w:r w:rsidRPr="00BB2C41">
        <w:rPr>
          <w:lang w:val="fr-RE"/>
        </w:rPr>
        <w:t xml:space="preserve">, des peuples </w:t>
      </w:r>
      <w:r w:rsidR="004530F8">
        <w:rPr>
          <w:lang w:val="fr-RE"/>
        </w:rPr>
        <w:t>autochtones</w:t>
      </w:r>
      <w:r w:rsidRPr="00BB2C41">
        <w:rPr>
          <w:lang w:val="fr-RE"/>
        </w:rPr>
        <w:t xml:space="preserve">, des petits agriculteurs, </w:t>
      </w:r>
      <w:proofErr w:type="gramStart"/>
      <w:r w:rsidRPr="00BB2C41">
        <w:rPr>
          <w:lang w:val="fr-RE"/>
        </w:rPr>
        <w:t>des</w:t>
      </w:r>
      <w:proofErr w:type="gramEnd"/>
      <w:r w:rsidRPr="00BB2C41">
        <w:rPr>
          <w:lang w:val="fr-RE"/>
        </w:rPr>
        <w:t xml:space="preserve"> pasteurs, des pêcheurs et des groupes de défense des droits de l'homme. Puisque le Sommet n'a pas inclus de manière significative la société civile dès le départ, des millions de personnes ont décidé de boycotter le Sommet par le biais du mécanisme de la société civile et des peuples autochtones du Comité des Nations Unies sur la sécurité alimentaire mondiale. Les milliers de personnes qui ont participé à la multitude d'événements et de réunions en ligne du Sommet ont été laissées</w:t>
      </w:r>
      <w:r w:rsidRPr="009E1327">
        <w:rPr>
          <w:sz w:val="26"/>
          <w:lang w:val="fr-RE"/>
        </w:rPr>
        <w:t xml:space="preserve"> </w:t>
      </w:r>
      <w:r w:rsidRPr="00BB2C41">
        <w:rPr>
          <w:lang w:val="fr-RE"/>
        </w:rPr>
        <w:t>avec un sentiment de cynisme à l'égard de l'ensemble du processus, car il n'y avait pas de lien clair entre la contribution des gens et les résultats du Sommet.</w:t>
      </w:r>
    </w:p>
    <w:p w14:paraId="2DBF11FE" w14:textId="77777777" w:rsidR="009E1327" w:rsidRPr="00BB2C41" w:rsidRDefault="009E1327">
      <w:pPr>
        <w:pStyle w:val="Corpotesto"/>
        <w:rPr>
          <w:lang w:val="fr-RE"/>
        </w:rPr>
      </w:pPr>
    </w:p>
    <w:p w14:paraId="07F80ADF" w14:textId="77777777" w:rsidR="00353F4E" w:rsidRPr="009B36AA" w:rsidRDefault="00353F4E">
      <w:pPr>
        <w:jc w:val="both"/>
        <w:rPr>
          <w:lang w:val="fr-RE"/>
        </w:rPr>
        <w:sectPr w:rsidR="00353F4E" w:rsidRPr="009B36AA">
          <w:pgSz w:w="11910" w:h="16840"/>
          <w:pgMar w:top="2580" w:right="1440" w:bottom="1220" w:left="1600" w:header="558" w:footer="1022" w:gutter="0"/>
          <w:cols w:space="720"/>
        </w:sectPr>
      </w:pPr>
    </w:p>
    <w:p w14:paraId="51C5D312" w14:textId="77777777" w:rsidR="00353F4E" w:rsidRPr="009B36AA" w:rsidRDefault="00353F4E">
      <w:pPr>
        <w:pStyle w:val="Corpotesto"/>
        <w:spacing w:before="9"/>
        <w:rPr>
          <w:sz w:val="16"/>
          <w:lang w:val="fr-RE"/>
        </w:rPr>
      </w:pPr>
    </w:p>
    <w:p w14:paraId="1EE08CA6" w14:textId="27808FDA" w:rsidR="009E1327" w:rsidRPr="009B36AA" w:rsidRDefault="009E1327" w:rsidP="009E1327">
      <w:pPr>
        <w:tabs>
          <w:tab w:val="left" w:pos="810"/>
        </w:tabs>
        <w:jc w:val="both"/>
        <w:rPr>
          <w:sz w:val="24"/>
          <w:lang w:val="fr-RE"/>
        </w:rPr>
      </w:pPr>
    </w:p>
    <w:p w14:paraId="1BCC94C2" w14:textId="68DF9238" w:rsidR="009E1327" w:rsidRDefault="009E1327" w:rsidP="009E1327">
      <w:pPr>
        <w:tabs>
          <w:tab w:val="left" w:pos="810"/>
        </w:tabs>
        <w:jc w:val="both"/>
        <w:rPr>
          <w:b/>
          <w:bCs/>
          <w:sz w:val="24"/>
          <w:lang w:val="fr-RE"/>
        </w:rPr>
      </w:pPr>
      <w:r w:rsidRPr="009E1327">
        <w:rPr>
          <w:b/>
          <w:bCs/>
          <w:sz w:val="24"/>
          <w:lang w:val="fr-RE"/>
        </w:rPr>
        <w:t>Recommandations pour que le Sommet soit davantage axé sur l'humain</w:t>
      </w:r>
    </w:p>
    <w:p w14:paraId="63F952F8" w14:textId="77777777" w:rsidR="00AE3AA5" w:rsidRPr="009E1327" w:rsidRDefault="00AE3AA5" w:rsidP="009E1327">
      <w:pPr>
        <w:tabs>
          <w:tab w:val="left" w:pos="810"/>
        </w:tabs>
        <w:jc w:val="both"/>
        <w:rPr>
          <w:b/>
          <w:bCs/>
          <w:sz w:val="24"/>
          <w:lang w:val="fr-RE"/>
        </w:rPr>
      </w:pPr>
    </w:p>
    <w:p w14:paraId="1DEC19DF" w14:textId="66362840" w:rsidR="009E1327" w:rsidRPr="00BB2C41" w:rsidRDefault="009E1327" w:rsidP="005019FE">
      <w:pPr>
        <w:tabs>
          <w:tab w:val="left" w:pos="810"/>
        </w:tabs>
        <w:jc w:val="both"/>
        <w:rPr>
          <w:sz w:val="24"/>
          <w:szCs w:val="24"/>
          <w:lang w:val="fr-RE"/>
        </w:rPr>
      </w:pPr>
      <w:r w:rsidRPr="009E1327">
        <w:rPr>
          <w:sz w:val="24"/>
          <w:lang w:val="fr-RE"/>
        </w:rPr>
        <w:t xml:space="preserve">En tant que défenseur du droit à l'alimentation au niveau mondial, le Rapporteur spécial a pu constater de visu l'importance de renforcer la responsabilité dans les systèmes alimentaires et la valeur des </w:t>
      </w:r>
      <w:r w:rsidRPr="00BB2C41">
        <w:rPr>
          <w:sz w:val="24"/>
          <w:szCs w:val="24"/>
          <w:lang w:val="fr-RE"/>
        </w:rPr>
        <w:t xml:space="preserve">connaissances locales et traditionnelles des populations. À un moment critique de la préparation du </w:t>
      </w:r>
      <w:r w:rsidRPr="001F5847">
        <w:rPr>
          <w:sz w:val="24"/>
          <w:szCs w:val="24"/>
          <w:lang w:val="fr-RE"/>
        </w:rPr>
        <w:t xml:space="preserve">Sommet, </w:t>
      </w:r>
      <w:hyperlink r:id="rId13" w:history="1">
        <w:r w:rsidR="00E20236" w:rsidRPr="001F5847">
          <w:rPr>
            <w:rStyle w:val="Collegamentoipertestuale"/>
            <w:sz w:val="24"/>
            <w:szCs w:val="24"/>
            <w:lang w:val="fr-RE"/>
          </w:rPr>
          <w:t xml:space="preserve">trois experts des droits </w:t>
        </w:r>
        <w:r w:rsidR="00E20236">
          <w:rPr>
            <w:rStyle w:val="Collegamentoipertestuale"/>
            <w:sz w:val="24"/>
            <w:szCs w:val="24"/>
            <w:lang w:val="fr-RE"/>
          </w:rPr>
          <w:t>humains</w:t>
        </w:r>
      </w:hyperlink>
      <w:r w:rsidR="00E20236" w:rsidRPr="001F5847">
        <w:rPr>
          <w:sz w:val="24"/>
          <w:szCs w:val="24"/>
          <w:lang w:val="fr-RE"/>
        </w:rPr>
        <w:t xml:space="preserve"> </w:t>
      </w:r>
      <w:r w:rsidRPr="001F5847">
        <w:rPr>
          <w:sz w:val="24"/>
          <w:szCs w:val="24"/>
          <w:lang w:val="fr-RE"/>
        </w:rPr>
        <w:t>des</w:t>
      </w:r>
      <w:r w:rsidRPr="00BB2C41">
        <w:rPr>
          <w:sz w:val="24"/>
          <w:szCs w:val="24"/>
          <w:lang w:val="fr-RE"/>
        </w:rPr>
        <w:t xml:space="preserve"> Nations Unies ont averti que le Sommet ne serait pas un "sommet des peuples" s'il n'était pas urgemment repensé afin d'intégrer les droits </w:t>
      </w:r>
      <w:r w:rsidR="00E20236">
        <w:rPr>
          <w:sz w:val="24"/>
          <w:szCs w:val="24"/>
          <w:lang w:val="fr-RE"/>
        </w:rPr>
        <w:t>humains</w:t>
      </w:r>
      <w:r w:rsidRPr="00BB2C41">
        <w:rPr>
          <w:sz w:val="24"/>
          <w:szCs w:val="24"/>
          <w:lang w:val="fr-RE"/>
        </w:rPr>
        <w:t xml:space="preserve"> dans ses résultats et d'aborder les questions en suspens </w:t>
      </w:r>
      <w:r w:rsidR="00E20236">
        <w:rPr>
          <w:sz w:val="24"/>
          <w:szCs w:val="24"/>
          <w:lang w:val="fr-RE"/>
        </w:rPr>
        <w:t xml:space="preserve">telles que celles </w:t>
      </w:r>
      <w:r w:rsidRPr="00BB2C41">
        <w:rPr>
          <w:sz w:val="24"/>
          <w:szCs w:val="24"/>
          <w:lang w:val="fr-RE"/>
        </w:rPr>
        <w:t xml:space="preserve">du pouvoir, de la participation et de la responsabilité (c'est-à-dire comment et par qui les résultats </w:t>
      </w:r>
      <w:proofErr w:type="spellStart"/>
      <w:r w:rsidRPr="00BB2C41">
        <w:rPr>
          <w:sz w:val="24"/>
          <w:szCs w:val="24"/>
          <w:lang w:val="fr-RE"/>
        </w:rPr>
        <w:t>seront-ils</w:t>
      </w:r>
      <w:proofErr w:type="spellEnd"/>
      <w:r w:rsidRPr="00BB2C41">
        <w:rPr>
          <w:sz w:val="24"/>
          <w:szCs w:val="24"/>
          <w:lang w:val="fr-RE"/>
        </w:rPr>
        <w:t xml:space="preserve"> obtenus).</w:t>
      </w:r>
    </w:p>
    <w:p w14:paraId="05A93571" w14:textId="77777777" w:rsidR="009E1327" w:rsidRPr="00BB2C41" w:rsidRDefault="009E1327" w:rsidP="005019FE">
      <w:pPr>
        <w:pStyle w:val="Corpotesto"/>
        <w:jc w:val="both"/>
        <w:rPr>
          <w:lang w:val="fr-RE"/>
        </w:rPr>
      </w:pPr>
      <w:r w:rsidRPr="00BB2C41">
        <w:rPr>
          <w:lang w:val="fr-RE"/>
        </w:rPr>
        <w:t xml:space="preserve">En prévision du Sommet de septembre 2021, les États </w:t>
      </w:r>
      <w:r w:rsidRPr="00E20236">
        <w:rPr>
          <w:lang w:val="fr-RE"/>
        </w:rPr>
        <w:t>membres devraient se mobiliser davantage et évaluer le Sommet à travers les sept principes du cadre PANTHER</w:t>
      </w:r>
      <w:r w:rsidRPr="00BB2C41">
        <w:rPr>
          <w:lang w:val="fr-RE"/>
        </w:rPr>
        <w:t xml:space="preserve"> (participation, responsabilité, non-discrimination, transparence, dignité humaine, autonomisation et État de droit), en gardant à l'esprit que les États portent la plus grande responsabilité en matière de gouvernance dans l'intérêt public.</w:t>
      </w:r>
    </w:p>
    <w:p w14:paraId="4773D0B8" w14:textId="5D72EF18" w:rsidR="009E1327" w:rsidRPr="00BB2C41" w:rsidRDefault="009E1327" w:rsidP="005019FE">
      <w:pPr>
        <w:pStyle w:val="Corpotesto"/>
        <w:jc w:val="both"/>
        <w:rPr>
          <w:lang w:val="fr-RE"/>
        </w:rPr>
      </w:pPr>
      <w:r w:rsidRPr="00BB2C41">
        <w:rPr>
          <w:lang w:val="fr-RE"/>
        </w:rPr>
        <w:t xml:space="preserve">Le </w:t>
      </w:r>
      <w:r w:rsidR="00E20236">
        <w:rPr>
          <w:lang w:val="fr-RE"/>
        </w:rPr>
        <w:t>R</w:t>
      </w:r>
      <w:r w:rsidRPr="00BB2C41">
        <w:rPr>
          <w:lang w:val="fr-RE"/>
        </w:rPr>
        <w:t xml:space="preserve">apporteur spécial déconseille de créer de nouvelles institutions à la suite du </w:t>
      </w:r>
      <w:r w:rsidR="00E20236">
        <w:rPr>
          <w:lang w:val="fr-RE"/>
        </w:rPr>
        <w:t>S</w:t>
      </w:r>
      <w:r w:rsidRPr="00BB2C41">
        <w:rPr>
          <w:lang w:val="fr-RE"/>
        </w:rPr>
        <w:t xml:space="preserve">ommet et recommande de renforcer les forums multilatéraux existants des Nations </w:t>
      </w:r>
      <w:r w:rsidR="00E20236">
        <w:rPr>
          <w:lang w:val="fr-RE"/>
        </w:rPr>
        <w:t>U</w:t>
      </w:r>
      <w:r w:rsidRPr="00BB2C41">
        <w:rPr>
          <w:lang w:val="fr-RE"/>
        </w:rPr>
        <w:t xml:space="preserve">nies à Rome et à Genève pour le suivi et l'examen. Le Comité des Nations </w:t>
      </w:r>
      <w:r w:rsidR="00E20236">
        <w:rPr>
          <w:lang w:val="fr-RE"/>
        </w:rPr>
        <w:t>U</w:t>
      </w:r>
      <w:r w:rsidRPr="00BB2C41">
        <w:rPr>
          <w:lang w:val="fr-RE"/>
        </w:rPr>
        <w:t>nies sur la sécurité alimentaire mondiale devrait être le lieu où les résultats du sommet seront finalement discutés et évalués, en utilisant ses mécanismes de participation inclusive.</w:t>
      </w:r>
    </w:p>
    <w:p w14:paraId="411B042D" w14:textId="1D4B5A64" w:rsidR="009E1327" w:rsidRPr="00BB2C41" w:rsidRDefault="009E1327" w:rsidP="005019FE">
      <w:pPr>
        <w:pStyle w:val="Corpotesto"/>
        <w:jc w:val="both"/>
        <w:rPr>
          <w:lang w:val="fr-RE"/>
        </w:rPr>
      </w:pPr>
      <w:r w:rsidRPr="00BB2C41">
        <w:rPr>
          <w:lang w:val="fr-RE"/>
        </w:rPr>
        <w:t xml:space="preserve">Notant l'émergence de coalitions d'action autour de certaines questions, le Rapporteur spécial encourage les États membres à veiller à ce que toutes les coalitions soient adaptées aux demandes des pays et des régions en se concentrant sur les droits </w:t>
      </w:r>
      <w:r w:rsidR="00E20236">
        <w:rPr>
          <w:lang w:val="fr-RE"/>
        </w:rPr>
        <w:t>humains</w:t>
      </w:r>
      <w:r w:rsidRPr="00BB2C41">
        <w:rPr>
          <w:lang w:val="fr-RE"/>
        </w:rPr>
        <w:t xml:space="preserve"> et en abordant les priorités transversales que sont l'équité, l'autonomisation et la responsabilité dans les systèmes alimentaires.</w:t>
      </w:r>
    </w:p>
    <w:p w14:paraId="447C0A50" w14:textId="5970BAC1" w:rsidR="009E1327" w:rsidRPr="00BB2C41" w:rsidRDefault="009E1327" w:rsidP="005019FE">
      <w:pPr>
        <w:pStyle w:val="Corpotesto"/>
        <w:jc w:val="both"/>
        <w:rPr>
          <w:lang w:val="fr-RE"/>
        </w:rPr>
      </w:pPr>
      <w:r w:rsidRPr="00BB2C41">
        <w:rPr>
          <w:lang w:val="fr-RE"/>
        </w:rPr>
        <w:t xml:space="preserve">Enfin, le Rapporteur spécial recommande que les résultats du Sommet soient évalués dans le cadre des droits </w:t>
      </w:r>
      <w:r w:rsidR="00E20236">
        <w:rPr>
          <w:lang w:val="fr-RE"/>
        </w:rPr>
        <w:t>humains</w:t>
      </w:r>
      <w:r w:rsidRPr="00BB2C41">
        <w:rPr>
          <w:lang w:val="fr-RE"/>
        </w:rPr>
        <w:t xml:space="preserve">. Cela implique de s'interroger sur la contribution des résultats et de tout suivi et examen du Sommet à la réalisation du droit de chacun à l'alimentation et des droits </w:t>
      </w:r>
      <w:r w:rsidR="00E20236">
        <w:rPr>
          <w:lang w:val="fr-RE"/>
        </w:rPr>
        <w:t>humains</w:t>
      </w:r>
      <w:r w:rsidRPr="00BB2C41">
        <w:rPr>
          <w:lang w:val="fr-RE"/>
        </w:rPr>
        <w:t xml:space="preserve"> en général. Les questions suivantes peuvent être posées à cet égard :</w:t>
      </w:r>
    </w:p>
    <w:p w14:paraId="65A48257" w14:textId="77777777" w:rsidR="009E1327" w:rsidRPr="00BB2C41" w:rsidRDefault="009E1327" w:rsidP="005019FE">
      <w:pPr>
        <w:pStyle w:val="Corpotesto"/>
        <w:jc w:val="both"/>
        <w:rPr>
          <w:lang w:val="fr-RE"/>
        </w:rPr>
      </w:pPr>
      <w:r w:rsidRPr="00BB2C41">
        <w:rPr>
          <w:lang w:val="fr-RE"/>
        </w:rPr>
        <w:t>(a) Comment les résultats du Sommet aident-ils les gouvernements et les populations à s'unir pour lutter contre la faim, la malnutrition et les inégalités exaspérées par la pandémie de COVID-19 ?</w:t>
      </w:r>
    </w:p>
    <w:p w14:paraId="7329374B" w14:textId="54B967D6" w:rsidR="009E1327" w:rsidRPr="00BB2C41" w:rsidRDefault="009E1327" w:rsidP="005019FE">
      <w:pPr>
        <w:pStyle w:val="Corpotesto"/>
        <w:jc w:val="both"/>
        <w:rPr>
          <w:lang w:val="fr-RE"/>
        </w:rPr>
      </w:pPr>
      <w:r w:rsidRPr="00BB2C41">
        <w:rPr>
          <w:lang w:val="fr-RE"/>
        </w:rPr>
        <w:t xml:space="preserve">(b) Comment les résultats guident-ils les États pour identifier et allouer le maximum de ressources disponibles pour la réalisation du droit à l'alimentation, et éviter toute régression dans la réalisation des droits </w:t>
      </w:r>
      <w:r w:rsidR="00E20236">
        <w:rPr>
          <w:lang w:val="fr-RE"/>
        </w:rPr>
        <w:t>humains </w:t>
      </w:r>
      <w:r w:rsidRPr="00BB2C41">
        <w:rPr>
          <w:lang w:val="fr-RE"/>
        </w:rPr>
        <w:t>?</w:t>
      </w:r>
    </w:p>
    <w:p w14:paraId="0F3B2379" w14:textId="66A57045" w:rsidR="009E1327" w:rsidRPr="00BB2C41" w:rsidRDefault="009E1327" w:rsidP="005019FE">
      <w:pPr>
        <w:pStyle w:val="Corpotesto"/>
        <w:jc w:val="both"/>
        <w:rPr>
          <w:lang w:val="fr-RE"/>
        </w:rPr>
      </w:pPr>
      <w:r w:rsidRPr="00BB2C41">
        <w:rPr>
          <w:lang w:val="fr-RE"/>
        </w:rPr>
        <w:t>(c) Comment les résultats identifient-ils la cause profonde de la crise et tiennent-ils les entreprises et autres acteurs responsables des violations des droits</w:t>
      </w:r>
      <w:r w:rsidR="00E20236">
        <w:rPr>
          <w:lang w:val="fr-RE"/>
        </w:rPr>
        <w:t xml:space="preserve"> </w:t>
      </w:r>
      <w:proofErr w:type="gramStart"/>
      <w:r w:rsidR="00E20236">
        <w:rPr>
          <w:lang w:val="fr-RE"/>
        </w:rPr>
        <w:t>humains</w:t>
      </w:r>
      <w:r w:rsidRPr="00BB2C41">
        <w:rPr>
          <w:lang w:val="fr-RE"/>
        </w:rPr>
        <w:t>?</w:t>
      </w:r>
      <w:proofErr w:type="gramEnd"/>
    </w:p>
    <w:p w14:paraId="6ACC89BC" w14:textId="2184EB70" w:rsidR="009E1327" w:rsidRPr="00BB2C41" w:rsidRDefault="009E1327" w:rsidP="005019FE">
      <w:pPr>
        <w:pStyle w:val="Corpotesto"/>
        <w:jc w:val="both"/>
        <w:rPr>
          <w:lang w:val="fr-RE"/>
        </w:rPr>
      </w:pPr>
      <w:r w:rsidRPr="00BB2C41">
        <w:rPr>
          <w:lang w:val="fr-RE"/>
        </w:rPr>
        <w:t xml:space="preserve">(d) Comment les résultats s'appuient-ils sur une compréhension de </w:t>
      </w:r>
      <w:r w:rsidRPr="004530F8">
        <w:rPr>
          <w:lang w:val="fr-RE"/>
        </w:rPr>
        <w:t>l'</w:t>
      </w:r>
      <w:proofErr w:type="spellStart"/>
      <w:r w:rsidRPr="004530F8">
        <w:rPr>
          <w:lang w:val="fr-RE"/>
        </w:rPr>
        <w:t>agence</w:t>
      </w:r>
      <w:r w:rsidR="005019FE" w:rsidRPr="004530F8">
        <w:rPr>
          <w:lang w:val="fr-RE"/>
        </w:rPr>
        <w:t>ité</w:t>
      </w:r>
      <w:proofErr w:type="spellEnd"/>
      <w:r w:rsidRPr="00BB2C41">
        <w:rPr>
          <w:lang w:val="fr-RE"/>
        </w:rPr>
        <w:t xml:space="preserve"> </w:t>
      </w:r>
      <w:r w:rsidR="00E20236">
        <w:rPr>
          <w:lang w:val="fr-RE"/>
        </w:rPr>
        <w:t>(</w:t>
      </w:r>
      <w:proofErr w:type="spellStart"/>
      <w:r w:rsidR="00E20236">
        <w:rPr>
          <w:lang w:val="fr-RE"/>
        </w:rPr>
        <w:t>agency</w:t>
      </w:r>
      <w:proofErr w:type="spellEnd"/>
      <w:r w:rsidR="00E20236">
        <w:rPr>
          <w:lang w:val="fr-RE"/>
        </w:rPr>
        <w:t xml:space="preserve">) </w:t>
      </w:r>
      <w:r w:rsidRPr="00BB2C41">
        <w:rPr>
          <w:lang w:val="fr-RE"/>
        </w:rPr>
        <w:t>qui place le contrôle des systèmes alimentaires entre les mains des personnes en leur qualité de détenteurs de droits ? Et rendent-ils les mécanismes de gouvernance nationaux et internationaux plus responsables envers les populations et plus sensibles aux inégalités structurelles ?</w:t>
      </w:r>
    </w:p>
    <w:p w14:paraId="3EB86ED5" w14:textId="6EF0F21F" w:rsidR="00353F4E" w:rsidRDefault="00353F4E">
      <w:pPr>
        <w:pStyle w:val="Corpotesto"/>
        <w:rPr>
          <w:sz w:val="26"/>
          <w:lang w:val="fr-RE"/>
        </w:rPr>
      </w:pPr>
    </w:p>
    <w:p w14:paraId="2C857D08" w14:textId="77777777" w:rsidR="00AE3AA5" w:rsidRPr="009E1327" w:rsidRDefault="00AE3AA5">
      <w:pPr>
        <w:pStyle w:val="Corpotesto"/>
        <w:rPr>
          <w:sz w:val="26"/>
          <w:lang w:val="fr-RE"/>
        </w:rPr>
      </w:pPr>
    </w:p>
    <w:p w14:paraId="4ABF2B13" w14:textId="77777777" w:rsidR="00AE3AA5" w:rsidRDefault="00AE3AA5" w:rsidP="009E1327">
      <w:pPr>
        <w:pStyle w:val="Corpotesto"/>
        <w:spacing w:before="120"/>
        <w:ind w:left="102"/>
        <w:rPr>
          <w:b/>
          <w:bCs/>
          <w:u w:val="single"/>
          <w:lang w:val="fr-RE"/>
        </w:rPr>
      </w:pPr>
    </w:p>
    <w:p w14:paraId="578DB76C" w14:textId="181A79CB" w:rsidR="009E1327" w:rsidRPr="009E1327" w:rsidRDefault="009E1327" w:rsidP="009E1327">
      <w:pPr>
        <w:pStyle w:val="Corpotesto"/>
        <w:spacing w:before="120"/>
        <w:ind w:left="102"/>
        <w:rPr>
          <w:b/>
          <w:bCs/>
          <w:u w:val="single"/>
          <w:lang w:val="fr-RE"/>
        </w:rPr>
      </w:pPr>
      <w:r w:rsidRPr="009E1327">
        <w:rPr>
          <w:b/>
          <w:bCs/>
          <w:u w:val="single"/>
          <w:lang w:val="fr-RE"/>
        </w:rPr>
        <w:t>Informations complémentaires</w:t>
      </w:r>
    </w:p>
    <w:p w14:paraId="72C29E85" w14:textId="55EA7CD7" w:rsidR="009E1327" w:rsidRPr="009E1327" w:rsidRDefault="00073184" w:rsidP="009E1327">
      <w:pPr>
        <w:pStyle w:val="Corpotesto"/>
        <w:spacing w:before="120"/>
        <w:ind w:left="102"/>
        <w:rPr>
          <w:lang w:val="fr-RE"/>
        </w:rPr>
      </w:pPr>
      <w:r>
        <w:rPr>
          <w:lang w:val="fr-RE"/>
        </w:rPr>
        <w:t>P</w:t>
      </w:r>
      <w:r w:rsidR="009E1327" w:rsidRPr="009E1327">
        <w:rPr>
          <w:lang w:val="fr-RE"/>
        </w:rPr>
        <w:t>lus</w:t>
      </w:r>
      <w:r>
        <w:rPr>
          <w:lang w:val="fr-RE"/>
        </w:rPr>
        <w:t xml:space="preserve"> d’</w:t>
      </w:r>
      <w:r w:rsidR="009E1327" w:rsidRPr="009E1327">
        <w:rPr>
          <w:lang w:val="fr-RE"/>
        </w:rPr>
        <w:t xml:space="preserve">informations et détails sur la note d'orientation et le rapport à venir peuvent être obtenus en consultant le mandat du Rapporteur spécial sur le droit à l'alimentation : </w:t>
      </w:r>
      <w:r w:rsidR="009E1327" w:rsidRPr="001F5847">
        <w:rPr>
          <w:rStyle w:val="Collegamentoipertestuale"/>
          <w:lang w:val="fr-RE"/>
        </w:rPr>
        <w:t>srfood@ohchr.org</w:t>
      </w:r>
      <w:r w:rsidR="009E1327" w:rsidRPr="009E1327">
        <w:rPr>
          <w:lang w:val="fr-RE"/>
        </w:rPr>
        <w:t>.</w:t>
      </w:r>
    </w:p>
    <w:p w14:paraId="1F526803" w14:textId="2F4850EC" w:rsidR="009E1327" w:rsidRPr="009E1327" w:rsidRDefault="009E1327" w:rsidP="009E1327">
      <w:pPr>
        <w:pStyle w:val="Corpotesto"/>
        <w:spacing w:before="120"/>
        <w:ind w:left="102"/>
        <w:rPr>
          <w:lang w:val="fr-RE"/>
        </w:rPr>
      </w:pPr>
      <w:r w:rsidRPr="009E1327">
        <w:rPr>
          <w:lang w:val="fr-RE"/>
        </w:rPr>
        <w:t>Le Rapporteur spécial reste disponible pour d'autres questions et suggestions de coopération.</w:t>
      </w:r>
    </w:p>
    <w:sectPr w:rsidR="009E1327" w:rsidRPr="009E1327">
      <w:pgSz w:w="11910" w:h="16840"/>
      <w:pgMar w:top="2580" w:right="1440" w:bottom="1220" w:left="1600" w:header="55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8C5A" w14:textId="77777777" w:rsidR="00AE4A3F" w:rsidRDefault="00AE4A3F">
      <w:r>
        <w:separator/>
      </w:r>
    </w:p>
  </w:endnote>
  <w:endnote w:type="continuationSeparator" w:id="0">
    <w:p w14:paraId="33BA9B68" w14:textId="77777777" w:rsidR="00AE4A3F" w:rsidRDefault="00A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2D3F" w14:textId="6C3E2BFE" w:rsidR="00353F4E" w:rsidRDefault="009E1327">
    <w:pPr>
      <w:pStyle w:val="Corpotesto"/>
      <w:spacing w:line="14" w:lineRule="auto"/>
      <w:rPr>
        <w:sz w:val="20"/>
      </w:rPr>
    </w:pPr>
    <w:r>
      <w:rPr>
        <w:noProof/>
        <w:lang w:eastAsia="en-GB"/>
      </w:rPr>
      <mc:AlternateContent>
        <mc:Choice Requires="wps">
          <w:drawing>
            <wp:anchor distT="0" distB="0" distL="114300" distR="114300" simplePos="0" relativeHeight="487532544" behindDoc="1" locked="0" layoutInCell="1" allowOverlap="1" wp14:anchorId="6F567DA0" wp14:editId="64A6C0C5">
              <wp:simplePos x="0" y="0"/>
              <wp:positionH relativeFrom="page">
                <wp:posOffset>6464300</wp:posOffset>
              </wp:positionH>
              <wp:positionV relativeFrom="page">
                <wp:posOffset>9903460</wp:posOffset>
              </wp:positionV>
              <wp:extent cx="159385" cy="18097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B113" w14:textId="3E3038A6" w:rsidR="00353F4E" w:rsidRDefault="007C618F">
                          <w:pPr>
                            <w:spacing w:before="11"/>
                            <w:ind w:left="60"/>
                          </w:pPr>
                          <w:r>
                            <w:fldChar w:fldCharType="begin"/>
                          </w:r>
                          <w:r>
                            <w:instrText xml:space="preserve"> PAGE </w:instrText>
                          </w:r>
                          <w:r>
                            <w:fldChar w:fldCharType="separate"/>
                          </w:r>
                          <w:r w:rsidR="004530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67DA0" id="_x0000_t202" coordsize="21600,21600" o:spt="202" path="m,l,21600r21600,l21600,xe">
              <v:stroke joinstyle="miter"/>
              <v:path gradientshapeok="t" o:connecttype="rect"/>
            </v:shapetype>
            <v:shape id="docshape4" o:spid="_x0000_s1029" type="#_x0000_t202" style="position:absolute;margin-left:509pt;margin-top:779.8pt;width:12.55pt;height:14.25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j7rgIAAK4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" filled="f" stroked="f">
              <v:textbox inset="0,0,0,0">
                <w:txbxContent>
                  <w:p w14:paraId="1D90B113" w14:textId="3E3038A6" w:rsidR="00353F4E" w:rsidRDefault="007C618F">
                    <w:pPr>
                      <w:spacing w:before="11"/>
                      <w:ind w:left="60"/>
                    </w:pPr>
                    <w:r>
                      <w:fldChar w:fldCharType="begin"/>
                    </w:r>
                    <w:r>
                      <w:instrText xml:space="preserve"> PAGE </w:instrText>
                    </w:r>
                    <w:r>
                      <w:fldChar w:fldCharType="separate"/>
                    </w:r>
                    <w:r w:rsidR="004530F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72A1" w14:textId="77777777" w:rsidR="00AE4A3F" w:rsidRDefault="00AE4A3F">
      <w:r>
        <w:separator/>
      </w:r>
    </w:p>
  </w:footnote>
  <w:footnote w:type="continuationSeparator" w:id="0">
    <w:p w14:paraId="147EA983" w14:textId="77777777" w:rsidR="00AE4A3F" w:rsidRDefault="00AE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D28B" w14:textId="09E39A08" w:rsidR="00353F4E" w:rsidRDefault="007C618F">
    <w:pPr>
      <w:pStyle w:val="Corpotesto"/>
      <w:spacing w:line="14" w:lineRule="auto"/>
      <w:rPr>
        <w:sz w:val="20"/>
      </w:rPr>
    </w:pPr>
    <w:r>
      <w:rPr>
        <w:noProof/>
        <w:lang w:eastAsia="en-GB"/>
      </w:rPr>
      <w:drawing>
        <wp:anchor distT="0" distB="0" distL="0" distR="0" simplePos="0" relativeHeight="251658752" behindDoc="1" locked="0" layoutInCell="1" allowOverlap="1" wp14:anchorId="311654D0" wp14:editId="40C06DC1">
          <wp:simplePos x="0" y="0"/>
          <wp:positionH relativeFrom="page">
            <wp:posOffset>3212072</wp:posOffset>
          </wp:positionH>
          <wp:positionV relativeFrom="page">
            <wp:posOffset>354512</wp:posOffset>
          </wp:positionV>
          <wp:extent cx="1226080" cy="51335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26080" cy="513350"/>
                  </a:xfrm>
                  <a:prstGeom prst="rect">
                    <a:avLst/>
                  </a:prstGeom>
                </pic:spPr>
              </pic:pic>
            </a:graphicData>
          </a:graphic>
        </wp:anchor>
      </w:drawing>
    </w:r>
    <w:r w:rsidR="009E1327">
      <w:rPr>
        <w:noProof/>
        <w:lang w:eastAsia="en-GB"/>
      </w:rPr>
      <mc:AlternateContent>
        <mc:Choice Requires="wps">
          <w:drawing>
            <wp:anchor distT="0" distB="0" distL="114300" distR="114300" simplePos="0" relativeHeight="487531008" behindDoc="1" locked="0" layoutInCell="1" allowOverlap="1" wp14:anchorId="313F55D0" wp14:editId="50FCB61F">
              <wp:simplePos x="0" y="0"/>
              <wp:positionH relativeFrom="page">
                <wp:posOffset>2863850</wp:posOffset>
              </wp:positionH>
              <wp:positionV relativeFrom="page">
                <wp:posOffset>1123950</wp:posOffset>
              </wp:positionV>
              <wp:extent cx="2040890" cy="1143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5CE2" w14:textId="77777777" w:rsidR="00353F4E" w:rsidRDefault="007C618F">
                          <w:pPr>
                            <w:spacing w:line="162" w:lineRule="exact"/>
                            <w:ind w:left="20"/>
                            <w:rPr>
                              <w:rFonts w:ascii="Calibri" w:hAnsi="Calibri"/>
                              <w:sz w:val="14"/>
                            </w:rPr>
                          </w:pPr>
                          <w:r>
                            <w:rPr>
                              <w:rFonts w:ascii="Calibri" w:hAnsi="Calibri"/>
                              <w:sz w:val="14"/>
                            </w:rPr>
                            <w:t>PALAIS</w:t>
                          </w:r>
                          <w:r>
                            <w:rPr>
                              <w:rFonts w:ascii="Calibri" w:hAnsi="Calibri"/>
                              <w:spacing w:val="-4"/>
                              <w:sz w:val="14"/>
                            </w:rPr>
                            <w:t xml:space="preserve"> </w:t>
                          </w:r>
                          <w:r>
                            <w:rPr>
                              <w:rFonts w:ascii="Calibri" w:hAnsi="Calibri"/>
                              <w:sz w:val="14"/>
                            </w:rPr>
                            <w:t>DES</w:t>
                          </w:r>
                          <w:r>
                            <w:rPr>
                              <w:rFonts w:ascii="Calibri" w:hAnsi="Calibri"/>
                              <w:spacing w:val="-3"/>
                              <w:sz w:val="14"/>
                            </w:rPr>
                            <w:t xml:space="preserve"> </w:t>
                          </w:r>
                          <w:r>
                            <w:rPr>
                              <w:rFonts w:ascii="Calibri" w:hAnsi="Calibri"/>
                              <w:sz w:val="14"/>
                            </w:rPr>
                            <w:t>NATIONS</w:t>
                          </w:r>
                          <w:r>
                            <w:rPr>
                              <w:rFonts w:ascii="Calibri" w:hAnsi="Calibri"/>
                              <w:spacing w:val="-4"/>
                              <w:sz w:val="14"/>
                            </w:rPr>
                            <w:t xml:space="preserve"> </w:t>
                          </w:r>
                          <w:r>
                            <w:rPr>
                              <w:rFonts w:ascii="Calibri" w:hAnsi="Calibri"/>
                              <w:sz w:val="14"/>
                            </w:rPr>
                            <w:t>•</w:t>
                          </w:r>
                          <w:r>
                            <w:rPr>
                              <w:rFonts w:ascii="Calibri" w:hAnsi="Calibri"/>
                              <w:spacing w:val="-2"/>
                              <w:sz w:val="14"/>
                            </w:rPr>
                            <w:t xml:space="preserve"> </w:t>
                          </w:r>
                          <w:r>
                            <w:rPr>
                              <w:rFonts w:ascii="Calibri" w:hAnsi="Calibri"/>
                              <w:sz w:val="14"/>
                            </w:rPr>
                            <w:t>1211</w:t>
                          </w:r>
                          <w:r>
                            <w:rPr>
                              <w:rFonts w:ascii="Calibri" w:hAnsi="Calibri"/>
                              <w:spacing w:val="-6"/>
                              <w:sz w:val="14"/>
                            </w:rPr>
                            <w:t xml:space="preserve"> </w:t>
                          </w:r>
                          <w:r>
                            <w:rPr>
                              <w:rFonts w:ascii="Calibri" w:hAnsi="Calibri"/>
                              <w:sz w:val="14"/>
                            </w:rPr>
                            <w:t>GENEVA</w:t>
                          </w:r>
                          <w:r>
                            <w:rPr>
                              <w:rFonts w:ascii="Calibri" w:hAnsi="Calibri"/>
                              <w:spacing w:val="-1"/>
                              <w:sz w:val="14"/>
                            </w:rPr>
                            <w:t xml:space="preserve"> </w:t>
                          </w:r>
                          <w:r>
                            <w:rPr>
                              <w:rFonts w:ascii="Calibri" w:hAnsi="Calibri"/>
                              <w:sz w:val="14"/>
                            </w:rPr>
                            <w:t>10,</w:t>
                          </w:r>
                          <w:r>
                            <w:rPr>
                              <w:rFonts w:ascii="Calibri" w:hAnsi="Calibri"/>
                              <w:spacing w:val="-6"/>
                              <w:sz w:val="14"/>
                            </w:rPr>
                            <w:t xml:space="preserve"> </w:t>
                          </w:r>
                          <w:r>
                            <w:rPr>
                              <w:rFonts w:ascii="Calibri" w:hAnsi="Calibri"/>
                              <w:sz w:val="14"/>
                            </w:rPr>
                            <w:t>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F55D0" id="_x0000_t202" coordsize="21600,21600" o:spt="202" path="m,l,21600r21600,l21600,xe">
              <v:stroke joinstyle="miter"/>
              <v:path gradientshapeok="t" o:connecttype="rect"/>
            </v:shapetype>
            <v:shape id="docshape1" o:spid="_x0000_s1026" type="#_x0000_t202" style="position:absolute;margin-left:225.5pt;margin-top:88.5pt;width:160.7pt;height:9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" filled="f" stroked="f">
              <v:textbox inset="0,0,0,0">
                <w:txbxContent>
                  <w:p w14:paraId="641E5CE2" w14:textId="77777777" w:rsidR="00353F4E" w:rsidRDefault="007C618F">
                    <w:pPr>
                      <w:spacing w:line="162" w:lineRule="exact"/>
                      <w:ind w:left="20"/>
                      <w:rPr>
                        <w:rFonts w:ascii="Calibri" w:hAnsi="Calibri"/>
                        <w:sz w:val="14"/>
                      </w:rPr>
                    </w:pPr>
                    <w:r>
                      <w:rPr>
                        <w:rFonts w:ascii="Calibri" w:hAnsi="Calibri"/>
                        <w:sz w:val="14"/>
                      </w:rPr>
                      <w:t>PALAIS</w:t>
                    </w:r>
                    <w:r>
                      <w:rPr>
                        <w:rFonts w:ascii="Calibri" w:hAnsi="Calibri"/>
                        <w:spacing w:val="-4"/>
                        <w:sz w:val="14"/>
                      </w:rPr>
                      <w:t xml:space="preserve"> </w:t>
                    </w:r>
                    <w:r>
                      <w:rPr>
                        <w:rFonts w:ascii="Calibri" w:hAnsi="Calibri"/>
                        <w:sz w:val="14"/>
                      </w:rPr>
                      <w:t>DES</w:t>
                    </w:r>
                    <w:r>
                      <w:rPr>
                        <w:rFonts w:ascii="Calibri" w:hAnsi="Calibri"/>
                        <w:spacing w:val="-3"/>
                        <w:sz w:val="14"/>
                      </w:rPr>
                      <w:t xml:space="preserve"> </w:t>
                    </w:r>
                    <w:r>
                      <w:rPr>
                        <w:rFonts w:ascii="Calibri" w:hAnsi="Calibri"/>
                        <w:sz w:val="14"/>
                      </w:rPr>
                      <w:t>NATIONS</w:t>
                    </w:r>
                    <w:r>
                      <w:rPr>
                        <w:rFonts w:ascii="Calibri" w:hAnsi="Calibri"/>
                        <w:spacing w:val="-4"/>
                        <w:sz w:val="14"/>
                      </w:rPr>
                      <w:t xml:space="preserve"> </w:t>
                    </w:r>
                    <w:r>
                      <w:rPr>
                        <w:rFonts w:ascii="Calibri" w:hAnsi="Calibri"/>
                        <w:sz w:val="14"/>
                      </w:rPr>
                      <w:t>•</w:t>
                    </w:r>
                    <w:r>
                      <w:rPr>
                        <w:rFonts w:ascii="Calibri" w:hAnsi="Calibri"/>
                        <w:spacing w:val="-2"/>
                        <w:sz w:val="14"/>
                      </w:rPr>
                      <w:t xml:space="preserve"> </w:t>
                    </w:r>
                    <w:r>
                      <w:rPr>
                        <w:rFonts w:ascii="Calibri" w:hAnsi="Calibri"/>
                        <w:sz w:val="14"/>
                      </w:rPr>
                      <w:t>1211</w:t>
                    </w:r>
                    <w:r>
                      <w:rPr>
                        <w:rFonts w:ascii="Calibri" w:hAnsi="Calibri"/>
                        <w:spacing w:val="-6"/>
                        <w:sz w:val="14"/>
                      </w:rPr>
                      <w:t xml:space="preserve"> </w:t>
                    </w:r>
                    <w:r>
                      <w:rPr>
                        <w:rFonts w:ascii="Calibri" w:hAnsi="Calibri"/>
                        <w:sz w:val="14"/>
                      </w:rPr>
                      <w:t>GENEVA</w:t>
                    </w:r>
                    <w:r>
                      <w:rPr>
                        <w:rFonts w:ascii="Calibri" w:hAnsi="Calibri"/>
                        <w:spacing w:val="-1"/>
                        <w:sz w:val="14"/>
                      </w:rPr>
                      <w:t xml:space="preserve"> </w:t>
                    </w:r>
                    <w:r>
                      <w:rPr>
                        <w:rFonts w:ascii="Calibri" w:hAnsi="Calibri"/>
                        <w:sz w:val="14"/>
                      </w:rPr>
                      <w:t>10,</w:t>
                    </w:r>
                    <w:r>
                      <w:rPr>
                        <w:rFonts w:ascii="Calibri" w:hAnsi="Calibri"/>
                        <w:spacing w:val="-6"/>
                        <w:sz w:val="14"/>
                      </w:rPr>
                      <w:t xml:space="preserve"> </w:t>
                    </w:r>
                    <w:r>
                      <w:rPr>
                        <w:rFonts w:ascii="Calibri" w:hAnsi="Calibri"/>
                        <w:sz w:val="14"/>
                      </w:rPr>
                      <w:t>SWITZERLAND</w:t>
                    </w:r>
                  </w:p>
                </w:txbxContent>
              </v:textbox>
              <w10:wrap anchorx="page" anchory="page"/>
            </v:shape>
          </w:pict>
        </mc:Fallback>
      </mc:AlternateContent>
    </w:r>
    <w:r w:rsidR="009E1327">
      <w:rPr>
        <w:noProof/>
        <w:lang w:eastAsia="en-GB"/>
      </w:rPr>
      <mc:AlternateContent>
        <mc:Choice Requires="wps">
          <w:drawing>
            <wp:anchor distT="0" distB="0" distL="114300" distR="114300" simplePos="0" relativeHeight="487531520" behindDoc="1" locked="0" layoutInCell="1" allowOverlap="1" wp14:anchorId="65CBD817" wp14:editId="07355E11">
              <wp:simplePos x="0" y="0"/>
              <wp:positionH relativeFrom="page">
                <wp:posOffset>2125980</wp:posOffset>
              </wp:positionH>
              <wp:positionV relativeFrom="page">
                <wp:posOffset>1308100</wp:posOffset>
              </wp:positionV>
              <wp:extent cx="3399155" cy="1143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DB1B" w14:textId="77777777" w:rsidR="00353F4E" w:rsidRDefault="00AE4A3F">
                          <w:pPr>
                            <w:spacing w:line="162" w:lineRule="exact"/>
                            <w:ind w:left="20"/>
                            <w:rPr>
                              <w:rFonts w:ascii="Calibri" w:hAnsi="Calibri"/>
                              <w:sz w:val="14"/>
                            </w:rPr>
                          </w:pPr>
                          <w:hyperlink r:id="rId2">
                            <w:r w:rsidR="007C618F">
                              <w:rPr>
                                <w:rFonts w:ascii="Calibri" w:hAnsi="Calibri"/>
                                <w:sz w:val="14"/>
                              </w:rPr>
                              <w:t>www.ohchr.org</w:t>
                            </w:r>
                            <w:r w:rsidR="007C618F">
                              <w:rPr>
                                <w:rFonts w:ascii="Calibri" w:hAnsi="Calibri"/>
                                <w:spacing w:val="-3"/>
                                <w:sz w:val="14"/>
                              </w:rPr>
                              <w:t xml:space="preserve"> </w:t>
                            </w:r>
                          </w:hyperlink>
                          <w:r w:rsidR="007C618F">
                            <w:rPr>
                              <w:rFonts w:ascii="Calibri" w:hAnsi="Calibri"/>
                              <w:sz w:val="14"/>
                            </w:rPr>
                            <w:t>•</w:t>
                          </w:r>
                          <w:r w:rsidR="007C618F">
                            <w:rPr>
                              <w:rFonts w:ascii="Calibri" w:hAnsi="Calibri"/>
                              <w:spacing w:val="-1"/>
                              <w:sz w:val="14"/>
                            </w:rPr>
                            <w:t xml:space="preserve"> </w:t>
                          </w:r>
                          <w:r w:rsidR="007C618F">
                            <w:rPr>
                              <w:rFonts w:ascii="Calibri" w:hAnsi="Calibri"/>
                              <w:sz w:val="14"/>
                            </w:rPr>
                            <w:t>TEL:</w:t>
                          </w:r>
                          <w:r w:rsidR="007C618F">
                            <w:rPr>
                              <w:rFonts w:ascii="Calibri" w:hAnsi="Calibri"/>
                              <w:spacing w:val="-1"/>
                              <w:sz w:val="14"/>
                            </w:rPr>
                            <w:t xml:space="preserve"> </w:t>
                          </w:r>
                          <w:r w:rsidR="007C618F">
                            <w:rPr>
                              <w:rFonts w:ascii="Calibri" w:hAnsi="Calibri"/>
                              <w:sz w:val="14"/>
                            </w:rPr>
                            <w:t>+41</w:t>
                          </w:r>
                          <w:r w:rsidR="007C618F">
                            <w:rPr>
                              <w:rFonts w:ascii="Calibri" w:hAnsi="Calibri"/>
                              <w:spacing w:val="-2"/>
                              <w:sz w:val="14"/>
                            </w:rPr>
                            <w:t xml:space="preserve"> </w:t>
                          </w:r>
                          <w:r w:rsidR="007C618F">
                            <w:rPr>
                              <w:rFonts w:ascii="Calibri" w:hAnsi="Calibri"/>
                              <w:sz w:val="14"/>
                            </w:rPr>
                            <w:t>22</w:t>
                          </w:r>
                          <w:r w:rsidR="007C618F">
                            <w:rPr>
                              <w:rFonts w:ascii="Calibri" w:hAnsi="Calibri"/>
                              <w:spacing w:val="-2"/>
                              <w:sz w:val="14"/>
                            </w:rPr>
                            <w:t xml:space="preserve"> </w:t>
                          </w:r>
                          <w:r w:rsidR="007C618F">
                            <w:rPr>
                              <w:rFonts w:ascii="Calibri" w:hAnsi="Calibri"/>
                              <w:sz w:val="14"/>
                            </w:rPr>
                            <w:t>917</w:t>
                          </w:r>
                          <w:r w:rsidR="007C618F">
                            <w:rPr>
                              <w:rFonts w:ascii="Calibri" w:hAnsi="Calibri"/>
                              <w:spacing w:val="-1"/>
                              <w:sz w:val="14"/>
                            </w:rPr>
                            <w:t xml:space="preserve"> </w:t>
                          </w:r>
                          <w:r w:rsidR="007C618F">
                            <w:rPr>
                              <w:rFonts w:ascii="Calibri" w:hAnsi="Calibri"/>
                              <w:sz w:val="14"/>
                            </w:rPr>
                            <w:t>9000</w:t>
                          </w:r>
                          <w:r w:rsidR="007C618F">
                            <w:rPr>
                              <w:rFonts w:ascii="Calibri" w:hAnsi="Calibri"/>
                              <w:spacing w:val="-4"/>
                              <w:sz w:val="14"/>
                            </w:rPr>
                            <w:t xml:space="preserve"> </w:t>
                          </w:r>
                          <w:r w:rsidR="007C618F">
                            <w:rPr>
                              <w:rFonts w:ascii="Calibri" w:hAnsi="Calibri"/>
                              <w:sz w:val="14"/>
                            </w:rPr>
                            <w:t>•</w:t>
                          </w:r>
                          <w:r w:rsidR="007C618F">
                            <w:rPr>
                              <w:rFonts w:ascii="Calibri" w:hAnsi="Calibri"/>
                              <w:spacing w:val="-3"/>
                              <w:sz w:val="14"/>
                            </w:rPr>
                            <w:t xml:space="preserve"> </w:t>
                          </w:r>
                          <w:r w:rsidR="007C618F">
                            <w:rPr>
                              <w:rFonts w:ascii="Calibri" w:hAnsi="Calibri"/>
                              <w:sz w:val="14"/>
                            </w:rPr>
                            <w:t>FAX:</w:t>
                          </w:r>
                          <w:r w:rsidR="007C618F">
                            <w:rPr>
                              <w:rFonts w:ascii="Calibri" w:hAnsi="Calibri"/>
                              <w:spacing w:val="-2"/>
                              <w:sz w:val="14"/>
                            </w:rPr>
                            <w:t xml:space="preserve"> </w:t>
                          </w:r>
                          <w:r w:rsidR="007C618F">
                            <w:rPr>
                              <w:rFonts w:ascii="Calibri" w:hAnsi="Calibri"/>
                              <w:sz w:val="14"/>
                            </w:rPr>
                            <w:t>+41</w:t>
                          </w:r>
                          <w:r w:rsidR="007C618F">
                            <w:rPr>
                              <w:rFonts w:ascii="Calibri" w:hAnsi="Calibri"/>
                              <w:spacing w:val="-2"/>
                              <w:sz w:val="14"/>
                            </w:rPr>
                            <w:t xml:space="preserve"> </w:t>
                          </w:r>
                          <w:r w:rsidR="007C618F">
                            <w:rPr>
                              <w:rFonts w:ascii="Calibri" w:hAnsi="Calibri"/>
                              <w:sz w:val="14"/>
                            </w:rPr>
                            <w:t>22</w:t>
                          </w:r>
                          <w:r w:rsidR="007C618F">
                            <w:rPr>
                              <w:rFonts w:ascii="Calibri" w:hAnsi="Calibri"/>
                              <w:spacing w:val="-1"/>
                              <w:sz w:val="14"/>
                            </w:rPr>
                            <w:t xml:space="preserve"> </w:t>
                          </w:r>
                          <w:r w:rsidR="007C618F">
                            <w:rPr>
                              <w:rFonts w:ascii="Calibri" w:hAnsi="Calibri"/>
                              <w:sz w:val="14"/>
                            </w:rPr>
                            <w:t>917</w:t>
                          </w:r>
                          <w:r w:rsidR="007C618F">
                            <w:rPr>
                              <w:rFonts w:ascii="Calibri" w:hAnsi="Calibri"/>
                              <w:spacing w:val="-2"/>
                              <w:sz w:val="14"/>
                            </w:rPr>
                            <w:t xml:space="preserve"> </w:t>
                          </w:r>
                          <w:r w:rsidR="007C618F">
                            <w:rPr>
                              <w:rFonts w:ascii="Calibri" w:hAnsi="Calibri"/>
                              <w:sz w:val="14"/>
                            </w:rPr>
                            <w:t>9008</w:t>
                          </w:r>
                          <w:r w:rsidR="007C618F">
                            <w:rPr>
                              <w:rFonts w:ascii="Calibri" w:hAnsi="Calibri"/>
                              <w:spacing w:val="-4"/>
                              <w:sz w:val="14"/>
                            </w:rPr>
                            <w:t xml:space="preserve"> </w:t>
                          </w:r>
                          <w:r w:rsidR="007C618F">
                            <w:rPr>
                              <w:rFonts w:ascii="Calibri" w:hAnsi="Calibri"/>
                              <w:sz w:val="14"/>
                            </w:rPr>
                            <w:t>•</w:t>
                          </w:r>
                          <w:r w:rsidR="007C618F">
                            <w:rPr>
                              <w:rFonts w:ascii="Calibri" w:hAnsi="Calibri"/>
                              <w:spacing w:val="-1"/>
                              <w:sz w:val="14"/>
                            </w:rPr>
                            <w:t xml:space="preserve"> </w:t>
                          </w:r>
                          <w:r w:rsidR="007C618F">
                            <w:rPr>
                              <w:rFonts w:ascii="Calibri" w:hAnsi="Calibri"/>
                              <w:sz w:val="14"/>
                            </w:rPr>
                            <w:t>E-MAIL:</w:t>
                          </w:r>
                          <w:r w:rsidR="007C618F">
                            <w:rPr>
                              <w:rFonts w:ascii="Calibri" w:hAnsi="Calibri"/>
                              <w:spacing w:val="-1"/>
                              <w:sz w:val="14"/>
                            </w:rPr>
                            <w:t xml:space="preserve"> </w:t>
                          </w:r>
                          <w:hyperlink r:id="rId3">
                            <w:r w:rsidR="007C618F">
                              <w:rPr>
                                <w:rFonts w:ascii="Calibri" w:hAnsi="Calibri"/>
                                <w:color w:val="0000FF"/>
                                <w:sz w:val="14"/>
                                <w:u w:val="single" w:color="0000FF"/>
                              </w:rPr>
                              <w:t>registry@ohchr.org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D817" id="docshape2" o:spid="_x0000_s1027" type="#_x0000_t202" style="position:absolute;margin-left:167.4pt;margin-top:103pt;width:267.65pt;height:9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" filled="f" stroked="f">
              <v:textbox inset="0,0,0,0">
                <w:txbxContent>
                  <w:p w14:paraId="150CDB1B" w14:textId="77777777" w:rsidR="00353F4E" w:rsidRDefault="007C618F">
                    <w:pPr>
                      <w:spacing w:line="162" w:lineRule="exact"/>
                      <w:ind w:left="20"/>
                      <w:rPr>
                        <w:rFonts w:ascii="Calibri" w:hAnsi="Calibri"/>
                        <w:sz w:val="14"/>
                      </w:rPr>
                    </w:pPr>
                    <w:hyperlink r:id="rId4">
                      <w:r>
                        <w:rPr>
                          <w:rFonts w:ascii="Calibri" w:hAnsi="Calibri"/>
                          <w:sz w:val="14"/>
                        </w:rPr>
                        <w:t>www.ohchr.org</w:t>
                      </w:r>
                      <w:r>
                        <w:rPr>
                          <w:rFonts w:ascii="Calibri" w:hAnsi="Calibri"/>
                          <w:spacing w:val="-3"/>
                          <w:sz w:val="14"/>
                        </w:rPr>
                        <w:t xml:space="preserve"> </w:t>
                      </w:r>
                    </w:hyperlink>
                    <w:r>
                      <w:rPr>
                        <w:rFonts w:ascii="Calibri" w:hAnsi="Calibri"/>
                        <w:sz w:val="14"/>
                      </w:rPr>
                      <w:t>•</w:t>
                    </w:r>
                    <w:r>
                      <w:rPr>
                        <w:rFonts w:ascii="Calibri" w:hAnsi="Calibri"/>
                        <w:spacing w:val="-1"/>
                        <w:sz w:val="14"/>
                      </w:rPr>
                      <w:t xml:space="preserve"> </w:t>
                    </w:r>
                    <w:r>
                      <w:rPr>
                        <w:rFonts w:ascii="Calibri" w:hAnsi="Calibri"/>
                        <w:sz w:val="14"/>
                      </w:rPr>
                      <w:t>TEL:</w:t>
                    </w:r>
                    <w:r>
                      <w:rPr>
                        <w:rFonts w:ascii="Calibri" w:hAnsi="Calibri"/>
                        <w:spacing w:val="-1"/>
                        <w:sz w:val="14"/>
                      </w:rPr>
                      <w:t xml:space="preserve"> </w:t>
                    </w:r>
                    <w:r>
                      <w:rPr>
                        <w:rFonts w:ascii="Calibri" w:hAnsi="Calibri"/>
                        <w:sz w:val="14"/>
                      </w:rPr>
                      <w:t>+41</w:t>
                    </w:r>
                    <w:r>
                      <w:rPr>
                        <w:rFonts w:ascii="Calibri" w:hAnsi="Calibri"/>
                        <w:spacing w:val="-2"/>
                        <w:sz w:val="14"/>
                      </w:rPr>
                      <w:t xml:space="preserve"> </w:t>
                    </w:r>
                    <w:r>
                      <w:rPr>
                        <w:rFonts w:ascii="Calibri" w:hAnsi="Calibri"/>
                        <w:sz w:val="14"/>
                      </w:rPr>
                      <w:t>22</w:t>
                    </w:r>
                    <w:r>
                      <w:rPr>
                        <w:rFonts w:ascii="Calibri" w:hAnsi="Calibri"/>
                        <w:spacing w:val="-2"/>
                        <w:sz w:val="14"/>
                      </w:rPr>
                      <w:t xml:space="preserve"> </w:t>
                    </w:r>
                    <w:r>
                      <w:rPr>
                        <w:rFonts w:ascii="Calibri" w:hAnsi="Calibri"/>
                        <w:sz w:val="14"/>
                      </w:rPr>
                      <w:t>917</w:t>
                    </w:r>
                    <w:r>
                      <w:rPr>
                        <w:rFonts w:ascii="Calibri" w:hAnsi="Calibri"/>
                        <w:spacing w:val="-1"/>
                        <w:sz w:val="14"/>
                      </w:rPr>
                      <w:t xml:space="preserve"> </w:t>
                    </w:r>
                    <w:r>
                      <w:rPr>
                        <w:rFonts w:ascii="Calibri" w:hAnsi="Calibri"/>
                        <w:sz w:val="14"/>
                      </w:rPr>
                      <w:t>9000</w:t>
                    </w:r>
                    <w:r>
                      <w:rPr>
                        <w:rFonts w:ascii="Calibri" w:hAnsi="Calibri"/>
                        <w:spacing w:val="-4"/>
                        <w:sz w:val="14"/>
                      </w:rPr>
                      <w:t xml:space="preserve"> </w:t>
                    </w:r>
                    <w:r>
                      <w:rPr>
                        <w:rFonts w:ascii="Calibri" w:hAnsi="Calibri"/>
                        <w:sz w:val="14"/>
                      </w:rPr>
                      <w:t>•</w:t>
                    </w:r>
                    <w:r>
                      <w:rPr>
                        <w:rFonts w:ascii="Calibri" w:hAnsi="Calibri"/>
                        <w:spacing w:val="-3"/>
                        <w:sz w:val="14"/>
                      </w:rPr>
                      <w:t xml:space="preserve"> </w:t>
                    </w:r>
                    <w:r>
                      <w:rPr>
                        <w:rFonts w:ascii="Calibri" w:hAnsi="Calibri"/>
                        <w:sz w:val="14"/>
                      </w:rPr>
                      <w:t>FAX:</w:t>
                    </w:r>
                    <w:r>
                      <w:rPr>
                        <w:rFonts w:ascii="Calibri" w:hAnsi="Calibri"/>
                        <w:spacing w:val="-2"/>
                        <w:sz w:val="14"/>
                      </w:rPr>
                      <w:t xml:space="preserve"> </w:t>
                    </w:r>
                    <w:r>
                      <w:rPr>
                        <w:rFonts w:ascii="Calibri" w:hAnsi="Calibri"/>
                        <w:sz w:val="14"/>
                      </w:rPr>
                      <w:t>+41</w:t>
                    </w:r>
                    <w:r>
                      <w:rPr>
                        <w:rFonts w:ascii="Calibri" w:hAnsi="Calibri"/>
                        <w:spacing w:val="-2"/>
                        <w:sz w:val="14"/>
                      </w:rPr>
                      <w:t xml:space="preserve"> </w:t>
                    </w:r>
                    <w:r>
                      <w:rPr>
                        <w:rFonts w:ascii="Calibri" w:hAnsi="Calibri"/>
                        <w:sz w:val="14"/>
                      </w:rPr>
                      <w:t>22</w:t>
                    </w:r>
                    <w:r>
                      <w:rPr>
                        <w:rFonts w:ascii="Calibri" w:hAnsi="Calibri"/>
                        <w:spacing w:val="-1"/>
                        <w:sz w:val="14"/>
                      </w:rPr>
                      <w:t xml:space="preserve"> </w:t>
                    </w:r>
                    <w:r>
                      <w:rPr>
                        <w:rFonts w:ascii="Calibri" w:hAnsi="Calibri"/>
                        <w:sz w:val="14"/>
                      </w:rPr>
                      <w:t>917</w:t>
                    </w:r>
                    <w:r>
                      <w:rPr>
                        <w:rFonts w:ascii="Calibri" w:hAnsi="Calibri"/>
                        <w:spacing w:val="-2"/>
                        <w:sz w:val="14"/>
                      </w:rPr>
                      <w:t xml:space="preserve"> </w:t>
                    </w:r>
                    <w:r>
                      <w:rPr>
                        <w:rFonts w:ascii="Calibri" w:hAnsi="Calibri"/>
                        <w:sz w:val="14"/>
                      </w:rPr>
                      <w:t>9008</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z w:val="14"/>
                      </w:rPr>
                      <w:t>E-MAIL:</w:t>
                    </w:r>
                    <w:r>
                      <w:rPr>
                        <w:rFonts w:ascii="Calibri" w:hAnsi="Calibri"/>
                        <w:spacing w:val="-1"/>
                        <w:sz w:val="14"/>
                      </w:rPr>
                      <w:t xml:space="preserve"> </w:t>
                    </w:r>
                    <w:hyperlink r:id="rId5">
                      <w:r>
                        <w:rPr>
                          <w:rFonts w:ascii="Calibri" w:hAnsi="Calibri"/>
                          <w:color w:val="0000FF"/>
                          <w:sz w:val="14"/>
                          <w:u w:val="single" w:color="0000FF"/>
                        </w:rPr>
                        <w:t>registry@ohchr.org</w:t>
                      </w:r>
                    </w:hyperlink>
                  </w:p>
                </w:txbxContent>
              </v:textbox>
              <w10:wrap anchorx="page" anchory="page"/>
            </v:shape>
          </w:pict>
        </mc:Fallback>
      </mc:AlternateContent>
    </w:r>
    <w:r w:rsidR="009E1327">
      <w:rPr>
        <w:noProof/>
        <w:lang w:eastAsia="en-GB"/>
      </w:rPr>
      <mc:AlternateContent>
        <mc:Choice Requires="wps">
          <w:drawing>
            <wp:anchor distT="0" distB="0" distL="114300" distR="114300" simplePos="0" relativeHeight="487532032" behindDoc="1" locked="0" layoutInCell="1" allowOverlap="1" wp14:anchorId="582DC7CA" wp14:editId="14C8F461">
              <wp:simplePos x="0" y="0"/>
              <wp:positionH relativeFrom="page">
                <wp:posOffset>2354580</wp:posOffset>
              </wp:positionH>
              <wp:positionV relativeFrom="page">
                <wp:posOffset>1501775</wp:posOffset>
              </wp:positionV>
              <wp:extent cx="2942590" cy="15240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28BE" w14:textId="77777777" w:rsidR="00353F4E" w:rsidRDefault="007C618F">
                          <w:pPr>
                            <w:spacing w:line="223" w:lineRule="exact"/>
                            <w:ind w:left="20"/>
                            <w:rPr>
                              <w:rFonts w:ascii="Calibri"/>
                              <w:b/>
                              <w:sz w:val="20"/>
                            </w:rPr>
                          </w:pPr>
                          <w:r>
                            <w:rPr>
                              <w:rFonts w:ascii="Calibri"/>
                              <w:b/>
                              <w:sz w:val="20"/>
                            </w:rPr>
                            <w:t>Mandate</w:t>
                          </w:r>
                          <w:r>
                            <w:rPr>
                              <w:rFonts w:ascii="Calibri"/>
                              <w:b/>
                              <w:spacing w:val="-2"/>
                              <w:sz w:val="20"/>
                            </w:rPr>
                            <w:t xml:space="preserve"> </w:t>
                          </w:r>
                          <w:r>
                            <w:rPr>
                              <w:rFonts w:ascii="Calibri"/>
                              <w:b/>
                              <w:sz w:val="20"/>
                            </w:rPr>
                            <w:t>of</w:t>
                          </w:r>
                          <w:r>
                            <w:rPr>
                              <w:rFonts w:ascii="Calibri"/>
                              <w:b/>
                              <w:spacing w:val="-2"/>
                              <w:sz w:val="20"/>
                            </w:rPr>
                            <w:t xml:space="preserve"> </w:t>
                          </w:r>
                          <w:r>
                            <w:rPr>
                              <w:rFonts w:ascii="Calibri"/>
                              <w:b/>
                              <w:sz w:val="20"/>
                            </w:rPr>
                            <w:t>the</w:t>
                          </w:r>
                          <w:r>
                            <w:rPr>
                              <w:rFonts w:ascii="Calibri"/>
                              <w:b/>
                              <w:spacing w:val="-1"/>
                              <w:sz w:val="20"/>
                            </w:rPr>
                            <w:t xml:space="preserve"> </w:t>
                          </w:r>
                          <w:r>
                            <w:rPr>
                              <w:rFonts w:ascii="Calibri"/>
                              <w:b/>
                              <w:sz w:val="20"/>
                            </w:rPr>
                            <w:t>Special</w:t>
                          </w:r>
                          <w:r>
                            <w:rPr>
                              <w:rFonts w:ascii="Calibri"/>
                              <w:b/>
                              <w:spacing w:val="-3"/>
                              <w:sz w:val="20"/>
                            </w:rPr>
                            <w:t xml:space="preserve"> </w:t>
                          </w:r>
                          <w:r>
                            <w:rPr>
                              <w:rFonts w:ascii="Calibri"/>
                              <w:b/>
                              <w:sz w:val="20"/>
                            </w:rPr>
                            <w:t>Rapporteur</w:t>
                          </w:r>
                          <w:r>
                            <w:rPr>
                              <w:rFonts w:ascii="Calibri"/>
                              <w:b/>
                              <w:spacing w:val="-4"/>
                              <w:sz w:val="20"/>
                            </w:rPr>
                            <w:t xml:space="preserve"> </w:t>
                          </w:r>
                          <w:r>
                            <w:rPr>
                              <w:rFonts w:ascii="Calibri"/>
                              <w:b/>
                              <w:sz w:val="20"/>
                            </w:rPr>
                            <w:t>on</w:t>
                          </w:r>
                          <w:r>
                            <w:rPr>
                              <w:rFonts w:ascii="Calibri"/>
                              <w:b/>
                              <w:spacing w:val="-2"/>
                              <w:sz w:val="20"/>
                            </w:rPr>
                            <w:t xml:space="preserve"> </w:t>
                          </w:r>
                          <w:r>
                            <w:rPr>
                              <w:rFonts w:ascii="Calibri"/>
                              <w:b/>
                              <w:sz w:val="20"/>
                            </w:rPr>
                            <w:t>the</w:t>
                          </w:r>
                          <w:r>
                            <w:rPr>
                              <w:rFonts w:ascii="Calibri"/>
                              <w:b/>
                              <w:spacing w:val="-2"/>
                              <w:sz w:val="20"/>
                            </w:rPr>
                            <w:t xml:space="preserve"> </w:t>
                          </w:r>
                          <w:r>
                            <w:rPr>
                              <w:rFonts w:ascii="Calibri"/>
                              <w:b/>
                              <w:sz w:val="20"/>
                            </w:rPr>
                            <w:t>right</w:t>
                          </w:r>
                          <w:r>
                            <w:rPr>
                              <w:rFonts w:ascii="Calibri"/>
                              <w:b/>
                              <w:spacing w:val="-2"/>
                              <w:sz w:val="20"/>
                            </w:rPr>
                            <w:t xml:space="preserve"> </w:t>
                          </w:r>
                          <w:r>
                            <w:rPr>
                              <w:rFonts w:ascii="Calibri"/>
                              <w:b/>
                              <w:sz w:val="20"/>
                            </w:rPr>
                            <w:t>to</w:t>
                          </w:r>
                          <w:r>
                            <w:rPr>
                              <w:rFonts w:ascii="Calibri"/>
                              <w:b/>
                              <w:spacing w:val="-1"/>
                              <w:sz w:val="20"/>
                            </w:rPr>
                            <w:t xml:space="preserve"> </w:t>
                          </w:r>
                          <w:r>
                            <w:rPr>
                              <w:rFonts w:ascii="Calibri"/>
                              <w:b/>
                              <w:sz w:val="20"/>
                            </w:rPr>
                            <w:t>food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DC7CA" id="docshape3" o:spid="_x0000_s1028" type="#_x0000_t202" style="position:absolute;margin-left:185.4pt;margin-top:118.25pt;width:231.7pt;height:12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" filled="f" stroked="f">
              <v:textbox inset="0,0,0,0">
                <w:txbxContent>
                  <w:p w14:paraId="54DE28BE" w14:textId="77777777" w:rsidR="00353F4E" w:rsidRDefault="007C618F">
                    <w:pPr>
                      <w:spacing w:line="223" w:lineRule="exact"/>
                      <w:ind w:left="20"/>
                      <w:rPr>
                        <w:rFonts w:ascii="Calibri"/>
                        <w:b/>
                        <w:sz w:val="20"/>
                      </w:rPr>
                    </w:pPr>
                    <w:r>
                      <w:rPr>
                        <w:rFonts w:ascii="Calibri"/>
                        <w:b/>
                        <w:sz w:val="20"/>
                      </w:rPr>
                      <w:t>Mandate</w:t>
                    </w:r>
                    <w:r>
                      <w:rPr>
                        <w:rFonts w:ascii="Calibri"/>
                        <w:b/>
                        <w:spacing w:val="-2"/>
                        <w:sz w:val="20"/>
                      </w:rPr>
                      <w:t xml:space="preserve"> </w:t>
                    </w:r>
                    <w:r>
                      <w:rPr>
                        <w:rFonts w:ascii="Calibri"/>
                        <w:b/>
                        <w:sz w:val="20"/>
                      </w:rPr>
                      <w:t>of</w:t>
                    </w:r>
                    <w:r>
                      <w:rPr>
                        <w:rFonts w:ascii="Calibri"/>
                        <w:b/>
                        <w:spacing w:val="-2"/>
                        <w:sz w:val="20"/>
                      </w:rPr>
                      <w:t xml:space="preserve"> </w:t>
                    </w:r>
                    <w:r>
                      <w:rPr>
                        <w:rFonts w:ascii="Calibri"/>
                        <w:b/>
                        <w:sz w:val="20"/>
                      </w:rPr>
                      <w:t>the</w:t>
                    </w:r>
                    <w:r>
                      <w:rPr>
                        <w:rFonts w:ascii="Calibri"/>
                        <w:b/>
                        <w:spacing w:val="-1"/>
                        <w:sz w:val="20"/>
                      </w:rPr>
                      <w:t xml:space="preserve"> </w:t>
                    </w:r>
                    <w:r>
                      <w:rPr>
                        <w:rFonts w:ascii="Calibri"/>
                        <w:b/>
                        <w:sz w:val="20"/>
                      </w:rPr>
                      <w:t>Special</w:t>
                    </w:r>
                    <w:r>
                      <w:rPr>
                        <w:rFonts w:ascii="Calibri"/>
                        <w:b/>
                        <w:spacing w:val="-3"/>
                        <w:sz w:val="20"/>
                      </w:rPr>
                      <w:t xml:space="preserve"> </w:t>
                    </w:r>
                    <w:r>
                      <w:rPr>
                        <w:rFonts w:ascii="Calibri"/>
                        <w:b/>
                        <w:sz w:val="20"/>
                      </w:rPr>
                      <w:t>Rapporteur</w:t>
                    </w:r>
                    <w:r>
                      <w:rPr>
                        <w:rFonts w:ascii="Calibri"/>
                        <w:b/>
                        <w:spacing w:val="-4"/>
                        <w:sz w:val="20"/>
                      </w:rPr>
                      <w:t xml:space="preserve"> </w:t>
                    </w:r>
                    <w:r>
                      <w:rPr>
                        <w:rFonts w:ascii="Calibri"/>
                        <w:b/>
                        <w:sz w:val="20"/>
                      </w:rPr>
                      <w:t>on</w:t>
                    </w:r>
                    <w:r>
                      <w:rPr>
                        <w:rFonts w:ascii="Calibri"/>
                        <w:b/>
                        <w:spacing w:val="-2"/>
                        <w:sz w:val="20"/>
                      </w:rPr>
                      <w:t xml:space="preserve"> </w:t>
                    </w:r>
                    <w:r>
                      <w:rPr>
                        <w:rFonts w:ascii="Calibri"/>
                        <w:b/>
                        <w:sz w:val="20"/>
                      </w:rPr>
                      <w:t>the</w:t>
                    </w:r>
                    <w:r>
                      <w:rPr>
                        <w:rFonts w:ascii="Calibri"/>
                        <w:b/>
                        <w:spacing w:val="-2"/>
                        <w:sz w:val="20"/>
                      </w:rPr>
                      <w:t xml:space="preserve"> </w:t>
                    </w:r>
                    <w:r>
                      <w:rPr>
                        <w:rFonts w:ascii="Calibri"/>
                        <w:b/>
                        <w:sz w:val="20"/>
                      </w:rPr>
                      <w:t>right</w:t>
                    </w:r>
                    <w:r>
                      <w:rPr>
                        <w:rFonts w:ascii="Calibri"/>
                        <w:b/>
                        <w:spacing w:val="-2"/>
                        <w:sz w:val="20"/>
                      </w:rPr>
                      <w:t xml:space="preserve"> </w:t>
                    </w:r>
                    <w:r>
                      <w:rPr>
                        <w:rFonts w:ascii="Calibri"/>
                        <w:b/>
                        <w:sz w:val="20"/>
                      </w:rPr>
                      <w:t>to</w:t>
                    </w:r>
                    <w:r>
                      <w:rPr>
                        <w:rFonts w:ascii="Calibri"/>
                        <w:b/>
                        <w:spacing w:val="-1"/>
                        <w:sz w:val="20"/>
                      </w:rPr>
                      <w:t xml:space="preserve"> </w:t>
                    </w:r>
                    <w:r>
                      <w:rPr>
                        <w:rFonts w:ascii="Calibri"/>
                        <w:b/>
                        <w:sz w:val="20"/>
                      </w:rPr>
                      <w:t>food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287D"/>
    <w:multiLevelType w:val="hybridMultilevel"/>
    <w:tmpl w:val="EC5E73EC"/>
    <w:lvl w:ilvl="0" w:tplc="7EFAC032">
      <w:start w:val="1"/>
      <w:numFmt w:val="lowerLetter"/>
      <w:lvlText w:val="(%1)"/>
      <w:lvlJc w:val="left"/>
      <w:pPr>
        <w:ind w:left="102" w:hanging="567"/>
        <w:jc w:val="left"/>
      </w:pPr>
      <w:rPr>
        <w:rFonts w:ascii="Times New Roman" w:eastAsia="Times New Roman" w:hAnsi="Times New Roman" w:cs="Times New Roman" w:hint="default"/>
        <w:b w:val="0"/>
        <w:bCs w:val="0"/>
        <w:i w:val="0"/>
        <w:iCs w:val="0"/>
        <w:spacing w:val="-2"/>
        <w:w w:val="99"/>
        <w:sz w:val="24"/>
        <w:szCs w:val="24"/>
        <w:lang w:val="en-GB" w:eastAsia="en-US" w:bidi="ar-SA"/>
      </w:rPr>
    </w:lvl>
    <w:lvl w:ilvl="1" w:tplc="E13654EE">
      <w:numFmt w:val="bullet"/>
      <w:lvlText w:val="•"/>
      <w:lvlJc w:val="left"/>
      <w:pPr>
        <w:ind w:left="976" w:hanging="567"/>
      </w:pPr>
      <w:rPr>
        <w:rFonts w:hint="default"/>
        <w:lang w:val="en-GB" w:eastAsia="en-US" w:bidi="ar-SA"/>
      </w:rPr>
    </w:lvl>
    <w:lvl w:ilvl="2" w:tplc="99643FDC">
      <w:numFmt w:val="bullet"/>
      <w:lvlText w:val="•"/>
      <w:lvlJc w:val="left"/>
      <w:pPr>
        <w:ind w:left="1853" w:hanging="567"/>
      </w:pPr>
      <w:rPr>
        <w:rFonts w:hint="default"/>
        <w:lang w:val="en-GB" w:eastAsia="en-US" w:bidi="ar-SA"/>
      </w:rPr>
    </w:lvl>
    <w:lvl w:ilvl="3" w:tplc="6EDEDCD4">
      <w:numFmt w:val="bullet"/>
      <w:lvlText w:val="•"/>
      <w:lvlJc w:val="left"/>
      <w:pPr>
        <w:ind w:left="2729" w:hanging="567"/>
      </w:pPr>
      <w:rPr>
        <w:rFonts w:hint="default"/>
        <w:lang w:val="en-GB" w:eastAsia="en-US" w:bidi="ar-SA"/>
      </w:rPr>
    </w:lvl>
    <w:lvl w:ilvl="4" w:tplc="6F58061A">
      <w:numFmt w:val="bullet"/>
      <w:lvlText w:val="•"/>
      <w:lvlJc w:val="left"/>
      <w:pPr>
        <w:ind w:left="3606" w:hanging="567"/>
      </w:pPr>
      <w:rPr>
        <w:rFonts w:hint="default"/>
        <w:lang w:val="en-GB" w:eastAsia="en-US" w:bidi="ar-SA"/>
      </w:rPr>
    </w:lvl>
    <w:lvl w:ilvl="5" w:tplc="7F3ED0F8">
      <w:numFmt w:val="bullet"/>
      <w:lvlText w:val="•"/>
      <w:lvlJc w:val="left"/>
      <w:pPr>
        <w:ind w:left="4483" w:hanging="567"/>
      </w:pPr>
      <w:rPr>
        <w:rFonts w:hint="default"/>
        <w:lang w:val="en-GB" w:eastAsia="en-US" w:bidi="ar-SA"/>
      </w:rPr>
    </w:lvl>
    <w:lvl w:ilvl="6" w:tplc="393ACCBA">
      <w:numFmt w:val="bullet"/>
      <w:lvlText w:val="•"/>
      <w:lvlJc w:val="left"/>
      <w:pPr>
        <w:ind w:left="5359" w:hanging="567"/>
      </w:pPr>
      <w:rPr>
        <w:rFonts w:hint="default"/>
        <w:lang w:val="en-GB" w:eastAsia="en-US" w:bidi="ar-SA"/>
      </w:rPr>
    </w:lvl>
    <w:lvl w:ilvl="7" w:tplc="9E524478">
      <w:numFmt w:val="bullet"/>
      <w:lvlText w:val="•"/>
      <w:lvlJc w:val="left"/>
      <w:pPr>
        <w:ind w:left="6236" w:hanging="567"/>
      </w:pPr>
      <w:rPr>
        <w:rFonts w:hint="default"/>
        <w:lang w:val="en-GB" w:eastAsia="en-US" w:bidi="ar-SA"/>
      </w:rPr>
    </w:lvl>
    <w:lvl w:ilvl="8" w:tplc="FE1E4AB8">
      <w:numFmt w:val="bullet"/>
      <w:lvlText w:val="•"/>
      <w:lvlJc w:val="left"/>
      <w:pPr>
        <w:ind w:left="7113" w:hanging="567"/>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fr-RE" w:vendorID="64" w:dllVersion="6" w:nlCheck="1" w:checkStyle="0"/>
  <w:activeWritingStyle w:appName="MSWord" w:lang="fr-RE" w:vendorID="64" w:dllVersion="0" w:nlCheck="1" w:checkStyle="0"/>
  <w:activeWritingStyle w:appName="MSWord" w:lang="en-GB" w:vendorID="64" w:dllVersion="0"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4E"/>
    <w:rsid w:val="00073184"/>
    <w:rsid w:val="001F5847"/>
    <w:rsid w:val="00264DE7"/>
    <w:rsid w:val="00307E2E"/>
    <w:rsid w:val="00353F4E"/>
    <w:rsid w:val="00374270"/>
    <w:rsid w:val="004530F8"/>
    <w:rsid w:val="004805D2"/>
    <w:rsid w:val="005019FE"/>
    <w:rsid w:val="00502D0B"/>
    <w:rsid w:val="0065396A"/>
    <w:rsid w:val="00685884"/>
    <w:rsid w:val="006C55A6"/>
    <w:rsid w:val="00790BFA"/>
    <w:rsid w:val="007C618F"/>
    <w:rsid w:val="008E743C"/>
    <w:rsid w:val="00943EE6"/>
    <w:rsid w:val="009713B1"/>
    <w:rsid w:val="009A1C38"/>
    <w:rsid w:val="009B36AA"/>
    <w:rsid w:val="009E1327"/>
    <w:rsid w:val="00A9174F"/>
    <w:rsid w:val="00AE3AA5"/>
    <w:rsid w:val="00AE4A3F"/>
    <w:rsid w:val="00BB2C41"/>
    <w:rsid w:val="00DA5D88"/>
    <w:rsid w:val="00DE771F"/>
    <w:rsid w:val="00E20236"/>
    <w:rsid w:val="00FA6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EAA3D"/>
  <w15:docId w15:val="{B2686609-6697-4F85-8955-932E9C25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en-GB"/>
    </w:rPr>
  </w:style>
  <w:style w:type="paragraph" w:styleId="Titolo1">
    <w:name w:val="heading 1"/>
    <w:basedOn w:val="Normale"/>
    <w:uiPriority w:val="9"/>
    <w:qFormat/>
    <w:pPr>
      <w:spacing w:before="90"/>
      <w:ind w:left="10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20"/>
      <w:ind w:left="102" w:right="108" w:firstLine="14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1F5847"/>
    <w:rPr>
      <w:color w:val="0000FF" w:themeColor="hyperlink"/>
      <w:u w:val="single"/>
    </w:rPr>
  </w:style>
  <w:style w:type="character" w:customStyle="1" w:styleId="Menzionenonrisolta1">
    <w:name w:val="Menzione non risolta1"/>
    <w:basedOn w:val="Carpredefinitoparagrafo"/>
    <w:uiPriority w:val="99"/>
    <w:semiHidden/>
    <w:unhideWhenUsed/>
    <w:rsid w:val="001F5847"/>
    <w:rPr>
      <w:color w:val="605E5C"/>
      <w:shd w:val="clear" w:color="auto" w:fill="E1DFDD"/>
    </w:rPr>
  </w:style>
  <w:style w:type="table" w:styleId="Grigliatabella">
    <w:name w:val="Table Grid"/>
    <w:basedOn w:val="Tabellanormale"/>
    <w:uiPriority w:val="39"/>
    <w:rsid w:val="009B3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docs.org/fr/A/HRC/46/33" TargetMode="External"/><Relationship Id="rId13" Type="http://schemas.openxmlformats.org/officeDocument/2006/relationships/hyperlink" Target="http://www.ipsnews.net/2021/03/un-food-systems-summit-not-respond-urgency-reform/"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es-food.org/pages/history-of-food-governanc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hchr.org/FR/Issues/Food/Pages/cfi-food-system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egistry@ohchr.org" TargetMode="External"/><Relationship Id="rId2" Type="http://schemas.openxmlformats.org/officeDocument/2006/relationships/hyperlink" Target="http://www.ohchr.org/" TargetMode="External"/><Relationship Id="rId1" Type="http://schemas.openxmlformats.org/officeDocument/2006/relationships/image" Target="media/image1.png"/><Relationship Id="rId5" Type="http://schemas.openxmlformats.org/officeDocument/2006/relationships/hyperlink" Target="mailto:registry@ohchr.org" TargetMode="External"/><Relationship Id="rId4" Type="http://schemas.openxmlformats.org/officeDocument/2006/relationships/hyperlink" Target="http://www.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4F4B14-D598-411D-B674-DF4A09E74D6D}">
  <ds:schemaRefs>
    <ds:schemaRef ds:uri="http://schemas.openxmlformats.org/officeDocument/2006/bibliography"/>
  </ds:schemaRefs>
</ds:datastoreItem>
</file>

<file path=customXml/itemProps2.xml><?xml version="1.0" encoding="utf-8"?>
<ds:datastoreItem xmlns:ds="http://schemas.openxmlformats.org/officeDocument/2006/customXml" ds:itemID="{386B938F-FA36-491B-A43C-35E1399DEDB8}"/>
</file>

<file path=customXml/itemProps3.xml><?xml version="1.0" encoding="utf-8"?>
<ds:datastoreItem xmlns:ds="http://schemas.openxmlformats.org/officeDocument/2006/customXml" ds:itemID="{7E619818-A0F4-4C5E-B885-00798E64C80E}"/>
</file>

<file path=customXml/itemProps4.xml><?xml version="1.0" encoding="utf-8"?>
<ds:datastoreItem xmlns:ds="http://schemas.openxmlformats.org/officeDocument/2006/customXml" ds:itemID="{BCE4E4C7-D491-466F-92CF-7948B321F50E}"/>
</file>

<file path=docProps/app.xml><?xml version="1.0" encoding="utf-8"?>
<Properties xmlns="http://schemas.openxmlformats.org/officeDocument/2006/extended-properties" xmlns:vt="http://schemas.openxmlformats.org/officeDocument/2006/docPropsVTypes">
  <Template>Normal</Template>
  <TotalTime>3</TotalTime>
  <Pages>6</Pages>
  <Words>2051</Words>
  <Characters>11696</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GAZIYEV Jamshid</dc:creator>
  <cp:lastModifiedBy>Paola De Meo</cp:lastModifiedBy>
  <cp:revision>2</cp:revision>
  <dcterms:created xsi:type="dcterms:W3CDTF">2021-09-08T11:44:00Z</dcterms:created>
  <dcterms:modified xsi:type="dcterms:W3CDTF">2021-09-08T11:44:00Z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2016</vt:lpwstr>
  </property>
  <property fmtid="{D5CDD505-2E9C-101B-9397-08002B2CF9AE}" pid="4" name="LastSaved">
    <vt:filetime>2021-08-27T00:00:00Z</vt:filetime>
  </property>
  <property fmtid="{D5CDD505-2E9C-101B-9397-08002B2CF9AE}" pid="5" name="ContentTypeId">
    <vt:lpwstr>0x0101008822B9E06671B54FA89F14538B9B0FEA</vt:lpwstr>
  </property>
</Properties>
</file>