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7750B" w:rsidRDefault="00BB50FE">
      <w:pPr>
        <w:spacing w:line="360" w:lineRule="auto"/>
        <w:jc w:val="both"/>
        <w:rPr>
          <w:rFonts w:ascii="Cambria" w:eastAsia="Cambria" w:hAnsi="Cambria" w:cs="Cambria"/>
          <w:b/>
          <w:sz w:val="24"/>
          <w:szCs w:val="24"/>
          <w:u w:val="single"/>
        </w:rPr>
      </w:pPr>
      <w:r>
        <w:rPr>
          <w:rFonts w:ascii="Cambria" w:eastAsia="Cambria" w:hAnsi="Cambria" w:cs="Cambria"/>
          <w:b/>
          <w:sz w:val="24"/>
          <w:szCs w:val="24"/>
          <w:u w:val="single"/>
        </w:rPr>
        <w:t xml:space="preserve">Informe de ACIJ sobre el Derecho a la Vivienda en la Pandemia en la Ciudad Autónoma de Buenos Aires, Argentina. </w:t>
      </w:r>
    </w:p>
    <w:p w14:paraId="00000002" w14:textId="77777777" w:rsidR="0077750B" w:rsidRDefault="0077750B">
      <w:pPr>
        <w:spacing w:line="360" w:lineRule="auto"/>
        <w:ind w:firstLine="720"/>
        <w:jc w:val="both"/>
        <w:rPr>
          <w:rFonts w:ascii="Cambria" w:eastAsia="Cambria" w:hAnsi="Cambria" w:cs="Cambria"/>
          <w:sz w:val="24"/>
          <w:szCs w:val="24"/>
        </w:rPr>
      </w:pPr>
    </w:p>
    <w:p w14:paraId="00000003"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Por medio del presente informe, la </w:t>
      </w:r>
      <w:bookmarkStart w:id="0" w:name="_GoBack"/>
      <w:r w:rsidR="006D6200">
        <w:rPr>
          <w:rFonts w:ascii="Cambria" w:eastAsia="Cambria" w:hAnsi="Cambria" w:cs="Cambria"/>
          <w:color w:val="1155CC"/>
          <w:sz w:val="24"/>
          <w:szCs w:val="24"/>
          <w:u w:val="single"/>
        </w:rPr>
        <w:fldChar w:fldCharType="begin"/>
      </w:r>
      <w:r w:rsidR="006D6200">
        <w:rPr>
          <w:rFonts w:ascii="Cambria" w:eastAsia="Cambria" w:hAnsi="Cambria" w:cs="Cambria"/>
          <w:color w:val="1155CC"/>
          <w:sz w:val="24"/>
          <w:szCs w:val="24"/>
          <w:u w:val="single"/>
        </w:rPr>
        <w:instrText xml:space="preserve"> HYPERLINK "https://acij.org.ar/" \h </w:instrText>
      </w:r>
      <w:r w:rsidR="006D6200">
        <w:rPr>
          <w:rFonts w:ascii="Cambria" w:eastAsia="Cambria" w:hAnsi="Cambria" w:cs="Cambria"/>
          <w:color w:val="1155CC"/>
          <w:sz w:val="24"/>
          <w:szCs w:val="24"/>
          <w:u w:val="single"/>
        </w:rPr>
        <w:fldChar w:fldCharType="separate"/>
      </w:r>
      <w:r>
        <w:rPr>
          <w:rFonts w:ascii="Cambria" w:eastAsia="Cambria" w:hAnsi="Cambria" w:cs="Cambria"/>
          <w:color w:val="1155CC"/>
          <w:sz w:val="24"/>
          <w:szCs w:val="24"/>
          <w:u w:val="single"/>
        </w:rPr>
        <w:t>Asociación Civil por la Igualdad y la Justicia (ACIJ)</w:t>
      </w:r>
      <w:r w:rsidR="006D6200">
        <w:rPr>
          <w:rFonts w:ascii="Cambria" w:eastAsia="Cambria" w:hAnsi="Cambria" w:cs="Cambria"/>
          <w:color w:val="1155CC"/>
          <w:sz w:val="24"/>
          <w:szCs w:val="24"/>
          <w:u w:val="single"/>
        </w:rPr>
        <w:fldChar w:fldCharType="end"/>
      </w:r>
      <w:r>
        <w:rPr>
          <w:rFonts w:ascii="Cambria" w:eastAsia="Cambria" w:hAnsi="Cambria" w:cs="Cambria"/>
          <w:sz w:val="24"/>
          <w:szCs w:val="24"/>
        </w:rPr>
        <w:t xml:space="preserve">, situada en la Ciudad Autónoma </w:t>
      </w:r>
      <w:r>
        <w:rPr>
          <w:rFonts w:ascii="Cambria" w:eastAsia="Cambria" w:hAnsi="Cambria" w:cs="Cambria"/>
          <w:sz w:val="24"/>
          <w:szCs w:val="24"/>
        </w:rPr>
        <w:lastRenderedPageBreak/>
        <w:t>de Buenos Aires, Argentina</w:t>
      </w:r>
      <w:bookmarkEnd w:id="0"/>
      <w:r>
        <w:rPr>
          <w:rFonts w:ascii="Cambria" w:eastAsia="Cambria" w:hAnsi="Cambria" w:cs="Cambria"/>
          <w:sz w:val="24"/>
          <w:szCs w:val="24"/>
        </w:rPr>
        <w:t xml:space="preserve">, se comunica con el Relator Especial sobre Vivienda Adecuada de Naciones Unidas, Balakrishnan Rajagopal, con el objeto de transmitirle un conjunto de observaciones sobre las medidas implementadas en la Argentina, y en la Ciudad Autónoma de Buenos Aires particularmente, para prevenir vulneraciones al derecho a una vivienda adecuada, con las consiguientes vulneraciones </w:t>
      </w:r>
      <w:r>
        <w:rPr>
          <w:rFonts w:ascii="Cambria" w:eastAsia="Cambria" w:hAnsi="Cambria" w:cs="Cambria"/>
          <w:sz w:val="24"/>
          <w:szCs w:val="24"/>
        </w:rPr>
        <w:lastRenderedPageBreak/>
        <w:t xml:space="preserve">a otros derechos que ello implica, en el contexto de la pandemia por el COVID-19. </w:t>
      </w:r>
    </w:p>
    <w:p w14:paraId="00000004" w14:textId="77777777" w:rsidR="0077750B" w:rsidRDefault="0077750B">
      <w:pPr>
        <w:spacing w:line="360" w:lineRule="auto"/>
        <w:ind w:firstLine="720"/>
        <w:jc w:val="both"/>
        <w:rPr>
          <w:rFonts w:ascii="Cambria" w:eastAsia="Cambria" w:hAnsi="Cambria" w:cs="Cambria"/>
          <w:sz w:val="24"/>
          <w:szCs w:val="24"/>
        </w:rPr>
      </w:pPr>
    </w:p>
    <w:p w14:paraId="00000005"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1. El contexto argentino en relación al cumplimiento del derecho a una vivienda adecuada. ¿Dónde nos encontró la pandemia del COVID-19?</w:t>
      </w:r>
    </w:p>
    <w:p w14:paraId="00000006"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El derecho a una vivienda adecuada se encuentra consagrado en la Argentina en el artículo 14 bis de de la Constitución Nacional y en diversos Tratados Internacionales de Derechos Humanos a los que el artículo 75 inciso 22 otorga jerarquía constitucional, mientras que en la Ciudad de Buenos Aires el artículo 31 de su Constitución lo garantiza de manera amplia. </w:t>
      </w:r>
    </w:p>
    <w:p w14:paraId="00000007"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Sin embargo, en la Argentina la problemática habitacional se agrava en cada periodo intercensal. En la actualidad, tenemos en todo el territorio nacional un total de 4.228 barrios populares -informales, o también llamados de villas en la Argentina-, en los que viven alrededor de 3,5 millones de personas (RENABAP, 2017), representando poco menos del 10% de la población argentina. De estos barrios populares, </w:t>
      </w:r>
      <w:r>
        <w:rPr>
          <w:rFonts w:ascii="Cambria" w:eastAsia="Cambria" w:hAnsi="Cambria" w:cs="Cambria"/>
          <w:sz w:val="24"/>
          <w:szCs w:val="24"/>
        </w:rPr>
        <w:lastRenderedPageBreak/>
        <w:t>el 70% no tiene acceso a energía eléctrica, el 90% no tiene acceso a agua potable y el 98% no tiene acceso a la red cloacal.</w:t>
      </w:r>
    </w:p>
    <w:p w14:paraId="00000008"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En el caso de la Ciudad de Buenos Aires, capital de la Argentina,  la población total de la ciudad se mantiene estable hace 50 años en torno a los tres millones de habitantes, au</w:t>
      </w:r>
      <w:r>
        <w:rPr>
          <w:rFonts w:ascii="Cambria" w:eastAsia="Cambria" w:hAnsi="Cambria" w:cs="Cambria"/>
          <w:sz w:val="24"/>
          <w:szCs w:val="24"/>
        </w:rPr>
        <w:lastRenderedPageBreak/>
        <w:t xml:space="preserve">mentando solo 114.013 personas en el último periodo intercensal 2001-2010 (CNPVH). En el mismo decenio, en cambio, la población que vive en villas y asentamientos creció en 56.165 habitantes nuevos, es decir, 52% con respecto al 2001. Según datos de la Secretaría de Hábitat e Inclusión (SECHI) del Gobierno de la Ciudad de Buenos Aires (GCBA), </w:t>
      </w:r>
      <w:r>
        <w:rPr>
          <w:rFonts w:ascii="Cambria" w:eastAsia="Cambria" w:hAnsi="Cambria" w:cs="Cambria"/>
          <w:sz w:val="24"/>
          <w:szCs w:val="24"/>
        </w:rPr>
        <w:lastRenderedPageBreak/>
        <w:t xml:space="preserve">en el año 2012 la población de villas y asentamientos ascendía a 275.000 personas, representando casi un 10% de la población total que reside en la capital argentina. </w:t>
      </w:r>
    </w:p>
    <w:p w14:paraId="00000009"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Por otro lado, de acuerdo con datos publicados por la Dirección General de Estadísticas y Censos en la Encuesta Anual de Hogares (EAH) en 2017, en la Ciudad, el 9,3% de </w:t>
      </w:r>
      <w:r>
        <w:rPr>
          <w:rFonts w:ascii="Cambria" w:eastAsia="Cambria" w:hAnsi="Cambria" w:cs="Cambria"/>
          <w:sz w:val="24"/>
          <w:szCs w:val="24"/>
        </w:rPr>
        <w:lastRenderedPageBreak/>
        <w:t xml:space="preserve">los hogares se encontraba en situación de hacinamiento (2 y más personas por cuarto). </w:t>
      </w:r>
    </w:p>
    <w:p w14:paraId="0000000A"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En cuanto a la situación de tenencia, se percibe un fuerte proceso de “inquilinazión”, tanto en la ciudad formal como informal, representando la población inquilina en la ciudad en la actualidad el 35,1%, cuando en el año 2003 eran el 23.9%.</w:t>
      </w:r>
    </w:p>
    <w:p w14:paraId="0000000B"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Por último, y como consecuencia del avance del mercado inmobiliario, los desalojos en la Ciudad de Buenos Aires constituyen un problema que se ha ido intensificando con el correr del tiempo. En los últimos cinco años (2014-2019) se iniciaron 2029 juicios de desalojo según la Cámara Nacional en lo Civil, es decir, ocho por semana, sin incluir los </w:t>
      </w:r>
      <w:r>
        <w:rPr>
          <w:rFonts w:ascii="Cambria" w:eastAsia="Cambria" w:hAnsi="Cambria" w:cs="Cambria"/>
          <w:sz w:val="24"/>
          <w:szCs w:val="24"/>
        </w:rPr>
        <w:lastRenderedPageBreak/>
        <w:t xml:space="preserve">desalojos informales, los desalojos en villas o los que se ordenan en terrenos públicos (REDACCIÓN, 2019).  </w:t>
      </w:r>
    </w:p>
    <w:p w14:paraId="0000000C"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En virtud de los crecientes desalojos, otro sector de la población continúa creciendo en la Ciudad de Buenos Aires: las personas en situación de calle. En abril de 2019, un conjunto de organizaciones sociales y de la sociedad civil -de la </w:t>
      </w:r>
      <w:r>
        <w:rPr>
          <w:rFonts w:ascii="Cambria" w:eastAsia="Cambria" w:hAnsi="Cambria" w:cs="Cambria"/>
          <w:sz w:val="24"/>
          <w:szCs w:val="24"/>
        </w:rPr>
        <w:lastRenderedPageBreak/>
        <w:t>que ACIJ formó parte-, realizamos el Segundo Censo Popular de gente en situación de calle, que arrojó como resultado que 7.251 personas se encuentran en situación de calle, de las cuales 5.412 viven literalmente en la intemperie.</w:t>
      </w:r>
    </w:p>
    <w:p w14:paraId="0000000D" w14:textId="77777777" w:rsidR="0077750B" w:rsidRDefault="0077750B">
      <w:pPr>
        <w:spacing w:line="360" w:lineRule="auto"/>
        <w:jc w:val="both"/>
        <w:rPr>
          <w:rFonts w:ascii="Cambria" w:eastAsia="Cambria" w:hAnsi="Cambria" w:cs="Cambria"/>
          <w:sz w:val="24"/>
          <w:szCs w:val="24"/>
        </w:rPr>
      </w:pPr>
    </w:p>
    <w:p w14:paraId="0000000E"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 xml:space="preserve">2. “Para quedarse en casa, hay que tener una”. </w:t>
      </w:r>
    </w:p>
    <w:p w14:paraId="0000000F"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La pandemia se extendió a la Argentina en un contexto en el que, como vimos, la problemática habitacional ya se encontraba en ascenso. Desde el mes de marzo de 2020, cuando comenzaron a aparecer los primeros casos de COVID-19 positivos en la Argentina, las primeras medidas oficiales que se recomendaron estaban vinculadas a mantener </w:t>
      </w:r>
      <w:r>
        <w:rPr>
          <w:rFonts w:ascii="Cambria" w:eastAsia="Cambria" w:hAnsi="Cambria" w:cs="Cambria"/>
          <w:sz w:val="24"/>
          <w:szCs w:val="24"/>
        </w:rPr>
        <w:lastRenderedPageBreak/>
        <w:t xml:space="preserve">el distanciamiento social, respetar medidas de higiene básicas -como lavarse las manos con cierta frecuencia- y quedarse en las casas. De hecho, antes de arribar al centenar de casos confirmados en el país, a partir del Decreto de Necesidad y Urgencia Nº 297/20 del 20 de marzo, el Estado Nacional dispuso la cuarentena obligatoria para todas las personas, con excepción de las actividades esenciales definidas </w:t>
      </w:r>
      <w:r>
        <w:rPr>
          <w:rFonts w:ascii="Cambria" w:eastAsia="Cambria" w:hAnsi="Cambria" w:cs="Cambria"/>
          <w:sz w:val="24"/>
          <w:szCs w:val="24"/>
        </w:rPr>
        <w:lastRenderedPageBreak/>
        <w:t xml:space="preserve">-salud, seguridad, alimentación-, medida que se ha ido prorrogando hasta el presente. </w:t>
      </w:r>
    </w:p>
    <w:p w14:paraId="00000010" w14:textId="77777777" w:rsidR="0077750B" w:rsidRDefault="00BB50FE">
      <w:pPr>
        <w:spacing w:line="360" w:lineRule="auto"/>
        <w:ind w:firstLine="720"/>
        <w:jc w:val="both"/>
        <w:rPr>
          <w:rFonts w:ascii="Cambria" w:eastAsia="Cambria" w:hAnsi="Cambria" w:cs="Cambria"/>
          <w:color w:val="1155CC"/>
          <w:sz w:val="24"/>
          <w:szCs w:val="24"/>
          <w:u w:val="single"/>
        </w:rPr>
      </w:pPr>
      <w:r>
        <w:rPr>
          <w:rFonts w:ascii="Cambria" w:eastAsia="Cambria" w:hAnsi="Cambria" w:cs="Cambria"/>
          <w:sz w:val="24"/>
          <w:szCs w:val="24"/>
        </w:rPr>
        <w:t xml:space="preserve">Desde el inicio de la campaña oficial que proponía “Quedate en tu casa”, desde ACIJ iniciamos una campaña de incidencia pública en medios de comunicación en la que sostuvimos que “Para quedarse en casa, hay que tener una”, en </w:t>
      </w:r>
      <w:r>
        <w:rPr>
          <w:rFonts w:ascii="Cambria" w:eastAsia="Cambria" w:hAnsi="Cambria" w:cs="Cambria"/>
          <w:sz w:val="24"/>
          <w:szCs w:val="24"/>
        </w:rPr>
        <w:lastRenderedPageBreak/>
        <w:t xml:space="preserve">donde se buscó echar luz sobre los potenciales efectos discriminatorios que las medidas de aislamiento físico podían ocasionar en poblaciones urbanas vulnerables, como personas residentes en contextos de hacinamiento, en barrios informales o en situación de calle.  Al mismo tiempo, con el colectivo multisectorial Habitar Argentina, del que ACIJ es </w:t>
      </w:r>
      <w:r>
        <w:rPr>
          <w:rFonts w:ascii="Cambria" w:eastAsia="Cambria" w:hAnsi="Cambria" w:cs="Cambria"/>
          <w:sz w:val="24"/>
          <w:szCs w:val="24"/>
        </w:rPr>
        <w:lastRenderedPageBreak/>
        <w:t xml:space="preserve">parte, </w:t>
      </w:r>
      <w:hyperlink r:id="rId6">
        <w:r>
          <w:rPr>
            <w:rFonts w:ascii="Cambria" w:eastAsia="Cambria" w:hAnsi="Cambria" w:cs="Cambria"/>
            <w:color w:val="1155CC"/>
            <w:sz w:val="24"/>
            <w:szCs w:val="24"/>
            <w:u w:val="single"/>
          </w:rPr>
          <w:t xml:space="preserve">propusimos siete líneas de acción para abordar las diferentes necesidades habitacionales. </w:t>
        </w:r>
      </w:hyperlink>
    </w:p>
    <w:p w14:paraId="00000011"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Habiendo pasado más de 80 días desde la medida de confinamiento total, puede verificarse que la misma no ha impedido el contagio en los barrios informales debido a las di</w:t>
      </w:r>
      <w:r>
        <w:rPr>
          <w:rFonts w:ascii="Cambria" w:eastAsia="Cambria" w:hAnsi="Cambria" w:cs="Cambria"/>
          <w:sz w:val="24"/>
          <w:szCs w:val="24"/>
        </w:rPr>
        <w:lastRenderedPageBreak/>
        <w:t xml:space="preserve">ficultades de cumplir con el aislamiento frente al hacinamiento, los déficits constructivos y la falta de alimentos y de acceso a servicios básicos. </w:t>
      </w:r>
    </w:p>
    <w:p w14:paraId="00000012"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El primero de los casos confirmado fue en la Villa 1-11-14 el día 10 de abril, es decir, 39 días después de que se confirmara el primer caso en toda la Argentina. A pesar de </w:t>
      </w:r>
      <w:r>
        <w:rPr>
          <w:rFonts w:ascii="Cambria" w:eastAsia="Cambria" w:hAnsi="Cambria" w:cs="Cambria"/>
          <w:sz w:val="24"/>
          <w:szCs w:val="24"/>
        </w:rPr>
        <w:lastRenderedPageBreak/>
        <w:t xml:space="preserve">ello, habiendo pasado más de un mes desde esa fecha, la cifra de contagios totales confirmada por el Gobierno de la Ciudad al día 12 de junio es de 12.530 personas en toda la ciudad (que representan la mitad de los casos de todo el país, que son 25.987), de los cuales 5.648 viven en barrios informales. Esto quiere decir que las villas de la Ciudad de Buenos Aires, en donde vive un 10% de la población de la </w:t>
      </w:r>
      <w:r>
        <w:rPr>
          <w:rFonts w:ascii="Cambria" w:eastAsia="Cambria" w:hAnsi="Cambria" w:cs="Cambria"/>
          <w:sz w:val="24"/>
          <w:szCs w:val="24"/>
        </w:rPr>
        <w:lastRenderedPageBreak/>
        <w:t>ciudad, albergan a la fecha de redacción de este informe el 45% del total de casos confirmados de COVID-19.</w:t>
      </w:r>
    </w:p>
    <w:p w14:paraId="00000013"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Asimismo, destaca que la velocidad de contagio en barrios informales es notoriamente más elevada. Mientras que en el resto de la Ciudad de Buenos Aires, los casos de COVID positivos tardan 10 días en duplicarse, en los barrios informales tardan 7 días (ver sitio “</w:t>
      </w:r>
      <w:hyperlink r:id="rId7">
        <w:r>
          <w:rPr>
            <w:rFonts w:ascii="Cambria" w:eastAsia="Cambria" w:hAnsi="Cambria" w:cs="Cambria"/>
            <w:color w:val="1155CC"/>
            <w:sz w:val="24"/>
            <w:szCs w:val="24"/>
            <w:u w:val="single"/>
          </w:rPr>
          <w:t>Caminos de la Villa</w:t>
        </w:r>
      </w:hyperlink>
      <w:r>
        <w:rPr>
          <w:rFonts w:ascii="Cambria" w:eastAsia="Cambria" w:hAnsi="Cambria" w:cs="Cambria"/>
          <w:sz w:val="24"/>
          <w:szCs w:val="24"/>
        </w:rPr>
        <w:t xml:space="preserve">”). </w:t>
      </w:r>
    </w:p>
    <w:p w14:paraId="00000014"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Por su parte, destaca que la Villa 31 -de las más céntricas y pobladas de la capital- es la que más casos confirmados tiene hasta la fecha, siendo una de las cuatro villas de la ciudad que se encuentra desde 2016 en un proceso integral de reurbanización que suponía desde sus inicios mejores condiciones de suministro de servicios públicos. </w:t>
      </w:r>
    </w:p>
    <w:p w14:paraId="00000015" w14:textId="77777777" w:rsidR="0077750B" w:rsidRDefault="0077750B">
      <w:pPr>
        <w:spacing w:line="360" w:lineRule="auto"/>
        <w:jc w:val="both"/>
        <w:rPr>
          <w:rFonts w:ascii="Cambria" w:eastAsia="Cambria" w:hAnsi="Cambria" w:cs="Cambria"/>
          <w:sz w:val="24"/>
          <w:szCs w:val="24"/>
        </w:rPr>
      </w:pPr>
    </w:p>
    <w:p w14:paraId="00000016"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lastRenderedPageBreak/>
        <w:t>3. La prohibición de desalojos: Los Decretos 319/20 y 320/20. La norma en los hechos en la Ciudad de Buenos Aires.</w:t>
      </w:r>
    </w:p>
    <w:p w14:paraId="00000017"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A los pocos días de dictado el aislamiento preventivo obligatorio en todo el territorio nacional, el 29 de marzo el Presidente de la República Argentina dictó dos Decretos de Necesidad y Urgencia, con el objetivo de evitar desalojos.</w:t>
      </w:r>
    </w:p>
    <w:p w14:paraId="00000018"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El Decreto Nº 319/20 dispone el congelamiento del valor de las cuotas para créditos hipotecarios que corresponden a vivienda única, y la suspensión de los desalojos por ejecución del crédito hipotecario hasta el 30 de septiembre de 2020. Las deudas generadas podrán abonarse en, al menos, 3 cuotas mensuales, iguales y consecutivas, con venci</w:t>
      </w:r>
      <w:r>
        <w:rPr>
          <w:rFonts w:ascii="Cambria" w:eastAsia="Cambria" w:hAnsi="Cambria" w:cs="Cambria"/>
          <w:sz w:val="24"/>
          <w:szCs w:val="24"/>
        </w:rPr>
        <w:lastRenderedPageBreak/>
        <w:t>miento, la primera de ellas, en la misma fecha del vencimiento de la cuota del crédito que contractualmente correspondiere al mes de octubre del corriente año, con intereses compensatorios que no podrán exceder la tasa de interés para plazos fijos en pesos a 30 días que paga el Banco de la Nación Argentina.</w:t>
      </w:r>
    </w:p>
    <w:p w14:paraId="00000019"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El Decreto Nº 320/20 dispone, por su parte, la suspensión de los desalojos judiciales motivados por el incumplimiento de la obligación de pago en contratos de alquiler, alcanzando incluso a los desalojos ya ordenados pero que no se hubieran realizado. A su vez, prorroga hasta el día 30 de </w:t>
      </w:r>
      <w:r>
        <w:rPr>
          <w:rFonts w:ascii="Cambria" w:eastAsia="Cambria" w:hAnsi="Cambria" w:cs="Cambria"/>
          <w:sz w:val="24"/>
          <w:szCs w:val="24"/>
        </w:rPr>
        <w:lastRenderedPageBreak/>
        <w:t xml:space="preserve">septiembre la vigencia de los contratos de alquiler que tengan su vencimiento desde el 20 de marzo hasta el 30 de septiembre. </w:t>
      </w:r>
    </w:p>
    <w:p w14:paraId="0000001A"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En el mismo sentido, congela el precio de los alquileres hasta la misma fecha, debiendo abonarse la diferencia en, al menos 3 cuotas y como máximo 6 mensuales, iguales y consecutivas, con vencimiento la primera de ellas, en la misma </w:t>
      </w:r>
      <w:r>
        <w:rPr>
          <w:rFonts w:ascii="Cambria" w:eastAsia="Cambria" w:hAnsi="Cambria" w:cs="Cambria"/>
          <w:sz w:val="24"/>
          <w:szCs w:val="24"/>
        </w:rPr>
        <w:lastRenderedPageBreak/>
        <w:t xml:space="preserve">fecha del vencimiento del canon locativo que contractualmente corresponda al mes de octubre del corriente año, y junto con este. Además, a las deudas por falta de pago podrán aplicarse intereses compensatorios que no podrán exceder la tasa de interés para plazos fijos en pesos a 30 días que paga el Banco de la Nación Argentina. </w:t>
      </w:r>
    </w:p>
    <w:p w14:paraId="0000001B"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Finalmente, establece una excepción para el congelamiento del pago del alquiler vinculada a la vulnerabilidad del propietario, es decir, cuando éste dependa del canon convenido en el contrato para cubrir sus necesidades básicas. </w:t>
      </w:r>
    </w:p>
    <w:p w14:paraId="0000001C"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De los decretos emergen dos problemas: 1) no se prevé la suspensión de desalojos de “casas ocupadas”, sino que los </w:t>
      </w:r>
      <w:r>
        <w:rPr>
          <w:rFonts w:ascii="Cambria" w:eastAsia="Cambria" w:hAnsi="Cambria" w:cs="Cambria"/>
          <w:sz w:val="24"/>
          <w:szCs w:val="24"/>
        </w:rPr>
        <w:lastRenderedPageBreak/>
        <w:t xml:space="preserve">dos supuestos que contemplan es por falta de pago del alquiler o del crédito hipotecario; 2) no se han establecido mecanismos ni organismos competentes a cargo de la supervisión del acatamiento de lo dispuesto por los decretos. </w:t>
      </w:r>
    </w:p>
    <w:p w14:paraId="0000001D"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Esto último es un problema fundamentalmente para los desalojos “informales”, es decir, aquellos que se realizan sin intervención judicial y que son practicados por los propios </w:t>
      </w:r>
      <w:r>
        <w:rPr>
          <w:rFonts w:ascii="Cambria" w:eastAsia="Cambria" w:hAnsi="Cambria" w:cs="Cambria"/>
          <w:sz w:val="24"/>
          <w:szCs w:val="24"/>
        </w:rPr>
        <w:lastRenderedPageBreak/>
        <w:t xml:space="preserve">propietarios, que ocurren en los barrios informales y también en hoteles, inquilinatos y pensiones. Al no haberse determinado un circuito específico para denunciar, dar seguimiento e impedir que ocurran los desalojos en estos marcos de informalidad, los mismos continúan ocurriendo. A esto se le suma que la gran mayoría de las personas que alquilan informalmente no disponen de un ingreso formal, sino que </w:t>
      </w:r>
      <w:r>
        <w:rPr>
          <w:rFonts w:ascii="Cambria" w:eastAsia="Cambria" w:hAnsi="Cambria" w:cs="Cambria"/>
          <w:sz w:val="24"/>
          <w:szCs w:val="24"/>
        </w:rPr>
        <w:lastRenderedPageBreak/>
        <w:t xml:space="preserve">su medio de vida consiste en empleos informales, que están paralizados como consecuencia del aislamiento, lo que hace en muchos casos que no tengan posibilidad de pagar y, en consecuencia, que la amenaza de desalojo sea aún mayor que en un contexto habitual. </w:t>
      </w:r>
    </w:p>
    <w:p w14:paraId="0000001E"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Por otro lado, el Gobierno de la Ciudad no ha instrumentado formalmente protocolos específicos que aseguren que </w:t>
      </w:r>
      <w:r>
        <w:rPr>
          <w:rFonts w:ascii="Cambria" w:eastAsia="Cambria" w:hAnsi="Cambria" w:cs="Cambria"/>
          <w:sz w:val="24"/>
          <w:szCs w:val="24"/>
        </w:rPr>
        <w:lastRenderedPageBreak/>
        <w:t xml:space="preserve">las personas no sean expulsadas de las viviendas en las que habitan en barrios informales, ni se han habilitado recursos dinerarios para disminuir la conflictividad producida por la imposibilidad de pago de la población inquilina residente en villas. </w:t>
      </w:r>
    </w:p>
    <w:p w14:paraId="0000001F"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Por último, en otro orden, el día 11 de junio del corriente se aprobó en el Senado una nueva ley de alquileres a nivel </w:t>
      </w:r>
      <w:r>
        <w:rPr>
          <w:rFonts w:ascii="Cambria" w:eastAsia="Cambria" w:hAnsi="Cambria" w:cs="Cambria"/>
          <w:sz w:val="24"/>
          <w:szCs w:val="24"/>
        </w:rPr>
        <w:lastRenderedPageBreak/>
        <w:t xml:space="preserve">nacional, que deberá ser promulgada por el Presidente de la República y que, si bien viene discutiéndose hace varios años y no es la consecuencia directa de la emergencia provocada por la pandemia, coadyuva en la defensa de la población inquilina en la Argentina. Ello porque extiende el plazo mínimo del contrato de alquiler de 2 a 3 años, impone </w:t>
      </w:r>
      <w:r>
        <w:rPr>
          <w:rFonts w:ascii="Cambria" w:eastAsia="Cambria" w:hAnsi="Cambria" w:cs="Cambria"/>
          <w:sz w:val="24"/>
          <w:szCs w:val="24"/>
        </w:rPr>
        <w:lastRenderedPageBreak/>
        <w:t xml:space="preserve">aumentos anuales -en la actualidad el mercado suele establecer aumentos semestrales sin ningún control- que deben estar atados a un índice mixto que el Banco Central debe publicar que será la conjunción entre el aumento generalizado de precios (IPC) y la variación promedio del salario formal (RIPTE), y amplía las garantías que el inquilino </w:t>
      </w:r>
      <w:r>
        <w:rPr>
          <w:rFonts w:ascii="Cambria" w:eastAsia="Cambria" w:hAnsi="Cambria" w:cs="Cambria"/>
          <w:sz w:val="24"/>
          <w:szCs w:val="24"/>
        </w:rPr>
        <w:lastRenderedPageBreak/>
        <w:t>puede ofrecer al propietario, entre otras medidas de protección.</w:t>
      </w:r>
    </w:p>
    <w:p w14:paraId="00000020"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Esta ley se inserta en un momento en el que la situación de la población inquilina está urgida por la pandemia. Según datos publicados por la asociación Inquilinos Agrupados, en el mes de abril de 2020, el 40% de los/as inquilinos/as de la Ciudad de Buenos Aires no ha abonado el mes de alquiler, </w:t>
      </w:r>
      <w:r>
        <w:rPr>
          <w:rFonts w:ascii="Cambria" w:eastAsia="Cambria" w:hAnsi="Cambria" w:cs="Cambria"/>
          <w:sz w:val="24"/>
          <w:szCs w:val="24"/>
        </w:rPr>
        <w:lastRenderedPageBreak/>
        <w:t xml:space="preserve">y en el mes de junio, el 49% de los/as inquilinos/as de todo el país ha tenido problemas para pagar. Esta situación, si bien no representa un problema actual para la población inquilina, sí será un problema futuro en la medida en que, como vimos, no están exentos/as del pago, sino que el mismo se postergó para octubre. </w:t>
      </w:r>
    </w:p>
    <w:p w14:paraId="00000021" w14:textId="77777777" w:rsidR="0077750B" w:rsidRDefault="0077750B">
      <w:pPr>
        <w:spacing w:line="360" w:lineRule="auto"/>
        <w:jc w:val="both"/>
        <w:rPr>
          <w:rFonts w:ascii="Cambria" w:eastAsia="Cambria" w:hAnsi="Cambria" w:cs="Cambria"/>
          <w:sz w:val="24"/>
          <w:szCs w:val="24"/>
        </w:rPr>
      </w:pPr>
    </w:p>
    <w:p w14:paraId="00000022"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b/>
          <w:sz w:val="24"/>
          <w:szCs w:val="24"/>
        </w:rPr>
        <w:lastRenderedPageBreak/>
        <w:t>4. La prohibición de corte de servicios públicos: el Decreto Nº 311/2020. La norma en los hechos en la Ciudad de Buenos Aires.</w:t>
      </w:r>
    </w:p>
    <w:p w14:paraId="00000023"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Además de garantizar el acceso y permanencia en una vivienda segura durante la pandemia, otra de las medidas que se impone como necesaria para prevenir el contagio está vinculada a la garantía de servicios públicos que lleguen a </w:t>
      </w:r>
      <w:r>
        <w:rPr>
          <w:rFonts w:ascii="Cambria" w:eastAsia="Cambria" w:hAnsi="Cambria" w:cs="Cambria"/>
          <w:sz w:val="24"/>
          <w:szCs w:val="24"/>
        </w:rPr>
        <w:lastRenderedPageBreak/>
        <w:t xml:space="preserve">todas las viviendas. Por esa razón, se dictó el Decreto Nº 311/2020, el 24 de marzo de 2020, en el que se determinó que las empresas prestadoras de los servicios de energía eléctrica, gas por redes y agua corriente, telefonía fija o móvil e Internet y TV, no podrán disponer la suspensión o el corte de los servicios a los/as usuarios/as, en caso de mora o falta de pago de hasta 3 facturas. </w:t>
      </w:r>
    </w:p>
    <w:p w14:paraId="00000024"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El Decreto está dirigido a resguardar a un sector de la población que está en situación de vulnerabilidad económica -descrito en el artículo 3-, que incluye a beneficiarios/as de programas de asistencia social y jubilados/as.</w:t>
      </w:r>
    </w:p>
    <w:p w14:paraId="00000025"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Como complemento del Decreto indicado, es dable mencionar que al asumir la gestión el nuevo gobierno argentino a fines de 2019, aprobó la Ley 27.541 de Solidaridad Social </w:t>
      </w:r>
      <w:r>
        <w:rPr>
          <w:rFonts w:ascii="Cambria" w:eastAsia="Cambria" w:hAnsi="Cambria" w:cs="Cambria"/>
          <w:sz w:val="24"/>
          <w:szCs w:val="24"/>
        </w:rPr>
        <w:lastRenderedPageBreak/>
        <w:t>y Reactivación Económica, en la que se declara la emergencia económica, financiera, fiscal, administrativa, previsional, tarifaria, energética, sanitaria y social, hasta el 31 de diciembre de 2020. En ella, se faculta al Poder Ejecutivo nacional a mantener las tarifas de electricidad y gas natural que estén bajo jurisdicción federal y a iniciar un proceso de renego</w:t>
      </w:r>
      <w:r>
        <w:rPr>
          <w:rFonts w:ascii="Cambria" w:eastAsia="Cambria" w:hAnsi="Cambria" w:cs="Cambria"/>
          <w:sz w:val="24"/>
          <w:szCs w:val="24"/>
        </w:rPr>
        <w:lastRenderedPageBreak/>
        <w:t xml:space="preserve">ciación de la revisión tarifaria, propendiendo a una reducción de la carga tarifaria real para el año 2020. Este congelamiento de las tarifas tiene como antecedente la suba abrupta de las tarifas que se dio durante la gestión anterior (2015-2019) a partir de la quita de los subsidios, pero sin dudas colabora en este escenario de pandemia para impedir </w:t>
      </w:r>
      <w:r>
        <w:rPr>
          <w:rFonts w:ascii="Cambria" w:eastAsia="Cambria" w:hAnsi="Cambria" w:cs="Cambria"/>
          <w:sz w:val="24"/>
          <w:szCs w:val="24"/>
        </w:rPr>
        <w:lastRenderedPageBreak/>
        <w:t>que el precio de los servicios públicos aumente en una escala impagable</w:t>
      </w:r>
      <w:r>
        <w:rPr>
          <w:rFonts w:ascii="Cambria" w:eastAsia="Cambria" w:hAnsi="Cambria" w:cs="Cambria"/>
          <w:sz w:val="24"/>
          <w:szCs w:val="24"/>
          <w:vertAlign w:val="superscript"/>
        </w:rPr>
        <w:footnoteReference w:id="1"/>
      </w:r>
      <w:r>
        <w:rPr>
          <w:rFonts w:ascii="Cambria" w:eastAsia="Cambria" w:hAnsi="Cambria" w:cs="Cambria"/>
          <w:sz w:val="24"/>
          <w:szCs w:val="24"/>
        </w:rPr>
        <w:t>.</w:t>
      </w:r>
    </w:p>
    <w:p w14:paraId="00000026"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Sin embargo, tal como se refirió en la introducción, hay más de 4.000 barrios informales en la Argentina que no tienen acceso a servicios públicos, y en los cuales, al ser las conexiones informales, las interrupciones de los servicios y el desabastecimiento es cotidiano. Tan es así que, tanto la Villa 31 como la Villa 1-11-14 que son las más afectadas con casos de COVID-19, han tenido importantes cortes de agua </w:t>
      </w:r>
      <w:r>
        <w:rPr>
          <w:rFonts w:ascii="Cambria" w:eastAsia="Cambria" w:hAnsi="Cambria" w:cs="Cambria"/>
          <w:sz w:val="24"/>
          <w:szCs w:val="24"/>
        </w:rPr>
        <w:lastRenderedPageBreak/>
        <w:t xml:space="preserve">en determinados sectores, lo que evidentemente ha potenciado el grado de contagio al impedirle a las familias cumplir con una de las medidas de higiene y prevención principales. </w:t>
      </w:r>
    </w:p>
    <w:p w14:paraId="00000027"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Por su parte, desde ACIJ hemos continuado impulsando distintas causas judiciales por la prestación de servicios públicos que en este momento tienen una relevancia particu</w:t>
      </w:r>
      <w:r>
        <w:rPr>
          <w:rFonts w:ascii="Cambria" w:eastAsia="Cambria" w:hAnsi="Cambria" w:cs="Cambria"/>
          <w:sz w:val="24"/>
          <w:szCs w:val="24"/>
        </w:rPr>
        <w:lastRenderedPageBreak/>
        <w:t xml:space="preserve">lar, como aquella que ordena al Gobierno de la Ciudad a proveer energía eléctrica segura y de calidad en la Villa 21-24 desde 2012. También iniciamos el 20 de mayo una acción de </w:t>
      </w:r>
      <w:hyperlink r:id="rId8">
        <w:r>
          <w:rPr>
            <w:rFonts w:ascii="Cambria" w:eastAsia="Cambria" w:hAnsi="Cambria" w:cs="Cambria"/>
            <w:color w:val="1155CC"/>
            <w:sz w:val="24"/>
            <w:szCs w:val="24"/>
            <w:u w:val="single"/>
          </w:rPr>
          <w:t>amparo</w:t>
        </w:r>
      </w:hyperlink>
      <w:r>
        <w:rPr>
          <w:rFonts w:ascii="Cambria" w:eastAsia="Cambria" w:hAnsi="Cambria" w:cs="Cambria"/>
          <w:sz w:val="24"/>
          <w:szCs w:val="24"/>
        </w:rPr>
        <w:t xml:space="preserve"> a fin de que se ordene judicialmente al Gobierno de la Ciudad de Buenos Aires que asegure el acceso a internet a los habitantes de los barrios informales, y se reclamó </w:t>
      </w:r>
      <w:r>
        <w:rPr>
          <w:rFonts w:ascii="Cambria" w:eastAsia="Cambria" w:hAnsi="Cambria" w:cs="Cambria"/>
          <w:sz w:val="24"/>
          <w:szCs w:val="24"/>
        </w:rPr>
        <w:lastRenderedPageBreak/>
        <w:t xml:space="preserve">por la distribución de computadoras en el marco de la pandemia de COVID-19. </w:t>
      </w:r>
    </w:p>
    <w:p w14:paraId="00000028"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Ante la pandemia de COVID-19 y las medidas de aislamiento social obligatorio, la Ciudad de Buenos Aires dispuso que la escolaridad y la mayoría de los trámites continuaran por vías virtuales, lo que puso en evidencia la situación de desigualdad de las personas que residen en barrios </w:t>
      </w:r>
      <w:r>
        <w:rPr>
          <w:rFonts w:ascii="Cambria" w:eastAsia="Cambria" w:hAnsi="Cambria" w:cs="Cambria"/>
          <w:sz w:val="24"/>
          <w:szCs w:val="24"/>
        </w:rPr>
        <w:lastRenderedPageBreak/>
        <w:t>informales, en donde el servicio de Internet no es provisto en forma domiciliaria por las mismas compañías prestadoras que en el resto de la ciudad. Por esto, contar con conexión a internet resulta más que nunca una precondición para poder acceder a otros derechos, como la educación o la salud.</w:t>
      </w:r>
    </w:p>
    <w:p w14:paraId="00000029"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El 8 de junio, el Juzgado interviniente dictaminó, en una medida cautelar, que en el plazo de 5 días el GCBA tiene que entregar a  estudiantes que concurren  a   escuelas   de   gestión   pública   o   privada   con   cuota   cero ,  y   que   se encuentren   en   situación   de   vulnerabilidad   social,   un   dispositivo   informático adecuado (computadora portátil, </w:t>
      </w:r>
      <w:r>
        <w:rPr>
          <w:rFonts w:ascii="Cambria" w:eastAsia="Cambria" w:hAnsi="Cambria" w:cs="Cambria"/>
          <w:sz w:val="24"/>
          <w:szCs w:val="24"/>
        </w:rPr>
        <w:lastRenderedPageBreak/>
        <w:t>notebook o tablet) para acceder a internet y poder realizar las tareas escolares.</w:t>
      </w:r>
    </w:p>
    <w:p w14:paraId="0000002A"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A su vez, tiene que garantizar en ese plazo de 5 días en la totalidad de las villas, barrios informales y asentamientos de la Ciudad acceso inalámbrico libre a internet. Si no puede hacerlo, tiene que entregar un dispositivo móvil con línea </w:t>
      </w:r>
      <w:r>
        <w:rPr>
          <w:rFonts w:ascii="Cambria" w:eastAsia="Cambria" w:hAnsi="Cambria" w:cs="Cambria"/>
          <w:sz w:val="24"/>
          <w:szCs w:val="24"/>
        </w:rPr>
        <w:lastRenderedPageBreak/>
        <w:t>con datos que permita el acceso a internet a cada grupo familiar integrado por niños, niñas y/o adolescentes que concurren a establecimientos educativos de nivel primario.</w:t>
      </w:r>
    </w:p>
    <w:p w14:paraId="0000002B" w14:textId="77777777" w:rsidR="0077750B" w:rsidRDefault="0077750B">
      <w:pPr>
        <w:spacing w:line="360" w:lineRule="auto"/>
        <w:jc w:val="both"/>
        <w:rPr>
          <w:rFonts w:ascii="Cambria" w:eastAsia="Cambria" w:hAnsi="Cambria" w:cs="Cambria"/>
          <w:sz w:val="24"/>
          <w:szCs w:val="24"/>
        </w:rPr>
      </w:pPr>
    </w:p>
    <w:p w14:paraId="0000002C"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5. Otras medidas desarrolladas en un momento de retracción económica: El IFE.</w:t>
      </w:r>
    </w:p>
    <w:p w14:paraId="0000002D"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Dentro de las medidas adicionales introducidas por el Gobierno Nacional, vinculadas a la protección de los sectores más desaventajados y a asegurar ingresos mínimos que permitan, en un contexto de retracción económica, cumplir con la alimentación mínima y las necesidades básicas; destaca el Ingreso Familiar de Emergencia (IFE), establecido por Decreto Nº 310/2020 del 23 de marzo. </w:t>
      </w:r>
    </w:p>
    <w:p w14:paraId="0000002E"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El mismo establece un ingreso por única vez para el mes de abril (que prontamente será provisto nuevamente por segunda vez) de $10.000 (equivalentes a U$D 145) para las personas que se encuentren desocupadas, o se desempeñen en la economía informal, monotributistas sociales o inscriptos en las categorías “A” y “B”, y trabajadores/as de casas particulares.</w:t>
      </w:r>
    </w:p>
    <w:p w14:paraId="0000002F" w14:textId="77777777" w:rsidR="0077750B" w:rsidRDefault="00BB50FE">
      <w:pPr>
        <w:spacing w:line="360" w:lineRule="auto"/>
        <w:ind w:firstLine="720"/>
        <w:jc w:val="both"/>
        <w:rPr>
          <w:rFonts w:ascii="Cambria" w:eastAsia="Cambria" w:hAnsi="Cambria" w:cs="Cambria"/>
          <w:b/>
          <w:sz w:val="24"/>
          <w:szCs w:val="24"/>
        </w:rPr>
      </w:pPr>
      <w:r>
        <w:rPr>
          <w:rFonts w:ascii="Cambria" w:eastAsia="Cambria" w:hAnsi="Cambria" w:cs="Cambria"/>
          <w:sz w:val="24"/>
          <w:szCs w:val="24"/>
        </w:rPr>
        <w:lastRenderedPageBreak/>
        <w:t>Por otro lado, una de los principales aportes que viene haciendo el Gobierno de la Ciudad en barrios informales consiste en proveer asistencia alimentaria a las familias que debido a la pérdida de ingresos se encuentran en una situación de grave emergencia alimentaria, que se suman a las viandas escolares que reparten las escuelas para niños/as -</w:t>
      </w:r>
      <w:r>
        <w:rPr>
          <w:rFonts w:ascii="Cambria" w:eastAsia="Cambria" w:hAnsi="Cambria" w:cs="Cambria"/>
          <w:sz w:val="24"/>
          <w:szCs w:val="24"/>
        </w:rPr>
        <w:lastRenderedPageBreak/>
        <w:t xml:space="preserve">en forma deficitaria, razón por la cual existe una acción judicial de la que ACIJ participa-. Para la implementación de estas medidas se suele buscar el apoyo de las organizaciones sociales que son las que han gestionado principalmente la provisión de servicios esenciales y la cobertura de necesidades básicas durante la pandemia en los barrios informales. </w:t>
      </w:r>
    </w:p>
    <w:p w14:paraId="00000030" w14:textId="77777777" w:rsidR="0077750B" w:rsidRDefault="0077750B">
      <w:pPr>
        <w:spacing w:line="360" w:lineRule="auto"/>
        <w:jc w:val="both"/>
        <w:rPr>
          <w:rFonts w:ascii="Cambria" w:eastAsia="Cambria" w:hAnsi="Cambria" w:cs="Cambria"/>
          <w:b/>
          <w:sz w:val="24"/>
          <w:szCs w:val="24"/>
        </w:rPr>
      </w:pPr>
    </w:p>
    <w:p w14:paraId="00000031"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6. Medidas específicas para barrios informales.</w:t>
      </w:r>
    </w:p>
    <w:p w14:paraId="00000032"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Como se indicó, desde los inicios del aislamiento preventivo obligatorio, diversas organizaciones que trabajamos en los barrios informales y organizaciones de pobladores de estos barrios, hemos presentado ante las autoridades públicas la necesidad de protocolos específicos para atender la </w:t>
      </w:r>
      <w:r>
        <w:rPr>
          <w:rFonts w:ascii="Cambria" w:eastAsia="Cambria" w:hAnsi="Cambria" w:cs="Cambria"/>
          <w:sz w:val="24"/>
          <w:szCs w:val="24"/>
        </w:rPr>
        <w:lastRenderedPageBreak/>
        <w:t xml:space="preserve">situación de los barrios informales, en donde las medidas de distanciamiento, higiene y permanencia en las viviendas muchas veces se hacen de imposible cumplimiento. Para ello, se elaboraron una serie de </w:t>
      </w:r>
      <w:hyperlink r:id="rId9">
        <w:r>
          <w:rPr>
            <w:rFonts w:ascii="Cambria" w:eastAsia="Cambria" w:hAnsi="Cambria" w:cs="Cambria"/>
            <w:color w:val="1155CC"/>
            <w:sz w:val="24"/>
            <w:szCs w:val="24"/>
            <w:u w:val="single"/>
          </w:rPr>
          <w:t>sugerencias de medidas</w:t>
        </w:r>
      </w:hyperlink>
      <w:r>
        <w:rPr>
          <w:rFonts w:ascii="Cambria" w:eastAsia="Cambria" w:hAnsi="Cambria" w:cs="Cambria"/>
          <w:sz w:val="24"/>
          <w:szCs w:val="24"/>
        </w:rPr>
        <w:t xml:space="preserve"> con el fin de que quedaran contempladas las necesidades puntuales que surgen en estos barrios.</w:t>
      </w:r>
    </w:p>
    <w:p w14:paraId="00000033"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No obstante, las autoridades no llevaron adelante medidas específicas ni programas de prevención generales orientados a sortear los obstáculos que existen en las villas hasta que los primeros casos confirmados llegaron a los barrios informales de la ciudad. </w:t>
      </w:r>
    </w:p>
    <w:p w14:paraId="00000034"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La primera iniciativa destinada a barrios informales provino de la Resolución Conjunta Nº 2/2020 del Ministerio de </w:t>
      </w:r>
      <w:r>
        <w:rPr>
          <w:rFonts w:ascii="Cambria" w:eastAsia="Cambria" w:hAnsi="Cambria" w:cs="Cambria"/>
          <w:sz w:val="24"/>
          <w:szCs w:val="24"/>
        </w:rPr>
        <w:lastRenderedPageBreak/>
        <w:t>Desarrollo Social y el Ministerio de Salud de Nación el 17 de abril,  en la que se establecieron estándares particulares para evitar la propagación del virus en barrios informales. Así, se establecen un conjunto de estrategias que deben organizarse a nivel local/territorial para intentar minimizar la circulación del COVID-19 en barrios populares con altos ni</w:t>
      </w:r>
      <w:r>
        <w:rPr>
          <w:rFonts w:ascii="Cambria" w:eastAsia="Cambria" w:hAnsi="Cambria" w:cs="Cambria"/>
          <w:sz w:val="24"/>
          <w:szCs w:val="24"/>
        </w:rPr>
        <w:lastRenderedPageBreak/>
        <w:t>veles de hacinamiento, entendiendo que para ello es necesaria la articulación de todos los niveles de Estado con instituciones religiosas, organizaciones sociales, clubes de barrio y escuelas.</w:t>
      </w:r>
    </w:p>
    <w:p w14:paraId="00000035"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La Resolución refuerza la importancia de la circulación de información adecuada, y pone el eje en la atención a los mayores de 60 años, quienes en caso de no tener posibilidad </w:t>
      </w:r>
      <w:r>
        <w:rPr>
          <w:rFonts w:ascii="Cambria" w:eastAsia="Cambria" w:hAnsi="Cambria" w:cs="Cambria"/>
          <w:sz w:val="24"/>
          <w:szCs w:val="24"/>
        </w:rPr>
        <w:lastRenderedPageBreak/>
        <w:t xml:space="preserve">de aislamiento domiciliario, deberán tener soluciones comunitarias de aislamiento. Además recomienda asegurar el servicio alimentario comunitario, implementar estrategias para minimizar la aglomeración de personas -como la entrega de bolsones de alimentos en forma domiciliaria-, garantizar la provisión de suministros de higiene y limpieza, </w:t>
      </w:r>
      <w:r>
        <w:rPr>
          <w:rFonts w:ascii="Cambria" w:eastAsia="Cambria" w:hAnsi="Cambria" w:cs="Cambria"/>
          <w:sz w:val="24"/>
          <w:szCs w:val="24"/>
        </w:rPr>
        <w:lastRenderedPageBreak/>
        <w:t>y las medidas de salud y seguridad, acompañar a las personas que pueden estar atravesando alguna situación de violencia de género o problemática de salud mental, y la organización de la estrategia por parte de un Comité de Emergencia Local, conformado por referentes y promotores locales, en coordinación con el sector de salud local.</w:t>
      </w:r>
    </w:p>
    <w:p w14:paraId="00000036"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En el caso del Gobierno de la Ciudad de Buenos Aires, las respuestas comenzaron a darse una vez que la situación del COVID-19 en algunos de estos barrios ya se encontraba en un estado avanzado. Las medidas principales se centraron en la ejecución del Operativo DETECTAR, en un primer momento, con la colocación de postas de salud en determinados barrios para activar el protocolo general de atención a </w:t>
      </w:r>
      <w:r>
        <w:rPr>
          <w:rFonts w:ascii="Cambria" w:eastAsia="Cambria" w:hAnsi="Cambria" w:cs="Cambria"/>
          <w:sz w:val="24"/>
          <w:szCs w:val="24"/>
        </w:rPr>
        <w:lastRenderedPageBreak/>
        <w:t xml:space="preserve">personas que presentan síntomas de COVID-19,  trasladándolas a hospitales o a centros extrahospitalarios dependiendo del caso.  </w:t>
      </w:r>
    </w:p>
    <w:p w14:paraId="00000037"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Asimismo, en aquellos barrios que se encuentran en proceso de reurbanización, se realizaron algunas relocalizaciones a viviendas nuevas con criterios sanitarios para perso</w:t>
      </w:r>
      <w:r>
        <w:rPr>
          <w:rFonts w:ascii="Cambria" w:eastAsia="Cambria" w:hAnsi="Cambria" w:cs="Cambria"/>
          <w:sz w:val="24"/>
          <w:szCs w:val="24"/>
        </w:rPr>
        <w:lastRenderedPageBreak/>
        <w:t>nas que constituyen grupos de riesgo o que su salud requiere de un cambio de vivienda. Sin embargo, en la Villa 31 resalta el hecho de que continúan realizándose relocalizaciones a las viviendas nuevas -que antes de la pandemia ya estaban siendo ampliamente controvertidas por las perso</w:t>
      </w:r>
      <w:r>
        <w:rPr>
          <w:rFonts w:ascii="Cambria" w:eastAsia="Cambria" w:hAnsi="Cambria" w:cs="Cambria"/>
          <w:sz w:val="24"/>
          <w:szCs w:val="24"/>
        </w:rPr>
        <w:lastRenderedPageBreak/>
        <w:t xml:space="preserve">nas afectadas a dichas relocalizaciones- sin criterios sanitarios, sino para cumplir con el cronograma de mudanzas preestablecido con anterioridad a la pandemia. </w:t>
      </w:r>
    </w:p>
    <w:p w14:paraId="00000038"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Más allá de estas acciones, el Gobierno de la Ciudad no ha avanzado hasta el presente en la aprobación e implementación de un protocolo específico para la atención de la multiplicidad de problemáticas que se derivan de la pandemia </w:t>
      </w:r>
      <w:r>
        <w:rPr>
          <w:rFonts w:ascii="Cambria" w:eastAsia="Cambria" w:hAnsi="Cambria" w:cs="Cambria"/>
          <w:sz w:val="24"/>
          <w:szCs w:val="24"/>
        </w:rPr>
        <w:lastRenderedPageBreak/>
        <w:t xml:space="preserve">y el aislamiento obligatorio en los barrios informales. De hecho, se ha presentado una acción judicial -de la que ACIJ forma parte- pidiéndole al Gobierno de la Ciudad que desarrolle un protocolo, y el Juzgado de Primera Instancia ha condenado al Gobierno a hacerlo, pese a lo cual la decisión no se encuentra aún firme porque ha sido recurrida por el propio Gobierno. </w:t>
      </w:r>
    </w:p>
    <w:p w14:paraId="00000039" w14:textId="77777777" w:rsidR="0077750B" w:rsidRDefault="0077750B">
      <w:pPr>
        <w:spacing w:line="360" w:lineRule="auto"/>
        <w:jc w:val="both"/>
        <w:rPr>
          <w:rFonts w:ascii="Cambria" w:eastAsia="Cambria" w:hAnsi="Cambria" w:cs="Cambria"/>
          <w:sz w:val="24"/>
          <w:szCs w:val="24"/>
        </w:rPr>
      </w:pPr>
    </w:p>
    <w:p w14:paraId="0000003A"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7. Medidas específicas para personas en situación de calle.</w:t>
      </w:r>
    </w:p>
    <w:p w14:paraId="0000003B"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Otra de las poblaciones más afectadas por la pandemia es aquella que vive en situación de calle y para la cual no se ha introducido ninguna política diferente de las medidas defi</w:t>
      </w:r>
      <w:r>
        <w:rPr>
          <w:rFonts w:ascii="Cambria" w:eastAsia="Cambria" w:hAnsi="Cambria" w:cs="Cambria"/>
          <w:sz w:val="24"/>
          <w:szCs w:val="24"/>
        </w:rPr>
        <w:lastRenderedPageBreak/>
        <w:t>citarias con las que el Gobierno de la Ciudad ha venido atendiendo esta situación. En este sentido, al sistema existente de paradores en donde duermen las personas en situación de calle, se añadieron 250 nuevas plazas para contener la demanda generada por el COVID-19, y se adelantó el “</w:t>
      </w:r>
      <w:hyperlink r:id="rId10">
        <w:r>
          <w:rPr>
            <w:rFonts w:ascii="Cambria" w:eastAsia="Cambria" w:hAnsi="Cambria" w:cs="Cambria"/>
            <w:color w:val="1155CC"/>
            <w:sz w:val="24"/>
            <w:szCs w:val="24"/>
            <w:u w:val="single"/>
          </w:rPr>
          <w:t>Operativo Frío</w:t>
        </w:r>
      </w:hyperlink>
      <w:r>
        <w:rPr>
          <w:rFonts w:ascii="Cambria" w:eastAsia="Cambria" w:hAnsi="Cambria" w:cs="Cambria"/>
          <w:sz w:val="24"/>
          <w:szCs w:val="24"/>
        </w:rPr>
        <w:t xml:space="preserve">” llevado adelante en los meses de más frío en la Ciudad de Buenos Aires por el BAP (Buenos Aires Presente), </w:t>
      </w:r>
      <w:r>
        <w:rPr>
          <w:rFonts w:ascii="Cambria" w:eastAsia="Cambria" w:hAnsi="Cambria" w:cs="Cambria"/>
          <w:sz w:val="24"/>
          <w:szCs w:val="24"/>
        </w:rPr>
        <w:lastRenderedPageBreak/>
        <w:t>dependiente del Ministerio de Desarrollo Humano y Hábitat, que ofrece comida caliente, ropa de abrigo y asistencia médica a personas en situación de calle.</w:t>
      </w:r>
    </w:p>
    <w:p w14:paraId="0000003C"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Por otro lado, en lugar de flexibilizar los requisitos de acceso al subsidio habitacional establecido mediante Decreto Nº 690/06, para poder aplicarlo frente a supuestos de ame</w:t>
      </w:r>
      <w:r>
        <w:rPr>
          <w:rFonts w:ascii="Cambria" w:eastAsia="Cambria" w:hAnsi="Cambria" w:cs="Cambria"/>
          <w:sz w:val="24"/>
          <w:szCs w:val="24"/>
        </w:rPr>
        <w:lastRenderedPageBreak/>
        <w:t xml:space="preserve">nazas de desalojo, o incluso para barrios informales en casos en los que el inquilino no esté pudiendo pagar al propietario que también se encuentra en una condición de vulnerabilidad económica; se viene sosteniendo un criterio restrictivo de acceso al subsidio que exige que las personas se encuentren en situación efectiva de calle para recibirlo. </w:t>
      </w:r>
    </w:p>
    <w:p w14:paraId="0000003D"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lastRenderedPageBreak/>
        <w:tab/>
        <w:t xml:space="preserve">En el año 2012, el Gobierno de la Ciudad modificó los requisitos de ingreso al subsidio, reformando el Decreto Nº 690/06, que refería a personas en situación efectiva de calle o con </w:t>
      </w:r>
      <w:r>
        <w:rPr>
          <w:rFonts w:ascii="Cambria" w:eastAsia="Cambria" w:hAnsi="Cambria" w:cs="Cambria"/>
          <w:i/>
          <w:sz w:val="24"/>
          <w:szCs w:val="24"/>
        </w:rPr>
        <w:t>riesgo inminente</w:t>
      </w:r>
      <w:r>
        <w:rPr>
          <w:rFonts w:ascii="Cambria" w:eastAsia="Cambria" w:hAnsi="Cambria" w:cs="Cambria"/>
          <w:sz w:val="24"/>
          <w:szCs w:val="24"/>
        </w:rPr>
        <w:t xml:space="preserve">, mediante el Decreto Nº 960/08, que disponía que las personas debían estar en situación efectiva de calle para ser beneficiarias del programa. Sin embargo, ese mismo año, el Tribunal Superior de Justicia de la Ciudad </w:t>
      </w:r>
      <w:r>
        <w:rPr>
          <w:rFonts w:ascii="Cambria" w:eastAsia="Cambria" w:hAnsi="Cambria" w:cs="Cambria"/>
          <w:sz w:val="24"/>
          <w:szCs w:val="24"/>
        </w:rPr>
        <w:lastRenderedPageBreak/>
        <w:t>de Buenos Aires en la acción declarativa de inconstitucionalidad “AGT c/ GCBA” determinó en abstracto que esa exigencia era inconstitucional, por lo que debía entenderse como derogado el artículo que modificaba la redacción anterior.</w:t>
      </w:r>
    </w:p>
    <w:p w14:paraId="0000003E"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De cualquier modo, el Gobierno de la Ciudad ha hecho caso omiso de la sentencia dictada por el Tribunal Superior </w:t>
      </w:r>
      <w:r>
        <w:rPr>
          <w:rFonts w:ascii="Cambria" w:eastAsia="Cambria" w:hAnsi="Cambria" w:cs="Cambria"/>
          <w:sz w:val="24"/>
          <w:szCs w:val="24"/>
        </w:rPr>
        <w:lastRenderedPageBreak/>
        <w:t xml:space="preserve">de Justicia, y continúa exigiendo que la persona se encuentre en situación efectiva de calle para ser beneficiaria del programa de atención habitacional referido, que consiste en el otorgamiento de una exigua suma dineraria -entre U$D72 y U$D115 mensuales- que le permitirá a la persona alquilar una habitación en alguno de los hoteles que posee convenio con el Gobierno de la Ciudad de Buenos Aires. Esta exigencia </w:t>
      </w:r>
      <w:r>
        <w:rPr>
          <w:rFonts w:ascii="Cambria" w:eastAsia="Cambria" w:hAnsi="Cambria" w:cs="Cambria"/>
          <w:sz w:val="24"/>
          <w:szCs w:val="24"/>
        </w:rPr>
        <w:lastRenderedPageBreak/>
        <w:t xml:space="preserve">persiste en la actualidad durante la pandemia, haciendo aún más dificultosa la situación de aquellas personas que se encuentran en riesgo de desalojo. </w:t>
      </w:r>
    </w:p>
    <w:p w14:paraId="0000003F" w14:textId="77777777" w:rsidR="0077750B" w:rsidRDefault="0077750B">
      <w:pPr>
        <w:spacing w:line="360" w:lineRule="auto"/>
        <w:jc w:val="both"/>
        <w:rPr>
          <w:rFonts w:ascii="Cambria" w:eastAsia="Cambria" w:hAnsi="Cambria" w:cs="Cambria"/>
          <w:b/>
          <w:sz w:val="24"/>
          <w:szCs w:val="24"/>
        </w:rPr>
      </w:pPr>
    </w:p>
    <w:p w14:paraId="00000040"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lastRenderedPageBreak/>
        <w:t xml:space="preserve">8. Medidas específicas para colectivos particulares: migrantes, adultos/as mayores, personas con discapacidad, personas privadas de su libertad, mujeres, niños/as.  </w:t>
      </w:r>
    </w:p>
    <w:p w14:paraId="00000041" w14:textId="77777777" w:rsidR="0077750B" w:rsidRDefault="00BB50FE">
      <w:pPr>
        <w:spacing w:line="360" w:lineRule="auto"/>
        <w:jc w:val="both"/>
        <w:rPr>
          <w:rFonts w:ascii="Cambria" w:eastAsia="Cambria" w:hAnsi="Cambria" w:cs="Cambria"/>
          <w:sz w:val="24"/>
          <w:szCs w:val="24"/>
        </w:rPr>
      </w:pPr>
      <w:r>
        <w:rPr>
          <w:rFonts w:ascii="Cambria" w:eastAsia="Cambria" w:hAnsi="Cambria" w:cs="Cambria"/>
          <w:sz w:val="24"/>
          <w:szCs w:val="24"/>
        </w:rPr>
        <w:tab/>
        <w:t xml:space="preserve">Más allá de las medidas generales que hemos señalado, no se han tomado medidas específicas para determinados </w:t>
      </w:r>
      <w:r>
        <w:rPr>
          <w:rFonts w:ascii="Cambria" w:eastAsia="Cambria" w:hAnsi="Cambria" w:cs="Cambria"/>
          <w:sz w:val="24"/>
          <w:szCs w:val="24"/>
        </w:rPr>
        <w:lastRenderedPageBreak/>
        <w:t xml:space="preserve">colectivos que se encuentran en particular estado de vulnerabilidad. De hecho, preocupa particularmente la situación de la población migrante, dado que para acceder a cualquier recurso, programa social o ayuda estatal, es condición necesaria ante el Estado Nacional y el Gobierno de la Ciudad de Buenos Aires tener documento nacional de identidad que acredite residencia en el país. Por esa razón, muchas de </w:t>
      </w:r>
      <w:r>
        <w:rPr>
          <w:rFonts w:ascii="Cambria" w:eastAsia="Cambria" w:hAnsi="Cambria" w:cs="Cambria"/>
          <w:sz w:val="24"/>
          <w:szCs w:val="24"/>
        </w:rPr>
        <w:lastRenderedPageBreak/>
        <w:t>las medidas que pretenden tener un alcance general (como el IFE o los subsidios habitacionales) no pueden ser obtenidas por la población migrante que aún no ha podido regularizar su situación migratoria en el país.</w:t>
      </w:r>
    </w:p>
    <w:p w14:paraId="00000042"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En relación a las personas privadas de su libertad, algunos jueces han dispuesto arrestos domiciliarios, excarcela</w:t>
      </w:r>
      <w:r>
        <w:rPr>
          <w:rFonts w:ascii="Cambria" w:eastAsia="Cambria" w:hAnsi="Cambria" w:cs="Cambria"/>
          <w:sz w:val="24"/>
          <w:szCs w:val="24"/>
        </w:rPr>
        <w:lastRenderedPageBreak/>
        <w:t xml:space="preserve">ciones, u otras medidas morigeradoras de la pena orientadas a bajar los niveles de hacinamiento que existen en el sistema penitenciario argentino. Sin embargo, no se ha tomado una decisión de alcance general a través de una norma que </w:t>
      </w:r>
      <w:r>
        <w:rPr>
          <w:rFonts w:ascii="Cambria" w:eastAsia="Cambria" w:hAnsi="Cambria" w:cs="Cambria"/>
          <w:sz w:val="24"/>
          <w:szCs w:val="24"/>
        </w:rPr>
        <w:lastRenderedPageBreak/>
        <w:t>establezca los parámetros para llevar adelante estas decisiones judiciales</w:t>
      </w:r>
      <w:r>
        <w:rPr>
          <w:rFonts w:ascii="Cambria" w:eastAsia="Cambria" w:hAnsi="Cambria" w:cs="Cambria"/>
          <w:sz w:val="24"/>
          <w:szCs w:val="24"/>
          <w:vertAlign w:val="superscript"/>
        </w:rPr>
        <w:footnoteReference w:id="2"/>
      </w:r>
      <w:r>
        <w:rPr>
          <w:rFonts w:ascii="Cambria" w:eastAsia="Cambria" w:hAnsi="Cambria" w:cs="Cambria"/>
          <w:sz w:val="24"/>
          <w:szCs w:val="24"/>
        </w:rPr>
        <w:t xml:space="preserve">. </w:t>
      </w:r>
    </w:p>
    <w:p w14:paraId="00000043" w14:textId="77777777" w:rsidR="0077750B" w:rsidRDefault="00BB50FE">
      <w:pPr>
        <w:spacing w:line="360" w:lineRule="auto"/>
        <w:jc w:val="both"/>
        <w:rPr>
          <w:rFonts w:ascii="Cambria" w:eastAsia="Cambria" w:hAnsi="Cambria" w:cs="Cambria"/>
          <w:b/>
          <w:sz w:val="24"/>
          <w:szCs w:val="24"/>
        </w:rPr>
      </w:pPr>
      <w:r>
        <w:rPr>
          <w:rFonts w:ascii="Cambria" w:eastAsia="Cambria" w:hAnsi="Cambria" w:cs="Cambria"/>
          <w:b/>
          <w:sz w:val="24"/>
          <w:szCs w:val="24"/>
        </w:rPr>
        <w:t>9. Conclusiones.</w:t>
      </w:r>
    </w:p>
    <w:p w14:paraId="00000044"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lastRenderedPageBreak/>
        <w:t xml:space="preserve">La pandemia en la Ciudad de Buenos Aires, con el especial foco que tiene en los barrios informales, ha develado condiciones de desigualdad previas, al mismo tiempo que ha servido para reforzarlas. </w:t>
      </w:r>
    </w:p>
    <w:p w14:paraId="00000045" w14:textId="77777777" w:rsidR="0077750B" w:rsidRDefault="00BB50FE">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Más allá de este escenario y de los desafíos y dificultades que la pandemia ha producido, las “COVID-19 guidance notes” desarrolladas por Leilani Farha nos han sido de gran </w:t>
      </w:r>
      <w:r>
        <w:rPr>
          <w:rFonts w:ascii="Cambria" w:eastAsia="Cambria" w:hAnsi="Cambria" w:cs="Cambria"/>
          <w:sz w:val="24"/>
          <w:szCs w:val="24"/>
        </w:rPr>
        <w:lastRenderedPageBreak/>
        <w:t xml:space="preserve">utilidad para encaminar algunas acciones estratégicas de relevancia que hemos desarrollado durante el aislamiento. De esta manera, compartiendo el diagnóstico de que la falta de acceso a información adecuada en materia sanitaria pero también en materia legal y de acceso a la justicia son un problema emergente de la pandemia, hemos elaborado Guías de </w:t>
      </w:r>
      <w:hyperlink r:id="rId11">
        <w:r>
          <w:rPr>
            <w:rFonts w:ascii="Cambria" w:eastAsia="Cambria" w:hAnsi="Cambria" w:cs="Cambria"/>
            <w:color w:val="1155CC"/>
            <w:sz w:val="24"/>
            <w:szCs w:val="24"/>
            <w:u w:val="single"/>
          </w:rPr>
          <w:t>Información Legal</w:t>
        </w:r>
      </w:hyperlink>
      <w:r>
        <w:rPr>
          <w:rFonts w:ascii="Cambria" w:eastAsia="Cambria" w:hAnsi="Cambria" w:cs="Cambria"/>
          <w:sz w:val="24"/>
          <w:szCs w:val="24"/>
        </w:rPr>
        <w:t xml:space="preserve"> para personas residentes en barrios </w:t>
      </w:r>
      <w:r>
        <w:rPr>
          <w:rFonts w:ascii="Cambria" w:eastAsia="Cambria" w:hAnsi="Cambria" w:cs="Cambria"/>
          <w:sz w:val="24"/>
          <w:szCs w:val="24"/>
        </w:rPr>
        <w:lastRenderedPageBreak/>
        <w:t xml:space="preserve">informales. A su vez, nos encontramos en la actualidad desarrollando un ciclo de formación virtual de cuatro encuentros durante el mes de junio, en conjunto con la Fundación Huésped (una organización especializada en temas de salud pública y derecho a la salud) y TECHO, para referentes de barrios populares que tienen como ejes: salud y prevención, acceso a servicios públicos, la importancia de la </w:t>
      </w:r>
      <w:r>
        <w:rPr>
          <w:rFonts w:ascii="Cambria" w:eastAsia="Cambria" w:hAnsi="Cambria" w:cs="Cambria"/>
          <w:sz w:val="24"/>
          <w:szCs w:val="24"/>
        </w:rPr>
        <w:lastRenderedPageBreak/>
        <w:t xml:space="preserve">organización comunitaria y el empoderamiento jurídico a través de la información legal. </w:t>
      </w:r>
    </w:p>
    <w:p w14:paraId="00000046" w14:textId="77777777" w:rsidR="0077750B" w:rsidRDefault="0077750B">
      <w:pPr>
        <w:spacing w:line="360" w:lineRule="auto"/>
        <w:ind w:firstLine="720"/>
        <w:jc w:val="both"/>
        <w:rPr>
          <w:rFonts w:ascii="Cambria" w:eastAsia="Cambria" w:hAnsi="Cambria" w:cs="Cambria"/>
          <w:sz w:val="24"/>
          <w:szCs w:val="24"/>
        </w:rPr>
      </w:pPr>
    </w:p>
    <w:p w14:paraId="00000047" w14:textId="77777777" w:rsidR="0077750B" w:rsidRDefault="0077750B">
      <w:pPr>
        <w:spacing w:line="360" w:lineRule="auto"/>
        <w:ind w:firstLine="720"/>
        <w:jc w:val="both"/>
        <w:rPr>
          <w:rFonts w:ascii="Cambria" w:eastAsia="Cambria" w:hAnsi="Cambria" w:cs="Cambria"/>
          <w:sz w:val="24"/>
          <w:szCs w:val="24"/>
        </w:rPr>
      </w:pPr>
    </w:p>
    <w:p w14:paraId="00000048" w14:textId="77777777" w:rsidR="0077750B" w:rsidRDefault="0077750B">
      <w:pPr>
        <w:spacing w:line="360" w:lineRule="auto"/>
        <w:ind w:firstLine="720"/>
        <w:jc w:val="both"/>
        <w:rPr>
          <w:rFonts w:ascii="Cambria" w:eastAsia="Cambria" w:hAnsi="Cambria" w:cs="Cambria"/>
          <w:sz w:val="24"/>
          <w:szCs w:val="24"/>
        </w:rPr>
      </w:pPr>
    </w:p>
    <w:p w14:paraId="00000049" w14:textId="77777777" w:rsidR="0077750B" w:rsidRDefault="0077750B">
      <w:pPr>
        <w:spacing w:line="360" w:lineRule="auto"/>
        <w:ind w:firstLine="720"/>
        <w:jc w:val="both"/>
        <w:rPr>
          <w:rFonts w:ascii="Cambria" w:eastAsia="Cambria" w:hAnsi="Cambria" w:cs="Cambria"/>
          <w:sz w:val="24"/>
          <w:szCs w:val="24"/>
        </w:rPr>
      </w:pPr>
    </w:p>
    <w:sectPr w:rsidR="0077750B" w:rsidSect="00EF7183">
      <w:headerReference w:type="default" r:id="rId12"/>
      <w:footerReference w:type="default" r:id="rId13"/>
      <w:pgSz w:w="11909" w:h="16834"/>
      <w:pgMar w:top="1440" w:right="1440" w:bottom="1440" w:left="1440"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A5D7" w14:textId="77777777" w:rsidR="00007753" w:rsidRDefault="00007753">
      <w:pPr>
        <w:spacing w:line="240" w:lineRule="auto"/>
      </w:pPr>
      <w:r>
        <w:separator/>
      </w:r>
    </w:p>
  </w:endnote>
  <w:endnote w:type="continuationSeparator" w:id="0">
    <w:p w14:paraId="39B9D4D1" w14:textId="77777777" w:rsidR="00007753" w:rsidRDefault="00007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94C8" w14:textId="571DD99D" w:rsidR="008831EB" w:rsidRDefault="008831EB">
    <w:pPr>
      <w:pStyle w:val="Footer"/>
    </w:pPr>
    <w:r>
      <w:rPr>
        <w:noProof/>
        <w:bdr w:val="none" w:sz="0" w:space="0" w:color="auto" w:frame="1"/>
        <w:lang w:val="en-GB" w:eastAsia="en-GB"/>
      </w:rPr>
      <w:drawing>
        <wp:inline distT="0" distB="0" distL="0" distR="0" wp14:anchorId="150C0811" wp14:editId="40DB8BBA">
          <wp:extent cx="5733415" cy="425647"/>
          <wp:effectExtent l="0" t="0" r="635" b="0"/>
          <wp:docPr id="31" name="Imagen 31" descr="https://lh6.googleusercontent.com/dHNMAxd1ZNTXv8Vd-bb4LagKahL6WkJ2caqzgTFHAuHeCYtCpnRLpagPR987qiZ8ZUCmLVUzBmbHWucQpv1DOS8-yieTTx21tylsYHNFMKn5JPcjLDCyLoXEjL2upgtukVK1iD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dHNMAxd1ZNTXv8Vd-bb4LagKahL6WkJ2caqzgTFHAuHeCYtCpnRLpagPR987qiZ8ZUCmLVUzBmbHWucQpv1DOS8-yieTTx21tylsYHNFMKn5JPcjLDCyLoXEjL2upgtukVK1iDX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425647"/>
                  </a:xfrm>
                  <a:prstGeom prst="rect">
                    <a:avLst/>
                  </a:prstGeom>
                  <a:noFill/>
                  <a:ln>
                    <a:noFill/>
                  </a:ln>
                </pic:spPr>
              </pic:pic>
            </a:graphicData>
          </a:graphic>
        </wp:inline>
      </w:drawing>
    </w:r>
  </w:p>
  <w:p w14:paraId="04C60F79" w14:textId="77777777" w:rsidR="008831EB" w:rsidRDefault="00883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96959" w14:textId="77777777" w:rsidR="00007753" w:rsidRDefault="00007753">
      <w:pPr>
        <w:spacing w:line="240" w:lineRule="auto"/>
      </w:pPr>
      <w:r>
        <w:separator/>
      </w:r>
    </w:p>
  </w:footnote>
  <w:footnote w:type="continuationSeparator" w:id="0">
    <w:p w14:paraId="7B01A812" w14:textId="77777777" w:rsidR="00007753" w:rsidRDefault="00007753">
      <w:pPr>
        <w:spacing w:line="240" w:lineRule="auto"/>
      </w:pPr>
      <w:r>
        <w:continuationSeparator/>
      </w:r>
    </w:p>
  </w:footnote>
  <w:footnote w:id="1">
    <w:p w14:paraId="0000004A" w14:textId="77777777" w:rsidR="0077750B" w:rsidRDefault="00BB50FE">
      <w:pPr>
        <w:spacing w:line="240" w:lineRule="auto"/>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Es muy factible que el monto que se paga en concepto de servicios públicos sea mayor al que se venía pagando con anterioridad al aislamiento, dado que las tarifas por servicios establecen un cargo fijo y un cargo variable vinculado al consumo, que es probable que crezca en estos momentos. Lo que la ley impide es que el valor de los cargos fijos y variables crezca. </w:t>
      </w:r>
    </w:p>
  </w:footnote>
  <w:footnote w:id="2">
    <w:p w14:paraId="0000004B" w14:textId="77777777" w:rsidR="0077750B" w:rsidRDefault="00BB50FE">
      <w:pPr>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De hecho, han sido muy fuertes las resistencias por parte de ciertos sectores de la opinión pública en relación a las excarcelaciones y los arrestos domiciliarios.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844E" w14:textId="35CC0068" w:rsidR="008831EB" w:rsidRDefault="008831EB" w:rsidP="008831EB">
    <w:pPr>
      <w:pStyle w:val="Header"/>
      <w:jc w:val="center"/>
    </w:pPr>
    <w:r>
      <w:rPr>
        <w:noProof/>
        <w:bdr w:val="none" w:sz="0" w:space="0" w:color="auto" w:frame="1"/>
        <w:lang w:val="en-GB" w:eastAsia="en-GB"/>
      </w:rPr>
      <w:drawing>
        <wp:inline distT="0" distB="0" distL="0" distR="0" wp14:anchorId="6086F5BB" wp14:editId="6D3E5B41">
          <wp:extent cx="2190750" cy="857250"/>
          <wp:effectExtent l="0" t="0" r="0" b="0"/>
          <wp:docPr id="30" name="Imagen 30" descr="https://lh6.googleusercontent.com/W3E2uaCIiV9ZdDMw0f1t8ifa5yLFTmLIJS3GfKtabV7gxXTQ-xfjQC2ffdoG4tjvsiG9L4xxp-G9039y7rrGGf1-KyATJ51duUP7VWWHH1vG661XOX5mPZEniZwPIUAY1Rsnf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W3E2uaCIiV9ZdDMw0f1t8ifa5yLFTmLIJS3GfKtabV7gxXTQ-xfjQC2ffdoG4tjvsiG9L4xxp-G9039y7rrGGf1-KyATJ51duUP7VWWHH1vG661XOX5mPZEniZwPIUAY1RsnfFpa"/>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1" b="8717"/>
                  <a:stretch/>
                </pic:blipFill>
                <pic:spPr bwMode="auto">
                  <a:xfrm>
                    <a:off x="0" y="0"/>
                    <a:ext cx="2190750" cy="857250"/>
                  </a:xfrm>
                  <a:prstGeom prst="rect">
                    <a:avLst/>
                  </a:prstGeom>
                  <a:noFill/>
                  <a:ln>
                    <a:noFill/>
                  </a:ln>
                  <a:extLst>
                    <a:ext uri="{53640926-AAD7-44D8-BBD7-CCE9431645EC}">
                      <a14:shadowObscured xmlns:a14="http://schemas.microsoft.com/office/drawing/2010/main"/>
                    </a:ext>
                  </a:extLst>
                </pic:spPr>
              </pic:pic>
            </a:graphicData>
          </a:graphic>
        </wp:inline>
      </w:drawing>
    </w:r>
  </w:p>
  <w:p w14:paraId="30222B18" w14:textId="77777777" w:rsidR="008831EB" w:rsidRDefault="008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0B"/>
    <w:rsid w:val="00007753"/>
    <w:rsid w:val="006D6200"/>
    <w:rsid w:val="0077750B"/>
    <w:rsid w:val="008831EB"/>
    <w:rsid w:val="00BB50FE"/>
    <w:rsid w:val="00EF71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BE41C"/>
  <w15:docId w15:val="{112925B7-E177-41F4-9C69-09E6ACD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831EB"/>
    <w:pPr>
      <w:tabs>
        <w:tab w:val="center" w:pos="4252"/>
        <w:tab w:val="right" w:pos="8504"/>
      </w:tabs>
      <w:spacing w:line="240" w:lineRule="auto"/>
    </w:pPr>
  </w:style>
  <w:style w:type="character" w:customStyle="1" w:styleId="HeaderChar">
    <w:name w:val="Header Char"/>
    <w:basedOn w:val="DefaultParagraphFont"/>
    <w:link w:val="Header"/>
    <w:uiPriority w:val="99"/>
    <w:rsid w:val="008831EB"/>
  </w:style>
  <w:style w:type="paragraph" w:styleId="Footer">
    <w:name w:val="footer"/>
    <w:basedOn w:val="Normal"/>
    <w:link w:val="FooterChar"/>
    <w:uiPriority w:val="99"/>
    <w:unhideWhenUsed/>
    <w:rsid w:val="008831EB"/>
    <w:pPr>
      <w:tabs>
        <w:tab w:val="center" w:pos="4252"/>
        <w:tab w:val="right" w:pos="8504"/>
      </w:tabs>
      <w:spacing w:line="240" w:lineRule="auto"/>
    </w:pPr>
  </w:style>
  <w:style w:type="character" w:customStyle="1" w:styleId="FooterChar">
    <w:name w:val="Footer Char"/>
    <w:basedOn w:val="DefaultParagraphFont"/>
    <w:link w:val="Footer"/>
    <w:uiPriority w:val="99"/>
    <w:rsid w:val="008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ij.org.ar/acij-demando-al-gcba-para-que-provea-internet-en-las-villas-y-entregue-computadoras-en-prestamo-a-estudiantes-durante-la-cuarenten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covid-19.caminosdelavilla.org/datos-y-visualizacione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acij.org.ar/propuestas-urgentes-de-medidas-para-combatir-el-covid-desde-una-mirada-integral-del-habitat/" TargetMode="External"/><Relationship Id="rId11" Type="http://schemas.openxmlformats.org/officeDocument/2006/relationships/hyperlink" Target="https://acij.org.ar/coronavirus-informacion-legal-sobre-barrios-popular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uenosaires.gob.ar/justiciayseguridad/emergencias/noticias/se-lanzo-el-operativo-frio-con-la-participacion-de-la" TargetMode="External"/><Relationship Id="rId4" Type="http://schemas.openxmlformats.org/officeDocument/2006/relationships/footnotes" Target="footnotes.xml"/><Relationship Id="rId9" Type="http://schemas.openxmlformats.org/officeDocument/2006/relationships/hyperlink" Target="https://acij.org.ar/wp-content/uploads/2020/05/Recomendaciones-para-un-protocolo-de-actuaci%C3%B3n-frente-al-COVID-en-villas-y-asentamientos_prelimina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B91347-5BDB-463F-B8C8-B469904A8CCA}"/>
</file>

<file path=customXml/itemProps2.xml><?xml version="1.0" encoding="utf-8"?>
<ds:datastoreItem xmlns:ds="http://schemas.openxmlformats.org/officeDocument/2006/customXml" ds:itemID="{2223D9C7-FAD0-46DB-B7DE-7AD789CE186C}"/>
</file>

<file path=customXml/itemProps3.xml><?xml version="1.0" encoding="utf-8"?>
<ds:datastoreItem xmlns:ds="http://schemas.openxmlformats.org/officeDocument/2006/customXml" ds:itemID="{9665C044-948C-4AA6-BE65-2347138480C2}"/>
</file>

<file path=docProps/app.xml><?xml version="1.0" encoding="utf-8"?>
<Properties xmlns="http://schemas.openxmlformats.org/officeDocument/2006/extended-properties" xmlns:vt="http://schemas.openxmlformats.org/officeDocument/2006/docPropsVTypes">
  <Template>Normal.dotm</Template>
  <TotalTime>0</TotalTime>
  <Pages>13</Pages>
  <Words>4292</Words>
  <Characters>24466</Characters>
  <Application>Microsoft Office Word</Application>
  <DocSecurity>4</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Rosario</dc:creator>
  <cp:lastModifiedBy>THEISSEN Gunnar</cp:lastModifiedBy>
  <cp:revision>2</cp:revision>
  <dcterms:created xsi:type="dcterms:W3CDTF">2020-06-26T06:35:00Z</dcterms:created>
  <dcterms:modified xsi:type="dcterms:W3CDTF">2020-06-26T06:35:00Z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