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66C8" w14:textId="4D716711" w:rsidR="00722877" w:rsidRDefault="00722877" w:rsidP="00D04A98">
      <w:pPr>
        <w:pStyle w:val="Default"/>
        <w:spacing w:after="150"/>
        <w:rPr>
          <w:rFonts w:ascii="NeueHaasGroteskDisp Pro Md" w:hAnsi="NeueHaasGroteskDisp Pro Md"/>
          <w:b/>
          <w:bCs/>
          <w:color w:val="00AFD7"/>
          <w:sz w:val="28"/>
          <w:szCs w:val="28"/>
        </w:rPr>
      </w:pPr>
      <w:r>
        <w:rPr>
          <w:rFonts w:ascii="NeueHaasGroteskDisp Pro Md" w:hAnsi="NeueHaasGroteskDisp Pro Md"/>
          <w:b/>
          <w:bCs/>
          <w:color w:val="00AFD7"/>
          <w:sz w:val="28"/>
          <w:szCs w:val="28"/>
        </w:rPr>
        <w:t xml:space="preserve">HABITAT FOR HUMANITY </w:t>
      </w:r>
      <w:r w:rsidR="006D2852">
        <w:rPr>
          <w:rFonts w:ascii="NeueHaasGroteskDisp Pro Md" w:hAnsi="NeueHaasGroteskDisp Pro Md"/>
          <w:b/>
          <w:bCs/>
          <w:color w:val="00AFD7"/>
          <w:sz w:val="28"/>
          <w:szCs w:val="28"/>
        </w:rPr>
        <w:t>PHILIPPINES</w:t>
      </w:r>
      <w:r>
        <w:rPr>
          <w:rFonts w:ascii="NeueHaasGroteskDisp Pro Md" w:hAnsi="NeueHaasGroteskDisp Pro Md"/>
          <w:b/>
          <w:bCs/>
          <w:color w:val="00AFD7"/>
          <w:sz w:val="28"/>
          <w:szCs w:val="28"/>
        </w:rPr>
        <w:t xml:space="preserve"> </w:t>
      </w:r>
    </w:p>
    <w:p w14:paraId="69586270" w14:textId="17CEDD89" w:rsidR="00A914E3" w:rsidRPr="005A0D32" w:rsidRDefault="00D35F60" w:rsidP="005A0D32">
      <w:pPr>
        <w:pStyle w:val="ListParagraph"/>
        <w:spacing w:after="120"/>
        <w:ind w:left="0"/>
        <w:contextualSpacing/>
        <w:rPr>
          <w:rFonts w:ascii="Palatino Linotype" w:hAnsi="Palatino Linotype" w:cs="Times New Roman"/>
          <w:b/>
          <w:bCs/>
        </w:rPr>
      </w:pPr>
      <w:r w:rsidRPr="005A0D32">
        <w:rPr>
          <w:rFonts w:ascii="Palatino Linotype" w:hAnsi="Palatino Linotype"/>
          <w:b/>
          <w:bCs/>
        </w:rPr>
        <w:t>1. P</w:t>
      </w:r>
      <w:r w:rsidR="00A914E3" w:rsidRPr="005A0D32">
        <w:rPr>
          <w:rFonts w:ascii="Palatino Linotype" w:hAnsi="Palatino Linotype"/>
          <w:b/>
          <w:bCs/>
        </w:rPr>
        <w:t>lease elaborate on measures taken by national, federal, provincial or local governments to ensure persons are protected from the virus at their home or place of living:</w:t>
      </w:r>
    </w:p>
    <w:p w14:paraId="7EC55759" w14:textId="32F2D51E" w:rsidR="00A914E3" w:rsidRPr="005A0D32" w:rsidRDefault="00A914E3" w:rsidP="005A0D32">
      <w:pPr>
        <w:pStyle w:val="ListParagraph"/>
        <w:numPr>
          <w:ilvl w:val="0"/>
          <w:numId w:val="7"/>
        </w:numPr>
        <w:spacing w:after="120"/>
        <w:ind w:left="360" w:firstLine="0"/>
        <w:contextualSpacing/>
        <w:rPr>
          <w:rFonts w:ascii="Palatino Linotype" w:hAnsi="Palatino Linotype"/>
          <w:b/>
          <w:bCs/>
        </w:rPr>
      </w:pPr>
      <w:r w:rsidRPr="005A0D32">
        <w:rPr>
          <w:rFonts w:ascii="Palatino Linotype" w:hAnsi="Palatino Linotype"/>
          <w:b/>
          <w:bCs/>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38016117" w14:textId="77777777" w:rsidR="005A0D32" w:rsidRPr="005A0D32" w:rsidRDefault="005A0D32" w:rsidP="005A0D32">
      <w:pPr>
        <w:spacing w:after="120"/>
        <w:rPr>
          <w:rFonts w:ascii="Palatino Linotype" w:hAnsi="Palatino Linotype"/>
        </w:rPr>
      </w:pPr>
      <w:r w:rsidRPr="005A0D32">
        <w:rPr>
          <w:rFonts w:ascii="Palatino Linotype" w:hAnsi="Palatino Linotype"/>
        </w:rPr>
        <w:t xml:space="preserve">Yes, Republic Act No. 11469, otherwise known as </w:t>
      </w:r>
      <w:proofErr w:type="spellStart"/>
      <w:r w:rsidRPr="005A0D32">
        <w:rPr>
          <w:rFonts w:ascii="Palatino Linotype" w:hAnsi="Palatino Linotype"/>
        </w:rPr>
        <w:t>Bayanihan</w:t>
      </w:r>
      <w:proofErr w:type="spellEnd"/>
      <w:r w:rsidRPr="005A0D32">
        <w:rPr>
          <w:rFonts w:ascii="Palatino Linotype" w:hAnsi="Palatino Linotype"/>
        </w:rPr>
        <w:t xml:space="preserve"> to Heal as One Act. It outlines the emergency powers granted to the President effective from 24 March 2020 for three (3) months unless extended by Congress.</w:t>
      </w:r>
    </w:p>
    <w:p w14:paraId="27F689DF" w14:textId="77777777" w:rsidR="005A0D32" w:rsidRPr="005A0D32" w:rsidRDefault="005A0D32" w:rsidP="005A0D32">
      <w:pPr>
        <w:spacing w:after="120"/>
        <w:rPr>
          <w:rFonts w:ascii="Palatino Linotype" w:hAnsi="Palatino Linotype"/>
        </w:rPr>
      </w:pPr>
      <w:r w:rsidRPr="005A0D32">
        <w:rPr>
          <w:rFonts w:ascii="Palatino Linotype" w:hAnsi="Palatino Linotype"/>
        </w:rPr>
        <w:t>There are two provisions applicable to housing and encompassing across all economic sectors. Section 4.aa “implements a minimum of a thirty (30)-day grace period for payment of all loans, including but not limited to salary, personal, housing, and motor vehicle loans, as well as credit card payments, falling due within the period of the enhanced Community Quarantine without interests, penalties, fees, or charges.” This has been further reiterated in the Implementing Rules and Regulations of Section 4(aa) of RA 11469.</w:t>
      </w:r>
    </w:p>
    <w:p w14:paraId="3813F3AC" w14:textId="77777777" w:rsidR="005A0D32" w:rsidRPr="005A0D32" w:rsidRDefault="005A0D32" w:rsidP="005A0D32">
      <w:pPr>
        <w:spacing w:after="120"/>
        <w:rPr>
          <w:rFonts w:ascii="Palatino Linotype" w:hAnsi="Palatino Linotype"/>
        </w:rPr>
      </w:pPr>
      <w:r w:rsidRPr="005A0D32">
        <w:rPr>
          <w:rFonts w:ascii="Palatino Linotype" w:hAnsi="Palatino Linotype"/>
        </w:rPr>
        <w:t>Likewise, Section 4.bb provides for “a minimum of thirty (30)-day grace period on residential rents falling due within the period of the enhanced community quarantine, without incurring interests, penalties, fees, and other charges.”</w:t>
      </w:r>
    </w:p>
    <w:p w14:paraId="7077E825" w14:textId="77777777" w:rsidR="005A0D32" w:rsidRPr="005A0D32" w:rsidRDefault="005A0D32" w:rsidP="005A0D32">
      <w:pPr>
        <w:spacing w:after="120"/>
        <w:rPr>
          <w:rFonts w:ascii="Palatino Linotype" w:hAnsi="Palatino Linotype"/>
        </w:rPr>
      </w:pPr>
      <w:r w:rsidRPr="005A0D32">
        <w:rPr>
          <w:rFonts w:ascii="Palatino Linotype" w:hAnsi="Palatino Linotype"/>
        </w:rPr>
        <w:t xml:space="preserve">Whereas, the Department of Trade Industry released the guidelines on residential and commercial rents, MC No. 20-12, for non-enforcement of evictions. Section 7 provides that no eviction may be enforced due to failure to pay the residential or commercial rent within the thirty (30)-day period after lifting of ECQ/MECQ/GCQ.  </w:t>
      </w:r>
    </w:p>
    <w:p w14:paraId="1CB500EB" w14:textId="7034AB6D" w:rsidR="005A0D32" w:rsidRPr="005A0D32" w:rsidRDefault="005A0D32" w:rsidP="005A0D32">
      <w:pPr>
        <w:spacing w:after="120"/>
        <w:rPr>
          <w:rFonts w:ascii="Palatino Linotype" w:hAnsi="Palatino Linotype"/>
        </w:rPr>
      </w:pPr>
      <w:r w:rsidRPr="005A0D32">
        <w:rPr>
          <w:rFonts w:ascii="Palatino Linotype" w:hAnsi="Palatino Linotype"/>
        </w:rPr>
        <w:t>Furthermore, the Department of Interior and Local Government (DILG</w:t>
      </w:r>
      <w:proofErr w:type="gramStart"/>
      <w:r w:rsidRPr="005A0D32">
        <w:rPr>
          <w:rFonts w:ascii="Palatino Linotype" w:hAnsi="Palatino Linotype"/>
        </w:rPr>
        <w:t>) ,</w:t>
      </w:r>
      <w:proofErr w:type="gramEnd"/>
      <w:r w:rsidRPr="005A0D32">
        <w:rPr>
          <w:rFonts w:ascii="Palatino Linotype" w:hAnsi="Palatino Linotype"/>
        </w:rPr>
        <w:t xml:space="preserve"> through its mandate of general supervision over Local Government Units has issued a Memorandum Circular (MC) 2020-068 to respon</w:t>
      </w:r>
      <w:bookmarkStart w:id="0" w:name="_GoBack"/>
      <w:bookmarkEnd w:id="0"/>
      <w:r w:rsidRPr="005A0D32">
        <w:rPr>
          <w:rFonts w:ascii="Palatino Linotype" w:hAnsi="Palatino Linotype"/>
        </w:rPr>
        <w:t>d to and address the impact of COVID</w:t>
      </w:r>
      <w:r>
        <w:rPr>
          <w:rFonts w:ascii="Palatino Linotype" w:hAnsi="Palatino Linotype"/>
        </w:rPr>
        <w:t>-19</w:t>
      </w:r>
      <w:r>
        <w:rPr>
          <w:rFonts w:ascii="Palatino Linotype" w:hAnsi="Palatino Linotype"/>
        </w:rPr>
        <w:t xml:space="preserve"> </w:t>
      </w:r>
      <w:r w:rsidRPr="005A0D32">
        <w:rPr>
          <w:rFonts w:ascii="Palatino Linotype" w:hAnsi="Palatino Linotype"/>
        </w:rPr>
        <w:t>on affected areas and vulnerable communities, including informal settler families (ISFs). The MC directed all LGUs to postpone all demolition and eviction activities during the community quarantine and ensure that all homeless families/individuals within their jurisdiction are properly accommodated.</w:t>
      </w:r>
    </w:p>
    <w:p w14:paraId="28E6C115" w14:textId="77777777" w:rsidR="00002C26" w:rsidRPr="005A0D32" w:rsidRDefault="00002C26" w:rsidP="005A0D32">
      <w:pPr>
        <w:pStyle w:val="ListParagraph"/>
        <w:spacing w:after="120"/>
        <w:ind w:left="360"/>
        <w:contextualSpacing/>
        <w:rPr>
          <w:rFonts w:ascii="Palatino Linotype" w:hAnsi="Palatino Linotype"/>
          <w:b/>
          <w:bCs/>
        </w:rPr>
      </w:pPr>
    </w:p>
    <w:p w14:paraId="7E91D2B9" w14:textId="6E4EC4F5" w:rsidR="00A914E3" w:rsidRPr="005A0D32" w:rsidRDefault="00A914E3" w:rsidP="005A0D32">
      <w:pPr>
        <w:pStyle w:val="ListParagraph"/>
        <w:numPr>
          <w:ilvl w:val="0"/>
          <w:numId w:val="7"/>
        </w:numPr>
        <w:spacing w:after="120"/>
        <w:ind w:left="360" w:firstLine="0"/>
        <w:contextualSpacing/>
        <w:rPr>
          <w:rFonts w:ascii="Palatino Linotype" w:hAnsi="Palatino Linotype"/>
          <w:b/>
          <w:bCs/>
        </w:rPr>
      </w:pPr>
      <w:r w:rsidRPr="005A0D32">
        <w:rPr>
          <w:rFonts w:ascii="Palatino Linotype" w:hAnsi="Palatino Linotype"/>
          <w:b/>
          <w:bCs/>
        </w:rPr>
        <w:t xml:space="preserve">If no general prohibition on evictions was declared, please indicate how many evictions have taken place, the number of people affected, and the specific details of time, location and reasons. </w:t>
      </w:r>
    </w:p>
    <w:p w14:paraId="5EE6EE47" w14:textId="77777777" w:rsidR="009947F0" w:rsidRPr="005A0D32" w:rsidRDefault="009947F0" w:rsidP="005A0D32">
      <w:pPr>
        <w:pStyle w:val="ListParagraph"/>
        <w:spacing w:after="120"/>
        <w:ind w:left="450"/>
        <w:contextualSpacing/>
        <w:rPr>
          <w:rFonts w:ascii="Palatino Linotype" w:hAnsi="Palatino Linotype"/>
          <w:b/>
          <w:bCs/>
        </w:rPr>
      </w:pPr>
    </w:p>
    <w:p w14:paraId="25B96E43" w14:textId="77777777" w:rsidR="00ED38E4" w:rsidRPr="005A0D32" w:rsidRDefault="00A914E3" w:rsidP="005A0D32">
      <w:pPr>
        <w:pStyle w:val="ListParagraph"/>
        <w:numPr>
          <w:ilvl w:val="0"/>
          <w:numId w:val="7"/>
        </w:numPr>
        <w:spacing w:after="120"/>
        <w:ind w:left="450" w:firstLine="0"/>
        <w:contextualSpacing/>
        <w:rPr>
          <w:rFonts w:ascii="Palatino Linotype" w:hAnsi="Palatino Linotype" w:cs="Times New Roman"/>
          <w:b/>
          <w:bCs/>
        </w:rPr>
      </w:pPr>
      <w:r w:rsidRPr="005A0D32">
        <w:rPr>
          <w:rFonts w:ascii="Palatino Linotype" w:hAnsi="Palatino Linotype"/>
          <w:b/>
          <w:bCs/>
        </w:rPr>
        <w:t>Have any measures been taken to ensure that households are not cut-off from water, heat or other utility provision when they are unable to pay their bills?</w:t>
      </w:r>
    </w:p>
    <w:p w14:paraId="55C7B89C" w14:textId="77777777" w:rsidR="00ED38E4" w:rsidRPr="005A0D32" w:rsidRDefault="00ED38E4" w:rsidP="005A0D32">
      <w:pPr>
        <w:pStyle w:val="ListParagraph"/>
        <w:rPr>
          <w:rFonts w:ascii="Palatino Linotype" w:hAnsi="Palatino Linotype"/>
        </w:rPr>
      </w:pPr>
    </w:p>
    <w:p w14:paraId="3A3D1DD5" w14:textId="77777777" w:rsidR="005A0D32" w:rsidRPr="005A0D32" w:rsidRDefault="005A0D32" w:rsidP="005A0D32">
      <w:pPr>
        <w:spacing w:after="120"/>
        <w:rPr>
          <w:rFonts w:ascii="Palatino Linotype" w:hAnsi="Palatino Linotype"/>
        </w:rPr>
      </w:pPr>
      <w:r w:rsidRPr="005A0D32">
        <w:rPr>
          <w:rFonts w:ascii="Palatino Linotype" w:hAnsi="Palatino Linotype"/>
        </w:rPr>
        <w:t>Another authorized power of the President granted by RA 11469 was to “conserve and regulate the distribution and use of power, fuel, energy and water, and ensure adequate supply of the same.”</w:t>
      </w:r>
    </w:p>
    <w:p w14:paraId="55AE43F4" w14:textId="77777777" w:rsidR="005A0D32" w:rsidRPr="005A0D32" w:rsidRDefault="005A0D32" w:rsidP="005A0D32">
      <w:pPr>
        <w:spacing w:after="120"/>
        <w:rPr>
          <w:rFonts w:ascii="Palatino Linotype" w:hAnsi="Palatino Linotype"/>
        </w:rPr>
      </w:pPr>
      <w:r w:rsidRPr="005A0D32">
        <w:rPr>
          <w:rFonts w:ascii="Palatino Linotype" w:hAnsi="Palatino Linotype"/>
        </w:rPr>
        <w:t xml:space="preserve">Utility regulatory offices has urged privately-owned utility companies to ensure the supply of electricity and water during pandemic. </w:t>
      </w:r>
    </w:p>
    <w:p w14:paraId="1971BDBC" w14:textId="77777777" w:rsidR="005A0D32" w:rsidRPr="005A0D32" w:rsidRDefault="005A0D32" w:rsidP="005A0D32">
      <w:pPr>
        <w:spacing w:after="120"/>
        <w:rPr>
          <w:rFonts w:ascii="Palatino Linotype" w:hAnsi="Palatino Linotype"/>
        </w:rPr>
      </w:pPr>
      <w:r w:rsidRPr="005A0D32">
        <w:rPr>
          <w:rFonts w:ascii="Palatino Linotype" w:hAnsi="Palatino Linotype"/>
        </w:rPr>
        <w:t xml:space="preserve">The government also ordered the moratorium on the payment of electric, water, telephone and other bills in areas under enhanced community quarantine.   </w:t>
      </w:r>
    </w:p>
    <w:p w14:paraId="51047099" w14:textId="49C5423B" w:rsidR="00D35F60" w:rsidRPr="005A0D32" w:rsidRDefault="005A0D32" w:rsidP="005A0D32">
      <w:pPr>
        <w:spacing w:after="120"/>
        <w:rPr>
          <w:rFonts w:ascii="Palatino Linotype" w:hAnsi="Palatino Linotype"/>
        </w:rPr>
      </w:pPr>
      <w:r w:rsidRPr="005A0D32">
        <w:rPr>
          <w:rFonts w:ascii="Palatino Linotype" w:hAnsi="Palatino Linotype"/>
        </w:rPr>
        <w:t>For water, Metropolitan Waterworks and Sewerage System (MWSS) said that water concessionaires in Metro Manila will resume meter reading in June 2020 and will be allowed to serve disconnection notices by August and September 2020.</w:t>
      </w:r>
      <w:r>
        <w:rPr>
          <w:rFonts w:ascii="Palatino Linotype" w:hAnsi="Palatino Linotype"/>
        </w:rPr>
        <w:br/>
      </w:r>
    </w:p>
    <w:p w14:paraId="64FE12D1" w14:textId="0A8A93A1" w:rsidR="00A914E3" w:rsidRPr="005A0D32" w:rsidRDefault="00D35F60" w:rsidP="005A0D32">
      <w:pPr>
        <w:spacing w:after="120"/>
        <w:rPr>
          <w:rFonts w:ascii="Palatino Linotype" w:hAnsi="Palatino Linotype"/>
        </w:rPr>
      </w:pPr>
      <w:r w:rsidRPr="005A0D32">
        <w:rPr>
          <w:rFonts w:ascii="Palatino Linotype" w:hAnsi="Palatino Linotype"/>
          <w:b/>
          <w:bCs/>
        </w:rPr>
        <w:t>2. P</w:t>
      </w:r>
      <w:r w:rsidR="00A914E3" w:rsidRPr="005A0D32">
        <w:rPr>
          <w:rFonts w:ascii="Palatino Linotype" w:hAnsi="Palatino Linotype"/>
          <w:b/>
          <w:bCs/>
        </w:rPr>
        <w:t>lease provide any information about other legal or financial measures aimed to ensure that households do not lose their home if they cannot pay their rent or mortgage payments?  Have any other tenant protection measures been adopted in response to the pandemic?</w:t>
      </w:r>
    </w:p>
    <w:p w14:paraId="686FD956" w14:textId="77777777" w:rsidR="005A0D32" w:rsidRPr="005A0D32" w:rsidRDefault="005A0D32" w:rsidP="005A0D32">
      <w:pPr>
        <w:spacing w:after="120"/>
        <w:rPr>
          <w:rFonts w:ascii="Palatino Linotype" w:hAnsi="Palatino Linotype"/>
        </w:rPr>
      </w:pPr>
      <w:r w:rsidRPr="005A0D32">
        <w:rPr>
          <w:rFonts w:ascii="Palatino Linotype" w:hAnsi="Palatino Linotype"/>
        </w:rPr>
        <w:t xml:space="preserve">The Department of Trade and Industry issues Memorandum Circulars (MC No. 20-12, 20-29, 20-30) to provide guidelines on the powers laid out in by RA 11469. </w:t>
      </w:r>
    </w:p>
    <w:p w14:paraId="0F1EC382" w14:textId="77777777" w:rsidR="00002C26" w:rsidRPr="005A0D32" w:rsidRDefault="00002C26" w:rsidP="005A0D32">
      <w:pPr>
        <w:pStyle w:val="ListParagraph"/>
        <w:spacing w:after="120"/>
        <w:contextualSpacing/>
        <w:rPr>
          <w:rFonts w:ascii="Palatino Linotype" w:hAnsi="Palatino Linotype"/>
        </w:rPr>
      </w:pPr>
    </w:p>
    <w:p w14:paraId="2744FFDB" w14:textId="2CF50B83" w:rsidR="00A914E3" w:rsidRPr="005A0D32" w:rsidRDefault="00D35F60" w:rsidP="005A0D32">
      <w:pPr>
        <w:pStyle w:val="ListParagraph"/>
        <w:spacing w:after="120"/>
        <w:ind w:left="0"/>
        <w:contextualSpacing/>
        <w:rPr>
          <w:rFonts w:ascii="Palatino Linotype" w:hAnsi="Palatino Linotype"/>
          <w:b/>
          <w:bCs/>
        </w:rPr>
      </w:pPr>
      <w:r w:rsidRPr="005A0D32">
        <w:rPr>
          <w:rFonts w:ascii="Palatino Linotype" w:hAnsi="Palatino Linotype"/>
          <w:b/>
          <w:bCs/>
        </w:rPr>
        <w:t>3. W</w:t>
      </w:r>
      <w:r w:rsidR="00A914E3" w:rsidRPr="005A0D32">
        <w:rPr>
          <w:rFonts w:ascii="Palatino Linotype" w:hAnsi="Palatino Linotype"/>
          <w:b/>
          <w:bCs/>
        </w:rPr>
        <w:t>hat measures have been taken to protect persons living in informal settlements, refugee or IDP camps, or in situation of overcrowding from COVID-19?</w:t>
      </w:r>
    </w:p>
    <w:p w14:paraId="3646A533" w14:textId="28D5E3F3" w:rsidR="005A0D32" w:rsidRPr="005A0D32" w:rsidRDefault="005A0D32" w:rsidP="005A0D32">
      <w:pPr>
        <w:spacing w:after="120"/>
        <w:rPr>
          <w:rFonts w:ascii="Palatino Linotype" w:hAnsi="Palatino Linotype"/>
        </w:rPr>
      </w:pPr>
      <w:r w:rsidRPr="005A0D32">
        <w:rPr>
          <w:rFonts w:ascii="Palatino Linotype" w:hAnsi="Palatino Linotype"/>
        </w:rPr>
        <w:t>As the government continues to combat the pandemic in the country, the poorest of poor remains the most badly hit and bear the burnt brought about by the pandemic.   Consistent with the “</w:t>
      </w:r>
      <w:proofErr w:type="spellStart"/>
      <w:r w:rsidRPr="005A0D32">
        <w:rPr>
          <w:rFonts w:ascii="Palatino Linotype" w:hAnsi="Palatino Linotype"/>
        </w:rPr>
        <w:t>Bayanihan</w:t>
      </w:r>
      <w:proofErr w:type="spellEnd"/>
      <w:r w:rsidRPr="005A0D32">
        <w:rPr>
          <w:rFonts w:ascii="Palatino Linotype" w:hAnsi="Palatino Linotype"/>
        </w:rPr>
        <w:t xml:space="preserve"> to Heal as One Act” the government provided financial help for 18 million Filipino families whose lives were greatly affected by the lockdown due to COVID</w:t>
      </w:r>
      <w:r>
        <w:rPr>
          <w:rFonts w:ascii="Palatino Linotype" w:hAnsi="Palatino Linotype"/>
        </w:rPr>
        <w:t>-19</w:t>
      </w:r>
      <w:r w:rsidRPr="005A0D32">
        <w:rPr>
          <w:rFonts w:ascii="Palatino Linotype" w:hAnsi="Palatino Linotype"/>
        </w:rPr>
        <w:t>.  This is where the Social Amelioration Program comes in under the management of the Department of Social Welfare and Development where 18 million families identified to be most vulnerable to the economic shock brought about by the COVID</w:t>
      </w:r>
      <w:r>
        <w:rPr>
          <w:rFonts w:ascii="Palatino Linotype" w:hAnsi="Palatino Linotype"/>
        </w:rPr>
        <w:t>-19</w:t>
      </w:r>
      <w:r w:rsidRPr="005A0D32">
        <w:rPr>
          <w:rFonts w:ascii="Palatino Linotype" w:hAnsi="Palatino Linotype"/>
        </w:rPr>
        <w:t xml:space="preserve"> situation received grant </w:t>
      </w:r>
      <w:proofErr w:type="spellStart"/>
      <w:r w:rsidRPr="005A0D32">
        <w:rPr>
          <w:rFonts w:ascii="Palatino Linotype" w:hAnsi="Palatino Linotype"/>
        </w:rPr>
        <w:t>form</w:t>
      </w:r>
      <w:proofErr w:type="spellEnd"/>
      <w:r w:rsidRPr="005A0D32">
        <w:rPr>
          <w:rFonts w:ascii="Palatino Linotype" w:hAnsi="Palatino Linotype"/>
        </w:rPr>
        <w:t xml:space="preserve"> the government for 2 </w:t>
      </w:r>
      <w:proofErr w:type="gramStart"/>
      <w:r w:rsidRPr="005A0D32">
        <w:rPr>
          <w:rFonts w:ascii="Palatino Linotype" w:hAnsi="Palatino Linotype"/>
        </w:rPr>
        <w:t>months  during</w:t>
      </w:r>
      <w:proofErr w:type="gramEnd"/>
      <w:r w:rsidRPr="005A0D32">
        <w:rPr>
          <w:rFonts w:ascii="Palatino Linotype" w:hAnsi="Palatino Linotype"/>
        </w:rPr>
        <w:t xml:space="preserve"> the ECQ period.</w:t>
      </w:r>
    </w:p>
    <w:p w14:paraId="4F3C77D5" w14:textId="2044EEB4" w:rsidR="005A0D32" w:rsidRPr="005A0D32" w:rsidRDefault="005A0D32" w:rsidP="005A0D32">
      <w:pPr>
        <w:spacing w:after="120"/>
        <w:rPr>
          <w:rFonts w:ascii="Palatino Linotype" w:hAnsi="Palatino Linotype"/>
        </w:rPr>
      </w:pPr>
      <w:r w:rsidRPr="005A0D32">
        <w:rPr>
          <w:rFonts w:ascii="Palatino Linotype" w:hAnsi="Palatino Linotype"/>
        </w:rPr>
        <w:t>Moreover, DILG directed LGUs to provide financial and non-financial assistance to relocated ISFs in resettlement communities in response to the COVID</w:t>
      </w:r>
      <w:r>
        <w:rPr>
          <w:rFonts w:ascii="Palatino Linotype" w:hAnsi="Palatino Linotype"/>
        </w:rPr>
        <w:t>-19</w:t>
      </w:r>
      <w:r w:rsidRPr="005A0D32">
        <w:rPr>
          <w:rFonts w:ascii="Palatino Linotype" w:hAnsi="Palatino Linotype"/>
        </w:rPr>
        <w:t xml:space="preserve"> situation under MC 2020-090.</w:t>
      </w:r>
    </w:p>
    <w:p w14:paraId="474707A0" w14:textId="77777777" w:rsidR="00002C26" w:rsidRPr="005A0D32" w:rsidRDefault="00002C26" w:rsidP="005A0D32">
      <w:pPr>
        <w:rPr>
          <w:rFonts w:ascii="Palatino Linotype" w:hAnsi="Palatino Linotype" w:cs="Times New Roman"/>
        </w:rPr>
      </w:pPr>
    </w:p>
    <w:p w14:paraId="46486A76" w14:textId="3519DB02" w:rsidR="00A914E3" w:rsidRPr="005A0D32" w:rsidRDefault="00D35F60" w:rsidP="005A0D32">
      <w:pPr>
        <w:pStyle w:val="ListParagraph"/>
        <w:spacing w:after="120"/>
        <w:ind w:left="0"/>
        <w:contextualSpacing/>
        <w:rPr>
          <w:rFonts w:ascii="Palatino Linotype" w:hAnsi="Palatino Linotype"/>
          <w:b/>
          <w:bCs/>
        </w:rPr>
      </w:pPr>
      <w:r w:rsidRPr="005A0D32">
        <w:rPr>
          <w:rFonts w:ascii="Palatino Linotype" w:hAnsi="Palatino Linotype"/>
          <w:b/>
          <w:bCs/>
        </w:rPr>
        <w:t>4. W</w:t>
      </w:r>
      <w:r w:rsidR="00A914E3" w:rsidRPr="005A0D32">
        <w:rPr>
          <w:rFonts w:ascii="Palatino Linotype" w:hAnsi="Palatino Linotype"/>
          <w:b/>
          <w:bCs/>
        </w:rPr>
        <w:t xml:space="preserve">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 </w:t>
      </w:r>
    </w:p>
    <w:p w14:paraId="7A146A47" w14:textId="77777777" w:rsidR="005A0D32" w:rsidRPr="005A0D32" w:rsidRDefault="005A0D32" w:rsidP="005A0D32">
      <w:pPr>
        <w:spacing w:after="120"/>
        <w:rPr>
          <w:rFonts w:ascii="Palatino Linotype" w:hAnsi="Palatino Linotype"/>
          <w:b/>
          <w:bCs/>
        </w:rPr>
      </w:pPr>
      <w:r w:rsidRPr="005A0D32">
        <w:rPr>
          <w:rFonts w:ascii="Palatino Linotype" w:hAnsi="Palatino Linotype"/>
          <w:lang w:val="en-PH" w:eastAsia="en-PH"/>
        </w:rPr>
        <w:t xml:space="preserve">"The </w:t>
      </w:r>
      <w:proofErr w:type="spellStart"/>
      <w:r w:rsidRPr="005A0D32">
        <w:rPr>
          <w:rFonts w:ascii="Palatino Linotype" w:hAnsi="Palatino Linotype"/>
          <w:lang w:val="en-PH" w:eastAsia="en-PH"/>
        </w:rPr>
        <w:t>Hatid</w:t>
      </w:r>
      <w:proofErr w:type="spellEnd"/>
      <w:r w:rsidRPr="005A0D32">
        <w:rPr>
          <w:rFonts w:ascii="Palatino Linotype" w:hAnsi="Palatino Linotype"/>
          <w:lang w:val="en-PH" w:eastAsia="en-PH"/>
        </w:rPr>
        <w:t xml:space="preserve"> </w:t>
      </w:r>
      <w:proofErr w:type="spellStart"/>
      <w:r w:rsidRPr="005A0D32">
        <w:rPr>
          <w:rFonts w:ascii="Palatino Linotype" w:hAnsi="Palatino Linotype"/>
          <w:lang w:val="en-PH" w:eastAsia="en-PH"/>
        </w:rPr>
        <w:t>Probinsya</w:t>
      </w:r>
      <w:proofErr w:type="spellEnd"/>
      <w:r w:rsidRPr="005A0D32">
        <w:rPr>
          <w:rFonts w:ascii="Palatino Linotype" w:hAnsi="Palatino Linotype"/>
          <w:lang w:val="en-PH" w:eastAsia="en-PH"/>
        </w:rPr>
        <w:t xml:space="preserve">”  (travel assistance) initiative of the government is a short term humanitarian effort  to  </w:t>
      </w:r>
      <w:r w:rsidRPr="005A0D32">
        <w:rPr>
          <w:rStyle w:val="apple-converted-space"/>
          <w:rFonts w:ascii="Palatino Linotype" w:hAnsi="Palatino Linotype"/>
        </w:rPr>
        <w:t xml:space="preserve">helps transport thousands of stranded individuals </w:t>
      </w:r>
      <w:r w:rsidRPr="005A0D32">
        <w:rPr>
          <w:rFonts w:ascii="Palatino Linotype" w:hAnsi="Palatino Linotype"/>
          <w:shd w:val="clear" w:color="auto" w:fill="FFFFFF"/>
        </w:rPr>
        <w:t xml:space="preserve">- migrant workers, students, construction workers and tourists - </w:t>
      </w:r>
      <w:r w:rsidRPr="005A0D32">
        <w:rPr>
          <w:rStyle w:val="apple-converted-space"/>
          <w:rFonts w:ascii="Palatino Linotype" w:hAnsi="Palatino Linotype"/>
        </w:rPr>
        <w:t xml:space="preserve">who are  unable to return to their provinces </w:t>
      </w:r>
      <w:r w:rsidRPr="005A0D32">
        <w:rPr>
          <w:rFonts w:ascii="Palatino Linotype" w:hAnsi="Palatino Linotype"/>
          <w:shd w:val="clear" w:color="auto" w:fill="FFFFFF"/>
        </w:rPr>
        <w:t>when the government imposed a lockdown on Luzon in March to prevent the spread of the new coronavirus</w:t>
      </w:r>
      <w:r w:rsidRPr="005A0D32">
        <w:rPr>
          <w:rFonts w:ascii="Palatino Linotype" w:hAnsi="Palatino Linotype"/>
          <w:b/>
          <w:bCs/>
        </w:rPr>
        <w:t xml:space="preserve"> </w:t>
      </w:r>
    </w:p>
    <w:p w14:paraId="116FEF8B" w14:textId="7F40F56E" w:rsidR="00A914E3" w:rsidRPr="005A0D32" w:rsidRDefault="00D35F60" w:rsidP="005A0D32">
      <w:pPr>
        <w:spacing w:after="120"/>
        <w:rPr>
          <w:rFonts w:ascii="Palatino Linotype" w:hAnsi="Palatino Linotype"/>
        </w:rPr>
      </w:pPr>
      <w:r w:rsidRPr="005A0D32">
        <w:rPr>
          <w:rFonts w:ascii="Palatino Linotype" w:hAnsi="Palatino Linotype"/>
          <w:b/>
          <w:bCs/>
        </w:rPr>
        <w:t>5. H</w:t>
      </w:r>
      <w:r w:rsidR="00A914E3" w:rsidRPr="005A0D32">
        <w:rPr>
          <w:rFonts w:ascii="Palatino Linotype" w:hAnsi="Palatino Linotype"/>
          <w:b/>
          <w:bCs/>
        </w:rPr>
        <w:t xml:space="preserve">ave any measures been taken to provide safe accommodation for persons in situation of homelessness? If yes, how many persons were housed, in what form, where and for how long? How will it be ensured that persons provided with temporary accommodation will have access to housing after the crisis? </w:t>
      </w:r>
    </w:p>
    <w:p w14:paraId="249B00DE" w14:textId="77777777" w:rsidR="005A0D32" w:rsidRPr="005A0D32" w:rsidRDefault="005A0D32" w:rsidP="005A0D32">
      <w:pPr>
        <w:spacing w:after="120"/>
        <w:rPr>
          <w:rFonts w:ascii="Palatino Linotype" w:hAnsi="Palatino Linotype"/>
        </w:rPr>
      </w:pPr>
      <w:r w:rsidRPr="005A0D32">
        <w:rPr>
          <w:rFonts w:ascii="Palatino Linotype" w:hAnsi="Palatino Linotype"/>
        </w:rPr>
        <w:t xml:space="preserve">The LGUs have converted basketball courts/covered areas as interim housing facilities for homeless families/individuals during the ECQ.  Some organizations, establishments and individuals offered shelter for homeless people as well as frontline workers during the quarantine. </w:t>
      </w:r>
    </w:p>
    <w:p w14:paraId="18C23179" w14:textId="3FF8A3BA" w:rsidR="00A914E3" w:rsidRPr="005A0D32" w:rsidRDefault="005A0D32" w:rsidP="005A0D32">
      <w:pPr>
        <w:spacing w:after="120"/>
        <w:rPr>
          <w:rFonts w:ascii="Palatino Linotype" w:hAnsi="Palatino Linotype"/>
        </w:rPr>
      </w:pPr>
      <w:r w:rsidRPr="005A0D32">
        <w:rPr>
          <w:rFonts w:ascii="Palatino Linotype" w:hAnsi="Palatino Linotype"/>
        </w:rPr>
        <w:t xml:space="preserve">For frontline workers, Office of the Vice President opened a dormitory located in Quezon City. Metro Manila LGU signed Executive Order No. 17 providing 531 rooms in total from three hotels (Hotel Sogo, </w:t>
      </w:r>
      <w:proofErr w:type="spellStart"/>
      <w:r w:rsidRPr="005A0D32">
        <w:rPr>
          <w:rFonts w:ascii="Palatino Linotype" w:hAnsi="Palatino Linotype"/>
        </w:rPr>
        <w:t>Eurotel</w:t>
      </w:r>
      <w:proofErr w:type="spellEnd"/>
      <w:r w:rsidRPr="005A0D32">
        <w:rPr>
          <w:rFonts w:ascii="Palatino Linotype" w:hAnsi="Palatino Linotype"/>
        </w:rPr>
        <w:t xml:space="preserve"> and Town and Country </w:t>
      </w:r>
      <w:proofErr w:type="gramStart"/>
      <w:r w:rsidRPr="005A0D32">
        <w:rPr>
          <w:rFonts w:ascii="Palatino Linotype" w:hAnsi="Palatino Linotype"/>
        </w:rPr>
        <w:t>Hotel )</w:t>
      </w:r>
      <w:proofErr w:type="gramEnd"/>
      <w:r w:rsidRPr="005A0D32">
        <w:rPr>
          <w:rFonts w:ascii="Palatino Linotype" w:hAnsi="Palatino Linotype"/>
        </w:rPr>
        <w:t xml:space="preserve"> for health workers and </w:t>
      </w:r>
      <w:proofErr w:type="spellStart"/>
      <w:r w:rsidRPr="005A0D32">
        <w:rPr>
          <w:rFonts w:ascii="Palatino Linotype" w:hAnsi="Palatino Linotype"/>
        </w:rPr>
        <w:t>frontliners</w:t>
      </w:r>
      <w:proofErr w:type="spellEnd"/>
      <w:r w:rsidRPr="005A0D32">
        <w:rPr>
          <w:rFonts w:ascii="Palatino Linotype" w:hAnsi="Palatino Linotype"/>
        </w:rPr>
        <w:t xml:space="preserve">.   </w:t>
      </w:r>
      <w:r>
        <w:rPr>
          <w:rFonts w:ascii="Palatino Linotype" w:hAnsi="Palatino Linotype"/>
        </w:rPr>
        <w:br/>
      </w:r>
      <w:r w:rsidR="00C640A0" w:rsidRPr="005A0D32">
        <w:rPr>
          <w:rFonts w:ascii="Palatino Linotype" w:hAnsi="Palatino Linotype"/>
          <w:b/>
          <w:bCs/>
        </w:rPr>
        <w:br/>
      </w:r>
      <w:r w:rsidR="00D35F60" w:rsidRPr="005A0D32">
        <w:rPr>
          <w:rFonts w:ascii="Palatino Linotype" w:hAnsi="Palatino Linotype"/>
          <w:b/>
          <w:bCs/>
        </w:rPr>
        <w:t>6. C</w:t>
      </w:r>
      <w:r w:rsidR="00A914E3" w:rsidRPr="005A0D32">
        <w:rPr>
          <w:rFonts w:ascii="Palatino Linotype" w:hAnsi="Palatino Linotype"/>
          <w:b/>
          <w:bCs/>
        </w:rPr>
        <w:t xml:space="preserve">an you provide examples of any other measures taken or planned by national, federal, provincial or local Governments in your country to protect the right to adequate housing during the pandemic and in its aftermath? </w:t>
      </w:r>
    </w:p>
    <w:p w14:paraId="28B2F76E" w14:textId="1BACEB50" w:rsidR="005A0D32" w:rsidRPr="005A0D32" w:rsidRDefault="005A0D32" w:rsidP="005A0D32">
      <w:pPr>
        <w:pStyle w:val="p1"/>
        <w:shd w:val="clear" w:color="auto" w:fill="FFFFFF"/>
        <w:spacing w:before="120" w:beforeAutospacing="0" w:after="360" w:afterAutospacing="0"/>
        <w:rPr>
          <w:rFonts w:ascii="Palatino Linotype" w:hAnsi="Palatino Linotype"/>
          <w:sz w:val="22"/>
          <w:szCs w:val="22"/>
        </w:rPr>
      </w:pPr>
      <w:proofErr w:type="gramStart"/>
      <w:r w:rsidRPr="005A0D32">
        <w:rPr>
          <w:rFonts w:ascii="Palatino Linotype" w:hAnsi="Palatino Linotype"/>
          <w:sz w:val="22"/>
          <w:szCs w:val="22"/>
        </w:rPr>
        <w:t xml:space="preserve">The  </w:t>
      </w:r>
      <w:r w:rsidRPr="005A0D32">
        <w:rPr>
          <w:rFonts w:ascii="Palatino Linotype" w:hAnsi="Palatino Linotype"/>
          <w:spacing w:val="-3"/>
          <w:sz w:val="22"/>
          <w:szCs w:val="22"/>
          <w:shd w:val="clear" w:color="auto" w:fill="FFFFFF"/>
        </w:rPr>
        <w:t>“</w:t>
      </w:r>
      <w:proofErr w:type="spellStart"/>
      <w:proofErr w:type="gramEnd"/>
      <w:r w:rsidRPr="005A0D32">
        <w:rPr>
          <w:rFonts w:ascii="Palatino Linotype" w:hAnsi="Palatino Linotype"/>
          <w:spacing w:val="-3"/>
          <w:sz w:val="22"/>
          <w:szCs w:val="22"/>
          <w:shd w:val="clear" w:color="auto" w:fill="FFFFFF"/>
        </w:rPr>
        <w:t>Balik</w:t>
      </w:r>
      <w:proofErr w:type="spellEnd"/>
      <w:r w:rsidRPr="005A0D32">
        <w:rPr>
          <w:rFonts w:ascii="Palatino Linotype" w:hAnsi="Palatino Linotype"/>
          <w:spacing w:val="-3"/>
          <w:sz w:val="22"/>
          <w:szCs w:val="22"/>
          <w:shd w:val="clear" w:color="auto" w:fill="FFFFFF"/>
        </w:rPr>
        <w:t xml:space="preserve"> </w:t>
      </w:r>
      <w:proofErr w:type="spellStart"/>
      <w:r w:rsidRPr="005A0D32">
        <w:rPr>
          <w:rFonts w:ascii="Palatino Linotype" w:hAnsi="Palatino Linotype"/>
          <w:spacing w:val="-3"/>
          <w:sz w:val="22"/>
          <w:szCs w:val="22"/>
          <w:shd w:val="clear" w:color="auto" w:fill="FFFFFF"/>
        </w:rPr>
        <w:t>Probinsya</w:t>
      </w:r>
      <w:proofErr w:type="spellEnd"/>
      <w:r w:rsidRPr="005A0D32">
        <w:rPr>
          <w:rFonts w:ascii="Palatino Linotype" w:hAnsi="Palatino Linotype"/>
          <w:spacing w:val="-3"/>
          <w:sz w:val="22"/>
          <w:szCs w:val="22"/>
          <w:shd w:val="clear" w:color="auto" w:fill="FFFFFF"/>
        </w:rPr>
        <w:t>, Bagong Pag-</w:t>
      </w:r>
      <w:proofErr w:type="spellStart"/>
      <w:r w:rsidRPr="005A0D32">
        <w:rPr>
          <w:rFonts w:ascii="Palatino Linotype" w:hAnsi="Palatino Linotype"/>
          <w:spacing w:val="-3"/>
          <w:sz w:val="22"/>
          <w:szCs w:val="22"/>
          <w:shd w:val="clear" w:color="auto" w:fill="FFFFFF"/>
        </w:rPr>
        <w:t>asa</w:t>
      </w:r>
      <w:proofErr w:type="spellEnd"/>
      <w:r w:rsidRPr="005A0D32">
        <w:rPr>
          <w:rFonts w:ascii="Palatino Linotype" w:hAnsi="Palatino Linotype"/>
          <w:spacing w:val="-3"/>
          <w:sz w:val="22"/>
          <w:szCs w:val="22"/>
          <w:shd w:val="clear" w:color="auto" w:fill="FFFFFF"/>
        </w:rPr>
        <w:t xml:space="preserve">” or BP2 (Back to the Province, New Hope) program of the government,  headed by </w:t>
      </w:r>
      <w:r w:rsidRPr="005A0D32">
        <w:rPr>
          <w:rFonts w:ascii="Palatino Linotype" w:hAnsi="Palatino Linotype"/>
          <w:sz w:val="22"/>
          <w:szCs w:val="22"/>
          <w:shd w:val="clear" w:color="auto" w:fill="FFFFFF"/>
        </w:rPr>
        <w:t xml:space="preserve">National Housing Authority General Manager Marcelino </w:t>
      </w:r>
      <w:proofErr w:type="spellStart"/>
      <w:r w:rsidRPr="005A0D32">
        <w:rPr>
          <w:rFonts w:ascii="Palatino Linotype" w:hAnsi="Palatino Linotype"/>
          <w:sz w:val="22"/>
          <w:szCs w:val="22"/>
          <w:shd w:val="clear" w:color="auto" w:fill="FFFFFF"/>
        </w:rPr>
        <w:t>Escalada</w:t>
      </w:r>
      <w:proofErr w:type="spellEnd"/>
      <w:r w:rsidRPr="005A0D32">
        <w:rPr>
          <w:rFonts w:ascii="Palatino Linotype" w:hAnsi="Palatino Linotype"/>
          <w:sz w:val="22"/>
          <w:szCs w:val="22"/>
          <w:shd w:val="clear" w:color="auto" w:fill="FFFFFF"/>
        </w:rPr>
        <w:t xml:space="preserve"> Jr, </w:t>
      </w:r>
      <w:r w:rsidRPr="005A0D32">
        <w:rPr>
          <w:rFonts w:ascii="Palatino Linotype" w:hAnsi="Palatino Linotype"/>
          <w:spacing w:val="-3"/>
          <w:sz w:val="22"/>
          <w:szCs w:val="22"/>
          <w:shd w:val="clear" w:color="auto" w:fill="FFFFFF"/>
        </w:rPr>
        <w:t xml:space="preserve">seeks to decongest Metro Manila and promote more robust regional development.  </w:t>
      </w:r>
      <w:r w:rsidRPr="005A0D32">
        <w:rPr>
          <w:rStyle w:val="apple-converted-space"/>
          <w:rFonts w:ascii="Palatino Linotype" w:hAnsi="Palatino Linotype"/>
          <w:sz w:val="22"/>
          <w:szCs w:val="22"/>
        </w:rPr>
        <w:t xml:space="preserve">It sees it as a "long term" solution because it aims to decongest Metro Manila to reduce the impact of future pandemics. </w:t>
      </w:r>
      <w:proofErr w:type="spellStart"/>
      <w:r w:rsidRPr="005A0D32">
        <w:rPr>
          <w:rFonts w:ascii="Palatino Linotype" w:hAnsi="Palatino Linotype"/>
          <w:sz w:val="22"/>
          <w:szCs w:val="22"/>
          <w:shd w:val="clear" w:color="auto" w:fill="FFFFFF"/>
        </w:rPr>
        <w:t>Balik</w:t>
      </w:r>
      <w:proofErr w:type="spellEnd"/>
      <w:r w:rsidRPr="005A0D32">
        <w:rPr>
          <w:rFonts w:ascii="Palatino Linotype" w:hAnsi="Palatino Linotype"/>
          <w:sz w:val="22"/>
          <w:szCs w:val="22"/>
          <w:shd w:val="clear" w:color="auto" w:fill="FFFFFF"/>
        </w:rPr>
        <w:t xml:space="preserve"> </w:t>
      </w:r>
      <w:proofErr w:type="spellStart"/>
      <w:r w:rsidRPr="005A0D32">
        <w:rPr>
          <w:rFonts w:ascii="Palatino Linotype" w:hAnsi="Palatino Linotype"/>
          <w:sz w:val="22"/>
          <w:szCs w:val="22"/>
          <w:shd w:val="clear" w:color="auto" w:fill="FFFFFF"/>
        </w:rPr>
        <w:t>Probinsya</w:t>
      </w:r>
      <w:proofErr w:type="spellEnd"/>
      <w:r w:rsidRPr="005A0D32">
        <w:rPr>
          <w:rFonts w:ascii="Palatino Linotype" w:hAnsi="Palatino Linotype"/>
          <w:sz w:val="22"/>
          <w:szCs w:val="22"/>
          <w:shd w:val="clear" w:color="auto" w:fill="FFFFFF"/>
        </w:rPr>
        <w:t xml:space="preserve"> beneficiaries are people who already have homes in Metro Manila but who originally came from the provinces and now want to go back.</w:t>
      </w:r>
      <w:r w:rsidRPr="005A0D32">
        <w:rPr>
          <w:rStyle w:val="Hyperlink"/>
          <w:rFonts w:ascii="Palatino Linotype" w:hAnsi="Palatino Linotype"/>
          <w:color w:val="auto"/>
          <w:sz w:val="22"/>
          <w:szCs w:val="22"/>
        </w:rPr>
        <w:t xml:space="preserve"> </w:t>
      </w:r>
      <w:r>
        <w:rPr>
          <w:rStyle w:val="Hyperlink"/>
          <w:rFonts w:ascii="Palatino Linotype" w:hAnsi="Palatino Linotype"/>
          <w:color w:val="auto"/>
          <w:sz w:val="22"/>
          <w:szCs w:val="22"/>
        </w:rPr>
        <w:br/>
      </w:r>
      <w:r>
        <w:rPr>
          <w:rStyle w:val="Hyperlink"/>
          <w:rFonts w:ascii="Palatino Linotype" w:hAnsi="Palatino Linotype"/>
          <w:color w:val="auto"/>
          <w:sz w:val="22"/>
          <w:szCs w:val="22"/>
        </w:rPr>
        <w:br/>
      </w:r>
      <w:r w:rsidRPr="005A0D32">
        <w:rPr>
          <w:rFonts w:ascii="Palatino Linotype" w:hAnsi="Palatino Linotype"/>
          <w:sz w:val="22"/>
          <w:szCs w:val="22"/>
        </w:rPr>
        <w:t xml:space="preserve">To encourage city dwellers to return to their provinces,  Sen. Bong Go </w:t>
      </w:r>
      <w:r w:rsidRPr="005A0D32">
        <w:rPr>
          <w:rFonts w:ascii="Palatino Linotype" w:hAnsi="Palatino Linotype"/>
          <w:sz w:val="22"/>
          <w:szCs w:val="22"/>
          <w:shd w:val="clear" w:color="auto" w:fill="FFFFFF"/>
        </w:rPr>
        <w:t>who is also the Chair of the Senate Committee on Health and Demography</w:t>
      </w:r>
      <w:r w:rsidRPr="005A0D32">
        <w:rPr>
          <w:rFonts w:ascii="Palatino Linotype" w:hAnsi="Palatino Linotype"/>
          <w:sz w:val="22"/>
          <w:szCs w:val="22"/>
        </w:rPr>
        <w:t xml:space="preserve"> said that the government is currently crafting a long-term plan to create economic opportunities in the countryside and boost regional development to help returning individuals and families to start their life anew in their home provinces.  He further added that the country needs to break this vicious chain of poverty and that ISFs should be given better opportunities through BP2 program.</w:t>
      </w:r>
      <w:r>
        <w:rPr>
          <w:rFonts w:ascii="Palatino Linotype" w:hAnsi="Palatino Linotype"/>
          <w:sz w:val="22"/>
          <w:szCs w:val="22"/>
        </w:rPr>
        <w:br/>
      </w:r>
      <w:r>
        <w:rPr>
          <w:rFonts w:ascii="Palatino Linotype" w:hAnsi="Palatino Linotype"/>
          <w:sz w:val="22"/>
          <w:szCs w:val="22"/>
        </w:rPr>
        <w:br/>
      </w:r>
      <w:r w:rsidRPr="005A0D32">
        <w:rPr>
          <w:rFonts w:ascii="Palatino Linotype" w:hAnsi="Palatino Linotype"/>
          <w:sz w:val="22"/>
          <w:szCs w:val="22"/>
          <w:shd w:val="clear" w:color="auto" w:fill="FFFFFF"/>
        </w:rPr>
        <w:t xml:space="preserve">President Rodrigo Duterte signed on May 6 Executive Order No. 114 institutionalizing the </w:t>
      </w:r>
      <w:proofErr w:type="spellStart"/>
      <w:r w:rsidRPr="005A0D32">
        <w:rPr>
          <w:rFonts w:ascii="Palatino Linotype" w:hAnsi="Palatino Linotype"/>
          <w:sz w:val="22"/>
          <w:szCs w:val="22"/>
          <w:shd w:val="clear" w:color="auto" w:fill="FFFFFF"/>
        </w:rPr>
        <w:t>Balik</w:t>
      </w:r>
      <w:proofErr w:type="spellEnd"/>
      <w:r w:rsidRPr="005A0D32">
        <w:rPr>
          <w:rFonts w:ascii="Palatino Linotype" w:hAnsi="Palatino Linotype"/>
          <w:sz w:val="22"/>
          <w:szCs w:val="22"/>
          <w:shd w:val="clear" w:color="auto" w:fill="FFFFFF"/>
        </w:rPr>
        <w:t xml:space="preserve"> </w:t>
      </w:r>
      <w:proofErr w:type="spellStart"/>
      <w:r w:rsidRPr="005A0D32">
        <w:rPr>
          <w:rFonts w:ascii="Palatino Linotype" w:hAnsi="Palatino Linotype"/>
          <w:sz w:val="22"/>
          <w:szCs w:val="22"/>
          <w:shd w:val="clear" w:color="auto" w:fill="FFFFFF"/>
        </w:rPr>
        <w:t>Probinsya</w:t>
      </w:r>
      <w:proofErr w:type="spellEnd"/>
      <w:r w:rsidRPr="005A0D32">
        <w:rPr>
          <w:rFonts w:ascii="Palatino Linotype" w:hAnsi="Palatino Linotype"/>
          <w:sz w:val="22"/>
          <w:szCs w:val="22"/>
          <w:shd w:val="clear" w:color="auto" w:fill="FFFFFF"/>
        </w:rPr>
        <w:t xml:space="preserve"> program</w:t>
      </w:r>
      <w:r w:rsidRPr="005A0D32">
        <w:rPr>
          <w:rFonts w:ascii="Palatino Linotype" w:hAnsi="Palatino Linotype"/>
          <w:sz w:val="22"/>
          <w:szCs w:val="22"/>
        </w:rPr>
        <w:t xml:space="preserve">. Under the scheme, the government </w:t>
      </w:r>
      <w:proofErr w:type="gramStart"/>
      <w:r w:rsidRPr="005A0D32">
        <w:rPr>
          <w:rFonts w:ascii="Palatino Linotype" w:hAnsi="Palatino Linotype"/>
          <w:sz w:val="22"/>
          <w:szCs w:val="22"/>
        </w:rPr>
        <w:t>provides assistance</w:t>
      </w:r>
      <w:proofErr w:type="gramEnd"/>
      <w:r w:rsidRPr="005A0D32">
        <w:rPr>
          <w:rFonts w:ascii="Palatino Linotype" w:hAnsi="Palatino Linotype"/>
          <w:sz w:val="22"/>
          <w:szCs w:val="22"/>
        </w:rPr>
        <w:t>, such as transportation and allowances, to those who would like to relocate to urban or rural areas in the regions. It will also help beneficiaries with housing and in getting jobs or starting a new livelihood.</w:t>
      </w:r>
    </w:p>
    <w:p w14:paraId="579A36A2" w14:textId="5E666743" w:rsidR="00C158AB" w:rsidRPr="005A0D32" w:rsidRDefault="00C158AB" w:rsidP="005A0D32">
      <w:pPr>
        <w:rPr>
          <w:rFonts w:ascii="Palatino Linotype" w:hAnsi="Palatino Linotype"/>
        </w:rPr>
      </w:pPr>
    </w:p>
    <w:sectPr w:rsidR="00C158AB" w:rsidRPr="005A0D32" w:rsidSect="00706041">
      <w:headerReference w:type="default" r:id="rId11"/>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7B048" w14:textId="77777777" w:rsidR="0028280D" w:rsidRDefault="0028280D" w:rsidP="0076407F">
      <w:r>
        <w:separator/>
      </w:r>
    </w:p>
  </w:endnote>
  <w:endnote w:type="continuationSeparator" w:id="0">
    <w:p w14:paraId="30B7BCE8" w14:textId="77777777" w:rsidR="0028280D" w:rsidRDefault="0028280D" w:rsidP="007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NeueHaasGroteskDisp Pro Md">
    <w:panose1 w:val="020B0604020202020204"/>
    <w:charset w:val="00"/>
    <w:family w:val="swiss"/>
    <w:notTrueType/>
    <w:pitch w:val="variable"/>
    <w:sig w:usb0="00000007" w:usb1="00000000" w:usb2="00000000" w:usb3="00000000" w:csb0="00000093" w:csb1="00000000"/>
  </w:font>
  <w:font w:name="NeueHaasGroteskDisp Pro">
    <w:panose1 w:val="020B05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19EE5" w14:textId="77777777" w:rsidR="0028280D" w:rsidRDefault="0028280D" w:rsidP="0076407F">
      <w:r>
        <w:separator/>
      </w:r>
    </w:p>
  </w:footnote>
  <w:footnote w:type="continuationSeparator" w:id="0">
    <w:p w14:paraId="190B9AB5" w14:textId="77777777" w:rsidR="0028280D" w:rsidRDefault="0028280D" w:rsidP="0076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D8AF" w14:textId="0E15A51B" w:rsidR="0076407F" w:rsidRDefault="00972ECB">
    <w:pPr>
      <w:pStyle w:val="Header"/>
    </w:pPr>
    <w:r>
      <w:rPr>
        <w:noProof/>
      </w:rPr>
      <mc:AlternateContent>
        <mc:Choice Requires="wps">
          <w:drawing>
            <wp:anchor distT="0" distB="0" distL="114300" distR="114300" simplePos="0" relativeHeight="251658752" behindDoc="0" locked="0" layoutInCell="1" allowOverlap="1" wp14:anchorId="6F6BB8D3" wp14:editId="799E8824">
              <wp:simplePos x="0" y="0"/>
              <wp:positionH relativeFrom="column">
                <wp:posOffset>-309797</wp:posOffset>
              </wp:positionH>
              <wp:positionV relativeFrom="paragraph">
                <wp:posOffset>107950</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arto="http://schemas.microsoft.com/office/word/2006/arto"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txbx>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4635437E"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6D2852">
                            <w:rPr>
                              <w:rFonts w:ascii="NeueHaasGroteskDisp Pro" w:hAnsi="NeueHaasGroteskDisp Pro"/>
                              <w:sz w:val="24"/>
                              <w:szCs w:val="28"/>
                            </w:rPr>
                            <w:t>Philippines</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BB8D3" id="_x0000_t202" coordsize="21600,21600" o:spt="202" path="m,l,21600r21600,l21600,xe">
              <v:stroke joinstyle="miter"/>
              <v:path gradientshapeok="t" o:connecttype="rect"/>
            </v:shapetype>
            <v:shape id="Text Box 5" o:spid="_x0000_s1026" type="#_x0000_t202" style="position:absolute;margin-left:-24.4pt;margin-top:8.5pt;width:487.1pt;height: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" filled="f" stroked="f">
              <v:textbox inset="0,0,0,0">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4635437E"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6D2852">
                      <w:rPr>
                        <w:rFonts w:ascii="NeueHaasGroteskDisp Pro" w:hAnsi="NeueHaasGroteskDisp Pro"/>
                        <w:sz w:val="24"/>
                        <w:szCs w:val="28"/>
                      </w:rPr>
                      <w:t>Philippines</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v:textbox>
            </v:shape>
          </w:pict>
        </mc:Fallback>
      </mc:AlternateContent>
    </w:r>
    <w:r w:rsidR="0076407F">
      <w:rPr>
        <w:noProof/>
      </w:rPr>
      <w:drawing>
        <wp:anchor distT="0" distB="0" distL="114300" distR="114300" simplePos="0" relativeHeight="251657728" behindDoc="0" locked="0" layoutInCell="1" allowOverlap="1" wp14:anchorId="4BA81D7E" wp14:editId="03877182">
          <wp:simplePos x="0" y="0"/>
          <wp:positionH relativeFrom="column">
            <wp:posOffset>-906449</wp:posOffset>
          </wp:positionH>
          <wp:positionV relativeFrom="paragraph">
            <wp:posOffset>-437294</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2E5"/>
    <w:multiLevelType w:val="hybridMultilevel"/>
    <w:tmpl w:val="75B05F16"/>
    <w:lvl w:ilvl="0" w:tplc="1F1CE490">
      <w:numFmt w:val="bullet"/>
      <w:lvlText w:val="·"/>
      <w:lvlJc w:val="left"/>
      <w:pPr>
        <w:ind w:left="3180"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BAE37B8"/>
    <w:multiLevelType w:val="hybridMultilevel"/>
    <w:tmpl w:val="8F98325C"/>
    <w:lvl w:ilvl="0" w:tplc="9DCC29BC">
      <w:numFmt w:val="bullet"/>
      <w:lvlText w:val="-"/>
      <w:lvlJc w:val="left"/>
      <w:pPr>
        <w:ind w:left="1494" w:hanging="360"/>
      </w:pPr>
      <w:rPr>
        <w:rFonts w:ascii="Times New Roman" w:eastAsia="Times New Roman" w:hAnsi="Times New Roman" w:cs="Times New Roman" w:hint="default"/>
        <w:color w:val="FF0000"/>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2" w15:restartNumberingAfterBreak="0">
    <w:nsid w:val="174C785C"/>
    <w:multiLevelType w:val="hybridMultilevel"/>
    <w:tmpl w:val="752EF978"/>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36497"/>
    <w:multiLevelType w:val="hybridMultilevel"/>
    <w:tmpl w:val="16C4B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8CC357D"/>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B3657AF"/>
    <w:multiLevelType w:val="hybridMultilevel"/>
    <w:tmpl w:val="2664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F4033"/>
    <w:multiLevelType w:val="hybridMultilevel"/>
    <w:tmpl w:val="5CE40510"/>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7" w15:restartNumberingAfterBreak="0">
    <w:nsid w:val="51711396"/>
    <w:multiLevelType w:val="hybridMultilevel"/>
    <w:tmpl w:val="0A526214"/>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626052F5"/>
    <w:multiLevelType w:val="hybridMultilevel"/>
    <w:tmpl w:val="8F7C2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6632256"/>
    <w:multiLevelType w:val="hybridMultilevel"/>
    <w:tmpl w:val="7E5ABE7A"/>
    <w:lvl w:ilvl="0" w:tplc="3490CC56">
      <w:start w:val="1"/>
      <w:numFmt w:val="lowerLetter"/>
      <w:lvlText w:val="%1)"/>
      <w:lvlJc w:val="left"/>
      <w:pPr>
        <w:ind w:left="1920" w:hanging="360"/>
      </w:p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10" w15:restartNumberingAfterBreak="0">
    <w:nsid w:val="69616CFE"/>
    <w:multiLevelType w:val="hybridMultilevel"/>
    <w:tmpl w:val="4A8C5E0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1" w15:restartNumberingAfterBreak="0">
    <w:nsid w:val="6D256313"/>
    <w:multiLevelType w:val="hybridMultilevel"/>
    <w:tmpl w:val="2F985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634D7F"/>
    <w:multiLevelType w:val="hybridMultilevel"/>
    <w:tmpl w:val="A210F312"/>
    <w:lvl w:ilvl="0" w:tplc="DCC65356">
      <w:numFmt w:val="bullet"/>
      <w:lvlText w:val="-"/>
      <w:lvlJc w:val="left"/>
      <w:pPr>
        <w:ind w:left="1494" w:hanging="360"/>
      </w:pPr>
      <w:rPr>
        <w:rFonts w:ascii="Times New Roman" w:eastAsia="Times New Roman" w:hAnsi="Times New Roman"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num w:numId="1">
    <w:abstractNumId w:val="10"/>
  </w:num>
  <w:num w:numId="2">
    <w:abstractNumId w:val="7"/>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8"/>
  </w:num>
  <w:num w:numId="11">
    <w:abstractNumId w:val="5"/>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2A"/>
    <w:rsid w:val="00002C26"/>
    <w:rsid w:val="0006761C"/>
    <w:rsid w:val="001B65B1"/>
    <w:rsid w:val="001C47C0"/>
    <w:rsid w:val="001D2533"/>
    <w:rsid w:val="0028280D"/>
    <w:rsid w:val="00287510"/>
    <w:rsid w:val="002A10B3"/>
    <w:rsid w:val="002B4817"/>
    <w:rsid w:val="002D2D2A"/>
    <w:rsid w:val="00491FE3"/>
    <w:rsid w:val="004F1A25"/>
    <w:rsid w:val="00520024"/>
    <w:rsid w:val="00540FE3"/>
    <w:rsid w:val="005871F9"/>
    <w:rsid w:val="005A0D32"/>
    <w:rsid w:val="006D2852"/>
    <w:rsid w:val="00706041"/>
    <w:rsid w:val="00722877"/>
    <w:rsid w:val="0076407F"/>
    <w:rsid w:val="007D09A4"/>
    <w:rsid w:val="008663EA"/>
    <w:rsid w:val="008C4257"/>
    <w:rsid w:val="00972ECB"/>
    <w:rsid w:val="009947F0"/>
    <w:rsid w:val="009965EA"/>
    <w:rsid w:val="00997025"/>
    <w:rsid w:val="009A10A6"/>
    <w:rsid w:val="009B47C4"/>
    <w:rsid w:val="00A914E3"/>
    <w:rsid w:val="00A945C9"/>
    <w:rsid w:val="00AB0D3C"/>
    <w:rsid w:val="00BF43B1"/>
    <w:rsid w:val="00C11FD2"/>
    <w:rsid w:val="00C158AB"/>
    <w:rsid w:val="00C50737"/>
    <w:rsid w:val="00C5777E"/>
    <w:rsid w:val="00C640A0"/>
    <w:rsid w:val="00CE582F"/>
    <w:rsid w:val="00D0317A"/>
    <w:rsid w:val="00D04A98"/>
    <w:rsid w:val="00D06F26"/>
    <w:rsid w:val="00D35F60"/>
    <w:rsid w:val="00D630B0"/>
    <w:rsid w:val="00DA1457"/>
    <w:rsid w:val="00E22A59"/>
    <w:rsid w:val="00E63FC8"/>
    <w:rsid w:val="00E66BAD"/>
    <w:rsid w:val="00ED38E4"/>
    <w:rsid w:val="00F43AEA"/>
    <w:rsid w:val="00F877E6"/>
    <w:rsid w:val="00FB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C6E95"/>
  <w15:chartTrackingRefBased/>
  <w15:docId w15:val="{21E469A3-2987-4F3A-A4AD-94F698C1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D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D2A"/>
    <w:pPr>
      <w:spacing w:before="100" w:beforeAutospacing="1" w:after="100" w:afterAutospacing="1"/>
    </w:pPr>
  </w:style>
  <w:style w:type="paragraph" w:customStyle="1" w:styleId="gmail-msolistparagraph">
    <w:name w:val="gmail-msolistparagraph"/>
    <w:basedOn w:val="Normal"/>
    <w:uiPriority w:val="99"/>
    <w:semiHidden/>
    <w:rsid w:val="002D2D2A"/>
    <w:pPr>
      <w:spacing w:before="100" w:beforeAutospacing="1" w:after="100" w:afterAutospacing="1"/>
    </w:pPr>
  </w:style>
  <w:style w:type="paragraph" w:styleId="Header">
    <w:name w:val="header"/>
    <w:basedOn w:val="Normal"/>
    <w:link w:val="HeaderChar"/>
    <w:uiPriority w:val="99"/>
    <w:unhideWhenUsed/>
    <w:rsid w:val="0076407F"/>
    <w:pPr>
      <w:tabs>
        <w:tab w:val="center" w:pos="4680"/>
        <w:tab w:val="right" w:pos="9360"/>
      </w:tabs>
    </w:pPr>
  </w:style>
  <w:style w:type="character" w:customStyle="1" w:styleId="HeaderChar">
    <w:name w:val="Header Char"/>
    <w:basedOn w:val="DefaultParagraphFont"/>
    <w:link w:val="Header"/>
    <w:uiPriority w:val="99"/>
    <w:rsid w:val="0076407F"/>
    <w:rPr>
      <w:rFonts w:ascii="Calibri" w:hAnsi="Calibri" w:cs="Calibri"/>
    </w:rPr>
  </w:style>
  <w:style w:type="paragraph" w:styleId="Footer">
    <w:name w:val="footer"/>
    <w:basedOn w:val="Normal"/>
    <w:link w:val="FooterChar"/>
    <w:uiPriority w:val="99"/>
    <w:unhideWhenUsed/>
    <w:rsid w:val="0076407F"/>
    <w:pPr>
      <w:tabs>
        <w:tab w:val="center" w:pos="4680"/>
        <w:tab w:val="right" w:pos="9360"/>
      </w:tabs>
    </w:pPr>
  </w:style>
  <w:style w:type="character" w:customStyle="1" w:styleId="FooterChar">
    <w:name w:val="Footer Char"/>
    <w:basedOn w:val="DefaultParagraphFont"/>
    <w:link w:val="Footer"/>
    <w:uiPriority w:val="99"/>
    <w:rsid w:val="0076407F"/>
    <w:rPr>
      <w:rFonts w:ascii="Calibri" w:hAnsi="Calibri" w:cs="Calibri"/>
    </w:rPr>
  </w:style>
  <w:style w:type="paragraph" w:customStyle="1" w:styleId="headingcallout">
    <w:name w:val="heading_callout"/>
    <w:basedOn w:val="Normal"/>
    <w:rsid w:val="00972ECB"/>
    <w:pPr>
      <w:tabs>
        <w:tab w:val="left" w:pos="288"/>
        <w:tab w:val="left" w:pos="576"/>
        <w:tab w:val="left" w:pos="864"/>
      </w:tabs>
      <w:spacing w:line="276" w:lineRule="auto"/>
    </w:pPr>
    <w:rPr>
      <w:rFonts w:ascii="Arial Bold" w:eastAsia="MS Mincho" w:hAnsi="Arial Bold" w:cs="Arial"/>
      <w:b/>
      <w:bCs/>
      <w:color w:val="FFFFFF"/>
      <w:kern w:val="64"/>
      <w:sz w:val="80"/>
      <w:szCs w:val="80"/>
    </w:rPr>
  </w:style>
  <w:style w:type="character" w:styleId="Hyperlink">
    <w:name w:val="Hyperlink"/>
    <w:basedOn w:val="DefaultParagraphFont"/>
    <w:uiPriority w:val="99"/>
    <w:semiHidden/>
    <w:unhideWhenUsed/>
    <w:rsid w:val="00C5777E"/>
    <w:rPr>
      <w:color w:val="0563C1"/>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C5777E"/>
    <w:pPr>
      <w:ind w:left="720"/>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722877"/>
    <w:rPr>
      <w:rFonts w:ascii="Calibri" w:hAnsi="Calibri" w:cs="Calibri"/>
    </w:rPr>
  </w:style>
  <w:style w:type="paragraph" w:customStyle="1" w:styleId="Default">
    <w:name w:val="Default"/>
    <w:rsid w:val="007228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945C9"/>
  </w:style>
  <w:style w:type="paragraph" w:customStyle="1" w:styleId="p1">
    <w:name w:val="p1"/>
    <w:basedOn w:val="Normal"/>
    <w:rsid w:val="00A945C9"/>
    <w:pPr>
      <w:spacing w:before="100" w:beforeAutospacing="1" w:after="100" w:afterAutospacing="1"/>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5491">
      <w:bodyDiv w:val="1"/>
      <w:marLeft w:val="0"/>
      <w:marRight w:val="0"/>
      <w:marTop w:val="0"/>
      <w:marBottom w:val="0"/>
      <w:divBdr>
        <w:top w:val="none" w:sz="0" w:space="0" w:color="auto"/>
        <w:left w:val="none" w:sz="0" w:space="0" w:color="auto"/>
        <w:bottom w:val="none" w:sz="0" w:space="0" w:color="auto"/>
        <w:right w:val="none" w:sz="0" w:space="0" w:color="auto"/>
      </w:divBdr>
    </w:div>
    <w:div w:id="105008543">
      <w:bodyDiv w:val="1"/>
      <w:marLeft w:val="0"/>
      <w:marRight w:val="0"/>
      <w:marTop w:val="0"/>
      <w:marBottom w:val="0"/>
      <w:divBdr>
        <w:top w:val="none" w:sz="0" w:space="0" w:color="auto"/>
        <w:left w:val="none" w:sz="0" w:space="0" w:color="auto"/>
        <w:bottom w:val="none" w:sz="0" w:space="0" w:color="auto"/>
        <w:right w:val="none" w:sz="0" w:space="0" w:color="auto"/>
      </w:divBdr>
    </w:div>
    <w:div w:id="132412466">
      <w:bodyDiv w:val="1"/>
      <w:marLeft w:val="0"/>
      <w:marRight w:val="0"/>
      <w:marTop w:val="0"/>
      <w:marBottom w:val="0"/>
      <w:divBdr>
        <w:top w:val="none" w:sz="0" w:space="0" w:color="auto"/>
        <w:left w:val="none" w:sz="0" w:space="0" w:color="auto"/>
        <w:bottom w:val="none" w:sz="0" w:space="0" w:color="auto"/>
        <w:right w:val="none" w:sz="0" w:space="0" w:color="auto"/>
      </w:divBdr>
    </w:div>
    <w:div w:id="214393381">
      <w:bodyDiv w:val="1"/>
      <w:marLeft w:val="0"/>
      <w:marRight w:val="0"/>
      <w:marTop w:val="0"/>
      <w:marBottom w:val="0"/>
      <w:divBdr>
        <w:top w:val="none" w:sz="0" w:space="0" w:color="auto"/>
        <w:left w:val="none" w:sz="0" w:space="0" w:color="auto"/>
        <w:bottom w:val="none" w:sz="0" w:space="0" w:color="auto"/>
        <w:right w:val="none" w:sz="0" w:space="0" w:color="auto"/>
      </w:divBdr>
    </w:div>
    <w:div w:id="237251670">
      <w:bodyDiv w:val="1"/>
      <w:marLeft w:val="0"/>
      <w:marRight w:val="0"/>
      <w:marTop w:val="0"/>
      <w:marBottom w:val="0"/>
      <w:divBdr>
        <w:top w:val="none" w:sz="0" w:space="0" w:color="auto"/>
        <w:left w:val="none" w:sz="0" w:space="0" w:color="auto"/>
        <w:bottom w:val="none" w:sz="0" w:space="0" w:color="auto"/>
        <w:right w:val="none" w:sz="0" w:space="0" w:color="auto"/>
      </w:divBdr>
    </w:div>
    <w:div w:id="240405833">
      <w:bodyDiv w:val="1"/>
      <w:marLeft w:val="0"/>
      <w:marRight w:val="0"/>
      <w:marTop w:val="0"/>
      <w:marBottom w:val="0"/>
      <w:divBdr>
        <w:top w:val="none" w:sz="0" w:space="0" w:color="auto"/>
        <w:left w:val="none" w:sz="0" w:space="0" w:color="auto"/>
        <w:bottom w:val="none" w:sz="0" w:space="0" w:color="auto"/>
        <w:right w:val="none" w:sz="0" w:space="0" w:color="auto"/>
      </w:divBdr>
    </w:div>
    <w:div w:id="436172223">
      <w:bodyDiv w:val="1"/>
      <w:marLeft w:val="0"/>
      <w:marRight w:val="0"/>
      <w:marTop w:val="0"/>
      <w:marBottom w:val="0"/>
      <w:divBdr>
        <w:top w:val="none" w:sz="0" w:space="0" w:color="auto"/>
        <w:left w:val="none" w:sz="0" w:space="0" w:color="auto"/>
        <w:bottom w:val="none" w:sz="0" w:space="0" w:color="auto"/>
        <w:right w:val="none" w:sz="0" w:space="0" w:color="auto"/>
      </w:divBdr>
    </w:div>
    <w:div w:id="520436818">
      <w:bodyDiv w:val="1"/>
      <w:marLeft w:val="0"/>
      <w:marRight w:val="0"/>
      <w:marTop w:val="0"/>
      <w:marBottom w:val="0"/>
      <w:divBdr>
        <w:top w:val="none" w:sz="0" w:space="0" w:color="auto"/>
        <w:left w:val="none" w:sz="0" w:space="0" w:color="auto"/>
        <w:bottom w:val="none" w:sz="0" w:space="0" w:color="auto"/>
        <w:right w:val="none" w:sz="0" w:space="0" w:color="auto"/>
      </w:divBdr>
    </w:div>
    <w:div w:id="844902401">
      <w:bodyDiv w:val="1"/>
      <w:marLeft w:val="0"/>
      <w:marRight w:val="0"/>
      <w:marTop w:val="0"/>
      <w:marBottom w:val="0"/>
      <w:divBdr>
        <w:top w:val="none" w:sz="0" w:space="0" w:color="auto"/>
        <w:left w:val="none" w:sz="0" w:space="0" w:color="auto"/>
        <w:bottom w:val="none" w:sz="0" w:space="0" w:color="auto"/>
        <w:right w:val="none" w:sz="0" w:space="0" w:color="auto"/>
      </w:divBdr>
    </w:div>
    <w:div w:id="930939823">
      <w:bodyDiv w:val="1"/>
      <w:marLeft w:val="0"/>
      <w:marRight w:val="0"/>
      <w:marTop w:val="0"/>
      <w:marBottom w:val="0"/>
      <w:divBdr>
        <w:top w:val="none" w:sz="0" w:space="0" w:color="auto"/>
        <w:left w:val="none" w:sz="0" w:space="0" w:color="auto"/>
        <w:bottom w:val="none" w:sz="0" w:space="0" w:color="auto"/>
        <w:right w:val="none" w:sz="0" w:space="0" w:color="auto"/>
      </w:divBdr>
    </w:div>
    <w:div w:id="1078285678">
      <w:bodyDiv w:val="1"/>
      <w:marLeft w:val="0"/>
      <w:marRight w:val="0"/>
      <w:marTop w:val="0"/>
      <w:marBottom w:val="0"/>
      <w:divBdr>
        <w:top w:val="none" w:sz="0" w:space="0" w:color="auto"/>
        <w:left w:val="none" w:sz="0" w:space="0" w:color="auto"/>
        <w:bottom w:val="none" w:sz="0" w:space="0" w:color="auto"/>
        <w:right w:val="none" w:sz="0" w:space="0" w:color="auto"/>
      </w:divBdr>
    </w:div>
    <w:div w:id="1237128736">
      <w:bodyDiv w:val="1"/>
      <w:marLeft w:val="0"/>
      <w:marRight w:val="0"/>
      <w:marTop w:val="0"/>
      <w:marBottom w:val="0"/>
      <w:divBdr>
        <w:top w:val="none" w:sz="0" w:space="0" w:color="auto"/>
        <w:left w:val="none" w:sz="0" w:space="0" w:color="auto"/>
        <w:bottom w:val="none" w:sz="0" w:space="0" w:color="auto"/>
        <w:right w:val="none" w:sz="0" w:space="0" w:color="auto"/>
      </w:divBdr>
    </w:div>
    <w:div w:id="1350986748">
      <w:bodyDiv w:val="1"/>
      <w:marLeft w:val="0"/>
      <w:marRight w:val="0"/>
      <w:marTop w:val="0"/>
      <w:marBottom w:val="0"/>
      <w:divBdr>
        <w:top w:val="none" w:sz="0" w:space="0" w:color="auto"/>
        <w:left w:val="none" w:sz="0" w:space="0" w:color="auto"/>
        <w:bottom w:val="none" w:sz="0" w:space="0" w:color="auto"/>
        <w:right w:val="none" w:sz="0" w:space="0" w:color="auto"/>
      </w:divBdr>
    </w:div>
    <w:div w:id="1381203890">
      <w:bodyDiv w:val="1"/>
      <w:marLeft w:val="0"/>
      <w:marRight w:val="0"/>
      <w:marTop w:val="0"/>
      <w:marBottom w:val="0"/>
      <w:divBdr>
        <w:top w:val="none" w:sz="0" w:space="0" w:color="auto"/>
        <w:left w:val="none" w:sz="0" w:space="0" w:color="auto"/>
        <w:bottom w:val="none" w:sz="0" w:space="0" w:color="auto"/>
        <w:right w:val="none" w:sz="0" w:space="0" w:color="auto"/>
      </w:divBdr>
    </w:div>
    <w:div w:id="1400787645">
      <w:bodyDiv w:val="1"/>
      <w:marLeft w:val="0"/>
      <w:marRight w:val="0"/>
      <w:marTop w:val="0"/>
      <w:marBottom w:val="0"/>
      <w:divBdr>
        <w:top w:val="none" w:sz="0" w:space="0" w:color="auto"/>
        <w:left w:val="none" w:sz="0" w:space="0" w:color="auto"/>
        <w:bottom w:val="none" w:sz="0" w:space="0" w:color="auto"/>
        <w:right w:val="none" w:sz="0" w:space="0" w:color="auto"/>
      </w:divBdr>
    </w:div>
    <w:div w:id="1465582459">
      <w:bodyDiv w:val="1"/>
      <w:marLeft w:val="0"/>
      <w:marRight w:val="0"/>
      <w:marTop w:val="0"/>
      <w:marBottom w:val="0"/>
      <w:divBdr>
        <w:top w:val="none" w:sz="0" w:space="0" w:color="auto"/>
        <w:left w:val="none" w:sz="0" w:space="0" w:color="auto"/>
        <w:bottom w:val="none" w:sz="0" w:space="0" w:color="auto"/>
        <w:right w:val="none" w:sz="0" w:space="0" w:color="auto"/>
      </w:divBdr>
    </w:div>
    <w:div w:id="1590503023">
      <w:bodyDiv w:val="1"/>
      <w:marLeft w:val="0"/>
      <w:marRight w:val="0"/>
      <w:marTop w:val="0"/>
      <w:marBottom w:val="0"/>
      <w:divBdr>
        <w:top w:val="none" w:sz="0" w:space="0" w:color="auto"/>
        <w:left w:val="none" w:sz="0" w:space="0" w:color="auto"/>
        <w:bottom w:val="none" w:sz="0" w:space="0" w:color="auto"/>
        <w:right w:val="none" w:sz="0" w:space="0" w:color="auto"/>
      </w:divBdr>
    </w:div>
    <w:div w:id="1624113878">
      <w:bodyDiv w:val="1"/>
      <w:marLeft w:val="0"/>
      <w:marRight w:val="0"/>
      <w:marTop w:val="0"/>
      <w:marBottom w:val="0"/>
      <w:divBdr>
        <w:top w:val="none" w:sz="0" w:space="0" w:color="auto"/>
        <w:left w:val="none" w:sz="0" w:space="0" w:color="auto"/>
        <w:bottom w:val="none" w:sz="0" w:space="0" w:color="auto"/>
        <w:right w:val="none" w:sz="0" w:space="0" w:color="auto"/>
      </w:divBdr>
    </w:div>
    <w:div w:id="1654291331">
      <w:bodyDiv w:val="1"/>
      <w:marLeft w:val="0"/>
      <w:marRight w:val="0"/>
      <w:marTop w:val="0"/>
      <w:marBottom w:val="0"/>
      <w:divBdr>
        <w:top w:val="none" w:sz="0" w:space="0" w:color="auto"/>
        <w:left w:val="none" w:sz="0" w:space="0" w:color="auto"/>
        <w:bottom w:val="none" w:sz="0" w:space="0" w:color="auto"/>
        <w:right w:val="none" w:sz="0" w:space="0" w:color="auto"/>
      </w:divBdr>
    </w:div>
    <w:div w:id="1719553712">
      <w:bodyDiv w:val="1"/>
      <w:marLeft w:val="0"/>
      <w:marRight w:val="0"/>
      <w:marTop w:val="0"/>
      <w:marBottom w:val="0"/>
      <w:divBdr>
        <w:top w:val="none" w:sz="0" w:space="0" w:color="auto"/>
        <w:left w:val="none" w:sz="0" w:space="0" w:color="auto"/>
        <w:bottom w:val="none" w:sz="0" w:space="0" w:color="auto"/>
        <w:right w:val="none" w:sz="0" w:space="0" w:color="auto"/>
      </w:divBdr>
    </w:div>
    <w:div w:id="1729185571">
      <w:bodyDiv w:val="1"/>
      <w:marLeft w:val="0"/>
      <w:marRight w:val="0"/>
      <w:marTop w:val="0"/>
      <w:marBottom w:val="0"/>
      <w:divBdr>
        <w:top w:val="none" w:sz="0" w:space="0" w:color="auto"/>
        <w:left w:val="none" w:sz="0" w:space="0" w:color="auto"/>
        <w:bottom w:val="none" w:sz="0" w:space="0" w:color="auto"/>
        <w:right w:val="none" w:sz="0" w:space="0" w:color="auto"/>
      </w:divBdr>
    </w:div>
    <w:div w:id="1770660349">
      <w:bodyDiv w:val="1"/>
      <w:marLeft w:val="0"/>
      <w:marRight w:val="0"/>
      <w:marTop w:val="0"/>
      <w:marBottom w:val="0"/>
      <w:divBdr>
        <w:top w:val="none" w:sz="0" w:space="0" w:color="auto"/>
        <w:left w:val="none" w:sz="0" w:space="0" w:color="auto"/>
        <w:bottom w:val="none" w:sz="0" w:space="0" w:color="auto"/>
        <w:right w:val="none" w:sz="0" w:space="0" w:color="auto"/>
      </w:divBdr>
    </w:div>
    <w:div w:id="1865822613">
      <w:bodyDiv w:val="1"/>
      <w:marLeft w:val="0"/>
      <w:marRight w:val="0"/>
      <w:marTop w:val="0"/>
      <w:marBottom w:val="0"/>
      <w:divBdr>
        <w:top w:val="none" w:sz="0" w:space="0" w:color="auto"/>
        <w:left w:val="none" w:sz="0" w:space="0" w:color="auto"/>
        <w:bottom w:val="none" w:sz="0" w:space="0" w:color="auto"/>
        <w:right w:val="none" w:sz="0" w:space="0" w:color="auto"/>
      </w:divBdr>
    </w:div>
    <w:div w:id="20568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1a6662c-16b3-437a-8923-55b9474192d6" ContentTypeId="0x0101" PreviousValue="false"/>
</file>

<file path=customXml/itemProps1.xml><?xml version="1.0" encoding="utf-8"?>
<ds:datastoreItem xmlns:ds="http://schemas.openxmlformats.org/officeDocument/2006/customXml" ds:itemID="{DA33A6FD-5A17-46E3-BE5B-16E7063C6DAE}">
  <ds:schemaRefs>
    <ds:schemaRef ds:uri="http://schemas.microsoft.com/sharepoint/v3/contenttype/forms"/>
  </ds:schemaRefs>
</ds:datastoreItem>
</file>

<file path=customXml/itemProps2.xml><?xml version="1.0" encoding="utf-8"?>
<ds:datastoreItem xmlns:ds="http://schemas.openxmlformats.org/officeDocument/2006/customXml" ds:itemID="{95FCFC57-BE2C-4A75-94A3-2279F90EB73D}">
  <ds:schemaRefs>
    <ds:schemaRef ds:uri="9611940c-f26a-4ab6-8372-bc097adbcb9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d3267d-cb51-4a49-af1a-1c66595e5d7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45EC151-1438-4712-96FF-EB9704C77801}"/>
</file>

<file path=customXml/itemProps4.xml><?xml version="1.0" encoding="utf-8"?>
<ds:datastoreItem xmlns:ds="http://schemas.openxmlformats.org/officeDocument/2006/customXml" ds:itemID="{C1EF2B6B-9EDF-47BC-A619-62E89BA6C4B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6980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Kraybill</dc:creator>
  <cp:keywords/>
  <dc:description/>
  <cp:lastModifiedBy>Carly Kraybill</cp:lastModifiedBy>
  <cp:revision>2</cp:revision>
  <dcterms:created xsi:type="dcterms:W3CDTF">2020-06-18T18:47:00Z</dcterms:created>
  <dcterms:modified xsi:type="dcterms:W3CDTF">2020-06-18T18:47:00Z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