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966C87" w:rsidRDefault="00807A9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Violaciones al derecho a la vivienda en </w:t>
      </w:r>
      <w:bookmarkStart w:id="0" w:name="_GoBack"/>
      <w:r>
        <w:rPr>
          <w:rFonts w:ascii="Times New Roman" w:eastAsia="Times New Roman" w:hAnsi="Times New Roman" w:cs="Times New Roman"/>
          <w:b/>
          <w:sz w:val="24"/>
          <w:szCs w:val="24"/>
        </w:rPr>
        <w:t xml:space="preserve">São Paulo </w:t>
      </w:r>
      <w:bookmarkEnd w:id="0"/>
      <w:r>
        <w:rPr>
          <w:rFonts w:ascii="Times New Roman" w:eastAsia="Times New Roman" w:hAnsi="Times New Roman" w:cs="Times New Roman"/>
          <w:b/>
          <w:sz w:val="24"/>
          <w:szCs w:val="24"/>
        </w:rPr>
        <w:t xml:space="preserve">en el contexto de la pandemia </w:t>
      </w:r>
      <w:proofErr w:type="gramStart"/>
      <w:r>
        <w:rPr>
          <w:rFonts w:ascii="Times New Roman" w:eastAsia="Times New Roman" w:hAnsi="Times New Roman" w:cs="Times New Roman"/>
          <w:b/>
          <w:sz w:val="24"/>
          <w:szCs w:val="24"/>
        </w:rPr>
        <w:t>del</w:t>
      </w:r>
      <w:proofErr w:type="gramEnd"/>
      <w:r>
        <w:rPr>
          <w:rFonts w:ascii="Times New Roman" w:eastAsia="Times New Roman" w:hAnsi="Times New Roman" w:cs="Times New Roman"/>
          <w:b/>
          <w:sz w:val="24"/>
          <w:szCs w:val="24"/>
        </w:rPr>
        <w:t xml:space="preserve"> nuevo coronavirus </w:t>
      </w:r>
    </w:p>
    <w:p w14:paraId="00000002" w14:textId="77777777" w:rsidR="00966C87" w:rsidRDefault="00966C87">
      <w:pPr>
        <w:spacing w:line="360" w:lineRule="auto"/>
        <w:jc w:val="both"/>
        <w:rPr>
          <w:rFonts w:ascii="Times New Roman" w:eastAsia="Times New Roman" w:hAnsi="Times New Roman" w:cs="Times New Roman"/>
          <w:sz w:val="24"/>
          <w:szCs w:val="24"/>
        </w:rPr>
      </w:pPr>
    </w:p>
    <w:p w14:paraId="00000003" w14:textId="77777777" w:rsidR="00966C87" w:rsidRDefault="00807A9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Ante el avance acelerado de la pandemia </w:t>
      </w:r>
      <w:proofErr w:type="gramStart"/>
      <w:r>
        <w:rPr>
          <w:rFonts w:ascii="Times New Roman" w:eastAsia="Times New Roman" w:hAnsi="Times New Roman" w:cs="Times New Roman"/>
          <w:sz w:val="24"/>
          <w:szCs w:val="24"/>
        </w:rPr>
        <w:t>del</w:t>
      </w:r>
      <w:proofErr w:type="gramEnd"/>
      <w:r>
        <w:rPr>
          <w:rFonts w:ascii="Times New Roman" w:eastAsia="Times New Roman" w:hAnsi="Times New Roman" w:cs="Times New Roman"/>
          <w:sz w:val="24"/>
          <w:szCs w:val="24"/>
        </w:rPr>
        <w:t xml:space="preserve"> nuevo coronavirus por el mundo, Brasil perdió la oportunidad de anticiparse y prepararse de forma calificada para su llegada -- ya que por estar </w:t>
      </w:r>
      <w:r>
        <w:rPr>
          <w:rFonts w:ascii="Times New Roman" w:eastAsia="Times New Roman" w:hAnsi="Times New Roman" w:cs="Times New Roman"/>
          <w:sz w:val="24"/>
          <w:szCs w:val="24"/>
        </w:rPr>
        <w:lastRenderedPageBreak/>
        <w:t xml:space="preserve">geográficamente más distante de su epicentro inicial, tuvo algunos </w:t>
      </w:r>
      <w:r>
        <w:rPr>
          <w:rFonts w:ascii="Times New Roman" w:eastAsia="Times New Roman" w:hAnsi="Times New Roman" w:cs="Times New Roman"/>
          <w:sz w:val="24"/>
          <w:szCs w:val="24"/>
        </w:rPr>
        <w:t xml:space="preserve">meses acompañando de lejos el avance y los daños causados por el virus. Ni antes </w:t>
      </w:r>
      <w:proofErr w:type="gramStart"/>
      <w:r>
        <w:rPr>
          <w:rFonts w:ascii="Times New Roman" w:eastAsia="Times New Roman" w:hAnsi="Times New Roman" w:cs="Times New Roman"/>
          <w:sz w:val="24"/>
          <w:szCs w:val="24"/>
        </w:rPr>
        <w:t>ni</w:t>
      </w:r>
      <w:proofErr w:type="gramEnd"/>
      <w:r>
        <w:rPr>
          <w:rFonts w:ascii="Times New Roman" w:eastAsia="Times New Roman" w:hAnsi="Times New Roman" w:cs="Times New Roman"/>
          <w:sz w:val="24"/>
          <w:szCs w:val="24"/>
        </w:rPr>
        <w:t xml:space="preserve"> después cuando los números de contagio, hospitalizaciones y muertes se convirtieron en una realidad cotidiana y creciente, el estado brasileño -- en sus diferentes esferas </w:t>
      </w:r>
      <w:r>
        <w:rPr>
          <w:rFonts w:ascii="Times New Roman" w:eastAsia="Times New Roman" w:hAnsi="Times New Roman" w:cs="Times New Roman"/>
          <w:sz w:val="24"/>
          <w:szCs w:val="24"/>
        </w:rPr>
        <w:t xml:space="preserve">e instancias de poder -- adoptó alguna política integral de protección y de soporte a los territorios y poblaciones </w:t>
      </w:r>
      <w:r>
        <w:rPr>
          <w:rFonts w:ascii="Times New Roman" w:eastAsia="Times New Roman" w:hAnsi="Times New Roman" w:cs="Times New Roman"/>
          <w:sz w:val="24"/>
          <w:szCs w:val="24"/>
        </w:rPr>
        <w:lastRenderedPageBreak/>
        <w:t>más vulnerables y expuestos al contagio y a sus efectos negativos</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w:t>
      </w:r>
    </w:p>
    <w:p w14:paraId="00000004" w14:textId="77777777" w:rsidR="00966C87" w:rsidRDefault="00966C87">
      <w:pPr>
        <w:spacing w:line="360" w:lineRule="auto"/>
        <w:jc w:val="both"/>
        <w:rPr>
          <w:rFonts w:ascii="Times New Roman" w:eastAsia="Times New Roman" w:hAnsi="Times New Roman" w:cs="Times New Roman"/>
          <w:sz w:val="24"/>
          <w:szCs w:val="24"/>
        </w:rPr>
      </w:pPr>
    </w:p>
    <w:p w14:paraId="00000005" w14:textId="77777777" w:rsidR="00966C87" w:rsidRDefault="00807A9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Ante esto, corresponde a la sociedad civil -- con toda su diversidad, d</w:t>
      </w:r>
      <w:r>
        <w:rPr>
          <w:rFonts w:ascii="Times New Roman" w:eastAsia="Times New Roman" w:hAnsi="Times New Roman" w:cs="Times New Roman"/>
          <w:sz w:val="24"/>
          <w:szCs w:val="24"/>
        </w:rPr>
        <w:t xml:space="preserve">istinciones y heterogeneidad que la compone -- organizarse, movilizarse, y moverse en el sentido de proveer medidas </w:t>
      </w:r>
      <w:r>
        <w:rPr>
          <w:rFonts w:ascii="Times New Roman" w:eastAsia="Times New Roman" w:hAnsi="Times New Roman" w:cs="Times New Roman"/>
          <w:sz w:val="24"/>
          <w:szCs w:val="24"/>
        </w:rPr>
        <w:lastRenderedPageBreak/>
        <w:t>de emergencia, urgencia de protección, mitigación de los riesgos y perjuicios de la pandemia, sobre todo para los más pobres, con menos cond</w:t>
      </w:r>
      <w:r>
        <w:rPr>
          <w:rFonts w:ascii="Times New Roman" w:eastAsia="Times New Roman" w:hAnsi="Times New Roman" w:cs="Times New Roman"/>
          <w:sz w:val="24"/>
          <w:szCs w:val="24"/>
        </w:rPr>
        <w:t xml:space="preserve">iciones económicas y de infraestructura, más expuestos a los riesgos impuestos por el nuevo coronavirus. Así, movimientos sociales histórica y socialmente reconocidos, organizados, gremios profesionales y sindicales, asociaciones de </w:t>
      </w:r>
      <w:r>
        <w:rPr>
          <w:rFonts w:ascii="Times New Roman" w:eastAsia="Times New Roman" w:hAnsi="Times New Roman" w:cs="Times New Roman"/>
          <w:sz w:val="24"/>
          <w:szCs w:val="24"/>
        </w:rPr>
        <w:lastRenderedPageBreak/>
        <w:t>barrio, comunitarias, i</w:t>
      </w:r>
      <w:r>
        <w:rPr>
          <w:rFonts w:ascii="Times New Roman" w:eastAsia="Times New Roman" w:hAnsi="Times New Roman" w:cs="Times New Roman"/>
          <w:sz w:val="24"/>
          <w:szCs w:val="24"/>
        </w:rPr>
        <w:t>glesias, congregaciones religiosas, colectivos culturales y políticos (organizados y autónomos), instituciones, centros universitarios y de investigación, así como muchas otras redes y grupos sociales, pasaron a articular y promover campañas, acciones de p</w:t>
      </w:r>
      <w:r>
        <w:rPr>
          <w:rFonts w:ascii="Times New Roman" w:eastAsia="Times New Roman" w:hAnsi="Times New Roman" w:cs="Times New Roman"/>
          <w:sz w:val="24"/>
          <w:szCs w:val="24"/>
        </w:rPr>
        <w:t xml:space="preserve">rotección y solidarias en los barrios, territorios y áreas de actuación que les competen con la intención de presionar el poder público y buscar disminuir el </w:t>
      </w:r>
      <w:r>
        <w:rPr>
          <w:rFonts w:ascii="Times New Roman" w:eastAsia="Times New Roman" w:hAnsi="Times New Roman" w:cs="Times New Roman"/>
          <w:sz w:val="24"/>
          <w:szCs w:val="24"/>
        </w:rPr>
        <w:lastRenderedPageBreak/>
        <w:t>sufrimiento y las inseguridades que se intensificaron en la vida de todos, pero con mayor gravedad</w:t>
      </w:r>
      <w:r>
        <w:rPr>
          <w:rFonts w:ascii="Times New Roman" w:eastAsia="Times New Roman" w:hAnsi="Times New Roman" w:cs="Times New Roman"/>
          <w:sz w:val="24"/>
          <w:szCs w:val="24"/>
        </w:rPr>
        <w:t xml:space="preserve"> en los más pobres.</w:t>
      </w:r>
    </w:p>
    <w:p w14:paraId="00000006" w14:textId="77777777" w:rsidR="00966C87" w:rsidRDefault="00966C87">
      <w:pPr>
        <w:spacing w:line="360" w:lineRule="auto"/>
        <w:jc w:val="both"/>
        <w:rPr>
          <w:rFonts w:ascii="Times New Roman" w:eastAsia="Times New Roman" w:hAnsi="Times New Roman" w:cs="Times New Roman"/>
          <w:sz w:val="24"/>
          <w:szCs w:val="24"/>
        </w:rPr>
      </w:pPr>
    </w:p>
    <w:p w14:paraId="00000007" w14:textId="77777777" w:rsidR="00966C87" w:rsidRDefault="00966C87">
      <w:pPr>
        <w:spacing w:line="360" w:lineRule="auto"/>
        <w:jc w:val="both"/>
        <w:rPr>
          <w:rFonts w:ascii="Times New Roman" w:eastAsia="Times New Roman" w:hAnsi="Times New Roman" w:cs="Times New Roman"/>
          <w:sz w:val="24"/>
          <w:szCs w:val="24"/>
        </w:rPr>
      </w:pPr>
    </w:p>
    <w:p w14:paraId="00000008" w14:textId="77777777" w:rsidR="00966C87" w:rsidRDefault="00807A9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número y la cantidad de acciones son, felizmente, muchas y la lista es larga siendo imposible registrar todas, a pesar de los </w:t>
      </w:r>
      <w:r>
        <w:rPr>
          <w:rFonts w:ascii="Times New Roman" w:eastAsia="Times New Roman" w:hAnsi="Times New Roman" w:cs="Times New Roman"/>
          <w:sz w:val="24"/>
          <w:szCs w:val="24"/>
        </w:rPr>
        <w:lastRenderedPageBreak/>
        <w:t>diferentes y variados esfuerzos</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Como ejemplo podemos citar la campaña “Cuartos de la cuarentena” [</w:t>
      </w:r>
      <w:r>
        <w:rPr>
          <w:rFonts w:ascii="Times New Roman" w:eastAsia="Times New Roman" w:hAnsi="Times New Roman" w:cs="Times New Roman"/>
          <w:i/>
          <w:sz w:val="24"/>
          <w:szCs w:val="24"/>
        </w:rPr>
        <w:t>Quart</w:t>
      </w:r>
      <w:r>
        <w:rPr>
          <w:rFonts w:ascii="Times New Roman" w:eastAsia="Times New Roman" w:hAnsi="Times New Roman" w:cs="Times New Roman"/>
          <w:i/>
          <w:sz w:val="24"/>
          <w:szCs w:val="24"/>
        </w:rPr>
        <w:t>os da quarentena</w:t>
      </w:r>
      <w:r>
        <w:rPr>
          <w:rFonts w:ascii="Times New Roman" w:eastAsia="Times New Roman" w:hAnsi="Times New Roman" w:cs="Times New Roman"/>
          <w:sz w:val="24"/>
          <w:szCs w:val="24"/>
        </w:rPr>
        <w:t xml:space="preserve">] que propone la utilización de los cuartos vacíos de los hoteles existentes para población en situación de calle o sin condiciones </w:t>
      </w:r>
      <w:r>
        <w:rPr>
          <w:rFonts w:ascii="Times New Roman" w:eastAsia="Times New Roman" w:hAnsi="Times New Roman" w:cs="Times New Roman"/>
          <w:sz w:val="24"/>
          <w:szCs w:val="24"/>
        </w:rPr>
        <w:lastRenderedPageBreak/>
        <w:t>de mantener el aislamiento</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O las mismas, fundamentales, campañas de donación e iniciativas preventivas, in</w:t>
      </w:r>
      <w:r>
        <w:rPr>
          <w:rFonts w:ascii="Times New Roman" w:eastAsia="Times New Roman" w:hAnsi="Times New Roman" w:cs="Times New Roman"/>
          <w:sz w:val="24"/>
          <w:szCs w:val="24"/>
        </w:rPr>
        <w:t xml:space="preserve">formativas y de </w:t>
      </w:r>
      <w:r>
        <w:rPr>
          <w:rFonts w:ascii="Times New Roman" w:eastAsia="Times New Roman" w:hAnsi="Times New Roman" w:cs="Times New Roman"/>
          <w:sz w:val="24"/>
          <w:szCs w:val="24"/>
        </w:rPr>
        <w:lastRenderedPageBreak/>
        <w:t>salud realizadas por las propias comunidades en las periferias, favelas y ocupaciones de las ciudades</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w:t>
      </w:r>
    </w:p>
    <w:p w14:paraId="00000009" w14:textId="77777777" w:rsidR="00966C87" w:rsidRDefault="00966C87">
      <w:pPr>
        <w:spacing w:line="360" w:lineRule="auto"/>
        <w:jc w:val="both"/>
        <w:rPr>
          <w:rFonts w:ascii="Times New Roman" w:eastAsia="Times New Roman" w:hAnsi="Times New Roman" w:cs="Times New Roman"/>
          <w:sz w:val="24"/>
          <w:szCs w:val="24"/>
        </w:rPr>
      </w:pPr>
    </w:p>
    <w:p w14:paraId="0000000A" w14:textId="77777777" w:rsidR="00966C87" w:rsidRDefault="00807A9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de la tercera semana de marzo, el estado de São Paulo entró en estado de emergencia y comenzó a adoptar medidas de </w:t>
      </w:r>
      <w:r>
        <w:rPr>
          <w:rFonts w:ascii="Times New Roman" w:eastAsia="Times New Roman" w:hAnsi="Times New Roman" w:cs="Times New Roman"/>
          <w:sz w:val="24"/>
          <w:szCs w:val="24"/>
        </w:rPr>
        <w:lastRenderedPageBreak/>
        <w:t>enfrentamie</w:t>
      </w:r>
      <w:r>
        <w:rPr>
          <w:rFonts w:ascii="Times New Roman" w:eastAsia="Times New Roman" w:hAnsi="Times New Roman" w:cs="Times New Roman"/>
          <w:sz w:val="24"/>
          <w:szCs w:val="24"/>
        </w:rPr>
        <w:t>nto a la pandemia del nuevo coronavirus, siendo una de las principales medidas el distanciamiento social.</w:t>
      </w:r>
    </w:p>
    <w:p w14:paraId="0000000B" w14:textId="77777777" w:rsidR="00966C87" w:rsidRDefault="00966C87">
      <w:pPr>
        <w:spacing w:line="360" w:lineRule="auto"/>
        <w:jc w:val="both"/>
        <w:rPr>
          <w:rFonts w:ascii="Times New Roman" w:eastAsia="Times New Roman" w:hAnsi="Times New Roman" w:cs="Times New Roman"/>
          <w:sz w:val="24"/>
          <w:szCs w:val="24"/>
        </w:rPr>
      </w:pPr>
    </w:p>
    <w:p w14:paraId="0000000C" w14:textId="77777777" w:rsidR="00966C87" w:rsidRDefault="00807A9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(1a) </w:t>
      </w:r>
      <w:r>
        <w:rPr>
          <w:rFonts w:ascii="Times New Roman" w:eastAsia="Times New Roman" w:hAnsi="Times New Roman" w:cs="Times New Roman"/>
          <w:sz w:val="24"/>
          <w:szCs w:val="24"/>
        </w:rPr>
        <w:t xml:space="preserve">En contra de esa medida, Brasil no aprobó ninguna legislación que suspendieran los desalojos y las remociones. El proyecto de ley nº 1179/2020, </w:t>
      </w:r>
      <w:r>
        <w:rPr>
          <w:rFonts w:ascii="Times New Roman" w:eastAsia="Times New Roman" w:hAnsi="Times New Roman" w:cs="Times New Roman"/>
          <w:sz w:val="24"/>
          <w:szCs w:val="24"/>
        </w:rPr>
        <w:t>relativo al régimen jurídico de emer</w:t>
      </w:r>
      <w:r>
        <w:rPr>
          <w:rFonts w:ascii="Times New Roman" w:eastAsia="Times New Roman" w:hAnsi="Times New Roman" w:cs="Times New Roman"/>
          <w:sz w:val="24"/>
          <w:szCs w:val="24"/>
        </w:rPr>
        <w:lastRenderedPageBreak/>
        <w:t xml:space="preserve">gencia </w:t>
      </w:r>
      <w:proofErr w:type="gramStart"/>
      <w:r>
        <w:rPr>
          <w:rFonts w:ascii="Times New Roman" w:eastAsia="Times New Roman" w:hAnsi="Times New Roman" w:cs="Times New Roman"/>
          <w:sz w:val="24"/>
          <w:szCs w:val="24"/>
        </w:rPr>
        <w:t>durante</w:t>
      </w:r>
      <w:proofErr w:type="gramEnd"/>
      <w:r>
        <w:rPr>
          <w:rFonts w:ascii="Times New Roman" w:eastAsia="Times New Roman" w:hAnsi="Times New Roman" w:cs="Times New Roman"/>
          <w:sz w:val="24"/>
          <w:szCs w:val="24"/>
        </w:rPr>
        <w:t xml:space="preserve"> a la pandemia, consideraba la suspensión de desalojos por el no pago de arriendo de inmueble urbano concebido como una medida cautelar, o sea, una decisión en menos de 15 días sin considerar al arrendatari</w:t>
      </w:r>
      <w:r>
        <w:rPr>
          <w:rFonts w:ascii="Times New Roman" w:eastAsia="Times New Roman" w:hAnsi="Times New Roman" w:cs="Times New Roman"/>
          <w:sz w:val="24"/>
          <w:szCs w:val="24"/>
        </w:rPr>
        <w:t xml:space="preserve">o. Aunque se trataba de </w:t>
      </w:r>
      <w:r>
        <w:rPr>
          <w:rFonts w:ascii="Times New Roman" w:eastAsia="Times New Roman" w:hAnsi="Times New Roman" w:cs="Times New Roman"/>
          <w:sz w:val="24"/>
          <w:szCs w:val="24"/>
        </w:rPr>
        <w:lastRenderedPageBreak/>
        <w:t>una medida bastante limitada</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esta no fue promulgada. Al aprobar el texto que se convirtió en la Ley nº 14.010/2020</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el presidente Jair Bolsonaro vetó la medida. </w:t>
      </w:r>
    </w:p>
    <w:p w14:paraId="0000000D" w14:textId="77777777" w:rsidR="00966C87" w:rsidRDefault="00966C87">
      <w:pPr>
        <w:spacing w:line="360" w:lineRule="auto"/>
        <w:jc w:val="both"/>
        <w:rPr>
          <w:rFonts w:ascii="Times New Roman" w:eastAsia="Times New Roman" w:hAnsi="Times New Roman" w:cs="Times New Roman"/>
          <w:sz w:val="24"/>
          <w:szCs w:val="24"/>
        </w:rPr>
      </w:pPr>
    </w:p>
    <w:p w14:paraId="0000000E" w14:textId="77777777" w:rsidR="00966C87" w:rsidRDefault="00807A9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Por otro lado, el proyecto de ley nº 1975/2020</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que trata sobre "</w:t>
      </w:r>
      <w:r>
        <w:rPr>
          <w:rFonts w:ascii="Times New Roman" w:eastAsia="Times New Roman" w:hAnsi="Times New Roman" w:cs="Times New Roman"/>
          <w:sz w:val="24"/>
          <w:szCs w:val="24"/>
        </w:rPr>
        <w:t xml:space="preserve">la suspensión </w:t>
      </w:r>
      <w:proofErr w:type="gramStart"/>
      <w:r>
        <w:rPr>
          <w:rFonts w:ascii="Times New Roman" w:eastAsia="Times New Roman" w:hAnsi="Times New Roman" w:cs="Times New Roman"/>
          <w:sz w:val="24"/>
          <w:szCs w:val="24"/>
        </w:rPr>
        <w:t>del</w:t>
      </w:r>
      <w:proofErr w:type="gramEnd"/>
      <w:r>
        <w:rPr>
          <w:rFonts w:ascii="Times New Roman" w:eastAsia="Times New Roman" w:hAnsi="Times New Roman" w:cs="Times New Roman"/>
          <w:sz w:val="24"/>
          <w:szCs w:val="24"/>
        </w:rPr>
        <w:t xml:space="preserve"> cumplimiento de cualquier medida judicial, extrajudicial o administrativa que dé lugar a desahucios, desalo</w:t>
      </w:r>
      <w:r>
        <w:rPr>
          <w:rFonts w:ascii="Times New Roman" w:eastAsia="Times New Roman" w:hAnsi="Times New Roman" w:cs="Times New Roman"/>
          <w:sz w:val="24"/>
          <w:szCs w:val="24"/>
        </w:rPr>
        <w:lastRenderedPageBreak/>
        <w:t>jos o remociones forzadas, durante el estado de calamidad pública reconocido por el COVID-19", hasta el momento no ha sido votada e</w:t>
      </w:r>
      <w:r>
        <w:rPr>
          <w:rFonts w:ascii="Times New Roman" w:eastAsia="Times New Roman" w:hAnsi="Times New Roman" w:cs="Times New Roman"/>
          <w:sz w:val="24"/>
          <w:szCs w:val="24"/>
        </w:rPr>
        <w:t>n la Cámara de Diputados.</w:t>
      </w:r>
    </w:p>
    <w:p w14:paraId="0000000F" w14:textId="77777777" w:rsidR="00966C87" w:rsidRDefault="00966C87">
      <w:pPr>
        <w:spacing w:line="360" w:lineRule="auto"/>
        <w:jc w:val="both"/>
        <w:rPr>
          <w:rFonts w:ascii="Times New Roman" w:eastAsia="Times New Roman" w:hAnsi="Times New Roman" w:cs="Times New Roman"/>
          <w:sz w:val="24"/>
          <w:szCs w:val="24"/>
        </w:rPr>
      </w:pPr>
    </w:p>
    <w:p w14:paraId="00000010" w14:textId="77777777" w:rsidR="00966C87" w:rsidRDefault="00966C87">
      <w:pPr>
        <w:spacing w:line="360" w:lineRule="auto"/>
        <w:jc w:val="both"/>
        <w:rPr>
          <w:rFonts w:ascii="Times New Roman" w:eastAsia="Times New Roman" w:hAnsi="Times New Roman" w:cs="Times New Roman"/>
          <w:sz w:val="24"/>
          <w:szCs w:val="24"/>
        </w:rPr>
      </w:pPr>
    </w:p>
    <w:p w14:paraId="00000011" w14:textId="77777777" w:rsidR="00966C87" w:rsidRDefault="00807A9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el mes de junio, una decisión judicial de la Corte Federal suspende el cobro de las cuotas mensuales para todos los beneficiarios de la franja 1 [</w:t>
      </w:r>
      <w:r>
        <w:rPr>
          <w:rFonts w:ascii="Times New Roman" w:eastAsia="Times New Roman" w:hAnsi="Times New Roman" w:cs="Times New Roman"/>
          <w:i/>
          <w:sz w:val="24"/>
          <w:szCs w:val="24"/>
        </w:rPr>
        <w:t>faixa 1</w:t>
      </w:r>
      <w:r>
        <w:rPr>
          <w:rFonts w:ascii="Times New Roman" w:eastAsia="Times New Roman" w:hAnsi="Times New Roman" w:cs="Times New Roman"/>
          <w:sz w:val="24"/>
          <w:szCs w:val="24"/>
        </w:rPr>
        <w:t xml:space="preserve">] (para familias con ingresos de hasta R$ 1800) del programa federal de </w:t>
      </w:r>
      <w:r>
        <w:rPr>
          <w:rFonts w:ascii="Times New Roman" w:eastAsia="Times New Roman" w:hAnsi="Times New Roman" w:cs="Times New Roman"/>
          <w:sz w:val="24"/>
          <w:szCs w:val="24"/>
        </w:rPr>
        <w:t xml:space="preserve">vivienda Mi Casa, Mi Vida, por tres meses, en el estado de São Paulo. Esta decisión fue el resultado de </w:t>
      </w:r>
      <w:proofErr w:type="gramStart"/>
      <w:r>
        <w:rPr>
          <w:rFonts w:ascii="Times New Roman" w:eastAsia="Times New Roman" w:hAnsi="Times New Roman" w:cs="Times New Roman"/>
          <w:sz w:val="24"/>
          <w:szCs w:val="24"/>
        </w:rPr>
        <w:t>un</w:t>
      </w:r>
      <w:proofErr w:type="gramEnd"/>
      <w:r>
        <w:rPr>
          <w:rFonts w:ascii="Times New Roman" w:eastAsia="Times New Roman" w:hAnsi="Times New Roman" w:cs="Times New Roman"/>
          <w:sz w:val="24"/>
          <w:szCs w:val="24"/>
        </w:rPr>
        <w:t xml:space="preserve"> recurso realizado por el MTST (Movimiento de Trabajadores Sin Techo).</w:t>
      </w:r>
    </w:p>
    <w:p w14:paraId="00000012" w14:textId="77777777" w:rsidR="00966C87" w:rsidRDefault="00966C87">
      <w:pPr>
        <w:spacing w:line="360" w:lineRule="auto"/>
        <w:jc w:val="both"/>
        <w:rPr>
          <w:rFonts w:ascii="Times New Roman" w:eastAsia="Times New Roman" w:hAnsi="Times New Roman" w:cs="Times New Roman"/>
          <w:sz w:val="24"/>
          <w:szCs w:val="24"/>
        </w:rPr>
      </w:pPr>
    </w:p>
    <w:p w14:paraId="00000013" w14:textId="77777777" w:rsidR="00966C87" w:rsidRDefault="00807A95">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También en el ámbito federal, el Consejo Nacional de Justicia (CNJ), órgano re</w:t>
      </w:r>
      <w:r>
        <w:rPr>
          <w:rFonts w:ascii="Times New Roman" w:eastAsia="Times New Roman" w:hAnsi="Times New Roman" w:cs="Times New Roman"/>
          <w:sz w:val="24"/>
          <w:szCs w:val="24"/>
        </w:rPr>
        <w:t xml:space="preserve">sponsable de desarrollar políticas judiciales en el ámbito nacional, editó sucesivas recomendaciones determinando no sólo la suspensión de plazos judiciales, pero también </w:t>
      </w:r>
      <w:r>
        <w:rPr>
          <w:rFonts w:ascii="Times New Roman" w:eastAsia="Times New Roman" w:hAnsi="Times New Roman" w:cs="Times New Roman"/>
          <w:sz w:val="24"/>
          <w:szCs w:val="24"/>
        </w:rPr>
        <w:lastRenderedPageBreak/>
        <w:t xml:space="preserve">la suspensión </w:t>
      </w:r>
      <w:proofErr w:type="gramStart"/>
      <w:r>
        <w:rPr>
          <w:rFonts w:ascii="Times New Roman" w:eastAsia="Times New Roman" w:hAnsi="Times New Roman" w:cs="Times New Roman"/>
          <w:sz w:val="24"/>
          <w:szCs w:val="24"/>
        </w:rPr>
        <w:t>del</w:t>
      </w:r>
      <w:proofErr w:type="gramEnd"/>
      <w:r>
        <w:rPr>
          <w:rFonts w:ascii="Times New Roman" w:eastAsia="Times New Roman" w:hAnsi="Times New Roman" w:cs="Times New Roman"/>
          <w:sz w:val="24"/>
          <w:szCs w:val="24"/>
        </w:rPr>
        <w:t xml:space="preserve"> cumplimiento de órdenes judiciales de reintegración de posesión</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L</w:t>
      </w:r>
      <w:r>
        <w:rPr>
          <w:rFonts w:ascii="Times New Roman" w:eastAsia="Times New Roman" w:hAnsi="Times New Roman" w:cs="Times New Roman"/>
          <w:sz w:val="24"/>
          <w:szCs w:val="24"/>
        </w:rPr>
        <w:t xml:space="preserve">os plazos de los procesos electrónicos volvieron a correr a principios de mayo y el cumplimiento de los mandatos pasó a ser autorizado a principios de junio, "desde </w:t>
      </w:r>
      <w:r>
        <w:rPr>
          <w:rFonts w:ascii="Times New Roman" w:eastAsia="Times New Roman" w:hAnsi="Times New Roman" w:cs="Times New Roman"/>
          <w:sz w:val="24"/>
          <w:szCs w:val="24"/>
        </w:rPr>
        <w:lastRenderedPageBreak/>
        <w:t xml:space="preserve">que el cumplimiento </w:t>
      </w:r>
      <w:proofErr w:type="gramStart"/>
      <w:r>
        <w:rPr>
          <w:rFonts w:ascii="Times New Roman" w:eastAsia="Times New Roman" w:hAnsi="Times New Roman" w:cs="Times New Roman"/>
          <w:sz w:val="24"/>
          <w:szCs w:val="24"/>
        </w:rPr>
        <w:t>del</w:t>
      </w:r>
      <w:proofErr w:type="gramEnd"/>
      <w:r>
        <w:rPr>
          <w:rFonts w:ascii="Times New Roman" w:eastAsia="Times New Roman" w:hAnsi="Times New Roman" w:cs="Times New Roman"/>
          <w:sz w:val="24"/>
          <w:szCs w:val="24"/>
        </w:rPr>
        <w:t xml:space="preserve"> acto no resulte en aglomeración de personas o reuniones en ambiente</w:t>
      </w:r>
      <w:r>
        <w:rPr>
          <w:rFonts w:ascii="Times New Roman" w:eastAsia="Times New Roman" w:hAnsi="Times New Roman" w:cs="Times New Roman"/>
          <w:sz w:val="24"/>
          <w:szCs w:val="24"/>
        </w:rPr>
        <w:t>s cerrados". Dichas recomendaciones, sin embargo, no vinculan la actuación de los/las magistrados/as.</w:t>
      </w:r>
    </w:p>
    <w:p w14:paraId="00000014" w14:textId="77777777" w:rsidR="00966C87" w:rsidRDefault="00966C87">
      <w:pPr>
        <w:spacing w:line="360" w:lineRule="auto"/>
        <w:jc w:val="both"/>
        <w:rPr>
          <w:rFonts w:ascii="Times New Roman" w:eastAsia="Times New Roman" w:hAnsi="Times New Roman" w:cs="Times New Roman"/>
          <w:sz w:val="24"/>
          <w:szCs w:val="24"/>
        </w:rPr>
      </w:pPr>
    </w:p>
    <w:p w14:paraId="00000015" w14:textId="77777777" w:rsidR="00966C87" w:rsidRDefault="00807A9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En el ámbito </w:t>
      </w:r>
      <w:proofErr w:type="gramStart"/>
      <w:r>
        <w:rPr>
          <w:rFonts w:ascii="Times New Roman" w:eastAsia="Times New Roman" w:hAnsi="Times New Roman" w:cs="Times New Roman"/>
          <w:sz w:val="24"/>
          <w:szCs w:val="24"/>
        </w:rPr>
        <w:t>del</w:t>
      </w:r>
      <w:proofErr w:type="gramEnd"/>
      <w:r>
        <w:rPr>
          <w:rFonts w:ascii="Times New Roman" w:eastAsia="Times New Roman" w:hAnsi="Times New Roman" w:cs="Times New Roman"/>
          <w:sz w:val="24"/>
          <w:szCs w:val="24"/>
        </w:rPr>
        <w:t xml:space="preserve"> Estado de São Paulo, no hay ninguna medida de los Poderes Ejecutivo y Legislativo para detener los desalojos y remociones. En el ámbito </w:t>
      </w:r>
      <w:r>
        <w:rPr>
          <w:rFonts w:ascii="Times New Roman" w:eastAsia="Times New Roman" w:hAnsi="Times New Roman" w:cs="Times New Roman"/>
          <w:sz w:val="24"/>
          <w:szCs w:val="24"/>
        </w:rPr>
        <w:t xml:space="preserve">del Poder Judicial, el Consejo Superior de la Magistratura del Tribunal de Justicia de São Paulo, siguiendo el CNJ, editó sucesivas normativas suspendiendo los plazos judiciales y los actos presenciales cuya </w:t>
      </w:r>
      <w:r>
        <w:rPr>
          <w:rFonts w:ascii="Times New Roman" w:eastAsia="Times New Roman" w:hAnsi="Times New Roman" w:cs="Times New Roman"/>
          <w:sz w:val="24"/>
          <w:szCs w:val="24"/>
        </w:rPr>
        <w:lastRenderedPageBreak/>
        <w:t>práctica sea incompatible con el aislamiento soc</w:t>
      </w:r>
      <w:r>
        <w:rPr>
          <w:rFonts w:ascii="Times New Roman" w:eastAsia="Times New Roman" w:hAnsi="Times New Roman" w:cs="Times New Roman"/>
          <w:sz w:val="24"/>
          <w:szCs w:val="24"/>
        </w:rPr>
        <w:t>ial. El plazo previsto para la aplicación de estas recomendaciones es actualmente el 30 de junio y puede aplazarse</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w:t>
      </w:r>
    </w:p>
    <w:p w14:paraId="00000016" w14:textId="77777777" w:rsidR="00966C87" w:rsidRDefault="00966C87">
      <w:pPr>
        <w:spacing w:line="360" w:lineRule="auto"/>
        <w:jc w:val="both"/>
        <w:rPr>
          <w:rFonts w:ascii="Times New Roman" w:eastAsia="Times New Roman" w:hAnsi="Times New Roman" w:cs="Times New Roman"/>
          <w:sz w:val="24"/>
          <w:szCs w:val="24"/>
        </w:rPr>
      </w:pPr>
    </w:p>
    <w:p w14:paraId="00000017" w14:textId="77777777" w:rsidR="00966C87" w:rsidRDefault="00807A95">
      <w:pPr>
        <w:shd w:val="clear" w:color="auto" w:fill="FFFFFF"/>
        <w:spacing w:after="1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El Ministerio Público del Estado de São Paulo abrió una Acción Civil Pública para señalar la existencia de núcleos precarios de vivienda en diversas regiones del estado, sobre todo en la región metropolitana, marcadas por la falta de abastecimiento de agua</w:t>
      </w:r>
      <w:r>
        <w:rPr>
          <w:rFonts w:ascii="Times New Roman" w:eastAsia="Times New Roman" w:hAnsi="Times New Roman" w:cs="Times New Roman"/>
          <w:sz w:val="24"/>
          <w:szCs w:val="24"/>
          <w:highlight w:val="white"/>
        </w:rPr>
        <w:t xml:space="preserve">, elemento esencial para las medidas preventivas del coronavirus. La decisión preliminar, en esta acción civil pública, determinó </w:t>
      </w:r>
      <w:r>
        <w:rPr>
          <w:rFonts w:ascii="Times New Roman" w:eastAsia="Times New Roman" w:hAnsi="Times New Roman" w:cs="Times New Roman"/>
          <w:sz w:val="24"/>
          <w:szCs w:val="24"/>
          <w:highlight w:val="white"/>
        </w:rPr>
        <w:lastRenderedPageBreak/>
        <w:t>la presentación de un calendario de aplicación de medidas que garanticen el abastecimiento diario de agua potable, por cualqui</w:t>
      </w:r>
      <w:r>
        <w:rPr>
          <w:rFonts w:ascii="Times New Roman" w:eastAsia="Times New Roman" w:hAnsi="Times New Roman" w:cs="Times New Roman"/>
          <w:sz w:val="24"/>
          <w:szCs w:val="24"/>
          <w:highlight w:val="white"/>
        </w:rPr>
        <w:t xml:space="preserve">er medio, considerando un nivel mínimo por habitante estipulado por la autoridad de salud, en todas las favelas y </w:t>
      </w:r>
      <w:r>
        <w:rPr>
          <w:rFonts w:ascii="Times New Roman" w:eastAsia="Times New Roman" w:hAnsi="Times New Roman" w:cs="Times New Roman"/>
          <w:sz w:val="24"/>
          <w:szCs w:val="24"/>
        </w:rPr>
        <w:t xml:space="preserve">nucleos precarios </w:t>
      </w:r>
      <w:r>
        <w:rPr>
          <w:rFonts w:ascii="Times New Roman" w:eastAsia="Times New Roman" w:hAnsi="Times New Roman" w:cs="Times New Roman"/>
          <w:sz w:val="24"/>
          <w:szCs w:val="24"/>
          <w:highlight w:val="white"/>
        </w:rPr>
        <w:t>presentes en los municipios atendidos por SABESP, sin ningún cobro de tasas o cargas a los habitantes atendi</w:t>
      </w:r>
      <w:r>
        <w:rPr>
          <w:rFonts w:ascii="Times New Roman" w:eastAsia="Times New Roman" w:hAnsi="Times New Roman" w:cs="Times New Roman"/>
          <w:sz w:val="24"/>
          <w:szCs w:val="24"/>
          <w:highlight w:val="white"/>
        </w:rPr>
        <w:lastRenderedPageBreak/>
        <w:t>dos. Sin embargo</w:t>
      </w:r>
      <w:r>
        <w:rPr>
          <w:rFonts w:ascii="Times New Roman" w:eastAsia="Times New Roman" w:hAnsi="Times New Roman" w:cs="Times New Roman"/>
          <w:sz w:val="24"/>
          <w:szCs w:val="24"/>
          <w:highlight w:val="white"/>
        </w:rPr>
        <w:t>, el Tribunal de Justicia de São Paulo suspendió la medida cautelar, a petición del gobierno del Estado, entendiendo que no corresponde al Poder Judicial interferir en los criterios de conveniencia y oportunidad de las medidas adoptadas en el enfrentamient</w:t>
      </w:r>
      <w:r>
        <w:rPr>
          <w:rFonts w:ascii="Times New Roman" w:eastAsia="Times New Roman" w:hAnsi="Times New Roman" w:cs="Times New Roman"/>
          <w:sz w:val="24"/>
          <w:szCs w:val="24"/>
          <w:highlight w:val="white"/>
        </w:rPr>
        <w:t>o de la epidemia, con el riesgo de lesionar la autonomía entre los poderes del Estado y el principio constitucional de la reserva de administración.</w:t>
      </w:r>
    </w:p>
    <w:p w14:paraId="00000018" w14:textId="77777777" w:rsidR="00966C87" w:rsidRDefault="00966C87">
      <w:pPr>
        <w:shd w:val="clear" w:color="auto" w:fill="FFFFFF"/>
        <w:spacing w:after="100" w:line="360" w:lineRule="auto"/>
        <w:jc w:val="both"/>
        <w:rPr>
          <w:rFonts w:ascii="Times New Roman" w:eastAsia="Times New Roman" w:hAnsi="Times New Roman" w:cs="Times New Roman"/>
          <w:sz w:val="24"/>
          <w:szCs w:val="24"/>
          <w:highlight w:val="white"/>
        </w:rPr>
      </w:pPr>
    </w:p>
    <w:p w14:paraId="00000019" w14:textId="77777777" w:rsidR="00966C87" w:rsidRDefault="00807A9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Finalmente, el Ministerio Público </w:t>
      </w:r>
      <w:proofErr w:type="gramStart"/>
      <w:r>
        <w:rPr>
          <w:rFonts w:ascii="Times New Roman" w:eastAsia="Times New Roman" w:hAnsi="Times New Roman" w:cs="Times New Roman"/>
          <w:sz w:val="24"/>
          <w:szCs w:val="24"/>
        </w:rPr>
        <w:t>del</w:t>
      </w:r>
      <w:proofErr w:type="gramEnd"/>
      <w:r>
        <w:rPr>
          <w:rFonts w:ascii="Times New Roman" w:eastAsia="Times New Roman" w:hAnsi="Times New Roman" w:cs="Times New Roman"/>
          <w:sz w:val="24"/>
          <w:szCs w:val="24"/>
        </w:rPr>
        <w:t xml:space="preserve"> Estado de São Paulo envió una recomendación al Tribunal de Justicia </w:t>
      </w:r>
      <w:r>
        <w:rPr>
          <w:rFonts w:ascii="Times New Roman" w:eastAsia="Times New Roman" w:hAnsi="Times New Roman" w:cs="Times New Roman"/>
          <w:sz w:val="24"/>
          <w:szCs w:val="24"/>
        </w:rPr>
        <w:t xml:space="preserve">del Estado de São Paulo por la suspensión de las órdenes de reintegración de posesión.  En el ámbito municipal, en el municipio de São Paulo suspendió por tres meses las deudas derivadas de arriendo social </w:t>
      </w:r>
      <w:r>
        <w:rPr>
          <w:rFonts w:ascii="Times New Roman" w:eastAsia="Times New Roman" w:hAnsi="Times New Roman" w:cs="Times New Roman"/>
          <w:sz w:val="24"/>
          <w:szCs w:val="24"/>
        </w:rPr>
        <w:lastRenderedPageBreak/>
        <w:t>por medio del decreto nº 59.329/2020</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y de la orde</w:t>
      </w:r>
      <w:r>
        <w:rPr>
          <w:rFonts w:ascii="Times New Roman" w:eastAsia="Times New Roman" w:hAnsi="Times New Roman" w:cs="Times New Roman"/>
          <w:sz w:val="24"/>
          <w:szCs w:val="24"/>
        </w:rPr>
        <w:t xml:space="preserve">nanza nº 32/SEHAB. G/2020. </w:t>
      </w:r>
    </w:p>
    <w:p w14:paraId="0000001A" w14:textId="77777777" w:rsidR="00966C87" w:rsidRDefault="00966C87">
      <w:pPr>
        <w:spacing w:line="360" w:lineRule="auto"/>
        <w:jc w:val="both"/>
        <w:rPr>
          <w:rFonts w:ascii="Times New Roman" w:eastAsia="Times New Roman" w:hAnsi="Times New Roman" w:cs="Times New Roman"/>
          <w:sz w:val="24"/>
          <w:szCs w:val="24"/>
        </w:rPr>
      </w:pPr>
    </w:p>
    <w:p w14:paraId="0000001B" w14:textId="77777777" w:rsidR="00966C87" w:rsidRDefault="00807A9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(1b)</w:t>
      </w:r>
      <w:r>
        <w:rPr>
          <w:rFonts w:ascii="Times New Roman" w:eastAsia="Times New Roman" w:hAnsi="Times New Roman" w:cs="Times New Roman"/>
          <w:sz w:val="24"/>
          <w:szCs w:val="24"/>
        </w:rPr>
        <w:t xml:space="preserve"> Las medidas que hemos informado hasta ahora no sólo son limitadas, sino que tampoco se están cumpliendo. Lo que hemos </w:t>
      </w:r>
      <w:r>
        <w:rPr>
          <w:rFonts w:ascii="Times New Roman" w:eastAsia="Times New Roman" w:hAnsi="Times New Roman" w:cs="Times New Roman"/>
          <w:sz w:val="24"/>
          <w:szCs w:val="24"/>
        </w:rPr>
        <w:lastRenderedPageBreak/>
        <w:t xml:space="preserve">visto en el estado de São Paulo, en la práctica, es la continuidad y efectividad de remociones forzadas </w:t>
      </w:r>
      <w:r>
        <w:rPr>
          <w:rFonts w:ascii="Times New Roman" w:eastAsia="Times New Roman" w:hAnsi="Times New Roman" w:cs="Times New Roman"/>
          <w:sz w:val="24"/>
          <w:szCs w:val="24"/>
        </w:rPr>
        <w:t>de poblaciones, haciendo que mujeres (en muchos casos, embarazadas), hombres, niños, ancianos, personas con discapacidades y otras comorbilidades estén expuestas a la violencia de la remoción, a la falta de vivienda, además de la exposición al nuevo corona</w:t>
      </w:r>
      <w:r>
        <w:rPr>
          <w:rFonts w:ascii="Times New Roman" w:eastAsia="Times New Roman" w:hAnsi="Times New Roman" w:cs="Times New Roman"/>
          <w:sz w:val="24"/>
          <w:szCs w:val="24"/>
        </w:rPr>
        <w:t xml:space="preserve">virus. A las remociones se suman los incendios en favelas y ocupaciones, </w:t>
      </w:r>
      <w:r>
        <w:rPr>
          <w:rFonts w:ascii="Times New Roman" w:eastAsia="Times New Roman" w:hAnsi="Times New Roman" w:cs="Times New Roman"/>
          <w:sz w:val="24"/>
          <w:szCs w:val="24"/>
        </w:rPr>
        <w:lastRenderedPageBreak/>
        <w:t>sin ninguna política de atención que, al llevar la pérdida de la vivienda, exponen las situaciones de precariedad a que gran parte de la población de territorios populares está someti</w:t>
      </w:r>
      <w:r>
        <w:rPr>
          <w:rFonts w:ascii="Times New Roman" w:eastAsia="Times New Roman" w:hAnsi="Times New Roman" w:cs="Times New Roman"/>
          <w:sz w:val="24"/>
          <w:szCs w:val="24"/>
        </w:rPr>
        <w:t>da.</w:t>
      </w:r>
    </w:p>
    <w:p w14:paraId="0000001C" w14:textId="77777777" w:rsidR="00966C87" w:rsidRDefault="00966C87">
      <w:pPr>
        <w:spacing w:line="360" w:lineRule="auto"/>
        <w:jc w:val="both"/>
        <w:rPr>
          <w:rFonts w:ascii="Times New Roman" w:eastAsia="Times New Roman" w:hAnsi="Times New Roman" w:cs="Times New Roman"/>
          <w:sz w:val="24"/>
          <w:szCs w:val="24"/>
        </w:rPr>
      </w:pPr>
    </w:p>
    <w:p w14:paraId="0000001D" w14:textId="77777777" w:rsidR="00966C87" w:rsidRDefault="00807A95">
      <w:pPr>
        <w:shd w:val="clear" w:color="auto" w:fill="FFFFFF"/>
        <w:spacing w:after="1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Según datos recogidos por el Observatorio de Remociones</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desde marzo de este año, en plena pandemia, se suman al menos doce casos de remociones e incendios en el Estado de São Paulo, con una cifra aproximada de 2.000 familias afectadas. Fueron cinco casos de incendios, dos casos de remoción extrajudicial </w:t>
      </w:r>
      <w:r>
        <w:rPr>
          <w:rFonts w:ascii="Times New Roman" w:eastAsia="Times New Roman" w:hAnsi="Times New Roman" w:cs="Times New Roman"/>
          <w:sz w:val="24"/>
          <w:szCs w:val="24"/>
        </w:rPr>
        <w:lastRenderedPageBreak/>
        <w:t>promo</w:t>
      </w:r>
      <w:r>
        <w:rPr>
          <w:rFonts w:ascii="Times New Roman" w:eastAsia="Times New Roman" w:hAnsi="Times New Roman" w:cs="Times New Roman"/>
          <w:sz w:val="24"/>
          <w:szCs w:val="24"/>
        </w:rPr>
        <w:t xml:space="preserve">vida por agentes privados, tres casos de remociones extrajudiciales promovidas por agentes de los poderes municipales, y dos remociones judiciales promovidas por privados. Además, en </w:t>
      </w:r>
      <w:proofErr w:type="gramStart"/>
      <w:r>
        <w:rPr>
          <w:rFonts w:ascii="Times New Roman" w:eastAsia="Times New Roman" w:hAnsi="Times New Roman" w:cs="Times New Roman"/>
          <w:sz w:val="24"/>
          <w:szCs w:val="24"/>
        </w:rPr>
        <w:t>este</w:t>
      </w:r>
      <w:proofErr w:type="gramEnd"/>
      <w:r>
        <w:rPr>
          <w:rFonts w:ascii="Times New Roman" w:eastAsia="Times New Roman" w:hAnsi="Times New Roman" w:cs="Times New Roman"/>
          <w:sz w:val="24"/>
          <w:szCs w:val="24"/>
        </w:rPr>
        <w:t xml:space="preserve"> mismo período, se han contabilizado al menos seis nuevas amenazas de</w:t>
      </w:r>
      <w:r>
        <w:rPr>
          <w:rFonts w:ascii="Times New Roman" w:eastAsia="Times New Roman" w:hAnsi="Times New Roman" w:cs="Times New Roman"/>
          <w:sz w:val="24"/>
          <w:szCs w:val="24"/>
        </w:rPr>
        <w:t xml:space="preserve"> expulsión con orden judicial expedida y que pueden cumplirse en cualquier momento.</w:t>
      </w:r>
    </w:p>
    <w:p w14:paraId="0000001E" w14:textId="77777777" w:rsidR="00966C87" w:rsidRDefault="00966C87">
      <w:pPr>
        <w:shd w:val="clear" w:color="auto" w:fill="FFFFFF"/>
        <w:spacing w:after="100" w:line="360" w:lineRule="auto"/>
        <w:jc w:val="both"/>
        <w:rPr>
          <w:rFonts w:ascii="Times New Roman" w:eastAsia="Times New Roman" w:hAnsi="Times New Roman" w:cs="Times New Roman"/>
          <w:sz w:val="24"/>
          <w:szCs w:val="24"/>
        </w:rPr>
      </w:pPr>
    </w:p>
    <w:p w14:paraId="0000001F" w14:textId="77777777" w:rsidR="00966C87" w:rsidRDefault="00807A95">
      <w:pPr>
        <w:shd w:val="clear" w:color="auto" w:fill="FFFFFF"/>
        <w:spacing w:after="1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En dos ocupaciones recientes, sin embargo, el Poder Judicial, con manifestación favorable </w:t>
      </w:r>
      <w:proofErr w:type="gramStart"/>
      <w:r>
        <w:rPr>
          <w:rFonts w:ascii="Times New Roman" w:eastAsia="Times New Roman" w:hAnsi="Times New Roman" w:cs="Times New Roman"/>
          <w:sz w:val="24"/>
          <w:szCs w:val="24"/>
        </w:rPr>
        <w:t>del</w:t>
      </w:r>
      <w:proofErr w:type="gramEnd"/>
      <w:r>
        <w:rPr>
          <w:rFonts w:ascii="Times New Roman" w:eastAsia="Times New Roman" w:hAnsi="Times New Roman" w:cs="Times New Roman"/>
          <w:sz w:val="24"/>
          <w:szCs w:val="24"/>
        </w:rPr>
        <w:t xml:space="preserve"> Ministerio Público, dieron el aval por la ejecución de las reintegraciones de</w:t>
      </w:r>
      <w:r>
        <w:rPr>
          <w:rFonts w:ascii="Times New Roman" w:eastAsia="Times New Roman" w:hAnsi="Times New Roman" w:cs="Times New Roman"/>
          <w:sz w:val="24"/>
          <w:szCs w:val="24"/>
        </w:rPr>
        <w:t xml:space="preserve"> posesión. Fue el caso de la ocupación </w:t>
      </w:r>
      <w:r>
        <w:rPr>
          <w:rFonts w:ascii="Times New Roman" w:eastAsia="Times New Roman" w:hAnsi="Times New Roman" w:cs="Times New Roman"/>
          <w:i/>
          <w:sz w:val="24"/>
          <w:szCs w:val="24"/>
        </w:rPr>
        <w:t>Taquara</w:t>
      </w:r>
      <w:r>
        <w:rPr>
          <w:rFonts w:ascii="Times New Roman" w:eastAsia="Times New Roman" w:hAnsi="Times New Roman" w:cs="Times New Roman"/>
          <w:sz w:val="24"/>
          <w:szCs w:val="24"/>
        </w:rPr>
        <w:t xml:space="preserve">l, en el municipio de </w:t>
      </w:r>
      <w:r>
        <w:rPr>
          <w:rFonts w:ascii="Times New Roman" w:eastAsia="Times New Roman" w:hAnsi="Times New Roman" w:cs="Times New Roman"/>
          <w:i/>
          <w:sz w:val="24"/>
          <w:szCs w:val="24"/>
        </w:rPr>
        <w:t>Piracicaba</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que albergaba a 50 familias, y de la ocupación </w:t>
      </w:r>
      <w:r>
        <w:rPr>
          <w:rFonts w:ascii="Times New Roman" w:eastAsia="Times New Roman" w:hAnsi="Times New Roman" w:cs="Times New Roman"/>
          <w:i/>
          <w:sz w:val="24"/>
          <w:szCs w:val="24"/>
        </w:rPr>
        <w:t>Cícero Ibiapina</w:t>
      </w:r>
      <w:r>
        <w:rPr>
          <w:rFonts w:ascii="Times New Roman" w:eastAsia="Times New Roman" w:hAnsi="Times New Roman" w:cs="Times New Roman"/>
          <w:sz w:val="24"/>
          <w:szCs w:val="24"/>
        </w:rPr>
        <w:t xml:space="preserve">, en el distrito de </w:t>
      </w:r>
      <w:r>
        <w:rPr>
          <w:rFonts w:ascii="Times New Roman" w:eastAsia="Times New Roman" w:hAnsi="Times New Roman" w:cs="Times New Roman"/>
          <w:i/>
          <w:sz w:val="24"/>
          <w:szCs w:val="24"/>
        </w:rPr>
        <w:t>Guaianazes</w:t>
      </w:r>
      <w:r>
        <w:rPr>
          <w:rFonts w:ascii="Times New Roman" w:eastAsia="Times New Roman" w:hAnsi="Times New Roman" w:cs="Times New Roman"/>
          <w:sz w:val="24"/>
          <w:szCs w:val="24"/>
        </w:rPr>
        <w:t xml:space="preserve">, en el municipio de São Paulo, que albergaba a 900 familias. Cabe señalar que, en </w:t>
      </w:r>
      <w:r>
        <w:rPr>
          <w:rFonts w:ascii="Times New Roman" w:eastAsia="Times New Roman" w:hAnsi="Times New Roman" w:cs="Times New Roman"/>
          <w:sz w:val="24"/>
          <w:szCs w:val="24"/>
        </w:rPr>
        <w:t>ninguno de los casos, se ofreció alguna alternativa de atención habitacional a las familias afectadas.</w:t>
      </w:r>
    </w:p>
    <w:p w14:paraId="00000020" w14:textId="77777777" w:rsidR="00966C87" w:rsidRDefault="00966C87">
      <w:pPr>
        <w:shd w:val="clear" w:color="auto" w:fill="FFFFFF"/>
        <w:spacing w:after="100" w:line="360" w:lineRule="auto"/>
        <w:jc w:val="both"/>
        <w:rPr>
          <w:rFonts w:ascii="Times New Roman" w:eastAsia="Times New Roman" w:hAnsi="Times New Roman" w:cs="Times New Roman"/>
          <w:sz w:val="24"/>
          <w:szCs w:val="24"/>
        </w:rPr>
      </w:pPr>
    </w:p>
    <w:p w14:paraId="00000021" w14:textId="77777777" w:rsidR="00966C87" w:rsidRDefault="00807A95">
      <w:pPr>
        <w:shd w:val="clear" w:color="auto" w:fill="FFFFFF"/>
        <w:spacing w:after="1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Entre las remociones, cuatro ocurrieron sin proceso judicial (por vía administrativa o realizada por los propietarios, en dos casos). Dos de estos casos</w:t>
      </w:r>
      <w:r>
        <w:rPr>
          <w:rFonts w:ascii="Times New Roman" w:eastAsia="Times New Roman" w:hAnsi="Times New Roman" w:cs="Times New Roman"/>
          <w:sz w:val="24"/>
          <w:szCs w:val="24"/>
        </w:rPr>
        <w:t xml:space="preserve"> ocurrieron en el municipio de San Bernardo do Campo. La Municipalidad llevó a cabo demoliciones de </w:t>
      </w:r>
      <w:r>
        <w:rPr>
          <w:rFonts w:ascii="Times New Roman" w:eastAsia="Times New Roman" w:hAnsi="Times New Roman" w:cs="Times New Roman"/>
          <w:sz w:val="24"/>
          <w:szCs w:val="24"/>
        </w:rPr>
        <w:lastRenderedPageBreak/>
        <w:t>casas sobre la base del decreto nº 20.417, 2018</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dirigido a la supervisión de nuevas ocupaciones pero que también afecta a barrios y áreas ya consolidadas.</w:t>
      </w:r>
      <w:r>
        <w:rPr>
          <w:rFonts w:ascii="Times New Roman" w:eastAsia="Times New Roman" w:hAnsi="Times New Roman" w:cs="Times New Roman"/>
          <w:sz w:val="24"/>
          <w:szCs w:val="24"/>
        </w:rPr>
        <w:t xml:space="preserve"> Los otros dos casos ocurrieron en el municipio de São Paulo, siendo que uno fue promovido </w:t>
      </w:r>
      <w:r>
        <w:rPr>
          <w:rFonts w:ascii="Times New Roman" w:eastAsia="Times New Roman" w:hAnsi="Times New Roman" w:cs="Times New Roman"/>
          <w:sz w:val="24"/>
          <w:szCs w:val="24"/>
        </w:rPr>
        <w:lastRenderedPageBreak/>
        <w:t>por la Municipalidad y otro por empresas privadas, con apoyo de la policía. Finalmente, hubo cinco casos de incendios que causaron la pérdida de bienes y pertenencia</w:t>
      </w:r>
      <w:r>
        <w:rPr>
          <w:rFonts w:ascii="Times New Roman" w:eastAsia="Times New Roman" w:hAnsi="Times New Roman" w:cs="Times New Roman"/>
          <w:sz w:val="24"/>
          <w:szCs w:val="24"/>
        </w:rPr>
        <w:t xml:space="preserve">s, poniendo en peligro la vida de las familias, que fueron obligadas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abandonar sus hogares. Cabe destacar la omisión </w:t>
      </w:r>
      <w:proofErr w:type="gramStart"/>
      <w:r>
        <w:rPr>
          <w:rFonts w:ascii="Times New Roman" w:eastAsia="Times New Roman" w:hAnsi="Times New Roman" w:cs="Times New Roman"/>
          <w:sz w:val="24"/>
          <w:szCs w:val="24"/>
        </w:rPr>
        <w:t>del</w:t>
      </w:r>
      <w:proofErr w:type="gramEnd"/>
      <w:r>
        <w:rPr>
          <w:rFonts w:ascii="Times New Roman" w:eastAsia="Times New Roman" w:hAnsi="Times New Roman" w:cs="Times New Roman"/>
          <w:sz w:val="24"/>
          <w:szCs w:val="24"/>
        </w:rPr>
        <w:t xml:space="preserve"> poder público (i) antes de los incendios -- en viabilizar obras y mejoras que garanticen seguridad a esas familias o su atención defi</w:t>
      </w:r>
      <w:r>
        <w:rPr>
          <w:rFonts w:ascii="Times New Roman" w:eastAsia="Times New Roman" w:hAnsi="Times New Roman" w:cs="Times New Roman"/>
          <w:sz w:val="24"/>
          <w:szCs w:val="24"/>
        </w:rPr>
        <w:t xml:space="preserve">nitiva en caso de ser </w:t>
      </w:r>
      <w:r>
        <w:rPr>
          <w:rFonts w:ascii="Times New Roman" w:eastAsia="Times New Roman" w:hAnsi="Times New Roman" w:cs="Times New Roman"/>
          <w:sz w:val="24"/>
          <w:szCs w:val="24"/>
        </w:rPr>
        <w:lastRenderedPageBreak/>
        <w:t xml:space="preserve">inviable medidas preventivas; (ii) después de los incendios -- en asegurar la acogida y el bienestar estar de los afectados. </w:t>
      </w:r>
    </w:p>
    <w:p w14:paraId="00000022" w14:textId="77777777" w:rsidR="00966C87" w:rsidRDefault="00966C87">
      <w:pPr>
        <w:shd w:val="clear" w:color="auto" w:fill="FFFFFF"/>
        <w:spacing w:after="100" w:line="360" w:lineRule="auto"/>
        <w:jc w:val="both"/>
        <w:rPr>
          <w:rFonts w:ascii="Times New Roman" w:eastAsia="Times New Roman" w:hAnsi="Times New Roman" w:cs="Times New Roman"/>
          <w:sz w:val="24"/>
          <w:szCs w:val="24"/>
        </w:rPr>
      </w:pPr>
    </w:p>
    <w:p w14:paraId="00000023" w14:textId="77777777" w:rsidR="00966C87" w:rsidRDefault="00807A95">
      <w:pPr>
        <w:shd w:val="clear" w:color="auto" w:fill="FFFFFF"/>
        <w:spacing w:after="1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Aún entre los casos de remoción, cuatro contaron con la presencia de un fuerte aparato policial que impidió</w:t>
      </w:r>
      <w:r>
        <w:rPr>
          <w:rFonts w:ascii="Times New Roman" w:eastAsia="Times New Roman" w:hAnsi="Times New Roman" w:cs="Times New Roman"/>
          <w:sz w:val="24"/>
          <w:szCs w:val="24"/>
        </w:rPr>
        <w:t xml:space="preserve"> a defensores populares seguir de cerca la situación, mientras que en dos casos hubo el uso de bombas de gas lacrimógeno y balas de goma </w:t>
      </w:r>
      <w:r>
        <w:rPr>
          <w:rFonts w:ascii="Times New Roman" w:eastAsia="Times New Roman" w:hAnsi="Times New Roman" w:cs="Times New Roman"/>
          <w:sz w:val="24"/>
          <w:szCs w:val="24"/>
        </w:rPr>
        <w:lastRenderedPageBreak/>
        <w:t>contra los residentes que estaban siendo removidos y en un caso hubo un episodio de agresión por parte de la Guardia Ci</w:t>
      </w:r>
      <w:r>
        <w:rPr>
          <w:rFonts w:ascii="Times New Roman" w:eastAsia="Times New Roman" w:hAnsi="Times New Roman" w:cs="Times New Roman"/>
          <w:sz w:val="24"/>
          <w:szCs w:val="24"/>
        </w:rPr>
        <w:t>vil Militar a un militante que acompañaba la situación.</w:t>
      </w:r>
    </w:p>
    <w:p w14:paraId="00000024" w14:textId="77777777" w:rsidR="00966C87" w:rsidRDefault="00966C87">
      <w:pPr>
        <w:shd w:val="clear" w:color="auto" w:fill="FFFFFF"/>
        <w:spacing w:after="100" w:line="360" w:lineRule="auto"/>
        <w:jc w:val="both"/>
        <w:rPr>
          <w:rFonts w:ascii="Times New Roman" w:eastAsia="Times New Roman" w:hAnsi="Times New Roman" w:cs="Times New Roman"/>
          <w:sz w:val="24"/>
          <w:szCs w:val="24"/>
        </w:rPr>
      </w:pPr>
    </w:p>
    <w:p w14:paraId="00000025" w14:textId="77777777" w:rsidR="00966C87" w:rsidRDefault="00807A95">
      <w:pPr>
        <w:shd w:val="clear" w:color="auto" w:fill="FFFFFF"/>
        <w:spacing w:after="1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reintegraciones de posesión judiciales se produjeron en ausencia de las normativas </w:t>
      </w:r>
      <w:proofErr w:type="gramStart"/>
      <w:r>
        <w:rPr>
          <w:rFonts w:ascii="Times New Roman" w:eastAsia="Times New Roman" w:hAnsi="Times New Roman" w:cs="Times New Roman"/>
          <w:sz w:val="24"/>
          <w:szCs w:val="24"/>
        </w:rPr>
        <w:t>del</w:t>
      </w:r>
      <w:proofErr w:type="gramEnd"/>
      <w:r>
        <w:rPr>
          <w:rFonts w:ascii="Times New Roman" w:eastAsia="Times New Roman" w:hAnsi="Times New Roman" w:cs="Times New Roman"/>
          <w:sz w:val="24"/>
          <w:szCs w:val="24"/>
        </w:rPr>
        <w:t xml:space="preserve"> Poder Judicial. En algunos casos, no mencionados anteriormente, la intensa movilización de los </w:t>
      </w:r>
      <w:r>
        <w:rPr>
          <w:rFonts w:ascii="Times New Roman" w:eastAsia="Times New Roman" w:hAnsi="Times New Roman" w:cs="Times New Roman"/>
          <w:sz w:val="24"/>
          <w:szCs w:val="24"/>
        </w:rPr>
        <w:lastRenderedPageBreak/>
        <w:t>pobladores, m</w:t>
      </w:r>
      <w:r>
        <w:rPr>
          <w:rFonts w:ascii="Times New Roman" w:eastAsia="Times New Roman" w:hAnsi="Times New Roman" w:cs="Times New Roman"/>
          <w:sz w:val="24"/>
          <w:szCs w:val="24"/>
        </w:rPr>
        <w:t>ovimientos de vivienda, populares y sociedad civil organizada, con actuación de abogados/as populares, defensores/as públicas/as, consiguió suspender las remociones</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La mayoría de los casos que lograron la suspensión de remociones eran procesos que ya te</w:t>
      </w:r>
      <w:r>
        <w:rPr>
          <w:rFonts w:ascii="Times New Roman" w:eastAsia="Times New Roman" w:hAnsi="Times New Roman" w:cs="Times New Roman"/>
          <w:sz w:val="24"/>
          <w:szCs w:val="24"/>
        </w:rPr>
        <w:t>nían decisión antes de la pandemia, con reintegraciones de posesión programadas para ocurrir después de la segunda quincena de marzo.</w:t>
      </w:r>
    </w:p>
    <w:p w14:paraId="00000026" w14:textId="77777777" w:rsidR="00966C87" w:rsidRDefault="00966C87">
      <w:pPr>
        <w:shd w:val="clear" w:color="auto" w:fill="FFFFFF"/>
        <w:spacing w:after="100" w:line="360" w:lineRule="auto"/>
        <w:jc w:val="both"/>
        <w:rPr>
          <w:rFonts w:ascii="Times New Roman" w:eastAsia="Times New Roman" w:hAnsi="Times New Roman" w:cs="Times New Roman"/>
          <w:sz w:val="24"/>
          <w:szCs w:val="24"/>
        </w:rPr>
      </w:pPr>
    </w:p>
    <w:p w14:paraId="00000027" w14:textId="77777777" w:rsidR="00966C87" w:rsidRDefault="00807A9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Ante la gravedad de estas remociones y de las repercusiones irreversibles que provocan en la vida de los afectados, es ur</w:t>
      </w:r>
      <w:r>
        <w:rPr>
          <w:rFonts w:ascii="Times New Roman" w:eastAsia="Times New Roman" w:hAnsi="Times New Roman" w:cs="Times New Roman"/>
          <w:sz w:val="24"/>
          <w:szCs w:val="24"/>
        </w:rPr>
        <w:t xml:space="preserve">gente </w:t>
      </w:r>
      <w:r>
        <w:rPr>
          <w:rFonts w:ascii="Times New Roman" w:eastAsia="Times New Roman" w:hAnsi="Times New Roman" w:cs="Times New Roman"/>
          <w:sz w:val="24"/>
          <w:szCs w:val="24"/>
        </w:rPr>
        <w:lastRenderedPageBreak/>
        <w:t xml:space="preserve">la sensibilización </w:t>
      </w:r>
      <w:proofErr w:type="gramStart"/>
      <w:r>
        <w:rPr>
          <w:rFonts w:ascii="Times New Roman" w:eastAsia="Times New Roman" w:hAnsi="Times New Roman" w:cs="Times New Roman"/>
          <w:sz w:val="24"/>
          <w:szCs w:val="24"/>
        </w:rPr>
        <w:t>del</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Poder Judicial</w:t>
      </w:r>
      <w:r>
        <w:rPr>
          <w:rFonts w:ascii="Times New Roman" w:eastAsia="Times New Roman" w:hAnsi="Times New Roman" w:cs="Times New Roman"/>
          <w:sz w:val="24"/>
          <w:szCs w:val="24"/>
        </w:rPr>
        <w:t xml:space="preserve">, así como de los demás órganos del sistema de justicia, por la suspensión de todas las remociones. Movimientos de vivienda y entidades de defensa, siguen reivindicando al Tribunal de Justicia </w:t>
      </w:r>
      <w:proofErr w:type="gramStart"/>
      <w:r>
        <w:rPr>
          <w:rFonts w:ascii="Times New Roman" w:eastAsia="Times New Roman" w:hAnsi="Times New Roman" w:cs="Times New Roman"/>
          <w:sz w:val="24"/>
          <w:szCs w:val="24"/>
        </w:rPr>
        <w:t>del</w:t>
      </w:r>
      <w:proofErr w:type="gramEnd"/>
      <w:r>
        <w:rPr>
          <w:rFonts w:ascii="Times New Roman" w:eastAsia="Times New Roman" w:hAnsi="Times New Roman" w:cs="Times New Roman"/>
          <w:sz w:val="24"/>
          <w:szCs w:val="24"/>
        </w:rPr>
        <w:t xml:space="preserve"> Estado acciones </w:t>
      </w:r>
      <w:r>
        <w:rPr>
          <w:rFonts w:ascii="Times New Roman" w:eastAsia="Times New Roman" w:hAnsi="Times New Roman" w:cs="Times New Roman"/>
          <w:sz w:val="24"/>
          <w:szCs w:val="24"/>
        </w:rPr>
        <w:t>efectivas para la suspensión de desalojos y remociones colectivas.</w:t>
      </w:r>
    </w:p>
    <w:p w14:paraId="00000028" w14:textId="77777777" w:rsidR="00966C87" w:rsidRDefault="00966C87">
      <w:pPr>
        <w:spacing w:line="360" w:lineRule="auto"/>
        <w:jc w:val="both"/>
        <w:rPr>
          <w:rFonts w:ascii="Times New Roman" w:eastAsia="Times New Roman" w:hAnsi="Times New Roman" w:cs="Times New Roman"/>
          <w:sz w:val="24"/>
          <w:szCs w:val="24"/>
        </w:rPr>
      </w:pPr>
    </w:p>
    <w:p w14:paraId="00000029" w14:textId="77777777" w:rsidR="00966C87" w:rsidRDefault="00807A9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(1c)</w:t>
      </w:r>
      <w:r>
        <w:rPr>
          <w:rFonts w:ascii="Times New Roman" w:eastAsia="Times New Roman" w:hAnsi="Times New Roman" w:cs="Times New Roman"/>
          <w:sz w:val="24"/>
          <w:szCs w:val="24"/>
        </w:rPr>
        <w:t xml:space="preserve"> En la esfera </w:t>
      </w:r>
      <w:proofErr w:type="gramStart"/>
      <w:r>
        <w:rPr>
          <w:rFonts w:ascii="Times New Roman" w:eastAsia="Times New Roman" w:hAnsi="Times New Roman" w:cs="Times New Roman"/>
          <w:sz w:val="24"/>
          <w:szCs w:val="24"/>
        </w:rPr>
        <w:t>del</w:t>
      </w:r>
      <w:proofErr w:type="gramEnd"/>
      <w:r>
        <w:rPr>
          <w:rFonts w:ascii="Times New Roman" w:eastAsia="Times New Roman" w:hAnsi="Times New Roman" w:cs="Times New Roman"/>
          <w:sz w:val="24"/>
          <w:szCs w:val="24"/>
        </w:rPr>
        <w:t xml:space="preserve"> estado, el gobernador del estado de São Paulo suspendió el corte y cobro de las facturas de agua y alcantarillado para los residentes de bajos ingresos pertenecientes</w:t>
      </w:r>
      <w:r>
        <w:rPr>
          <w:rFonts w:ascii="Times New Roman" w:eastAsia="Times New Roman" w:hAnsi="Times New Roman" w:cs="Times New Roman"/>
          <w:sz w:val="24"/>
          <w:szCs w:val="24"/>
        </w:rPr>
        <w:t xml:space="preserve"> a las categorías de Uso Residencial Social y de Uso Favela, durante los meses de abril, mayo, junio y julio. La Tarifa Social Residencial es destinada a residencias unifamiliares, desempleados, viviendas colectivas o en zona de riesgo que cumplan </w:t>
      </w:r>
      <w:r>
        <w:rPr>
          <w:rFonts w:ascii="Times New Roman" w:eastAsia="Times New Roman" w:hAnsi="Times New Roman" w:cs="Times New Roman"/>
          <w:sz w:val="24"/>
          <w:szCs w:val="24"/>
        </w:rPr>
        <w:lastRenderedPageBreak/>
        <w:t>los crit</w:t>
      </w:r>
      <w:r>
        <w:rPr>
          <w:rFonts w:ascii="Times New Roman" w:eastAsia="Times New Roman" w:hAnsi="Times New Roman" w:cs="Times New Roman"/>
          <w:sz w:val="24"/>
          <w:szCs w:val="24"/>
        </w:rPr>
        <w:t>erios definidos por el comunicado tarifario. En el ámbito privado, la Agencia Nacional de Energía Eléctrica suspendió por 90 días, desde marzo, el corte en el suministro de energía en caso de no pago para todas las categorías de consumidores, y no sólo los</w:t>
      </w:r>
      <w:r>
        <w:rPr>
          <w:rFonts w:ascii="Times New Roman" w:eastAsia="Times New Roman" w:hAnsi="Times New Roman" w:cs="Times New Roman"/>
          <w:sz w:val="24"/>
          <w:szCs w:val="24"/>
        </w:rPr>
        <w:t xml:space="preserve"> de bajo alquiler.</w:t>
      </w:r>
    </w:p>
    <w:p w14:paraId="0000002A" w14:textId="77777777" w:rsidR="00966C87" w:rsidRDefault="00966C87">
      <w:pPr>
        <w:spacing w:line="360" w:lineRule="auto"/>
        <w:jc w:val="both"/>
        <w:rPr>
          <w:rFonts w:ascii="Times New Roman" w:eastAsia="Times New Roman" w:hAnsi="Times New Roman" w:cs="Times New Roman"/>
          <w:sz w:val="24"/>
          <w:szCs w:val="24"/>
          <w:highlight w:val="white"/>
        </w:rPr>
      </w:pPr>
    </w:p>
    <w:p w14:paraId="0000002B" w14:textId="77777777" w:rsidR="00966C87" w:rsidRDefault="00807A95">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Las innumerables acciones e iniciativas presentadas a lo largo de </w:t>
      </w:r>
      <w:proofErr w:type="gramStart"/>
      <w:r>
        <w:rPr>
          <w:rFonts w:ascii="Times New Roman" w:eastAsia="Times New Roman" w:hAnsi="Times New Roman" w:cs="Times New Roman"/>
          <w:sz w:val="24"/>
          <w:szCs w:val="24"/>
          <w:highlight w:val="white"/>
        </w:rPr>
        <w:t>este</w:t>
      </w:r>
      <w:proofErr w:type="gramEnd"/>
      <w:r>
        <w:rPr>
          <w:rFonts w:ascii="Times New Roman" w:eastAsia="Times New Roman" w:hAnsi="Times New Roman" w:cs="Times New Roman"/>
          <w:sz w:val="24"/>
          <w:szCs w:val="24"/>
          <w:highlight w:val="white"/>
        </w:rPr>
        <w:t xml:space="preserve"> documento, revelan la intensidad de las intervenciones y negociaciones que se han entablado -- en ámbitos, instancias y esferas distintas demostrando gran capilarida</w:t>
      </w:r>
      <w:r>
        <w:rPr>
          <w:rFonts w:ascii="Times New Roman" w:eastAsia="Times New Roman" w:hAnsi="Times New Roman" w:cs="Times New Roman"/>
          <w:sz w:val="24"/>
          <w:szCs w:val="24"/>
          <w:highlight w:val="white"/>
        </w:rPr>
        <w:t>d de la discusión y disputas -- en torno al derecho a la vivienda adecuada y que buscaron evitar la efectuación de remociones forzadas.</w:t>
      </w:r>
    </w:p>
    <w:p w14:paraId="0000002C" w14:textId="77777777" w:rsidR="00966C87" w:rsidRDefault="00966C87">
      <w:pPr>
        <w:spacing w:line="360" w:lineRule="auto"/>
        <w:jc w:val="both"/>
        <w:rPr>
          <w:rFonts w:ascii="Times New Roman" w:eastAsia="Times New Roman" w:hAnsi="Times New Roman" w:cs="Times New Roman"/>
          <w:sz w:val="24"/>
          <w:szCs w:val="24"/>
          <w:highlight w:val="white"/>
        </w:rPr>
      </w:pPr>
    </w:p>
    <w:p w14:paraId="0000002D" w14:textId="77777777" w:rsidR="00966C87" w:rsidRDefault="00807A95">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Hay que reconocer que ha habido medidas concretas que </w:t>
      </w:r>
      <w:proofErr w:type="gramStart"/>
      <w:r>
        <w:rPr>
          <w:rFonts w:ascii="Times New Roman" w:eastAsia="Times New Roman" w:hAnsi="Times New Roman" w:cs="Times New Roman"/>
          <w:sz w:val="24"/>
          <w:szCs w:val="24"/>
          <w:highlight w:val="white"/>
        </w:rPr>
        <w:t>han</w:t>
      </w:r>
      <w:proofErr w:type="gramEnd"/>
      <w:r>
        <w:rPr>
          <w:rFonts w:ascii="Times New Roman" w:eastAsia="Times New Roman" w:hAnsi="Times New Roman" w:cs="Times New Roman"/>
          <w:sz w:val="24"/>
          <w:szCs w:val="24"/>
          <w:highlight w:val="white"/>
        </w:rPr>
        <w:t xml:space="preserve"> permitido un poco menos de sufrimiento y angustia durante la </w:t>
      </w:r>
      <w:r>
        <w:rPr>
          <w:rFonts w:ascii="Times New Roman" w:eastAsia="Times New Roman" w:hAnsi="Times New Roman" w:cs="Times New Roman"/>
          <w:sz w:val="24"/>
          <w:szCs w:val="24"/>
          <w:highlight w:val="white"/>
        </w:rPr>
        <w:t>pandemia, especialmente a las familias de bajos ingresos, como, por ejemplo, la suspensión de cortes y cobros en las cuentas de agua y alcantarillado, como sucedió en el estado de São Paulo. Sin embargo, es por desgracia incuestionable que incluso en medio</w:t>
      </w:r>
      <w:r>
        <w:rPr>
          <w:rFonts w:ascii="Times New Roman" w:eastAsia="Times New Roman" w:hAnsi="Times New Roman" w:cs="Times New Roman"/>
          <w:sz w:val="24"/>
          <w:szCs w:val="24"/>
          <w:highlight w:val="white"/>
        </w:rPr>
        <w:t xml:space="preserve"> de una pandemia de dimensión global -- pero que debido a </w:t>
      </w:r>
      <w:r>
        <w:rPr>
          <w:rFonts w:ascii="Times New Roman" w:eastAsia="Times New Roman" w:hAnsi="Times New Roman" w:cs="Times New Roman"/>
          <w:sz w:val="24"/>
          <w:szCs w:val="24"/>
          <w:highlight w:val="white"/>
        </w:rPr>
        <w:lastRenderedPageBreak/>
        <w:t>las históricas y estructurantes desigualdades brasileñas, que se reactualizan, afectan de forma más dura a los más pobres y vulnerables --, las remociones forzadas continuaron ocurriendo. Si fuera d</w:t>
      </w:r>
      <w:r>
        <w:rPr>
          <w:rFonts w:ascii="Times New Roman" w:eastAsia="Times New Roman" w:hAnsi="Times New Roman" w:cs="Times New Roman"/>
          <w:sz w:val="24"/>
          <w:szCs w:val="24"/>
          <w:highlight w:val="white"/>
        </w:rPr>
        <w:t xml:space="preserve">el contexto de la pandemia, ese evento ya representa una carga inconmensurable de violencia y de desamparo; en el actual momento, cuando la pérdida de la casa adquiere una capa más de perversidad, la situación se agrava al dejar expuestos y </w:t>
      </w:r>
      <w:r>
        <w:rPr>
          <w:rFonts w:ascii="Times New Roman" w:eastAsia="Times New Roman" w:hAnsi="Times New Roman" w:cs="Times New Roman"/>
          <w:sz w:val="24"/>
          <w:szCs w:val="24"/>
          <w:highlight w:val="white"/>
        </w:rPr>
        <w:lastRenderedPageBreak/>
        <w:t>en una condició</w:t>
      </w:r>
      <w:r>
        <w:rPr>
          <w:rFonts w:ascii="Times New Roman" w:eastAsia="Times New Roman" w:hAnsi="Times New Roman" w:cs="Times New Roman"/>
          <w:sz w:val="24"/>
          <w:szCs w:val="24"/>
          <w:highlight w:val="white"/>
        </w:rPr>
        <w:t>n aún más vulnerable aquellos y aquellas que pierden el medio probado más eficaz y seguro hasta ahora de protección del virus.</w:t>
      </w:r>
    </w:p>
    <w:p w14:paraId="0000002E" w14:textId="77777777" w:rsidR="00966C87" w:rsidRDefault="00966C87">
      <w:pPr>
        <w:spacing w:line="360" w:lineRule="auto"/>
        <w:jc w:val="both"/>
        <w:rPr>
          <w:rFonts w:ascii="Times New Roman" w:eastAsia="Times New Roman" w:hAnsi="Times New Roman" w:cs="Times New Roman"/>
          <w:sz w:val="24"/>
          <w:szCs w:val="24"/>
          <w:highlight w:val="white"/>
        </w:rPr>
      </w:pPr>
    </w:p>
    <w:p w14:paraId="0000002F" w14:textId="77777777" w:rsidR="00966C87" w:rsidRDefault="00807A95">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Por todas estas razones, elaboramos </w:t>
      </w:r>
      <w:proofErr w:type="gramStart"/>
      <w:r>
        <w:rPr>
          <w:rFonts w:ascii="Times New Roman" w:eastAsia="Times New Roman" w:hAnsi="Times New Roman" w:cs="Times New Roman"/>
          <w:sz w:val="24"/>
          <w:szCs w:val="24"/>
          <w:highlight w:val="white"/>
        </w:rPr>
        <w:t>este</w:t>
      </w:r>
      <w:proofErr w:type="gramEnd"/>
      <w:r>
        <w:rPr>
          <w:rFonts w:ascii="Times New Roman" w:eastAsia="Times New Roman" w:hAnsi="Times New Roman" w:cs="Times New Roman"/>
          <w:sz w:val="24"/>
          <w:szCs w:val="24"/>
          <w:highlight w:val="white"/>
        </w:rPr>
        <w:t xml:space="preserve"> documento como evidencia y denuncia de estas graves violaciones.  </w:t>
      </w:r>
    </w:p>
    <w:p w14:paraId="00000030" w14:textId="77777777" w:rsidR="00966C87" w:rsidRDefault="00966C87">
      <w:pPr>
        <w:spacing w:line="360" w:lineRule="auto"/>
        <w:jc w:val="both"/>
        <w:rPr>
          <w:rFonts w:ascii="Times New Roman" w:eastAsia="Times New Roman" w:hAnsi="Times New Roman" w:cs="Times New Roman"/>
          <w:sz w:val="24"/>
          <w:szCs w:val="24"/>
          <w:highlight w:val="white"/>
        </w:rPr>
      </w:pPr>
    </w:p>
    <w:p w14:paraId="00000031" w14:textId="77777777" w:rsidR="00966C87" w:rsidRDefault="00807A95">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Las informaciones fueron colectadas junto a entidades de la sociedad civil y movimientos que actúan con la promoción </w:t>
      </w:r>
      <w:proofErr w:type="gramStart"/>
      <w:r>
        <w:rPr>
          <w:rFonts w:ascii="Times New Roman" w:eastAsia="Times New Roman" w:hAnsi="Times New Roman" w:cs="Times New Roman"/>
          <w:sz w:val="24"/>
          <w:szCs w:val="24"/>
          <w:highlight w:val="white"/>
        </w:rPr>
        <w:t>del</w:t>
      </w:r>
      <w:proofErr w:type="gramEnd"/>
      <w:r>
        <w:rPr>
          <w:rFonts w:ascii="Times New Roman" w:eastAsia="Times New Roman" w:hAnsi="Times New Roman" w:cs="Times New Roman"/>
          <w:sz w:val="24"/>
          <w:szCs w:val="24"/>
          <w:highlight w:val="white"/>
        </w:rPr>
        <w:t xml:space="preserve"> derecho a la vivienda y suscriben este informe.</w:t>
      </w:r>
    </w:p>
    <w:p w14:paraId="00000032" w14:textId="77777777" w:rsidR="00966C87" w:rsidRDefault="00966C87">
      <w:pPr>
        <w:spacing w:line="360" w:lineRule="auto"/>
        <w:jc w:val="both"/>
        <w:rPr>
          <w:rFonts w:ascii="Times New Roman" w:eastAsia="Times New Roman" w:hAnsi="Times New Roman" w:cs="Times New Roman"/>
          <w:sz w:val="24"/>
          <w:szCs w:val="24"/>
          <w:highlight w:val="white"/>
        </w:rPr>
      </w:pPr>
    </w:p>
    <w:p w14:paraId="00000033" w14:textId="77777777" w:rsidR="00966C87" w:rsidRDefault="00807A95">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Observatório de Remoções [</w:t>
      </w:r>
      <w:r>
        <w:rPr>
          <w:rFonts w:ascii="Times New Roman" w:eastAsia="Times New Roman" w:hAnsi="Times New Roman" w:cs="Times New Roman"/>
          <w:i/>
          <w:sz w:val="24"/>
          <w:szCs w:val="24"/>
          <w:highlight w:val="white"/>
        </w:rPr>
        <w:t>Observatorio de Remociones</w:t>
      </w:r>
      <w:r>
        <w:rPr>
          <w:rFonts w:ascii="Times New Roman" w:eastAsia="Times New Roman" w:hAnsi="Times New Roman" w:cs="Times New Roman"/>
          <w:sz w:val="24"/>
          <w:szCs w:val="24"/>
          <w:highlight w:val="white"/>
        </w:rPr>
        <w:t>]</w:t>
      </w:r>
    </w:p>
    <w:p w14:paraId="00000034" w14:textId="77777777" w:rsidR="00966C87" w:rsidRDefault="00807A95">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União dos Movimentos de Moradia </w:t>
      </w:r>
      <w:r>
        <w:rPr>
          <w:rFonts w:ascii="Times New Roman" w:eastAsia="Times New Roman" w:hAnsi="Times New Roman" w:cs="Times New Roman"/>
          <w:sz w:val="24"/>
          <w:szCs w:val="24"/>
          <w:highlight w:val="white"/>
        </w:rPr>
        <w:t xml:space="preserve">de São Paulo e Ribeirão Preto (UMM) </w:t>
      </w:r>
    </w:p>
    <w:p w14:paraId="00000035" w14:textId="77777777" w:rsidR="00966C87" w:rsidRDefault="00807A95">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Centro Gaspar Garcia de Direitos Humanos</w:t>
      </w:r>
    </w:p>
    <w:p w14:paraId="00000036" w14:textId="77777777" w:rsidR="00966C87" w:rsidRDefault="00807A95">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Movimento dos Trabalhadores Rurais </w:t>
      </w:r>
      <w:proofErr w:type="gramStart"/>
      <w:r>
        <w:rPr>
          <w:rFonts w:ascii="Times New Roman" w:eastAsia="Times New Roman" w:hAnsi="Times New Roman" w:cs="Times New Roman"/>
          <w:sz w:val="24"/>
          <w:szCs w:val="24"/>
          <w:highlight w:val="white"/>
        </w:rPr>
        <w:t>Sem</w:t>
      </w:r>
      <w:proofErr w:type="gramEnd"/>
      <w:r>
        <w:rPr>
          <w:rFonts w:ascii="Times New Roman" w:eastAsia="Times New Roman" w:hAnsi="Times New Roman" w:cs="Times New Roman"/>
          <w:sz w:val="24"/>
          <w:szCs w:val="24"/>
          <w:highlight w:val="white"/>
        </w:rPr>
        <w:t xml:space="preserve"> Terra (MST)</w:t>
      </w:r>
    </w:p>
    <w:p w14:paraId="00000037" w14:textId="77777777" w:rsidR="00966C87" w:rsidRDefault="00807A95">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Movimento dos Trabalhadores </w:t>
      </w:r>
      <w:proofErr w:type="gramStart"/>
      <w:r>
        <w:rPr>
          <w:rFonts w:ascii="Times New Roman" w:eastAsia="Times New Roman" w:hAnsi="Times New Roman" w:cs="Times New Roman"/>
          <w:sz w:val="24"/>
          <w:szCs w:val="24"/>
          <w:highlight w:val="white"/>
        </w:rPr>
        <w:t>Sem</w:t>
      </w:r>
      <w:proofErr w:type="gramEnd"/>
      <w:r>
        <w:rPr>
          <w:rFonts w:ascii="Times New Roman" w:eastAsia="Times New Roman" w:hAnsi="Times New Roman" w:cs="Times New Roman"/>
          <w:sz w:val="24"/>
          <w:szCs w:val="24"/>
          <w:highlight w:val="white"/>
        </w:rPr>
        <w:t xml:space="preserve"> Teto (MTST)</w:t>
      </w:r>
    </w:p>
    <w:p w14:paraId="00000038" w14:textId="77777777" w:rsidR="00966C87" w:rsidRDefault="00807A95">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Associação Rural Renascer da Estação Remanso dos Pequenos Agricultores de Araras</w:t>
      </w:r>
    </w:p>
    <w:p w14:paraId="00000039" w14:textId="77777777" w:rsidR="00966C87" w:rsidRDefault="00807A95">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Central de Movimentos Populares (CMP)</w:t>
      </w:r>
    </w:p>
    <w:p w14:paraId="0000003A" w14:textId="77777777" w:rsidR="00966C87" w:rsidRDefault="00807A95">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Movimento </w:t>
      </w:r>
      <w:proofErr w:type="gramStart"/>
      <w:r>
        <w:rPr>
          <w:rFonts w:ascii="Times New Roman" w:eastAsia="Times New Roman" w:hAnsi="Times New Roman" w:cs="Times New Roman"/>
          <w:sz w:val="24"/>
          <w:szCs w:val="24"/>
          <w:highlight w:val="white"/>
        </w:rPr>
        <w:t>Sem</w:t>
      </w:r>
      <w:proofErr w:type="gramEnd"/>
      <w:r>
        <w:rPr>
          <w:rFonts w:ascii="Times New Roman" w:eastAsia="Times New Roman" w:hAnsi="Times New Roman" w:cs="Times New Roman"/>
          <w:sz w:val="24"/>
          <w:szCs w:val="24"/>
          <w:highlight w:val="white"/>
        </w:rPr>
        <w:t xml:space="preserve"> Teto do Centro (MSTC).</w:t>
      </w:r>
    </w:p>
    <w:sectPr w:rsidR="00966C8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91F37" w14:textId="77777777" w:rsidR="00000000" w:rsidRDefault="00807A95">
      <w:pPr>
        <w:spacing w:line="240" w:lineRule="auto"/>
      </w:pPr>
      <w:r>
        <w:separator/>
      </w:r>
    </w:p>
  </w:endnote>
  <w:endnote w:type="continuationSeparator" w:id="0">
    <w:p w14:paraId="256890A2" w14:textId="77777777" w:rsidR="00000000" w:rsidRDefault="00807A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ECCFC" w14:textId="77777777" w:rsidR="00000000" w:rsidRDefault="00807A95">
      <w:pPr>
        <w:spacing w:line="240" w:lineRule="auto"/>
      </w:pPr>
      <w:r>
        <w:separator/>
      </w:r>
    </w:p>
  </w:footnote>
  <w:footnote w:type="continuationSeparator" w:id="0">
    <w:p w14:paraId="255D5978" w14:textId="77777777" w:rsidR="00000000" w:rsidRDefault="00807A95">
      <w:pPr>
        <w:spacing w:line="240" w:lineRule="auto"/>
      </w:pPr>
      <w:r>
        <w:continuationSeparator/>
      </w:r>
    </w:p>
  </w:footnote>
  <w:footnote w:id="1">
    <w:p w14:paraId="0000003B" w14:textId="77777777" w:rsidR="00966C87" w:rsidRDefault="00807A95">
      <w:pPr>
        <w:spacing w:line="240" w:lineRule="auto"/>
        <w:jc w:val="both"/>
        <w:rPr>
          <w:sz w:val="20"/>
          <w:szCs w:val="20"/>
        </w:rPr>
      </w:pPr>
      <w:r>
        <w:rPr>
          <w:vertAlign w:val="superscript"/>
        </w:rPr>
        <w:footnoteRef/>
      </w:r>
      <w:r>
        <w:rPr>
          <w:sz w:val="20"/>
          <w:szCs w:val="20"/>
        </w:rPr>
        <w:t xml:space="preserve"> Con fuerte presión de la sociedad civil, medios de comunicación y partidos de oposición, se consiguió aprobar, en el ámbito federal, una ayuda de emergencia para familias de baja </w:t>
      </w:r>
      <w:r>
        <w:rPr>
          <w:sz w:val="20"/>
          <w:szCs w:val="20"/>
        </w:rPr>
        <w:t xml:space="preserve">renta, trabajadores informales e independientes, y personas desempleadas. Inicialmente, el gobierno federal quería una ayuda mensual por </w:t>
      </w:r>
      <w:proofErr w:type="gramStart"/>
      <w:r>
        <w:rPr>
          <w:sz w:val="20"/>
          <w:szCs w:val="20"/>
        </w:rPr>
        <w:t>un</w:t>
      </w:r>
      <w:proofErr w:type="gramEnd"/>
      <w:r>
        <w:rPr>
          <w:sz w:val="20"/>
          <w:szCs w:val="20"/>
        </w:rPr>
        <w:t xml:space="preserve"> valor de R$200, que la movilización social y política consiguió elevar a R$600. Su permanencia y continuidad no está</w:t>
      </w:r>
      <w:r>
        <w:rPr>
          <w:sz w:val="20"/>
          <w:szCs w:val="20"/>
        </w:rPr>
        <w:t xml:space="preserve">n garantizadas, aún cuando se sabe que sus consecuencias aún van a permanecer. Sobre los obstáculos en relación a la ayuda de emergencia: </w:t>
      </w:r>
      <w:hyperlink r:id="rId1">
        <w:r>
          <w:rPr>
            <w:color w:val="1155CC"/>
            <w:sz w:val="20"/>
            <w:szCs w:val="20"/>
            <w:u w:val="single"/>
          </w:rPr>
          <w:t>https://drive.google.com/fil</w:t>
        </w:r>
        <w:r>
          <w:rPr>
            <w:color w:val="1155CC"/>
            <w:sz w:val="20"/>
            <w:szCs w:val="20"/>
            <w:u w:val="single"/>
          </w:rPr>
          <w:t>e/d/1Y3R1VJKPW9P-5joEFmTtS_w-16y4Fy5H/view</w:t>
        </w:r>
      </w:hyperlink>
      <w:r>
        <w:rPr>
          <w:sz w:val="20"/>
          <w:szCs w:val="20"/>
        </w:rPr>
        <w:t xml:space="preserve">. </w:t>
      </w:r>
    </w:p>
  </w:footnote>
  <w:footnote w:id="2">
    <w:p w14:paraId="0000003C" w14:textId="77777777" w:rsidR="00966C87" w:rsidRDefault="00807A95">
      <w:pPr>
        <w:spacing w:line="240" w:lineRule="auto"/>
        <w:rPr>
          <w:sz w:val="20"/>
          <w:szCs w:val="20"/>
        </w:rPr>
      </w:pPr>
      <w:r>
        <w:rPr>
          <w:vertAlign w:val="superscript"/>
        </w:rPr>
        <w:footnoteRef/>
      </w:r>
      <w:r>
        <w:rPr>
          <w:sz w:val="20"/>
          <w:szCs w:val="20"/>
        </w:rPr>
        <w:t xml:space="preserve"> </w:t>
      </w:r>
      <w:hyperlink r:id="rId2">
        <w:r>
          <w:rPr>
            <w:color w:val="1155CC"/>
            <w:sz w:val="20"/>
            <w:szCs w:val="20"/>
            <w:u w:val="single"/>
          </w:rPr>
          <w:t>http://www.labcidade.fau.usp.br/campanhas-e-acoes-dos-territorios/</w:t>
        </w:r>
      </w:hyperlink>
      <w:r>
        <w:rPr>
          <w:sz w:val="20"/>
          <w:szCs w:val="20"/>
        </w:rPr>
        <w:t xml:space="preserve">. </w:t>
      </w:r>
    </w:p>
  </w:footnote>
  <w:footnote w:id="3">
    <w:p w14:paraId="0000003D" w14:textId="77777777" w:rsidR="00966C87" w:rsidRDefault="00807A95">
      <w:pPr>
        <w:spacing w:line="240" w:lineRule="auto"/>
        <w:rPr>
          <w:sz w:val="20"/>
          <w:szCs w:val="20"/>
        </w:rPr>
      </w:pPr>
      <w:r>
        <w:rPr>
          <w:vertAlign w:val="superscript"/>
        </w:rPr>
        <w:footnoteRef/>
      </w:r>
      <w:r>
        <w:rPr>
          <w:sz w:val="20"/>
          <w:szCs w:val="20"/>
        </w:rPr>
        <w:t xml:space="preserve"> </w:t>
      </w:r>
      <w:hyperlink r:id="rId3">
        <w:r>
          <w:rPr>
            <w:color w:val="1155CC"/>
            <w:sz w:val="20"/>
            <w:szCs w:val="20"/>
            <w:u w:val="single"/>
          </w:rPr>
          <w:t>https://www.quartosdaquarentena.minhasampa.org.br/</w:t>
        </w:r>
      </w:hyperlink>
      <w:r>
        <w:rPr>
          <w:sz w:val="20"/>
          <w:szCs w:val="20"/>
        </w:rPr>
        <w:t xml:space="preserve">. Na cidade de São Paulo, a prefeitura municipal abriu edital (que não foi o primeiro) para habilitar hotéis, mas nenhum </w:t>
      </w:r>
    </w:p>
  </w:footnote>
  <w:footnote w:id="4">
    <w:p w14:paraId="0000003E" w14:textId="77777777" w:rsidR="00966C87" w:rsidRDefault="00807A95">
      <w:pPr>
        <w:spacing w:line="240" w:lineRule="auto"/>
        <w:rPr>
          <w:sz w:val="20"/>
          <w:szCs w:val="20"/>
        </w:rPr>
      </w:pPr>
      <w:r>
        <w:rPr>
          <w:vertAlign w:val="superscript"/>
        </w:rPr>
        <w:footnoteRef/>
      </w:r>
      <w:r>
        <w:rPr>
          <w:sz w:val="20"/>
          <w:szCs w:val="20"/>
        </w:rPr>
        <w:t xml:space="preserve"> Só para citar dois exemplos: </w:t>
      </w:r>
      <w:hyperlink r:id="rId4">
        <w:r>
          <w:rPr>
            <w:color w:val="1155CC"/>
            <w:sz w:val="20"/>
            <w:szCs w:val="20"/>
            <w:u w:val="single"/>
          </w:rPr>
          <w:t>https://movimentoscontracovid19.com/</w:t>
        </w:r>
      </w:hyperlink>
      <w:r>
        <w:rPr>
          <w:sz w:val="20"/>
          <w:szCs w:val="20"/>
        </w:rPr>
        <w:t xml:space="preserve"> e </w:t>
      </w:r>
      <w:hyperlink r:id="rId5">
        <w:r>
          <w:rPr>
            <w:color w:val="1155CC"/>
            <w:sz w:val="20"/>
            <w:szCs w:val="20"/>
            <w:u w:val="single"/>
          </w:rPr>
          <w:t>https://agentespopularesdesaude.org.br/</w:t>
        </w:r>
      </w:hyperlink>
      <w:r>
        <w:rPr>
          <w:sz w:val="20"/>
          <w:szCs w:val="20"/>
        </w:rPr>
        <w:t xml:space="preserve">. </w:t>
      </w:r>
    </w:p>
  </w:footnote>
  <w:footnote w:id="5">
    <w:p w14:paraId="0000003F" w14:textId="77777777" w:rsidR="00966C87" w:rsidRDefault="00807A95">
      <w:pPr>
        <w:spacing w:line="240" w:lineRule="auto"/>
        <w:rPr>
          <w:rFonts w:ascii="Times New Roman" w:eastAsia="Times New Roman" w:hAnsi="Times New Roman" w:cs="Times New Roman"/>
          <w:sz w:val="20"/>
          <w:szCs w:val="20"/>
        </w:rPr>
      </w:pPr>
      <w:r>
        <w:rPr>
          <w:vertAlign w:val="superscript"/>
        </w:rPr>
        <w:footnoteRef/>
      </w:r>
      <w:hyperlink r:id="rId6">
        <w:r>
          <w:rPr>
            <w:rFonts w:ascii="Times New Roman" w:eastAsia="Times New Roman" w:hAnsi="Times New Roman" w:cs="Times New Roman"/>
            <w:color w:val="1155CC"/>
            <w:sz w:val="20"/>
            <w:szCs w:val="20"/>
            <w:u w:val="single"/>
          </w:rPr>
          <w:t>http://www.labcidade.fau.usp.br/senado-retrocede-no-projeto-de-lei-que-regula-alugueis-e-despejos-na-pandemia/</w:t>
        </w:r>
      </w:hyperlink>
    </w:p>
  </w:footnote>
  <w:footnote w:id="6">
    <w:p w14:paraId="00000040" w14:textId="77777777" w:rsidR="00966C87" w:rsidRDefault="00807A95">
      <w:pPr>
        <w:spacing w:line="240" w:lineRule="auto"/>
        <w:rPr>
          <w:sz w:val="20"/>
          <w:szCs w:val="20"/>
        </w:rPr>
      </w:pPr>
      <w:r>
        <w:rPr>
          <w:vertAlign w:val="superscript"/>
        </w:rPr>
        <w:footnoteRef/>
      </w:r>
      <w:r>
        <w:rPr>
          <w:sz w:val="20"/>
          <w:szCs w:val="20"/>
        </w:rPr>
        <w:t>http://www.planalto.gov.br/ccivil_03/_Ato2019-2022/2020/Lei/L14010.htm.</w:t>
      </w:r>
    </w:p>
  </w:footnote>
  <w:footnote w:id="7">
    <w:p w14:paraId="00000041" w14:textId="77777777" w:rsidR="00966C87" w:rsidRDefault="00807A95">
      <w:pPr>
        <w:spacing w:line="240" w:lineRule="auto"/>
        <w:rPr>
          <w:sz w:val="20"/>
          <w:szCs w:val="20"/>
        </w:rPr>
      </w:pPr>
      <w:r>
        <w:rPr>
          <w:vertAlign w:val="superscript"/>
        </w:rPr>
        <w:footnoteRef/>
      </w:r>
      <w:r>
        <w:rPr>
          <w:sz w:val="20"/>
          <w:szCs w:val="20"/>
        </w:rPr>
        <w:t>https://www.camara.leg.br/proposico</w:t>
      </w:r>
      <w:r>
        <w:rPr>
          <w:sz w:val="20"/>
          <w:szCs w:val="20"/>
        </w:rPr>
        <w:t>esWeb/fichadetramitacao?idProposicao=2249882.</w:t>
      </w:r>
    </w:p>
  </w:footnote>
  <w:footnote w:id="8">
    <w:p w14:paraId="00000042" w14:textId="77777777" w:rsidR="00966C87" w:rsidRDefault="00807A95">
      <w:pPr>
        <w:spacing w:line="240" w:lineRule="auto"/>
        <w:jc w:val="both"/>
        <w:rPr>
          <w:rFonts w:ascii="Times New Roman" w:eastAsia="Times New Roman" w:hAnsi="Times New Roman" w:cs="Times New Roman"/>
          <w:sz w:val="20"/>
          <w:szCs w:val="20"/>
        </w:rPr>
      </w:pPr>
      <w:r>
        <w:rPr>
          <w:vertAlign w:val="superscript"/>
        </w:rPr>
        <w:footnoteRef/>
      </w:r>
      <w:hyperlink r:id="rId7">
        <w:r>
          <w:rPr>
            <w:rFonts w:ascii="Times New Roman" w:eastAsia="Times New Roman" w:hAnsi="Times New Roman" w:cs="Times New Roman"/>
            <w:color w:val="1155CC"/>
            <w:sz w:val="20"/>
            <w:szCs w:val="20"/>
            <w:u w:val="single"/>
          </w:rPr>
          <w:t>Resolução Nº 322 de 01/06/2020</w:t>
        </w:r>
      </w:hyperlink>
      <w:r>
        <w:t xml:space="preserve">, </w:t>
      </w:r>
      <w:hyperlink r:id="rId8">
        <w:r>
          <w:rPr>
            <w:rFonts w:ascii="Times New Roman" w:eastAsia="Times New Roman" w:hAnsi="Times New Roman" w:cs="Times New Roman"/>
            <w:color w:val="1155CC"/>
            <w:sz w:val="20"/>
            <w:szCs w:val="20"/>
            <w:u w:val="single"/>
          </w:rPr>
          <w:t>Portaria Nº 79 de 22/05/2020</w:t>
        </w:r>
      </w:hyperlink>
      <w:r>
        <w:t xml:space="preserve">, </w:t>
      </w:r>
      <w:hyperlink r:id="rId9">
        <w:r>
          <w:rPr>
            <w:rFonts w:ascii="Times New Roman" w:eastAsia="Times New Roman" w:hAnsi="Times New Roman" w:cs="Times New Roman"/>
            <w:color w:val="1155CC"/>
            <w:sz w:val="20"/>
            <w:szCs w:val="20"/>
            <w:u w:val="single"/>
          </w:rPr>
          <w:t>Resolução Nº 318 de 07/05/2020</w:t>
        </w:r>
      </w:hyperlink>
      <w:r>
        <w:t xml:space="preserve">, </w:t>
      </w:r>
      <w:hyperlink r:id="rId10">
        <w:r>
          <w:rPr>
            <w:rFonts w:ascii="Times New Roman" w:eastAsia="Times New Roman" w:hAnsi="Times New Roman" w:cs="Times New Roman"/>
            <w:color w:val="1155CC"/>
            <w:sz w:val="20"/>
            <w:szCs w:val="20"/>
            <w:u w:val="single"/>
          </w:rPr>
          <w:t>Resolução Nº 314 de 20 de abril de 2020</w:t>
        </w:r>
      </w:hyperlink>
      <w:r>
        <w:t xml:space="preserve">, </w:t>
      </w:r>
      <w:hyperlink r:id="rId11">
        <w:r>
          <w:rPr>
            <w:rFonts w:ascii="Times New Roman" w:eastAsia="Times New Roman" w:hAnsi="Times New Roman" w:cs="Times New Roman"/>
            <w:color w:val="1155CC"/>
            <w:sz w:val="20"/>
            <w:szCs w:val="20"/>
            <w:u w:val="single"/>
          </w:rPr>
          <w:t>Resolução Nº 313 de 19 de março de 2020</w:t>
        </w:r>
      </w:hyperlink>
      <w:r>
        <w:rPr>
          <w:rFonts w:ascii="Times New Roman" w:eastAsia="Times New Roman" w:hAnsi="Times New Roman" w:cs="Times New Roman"/>
          <w:sz w:val="20"/>
          <w:szCs w:val="20"/>
        </w:rPr>
        <w:t xml:space="preserve">. </w:t>
      </w:r>
    </w:p>
  </w:footnote>
  <w:footnote w:id="9">
    <w:p w14:paraId="00000043" w14:textId="77777777" w:rsidR="00966C87" w:rsidRDefault="00807A95">
      <w:pPr>
        <w:spacing w:line="240" w:lineRule="auto"/>
        <w:jc w:val="both"/>
        <w:rPr>
          <w:sz w:val="20"/>
          <w:szCs w:val="20"/>
        </w:rPr>
      </w:pPr>
      <w:r>
        <w:rPr>
          <w:vertAlign w:val="superscript"/>
        </w:rPr>
        <w:footnoteRef/>
      </w:r>
      <w:r>
        <w:rPr>
          <w:rFonts w:ascii="Times New Roman" w:eastAsia="Times New Roman" w:hAnsi="Times New Roman" w:cs="Times New Roman"/>
          <w:sz w:val="20"/>
          <w:szCs w:val="20"/>
        </w:rPr>
        <w:t xml:space="preserve"> </w:t>
      </w:r>
      <w:hyperlink r:id="rId12">
        <w:r>
          <w:rPr>
            <w:rFonts w:ascii="Times New Roman" w:eastAsia="Times New Roman" w:hAnsi="Times New Roman" w:cs="Times New Roman"/>
            <w:color w:val="1155CC"/>
            <w:sz w:val="20"/>
            <w:szCs w:val="20"/>
            <w:u w:val="single"/>
          </w:rPr>
          <w:t>Provimento CSM nº 2561/2020</w:t>
        </w:r>
      </w:hyperlink>
      <w:r>
        <w:rPr>
          <w:rFonts w:ascii="Times New Roman" w:eastAsia="Times New Roman" w:hAnsi="Times New Roman" w:cs="Times New Roman"/>
          <w:sz w:val="20"/>
          <w:szCs w:val="20"/>
        </w:rPr>
        <w:t xml:space="preserve">, </w:t>
      </w:r>
      <w:hyperlink r:id="rId13">
        <w:r>
          <w:rPr>
            <w:rFonts w:ascii="Times New Roman" w:eastAsia="Times New Roman" w:hAnsi="Times New Roman" w:cs="Times New Roman"/>
            <w:color w:val="1155CC"/>
            <w:sz w:val="20"/>
            <w:szCs w:val="20"/>
            <w:u w:val="single"/>
          </w:rPr>
          <w:t>Provimento CSM nº 2560/2020</w:t>
        </w:r>
      </w:hyperlink>
      <w:r>
        <w:t xml:space="preserve">, </w:t>
      </w:r>
      <w:hyperlink r:id="rId14">
        <w:r>
          <w:rPr>
            <w:rFonts w:ascii="Times New Roman" w:eastAsia="Times New Roman" w:hAnsi="Times New Roman" w:cs="Times New Roman"/>
            <w:color w:val="1155CC"/>
            <w:sz w:val="20"/>
            <w:szCs w:val="20"/>
            <w:u w:val="single"/>
          </w:rPr>
          <w:t xml:space="preserve">Provimento CSM </w:t>
        </w:r>
        <w:r>
          <w:rPr>
            <w:rFonts w:ascii="Times New Roman" w:eastAsia="Times New Roman" w:hAnsi="Times New Roman" w:cs="Times New Roman"/>
            <w:color w:val="1155CC"/>
            <w:sz w:val="20"/>
            <w:szCs w:val="20"/>
            <w:u w:val="single"/>
          </w:rPr>
          <w:t>nº 2554, de 24 de abril 2020</w:t>
        </w:r>
      </w:hyperlink>
      <w:r>
        <w:t xml:space="preserve">, </w:t>
      </w:r>
      <w:hyperlink r:id="rId15">
        <w:r>
          <w:rPr>
            <w:rFonts w:ascii="Times New Roman" w:eastAsia="Times New Roman" w:hAnsi="Times New Roman" w:cs="Times New Roman"/>
            <w:color w:val="1155CC"/>
            <w:sz w:val="20"/>
            <w:szCs w:val="20"/>
            <w:u w:val="single"/>
          </w:rPr>
          <w:t>Provimento CSM nº 2555, de 24 de abril de 2020</w:t>
        </w:r>
      </w:hyperlink>
      <w:r>
        <w:t xml:space="preserve">, </w:t>
      </w:r>
      <w:hyperlink r:id="rId16">
        <w:r>
          <w:rPr>
            <w:rFonts w:ascii="Times New Roman" w:eastAsia="Times New Roman" w:hAnsi="Times New Roman" w:cs="Times New Roman"/>
            <w:color w:val="1155CC"/>
            <w:sz w:val="20"/>
            <w:szCs w:val="20"/>
            <w:u w:val="single"/>
          </w:rPr>
          <w:t>Provimento CSM nº 2.549 de 23 de março de 2020</w:t>
        </w:r>
      </w:hyperlink>
      <w:r>
        <w:rPr>
          <w:rFonts w:ascii="Times New Roman" w:eastAsia="Times New Roman" w:hAnsi="Times New Roman" w:cs="Times New Roman"/>
          <w:sz w:val="20"/>
          <w:szCs w:val="20"/>
        </w:rPr>
        <w:t xml:space="preserve">, </w:t>
      </w:r>
      <w:hyperlink r:id="rId17">
        <w:r>
          <w:rPr>
            <w:rFonts w:ascii="Times New Roman" w:eastAsia="Times New Roman" w:hAnsi="Times New Roman" w:cs="Times New Roman"/>
            <w:color w:val="1155CC"/>
            <w:sz w:val="20"/>
            <w:szCs w:val="20"/>
            <w:u w:val="single"/>
          </w:rPr>
          <w:t>Provimento CSM nº 2550, de 23 de março de 2020</w:t>
        </w:r>
      </w:hyperlink>
      <w:r>
        <w:rPr>
          <w:rFonts w:ascii="Times New Roman" w:eastAsia="Times New Roman" w:hAnsi="Times New Roman" w:cs="Times New Roman"/>
          <w:sz w:val="20"/>
          <w:szCs w:val="20"/>
        </w:rPr>
        <w:t xml:space="preserve">, </w:t>
      </w:r>
      <w:hyperlink r:id="rId18">
        <w:r>
          <w:rPr>
            <w:rFonts w:ascii="Times New Roman" w:eastAsia="Times New Roman" w:hAnsi="Times New Roman" w:cs="Times New Roman"/>
            <w:color w:val="1155CC"/>
            <w:sz w:val="20"/>
            <w:szCs w:val="20"/>
            <w:u w:val="single"/>
          </w:rPr>
          <w:t>Provimento CSM nº 2545, de 16 de março de 2020</w:t>
        </w:r>
      </w:hyperlink>
      <w:r>
        <w:rPr>
          <w:rFonts w:ascii="Times New Roman" w:eastAsia="Times New Roman" w:hAnsi="Times New Roman" w:cs="Times New Roman"/>
          <w:sz w:val="20"/>
          <w:szCs w:val="20"/>
        </w:rPr>
        <w:t xml:space="preserve"> </w:t>
      </w:r>
    </w:p>
  </w:footnote>
  <w:footnote w:id="10">
    <w:p w14:paraId="00000044" w14:textId="77777777" w:rsidR="00966C87" w:rsidRDefault="00807A95">
      <w:pPr>
        <w:spacing w:line="240" w:lineRule="auto"/>
        <w:rPr>
          <w:rFonts w:ascii="Times New Roman" w:eastAsia="Times New Roman" w:hAnsi="Times New Roman" w:cs="Times New Roman"/>
          <w:sz w:val="20"/>
          <w:szCs w:val="20"/>
        </w:rPr>
      </w:pPr>
      <w:r>
        <w:rPr>
          <w:vertAlign w:val="superscript"/>
        </w:rPr>
        <w:footnoteRef/>
      </w:r>
      <w:hyperlink r:id="rId19">
        <w:r>
          <w:rPr>
            <w:rFonts w:ascii="Times New Roman" w:eastAsia="Times New Roman" w:hAnsi="Times New Roman" w:cs="Times New Roman"/>
            <w:color w:val="1155CC"/>
            <w:sz w:val="20"/>
            <w:szCs w:val="20"/>
            <w:u w:val="single"/>
          </w:rPr>
          <w:t>http://legislacao.prefeitura.sp.gov.br/leis/decreto-59326-de-2-de-abril-de-2020</w:t>
        </w:r>
      </w:hyperlink>
      <w:r>
        <w:rPr>
          <w:rFonts w:ascii="Times New Roman" w:eastAsia="Times New Roman" w:hAnsi="Times New Roman" w:cs="Times New Roman"/>
          <w:sz w:val="20"/>
          <w:szCs w:val="20"/>
        </w:rPr>
        <w:t>.</w:t>
      </w:r>
    </w:p>
  </w:footnote>
  <w:footnote w:id="11">
    <w:p w14:paraId="00000045" w14:textId="77777777" w:rsidR="00966C87" w:rsidRDefault="00807A95">
      <w:pPr>
        <w:spacing w:line="240" w:lineRule="auto"/>
        <w:rPr>
          <w:sz w:val="20"/>
          <w:szCs w:val="20"/>
        </w:rPr>
      </w:pPr>
      <w:r>
        <w:rPr>
          <w:vertAlign w:val="superscript"/>
        </w:rPr>
        <w:footnoteRef/>
      </w:r>
      <w:r>
        <w:rPr>
          <w:sz w:val="20"/>
          <w:szCs w:val="20"/>
        </w:rPr>
        <w:t xml:space="preserve"> </w:t>
      </w:r>
      <w:hyperlink r:id="rId20">
        <w:r>
          <w:rPr>
            <w:color w:val="1155CC"/>
            <w:sz w:val="20"/>
            <w:szCs w:val="20"/>
            <w:u w:val="single"/>
          </w:rPr>
          <w:t>http://www.labcidade.fau.usp.br/observatorio-de-remocoes/</w:t>
        </w:r>
      </w:hyperlink>
      <w:r>
        <w:rPr>
          <w:sz w:val="20"/>
          <w:szCs w:val="20"/>
        </w:rPr>
        <w:t xml:space="preserve">. </w:t>
      </w:r>
    </w:p>
  </w:footnote>
  <w:footnote w:id="12">
    <w:p w14:paraId="00000046" w14:textId="77777777" w:rsidR="00966C87" w:rsidRDefault="00807A95">
      <w:pPr>
        <w:spacing w:line="240" w:lineRule="auto"/>
        <w:jc w:val="both"/>
        <w:rPr>
          <w:rFonts w:ascii="Times New Roman" w:eastAsia="Times New Roman" w:hAnsi="Times New Roman" w:cs="Times New Roman"/>
          <w:sz w:val="20"/>
          <w:szCs w:val="20"/>
        </w:rPr>
      </w:pPr>
      <w:r>
        <w:rPr>
          <w:vertAlign w:val="superscript"/>
        </w:rPr>
        <w:footnoteRef/>
      </w:r>
      <w:hyperlink r:id="rId21">
        <w:r>
          <w:rPr>
            <w:rFonts w:ascii="Times New Roman" w:eastAsia="Times New Roman" w:hAnsi="Times New Roman" w:cs="Times New Roman"/>
            <w:color w:val="1155CC"/>
            <w:sz w:val="20"/>
            <w:szCs w:val="20"/>
            <w:u w:val="single"/>
          </w:rPr>
          <w:t>https://www.cartacapital.com.br/blogs/br-cidades/o-</w:t>
        </w:r>
        <w:r>
          <w:rPr>
            <w:rFonts w:ascii="Times New Roman" w:eastAsia="Times New Roman" w:hAnsi="Times New Roman" w:cs="Times New Roman"/>
            <w:color w:val="1155CC"/>
            <w:sz w:val="20"/>
            <w:szCs w:val="20"/>
            <w:u w:val="single"/>
          </w:rPr>
          <w:t>estado-veste-o-traje-da-morte-a-reintegracao-de-posse-e-a-pandemia/?fbclid=IwAR0NpQc9aojxqDEn6X-ynPgHxMS4NtDujEld1U9tWZPC9JBWo3mvKMrM4Fc</w:t>
        </w:r>
      </w:hyperlink>
      <w:r>
        <w:rPr>
          <w:rFonts w:ascii="Times New Roman" w:eastAsia="Times New Roman" w:hAnsi="Times New Roman" w:cs="Times New Roman"/>
          <w:sz w:val="20"/>
          <w:szCs w:val="20"/>
        </w:rPr>
        <w:t>.</w:t>
      </w:r>
    </w:p>
  </w:footnote>
  <w:footnote w:id="13">
    <w:p w14:paraId="00000047" w14:textId="77777777" w:rsidR="00966C87" w:rsidRDefault="00807A95">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hyperlink r:id="rId22">
        <w:r>
          <w:rPr>
            <w:rFonts w:ascii="Times New Roman" w:eastAsia="Times New Roman" w:hAnsi="Times New Roman" w:cs="Times New Roman"/>
            <w:color w:val="1155CC"/>
            <w:sz w:val="20"/>
            <w:szCs w:val="20"/>
            <w:u w:val="single"/>
          </w:rPr>
          <w:t>https://leismunicipais.com.br/a/sp/s/sao-bernardo-do-campo/decreto/2018/2041/20417/decreto-n-20417-2018-institui-o-</w:t>
        </w:r>
        <w:r>
          <w:rPr>
            <w:rFonts w:ascii="Times New Roman" w:eastAsia="Times New Roman" w:hAnsi="Times New Roman" w:cs="Times New Roman"/>
            <w:color w:val="1155CC"/>
            <w:sz w:val="20"/>
            <w:szCs w:val="20"/>
            <w:u w:val="single"/>
          </w:rPr>
          <w:t>sistema-de-recuperacao-territorial-sret-revoga-o-decreto-municipal-n-19965-de-12-de-abril-de-2017-e-da-outras-providencias</w:t>
        </w:r>
      </w:hyperlink>
    </w:p>
  </w:footnote>
  <w:footnote w:id="14">
    <w:p w14:paraId="00000048" w14:textId="77777777" w:rsidR="00966C87" w:rsidRDefault="00807A95">
      <w:pPr>
        <w:spacing w:line="240" w:lineRule="auto"/>
        <w:rPr>
          <w:sz w:val="20"/>
          <w:szCs w:val="20"/>
        </w:rPr>
      </w:pPr>
      <w:r>
        <w:rPr>
          <w:vertAlign w:val="superscript"/>
        </w:rPr>
        <w:footnoteRef/>
      </w:r>
      <w:hyperlink r:id="rId23">
        <w:r>
          <w:rPr>
            <w:color w:val="1155CC"/>
            <w:sz w:val="20"/>
            <w:szCs w:val="20"/>
            <w:u w:val="single"/>
          </w:rPr>
          <w:t>http://www.l</w:t>
        </w:r>
        <w:r>
          <w:rPr>
            <w:color w:val="1155CC"/>
            <w:sz w:val="20"/>
            <w:szCs w:val="20"/>
            <w:u w:val="single"/>
          </w:rPr>
          <w:t>abcidade.fau.usp.br/juizes-suspendem-remocoes-por-conta-da-pandemia-do-novo-coronavirus/</w:t>
        </w:r>
      </w:hyperlink>
    </w:p>
  </w:footnote>
  <w:footnote w:id="15">
    <w:p w14:paraId="00000049" w14:textId="77777777" w:rsidR="00966C87" w:rsidRDefault="00807A95">
      <w:pPr>
        <w:spacing w:line="240" w:lineRule="auto"/>
        <w:rPr>
          <w:sz w:val="20"/>
          <w:szCs w:val="20"/>
        </w:rPr>
      </w:pPr>
      <w:r>
        <w:rPr>
          <w:vertAlign w:val="superscript"/>
        </w:rPr>
        <w:footnoteRef/>
      </w:r>
      <w:hyperlink r:id="rId24">
        <w:r>
          <w:rPr>
            <w:color w:val="1155CC"/>
            <w:sz w:val="20"/>
            <w:szCs w:val="20"/>
            <w:u w:val="single"/>
          </w:rPr>
          <w:t>http://www.labcidade.fau.usp</w:t>
        </w:r>
        <w:r>
          <w:rPr>
            <w:color w:val="1155CC"/>
            <w:sz w:val="20"/>
            <w:szCs w:val="20"/>
            <w:u w:val="single"/>
          </w:rPr>
          <w:t>.br/o-que-a-ocupacao-cidade-locomotiva-em-ribeirao-preto-nos-ensina-em-tempos-de-pandemia/</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C87"/>
    <w:rsid w:val="00807A95"/>
    <w:rsid w:val="00966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91DF64-C926-4269-8D2B-7018819A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s://atos.cnj.jus.br/atos/detalhar/3326" TargetMode="External"/><Relationship Id="rId13" Type="http://schemas.openxmlformats.org/officeDocument/2006/relationships/hyperlink" Target="https://www.tjsp.jus.br/Download/Portal/Coronavirus/Comunicados/Provimento2560-20.pdf" TargetMode="External"/><Relationship Id="rId18" Type="http://schemas.openxmlformats.org/officeDocument/2006/relationships/hyperlink" Target="https://www.tjsp.jus.br/Download/Portal/Coronavirus/Comunicados/Provimento_CSM_20200316.pdf" TargetMode="External"/><Relationship Id="rId3" Type="http://schemas.openxmlformats.org/officeDocument/2006/relationships/hyperlink" Target="https://www.quartosdaquarentena.minhasampa.org.br/" TargetMode="External"/><Relationship Id="rId21" Type="http://schemas.openxmlformats.org/officeDocument/2006/relationships/hyperlink" Target="https://www.cartacapital.com.br/blogs/br-cidades/o-estado-veste-o-traje-da-morte-a-reintegracao-de-posse-e-a-pandemia/?fbclid=IwAR0NpQc9aojxqDEn6X-ynPgHxMS4NtDujEld1U9tWZPC9JBWo3mvKMrM4Fc" TargetMode="External"/><Relationship Id="rId7" Type="http://schemas.openxmlformats.org/officeDocument/2006/relationships/hyperlink" Target="https://atos.cnj.jus.br/atos/detalhar/3333" TargetMode="External"/><Relationship Id="rId12" Type="http://schemas.openxmlformats.org/officeDocument/2006/relationships/hyperlink" Target="https://api.tjsp.jus.br/Handlers/Handler/FileFetch.ashx?codigo=119593" TargetMode="External"/><Relationship Id="rId17" Type="http://schemas.openxmlformats.org/officeDocument/2006/relationships/hyperlink" Target="https://www.tjsp.jus.br/Download/Portal/Coronavirus/Comunicados/Provimento_CSM_20200320_1.pdf" TargetMode="External"/><Relationship Id="rId2" Type="http://schemas.openxmlformats.org/officeDocument/2006/relationships/hyperlink" Target="http://www.labcidade.fau.usp.br/campanhas-e-acoes-dos-territorios/" TargetMode="External"/><Relationship Id="rId16" Type="http://schemas.openxmlformats.org/officeDocument/2006/relationships/hyperlink" Target="https://www.tjsp.jus.br/Download/Portal/Coronavirus/Comunicados/Provimento_CSM_20200320.pdf" TargetMode="External"/><Relationship Id="rId20" Type="http://schemas.openxmlformats.org/officeDocument/2006/relationships/hyperlink" Target="http://www.labcidade.fau.usp.br/observatorio-de-remocoes/" TargetMode="External"/><Relationship Id="rId1" Type="http://schemas.openxmlformats.org/officeDocument/2006/relationships/hyperlink" Target="https://drive.google.com/file/d/1Y3R1VJKPW9P-5joEFmTtS_w-16y4Fy5H/view" TargetMode="External"/><Relationship Id="rId6" Type="http://schemas.openxmlformats.org/officeDocument/2006/relationships/hyperlink" Target="http://www.labcidade.fau.usp.br/senado-retrocede-no-projeto-de-lei-que-regula-alugueis-e-despejos-na-pandemia/" TargetMode="External"/><Relationship Id="rId11" Type="http://schemas.openxmlformats.org/officeDocument/2006/relationships/hyperlink" Target="https://www.cnj.jus.br/wp-content/uploads/2020/03/Resolu%C3%A7%C3%A3o-n%C2%BA-313-5.pdf" TargetMode="External"/><Relationship Id="rId24" Type="http://schemas.openxmlformats.org/officeDocument/2006/relationships/hyperlink" Target="http://www.labcidade.fau.usp.br/o-que-a-ocupacao-cidade-locomotiva-em-ribeirao-preto-nos-ensina-em-tempos-de-pandemia/" TargetMode="External"/><Relationship Id="rId5" Type="http://schemas.openxmlformats.org/officeDocument/2006/relationships/hyperlink" Target="https://agentespopularesdesaude.org.br/" TargetMode="External"/><Relationship Id="rId15" Type="http://schemas.openxmlformats.org/officeDocument/2006/relationships/hyperlink" Target="https://www.tjsp.jus.br/Download/Portal/Coronavirus/Comunicados/ProvimentoCSM2555-2020-1.pdf" TargetMode="External"/><Relationship Id="rId23" Type="http://schemas.openxmlformats.org/officeDocument/2006/relationships/hyperlink" Target="http://www.labcidade.fau.usp.br/juizes-suspendem-remocoes-por-conta-da-pandemia-do-novo-coronavirus/" TargetMode="External"/><Relationship Id="rId10" Type="http://schemas.openxmlformats.org/officeDocument/2006/relationships/hyperlink" Target="https://www.cnj.jus.br/wp-content/uploads/2020/04/Resolu%C3%A7%C3%A3o-n%C2%BA-314.pdf" TargetMode="External"/><Relationship Id="rId19" Type="http://schemas.openxmlformats.org/officeDocument/2006/relationships/hyperlink" Target="http://legislacao.prefeitura.sp.gov.br/leis/decreto-59326-de-2-de-abril-de-2020" TargetMode="External"/><Relationship Id="rId4" Type="http://schemas.openxmlformats.org/officeDocument/2006/relationships/hyperlink" Target="https://movimentoscontracovid19.com/" TargetMode="External"/><Relationship Id="rId9" Type="http://schemas.openxmlformats.org/officeDocument/2006/relationships/hyperlink" Target="https://atos.cnj.jus.br/atos/detalhar/3308" TargetMode="External"/><Relationship Id="rId14" Type="http://schemas.openxmlformats.org/officeDocument/2006/relationships/hyperlink" Target="https://www.tjsp.jus.br/Download/Portal/Coronavirus/Comunicados/ProvimentoCSM2554-2020-1.pdf" TargetMode="External"/><Relationship Id="rId22" Type="http://schemas.openxmlformats.org/officeDocument/2006/relationships/hyperlink" Target="https://leismunicipais.com.br/a/sp/s/sao-bernardo-do-campo/decreto/2018/2041/20417/decreto-n-20417-2018-institui-o-sistema-de-recuperacao-territorial-sret-revoga-o-decreto-municipal-n-19965-de-12-de-abril-de-2017-e-da-outras-providenci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279D52-A206-4F6B-B0E9-4A9185D70629}"/>
</file>

<file path=customXml/itemProps2.xml><?xml version="1.0" encoding="utf-8"?>
<ds:datastoreItem xmlns:ds="http://schemas.openxmlformats.org/officeDocument/2006/customXml" ds:itemID="{01548348-A599-4B19-976B-C4F5BC5F143F}"/>
</file>

<file path=customXml/itemProps3.xml><?xml version="1.0" encoding="utf-8"?>
<ds:datastoreItem xmlns:ds="http://schemas.openxmlformats.org/officeDocument/2006/customXml" ds:itemID="{460C350C-033E-496D-AD8D-997D792646F7}"/>
</file>

<file path=docProps/app.xml><?xml version="1.0" encoding="utf-8"?>
<Properties xmlns="http://schemas.openxmlformats.org/officeDocument/2006/extended-properties" xmlns:vt="http://schemas.openxmlformats.org/officeDocument/2006/docPropsVTypes">
  <Template>Normal.dotm</Template>
  <TotalTime>1</TotalTime>
  <Pages>7</Pages>
  <Words>2113</Words>
  <Characters>12048</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14133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THEISSEN Gunnar</dc:creator>
  <cp:lastModifiedBy>THEISSEN Gunnar</cp:lastModifiedBy>
  <cp:revision>2</cp:revision>
  <dcterms:created xsi:type="dcterms:W3CDTF">2020-06-26T06:17:00Z</dcterms:created>
  <dcterms:modified xsi:type="dcterms:W3CDTF">2020-06-26T06:17:00Z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