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ED1045" w14:textId="77777777" w:rsidR="0017159F" w:rsidRPr="0017159F" w:rsidRDefault="0017159F" w:rsidP="00A4697E">
      <w:pPr>
        <w:tabs>
          <w:tab w:val="left" w:pos="1024"/>
          <w:tab w:val="left" w:pos="1703"/>
          <w:tab w:val="left" w:pos="2327"/>
          <w:tab w:val="left" w:pos="6693"/>
          <w:tab w:val="left" w:pos="7259"/>
        </w:tabs>
        <w:jc w:val="center"/>
        <w:rPr>
          <w:rFonts w:ascii="Arial Narrow" w:eastAsia="Arial" w:hAnsi="Arial Narrow" w:cs="Arial"/>
          <w:b/>
          <w:bCs/>
          <w:sz w:val="32"/>
          <w:szCs w:val="24"/>
          <w:u w:val="single"/>
        </w:rPr>
      </w:pPr>
      <w:r w:rsidRPr="0017159F">
        <w:rPr>
          <w:rFonts w:ascii="Arial Narrow" w:eastAsia="Times New Roman" w:hAnsi="Arial Narrow" w:cs="Times New Roman"/>
          <w:b/>
          <w:kern w:val="1"/>
          <w:sz w:val="32"/>
          <w:szCs w:val="24"/>
          <w:u w:val="single"/>
          <w:lang w:val="es-ES"/>
        </w:rPr>
        <w:t>Cuestionario sobre el derecho a la vivienda de las personas con discapacidad</w:t>
      </w:r>
    </w:p>
    <w:p w14:paraId="59468B27" w14:textId="77777777" w:rsidR="0017159F" w:rsidRDefault="0017159F" w:rsidP="00A4697E">
      <w:pPr>
        <w:pStyle w:val="Cuerpo"/>
        <w:shd w:val="clear" w:color="auto" w:fill="FFFFFF"/>
        <w:spacing w:after="0" w:line="240" w:lineRule="auto"/>
        <w:jc w:val="both"/>
        <w:rPr>
          <w:rFonts w:ascii="Arial Narrow" w:eastAsia="Arial" w:hAnsi="Arial Narrow" w:cs="Arial"/>
          <w:bCs/>
          <w:sz w:val="24"/>
          <w:szCs w:val="24"/>
        </w:rPr>
      </w:pPr>
    </w:p>
    <w:p w14:paraId="0695E69C" w14:textId="34962447" w:rsidR="0017159F" w:rsidRPr="0017159F" w:rsidRDefault="0017159F" w:rsidP="00A4697E">
      <w:pPr>
        <w:pStyle w:val="Cuerpo"/>
        <w:shd w:val="clear" w:color="auto" w:fill="FFFFFF"/>
        <w:spacing w:after="0" w:line="240" w:lineRule="auto"/>
        <w:jc w:val="both"/>
        <w:rPr>
          <w:rFonts w:ascii="Arial Narrow" w:hAnsi="Arial Narrow"/>
          <w:sz w:val="24"/>
          <w:szCs w:val="24"/>
        </w:rPr>
      </w:pPr>
      <w:r w:rsidRPr="0017159F">
        <w:rPr>
          <w:rFonts w:ascii="Arial Narrow" w:eastAsia="Arial" w:hAnsi="Arial Narrow" w:cs="Arial"/>
          <w:bCs/>
          <w:sz w:val="24"/>
          <w:szCs w:val="24"/>
        </w:rPr>
        <w:t xml:space="preserve">A partir de la convocatoria hecha por la Relatora Especial sobre el derecho a la vivienda adecuada, Naciones Unidas, </w:t>
      </w:r>
      <w:proofErr w:type="spellStart"/>
      <w:r w:rsidRPr="0017159F">
        <w:rPr>
          <w:rFonts w:ascii="Arial Narrow" w:eastAsia="Arial" w:hAnsi="Arial Narrow" w:cs="Arial"/>
          <w:bCs/>
          <w:sz w:val="24"/>
          <w:szCs w:val="24"/>
        </w:rPr>
        <w:t>Leilani</w:t>
      </w:r>
      <w:proofErr w:type="spellEnd"/>
      <w:r w:rsidRPr="0017159F">
        <w:rPr>
          <w:rFonts w:ascii="Arial Narrow" w:eastAsia="Arial" w:hAnsi="Arial Narrow" w:cs="Arial"/>
          <w:bCs/>
          <w:sz w:val="24"/>
          <w:szCs w:val="24"/>
        </w:rPr>
        <w:t xml:space="preserve"> </w:t>
      </w:r>
      <w:proofErr w:type="spellStart"/>
      <w:r w:rsidRPr="0017159F">
        <w:rPr>
          <w:rFonts w:ascii="Arial Narrow" w:eastAsia="Arial" w:hAnsi="Arial Narrow" w:cs="Arial"/>
          <w:bCs/>
          <w:sz w:val="24"/>
          <w:szCs w:val="24"/>
        </w:rPr>
        <w:t>Farha</w:t>
      </w:r>
      <w:proofErr w:type="spellEnd"/>
      <w:r w:rsidRPr="0017159F">
        <w:rPr>
          <w:rFonts w:ascii="Arial Narrow" w:eastAsia="Arial" w:hAnsi="Arial Narrow" w:cs="Arial"/>
          <w:bCs/>
          <w:sz w:val="24"/>
          <w:szCs w:val="24"/>
        </w:rPr>
        <w:t>, para el envío de respuestas de un cuestionario sobre el</w:t>
      </w:r>
      <w:r w:rsidR="00C9477B">
        <w:rPr>
          <w:rFonts w:ascii="Arial Narrow" w:eastAsia="Arial" w:hAnsi="Arial Narrow" w:cs="Arial"/>
          <w:bCs/>
          <w:sz w:val="24"/>
          <w:szCs w:val="24"/>
        </w:rPr>
        <w:t xml:space="preserve"> derecho</w:t>
      </w:r>
      <w:r w:rsidRPr="0017159F">
        <w:rPr>
          <w:rFonts w:ascii="Arial Narrow" w:eastAsia="Arial" w:hAnsi="Arial Narrow" w:cs="Arial"/>
          <w:bCs/>
          <w:sz w:val="24"/>
          <w:szCs w:val="24"/>
        </w:rPr>
        <w:t xml:space="preserve"> a la vivienda de las personas con discapacidad, la Clínica Jurídica en Discapacidad y Derechos Humanos de la Pontificia Universidad Católica del Perú, se permite enviar la presente comunicación</w:t>
      </w:r>
      <w:r w:rsidRPr="0017159F">
        <w:rPr>
          <w:rStyle w:val="Refdenotaalpie"/>
          <w:rFonts w:ascii="Arial Narrow" w:hAnsi="Arial Narrow"/>
          <w:sz w:val="24"/>
          <w:szCs w:val="24"/>
        </w:rPr>
        <w:footnoteReference w:id="1"/>
      </w:r>
      <w:r w:rsidRPr="0017159F">
        <w:rPr>
          <w:rFonts w:ascii="Arial Narrow" w:eastAsia="Arial" w:hAnsi="Arial Narrow" w:cs="Arial"/>
          <w:bCs/>
          <w:sz w:val="24"/>
          <w:szCs w:val="24"/>
        </w:rPr>
        <w:t>.</w:t>
      </w:r>
    </w:p>
    <w:p w14:paraId="3FBCA359" w14:textId="77777777" w:rsidR="0017159F" w:rsidRPr="0017159F" w:rsidRDefault="0017159F" w:rsidP="00A4697E">
      <w:pPr>
        <w:jc w:val="both"/>
        <w:rPr>
          <w:rFonts w:ascii="Arial Narrow" w:hAnsi="Arial Narrow"/>
          <w:szCs w:val="24"/>
        </w:rPr>
      </w:pPr>
      <w:r w:rsidRPr="0017159F">
        <w:rPr>
          <w:rFonts w:ascii="Arial Narrow" w:hAnsi="Arial Narrow"/>
          <w:szCs w:val="24"/>
        </w:rPr>
        <w:tab/>
      </w:r>
    </w:p>
    <w:p w14:paraId="2BA16378" w14:textId="77777777" w:rsidR="00A4697E" w:rsidRPr="00A4697E" w:rsidRDefault="0017159F" w:rsidP="00A4697E">
      <w:pPr>
        <w:jc w:val="both"/>
        <w:rPr>
          <w:rFonts w:ascii="Arial Narrow" w:hAnsi="Arial Narrow"/>
          <w:b/>
          <w:szCs w:val="24"/>
          <w:lang w:val="es-ES"/>
        </w:rPr>
      </w:pPr>
      <w:r>
        <w:rPr>
          <w:rFonts w:ascii="Arial Narrow" w:hAnsi="Arial Narrow"/>
          <w:b/>
          <w:szCs w:val="24"/>
        </w:rPr>
        <w:t xml:space="preserve">Pregunta 1: </w:t>
      </w:r>
      <w:r w:rsidR="00A4697E" w:rsidRPr="00A4697E">
        <w:rPr>
          <w:rFonts w:ascii="Arial Narrow" w:hAnsi="Arial Narrow"/>
          <w:b/>
          <w:szCs w:val="24"/>
          <w:lang w:val="es-ES"/>
        </w:rPr>
        <w:t xml:space="preserve">Sírvase explicar de qué manera se ha reconocido y garantizado el derecho a una vivienda adecuada de las personas con discapacidad en la legislación doméstica, incluyendo ya sea a nivel constitucional o a nivel de otra legislación en materia de derechos humanos. </w:t>
      </w:r>
    </w:p>
    <w:p w14:paraId="42D35B68" w14:textId="7F5A1B43" w:rsidR="0017159F" w:rsidRPr="00A4697E" w:rsidRDefault="0017159F" w:rsidP="00A4697E">
      <w:pPr>
        <w:jc w:val="both"/>
        <w:rPr>
          <w:rFonts w:ascii="Arial Narrow" w:hAnsi="Arial Narrow"/>
          <w:b/>
          <w:szCs w:val="24"/>
          <w:lang w:val="es-ES"/>
        </w:rPr>
      </w:pPr>
    </w:p>
    <w:p w14:paraId="416688F6" w14:textId="77777777" w:rsidR="0017159F" w:rsidRPr="0017159F" w:rsidRDefault="0017159F" w:rsidP="00A4697E">
      <w:pPr>
        <w:jc w:val="both"/>
        <w:rPr>
          <w:rFonts w:ascii="Arial Narrow" w:hAnsi="Arial Narrow"/>
          <w:szCs w:val="24"/>
        </w:rPr>
      </w:pPr>
      <w:r w:rsidRPr="0017159F">
        <w:rPr>
          <w:rFonts w:ascii="Arial Narrow" w:hAnsi="Arial Narrow"/>
          <w:szCs w:val="24"/>
        </w:rPr>
        <w:t>En la Ley n°29973, Ley General de la Persona con Discapacidad (en adelante, LGPCD), se ha regulado de manera implícita el derecho a una vivienda adecuada de las personas con discapacidad, al señalar en el artículo 18 que: “El Ministerio de Vivienda, Construcción y Saneamiento promueve y regula el acceso preferente de la persona con discapacidad a los programas públicos de vivienda a su cargo, otorgándole una bonificación. Estos programas contemplan la construcción de viviendas accesibles para la persona con discapacidad”. Esta norma debe ser leída junto con la norma técnica A.120 “Accesibilidad para personas con discapacidad y de las personas adultas mayores”</w:t>
      </w:r>
      <w:r w:rsidRPr="0017159F">
        <w:rPr>
          <w:rFonts w:ascii="Arial Narrow" w:hAnsi="Arial Narrow"/>
          <w:szCs w:val="24"/>
          <w:vertAlign w:val="superscript"/>
        </w:rPr>
        <w:footnoteReference w:id="2"/>
      </w:r>
      <w:r w:rsidRPr="0017159F">
        <w:rPr>
          <w:rFonts w:ascii="Arial Narrow" w:hAnsi="Arial Narrow"/>
          <w:szCs w:val="24"/>
        </w:rPr>
        <w:t>que fue incorporada al Reglamento Nacional de Edificaciones en el año 2009</w:t>
      </w:r>
      <w:r w:rsidRPr="0017159F">
        <w:rPr>
          <w:rFonts w:ascii="Arial Narrow" w:hAnsi="Arial Narrow"/>
          <w:szCs w:val="24"/>
          <w:vertAlign w:val="superscript"/>
        </w:rPr>
        <w:footnoteReference w:id="3"/>
      </w:r>
      <w:r w:rsidRPr="0017159F">
        <w:rPr>
          <w:rFonts w:ascii="Arial Narrow" w:hAnsi="Arial Narrow"/>
          <w:szCs w:val="24"/>
        </w:rPr>
        <w:t>.</w:t>
      </w:r>
    </w:p>
    <w:p w14:paraId="5B1377E0" w14:textId="77777777" w:rsidR="0017159F" w:rsidRDefault="0017159F" w:rsidP="00A4697E">
      <w:pPr>
        <w:jc w:val="both"/>
        <w:rPr>
          <w:rFonts w:ascii="Arial Narrow" w:hAnsi="Arial Narrow"/>
          <w:szCs w:val="24"/>
        </w:rPr>
      </w:pPr>
    </w:p>
    <w:p w14:paraId="15A11997" w14:textId="3884D606" w:rsidR="0017159F" w:rsidRPr="0017159F" w:rsidRDefault="0017159F" w:rsidP="00A4697E">
      <w:pPr>
        <w:jc w:val="both"/>
        <w:rPr>
          <w:rFonts w:ascii="Arial Narrow" w:hAnsi="Arial Narrow"/>
          <w:szCs w:val="24"/>
        </w:rPr>
      </w:pPr>
      <w:r>
        <w:rPr>
          <w:rFonts w:ascii="Arial Narrow" w:hAnsi="Arial Narrow"/>
          <w:szCs w:val="24"/>
        </w:rPr>
        <w:t xml:space="preserve">En el artículo </w:t>
      </w:r>
      <w:r w:rsidRPr="0017159F">
        <w:rPr>
          <w:rFonts w:ascii="Arial Narrow" w:hAnsi="Arial Narrow"/>
          <w:szCs w:val="24"/>
        </w:rPr>
        <w:t xml:space="preserve">2 de la norma técnica A.120 se enuncia que: </w:t>
      </w:r>
    </w:p>
    <w:p w14:paraId="605F6FA0" w14:textId="77777777" w:rsidR="0017159F" w:rsidRPr="0017159F" w:rsidRDefault="0017159F" w:rsidP="00A4697E">
      <w:pPr>
        <w:ind w:left="720"/>
        <w:jc w:val="both"/>
        <w:rPr>
          <w:rFonts w:ascii="Arial Narrow" w:hAnsi="Arial Narrow"/>
          <w:i/>
          <w:sz w:val="22"/>
          <w:szCs w:val="24"/>
        </w:rPr>
      </w:pPr>
      <w:r w:rsidRPr="0017159F">
        <w:rPr>
          <w:rFonts w:ascii="Arial Narrow" w:hAnsi="Arial Narrow"/>
          <w:i/>
          <w:sz w:val="22"/>
          <w:szCs w:val="24"/>
        </w:rPr>
        <w:t xml:space="preserve">“La presente norma será de aplicación obligatoria, para todas las edificaciones donde se presten servicios de atención al público, de propiedad pública o privada. </w:t>
      </w:r>
      <w:proofErr w:type="gramStart"/>
      <w:r w:rsidRPr="0017159F">
        <w:rPr>
          <w:rFonts w:ascii="Arial Narrow" w:hAnsi="Arial Narrow"/>
          <w:i/>
          <w:sz w:val="22"/>
          <w:szCs w:val="24"/>
        </w:rPr>
        <w:t>2.a.-</w:t>
      </w:r>
      <w:proofErr w:type="gramEnd"/>
      <w:r w:rsidRPr="0017159F">
        <w:rPr>
          <w:rFonts w:ascii="Arial Narrow" w:hAnsi="Arial Narrow"/>
          <w:i/>
          <w:sz w:val="22"/>
          <w:szCs w:val="24"/>
        </w:rPr>
        <w:t xml:space="preserve"> Para las edificaciones de servicios públicos. 2.b- Las áreas de uso común de los Conjuntos Residenciales y Quintas, así como los vestíbulos de ingreso de los Edificios Multifamiliares para los que se exija ascensor”. </w:t>
      </w:r>
    </w:p>
    <w:p w14:paraId="536367E5" w14:textId="77777777" w:rsidR="00A4697E" w:rsidRDefault="00A4697E" w:rsidP="00A4697E">
      <w:pPr>
        <w:jc w:val="both"/>
        <w:rPr>
          <w:rFonts w:ascii="Arial Narrow" w:hAnsi="Arial Narrow"/>
          <w:szCs w:val="24"/>
        </w:rPr>
      </w:pPr>
    </w:p>
    <w:p w14:paraId="478A2D77" w14:textId="04F03435" w:rsidR="00394C2B" w:rsidRDefault="0017159F" w:rsidP="00A4697E">
      <w:pPr>
        <w:jc w:val="both"/>
        <w:rPr>
          <w:rFonts w:ascii="Arial Narrow" w:hAnsi="Arial Narrow"/>
          <w:szCs w:val="24"/>
        </w:rPr>
      </w:pPr>
      <w:r w:rsidRPr="0017159F">
        <w:rPr>
          <w:rFonts w:ascii="Arial Narrow" w:hAnsi="Arial Narrow"/>
          <w:szCs w:val="24"/>
        </w:rPr>
        <w:t>Ello nos lleva a postular que esta norma técnica es la que regula los parámetros técnicos de los conjuntos residenciales y quintas en los que puede habitar una persona con discapacidad.</w:t>
      </w:r>
      <w:r>
        <w:rPr>
          <w:rFonts w:ascii="Arial Narrow" w:hAnsi="Arial Narrow"/>
          <w:szCs w:val="24"/>
        </w:rPr>
        <w:t xml:space="preserve"> </w:t>
      </w:r>
      <w:r w:rsidR="00394C2B">
        <w:rPr>
          <w:rFonts w:ascii="Arial Narrow" w:hAnsi="Arial Narrow"/>
          <w:szCs w:val="24"/>
        </w:rPr>
        <w:t xml:space="preserve">No obstante, los estándares están pensados únicamente en personas en silla de ruedas. No hay estándares de construcción </w:t>
      </w:r>
      <w:r w:rsidR="00C61EDB">
        <w:rPr>
          <w:rFonts w:ascii="Arial Narrow" w:hAnsi="Arial Narrow"/>
          <w:szCs w:val="24"/>
        </w:rPr>
        <w:t xml:space="preserve">pensados para otro tipo de discapacidad. </w:t>
      </w:r>
    </w:p>
    <w:p w14:paraId="6007C06D" w14:textId="4C25E1E4" w:rsidR="0017159F" w:rsidRPr="0017159F" w:rsidRDefault="0017159F" w:rsidP="00A4697E">
      <w:pPr>
        <w:jc w:val="both"/>
        <w:rPr>
          <w:rFonts w:ascii="Arial Narrow" w:hAnsi="Arial Narrow"/>
          <w:szCs w:val="24"/>
        </w:rPr>
      </w:pPr>
      <w:r w:rsidRPr="0017159F">
        <w:rPr>
          <w:rFonts w:ascii="Arial Narrow" w:hAnsi="Arial Narrow"/>
          <w:szCs w:val="24"/>
        </w:rPr>
        <w:t>A nivel local</w:t>
      </w:r>
      <w:r w:rsidR="00A64992">
        <w:rPr>
          <w:rFonts w:ascii="Arial Narrow" w:hAnsi="Arial Narrow"/>
          <w:szCs w:val="24"/>
        </w:rPr>
        <w:t>,</w:t>
      </w:r>
      <w:r w:rsidRPr="0017159F">
        <w:rPr>
          <w:rFonts w:ascii="Arial Narrow" w:hAnsi="Arial Narrow"/>
          <w:szCs w:val="24"/>
        </w:rPr>
        <w:t xml:space="preserve"> se han emitido normas que regulan aspectos del derecho a la vivienda adecuada para una persona con discapacidad. Ejemplo de ello la Ordenanza n°208 del distrito de San Isidro, que establece en el artículo 31- “Edificaciones para vivienda” que: “Las áreas de uso común de los conjuntos residenciales y </w:t>
      </w:r>
      <w:r w:rsidRPr="0017159F">
        <w:rPr>
          <w:rFonts w:ascii="Arial Narrow" w:hAnsi="Arial Narrow"/>
          <w:szCs w:val="24"/>
        </w:rPr>
        <w:lastRenderedPageBreak/>
        <w:t>los vestíbulos de ingreso de los edificios multifamiliares para los que se exija ascensor, deberán cumplir con condiciones de accesibilidad, mediante rampas o medios mecánicos”.</w:t>
      </w:r>
      <w:r w:rsidRPr="0017159F">
        <w:rPr>
          <w:rFonts w:ascii="Arial Narrow" w:hAnsi="Arial Narrow"/>
          <w:szCs w:val="24"/>
          <w:vertAlign w:val="superscript"/>
        </w:rPr>
        <w:footnoteReference w:id="4"/>
      </w:r>
    </w:p>
    <w:p w14:paraId="5A490A5F" w14:textId="77777777" w:rsidR="00A64992" w:rsidRDefault="00A64992" w:rsidP="00A64992">
      <w:pPr>
        <w:rPr>
          <w:rFonts w:ascii="Arial Narrow" w:hAnsi="Arial Narrow"/>
          <w:szCs w:val="24"/>
        </w:rPr>
      </w:pPr>
    </w:p>
    <w:p w14:paraId="59B79939" w14:textId="66DD7E74" w:rsidR="00A64992" w:rsidRPr="00A64992" w:rsidRDefault="00A64992" w:rsidP="00A64992">
      <w:pPr>
        <w:jc w:val="both"/>
        <w:rPr>
          <w:rFonts w:ascii="Arial Narrow" w:hAnsi="Arial Narrow"/>
          <w:b/>
          <w:szCs w:val="24"/>
          <w:lang w:val="es-ES"/>
        </w:rPr>
      </w:pPr>
      <w:r w:rsidRPr="00A64992">
        <w:rPr>
          <w:rFonts w:ascii="Arial Narrow" w:hAnsi="Arial Narrow"/>
          <w:b/>
          <w:szCs w:val="24"/>
        </w:rPr>
        <w:t xml:space="preserve">Pregunta 2: </w:t>
      </w:r>
      <w:r w:rsidRPr="00A64992">
        <w:rPr>
          <w:rFonts w:ascii="Arial Narrow" w:hAnsi="Arial Narrow"/>
          <w:b/>
          <w:szCs w:val="24"/>
          <w:lang w:val="es-ES"/>
        </w:rPr>
        <w:t>Sírvase proporcionar indicadores y estadísticas, análisis o informes sobre condiciones de vivienda de las personas con discapacidad, incluyendo investigaciones sobre las condiciones existentes en instituciones; y la magnitud de la situación de calle (‘sinhogarismo’) y discriminación (incluido el fracaso de proporcionar ajustes razonables) en el sector privado y público. Sírvanse también proporcionar referencias sobre documentos y testimonios (publicaciones, documentos visuales u otros) de las condiciones de vivienda de las personas con discapacidad.</w:t>
      </w:r>
    </w:p>
    <w:p w14:paraId="3630A8CF" w14:textId="35BB768B" w:rsidR="00A64992" w:rsidRDefault="00A64992" w:rsidP="00A4697E">
      <w:pPr>
        <w:jc w:val="both"/>
        <w:rPr>
          <w:rFonts w:ascii="Arial Narrow" w:hAnsi="Arial Narrow"/>
          <w:szCs w:val="24"/>
        </w:rPr>
      </w:pPr>
    </w:p>
    <w:p w14:paraId="6B34EF4A" w14:textId="5AECDFAF" w:rsidR="00A64992" w:rsidRDefault="00A64992" w:rsidP="00A64992">
      <w:pPr>
        <w:jc w:val="both"/>
        <w:rPr>
          <w:rFonts w:ascii="Arial Narrow" w:hAnsi="Arial Narrow"/>
          <w:szCs w:val="24"/>
        </w:rPr>
      </w:pPr>
      <w:r w:rsidRPr="00A64992">
        <w:rPr>
          <w:rFonts w:ascii="Arial Narrow" w:hAnsi="Arial Narrow"/>
          <w:szCs w:val="24"/>
        </w:rPr>
        <w:t>En la primera Encuesta Nacional sobre la Persona con Discapacidad realizada en el 2012, donde se preguntó cuál era el tipo de vivienda, materiales de pisos, paredes exteriores, techos; combustible que más se usa, servicios higiénicos, alumbrado, entre otros. Ninguna de las preguntas está relacionada con las medidas de accesibilidad con las que cuenta la vivienda o cómo lograron</w:t>
      </w:r>
      <w:r>
        <w:rPr>
          <w:rFonts w:ascii="Arial Narrow" w:hAnsi="Arial Narrow"/>
          <w:szCs w:val="24"/>
        </w:rPr>
        <w:t xml:space="preserve"> o financiar el alquiler de una</w:t>
      </w:r>
      <w:r w:rsidRPr="00A64992">
        <w:rPr>
          <w:rFonts w:ascii="Arial Narrow" w:hAnsi="Arial Narrow"/>
          <w:szCs w:val="24"/>
        </w:rPr>
        <w:t>.</w:t>
      </w:r>
      <w:r w:rsidRPr="00A64992">
        <w:rPr>
          <w:rFonts w:ascii="Arial Narrow" w:hAnsi="Arial Narrow"/>
          <w:szCs w:val="24"/>
          <w:vertAlign w:val="superscript"/>
        </w:rPr>
        <w:footnoteReference w:id="5"/>
      </w:r>
      <w:r>
        <w:rPr>
          <w:rFonts w:ascii="Arial Narrow" w:hAnsi="Arial Narrow"/>
          <w:szCs w:val="24"/>
        </w:rPr>
        <w:t xml:space="preserve"> El sistema de encuestas en el Perú se realiza por hogares, por lo que, a partir de dicha encuesta, no es posible conocer a las personas “sin hogar”.</w:t>
      </w:r>
    </w:p>
    <w:p w14:paraId="4706CB82" w14:textId="77777777" w:rsidR="00A64992" w:rsidRPr="00A64992" w:rsidRDefault="00A64992" w:rsidP="00A64992">
      <w:pPr>
        <w:jc w:val="both"/>
        <w:rPr>
          <w:rFonts w:ascii="Arial Narrow" w:hAnsi="Arial Narrow"/>
          <w:szCs w:val="24"/>
        </w:rPr>
      </w:pPr>
    </w:p>
    <w:p w14:paraId="68CCDD0C" w14:textId="475EA77A" w:rsidR="00A64992" w:rsidRPr="00A64992" w:rsidRDefault="00A64992" w:rsidP="00A64992">
      <w:pPr>
        <w:jc w:val="both"/>
        <w:rPr>
          <w:rFonts w:ascii="Arial Narrow" w:hAnsi="Arial Narrow"/>
          <w:szCs w:val="24"/>
        </w:rPr>
      </w:pPr>
      <w:r>
        <w:rPr>
          <w:rFonts w:ascii="Arial Narrow" w:hAnsi="Arial Narrow"/>
          <w:szCs w:val="24"/>
        </w:rPr>
        <w:t>De acuerdo con la encuesta,</w:t>
      </w:r>
      <w:r w:rsidRPr="00A64992">
        <w:rPr>
          <w:rFonts w:ascii="Arial Narrow" w:hAnsi="Arial Narrow"/>
          <w:szCs w:val="24"/>
        </w:rPr>
        <w:t xml:space="preserve"> más del 90% vive en casas independientes, más del 40% tienen como material predominante en los pisos cemento, en las paredes ladrillo o bloques de cemento en un 61.2%, la disponibilidad del servicio higiénico es de más del 70% con red pública d desagüe; sin embargo, es importante aclarar en este punto que la población con discapacidad en zonas rurales tiene, en un 50.7% pozo ciego o letrina y solo un 15.5% cuenta c</w:t>
      </w:r>
      <w:r>
        <w:rPr>
          <w:rFonts w:ascii="Arial Narrow" w:hAnsi="Arial Narrow"/>
          <w:szCs w:val="24"/>
        </w:rPr>
        <w:t>on servicio público de desagüe.</w:t>
      </w:r>
      <w:r w:rsidRPr="00A64992">
        <w:rPr>
          <w:rFonts w:ascii="Arial Narrow" w:hAnsi="Arial Narrow"/>
          <w:szCs w:val="24"/>
          <w:vertAlign w:val="superscript"/>
        </w:rPr>
        <w:footnoteReference w:id="6"/>
      </w:r>
    </w:p>
    <w:p w14:paraId="73BF7F72" w14:textId="2A3C82D4" w:rsidR="00A64992" w:rsidRPr="00A64992" w:rsidRDefault="00A64992" w:rsidP="00A4697E">
      <w:pPr>
        <w:jc w:val="both"/>
        <w:rPr>
          <w:rFonts w:ascii="Arial Narrow" w:hAnsi="Arial Narrow"/>
          <w:szCs w:val="24"/>
        </w:rPr>
      </w:pPr>
      <w:r w:rsidRPr="00A64992">
        <w:rPr>
          <w:rFonts w:ascii="Arial Narrow" w:hAnsi="Arial Narrow"/>
          <w:szCs w:val="24"/>
        </w:rPr>
        <w:t>Se presentó dos solicitudes de acceso a la información al Consejo Nacional para el Desarrollo e Inclusión de la Persona con Discapacidad y al Ministerio de Vivienda, ninguna de las dos entidades proporcionó información sobre la situación de vivienda de las personas con discapacidad, si existían ajustes razonables respecto a las mismas, la existencia de programas estatales de acceso a la vivienda o préstamos para personas con discapacidad. Tampoco se respondió si existían medidas para incluir a la persona con discapacidad en la comunidad ni se proporcionó estadísticas sobre la cantidad de las personas con discapacidad que no cuentan con hogar. </w:t>
      </w:r>
      <w:r>
        <w:rPr>
          <w:rFonts w:ascii="Arial Narrow" w:hAnsi="Arial Narrow"/>
          <w:szCs w:val="24"/>
        </w:rPr>
        <w:t>Se presume que no cuentan con tal información.</w:t>
      </w:r>
    </w:p>
    <w:p w14:paraId="5A5415AC" w14:textId="77777777" w:rsidR="00A64992" w:rsidRDefault="00A64992" w:rsidP="00A4697E">
      <w:pPr>
        <w:jc w:val="both"/>
        <w:rPr>
          <w:rFonts w:ascii="Arial Narrow" w:hAnsi="Arial Narrow"/>
          <w:b/>
          <w:szCs w:val="24"/>
        </w:rPr>
      </w:pPr>
    </w:p>
    <w:p w14:paraId="5C2CFB90" w14:textId="27754E93" w:rsidR="00A4697E" w:rsidRPr="00A4697E" w:rsidRDefault="0045126D" w:rsidP="00A4697E">
      <w:pPr>
        <w:jc w:val="both"/>
        <w:rPr>
          <w:rFonts w:ascii="Arial Narrow" w:hAnsi="Arial Narrow"/>
          <w:b/>
          <w:szCs w:val="24"/>
          <w:lang w:val="es-ES"/>
        </w:rPr>
      </w:pPr>
      <w:r w:rsidRPr="0045126D">
        <w:rPr>
          <w:rFonts w:ascii="Arial Narrow" w:hAnsi="Arial Narrow"/>
          <w:b/>
          <w:szCs w:val="24"/>
        </w:rPr>
        <w:t>Pregunta 3:</w:t>
      </w:r>
      <w:r w:rsidR="00A4697E">
        <w:rPr>
          <w:rFonts w:ascii="Arial Narrow" w:hAnsi="Arial Narrow"/>
          <w:b/>
          <w:szCs w:val="24"/>
        </w:rPr>
        <w:t xml:space="preserve"> </w:t>
      </w:r>
      <w:r w:rsidR="00A4697E" w:rsidRPr="00A4697E">
        <w:rPr>
          <w:rFonts w:ascii="Arial Narrow" w:hAnsi="Arial Narrow"/>
          <w:b/>
          <w:szCs w:val="24"/>
          <w:lang w:val="es-ES"/>
        </w:rPr>
        <w:t xml:space="preserve">Sírvase proporcionar datos sobre las personas con discapacidad que viven en instituciones </w:t>
      </w:r>
      <w:proofErr w:type="gramStart"/>
      <w:r w:rsidR="00A4697E" w:rsidRPr="00A4697E">
        <w:rPr>
          <w:rFonts w:ascii="Arial Narrow" w:hAnsi="Arial Narrow"/>
          <w:b/>
          <w:szCs w:val="24"/>
          <w:lang w:val="es-ES"/>
        </w:rPr>
        <w:t>residenciales</w:t>
      </w:r>
      <w:proofErr w:type="gramEnd"/>
      <w:r w:rsidR="00A4697E" w:rsidRPr="00A4697E">
        <w:rPr>
          <w:rFonts w:ascii="Arial Narrow" w:hAnsi="Arial Narrow"/>
          <w:b/>
          <w:szCs w:val="24"/>
          <w:lang w:val="es-ES"/>
        </w:rPr>
        <w:t xml:space="preserve"> así como información relevante sobre el progreso para desarrollar e implementar estrategias de desinstitucionalización para facilitar una transición sostenida hacia si residencia en la comunicad y con los arreglos y asistencia necesarios.</w:t>
      </w:r>
    </w:p>
    <w:p w14:paraId="58D857AC" w14:textId="14779938" w:rsidR="00042BC9" w:rsidRPr="00A4697E" w:rsidRDefault="00042BC9" w:rsidP="00A4697E">
      <w:pPr>
        <w:jc w:val="both"/>
        <w:rPr>
          <w:rFonts w:ascii="Arial Narrow" w:hAnsi="Arial Narrow"/>
          <w:b/>
          <w:szCs w:val="24"/>
          <w:lang w:val="es-ES"/>
        </w:rPr>
      </w:pPr>
    </w:p>
    <w:p w14:paraId="5D2C8C36" w14:textId="77777777" w:rsidR="0045126D" w:rsidRPr="0045126D" w:rsidRDefault="0045126D" w:rsidP="00A4697E">
      <w:pPr>
        <w:jc w:val="both"/>
        <w:rPr>
          <w:rFonts w:ascii="Arial Narrow" w:hAnsi="Arial Narrow"/>
          <w:szCs w:val="24"/>
        </w:rPr>
      </w:pPr>
      <w:r w:rsidRPr="0045126D">
        <w:rPr>
          <w:rFonts w:ascii="Arial Narrow" w:hAnsi="Arial Narrow"/>
          <w:szCs w:val="24"/>
        </w:rPr>
        <w:lastRenderedPageBreak/>
        <w:t xml:space="preserve">A raíz de la cuestión planteada se envió una solicitud de acceso a la información con diversas preguntas cuyas respuestas iban a resolver la interrogante. Lamentablemente, nos señalaron que no contaban con la información exacta para brindarnos y en numerosas ocasiones nos derivaban a otra área para solicitarla, sucediendo lo mismo en cada una de ellas. Sin embargo, se encontró estadísticas que demostraron que el Estado se encuentra en la búsqueda de las limitaciones con las que viven día a día las personas con algún tipo de discapacidad. </w:t>
      </w:r>
    </w:p>
    <w:p w14:paraId="782D76D5" w14:textId="110BE37D" w:rsidR="0045126D" w:rsidRPr="0045126D" w:rsidRDefault="0045126D" w:rsidP="00A4697E">
      <w:pPr>
        <w:jc w:val="both"/>
        <w:rPr>
          <w:rFonts w:ascii="Arial Narrow" w:hAnsi="Arial Narrow"/>
          <w:szCs w:val="24"/>
        </w:rPr>
      </w:pPr>
      <w:r w:rsidRPr="0045126D">
        <w:rPr>
          <w:rFonts w:ascii="Arial Narrow" w:hAnsi="Arial Narrow"/>
          <w:szCs w:val="24"/>
        </w:rPr>
        <w:t>Este cuadro nos permite ver que ya no se es ajeno a las dificultades que tienen las personas para entrar a establecimientos de salud o simplemente al paradero que este por sus casas. A raíz de esto, el Estado podrá proporcionar estrategias que puedan facilitar la residencia en la comunidad de personas con discapacidad.</w:t>
      </w:r>
    </w:p>
    <w:p w14:paraId="07968CAC" w14:textId="0C4A34A6" w:rsidR="0045126D" w:rsidRPr="0017159F" w:rsidRDefault="0045126D" w:rsidP="00A4697E">
      <w:pPr>
        <w:jc w:val="center"/>
        <w:rPr>
          <w:rFonts w:ascii="Arial Narrow" w:hAnsi="Arial Narrow"/>
          <w:szCs w:val="24"/>
        </w:rPr>
      </w:pPr>
      <w:r>
        <w:rPr>
          <w:rFonts w:ascii="Arial Narrow" w:hAnsi="Arial Narrow"/>
          <w:noProof/>
          <w:szCs w:val="24"/>
        </w:rPr>
        <w:drawing>
          <wp:inline distT="0" distB="0" distL="0" distR="0" wp14:anchorId="15D281D3" wp14:editId="398F9831">
            <wp:extent cx="4552950" cy="3192416"/>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capacidad.png"/>
                    <pic:cNvPicPr/>
                  </pic:nvPicPr>
                  <pic:blipFill>
                    <a:blip r:embed="rId8">
                      <a:extLst>
                        <a:ext uri="{28A0092B-C50C-407E-A947-70E740481C1C}">
                          <a14:useLocalDpi xmlns:a14="http://schemas.microsoft.com/office/drawing/2010/main" val="0"/>
                        </a:ext>
                      </a:extLst>
                    </a:blip>
                    <a:stretch>
                      <a:fillRect/>
                    </a:stretch>
                  </pic:blipFill>
                  <pic:spPr>
                    <a:xfrm>
                      <a:off x="0" y="0"/>
                      <a:ext cx="4561431" cy="3198362"/>
                    </a:xfrm>
                    <a:prstGeom prst="rect">
                      <a:avLst/>
                    </a:prstGeom>
                  </pic:spPr>
                </pic:pic>
              </a:graphicData>
            </a:graphic>
          </wp:inline>
        </w:drawing>
      </w:r>
    </w:p>
    <w:p w14:paraId="1CD5AF50" w14:textId="77777777" w:rsidR="0045126D" w:rsidRDefault="0045126D" w:rsidP="00A4697E">
      <w:pPr>
        <w:jc w:val="both"/>
        <w:rPr>
          <w:rFonts w:ascii="Arial Narrow" w:hAnsi="Arial Narrow"/>
          <w:b/>
          <w:szCs w:val="24"/>
        </w:rPr>
      </w:pPr>
    </w:p>
    <w:p w14:paraId="06217CB6" w14:textId="19A39B72" w:rsidR="00A4697E" w:rsidRPr="00A4697E" w:rsidRDefault="0017159F" w:rsidP="00A4697E">
      <w:pPr>
        <w:rPr>
          <w:rFonts w:ascii="Arial Narrow" w:hAnsi="Arial Narrow"/>
          <w:b/>
          <w:szCs w:val="24"/>
          <w:lang w:val="es-ES"/>
        </w:rPr>
      </w:pPr>
      <w:r w:rsidRPr="0017159F">
        <w:rPr>
          <w:rFonts w:ascii="Arial Narrow" w:hAnsi="Arial Narrow"/>
          <w:b/>
          <w:szCs w:val="24"/>
        </w:rPr>
        <w:t>Pregunta 4:</w:t>
      </w:r>
      <w:r w:rsidR="00A4697E">
        <w:rPr>
          <w:rFonts w:ascii="Arial Narrow" w:hAnsi="Arial Narrow"/>
          <w:b/>
          <w:szCs w:val="24"/>
        </w:rPr>
        <w:t xml:space="preserve"> </w:t>
      </w:r>
      <w:r w:rsidR="00A4697E" w:rsidRPr="00A4697E">
        <w:rPr>
          <w:rFonts w:ascii="Arial Narrow" w:hAnsi="Arial Narrow"/>
          <w:b/>
          <w:szCs w:val="24"/>
          <w:lang w:val="es-ES"/>
        </w:rPr>
        <w:t>Sírvase proporcionar la legislación, políticas o programas cuya intención sea la de garantizar igualdad en el acceso y el goce del derecho a la vivienda de personas con discapacidad, y</w:t>
      </w:r>
      <w:r w:rsidR="00A64992">
        <w:rPr>
          <w:rFonts w:ascii="Arial Narrow" w:hAnsi="Arial Narrow"/>
          <w:b/>
          <w:szCs w:val="24"/>
          <w:lang w:val="es-ES"/>
        </w:rPr>
        <w:t xml:space="preserve"> </w:t>
      </w:r>
      <w:r w:rsidR="00A4697E" w:rsidRPr="00A4697E">
        <w:rPr>
          <w:rFonts w:ascii="Arial Narrow" w:hAnsi="Arial Narrow"/>
          <w:b/>
          <w:szCs w:val="24"/>
          <w:lang w:val="es-ES"/>
        </w:rPr>
        <w:t>proporcione una evaluación de su eficacia o deficiencias.</w:t>
      </w:r>
    </w:p>
    <w:p w14:paraId="449CA24C" w14:textId="6EDB1D3E" w:rsidR="0017159F" w:rsidRPr="00A4697E" w:rsidRDefault="0017159F" w:rsidP="00A4697E">
      <w:pPr>
        <w:jc w:val="both"/>
        <w:rPr>
          <w:rFonts w:ascii="Arial Narrow" w:hAnsi="Arial Narrow"/>
          <w:b/>
          <w:szCs w:val="24"/>
          <w:lang w:val="es-ES"/>
        </w:rPr>
      </w:pPr>
    </w:p>
    <w:p w14:paraId="72B16E85" w14:textId="2A3B5F79" w:rsidR="0017159F" w:rsidRPr="0017159F" w:rsidRDefault="0017159F" w:rsidP="00A4697E">
      <w:pPr>
        <w:jc w:val="both"/>
        <w:rPr>
          <w:rFonts w:ascii="Arial Narrow" w:hAnsi="Arial Narrow"/>
          <w:szCs w:val="24"/>
        </w:rPr>
      </w:pPr>
      <w:r w:rsidRPr="0017159F">
        <w:rPr>
          <w:rFonts w:ascii="Arial Narrow" w:hAnsi="Arial Narrow"/>
          <w:szCs w:val="24"/>
        </w:rPr>
        <w:t xml:space="preserve">Desde 2002, la Ley </w:t>
      </w:r>
      <w:proofErr w:type="spellStart"/>
      <w:r w:rsidRPr="0017159F">
        <w:rPr>
          <w:rFonts w:ascii="Arial Narrow" w:hAnsi="Arial Narrow"/>
          <w:szCs w:val="24"/>
        </w:rPr>
        <w:t>Nº</w:t>
      </w:r>
      <w:proofErr w:type="spellEnd"/>
      <w:r w:rsidRPr="0017159F">
        <w:rPr>
          <w:rFonts w:ascii="Arial Narrow" w:hAnsi="Arial Narrow"/>
          <w:szCs w:val="24"/>
        </w:rPr>
        <w:t xml:space="preserve"> 27829 creó el Bono Familiar Habitacional (BFH), como subsidio directo del Estado destinado a la adquisición, construcción en sitio propio o mejoramiento de una vivienda de interés social. Este BFH tiene diversas modalidades de aplicación, gestionadas bajo el Programa “Techo Propio"</w:t>
      </w:r>
      <w:r w:rsidRPr="0017159F">
        <w:rPr>
          <w:rStyle w:val="Refdenotaalpie"/>
          <w:rFonts w:ascii="Arial Narrow" w:hAnsi="Arial Narrow"/>
          <w:szCs w:val="24"/>
        </w:rPr>
        <w:footnoteReference w:id="7"/>
      </w:r>
      <w:r w:rsidRPr="0017159F">
        <w:rPr>
          <w:rFonts w:ascii="Arial Narrow" w:hAnsi="Arial Narrow"/>
          <w:szCs w:val="24"/>
        </w:rPr>
        <w:t xml:space="preserve">. Mediante Resolución Ministerial </w:t>
      </w:r>
      <w:proofErr w:type="spellStart"/>
      <w:r w:rsidRPr="0017159F">
        <w:rPr>
          <w:rFonts w:ascii="Arial Narrow" w:hAnsi="Arial Narrow"/>
          <w:szCs w:val="24"/>
        </w:rPr>
        <w:t>Nº</w:t>
      </w:r>
      <w:proofErr w:type="spellEnd"/>
      <w:r w:rsidRPr="0017159F">
        <w:rPr>
          <w:rFonts w:ascii="Arial Narrow" w:hAnsi="Arial Narrow"/>
          <w:szCs w:val="24"/>
        </w:rPr>
        <w:t xml:space="preserve"> 209-2012-VIVIENDA</w:t>
      </w:r>
      <w:r w:rsidR="00C61EDB">
        <w:rPr>
          <w:rStyle w:val="Refdenotaalpie"/>
          <w:rFonts w:ascii="Arial Narrow" w:hAnsi="Arial Narrow"/>
          <w:szCs w:val="24"/>
        </w:rPr>
        <w:footnoteReference w:id="8"/>
      </w:r>
      <w:r w:rsidRPr="0017159F">
        <w:rPr>
          <w:rFonts w:ascii="Arial Narrow" w:hAnsi="Arial Narrow"/>
          <w:szCs w:val="24"/>
        </w:rPr>
        <w:t xml:space="preserve">, se estableció que, para acceder al BFH para las modalidades de “Aplicación de Construcción en Sitio Propio y Mejoramiento de Vivienda”, pueden postular </w:t>
      </w:r>
      <w:r w:rsidRPr="0017159F">
        <w:rPr>
          <w:rFonts w:ascii="Arial Narrow" w:hAnsi="Arial Narrow"/>
          <w:szCs w:val="24"/>
        </w:rPr>
        <w:lastRenderedPageBreak/>
        <w:t>grupos familiares cuya jefatura familiar haya declarado que alguna o algunas de las siguientes personas dependen económicamente de él: (…) “</w:t>
      </w:r>
      <w:r w:rsidRPr="0017159F">
        <w:rPr>
          <w:rFonts w:ascii="Arial Narrow" w:hAnsi="Arial Narrow"/>
          <w:b/>
          <w:szCs w:val="24"/>
        </w:rPr>
        <w:t>Los hijos,</w:t>
      </w:r>
      <w:r w:rsidRPr="0017159F">
        <w:rPr>
          <w:rFonts w:ascii="Arial Narrow" w:hAnsi="Arial Narrow"/>
          <w:szCs w:val="24"/>
        </w:rPr>
        <w:t xml:space="preserve"> propios o del cónyuge o conviviente, de ser el caso, mayores de veinticinco (25) años </w:t>
      </w:r>
      <w:r w:rsidRPr="0017159F">
        <w:rPr>
          <w:rFonts w:ascii="Arial Narrow" w:hAnsi="Arial Narrow"/>
          <w:b/>
          <w:szCs w:val="24"/>
        </w:rPr>
        <w:t xml:space="preserve">con discapacidad sensorial, física o mental en forma permanente” </w:t>
      </w:r>
      <w:r w:rsidRPr="0017159F">
        <w:rPr>
          <w:rFonts w:ascii="Arial Narrow" w:hAnsi="Arial Narrow"/>
          <w:szCs w:val="24"/>
        </w:rPr>
        <w:t xml:space="preserve">(art 14.2 b). En este caso, además, el grupo familiar deberá ser atendido con carácter preferente, siempre que la discapacidad de la persona en cuestión “esté debidamente acreditada mediante certificado emitido por la autoridad competente, de conformidad a lo previsto en la Ley </w:t>
      </w:r>
      <w:proofErr w:type="spellStart"/>
      <w:r w:rsidRPr="0017159F">
        <w:rPr>
          <w:rFonts w:ascii="Arial Narrow" w:hAnsi="Arial Narrow"/>
          <w:szCs w:val="24"/>
        </w:rPr>
        <w:t>Nº</w:t>
      </w:r>
      <w:proofErr w:type="spellEnd"/>
      <w:r w:rsidRPr="0017159F">
        <w:rPr>
          <w:rFonts w:ascii="Arial Narrow" w:hAnsi="Arial Narrow"/>
          <w:szCs w:val="24"/>
        </w:rPr>
        <w:t xml:space="preserve"> 27050, Ley General de la Persona con Discapacidad” (art. 11.3 a).</w:t>
      </w:r>
    </w:p>
    <w:p w14:paraId="1BE9C9EC" w14:textId="77777777" w:rsidR="0017159F" w:rsidRPr="0017159F" w:rsidRDefault="0017159F" w:rsidP="00A4697E">
      <w:pPr>
        <w:jc w:val="both"/>
        <w:rPr>
          <w:rFonts w:ascii="Arial Narrow" w:hAnsi="Arial Narrow"/>
          <w:szCs w:val="24"/>
        </w:rPr>
      </w:pPr>
    </w:p>
    <w:p w14:paraId="65C57D47" w14:textId="77777777" w:rsidR="00A4697E" w:rsidRPr="00A4697E" w:rsidRDefault="0017159F" w:rsidP="00A4697E">
      <w:pPr>
        <w:jc w:val="both"/>
        <w:rPr>
          <w:rFonts w:ascii="Arial Narrow" w:hAnsi="Arial Narrow"/>
          <w:b/>
          <w:szCs w:val="24"/>
          <w:lang w:val="es-ES"/>
        </w:rPr>
      </w:pPr>
      <w:r w:rsidRPr="0017159F">
        <w:rPr>
          <w:rFonts w:ascii="Arial Narrow" w:hAnsi="Arial Narrow"/>
          <w:b/>
          <w:szCs w:val="24"/>
        </w:rPr>
        <w:t xml:space="preserve">Pregunta 5: </w:t>
      </w:r>
      <w:r w:rsidR="00A4697E" w:rsidRPr="00A4697E">
        <w:rPr>
          <w:rFonts w:ascii="Arial Narrow" w:hAnsi="Arial Narrow"/>
          <w:b/>
          <w:szCs w:val="24"/>
          <w:lang w:val="es-ES"/>
        </w:rPr>
        <w:t>Sírvanse indicar qué programas, políticas y estrategias existen con el objetivo de: i/cerrar progresivamente las instituciones de residencia de personas con discapacidad; ii/ proteger los derechos humanos de las personas con discapacidad todavía viven en instituciones; iii/ garantizar que las personas con discapacidad puedan impugnar su colocación en instituciones; y iv/ asegurar de que al salir de las instituciones, las personas con discapacidad puedan acceder a una vivienda adecuada y servicios de apoyo en la comunidad. Sírvase proporcionar cualquier información sobre políticas o programas existentes sobre adaptaciones razonables y la accesibilidad para las personas con discapacidad en relación a la vivienda, tanto en los sectores de vivienda formal como informal. ¿Qué medidas se han adoptado para aumentar el número de casas o apartamentos que cumplen con las normas de "diseño universal" en las comunidades?</w:t>
      </w:r>
    </w:p>
    <w:p w14:paraId="72F421E5" w14:textId="77777777" w:rsidR="0017159F" w:rsidRPr="0017159F" w:rsidRDefault="0017159F" w:rsidP="00A4697E">
      <w:pPr>
        <w:jc w:val="both"/>
        <w:rPr>
          <w:rFonts w:ascii="Arial Narrow" w:hAnsi="Arial Narrow"/>
          <w:b/>
          <w:szCs w:val="24"/>
          <w:lang w:val="es-ES"/>
        </w:rPr>
      </w:pPr>
    </w:p>
    <w:p w14:paraId="1AC5531E" w14:textId="7F601D6A" w:rsidR="0017159F" w:rsidRPr="0017159F" w:rsidRDefault="0017159F" w:rsidP="00A4697E">
      <w:pPr>
        <w:jc w:val="both"/>
        <w:rPr>
          <w:rFonts w:ascii="Arial Narrow" w:hAnsi="Arial Narrow"/>
          <w:szCs w:val="24"/>
          <w:highlight w:val="white"/>
        </w:rPr>
      </w:pPr>
      <w:r w:rsidRPr="0017159F">
        <w:rPr>
          <w:rFonts w:ascii="Arial Narrow" w:hAnsi="Arial Narrow"/>
          <w:szCs w:val="24"/>
          <w:highlight w:val="white"/>
        </w:rPr>
        <w:t>La Ley n°29889</w:t>
      </w:r>
      <w:r w:rsidR="00C61EDB">
        <w:rPr>
          <w:rStyle w:val="Refdenotaalpie"/>
          <w:rFonts w:ascii="Arial Narrow" w:hAnsi="Arial Narrow"/>
          <w:szCs w:val="24"/>
          <w:highlight w:val="white"/>
        </w:rPr>
        <w:footnoteReference w:id="9"/>
      </w:r>
      <w:r w:rsidRPr="0017159F">
        <w:rPr>
          <w:rFonts w:ascii="Arial Narrow" w:hAnsi="Arial Narrow"/>
          <w:szCs w:val="24"/>
          <w:highlight w:val="white"/>
        </w:rPr>
        <w:t xml:space="preserve"> y el decreto supremo n°033-2015-SA (reglamento de la ley n°29889)</w:t>
      </w:r>
      <w:r w:rsidR="00C61EDB">
        <w:rPr>
          <w:rStyle w:val="Refdenotaalpie"/>
          <w:rFonts w:ascii="Arial Narrow" w:hAnsi="Arial Narrow"/>
          <w:szCs w:val="24"/>
          <w:highlight w:val="white"/>
        </w:rPr>
        <w:footnoteReference w:id="10"/>
      </w:r>
      <w:r w:rsidRPr="0017159F">
        <w:rPr>
          <w:rFonts w:ascii="Arial Narrow" w:hAnsi="Arial Narrow"/>
          <w:szCs w:val="24"/>
          <w:highlight w:val="white"/>
        </w:rPr>
        <w:t xml:space="preserve"> </w:t>
      </w:r>
      <w:r w:rsidR="00462183">
        <w:rPr>
          <w:rFonts w:ascii="Arial Narrow" w:hAnsi="Arial Narrow"/>
          <w:szCs w:val="24"/>
          <w:highlight w:val="white"/>
        </w:rPr>
        <w:t xml:space="preserve">han modificado las políticas </w:t>
      </w:r>
      <w:r w:rsidRPr="0017159F">
        <w:rPr>
          <w:rFonts w:ascii="Arial Narrow" w:hAnsi="Arial Narrow"/>
          <w:szCs w:val="24"/>
          <w:highlight w:val="white"/>
        </w:rPr>
        <w:t>desarrolladas por el Ministerio de Salud (en adelante, MINSA). Actualmente esta normativa ha regulado el modelo de atención comunitario de salud mental. A partir de este,</w:t>
      </w:r>
      <w:r w:rsidR="00C30634">
        <w:rPr>
          <w:rFonts w:ascii="Arial Narrow" w:hAnsi="Arial Narrow"/>
          <w:szCs w:val="24"/>
          <w:highlight w:val="white"/>
        </w:rPr>
        <w:t xml:space="preserve"> </w:t>
      </w:r>
      <w:r w:rsidRPr="0017159F">
        <w:rPr>
          <w:rFonts w:ascii="Arial Narrow" w:hAnsi="Arial Narrow"/>
          <w:szCs w:val="24"/>
          <w:highlight w:val="white"/>
        </w:rPr>
        <w:t xml:space="preserve">la atención a las personas con deficiencias mentales comprende la atención de salud mental en los establecimientos del primer nivel de atención articulada a los centros de salud mental comunitarios (en adelante, CSMC), a las unidades de hospitalización de salud mental y adicciones en hospitales generales y a hogares protegidos para personas con trastorno mental en situación de abandono social. Ello ha generado que se conforme una red de servicios de salud mental. </w:t>
      </w:r>
      <w:r w:rsidR="00C61EDB">
        <w:rPr>
          <w:rFonts w:ascii="Arial Narrow" w:hAnsi="Arial Narrow"/>
          <w:szCs w:val="24"/>
          <w:highlight w:val="white"/>
        </w:rPr>
        <w:t xml:space="preserve">El Reglamento, adicionalmente, propone crear un Comité de </w:t>
      </w:r>
      <w:r w:rsidR="00462183">
        <w:rPr>
          <w:rFonts w:ascii="Arial Narrow" w:hAnsi="Arial Narrow"/>
          <w:szCs w:val="24"/>
          <w:highlight w:val="white"/>
        </w:rPr>
        <w:t>Desins</w:t>
      </w:r>
      <w:r w:rsidR="00C61EDB">
        <w:rPr>
          <w:rFonts w:ascii="Arial Narrow" w:hAnsi="Arial Narrow"/>
          <w:szCs w:val="24"/>
          <w:highlight w:val="white"/>
        </w:rPr>
        <w:t>t</w:t>
      </w:r>
      <w:r w:rsidR="00462183">
        <w:rPr>
          <w:rFonts w:ascii="Arial Narrow" w:hAnsi="Arial Narrow"/>
          <w:szCs w:val="24"/>
          <w:highlight w:val="white"/>
        </w:rPr>
        <w:t>it</w:t>
      </w:r>
      <w:r w:rsidR="00C61EDB">
        <w:rPr>
          <w:rFonts w:ascii="Arial Narrow" w:hAnsi="Arial Narrow"/>
          <w:szCs w:val="24"/>
          <w:highlight w:val="white"/>
        </w:rPr>
        <w:t>ucionalización para sacar</w:t>
      </w:r>
      <w:r w:rsidR="00FC75EB">
        <w:rPr>
          <w:rFonts w:ascii="Arial Narrow" w:hAnsi="Arial Narrow"/>
          <w:szCs w:val="24"/>
          <w:highlight w:val="white"/>
        </w:rPr>
        <w:t xml:space="preserve"> a las personas con discapacidad psicosocial</w:t>
      </w:r>
      <w:r w:rsidR="00462183">
        <w:rPr>
          <w:rFonts w:ascii="Arial Narrow" w:hAnsi="Arial Narrow"/>
          <w:szCs w:val="24"/>
          <w:highlight w:val="white"/>
        </w:rPr>
        <w:t xml:space="preserve"> de los hospitales psiquiátrico</w:t>
      </w:r>
      <w:r w:rsidR="00FC75EB">
        <w:rPr>
          <w:rFonts w:ascii="Arial Narrow" w:hAnsi="Arial Narrow"/>
          <w:szCs w:val="24"/>
          <w:highlight w:val="white"/>
        </w:rPr>
        <w:t>s.</w:t>
      </w:r>
      <w:r w:rsidR="00FC75EB">
        <w:rPr>
          <w:rStyle w:val="Refdenotaalpie"/>
          <w:rFonts w:ascii="Arial Narrow" w:hAnsi="Arial Narrow"/>
          <w:szCs w:val="24"/>
          <w:highlight w:val="white"/>
        </w:rPr>
        <w:footnoteReference w:id="11"/>
      </w:r>
      <w:r w:rsidR="00C61EDB">
        <w:rPr>
          <w:rFonts w:ascii="Arial Narrow" w:hAnsi="Arial Narrow"/>
          <w:szCs w:val="24"/>
          <w:highlight w:val="white"/>
        </w:rPr>
        <w:t xml:space="preserve"> </w:t>
      </w:r>
    </w:p>
    <w:p w14:paraId="53C914C7" w14:textId="77777777" w:rsidR="0017159F" w:rsidRPr="0017159F" w:rsidRDefault="0017159F" w:rsidP="00A4697E">
      <w:pPr>
        <w:jc w:val="both"/>
        <w:rPr>
          <w:rFonts w:ascii="Arial Narrow" w:hAnsi="Arial Narrow"/>
          <w:szCs w:val="24"/>
          <w:highlight w:val="white"/>
        </w:rPr>
      </w:pPr>
    </w:p>
    <w:p w14:paraId="1F12625E" w14:textId="31A81F14" w:rsidR="0017159F" w:rsidRPr="0017159F" w:rsidRDefault="0017159F" w:rsidP="00A4697E">
      <w:pPr>
        <w:jc w:val="both"/>
        <w:rPr>
          <w:rFonts w:ascii="Arial Narrow" w:hAnsi="Arial Narrow"/>
          <w:szCs w:val="24"/>
          <w:highlight w:val="white"/>
        </w:rPr>
      </w:pPr>
      <w:r w:rsidRPr="0017159F">
        <w:rPr>
          <w:rFonts w:ascii="Arial Narrow" w:hAnsi="Arial Narrow"/>
          <w:szCs w:val="24"/>
          <w:highlight w:val="white"/>
        </w:rPr>
        <w:t xml:space="preserve">Según las políticas adoptadas por el MINSA, el CSMC constituye el nivel más especializado en salud mental de la red y se encarga de articular la atención ambulatoria con el apoyo familiar y comunitario. El CSMC atiende a una población de atención definida, se organiza en Unidades de atención de Niños y Adolescentes, Adultos y Adultos mayores, Adicciones y, Participación y Movilización Comunitaria. El </w:t>
      </w:r>
      <w:r w:rsidRPr="0017159F">
        <w:rPr>
          <w:rFonts w:ascii="Arial Narrow" w:hAnsi="Arial Narrow"/>
          <w:szCs w:val="24"/>
          <w:highlight w:val="white"/>
        </w:rPr>
        <w:lastRenderedPageBreak/>
        <w:t xml:space="preserve">CSMC busca brindar una continuidad del cuidado a los usuarios y también el soporte y supervisión clínica a los centros del primer nivel de atención. En la actualidad se cuenta con 29 CSMC en todo el país, y que están conformados por personal especializado para la atención de las personas con deficiencias psicosociales. </w:t>
      </w:r>
      <w:r w:rsidR="00C61EDB">
        <w:rPr>
          <w:rFonts w:ascii="Arial Narrow" w:hAnsi="Arial Narrow"/>
          <w:szCs w:val="24"/>
          <w:highlight w:val="white"/>
        </w:rPr>
        <w:t xml:space="preserve">Como se entiende, tal cifra es pequeña para un país con 30 millones de habitantes. Peor aún, no hay disposiciones claras para el cierre de hospitales psiquiátricos. </w:t>
      </w:r>
    </w:p>
    <w:p w14:paraId="7A823A35" w14:textId="77777777" w:rsidR="0017159F" w:rsidRPr="0017159F" w:rsidRDefault="0017159F" w:rsidP="00A4697E">
      <w:pPr>
        <w:jc w:val="both"/>
        <w:rPr>
          <w:rFonts w:ascii="Arial Narrow" w:hAnsi="Arial Narrow"/>
          <w:szCs w:val="24"/>
          <w:highlight w:val="white"/>
        </w:rPr>
      </w:pPr>
    </w:p>
    <w:p w14:paraId="1F547A08" w14:textId="5F1A63C7" w:rsidR="0017159F" w:rsidRPr="0017159F" w:rsidRDefault="0017159F" w:rsidP="00A4697E">
      <w:pPr>
        <w:jc w:val="both"/>
        <w:rPr>
          <w:rFonts w:ascii="Arial Narrow" w:hAnsi="Arial Narrow"/>
          <w:szCs w:val="24"/>
          <w:highlight w:val="white"/>
        </w:rPr>
      </w:pPr>
      <w:r w:rsidRPr="0017159F">
        <w:rPr>
          <w:rFonts w:ascii="Arial Narrow" w:hAnsi="Arial Narrow"/>
          <w:szCs w:val="24"/>
          <w:highlight w:val="white"/>
        </w:rPr>
        <w:t xml:space="preserve">Una norma que es necesario comentar es el Decreto Legislativo n°1348 “Decreto Legislativo que aprueba el código de responsabilidad penal de adolescentes”. En el artículo 55 del citado dispositivo se estipula una regulación que va en contra de lo establecido tanto en la Convención </w:t>
      </w:r>
      <w:r w:rsidR="00F81CDE">
        <w:rPr>
          <w:rFonts w:ascii="Arial Narrow" w:hAnsi="Arial Narrow"/>
          <w:szCs w:val="24"/>
          <w:highlight w:val="white"/>
        </w:rPr>
        <w:t>sobre</w:t>
      </w:r>
      <w:r w:rsidRPr="0017159F">
        <w:rPr>
          <w:rFonts w:ascii="Arial Narrow" w:hAnsi="Arial Narrow"/>
          <w:szCs w:val="24"/>
          <w:highlight w:val="white"/>
        </w:rPr>
        <w:t xml:space="preserve"> Derechos de las Personas con Discapacidad (CIDPD) como de la normativa nacional que regula la desinstitucionalización de las personas con discapacidad psicosocial. Y es que se enuncia que:</w:t>
      </w:r>
    </w:p>
    <w:p w14:paraId="7D4192CE" w14:textId="77777777" w:rsidR="0017159F" w:rsidRPr="00284B47" w:rsidRDefault="0017159F" w:rsidP="00A4697E">
      <w:pPr>
        <w:ind w:left="720"/>
        <w:jc w:val="both"/>
        <w:rPr>
          <w:rFonts w:ascii="Arial Narrow" w:hAnsi="Arial Narrow"/>
          <w:i/>
          <w:sz w:val="22"/>
          <w:szCs w:val="24"/>
          <w:highlight w:val="white"/>
        </w:rPr>
      </w:pPr>
      <w:r w:rsidRPr="00284B47">
        <w:rPr>
          <w:rFonts w:ascii="Arial Narrow" w:hAnsi="Arial Narrow"/>
          <w:i/>
          <w:sz w:val="22"/>
          <w:szCs w:val="24"/>
          <w:highlight w:val="white"/>
        </w:rPr>
        <w:t>55.2. El Juez de la Investigación Preparatoria, a pedido de parte, puede ordenar la internación en un establecimiento de salud o asistencial del adolescente, cuando a los requisitos establecidos en el presente Código para el dictado de la internación preventiva se agregue, previo informe médico forense, que el adolescente sufre una grave alteración de sus facultades mentales, que lo ponen en peligro para sí mismo o terceros cumpliendo la internación preventiva en dicho establecimiento</w:t>
      </w:r>
      <w:r w:rsidRPr="00284B47">
        <w:rPr>
          <w:rFonts w:ascii="Arial Narrow" w:hAnsi="Arial Narrow"/>
          <w:i/>
          <w:sz w:val="22"/>
          <w:szCs w:val="24"/>
          <w:highlight w:val="white"/>
          <w:vertAlign w:val="superscript"/>
        </w:rPr>
        <w:footnoteReference w:id="12"/>
      </w:r>
      <w:r w:rsidRPr="00284B47">
        <w:rPr>
          <w:rFonts w:ascii="Arial Narrow" w:hAnsi="Arial Narrow"/>
          <w:i/>
          <w:sz w:val="22"/>
          <w:szCs w:val="24"/>
          <w:highlight w:val="white"/>
        </w:rPr>
        <w:t>.</w:t>
      </w:r>
    </w:p>
    <w:p w14:paraId="70FFF2AB" w14:textId="77777777" w:rsidR="0017159F" w:rsidRPr="0017159F" w:rsidRDefault="0017159F" w:rsidP="00A4697E">
      <w:pPr>
        <w:jc w:val="both"/>
        <w:rPr>
          <w:rFonts w:ascii="Arial Narrow" w:hAnsi="Arial Narrow"/>
          <w:szCs w:val="24"/>
          <w:highlight w:val="white"/>
        </w:rPr>
      </w:pPr>
    </w:p>
    <w:p w14:paraId="57A9DA5A" w14:textId="08E1F910" w:rsidR="0017159F" w:rsidRDefault="0017159F" w:rsidP="00A4697E">
      <w:pPr>
        <w:jc w:val="both"/>
        <w:rPr>
          <w:rFonts w:ascii="Arial Narrow" w:hAnsi="Arial Narrow"/>
          <w:szCs w:val="24"/>
          <w:highlight w:val="white"/>
        </w:rPr>
      </w:pPr>
      <w:r w:rsidRPr="0017159F">
        <w:rPr>
          <w:rFonts w:ascii="Arial Narrow" w:hAnsi="Arial Narrow"/>
          <w:szCs w:val="24"/>
          <w:highlight w:val="white"/>
        </w:rPr>
        <w:t xml:space="preserve">Consideramos criticable primero que se regule la internación en un establecimiento de salud como lugar de cumplimiento de una internación preventiva a un menor de edad con discapacidad psicosocial, en la medida que ello contribuye a la estigmatización de este grupo social e impide que esta persona pueda ejercer sus derechos como cualquier otro </w:t>
      </w:r>
      <w:r w:rsidR="00284B47">
        <w:rPr>
          <w:rFonts w:ascii="Arial Narrow" w:hAnsi="Arial Narrow"/>
          <w:szCs w:val="24"/>
          <w:highlight w:val="white"/>
        </w:rPr>
        <w:t>niño</w:t>
      </w:r>
      <w:r w:rsidRPr="0017159F">
        <w:rPr>
          <w:rFonts w:ascii="Arial Narrow" w:hAnsi="Arial Narrow"/>
          <w:szCs w:val="24"/>
          <w:highlight w:val="white"/>
        </w:rPr>
        <w:t xml:space="preserve">. De la misma forma, consideramos inapropiado que no se regule alguna vía judicial por la cual el menor de edad pueda impugnar la decisión que lo interna en un establecimiento de salud. Esta regulación debe ser modificada en tanto va contra lo planteado por el modelo social de discapacidad, el cual tiene plena aplicación en nuestro ordenamiento desde la </w:t>
      </w:r>
      <w:r w:rsidR="00FC75EB">
        <w:rPr>
          <w:rFonts w:ascii="Arial Narrow" w:hAnsi="Arial Narrow"/>
          <w:szCs w:val="24"/>
          <w:highlight w:val="white"/>
        </w:rPr>
        <w:t>entrada en vigor</w:t>
      </w:r>
      <w:r w:rsidR="00FC75EB" w:rsidRPr="0017159F">
        <w:rPr>
          <w:rFonts w:ascii="Arial Narrow" w:hAnsi="Arial Narrow"/>
          <w:szCs w:val="24"/>
          <w:highlight w:val="white"/>
        </w:rPr>
        <w:t xml:space="preserve"> </w:t>
      </w:r>
      <w:r w:rsidRPr="0017159F">
        <w:rPr>
          <w:rFonts w:ascii="Arial Narrow" w:hAnsi="Arial Narrow"/>
          <w:szCs w:val="24"/>
          <w:highlight w:val="white"/>
        </w:rPr>
        <w:t>de la CDPD en 2008.</w:t>
      </w:r>
    </w:p>
    <w:p w14:paraId="7898CFC8" w14:textId="77777777" w:rsidR="00A4697E" w:rsidRPr="0017159F" w:rsidRDefault="00A4697E" w:rsidP="00A4697E">
      <w:pPr>
        <w:jc w:val="both"/>
        <w:rPr>
          <w:rFonts w:ascii="Arial Narrow" w:hAnsi="Arial Narrow"/>
          <w:szCs w:val="24"/>
          <w:highlight w:val="white"/>
        </w:rPr>
      </w:pPr>
    </w:p>
    <w:p w14:paraId="6F1CDB6B" w14:textId="77777777" w:rsidR="00A4697E" w:rsidRPr="00A4697E" w:rsidRDefault="0045126D" w:rsidP="00A4697E">
      <w:pPr>
        <w:jc w:val="both"/>
        <w:rPr>
          <w:rFonts w:ascii="Arial Narrow" w:hAnsi="Arial Narrow"/>
          <w:b/>
          <w:szCs w:val="24"/>
          <w:lang w:val="es-ES"/>
        </w:rPr>
      </w:pPr>
      <w:r w:rsidRPr="00A4697E">
        <w:rPr>
          <w:rFonts w:ascii="Arial Narrow" w:hAnsi="Arial Narrow"/>
          <w:b/>
          <w:szCs w:val="24"/>
        </w:rPr>
        <w:t>Pregunta</w:t>
      </w:r>
      <w:r w:rsidR="00042BC9" w:rsidRPr="00A4697E">
        <w:rPr>
          <w:rFonts w:ascii="Arial Narrow" w:hAnsi="Arial Narrow"/>
          <w:b/>
          <w:szCs w:val="24"/>
        </w:rPr>
        <w:t xml:space="preserve"> 6</w:t>
      </w:r>
      <w:r w:rsidRPr="00A4697E">
        <w:rPr>
          <w:rFonts w:ascii="Arial Narrow" w:hAnsi="Arial Narrow"/>
          <w:b/>
          <w:szCs w:val="24"/>
        </w:rPr>
        <w:t>:</w:t>
      </w:r>
      <w:r w:rsidR="00A4697E">
        <w:rPr>
          <w:rFonts w:ascii="Arial Narrow" w:hAnsi="Arial Narrow"/>
          <w:b/>
          <w:szCs w:val="24"/>
        </w:rPr>
        <w:t xml:space="preserve"> </w:t>
      </w:r>
      <w:r w:rsidR="00A4697E" w:rsidRPr="00A4697E">
        <w:rPr>
          <w:rFonts w:ascii="Arial Narrow" w:hAnsi="Arial Narrow"/>
          <w:b/>
          <w:szCs w:val="24"/>
          <w:lang w:val="es-ES"/>
        </w:rPr>
        <w:t>Sírvanse indicar cuales son las instituciones a nivel nacional y sub-nacional responsables de velar por el cumplimiento del derecho a la vivienda de las personas con discapacidad, por ejemplo: instituciones nacionales de derechos humanos; una oficina/ institución creada para tratar temas de discapacidad; un defensor de derechos humanos o comisario.</w:t>
      </w:r>
    </w:p>
    <w:p w14:paraId="4AF08043" w14:textId="196814EF" w:rsidR="0017159F" w:rsidRPr="00A4697E" w:rsidRDefault="0017159F" w:rsidP="00A4697E">
      <w:pPr>
        <w:jc w:val="both"/>
        <w:rPr>
          <w:rFonts w:ascii="Arial Narrow" w:hAnsi="Arial Narrow"/>
          <w:b/>
          <w:szCs w:val="24"/>
          <w:lang w:val="es-ES"/>
        </w:rPr>
      </w:pPr>
    </w:p>
    <w:p w14:paraId="1FD7B54A" w14:textId="6D4A9E1A" w:rsidR="0045126D" w:rsidRPr="0045126D" w:rsidRDefault="0045126D" w:rsidP="00A4697E">
      <w:pPr>
        <w:jc w:val="both"/>
        <w:rPr>
          <w:rFonts w:ascii="Arial Narrow" w:hAnsi="Arial Narrow"/>
          <w:szCs w:val="24"/>
        </w:rPr>
      </w:pPr>
      <w:r w:rsidRPr="0045126D">
        <w:rPr>
          <w:rFonts w:ascii="Arial Narrow" w:hAnsi="Arial Narrow"/>
          <w:szCs w:val="24"/>
        </w:rPr>
        <w:t xml:space="preserve">En nuestro país se han ido desarrollando diversos programas para que las personas puedan acceder a una vivienda propia. Estos programas han sido diseñados para que más peruanos puedan acceder a una vivienda digna con la participación activa del promotor inmobiliario y constructor que apuestan por el sector inmobiliario como unidad de negocio. El Fondo MIVIVIENDA </w:t>
      </w:r>
      <w:r w:rsidR="00F81CDE">
        <w:rPr>
          <w:rFonts w:ascii="Arial Narrow" w:hAnsi="Arial Narrow"/>
          <w:szCs w:val="24"/>
        </w:rPr>
        <w:t xml:space="preserve">no cuenta con un programa específico para personas con </w:t>
      </w:r>
      <w:bookmarkStart w:id="0" w:name="_GoBack"/>
      <w:bookmarkEnd w:id="0"/>
      <w:r w:rsidR="00F81CDE">
        <w:rPr>
          <w:rFonts w:ascii="Arial Narrow" w:hAnsi="Arial Narrow"/>
          <w:szCs w:val="24"/>
        </w:rPr>
        <w:t>discapacidad. Únicamente valora la discapacidad para señalar que los hijos mayores de 25 años con discapacidad constituyen carga familiar a efectos de postular al fondo.</w:t>
      </w:r>
      <w:r w:rsidR="00F81CDE">
        <w:rPr>
          <w:rStyle w:val="Refdenotaalpie"/>
          <w:rFonts w:ascii="Arial Narrow" w:hAnsi="Arial Narrow"/>
          <w:szCs w:val="24"/>
        </w:rPr>
        <w:footnoteReference w:id="13"/>
      </w:r>
    </w:p>
    <w:p w14:paraId="72FEED74" w14:textId="710306AA" w:rsidR="0045126D" w:rsidRPr="0045126D" w:rsidRDefault="0045126D" w:rsidP="00A4697E">
      <w:pPr>
        <w:jc w:val="both"/>
        <w:rPr>
          <w:rFonts w:ascii="Arial Narrow" w:hAnsi="Arial Narrow"/>
          <w:szCs w:val="24"/>
        </w:rPr>
      </w:pPr>
    </w:p>
    <w:p w14:paraId="43BB7C45" w14:textId="77777777" w:rsidR="00A4697E" w:rsidRPr="00A4697E" w:rsidRDefault="0017159F" w:rsidP="00A4697E">
      <w:pPr>
        <w:jc w:val="both"/>
        <w:rPr>
          <w:rFonts w:ascii="Arial Narrow" w:hAnsi="Arial Narrow"/>
          <w:b/>
          <w:szCs w:val="24"/>
          <w:lang w:val="es-ES"/>
        </w:rPr>
      </w:pPr>
      <w:r w:rsidRPr="00A4697E">
        <w:rPr>
          <w:rFonts w:ascii="Arial Narrow" w:hAnsi="Arial Narrow"/>
          <w:b/>
          <w:szCs w:val="24"/>
        </w:rPr>
        <w:lastRenderedPageBreak/>
        <w:t xml:space="preserve">Pregunta 7: </w:t>
      </w:r>
      <w:r w:rsidR="00A4697E" w:rsidRPr="00A4697E">
        <w:rPr>
          <w:rFonts w:ascii="Arial Narrow" w:hAnsi="Arial Narrow"/>
          <w:b/>
          <w:szCs w:val="24"/>
          <w:lang w:val="es-ES"/>
        </w:rPr>
        <w:t xml:space="preserve">Sírvase explicar si y de qué manera los tribunales u órganos nacionales de derechos humanos han reconocido el derecho a la vivienda de las personas con discapacidad, incluyendo de aquellas personas que continúan viviendo en instituciones. Por favor indique también qué recursos judiciales u otros recursos adecuados han sido necesarios cuando se ha identificado violaciones del derecho a la vivienda de personas con discapacidad y describa la medida en que </w:t>
      </w:r>
      <w:proofErr w:type="gramStart"/>
      <w:r w:rsidR="00A4697E" w:rsidRPr="00A4697E">
        <w:rPr>
          <w:rFonts w:ascii="Arial Narrow" w:hAnsi="Arial Narrow"/>
          <w:b/>
          <w:szCs w:val="24"/>
          <w:lang w:val="es-ES"/>
        </w:rPr>
        <w:t>éstos</w:t>
      </w:r>
      <w:proofErr w:type="gramEnd"/>
      <w:r w:rsidR="00A4697E" w:rsidRPr="00A4697E">
        <w:rPr>
          <w:rFonts w:ascii="Arial Narrow" w:hAnsi="Arial Narrow"/>
          <w:b/>
          <w:szCs w:val="24"/>
          <w:lang w:val="es-ES"/>
        </w:rPr>
        <w:t xml:space="preserve"> recursos han sido aplicados. Sírvase proporcionar enlaces o documentos relativos a la jurisprudencia pertinente.</w:t>
      </w:r>
    </w:p>
    <w:p w14:paraId="6E4EC17C" w14:textId="4D616479" w:rsidR="00C30634" w:rsidRDefault="00C30634" w:rsidP="00A4697E">
      <w:pPr>
        <w:jc w:val="both"/>
        <w:rPr>
          <w:rFonts w:ascii="Arial Narrow" w:hAnsi="Arial Narrow"/>
          <w:szCs w:val="24"/>
          <w:highlight w:val="white"/>
        </w:rPr>
      </w:pPr>
    </w:p>
    <w:p w14:paraId="727096DE" w14:textId="5C87246F" w:rsidR="00FC75EB" w:rsidRDefault="0017159F" w:rsidP="00A4697E">
      <w:pPr>
        <w:jc w:val="both"/>
        <w:rPr>
          <w:rFonts w:ascii="Arial Narrow" w:hAnsi="Arial Narrow"/>
          <w:szCs w:val="24"/>
          <w:highlight w:val="white"/>
        </w:rPr>
      </w:pPr>
      <w:r w:rsidRPr="0017159F">
        <w:rPr>
          <w:rFonts w:ascii="Arial Narrow" w:hAnsi="Arial Narrow"/>
          <w:szCs w:val="24"/>
          <w:highlight w:val="white"/>
        </w:rPr>
        <w:t xml:space="preserve">Existe jurisprudencia del Tribunal Constitucional que recoge el </w:t>
      </w:r>
      <w:r w:rsidRPr="0017159F">
        <w:rPr>
          <w:rFonts w:ascii="Arial Narrow" w:hAnsi="Arial Narrow"/>
          <w:i/>
          <w:szCs w:val="24"/>
          <w:highlight w:val="white"/>
        </w:rPr>
        <w:t>corpus</w:t>
      </w:r>
      <w:r w:rsidRPr="0017159F">
        <w:rPr>
          <w:rFonts w:ascii="Arial Narrow" w:hAnsi="Arial Narrow"/>
          <w:szCs w:val="24"/>
          <w:highlight w:val="white"/>
        </w:rPr>
        <w:t xml:space="preserve"> internacional relativo a los derechos humanos de las personas con discapacidad, centrándose en el derecho a la salud (en concreto, a la salud mental de las personas con discapacidad). Así las cosas, el Expediente N.º 3081-2007-PA/TC, en el caso R.J.S.A. Vda. de R., entiende en su fundamento jurídico </w:t>
      </w:r>
      <w:proofErr w:type="spellStart"/>
      <w:r w:rsidRPr="0017159F">
        <w:rPr>
          <w:rFonts w:ascii="Arial Narrow" w:hAnsi="Arial Narrow"/>
          <w:szCs w:val="24"/>
          <w:highlight w:val="white"/>
        </w:rPr>
        <w:t>Nº</w:t>
      </w:r>
      <w:proofErr w:type="spellEnd"/>
      <w:r w:rsidRPr="0017159F">
        <w:rPr>
          <w:rFonts w:ascii="Arial Narrow" w:hAnsi="Arial Narrow"/>
          <w:szCs w:val="24"/>
          <w:highlight w:val="white"/>
        </w:rPr>
        <w:t xml:space="preserve"> 34 que: “</w:t>
      </w:r>
      <w:r w:rsidRPr="0017159F">
        <w:rPr>
          <w:rFonts w:ascii="Arial Narrow" w:hAnsi="Arial Narrow"/>
          <w:i/>
          <w:szCs w:val="24"/>
          <w:highlight w:val="white"/>
        </w:rPr>
        <w:t>Desde una</w:t>
      </w:r>
      <w:r w:rsidR="00C30634">
        <w:rPr>
          <w:rFonts w:ascii="Arial Narrow" w:hAnsi="Arial Narrow"/>
          <w:i/>
          <w:szCs w:val="24"/>
          <w:highlight w:val="white"/>
        </w:rPr>
        <w:t xml:space="preserve"> </w:t>
      </w:r>
      <w:r w:rsidRPr="0017159F">
        <w:rPr>
          <w:rFonts w:ascii="Arial Narrow" w:hAnsi="Arial Narrow"/>
          <w:i/>
          <w:szCs w:val="24"/>
          <w:highlight w:val="white"/>
        </w:rPr>
        <w:t>perspectiva</w:t>
      </w:r>
      <w:r w:rsidR="00C30634">
        <w:rPr>
          <w:rFonts w:ascii="Arial Narrow" w:hAnsi="Arial Narrow"/>
          <w:i/>
          <w:szCs w:val="24"/>
          <w:highlight w:val="white"/>
        </w:rPr>
        <w:t xml:space="preserve"> </w:t>
      </w:r>
      <w:r w:rsidRPr="0017159F">
        <w:rPr>
          <w:rFonts w:ascii="Arial Narrow" w:hAnsi="Arial Narrow"/>
          <w:i/>
          <w:szCs w:val="24"/>
          <w:highlight w:val="white"/>
        </w:rPr>
        <w:t>panorámica</w:t>
      </w:r>
      <w:r w:rsidR="00C30634">
        <w:rPr>
          <w:rFonts w:ascii="Arial Narrow" w:hAnsi="Arial Narrow"/>
          <w:i/>
          <w:szCs w:val="24"/>
          <w:highlight w:val="white"/>
        </w:rPr>
        <w:t xml:space="preserve"> </w:t>
      </w:r>
      <w:r w:rsidRPr="0017159F">
        <w:rPr>
          <w:rFonts w:ascii="Arial Narrow" w:hAnsi="Arial Narrow"/>
          <w:i/>
          <w:szCs w:val="24"/>
          <w:highlight w:val="white"/>
        </w:rPr>
        <w:t>del</w:t>
      </w:r>
      <w:r w:rsidR="00C30634">
        <w:rPr>
          <w:rFonts w:ascii="Arial Narrow" w:hAnsi="Arial Narrow"/>
          <w:i/>
          <w:szCs w:val="24"/>
          <w:highlight w:val="white"/>
        </w:rPr>
        <w:t xml:space="preserve"> </w:t>
      </w:r>
      <w:r w:rsidRPr="0017159F">
        <w:rPr>
          <w:rFonts w:ascii="Arial Narrow" w:hAnsi="Arial Narrow"/>
          <w:i/>
          <w:szCs w:val="24"/>
          <w:highlight w:val="white"/>
        </w:rPr>
        <w:t>derecho</w:t>
      </w:r>
      <w:r w:rsidR="00C30634">
        <w:rPr>
          <w:rFonts w:ascii="Arial Narrow" w:hAnsi="Arial Narrow"/>
          <w:i/>
          <w:szCs w:val="24"/>
          <w:highlight w:val="white"/>
        </w:rPr>
        <w:t xml:space="preserve"> </w:t>
      </w:r>
      <w:r w:rsidRPr="0017159F">
        <w:rPr>
          <w:rFonts w:ascii="Arial Narrow" w:hAnsi="Arial Narrow"/>
          <w:i/>
          <w:szCs w:val="24"/>
          <w:highlight w:val="white"/>
        </w:rPr>
        <w:t>internacional de los</w:t>
      </w:r>
      <w:r w:rsidR="00C30634">
        <w:rPr>
          <w:rFonts w:ascii="Arial Narrow" w:hAnsi="Arial Narrow"/>
          <w:i/>
          <w:szCs w:val="24"/>
          <w:highlight w:val="white"/>
        </w:rPr>
        <w:t xml:space="preserve"> </w:t>
      </w:r>
      <w:r w:rsidRPr="0017159F">
        <w:rPr>
          <w:rFonts w:ascii="Arial Narrow" w:hAnsi="Arial Narrow"/>
          <w:i/>
          <w:szCs w:val="24"/>
          <w:highlight w:val="white"/>
        </w:rPr>
        <w:t>derechos humanos</w:t>
      </w:r>
      <w:r w:rsidR="00C30634">
        <w:rPr>
          <w:rFonts w:ascii="Arial Narrow" w:hAnsi="Arial Narrow"/>
          <w:i/>
          <w:szCs w:val="24"/>
          <w:highlight w:val="white"/>
        </w:rPr>
        <w:t xml:space="preserve"> </w:t>
      </w:r>
      <w:r w:rsidRPr="0017159F">
        <w:rPr>
          <w:rFonts w:ascii="Arial Narrow" w:hAnsi="Arial Narrow"/>
          <w:i/>
          <w:szCs w:val="24"/>
          <w:highlight w:val="white"/>
        </w:rPr>
        <w:t>en</w:t>
      </w:r>
      <w:r w:rsidR="00C30634">
        <w:rPr>
          <w:rFonts w:ascii="Arial Narrow" w:hAnsi="Arial Narrow"/>
          <w:i/>
          <w:szCs w:val="24"/>
          <w:highlight w:val="white"/>
        </w:rPr>
        <w:t xml:space="preserve"> </w:t>
      </w:r>
      <w:r w:rsidRPr="0017159F">
        <w:rPr>
          <w:rFonts w:ascii="Arial Narrow" w:hAnsi="Arial Narrow"/>
          <w:i/>
          <w:szCs w:val="24"/>
          <w:highlight w:val="white"/>
        </w:rPr>
        <w:t>materia</w:t>
      </w:r>
      <w:r w:rsidR="00C30634">
        <w:rPr>
          <w:rFonts w:ascii="Arial Narrow" w:hAnsi="Arial Narrow"/>
          <w:i/>
          <w:szCs w:val="24"/>
          <w:highlight w:val="white"/>
        </w:rPr>
        <w:t xml:space="preserve"> </w:t>
      </w:r>
      <w:r w:rsidRPr="0017159F">
        <w:rPr>
          <w:rFonts w:ascii="Arial Narrow" w:hAnsi="Arial Narrow"/>
          <w:i/>
          <w:szCs w:val="24"/>
          <w:highlight w:val="white"/>
        </w:rPr>
        <w:t>de</w:t>
      </w:r>
      <w:r w:rsidR="00C30634">
        <w:rPr>
          <w:rFonts w:ascii="Arial Narrow" w:hAnsi="Arial Narrow"/>
          <w:i/>
          <w:szCs w:val="24"/>
          <w:highlight w:val="white"/>
        </w:rPr>
        <w:t xml:space="preserve"> </w:t>
      </w:r>
      <w:r w:rsidRPr="0017159F">
        <w:rPr>
          <w:rFonts w:ascii="Arial Narrow" w:hAnsi="Arial Narrow"/>
          <w:i/>
          <w:szCs w:val="24"/>
          <w:highlight w:val="white"/>
        </w:rPr>
        <w:t>salud</w:t>
      </w:r>
      <w:r w:rsidR="00C30634">
        <w:rPr>
          <w:rFonts w:ascii="Arial Narrow" w:hAnsi="Arial Narrow"/>
          <w:i/>
          <w:szCs w:val="24"/>
          <w:highlight w:val="white"/>
        </w:rPr>
        <w:t xml:space="preserve"> </w:t>
      </w:r>
      <w:r w:rsidRPr="0017159F">
        <w:rPr>
          <w:rFonts w:ascii="Arial Narrow" w:hAnsi="Arial Narrow"/>
          <w:i/>
          <w:szCs w:val="24"/>
          <w:highlight w:val="white"/>
        </w:rPr>
        <w:t>mental,</w:t>
      </w:r>
      <w:r w:rsidR="00C30634">
        <w:rPr>
          <w:rFonts w:ascii="Arial Narrow" w:hAnsi="Arial Narrow"/>
          <w:i/>
          <w:szCs w:val="24"/>
          <w:highlight w:val="white"/>
        </w:rPr>
        <w:t xml:space="preserve"> </w:t>
      </w:r>
      <w:r w:rsidRPr="0017159F">
        <w:rPr>
          <w:rFonts w:ascii="Arial Narrow" w:hAnsi="Arial Narrow"/>
          <w:i/>
          <w:szCs w:val="24"/>
          <w:highlight w:val="white"/>
        </w:rPr>
        <w:t>se</w:t>
      </w:r>
      <w:r w:rsidR="00C30634">
        <w:rPr>
          <w:rFonts w:ascii="Arial Narrow" w:hAnsi="Arial Narrow"/>
          <w:i/>
          <w:szCs w:val="24"/>
          <w:highlight w:val="white"/>
        </w:rPr>
        <w:t xml:space="preserve"> </w:t>
      </w:r>
      <w:r w:rsidRPr="0017159F">
        <w:rPr>
          <w:rFonts w:ascii="Arial Narrow" w:hAnsi="Arial Narrow"/>
          <w:i/>
          <w:szCs w:val="24"/>
          <w:highlight w:val="white"/>
        </w:rPr>
        <w:t>advierte</w:t>
      </w:r>
      <w:r w:rsidR="00C30634">
        <w:rPr>
          <w:rFonts w:ascii="Arial Narrow" w:hAnsi="Arial Narrow"/>
          <w:i/>
          <w:szCs w:val="24"/>
          <w:highlight w:val="white"/>
        </w:rPr>
        <w:t xml:space="preserve"> </w:t>
      </w:r>
      <w:r w:rsidRPr="0017159F">
        <w:rPr>
          <w:rFonts w:ascii="Arial Narrow" w:hAnsi="Arial Narrow"/>
          <w:i/>
          <w:szCs w:val="24"/>
          <w:highlight w:val="white"/>
        </w:rPr>
        <w:t>que</w:t>
      </w:r>
      <w:r w:rsidR="00C30634">
        <w:rPr>
          <w:rFonts w:ascii="Arial Narrow" w:hAnsi="Arial Narrow"/>
          <w:i/>
          <w:szCs w:val="24"/>
          <w:highlight w:val="white"/>
        </w:rPr>
        <w:t xml:space="preserve"> </w:t>
      </w:r>
      <w:r w:rsidRPr="0017159F">
        <w:rPr>
          <w:rFonts w:ascii="Arial Narrow" w:hAnsi="Arial Narrow"/>
          <w:i/>
          <w:szCs w:val="24"/>
          <w:highlight w:val="white"/>
        </w:rPr>
        <w:t>los</w:t>
      </w:r>
      <w:r w:rsidR="00C30634">
        <w:rPr>
          <w:rFonts w:ascii="Arial Narrow" w:hAnsi="Arial Narrow"/>
          <w:i/>
          <w:szCs w:val="24"/>
          <w:highlight w:val="white"/>
        </w:rPr>
        <w:t xml:space="preserve"> </w:t>
      </w:r>
      <w:r w:rsidRPr="0017159F">
        <w:rPr>
          <w:rFonts w:ascii="Arial Narrow" w:hAnsi="Arial Narrow"/>
          <w:i/>
          <w:szCs w:val="24"/>
          <w:highlight w:val="white"/>
        </w:rPr>
        <w:t>principios</w:t>
      </w:r>
      <w:r w:rsidR="00C30634">
        <w:rPr>
          <w:rFonts w:ascii="Arial Narrow" w:hAnsi="Arial Narrow"/>
          <w:i/>
          <w:szCs w:val="24"/>
          <w:highlight w:val="white"/>
        </w:rPr>
        <w:t xml:space="preserve"> </w:t>
      </w:r>
      <w:r w:rsidRPr="0017159F">
        <w:rPr>
          <w:rFonts w:ascii="Arial Narrow" w:hAnsi="Arial Narrow"/>
          <w:i/>
          <w:szCs w:val="24"/>
          <w:highlight w:val="white"/>
        </w:rPr>
        <w:t>que</w:t>
      </w:r>
      <w:r w:rsidR="00C30634">
        <w:rPr>
          <w:rFonts w:ascii="Arial Narrow" w:hAnsi="Arial Narrow"/>
          <w:i/>
          <w:szCs w:val="24"/>
          <w:highlight w:val="white"/>
        </w:rPr>
        <w:t xml:space="preserve"> </w:t>
      </w:r>
      <w:r w:rsidRPr="0017159F">
        <w:rPr>
          <w:rFonts w:ascii="Arial Narrow" w:hAnsi="Arial Narrow"/>
          <w:i/>
          <w:szCs w:val="24"/>
          <w:highlight w:val="white"/>
        </w:rPr>
        <w:t>lo inspiran</w:t>
      </w:r>
      <w:r w:rsidR="00C30634">
        <w:rPr>
          <w:rFonts w:ascii="Arial Narrow" w:hAnsi="Arial Narrow"/>
          <w:i/>
          <w:szCs w:val="24"/>
          <w:highlight w:val="white"/>
        </w:rPr>
        <w:t xml:space="preserve"> </w:t>
      </w:r>
      <w:r w:rsidRPr="0017159F">
        <w:rPr>
          <w:rFonts w:ascii="Arial Narrow" w:hAnsi="Arial Narrow"/>
          <w:i/>
          <w:szCs w:val="24"/>
          <w:highlight w:val="white"/>
        </w:rPr>
        <w:t>están</w:t>
      </w:r>
      <w:r w:rsidR="00C30634">
        <w:rPr>
          <w:rFonts w:ascii="Arial Narrow" w:hAnsi="Arial Narrow"/>
          <w:i/>
          <w:szCs w:val="24"/>
          <w:highlight w:val="white"/>
        </w:rPr>
        <w:t xml:space="preserve"> </w:t>
      </w:r>
      <w:r w:rsidRPr="0017159F">
        <w:rPr>
          <w:rFonts w:ascii="Arial Narrow" w:hAnsi="Arial Narrow"/>
          <w:i/>
          <w:szCs w:val="24"/>
          <w:highlight w:val="white"/>
        </w:rPr>
        <w:t>destinados</w:t>
      </w:r>
      <w:r w:rsidR="00C30634">
        <w:rPr>
          <w:rFonts w:ascii="Arial Narrow" w:hAnsi="Arial Narrow"/>
          <w:i/>
          <w:szCs w:val="24"/>
          <w:highlight w:val="white"/>
        </w:rPr>
        <w:t xml:space="preserve"> </w:t>
      </w:r>
      <w:r w:rsidRPr="0017159F">
        <w:rPr>
          <w:rFonts w:ascii="Arial Narrow" w:hAnsi="Arial Narrow"/>
          <w:i/>
          <w:szCs w:val="24"/>
          <w:highlight w:val="white"/>
        </w:rPr>
        <w:t>al</w:t>
      </w:r>
      <w:r w:rsidR="00C30634">
        <w:rPr>
          <w:rFonts w:ascii="Arial Narrow" w:hAnsi="Arial Narrow"/>
          <w:i/>
          <w:szCs w:val="24"/>
          <w:highlight w:val="white"/>
        </w:rPr>
        <w:t xml:space="preserve"> </w:t>
      </w:r>
      <w:r w:rsidRPr="0017159F">
        <w:rPr>
          <w:rFonts w:ascii="Arial Narrow" w:hAnsi="Arial Narrow"/>
          <w:i/>
          <w:szCs w:val="24"/>
          <w:highlight w:val="white"/>
        </w:rPr>
        <w:t>logro</w:t>
      </w:r>
      <w:r w:rsidR="00C30634">
        <w:rPr>
          <w:rFonts w:ascii="Arial Narrow" w:hAnsi="Arial Narrow"/>
          <w:i/>
          <w:szCs w:val="24"/>
          <w:highlight w:val="white"/>
        </w:rPr>
        <w:t xml:space="preserve"> </w:t>
      </w:r>
      <w:r w:rsidRPr="0017159F">
        <w:rPr>
          <w:rFonts w:ascii="Arial Narrow" w:hAnsi="Arial Narrow"/>
          <w:i/>
          <w:szCs w:val="24"/>
          <w:highlight w:val="white"/>
        </w:rPr>
        <w:t>de</w:t>
      </w:r>
      <w:r w:rsidR="00C30634">
        <w:rPr>
          <w:rFonts w:ascii="Arial Narrow" w:hAnsi="Arial Narrow"/>
          <w:i/>
          <w:szCs w:val="24"/>
          <w:highlight w:val="white"/>
        </w:rPr>
        <w:t xml:space="preserve"> </w:t>
      </w:r>
      <w:r w:rsidRPr="0017159F">
        <w:rPr>
          <w:rFonts w:ascii="Arial Narrow" w:hAnsi="Arial Narrow"/>
          <w:i/>
          <w:szCs w:val="24"/>
          <w:highlight w:val="white"/>
        </w:rPr>
        <w:t>la</w:t>
      </w:r>
      <w:r w:rsidR="00C30634">
        <w:rPr>
          <w:rFonts w:ascii="Arial Narrow" w:hAnsi="Arial Narrow"/>
          <w:i/>
          <w:szCs w:val="24"/>
          <w:highlight w:val="white"/>
        </w:rPr>
        <w:t xml:space="preserve"> </w:t>
      </w:r>
      <w:r w:rsidRPr="0017159F">
        <w:rPr>
          <w:rFonts w:ascii="Arial Narrow" w:hAnsi="Arial Narrow"/>
          <w:i/>
          <w:szCs w:val="24"/>
          <w:highlight w:val="white"/>
        </w:rPr>
        <w:t>rehabilitación</w:t>
      </w:r>
      <w:r w:rsidR="00C30634">
        <w:rPr>
          <w:rFonts w:ascii="Arial Narrow" w:hAnsi="Arial Narrow"/>
          <w:i/>
          <w:szCs w:val="24"/>
          <w:highlight w:val="white"/>
        </w:rPr>
        <w:t xml:space="preserve"> </w:t>
      </w:r>
      <w:r w:rsidRPr="0017159F">
        <w:rPr>
          <w:rFonts w:ascii="Arial Narrow" w:hAnsi="Arial Narrow"/>
          <w:i/>
          <w:szCs w:val="24"/>
          <w:highlight w:val="white"/>
        </w:rPr>
        <w:t>y a</w:t>
      </w:r>
      <w:r w:rsidR="00C30634">
        <w:rPr>
          <w:rFonts w:ascii="Arial Narrow" w:hAnsi="Arial Narrow"/>
          <w:i/>
          <w:szCs w:val="24"/>
          <w:highlight w:val="white"/>
        </w:rPr>
        <w:t xml:space="preserve"> </w:t>
      </w:r>
      <w:r w:rsidRPr="0017159F">
        <w:rPr>
          <w:rFonts w:ascii="Arial Narrow" w:hAnsi="Arial Narrow"/>
          <w:i/>
          <w:szCs w:val="24"/>
          <w:highlight w:val="white"/>
        </w:rPr>
        <w:t>un</w:t>
      </w:r>
      <w:r w:rsidR="00C30634">
        <w:rPr>
          <w:rFonts w:ascii="Arial Narrow" w:hAnsi="Arial Narrow"/>
          <w:i/>
          <w:szCs w:val="24"/>
          <w:highlight w:val="white"/>
        </w:rPr>
        <w:t xml:space="preserve"> </w:t>
      </w:r>
      <w:r w:rsidRPr="0017159F">
        <w:rPr>
          <w:rFonts w:ascii="Arial Narrow" w:hAnsi="Arial Narrow"/>
          <w:i/>
          <w:szCs w:val="24"/>
          <w:highlight w:val="white"/>
        </w:rPr>
        <w:t>tratamiento</w:t>
      </w:r>
      <w:r w:rsidR="00C30634">
        <w:rPr>
          <w:rFonts w:ascii="Arial Narrow" w:hAnsi="Arial Narrow"/>
          <w:i/>
          <w:szCs w:val="24"/>
          <w:highlight w:val="white"/>
        </w:rPr>
        <w:t xml:space="preserve"> </w:t>
      </w:r>
      <w:r w:rsidRPr="0017159F">
        <w:rPr>
          <w:rFonts w:ascii="Arial Narrow" w:hAnsi="Arial Narrow"/>
          <w:i/>
          <w:szCs w:val="24"/>
          <w:highlight w:val="white"/>
        </w:rPr>
        <w:t>que estimule la independencia personal, la autosuficiencia y la integración social del discapacitado con proscripción del método intramural y a ser tratado en igualdad de</w:t>
      </w:r>
      <w:r w:rsidR="00A64992">
        <w:rPr>
          <w:rFonts w:ascii="Arial Narrow" w:hAnsi="Arial Narrow"/>
          <w:i/>
          <w:szCs w:val="24"/>
          <w:highlight w:val="white"/>
        </w:rPr>
        <w:t xml:space="preserve"> </w:t>
      </w:r>
      <w:r w:rsidRPr="0017159F">
        <w:rPr>
          <w:rFonts w:ascii="Arial Narrow" w:hAnsi="Arial Narrow"/>
          <w:i/>
          <w:szCs w:val="24"/>
          <w:highlight w:val="white"/>
        </w:rPr>
        <w:t>condiciones,</w:t>
      </w:r>
      <w:r w:rsidR="00A64992">
        <w:rPr>
          <w:rFonts w:ascii="Arial Narrow" w:hAnsi="Arial Narrow"/>
          <w:i/>
          <w:szCs w:val="24"/>
          <w:highlight w:val="white"/>
        </w:rPr>
        <w:t xml:space="preserve"> </w:t>
      </w:r>
      <w:r w:rsidRPr="0017159F">
        <w:rPr>
          <w:rFonts w:ascii="Arial Narrow" w:hAnsi="Arial Narrow"/>
          <w:i/>
          <w:szCs w:val="24"/>
          <w:highlight w:val="white"/>
        </w:rPr>
        <w:t>sin</w:t>
      </w:r>
      <w:r w:rsidR="00A64992">
        <w:rPr>
          <w:rFonts w:ascii="Arial Narrow" w:hAnsi="Arial Narrow"/>
          <w:i/>
          <w:szCs w:val="24"/>
          <w:highlight w:val="white"/>
        </w:rPr>
        <w:t xml:space="preserve"> </w:t>
      </w:r>
      <w:r w:rsidRPr="0017159F">
        <w:rPr>
          <w:rFonts w:ascii="Arial Narrow" w:hAnsi="Arial Narrow"/>
          <w:i/>
          <w:szCs w:val="24"/>
          <w:highlight w:val="white"/>
        </w:rPr>
        <w:t>discriminación</w:t>
      </w:r>
      <w:r w:rsidR="00A64992">
        <w:rPr>
          <w:rFonts w:ascii="Arial Narrow" w:hAnsi="Arial Narrow"/>
          <w:i/>
          <w:szCs w:val="24"/>
          <w:highlight w:val="white"/>
        </w:rPr>
        <w:t xml:space="preserve"> </w:t>
      </w:r>
      <w:r w:rsidRPr="0017159F">
        <w:rPr>
          <w:rFonts w:ascii="Arial Narrow" w:hAnsi="Arial Narrow"/>
          <w:i/>
          <w:szCs w:val="24"/>
          <w:highlight w:val="white"/>
        </w:rPr>
        <w:t>y</w:t>
      </w:r>
      <w:r w:rsidR="00A64992">
        <w:rPr>
          <w:rFonts w:ascii="Arial Narrow" w:hAnsi="Arial Narrow"/>
          <w:i/>
          <w:szCs w:val="24"/>
          <w:highlight w:val="white"/>
        </w:rPr>
        <w:t xml:space="preserve"> </w:t>
      </w:r>
      <w:r w:rsidRPr="0017159F">
        <w:rPr>
          <w:rFonts w:ascii="Arial Narrow" w:hAnsi="Arial Narrow"/>
          <w:i/>
          <w:szCs w:val="24"/>
          <w:highlight w:val="white"/>
        </w:rPr>
        <w:t>en</w:t>
      </w:r>
      <w:r w:rsidR="00A64992">
        <w:rPr>
          <w:rFonts w:ascii="Arial Narrow" w:hAnsi="Arial Narrow"/>
          <w:i/>
          <w:szCs w:val="24"/>
          <w:highlight w:val="white"/>
        </w:rPr>
        <w:t xml:space="preserve"> </w:t>
      </w:r>
      <w:r w:rsidRPr="0017159F">
        <w:rPr>
          <w:rFonts w:ascii="Arial Narrow" w:hAnsi="Arial Narrow"/>
          <w:i/>
          <w:szCs w:val="24"/>
          <w:highlight w:val="white"/>
        </w:rPr>
        <w:t>estricto</w:t>
      </w:r>
      <w:r w:rsidR="00A64992">
        <w:rPr>
          <w:rFonts w:ascii="Arial Narrow" w:hAnsi="Arial Narrow"/>
          <w:i/>
          <w:szCs w:val="24"/>
          <w:highlight w:val="white"/>
        </w:rPr>
        <w:t xml:space="preserve"> </w:t>
      </w:r>
      <w:r w:rsidRPr="0017159F">
        <w:rPr>
          <w:rFonts w:ascii="Arial Narrow" w:hAnsi="Arial Narrow"/>
          <w:i/>
          <w:szCs w:val="24"/>
          <w:highlight w:val="white"/>
        </w:rPr>
        <w:t>respeto</w:t>
      </w:r>
      <w:r w:rsidR="00A64992">
        <w:rPr>
          <w:rFonts w:ascii="Arial Narrow" w:hAnsi="Arial Narrow"/>
          <w:i/>
          <w:szCs w:val="24"/>
          <w:highlight w:val="white"/>
        </w:rPr>
        <w:t xml:space="preserve"> </w:t>
      </w:r>
      <w:r w:rsidRPr="0017159F">
        <w:rPr>
          <w:rFonts w:ascii="Arial Narrow" w:hAnsi="Arial Narrow"/>
          <w:i/>
          <w:szCs w:val="24"/>
          <w:highlight w:val="white"/>
        </w:rPr>
        <w:t>de sus</w:t>
      </w:r>
      <w:r w:rsidR="00A64992">
        <w:rPr>
          <w:rFonts w:ascii="Arial Narrow" w:hAnsi="Arial Narrow"/>
          <w:i/>
          <w:szCs w:val="24"/>
          <w:highlight w:val="white"/>
        </w:rPr>
        <w:t xml:space="preserve"> </w:t>
      </w:r>
      <w:r w:rsidRPr="0017159F">
        <w:rPr>
          <w:rFonts w:ascii="Arial Narrow" w:hAnsi="Arial Narrow"/>
          <w:i/>
          <w:szCs w:val="24"/>
          <w:highlight w:val="white"/>
        </w:rPr>
        <w:t>derechos fundamentales</w:t>
      </w:r>
      <w:r w:rsidRPr="0017159F">
        <w:rPr>
          <w:rFonts w:ascii="Arial Narrow" w:hAnsi="Arial Narrow"/>
          <w:szCs w:val="24"/>
          <w:highlight w:val="white"/>
        </w:rPr>
        <w:t xml:space="preserve">”. </w:t>
      </w:r>
    </w:p>
    <w:p w14:paraId="37C5AA28" w14:textId="234AE099" w:rsidR="00FC75EB" w:rsidRDefault="0017159F" w:rsidP="00A4697E">
      <w:pPr>
        <w:jc w:val="both"/>
        <w:rPr>
          <w:rFonts w:ascii="Arial Narrow" w:hAnsi="Arial Narrow"/>
          <w:szCs w:val="24"/>
          <w:highlight w:val="white"/>
        </w:rPr>
      </w:pPr>
      <w:r w:rsidRPr="0017159F">
        <w:rPr>
          <w:rFonts w:ascii="Arial Narrow" w:hAnsi="Arial Narrow"/>
          <w:szCs w:val="24"/>
          <w:highlight w:val="white"/>
        </w:rPr>
        <w:t xml:space="preserve">No </w:t>
      </w:r>
      <w:proofErr w:type="gramStart"/>
      <w:r w:rsidRPr="0017159F">
        <w:rPr>
          <w:rFonts w:ascii="Arial Narrow" w:hAnsi="Arial Narrow"/>
          <w:szCs w:val="24"/>
          <w:highlight w:val="white"/>
        </w:rPr>
        <w:t>obstante</w:t>
      </w:r>
      <w:proofErr w:type="gramEnd"/>
      <w:r w:rsidRPr="0017159F">
        <w:rPr>
          <w:rFonts w:ascii="Arial Narrow" w:hAnsi="Arial Narrow"/>
          <w:szCs w:val="24"/>
          <w:highlight w:val="white"/>
        </w:rPr>
        <w:t xml:space="preserve"> ello, tanto en este caso como en uno posterior</w:t>
      </w:r>
      <w:r w:rsidRPr="0017159F">
        <w:rPr>
          <w:rStyle w:val="Refdenotaalpie"/>
          <w:rFonts w:ascii="Arial Narrow" w:hAnsi="Arial Narrow"/>
          <w:szCs w:val="24"/>
          <w:highlight w:val="white"/>
        </w:rPr>
        <w:footnoteReference w:id="14"/>
      </w:r>
      <w:r w:rsidR="00C30634">
        <w:rPr>
          <w:rFonts w:ascii="Arial Narrow" w:hAnsi="Arial Narrow"/>
          <w:szCs w:val="24"/>
          <w:highlight w:val="white"/>
        </w:rPr>
        <w:t>,</w:t>
      </w:r>
      <w:r w:rsidRPr="0017159F">
        <w:rPr>
          <w:rFonts w:ascii="Arial Narrow" w:hAnsi="Arial Narrow"/>
          <w:szCs w:val="24"/>
          <w:highlight w:val="white"/>
        </w:rPr>
        <w:t xml:space="preserve"> coincide en dictaminar que “</w:t>
      </w:r>
      <w:r w:rsidRPr="0017159F">
        <w:rPr>
          <w:rFonts w:ascii="Arial Narrow" w:hAnsi="Arial Narrow"/>
          <w:i/>
          <w:szCs w:val="24"/>
          <w:highlight w:val="white"/>
        </w:rPr>
        <w:t>la obligación de la familia de atender y participar del tratamiento</w:t>
      </w:r>
      <w:r w:rsidRPr="0017159F">
        <w:rPr>
          <w:rFonts w:ascii="Arial Narrow" w:hAnsi="Arial Narrow"/>
          <w:szCs w:val="24"/>
          <w:highlight w:val="white"/>
        </w:rPr>
        <w:t xml:space="preserve"> (de las personas con discapacidad psicosocial) </w:t>
      </w:r>
      <w:r w:rsidRPr="0017159F">
        <w:rPr>
          <w:rFonts w:ascii="Arial Narrow" w:hAnsi="Arial Narrow"/>
          <w:i/>
          <w:szCs w:val="24"/>
          <w:highlight w:val="white"/>
        </w:rPr>
        <w:t>no es absoluta y está sujeta</w:t>
      </w:r>
      <w:r w:rsidR="00C30634">
        <w:rPr>
          <w:rFonts w:ascii="Arial Narrow" w:hAnsi="Arial Narrow"/>
          <w:i/>
          <w:szCs w:val="24"/>
          <w:highlight w:val="white"/>
        </w:rPr>
        <w:t xml:space="preserve"> </w:t>
      </w:r>
      <w:r w:rsidRPr="0017159F">
        <w:rPr>
          <w:rFonts w:ascii="Arial Narrow" w:hAnsi="Arial Narrow"/>
          <w:i/>
          <w:szCs w:val="24"/>
          <w:highlight w:val="white"/>
        </w:rPr>
        <w:t>a</w:t>
      </w:r>
      <w:r w:rsidR="00C30634">
        <w:rPr>
          <w:rFonts w:ascii="Arial Narrow" w:hAnsi="Arial Narrow"/>
          <w:i/>
          <w:szCs w:val="24"/>
          <w:highlight w:val="white"/>
        </w:rPr>
        <w:t xml:space="preserve"> </w:t>
      </w:r>
      <w:r w:rsidRPr="0017159F">
        <w:rPr>
          <w:rFonts w:ascii="Arial Narrow" w:hAnsi="Arial Narrow"/>
          <w:i/>
          <w:szCs w:val="24"/>
          <w:highlight w:val="white"/>
        </w:rPr>
        <w:t>la</w:t>
      </w:r>
      <w:r w:rsidR="00C30634">
        <w:rPr>
          <w:rFonts w:ascii="Arial Narrow" w:hAnsi="Arial Narrow"/>
          <w:i/>
          <w:szCs w:val="24"/>
          <w:highlight w:val="white"/>
        </w:rPr>
        <w:t xml:space="preserve"> </w:t>
      </w:r>
      <w:r w:rsidRPr="0017159F">
        <w:rPr>
          <w:rFonts w:ascii="Arial Narrow" w:hAnsi="Arial Narrow"/>
          <w:i/>
          <w:szCs w:val="24"/>
          <w:highlight w:val="white"/>
        </w:rPr>
        <w:t>capacidad</w:t>
      </w:r>
      <w:r w:rsidR="00C30634">
        <w:rPr>
          <w:rFonts w:ascii="Arial Narrow" w:hAnsi="Arial Narrow"/>
          <w:i/>
          <w:szCs w:val="24"/>
          <w:highlight w:val="white"/>
        </w:rPr>
        <w:t xml:space="preserve"> </w:t>
      </w:r>
      <w:r w:rsidRPr="0017159F">
        <w:rPr>
          <w:rFonts w:ascii="Arial Narrow" w:hAnsi="Arial Narrow"/>
          <w:i/>
          <w:szCs w:val="24"/>
          <w:highlight w:val="white"/>
        </w:rPr>
        <w:t>económica,</w:t>
      </w:r>
      <w:r w:rsidR="00C30634">
        <w:rPr>
          <w:rFonts w:ascii="Arial Narrow" w:hAnsi="Arial Narrow"/>
          <w:i/>
          <w:szCs w:val="24"/>
          <w:highlight w:val="white"/>
        </w:rPr>
        <w:t xml:space="preserve"> </w:t>
      </w:r>
      <w:r w:rsidRPr="0017159F">
        <w:rPr>
          <w:rFonts w:ascii="Arial Narrow" w:hAnsi="Arial Narrow"/>
          <w:i/>
          <w:szCs w:val="24"/>
          <w:highlight w:val="white"/>
        </w:rPr>
        <w:t>física</w:t>
      </w:r>
      <w:r w:rsidR="00C30634">
        <w:rPr>
          <w:rFonts w:ascii="Arial Narrow" w:hAnsi="Arial Narrow"/>
          <w:i/>
          <w:szCs w:val="24"/>
          <w:highlight w:val="white"/>
        </w:rPr>
        <w:t xml:space="preserve"> </w:t>
      </w:r>
      <w:r w:rsidRPr="0017159F">
        <w:rPr>
          <w:rFonts w:ascii="Arial Narrow" w:hAnsi="Arial Narrow"/>
          <w:i/>
          <w:szCs w:val="24"/>
          <w:highlight w:val="white"/>
        </w:rPr>
        <w:t>y</w:t>
      </w:r>
      <w:r w:rsidR="00C30634">
        <w:rPr>
          <w:rFonts w:ascii="Arial Narrow" w:hAnsi="Arial Narrow"/>
          <w:i/>
          <w:szCs w:val="24"/>
          <w:highlight w:val="white"/>
        </w:rPr>
        <w:t xml:space="preserve"> </w:t>
      </w:r>
      <w:r w:rsidRPr="0017159F">
        <w:rPr>
          <w:rFonts w:ascii="Arial Narrow" w:hAnsi="Arial Narrow"/>
          <w:i/>
          <w:szCs w:val="24"/>
          <w:highlight w:val="white"/>
        </w:rPr>
        <w:t>emocional. (…) Por ello, en ausencia de la familia</w:t>
      </w:r>
      <w:r w:rsidRPr="0017159F">
        <w:rPr>
          <w:rStyle w:val="Refdenotaalpie"/>
          <w:rFonts w:ascii="Arial Narrow" w:hAnsi="Arial Narrow"/>
          <w:i/>
          <w:szCs w:val="24"/>
          <w:highlight w:val="white"/>
        </w:rPr>
        <w:footnoteReference w:id="15"/>
      </w:r>
      <w:r w:rsidRPr="0017159F">
        <w:rPr>
          <w:rFonts w:ascii="Arial Narrow" w:hAnsi="Arial Narrow"/>
          <w:i/>
          <w:szCs w:val="24"/>
          <w:highlight w:val="white"/>
        </w:rPr>
        <w:t xml:space="preserve"> y en virtud del</w:t>
      </w:r>
      <w:r w:rsidR="00C30634">
        <w:rPr>
          <w:rFonts w:ascii="Arial Narrow" w:hAnsi="Arial Narrow"/>
          <w:i/>
          <w:szCs w:val="24"/>
          <w:highlight w:val="white"/>
        </w:rPr>
        <w:t xml:space="preserve"> </w:t>
      </w:r>
      <w:r w:rsidRPr="0017159F">
        <w:rPr>
          <w:rFonts w:ascii="Arial Narrow" w:hAnsi="Arial Narrow"/>
          <w:i/>
          <w:szCs w:val="24"/>
          <w:highlight w:val="white"/>
        </w:rPr>
        <w:t>principio</w:t>
      </w:r>
      <w:r w:rsidR="00C30634">
        <w:rPr>
          <w:rFonts w:ascii="Arial Narrow" w:hAnsi="Arial Narrow"/>
          <w:i/>
          <w:szCs w:val="24"/>
          <w:highlight w:val="white"/>
        </w:rPr>
        <w:t xml:space="preserve"> </w:t>
      </w:r>
      <w:r w:rsidRPr="0017159F">
        <w:rPr>
          <w:rFonts w:ascii="Arial Narrow" w:hAnsi="Arial Narrow"/>
          <w:i/>
          <w:szCs w:val="24"/>
          <w:highlight w:val="white"/>
        </w:rPr>
        <w:t>de</w:t>
      </w:r>
      <w:r w:rsidR="00C30634">
        <w:rPr>
          <w:rFonts w:ascii="Arial Narrow" w:hAnsi="Arial Narrow"/>
          <w:i/>
          <w:szCs w:val="24"/>
          <w:highlight w:val="white"/>
        </w:rPr>
        <w:t xml:space="preserve"> </w:t>
      </w:r>
      <w:r w:rsidRPr="0017159F">
        <w:rPr>
          <w:rFonts w:ascii="Arial Narrow" w:hAnsi="Arial Narrow"/>
          <w:i/>
          <w:szCs w:val="24"/>
          <w:highlight w:val="white"/>
        </w:rPr>
        <w:t>solidaridad,</w:t>
      </w:r>
      <w:r w:rsidR="00C30634">
        <w:rPr>
          <w:rFonts w:ascii="Arial Narrow" w:hAnsi="Arial Narrow"/>
          <w:i/>
          <w:szCs w:val="24"/>
          <w:highlight w:val="white"/>
        </w:rPr>
        <w:t xml:space="preserve"> </w:t>
      </w:r>
      <w:r w:rsidRPr="0017159F">
        <w:rPr>
          <w:rFonts w:ascii="Arial Narrow" w:hAnsi="Arial Narrow"/>
          <w:i/>
          <w:szCs w:val="24"/>
          <w:highlight w:val="white"/>
        </w:rPr>
        <w:t>será</w:t>
      </w:r>
      <w:r w:rsidR="00C30634">
        <w:rPr>
          <w:rFonts w:ascii="Arial Narrow" w:hAnsi="Arial Narrow"/>
          <w:i/>
          <w:szCs w:val="24"/>
          <w:highlight w:val="white"/>
        </w:rPr>
        <w:t xml:space="preserve"> </w:t>
      </w:r>
      <w:r w:rsidRPr="0017159F">
        <w:rPr>
          <w:rFonts w:ascii="Arial Narrow" w:hAnsi="Arial Narrow"/>
          <w:i/>
          <w:szCs w:val="24"/>
          <w:highlight w:val="white"/>
        </w:rPr>
        <w:t>el</w:t>
      </w:r>
      <w:r w:rsidR="00C30634">
        <w:rPr>
          <w:rFonts w:ascii="Arial Narrow" w:hAnsi="Arial Narrow"/>
          <w:i/>
          <w:szCs w:val="24"/>
          <w:highlight w:val="white"/>
        </w:rPr>
        <w:t xml:space="preserve"> </w:t>
      </w:r>
      <w:r w:rsidRPr="0017159F">
        <w:rPr>
          <w:rFonts w:ascii="Arial Narrow" w:hAnsi="Arial Narrow"/>
          <w:i/>
          <w:szCs w:val="24"/>
          <w:highlight w:val="white"/>
        </w:rPr>
        <w:t>Estado</w:t>
      </w:r>
      <w:r w:rsidR="00C30634">
        <w:rPr>
          <w:rFonts w:ascii="Arial Narrow" w:hAnsi="Arial Narrow"/>
          <w:i/>
          <w:szCs w:val="24"/>
          <w:highlight w:val="white"/>
        </w:rPr>
        <w:t xml:space="preserve"> </w:t>
      </w:r>
      <w:r w:rsidRPr="0017159F">
        <w:rPr>
          <w:rFonts w:ascii="Arial Narrow" w:hAnsi="Arial Narrow"/>
          <w:i/>
          <w:szCs w:val="24"/>
          <w:highlight w:val="white"/>
        </w:rPr>
        <w:t>y</w:t>
      </w:r>
      <w:r w:rsidR="00C30634">
        <w:rPr>
          <w:rFonts w:ascii="Arial Narrow" w:hAnsi="Arial Narrow"/>
          <w:i/>
          <w:szCs w:val="24"/>
          <w:highlight w:val="white"/>
        </w:rPr>
        <w:t xml:space="preserve"> </w:t>
      </w:r>
      <w:r w:rsidRPr="0017159F">
        <w:rPr>
          <w:rFonts w:ascii="Arial Narrow" w:hAnsi="Arial Narrow"/>
          <w:i/>
          <w:szCs w:val="24"/>
          <w:highlight w:val="white"/>
        </w:rPr>
        <w:t>la</w:t>
      </w:r>
      <w:r w:rsidR="00C30634">
        <w:rPr>
          <w:rFonts w:ascii="Arial Narrow" w:hAnsi="Arial Narrow"/>
          <w:i/>
          <w:szCs w:val="24"/>
          <w:highlight w:val="white"/>
        </w:rPr>
        <w:t xml:space="preserve"> </w:t>
      </w:r>
      <w:r w:rsidRPr="0017159F">
        <w:rPr>
          <w:rFonts w:ascii="Arial Narrow" w:hAnsi="Arial Narrow"/>
          <w:i/>
          <w:szCs w:val="24"/>
          <w:highlight w:val="white"/>
        </w:rPr>
        <w:t>sociedad</w:t>
      </w:r>
      <w:r w:rsidR="00C30634">
        <w:rPr>
          <w:rFonts w:ascii="Arial Narrow" w:hAnsi="Arial Narrow"/>
          <w:i/>
          <w:szCs w:val="24"/>
          <w:highlight w:val="white"/>
        </w:rPr>
        <w:t xml:space="preserve"> </w:t>
      </w:r>
      <w:r w:rsidRPr="0017159F">
        <w:rPr>
          <w:rFonts w:ascii="Arial Narrow" w:hAnsi="Arial Narrow"/>
          <w:i/>
          <w:szCs w:val="24"/>
          <w:highlight w:val="white"/>
        </w:rPr>
        <w:t>los</w:t>
      </w:r>
      <w:r w:rsidR="00C30634">
        <w:rPr>
          <w:rFonts w:ascii="Arial Narrow" w:hAnsi="Arial Narrow"/>
          <w:i/>
          <w:szCs w:val="24"/>
          <w:highlight w:val="white"/>
        </w:rPr>
        <w:t xml:space="preserve"> </w:t>
      </w:r>
      <w:r w:rsidRPr="0017159F">
        <w:rPr>
          <w:rFonts w:ascii="Arial Narrow" w:hAnsi="Arial Narrow"/>
          <w:i/>
          <w:szCs w:val="24"/>
          <w:highlight w:val="white"/>
        </w:rPr>
        <w:t>encargados</w:t>
      </w:r>
      <w:r w:rsidR="00C30634">
        <w:rPr>
          <w:rFonts w:ascii="Arial Narrow" w:hAnsi="Arial Narrow"/>
          <w:i/>
          <w:szCs w:val="24"/>
          <w:highlight w:val="white"/>
        </w:rPr>
        <w:t xml:space="preserve"> </w:t>
      </w:r>
      <w:r w:rsidRPr="0017159F">
        <w:rPr>
          <w:rFonts w:ascii="Arial Narrow" w:hAnsi="Arial Narrow"/>
          <w:i/>
          <w:szCs w:val="24"/>
          <w:highlight w:val="white"/>
        </w:rPr>
        <w:t>de proteger el derecho a la salud mental de las personas con discapacidad mental”</w:t>
      </w:r>
      <w:r w:rsidRPr="0017159F">
        <w:rPr>
          <w:rStyle w:val="Refdenotaalpie"/>
          <w:rFonts w:ascii="Arial Narrow" w:hAnsi="Arial Narrow"/>
          <w:i/>
          <w:szCs w:val="24"/>
          <w:highlight w:val="white"/>
        </w:rPr>
        <w:footnoteReference w:id="16"/>
      </w:r>
      <w:r w:rsidRPr="0017159F">
        <w:rPr>
          <w:rFonts w:ascii="Arial Narrow" w:hAnsi="Arial Narrow"/>
          <w:i/>
          <w:szCs w:val="24"/>
          <w:highlight w:val="white"/>
        </w:rPr>
        <w:t xml:space="preserve">, </w:t>
      </w:r>
      <w:r w:rsidRPr="0017159F">
        <w:rPr>
          <w:rFonts w:ascii="Arial Narrow" w:hAnsi="Arial Narrow"/>
          <w:szCs w:val="24"/>
          <w:highlight w:val="white"/>
        </w:rPr>
        <w:t>debiendo la persona con discapacidad vivir indefinidamente en instituciones</w:t>
      </w:r>
      <w:r w:rsidR="00FC75EB">
        <w:rPr>
          <w:rFonts w:ascii="Arial Narrow" w:hAnsi="Arial Narrow"/>
          <w:szCs w:val="24"/>
          <w:highlight w:val="white"/>
        </w:rPr>
        <w:t>, situación evidentemente contraria a lo dispuestos por la CDPD.</w:t>
      </w:r>
    </w:p>
    <w:p w14:paraId="063D82EF" w14:textId="44EBBA8B" w:rsidR="0017159F" w:rsidRPr="0017159F" w:rsidRDefault="0017159F" w:rsidP="00A4697E">
      <w:pPr>
        <w:jc w:val="both"/>
        <w:rPr>
          <w:rFonts w:ascii="Arial Narrow" w:hAnsi="Arial Narrow"/>
          <w:szCs w:val="24"/>
        </w:rPr>
      </w:pPr>
      <w:r w:rsidRPr="0017159F">
        <w:rPr>
          <w:rFonts w:ascii="Arial Narrow" w:hAnsi="Arial Narrow"/>
          <w:szCs w:val="24"/>
          <w:highlight w:val="white"/>
        </w:rPr>
        <w:t>Caso contrario sucedería cuando la persona con discapacidad psicosocial hubiera cometido un acto delictivo, en cuyo caso, la medida de seguridad de internamiento que dictaminara el juez se justificaría “no sólo porque persigue evitar la comisión de futuros delitos, sino también porque su finalidad es la recuperación de la persona”; y por ello, el ingreso de la persona no podría ser por un tiempo indefinido, sino limitado en todos los casos.</w:t>
      </w:r>
      <w:r w:rsidRPr="0017159F">
        <w:rPr>
          <w:rStyle w:val="Refdenotaalpie"/>
          <w:rFonts w:ascii="Arial Narrow" w:hAnsi="Arial Narrow"/>
          <w:szCs w:val="24"/>
          <w:highlight w:val="white"/>
        </w:rPr>
        <w:footnoteReference w:id="17"/>
      </w:r>
      <w:r w:rsidRPr="0017159F">
        <w:rPr>
          <w:rFonts w:ascii="Arial Narrow" w:hAnsi="Arial Narrow"/>
          <w:szCs w:val="24"/>
        </w:rPr>
        <w:t>Finalmente,</w:t>
      </w:r>
      <w:r w:rsidR="00FC75EB">
        <w:rPr>
          <w:rFonts w:ascii="Arial Narrow" w:hAnsi="Arial Narrow"/>
          <w:szCs w:val="24"/>
        </w:rPr>
        <w:t xml:space="preserve"> es necesario</w:t>
      </w:r>
      <w:r w:rsidRPr="0017159F">
        <w:rPr>
          <w:rFonts w:ascii="Arial Narrow" w:hAnsi="Arial Narrow"/>
          <w:szCs w:val="24"/>
        </w:rPr>
        <w:t xml:space="preserve"> destacar la jurisprudencia del Tribunal Constitucional en relación con el internamiento involuntario (sin consentimiento) en instituciones de salud mental. </w:t>
      </w:r>
      <w:r w:rsidR="00A64992" w:rsidRPr="0017159F">
        <w:rPr>
          <w:rFonts w:ascii="Arial Narrow" w:hAnsi="Arial Narrow"/>
          <w:szCs w:val="24"/>
        </w:rPr>
        <w:t>Así</w:t>
      </w:r>
      <w:r w:rsidRPr="0017159F">
        <w:rPr>
          <w:rFonts w:ascii="Arial Narrow" w:hAnsi="Arial Narrow"/>
          <w:szCs w:val="24"/>
        </w:rPr>
        <w:t xml:space="preserve">, siguiendo el caso Morales </w:t>
      </w:r>
      <w:proofErr w:type="spellStart"/>
      <w:r w:rsidRPr="0017159F">
        <w:rPr>
          <w:rFonts w:ascii="Arial Narrow" w:hAnsi="Arial Narrow"/>
          <w:szCs w:val="24"/>
        </w:rPr>
        <w:t>Denegri</w:t>
      </w:r>
      <w:proofErr w:type="spellEnd"/>
      <w:r w:rsidRPr="0017159F">
        <w:rPr>
          <w:rFonts w:ascii="Arial Narrow" w:hAnsi="Arial Narrow"/>
          <w:szCs w:val="24"/>
        </w:rPr>
        <w:t xml:space="preserve"> vs. </w:t>
      </w:r>
      <w:proofErr w:type="spellStart"/>
      <w:r w:rsidRPr="0017159F">
        <w:rPr>
          <w:rFonts w:ascii="Arial Narrow" w:hAnsi="Arial Narrow"/>
          <w:szCs w:val="24"/>
        </w:rPr>
        <w:t>Noguchi</w:t>
      </w:r>
      <w:proofErr w:type="spellEnd"/>
      <w:r w:rsidRPr="0017159F">
        <w:rPr>
          <w:rFonts w:ascii="Arial Narrow" w:hAnsi="Arial Narrow"/>
          <w:szCs w:val="24"/>
        </w:rPr>
        <w:t xml:space="preserve"> (Expediente </w:t>
      </w:r>
      <w:proofErr w:type="spellStart"/>
      <w:r w:rsidRPr="0017159F">
        <w:rPr>
          <w:rFonts w:ascii="Arial Narrow" w:hAnsi="Arial Narrow"/>
          <w:szCs w:val="24"/>
        </w:rPr>
        <w:t>N.°</w:t>
      </w:r>
      <w:proofErr w:type="spellEnd"/>
      <w:r w:rsidRPr="0017159F">
        <w:rPr>
          <w:rFonts w:ascii="Arial Narrow" w:hAnsi="Arial Narrow"/>
          <w:szCs w:val="24"/>
        </w:rPr>
        <w:t xml:space="preserve"> 05842-2006-PHC/TC), se viola el derecho a ingresar a un establecimiento de salud mental con consentimiento informado previo como derecho conexo a la libertad individual</w:t>
      </w:r>
      <w:r w:rsidRPr="0017159F">
        <w:rPr>
          <w:rStyle w:val="Refdenotaalpie"/>
          <w:rFonts w:ascii="Arial Narrow" w:hAnsi="Arial Narrow"/>
          <w:szCs w:val="24"/>
        </w:rPr>
        <w:footnoteReference w:id="18"/>
      </w:r>
      <w:r w:rsidRPr="0017159F">
        <w:rPr>
          <w:rFonts w:ascii="Arial Narrow" w:hAnsi="Arial Narrow"/>
          <w:szCs w:val="24"/>
        </w:rPr>
        <w:t>.</w:t>
      </w:r>
      <w:r w:rsidR="00C30634">
        <w:rPr>
          <w:rFonts w:ascii="Arial Narrow" w:hAnsi="Arial Narrow"/>
          <w:szCs w:val="24"/>
        </w:rPr>
        <w:t xml:space="preserve"> </w:t>
      </w:r>
      <w:r w:rsidRPr="0017159F">
        <w:rPr>
          <w:rFonts w:ascii="Arial Narrow" w:hAnsi="Arial Narrow"/>
          <w:szCs w:val="24"/>
        </w:rPr>
        <w:t xml:space="preserve">Ahora bien, si la situación amerita una actuación de </w:t>
      </w:r>
      <w:r w:rsidRPr="0017159F">
        <w:rPr>
          <w:rFonts w:ascii="Arial Narrow" w:hAnsi="Arial Narrow"/>
          <w:szCs w:val="24"/>
        </w:rPr>
        <w:lastRenderedPageBreak/>
        <w:t>emergencia, recién podría aceptarse la intervención sin consentimiento, siempre y cuando la búsqueda de protección de los derechos de los pacientes sea la guía de su intervención y esté absolutamente justificada y sustentada.</w:t>
      </w:r>
      <w:bookmarkStart w:id="1" w:name="_9pwtxp38om8p" w:colFirst="0" w:colLast="0"/>
      <w:bookmarkEnd w:id="1"/>
      <w:r w:rsidRPr="0017159F">
        <w:rPr>
          <w:rStyle w:val="Refdenotaalpie"/>
          <w:rFonts w:ascii="Arial Narrow" w:hAnsi="Arial Narrow"/>
          <w:szCs w:val="24"/>
        </w:rPr>
        <w:footnoteReference w:id="19"/>
      </w:r>
      <w:r w:rsidR="00FC75EB">
        <w:rPr>
          <w:rFonts w:ascii="Arial Narrow" w:hAnsi="Arial Narrow"/>
          <w:szCs w:val="24"/>
        </w:rPr>
        <w:t xml:space="preserve"> Lamentablemente, el Tribunal no abunda en tales criterios y no ha dado guías claras sobre cómo abordar las situaciones de emergencia. Al menos se debió plantear un criterio de limitación temporal.</w:t>
      </w:r>
    </w:p>
    <w:p w14:paraId="00D4C400" w14:textId="77777777" w:rsidR="0017159F" w:rsidRPr="0017159F" w:rsidRDefault="0017159F" w:rsidP="00A4697E">
      <w:pPr>
        <w:jc w:val="both"/>
        <w:rPr>
          <w:rFonts w:ascii="Arial Narrow" w:hAnsi="Arial Narrow"/>
          <w:szCs w:val="24"/>
        </w:rPr>
      </w:pPr>
    </w:p>
    <w:p w14:paraId="49F3CB07" w14:textId="0E3EBD06" w:rsidR="00715D60" w:rsidRPr="00715D60" w:rsidRDefault="00715D60" w:rsidP="00A4697E">
      <w:pPr>
        <w:pStyle w:val="Normal1"/>
        <w:widowControl w:val="0"/>
        <w:jc w:val="both"/>
        <w:rPr>
          <w:rFonts w:ascii="Arial Narrow" w:hAnsi="Arial Narrow"/>
          <w:szCs w:val="24"/>
        </w:rPr>
      </w:pPr>
    </w:p>
    <w:sectPr w:rsidR="00715D60" w:rsidRPr="00715D60" w:rsidSect="00B7059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CEDA" w14:textId="77777777" w:rsidR="001C657A" w:rsidRDefault="001C657A" w:rsidP="00B7059A">
      <w:r>
        <w:separator/>
      </w:r>
    </w:p>
  </w:endnote>
  <w:endnote w:type="continuationSeparator" w:id="0">
    <w:p w14:paraId="4DCE50E9" w14:textId="77777777" w:rsidR="001C657A" w:rsidRDefault="001C657A" w:rsidP="00B7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3F76" w14:textId="598D22A6" w:rsidR="00DF7808" w:rsidRDefault="00DF7808">
    <w:pPr>
      <w:pStyle w:val="Normal1"/>
      <w:tabs>
        <w:tab w:val="center" w:pos="4419"/>
        <w:tab w:val="right" w:pos="8838"/>
      </w:tabs>
      <w:jc w:val="right"/>
    </w:pPr>
    <w:r>
      <w:fldChar w:fldCharType="begin"/>
    </w:r>
    <w:r>
      <w:instrText>PAGE</w:instrText>
    </w:r>
    <w:r>
      <w:fldChar w:fldCharType="separate"/>
    </w:r>
    <w:r w:rsidR="00F81CDE">
      <w:rPr>
        <w:noProof/>
      </w:rPr>
      <w:t>2</w:t>
    </w:r>
    <w:r>
      <w:rPr>
        <w:noProof/>
      </w:rPr>
      <w:fldChar w:fldCharType="end"/>
    </w:r>
  </w:p>
  <w:sdt>
    <w:sdtPr>
      <w:rPr>
        <w:sz w:val="18"/>
        <w:szCs w:val="18"/>
      </w:rPr>
      <w:id w:val="-1885243859"/>
      <w:docPartObj>
        <w:docPartGallery w:val="Page Numbers (Bottom of Page)"/>
        <w:docPartUnique/>
      </w:docPartObj>
    </w:sdtPr>
    <w:sdtEndPr>
      <w:rPr>
        <w:sz w:val="24"/>
        <w:szCs w:val="20"/>
      </w:rPr>
    </w:sdtEndPr>
    <w:sdtContent>
      <w:p w14:paraId="431942E0" w14:textId="77777777" w:rsidR="00EF362D" w:rsidRPr="00B137D5" w:rsidRDefault="00EF362D" w:rsidP="00EF362D">
        <w:pPr>
          <w:pStyle w:val="Piedepgina"/>
          <w:jc w:val="center"/>
          <w:rPr>
            <w:rFonts w:ascii="Calibri" w:eastAsia="Calibri" w:hAnsi="Calibri"/>
            <w:b/>
            <w:color w:val="F79646"/>
            <w:sz w:val="18"/>
            <w:szCs w:val="18"/>
          </w:rPr>
        </w:pPr>
        <w:r w:rsidRPr="00B137D5">
          <w:rPr>
            <w:rFonts w:ascii="Calibri" w:eastAsia="Calibri" w:hAnsi="Calibri"/>
            <w:b/>
            <w:color w:val="F79646"/>
            <w:sz w:val="18"/>
            <w:szCs w:val="18"/>
            <w:lang w:val="es-ES"/>
          </w:rPr>
          <w:t xml:space="preserve">Clínica Jurídica de Acciones de Interés Público, sección Discapacidad y Derechos Humanos. </w:t>
        </w:r>
        <w:r w:rsidRPr="00B137D5">
          <w:rPr>
            <w:rFonts w:ascii="Calibri" w:eastAsia="Calibri" w:hAnsi="Calibri"/>
            <w:b/>
            <w:color w:val="F79646"/>
            <w:sz w:val="18"/>
            <w:szCs w:val="18"/>
          </w:rPr>
          <w:t>Av. Universitaria 1801, San Miguel, Lima-Perú. Facultad de Derecho. Tel +511-6262000 (5685). Clinicapcd.ideh@pucp.pe</w:t>
        </w:r>
      </w:p>
      <w:p w14:paraId="3B2761EB" w14:textId="77777777" w:rsidR="00EF362D" w:rsidRDefault="001C657A" w:rsidP="00EF362D">
        <w:pPr>
          <w:pStyle w:val="Piedepgina"/>
          <w:pBdr>
            <w:top w:val="nil"/>
            <w:left w:val="nil"/>
            <w:bottom w:val="nil"/>
            <w:right w:val="nil"/>
            <w:between w:val="nil"/>
            <w:bar w:val="nil"/>
          </w:pBdr>
        </w:pPr>
      </w:p>
    </w:sdtContent>
  </w:sdt>
  <w:p w14:paraId="45FB5993" w14:textId="77777777" w:rsidR="00DF7808" w:rsidRDefault="00DF7808">
    <w:pPr>
      <w:pStyle w:val="Normal1"/>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870F" w14:textId="77777777" w:rsidR="001C657A" w:rsidRDefault="001C657A" w:rsidP="00B7059A">
      <w:r>
        <w:separator/>
      </w:r>
    </w:p>
  </w:footnote>
  <w:footnote w:type="continuationSeparator" w:id="0">
    <w:p w14:paraId="35E9898B" w14:textId="77777777" w:rsidR="001C657A" w:rsidRDefault="001C657A" w:rsidP="00B7059A">
      <w:r>
        <w:continuationSeparator/>
      </w:r>
    </w:p>
  </w:footnote>
  <w:footnote w:id="1">
    <w:p w14:paraId="7F1FF620" w14:textId="793F354C" w:rsidR="0017159F" w:rsidRPr="00A64992" w:rsidRDefault="0017159F" w:rsidP="00FC75EB">
      <w:pPr>
        <w:jc w:val="both"/>
        <w:rPr>
          <w:rFonts w:ascii="Arial Narrow" w:hAnsi="Arial Narrow"/>
          <w:sz w:val="18"/>
          <w:szCs w:val="18"/>
        </w:rPr>
      </w:pPr>
      <w:r w:rsidRPr="00A64992">
        <w:rPr>
          <w:rStyle w:val="Caracteresdenotaalpie"/>
          <w:rFonts w:ascii="Arial Narrow" w:hAnsi="Arial Narrow"/>
          <w:sz w:val="18"/>
          <w:szCs w:val="18"/>
        </w:rPr>
        <w:footnoteRef/>
      </w:r>
      <w:r w:rsidRPr="00A64992">
        <w:rPr>
          <w:rFonts w:ascii="Arial Narrow" w:hAnsi="Arial Narrow" w:cs="Arial"/>
          <w:sz w:val="18"/>
          <w:szCs w:val="18"/>
        </w:rPr>
        <w:t>La presente comunicación ha sido elaborada por Alex de la Cruz</w:t>
      </w:r>
      <w:r w:rsidR="00A4697E" w:rsidRPr="00A64992">
        <w:rPr>
          <w:rFonts w:ascii="Arial Narrow" w:hAnsi="Arial Narrow" w:cs="Arial"/>
          <w:sz w:val="18"/>
          <w:szCs w:val="18"/>
        </w:rPr>
        <w:t xml:space="preserve">, Nuria Vásquez, Maritza </w:t>
      </w:r>
      <w:proofErr w:type="spellStart"/>
      <w:r w:rsidR="00A4697E" w:rsidRPr="00A64992">
        <w:rPr>
          <w:rFonts w:ascii="Arial Narrow" w:hAnsi="Arial Narrow" w:cs="Arial"/>
          <w:sz w:val="18"/>
          <w:szCs w:val="18"/>
        </w:rPr>
        <w:t>Urteaga</w:t>
      </w:r>
      <w:proofErr w:type="spellEnd"/>
      <w:r w:rsidR="00A4697E" w:rsidRPr="00A64992">
        <w:rPr>
          <w:rFonts w:ascii="Arial Narrow" w:hAnsi="Arial Narrow" w:cs="Arial"/>
          <w:sz w:val="18"/>
          <w:szCs w:val="18"/>
        </w:rPr>
        <w:t>, Sharon Bustamante</w:t>
      </w:r>
      <w:r w:rsidRPr="00A64992">
        <w:rPr>
          <w:rFonts w:ascii="Arial Narrow" w:hAnsi="Arial Narrow" w:cs="Arial"/>
          <w:sz w:val="18"/>
          <w:szCs w:val="18"/>
        </w:rPr>
        <w:t xml:space="preserve"> y María José Barajas, bajo la supervisión de Renato Constantino y Renata Bregaglio. </w:t>
      </w:r>
    </w:p>
  </w:footnote>
  <w:footnote w:id="2">
    <w:p w14:paraId="0664A863" w14:textId="76129B32" w:rsidR="0017159F" w:rsidRPr="00A64992" w:rsidRDefault="0017159F" w:rsidP="00FC75EB">
      <w:pPr>
        <w:jc w:val="both"/>
        <w:rPr>
          <w:rFonts w:ascii="Arial Narrow" w:hAnsi="Arial Narrow"/>
          <w:sz w:val="18"/>
          <w:szCs w:val="18"/>
          <w:lang w:val="pt-BR"/>
        </w:rPr>
      </w:pPr>
      <w:r w:rsidRPr="00A64992">
        <w:rPr>
          <w:rFonts w:ascii="Arial Narrow" w:hAnsi="Arial Narrow"/>
          <w:sz w:val="18"/>
          <w:szCs w:val="18"/>
          <w:vertAlign w:val="superscript"/>
        </w:rPr>
        <w:footnoteRef/>
      </w:r>
      <w:r w:rsidRPr="00A64992">
        <w:rPr>
          <w:rFonts w:ascii="Arial Narrow" w:hAnsi="Arial Narrow"/>
          <w:sz w:val="18"/>
          <w:szCs w:val="18"/>
        </w:rPr>
        <w:t xml:space="preserve"> MINISTERIO DE VIVIENDA, CONSTRUCCIÓN Y SANEAMIENTO. Norma A.120. Accesibilidad para personas con discapacidad y de las personas adultas mayores. </w:t>
      </w:r>
      <w:r w:rsidR="00C9477B" w:rsidRPr="00A64992">
        <w:rPr>
          <w:rFonts w:ascii="Arial Narrow" w:hAnsi="Arial Narrow"/>
          <w:sz w:val="18"/>
          <w:szCs w:val="18"/>
        </w:rPr>
        <w:t xml:space="preserve">Véase </w:t>
      </w:r>
      <w:proofErr w:type="spellStart"/>
      <w:r w:rsidRPr="00A64992">
        <w:rPr>
          <w:rFonts w:ascii="Arial Narrow" w:hAnsi="Arial Narrow"/>
          <w:sz w:val="18"/>
          <w:szCs w:val="18"/>
          <w:lang w:val="pt-BR"/>
        </w:rPr>
        <w:t>en</w:t>
      </w:r>
      <w:proofErr w:type="spellEnd"/>
      <w:r w:rsidRPr="00A64992">
        <w:rPr>
          <w:rFonts w:ascii="Arial Narrow" w:hAnsi="Arial Narrow"/>
          <w:sz w:val="18"/>
          <w:szCs w:val="18"/>
          <w:lang w:val="pt-BR"/>
        </w:rPr>
        <w:t>:</w:t>
      </w:r>
      <w:r w:rsidR="00284B47" w:rsidRPr="00A64992">
        <w:rPr>
          <w:rFonts w:ascii="Arial Narrow" w:hAnsi="Arial Narrow"/>
          <w:sz w:val="18"/>
          <w:szCs w:val="18"/>
          <w:lang w:val="pt-BR"/>
        </w:rPr>
        <w:t xml:space="preserve"> </w:t>
      </w:r>
      <w:hyperlink r:id="rId1" w:history="1">
        <w:r w:rsidR="00A64992" w:rsidRPr="0032239E">
          <w:rPr>
            <w:rStyle w:val="Hipervnculo"/>
            <w:rFonts w:ascii="Arial Narrow" w:hAnsi="Arial Narrow"/>
            <w:sz w:val="18"/>
            <w:szCs w:val="18"/>
            <w:lang w:val="pt-BR"/>
          </w:rPr>
          <w:t>https://www.mimp.gob.pe/adultomayor/archivos/Norma_A_120.pdf</w:t>
        </w:r>
      </w:hyperlink>
      <w:r w:rsidR="00A64992">
        <w:rPr>
          <w:rFonts w:ascii="Arial Narrow" w:hAnsi="Arial Narrow"/>
          <w:sz w:val="18"/>
          <w:szCs w:val="18"/>
          <w:lang w:val="pt-BR"/>
        </w:rPr>
        <w:t xml:space="preserve"> </w:t>
      </w:r>
    </w:p>
  </w:footnote>
  <w:footnote w:id="3">
    <w:p w14:paraId="5E9C88AC" w14:textId="732056A6" w:rsidR="0017159F" w:rsidRPr="00A64992" w:rsidRDefault="0017159F" w:rsidP="00FC75EB">
      <w:pPr>
        <w:jc w:val="both"/>
        <w:rPr>
          <w:rFonts w:ascii="Arial Narrow" w:hAnsi="Arial Narrow"/>
          <w:sz w:val="18"/>
          <w:szCs w:val="18"/>
        </w:rPr>
      </w:pPr>
      <w:r w:rsidRPr="00A64992">
        <w:rPr>
          <w:rFonts w:ascii="Arial Narrow" w:hAnsi="Arial Narrow"/>
          <w:sz w:val="18"/>
          <w:szCs w:val="18"/>
          <w:vertAlign w:val="superscript"/>
        </w:rPr>
        <w:footnoteRef/>
      </w:r>
      <w:r w:rsidRPr="00A64992">
        <w:rPr>
          <w:rFonts w:ascii="Arial Narrow" w:hAnsi="Arial Narrow"/>
          <w:sz w:val="18"/>
          <w:szCs w:val="18"/>
        </w:rPr>
        <w:t xml:space="preserve"> PRESIDENCIA DE LA REPÚBLICA. Decreto Supremo n°010-2009-Vivienda. Puede ser revisado en: </w:t>
      </w:r>
      <w:hyperlink r:id="rId2" w:history="1">
        <w:r w:rsidR="00A64992" w:rsidRPr="0032239E">
          <w:rPr>
            <w:rStyle w:val="Hipervnculo"/>
            <w:rFonts w:ascii="Arial Narrow" w:hAnsi="Arial Narrow"/>
            <w:sz w:val="18"/>
            <w:szCs w:val="18"/>
          </w:rPr>
          <w:t>http://cdn-web.construccion.org/normas/rne2012/rne2006/files/normatividad/DS010-2009-VIVIENDA.pdf</w:t>
        </w:r>
      </w:hyperlink>
      <w:r w:rsidR="00A64992">
        <w:rPr>
          <w:rFonts w:ascii="Arial Narrow" w:hAnsi="Arial Narrow"/>
          <w:sz w:val="18"/>
          <w:szCs w:val="18"/>
        </w:rPr>
        <w:t xml:space="preserve"> </w:t>
      </w:r>
    </w:p>
  </w:footnote>
  <w:footnote w:id="4">
    <w:p w14:paraId="36341CDB" w14:textId="54F1B996" w:rsidR="0017159F" w:rsidRPr="00A64992" w:rsidRDefault="0017159F" w:rsidP="00FC75EB">
      <w:pPr>
        <w:jc w:val="both"/>
        <w:rPr>
          <w:rFonts w:ascii="Arial Narrow" w:hAnsi="Arial Narrow"/>
          <w:sz w:val="18"/>
          <w:szCs w:val="18"/>
        </w:rPr>
      </w:pPr>
      <w:r w:rsidRPr="00A64992">
        <w:rPr>
          <w:rFonts w:ascii="Arial Narrow" w:hAnsi="Arial Narrow"/>
          <w:sz w:val="18"/>
          <w:szCs w:val="18"/>
          <w:vertAlign w:val="superscript"/>
        </w:rPr>
        <w:footnoteRef/>
      </w:r>
      <w:r w:rsidRPr="00A64992">
        <w:rPr>
          <w:rFonts w:ascii="Arial Narrow" w:hAnsi="Arial Narrow"/>
          <w:sz w:val="18"/>
          <w:szCs w:val="18"/>
        </w:rPr>
        <w:t xml:space="preserve"> MUNICIPALIDAD DE SAN ISIDRO. Ordenanza n°208-MSI: Ordenanza que regula las normas de accesibilidad urbanística y arquitectónica para el distrito de San Isidro. Dictada el 22 de agosto del 2007. Véase en: </w:t>
      </w:r>
      <w:hyperlink r:id="rId3" w:history="1">
        <w:r w:rsidR="00A64992" w:rsidRPr="0032239E">
          <w:rPr>
            <w:rStyle w:val="Hipervnculo"/>
            <w:rFonts w:ascii="Arial Narrow" w:hAnsi="Arial Narrow"/>
            <w:sz w:val="18"/>
            <w:szCs w:val="18"/>
          </w:rPr>
          <w:t>http://www.msi.gob.pe/portal/repositorio/licenciaEdificacion/07Ord208MSI.pdf</w:t>
        </w:r>
      </w:hyperlink>
      <w:r w:rsidR="00A64992">
        <w:rPr>
          <w:rFonts w:ascii="Arial Narrow" w:hAnsi="Arial Narrow"/>
          <w:sz w:val="18"/>
          <w:szCs w:val="18"/>
        </w:rPr>
        <w:t xml:space="preserve"> </w:t>
      </w:r>
    </w:p>
  </w:footnote>
  <w:footnote w:id="5">
    <w:p w14:paraId="610C3105" w14:textId="6B4F739E" w:rsidR="00A64992" w:rsidRPr="00A64992" w:rsidRDefault="00A64992" w:rsidP="00A64992">
      <w:pPr>
        <w:pStyle w:val="Textonotapie"/>
        <w:rPr>
          <w:rFonts w:ascii="Arial Narrow" w:hAnsi="Arial Narrow"/>
          <w:sz w:val="18"/>
          <w:szCs w:val="18"/>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color w:val="222222"/>
          <w:sz w:val="18"/>
          <w:szCs w:val="18"/>
          <w:shd w:val="clear" w:color="auto" w:fill="FFFFFF"/>
        </w:rPr>
        <w:t>INSTITUTO NACIONAL DE ESTADÍSTICA E INFORMÁTICA</w:t>
      </w:r>
      <w:r w:rsidRPr="00A64992">
        <w:rPr>
          <w:rFonts w:ascii="Arial Narrow" w:hAnsi="Arial Narrow" w:cs="Arial"/>
          <w:color w:val="222222"/>
          <w:sz w:val="18"/>
          <w:szCs w:val="18"/>
          <w:shd w:val="clear" w:color="auto" w:fill="FFFFFF"/>
        </w:rPr>
        <w:t>. Primera encuesta especializada sobre discapacidad 2012. </w:t>
      </w:r>
      <w:r w:rsidRPr="00A64992">
        <w:rPr>
          <w:rFonts w:ascii="Arial Narrow" w:hAnsi="Arial Narrow"/>
          <w:color w:val="222222"/>
          <w:sz w:val="18"/>
          <w:szCs w:val="18"/>
          <w:shd w:val="clear" w:color="auto" w:fill="FFFFFF"/>
        </w:rPr>
        <w:t xml:space="preserve">Página web: </w:t>
      </w:r>
      <w:hyperlink r:id="rId4" w:tgtFrame="_blank" w:history="1">
        <w:r w:rsidRPr="00A64992">
          <w:rPr>
            <w:rStyle w:val="Hipervnculo"/>
            <w:rFonts w:ascii="Arial Narrow" w:hAnsi="Arial Narrow" w:cs="Arial"/>
            <w:color w:val="1155CC"/>
            <w:sz w:val="18"/>
            <w:szCs w:val="18"/>
            <w:shd w:val="clear" w:color="auto" w:fill="FFFFFF"/>
          </w:rPr>
          <w:t>https://www.inei.gob.pe/media/MenuRecursivo/publicaciones_digitales/Est/Lib1171/ENEDIS%202012%20-%20COMPLETO.pdf</w:t>
        </w:r>
      </w:hyperlink>
    </w:p>
  </w:footnote>
  <w:footnote w:id="6">
    <w:p w14:paraId="2BC16C6D" w14:textId="77777777" w:rsidR="00A64992" w:rsidRPr="00A64992" w:rsidRDefault="00A64992" w:rsidP="00A64992">
      <w:pPr>
        <w:pStyle w:val="Textonotapie"/>
        <w:rPr>
          <w:rFonts w:ascii="Arial Narrow" w:hAnsi="Arial Narrow"/>
          <w:sz w:val="18"/>
          <w:szCs w:val="18"/>
        </w:rPr>
      </w:pPr>
      <w:r w:rsidRPr="00A64992">
        <w:rPr>
          <w:rStyle w:val="Refdenotaalpie"/>
          <w:rFonts w:ascii="Arial Narrow" w:hAnsi="Arial Narrow"/>
          <w:sz w:val="18"/>
          <w:szCs w:val="18"/>
        </w:rPr>
        <w:footnoteRef/>
      </w:r>
      <w:r w:rsidRPr="00A64992">
        <w:rPr>
          <w:rFonts w:ascii="Arial Narrow" w:hAnsi="Arial Narrow"/>
          <w:sz w:val="18"/>
          <w:szCs w:val="18"/>
        </w:rPr>
        <w:t xml:space="preserve"> Ibidem.</w:t>
      </w:r>
    </w:p>
  </w:footnote>
  <w:footnote w:id="7">
    <w:p w14:paraId="0843C665" w14:textId="77777777" w:rsidR="0017159F" w:rsidRPr="00A64992" w:rsidRDefault="0017159F" w:rsidP="00FC75E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Cuya finalidad es el acceso de los sectores populares a una vivienda digna, en concordancia con sus posibilidades económicas, y estimular la participación del sector privado en la construcción masiva de viviendas de interés social.</w:t>
      </w:r>
    </w:p>
  </w:footnote>
  <w:footnote w:id="8">
    <w:p w14:paraId="42CA78BB" w14:textId="5B698C7C" w:rsidR="00C61EDB" w:rsidRPr="00A64992" w:rsidRDefault="00C61EDB" w:rsidP="00C9477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sz w:val="18"/>
          <w:szCs w:val="18"/>
          <w:lang w:val="es-ES"/>
        </w:rPr>
        <w:t>Publicada el 8 de octubre de 2012.</w:t>
      </w:r>
    </w:p>
  </w:footnote>
  <w:footnote w:id="9">
    <w:p w14:paraId="4787685C" w14:textId="15AC5B43" w:rsidR="00C61EDB" w:rsidRPr="00A64992" w:rsidRDefault="00C61EDB" w:rsidP="00C9477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sz w:val="18"/>
          <w:szCs w:val="18"/>
          <w:lang w:val="es-ES"/>
        </w:rPr>
        <w:t>Publicada el 24 de junio de 2012.</w:t>
      </w:r>
    </w:p>
  </w:footnote>
  <w:footnote w:id="10">
    <w:p w14:paraId="7A3BC863" w14:textId="716CDE8D" w:rsidR="00C61EDB" w:rsidRPr="00A64992" w:rsidRDefault="00C61EDB" w:rsidP="00C9477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sz w:val="18"/>
          <w:szCs w:val="18"/>
          <w:lang w:val="es-ES"/>
        </w:rPr>
        <w:t>Decreto Supremo 033-2015-SA, publicado el 6 de octubre de 2015.</w:t>
      </w:r>
    </w:p>
  </w:footnote>
  <w:footnote w:id="11">
    <w:p w14:paraId="5206CC56" w14:textId="77777777" w:rsidR="00FC75EB" w:rsidRPr="00A64992" w:rsidRDefault="00FC75EB" w:rsidP="00C9477B">
      <w:pPr>
        <w:pStyle w:val="Textonotapie"/>
        <w:jc w:val="both"/>
        <w:rPr>
          <w:rFonts w:ascii="Arial Narrow" w:hAnsi="Arial Narrow"/>
          <w:sz w:val="18"/>
          <w:szCs w:val="18"/>
        </w:rPr>
      </w:pPr>
      <w:r w:rsidRPr="00A64992">
        <w:rPr>
          <w:rStyle w:val="Refdenotaalpie"/>
          <w:rFonts w:ascii="Arial Narrow" w:hAnsi="Arial Narrow"/>
          <w:sz w:val="18"/>
          <w:szCs w:val="18"/>
        </w:rPr>
        <w:footnoteRef/>
      </w:r>
      <w:r w:rsidRPr="00A64992">
        <w:rPr>
          <w:rFonts w:ascii="Arial Narrow" w:hAnsi="Arial Narrow"/>
          <w:sz w:val="18"/>
          <w:szCs w:val="18"/>
        </w:rPr>
        <w:t xml:space="preserve"> Artículo 20.- De la desinstitucionalización de la persona con discapacidad mental </w:t>
      </w:r>
    </w:p>
    <w:p w14:paraId="42609732" w14:textId="69D9EEA9" w:rsidR="00FC75EB" w:rsidRPr="00A64992" w:rsidRDefault="00FC75EB" w:rsidP="00C9477B">
      <w:pPr>
        <w:pStyle w:val="Textonotapie"/>
        <w:jc w:val="both"/>
        <w:rPr>
          <w:rFonts w:ascii="Arial Narrow" w:hAnsi="Arial Narrow"/>
          <w:sz w:val="18"/>
          <w:szCs w:val="18"/>
          <w:lang w:val="es-ES"/>
        </w:rPr>
      </w:pPr>
      <w:r w:rsidRPr="00A64992">
        <w:rPr>
          <w:rFonts w:ascii="Arial Narrow" w:hAnsi="Arial Narrow"/>
          <w:sz w:val="18"/>
          <w:szCs w:val="18"/>
        </w:rPr>
        <w:t>a. Es el proceso por el cual un establecimiento de salud debe implementar para sus pacientes hospitalizados por discapacidad mental, que tienen un periodo de internamiento mayor a los cuarenta y cinco días (45) días, y que se encuentran en condición de alta médica, y que ya no requieren internamiento para su tratamiento, o puede continuarlo de manera ambulatoria, pero que por razones no médicas no pueden dejar el hospital. Esta situación debe evitarse en los establecimientos de salud, para lo cual se deberá hacer uso de la red de atención comunitaria de salud mental.</w:t>
      </w:r>
    </w:p>
  </w:footnote>
  <w:footnote w:id="12">
    <w:p w14:paraId="2B1EB316" w14:textId="05FBFC15" w:rsidR="0017159F" w:rsidRPr="00A64992" w:rsidRDefault="0017159F" w:rsidP="00FC75EB">
      <w:pPr>
        <w:jc w:val="both"/>
        <w:rPr>
          <w:rFonts w:ascii="Arial Narrow" w:hAnsi="Arial Narrow"/>
          <w:sz w:val="18"/>
          <w:szCs w:val="18"/>
        </w:rPr>
      </w:pPr>
      <w:r w:rsidRPr="00A64992">
        <w:rPr>
          <w:rFonts w:ascii="Arial Narrow" w:hAnsi="Arial Narrow"/>
          <w:sz w:val="18"/>
          <w:szCs w:val="18"/>
          <w:vertAlign w:val="superscript"/>
        </w:rPr>
        <w:footnoteRef/>
      </w:r>
      <w:r w:rsidR="00C30634" w:rsidRPr="00A64992">
        <w:rPr>
          <w:rFonts w:ascii="Arial Narrow" w:hAnsi="Arial Narrow"/>
          <w:sz w:val="18"/>
          <w:szCs w:val="18"/>
        </w:rPr>
        <w:t xml:space="preserve"> </w:t>
      </w:r>
      <w:r w:rsidRPr="00A64992">
        <w:rPr>
          <w:rFonts w:ascii="Arial Narrow" w:hAnsi="Arial Narrow"/>
          <w:sz w:val="18"/>
          <w:szCs w:val="18"/>
        </w:rPr>
        <w:t>D</w:t>
      </w:r>
      <w:r w:rsidR="00F81CDE">
        <w:rPr>
          <w:rFonts w:ascii="Arial Narrow" w:hAnsi="Arial Narrow"/>
          <w:sz w:val="18"/>
          <w:szCs w:val="18"/>
        </w:rPr>
        <w:t>ecreto</w:t>
      </w:r>
      <w:r w:rsidRPr="00A64992">
        <w:rPr>
          <w:rFonts w:ascii="Arial Narrow" w:hAnsi="Arial Narrow"/>
          <w:sz w:val="18"/>
          <w:szCs w:val="18"/>
        </w:rPr>
        <w:t xml:space="preserve"> </w:t>
      </w:r>
      <w:r w:rsidR="00F81CDE">
        <w:rPr>
          <w:rFonts w:ascii="Arial Narrow" w:hAnsi="Arial Narrow"/>
          <w:sz w:val="18"/>
          <w:szCs w:val="18"/>
        </w:rPr>
        <w:t>Legislativo</w:t>
      </w:r>
      <w:r w:rsidRPr="00A64992">
        <w:rPr>
          <w:rFonts w:ascii="Arial Narrow" w:hAnsi="Arial Narrow"/>
          <w:sz w:val="18"/>
          <w:szCs w:val="18"/>
        </w:rPr>
        <w:t xml:space="preserve"> N°1348. “Decreto Legislativo que aprueba el Código de responsabilidad penal de adolescentes”. Art. 55</w:t>
      </w:r>
    </w:p>
  </w:footnote>
  <w:footnote w:id="13">
    <w:p w14:paraId="79E161F4" w14:textId="37F31439" w:rsidR="00F81CDE" w:rsidRPr="00F81CDE" w:rsidRDefault="00F81CDE">
      <w:pPr>
        <w:pStyle w:val="Textonotapie"/>
        <w:rPr>
          <w:rFonts w:ascii="Arial Narrow" w:hAnsi="Arial Narrow"/>
        </w:rPr>
      </w:pPr>
      <w:r w:rsidRPr="00F81CDE">
        <w:rPr>
          <w:rStyle w:val="Refdenotaalpie"/>
          <w:rFonts w:ascii="Arial Narrow" w:hAnsi="Arial Narrow"/>
          <w:sz w:val="18"/>
        </w:rPr>
        <w:footnoteRef/>
      </w:r>
      <w:r w:rsidRPr="00F81CDE">
        <w:rPr>
          <w:rFonts w:ascii="Arial Narrow" w:hAnsi="Arial Narrow"/>
          <w:sz w:val="18"/>
        </w:rPr>
        <w:t xml:space="preserve"> Ver: </w:t>
      </w:r>
      <w:hyperlink r:id="rId5" w:history="1">
        <w:r w:rsidRPr="00F81CDE">
          <w:rPr>
            <w:rStyle w:val="Hipervnculo"/>
            <w:rFonts w:ascii="Arial Narrow" w:hAnsi="Arial Narrow"/>
            <w:sz w:val="18"/>
          </w:rPr>
          <w:t>https://www.mivivienda.com.pe/PORTALWEB/usuario-busca-viviendas/pagina.aspx?idpage=31</w:t>
        </w:r>
      </w:hyperlink>
      <w:r w:rsidRPr="00F81CDE">
        <w:rPr>
          <w:rFonts w:ascii="Arial Narrow" w:hAnsi="Arial Narrow"/>
          <w:sz w:val="18"/>
        </w:rPr>
        <w:t xml:space="preserve"> </w:t>
      </w:r>
    </w:p>
  </w:footnote>
  <w:footnote w:id="14">
    <w:p w14:paraId="5DE18532" w14:textId="2006AF99" w:rsidR="0017159F" w:rsidRPr="00A64992" w:rsidRDefault="0017159F" w:rsidP="00FC75E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Caso Ramón Medina Villafuerte (EXP. </w:t>
      </w:r>
      <w:proofErr w:type="spellStart"/>
      <w:r w:rsidRPr="00A64992">
        <w:rPr>
          <w:rFonts w:ascii="Arial Narrow" w:hAnsi="Arial Narrow"/>
          <w:sz w:val="18"/>
          <w:szCs w:val="18"/>
        </w:rPr>
        <w:t>N.°</w:t>
      </w:r>
      <w:proofErr w:type="spellEnd"/>
      <w:r w:rsidRPr="00A64992">
        <w:rPr>
          <w:rFonts w:ascii="Arial Narrow" w:hAnsi="Arial Narrow"/>
          <w:sz w:val="18"/>
          <w:szCs w:val="18"/>
        </w:rPr>
        <w:t xml:space="preserve"> 02480-2008-PA/TC</w:t>
      </w:r>
      <w:r w:rsidR="00C30634" w:rsidRPr="00A64992">
        <w:rPr>
          <w:rFonts w:ascii="Arial Narrow" w:hAnsi="Arial Narrow"/>
          <w:sz w:val="18"/>
          <w:szCs w:val="18"/>
        </w:rPr>
        <w:t>)</w:t>
      </w:r>
      <w:r w:rsidRPr="00A64992">
        <w:rPr>
          <w:rFonts w:ascii="Arial Narrow" w:hAnsi="Arial Narrow"/>
          <w:sz w:val="18"/>
          <w:szCs w:val="18"/>
        </w:rPr>
        <w:t>.</w:t>
      </w:r>
      <w:r w:rsidR="00C30634" w:rsidRPr="00A64992">
        <w:rPr>
          <w:rFonts w:ascii="Arial Narrow" w:hAnsi="Arial Narrow"/>
          <w:sz w:val="18"/>
          <w:szCs w:val="18"/>
        </w:rPr>
        <w:t xml:space="preserve"> Disponible en: </w:t>
      </w:r>
      <w:hyperlink r:id="rId6" w:history="1">
        <w:r w:rsidR="00C30634" w:rsidRPr="00A64992">
          <w:rPr>
            <w:rStyle w:val="Hipervnculo"/>
            <w:rFonts w:ascii="Arial Narrow" w:hAnsi="Arial Narrow"/>
            <w:sz w:val="18"/>
            <w:szCs w:val="18"/>
          </w:rPr>
          <w:t>http://www.tc.gob.pe/jurisprudencia/2009/02480-2008-AA.html</w:t>
        </w:r>
      </w:hyperlink>
      <w:r w:rsidR="00C30634" w:rsidRPr="00A64992">
        <w:rPr>
          <w:rFonts w:ascii="Arial Narrow" w:hAnsi="Arial Narrow"/>
          <w:sz w:val="18"/>
          <w:szCs w:val="18"/>
        </w:rPr>
        <w:t xml:space="preserve"> </w:t>
      </w:r>
    </w:p>
  </w:footnote>
  <w:footnote w:id="15">
    <w:p w14:paraId="7FB2CEB9" w14:textId="003874EE" w:rsidR="0017159F" w:rsidRPr="00A64992" w:rsidRDefault="0017159F" w:rsidP="00FC75E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O cuando la familia está presente pero se afecta al derecho a la salud, vida y dignidad de esta, de acuerdo a lo establecido en el fundamento jurídico </w:t>
      </w:r>
      <w:proofErr w:type="spellStart"/>
      <w:r w:rsidRPr="00A64992">
        <w:rPr>
          <w:rFonts w:ascii="Arial Narrow" w:hAnsi="Arial Narrow"/>
          <w:sz w:val="18"/>
          <w:szCs w:val="18"/>
        </w:rPr>
        <w:t>Nº</w:t>
      </w:r>
      <w:proofErr w:type="spellEnd"/>
      <w:r w:rsidRPr="00A64992">
        <w:rPr>
          <w:rFonts w:ascii="Arial Narrow" w:hAnsi="Arial Narrow"/>
          <w:sz w:val="18"/>
          <w:szCs w:val="18"/>
        </w:rPr>
        <w:t xml:space="preserve"> 63 del EXPEDIENTE N.º 3081-2007-PA/TC</w:t>
      </w:r>
      <w:r w:rsidR="00C30634" w:rsidRPr="00A64992">
        <w:rPr>
          <w:rFonts w:ascii="Arial Narrow" w:hAnsi="Arial Narrow"/>
          <w:sz w:val="18"/>
          <w:szCs w:val="18"/>
        </w:rPr>
        <w:t xml:space="preserve">, en el caso R.J.S.A. Vda. de R., disponible en </w:t>
      </w:r>
      <w:hyperlink r:id="rId7" w:history="1">
        <w:r w:rsidR="00C30634" w:rsidRPr="00A64992">
          <w:rPr>
            <w:rStyle w:val="Hipervnculo"/>
            <w:rFonts w:ascii="Arial Narrow" w:hAnsi="Arial Narrow"/>
            <w:sz w:val="18"/>
            <w:szCs w:val="18"/>
          </w:rPr>
          <w:t>http://www.tc.gob.pe/jurisprudencia/2008/03081-2007-AA.html</w:t>
        </w:r>
      </w:hyperlink>
      <w:r w:rsidR="00C30634" w:rsidRPr="00A64992">
        <w:rPr>
          <w:rFonts w:ascii="Arial Narrow" w:hAnsi="Arial Narrow"/>
          <w:sz w:val="18"/>
          <w:szCs w:val="18"/>
        </w:rPr>
        <w:t xml:space="preserve"> </w:t>
      </w:r>
    </w:p>
  </w:footnote>
  <w:footnote w:id="16">
    <w:p w14:paraId="5E18CDB2" w14:textId="471B7A9D" w:rsidR="0017159F" w:rsidRPr="00A64992" w:rsidRDefault="0017159F" w:rsidP="00FC75EB">
      <w:pPr>
        <w:jc w:val="both"/>
        <w:rPr>
          <w:rFonts w:ascii="Arial Narrow" w:hAnsi="Arial Narrow"/>
          <w:sz w:val="18"/>
          <w:szCs w:val="18"/>
        </w:rPr>
      </w:pPr>
      <w:r w:rsidRPr="00A64992">
        <w:rPr>
          <w:rStyle w:val="Refdenotaalpie"/>
          <w:rFonts w:ascii="Arial Narrow" w:hAnsi="Arial Narrow"/>
          <w:sz w:val="18"/>
          <w:szCs w:val="18"/>
        </w:rPr>
        <w:footnoteRef/>
      </w:r>
      <w:r w:rsidRPr="00A64992">
        <w:rPr>
          <w:rFonts w:ascii="Arial Narrow" w:hAnsi="Arial Narrow"/>
          <w:sz w:val="18"/>
          <w:szCs w:val="18"/>
        </w:rPr>
        <w:t xml:space="preserve"> Véase el fundamento jurídico </w:t>
      </w:r>
      <w:proofErr w:type="spellStart"/>
      <w:r w:rsidRPr="00A64992">
        <w:rPr>
          <w:rFonts w:ascii="Arial Narrow" w:hAnsi="Arial Narrow"/>
          <w:sz w:val="18"/>
          <w:szCs w:val="18"/>
        </w:rPr>
        <w:t>Nº</w:t>
      </w:r>
      <w:proofErr w:type="spellEnd"/>
      <w:r w:rsidRPr="00A64992">
        <w:rPr>
          <w:rFonts w:ascii="Arial Narrow" w:hAnsi="Arial Narrow"/>
          <w:sz w:val="18"/>
          <w:szCs w:val="18"/>
        </w:rPr>
        <w:t xml:space="preserve"> 19 del EXP. </w:t>
      </w:r>
      <w:proofErr w:type="spellStart"/>
      <w:r w:rsidRPr="00A64992">
        <w:rPr>
          <w:rFonts w:ascii="Arial Narrow" w:hAnsi="Arial Narrow"/>
          <w:sz w:val="18"/>
          <w:szCs w:val="18"/>
        </w:rPr>
        <w:t>N.°</w:t>
      </w:r>
      <w:proofErr w:type="spellEnd"/>
      <w:r w:rsidRPr="00A64992">
        <w:rPr>
          <w:rFonts w:ascii="Arial Narrow" w:hAnsi="Arial Narrow"/>
          <w:sz w:val="18"/>
          <w:szCs w:val="18"/>
        </w:rPr>
        <w:t xml:space="preserve"> 02480-2008-PA/TC y en esta misma línea, el fundamento jurídico Nº63 del EXPEDIENTE N.º 3081-2007-PA/TC… </w:t>
      </w:r>
      <w:proofErr w:type="spellStart"/>
      <w:r w:rsidRPr="00A64992">
        <w:rPr>
          <w:rFonts w:ascii="Arial Narrow" w:hAnsi="Arial Narrow"/>
          <w:sz w:val="18"/>
          <w:szCs w:val="18"/>
        </w:rPr>
        <w:t>Op</w:t>
      </w:r>
      <w:proofErr w:type="spellEnd"/>
      <w:r w:rsidRPr="00A64992">
        <w:rPr>
          <w:rFonts w:ascii="Arial Narrow" w:hAnsi="Arial Narrow"/>
          <w:sz w:val="18"/>
          <w:szCs w:val="18"/>
        </w:rPr>
        <w:t>. Cit.</w:t>
      </w:r>
    </w:p>
  </w:footnote>
  <w:footnote w:id="17">
    <w:p w14:paraId="7CE09BF4" w14:textId="31951A82" w:rsidR="0017159F" w:rsidRPr="00A64992" w:rsidRDefault="0017159F" w:rsidP="00FC75EB">
      <w:pPr>
        <w:pStyle w:val="Textonotapie"/>
        <w:jc w:val="both"/>
        <w:rPr>
          <w:rFonts w:ascii="Arial Narrow" w:hAnsi="Arial Narrow"/>
          <w:sz w:val="18"/>
          <w:szCs w:val="18"/>
          <w:lang w:val="es-ES"/>
        </w:rPr>
      </w:pPr>
      <w:r w:rsidRPr="00A64992">
        <w:rPr>
          <w:rStyle w:val="Refdenotaalpie"/>
          <w:rFonts w:ascii="Arial Narrow" w:hAnsi="Arial Narrow"/>
          <w:sz w:val="18"/>
          <w:szCs w:val="18"/>
        </w:rPr>
        <w:footnoteRef/>
      </w:r>
      <w:r w:rsidRPr="00A64992">
        <w:rPr>
          <w:rFonts w:ascii="Arial Narrow" w:hAnsi="Arial Narrow"/>
          <w:sz w:val="18"/>
          <w:szCs w:val="18"/>
        </w:rPr>
        <w:t xml:space="preserve"> De acuerdo con el Fundamento jurídico </w:t>
      </w:r>
      <w:proofErr w:type="spellStart"/>
      <w:r w:rsidRPr="00A64992">
        <w:rPr>
          <w:rFonts w:ascii="Arial Narrow" w:hAnsi="Arial Narrow"/>
          <w:sz w:val="18"/>
          <w:szCs w:val="18"/>
        </w:rPr>
        <w:t>Nº</w:t>
      </w:r>
      <w:proofErr w:type="spellEnd"/>
      <w:r w:rsidRPr="00A64992">
        <w:rPr>
          <w:rFonts w:ascii="Arial Narrow" w:hAnsi="Arial Narrow"/>
          <w:sz w:val="18"/>
          <w:szCs w:val="18"/>
        </w:rPr>
        <w:t xml:space="preserve"> 15 del caso Pedro Gonzalo </w:t>
      </w:r>
      <w:proofErr w:type="spellStart"/>
      <w:r w:rsidRPr="00A64992">
        <w:rPr>
          <w:rFonts w:ascii="Arial Narrow" w:hAnsi="Arial Narrow"/>
          <w:sz w:val="18"/>
          <w:szCs w:val="18"/>
        </w:rPr>
        <w:t>Marroquin</w:t>
      </w:r>
      <w:proofErr w:type="spellEnd"/>
      <w:r w:rsidRPr="00A64992">
        <w:rPr>
          <w:rFonts w:ascii="Arial Narrow" w:hAnsi="Arial Narrow"/>
          <w:sz w:val="18"/>
          <w:szCs w:val="18"/>
        </w:rPr>
        <w:t xml:space="preserve"> Soto (Expediente </w:t>
      </w:r>
      <w:proofErr w:type="spellStart"/>
      <w:r w:rsidRPr="00A64992">
        <w:rPr>
          <w:rFonts w:ascii="Arial Narrow" w:hAnsi="Arial Narrow"/>
          <w:sz w:val="18"/>
          <w:szCs w:val="18"/>
        </w:rPr>
        <w:t>N.°</w:t>
      </w:r>
      <w:proofErr w:type="spellEnd"/>
      <w:r w:rsidRPr="00A64992">
        <w:rPr>
          <w:rFonts w:ascii="Arial Narrow" w:hAnsi="Arial Narrow"/>
          <w:sz w:val="18"/>
          <w:szCs w:val="18"/>
        </w:rPr>
        <w:t xml:space="preserve"> 03426-2008-PHC/TC).</w:t>
      </w:r>
      <w:r w:rsidR="00C30634" w:rsidRPr="00A64992">
        <w:rPr>
          <w:rFonts w:ascii="Arial Narrow" w:hAnsi="Arial Narrow"/>
          <w:sz w:val="18"/>
          <w:szCs w:val="18"/>
        </w:rPr>
        <w:t xml:space="preserve"> Disponible en: </w:t>
      </w:r>
      <w:hyperlink r:id="rId8" w:history="1">
        <w:r w:rsidR="00C30634" w:rsidRPr="00A64992">
          <w:rPr>
            <w:rStyle w:val="Hipervnculo"/>
            <w:rFonts w:ascii="Arial Narrow" w:hAnsi="Arial Narrow"/>
            <w:sz w:val="18"/>
            <w:szCs w:val="18"/>
          </w:rPr>
          <w:t>http://www.tc.gob.pe/jurisprudencia/2010/03426-2008-HC.html</w:t>
        </w:r>
      </w:hyperlink>
      <w:r w:rsidR="00C30634" w:rsidRPr="00A64992">
        <w:rPr>
          <w:rFonts w:ascii="Arial Narrow" w:hAnsi="Arial Narrow"/>
          <w:sz w:val="18"/>
          <w:szCs w:val="18"/>
        </w:rPr>
        <w:t xml:space="preserve"> </w:t>
      </w:r>
    </w:p>
  </w:footnote>
  <w:footnote w:id="18">
    <w:p w14:paraId="03988513" w14:textId="3DDAC6E6" w:rsidR="0017159F" w:rsidRPr="00A64992" w:rsidRDefault="0017159F" w:rsidP="00FC75EB">
      <w:pPr>
        <w:jc w:val="both"/>
        <w:rPr>
          <w:rFonts w:ascii="Arial Narrow" w:hAnsi="Arial Narrow"/>
          <w:sz w:val="18"/>
          <w:szCs w:val="18"/>
          <w:highlight w:val="white"/>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sz w:val="18"/>
          <w:szCs w:val="18"/>
          <w:highlight w:val="white"/>
        </w:rPr>
        <w:t xml:space="preserve">De acuerdo con la sentencia sobre el caso Morales </w:t>
      </w:r>
      <w:proofErr w:type="spellStart"/>
      <w:r w:rsidRPr="00A64992">
        <w:rPr>
          <w:rFonts w:ascii="Arial Narrow" w:hAnsi="Arial Narrow"/>
          <w:sz w:val="18"/>
          <w:szCs w:val="18"/>
          <w:highlight w:val="white"/>
        </w:rPr>
        <w:t>Denegri</w:t>
      </w:r>
      <w:proofErr w:type="spellEnd"/>
      <w:r w:rsidRPr="00A64992">
        <w:rPr>
          <w:rFonts w:ascii="Arial Narrow" w:hAnsi="Arial Narrow"/>
          <w:sz w:val="18"/>
          <w:szCs w:val="18"/>
          <w:highlight w:val="white"/>
        </w:rPr>
        <w:t xml:space="preserve"> vs </w:t>
      </w:r>
      <w:proofErr w:type="spellStart"/>
      <w:r w:rsidRPr="00A64992">
        <w:rPr>
          <w:rFonts w:ascii="Arial Narrow" w:hAnsi="Arial Narrow"/>
          <w:sz w:val="18"/>
          <w:szCs w:val="18"/>
          <w:highlight w:val="white"/>
        </w:rPr>
        <w:t>Noguchi</w:t>
      </w:r>
      <w:proofErr w:type="spellEnd"/>
      <w:r w:rsidRPr="00A64992">
        <w:rPr>
          <w:rFonts w:ascii="Arial Narrow" w:hAnsi="Arial Narrow"/>
          <w:sz w:val="18"/>
          <w:szCs w:val="18"/>
          <w:highlight w:val="white"/>
        </w:rPr>
        <w:t xml:space="preserve"> (EXP. </w:t>
      </w:r>
      <w:proofErr w:type="spellStart"/>
      <w:r w:rsidRPr="00A64992">
        <w:rPr>
          <w:rFonts w:ascii="Arial Narrow" w:hAnsi="Arial Narrow"/>
          <w:sz w:val="18"/>
          <w:szCs w:val="18"/>
          <w:highlight w:val="white"/>
        </w:rPr>
        <w:t>N.°</w:t>
      </w:r>
      <w:proofErr w:type="spellEnd"/>
      <w:r w:rsidRPr="00A64992">
        <w:rPr>
          <w:rFonts w:ascii="Arial Narrow" w:hAnsi="Arial Narrow"/>
          <w:sz w:val="18"/>
          <w:szCs w:val="18"/>
          <w:highlight w:val="white"/>
        </w:rPr>
        <w:t xml:space="preserve"> </w:t>
      </w:r>
      <w:r w:rsidR="00C30634" w:rsidRPr="00A64992">
        <w:rPr>
          <w:rFonts w:ascii="Arial Narrow" w:hAnsi="Arial Narrow"/>
          <w:sz w:val="18"/>
          <w:szCs w:val="18"/>
          <w:highlight w:val="white"/>
        </w:rPr>
        <w:t>05842-2006-PHC/TC</w:t>
      </w:r>
      <w:r w:rsidRPr="00A64992">
        <w:rPr>
          <w:rFonts w:ascii="Arial Narrow" w:hAnsi="Arial Narrow"/>
          <w:sz w:val="18"/>
          <w:szCs w:val="18"/>
          <w:highlight w:val="white"/>
        </w:rPr>
        <w:t>)</w:t>
      </w:r>
    </w:p>
  </w:footnote>
  <w:footnote w:id="19">
    <w:p w14:paraId="5A28AED6" w14:textId="43C889C5" w:rsidR="0017159F" w:rsidRPr="00A64992" w:rsidRDefault="0017159F" w:rsidP="00FC75EB">
      <w:pPr>
        <w:jc w:val="both"/>
        <w:rPr>
          <w:rFonts w:ascii="Arial Narrow" w:hAnsi="Arial Narrow"/>
          <w:sz w:val="18"/>
          <w:szCs w:val="18"/>
          <w:highlight w:val="white"/>
        </w:rPr>
      </w:pPr>
      <w:r w:rsidRPr="00A64992">
        <w:rPr>
          <w:rStyle w:val="Refdenotaalpie"/>
          <w:rFonts w:ascii="Arial Narrow" w:hAnsi="Arial Narrow"/>
          <w:sz w:val="18"/>
          <w:szCs w:val="18"/>
        </w:rPr>
        <w:footnoteRef/>
      </w:r>
      <w:r w:rsidRPr="00A64992">
        <w:rPr>
          <w:rFonts w:ascii="Arial Narrow" w:hAnsi="Arial Narrow"/>
          <w:sz w:val="18"/>
          <w:szCs w:val="18"/>
        </w:rPr>
        <w:t xml:space="preserve"> </w:t>
      </w:r>
      <w:r w:rsidRPr="00A64992">
        <w:rPr>
          <w:rFonts w:ascii="Arial Narrow" w:hAnsi="Arial Narrow"/>
          <w:sz w:val="18"/>
          <w:szCs w:val="18"/>
          <w:highlight w:val="white"/>
        </w:rPr>
        <w:t xml:space="preserve">De conformidad con lo expuesto en el Fundamento N.º 115 de la citada sentencia EXP. </w:t>
      </w:r>
      <w:proofErr w:type="spellStart"/>
      <w:r w:rsidRPr="00A64992">
        <w:rPr>
          <w:rFonts w:ascii="Arial Narrow" w:hAnsi="Arial Narrow"/>
          <w:sz w:val="18"/>
          <w:szCs w:val="18"/>
          <w:highlight w:val="white"/>
        </w:rPr>
        <w:t>N.°</w:t>
      </w:r>
      <w:proofErr w:type="spellEnd"/>
      <w:r w:rsidRPr="00A64992">
        <w:rPr>
          <w:rFonts w:ascii="Arial Narrow" w:hAnsi="Arial Narrow"/>
          <w:sz w:val="18"/>
          <w:szCs w:val="18"/>
          <w:highlight w:val="white"/>
        </w:rPr>
        <w:t xml:space="preserve"> 05842-2006-PHC/TC).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A67A" w14:textId="77777777" w:rsidR="00DF7808" w:rsidRDefault="00DF7808">
    <w:pPr>
      <w:pStyle w:val="Normal1"/>
      <w:tabs>
        <w:tab w:val="center" w:pos="4419"/>
        <w:tab w:val="right" w:pos="8838"/>
      </w:tabs>
    </w:pPr>
    <w:r>
      <w:rPr>
        <w:noProof/>
      </w:rPr>
      <w:drawing>
        <wp:inline distT="0" distB="0" distL="0" distR="0" wp14:anchorId="4446ED11" wp14:editId="7001792B">
          <wp:extent cx="847725" cy="8477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847725" cy="847725"/>
                  </a:xfrm>
                  <a:prstGeom prst="rect">
                    <a:avLst/>
                  </a:prstGeom>
                  <a:ln/>
                </pic:spPr>
              </pic:pic>
            </a:graphicData>
          </a:graphic>
        </wp:inline>
      </w:drawing>
    </w:r>
  </w:p>
  <w:p w14:paraId="1E2C9DB8" w14:textId="77777777" w:rsidR="00DF7808" w:rsidRDefault="00DF7808">
    <w:pPr>
      <w:pStyle w:val="Normal1"/>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0270E"/>
    <w:multiLevelType w:val="hybridMultilevel"/>
    <w:tmpl w:val="76D0A0FC"/>
    <w:lvl w:ilvl="0" w:tplc="287447C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ED65FB"/>
    <w:multiLevelType w:val="hybridMultilevel"/>
    <w:tmpl w:val="311C71E8"/>
    <w:lvl w:ilvl="0" w:tplc="307EA59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716836"/>
    <w:multiLevelType w:val="hybridMultilevel"/>
    <w:tmpl w:val="79288A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E4C3978"/>
    <w:multiLevelType w:val="hybridMultilevel"/>
    <w:tmpl w:val="D78A77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32D497D"/>
    <w:multiLevelType w:val="hybridMultilevel"/>
    <w:tmpl w:val="550297E4"/>
    <w:lvl w:ilvl="0" w:tplc="6242071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758453A"/>
    <w:multiLevelType w:val="hybridMultilevel"/>
    <w:tmpl w:val="F366569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7EF6F3F"/>
    <w:multiLevelType w:val="multilevel"/>
    <w:tmpl w:val="270A0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C13CA"/>
    <w:multiLevelType w:val="hybridMultilevel"/>
    <w:tmpl w:val="B100E6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530FB0"/>
    <w:multiLevelType w:val="hybridMultilevel"/>
    <w:tmpl w:val="04D6D7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5620EE7"/>
    <w:multiLevelType w:val="multilevel"/>
    <w:tmpl w:val="C724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3"/>
  </w:num>
  <w:num w:numId="6">
    <w:abstractNumId w:val="2"/>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A"/>
    <w:rsid w:val="0000112D"/>
    <w:rsid w:val="00003932"/>
    <w:rsid w:val="0003780C"/>
    <w:rsid w:val="00042BC9"/>
    <w:rsid w:val="0007590E"/>
    <w:rsid w:val="00075A0F"/>
    <w:rsid w:val="000A43C8"/>
    <w:rsid w:val="000F0B09"/>
    <w:rsid w:val="00122260"/>
    <w:rsid w:val="00152863"/>
    <w:rsid w:val="00160DC5"/>
    <w:rsid w:val="0017159F"/>
    <w:rsid w:val="001735E7"/>
    <w:rsid w:val="001B7FF5"/>
    <w:rsid w:val="001C657A"/>
    <w:rsid w:val="001E2D69"/>
    <w:rsid w:val="001E775C"/>
    <w:rsid w:val="001F5BE8"/>
    <w:rsid w:val="001F73BD"/>
    <w:rsid w:val="0023194B"/>
    <w:rsid w:val="002555C5"/>
    <w:rsid w:val="00284B47"/>
    <w:rsid w:val="002B0F14"/>
    <w:rsid w:val="002B1838"/>
    <w:rsid w:val="00310626"/>
    <w:rsid w:val="00346069"/>
    <w:rsid w:val="00362546"/>
    <w:rsid w:val="00382733"/>
    <w:rsid w:val="00394C2B"/>
    <w:rsid w:val="003E3DFB"/>
    <w:rsid w:val="0045126D"/>
    <w:rsid w:val="00462183"/>
    <w:rsid w:val="004F4B07"/>
    <w:rsid w:val="0055342B"/>
    <w:rsid w:val="00576C04"/>
    <w:rsid w:val="005F08FE"/>
    <w:rsid w:val="005F340C"/>
    <w:rsid w:val="006E24E5"/>
    <w:rsid w:val="00715D60"/>
    <w:rsid w:val="00777812"/>
    <w:rsid w:val="007F1315"/>
    <w:rsid w:val="00805092"/>
    <w:rsid w:val="00834C7F"/>
    <w:rsid w:val="008636CD"/>
    <w:rsid w:val="00902F03"/>
    <w:rsid w:val="009E0574"/>
    <w:rsid w:val="00A061B1"/>
    <w:rsid w:val="00A1626F"/>
    <w:rsid w:val="00A4697E"/>
    <w:rsid w:val="00A64992"/>
    <w:rsid w:val="00AA271F"/>
    <w:rsid w:val="00AC3BAE"/>
    <w:rsid w:val="00AC3FBE"/>
    <w:rsid w:val="00B30A4E"/>
    <w:rsid w:val="00B50CAF"/>
    <w:rsid w:val="00B7059A"/>
    <w:rsid w:val="00B77200"/>
    <w:rsid w:val="00B85AD1"/>
    <w:rsid w:val="00BB0AB9"/>
    <w:rsid w:val="00BD1A7A"/>
    <w:rsid w:val="00C30634"/>
    <w:rsid w:val="00C61EDB"/>
    <w:rsid w:val="00C70E00"/>
    <w:rsid w:val="00C9477B"/>
    <w:rsid w:val="00CE3CC0"/>
    <w:rsid w:val="00CE7F29"/>
    <w:rsid w:val="00D33A8B"/>
    <w:rsid w:val="00DA1C9D"/>
    <w:rsid w:val="00DA79EC"/>
    <w:rsid w:val="00DC6825"/>
    <w:rsid w:val="00DD3454"/>
    <w:rsid w:val="00DF155E"/>
    <w:rsid w:val="00DF502C"/>
    <w:rsid w:val="00DF7808"/>
    <w:rsid w:val="00E11816"/>
    <w:rsid w:val="00E14B90"/>
    <w:rsid w:val="00E57094"/>
    <w:rsid w:val="00E82307"/>
    <w:rsid w:val="00EE397F"/>
    <w:rsid w:val="00EF362D"/>
    <w:rsid w:val="00F25641"/>
    <w:rsid w:val="00F81CDE"/>
    <w:rsid w:val="00F86D3B"/>
    <w:rsid w:val="00FC75EB"/>
    <w:rsid w:val="00FF782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2396"/>
  <w15:docId w15:val="{4B37E12D-555F-4994-B0E0-30B27F6B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lang w:val="es-PE" w:eastAsia="es-P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4C7F"/>
  </w:style>
  <w:style w:type="paragraph" w:styleId="Ttulo1">
    <w:name w:val="heading 1"/>
    <w:basedOn w:val="Normal1"/>
    <w:next w:val="Normal1"/>
    <w:rsid w:val="00B7059A"/>
    <w:pPr>
      <w:keepNext/>
      <w:keepLines/>
      <w:spacing w:before="200" w:line="276" w:lineRule="auto"/>
      <w:outlineLvl w:val="0"/>
    </w:pPr>
    <w:rPr>
      <w:rFonts w:ascii="Trebuchet MS" w:eastAsia="Trebuchet MS" w:hAnsi="Trebuchet MS" w:cs="Trebuchet MS"/>
      <w:sz w:val="32"/>
    </w:rPr>
  </w:style>
  <w:style w:type="paragraph" w:styleId="Ttulo2">
    <w:name w:val="heading 2"/>
    <w:basedOn w:val="Normal1"/>
    <w:next w:val="Normal1"/>
    <w:rsid w:val="00B7059A"/>
    <w:pPr>
      <w:keepNext/>
      <w:keepLines/>
      <w:spacing w:before="200" w:line="276" w:lineRule="auto"/>
      <w:outlineLvl w:val="1"/>
    </w:pPr>
    <w:rPr>
      <w:rFonts w:ascii="Trebuchet MS" w:eastAsia="Trebuchet MS" w:hAnsi="Trebuchet MS" w:cs="Trebuchet MS"/>
      <w:b/>
      <w:sz w:val="26"/>
    </w:rPr>
  </w:style>
  <w:style w:type="paragraph" w:styleId="Ttulo3">
    <w:name w:val="heading 3"/>
    <w:basedOn w:val="Normal1"/>
    <w:next w:val="Normal1"/>
    <w:rsid w:val="00B7059A"/>
    <w:pPr>
      <w:keepNext/>
      <w:keepLines/>
      <w:spacing w:before="160" w:line="276" w:lineRule="auto"/>
      <w:outlineLvl w:val="2"/>
    </w:pPr>
    <w:rPr>
      <w:rFonts w:ascii="Trebuchet MS" w:eastAsia="Trebuchet MS" w:hAnsi="Trebuchet MS" w:cs="Trebuchet MS"/>
      <w:b/>
      <w:color w:val="666666"/>
    </w:rPr>
  </w:style>
  <w:style w:type="paragraph" w:styleId="Ttulo4">
    <w:name w:val="heading 4"/>
    <w:basedOn w:val="Normal1"/>
    <w:next w:val="Normal1"/>
    <w:rsid w:val="00B7059A"/>
    <w:pPr>
      <w:keepNext/>
      <w:keepLines/>
      <w:spacing w:before="160" w:line="276" w:lineRule="auto"/>
      <w:outlineLvl w:val="3"/>
    </w:pPr>
    <w:rPr>
      <w:rFonts w:ascii="Trebuchet MS" w:eastAsia="Trebuchet MS" w:hAnsi="Trebuchet MS" w:cs="Trebuchet MS"/>
      <w:color w:val="666666"/>
      <w:sz w:val="22"/>
      <w:u w:val="single"/>
    </w:rPr>
  </w:style>
  <w:style w:type="paragraph" w:styleId="Ttulo5">
    <w:name w:val="heading 5"/>
    <w:basedOn w:val="Normal1"/>
    <w:next w:val="Normal1"/>
    <w:rsid w:val="00B7059A"/>
    <w:pPr>
      <w:keepNext/>
      <w:keepLines/>
      <w:spacing w:before="160" w:line="276" w:lineRule="auto"/>
      <w:outlineLvl w:val="4"/>
    </w:pPr>
    <w:rPr>
      <w:rFonts w:ascii="Trebuchet MS" w:eastAsia="Trebuchet MS" w:hAnsi="Trebuchet MS" w:cs="Trebuchet MS"/>
      <w:color w:val="666666"/>
      <w:sz w:val="22"/>
    </w:rPr>
  </w:style>
  <w:style w:type="paragraph" w:styleId="Ttulo6">
    <w:name w:val="heading 6"/>
    <w:basedOn w:val="Normal1"/>
    <w:next w:val="Normal1"/>
    <w:rsid w:val="00B7059A"/>
    <w:pPr>
      <w:keepNext/>
      <w:keepLines/>
      <w:spacing w:before="160" w:line="276" w:lineRule="auto"/>
      <w:outlineLvl w:val="5"/>
    </w:pPr>
    <w:rPr>
      <w:rFonts w:ascii="Trebuchet MS" w:eastAsia="Trebuchet MS" w:hAnsi="Trebuchet MS" w:cs="Trebuchet MS"/>
      <w:i/>
      <w:color w:val="666666"/>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7059A"/>
  </w:style>
  <w:style w:type="table" w:customStyle="1" w:styleId="TableNormal">
    <w:name w:val="Table Normal"/>
    <w:rsid w:val="00B7059A"/>
    <w:tblPr>
      <w:tblCellMar>
        <w:top w:w="0" w:type="dxa"/>
        <w:left w:w="0" w:type="dxa"/>
        <w:bottom w:w="0" w:type="dxa"/>
        <w:right w:w="0" w:type="dxa"/>
      </w:tblCellMar>
    </w:tblPr>
  </w:style>
  <w:style w:type="paragraph" w:styleId="Ttulo">
    <w:name w:val="Title"/>
    <w:basedOn w:val="Normal1"/>
    <w:next w:val="Normal1"/>
    <w:rsid w:val="00B7059A"/>
    <w:pPr>
      <w:keepNext/>
      <w:keepLines/>
      <w:spacing w:line="276" w:lineRule="auto"/>
    </w:pPr>
    <w:rPr>
      <w:rFonts w:ascii="Trebuchet MS" w:eastAsia="Trebuchet MS" w:hAnsi="Trebuchet MS" w:cs="Trebuchet MS"/>
      <w:sz w:val="42"/>
    </w:rPr>
  </w:style>
  <w:style w:type="paragraph" w:styleId="Subttulo">
    <w:name w:val="Subtitle"/>
    <w:basedOn w:val="Normal1"/>
    <w:next w:val="Normal1"/>
    <w:rsid w:val="00B7059A"/>
    <w:pPr>
      <w:keepNext/>
      <w:keepLines/>
      <w:spacing w:after="200" w:line="276" w:lineRule="auto"/>
    </w:pPr>
    <w:rPr>
      <w:rFonts w:ascii="Trebuchet MS" w:eastAsia="Trebuchet MS" w:hAnsi="Trebuchet MS" w:cs="Trebuchet MS"/>
      <w:i/>
      <w:color w:val="666666"/>
      <w:sz w:val="26"/>
    </w:rPr>
  </w:style>
  <w:style w:type="paragraph" w:styleId="Textocomentario">
    <w:name w:val="annotation text"/>
    <w:basedOn w:val="Normal"/>
    <w:link w:val="TextocomentarioCar"/>
    <w:uiPriority w:val="99"/>
    <w:semiHidden/>
    <w:unhideWhenUsed/>
    <w:rsid w:val="00B7059A"/>
    <w:rPr>
      <w:sz w:val="20"/>
    </w:rPr>
  </w:style>
  <w:style w:type="character" w:customStyle="1" w:styleId="TextocomentarioCar">
    <w:name w:val="Texto comentario Car"/>
    <w:basedOn w:val="Fuentedeprrafopredeter"/>
    <w:link w:val="Textocomentario"/>
    <w:uiPriority w:val="99"/>
    <w:semiHidden/>
    <w:rsid w:val="00B7059A"/>
    <w:rPr>
      <w:sz w:val="20"/>
    </w:rPr>
  </w:style>
  <w:style w:type="character" w:styleId="Refdecomentario">
    <w:name w:val="annotation reference"/>
    <w:basedOn w:val="Fuentedeprrafopredeter"/>
    <w:uiPriority w:val="99"/>
    <w:semiHidden/>
    <w:unhideWhenUsed/>
    <w:rsid w:val="00B7059A"/>
    <w:rPr>
      <w:sz w:val="16"/>
      <w:szCs w:val="16"/>
    </w:rPr>
  </w:style>
  <w:style w:type="paragraph" w:styleId="Textodeglobo">
    <w:name w:val="Balloon Text"/>
    <w:basedOn w:val="Normal"/>
    <w:link w:val="TextodegloboCar"/>
    <w:uiPriority w:val="99"/>
    <w:semiHidden/>
    <w:unhideWhenUsed/>
    <w:rsid w:val="00E14B90"/>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B90"/>
    <w:rPr>
      <w:rFonts w:ascii="Tahoma" w:hAnsi="Tahoma" w:cs="Tahoma"/>
      <w:sz w:val="16"/>
      <w:szCs w:val="16"/>
    </w:rPr>
  </w:style>
  <w:style w:type="character" w:styleId="Textoennegrita">
    <w:name w:val="Strong"/>
    <w:basedOn w:val="Fuentedeprrafopredeter"/>
    <w:uiPriority w:val="22"/>
    <w:qFormat/>
    <w:rsid w:val="006E24E5"/>
    <w:rPr>
      <w:b/>
      <w:bCs/>
    </w:rPr>
  </w:style>
  <w:style w:type="paragraph" w:styleId="Textonotapie">
    <w:name w:val="footnote text"/>
    <w:basedOn w:val="Normal"/>
    <w:link w:val="TextonotapieCar"/>
    <w:uiPriority w:val="99"/>
    <w:unhideWhenUsed/>
    <w:rsid w:val="00B50CAF"/>
    <w:rPr>
      <w:sz w:val="20"/>
    </w:rPr>
  </w:style>
  <w:style w:type="character" w:customStyle="1" w:styleId="TextonotapieCar">
    <w:name w:val="Texto nota pie Car"/>
    <w:basedOn w:val="Fuentedeprrafopredeter"/>
    <w:link w:val="Textonotapie"/>
    <w:uiPriority w:val="99"/>
    <w:rsid w:val="00B50CAF"/>
    <w:rPr>
      <w:sz w:val="20"/>
    </w:rPr>
  </w:style>
  <w:style w:type="character" w:styleId="Refdenotaalpie">
    <w:name w:val="footnote reference"/>
    <w:basedOn w:val="Fuentedeprrafopredeter"/>
    <w:unhideWhenUsed/>
    <w:rsid w:val="00B50CAF"/>
    <w:rPr>
      <w:vertAlign w:val="superscript"/>
    </w:rPr>
  </w:style>
  <w:style w:type="paragraph" w:styleId="Sinespaciado">
    <w:name w:val="No Spacing"/>
    <w:uiPriority w:val="1"/>
    <w:qFormat/>
    <w:rsid w:val="00E82307"/>
    <w:rPr>
      <w:rFonts w:asciiTheme="minorHAnsi" w:eastAsiaTheme="minorHAnsi" w:hAnsiTheme="minorHAnsi" w:cstheme="minorBidi"/>
      <w:color w:val="auto"/>
      <w:sz w:val="22"/>
      <w:szCs w:val="22"/>
      <w:lang w:val="es-MX" w:eastAsia="en-US"/>
    </w:rPr>
  </w:style>
  <w:style w:type="paragraph" w:styleId="Asuntodelcomentario">
    <w:name w:val="annotation subject"/>
    <w:basedOn w:val="Textocomentario"/>
    <w:next w:val="Textocomentario"/>
    <w:link w:val="AsuntodelcomentarioCar"/>
    <w:uiPriority w:val="99"/>
    <w:semiHidden/>
    <w:unhideWhenUsed/>
    <w:rsid w:val="004F4B07"/>
    <w:rPr>
      <w:b/>
      <w:bCs/>
    </w:rPr>
  </w:style>
  <w:style w:type="character" w:customStyle="1" w:styleId="AsuntodelcomentarioCar">
    <w:name w:val="Asunto del comentario Car"/>
    <w:basedOn w:val="TextocomentarioCar"/>
    <w:link w:val="Asuntodelcomentario"/>
    <w:uiPriority w:val="99"/>
    <w:semiHidden/>
    <w:rsid w:val="004F4B07"/>
    <w:rPr>
      <w:b/>
      <w:bCs/>
      <w:sz w:val="20"/>
    </w:rPr>
  </w:style>
  <w:style w:type="paragraph" w:styleId="Encabezado">
    <w:name w:val="header"/>
    <w:basedOn w:val="Normal"/>
    <w:link w:val="EncabezadoCar"/>
    <w:uiPriority w:val="99"/>
    <w:unhideWhenUsed/>
    <w:rsid w:val="00EF362D"/>
    <w:pPr>
      <w:tabs>
        <w:tab w:val="center" w:pos="4419"/>
        <w:tab w:val="right" w:pos="8838"/>
      </w:tabs>
    </w:pPr>
  </w:style>
  <w:style w:type="character" w:customStyle="1" w:styleId="EncabezadoCar">
    <w:name w:val="Encabezado Car"/>
    <w:basedOn w:val="Fuentedeprrafopredeter"/>
    <w:link w:val="Encabezado"/>
    <w:uiPriority w:val="99"/>
    <w:rsid w:val="00EF362D"/>
  </w:style>
  <w:style w:type="paragraph" w:styleId="Piedepgina">
    <w:name w:val="footer"/>
    <w:basedOn w:val="Normal"/>
    <w:link w:val="PiedepginaCar"/>
    <w:uiPriority w:val="99"/>
    <w:unhideWhenUsed/>
    <w:rsid w:val="00EF362D"/>
    <w:pPr>
      <w:tabs>
        <w:tab w:val="center" w:pos="4419"/>
        <w:tab w:val="right" w:pos="8838"/>
      </w:tabs>
    </w:pPr>
  </w:style>
  <w:style w:type="character" w:customStyle="1" w:styleId="PiedepginaCar">
    <w:name w:val="Pie de página Car"/>
    <w:basedOn w:val="Fuentedeprrafopredeter"/>
    <w:link w:val="Piedepgina"/>
    <w:uiPriority w:val="99"/>
    <w:rsid w:val="00EF362D"/>
  </w:style>
  <w:style w:type="character" w:customStyle="1" w:styleId="Caracteresdenotaalpie">
    <w:name w:val="Caracteres de nota al pie"/>
    <w:rsid w:val="0017159F"/>
  </w:style>
  <w:style w:type="paragraph" w:customStyle="1" w:styleId="Cuerpo">
    <w:name w:val="Cuerpo"/>
    <w:rsid w:val="0017159F"/>
    <w:pPr>
      <w:suppressAutoHyphens/>
      <w:spacing w:after="160" w:line="259" w:lineRule="auto"/>
    </w:pPr>
    <w:rPr>
      <w:rFonts w:ascii="Calibri" w:eastAsia="Calibri" w:hAnsi="Calibri" w:cs="Calibri"/>
      <w:color w:val="auto"/>
      <w:sz w:val="22"/>
      <w:szCs w:val="22"/>
      <w:u w:color="000000"/>
      <w:lang w:val="es-ES" w:eastAsia="ar-SA"/>
    </w:rPr>
  </w:style>
  <w:style w:type="paragraph" w:styleId="Prrafodelista">
    <w:name w:val="List Paragraph"/>
    <w:basedOn w:val="Normal"/>
    <w:uiPriority w:val="34"/>
    <w:qFormat/>
    <w:rsid w:val="0017159F"/>
    <w:pPr>
      <w:spacing w:line="276" w:lineRule="auto"/>
      <w:ind w:left="720"/>
      <w:contextualSpacing/>
    </w:pPr>
    <w:rPr>
      <w:rFonts w:ascii="Times New Roman" w:eastAsia="Calibri" w:hAnsi="Times New Roman" w:cs="Times New Roman"/>
      <w:color w:val="auto"/>
      <w:szCs w:val="22"/>
      <w:lang w:val="en-GB" w:eastAsia="en-US"/>
    </w:rPr>
  </w:style>
  <w:style w:type="character" w:styleId="Hipervnculo">
    <w:name w:val="Hyperlink"/>
    <w:basedOn w:val="Fuentedeprrafopredeter"/>
    <w:uiPriority w:val="99"/>
    <w:unhideWhenUsed/>
    <w:rsid w:val="00C30634"/>
    <w:rPr>
      <w:color w:val="0000FF" w:themeColor="hyperlink"/>
      <w:u w:val="single"/>
    </w:rPr>
  </w:style>
  <w:style w:type="character" w:styleId="Mencionar">
    <w:name w:val="Mention"/>
    <w:basedOn w:val="Fuentedeprrafopredeter"/>
    <w:uiPriority w:val="99"/>
    <w:semiHidden/>
    <w:unhideWhenUsed/>
    <w:rsid w:val="00A649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3308">
      <w:bodyDiv w:val="1"/>
      <w:marLeft w:val="0"/>
      <w:marRight w:val="0"/>
      <w:marTop w:val="0"/>
      <w:marBottom w:val="0"/>
      <w:divBdr>
        <w:top w:val="none" w:sz="0" w:space="0" w:color="auto"/>
        <w:left w:val="none" w:sz="0" w:space="0" w:color="auto"/>
        <w:bottom w:val="none" w:sz="0" w:space="0" w:color="auto"/>
        <w:right w:val="none" w:sz="0" w:space="0" w:color="auto"/>
      </w:divBdr>
    </w:div>
    <w:div w:id="958101968">
      <w:bodyDiv w:val="1"/>
      <w:marLeft w:val="0"/>
      <w:marRight w:val="0"/>
      <w:marTop w:val="0"/>
      <w:marBottom w:val="0"/>
      <w:divBdr>
        <w:top w:val="none" w:sz="0" w:space="0" w:color="auto"/>
        <w:left w:val="none" w:sz="0" w:space="0" w:color="auto"/>
        <w:bottom w:val="none" w:sz="0" w:space="0" w:color="auto"/>
        <w:right w:val="none" w:sz="0" w:space="0" w:color="auto"/>
      </w:divBdr>
    </w:div>
    <w:div w:id="1752198857">
      <w:bodyDiv w:val="1"/>
      <w:marLeft w:val="0"/>
      <w:marRight w:val="0"/>
      <w:marTop w:val="0"/>
      <w:marBottom w:val="0"/>
      <w:divBdr>
        <w:top w:val="none" w:sz="0" w:space="0" w:color="auto"/>
        <w:left w:val="none" w:sz="0" w:space="0" w:color="auto"/>
        <w:bottom w:val="none" w:sz="0" w:space="0" w:color="auto"/>
        <w:right w:val="none" w:sz="0" w:space="0" w:color="auto"/>
      </w:divBdr>
    </w:div>
    <w:div w:id="194125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tc.gob.pe/jurisprudencia/2010/03426-2008-HC.html" TargetMode="External"/><Relationship Id="rId3" Type="http://schemas.openxmlformats.org/officeDocument/2006/relationships/hyperlink" Target="http://www.msi.gob.pe/portal/repositorio/licenciaEdificacion/07Ord208MSI.pdf" TargetMode="External"/><Relationship Id="rId7" Type="http://schemas.openxmlformats.org/officeDocument/2006/relationships/hyperlink" Target="http://www.tc.gob.pe/jurisprudencia/2008/03081-2007-AA.html" TargetMode="External"/><Relationship Id="rId2" Type="http://schemas.openxmlformats.org/officeDocument/2006/relationships/hyperlink" Target="http://cdn-web.construccion.org/normas/rne2012/rne2006/files/normatividad/DS010-2009-VIVIENDA.pdf" TargetMode="External"/><Relationship Id="rId1" Type="http://schemas.openxmlformats.org/officeDocument/2006/relationships/hyperlink" Target="https://www.mimp.gob.pe/adultomayor/archivos/Norma_A_120.pdf" TargetMode="External"/><Relationship Id="rId6" Type="http://schemas.openxmlformats.org/officeDocument/2006/relationships/hyperlink" Target="http://www.tc.gob.pe/jurisprudencia/2009/02480-2008-AA.html" TargetMode="External"/><Relationship Id="rId5" Type="http://schemas.openxmlformats.org/officeDocument/2006/relationships/hyperlink" Target="https://www.mivivienda.com.pe/PORTALWEB/usuario-busca-viviendas/pagina.aspx?idpage=31" TargetMode="External"/><Relationship Id="rId4" Type="http://schemas.openxmlformats.org/officeDocument/2006/relationships/hyperlink" Target="https://www.inei.gob.pe/media/MenuRecursivo/publicaciones_digitales/Est/Lib1171/ENEDIS%202012%20-%20COMPLE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CB94D1-ED2B-4D7B-A6FD-3CEBFF586DEF}"/>
</file>

<file path=customXml/itemProps2.xml><?xml version="1.0" encoding="utf-8"?>
<ds:datastoreItem xmlns:ds="http://schemas.openxmlformats.org/officeDocument/2006/customXml" ds:itemID="{521A0C7C-3381-4BDC-8062-7C672801C3B3}"/>
</file>

<file path=customXml/itemProps3.xml><?xml version="1.0" encoding="utf-8"?>
<ds:datastoreItem xmlns:ds="http://schemas.openxmlformats.org/officeDocument/2006/customXml" ds:itemID="{7AED0365-38EF-47A6-B02C-3C0CCDA1A600}"/>
</file>

<file path=customXml/itemProps4.xml><?xml version="1.0" encoding="utf-8"?>
<ds:datastoreItem xmlns:ds="http://schemas.openxmlformats.org/officeDocument/2006/customXml" ds:itemID="{CB42D9C6-ED76-4364-AB43-5E8F3ACAA18F}"/>
</file>

<file path=docProps/app.xml><?xml version="1.0" encoding="utf-8"?>
<Properties xmlns="http://schemas.openxmlformats.org/officeDocument/2006/extended-properties" xmlns:vt="http://schemas.openxmlformats.org/officeDocument/2006/docPropsVTypes">
  <Template>Normal</Template>
  <TotalTime>16</TotalTime>
  <Pages>7</Pages>
  <Words>2552</Words>
  <Characters>14040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Informe Jurídico Clínica San Pablo con cambios.docx</vt:lpstr>
    </vt:vector>
  </TitlesOfParts>
  <Company>Hewlett-Packard</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Anahí Bregaglio Lazarte</dc:creator>
  <cp:lastModifiedBy>Renato Constantino</cp:lastModifiedBy>
  <cp:revision>3</cp:revision>
  <dcterms:created xsi:type="dcterms:W3CDTF">2017-06-05T21:25:00Z</dcterms:created>
  <dcterms:modified xsi:type="dcterms:W3CDTF">2017-06-06T03:39:00Z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