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3A21C" w14:textId="77777777" w:rsidR="00230F08" w:rsidRPr="008A4E5C" w:rsidRDefault="008A4E5C" w:rsidP="008A4E5C">
      <w:pPr>
        <w:jc w:val="center"/>
        <w:rPr>
          <w:b/>
          <w:sz w:val="28"/>
        </w:rPr>
      </w:pPr>
      <w:r w:rsidRPr="008A4E5C">
        <w:rPr>
          <w:b/>
          <w:sz w:val="28"/>
        </w:rPr>
        <w:t>Guidelines for the implementation of the right to adequate housing</w:t>
      </w:r>
    </w:p>
    <w:p w14:paraId="250EE63D" w14:textId="77777777" w:rsidR="008A4E5C" w:rsidRPr="003C2743" w:rsidRDefault="008A4E5C" w:rsidP="008A4E5C">
      <w:pPr>
        <w:jc w:val="center"/>
        <w:rPr>
          <w:b/>
          <w:bCs/>
          <w:sz w:val="24"/>
          <w:szCs w:val="24"/>
        </w:rPr>
      </w:pPr>
      <w:r w:rsidRPr="003C2743">
        <w:rPr>
          <w:b/>
          <w:bCs/>
          <w:sz w:val="24"/>
          <w:szCs w:val="24"/>
        </w:rPr>
        <w:t>Special Rapporteur on the right to adequate housing,</w:t>
      </w:r>
    </w:p>
    <w:p w14:paraId="47A37260" w14:textId="77777777" w:rsidR="008A4E5C" w:rsidRPr="003C2743" w:rsidRDefault="008A4E5C" w:rsidP="008A4E5C">
      <w:pPr>
        <w:jc w:val="center"/>
        <w:rPr>
          <w:b/>
          <w:bCs/>
          <w:sz w:val="24"/>
          <w:szCs w:val="24"/>
        </w:rPr>
      </w:pPr>
      <w:r w:rsidRPr="003C2743">
        <w:rPr>
          <w:b/>
          <w:bCs/>
          <w:sz w:val="24"/>
          <w:szCs w:val="24"/>
        </w:rPr>
        <w:t>Ms. Leilani Farha</w:t>
      </w:r>
    </w:p>
    <w:p w14:paraId="646799E6" w14:textId="77777777" w:rsidR="008A4E5C" w:rsidRPr="003C2743" w:rsidRDefault="008A4E5C" w:rsidP="008A4E5C">
      <w:pPr>
        <w:jc w:val="center"/>
        <w:rPr>
          <w:b/>
          <w:bCs/>
          <w:sz w:val="24"/>
          <w:szCs w:val="24"/>
        </w:rPr>
      </w:pPr>
      <w:r w:rsidRPr="003C2743">
        <w:rPr>
          <w:b/>
          <w:bCs/>
          <w:sz w:val="24"/>
          <w:szCs w:val="24"/>
        </w:rPr>
        <w:t>Draft for Consultation</w:t>
      </w:r>
    </w:p>
    <w:p w14:paraId="75880244" w14:textId="77777777" w:rsidR="008A4E5C" w:rsidRPr="003C2743" w:rsidRDefault="008A4E5C" w:rsidP="008A4E5C">
      <w:pPr>
        <w:jc w:val="center"/>
        <w:rPr>
          <w:b/>
          <w:bCs/>
          <w:sz w:val="24"/>
          <w:szCs w:val="24"/>
        </w:rPr>
      </w:pPr>
      <w:r w:rsidRPr="003C2743">
        <w:rPr>
          <w:b/>
          <w:bCs/>
          <w:sz w:val="24"/>
          <w:szCs w:val="24"/>
        </w:rPr>
        <w:t>Deadline for written comments: 18 November 2019</w:t>
      </w:r>
    </w:p>
    <w:p w14:paraId="184334E2" w14:textId="2FF35AD9" w:rsidR="008A4E5C" w:rsidRDefault="008A4E5C" w:rsidP="005F3828">
      <w:pPr>
        <w:rPr>
          <w:u w:val="single"/>
        </w:rPr>
      </w:pPr>
    </w:p>
    <w:p w14:paraId="25F109B4" w14:textId="03F3CC1B" w:rsidR="00545FDC" w:rsidRDefault="00545FDC" w:rsidP="005F3828">
      <w:pPr>
        <w:rPr>
          <w:u w:val="single"/>
        </w:rPr>
      </w:pPr>
      <w:bookmarkStart w:id="0" w:name="_GoBack"/>
      <w:bookmarkEnd w:id="0"/>
    </w:p>
    <w:p w14:paraId="3AE9E1CE" w14:textId="77777777" w:rsidR="00545FDC" w:rsidRDefault="00545FDC" w:rsidP="005F3828">
      <w:pPr>
        <w:rPr>
          <w:u w:val="single"/>
        </w:rPr>
      </w:pPr>
    </w:p>
    <w:sdt>
      <w:sdtPr>
        <w:rPr>
          <w:rFonts w:eastAsiaTheme="minorEastAsia" w:cstheme="minorBidi"/>
          <w:b w:val="0"/>
          <w:sz w:val="22"/>
          <w:szCs w:val="22"/>
          <w:lang w:val="en-GB" w:eastAsia="zh-CN"/>
        </w:rPr>
        <w:id w:val="2013334180"/>
        <w:docPartObj>
          <w:docPartGallery w:val="Table of Contents"/>
          <w:docPartUnique/>
        </w:docPartObj>
      </w:sdtPr>
      <w:sdtEndPr>
        <w:rPr>
          <w:bCs/>
          <w:noProof/>
        </w:rPr>
      </w:sdtEndPr>
      <w:sdtContent>
        <w:p w14:paraId="28F6A673" w14:textId="7D7790F5" w:rsidR="00121444" w:rsidRDefault="00121444" w:rsidP="005F3828">
          <w:pPr>
            <w:pStyle w:val="TOCHeading"/>
            <w:jc w:val="center"/>
          </w:pPr>
          <w:r>
            <w:t>T</w:t>
          </w:r>
          <w:r w:rsidR="005F3828">
            <w:t>a</w:t>
          </w:r>
          <w:r>
            <w:t>ble of Contents</w:t>
          </w:r>
        </w:p>
        <w:p w14:paraId="0578EED9" w14:textId="3FD35EF5" w:rsidR="003C2743" w:rsidRDefault="00121444" w:rsidP="003B76A1">
          <w:pPr>
            <w:pStyle w:val="TOC1"/>
            <w:rPr>
              <w:noProof/>
              <w:lang w:val="en-US" w:eastAsia="en-US"/>
            </w:rPr>
          </w:pPr>
          <w:r>
            <w:fldChar w:fldCharType="begin"/>
          </w:r>
          <w:r>
            <w:instrText xml:space="preserve"> TOC \o "1-3" \h \z \u </w:instrText>
          </w:r>
          <w:r>
            <w:fldChar w:fldCharType="separate"/>
          </w:r>
          <w:hyperlink w:anchor="_Toc23200803" w:history="1">
            <w:r w:rsidR="003C2743" w:rsidRPr="00AF5D00">
              <w:rPr>
                <w:rStyle w:val="Hyperlink"/>
                <w:noProof/>
              </w:rPr>
              <w:t>Introduction</w:t>
            </w:r>
            <w:r w:rsidR="003C2743">
              <w:rPr>
                <w:noProof/>
                <w:webHidden/>
              </w:rPr>
              <w:tab/>
            </w:r>
            <w:r w:rsidR="003C2743">
              <w:rPr>
                <w:noProof/>
                <w:webHidden/>
              </w:rPr>
              <w:fldChar w:fldCharType="begin"/>
            </w:r>
            <w:r w:rsidR="003C2743">
              <w:rPr>
                <w:noProof/>
                <w:webHidden/>
              </w:rPr>
              <w:instrText xml:space="preserve"> PAGEREF _Toc23200803 \h </w:instrText>
            </w:r>
            <w:r w:rsidR="003C2743">
              <w:rPr>
                <w:noProof/>
                <w:webHidden/>
              </w:rPr>
            </w:r>
            <w:r w:rsidR="003C2743">
              <w:rPr>
                <w:noProof/>
                <w:webHidden/>
              </w:rPr>
              <w:fldChar w:fldCharType="separate"/>
            </w:r>
            <w:r w:rsidR="00E95A7E">
              <w:rPr>
                <w:noProof/>
                <w:webHidden/>
              </w:rPr>
              <w:t>2</w:t>
            </w:r>
            <w:r w:rsidR="003C2743">
              <w:rPr>
                <w:noProof/>
                <w:webHidden/>
              </w:rPr>
              <w:fldChar w:fldCharType="end"/>
            </w:r>
          </w:hyperlink>
        </w:p>
        <w:p w14:paraId="0B6FACE3" w14:textId="1BEB4294" w:rsidR="003C2743" w:rsidRDefault="00B10045" w:rsidP="003B76A1">
          <w:pPr>
            <w:pStyle w:val="TOC1"/>
            <w:rPr>
              <w:noProof/>
              <w:lang w:val="en-US" w:eastAsia="en-US"/>
            </w:rPr>
          </w:pPr>
          <w:hyperlink w:anchor="_Toc23200804" w:history="1">
            <w:r w:rsidR="003C2743" w:rsidRPr="00AF5D00">
              <w:rPr>
                <w:rStyle w:val="Hyperlink"/>
                <w:noProof/>
              </w:rPr>
              <w:t>Guidelines for the implementation of the right to adequate housing</w:t>
            </w:r>
            <w:r w:rsidR="003C2743">
              <w:rPr>
                <w:noProof/>
                <w:webHidden/>
              </w:rPr>
              <w:tab/>
            </w:r>
            <w:r w:rsidR="003C2743">
              <w:rPr>
                <w:noProof/>
                <w:webHidden/>
              </w:rPr>
              <w:fldChar w:fldCharType="begin"/>
            </w:r>
            <w:r w:rsidR="003C2743">
              <w:rPr>
                <w:noProof/>
                <w:webHidden/>
              </w:rPr>
              <w:instrText xml:space="preserve"> PAGEREF _Toc23200804 \h </w:instrText>
            </w:r>
            <w:r w:rsidR="003C2743">
              <w:rPr>
                <w:noProof/>
                <w:webHidden/>
              </w:rPr>
            </w:r>
            <w:r w:rsidR="003C2743">
              <w:rPr>
                <w:noProof/>
                <w:webHidden/>
              </w:rPr>
              <w:fldChar w:fldCharType="separate"/>
            </w:r>
            <w:r w:rsidR="00E95A7E">
              <w:rPr>
                <w:noProof/>
                <w:webHidden/>
              </w:rPr>
              <w:t>4</w:t>
            </w:r>
            <w:r w:rsidR="003C2743">
              <w:rPr>
                <w:noProof/>
                <w:webHidden/>
              </w:rPr>
              <w:fldChar w:fldCharType="end"/>
            </w:r>
          </w:hyperlink>
        </w:p>
        <w:p w14:paraId="564840D4" w14:textId="7E08C626" w:rsidR="003C2743" w:rsidRDefault="00B10045">
          <w:pPr>
            <w:pStyle w:val="TOC2"/>
            <w:rPr>
              <w:noProof/>
              <w:lang w:val="en-US" w:eastAsia="en-US"/>
            </w:rPr>
          </w:pPr>
          <w:hyperlink w:anchor="_Toc23200805" w:history="1">
            <w:r w:rsidR="003C2743" w:rsidRPr="00AF5D00">
              <w:rPr>
                <w:rStyle w:val="Hyperlink"/>
                <w:noProof/>
              </w:rPr>
              <w:t>Guideline No. 1</w:t>
            </w:r>
            <w:r w:rsidR="003C2743">
              <w:rPr>
                <w:noProof/>
                <w:webHidden/>
              </w:rPr>
              <w:tab/>
            </w:r>
            <w:r w:rsidR="003C2743">
              <w:rPr>
                <w:noProof/>
                <w:webHidden/>
              </w:rPr>
              <w:fldChar w:fldCharType="begin"/>
            </w:r>
            <w:r w:rsidR="003C2743">
              <w:rPr>
                <w:noProof/>
                <w:webHidden/>
              </w:rPr>
              <w:instrText xml:space="preserve"> PAGEREF _Toc23200805 \h </w:instrText>
            </w:r>
            <w:r w:rsidR="003C2743">
              <w:rPr>
                <w:noProof/>
                <w:webHidden/>
              </w:rPr>
            </w:r>
            <w:r w:rsidR="003C2743">
              <w:rPr>
                <w:noProof/>
                <w:webHidden/>
              </w:rPr>
              <w:fldChar w:fldCharType="separate"/>
            </w:r>
            <w:r w:rsidR="00E95A7E">
              <w:rPr>
                <w:noProof/>
                <w:webHidden/>
              </w:rPr>
              <w:t>4</w:t>
            </w:r>
            <w:r w:rsidR="003C2743">
              <w:rPr>
                <w:noProof/>
                <w:webHidden/>
              </w:rPr>
              <w:fldChar w:fldCharType="end"/>
            </w:r>
          </w:hyperlink>
        </w:p>
        <w:p w14:paraId="2CEBDFFB" w14:textId="5F2D2BB8" w:rsidR="003C2743" w:rsidRDefault="00B10045">
          <w:pPr>
            <w:pStyle w:val="TOC3"/>
            <w:tabs>
              <w:tab w:val="right" w:leader="dot" w:pos="9016"/>
            </w:tabs>
            <w:rPr>
              <w:noProof/>
              <w:lang w:val="en-US" w:eastAsia="en-US"/>
            </w:rPr>
          </w:pPr>
          <w:hyperlink w:anchor="_Toc23200806" w:history="1">
            <w:r w:rsidR="003C2743" w:rsidRPr="00AF5D00">
              <w:rPr>
                <w:rStyle w:val="Hyperlink"/>
                <w:noProof/>
              </w:rPr>
              <w:t>Recognize the right to housing as a fundamental human right in national law and practice</w:t>
            </w:r>
            <w:r w:rsidR="003C2743">
              <w:rPr>
                <w:noProof/>
                <w:webHidden/>
              </w:rPr>
              <w:tab/>
            </w:r>
            <w:r w:rsidR="003C2743">
              <w:rPr>
                <w:noProof/>
                <w:webHidden/>
              </w:rPr>
              <w:fldChar w:fldCharType="begin"/>
            </w:r>
            <w:r w:rsidR="003C2743">
              <w:rPr>
                <w:noProof/>
                <w:webHidden/>
              </w:rPr>
              <w:instrText xml:space="preserve"> PAGEREF _Toc23200806 \h </w:instrText>
            </w:r>
            <w:r w:rsidR="003C2743">
              <w:rPr>
                <w:noProof/>
                <w:webHidden/>
              </w:rPr>
            </w:r>
            <w:r w:rsidR="003C2743">
              <w:rPr>
                <w:noProof/>
                <w:webHidden/>
              </w:rPr>
              <w:fldChar w:fldCharType="separate"/>
            </w:r>
            <w:r w:rsidR="00E95A7E">
              <w:rPr>
                <w:noProof/>
                <w:webHidden/>
              </w:rPr>
              <w:t>4</w:t>
            </w:r>
            <w:r w:rsidR="003C2743">
              <w:rPr>
                <w:noProof/>
                <w:webHidden/>
              </w:rPr>
              <w:fldChar w:fldCharType="end"/>
            </w:r>
          </w:hyperlink>
        </w:p>
        <w:p w14:paraId="6FFC674A" w14:textId="2161A6C2" w:rsidR="003C2743" w:rsidRDefault="00B10045">
          <w:pPr>
            <w:pStyle w:val="TOC2"/>
            <w:rPr>
              <w:noProof/>
              <w:lang w:val="en-US" w:eastAsia="en-US"/>
            </w:rPr>
          </w:pPr>
          <w:hyperlink w:anchor="_Toc23200807" w:history="1">
            <w:r w:rsidR="003C2743" w:rsidRPr="00AF5D00">
              <w:rPr>
                <w:rStyle w:val="Hyperlink"/>
                <w:noProof/>
              </w:rPr>
              <w:t>Guideline No. 2</w:t>
            </w:r>
            <w:r w:rsidR="003C2743">
              <w:rPr>
                <w:noProof/>
                <w:webHidden/>
              </w:rPr>
              <w:tab/>
            </w:r>
            <w:r w:rsidR="003C2743">
              <w:rPr>
                <w:noProof/>
                <w:webHidden/>
              </w:rPr>
              <w:fldChar w:fldCharType="begin"/>
            </w:r>
            <w:r w:rsidR="003C2743">
              <w:rPr>
                <w:noProof/>
                <w:webHidden/>
              </w:rPr>
              <w:instrText xml:space="preserve"> PAGEREF _Toc23200807 \h </w:instrText>
            </w:r>
            <w:r w:rsidR="003C2743">
              <w:rPr>
                <w:noProof/>
                <w:webHidden/>
              </w:rPr>
            </w:r>
            <w:r w:rsidR="003C2743">
              <w:rPr>
                <w:noProof/>
                <w:webHidden/>
              </w:rPr>
              <w:fldChar w:fldCharType="separate"/>
            </w:r>
            <w:r w:rsidR="00E95A7E">
              <w:rPr>
                <w:noProof/>
                <w:webHidden/>
              </w:rPr>
              <w:t>5</w:t>
            </w:r>
            <w:r w:rsidR="003C2743">
              <w:rPr>
                <w:noProof/>
                <w:webHidden/>
              </w:rPr>
              <w:fldChar w:fldCharType="end"/>
            </w:r>
          </w:hyperlink>
        </w:p>
        <w:p w14:paraId="41136A2F" w14:textId="5456A37E" w:rsidR="003C2743" w:rsidRDefault="00B10045">
          <w:pPr>
            <w:pStyle w:val="TOC3"/>
            <w:tabs>
              <w:tab w:val="right" w:leader="dot" w:pos="9016"/>
            </w:tabs>
            <w:rPr>
              <w:noProof/>
              <w:lang w:val="en-US" w:eastAsia="en-US"/>
            </w:rPr>
          </w:pPr>
          <w:hyperlink w:anchor="_Toc23200808" w:history="1">
            <w:r w:rsidR="003C2743" w:rsidRPr="00AF5D00">
              <w:rPr>
                <w:rStyle w:val="Hyperlink"/>
                <w:noProof/>
              </w:rPr>
              <w:t>Design, implement and regularly monitor comprehensive strategies for the realization of the right to housing</w:t>
            </w:r>
            <w:r w:rsidR="003C2743">
              <w:rPr>
                <w:noProof/>
                <w:webHidden/>
              </w:rPr>
              <w:tab/>
            </w:r>
            <w:r w:rsidR="003C2743">
              <w:rPr>
                <w:noProof/>
                <w:webHidden/>
              </w:rPr>
              <w:fldChar w:fldCharType="begin"/>
            </w:r>
            <w:r w:rsidR="003C2743">
              <w:rPr>
                <w:noProof/>
                <w:webHidden/>
              </w:rPr>
              <w:instrText xml:space="preserve"> PAGEREF _Toc23200808 \h </w:instrText>
            </w:r>
            <w:r w:rsidR="003C2743">
              <w:rPr>
                <w:noProof/>
                <w:webHidden/>
              </w:rPr>
            </w:r>
            <w:r w:rsidR="003C2743">
              <w:rPr>
                <w:noProof/>
                <w:webHidden/>
              </w:rPr>
              <w:fldChar w:fldCharType="separate"/>
            </w:r>
            <w:r w:rsidR="00E95A7E">
              <w:rPr>
                <w:noProof/>
                <w:webHidden/>
              </w:rPr>
              <w:t>5</w:t>
            </w:r>
            <w:r w:rsidR="003C2743">
              <w:rPr>
                <w:noProof/>
                <w:webHidden/>
              </w:rPr>
              <w:fldChar w:fldCharType="end"/>
            </w:r>
          </w:hyperlink>
        </w:p>
        <w:p w14:paraId="20DD60EC" w14:textId="77AD587D" w:rsidR="003C2743" w:rsidRDefault="00B10045">
          <w:pPr>
            <w:pStyle w:val="TOC2"/>
            <w:rPr>
              <w:noProof/>
              <w:lang w:val="en-US" w:eastAsia="en-US"/>
            </w:rPr>
          </w:pPr>
          <w:hyperlink w:anchor="_Toc23200809" w:history="1">
            <w:r w:rsidR="003C2743" w:rsidRPr="00AF5D00">
              <w:rPr>
                <w:rStyle w:val="Hyperlink"/>
                <w:noProof/>
              </w:rPr>
              <w:t>Guideline No. 3</w:t>
            </w:r>
            <w:r w:rsidR="003C2743">
              <w:rPr>
                <w:noProof/>
                <w:webHidden/>
              </w:rPr>
              <w:tab/>
            </w:r>
            <w:r w:rsidR="003C2743">
              <w:rPr>
                <w:noProof/>
                <w:webHidden/>
              </w:rPr>
              <w:fldChar w:fldCharType="begin"/>
            </w:r>
            <w:r w:rsidR="003C2743">
              <w:rPr>
                <w:noProof/>
                <w:webHidden/>
              </w:rPr>
              <w:instrText xml:space="preserve"> PAGEREF _Toc23200809 \h </w:instrText>
            </w:r>
            <w:r w:rsidR="003C2743">
              <w:rPr>
                <w:noProof/>
                <w:webHidden/>
              </w:rPr>
            </w:r>
            <w:r w:rsidR="003C2743">
              <w:rPr>
                <w:noProof/>
                <w:webHidden/>
              </w:rPr>
              <w:fldChar w:fldCharType="separate"/>
            </w:r>
            <w:r w:rsidR="00E95A7E">
              <w:rPr>
                <w:noProof/>
                <w:webHidden/>
              </w:rPr>
              <w:t>7</w:t>
            </w:r>
            <w:r w:rsidR="003C2743">
              <w:rPr>
                <w:noProof/>
                <w:webHidden/>
              </w:rPr>
              <w:fldChar w:fldCharType="end"/>
            </w:r>
          </w:hyperlink>
        </w:p>
        <w:p w14:paraId="67DBFB06" w14:textId="41A260AF" w:rsidR="003C2743" w:rsidRDefault="00B10045">
          <w:pPr>
            <w:pStyle w:val="TOC3"/>
            <w:tabs>
              <w:tab w:val="right" w:leader="dot" w:pos="9016"/>
            </w:tabs>
            <w:rPr>
              <w:noProof/>
              <w:lang w:val="en-US" w:eastAsia="en-US"/>
            </w:rPr>
          </w:pPr>
          <w:hyperlink w:anchor="_Toc23200810" w:history="1">
            <w:r w:rsidR="003C2743" w:rsidRPr="00AF5D00">
              <w:rPr>
                <w:rStyle w:val="Hyperlink"/>
                <w:noProof/>
              </w:rPr>
              <w:t>Ensure the progressive realization of the right to adequate housing in compliance with the standard of reasonableness.</w:t>
            </w:r>
            <w:r w:rsidR="003C2743">
              <w:rPr>
                <w:noProof/>
                <w:webHidden/>
              </w:rPr>
              <w:tab/>
            </w:r>
            <w:r w:rsidR="003C2743">
              <w:rPr>
                <w:noProof/>
                <w:webHidden/>
              </w:rPr>
              <w:fldChar w:fldCharType="begin"/>
            </w:r>
            <w:r w:rsidR="003C2743">
              <w:rPr>
                <w:noProof/>
                <w:webHidden/>
              </w:rPr>
              <w:instrText xml:space="preserve"> PAGEREF _Toc23200810 \h </w:instrText>
            </w:r>
            <w:r w:rsidR="003C2743">
              <w:rPr>
                <w:noProof/>
                <w:webHidden/>
              </w:rPr>
            </w:r>
            <w:r w:rsidR="003C2743">
              <w:rPr>
                <w:noProof/>
                <w:webHidden/>
              </w:rPr>
              <w:fldChar w:fldCharType="separate"/>
            </w:r>
            <w:r w:rsidR="00E95A7E">
              <w:rPr>
                <w:noProof/>
                <w:webHidden/>
              </w:rPr>
              <w:t>7</w:t>
            </w:r>
            <w:r w:rsidR="003C2743">
              <w:rPr>
                <w:noProof/>
                <w:webHidden/>
              </w:rPr>
              <w:fldChar w:fldCharType="end"/>
            </w:r>
          </w:hyperlink>
        </w:p>
        <w:p w14:paraId="7D3A0558" w14:textId="50AE81F6" w:rsidR="003C2743" w:rsidRDefault="00B10045">
          <w:pPr>
            <w:pStyle w:val="TOC2"/>
            <w:rPr>
              <w:noProof/>
              <w:lang w:val="en-US" w:eastAsia="en-US"/>
            </w:rPr>
          </w:pPr>
          <w:hyperlink w:anchor="_Toc23200811" w:history="1">
            <w:r w:rsidR="003C2743" w:rsidRPr="00AF5D00">
              <w:rPr>
                <w:rStyle w:val="Hyperlink"/>
                <w:noProof/>
              </w:rPr>
              <w:t>Guideline No. 4</w:t>
            </w:r>
            <w:r w:rsidR="003C2743">
              <w:rPr>
                <w:noProof/>
                <w:webHidden/>
              </w:rPr>
              <w:tab/>
            </w:r>
            <w:r w:rsidR="003C2743">
              <w:rPr>
                <w:noProof/>
                <w:webHidden/>
              </w:rPr>
              <w:fldChar w:fldCharType="begin"/>
            </w:r>
            <w:r w:rsidR="003C2743">
              <w:rPr>
                <w:noProof/>
                <w:webHidden/>
              </w:rPr>
              <w:instrText xml:space="preserve"> PAGEREF _Toc23200811 \h </w:instrText>
            </w:r>
            <w:r w:rsidR="003C2743">
              <w:rPr>
                <w:noProof/>
                <w:webHidden/>
              </w:rPr>
            </w:r>
            <w:r w:rsidR="003C2743">
              <w:rPr>
                <w:noProof/>
                <w:webHidden/>
              </w:rPr>
              <w:fldChar w:fldCharType="separate"/>
            </w:r>
            <w:r w:rsidR="00E95A7E">
              <w:rPr>
                <w:noProof/>
                <w:webHidden/>
              </w:rPr>
              <w:t>8</w:t>
            </w:r>
            <w:r w:rsidR="003C2743">
              <w:rPr>
                <w:noProof/>
                <w:webHidden/>
              </w:rPr>
              <w:fldChar w:fldCharType="end"/>
            </w:r>
          </w:hyperlink>
        </w:p>
        <w:p w14:paraId="35EBFDF3" w14:textId="4ACAE436" w:rsidR="003C2743" w:rsidRDefault="00B10045">
          <w:pPr>
            <w:pStyle w:val="TOC3"/>
            <w:tabs>
              <w:tab w:val="right" w:leader="dot" w:pos="9016"/>
            </w:tabs>
            <w:rPr>
              <w:noProof/>
              <w:lang w:val="en-US" w:eastAsia="en-US"/>
            </w:rPr>
          </w:pPr>
          <w:hyperlink w:anchor="_Toc23200812" w:history="1">
            <w:r w:rsidR="003C2743" w:rsidRPr="00AF5D00">
              <w:rPr>
                <w:rStyle w:val="Hyperlink"/>
                <w:noProof/>
              </w:rPr>
              <w:t>Address discrimination and ensure equality</w:t>
            </w:r>
            <w:r w:rsidR="003C2743">
              <w:rPr>
                <w:noProof/>
                <w:webHidden/>
              </w:rPr>
              <w:tab/>
            </w:r>
            <w:r w:rsidR="003C2743">
              <w:rPr>
                <w:noProof/>
                <w:webHidden/>
              </w:rPr>
              <w:fldChar w:fldCharType="begin"/>
            </w:r>
            <w:r w:rsidR="003C2743">
              <w:rPr>
                <w:noProof/>
                <w:webHidden/>
              </w:rPr>
              <w:instrText xml:space="preserve"> PAGEREF _Toc23200812 \h </w:instrText>
            </w:r>
            <w:r w:rsidR="003C2743">
              <w:rPr>
                <w:noProof/>
                <w:webHidden/>
              </w:rPr>
            </w:r>
            <w:r w:rsidR="003C2743">
              <w:rPr>
                <w:noProof/>
                <w:webHidden/>
              </w:rPr>
              <w:fldChar w:fldCharType="separate"/>
            </w:r>
            <w:r w:rsidR="00E95A7E">
              <w:rPr>
                <w:noProof/>
                <w:webHidden/>
              </w:rPr>
              <w:t>8</w:t>
            </w:r>
            <w:r w:rsidR="003C2743">
              <w:rPr>
                <w:noProof/>
                <w:webHidden/>
              </w:rPr>
              <w:fldChar w:fldCharType="end"/>
            </w:r>
          </w:hyperlink>
        </w:p>
        <w:p w14:paraId="397A2C38" w14:textId="2B971CE5" w:rsidR="003C2743" w:rsidRDefault="00B10045">
          <w:pPr>
            <w:pStyle w:val="TOC2"/>
            <w:rPr>
              <w:noProof/>
              <w:lang w:val="en-US" w:eastAsia="en-US"/>
            </w:rPr>
          </w:pPr>
          <w:hyperlink w:anchor="_Toc23200813" w:history="1">
            <w:r w:rsidR="003C2743" w:rsidRPr="00AF5D00">
              <w:rPr>
                <w:rStyle w:val="Hyperlink"/>
                <w:noProof/>
              </w:rPr>
              <w:t>Guideline No. 5</w:t>
            </w:r>
            <w:r w:rsidR="003C2743">
              <w:rPr>
                <w:noProof/>
                <w:webHidden/>
              </w:rPr>
              <w:tab/>
            </w:r>
            <w:r w:rsidR="003C2743">
              <w:rPr>
                <w:noProof/>
                <w:webHidden/>
              </w:rPr>
              <w:fldChar w:fldCharType="begin"/>
            </w:r>
            <w:r w:rsidR="003C2743">
              <w:rPr>
                <w:noProof/>
                <w:webHidden/>
              </w:rPr>
              <w:instrText xml:space="preserve"> PAGEREF _Toc23200813 \h </w:instrText>
            </w:r>
            <w:r w:rsidR="003C2743">
              <w:rPr>
                <w:noProof/>
                <w:webHidden/>
              </w:rPr>
            </w:r>
            <w:r w:rsidR="003C2743">
              <w:rPr>
                <w:noProof/>
                <w:webHidden/>
              </w:rPr>
              <w:fldChar w:fldCharType="separate"/>
            </w:r>
            <w:r w:rsidR="00E95A7E">
              <w:rPr>
                <w:noProof/>
                <w:webHidden/>
              </w:rPr>
              <w:t>10</w:t>
            </w:r>
            <w:r w:rsidR="003C2743">
              <w:rPr>
                <w:noProof/>
                <w:webHidden/>
              </w:rPr>
              <w:fldChar w:fldCharType="end"/>
            </w:r>
          </w:hyperlink>
        </w:p>
        <w:p w14:paraId="1EFF2B20" w14:textId="2731931C" w:rsidR="003C2743" w:rsidRDefault="00B10045">
          <w:pPr>
            <w:pStyle w:val="TOC3"/>
            <w:tabs>
              <w:tab w:val="right" w:leader="dot" w:pos="9016"/>
            </w:tabs>
            <w:rPr>
              <w:noProof/>
              <w:lang w:val="en-US" w:eastAsia="en-US"/>
            </w:rPr>
          </w:pPr>
          <w:hyperlink w:anchor="_Toc23200814" w:history="1">
            <w:r w:rsidR="003C2743" w:rsidRPr="00AF5D00">
              <w:rPr>
                <w:rStyle w:val="Hyperlink"/>
                <w:noProof/>
              </w:rPr>
              <w:t>Ensure gender equality in housing</w:t>
            </w:r>
            <w:r w:rsidR="003C2743">
              <w:rPr>
                <w:noProof/>
                <w:webHidden/>
              </w:rPr>
              <w:tab/>
            </w:r>
            <w:r w:rsidR="003C2743">
              <w:rPr>
                <w:noProof/>
                <w:webHidden/>
              </w:rPr>
              <w:fldChar w:fldCharType="begin"/>
            </w:r>
            <w:r w:rsidR="003C2743">
              <w:rPr>
                <w:noProof/>
                <w:webHidden/>
              </w:rPr>
              <w:instrText xml:space="preserve"> PAGEREF _Toc23200814 \h </w:instrText>
            </w:r>
            <w:r w:rsidR="003C2743">
              <w:rPr>
                <w:noProof/>
                <w:webHidden/>
              </w:rPr>
            </w:r>
            <w:r w:rsidR="003C2743">
              <w:rPr>
                <w:noProof/>
                <w:webHidden/>
              </w:rPr>
              <w:fldChar w:fldCharType="separate"/>
            </w:r>
            <w:r w:rsidR="00E95A7E">
              <w:rPr>
                <w:noProof/>
                <w:webHidden/>
              </w:rPr>
              <w:t>10</w:t>
            </w:r>
            <w:r w:rsidR="003C2743">
              <w:rPr>
                <w:noProof/>
                <w:webHidden/>
              </w:rPr>
              <w:fldChar w:fldCharType="end"/>
            </w:r>
          </w:hyperlink>
        </w:p>
        <w:p w14:paraId="3E2628BE" w14:textId="7FEDE023" w:rsidR="003C2743" w:rsidRDefault="00B10045">
          <w:pPr>
            <w:pStyle w:val="TOC2"/>
            <w:rPr>
              <w:noProof/>
              <w:lang w:val="en-US" w:eastAsia="en-US"/>
            </w:rPr>
          </w:pPr>
          <w:hyperlink w:anchor="_Toc23200815" w:history="1">
            <w:r w:rsidR="003C2743" w:rsidRPr="00AF5D00">
              <w:rPr>
                <w:rStyle w:val="Hyperlink"/>
                <w:noProof/>
              </w:rPr>
              <w:t>Guideline No. 6</w:t>
            </w:r>
            <w:r w:rsidR="003C2743">
              <w:rPr>
                <w:noProof/>
                <w:webHidden/>
              </w:rPr>
              <w:tab/>
            </w:r>
            <w:r w:rsidR="003C2743">
              <w:rPr>
                <w:noProof/>
                <w:webHidden/>
              </w:rPr>
              <w:fldChar w:fldCharType="begin"/>
            </w:r>
            <w:r w:rsidR="003C2743">
              <w:rPr>
                <w:noProof/>
                <w:webHidden/>
              </w:rPr>
              <w:instrText xml:space="preserve"> PAGEREF _Toc23200815 \h </w:instrText>
            </w:r>
            <w:r w:rsidR="003C2743">
              <w:rPr>
                <w:noProof/>
                <w:webHidden/>
              </w:rPr>
            </w:r>
            <w:r w:rsidR="003C2743">
              <w:rPr>
                <w:noProof/>
                <w:webHidden/>
              </w:rPr>
              <w:fldChar w:fldCharType="separate"/>
            </w:r>
            <w:r w:rsidR="00E95A7E">
              <w:rPr>
                <w:noProof/>
                <w:webHidden/>
              </w:rPr>
              <w:t>12</w:t>
            </w:r>
            <w:r w:rsidR="003C2743">
              <w:rPr>
                <w:noProof/>
                <w:webHidden/>
              </w:rPr>
              <w:fldChar w:fldCharType="end"/>
            </w:r>
          </w:hyperlink>
        </w:p>
        <w:p w14:paraId="58F5CAC0" w14:textId="5340F08A" w:rsidR="003C2743" w:rsidRDefault="00B10045">
          <w:pPr>
            <w:pStyle w:val="TOC3"/>
            <w:tabs>
              <w:tab w:val="right" w:leader="dot" w:pos="9016"/>
            </w:tabs>
            <w:rPr>
              <w:noProof/>
              <w:lang w:val="en-US" w:eastAsia="en-US"/>
            </w:rPr>
          </w:pPr>
          <w:hyperlink w:anchor="_Toc23200816" w:history="1">
            <w:r w:rsidR="003C2743" w:rsidRPr="00AF5D00">
              <w:rPr>
                <w:rStyle w:val="Hyperlink"/>
                <w:noProof/>
              </w:rPr>
              <w:t>Eliminate homelessness in the shortest possible time</w:t>
            </w:r>
            <w:r w:rsidR="003C2743">
              <w:rPr>
                <w:noProof/>
                <w:webHidden/>
              </w:rPr>
              <w:tab/>
            </w:r>
            <w:r w:rsidR="003C2743">
              <w:rPr>
                <w:noProof/>
                <w:webHidden/>
              </w:rPr>
              <w:fldChar w:fldCharType="begin"/>
            </w:r>
            <w:r w:rsidR="003C2743">
              <w:rPr>
                <w:noProof/>
                <w:webHidden/>
              </w:rPr>
              <w:instrText xml:space="preserve"> PAGEREF _Toc23200816 \h </w:instrText>
            </w:r>
            <w:r w:rsidR="003C2743">
              <w:rPr>
                <w:noProof/>
                <w:webHidden/>
              </w:rPr>
            </w:r>
            <w:r w:rsidR="003C2743">
              <w:rPr>
                <w:noProof/>
                <w:webHidden/>
              </w:rPr>
              <w:fldChar w:fldCharType="separate"/>
            </w:r>
            <w:r w:rsidR="00E95A7E">
              <w:rPr>
                <w:noProof/>
                <w:webHidden/>
              </w:rPr>
              <w:t>12</w:t>
            </w:r>
            <w:r w:rsidR="003C2743">
              <w:rPr>
                <w:noProof/>
                <w:webHidden/>
              </w:rPr>
              <w:fldChar w:fldCharType="end"/>
            </w:r>
          </w:hyperlink>
        </w:p>
        <w:p w14:paraId="68701DC3" w14:textId="4E7FC9AC" w:rsidR="003C2743" w:rsidRDefault="00B10045">
          <w:pPr>
            <w:pStyle w:val="TOC2"/>
            <w:rPr>
              <w:noProof/>
              <w:lang w:val="en-US" w:eastAsia="en-US"/>
            </w:rPr>
          </w:pPr>
          <w:hyperlink w:anchor="_Toc23200817" w:history="1">
            <w:r w:rsidR="003C2743" w:rsidRPr="00AF5D00">
              <w:rPr>
                <w:rStyle w:val="Hyperlink"/>
                <w:noProof/>
              </w:rPr>
              <w:t>Guideline No. 7</w:t>
            </w:r>
            <w:r w:rsidR="003C2743">
              <w:rPr>
                <w:noProof/>
                <w:webHidden/>
              </w:rPr>
              <w:tab/>
            </w:r>
            <w:r w:rsidR="003C2743">
              <w:rPr>
                <w:noProof/>
                <w:webHidden/>
              </w:rPr>
              <w:fldChar w:fldCharType="begin"/>
            </w:r>
            <w:r w:rsidR="003C2743">
              <w:rPr>
                <w:noProof/>
                <w:webHidden/>
              </w:rPr>
              <w:instrText xml:space="preserve"> PAGEREF _Toc23200817 \h </w:instrText>
            </w:r>
            <w:r w:rsidR="003C2743">
              <w:rPr>
                <w:noProof/>
                <w:webHidden/>
              </w:rPr>
            </w:r>
            <w:r w:rsidR="003C2743">
              <w:rPr>
                <w:noProof/>
                <w:webHidden/>
              </w:rPr>
              <w:fldChar w:fldCharType="separate"/>
            </w:r>
            <w:r w:rsidR="00E95A7E">
              <w:rPr>
                <w:noProof/>
                <w:webHidden/>
              </w:rPr>
              <w:t>13</w:t>
            </w:r>
            <w:r w:rsidR="003C2743">
              <w:rPr>
                <w:noProof/>
                <w:webHidden/>
              </w:rPr>
              <w:fldChar w:fldCharType="end"/>
            </w:r>
          </w:hyperlink>
        </w:p>
        <w:p w14:paraId="30329EE7" w14:textId="26F6D7AB" w:rsidR="003C2743" w:rsidRDefault="00B10045">
          <w:pPr>
            <w:pStyle w:val="TOC3"/>
            <w:tabs>
              <w:tab w:val="right" w:leader="dot" w:pos="9016"/>
            </w:tabs>
            <w:rPr>
              <w:noProof/>
              <w:lang w:val="en-US" w:eastAsia="en-US"/>
            </w:rPr>
          </w:pPr>
          <w:hyperlink w:anchor="_Toc23200818" w:history="1">
            <w:r w:rsidR="003C2743" w:rsidRPr="00AF5D00">
              <w:rPr>
                <w:rStyle w:val="Hyperlink"/>
                <w:noProof/>
              </w:rPr>
              <w:t>End criminalization and discrimination on the ground of homelessness or housing status</w:t>
            </w:r>
            <w:r w:rsidR="003C2743">
              <w:rPr>
                <w:noProof/>
                <w:webHidden/>
              </w:rPr>
              <w:tab/>
            </w:r>
            <w:r w:rsidR="003C2743">
              <w:rPr>
                <w:noProof/>
                <w:webHidden/>
              </w:rPr>
              <w:fldChar w:fldCharType="begin"/>
            </w:r>
            <w:r w:rsidR="003C2743">
              <w:rPr>
                <w:noProof/>
                <w:webHidden/>
              </w:rPr>
              <w:instrText xml:space="preserve"> PAGEREF _Toc23200818 \h </w:instrText>
            </w:r>
            <w:r w:rsidR="003C2743">
              <w:rPr>
                <w:noProof/>
                <w:webHidden/>
              </w:rPr>
            </w:r>
            <w:r w:rsidR="003C2743">
              <w:rPr>
                <w:noProof/>
                <w:webHidden/>
              </w:rPr>
              <w:fldChar w:fldCharType="separate"/>
            </w:r>
            <w:r w:rsidR="00E95A7E">
              <w:rPr>
                <w:noProof/>
                <w:webHidden/>
              </w:rPr>
              <w:t>13</w:t>
            </w:r>
            <w:r w:rsidR="003C2743">
              <w:rPr>
                <w:noProof/>
                <w:webHidden/>
              </w:rPr>
              <w:fldChar w:fldCharType="end"/>
            </w:r>
          </w:hyperlink>
        </w:p>
        <w:p w14:paraId="2106CE53" w14:textId="686418CD" w:rsidR="003C2743" w:rsidRDefault="00B10045">
          <w:pPr>
            <w:pStyle w:val="TOC2"/>
            <w:rPr>
              <w:noProof/>
              <w:lang w:val="en-US" w:eastAsia="en-US"/>
            </w:rPr>
          </w:pPr>
          <w:hyperlink w:anchor="_Toc23200819" w:history="1">
            <w:r w:rsidR="003C2743" w:rsidRPr="00AF5D00">
              <w:rPr>
                <w:rStyle w:val="Hyperlink"/>
                <w:noProof/>
              </w:rPr>
              <w:t>Guideline No. 8</w:t>
            </w:r>
            <w:r w:rsidR="003C2743">
              <w:rPr>
                <w:noProof/>
                <w:webHidden/>
              </w:rPr>
              <w:tab/>
            </w:r>
            <w:r w:rsidR="003C2743">
              <w:rPr>
                <w:noProof/>
                <w:webHidden/>
              </w:rPr>
              <w:fldChar w:fldCharType="begin"/>
            </w:r>
            <w:r w:rsidR="003C2743">
              <w:rPr>
                <w:noProof/>
                <w:webHidden/>
              </w:rPr>
              <w:instrText xml:space="preserve"> PAGEREF _Toc23200819 \h </w:instrText>
            </w:r>
            <w:r w:rsidR="003C2743">
              <w:rPr>
                <w:noProof/>
                <w:webHidden/>
              </w:rPr>
            </w:r>
            <w:r w:rsidR="003C2743">
              <w:rPr>
                <w:noProof/>
                <w:webHidden/>
              </w:rPr>
              <w:fldChar w:fldCharType="separate"/>
            </w:r>
            <w:r w:rsidR="00E95A7E">
              <w:rPr>
                <w:noProof/>
                <w:webHidden/>
              </w:rPr>
              <w:t>15</w:t>
            </w:r>
            <w:r w:rsidR="003C2743">
              <w:rPr>
                <w:noProof/>
                <w:webHidden/>
              </w:rPr>
              <w:fldChar w:fldCharType="end"/>
            </w:r>
          </w:hyperlink>
        </w:p>
        <w:p w14:paraId="1D2607CB" w14:textId="37F2D933" w:rsidR="003C2743" w:rsidRDefault="00B10045">
          <w:pPr>
            <w:pStyle w:val="TOC3"/>
            <w:tabs>
              <w:tab w:val="right" w:leader="dot" w:pos="9016"/>
            </w:tabs>
            <w:rPr>
              <w:noProof/>
              <w:lang w:val="en-US" w:eastAsia="en-US"/>
            </w:rPr>
          </w:pPr>
          <w:hyperlink w:anchor="_Toc23200820" w:history="1">
            <w:r w:rsidR="003C2743" w:rsidRPr="00AF5D00">
              <w:rPr>
                <w:rStyle w:val="Hyperlink"/>
                <w:noProof/>
              </w:rPr>
              <w:t>Clarify the obligations of businesses in relation to the right to housing and address financialization of housing</w:t>
            </w:r>
            <w:r w:rsidR="003C2743">
              <w:rPr>
                <w:noProof/>
                <w:webHidden/>
              </w:rPr>
              <w:tab/>
            </w:r>
            <w:r w:rsidR="003C2743">
              <w:rPr>
                <w:noProof/>
                <w:webHidden/>
              </w:rPr>
              <w:fldChar w:fldCharType="begin"/>
            </w:r>
            <w:r w:rsidR="003C2743">
              <w:rPr>
                <w:noProof/>
                <w:webHidden/>
              </w:rPr>
              <w:instrText xml:space="preserve"> PAGEREF _Toc23200820 \h </w:instrText>
            </w:r>
            <w:r w:rsidR="003C2743">
              <w:rPr>
                <w:noProof/>
                <w:webHidden/>
              </w:rPr>
            </w:r>
            <w:r w:rsidR="003C2743">
              <w:rPr>
                <w:noProof/>
                <w:webHidden/>
              </w:rPr>
              <w:fldChar w:fldCharType="separate"/>
            </w:r>
            <w:r w:rsidR="00E95A7E">
              <w:rPr>
                <w:noProof/>
                <w:webHidden/>
              </w:rPr>
              <w:t>15</w:t>
            </w:r>
            <w:r w:rsidR="003C2743">
              <w:rPr>
                <w:noProof/>
                <w:webHidden/>
              </w:rPr>
              <w:fldChar w:fldCharType="end"/>
            </w:r>
          </w:hyperlink>
        </w:p>
        <w:p w14:paraId="5705AEB7" w14:textId="17E63412" w:rsidR="003C2743" w:rsidRDefault="00B10045">
          <w:pPr>
            <w:pStyle w:val="TOC2"/>
            <w:rPr>
              <w:noProof/>
              <w:lang w:val="en-US" w:eastAsia="en-US"/>
            </w:rPr>
          </w:pPr>
          <w:hyperlink w:anchor="_Toc23200821" w:history="1">
            <w:r w:rsidR="003C2743" w:rsidRPr="00AF5D00">
              <w:rPr>
                <w:rStyle w:val="Hyperlink"/>
                <w:noProof/>
              </w:rPr>
              <w:t>Guideline No. 9</w:t>
            </w:r>
            <w:r w:rsidR="003C2743">
              <w:rPr>
                <w:noProof/>
                <w:webHidden/>
              </w:rPr>
              <w:tab/>
            </w:r>
            <w:r w:rsidR="003C2743">
              <w:rPr>
                <w:noProof/>
                <w:webHidden/>
              </w:rPr>
              <w:fldChar w:fldCharType="begin"/>
            </w:r>
            <w:r w:rsidR="003C2743">
              <w:rPr>
                <w:noProof/>
                <w:webHidden/>
              </w:rPr>
              <w:instrText xml:space="preserve"> PAGEREF _Toc23200821 \h </w:instrText>
            </w:r>
            <w:r w:rsidR="003C2743">
              <w:rPr>
                <w:noProof/>
                <w:webHidden/>
              </w:rPr>
            </w:r>
            <w:r w:rsidR="003C2743">
              <w:rPr>
                <w:noProof/>
                <w:webHidden/>
              </w:rPr>
              <w:fldChar w:fldCharType="separate"/>
            </w:r>
            <w:r w:rsidR="00E95A7E">
              <w:rPr>
                <w:noProof/>
                <w:webHidden/>
              </w:rPr>
              <w:t>17</w:t>
            </w:r>
            <w:r w:rsidR="003C2743">
              <w:rPr>
                <w:noProof/>
                <w:webHidden/>
              </w:rPr>
              <w:fldChar w:fldCharType="end"/>
            </w:r>
          </w:hyperlink>
        </w:p>
        <w:p w14:paraId="100C969F" w14:textId="3C84D1C8" w:rsidR="003C2743" w:rsidRDefault="00B10045">
          <w:pPr>
            <w:pStyle w:val="TOC3"/>
            <w:tabs>
              <w:tab w:val="right" w:leader="dot" w:pos="9016"/>
            </w:tabs>
            <w:rPr>
              <w:noProof/>
              <w:lang w:val="en-US" w:eastAsia="en-US"/>
            </w:rPr>
          </w:pPr>
          <w:hyperlink w:anchor="_Toc23200822" w:history="1">
            <w:r w:rsidR="003C2743" w:rsidRPr="00AF5D00">
              <w:rPr>
                <w:rStyle w:val="Hyperlink"/>
                <w:noProof/>
              </w:rPr>
              <w:t>Ensure the right to housing for migrants</w:t>
            </w:r>
            <w:r w:rsidR="003C2743">
              <w:rPr>
                <w:noProof/>
                <w:webHidden/>
              </w:rPr>
              <w:tab/>
            </w:r>
            <w:r w:rsidR="003C2743">
              <w:rPr>
                <w:noProof/>
                <w:webHidden/>
              </w:rPr>
              <w:fldChar w:fldCharType="begin"/>
            </w:r>
            <w:r w:rsidR="003C2743">
              <w:rPr>
                <w:noProof/>
                <w:webHidden/>
              </w:rPr>
              <w:instrText xml:space="preserve"> PAGEREF _Toc23200822 \h </w:instrText>
            </w:r>
            <w:r w:rsidR="003C2743">
              <w:rPr>
                <w:noProof/>
                <w:webHidden/>
              </w:rPr>
            </w:r>
            <w:r w:rsidR="003C2743">
              <w:rPr>
                <w:noProof/>
                <w:webHidden/>
              </w:rPr>
              <w:fldChar w:fldCharType="separate"/>
            </w:r>
            <w:r w:rsidR="00E95A7E">
              <w:rPr>
                <w:noProof/>
                <w:webHidden/>
              </w:rPr>
              <w:t>18</w:t>
            </w:r>
            <w:r w:rsidR="003C2743">
              <w:rPr>
                <w:noProof/>
                <w:webHidden/>
              </w:rPr>
              <w:fldChar w:fldCharType="end"/>
            </w:r>
          </w:hyperlink>
        </w:p>
        <w:p w14:paraId="4DFB1A11" w14:textId="55A0461E" w:rsidR="003C2743" w:rsidRDefault="00B10045">
          <w:pPr>
            <w:pStyle w:val="TOC2"/>
            <w:rPr>
              <w:noProof/>
              <w:lang w:val="en-US" w:eastAsia="en-US"/>
            </w:rPr>
          </w:pPr>
          <w:hyperlink w:anchor="_Toc23200823" w:history="1">
            <w:r w:rsidR="003C2743" w:rsidRPr="00AF5D00">
              <w:rPr>
                <w:rStyle w:val="Hyperlink"/>
                <w:noProof/>
              </w:rPr>
              <w:t>Guideline No. 10</w:t>
            </w:r>
            <w:r w:rsidR="003C2743">
              <w:rPr>
                <w:noProof/>
                <w:webHidden/>
              </w:rPr>
              <w:tab/>
            </w:r>
            <w:r w:rsidR="003C2743">
              <w:rPr>
                <w:noProof/>
                <w:webHidden/>
              </w:rPr>
              <w:fldChar w:fldCharType="begin"/>
            </w:r>
            <w:r w:rsidR="003C2743">
              <w:rPr>
                <w:noProof/>
                <w:webHidden/>
              </w:rPr>
              <w:instrText xml:space="preserve"> PAGEREF _Toc23200823 \h </w:instrText>
            </w:r>
            <w:r w:rsidR="003C2743">
              <w:rPr>
                <w:noProof/>
                <w:webHidden/>
              </w:rPr>
            </w:r>
            <w:r w:rsidR="003C2743">
              <w:rPr>
                <w:noProof/>
                <w:webHidden/>
              </w:rPr>
              <w:fldChar w:fldCharType="separate"/>
            </w:r>
            <w:r w:rsidR="00E95A7E">
              <w:rPr>
                <w:noProof/>
                <w:webHidden/>
              </w:rPr>
              <w:t>19</w:t>
            </w:r>
            <w:r w:rsidR="003C2743">
              <w:rPr>
                <w:noProof/>
                <w:webHidden/>
              </w:rPr>
              <w:fldChar w:fldCharType="end"/>
            </w:r>
          </w:hyperlink>
        </w:p>
        <w:p w14:paraId="3523E2E1" w14:textId="5032A27B" w:rsidR="003C2743" w:rsidRDefault="00B10045">
          <w:pPr>
            <w:pStyle w:val="TOC3"/>
            <w:tabs>
              <w:tab w:val="right" w:leader="dot" w:pos="9016"/>
            </w:tabs>
            <w:rPr>
              <w:noProof/>
              <w:lang w:val="en-US" w:eastAsia="en-US"/>
            </w:rPr>
          </w:pPr>
          <w:hyperlink w:anchor="_Toc23200824" w:history="1">
            <w:r w:rsidR="003C2743" w:rsidRPr="00AF5D00">
              <w:rPr>
                <w:rStyle w:val="Hyperlink"/>
                <w:noProof/>
              </w:rPr>
              <w:t>Ensure meaningful participation of all those affected in the design, implementation and monitoring of housing policies, programs and strategies</w:t>
            </w:r>
            <w:r w:rsidR="003C2743">
              <w:rPr>
                <w:noProof/>
                <w:webHidden/>
              </w:rPr>
              <w:tab/>
            </w:r>
            <w:r w:rsidR="003C2743">
              <w:rPr>
                <w:noProof/>
                <w:webHidden/>
              </w:rPr>
              <w:fldChar w:fldCharType="begin"/>
            </w:r>
            <w:r w:rsidR="003C2743">
              <w:rPr>
                <w:noProof/>
                <w:webHidden/>
              </w:rPr>
              <w:instrText xml:space="preserve"> PAGEREF _Toc23200824 \h </w:instrText>
            </w:r>
            <w:r w:rsidR="003C2743">
              <w:rPr>
                <w:noProof/>
                <w:webHidden/>
              </w:rPr>
            </w:r>
            <w:r w:rsidR="003C2743">
              <w:rPr>
                <w:noProof/>
                <w:webHidden/>
              </w:rPr>
              <w:fldChar w:fldCharType="separate"/>
            </w:r>
            <w:r w:rsidR="00E95A7E">
              <w:rPr>
                <w:noProof/>
                <w:webHidden/>
              </w:rPr>
              <w:t>19</w:t>
            </w:r>
            <w:r w:rsidR="003C2743">
              <w:rPr>
                <w:noProof/>
                <w:webHidden/>
              </w:rPr>
              <w:fldChar w:fldCharType="end"/>
            </w:r>
          </w:hyperlink>
        </w:p>
        <w:p w14:paraId="3CC3B060" w14:textId="52EDBBC7" w:rsidR="003C2743" w:rsidRDefault="00B10045">
          <w:pPr>
            <w:pStyle w:val="TOC2"/>
            <w:rPr>
              <w:noProof/>
              <w:lang w:val="en-US" w:eastAsia="en-US"/>
            </w:rPr>
          </w:pPr>
          <w:hyperlink w:anchor="_Toc23200825" w:history="1">
            <w:r w:rsidR="003C2743" w:rsidRPr="00AF5D00">
              <w:rPr>
                <w:rStyle w:val="Hyperlink"/>
                <w:noProof/>
              </w:rPr>
              <w:t>Guideline No. 11</w:t>
            </w:r>
            <w:r w:rsidR="003C2743">
              <w:rPr>
                <w:noProof/>
                <w:webHidden/>
              </w:rPr>
              <w:tab/>
            </w:r>
            <w:r w:rsidR="003C2743">
              <w:rPr>
                <w:noProof/>
                <w:webHidden/>
              </w:rPr>
              <w:fldChar w:fldCharType="begin"/>
            </w:r>
            <w:r w:rsidR="003C2743">
              <w:rPr>
                <w:noProof/>
                <w:webHidden/>
              </w:rPr>
              <w:instrText xml:space="preserve"> PAGEREF _Toc23200825 \h </w:instrText>
            </w:r>
            <w:r w:rsidR="003C2743">
              <w:rPr>
                <w:noProof/>
                <w:webHidden/>
              </w:rPr>
            </w:r>
            <w:r w:rsidR="003C2743">
              <w:rPr>
                <w:noProof/>
                <w:webHidden/>
              </w:rPr>
              <w:fldChar w:fldCharType="separate"/>
            </w:r>
            <w:r w:rsidR="00E95A7E">
              <w:rPr>
                <w:noProof/>
                <w:webHidden/>
              </w:rPr>
              <w:t>21</w:t>
            </w:r>
            <w:r w:rsidR="003C2743">
              <w:rPr>
                <w:noProof/>
                <w:webHidden/>
              </w:rPr>
              <w:fldChar w:fldCharType="end"/>
            </w:r>
          </w:hyperlink>
        </w:p>
        <w:p w14:paraId="3A521629" w14:textId="7674BAA1" w:rsidR="003C2743" w:rsidRDefault="00B10045">
          <w:pPr>
            <w:pStyle w:val="TOC3"/>
            <w:tabs>
              <w:tab w:val="right" w:leader="dot" w:pos="9016"/>
            </w:tabs>
            <w:rPr>
              <w:noProof/>
              <w:lang w:val="en-US" w:eastAsia="en-US"/>
            </w:rPr>
          </w:pPr>
          <w:hyperlink w:anchor="_Toc23200826" w:history="1">
            <w:r w:rsidR="003C2743" w:rsidRPr="00AF5D00">
              <w:rPr>
                <w:rStyle w:val="Hyperlink"/>
                <w:noProof/>
              </w:rPr>
              <w:t>Specify the responsibilities of each level of government and ensure co-ordination and accountability for the realization of the right to adequate housing</w:t>
            </w:r>
            <w:r w:rsidR="003C2743">
              <w:rPr>
                <w:noProof/>
                <w:webHidden/>
              </w:rPr>
              <w:tab/>
            </w:r>
            <w:r w:rsidR="003C2743">
              <w:rPr>
                <w:noProof/>
                <w:webHidden/>
              </w:rPr>
              <w:fldChar w:fldCharType="begin"/>
            </w:r>
            <w:r w:rsidR="003C2743">
              <w:rPr>
                <w:noProof/>
                <w:webHidden/>
              </w:rPr>
              <w:instrText xml:space="preserve"> PAGEREF _Toc23200826 \h </w:instrText>
            </w:r>
            <w:r w:rsidR="003C2743">
              <w:rPr>
                <w:noProof/>
                <w:webHidden/>
              </w:rPr>
            </w:r>
            <w:r w:rsidR="003C2743">
              <w:rPr>
                <w:noProof/>
                <w:webHidden/>
              </w:rPr>
              <w:fldChar w:fldCharType="separate"/>
            </w:r>
            <w:r w:rsidR="00E95A7E">
              <w:rPr>
                <w:noProof/>
                <w:webHidden/>
              </w:rPr>
              <w:t>21</w:t>
            </w:r>
            <w:r w:rsidR="003C2743">
              <w:rPr>
                <w:noProof/>
                <w:webHidden/>
              </w:rPr>
              <w:fldChar w:fldCharType="end"/>
            </w:r>
          </w:hyperlink>
        </w:p>
        <w:p w14:paraId="7A290113" w14:textId="6DE372E9" w:rsidR="003C2743" w:rsidRDefault="00B10045">
          <w:pPr>
            <w:pStyle w:val="TOC2"/>
            <w:rPr>
              <w:noProof/>
              <w:lang w:val="en-US" w:eastAsia="en-US"/>
            </w:rPr>
          </w:pPr>
          <w:hyperlink w:anchor="_Toc23200827" w:history="1">
            <w:r w:rsidR="003C2743" w:rsidRPr="00AF5D00">
              <w:rPr>
                <w:rStyle w:val="Hyperlink"/>
                <w:noProof/>
              </w:rPr>
              <w:t>Guideline No. 12</w:t>
            </w:r>
            <w:r w:rsidR="003C2743">
              <w:rPr>
                <w:noProof/>
                <w:webHidden/>
              </w:rPr>
              <w:tab/>
            </w:r>
            <w:r w:rsidR="003C2743">
              <w:rPr>
                <w:noProof/>
                <w:webHidden/>
              </w:rPr>
              <w:fldChar w:fldCharType="begin"/>
            </w:r>
            <w:r w:rsidR="003C2743">
              <w:rPr>
                <w:noProof/>
                <w:webHidden/>
              </w:rPr>
              <w:instrText xml:space="preserve"> PAGEREF _Toc23200827 \h </w:instrText>
            </w:r>
            <w:r w:rsidR="003C2743">
              <w:rPr>
                <w:noProof/>
                <w:webHidden/>
              </w:rPr>
            </w:r>
            <w:r w:rsidR="003C2743">
              <w:rPr>
                <w:noProof/>
                <w:webHidden/>
              </w:rPr>
              <w:fldChar w:fldCharType="separate"/>
            </w:r>
            <w:r w:rsidR="00E95A7E">
              <w:rPr>
                <w:noProof/>
                <w:webHidden/>
              </w:rPr>
              <w:t>22</w:t>
            </w:r>
            <w:r w:rsidR="003C2743">
              <w:rPr>
                <w:noProof/>
                <w:webHidden/>
              </w:rPr>
              <w:fldChar w:fldCharType="end"/>
            </w:r>
          </w:hyperlink>
        </w:p>
        <w:p w14:paraId="121B4279" w14:textId="596BD670" w:rsidR="003C2743" w:rsidRDefault="00B10045">
          <w:pPr>
            <w:pStyle w:val="TOC3"/>
            <w:tabs>
              <w:tab w:val="right" w:leader="dot" w:pos="9016"/>
            </w:tabs>
            <w:rPr>
              <w:noProof/>
              <w:lang w:val="en-US" w:eastAsia="en-US"/>
            </w:rPr>
          </w:pPr>
          <w:hyperlink w:anchor="_Toc23200828" w:history="1">
            <w:r w:rsidR="003C2743" w:rsidRPr="00AF5D00">
              <w:rPr>
                <w:rStyle w:val="Hyperlink"/>
                <w:noProof/>
              </w:rPr>
              <w:t>Upgrade informal settlements incorporating a human rights-based approach</w:t>
            </w:r>
            <w:r w:rsidR="003C2743">
              <w:rPr>
                <w:noProof/>
                <w:webHidden/>
              </w:rPr>
              <w:tab/>
            </w:r>
            <w:r w:rsidR="003C2743">
              <w:rPr>
                <w:noProof/>
                <w:webHidden/>
              </w:rPr>
              <w:fldChar w:fldCharType="begin"/>
            </w:r>
            <w:r w:rsidR="003C2743">
              <w:rPr>
                <w:noProof/>
                <w:webHidden/>
              </w:rPr>
              <w:instrText xml:space="preserve"> PAGEREF _Toc23200828 \h </w:instrText>
            </w:r>
            <w:r w:rsidR="003C2743">
              <w:rPr>
                <w:noProof/>
                <w:webHidden/>
              </w:rPr>
            </w:r>
            <w:r w:rsidR="003C2743">
              <w:rPr>
                <w:noProof/>
                <w:webHidden/>
              </w:rPr>
              <w:fldChar w:fldCharType="separate"/>
            </w:r>
            <w:r w:rsidR="00E95A7E">
              <w:rPr>
                <w:noProof/>
                <w:webHidden/>
              </w:rPr>
              <w:t>23</w:t>
            </w:r>
            <w:r w:rsidR="003C2743">
              <w:rPr>
                <w:noProof/>
                <w:webHidden/>
              </w:rPr>
              <w:fldChar w:fldCharType="end"/>
            </w:r>
          </w:hyperlink>
        </w:p>
        <w:p w14:paraId="3AD1C624" w14:textId="5BCFDC37" w:rsidR="003C2743" w:rsidRDefault="00B10045">
          <w:pPr>
            <w:pStyle w:val="TOC2"/>
            <w:rPr>
              <w:noProof/>
              <w:lang w:val="en-US" w:eastAsia="en-US"/>
            </w:rPr>
          </w:pPr>
          <w:hyperlink w:anchor="_Toc23200829" w:history="1">
            <w:r w:rsidR="003C2743" w:rsidRPr="00AF5D00">
              <w:rPr>
                <w:rStyle w:val="Hyperlink"/>
                <w:noProof/>
              </w:rPr>
              <w:t>Guideline No. 13</w:t>
            </w:r>
            <w:r w:rsidR="003C2743">
              <w:rPr>
                <w:noProof/>
                <w:webHidden/>
              </w:rPr>
              <w:tab/>
            </w:r>
            <w:r w:rsidR="003C2743">
              <w:rPr>
                <w:noProof/>
                <w:webHidden/>
              </w:rPr>
              <w:fldChar w:fldCharType="begin"/>
            </w:r>
            <w:r w:rsidR="003C2743">
              <w:rPr>
                <w:noProof/>
                <w:webHidden/>
              </w:rPr>
              <w:instrText xml:space="preserve"> PAGEREF _Toc23200829 \h </w:instrText>
            </w:r>
            <w:r w:rsidR="003C2743">
              <w:rPr>
                <w:noProof/>
                <w:webHidden/>
              </w:rPr>
            </w:r>
            <w:r w:rsidR="003C2743">
              <w:rPr>
                <w:noProof/>
                <w:webHidden/>
              </w:rPr>
              <w:fldChar w:fldCharType="separate"/>
            </w:r>
            <w:r w:rsidR="00E95A7E">
              <w:rPr>
                <w:noProof/>
                <w:webHidden/>
              </w:rPr>
              <w:t>24</w:t>
            </w:r>
            <w:r w:rsidR="003C2743">
              <w:rPr>
                <w:noProof/>
                <w:webHidden/>
              </w:rPr>
              <w:fldChar w:fldCharType="end"/>
            </w:r>
          </w:hyperlink>
        </w:p>
        <w:p w14:paraId="1CAB3709" w14:textId="46ED1246" w:rsidR="003C2743" w:rsidRDefault="00B10045">
          <w:pPr>
            <w:pStyle w:val="TOC3"/>
            <w:tabs>
              <w:tab w:val="right" w:leader="dot" w:pos="9016"/>
            </w:tabs>
            <w:rPr>
              <w:noProof/>
              <w:lang w:val="en-US" w:eastAsia="en-US"/>
            </w:rPr>
          </w:pPr>
          <w:hyperlink w:anchor="_Toc23200830" w:history="1">
            <w:r w:rsidR="003C2743" w:rsidRPr="00AF5D00">
              <w:rPr>
                <w:rStyle w:val="Hyperlink"/>
                <w:noProof/>
              </w:rPr>
              <w:t>Prohibit forced evictions and prevent any evictions</w:t>
            </w:r>
            <w:r w:rsidR="003C2743">
              <w:rPr>
                <w:noProof/>
                <w:webHidden/>
              </w:rPr>
              <w:tab/>
            </w:r>
            <w:r w:rsidR="003C2743">
              <w:rPr>
                <w:noProof/>
                <w:webHidden/>
              </w:rPr>
              <w:fldChar w:fldCharType="begin"/>
            </w:r>
            <w:r w:rsidR="003C2743">
              <w:rPr>
                <w:noProof/>
                <w:webHidden/>
              </w:rPr>
              <w:instrText xml:space="preserve"> PAGEREF _Toc23200830 \h </w:instrText>
            </w:r>
            <w:r w:rsidR="003C2743">
              <w:rPr>
                <w:noProof/>
                <w:webHidden/>
              </w:rPr>
            </w:r>
            <w:r w:rsidR="003C2743">
              <w:rPr>
                <w:noProof/>
                <w:webHidden/>
              </w:rPr>
              <w:fldChar w:fldCharType="separate"/>
            </w:r>
            <w:r w:rsidR="00E95A7E">
              <w:rPr>
                <w:noProof/>
                <w:webHidden/>
              </w:rPr>
              <w:t>24</w:t>
            </w:r>
            <w:r w:rsidR="003C2743">
              <w:rPr>
                <w:noProof/>
                <w:webHidden/>
              </w:rPr>
              <w:fldChar w:fldCharType="end"/>
            </w:r>
          </w:hyperlink>
        </w:p>
        <w:p w14:paraId="6F6B1395" w14:textId="0F1C77E7" w:rsidR="003C2743" w:rsidRDefault="00B10045">
          <w:pPr>
            <w:pStyle w:val="TOC2"/>
            <w:rPr>
              <w:noProof/>
              <w:lang w:val="en-US" w:eastAsia="en-US"/>
            </w:rPr>
          </w:pPr>
          <w:hyperlink w:anchor="_Toc23200831" w:history="1">
            <w:r w:rsidR="003C2743" w:rsidRPr="00AF5D00">
              <w:rPr>
                <w:rStyle w:val="Hyperlink"/>
                <w:noProof/>
              </w:rPr>
              <w:t>Guideline No. 14</w:t>
            </w:r>
            <w:r w:rsidR="003C2743">
              <w:rPr>
                <w:noProof/>
                <w:webHidden/>
              </w:rPr>
              <w:tab/>
            </w:r>
            <w:r w:rsidR="003C2743">
              <w:rPr>
                <w:noProof/>
                <w:webHidden/>
              </w:rPr>
              <w:fldChar w:fldCharType="begin"/>
            </w:r>
            <w:r w:rsidR="003C2743">
              <w:rPr>
                <w:noProof/>
                <w:webHidden/>
              </w:rPr>
              <w:instrText xml:space="preserve"> PAGEREF _Toc23200831 \h </w:instrText>
            </w:r>
            <w:r w:rsidR="003C2743">
              <w:rPr>
                <w:noProof/>
                <w:webHidden/>
              </w:rPr>
            </w:r>
            <w:r w:rsidR="003C2743">
              <w:rPr>
                <w:noProof/>
                <w:webHidden/>
              </w:rPr>
              <w:fldChar w:fldCharType="separate"/>
            </w:r>
            <w:r w:rsidR="00E95A7E">
              <w:rPr>
                <w:noProof/>
                <w:webHidden/>
              </w:rPr>
              <w:t>26</w:t>
            </w:r>
            <w:r w:rsidR="003C2743">
              <w:rPr>
                <w:noProof/>
                <w:webHidden/>
              </w:rPr>
              <w:fldChar w:fldCharType="end"/>
            </w:r>
          </w:hyperlink>
        </w:p>
        <w:p w14:paraId="79DB279F" w14:textId="2E5E0FA5" w:rsidR="003C2743" w:rsidRDefault="00B10045">
          <w:pPr>
            <w:pStyle w:val="TOC3"/>
            <w:tabs>
              <w:tab w:val="right" w:leader="dot" w:pos="9016"/>
            </w:tabs>
            <w:rPr>
              <w:noProof/>
              <w:lang w:val="en-US" w:eastAsia="en-US"/>
            </w:rPr>
          </w:pPr>
          <w:hyperlink w:anchor="_Toc23200832" w:history="1">
            <w:r w:rsidR="003C2743" w:rsidRPr="00AF5D00">
              <w:rPr>
                <w:rStyle w:val="Hyperlink"/>
                <w:noProof/>
              </w:rPr>
              <w:t>Review all housing and related policies to ensure their environmental sustainability and develop and implement strategies to address the effects of the climate crisis on the right to housing</w:t>
            </w:r>
            <w:r w:rsidR="003C2743">
              <w:rPr>
                <w:noProof/>
                <w:webHidden/>
              </w:rPr>
              <w:tab/>
            </w:r>
            <w:r w:rsidR="003C2743">
              <w:rPr>
                <w:noProof/>
                <w:webHidden/>
              </w:rPr>
              <w:fldChar w:fldCharType="begin"/>
            </w:r>
            <w:r w:rsidR="003C2743">
              <w:rPr>
                <w:noProof/>
                <w:webHidden/>
              </w:rPr>
              <w:instrText xml:space="preserve"> PAGEREF _Toc23200832 \h </w:instrText>
            </w:r>
            <w:r w:rsidR="003C2743">
              <w:rPr>
                <w:noProof/>
                <w:webHidden/>
              </w:rPr>
            </w:r>
            <w:r w:rsidR="003C2743">
              <w:rPr>
                <w:noProof/>
                <w:webHidden/>
              </w:rPr>
              <w:fldChar w:fldCharType="separate"/>
            </w:r>
            <w:r w:rsidR="00E95A7E">
              <w:rPr>
                <w:noProof/>
                <w:webHidden/>
              </w:rPr>
              <w:t>26</w:t>
            </w:r>
            <w:r w:rsidR="003C2743">
              <w:rPr>
                <w:noProof/>
                <w:webHidden/>
              </w:rPr>
              <w:fldChar w:fldCharType="end"/>
            </w:r>
          </w:hyperlink>
        </w:p>
        <w:p w14:paraId="678BFF90" w14:textId="147924E0" w:rsidR="003C2743" w:rsidRDefault="00B10045">
          <w:pPr>
            <w:pStyle w:val="TOC2"/>
            <w:rPr>
              <w:noProof/>
              <w:lang w:val="en-US" w:eastAsia="en-US"/>
            </w:rPr>
          </w:pPr>
          <w:hyperlink w:anchor="_Toc23200833" w:history="1">
            <w:r w:rsidR="003C2743" w:rsidRPr="00AF5D00">
              <w:rPr>
                <w:rStyle w:val="Hyperlink"/>
                <w:noProof/>
              </w:rPr>
              <w:t>Guideline No. 15</w:t>
            </w:r>
            <w:r w:rsidR="003C2743">
              <w:rPr>
                <w:noProof/>
                <w:webHidden/>
              </w:rPr>
              <w:tab/>
            </w:r>
            <w:r w:rsidR="003C2743">
              <w:rPr>
                <w:noProof/>
                <w:webHidden/>
              </w:rPr>
              <w:fldChar w:fldCharType="begin"/>
            </w:r>
            <w:r w:rsidR="003C2743">
              <w:rPr>
                <w:noProof/>
                <w:webHidden/>
              </w:rPr>
              <w:instrText xml:space="preserve"> PAGEREF _Toc23200833 \h </w:instrText>
            </w:r>
            <w:r w:rsidR="003C2743">
              <w:rPr>
                <w:noProof/>
                <w:webHidden/>
              </w:rPr>
            </w:r>
            <w:r w:rsidR="003C2743">
              <w:rPr>
                <w:noProof/>
                <w:webHidden/>
              </w:rPr>
              <w:fldChar w:fldCharType="separate"/>
            </w:r>
            <w:r w:rsidR="00E95A7E">
              <w:rPr>
                <w:noProof/>
                <w:webHidden/>
              </w:rPr>
              <w:t>27</w:t>
            </w:r>
            <w:r w:rsidR="003C2743">
              <w:rPr>
                <w:noProof/>
                <w:webHidden/>
              </w:rPr>
              <w:fldChar w:fldCharType="end"/>
            </w:r>
          </w:hyperlink>
        </w:p>
        <w:p w14:paraId="00D81A72" w14:textId="3A1E39D7" w:rsidR="003C2743" w:rsidRDefault="00B10045">
          <w:pPr>
            <w:pStyle w:val="TOC3"/>
            <w:tabs>
              <w:tab w:val="right" w:leader="dot" w:pos="9016"/>
            </w:tabs>
            <w:rPr>
              <w:noProof/>
              <w:lang w:val="en-US" w:eastAsia="en-US"/>
            </w:rPr>
          </w:pPr>
          <w:hyperlink w:anchor="_Toc23200834" w:history="1">
            <w:r w:rsidR="003C2743" w:rsidRPr="00AF5D00">
              <w:rPr>
                <w:rStyle w:val="Hyperlink"/>
                <w:noProof/>
              </w:rPr>
              <w:t>Ensure effective monitoring and accountability mechanisms</w:t>
            </w:r>
            <w:r w:rsidR="003C2743">
              <w:rPr>
                <w:noProof/>
                <w:webHidden/>
              </w:rPr>
              <w:tab/>
            </w:r>
            <w:r w:rsidR="003C2743">
              <w:rPr>
                <w:noProof/>
                <w:webHidden/>
              </w:rPr>
              <w:fldChar w:fldCharType="begin"/>
            </w:r>
            <w:r w:rsidR="003C2743">
              <w:rPr>
                <w:noProof/>
                <w:webHidden/>
              </w:rPr>
              <w:instrText xml:space="preserve"> PAGEREF _Toc23200834 \h </w:instrText>
            </w:r>
            <w:r w:rsidR="003C2743">
              <w:rPr>
                <w:noProof/>
                <w:webHidden/>
              </w:rPr>
            </w:r>
            <w:r w:rsidR="003C2743">
              <w:rPr>
                <w:noProof/>
                <w:webHidden/>
              </w:rPr>
              <w:fldChar w:fldCharType="separate"/>
            </w:r>
            <w:r w:rsidR="00E95A7E">
              <w:rPr>
                <w:noProof/>
                <w:webHidden/>
              </w:rPr>
              <w:t>27</w:t>
            </w:r>
            <w:r w:rsidR="003C2743">
              <w:rPr>
                <w:noProof/>
                <w:webHidden/>
              </w:rPr>
              <w:fldChar w:fldCharType="end"/>
            </w:r>
          </w:hyperlink>
        </w:p>
        <w:p w14:paraId="7D7B46CD" w14:textId="213CC23D" w:rsidR="003C2743" w:rsidRDefault="00B10045">
          <w:pPr>
            <w:pStyle w:val="TOC2"/>
            <w:rPr>
              <w:noProof/>
              <w:lang w:val="en-US" w:eastAsia="en-US"/>
            </w:rPr>
          </w:pPr>
          <w:hyperlink w:anchor="_Toc23200835" w:history="1">
            <w:r w:rsidR="003C2743" w:rsidRPr="00AF5D00">
              <w:rPr>
                <w:rStyle w:val="Hyperlink"/>
                <w:noProof/>
              </w:rPr>
              <w:t>Guideline No. 16</w:t>
            </w:r>
            <w:r w:rsidR="003C2743">
              <w:rPr>
                <w:noProof/>
                <w:webHidden/>
              </w:rPr>
              <w:tab/>
            </w:r>
            <w:r w:rsidR="003C2743">
              <w:rPr>
                <w:noProof/>
                <w:webHidden/>
              </w:rPr>
              <w:fldChar w:fldCharType="begin"/>
            </w:r>
            <w:r w:rsidR="003C2743">
              <w:rPr>
                <w:noProof/>
                <w:webHidden/>
              </w:rPr>
              <w:instrText xml:space="preserve"> PAGEREF _Toc23200835 \h </w:instrText>
            </w:r>
            <w:r w:rsidR="003C2743">
              <w:rPr>
                <w:noProof/>
                <w:webHidden/>
              </w:rPr>
            </w:r>
            <w:r w:rsidR="003C2743">
              <w:rPr>
                <w:noProof/>
                <w:webHidden/>
              </w:rPr>
              <w:fldChar w:fldCharType="separate"/>
            </w:r>
            <w:r w:rsidR="00E95A7E">
              <w:rPr>
                <w:noProof/>
                <w:webHidden/>
              </w:rPr>
              <w:t>29</w:t>
            </w:r>
            <w:r w:rsidR="003C2743">
              <w:rPr>
                <w:noProof/>
                <w:webHidden/>
              </w:rPr>
              <w:fldChar w:fldCharType="end"/>
            </w:r>
          </w:hyperlink>
        </w:p>
        <w:p w14:paraId="7D5819EF" w14:textId="647EEE45" w:rsidR="003C2743" w:rsidRDefault="00B10045">
          <w:pPr>
            <w:pStyle w:val="TOC3"/>
            <w:tabs>
              <w:tab w:val="right" w:leader="dot" w:pos="9016"/>
            </w:tabs>
            <w:rPr>
              <w:noProof/>
              <w:lang w:val="en-US" w:eastAsia="en-US"/>
            </w:rPr>
          </w:pPr>
          <w:hyperlink w:anchor="_Toc23200836" w:history="1">
            <w:r w:rsidR="003C2743" w:rsidRPr="00AF5D00">
              <w:rPr>
                <w:rStyle w:val="Hyperlink"/>
                <w:noProof/>
              </w:rPr>
              <w:t>Ensure access to justice for all aspects of the right to housing</w:t>
            </w:r>
            <w:r w:rsidR="003C2743">
              <w:rPr>
                <w:noProof/>
                <w:webHidden/>
              </w:rPr>
              <w:tab/>
            </w:r>
            <w:r w:rsidR="003C2743">
              <w:rPr>
                <w:noProof/>
                <w:webHidden/>
              </w:rPr>
              <w:fldChar w:fldCharType="begin"/>
            </w:r>
            <w:r w:rsidR="003C2743">
              <w:rPr>
                <w:noProof/>
                <w:webHidden/>
              </w:rPr>
              <w:instrText xml:space="preserve"> PAGEREF _Toc23200836 \h </w:instrText>
            </w:r>
            <w:r w:rsidR="003C2743">
              <w:rPr>
                <w:noProof/>
                <w:webHidden/>
              </w:rPr>
            </w:r>
            <w:r w:rsidR="003C2743">
              <w:rPr>
                <w:noProof/>
                <w:webHidden/>
              </w:rPr>
              <w:fldChar w:fldCharType="separate"/>
            </w:r>
            <w:r w:rsidR="00E95A7E">
              <w:rPr>
                <w:noProof/>
                <w:webHidden/>
              </w:rPr>
              <w:t>29</w:t>
            </w:r>
            <w:r w:rsidR="003C2743">
              <w:rPr>
                <w:noProof/>
                <w:webHidden/>
              </w:rPr>
              <w:fldChar w:fldCharType="end"/>
            </w:r>
          </w:hyperlink>
        </w:p>
        <w:p w14:paraId="37E7EE1F" w14:textId="1556EA38" w:rsidR="003C2743" w:rsidRDefault="00B10045">
          <w:pPr>
            <w:pStyle w:val="TOC2"/>
            <w:rPr>
              <w:noProof/>
              <w:lang w:val="en-US" w:eastAsia="en-US"/>
            </w:rPr>
          </w:pPr>
          <w:hyperlink w:anchor="_Toc23200837" w:history="1">
            <w:r w:rsidR="003C2743" w:rsidRPr="00AF5D00">
              <w:rPr>
                <w:rStyle w:val="Hyperlink"/>
                <w:noProof/>
              </w:rPr>
              <w:t>Guideline No. 17</w:t>
            </w:r>
            <w:r w:rsidR="003C2743">
              <w:rPr>
                <w:noProof/>
                <w:webHidden/>
              </w:rPr>
              <w:tab/>
            </w:r>
            <w:r w:rsidR="003C2743">
              <w:rPr>
                <w:noProof/>
                <w:webHidden/>
              </w:rPr>
              <w:fldChar w:fldCharType="begin"/>
            </w:r>
            <w:r w:rsidR="003C2743">
              <w:rPr>
                <w:noProof/>
                <w:webHidden/>
              </w:rPr>
              <w:instrText xml:space="preserve"> PAGEREF _Toc23200837 \h </w:instrText>
            </w:r>
            <w:r w:rsidR="003C2743">
              <w:rPr>
                <w:noProof/>
                <w:webHidden/>
              </w:rPr>
            </w:r>
            <w:r w:rsidR="003C2743">
              <w:rPr>
                <w:noProof/>
                <w:webHidden/>
              </w:rPr>
              <w:fldChar w:fldCharType="separate"/>
            </w:r>
            <w:r w:rsidR="00E95A7E">
              <w:rPr>
                <w:noProof/>
                <w:webHidden/>
              </w:rPr>
              <w:t>31</w:t>
            </w:r>
            <w:r w:rsidR="003C2743">
              <w:rPr>
                <w:noProof/>
                <w:webHidden/>
              </w:rPr>
              <w:fldChar w:fldCharType="end"/>
            </w:r>
          </w:hyperlink>
        </w:p>
        <w:p w14:paraId="57A6DE52" w14:textId="18C5F65B" w:rsidR="003C2743" w:rsidRDefault="00B10045">
          <w:pPr>
            <w:pStyle w:val="TOC3"/>
            <w:tabs>
              <w:tab w:val="right" w:leader="dot" w:pos="9016"/>
            </w:tabs>
            <w:rPr>
              <w:noProof/>
              <w:lang w:val="en-US" w:eastAsia="en-US"/>
            </w:rPr>
          </w:pPr>
          <w:hyperlink w:anchor="_Toc23200838" w:history="1">
            <w:r w:rsidR="003C2743" w:rsidRPr="00AF5D00">
              <w:rPr>
                <w:rStyle w:val="Hyperlink"/>
                <w:noProof/>
              </w:rPr>
              <w:t>Undertake international cooperation to ensure the realization of the right to adequate housing</w:t>
            </w:r>
            <w:r w:rsidR="003C2743">
              <w:rPr>
                <w:noProof/>
                <w:webHidden/>
              </w:rPr>
              <w:tab/>
            </w:r>
            <w:r w:rsidR="003C2743">
              <w:rPr>
                <w:noProof/>
                <w:webHidden/>
              </w:rPr>
              <w:fldChar w:fldCharType="begin"/>
            </w:r>
            <w:r w:rsidR="003C2743">
              <w:rPr>
                <w:noProof/>
                <w:webHidden/>
              </w:rPr>
              <w:instrText xml:space="preserve"> PAGEREF _Toc23200838 \h </w:instrText>
            </w:r>
            <w:r w:rsidR="003C2743">
              <w:rPr>
                <w:noProof/>
                <w:webHidden/>
              </w:rPr>
            </w:r>
            <w:r w:rsidR="003C2743">
              <w:rPr>
                <w:noProof/>
                <w:webHidden/>
              </w:rPr>
              <w:fldChar w:fldCharType="separate"/>
            </w:r>
            <w:r w:rsidR="00E95A7E">
              <w:rPr>
                <w:noProof/>
                <w:webHidden/>
              </w:rPr>
              <w:t>31</w:t>
            </w:r>
            <w:r w:rsidR="003C2743">
              <w:rPr>
                <w:noProof/>
                <w:webHidden/>
              </w:rPr>
              <w:fldChar w:fldCharType="end"/>
            </w:r>
          </w:hyperlink>
        </w:p>
        <w:p w14:paraId="195C5AED" w14:textId="4D31AAF9" w:rsidR="00121444" w:rsidRDefault="00121444">
          <w:r>
            <w:rPr>
              <w:b/>
              <w:bCs/>
              <w:noProof/>
            </w:rPr>
            <w:fldChar w:fldCharType="end"/>
          </w:r>
        </w:p>
      </w:sdtContent>
    </w:sdt>
    <w:p w14:paraId="39FCEED2" w14:textId="50DC5BF1" w:rsidR="00230F08" w:rsidRDefault="00230F08" w:rsidP="003B76A1">
      <w:pPr>
        <w:pStyle w:val="Heading1"/>
        <w:numPr>
          <w:ilvl w:val="0"/>
          <w:numId w:val="19"/>
        </w:numPr>
        <w:ind w:left="709" w:hanging="709"/>
        <w:jc w:val="left"/>
      </w:pPr>
      <w:bookmarkStart w:id="1" w:name="_Toc23200803"/>
      <w:r w:rsidRPr="00545FDC">
        <w:t>Introduction</w:t>
      </w:r>
      <w:bookmarkEnd w:id="1"/>
    </w:p>
    <w:p w14:paraId="1D7785B9" w14:textId="77777777" w:rsidR="00545FDC" w:rsidRPr="00545FDC" w:rsidRDefault="00545FDC" w:rsidP="00545FDC"/>
    <w:p w14:paraId="3762B313" w14:textId="3E52F6B6" w:rsidR="00230F08" w:rsidRDefault="008A4E5C" w:rsidP="00230F08">
      <w:pPr>
        <w:jc w:val="both"/>
      </w:pPr>
      <w:r>
        <w:t>1.</w:t>
      </w:r>
      <w:r>
        <w:tab/>
      </w:r>
      <w:r w:rsidR="00230F08" w:rsidRPr="001E757A">
        <w:t>Th</w:t>
      </w:r>
      <w:r w:rsidR="00230F08">
        <w:t xml:space="preserve">is </w:t>
      </w:r>
      <w:r w:rsidR="00230F08" w:rsidRPr="001E757A">
        <w:t>is the final report of the</w:t>
      </w:r>
      <w:r w:rsidR="00230F08">
        <w:t xml:space="preserve"> </w:t>
      </w:r>
      <w:r w:rsidR="00230F08" w:rsidRPr="001E757A">
        <w:t xml:space="preserve">Special Rapporteur </w:t>
      </w:r>
      <w:r>
        <w:t xml:space="preserve">on the right to adequate housing, Ms. Leilani Farha, </w:t>
      </w:r>
      <w:r w:rsidR="00230F08" w:rsidRPr="001E757A">
        <w:t>to the Human Rights Council.</w:t>
      </w:r>
      <w:r w:rsidR="00230F08">
        <w:t xml:space="preserve"> Based on her experiences during the six-year mandate and reflecting on the present state of affairs in relation to the right to housing globally, the Special Rapporteur is presenting framework guidelines for the implementation of the right to housing.  </w:t>
      </w:r>
    </w:p>
    <w:p w14:paraId="607CB000" w14:textId="77777777" w:rsidR="00486065" w:rsidRDefault="008A4E5C" w:rsidP="00230F08">
      <w:pPr>
        <w:jc w:val="both"/>
      </w:pPr>
      <w:r>
        <w:t>2.</w:t>
      </w:r>
      <w:r>
        <w:tab/>
      </w:r>
      <w:r w:rsidR="00230F08">
        <w:t>There is now only a decade remaining for States to reach target 11.1 of the Sustainable Development Goals, upgrade informal settlements and ensur</w:t>
      </w:r>
      <w:r w:rsidR="00486065">
        <w:t>e</w:t>
      </w:r>
      <w:r w:rsidR="00230F08">
        <w:t xml:space="preserve"> adequate housing for all.</w:t>
      </w:r>
      <w:r w:rsidR="00486065">
        <w:t xml:space="preserve"> </w:t>
      </w:r>
      <w:r w:rsidR="00230F08">
        <w:t>More than 1.8 billion people lack adequate housing and the number of people living in informal settlements has now surpassed 1 billion.</w:t>
      </w:r>
      <w:r w:rsidR="00230F08">
        <w:rPr>
          <w:rStyle w:val="FootnoteReference"/>
        </w:rPr>
        <w:footnoteReference w:id="1"/>
      </w:r>
      <w:r w:rsidR="00486065">
        <w:t xml:space="preserve"> </w:t>
      </w:r>
      <w:r w:rsidR="00230F08">
        <w:t xml:space="preserve">Throughout the world, </w:t>
      </w:r>
      <w:r w:rsidR="005C5913">
        <w:t xml:space="preserve">it is estimated that </w:t>
      </w:r>
      <w:r w:rsidR="00230F08">
        <w:t>1</w:t>
      </w:r>
      <w:r w:rsidR="00441FE3">
        <w:t>50</w:t>
      </w:r>
      <w:r w:rsidR="00230F08">
        <w:t xml:space="preserve"> million people are homeless</w:t>
      </w:r>
      <w:r w:rsidR="00230F08">
        <w:rPr>
          <w:rStyle w:val="FootnoteReference"/>
        </w:rPr>
        <w:footnoteReference w:id="2"/>
      </w:r>
      <w:r w:rsidR="00230F08">
        <w:t xml:space="preserve"> and 15 million are forcibly evicted every year.</w:t>
      </w:r>
      <w:r w:rsidR="00230F08">
        <w:rPr>
          <w:rStyle w:val="FootnoteReference"/>
        </w:rPr>
        <w:footnoteReference w:id="3"/>
      </w:r>
      <w:r w:rsidR="00230F08">
        <w:t xml:space="preserve"> Too often, reported progress in upgrading has only moved residents of </w:t>
      </w:r>
      <w:r w:rsidR="00230F08" w:rsidRPr="00A43919">
        <w:t xml:space="preserve">informal settlements from </w:t>
      </w:r>
      <w:r w:rsidR="00230F08">
        <w:t>their</w:t>
      </w:r>
      <w:r w:rsidR="00230F08" w:rsidRPr="00A43919">
        <w:t xml:space="preserve"> communities</w:t>
      </w:r>
      <w:r w:rsidR="00230F08">
        <w:t xml:space="preserve">, often against their will, into housing </w:t>
      </w:r>
      <w:r w:rsidR="00230F08" w:rsidRPr="00A43919">
        <w:t>units in locations with no access to work,</w:t>
      </w:r>
      <w:r w:rsidR="00701BA5">
        <w:t xml:space="preserve"> productive</w:t>
      </w:r>
      <w:r w:rsidR="00230F08" w:rsidRPr="00A43919">
        <w:t xml:space="preserve"> </w:t>
      </w:r>
      <w:r w:rsidR="002E3A5B">
        <w:t xml:space="preserve">lands, public </w:t>
      </w:r>
      <w:r>
        <w:t>services or community life.</w:t>
      </w:r>
    </w:p>
    <w:p w14:paraId="2A78D082" w14:textId="77777777" w:rsidR="00230F08" w:rsidRDefault="008A4E5C" w:rsidP="00230F08">
      <w:pPr>
        <w:jc w:val="both"/>
      </w:pPr>
      <w:r>
        <w:t>3.</w:t>
      </w:r>
      <w:r>
        <w:tab/>
      </w:r>
      <w:r w:rsidR="00230F08" w:rsidRPr="00A43919">
        <w:t xml:space="preserve">Private developers </w:t>
      </w:r>
      <w:r w:rsidR="006C7189">
        <w:t>and</w:t>
      </w:r>
      <w:r w:rsidR="00230F08" w:rsidRPr="00A43919">
        <w:t xml:space="preserve"> investors now dominate housing system</w:t>
      </w:r>
      <w:r w:rsidR="005C5913">
        <w:t xml:space="preserve">s in an unprecedented fashion, </w:t>
      </w:r>
      <w:r w:rsidR="002F3FC0">
        <w:t xml:space="preserve">often </w:t>
      </w:r>
      <w:r w:rsidR="00230F08" w:rsidRPr="00A43919">
        <w:t>divorc</w:t>
      </w:r>
      <w:r w:rsidR="00486065">
        <w:t>ing</w:t>
      </w:r>
      <w:r w:rsidR="00230F08" w:rsidRPr="00A43919">
        <w:t xml:space="preserve"> housing from its social function by treating it as </w:t>
      </w:r>
      <w:r w:rsidR="00230F08">
        <w:t xml:space="preserve">a </w:t>
      </w:r>
      <w:r>
        <w:t xml:space="preserve">commodity for speculation. </w:t>
      </w:r>
      <w:r w:rsidR="00230F08">
        <w:t xml:space="preserve">Informal settlements and </w:t>
      </w:r>
      <w:r w:rsidR="00230F08" w:rsidRPr="00A43919">
        <w:t xml:space="preserve">affordable housing </w:t>
      </w:r>
      <w:r w:rsidR="00D33872">
        <w:t xml:space="preserve">where lower income residents live </w:t>
      </w:r>
      <w:r w:rsidR="00230F08" w:rsidRPr="00A43919">
        <w:t xml:space="preserve">in cities </w:t>
      </w:r>
      <w:r w:rsidR="002F3FC0">
        <w:t xml:space="preserve">have become prime targets </w:t>
      </w:r>
      <w:r w:rsidR="00701BA5">
        <w:t>for</w:t>
      </w:r>
      <w:r w:rsidR="00D33872">
        <w:t xml:space="preserve"> private equity firms and pension funds </w:t>
      </w:r>
      <w:r w:rsidR="002F3FC0">
        <w:t xml:space="preserve">looking for </w:t>
      </w:r>
      <w:r w:rsidR="00230F08" w:rsidRPr="00A43919">
        <w:t xml:space="preserve">undervalued </w:t>
      </w:r>
      <w:r w:rsidR="00230F08">
        <w:t>“assets”</w:t>
      </w:r>
      <w:r w:rsidR="00D33872">
        <w:t>. The</w:t>
      </w:r>
      <w:r w:rsidR="00092635">
        <w:t xml:space="preserve">se assets are used </w:t>
      </w:r>
      <w:r w:rsidR="00230F08">
        <w:t>to park, grow and leverage capital</w:t>
      </w:r>
      <w:r w:rsidR="00C552F6">
        <w:t xml:space="preserve"> and </w:t>
      </w:r>
      <w:r w:rsidR="002F3FC0">
        <w:t xml:space="preserve">often to </w:t>
      </w:r>
      <w:r w:rsidR="00C552F6">
        <w:t>transform affordable housing into housing for the affluent</w:t>
      </w:r>
      <w:r w:rsidR="00230F08" w:rsidRPr="00A43919">
        <w:t xml:space="preserve">. </w:t>
      </w:r>
      <w:r w:rsidR="00582244">
        <w:t>Programs focused on housing-supply h</w:t>
      </w:r>
      <w:r w:rsidR="00230F08">
        <w:t>ave failed</w:t>
      </w:r>
      <w:r w:rsidR="00230F08" w:rsidRPr="00A43919">
        <w:t xml:space="preserve"> to address the</w:t>
      </w:r>
      <w:r w:rsidR="00230F08">
        <w:t>se</w:t>
      </w:r>
      <w:r w:rsidR="00230F08" w:rsidRPr="00A43919">
        <w:t xml:space="preserve"> broader systemic patterns</w:t>
      </w:r>
      <w:r w:rsidR="00230F08">
        <w:t xml:space="preserve"> at play</w:t>
      </w:r>
      <w:r w:rsidR="00230F08" w:rsidRPr="00A43919">
        <w:t xml:space="preserve"> or challenge the structural causes of the</w:t>
      </w:r>
      <w:r w:rsidR="00230F08">
        <w:t xml:space="preserve"> current</w:t>
      </w:r>
      <w:r w:rsidR="00230F08" w:rsidRPr="00A43919">
        <w:t xml:space="preserve"> human rights crisis in housing. </w:t>
      </w:r>
    </w:p>
    <w:p w14:paraId="77E3E344" w14:textId="1A8FB21B" w:rsidR="00BD00F4" w:rsidRDefault="008A4E5C" w:rsidP="008A4E5C">
      <w:pPr>
        <w:tabs>
          <w:tab w:val="left" w:pos="709"/>
        </w:tabs>
        <w:jc w:val="both"/>
      </w:pPr>
      <w:r>
        <w:t>4.</w:t>
      </w:r>
      <w:r>
        <w:tab/>
      </w:r>
      <w:r w:rsidR="00230F08">
        <w:t xml:space="preserve">This </w:t>
      </w:r>
      <w:r w:rsidR="00241EFE">
        <w:t xml:space="preserve">global </w:t>
      </w:r>
      <w:r w:rsidR="006C7189">
        <w:t>housing c</w:t>
      </w:r>
      <w:r w:rsidR="00230F08">
        <w:t xml:space="preserve">risis </w:t>
      </w:r>
      <w:r w:rsidR="006C7189">
        <w:t xml:space="preserve">is not </w:t>
      </w:r>
      <w:r w:rsidR="00230F08">
        <w:t xml:space="preserve">like any previous crisis.  </w:t>
      </w:r>
      <w:r w:rsidR="00241EFE">
        <w:t xml:space="preserve">It </w:t>
      </w:r>
      <w:r w:rsidR="00230F08">
        <w:t>is not caused by</w:t>
      </w:r>
      <w:r w:rsidR="00701BA5">
        <w:t xml:space="preserve"> a decline in</w:t>
      </w:r>
      <w:r w:rsidR="00230F08">
        <w:t xml:space="preserve"> resources or economic downturn but by economic growth, expansion</w:t>
      </w:r>
      <w:r w:rsidR="002F3FC0">
        <w:t>,</w:t>
      </w:r>
      <w:r w:rsidR="00230F08">
        <w:t xml:space="preserve"> </w:t>
      </w:r>
      <w:r w:rsidR="002F3FC0">
        <w:t xml:space="preserve">unbridled </w:t>
      </w:r>
      <w:r w:rsidR="00B13E32" w:rsidRPr="00241EFE">
        <w:t>accumulation</w:t>
      </w:r>
      <w:r w:rsidR="002F3FC0">
        <w:t xml:space="preserve"> and growing inequality</w:t>
      </w:r>
      <w:r w:rsidR="00230F08" w:rsidRPr="00241EFE">
        <w:t xml:space="preserve">. </w:t>
      </w:r>
      <w:r w:rsidR="00C552F6" w:rsidRPr="00241EFE">
        <w:t>Like</w:t>
      </w:r>
      <w:r w:rsidR="00C552F6">
        <w:t xml:space="preserve"> the climate crisis, it is linked to a flawed and unsustainable model of development and </w:t>
      </w:r>
      <w:r w:rsidR="00C552F6">
        <w:lastRenderedPageBreak/>
        <w:t xml:space="preserve">prosperity. </w:t>
      </w:r>
      <w:r w:rsidR="00230F08">
        <w:t xml:space="preserve">Housing has become a </w:t>
      </w:r>
      <w:r w:rsidR="009548C5">
        <w:t xml:space="preserve">key driver of </w:t>
      </w:r>
      <w:r w:rsidR="00230F08">
        <w:t>growing socio-economic inequality in most countries</w:t>
      </w:r>
      <w:r w:rsidR="00C552F6">
        <w:t>, increasing wealth for those who own housing and driving those who do</w:t>
      </w:r>
      <w:r w:rsidR="00C83EF8">
        <w:t xml:space="preserve"> not </w:t>
      </w:r>
      <w:r w:rsidR="00C552F6">
        <w:t>into greater debt and poverty</w:t>
      </w:r>
      <w:r w:rsidR="00230F08">
        <w:t>.</w:t>
      </w:r>
      <w:r w:rsidR="00230F08" w:rsidRPr="00B63395">
        <w:rPr>
          <w:rStyle w:val="FootnoteReference"/>
        </w:rPr>
        <w:t xml:space="preserve"> </w:t>
      </w:r>
      <w:r w:rsidR="00230F08">
        <w:rPr>
          <w:rStyle w:val="FootnoteReference"/>
        </w:rPr>
        <w:footnoteReference w:id="4"/>
      </w:r>
      <w:r w:rsidR="00230F08" w:rsidRPr="00F056CF">
        <w:t xml:space="preserve"> </w:t>
      </w:r>
      <w:r w:rsidR="00230F08">
        <w:t xml:space="preserve"> Homelessness ha</w:t>
      </w:r>
      <w:r w:rsidR="00701BA5">
        <w:t>s</w:t>
      </w:r>
      <w:r w:rsidR="00230F08">
        <w:t xml:space="preserve"> increased </w:t>
      </w:r>
      <w:r w:rsidR="00701BA5">
        <w:t xml:space="preserve">most </w:t>
      </w:r>
      <w:r w:rsidR="00ED0DDD">
        <w:t xml:space="preserve">dramatically </w:t>
      </w:r>
      <w:r w:rsidR="009548C5">
        <w:t>in</w:t>
      </w:r>
      <w:r w:rsidR="00230F08">
        <w:t xml:space="preserve"> the wealthiest cities, in global financial capitals and centres of new technology. </w:t>
      </w:r>
      <w:r w:rsidR="00BD00F4">
        <w:t xml:space="preserve">Many States seem to be taking one step forward and two steps back, implementing piecemeal protections and programs to build housing while abdicating responsibility for structural changes that erode their capacity to govern housing systems and to protect fundamental human rights in so central an aspect of peoples’ lives. </w:t>
      </w:r>
    </w:p>
    <w:p w14:paraId="7C9291F3" w14:textId="77777777" w:rsidR="00230F08" w:rsidRDefault="00ED0DDD" w:rsidP="00ED0DDD">
      <w:pPr>
        <w:tabs>
          <w:tab w:val="left" w:pos="709"/>
        </w:tabs>
        <w:jc w:val="both"/>
      </w:pPr>
      <w:r>
        <w:t>5.</w:t>
      </w:r>
      <w:r>
        <w:tab/>
      </w:r>
      <w:r w:rsidR="00230F08">
        <w:t xml:space="preserve">This raises unique challenges for the implementation of the right to housing.  Tinkering around the edges of an unsustainable model of economic development will not work.  The right to housing must be implemented in a manner that changes the way housing is </w:t>
      </w:r>
      <w:r w:rsidR="00B13E32">
        <w:t xml:space="preserve">currently </w:t>
      </w:r>
      <w:r w:rsidR="00230F08">
        <w:t xml:space="preserve">conceived, valued, produced and regulated. </w:t>
      </w:r>
    </w:p>
    <w:p w14:paraId="1DF606FF" w14:textId="77777777" w:rsidR="00230F08" w:rsidRDefault="00ED0DDD" w:rsidP="00230F08">
      <w:pPr>
        <w:jc w:val="both"/>
      </w:pPr>
      <w:r>
        <w:t>6.</w:t>
      </w:r>
      <w:r>
        <w:tab/>
      </w:r>
      <w:r w:rsidR="00230F08">
        <w:t xml:space="preserve">There are grounds for hope that this is possible.  </w:t>
      </w:r>
      <w:r w:rsidR="00C552F6">
        <w:t>C</w:t>
      </w:r>
      <w:r>
        <w:t>ivil society and G</w:t>
      </w:r>
      <w:r w:rsidR="00230F08">
        <w:t xml:space="preserve">overnments, from local to national, </w:t>
      </w:r>
      <w:r w:rsidR="00C552F6">
        <w:t xml:space="preserve">are now realizing </w:t>
      </w:r>
      <w:r w:rsidR="00230F08">
        <w:t xml:space="preserve">that the housing crisis is in fact a human rights crisis and that to address it, housing </w:t>
      </w:r>
      <w:r w:rsidR="00C552F6">
        <w:t xml:space="preserve">must be reclaimed </w:t>
      </w:r>
      <w:r w:rsidR="00230F08">
        <w:t xml:space="preserve">as a human right.  Many cities have joined forces in a global movement initiated by the Special Rapporteur in conjunction with the OHCHR and United Cities and Local Governments, committing to a fundamental shift in order to </w:t>
      </w:r>
      <w:r w:rsidR="00C552F6">
        <w:t xml:space="preserve">treat </w:t>
      </w:r>
      <w:r w:rsidR="00230F08">
        <w:t>housing as a human right</w:t>
      </w:r>
      <w:r w:rsidR="00C552F6">
        <w:t xml:space="preserve"> rather than as a commodity</w:t>
      </w:r>
      <w:r w:rsidR="00D2019A">
        <w:t xml:space="preserve">. </w:t>
      </w:r>
      <w:r w:rsidR="00230F08">
        <w:t xml:space="preserve">Neighbourhoods and communities around the world are organizing against development, </w:t>
      </w:r>
      <w:proofErr w:type="spellStart"/>
      <w:r w:rsidR="00230F08">
        <w:t>touristification</w:t>
      </w:r>
      <w:proofErr w:type="spellEnd"/>
      <w:r w:rsidR="00230F08">
        <w:t xml:space="preserve"> and speculation </w:t>
      </w:r>
      <w:r w:rsidR="00D2019A">
        <w:t xml:space="preserve">where it </w:t>
      </w:r>
      <w:r w:rsidR="00230F08">
        <w:t xml:space="preserve">threatens their </w:t>
      </w:r>
      <w:r w:rsidR="00B13E32">
        <w:t xml:space="preserve">right to adequate housing. </w:t>
      </w:r>
      <w:r w:rsidR="00230F08">
        <w:t xml:space="preserve"> </w:t>
      </w:r>
    </w:p>
    <w:p w14:paraId="027737E3" w14:textId="77777777" w:rsidR="00920B57" w:rsidRDefault="00ED0DDD" w:rsidP="00230F08">
      <w:pPr>
        <w:jc w:val="both"/>
      </w:pPr>
      <w:r>
        <w:t>7.</w:t>
      </w:r>
      <w:r>
        <w:tab/>
      </w:r>
      <w:r w:rsidR="00230F08">
        <w:t>There remains, however, a lack of clarity among many in government and in civil society, about what it actually means to implement the right to housing in a comprehensive and effective manner so as to meet the</w:t>
      </w:r>
      <w:r w:rsidR="00D2019A">
        <w:t>se</w:t>
      </w:r>
      <w:r w:rsidR="00230F08">
        <w:t xml:space="preserve"> unprecedented challenges.  Officials report on progress made in various programs to create additional housing units or point to protections put in place to prevent forced evictions, but have no answer when asked about the fact that increasing numbers are living in homelessness, informality or facing mass displacement because of luxury development and </w:t>
      </w:r>
      <w:r w:rsidR="00D2019A">
        <w:t xml:space="preserve">unregulated financial markets. </w:t>
      </w:r>
    </w:p>
    <w:p w14:paraId="32A7AB60" w14:textId="77777777" w:rsidR="00230F08" w:rsidRPr="008754A6" w:rsidRDefault="00ED0DDD" w:rsidP="00230F08">
      <w:pPr>
        <w:jc w:val="both"/>
      </w:pPr>
      <w:r>
        <w:t>8.</w:t>
      </w:r>
      <w:r>
        <w:tab/>
      </w:r>
      <w:r w:rsidR="00920B57">
        <w:t>Developing a deeper u</w:t>
      </w:r>
      <w:r w:rsidR="00230F08" w:rsidRPr="008754A6">
        <w:t xml:space="preserve">nderstanding of </w:t>
      </w:r>
      <w:r w:rsidR="00230F08">
        <w:t xml:space="preserve">how to implement </w:t>
      </w:r>
      <w:r w:rsidR="001515A5">
        <w:t xml:space="preserve">the right to housing </w:t>
      </w:r>
      <w:r w:rsidR="00230F08">
        <w:t xml:space="preserve">as an over-arching framework for law and policy </w:t>
      </w:r>
      <w:r w:rsidR="00920B57">
        <w:t xml:space="preserve">will </w:t>
      </w:r>
      <w:r w:rsidR="00230F08" w:rsidRPr="008754A6">
        <w:t xml:space="preserve">transform unsustainable housing systems into systems that preserve </w:t>
      </w:r>
      <w:r w:rsidR="009548C5">
        <w:t>communities</w:t>
      </w:r>
      <w:r w:rsidR="00230F08" w:rsidRPr="008754A6">
        <w:t>, promote inclusion and reclaim the vision of adequate housing for all – a commitment that is central to the S</w:t>
      </w:r>
      <w:r w:rsidR="00920B57">
        <w:t xml:space="preserve">ustainable </w:t>
      </w:r>
      <w:r w:rsidR="00230F08" w:rsidRPr="008754A6">
        <w:t>D</w:t>
      </w:r>
      <w:r w:rsidR="00920B57">
        <w:t xml:space="preserve">evelopment </w:t>
      </w:r>
      <w:r w:rsidR="00230F08" w:rsidRPr="008754A6">
        <w:t>G</w:t>
      </w:r>
      <w:r w:rsidR="00920B57">
        <w:t>oal</w:t>
      </w:r>
      <w:r w:rsidR="00230F08" w:rsidRPr="008754A6">
        <w:t>s.</w:t>
      </w:r>
      <w:r w:rsidR="00230F08">
        <w:t xml:space="preserve">   </w:t>
      </w:r>
    </w:p>
    <w:p w14:paraId="65664649" w14:textId="77777777" w:rsidR="00230F08" w:rsidRPr="00230F08" w:rsidRDefault="00ED0DDD" w:rsidP="00230F08">
      <w:pPr>
        <w:jc w:val="both"/>
      </w:pPr>
      <w:r>
        <w:t>9.</w:t>
      </w:r>
      <w:r>
        <w:tab/>
      </w:r>
      <w:r w:rsidR="00230F08">
        <w:t xml:space="preserve">Fortunately, there is an existing framework in international human rights law </w:t>
      </w:r>
      <w:r w:rsidR="001515A5">
        <w:t>from</w:t>
      </w:r>
      <w:r w:rsidR="00230F08">
        <w:t xml:space="preserve"> which States and rights-holders can </w:t>
      </w:r>
      <w:r w:rsidR="001515A5">
        <w:t>draw</w:t>
      </w:r>
      <w:r w:rsidR="00230F08">
        <w:t xml:space="preserve">.  The content of the right to adequate housing has been the subject of </w:t>
      </w:r>
      <w:r w:rsidR="009548C5">
        <w:t>extensive commentary and jurisprudence within the international human rights system</w:t>
      </w:r>
      <w:r w:rsidR="00544F39">
        <w:t xml:space="preserve"> and has been a central focus of human rights advocacy globally</w:t>
      </w:r>
      <w:r w:rsidR="009548C5">
        <w:t>.</w:t>
      </w:r>
      <w:r w:rsidR="009548C5">
        <w:rPr>
          <w:rStyle w:val="FootnoteReference"/>
        </w:rPr>
        <w:footnoteReference w:id="5"/>
      </w:r>
      <w:r w:rsidR="009548C5">
        <w:t xml:space="preserve"> </w:t>
      </w:r>
    </w:p>
    <w:p w14:paraId="1FA34925" w14:textId="77777777" w:rsidR="00230F08" w:rsidRDefault="00ED0DDD" w:rsidP="00230F08">
      <w:pPr>
        <w:jc w:val="both"/>
      </w:pPr>
      <w:r>
        <w:t>10.</w:t>
      </w:r>
      <w:r>
        <w:tab/>
      </w:r>
      <w:r w:rsidR="00230F08">
        <w:t xml:space="preserve">The guidelines elaborated </w:t>
      </w:r>
      <w:r w:rsidR="005E3A1B">
        <w:t>here</w:t>
      </w:r>
      <w:r w:rsidR="00230F08">
        <w:t xml:space="preserve"> build on </w:t>
      </w:r>
      <w:r w:rsidR="001515A5">
        <w:t xml:space="preserve">the normative </w:t>
      </w:r>
      <w:r w:rsidR="00230F08">
        <w:t>standards</w:t>
      </w:r>
      <w:r w:rsidR="001515A5">
        <w:t xml:space="preserve"> that have emerged from this jurisprudence</w:t>
      </w:r>
      <w:r w:rsidR="00544F39">
        <w:t xml:space="preserve">, engagement with States and stakeholders and the experiences </w:t>
      </w:r>
      <w:r>
        <w:t xml:space="preserve">and recommendations </w:t>
      </w:r>
      <w:r w:rsidR="00544F39">
        <w:t>of the Special Rapporteur</w:t>
      </w:r>
      <w:r w:rsidR="005E3A1B">
        <w:t xml:space="preserve">. </w:t>
      </w:r>
      <w:r w:rsidR="00230F08">
        <w:t xml:space="preserve">They do not attempt to identify or list all State obligations </w:t>
      </w:r>
      <w:r w:rsidR="001515A5">
        <w:t xml:space="preserve">related to </w:t>
      </w:r>
      <w:r w:rsidR="00230F08">
        <w:t>the right to housing. Rather, they describe the key elements needed for the effective implementation of the right to housing as it has been elaborated under international human rights law, focusing on the need for a comprehensive and coherent appro</w:t>
      </w:r>
      <w:r w:rsidR="005E3A1B">
        <w:t xml:space="preserve">ach capable of engaging with </w:t>
      </w:r>
      <w:r w:rsidR="00230F08">
        <w:t>current challenges. All</w:t>
      </w:r>
      <w:r w:rsidR="001515A5">
        <w:t xml:space="preserve"> the guidelines</w:t>
      </w:r>
      <w:r w:rsidR="00230F08">
        <w:t xml:space="preserve"> are</w:t>
      </w:r>
      <w:r w:rsidR="001515A5">
        <w:t xml:space="preserve"> grounded in</w:t>
      </w:r>
      <w:r w:rsidR="00F96174">
        <w:t xml:space="preserve"> </w:t>
      </w:r>
      <w:r w:rsidR="00230F08">
        <w:t xml:space="preserve">the core human rights claim at the heart of the right to housing - the right </w:t>
      </w:r>
      <w:r w:rsidR="00230F08">
        <w:lastRenderedPageBreak/>
        <w:t xml:space="preserve">to a home in which to live in peace, security and dignity – and the commitment to ensure the full realization of that right for all, within a reasonable period of time.  </w:t>
      </w:r>
    </w:p>
    <w:p w14:paraId="5639D620" w14:textId="561E9047" w:rsidR="00230F08" w:rsidRDefault="00ED0DDD" w:rsidP="00230F08">
      <w:pPr>
        <w:jc w:val="both"/>
      </w:pPr>
      <w:r>
        <w:t>11.</w:t>
      </w:r>
      <w:r>
        <w:tab/>
      </w:r>
      <w:r w:rsidR="00230F08">
        <w:t xml:space="preserve">The guidelines primarily refer to the obligations of States as the primary duty-bearers under international human rights law.  </w:t>
      </w:r>
      <w:r w:rsidR="00871CEF">
        <w:t>In this report, t</w:t>
      </w:r>
      <w:r w:rsidR="00230F08">
        <w:t xml:space="preserve">he term </w:t>
      </w:r>
      <w:r w:rsidR="00871CEF">
        <w:t>‘</w:t>
      </w:r>
      <w:r w:rsidR="00230F08">
        <w:t>States</w:t>
      </w:r>
      <w:r w:rsidR="00871CEF">
        <w:t xml:space="preserve">’, it should be noted, </w:t>
      </w:r>
      <w:r w:rsidR="00230F08">
        <w:t xml:space="preserve">includes all levels of government, from the local to the national, all actors exercising any governmental authority, and all branches of government, including judicial and quasi-judicial bodies responsible for ensuring access to justice for the right to housing.  Moreover, the Guidelines recognize the central role to be played by </w:t>
      </w:r>
      <w:r w:rsidR="00BD00F4">
        <w:t>businesses</w:t>
      </w:r>
      <w:r>
        <w:t>,</w:t>
      </w:r>
      <w:r w:rsidR="00BD00F4">
        <w:t xml:space="preserve"> </w:t>
      </w:r>
      <w:r w:rsidR="0070421F">
        <w:t>financial institutions, investors, individuals and non</w:t>
      </w:r>
      <w:r>
        <w:t>-</w:t>
      </w:r>
      <w:r w:rsidR="0070421F">
        <w:t>governmental organizations</w:t>
      </w:r>
      <w:r w:rsidR="00761D3B">
        <w:t xml:space="preserve"> </w:t>
      </w:r>
      <w:r w:rsidR="00230F08">
        <w:t>in the realization of the right to housing</w:t>
      </w:r>
      <w:r w:rsidR="0070421F">
        <w:t>,</w:t>
      </w:r>
      <w:r w:rsidR="00871CEF">
        <w:t xml:space="preserve"> </w:t>
      </w:r>
      <w:r w:rsidR="00230F08">
        <w:t>emphasiz</w:t>
      </w:r>
      <w:r w:rsidR="0070421F">
        <w:t>ing</w:t>
      </w:r>
      <w:r w:rsidR="00871CEF">
        <w:t xml:space="preserve"> </w:t>
      </w:r>
      <w:r w:rsidR="00230F08">
        <w:t xml:space="preserve">the obligations of States to regulate and facilitate actions by </w:t>
      </w:r>
      <w:r w:rsidR="00BD00F4">
        <w:t xml:space="preserve">businesses and </w:t>
      </w:r>
      <w:r w:rsidR="00230F08">
        <w:t xml:space="preserve">private actors to </w:t>
      </w:r>
      <w:r w:rsidR="0070421F">
        <w:t xml:space="preserve">further the </w:t>
      </w:r>
      <w:r w:rsidR="00230F08">
        <w:t>realiz</w:t>
      </w:r>
      <w:r w:rsidR="0070421F">
        <w:t>ation of</w:t>
      </w:r>
      <w:r w:rsidR="00230F08">
        <w:t xml:space="preserve"> the right to housing</w:t>
      </w:r>
      <w:r w:rsidR="0070421F">
        <w:t>.</w:t>
      </w:r>
      <w:r w:rsidR="00DB7A27">
        <w:t xml:space="preserve"> </w:t>
      </w:r>
      <w:r w:rsidR="0070421F">
        <w:t>The guidelines a</w:t>
      </w:r>
      <w:r>
        <w:t xml:space="preserve">lso recognize that States must </w:t>
      </w:r>
      <w:r w:rsidR="00230F08">
        <w:t xml:space="preserve">support and meaningfully engage with civil society, </w:t>
      </w:r>
      <w:r w:rsidR="00871CEF">
        <w:t>i</w:t>
      </w:r>
      <w:r w:rsidR="00230F08">
        <w:t xml:space="preserve">ndigenous </w:t>
      </w:r>
      <w:r w:rsidR="00871CEF">
        <w:t>p</w:t>
      </w:r>
      <w:r w:rsidR="00230F08">
        <w:t xml:space="preserve">eoples, communities and experts. </w:t>
      </w:r>
      <w:r w:rsidR="0070421F">
        <w:t xml:space="preserve">States also have </w:t>
      </w:r>
      <w:r w:rsidR="00230F08">
        <w:t>obligations of international co-operation, assistance and collaboration, recognizing that a global human rights crisis in housing can only be addressed through a global human rights-based response.</w:t>
      </w:r>
    </w:p>
    <w:p w14:paraId="03D8609F" w14:textId="77777777" w:rsidR="00DA66FA" w:rsidRDefault="00DA66FA" w:rsidP="00DA66FA">
      <w:pPr>
        <w:rPr>
          <w:b/>
          <w:bCs/>
          <w:sz w:val="28"/>
          <w:szCs w:val="28"/>
        </w:rPr>
      </w:pPr>
    </w:p>
    <w:p w14:paraId="1EFF62D2" w14:textId="0EB649E0" w:rsidR="00230F08" w:rsidRDefault="000F2E2E" w:rsidP="003B76A1">
      <w:pPr>
        <w:pStyle w:val="Heading1"/>
        <w:numPr>
          <w:ilvl w:val="0"/>
          <w:numId w:val="19"/>
        </w:numPr>
        <w:ind w:left="567" w:hanging="567"/>
        <w:jc w:val="left"/>
      </w:pPr>
      <w:bookmarkStart w:id="2" w:name="_Toc23200804"/>
      <w:r>
        <w:t xml:space="preserve">Guidelines </w:t>
      </w:r>
      <w:r w:rsidR="00230F08">
        <w:t xml:space="preserve">for </w:t>
      </w:r>
      <w:r w:rsidR="00230F08" w:rsidRPr="000F2D18">
        <w:t>the implementation of the right to adequate housing</w:t>
      </w:r>
      <w:bookmarkEnd w:id="2"/>
    </w:p>
    <w:p w14:paraId="467EC876" w14:textId="77777777" w:rsidR="00230F08" w:rsidRDefault="00230F08" w:rsidP="00230F08">
      <w:pPr>
        <w:tabs>
          <w:tab w:val="left" w:pos="1343"/>
        </w:tabs>
        <w:rPr>
          <w:b/>
          <w:bCs/>
          <w:u w:val="single"/>
        </w:rPr>
      </w:pPr>
    </w:p>
    <w:p w14:paraId="08DD3D39" w14:textId="04087447" w:rsidR="00230F08" w:rsidRPr="00230F08" w:rsidRDefault="00230F08" w:rsidP="009B3CE0">
      <w:pPr>
        <w:pStyle w:val="Heading2"/>
      </w:pPr>
      <w:bookmarkStart w:id="3" w:name="_Toc23200805"/>
      <w:r w:rsidRPr="00230F08">
        <w:t>Guideline No. 1</w:t>
      </w:r>
      <w:bookmarkEnd w:id="3"/>
    </w:p>
    <w:p w14:paraId="2A826BD4" w14:textId="30CBFEF3" w:rsidR="00230F08" w:rsidRPr="007A62DA" w:rsidRDefault="00230F08" w:rsidP="009B3CE0">
      <w:pPr>
        <w:pStyle w:val="Heading3"/>
        <w:rPr>
          <w:strike/>
        </w:rPr>
      </w:pPr>
      <w:bookmarkStart w:id="4" w:name="_Toc23200806"/>
      <w:r w:rsidRPr="002665F0">
        <w:t>Recognize the right to housing as a fundamental human right</w:t>
      </w:r>
      <w:r>
        <w:t xml:space="preserve"> in national law and practice</w:t>
      </w:r>
      <w:bookmarkEnd w:id="4"/>
      <w:r>
        <w:t xml:space="preserve"> </w:t>
      </w:r>
      <w:r w:rsidRPr="007A62DA">
        <w:rPr>
          <w:strike/>
        </w:rPr>
        <w:t xml:space="preserve"> </w:t>
      </w:r>
    </w:p>
    <w:p w14:paraId="686F7FBA" w14:textId="77777777" w:rsidR="00230F08" w:rsidRDefault="00ED0DDD" w:rsidP="00ED0DDD">
      <w:pPr>
        <w:tabs>
          <w:tab w:val="left" w:pos="709"/>
        </w:tabs>
        <w:jc w:val="both"/>
        <w:rPr>
          <w:b/>
          <w:bCs/>
        </w:rPr>
      </w:pPr>
      <w:r>
        <w:t>12.</w:t>
      </w:r>
      <w:r>
        <w:tab/>
      </w:r>
      <w:r w:rsidR="00544F39">
        <w:t>Most</w:t>
      </w:r>
      <w:r w:rsidR="00230F08">
        <w:t xml:space="preserve"> States have formally recognized the right to housing under international human rights law</w:t>
      </w:r>
      <w:r w:rsidR="00544F39">
        <w:t xml:space="preserve">. However, </w:t>
      </w:r>
      <w:r w:rsidR="00DA66FA">
        <w:t>h</w:t>
      </w:r>
      <w:r w:rsidR="00230F08" w:rsidRPr="00EA3EDB">
        <w:t>omeless</w:t>
      </w:r>
      <w:r w:rsidR="0006599F">
        <w:t>ness and inadequate housing are frequently seen only as matters of socioeconomic policy</w:t>
      </w:r>
      <w:r w:rsidR="00F53367">
        <w:t xml:space="preserve"> and housing and social programmes</w:t>
      </w:r>
      <w:r w:rsidR="0006599F">
        <w:t xml:space="preserve">, </w:t>
      </w:r>
      <w:r w:rsidR="00230F08" w:rsidRPr="00EA3EDB">
        <w:t xml:space="preserve">insulated from </w:t>
      </w:r>
      <w:r w:rsidR="00230F08">
        <w:t>rigorous</w:t>
      </w:r>
      <w:r w:rsidR="00230F08" w:rsidRPr="00EA3EDB">
        <w:t xml:space="preserve"> human rights accountability.</w:t>
      </w:r>
      <w:r w:rsidR="00230F08" w:rsidRPr="00EA3EDB">
        <w:rPr>
          <w:rStyle w:val="FootnoteReference"/>
        </w:rPr>
        <w:footnoteReference w:id="6"/>
      </w:r>
      <w:r w:rsidR="00230F08">
        <w:rPr>
          <w:b/>
          <w:bCs/>
        </w:rPr>
        <w:t xml:space="preserve"> </w:t>
      </w:r>
      <w:r w:rsidR="00DA66FA">
        <w:rPr>
          <w:b/>
          <w:bCs/>
        </w:rPr>
        <w:t xml:space="preserve"> </w:t>
      </w:r>
    </w:p>
    <w:p w14:paraId="1883E900" w14:textId="72AEC516" w:rsidR="00230F08" w:rsidRPr="00230F08" w:rsidRDefault="00ED0DDD" w:rsidP="00ED0DDD">
      <w:pPr>
        <w:tabs>
          <w:tab w:val="left" w:pos="709"/>
        </w:tabs>
        <w:jc w:val="both"/>
        <w:rPr>
          <w:rFonts w:cstheme="minorHAnsi"/>
        </w:rPr>
      </w:pPr>
      <w:r>
        <w:t>13.</w:t>
      </w:r>
      <w:r>
        <w:tab/>
      </w:r>
      <w:r w:rsidR="00230F08">
        <w:t xml:space="preserve">Adequate housing is </w:t>
      </w:r>
      <w:r w:rsidR="00C11752">
        <w:t xml:space="preserve">intimately connected to “the </w:t>
      </w:r>
      <w:r w:rsidR="00C11752" w:rsidRPr="006F199A">
        <w:t>recognition of the inherent dignity and of the equal and inalienable rights of all members of the human family</w:t>
      </w:r>
      <w:r w:rsidR="00C11752">
        <w:t>”,</w:t>
      </w:r>
      <w:r w:rsidR="004F2393">
        <w:rPr>
          <w:rStyle w:val="FootnoteReference"/>
        </w:rPr>
        <w:footnoteReference w:id="7"/>
      </w:r>
      <w:r w:rsidR="00C11752">
        <w:t xml:space="preserve"> the cornerstone of international human rights. It</w:t>
      </w:r>
      <w:r w:rsidR="000962FF">
        <w:t xml:space="preserve"> has </w:t>
      </w:r>
      <w:r w:rsidR="00230F08" w:rsidRPr="00EA3EDB">
        <w:t>implications for almost every other human right</w:t>
      </w:r>
      <w:r w:rsidR="00230F08">
        <w:t>, including the right to life</w:t>
      </w:r>
      <w:r w:rsidR="003B0C5A">
        <w:t>, to health, to physical integrity, to privacy, to water and sanitation</w:t>
      </w:r>
      <w:r w:rsidR="00230F08">
        <w:t xml:space="preserve">. </w:t>
      </w:r>
      <w:r w:rsidR="00230F08" w:rsidRPr="000D4230">
        <w:t>An estimated one third of deaths worldwide are linked to poverty and inadequate housing</w:t>
      </w:r>
      <w:r w:rsidR="00230F08">
        <w:t xml:space="preserve">. </w:t>
      </w:r>
      <w:r w:rsidR="00230F08" w:rsidRPr="000D4230">
        <w:t>The death rate among homeless people</w:t>
      </w:r>
      <w:r w:rsidR="00F83EF4">
        <w:t xml:space="preserve"> </w:t>
      </w:r>
      <w:r w:rsidR="00F96174">
        <w:t xml:space="preserve">has been found to </w:t>
      </w:r>
      <w:r w:rsidR="00F83EF4">
        <w:t xml:space="preserve">be </w:t>
      </w:r>
      <w:r w:rsidR="00D56392">
        <w:t xml:space="preserve">ten times </w:t>
      </w:r>
      <w:r w:rsidR="00230F08" w:rsidRPr="000D4230">
        <w:t xml:space="preserve">higher than for those who are not homeless. </w:t>
      </w:r>
      <w:r w:rsidR="00230F08">
        <w:rPr>
          <w:rStyle w:val="FootnoteReference"/>
        </w:rPr>
        <w:footnoteReference w:id="8"/>
      </w:r>
      <w:r w:rsidR="00230F08">
        <w:rPr>
          <w:rFonts w:cstheme="minorHAnsi"/>
        </w:rPr>
        <w:t xml:space="preserve">  Yet</w:t>
      </w:r>
      <w:r w:rsidR="00230F08">
        <w:t xml:space="preserve"> </w:t>
      </w:r>
      <w:r w:rsidR="00034F7D">
        <w:t xml:space="preserve">these </w:t>
      </w:r>
      <w:r w:rsidR="00230F08">
        <w:t>s</w:t>
      </w:r>
      <w:r w:rsidR="00230F08" w:rsidRPr="003F6553">
        <w:t>ystemic deprivations of the right to life have</w:t>
      </w:r>
      <w:r w:rsidR="00230F08">
        <w:t xml:space="preserve"> rarely</w:t>
      </w:r>
      <w:r w:rsidR="00230F08" w:rsidRPr="003F6553">
        <w:t xml:space="preserve"> been addressed</w:t>
      </w:r>
      <w:r w:rsidR="00230F08">
        <w:t xml:space="preserve"> as</w:t>
      </w:r>
      <w:r w:rsidR="00034F7D">
        <w:t xml:space="preserve"> such</w:t>
      </w:r>
      <w:r w:rsidR="00230F08" w:rsidRPr="003F6553">
        <w:t>.</w:t>
      </w:r>
      <w:r w:rsidR="00230F08">
        <w:rPr>
          <w:rStyle w:val="FootnoteReference"/>
        </w:rPr>
        <w:footnoteReference w:id="9"/>
      </w:r>
    </w:p>
    <w:p w14:paraId="178E6418" w14:textId="77777777" w:rsidR="00230F08" w:rsidRDefault="00ED0DDD" w:rsidP="0092518E">
      <w:pPr>
        <w:jc w:val="both"/>
      </w:pPr>
      <w:r>
        <w:t>14.</w:t>
      </w:r>
      <w:r>
        <w:tab/>
      </w:r>
      <w:r w:rsidR="00230F08">
        <w:t xml:space="preserve">Recognizing the right to housing as a fundamental human right </w:t>
      </w:r>
      <w:r w:rsidR="003B0C5A">
        <w:t xml:space="preserve">linked to the right to a dignified life </w:t>
      </w:r>
      <w:r w:rsidR="00230F08">
        <w:t>means addressing homelessness and inadequate housing not merely as program</w:t>
      </w:r>
      <w:r w:rsidR="000D6E77">
        <w:t>me</w:t>
      </w:r>
      <w:r w:rsidR="00230F08">
        <w:t xml:space="preserve"> failures but as assaults on the very core of what it means to be human.</w:t>
      </w:r>
      <w:r w:rsidR="00230F08">
        <w:rPr>
          <w:rStyle w:val="FootnoteReference"/>
        </w:rPr>
        <w:footnoteReference w:id="10"/>
      </w:r>
      <w:r w:rsidR="00230F08">
        <w:t xml:space="preserve"> </w:t>
      </w:r>
      <w:r w:rsidR="0092518E">
        <w:t xml:space="preserve">Housing policies and programmes should be </w:t>
      </w:r>
      <w:r w:rsidR="0092518E" w:rsidRPr="00A52CC2">
        <w:t xml:space="preserve">designed and implemented in a manner that embraces the value of home and community and provides for a life </w:t>
      </w:r>
      <w:r w:rsidR="0092518E">
        <w:t>of</w:t>
      </w:r>
      <w:r w:rsidR="0092518E" w:rsidRPr="00A52CC2">
        <w:t xml:space="preserve"> dignity. </w:t>
      </w:r>
      <w:r w:rsidR="0092518E">
        <w:t>Housing policies and programmes must take as a starting point that beneficiaries are rights holders, not recipients of charity, and are generally experts in their own lives.</w:t>
      </w:r>
    </w:p>
    <w:p w14:paraId="333B8EBC" w14:textId="77777777" w:rsidR="00945068" w:rsidRDefault="00945068" w:rsidP="005F3828">
      <w:pPr>
        <w:rPr>
          <w:b/>
          <w:bCs/>
        </w:rPr>
      </w:pPr>
    </w:p>
    <w:p w14:paraId="4CA29DF2" w14:textId="6B5B93A2" w:rsidR="00230F08" w:rsidRPr="00945068" w:rsidRDefault="00230F08" w:rsidP="005F3828">
      <w:pPr>
        <w:rPr>
          <w:b/>
          <w:bCs/>
        </w:rPr>
      </w:pPr>
      <w:r w:rsidRPr="00945068">
        <w:rPr>
          <w:b/>
          <w:bCs/>
        </w:rPr>
        <w:lastRenderedPageBreak/>
        <w:t>Implementation Measures</w:t>
      </w:r>
      <w:r w:rsidR="00121444" w:rsidRPr="00945068">
        <w:rPr>
          <w:b/>
          <w:bCs/>
        </w:rPr>
        <w:t>:</w:t>
      </w:r>
    </w:p>
    <w:p w14:paraId="159233B8" w14:textId="77777777" w:rsidR="00230F08" w:rsidRDefault="00230F08" w:rsidP="003B76A1">
      <w:pPr>
        <w:pStyle w:val="ListParagraph"/>
        <w:numPr>
          <w:ilvl w:val="0"/>
          <w:numId w:val="15"/>
        </w:numPr>
        <w:tabs>
          <w:tab w:val="left" w:pos="1343"/>
        </w:tabs>
        <w:spacing w:after="120"/>
        <w:contextualSpacing w:val="0"/>
        <w:jc w:val="both"/>
      </w:pPr>
      <w:r>
        <w:t xml:space="preserve">The right to </w:t>
      </w:r>
      <w:r w:rsidR="00CA3535">
        <w:t xml:space="preserve">adequate </w:t>
      </w:r>
      <w:r>
        <w:t xml:space="preserve">housing should be </w:t>
      </w:r>
      <w:r w:rsidR="00474576">
        <w:t xml:space="preserve">enshrined </w:t>
      </w:r>
      <w:r>
        <w:t xml:space="preserve">in </w:t>
      </w:r>
      <w:r w:rsidR="008610B3">
        <w:t xml:space="preserve">constitutional or </w:t>
      </w:r>
      <w:r w:rsidR="00353BAA">
        <w:t xml:space="preserve">national </w:t>
      </w:r>
      <w:r>
        <w:t xml:space="preserve">law </w:t>
      </w:r>
      <w:r w:rsidR="00353BAA">
        <w:t>as a</w:t>
      </w:r>
      <w:r w:rsidR="00180486">
        <w:t xml:space="preserve">n enforceable </w:t>
      </w:r>
      <w:r w:rsidR="00353BAA">
        <w:t xml:space="preserve">right </w:t>
      </w:r>
      <w:r w:rsidR="009F741A">
        <w:t xml:space="preserve">and integrated into </w:t>
      </w:r>
      <w:r>
        <w:t xml:space="preserve">all relevant legislation, </w:t>
      </w:r>
      <w:r w:rsidR="00CA3535">
        <w:t xml:space="preserve">regulations, </w:t>
      </w:r>
      <w:r>
        <w:t xml:space="preserve">policies, programs, budgeting, </w:t>
      </w:r>
      <w:r w:rsidR="00353BAA">
        <w:t xml:space="preserve">planning and </w:t>
      </w:r>
      <w:r>
        <w:t xml:space="preserve">inter-governmental agreements. </w:t>
      </w:r>
    </w:p>
    <w:p w14:paraId="24D6D56A" w14:textId="77777777" w:rsidR="005476E0" w:rsidRDefault="005476E0" w:rsidP="003B76A1">
      <w:pPr>
        <w:pStyle w:val="ListParagraph"/>
        <w:numPr>
          <w:ilvl w:val="0"/>
          <w:numId w:val="15"/>
        </w:numPr>
        <w:tabs>
          <w:tab w:val="left" w:pos="1343"/>
        </w:tabs>
        <w:spacing w:after="120"/>
        <w:ind w:left="714" w:hanging="357"/>
        <w:contextualSpacing w:val="0"/>
        <w:jc w:val="both"/>
      </w:pPr>
      <w:r>
        <w:t>States should formally recognize the interdependence and indivisibility of the right to housing with</w:t>
      </w:r>
      <w:r w:rsidR="005B4ECB">
        <w:t xml:space="preserve"> other fundamental human rights, and in particular with </w:t>
      </w:r>
      <w:r>
        <w:t>the right to life</w:t>
      </w:r>
      <w:r w:rsidR="005B4ECB">
        <w:t>,</w:t>
      </w:r>
      <w:r>
        <w:t xml:space="preserve"> and ensure effective remedies for all violations of the right to life linked to inadequate housing or homelessness.</w:t>
      </w:r>
      <w:r w:rsidR="009F741A">
        <w:rPr>
          <w:rStyle w:val="FootnoteReference"/>
        </w:rPr>
        <w:footnoteReference w:id="11"/>
      </w:r>
      <w:r>
        <w:t xml:space="preserve">  </w:t>
      </w:r>
    </w:p>
    <w:p w14:paraId="60C6067E" w14:textId="77777777" w:rsidR="00BE47C8" w:rsidRDefault="0092518E" w:rsidP="003B76A1">
      <w:pPr>
        <w:pStyle w:val="ListParagraph"/>
        <w:numPr>
          <w:ilvl w:val="0"/>
          <w:numId w:val="15"/>
        </w:numPr>
        <w:tabs>
          <w:tab w:val="left" w:pos="1343"/>
        </w:tabs>
        <w:spacing w:after="120"/>
        <w:ind w:left="714" w:hanging="357"/>
        <w:contextualSpacing w:val="0"/>
        <w:jc w:val="both"/>
      </w:pPr>
      <w:r>
        <w:t>H</w:t>
      </w:r>
      <w:r w:rsidR="0045628E">
        <w:t xml:space="preserve">ousing policies and programmes should be designed and implemented in accordance with the spirit and letter of </w:t>
      </w:r>
      <w:r w:rsidR="00230F08" w:rsidRPr="003C2DEC">
        <w:t>General Comment No. 4 (1991)</w:t>
      </w:r>
      <w:r w:rsidR="0045628E">
        <w:t xml:space="preserve">. </w:t>
      </w:r>
      <w:r w:rsidR="00237284">
        <w:t>This means</w:t>
      </w:r>
      <w:r w:rsidR="00D257A6">
        <w:t xml:space="preserve"> policies and programmes must embrace the idea that housing transcends </w:t>
      </w:r>
      <w:r w:rsidR="00230F08" w:rsidRPr="003C2DEC">
        <w:t>four walls and a roof</w:t>
      </w:r>
      <w:r w:rsidR="00D257A6">
        <w:t xml:space="preserve"> and is about living in a place that provides peace, security and dignity.</w:t>
      </w:r>
      <w:r w:rsidR="00230F08" w:rsidRPr="003C2DEC">
        <w:rPr>
          <w:rStyle w:val="FootnoteReference"/>
        </w:rPr>
        <w:footnoteReference w:id="12"/>
      </w:r>
      <w:r w:rsidR="00D257A6">
        <w:t xml:space="preserve"> States must also ensure housing </w:t>
      </w:r>
      <w:r w:rsidR="00237284">
        <w:t xml:space="preserve">adequacy in keeping with the features </w:t>
      </w:r>
      <w:r w:rsidR="00D257A6">
        <w:t xml:space="preserve">identified </w:t>
      </w:r>
      <w:r w:rsidR="00237284">
        <w:t>in the Comment i</w:t>
      </w:r>
      <w:r w:rsidR="00D257A6">
        <w:t>ncluding s</w:t>
      </w:r>
      <w:r w:rsidR="00230F08" w:rsidRPr="003C2DEC">
        <w:t xml:space="preserve">ecurity of tenure, access to services and infrastructure, affordability, habitability, accessibility, location in proximity to services such as health care, schools and employment options, and cultural adequacy. </w:t>
      </w:r>
    </w:p>
    <w:p w14:paraId="27F3F873" w14:textId="77777777" w:rsidR="00230F08" w:rsidRPr="00FE14DA" w:rsidRDefault="0052010D" w:rsidP="003B76A1">
      <w:pPr>
        <w:pStyle w:val="ListParagraph"/>
        <w:numPr>
          <w:ilvl w:val="0"/>
          <w:numId w:val="15"/>
        </w:numPr>
        <w:tabs>
          <w:tab w:val="left" w:pos="1343"/>
        </w:tabs>
        <w:spacing w:after="120"/>
        <w:contextualSpacing w:val="0"/>
        <w:jc w:val="both"/>
      </w:pPr>
      <w:r w:rsidRPr="00A23A3C">
        <w:t xml:space="preserve">States </w:t>
      </w:r>
      <w:r>
        <w:t>should</w:t>
      </w:r>
      <w:r w:rsidRPr="00A23A3C">
        <w:t xml:space="preserve"> ensure access to a wide range of accessible and timely recourse mechanisms</w:t>
      </w:r>
      <w:r>
        <w:t>,</w:t>
      </w:r>
      <w:r w:rsidRPr="00A23A3C">
        <w:t xml:space="preserve"> where rights-holders</w:t>
      </w:r>
      <w:r>
        <w:t xml:space="preserve"> can</w:t>
      </w:r>
      <w:r w:rsidRPr="00A23A3C">
        <w:t xml:space="preserve"> identify s</w:t>
      </w:r>
      <w:r>
        <w:t>ystemic</w:t>
      </w:r>
      <w:r w:rsidRPr="00A23A3C">
        <w:t xml:space="preserve"> barriers to the realization of the right to housing</w:t>
      </w:r>
      <w:r w:rsidR="00D363DD">
        <w:t xml:space="preserve"> based in their experiences</w:t>
      </w:r>
      <w:r>
        <w:t xml:space="preserve">, secure effective remedies and inspire meaningful </w:t>
      </w:r>
      <w:r w:rsidR="00D363DD">
        <w:t xml:space="preserve">structural </w:t>
      </w:r>
      <w:r>
        <w:t>change</w:t>
      </w:r>
      <w:r w:rsidR="00D363DD">
        <w:t xml:space="preserve"> for the benefit of their communities</w:t>
      </w:r>
      <w:r>
        <w:t>.</w:t>
      </w:r>
      <w:r w:rsidRPr="00A23A3C">
        <w:rPr>
          <w:vertAlign w:val="superscript"/>
        </w:rPr>
        <w:footnoteReference w:id="13"/>
      </w:r>
      <w:r w:rsidRPr="00A23A3C">
        <w:t xml:space="preserve"> </w:t>
      </w:r>
      <w:r w:rsidRPr="00A23A3C">
        <w:rPr>
          <w:bCs/>
        </w:rPr>
        <w:t>Human-rights institutions</w:t>
      </w:r>
      <w:r>
        <w:rPr>
          <w:bCs/>
        </w:rPr>
        <w:t>,</w:t>
      </w:r>
      <w:r w:rsidRPr="00A23A3C">
        <w:rPr>
          <w:bCs/>
        </w:rPr>
        <w:t xml:space="preserve"> ombudspersons and other</w:t>
      </w:r>
      <w:r>
        <w:rPr>
          <w:bCs/>
        </w:rPr>
        <w:t xml:space="preserve"> </w:t>
      </w:r>
      <w:r w:rsidRPr="00A23A3C">
        <w:rPr>
          <w:bCs/>
        </w:rPr>
        <w:t>independent</w:t>
      </w:r>
      <w:r>
        <w:rPr>
          <w:bCs/>
        </w:rPr>
        <w:t xml:space="preserve"> </w:t>
      </w:r>
      <w:r w:rsidRPr="00A23A3C">
        <w:rPr>
          <w:bCs/>
        </w:rPr>
        <w:t xml:space="preserve">mechanisms should </w:t>
      </w:r>
      <w:r>
        <w:rPr>
          <w:bCs/>
        </w:rPr>
        <w:t xml:space="preserve">be mandated to enhance accountability to the </w:t>
      </w:r>
      <w:r w:rsidRPr="00A23A3C">
        <w:t>right to housing.</w:t>
      </w:r>
      <w:r>
        <w:t xml:space="preserve"> </w:t>
      </w:r>
      <w:r w:rsidRPr="00A23A3C">
        <w:rPr>
          <w:bCs/>
        </w:rPr>
        <w:t>Rights holder</w:t>
      </w:r>
      <w:r>
        <w:rPr>
          <w:bCs/>
        </w:rPr>
        <w:t>s</w:t>
      </w:r>
      <w:r w:rsidRPr="00A23A3C">
        <w:rPr>
          <w:bCs/>
        </w:rPr>
        <w:t xml:space="preserve"> should </w:t>
      </w:r>
      <w:r>
        <w:rPr>
          <w:bCs/>
        </w:rPr>
        <w:t xml:space="preserve">also </w:t>
      </w:r>
      <w:r w:rsidRPr="00A23A3C">
        <w:rPr>
          <w:bCs/>
        </w:rPr>
        <w:t xml:space="preserve">be able to seek effective </w:t>
      </w:r>
      <w:r>
        <w:rPr>
          <w:bCs/>
        </w:rPr>
        <w:t xml:space="preserve">remedies </w:t>
      </w:r>
      <w:r w:rsidRPr="00A23A3C">
        <w:rPr>
          <w:bCs/>
        </w:rPr>
        <w:t>for violations of the right to adequate housing through courts. (see: Guideline on access to justice).</w:t>
      </w:r>
      <w:r w:rsidRPr="00A23A3C">
        <w:rPr>
          <w:bCs/>
          <w:vertAlign w:val="superscript"/>
        </w:rPr>
        <w:footnoteReference w:id="14"/>
      </w:r>
    </w:p>
    <w:p w14:paraId="558F2419" w14:textId="77777777" w:rsidR="00F603B6" w:rsidRDefault="00F603B6" w:rsidP="00230F08">
      <w:pPr>
        <w:tabs>
          <w:tab w:val="left" w:pos="1343"/>
        </w:tabs>
        <w:rPr>
          <w:b/>
          <w:u w:val="single"/>
        </w:rPr>
      </w:pPr>
    </w:p>
    <w:p w14:paraId="6F68C87E" w14:textId="77777777" w:rsidR="00230F08" w:rsidRPr="00230F08" w:rsidRDefault="00230F08" w:rsidP="009B3CE0">
      <w:pPr>
        <w:pStyle w:val="Heading2"/>
      </w:pPr>
      <w:bookmarkStart w:id="5" w:name="_Toc23200807"/>
      <w:r w:rsidRPr="00230F08">
        <w:t>Guideline No. 2</w:t>
      </w:r>
      <w:bookmarkEnd w:id="5"/>
    </w:p>
    <w:p w14:paraId="21E07BD1" w14:textId="77777777" w:rsidR="00230F08" w:rsidRPr="00EB7A1B" w:rsidRDefault="00230F08" w:rsidP="009B3CE0">
      <w:pPr>
        <w:pStyle w:val="Heading3"/>
      </w:pPr>
      <w:bookmarkStart w:id="6" w:name="_Toc23200808"/>
      <w:r w:rsidRPr="00EB7A1B">
        <w:t>Design, implement and regularly monitor comprehensive strategies</w:t>
      </w:r>
      <w:r>
        <w:t xml:space="preserve"> for the realization of the right to housing</w:t>
      </w:r>
      <w:bookmarkEnd w:id="6"/>
      <w:r>
        <w:t xml:space="preserve"> </w:t>
      </w:r>
    </w:p>
    <w:p w14:paraId="3BFAC616" w14:textId="77777777" w:rsidR="00237284" w:rsidRDefault="00ED0DDD" w:rsidP="002130AD">
      <w:pPr>
        <w:jc w:val="both"/>
        <w:rPr>
          <w:rFonts w:cstheme="minorHAnsi"/>
          <w:bCs/>
        </w:rPr>
      </w:pPr>
      <w:r>
        <w:rPr>
          <w:rFonts w:cstheme="minorHAnsi"/>
          <w:bCs/>
        </w:rPr>
        <w:t>15.</w:t>
      </w:r>
      <w:r>
        <w:rPr>
          <w:rFonts w:cstheme="minorHAnsi"/>
          <w:bCs/>
        </w:rPr>
        <w:tab/>
      </w:r>
      <w:r w:rsidR="00230F08">
        <w:rPr>
          <w:rFonts w:cstheme="minorHAnsi"/>
          <w:bCs/>
        </w:rPr>
        <w:t>The lack of progress in realizing the right to housing worldwide, and the failure to address structural causes of homelessness and inadequate housing, points to a critical failure of most States to implement effective, comprehensive strategies for the realization of the right to housing.</w:t>
      </w:r>
      <w:r w:rsidR="00EE3F4F">
        <w:rPr>
          <w:rStyle w:val="FootnoteReference"/>
          <w:bCs/>
        </w:rPr>
        <w:footnoteReference w:id="15"/>
      </w:r>
      <w:r w:rsidR="00230F08">
        <w:rPr>
          <w:rFonts w:cstheme="minorHAnsi"/>
          <w:bCs/>
        </w:rPr>
        <w:t xml:space="preserve">  </w:t>
      </w:r>
    </w:p>
    <w:p w14:paraId="1E8E0692" w14:textId="1B5A0D32" w:rsidR="0052010D" w:rsidRDefault="00ED0DDD" w:rsidP="002130AD">
      <w:pPr>
        <w:jc w:val="both"/>
        <w:rPr>
          <w:rFonts w:cstheme="minorHAnsi"/>
          <w:bCs/>
        </w:rPr>
      </w:pPr>
      <w:r>
        <w:rPr>
          <w:rFonts w:cstheme="minorHAnsi"/>
          <w:bCs/>
        </w:rPr>
        <w:t>16.</w:t>
      </w:r>
      <w:r>
        <w:rPr>
          <w:rFonts w:cstheme="minorHAnsi"/>
          <w:bCs/>
        </w:rPr>
        <w:tab/>
      </w:r>
      <w:r w:rsidR="00FE14DA">
        <w:rPr>
          <w:rFonts w:cstheme="minorHAnsi"/>
          <w:bCs/>
        </w:rPr>
        <w:t>According to Article</w:t>
      </w:r>
      <w:r w:rsidR="00C432C6">
        <w:rPr>
          <w:rFonts w:cstheme="minorHAnsi"/>
          <w:bCs/>
        </w:rPr>
        <w:t>s 2.1 and</w:t>
      </w:r>
      <w:r w:rsidR="00FE14DA">
        <w:rPr>
          <w:rFonts w:cstheme="minorHAnsi"/>
          <w:bCs/>
        </w:rPr>
        <w:t xml:space="preserve"> 11.1 of the International Covenant on Economic, Social and Cultural Rights, </w:t>
      </w:r>
      <w:r w:rsidR="002130AD" w:rsidRPr="002130AD">
        <w:rPr>
          <w:rFonts w:cstheme="minorHAnsi"/>
          <w:bCs/>
        </w:rPr>
        <w:t xml:space="preserve">States have an obligation </w:t>
      </w:r>
      <w:r w:rsidR="002130AD" w:rsidRPr="005B4ECB">
        <w:rPr>
          <w:rFonts w:cstheme="minorHAnsi"/>
          <w:bCs/>
        </w:rPr>
        <w:t>to</w:t>
      </w:r>
      <w:r w:rsidR="002130AD" w:rsidRPr="005B4ECB">
        <w:rPr>
          <w:rFonts w:cstheme="minorHAnsi"/>
          <w:color w:val="000000"/>
          <w:shd w:val="clear" w:color="auto" w:fill="FFFFFF"/>
        </w:rPr>
        <w:t xml:space="preserve"> take steps “to the maximum of its available resources, with a view to achieving progressively the full realization</w:t>
      </w:r>
      <w:r w:rsidR="00FE14DA" w:rsidRPr="005B4ECB">
        <w:rPr>
          <w:rFonts w:cstheme="minorHAnsi"/>
          <w:color w:val="000000"/>
          <w:shd w:val="clear" w:color="auto" w:fill="FFFFFF"/>
        </w:rPr>
        <w:t xml:space="preserve">” of the right to adequate housing, </w:t>
      </w:r>
      <w:r w:rsidR="002130AD" w:rsidRPr="005B4ECB">
        <w:rPr>
          <w:rFonts w:cstheme="minorHAnsi"/>
          <w:color w:val="000000"/>
          <w:shd w:val="clear" w:color="auto" w:fill="FFFFFF"/>
        </w:rPr>
        <w:t xml:space="preserve">by </w:t>
      </w:r>
      <w:r w:rsidR="00FE14DA" w:rsidRPr="005B4ECB">
        <w:rPr>
          <w:rFonts w:cstheme="minorHAnsi"/>
          <w:color w:val="000000"/>
          <w:shd w:val="clear" w:color="auto" w:fill="FFFFFF"/>
        </w:rPr>
        <w:t>“</w:t>
      </w:r>
      <w:r w:rsidR="002130AD" w:rsidRPr="005B4ECB">
        <w:rPr>
          <w:rFonts w:cstheme="minorHAnsi"/>
          <w:color w:val="000000"/>
          <w:shd w:val="clear" w:color="auto" w:fill="FFFFFF"/>
        </w:rPr>
        <w:t>all appropriate means, including particularly the adoption of legislative measures.”</w:t>
      </w:r>
      <w:r w:rsidR="0052010D" w:rsidRPr="005B4ECB">
        <w:rPr>
          <w:rStyle w:val="FootnoteReference"/>
          <w:rFonts w:asciiTheme="minorHAnsi" w:hAnsiTheme="minorHAnsi" w:cstheme="minorHAnsi"/>
          <w:color w:val="000000"/>
          <w:sz w:val="22"/>
          <w:shd w:val="clear" w:color="auto" w:fill="FFFFFF"/>
        </w:rPr>
        <w:footnoteReference w:id="16"/>
      </w:r>
      <w:r w:rsidR="002130AD">
        <w:rPr>
          <w:rFonts w:cstheme="minorHAnsi"/>
          <w:bCs/>
        </w:rPr>
        <w:t xml:space="preserve"> </w:t>
      </w:r>
      <w:r w:rsidR="002130AD" w:rsidRPr="002130AD">
        <w:rPr>
          <w:rFonts w:cstheme="minorHAnsi"/>
          <w:bCs/>
        </w:rPr>
        <w:t xml:space="preserve"> </w:t>
      </w:r>
      <w:r w:rsidR="002130AD">
        <w:rPr>
          <w:rFonts w:cstheme="minorHAnsi"/>
          <w:bCs/>
        </w:rPr>
        <w:t>T</w:t>
      </w:r>
      <w:r w:rsidR="002130AD" w:rsidRPr="002130AD">
        <w:rPr>
          <w:rFonts w:cstheme="minorHAnsi"/>
          <w:bCs/>
        </w:rPr>
        <w:t>he C</w:t>
      </w:r>
      <w:r w:rsidR="00FE14DA">
        <w:rPr>
          <w:rFonts w:cstheme="minorHAnsi"/>
          <w:bCs/>
        </w:rPr>
        <w:t xml:space="preserve">ommittee on </w:t>
      </w:r>
      <w:r w:rsidR="002130AD" w:rsidRPr="002130AD">
        <w:rPr>
          <w:rFonts w:cstheme="minorHAnsi"/>
          <w:bCs/>
        </w:rPr>
        <w:lastRenderedPageBreak/>
        <w:t>E</w:t>
      </w:r>
      <w:r w:rsidR="00FE14DA">
        <w:rPr>
          <w:rFonts w:cstheme="minorHAnsi"/>
          <w:bCs/>
        </w:rPr>
        <w:t xml:space="preserve">conomic, </w:t>
      </w:r>
      <w:r w:rsidR="002130AD" w:rsidRPr="002130AD">
        <w:rPr>
          <w:rFonts w:cstheme="minorHAnsi"/>
          <w:bCs/>
        </w:rPr>
        <w:t>S</w:t>
      </w:r>
      <w:r w:rsidR="00FE14DA">
        <w:rPr>
          <w:rFonts w:cstheme="minorHAnsi"/>
          <w:bCs/>
        </w:rPr>
        <w:t xml:space="preserve">ocial and </w:t>
      </w:r>
      <w:r w:rsidR="002130AD" w:rsidRPr="002130AD">
        <w:rPr>
          <w:rFonts w:cstheme="minorHAnsi"/>
          <w:bCs/>
        </w:rPr>
        <w:t>C</w:t>
      </w:r>
      <w:r w:rsidR="00FE14DA">
        <w:rPr>
          <w:rFonts w:cstheme="minorHAnsi"/>
          <w:bCs/>
        </w:rPr>
        <w:t xml:space="preserve">ultural </w:t>
      </w:r>
      <w:r w:rsidR="002130AD" w:rsidRPr="002130AD">
        <w:rPr>
          <w:rFonts w:cstheme="minorHAnsi"/>
          <w:bCs/>
        </w:rPr>
        <w:t>R</w:t>
      </w:r>
      <w:r w:rsidR="00FE14DA">
        <w:rPr>
          <w:rFonts w:cstheme="minorHAnsi"/>
          <w:bCs/>
        </w:rPr>
        <w:t>ights</w:t>
      </w:r>
      <w:r w:rsidR="002130AD" w:rsidRPr="002130AD">
        <w:rPr>
          <w:rFonts w:cstheme="minorHAnsi"/>
          <w:bCs/>
        </w:rPr>
        <w:t xml:space="preserve"> has emphasized that</w:t>
      </w:r>
      <w:r w:rsidR="0052010D">
        <w:rPr>
          <w:rFonts w:cstheme="minorHAnsi"/>
          <w:bCs/>
        </w:rPr>
        <w:t xml:space="preserve"> this obligation </w:t>
      </w:r>
      <w:r w:rsidR="002130AD" w:rsidRPr="002130AD">
        <w:rPr>
          <w:rFonts w:cstheme="minorHAnsi"/>
          <w:bCs/>
        </w:rPr>
        <w:t>“will almost invariably require the adoption of a national housing strategy”</w:t>
      </w:r>
      <w:r w:rsidR="00616418" w:rsidRPr="00616418">
        <w:rPr>
          <w:rStyle w:val="FootnoteReference"/>
          <w:bCs/>
        </w:rPr>
        <w:t xml:space="preserve"> </w:t>
      </w:r>
      <w:r w:rsidR="00616418">
        <w:rPr>
          <w:rStyle w:val="FootnoteReference"/>
          <w:bCs/>
        </w:rPr>
        <w:footnoteReference w:id="17"/>
      </w:r>
      <w:r w:rsidR="00616418">
        <w:rPr>
          <w:rFonts w:cstheme="minorHAnsi"/>
          <w:bCs/>
        </w:rPr>
        <w:t xml:space="preserve"> and is of “immediate effect”</w:t>
      </w:r>
      <w:r w:rsidR="002130AD" w:rsidRPr="002130AD">
        <w:rPr>
          <w:rFonts w:cstheme="minorHAnsi"/>
          <w:bCs/>
        </w:rPr>
        <w:t>.</w:t>
      </w:r>
      <w:r w:rsidR="00616418" w:rsidRPr="00616418">
        <w:rPr>
          <w:rStyle w:val="FootnoteReference"/>
        </w:rPr>
        <w:t xml:space="preserve"> </w:t>
      </w:r>
      <w:r w:rsidR="00C432C6">
        <w:rPr>
          <w:rStyle w:val="FootnoteReference"/>
        </w:rPr>
        <w:footnoteReference w:id="18"/>
      </w:r>
    </w:p>
    <w:p w14:paraId="499EDAF1" w14:textId="77777777" w:rsidR="00AB7DDC" w:rsidRDefault="00ED0DDD" w:rsidP="00AB7DDC">
      <w:pPr>
        <w:jc w:val="both"/>
        <w:rPr>
          <w:rFonts w:cstheme="minorHAnsi"/>
        </w:rPr>
      </w:pPr>
      <w:r>
        <w:rPr>
          <w:rFonts w:cstheme="minorHAnsi"/>
        </w:rPr>
        <w:t>17.</w:t>
      </w:r>
      <w:r>
        <w:rPr>
          <w:rFonts w:cstheme="minorHAnsi"/>
        </w:rPr>
        <w:tab/>
      </w:r>
      <w:r w:rsidR="00230F08">
        <w:rPr>
          <w:rFonts w:cstheme="minorHAnsi"/>
        </w:rPr>
        <w:t xml:space="preserve">Yet </w:t>
      </w:r>
      <w:r w:rsidR="00EE3F4F">
        <w:rPr>
          <w:rFonts w:cstheme="minorHAnsi"/>
        </w:rPr>
        <w:t xml:space="preserve">most States have not entrenched </w:t>
      </w:r>
      <w:r w:rsidR="00230F08">
        <w:rPr>
          <w:rFonts w:cstheme="minorHAnsi"/>
        </w:rPr>
        <w:t>th</w:t>
      </w:r>
      <w:r w:rsidR="00EE3F4F">
        <w:rPr>
          <w:rFonts w:cstheme="minorHAnsi"/>
        </w:rPr>
        <w:t>e</w:t>
      </w:r>
      <w:r w:rsidR="00230F08">
        <w:rPr>
          <w:rFonts w:cstheme="minorHAnsi"/>
        </w:rPr>
        <w:t xml:space="preserve"> obligation to implement a</w:t>
      </w:r>
      <w:r w:rsidR="00EE3F4F">
        <w:rPr>
          <w:rFonts w:cstheme="minorHAnsi"/>
        </w:rPr>
        <w:t>n effective</w:t>
      </w:r>
      <w:r w:rsidR="00230F08">
        <w:rPr>
          <w:rFonts w:cstheme="minorHAnsi"/>
        </w:rPr>
        <w:t xml:space="preserve"> plan or strategy to realize the right to housing</w:t>
      </w:r>
      <w:r w:rsidR="00B717C0">
        <w:rPr>
          <w:rFonts w:cstheme="minorHAnsi"/>
        </w:rPr>
        <w:t xml:space="preserve"> </w:t>
      </w:r>
      <w:r w:rsidR="00230F08">
        <w:rPr>
          <w:rFonts w:cstheme="minorHAnsi"/>
        </w:rPr>
        <w:t xml:space="preserve">in domestic law and policy. </w:t>
      </w:r>
      <w:r w:rsidR="000215D9">
        <w:rPr>
          <w:rFonts w:cstheme="minorHAnsi"/>
          <w:bCs/>
        </w:rPr>
        <w:t>When</w:t>
      </w:r>
      <w:r w:rsidR="00AB7DDC">
        <w:rPr>
          <w:rFonts w:cstheme="minorHAnsi"/>
          <w:bCs/>
        </w:rPr>
        <w:t xml:space="preserve"> strategies</w:t>
      </w:r>
      <w:r w:rsidR="000215D9">
        <w:rPr>
          <w:rFonts w:cstheme="minorHAnsi"/>
          <w:bCs/>
        </w:rPr>
        <w:t xml:space="preserve"> with timelines and goals have been adopted, </w:t>
      </w:r>
      <w:r w:rsidR="005A58E1">
        <w:rPr>
          <w:rFonts w:cstheme="minorHAnsi"/>
          <w:bCs/>
        </w:rPr>
        <w:t xml:space="preserve">often </w:t>
      </w:r>
      <w:r w:rsidR="000215D9">
        <w:rPr>
          <w:rFonts w:cstheme="minorHAnsi"/>
          <w:bCs/>
        </w:rPr>
        <w:t xml:space="preserve">there has been </w:t>
      </w:r>
      <w:r w:rsidR="005A58E1">
        <w:rPr>
          <w:rFonts w:cstheme="minorHAnsi"/>
          <w:bCs/>
        </w:rPr>
        <w:t xml:space="preserve">little </w:t>
      </w:r>
      <w:r w:rsidR="000215D9">
        <w:rPr>
          <w:rFonts w:cstheme="minorHAnsi"/>
          <w:bCs/>
        </w:rPr>
        <w:t xml:space="preserve">meaningful </w:t>
      </w:r>
      <w:r w:rsidR="00AB7DDC">
        <w:rPr>
          <w:rFonts w:cstheme="minorHAnsi"/>
          <w:bCs/>
        </w:rPr>
        <w:t xml:space="preserve">accountability or serious commitment to </w:t>
      </w:r>
      <w:r w:rsidR="000215D9">
        <w:rPr>
          <w:rFonts w:cstheme="minorHAnsi"/>
          <w:bCs/>
        </w:rPr>
        <w:t xml:space="preserve">meeting goals. </w:t>
      </w:r>
    </w:p>
    <w:p w14:paraId="6E422976" w14:textId="6CFA5319" w:rsidR="00230F08" w:rsidRPr="00EC21CC" w:rsidRDefault="00ED0DDD" w:rsidP="00230F08">
      <w:pPr>
        <w:jc w:val="both"/>
        <w:rPr>
          <w:rFonts w:cstheme="minorHAnsi"/>
          <w:strike/>
        </w:rPr>
      </w:pPr>
      <w:r>
        <w:rPr>
          <w:rFonts w:cstheme="minorHAnsi"/>
          <w:bCs/>
        </w:rPr>
        <w:t>18.</w:t>
      </w:r>
      <w:r>
        <w:rPr>
          <w:rFonts w:cstheme="minorHAnsi"/>
          <w:bCs/>
        </w:rPr>
        <w:tab/>
      </w:r>
      <w:r w:rsidR="00230F08" w:rsidRPr="00AB7DDC">
        <w:rPr>
          <w:rFonts w:cstheme="minorHAnsi"/>
          <w:bCs/>
        </w:rPr>
        <w:t xml:space="preserve">In order to transform housing systems from those that create homelessness and inequality into systems that ensure the right to housing for all, States must implement rights-based housing strategies that </w:t>
      </w:r>
      <w:r w:rsidR="000215D9">
        <w:rPr>
          <w:rFonts w:cstheme="minorHAnsi"/>
          <w:bCs/>
        </w:rPr>
        <w:t xml:space="preserve">guarantee meaningful accountability and </w:t>
      </w:r>
      <w:r w:rsidR="00230F08" w:rsidRPr="00AB7DDC">
        <w:rPr>
          <w:rFonts w:cstheme="minorHAnsi"/>
          <w:bCs/>
        </w:rPr>
        <w:t>ar</w:t>
      </w:r>
      <w:r w:rsidR="000215D9">
        <w:rPr>
          <w:rFonts w:cstheme="minorHAnsi"/>
          <w:bCs/>
        </w:rPr>
        <w:t>e</w:t>
      </w:r>
      <w:r w:rsidR="00230F08" w:rsidRPr="00AB7DDC">
        <w:rPr>
          <w:rFonts w:cstheme="minorHAnsi"/>
          <w:bCs/>
        </w:rPr>
        <w:t xml:space="preserve"> </w:t>
      </w:r>
      <w:r w:rsidR="000215D9">
        <w:rPr>
          <w:rFonts w:cstheme="minorHAnsi"/>
          <w:bCs/>
        </w:rPr>
        <w:t xml:space="preserve">clearly targeted toward </w:t>
      </w:r>
      <w:r w:rsidR="00390A59">
        <w:rPr>
          <w:rFonts w:cstheme="minorHAnsi"/>
          <w:bCs/>
        </w:rPr>
        <w:t>the goal of ensuring adequate housing</w:t>
      </w:r>
      <w:r w:rsidR="00230F08" w:rsidRPr="00AB7DDC">
        <w:rPr>
          <w:rFonts w:cstheme="minorHAnsi"/>
          <w:bCs/>
        </w:rPr>
        <w:t xml:space="preserve"> for all. </w:t>
      </w:r>
    </w:p>
    <w:p w14:paraId="7B3D92DE" w14:textId="77777777" w:rsidR="00230F08" w:rsidRPr="00945068" w:rsidRDefault="00230F08" w:rsidP="005F3828">
      <w:pPr>
        <w:rPr>
          <w:b/>
          <w:bCs/>
        </w:rPr>
      </w:pPr>
      <w:r w:rsidRPr="00945068">
        <w:rPr>
          <w:b/>
          <w:bCs/>
        </w:rPr>
        <w:t>Implementation measures:</w:t>
      </w:r>
    </w:p>
    <w:p w14:paraId="04384A5C" w14:textId="77777777" w:rsidR="00F67217" w:rsidRPr="00F67217" w:rsidRDefault="00653381" w:rsidP="003B76A1">
      <w:pPr>
        <w:pStyle w:val="ListParagraph"/>
        <w:numPr>
          <w:ilvl w:val="0"/>
          <w:numId w:val="4"/>
        </w:numPr>
        <w:spacing w:after="120"/>
        <w:ind w:hanging="357"/>
        <w:contextualSpacing w:val="0"/>
        <w:jc w:val="both"/>
        <w:rPr>
          <w:rFonts w:cstheme="minorHAnsi"/>
          <w:bCs/>
        </w:rPr>
      </w:pPr>
      <w:r>
        <w:rPr>
          <w:rFonts w:cstheme="minorHAnsi"/>
          <w:bCs/>
        </w:rPr>
        <w:t>Housing strategies should be</w:t>
      </w:r>
      <w:r w:rsidR="00DB2DFF">
        <w:rPr>
          <w:rFonts w:cstheme="minorHAnsi"/>
          <w:bCs/>
        </w:rPr>
        <w:t xml:space="preserve"> adopted</w:t>
      </w:r>
      <w:r>
        <w:rPr>
          <w:rFonts w:cstheme="minorHAnsi"/>
          <w:bCs/>
        </w:rPr>
        <w:t xml:space="preserve"> i</w:t>
      </w:r>
      <w:r w:rsidR="00F67217">
        <w:rPr>
          <w:rFonts w:cstheme="minorHAnsi"/>
          <w:bCs/>
        </w:rPr>
        <w:t>n keeping with the Special Rapporteur’s report</w:t>
      </w:r>
      <w:r w:rsidR="009B27F7">
        <w:rPr>
          <w:rFonts w:cstheme="minorHAnsi"/>
          <w:bCs/>
        </w:rPr>
        <w:t xml:space="preserve"> </w:t>
      </w:r>
      <w:r w:rsidR="00EC21CC">
        <w:rPr>
          <w:rFonts w:cstheme="minorHAnsi"/>
          <w:bCs/>
        </w:rPr>
        <w:t>(</w:t>
      </w:r>
      <w:r w:rsidR="00EC21CC">
        <w:rPr>
          <w:lang w:val="it-IT"/>
        </w:rPr>
        <w:t>A/HRC/37/53)</w:t>
      </w:r>
      <w:r w:rsidR="009B27F7">
        <w:rPr>
          <w:rFonts w:cstheme="minorHAnsi"/>
          <w:bCs/>
        </w:rPr>
        <w:t>,</w:t>
      </w:r>
      <w:r>
        <w:rPr>
          <w:rFonts w:cstheme="minorHAnsi"/>
          <w:bCs/>
        </w:rPr>
        <w:t xml:space="preserve"> </w:t>
      </w:r>
      <w:r w:rsidR="001A2B48">
        <w:rPr>
          <w:rFonts w:cstheme="minorHAnsi"/>
          <w:bCs/>
        </w:rPr>
        <w:t>so as to</w:t>
      </w:r>
      <w:r w:rsidR="006C7174">
        <w:rPr>
          <w:rFonts w:cstheme="minorHAnsi"/>
          <w:bCs/>
        </w:rPr>
        <w:t xml:space="preserve">: </w:t>
      </w:r>
    </w:p>
    <w:p w14:paraId="7E895AB3" w14:textId="77777777" w:rsidR="00653381" w:rsidRDefault="00653381" w:rsidP="003B76A1">
      <w:pPr>
        <w:pStyle w:val="ListParagraph"/>
        <w:numPr>
          <w:ilvl w:val="0"/>
          <w:numId w:val="18"/>
        </w:numPr>
        <w:spacing w:after="120"/>
        <w:ind w:hanging="357"/>
        <w:contextualSpacing w:val="0"/>
        <w:jc w:val="both"/>
        <w:rPr>
          <w:rFonts w:cstheme="minorHAnsi"/>
          <w:bCs/>
        </w:rPr>
      </w:pPr>
      <w:r>
        <w:rPr>
          <w:rFonts w:cstheme="minorHAnsi"/>
          <w:bCs/>
        </w:rPr>
        <w:t>R</w:t>
      </w:r>
      <w:r w:rsidRPr="002C1572">
        <w:rPr>
          <w:rFonts w:cstheme="minorHAnsi"/>
          <w:bCs/>
        </w:rPr>
        <w:t>ecogniz</w:t>
      </w:r>
      <w:r>
        <w:rPr>
          <w:rFonts w:cstheme="minorHAnsi"/>
          <w:bCs/>
        </w:rPr>
        <w:t xml:space="preserve">e the right to housing as a legal right and the progressive realization of the right as a legally binding obligation. </w:t>
      </w:r>
    </w:p>
    <w:p w14:paraId="76697677" w14:textId="47D03E9A" w:rsidR="00E877A5" w:rsidRDefault="00E877A5" w:rsidP="003B76A1">
      <w:pPr>
        <w:pStyle w:val="ListParagraph"/>
        <w:numPr>
          <w:ilvl w:val="0"/>
          <w:numId w:val="18"/>
        </w:numPr>
        <w:spacing w:after="120"/>
        <w:ind w:hanging="357"/>
        <w:contextualSpacing w:val="0"/>
        <w:jc w:val="both"/>
        <w:rPr>
          <w:rFonts w:cstheme="minorHAnsi"/>
          <w:bCs/>
        </w:rPr>
      </w:pPr>
      <w:r>
        <w:rPr>
          <w:rFonts w:cstheme="minorHAnsi"/>
          <w:bCs/>
        </w:rPr>
        <w:t>E</w:t>
      </w:r>
      <w:r w:rsidR="001473ED">
        <w:rPr>
          <w:rFonts w:cstheme="minorHAnsi"/>
          <w:bCs/>
        </w:rPr>
        <w:t xml:space="preserve">stablish clearly articulated </w:t>
      </w:r>
      <w:r w:rsidR="001473ED" w:rsidRPr="00A82393">
        <w:rPr>
          <w:rFonts w:cstheme="minorHAnsi"/>
          <w:bCs/>
        </w:rPr>
        <w:t xml:space="preserve">human rights-based goals and timelines to achieve adequate housing for all in the shortest possible time, identifying both immediate and progressive obligations </w:t>
      </w:r>
      <w:r w:rsidR="00B753CF">
        <w:rPr>
          <w:rFonts w:cstheme="minorHAnsi"/>
          <w:bCs/>
        </w:rPr>
        <w:t xml:space="preserve">in keeping with </w:t>
      </w:r>
      <w:r w:rsidR="001473ED">
        <w:rPr>
          <w:rFonts w:cstheme="minorHAnsi"/>
          <w:bCs/>
        </w:rPr>
        <w:t>international human rights law and provid</w:t>
      </w:r>
      <w:r w:rsidR="00390A59">
        <w:rPr>
          <w:rFonts w:cstheme="minorHAnsi"/>
          <w:bCs/>
        </w:rPr>
        <w:t>ing</w:t>
      </w:r>
      <w:r w:rsidR="001473ED">
        <w:rPr>
          <w:rFonts w:cstheme="minorHAnsi"/>
          <w:bCs/>
        </w:rPr>
        <w:t xml:space="preserve"> for ongoing adjustments to respond to emerging challenges</w:t>
      </w:r>
      <w:r w:rsidR="000A364D">
        <w:rPr>
          <w:rFonts w:cstheme="minorHAnsi"/>
          <w:bCs/>
        </w:rPr>
        <w:t>.</w:t>
      </w:r>
    </w:p>
    <w:p w14:paraId="46F2B3BB" w14:textId="1AFE82C6" w:rsidR="00E877A5" w:rsidRPr="00746395" w:rsidRDefault="009B27F7" w:rsidP="003B76A1">
      <w:pPr>
        <w:pStyle w:val="ListParagraph"/>
        <w:numPr>
          <w:ilvl w:val="0"/>
          <w:numId w:val="18"/>
        </w:numPr>
        <w:spacing w:after="120"/>
        <w:ind w:hanging="357"/>
        <w:contextualSpacing w:val="0"/>
        <w:jc w:val="both"/>
        <w:rPr>
          <w:rFonts w:cstheme="minorHAnsi"/>
          <w:bCs/>
        </w:rPr>
      </w:pPr>
      <w:r>
        <w:rPr>
          <w:rFonts w:cstheme="minorHAnsi"/>
          <w:bCs/>
        </w:rPr>
        <w:t>Clearly d</w:t>
      </w:r>
      <w:r w:rsidR="00230F08" w:rsidRPr="00E877A5">
        <w:rPr>
          <w:rFonts w:cstheme="minorHAnsi"/>
          <w:bCs/>
        </w:rPr>
        <w:t xml:space="preserve">elineate responsibilities </w:t>
      </w:r>
      <w:r w:rsidR="00730855" w:rsidRPr="00E877A5">
        <w:rPr>
          <w:rFonts w:cstheme="minorHAnsi"/>
          <w:bCs/>
        </w:rPr>
        <w:t xml:space="preserve">of </w:t>
      </w:r>
      <w:r w:rsidR="001C0E54" w:rsidRPr="00E877A5">
        <w:rPr>
          <w:rFonts w:cstheme="minorHAnsi"/>
          <w:bCs/>
        </w:rPr>
        <w:t>local, regional and national Government</w:t>
      </w:r>
      <w:r w:rsidR="00B753CF" w:rsidRPr="00E877A5">
        <w:rPr>
          <w:rFonts w:cstheme="minorHAnsi"/>
          <w:bCs/>
        </w:rPr>
        <w:t>s</w:t>
      </w:r>
      <w:r>
        <w:rPr>
          <w:rFonts w:cstheme="minorHAnsi"/>
          <w:bCs/>
        </w:rPr>
        <w:t xml:space="preserve">, </w:t>
      </w:r>
      <w:r w:rsidR="00230F08" w:rsidRPr="00E877A5">
        <w:rPr>
          <w:rFonts w:cstheme="minorHAnsi"/>
          <w:bCs/>
        </w:rPr>
        <w:t xml:space="preserve">and ensure coordination </w:t>
      </w:r>
      <w:r w:rsidR="001C0E54" w:rsidRPr="00E877A5">
        <w:rPr>
          <w:rFonts w:cstheme="minorHAnsi"/>
          <w:bCs/>
        </w:rPr>
        <w:t xml:space="preserve">between them </w:t>
      </w:r>
      <w:r w:rsidR="00957BE9">
        <w:rPr>
          <w:rFonts w:cstheme="minorHAnsi"/>
          <w:bCs/>
        </w:rPr>
        <w:t xml:space="preserve">and adequate capacity and resources </w:t>
      </w:r>
      <w:r w:rsidR="00230F08" w:rsidRPr="00746395">
        <w:rPr>
          <w:rFonts w:cstheme="minorHAnsi"/>
          <w:bCs/>
        </w:rPr>
        <w:t>(</w:t>
      </w:r>
      <w:r w:rsidR="00230F08" w:rsidRPr="00BC7B65">
        <w:rPr>
          <w:rFonts w:cstheme="minorHAnsi"/>
          <w:bCs/>
        </w:rPr>
        <w:t xml:space="preserve">see guideline no. </w:t>
      </w:r>
      <w:r w:rsidR="00746395" w:rsidRPr="00BC7B65">
        <w:rPr>
          <w:rFonts w:cstheme="minorHAnsi"/>
          <w:bCs/>
        </w:rPr>
        <w:t>11</w:t>
      </w:r>
      <w:r w:rsidR="00230F08" w:rsidRPr="00746395">
        <w:rPr>
          <w:rFonts w:cstheme="minorHAnsi"/>
          <w:bCs/>
        </w:rPr>
        <w:t>).</w:t>
      </w:r>
    </w:p>
    <w:p w14:paraId="67E5FA8D" w14:textId="77777777" w:rsidR="00E877A5" w:rsidRDefault="00E877A5" w:rsidP="003B76A1">
      <w:pPr>
        <w:pStyle w:val="ListParagraph"/>
        <w:numPr>
          <w:ilvl w:val="0"/>
          <w:numId w:val="18"/>
        </w:numPr>
        <w:spacing w:after="120"/>
        <w:ind w:hanging="357"/>
        <w:contextualSpacing w:val="0"/>
        <w:jc w:val="both"/>
        <w:rPr>
          <w:rFonts w:cstheme="minorHAnsi"/>
          <w:bCs/>
        </w:rPr>
      </w:pPr>
      <w:r>
        <w:rPr>
          <w:rFonts w:cstheme="minorHAnsi"/>
          <w:bCs/>
        </w:rPr>
        <w:t>P</w:t>
      </w:r>
      <w:r w:rsidR="00230F08" w:rsidRPr="00E877A5">
        <w:rPr>
          <w:rFonts w:cstheme="minorHAnsi"/>
          <w:bCs/>
        </w:rPr>
        <w:t>rovide coherence and coordination to interventions and regulation in all relevant policy areas - including those related to urban planning, upgrading of informal settlements or substandard housing, income support, access to employment and services, the provision of water, sanitation, energy, health care and education, climate change mitigation and adaptation</w:t>
      </w:r>
      <w:r w:rsidR="00730855" w:rsidRPr="00E877A5">
        <w:rPr>
          <w:rFonts w:cstheme="minorHAnsi"/>
          <w:bCs/>
        </w:rPr>
        <w:t>,</w:t>
      </w:r>
      <w:r w:rsidR="00230F08" w:rsidRPr="00E877A5">
        <w:rPr>
          <w:rFonts w:cstheme="minorHAnsi"/>
          <w:bCs/>
        </w:rPr>
        <w:t xml:space="preserve"> and the protection of the environment.</w:t>
      </w:r>
    </w:p>
    <w:p w14:paraId="7CC9E975" w14:textId="54462969" w:rsidR="00E877A5" w:rsidRDefault="00E877A5" w:rsidP="003B76A1">
      <w:pPr>
        <w:pStyle w:val="ListParagraph"/>
        <w:numPr>
          <w:ilvl w:val="0"/>
          <w:numId w:val="18"/>
        </w:numPr>
        <w:spacing w:after="120"/>
        <w:ind w:hanging="357"/>
        <w:contextualSpacing w:val="0"/>
        <w:jc w:val="both"/>
        <w:rPr>
          <w:rFonts w:cstheme="minorHAnsi"/>
          <w:bCs/>
        </w:rPr>
      </w:pPr>
      <w:r>
        <w:rPr>
          <w:rFonts w:cstheme="minorHAnsi"/>
          <w:bCs/>
        </w:rPr>
        <w:t>I</w:t>
      </w:r>
      <w:r w:rsidR="00230F08" w:rsidRPr="00E877A5">
        <w:rPr>
          <w:rFonts w:cstheme="minorHAnsi"/>
          <w:bCs/>
        </w:rPr>
        <w:t>dentify and address key obstacles to the right to housing, such as financialization, discrimination, land-grabbing, speculation, predatory lending, environmental degradation and vulnerability to natural disasters</w:t>
      </w:r>
      <w:r w:rsidR="00A95398">
        <w:rPr>
          <w:rFonts w:cstheme="minorHAnsi"/>
          <w:bCs/>
        </w:rPr>
        <w:t>.</w:t>
      </w:r>
      <w:r w:rsidR="006C7174">
        <w:rPr>
          <w:rFonts w:cstheme="minorHAnsi"/>
          <w:bCs/>
        </w:rPr>
        <w:t xml:space="preserve"> </w:t>
      </w:r>
    </w:p>
    <w:p w14:paraId="690E1F78" w14:textId="77777777" w:rsidR="00090A8D" w:rsidRDefault="00090A8D" w:rsidP="003B76A1">
      <w:pPr>
        <w:pStyle w:val="ListParagraph"/>
        <w:numPr>
          <w:ilvl w:val="0"/>
          <w:numId w:val="18"/>
        </w:numPr>
        <w:spacing w:after="120"/>
        <w:ind w:hanging="357"/>
        <w:contextualSpacing w:val="0"/>
        <w:jc w:val="both"/>
        <w:rPr>
          <w:rFonts w:cstheme="minorHAnsi"/>
          <w:bCs/>
        </w:rPr>
      </w:pPr>
      <w:r w:rsidRPr="00090A8D">
        <w:rPr>
          <w:rFonts w:cstheme="minorHAnsi"/>
          <w:bCs/>
        </w:rPr>
        <w:t>Promote, protect and strengthen a variety of tenure arrangements, according priority to those which provided security of tenure for the most vulnerable and marginalized should be accorded p</w:t>
      </w:r>
      <w:r>
        <w:rPr>
          <w:rFonts w:cstheme="minorHAnsi"/>
          <w:bCs/>
        </w:rPr>
        <w:t>riority (A/HRC/25/54, para. 5)</w:t>
      </w:r>
      <w:r w:rsidRPr="00090A8D">
        <w:rPr>
          <w:rFonts w:cstheme="minorHAnsi"/>
          <w:bCs/>
        </w:rPr>
        <w:t>.</w:t>
      </w:r>
    </w:p>
    <w:p w14:paraId="5DDA2312" w14:textId="15E42F15" w:rsidR="00E877A5" w:rsidRPr="00746395" w:rsidRDefault="00E877A5" w:rsidP="003B76A1">
      <w:pPr>
        <w:pStyle w:val="ListParagraph"/>
        <w:numPr>
          <w:ilvl w:val="0"/>
          <w:numId w:val="18"/>
        </w:numPr>
        <w:spacing w:after="120"/>
        <w:ind w:hanging="357"/>
        <w:contextualSpacing w:val="0"/>
        <w:jc w:val="both"/>
        <w:rPr>
          <w:rFonts w:cstheme="minorHAnsi"/>
          <w:bCs/>
        </w:rPr>
      </w:pPr>
      <w:r>
        <w:t>I</w:t>
      </w:r>
      <w:r w:rsidR="0020276A">
        <w:t xml:space="preserve">nclude measures to </w:t>
      </w:r>
      <w:r w:rsidR="0020276A" w:rsidRPr="0004119C">
        <w:t>regulate financial, housing and real estate markets to ensure that the right to housing is both protected and fulfilled</w:t>
      </w:r>
      <w:r w:rsidR="0020276A">
        <w:t xml:space="preserve"> (</w:t>
      </w:r>
      <w:r w:rsidR="0020276A" w:rsidRPr="000A364D">
        <w:t>see guideline no</w:t>
      </w:r>
      <w:r w:rsidR="00746395" w:rsidRPr="000A364D">
        <w:t>.</w:t>
      </w:r>
      <w:r w:rsidR="0020276A" w:rsidRPr="000A364D">
        <w:t xml:space="preserve"> </w:t>
      </w:r>
      <w:r w:rsidR="00746395" w:rsidRPr="000A364D">
        <w:t>8</w:t>
      </w:r>
      <w:r w:rsidR="0020276A" w:rsidRPr="00746395">
        <w:t>)</w:t>
      </w:r>
    </w:p>
    <w:p w14:paraId="148059A2" w14:textId="6DEEF698" w:rsidR="00E877A5" w:rsidRPr="00746395" w:rsidRDefault="00E877A5" w:rsidP="003B76A1">
      <w:pPr>
        <w:pStyle w:val="ListParagraph"/>
        <w:numPr>
          <w:ilvl w:val="0"/>
          <w:numId w:val="18"/>
        </w:numPr>
        <w:spacing w:after="120"/>
        <w:ind w:hanging="357"/>
        <w:contextualSpacing w:val="0"/>
        <w:jc w:val="both"/>
      </w:pPr>
      <w:r w:rsidRPr="00746395">
        <w:t xml:space="preserve">Include </w:t>
      </w:r>
      <w:r w:rsidR="00230F08" w:rsidRPr="00746395">
        <w:t xml:space="preserve">mechanisms </w:t>
      </w:r>
      <w:r w:rsidR="00230F08" w:rsidRPr="00976A24">
        <w:t xml:space="preserve">and necessary support for participation </w:t>
      </w:r>
      <w:r w:rsidR="0020276A" w:rsidRPr="00976A24">
        <w:t>of rights holde</w:t>
      </w:r>
      <w:r w:rsidR="0020276A" w:rsidRPr="00E51458">
        <w:t xml:space="preserve">rs and relevant associations </w:t>
      </w:r>
      <w:r w:rsidR="00230F08" w:rsidRPr="00E51458">
        <w:t>in the design, implementation and monitoring of the strategy (</w:t>
      </w:r>
      <w:r w:rsidR="00230F08" w:rsidRPr="000A364D">
        <w:t xml:space="preserve">see guideline no. </w:t>
      </w:r>
      <w:r w:rsidR="00746395" w:rsidRPr="000A364D">
        <w:t>10</w:t>
      </w:r>
      <w:r w:rsidR="00230F08" w:rsidRPr="00746395">
        <w:t>).</w:t>
      </w:r>
    </w:p>
    <w:p w14:paraId="1AFB6B81" w14:textId="03770761" w:rsidR="00614786" w:rsidRPr="00746395" w:rsidRDefault="00E877A5" w:rsidP="003B76A1">
      <w:pPr>
        <w:pStyle w:val="ListParagraph"/>
        <w:numPr>
          <w:ilvl w:val="0"/>
          <w:numId w:val="18"/>
        </w:numPr>
        <w:spacing w:after="120"/>
        <w:ind w:hanging="357"/>
        <w:contextualSpacing w:val="0"/>
        <w:jc w:val="both"/>
      </w:pPr>
      <w:r w:rsidRPr="00746395">
        <w:rPr>
          <w:rFonts w:cstheme="minorHAnsi"/>
          <w:bCs/>
        </w:rPr>
        <w:lastRenderedPageBreak/>
        <w:t>I</w:t>
      </w:r>
      <w:r w:rsidR="00230F08" w:rsidRPr="00746395">
        <w:rPr>
          <w:rFonts w:cstheme="minorHAnsi"/>
          <w:bCs/>
        </w:rPr>
        <w:t>nclude independent monitoring and accountability mechanisms, drawing on existing institutions such as NHRI’s or establishing new ones where ap</w:t>
      </w:r>
      <w:r w:rsidR="00230F08" w:rsidRPr="00E51458">
        <w:rPr>
          <w:rFonts w:cstheme="minorHAnsi"/>
          <w:bCs/>
        </w:rPr>
        <w:t>propriate, for meeting these obligations and goals (</w:t>
      </w:r>
      <w:r w:rsidR="00230F08" w:rsidRPr="000A364D">
        <w:rPr>
          <w:rFonts w:cstheme="minorHAnsi"/>
          <w:bCs/>
        </w:rPr>
        <w:t xml:space="preserve">see guideline no. </w:t>
      </w:r>
      <w:r w:rsidR="00341FB8" w:rsidRPr="00746395">
        <w:rPr>
          <w:rFonts w:cstheme="minorHAnsi"/>
          <w:bCs/>
        </w:rPr>
        <w:t>1</w:t>
      </w:r>
      <w:r w:rsidR="00746395" w:rsidRPr="00746395">
        <w:rPr>
          <w:rFonts w:cstheme="minorHAnsi"/>
          <w:bCs/>
        </w:rPr>
        <w:t>5</w:t>
      </w:r>
      <w:r w:rsidR="00230F08" w:rsidRPr="00746395">
        <w:rPr>
          <w:rFonts w:cstheme="minorHAnsi"/>
          <w:bCs/>
        </w:rPr>
        <w:t>).</w:t>
      </w:r>
    </w:p>
    <w:p w14:paraId="3A57EA90" w14:textId="77777777" w:rsidR="00C4243B" w:rsidRDefault="00E877A5" w:rsidP="003B76A1">
      <w:pPr>
        <w:pStyle w:val="ListParagraph"/>
        <w:numPr>
          <w:ilvl w:val="0"/>
          <w:numId w:val="18"/>
        </w:numPr>
        <w:tabs>
          <w:tab w:val="left" w:pos="1418"/>
        </w:tabs>
        <w:spacing w:after="120"/>
        <w:ind w:hanging="357"/>
        <w:contextualSpacing w:val="0"/>
        <w:jc w:val="both"/>
      </w:pPr>
      <w:r>
        <w:rPr>
          <w:rFonts w:cstheme="minorHAnsi"/>
          <w:bCs/>
        </w:rPr>
        <w:t>Provide</w:t>
      </w:r>
      <w:r w:rsidR="00230F08" w:rsidRPr="0004119C">
        <w:t xml:space="preserve"> for budgetary oversight and review </w:t>
      </w:r>
      <w:r w:rsidR="00230F08">
        <w:t xml:space="preserve">and </w:t>
      </w:r>
      <w:r w:rsidR="00230F08" w:rsidRPr="0004119C">
        <w:t>ensure compliance with the standard of allocating “maximum available resources”</w:t>
      </w:r>
      <w:r w:rsidR="00C4243B">
        <w:t xml:space="preserve"> including to sub-national level governments. </w:t>
      </w:r>
      <w:r w:rsidR="00EC21CC">
        <w:t xml:space="preserve">Mobilization of available </w:t>
      </w:r>
      <w:r w:rsidR="00C4243B">
        <w:t xml:space="preserve">resources includes, for example, </w:t>
      </w:r>
      <w:r w:rsidR="00230F08" w:rsidRPr="0004119C">
        <w:t xml:space="preserve">reasonable taxation, curbing tax avoidance and corruption, </w:t>
      </w:r>
      <w:r w:rsidR="00C4243B">
        <w:t xml:space="preserve">and </w:t>
      </w:r>
      <w:r w:rsidR="00230F08" w:rsidRPr="0004119C">
        <w:t xml:space="preserve">eliminating preferential tax treatment </w:t>
      </w:r>
      <w:r w:rsidR="001A2B48">
        <w:t xml:space="preserve">of residential real estate investment. </w:t>
      </w:r>
      <w:r w:rsidR="00C4243B">
        <w:t>Resource expenditure must also meet</w:t>
      </w:r>
      <w:r w:rsidR="00230F08" w:rsidRPr="0004119C">
        <w:t xml:space="preserve"> the standard</w:t>
      </w:r>
      <w:r w:rsidR="00C4243B">
        <w:t>s</w:t>
      </w:r>
      <w:r w:rsidR="00230F08" w:rsidRPr="0004119C">
        <w:t xml:space="preserve"> of gender-responsive and participatory budgeting.</w:t>
      </w:r>
    </w:p>
    <w:p w14:paraId="59CE60B7" w14:textId="77777777" w:rsidR="00230F08" w:rsidRDefault="00F67217" w:rsidP="003B76A1">
      <w:pPr>
        <w:pStyle w:val="ListParagraph"/>
        <w:numPr>
          <w:ilvl w:val="0"/>
          <w:numId w:val="18"/>
        </w:numPr>
        <w:tabs>
          <w:tab w:val="left" w:pos="1418"/>
        </w:tabs>
        <w:spacing w:after="120"/>
        <w:ind w:hanging="357"/>
        <w:contextualSpacing w:val="0"/>
        <w:jc w:val="both"/>
      </w:pPr>
      <w:r>
        <w:t>E</w:t>
      </w:r>
      <w:r w:rsidR="00230F08" w:rsidRPr="0004119C">
        <w:t>stablish or be supported by effective claiming mechanisms for the right to housing through courts</w:t>
      </w:r>
      <w:r w:rsidR="00230F08">
        <w:t>, tribunals</w:t>
      </w:r>
      <w:r w:rsidR="00230F08" w:rsidRPr="0004119C">
        <w:t xml:space="preserve"> and other means, and ensure that rights holders have access to hearings to challenge</w:t>
      </w:r>
      <w:r w:rsidR="00230F08">
        <w:t xml:space="preserve"> barriers to housing and</w:t>
      </w:r>
      <w:r w:rsidR="00230F08" w:rsidRPr="0004119C">
        <w:t xml:space="preserve"> obstacles to progressive realization. </w:t>
      </w:r>
    </w:p>
    <w:p w14:paraId="5D61347B" w14:textId="77777777" w:rsidR="00341FB8" w:rsidRDefault="00341FB8" w:rsidP="00341FB8">
      <w:pPr>
        <w:pStyle w:val="ListParagraph"/>
        <w:tabs>
          <w:tab w:val="left" w:pos="1418"/>
        </w:tabs>
        <w:spacing w:after="120"/>
        <w:ind w:left="1778"/>
        <w:contextualSpacing w:val="0"/>
        <w:jc w:val="both"/>
      </w:pPr>
    </w:p>
    <w:p w14:paraId="75273104" w14:textId="2B37439F" w:rsidR="003E594A" w:rsidRPr="00230F08" w:rsidRDefault="003E594A" w:rsidP="009B3CE0">
      <w:pPr>
        <w:pStyle w:val="Heading2"/>
      </w:pPr>
      <w:bookmarkStart w:id="7" w:name="_Toc23200809"/>
      <w:r w:rsidRPr="00230F08">
        <w:t xml:space="preserve">Guideline </w:t>
      </w:r>
      <w:r w:rsidR="00121444">
        <w:t>N</w:t>
      </w:r>
      <w:r w:rsidRPr="00230F08">
        <w:t xml:space="preserve">o. </w:t>
      </w:r>
      <w:r>
        <w:t>3</w:t>
      </w:r>
      <w:bookmarkEnd w:id="7"/>
    </w:p>
    <w:p w14:paraId="7B905A97" w14:textId="77777777" w:rsidR="00146BFA" w:rsidRDefault="000546A2" w:rsidP="009B3CE0">
      <w:pPr>
        <w:pStyle w:val="Heading3"/>
      </w:pPr>
      <w:bookmarkStart w:id="8" w:name="_Toc23200810"/>
      <w:r>
        <w:t xml:space="preserve">Ensure </w:t>
      </w:r>
      <w:r w:rsidR="00A27537">
        <w:t>the</w:t>
      </w:r>
      <w:r w:rsidRPr="009B6E64">
        <w:t xml:space="preserve"> </w:t>
      </w:r>
      <w:r w:rsidR="00A27537">
        <w:t>progressive</w:t>
      </w:r>
      <w:r w:rsidR="00090A8D">
        <w:t xml:space="preserve"> </w:t>
      </w:r>
      <w:r w:rsidR="00A27537">
        <w:t>realization of</w:t>
      </w:r>
      <w:r w:rsidRPr="009B6E64">
        <w:t xml:space="preserve"> the right to adequate housing </w:t>
      </w:r>
      <w:r w:rsidR="00060826">
        <w:t xml:space="preserve">in compliance </w:t>
      </w:r>
      <w:r w:rsidRPr="009B6E64">
        <w:t>with the standard of reasonableness</w:t>
      </w:r>
      <w:r>
        <w:t>.</w:t>
      </w:r>
      <w:bookmarkEnd w:id="8"/>
    </w:p>
    <w:p w14:paraId="6BF041AC" w14:textId="77777777" w:rsidR="000546A2" w:rsidRPr="005A39EF" w:rsidRDefault="00ED0DDD" w:rsidP="00ED0DDD">
      <w:pPr>
        <w:tabs>
          <w:tab w:val="left" w:pos="567"/>
        </w:tabs>
        <w:jc w:val="both"/>
        <w:rPr>
          <w:b/>
          <w:bCs/>
          <w:iCs/>
        </w:rPr>
      </w:pPr>
      <w:r>
        <w:rPr>
          <w:iCs/>
        </w:rPr>
        <w:t>19.</w:t>
      </w:r>
      <w:r>
        <w:rPr>
          <w:iCs/>
        </w:rPr>
        <w:tab/>
      </w:r>
      <w:r w:rsidR="00146BFA">
        <w:rPr>
          <w:iCs/>
        </w:rPr>
        <w:t xml:space="preserve">Many of the most serious </w:t>
      </w:r>
      <w:r w:rsidR="00146BFA">
        <w:t>vi</w:t>
      </w:r>
      <w:r w:rsidR="00146BFA" w:rsidRPr="00835BAE">
        <w:t xml:space="preserve">olations </w:t>
      </w:r>
      <w:r w:rsidR="00146BFA">
        <w:t xml:space="preserve">of the right to housing </w:t>
      </w:r>
      <w:r w:rsidR="000546A2" w:rsidRPr="00835BAE">
        <w:t>derive from the failure of States</w:t>
      </w:r>
      <w:r w:rsidR="00146BFA">
        <w:t xml:space="preserve"> to adopt </w:t>
      </w:r>
      <w:r w:rsidR="000546A2" w:rsidRPr="00835BAE">
        <w:t>appropriate measures to address the unacceptable circumstances in which people are living</w:t>
      </w:r>
      <w:r w:rsidR="00611FEE">
        <w:t xml:space="preserve">. </w:t>
      </w:r>
      <w:r w:rsidR="001C69F7">
        <w:t xml:space="preserve">And so, </w:t>
      </w:r>
      <w:r w:rsidR="00611FEE">
        <w:t>while most countries have many housing policies and programmes</w:t>
      </w:r>
      <w:r w:rsidR="00923E3D">
        <w:t xml:space="preserve"> in place</w:t>
      </w:r>
      <w:r w:rsidR="00611FEE">
        <w:t>, homelessness and informal settlements continue to grow.</w:t>
      </w:r>
      <w:r w:rsidR="00923E3D">
        <w:t xml:space="preserve"> </w:t>
      </w:r>
      <w:r w:rsidR="00477BD9">
        <w:t>V</w:t>
      </w:r>
      <w:r w:rsidR="001C69F7">
        <w:t xml:space="preserve">iolations of the right to housing </w:t>
      </w:r>
      <w:r w:rsidR="00477BD9">
        <w:t xml:space="preserve">are </w:t>
      </w:r>
      <w:r w:rsidR="001C69F7">
        <w:t xml:space="preserve">most commonly </w:t>
      </w:r>
      <w:r w:rsidR="00477BD9">
        <w:t xml:space="preserve">identified as a result of </w:t>
      </w:r>
      <w:r w:rsidR="00923E3D">
        <w:t>State action</w:t>
      </w:r>
      <w:r w:rsidR="00060826">
        <w:t xml:space="preserve"> that deprives people of their rights</w:t>
      </w:r>
      <w:r w:rsidR="00923E3D">
        <w:t xml:space="preserve">, such as forced evictions. </w:t>
      </w:r>
      <w:r w:rsidR="001C69F7">
        <w:t>State inaction</w:t>
      </w:r>
      <w:r w:rsidR="00060826">
        <w:t xml:space="preserve"> and neglect </w:t>
      </w:r>
      <w:r w:rsidR="00477BD9">
        <w:t xml:space="preserve">is less often identified </w:t>
      </w:r>
      <w:r w:rsidR="00060826">
        <w:t xml:space="preserve">as a violation, </w:t>
      </w:r>
      <w:r w:rsidR="00477BD9">
        <w:t>requiring</w:t>
      </w:r>
      <w:r w:rsidR="001E19FF">
        <w:t xml:space="preserve"> </w:t>
      </w:r>
      <w:r w:rsidR="00060826">
        <w:t>effective remedies when States fail to progressively realize the right to housing</w:t>
      </w:r>
      <w:r w:rsidR="00E50BAB">
        <w:t>.</w:t>
      </w:r>
    </w:p>
    <w:p w14:paraId="7B145632" w14:textId="0EDF96E5" w:rsidR="00E442CE" w:rsidRDefault="00ED0DDD" w:rsidP="00ED0DDD">
      <w:pPr>
        <w:tabs>
          <w:tab w:val="left" w:pos="567"/>
        </w:tabs>
        <w:jc w:val="both"/>
        <w:rPr>
          <w:sz w:val="23"/>
          <w:szCs w:val="23"/>
        </w:rPr>
      </w:pPr>
      <w:r>
        <w:t>20.</w:t>
      </w:r>
      <w:r>
        <w:tab/>
      </w:r>
      <w:r w:rsidR="003E594A" w:rsidRPr="00835BAE">
        <w:t xml:space="preserve">The Optional Protocol to the </w:t>
      </w:r>
      <w:r w:rsidR="00E50BAB">
        <w:t xml:space="preserve">International </w:t>
      </w:r>
      <w:r w:rsidR="003E594A" w:rsidRPr="00835BAE">
        <w:t>Covenant on Economic, Social, and Cultural Rights</w:t>
      </w:r>
      <w:r w:rsidR="002B4977">
        <w:t xml:space="preserve"> </w:t>
      </w:r>
      <w:r w:rsidR="005A39EF">
        <w:t>clarifies</w:t>
      </w:r>
      <w:r w:rsidR="008746CC">
        <w:t xml:space="preserve"> </w:t>
      </w:r>
      <w:r w:rsidR="002B4977">
        <w:t xml:space="preserve">that </w:t>
      </w:r>
      <w:r w:rsidR="000546A2">
        <w:t xml:space="preserve">compliance with </w:t>
      </w:r>
      <w:r w:rsidR="00D4669E">
        <w:rPr>
          <w:color w:val="000000"/>
          <w:shd w:val="clear" w:color="auto" w:fill="FFFFFF"/>
        </w:rPr>
        <w:t xml:space="preserve">progressive realization under </w:t>
      </w:r>
      <w:r w:rsidR="00E50BAB">
        <w:rPr>
          <w:color w:val="000000"/>
          <w:shd w:val="clear" w:color="auto" w:fill="FFFFFF"/>
        </w:rPr>
        <w:t xml:space="preserve">Article </w:t>
      </w:r>
      <w:r w:rsidR="00D4669E">
        <w:rPr>
          <w:color w:val="000000"/>
          <w:shd w:val="clear" w:color="auto" w:fill="FFFFFF"/>
        </w:rPr>
        <w:t>2.1 of the Covenant</w:t>
      </w:r>
      <w:r w:rsidR="00A95398">
        <w:rPr>
          <w:color w:val="000000"/>
          <w:shd w:val="clear" w:color="auto" w:fill="FFFFFF"/>
        </w:rPr>
        <w:t xml:space="preserve"> should</w:t>
      </w:r>
      <w:r w:rsidR="005C7D48">
        <w:rPr>
          <w:color w:val="000000"/>
          <w:shd w:val="clear" w:color="auto" w:fill="FFFFFF"/>
        </w:rPr>
        <w:t xml:space="preserve"> be assessed based on </w:t>
      </w:r>
      <w:r w:rsidR="00475E58">
        <w:rPr>
          <w:color w:val="000000"/>
          <w:shd w:val="clear" w:color="auto" w:fill="FFFFFF"/>
        </w:rPr>
        <w:t>“</w:t>
      </w:r>
      <w:r w:rsidR="000008C0" w:rsidRPr="00341FB8">
        <w:rPr>
          <w:rFonts w:cstheme="minorHAnsi"/>
          <w:color w:val="000000"/>
          <w:shd w:val="clear" w:color="auto" w:fill="FFFFFF"/>
        </w:rPr>
        <w:t xml:space="preserve">the </w:t>
      </w:r>
      <w:r w:rsidR="006310E6" w:rsidRPr="00341FB8">
        <w:rPr>
          <w:rFonts w:cstheme="minorHAnsi"/>
          <w:color w:val="000000"/>
          <w:shd w:val="clear" w:color="auto" w:fill="FFFFFF"/>
        </w:rPr>
        <w:t>reasonableness of the steps taken by the State Party</w:t>
      </w:r>
      <w:r w:rsidR="00475E58" w:rsidRPr="00341FB8">
        <w:rPr>
          <w:rFonts w:cstheme="minorHAnsi"/>
          <w:color w:val="000000"/>
          <w:shd w:val="clear" w:color="auto" w:fill="FFFFFF"/>
        </w:rPr>
        <w:t>”</w:t>
      </w:r>
      <w:r w:rsidR="000008C0" w:rsidRPr="00341FB8">
        <w:rPr>
          <w:rFonts w:cstheme="minorHAnsi"/>
          <w:color w:val="000000"/>
          <w:shd w:val="clear" w:color="auto" w:fill="FFFFFF"/>
        </w:rPr>
        <w:t>,</w:t>
      </w:r>
      <w:r w:rsidR="000A364D">
        <w:rPr>
          <w:rStyle w:val="FootnoteReference"/>
          <w:color w:val="000000"/>
          <w:shd w:val="clear" w:color="auto" w:fill="FFFFFF"/>
        </w:rPr>
        <w:footnoteReference w:id="19"/>
      </w:r>
      <w:r w:rsidR="000008C0" w:rsidRPr="00341FB8">
        <w:rPr>
          <w:rFonts w:cstheme="minorHAnsi"/>
          <w:color w:val="000000"/>
          <w:shd w:val="clear" w:color="auto" w:fill="FFFFFF"/>
        </w:rPr>
        <w:t xml:space="preserve"> recognizing that there may be a range of possible measures for the implementation of the right.</w:t>
      </w:r>
      <w:r w:rsidR="0045388B" w:rsidRPr="00341FB8">
        <w:rPr>
          <w:rStyle w:val="FootnoteReference"/>
          <w:rFonts w:asciiTheme="minorHAnsi" w:hAnsiTheme="minorHAnsi" w:cstheme="minorHAnsi"/>
          <w:sz w:val="22"/>
        </w:rPr>
        <w:footnoteReference w:id="20"/>
      </w:r>
      <w:r w:rsidR="0045388B">
        <w:rPr>
          <w:sz w:val="23"/>
          <w:szCs w:val="23"/>
        </w:rPr>
        <w:t xml:space="preserve"> </w:t>
      </w:r>
      <w:r w:rsidR="008746CC">
        <w:rPr>
          <w:sz w:val="23"/>
          <w:szCs w:val="23"/>
        </w:rPr>
        <w:t xml:space="preserve">The CESCR has </w:t>
      </w:r>
      <w:r w:rsidR="0044575B">
        <w:rPr>
          <w:sz w:val="23"/>
          <w:szCs w:val="23"/>
        </w:rPr>
        <w:t>clarified that reasonable m</w:t>
      </w:r>
      <w:r w:rsidR="00E442CE" w:rsidRPr="009A0290">
        <w:t>easures must</w:t>
      </w:r>
      <w:r w:rsidR="00E442CE">
        <w:t xml:space="preserve"> </w:t>
      </w:r>
      <w:r w:rsidR="00E442CE" w:rsidRPr="009A0290">
        <w:t>be deliberate, concrete and targeted towards the fulfilment of the right</w:t>
      </w:r>
      <w:r w:rsidR="00E442CE">
        <w:t xml:space="preserve">; be </w:t>
      </w:r>
      <w:r w:rsidR="00E442CE" w:rsidRPr="009A0290">
        <w:t>implemented within a reasonable time frame; allocate resources in accordance with international human rights standards;</w:t>
      </w:r>
      <w:r w:rsidR="00A47F2A">
        <w:t xml:space="preserve"> </w:t>
      </w:r>
      <w:r w:rsidR="00E442CE" w:rsidRPr="009A0290">
        <w:t xml:space="preserve">address the precarious situation of disadvantaged and marginalized individuals or groups; and </w:t>
      </w:r>
      <w:r w:rsidR="00E442CE">
        <w:t xml:space="preserve">ensure transparent and participatory </w:t>
      </w:r>
      <w:r w:rsidR="00E442CE" w:rsidRPr="009A0290">
        <w:t>decision-</w:t>
      </w:r>
      <w:r w:rsidR="00E442CE">
        <w:t>making</w:t>
      </w:r>
      <w:r w:rsidR="00E442CE" w:rsidRPr="009A0290">
        <w:t>.</w:t>
      </w:r>
      <w:r w:rsidR="00E442CE">
        <w:rPr>
          <w:rStyle w:val="FootnoteReference"/>
        </w:rPr>
        <w:footnoteReference w:id="21"/>
      </w:r>
      <w:r w:rsidR="0045388B">
        <w:rPr>
          <w:sz w:val="23"/>
          <w:szCs w:val="23"/>
        </w:rPr>
        <w:t xml:space="preserve"> </w:t>
      </w:r>
      <w:r w:rsidR="002B7B53">
        <w:rPr>
          <w:sz w:val="23"/>
          <w:szCs w:val="23"/>
        </w:rPr>
        <w:t xml:space="preserve">States must require that laws and programs related to housing comply with the reasonableness standard, and that rights-holders are able to hold governments accountable to it.  </w:t>
      </w:r>
    </w:p>
    <w:p w14:paraId="32AC8571" w14:textId="77777777" w:rsidR="00945068" w:rsidRPr="00741FF6" w:rsidRDefault="00945068" w:rsidP="00ED0DDD">
      <w:pPr>
        <w:tabs>
          <w:tab w:val="left" w:pos="567"/>
        </w:tabs>
        <w:jc w:val="both"/>
        <w:rPr>
          <w:rFonts w:ascii="Verdana" w:hAnsi="Verdana"/>
          <w:color w:val="000000"/>
          <w:sz w:val="19"/>
          <w:szCs w:val="19"/>
          <w:shd w:val="clear" w:color="auto" w:fill="FFFFFF"/>
        </w:rPr>
      </w:pPr>
    </w:p>
    <w:p w14:paraId="563BBFF6" w14:textId="1A18CC93" w:rsidR="00E442CE" w:rsidRPr="00945068" w:rsidRDefault="00E442CE" w:rsidP="005F3828">
      <w:pPr>
        <w:rPr>
          <w:b/>
          <w:bCs/>
          <w:iCs/>
        </w:rPr>
      </w:pPr>
      <w:r w:rsidRPr="00945068">
        <w:rPr>
          <w:b/>
          <w:bCs/>
        </w:rPr>
        <w:lastRenderedPageBreak/>
        <w:t>Implementation Measures</w:t>
      </w:r>
      <w:r w:rsidR="009B3CE0" w:rsidRPr="00945068">
        <w:rPr>
          <w:b/>
          <w:bCs/>
        </w:rPr>
        <w:t>:</w:t>
      </w:r>
    </w:p>
    <w:p w14:paraId="4D402DB0" w14:textId="77777777" w:rsidR="00E442CE" w:rsidRDefault="00FF13CC" w:rsidP="003B76A1">
      <w:pPr>
        <w:pStyle w:val="ListParagraph"/>
        <w:numPr>
          <w:ilvl w:val="0"/>
          <w:numId w:val="9"/>
        </w:numPr>
        <w:tabs>
          <w:tab w:val="left" w:pos="1343"/>
        </w:tabs>
        <w:spacing w:after="120"/>
        <w:contextualSpacing w:val="0"/>
        <w:jc w:val="both"/>
        <w:rPr>
          <w:rFonts w:ascii="Verdana" w:hAnsi="Verdana"/>
          <w:color w:val="000000"/>
          <w:sz w:val="19"/>
          <w:szCs w:val="19"/>
          <w:shd w:val="clear" w:color="auto" w:fill="FFFFFF"/>
        </w:rPr>
      </w:pPr>
      <w:r w:rsidRPr="00341FB8">
        <w:rPr>
          <w:rFonts w:cstheme="minorHAnsi"/>
          <w:color w:val="000000"/>
          <w:shd w:val="clear" w:color="auto" w:fill="FFFFFF"/>
        </w:rPr>
        <w:t>States</w:t>
      </w:r>
      <w:r w:rsidR="0044575B" w:rsidRPr="00341FB8">
        <w:rPr>
          <w:rFonts w:cstheme="minorHAnsi"/>
          <w:color w:val="000000"/>
          <w:shd w:val="clear" w:color="auto" w:fill="FFFFFF"/>
        </w:rPr>
        <w:t xml:space="preserve"> </w:t>
      </w:r>
      <w:r w:rsidR="00E442CE" w:rsidRPr="00341FB8">
        <w:rPr>
          <w:rFonts w:cstheme="minorHAnsi"/>
        </w:rPr>
        <w:t>should</w:t>
      </w:r>
      <w:r w:rsidR="00E442CE">
        <w:rPr>
          <w:sz w:val="23"/>
          <w:szCs w:val="23"/>
        </w:rPr>
        <w:t xml:space="preserve"> </w:t>
      </w:r>
      <w:r w:rsidR="00E442CE" w:rsidRPr="00341FB8">
        <w:t>implement</w:t>
      </w:r>
      <w:r w:rsidR="00E442CE">
        <w:rPr>
          <w:sz w:val="23"/>
          <w:szCs w:val="23"/>
        </w:rPr>
        <w:t xml:space="preserve"> the reasonableness standard into domestic law and policy</w:t>
      </w:r>
      <w:r w:rsidR="00DC2398">
        <w:rPr>
          <w:sz w:val="23"/>
          <w:szCs w:val="23"/>
        </w:rPr>
        <w:t xml:space="preserve"> </w:t>
      </w:r>
      <w:r w:rsidR="004272DC">
        <w:rPr>
          <w:sz w:val="23"/>
          <w:szCs w:val="23"/>
        </w:rPr>
        <w:t xml:space="preserve">related to housing </w:t>
      </w:r>
      <w:r w:rsidR="00DC2398">
        <w:rPr>
          <w:sz w:val="23"/>
          <w:szCs w:val="23"/>
        </w:rPr>
        <w:t xml:space="preserve">so that governments and decision-makers </w:t>
      </w:r>
      <w:r w:rsidR="004272DC">
        <w:rPr>
          <w:sz w:val="23"/>
          <w:szCs w:val="23"/>
        </w:rPr>
        <w:t>are</w:t>
      </w:r>
      <w:r w:rsidR="00DC2398">
        <w:rPr>
          <w:sz w:val="23"/>
          <w:szCs w:val="23"/>
        </w:rPr>
        <w:t xml:space="preserve"> </w:t>
      </w:r>
      <w:r w:rsidR="00E442CE">
        <w:rPr>
          <w:sz w:val="23"/>
          <w:szCs w:val="23"/>
        </w:rPr>
        <w:t>account</w:t>
      </w:r>
      <w:r w:rsidR="004272DC">
        <w:rPr>
          <w:sz w:val="23"/>
          <w:szCs w:val="23"/>
        </w:rPr>
        <w:t>able</w:t>
      </w:r>
      <w:r w:rsidR="00E442CE">
        <w:rPr>
          <w:sz w:val="23"/>
          <w:szCs w:val="23"/>
        </w:rPr>
        <w:t xml:space="preserve"> </w:t>
      </w:r>
      <w:r w:rsidR="004272DC">
        <w:rPr>
          <w:sz w:val="23"/>
          <w:szCs w:val="23"/>
        </w:rPr>
        <w:t xml:space="preserve">to </w:t>
      </w:r>
      <w:r w:rsidR="00DC2398">
        <w:rPr>
          <w:sz w:val="23"/>
          <w:szCs w:val="23"/>
        </w:rPr>
        <w:t>this standard</w:t>
      </w:r>
      <w:r w:rsidR="00E442CE">
        <w:rPr>
          <w:sz w:val="23"/>
          <w:szCs w:val="23"/>
        </w:rPr>
        <w:t>.</w:t>
      </w:r>
      <w:r w:rsidR="0044575B">
        <w:rPr>
          <w:sz w:val="23"/>
          <w:szCs w:val="23"/>
        </w:rPr>
        <w:t xml:space="preserve">  </w:t>
      </w:r>
    </w:p>
    <w:p w14:paraId="3225934D" w14:textId="77777777" w:rsidR="003F1456" w:rsidRDefault="0044575B" w:rsidP="003B76A1">
      <w:pPr>
        <w:pStyle w:val="ListParagraph"/>
        <w:numPr>
          <w:ilvl w:val="0"/>
          <w:numId w:val="9"/>
        </w:numPr>
        <w:tabs>
          <w:tab w:val="left" w:pos="1343"/>
        </w:tabs>
        <w:spacing w:after="120"/>
        <w:contextualSpacing w:val="0"/>
        <w:jc w:val="both"/>
        <w:rPr>
          <w:bCs/>
          <w:iCs/>
        </w:rPr>
      </w:pPr>
      <w:r>
        <w:rPr>
          <w:bCs/>
          <w:iCs/>
        </w:rPr>
        <w:t>Governments</w:t>
      </w:r>
      <w:r w:rsidR="0045388B" w:rsidRPr="00B71BC7">
        <w:rPr>
          <w:bCs/>
          <w:iCs/>
        </w:rPr>
        <w:t xml:space="preserve"> </w:t>
      </w:r>
      <w:r w:rsidR="0045388B">
        <w:rPr>
          <w:bCs/>
          <w:iCs/>
        </w:rPr>
        <w:t xml:space="preserve">should </w:t>
      </w:r>
      <w:r w:rsidR="0045388B" w:rsidRPr="00B71BC7">
        <w:rPr>
          <w:bCs/>
          <w:iCs/>
        </w:rPr>
        <w:t>resolve institutional shortcomings and structura</w:t>
      </w:r>
      <w:r w:rsidR="00B23044">
        <w:rPr>
          <w:bCs/>
          <w:iCs/>
        </w:rPr>
        <w:t>l causes of the lack of housing</w:t>
      </w:r>
      <w:r w:rsidR="00DC2398">
        <w:rPr>
          <w:bCs/>
          <w:iCs/>
        </w:rPr>
        <w:t xml:space="preserve"> to comply with the reasonableness standard</w:t>
      </w:r>
      <w:r w:rsidR="00B23044">
        <w:rPr>
          <w:bCs/>
          <w:iCs/>
        </w:rPr>
        <w:t>.</w:t>
      </w:r>
      <w:r w:rsidR="0045388B">
        <w:rPr>
          <w:rStyle w:val="FootnoteReference"/>
          <w:bCs/>
          <w:iCs/>
        </w:rPr>
        <w:footnoteReference w:id="22"/>
      </w:r>
      <w:r w:rsidR="0045388B" w:rsidRPr="00B71BC7">
        <w:rPr>
          <w:bCs/>
          <w:iCs/>
        </w:rPr>
        <w:t xml:space="preserve"> </w:t>
      </w:r>
    </w:p>
    <w:p w14:paraId="6690CD0F" w14:textId="77777777" w:rsidR="0045388B" w:rsidRPr="0044575B" w:rsidRDefault="0045388B" w:rsidP="003B76A1">
      <w:pPr>
        <w:pStyle w:val="ListParagraph"/>
        <w:numPr>
          <w:ilvl w:val="0"/>
          <w:numId w:val="9"/>
        </w:numPr>
        <w:tabs>
          <w:tab w:val="left" w:pos="1343"/>
        </w:tabs>
        <w:spacing w:after="120"/>
        <w:contextualSpacing w:val="0"/>
        <w:jc w:val="both"/>
        <w:rPr>
          <w:bCs/>
          <w:iCs/>
        </w:rPr>
      </w:pPr>
      <w:r w:rsidRPr="00B71BC7">
        <w:rPr>
          <w:bCs/>
          <w:iCs/>
        </w:rPr>
        <w:t xml:space="preserve">Whereas the State has discretion </w:t>
      </w:r>
      <w:r w:rsidR="0044575B">
        <w:rPr>
          <w:bCs/>
          <w:iCs/>
        </w:rPr>
        <w:t xml:space="preserve">to choose among </w:t>
      </w:r>
      <w:r w:rsidRPr="00B71BC7">
        <w:rPr>
          <w:bCs/>
          <w:iCs/>
        </w:rPr>
        <w:t>a variety of approaches</w:t>
      </w:r>
      <w:r w:rsidR="00341FB8">
        <w:rPr>
          <w:bCs/>
          <w:iCs/>
        </w:rPr>
        <w:t xml:space="preserve"> to progressively realize the right to housing</w:t>
      </w:r>
      <w:r w:rsidR="00A40E65">
        <w:rPr>
          <w:bCs/>
          <w:iCs/>
        </w:rPr>
        <w:t xml:space="preserve">, </w:t>
      </w:r>
      <w:r w:rsidRPr="00B71BC7">
        <w:rPr>
          <w:bCs/>
          <w:iCs/>
        </w:rPr>
        <w:t xml:space="preserve">measures </w:t>
      </w:r>
      <w:r w:rsidR="00A40E65">
        <w:rPr>
          <w:bCs/>
          <w:iCs/>
        </w:rPr>
        <w:t xml:space="preserve">chosen </w:t>
      </w:r>
      <w:r w:rsidR="00DC2398">
        <w:rPr>
          <w:bCs/>
          <w:iCs/>
        </w:rPr>
        <w:t>must</w:t>
      </w:r>
      <w:r w:rsidRPr="00B71BC7">
        <w:rPr>
          <w:bCs/>
          <w:iCs/>
        </w:rPr>
        <w:t xml:space="preserve"> fulfil </w:t>
      </w:r>
      <w:r w:rsidR="00A40E65">
        <w:rPr>
          <w:bCs/>
          <w:iCs/>
        </w:rPr>
        <w:t xml:space="preserve">the right to housing </w:t>
      </w:r>
      <w:r w:rsidRPr="00B71BC7">
        <w:rPr>
          <w:bCs/>
          <w:iCs/>
        </w:rPr>
        <w:t>as swiftly and efficiently as possible.</w:t>
      </w:r>
      <w:r>
        <w:rPr>
          <w:rStyle w:val="FootnoteReference"/>
          <w:bCs/>
          <w:iCs/>
        </w:rPr>
        <w:footnoteReference w:id="23"/>
      </w:r>
      <w:r w:rsidRPr="00B71BC7">
        <w:rPr>
          <w:bCs/>
          <w:iCs/>
        </w:rPr>
        <w:t xml:space="preserve"> </w:t>
      </w:r>
      <w:r w:rsidR="0044575B" w:rsidRPr="0044575B">
        <w:rPr>
          <w:bCs/>
          <w:iCs/>
        </w:rPr>
        <w:t xml:space="preserve"> </w:t>
      </w:r>
    </w:p>
    <w:p w14:paraId="5C179B5A" w14:textId="77777777" w:rsidR="00097D21" w:rsidRPr="0044575B" w:rsidRDefault="0044575B" w:rsidP="003B76A1">
      <w:pPr>
        <w:pStyle w:val="ListParagraph"/>
        <w:numPr>
          <w:ilvl w:val="0"/>
          <w:numId w:val="9"/>
        </w:numPr>
        <w:tabs>
          <w:tab w:val="left" w:pos="1343"/>
        </w:tabs>
        <w:spacing w:after="120"/>
        <w:contextualSpacing w:val="0"/>
        <w:jc w:val="both"/>
        <w:rPr>
          <w:bCs/>
          <w:iCs/>
        </w:rPr>
      </w:pPr>
      <w:r>
        <w:rPr>
          <w:bCs/>
          <w:iCs/>
        </w:rPr>
        <w:t xml:space="preserve">Reasonable housing policies and programs must ensure that </w:t>
      </w:r>
      <w:r w:rsidR="0045388B" w:rsidRPr="00097D21">
        <w:rPr>
          <w:bCs/>
          <w:iCs/>
        </w:rPr>
        <w:t xml:space="preserve">rights holders have the opportunity to be heard regarding </w:t>
      </w:r>
      <w:r w:rsidR="00E27FE7">
        <w:rPr>
          <w:bCs/>
          <w:iCs/>
        </w:rPr>
        <w:t xml:space="preserve">both </w:t>
      </w:r>
      <w:r w:rsidR="0045388B" w:rsidRPr="00097D21">
        <w:rPr>
          <w:bCs/>
          <w:iCs/>
        </w:rPr>
        <w:t>their individual circumstances</w:t>
      </w:r>
      <w:r w:rsidR="00E27FE7">
        <w:rPr>
          <w:bCs/>
          <w:iCs/>
        </w:rPr>
        <w:t>, such as being unable to afford the rent,</w:t>
      </w:r>
      <w:r w:rsidR="0045388B" w:rsidRPr="00097D21">
        <w:rPr>
          <w:bCs/>
          <w:iCs/>
        </w:rPr>
        <w:t xml:space="preserve"> and the </w:t>
      </w:r>
      <w:r w:rsidR="00AB763D">
        <w:rPr>
          <w:bCs/>
          <w:iCs/>
        </w:rPr>
        <w:t>structural causes</w:t>
      </w:r>
      <w:r w:rsidR="0045388B" w:rsidRPr="00097D21">
        <w:rPr>
          <w:bCs/>
          <w:iCs/>
        </w:rPr>
        <w:t xml:space="preserve"> that gave rise to these</w:t>
      </w:r>
      <w:r w:rsidR="00E27FE7">
        <w:rPr>
          <w:bCs/>
          <w:iCs/>
        </w:rPr>
        <w:t xml:space="preserve">, such as the </w:t>
      </w:r>
      <w:r w:rsidR="00AB763D">
        <w:rPr>
          <w:bCs/>
          <w:iCs/>
        </w:rPr>
        <w:t>privatization of social housing.</w:t>
      </w:r>
      <w:r w:rsidR="0045388B">
        <w:rPr>
          <w:rStyle w:val="FootnoteReference"/>
          <w:bCs/>
          <w:iCs/>
        </w:rPr>
        <w:footnoteReference w:id="24"/>
      </w:r>
      <w:r w:rsidR="0045388B" w:rsidRPr="00097D21">
        <w:rPr>
          <w:bCs/>
          <w:iCs/>
        </w:rPr>
        <w:t xml:space="preserve">  </w:t>
      </w:r>
      <w:r w:rsidR="00EF48E2">
        <w:rPr>
          <w:bCs/>
          <w:iCs/>
        </w:rPr>
        <w:t>To comply with t</w:t>
      </w:r>
      <w:r w:rsidRPr="00097D21">
        <w:rPr>
          <w:bCs/>
          <w:iCs/>
        </w:rPr>
        <w:t xml:space="preserve">he reasonableness </w:t>
      </w:r>
      <w:r w:rsidR="00EF48E2">
        <w:rPr>
          <w:bCs/>
          <w:iCs/>
        </w:rPr>
        <w:t xml:space="preserve">standard, </w:t>
      </w:r>
      <w:r w:rsidRPr="00097D21">
        <w:rPr>
          <w:bCs/>
          <w:iCs/>
        </w:rPr>
        <w:t xml:space="preserve">the State’s response to </w:t>
      </w:r>
      <w:r>
        <w:rPr>
          <w:bCs/>
          <w:iCs/>
        </w:rPr>
        <w:t>particular</w:t>
      </w:r>
      <w:r w:rsidRPr="00097D21">
        <w:rPr>
          <w:bCs/>
          <w:iCs/>
        </w:rPr>
        <w:t xml:space="preserve"> circumstances should </w:t>
      </w:r>
      <w:r w:rsidR="00EF48E2">
        <w:rPr>
          <w:bCs/>
          <w:iCs/>
        </w:rPr>
        <w:t>be</w:t>
      </w:r>
      <w:r w:rsidRPr="00097D21">
        <w:rPr>
          <w:bCs/>
          <w:iCs/>
        </w:rPr>
        <w:t xml:space="preserve"> </w:t>
      </w:r>
      <w:r w:rsidR="007C27EC">
        <w:rPr>
          <w:bCs/>
          <w:iCs/>
        </w:rPr>
        <w:t xml:space="preserve">commensurate with what is at stake </w:t>
      </w:r>
      <w:r w:rsidR="00DC2398">
        <w:rPr>
          <w:bCs/>
          <w:iCs/>
        </w:rPr>
        <w:t>for rights holders</w:t>
      </w:r>
      <w:r w:rsidRPr="00097D21">
        <w:rPr>
          <w:bCs/>
          <w:iCs/>
        </w:rPr>
        <w:t>.</w:t>
      </w:r>
      <w:r w:rsidRPr="003F1456">
        <w:rPr>
          <w:lang w:val="en-US"/>
        </w:rPr>
        <w:t xml:space="preserve"> </w:t>
      </w:r>
      <w:r>
        <w:rPr>
          <w:rStyle w:val="FootnoteReference"/>
          <w:lang w:val="en-US"/>
        </w:rPr>
        <w:footnoteReference w:id="25"/>
      </w:r>
      <w:r>
        <w:rPr>
          <w:lang w:val="en-US"/>
        </w:rPr>
        <w:t xml:space="preserve">  </w:t>
      </w:r>
    </w:p>
    <w:p w14:paraId="10AFC2E9" w14:textId="64B16791" w:rsidR="005D2376" w:rsidRPr="0044575B" w:rsidRDefault="00DC2398" w:rsidP="003B76A1">
      <w:pPr>
        <w:pStyle w:val="ListParagraph"/>
        <w:numPr>
          <w:ilvl w:val="0"/>
          <w:numId w:val="9"/>
        </w:numPr>
        <w:tabs>
          <w:tab w:val="left" w:pos="1343"/>
        </w:tabs>
        <w:spacing w:after="120"/>
        <w:contextualSpacing w:val="0"/>
        <w:jc w:val="both"/>
        <w:rPr>
          <w:bCs/>
          <w:iCs/>
        </w:rPr>
      </w:pPr>
      <w:r>
        <w:rPr>
          <w:lang w:val="en-US"/>
        </w:rPr>
        <w:t>In the adjudication of right to housing related claims, t</w:t>
      </w:r>
      <w:r w:rsidR="00097D21" w:rsidRPr="009F2C8A">
        <w:rPr>
          <w:lang w:val="en-US"/>
        </w:rPr>
        <w:t xml:space="preserve">he burden </w:t>
      </w:r>
      <w:r w:rsidR="003476B7">
        <w:rPr>
          <w:lang w:val="en-US"/>
        </w:rPr>
        <w:t xml:space="preserve">rests with the State </w:t>
      </w:r>
      <w:r w:rsidR="00097D21" w:rsidRPr="009F2C8A">
        <w:rPr>
          <w:lang w:val="en-US"/>
        </w:rPr>
        <w:t xml:space="preserve">to </w:t>
      </w:r>
      <w:r w:rsidR="00796557">
        <w:rPr>
          <w:lang w:val="en-US"/>
        </w:rPr>
        <w:t xml:space="preserve">demonstrate that it has utilized the maximum of </w:t>
      </w:r>
      <w:r w:rsidR="00097D21" w:rsidRPr="009F2C8A">
        <w:rPr>
          <w:lang w:val="en-US"/>
        </w:rPr>
        <w:t>a</w:t>
      </w:r>
      <w:r w:rsidR="00796557">
        <w:rPr>
          <w:lang w:val="en-US"/>
        </w:rPr>
        <w:t>vailable resources</w:t>
      </w:r>
      <w:r w:rsidR="006D711C">
        <w:rPr>
          <w:lang w:val="en-US"/>
        </w:rPr>
        <w:t xml:space="preserve"> and all appropriate means</w:t>
      </w:r>
      <w:r w:rsidR="00796557">
        <w:rPr>
          <w:lang w:val="en-US"/>
        </w:rPr>
        <w:t xml:space="preserve"> to </w:t>
      </w:r>
      <w:r w:rsidR="00097D21" w:rsidRPr="009F2C8A">
        <w:rPr>
          <w:lang w:val="en-US"/>
        </w:rPr>
        <w:t>uphold the right</w:t>
      </w:r>
      <w:r w:rsidR="00796557">
        <w:rPr>
          <w:lang w:val="en-US"/>
        </w:rPr>
        <w:t>s</w:t>
      </w:r>
      <w:r w:rsidR="00097D21" w:rsidRPr="009F2C8A">
        <w:rPr>
          <w:lang w:val="en-US"/>
        </w:rPr>
        <w:t xml:space="preserve"> </w:t>
      </w:r>
      <w:r w:rsidR="00796557">
        <w:rPr>
          <w:lang w:val="en-US"/>
        </w:rPr>
        <w:t xml:space="preserve">of </w:t>
      </w:r>
      <w:r w:rsidR="00097D21" w:rsidRPr="009F2C8A">
        <w:rPr>
          <w:lang w:val="en-US"/>
        </w:rPr>
        <w:t xml:space="preserve">the person </w:t>
      </w:r>
      <w:r w:rsidR="00796557">
        <w:rPr>
          <w:lang w:val="en-US"/>
        </w:rPr>
        <w:t>or group</w:t>
      </w:r>
      <w:r w:rsidR="00097D21">
        <w:rPr>
          <w:lang w:val="en-US"/>
        </w:rPr>
        <w:t xml:space="preserve"> </w:t>
      </w:r>
      <w:r w:rsidR="00097D21" w:rsidRPr="009F2C8A">
        <w:rPr>
          <w:lang w:val="en-US"/>
        </w:rPr>
        <w:t>concerned.</w:t>
      </w:r>
      <w:r w:rsidR="003F1456">
        <w:rPr>
          <w:lang w:val="en-US"/>
        </w:rPr>
        <w:t xml:space="preserve"> </w:t>
      </w:r>
    </w:p>
    <w:p w14:paraId="41D517BF" w14:textId="77777777" w:rsidR="0044575B" w:rsidRPr="0044575B" w:rsidRDefault="0044575B" w:rsidP="003B76A1">
      <w:pPr>
        <w:pStyle w:val="ListParagraph"/>
        <w:numPr>
          <w:ilvl w:val="0"/>
          <w:numId w:val="9"/>
        </w:numPr>
        <w:tabs>
          <w:tab w:val="left" w:pos="1343"/>
        </w:tabs>
        <w:spacing w:after="120"/>
        <w:contextualSpacing w:val="0"/>
        <w:jc w:val="both"/>
        <w:rPr>
          <w:bCs/>
          <w:iCs/>
        </w:rPr>
      </w:pPr>
      <w:r>
        <w:rPr>
          <w:bCs/>
          <w:iCs/>
        </w:rPr>
        <w:t xml:space="preserve">States must ensure that all relevant authorities and decision-makers, including courts, are familiarized with the reasonableness standard and able to apply it to hold governments accountable to the right to housing.  </w:t>
      </w:r>
    </w:p>
    <w:p w14:paraId="26FCCF95" w14:textId="77777777" w:rsidR="00230F08" w:rsidRDefault="00230F08" w:rsidP="003B17D2">
      <w:pPr>
        <w:tabs>
          <w:tab w:val="left" w:pos="1343"/>
        </w:tabs>
        <w:spacing w:after="120"/>
        <w:rPr>
          <w:sz w:val="18"/>
          <w:szCs w:val="18"/>
        </w:rPr>
      </w:pPr>
    </w:p>
    <w:p w14:paraId="4BB44EC3" w14:textId="022A019C" w:rsidR="001954A6" w:rsidRPr="007041C5" w:rsidRDefault="001954A6" w:rsidP="009B3CE0">
      <w:pPr>
        <w:pStyle w:val="Heading2"/>
      </w:pPr>
      <w:bookmarkStart w:id="10" w:name="_Toc23200811"/>
      <w:bookmarkStart w:id="11" w:name="_Hlk16514989"/>
      <w:r w:rsidRPr="007041C5">
        <w:t>Guideline No.</w:t>
      </w:r>
      <w:r w:rsidR="00121444">
        <w:t xml:space="preserve"> </w:t>
      </w:r>
      <w:r w:rsidRPr="007041C5">
        <w:t>4</w:t>
      </w:r>
      <w:bookmarkEnd w:id="10"/>
    </w:p>
    <w:p w14:paraId="5F3E5B31" w14:textId="77777777" w:rsidR="001954A6" w:rsidRDefault="001954A6" w:rsidP="009B3CE0">
      <w:pPr>
        <w:pStyle w:val="Heading3"/>
      </w:pPr>
      <w:bookmarkStart w:id="12" w:name="_Toc23200812"/>
      <w:r>
        <w:t>Address discrimination and ensure equality</w:t>
      </w:r>
      <w:bookmarkEnd w:id="12"/>
      <w:r>
        <w:t xml:space="preserve"> </w:t>
      </w:r>
    </w:p>
    <w:p w14:paraId="763D4429" w14:textId="77777777" w:rsidR="001954A6" w:rsidRDefault="00ED0DDD" w:rsidP="00653381">
      <w:pPr>
        <w:jc w:val="both"/>
      </w:pPr>
      <w:r>
        <w:t>21.</w:t>
      </w:r>
      <w:r>
        <w:tab/>
      </w:r>
      <w:r w:rsidR="00EF6C57">
        <w:t xml:space="preserve">Discrimination and exclusion are at the heart of almost all violations of the right to housing. </w:t>
      </w:r>
      <w:bookmarkStart w:id="13" w:name="_Hlk22662813"/>
    </w:p>
    <w:p w14:paraId="276CBF2C" w14:textId="77777777" w:rsidR="001954A6" w:rsidRDefault="00ED0DDD" w:rsidP="001954A6">
      <w:pPr>
        <w:jc w:val="both"/>
      </w:pPr>
      <w:bookmarkStart w:id="14" w:name="_Hlk22662738"/>
      <w:bookmarkEnd w:id="13"/>
      <w:r>
        <w:t>22.</w:t>
      </w:r>
      <w:r>
        <w:tab/>
      </w:r>
      <w:r w:rsidR="001954A6" w:rsidRPr="007041C5">
        <w:t>Refugees, migrants, persons with disabilities, children and youth, indigenous peoples, women, LGBT and racial and ethnic minorities are disproportionately represented among those living in homelessness, informality and inadequate housing,</w:t>
      </w:r>
      <w:r w:rsidR="001954A6">
        <w:t xml:space="preserve"> </w:t>
      </w:r>
      <w:r w:rsidR="00AA7BDC">
        <w:t xml:space="preserve">and often </w:t>
      </w:r>
      <w:r w:rsidR="001954A6">
        <w:t>relegated to the most marginal and unsafe areas to live</w:t>
      </w:r>
      <w:r w:rsidR="007C1F6B">
        <w:t>.</w:t>
      </w:r>
      <w:r w:rsidR="001954A6" w:rsidRPr="007041C5">
        <w:rPr>
          <w:vertAlign w:val="superscript"/>
        </w:rPr>
        <w:footnoteReference w:id="26"/>
      </w:r>
      <w:r w:rsidR="001954A6" w:rsidRPr="007041C5">
        <w:t xml:space="preserve"> Discrimination against these groups is compounded by </w:t>
      </w:r>
      <w:r w:rsidR="001954A6">
        <w:t xml:space="preserve">intersectional </w:t>
      </w:r>
      <w:r w:rsidR="001954A6" w:rsidRPr="007041C5">
        <w:t>discrimination linked to their housing status: being homeless, living in informality or in neighbourhoods with a high percentage of inadequate or depilated housing.</w:t>
      </w:r>
      <w:r w:rsidR="001954A6" w:rsidRPr="007041C5">
        <w:rPr>
          <w:vertAlign w:val="superscript"/>
        </w:rPr>
        <w:footnoteReference w:id="27"/>
      </w:r>
      <w:r w:rsidR="001954A6" w:rsidRPr="007041C5">
        <w:t xml:space="preserve"> </w:t>
      </w:r>
      <w:r w:rsidR="001954A6">
        <w:t>Discriminatory exclusion fr</w:t>
      </w:r>
      <w:r w:rsidR="00AA7BDC">
        <w:t xml:space="preserve">om housing greatly exacerbates </w:t>
      </w:r>
      <w:r w:rsidR="001954A6">
        <w:t xml:space="preserve">and reinforces socio-economic inequality for these groups. In many States, </w:t>
      </w:r>
      <w:r w:rsidR="007A027A">
        <w:t>t</w:t>
      </w:r>
      <w:r w:rsidR="001954A6" w:rsidRPr="007041C5">
        <w:t>he ability to buy and own housing, much more than income or any other source of wealth</w:t>
      </w:r>
      <w:r w:rsidR="001954A6">
        <w:t xml:space="preserve"> has become the dominant factor in</w:t>
      </w:r>
      <w:r w:rsidR="007C1F6B">
        <w:t xml:space="preserve"> perpetuating </w:t>
      </w:r>
      <w:r w:rsidR="001954A6">
        <w:t xml:space="preserve">inequality. </w:t>
      </w:r>
      <w:bookmarkStart w:id="15" w:name="_Hlk22663039"/>
      <w:bookmarkEnd w:id="14"/>
    </w:p>
    <w:p w14:paraId="11EED294" w14:textId="77777777" w:rsidR="001954A6" w:rsidRPr="007041C5" w:rsidRDefault="007A027A" w:rsidP="001954A6">
      <w:pPr>
        <w:jc w:val="both"/>
      </w:pPr>
      <w:r>
        <w:t>23.</w:t>
      </w:r>
      <w:r>
        <w:tab/>
      </w:r>
      <w:r w:rsidR="00D900D7">
        <w:t>These</w:t>
      </w:r>
      <w:r w:rsidR="008452F8">
        <w:t xml:space="preserve"> </w:t>
      </w:r>
      <w:r w:rsidR="00EF48E2">
        <w:t xml:space="preserve">systemic </w:t>
      </w:r>
      <w:r w:rsidR="008452F8">
        <w:t>patterns</w:t>
      </w:r>
      <w:r w:rsidR="00EF48E2">
        <w:t xml:space="preserve"> of discrimination</w:t>
      </w:r>
      <w:r w:rsidR="008452F8">
        <w:t xml:space="preserve"> </w:t>
      </w:r>
      <w:r w:rsidR="00D900D7">
        <w:t xml:space="preserve">are </w:t>
      </w:r>
      <w:r w:rsidR="008452F8">
        <w:t xml:space="preserve">rarely identified as violations of the right to equality and non-discrimination. </w:t>
      </w:r>
      <w:r w:rsidR="001954A6" w:rsidRPr="007041C5">
        <w:t xml:space="preserve">While most States have some form of legislated protection of the right to equality and non-discrimination, these provisions have not been applied effectively to address </w:t>
      </w:r>
      <w:r w:rsidR="001954A6">
        <w:lastRenderedPageBreak/>
        <w:t xml:space="preserve">entrenched systemic discrimination in housing, or to reform </w:t>
      </w:r>
      <w:r w:rsidR="001954A6" w:rsidRPr="007041C5">
        <w:t xml:space="preserve">housing policies that exacerbate inequality in housing. </w:t>
      </w:r>
      <w:bookmarkEnd w:id="15"/>
    </w:p>
    <w:p w14:paraId="12113835" w14:textId="293435B4" w:rsidR="001954A6" w:rsidRPr="007041C5" w:rsidRDefault="007A027A" w:rsidP="00D900D7">
      <w:pPr>
        <w:jc w:val="both"/>
      </w:pPr>
      <w:r>
        <w:t>24.</w:t>
      </w:r>
      <w:r>
        <w:tab/>
      </w:r>
      <w:r w:rsidR="001954A6" w:rsidRPr="00276754">
        <w:t>The Committee on Economic Social and Cultural Rights has emphasized that States are obliged to address and overcome systemic di</w:t>
      </w:r>
      <w:r>
        <w:t xml:space="preserve">scrimination and has indicated </w:t>
      </w:r>
      <w:r w:rsidR="001954A6" w:rsidRPr="00276754">
        <w:t xml:space="preserve">a variety of means to achieve </w:t>
      </w:r>
      <w:r w:rsidR="006D711C">
        <w:t>this.</w:t>
      </w:r>
      <w:r w:rsidR="001954A6" w:rsidRPr="00276754">
        <w:rPr>
          <w:vertAlign w:val="superscript"/>
        </w:rPr>
        <w:footnoteReference w:id="28"/>
      </w:r>
      <w:r w:rsidR="001954A6" w:rsidRPr="00276754">
        <w:t xml:space="preserve"> As circumstances of different groups may vary considerably, it is crucial that the responses cater for such differences</w:t>
      </w:r>
      <w:r w:rsidR="001954A6" w:rsidRPr="00276754">
        <w:rPr>
          <w:vertAlign w:val="superscript"/>
        </w:rPr>
        <w:footnoteReference w:id="29"/>
      </w:r>
      <w:r w:rsidR="001954A6" w:rsidRPr="00276754">
        <w:t xml:space="preserve"> and take into account multiple and intersecting forms of discrimination.</w:t>
      </w:r>
      <w:r w:rsidR="007F60F8">
        <w:t xml:space="preserve">  The Committee has further directed that the g</w:t>
      </w:r>
      <w:r w:rsidR="007F60F8" w:rsidRPr="006E7574">
        <w:t>uarantee</w:t>
      </w:r>
      <w:r w:rsidR="007F60F8">
        <w:t xml:space="preserve"> o</w:t>
      </w:r>
      <w:r w:rsidR="007F60F8" w:rsidRPr="006E7574">
        <w:t xml:space="preserve">f equality </w:t>
      </w:r>
      <w:r w:rsidR="007F60F8">
        <w:t>“</w:t>
      </w:r>
      <w:r w:rsidR="007F60F8" w:rsidRPr="006E7574">
        <w:t>should be interpreted, to the greatest extent possible, in ways which facilitate the full protection of economic, social and cultural rights</w:t>
      </w:r>
      <w:r w:rsidR="007F60F8">
        <w:t>.”</w:t>
      </w:r>
      <w:r w:rsidR="007F60F8">
        <w:rPr>
          <w:rStyle w:val="FootnoteReference"/>
        </w:rPr>
        <w:footnoteReference w:id="30"/>
      </w:r>
    </w:p>
    <w:p w14:paraId="39A604D3" w14:textId="4071C4A0" w:rsidR="001954A6" w:rsidRPr="00945068" w:rsidRDefault="001954A6" w:rsidP="005F3828">
      <w:pPr>
        <w:rPr>
          <w:b/>
          <w:bCs/>
        </w:rPr>
      </w:pPr>
      <w:r w:rsidRPr="00945068">
        <w:rPr>
          <w:b/>
          <w:bCs/>
        </w:rPr>
        <w:t>Implementation Measures</w:t>
      </w:r>
      <w:r w:rsidR="009B3CE0" w:rsidRPr="00945068">
        <w:rPr>
          <w:b/>
          <w:bCs/>
        </w:rPr>
        <w:t>:</w:t>
      </w:r>
      <w:r w:rsidRPr="00945068">
        <w:rPr>
          <w:b/>
          <w:bCs/>
        </w:rPr>
        <w:t xml:space="preserve"> </w:t>
      </w:r>
    </w:p>
    <w:p w14:paraId="3113D5A4" w14:textId="44F6ED15" w:rsidR="00FA7459" w:rsidRPr="00761D3B" w:rsidRDefault="001954A6" w:rsidP="003B76A1">
      <w:pPr>
        <w:numPr>
          <w:ilvl w:val="0"/>
          <w:numId w:val="16"/>
        </w:numPr>
        <w:jc w:val="both"/>
      </w:pPr>
      <w:r w:rsidRPr="00EF48E2">
        <w:t xml:space="preserve">States </w:t>
      </w:r>
      <w:r w:rsidR="007648C7" w:rsidRPr="00EF48E2">
        <w:t>must</w:t>
      </w:r>
      <w:r w:rsidRPr="00EF48E2">
        <w:t xml:space="preserve"> prohibit </w:t>
      </w:r>
      <w:r w:rsidR="00FB4802" w:rsidRPr="00EF48E2">
        <w:t xml:space="preserve">all forms of </w:t>
      </w:r>
      <w:r w:rsidRPr="00EF48E2">
        <w:t>discrimination</w:t>
      </w:r>
      <w:r w:rsidR="00FB4802" w:rsidRPr="00EF48E2">
        <w:t xml:space="preserve"> in housing</w:t>
      </w:r>
      <w:r w:rsidR="00680213" w:rsidRPr="00EF48E2">
        <w:t xml:space="preserve"> by</w:t>
      </w:r>
      <w:r w:rsidR="002F37A6" w:rsidRPr="00EF48E2">
        <w:t xml:space="preserve"> public or private actors</w:t>
      </w:r>
      <w:r w:rsidR="00EF6C57" w:rsidRPr="00EF48E2">
        <w:t>. Discrimination exists if polic</w:t>
      </w:r>
      <w:r w:rsidR="007648C7" w:rsidRPr="00EF48E2">
        <w:t xml:space="preserve">y or law, action or inaction, has </w:t>
      </w:r>
      <w:r w:rsidR="00EF6C57" w:rsidRPr="00EF48E2">
        <w:t>either the intention or effect of denying</w:t>
      </w:r>
      <w:r w:rsidR="00F61D23">
        <w:t xml:space="preserve"> or impairing</w:t>
      </w:r>
      <w:r w:rsidR="00EF6C57" w:rsidRPr="00EF48E2">
        <w:t xml:space="preserve"> the equal enjoyment of the right to housing</w:t>
      </w:r>
      <w:r w:rsidR="007648C7" w:rsidRPr="00EF48E2">
        <w:t xml:space="preserve">, whether directly or indirectly </w:t>
      </w:r>
      <w:r w:rsidR="002F37A6" w:rsidRPr="00EF48E2">
        <w:t>based on a prohibited ground of discrimination.</w:t>
      </w:r>
      <w:r w:rsidR="00EF6C57" w:rsidRPr="00EF48E2">
        <w:rPr>
          <w:rStyle w:val="FootnoteReference"/>
        </w:rPr>
        <w:footnoteReference w:id="31"/>
      </w:r>
      <w:r w:rsidR="00EF6C57" w:rsidRPr="00EF48E2">
        <w:t xml:space="preserve"> </w:t>
      </w:r>
    </w:p>
    <w:p w14:paraId="60F7B6E3" w14:textId="227B3D8F" w:rsidR="001954A6" w:rsidRPr="00761D3B" w:rsidRDefault="002F37A6" w:rsidP="003B76A1">
      <w:pPr>
        <w:numPr>
          <w:ilvl w:val="0"/>
          <w:numId w:val="16"/>
        </w:numPr>
        <w:jc w:val="both"/>
      </w:pPr>
      <w:r w:rsidRPr="00EF48E2">
        <w:t xml:space="preserve">States must guarantee </w:t>
      </w:r>
      <w:r w:rsidR="006349B7" w:rsidRPr="00EF48E2">
        <w:t xml:space="preserve">not only formal but also </w:t>
      </w:r>
      <w:r w:rsidRPr="00EF48E2">
        <w:t xml:space="preserve">substantive equality, requiring positive measures to </w:t>
      </w:r>
      <w:r w:rsidR="00FC28E5" w:rsidRPr="00EF48E2">
        <w:t>address housing disadvantage.</w:t>
      </w:r>
      <w:r w:rsidRPr="00EF48E2">
        <w:t xml:space="preserve"> </w:t>
      </w:r>
      <w:r w:rsidR="006349B7" w:rsidRPr="00EF48E2">
        <w:t>This means, f</w:t>
      </w:r>
      <w:r w:rsidR="007673C3" w:rsidRPr="00EF48E2">
        <w:t xml:space="preserve">or example, </w:t>
      </w:r>
      <w:r w:rsidR="00411F0D">
        <w:t xml:space="preserve">that </w:t>
      </w:r>
      <w:r w:rsidR="007673C3" w:rsidRPr="00EF48E2">
        <w:t xml:space="preserve">States must prevent landlords from refusing to rent to </w:t>
      </w:r>
      <w:r w:rsidR="006349B7" w:rsidRPr="00EF48E2">
        <w:t>single mothers based on their sex or family status</w:t>
      </w:r>
      <w:r w:rsidR="007673C3" w:rsidRPr="00EF48E2">
        <w:t xml:space="preserve">. </w:t>
      </w:r>
      <w:r w:rsidR="00411F0D">
        <w:t>T</w:t>
      </w:r>
      <w:r w:rsidR="00FA7459" w:rsidRPr="00EF48E2">
        <w:t>o ensure substantive equality, the State may also be required to provide housing subsidy to single mothers whose income is insufficient to pay for the housing they need.</w:t>
      </w:r>
      <w:r w:rsidR="001954A6" w:rsidRPr="00EF48E2">
        <w:rPr>
          <w:rStyle w:val="FootnoteReference"/>
        </w:rPr>
        <w:footnoteReference w:id="32"/>
      </w:r>
      <w:r w:rsidR="001954A6" w:rsidRPr="00EF48E2">
        <w:t xml:space="preserve"> </w:t>
      </w:r>
    </w:p>
    <w:p w14:paraId="1A301927" w14:textId="1B2FDBB3" w:rsidR="001954A6" w:rsidRPr="00746395" w:rsidRDefault="001954A6" w:rsidP="003B76A1">
      <w:pPr>
        <w:numPr>
          <w:ilvl w:val="0"/>
          <w:numId w:val="16"/>
        </w:numPr>
        <w:jc w:val="both"/>
      </w:pPr>
      <w:r>
        <w:t xml:space="preserve">States should provide both individual </w:t>
      </w:r>
      <w:r w:rsidRPr="007041C5">
        <w:t>and systemic remedies</w:t>
      </w:r>
      <w:r>
        <w:t xml:space="preserve"> to</w:t>
      </w:r>
      <w:r w:rsidR="007C1F6B">
        <w:t xml:space="preserve"> discrimination</w:t>
      </w:r>
      <w:r>
        <w:t>, including measures to address structural causes of inequality in housing</w:t>
      </w:r>
      <w:r w:rsidRPr="007041C5">
        <w:t>.</w:t>
      </w:r>
      <w:r w:rsidR="00FC28E5">
        <w:t xml:space="preserve">  So, for example, a person with a psycho-social disability denied access to housing in the community should be provided with housing along with necessary supports but at the same time, the State should</w:t>
      </w:r>
      <w:r w:rsidR="006D711C">
        <w:t xml:space="preserve"> be required to</w:t>
      </w:r>
      <w:r w:rsidR="00FC28E5">
        <w:t xml:space="preserve"> implement a program to ensure that supports for living in the community are provided to all others with similar </w:t>
      </w:r>
      <w:r w:rsidR="00FC28E5" w:rsidRPr="00746395">
        <w:t xml:space="preserve">needs </w:t>
      </w:r>
      <w:r w:rsidRPr="00411F0D">
        <w:t xml:space="preserve">(see also guideline </w:t>
      </w:r>
      <w:r w:rsidR="00746395" w:rsidRPr="00411F0D">
        <w:t>16</w:t>
      </w:r>
      <w:r w:rsidRPr="00411F0D">
        <w:t>).</w:t>
      </w:r>
    </w:p>
    <w:p w14:paraId="4241BC38" w14:textId="093A0D97" w:rsidR="003216A1" w:rsidRPr="007041C5" w:rsidRDefault="007E1473" w:rsidP="003B76A1">
      <w:pPr>
        <w:numPr>
          <w:ilvl w:val="0"/>
          <w:numId w:val="16"/>
        </w:numPr>
        <w:jc w:val="both"/>
      </w:pPr>
      <w:r>
        <w:t xml:space="preserve">States should undertake </w:t>
      </w:r>
      <w:r w:rsidR="006F6DAA" w:rsidRPr="007041C5">
        <w:t>on a regular basis</w:t>
      </w:r>
      <w:r w:rsidR="006F6DAA">
        <w:t xml:space="preserve"> </w:t>
      </w:r>
      <w:r w:rsidR="003216A1">
        <w:t>e</w:t>
      </w:r>
      <w:r w:rsidR="003216A1" w:rsidRPr="007041C5">
        <w:t xml:space="preserve">quality </w:t>
      </w:r>
      <w:r w:rsidR="003216A1">
        <w:t xml:space="preserve">analysis </w:t>
      </w:r>
      <w:r w:rsidR="003216A1" w:rsidRPr="007041C5">
        <w:t xml:space="preserve">of housing policies </w:t>
      </w:r>
      <w:r w:rsidR="003216A1">
        <w:t xml:space="preserve">be </w:t>
      </w:r>
      <w:r w:rsidR="003216A1" w:rsidRPr="007041C5">
        <w:t>undertaken</w:t>
      </w:r>
      <w:r w:rsidR="003216A1">
        <w:t xml:space="preserve"> </w:t>
      </w:r>
      <w:r w:rsidR="006F6DAA">
        <w:t>jointly with stakeholders,</w:t>
      </w:r>
      <w:r w:rsidR="003216A1" w:rsidRPr="007041C5">
        <w:t xml:space="preserve"> with a view to identifying and remedying measures that fail to promote equality.</w:t>
      </w:r>
    </w:p>
    <w:p w14:paraId="6EDE7C05" w14:textId="5C933BB6" w:rsidR="001954A6" w:rsidRPr="00746395" w:rsidRDefault="001954A6" w:rsidP="003B76A1">
      <w:pPr>
        <w:numPr>
          <w:ilvl w:val="0"/>
          <w:numId w:val="16"/>
        </w:numPr>
        <w:jc w:val="both"/>
      </w:pPr>
      <w:r w:rsidRPr="007041C5">
        <w:t xml:space="preserve">Special measures and programs designed to meet different circumstances faced by marginalized and disadvantaged groups should be identified and implemented through engagement with and participation of those </w:t>
      </w:r>
      <w:r w:rsidRPr="00746395">
        <w:t>groups (</w:t>
      </w:r>
      <w:r w:rsidRPr="00411F0D">
        <w:t xml:space="preserve">see also guideline no. </w:t>
      </w:r>
      <w:r w:rsidR="00746395" w:rsidRPr="00411F0D">
        <w:t>10</w:t>
      </w:r>
      <w:r w:rsidRPr="00411F0D">
        <w:t>)</w:t>
      </w:r>
      <w:r w:rsidR="00FA7459" w:rsidRPr="00411F0D">
        <w:t>.</w:t>
      </w:r>
      <w:r w:rsidRPr="00746395">
        <w:rPr>
          <w:vertAlign w:val="superscript"/>
        </w:rPr>
        <w:t xml:space="preserve"> </w:t>
      </w:r>
      <w:r w:rsidRPr="00746395">
        <w:rPr>
          <w:vertAlign w:val="superscript"/>
        </w:rPr>
        <w:footnoteReference w:id="33"/>
      </w:r>
      <w:r w:rsidRPr="00746395">
        <w:t xml:space="preserve"> </w:t>
      </w:r>
    </w:p>
    <w:p w14:paraId="6848B730" w14:textId="77777777" w:rsidR="001954A6" w:rsidRPr="007041C5" w:rsidRDefault="001954A6" w:rsidP="003B76A1">
      <w:pPr>
        <w:numPr>
          <w:ilvl w:val="0"/>
          <w:numId w:val="16"/>
        </w:numPr>
        <w:jc w:val="both"/>
      </w:pPr>
      <w:r w:rsidRPr="007041C5">
        <w:t>States must guarantee the right to adequate housing of children and the best interests of the child in all housing related laws, programs and decision-making.  Wherever a lack of housing threatens the ability of a parent to remain with their children, appropriate housing must be provided by the State to avoid family separation.</w:t>
      </w:r>
      <w:r>
        <w:rPr>
          <w:rStyle w:val="FootnoteReference"/>
        </w:rPr>
        <w:footnoteReference w:id="34"/>
      </w:r>
    </w:p>
    <w:p w14:paraId="48A89184" w14:textId="77777777" w:rsidR="001954A6" w:rsidRPr="007041C5" w:rsidRDefault="003216A1" w:rsidP="003B76A1">
      <w:pPr>
        <w:numPr>
          <w:ilvl w:val="0"/>
          <w:numId w:val="16"/>
        </w:numPr>
        <w:jc w:val="both"/>
      </w:pPr>
      <w:r>
        <w:t xml:space="preserve">States should </w:t>
      </w:r>
      <w:r w:rsidR="001954A6" w:rsidRPr="007041C5">
        <w:t>apply the principles of the UN Declaration on the Rights of Indigenous Peoples in the design, implementation and regular assessment of measure</w:t>
      </w:r>
      <w:r w:rsidR="00437CF7">
        <w:t>s</w:t>
      </w:r>
      <w:r w:rsidR="001954A6" w:rsidRPr="007041C5">
        <w:t xml:space="preserve"> directed at ensuring </w:t>
      </w:r>
      <w:r w:rsidR="001954A6" w:rsidRPr="007041C5">
        <w:lastRenderedPageBreak/>
        <w:t>substantive equality of indigenous peoples in housing, so as to recognize and address the ongoing consequences of colonization, forced assimilation, dispossession of lands, territories and resources.</w:t>
      </w:r>
      <w:r w:rsidR="001954A6" w:rsidRPr="007041C5">
        <w:rPr>
          <w:vertAlign w:val="superscript"/>
        </w:rPr>
        <w:footnoteReference w:id="35"/>
      </w:r>
      <w:r w:rsidR="001954A6" w:rsidRPr="007041C5">
        <w:t xml:space="preserve"> </w:t>
      </w:r>
    </w:p>
    <w:p w14:paraId="05E35012" w14:textId="77777777" w:rsidR="001954A6" w:rsidRPr="007041C5" w:rsidRDefault="001954A6" w:rsidP="003B76A1">
      <w:pPr>
        <w:numPr>
          <w:ilvl w:val="0"/>
          <w:numId w:val="16"/>
        </w:numPr>
        <w:jc w:val="both"/>
      </w:pPr>
      <w:r>
        <w:t>States should</w:t>
      </w:r>
      <w:r w:rsidR="00A50DE2">
        <w:t xml:space="preserve"> require universal a</w:t>
      </w:r>
      <w:r w:rsidR="00437CF7">
        <w:t>ccessible design in all housing</w:t>
      </w:r>
      <w:r w:rsidR="00A50DE2">
        <w:t xml:space="preserve">, ensure reasonable accommodation of disabilities in all housing, whether public or private, and provide all necessary housing and supports for independent living in the community in line with the UN </w:t>
      </w:r>
      <w:r w:rsidR="00A50DE2" w:rsidRPr="007041C5">
        <w:t>Convention on the Rights of Persons with Disabilities</w:t>
      </w:r>
      <w:r w:rsidR="00A50DE2">
        <w:t>.</w:t>
      </w:r>
      <w:r w:rsidRPr="007041C5">
        <w:rPr>
          <w:vertAlign w:val="superscript"/>
        </w:rPr>
        <w:footnoteReference w:id="36"/>
      </w:r>
      <w:r w:rsidRPr="007041C5">
        <w:t xml:space="preserve"> </w:t>
      </w:r>
    </w:p>
    <w:p w14:paraId="7C837137" w14:textId="77777777" w:rsidR="001954A6" w:rsidRPr="007041C5" w:rsidRDefault="001954A6" w:rsidP="003B76A1">
      <w:pPr>
        <w:numPr>
          <w:ilvl w:val="0"/>
          <w:numId w:val="16"/>
        </w:numPr>
        <w:jc w:val="both"/>
      </w:pPr>
      <w:r>
        <w:t>Qualitative and quantitative information</w:t>
      </w:r>
      <w:r w:rsidRPr="007041C5">
        <w:t xml:space="preserve"> on homelessness and housing adequacy, should be collected </w:t>
      </w:r>
      <w:r>
        <w:t xml:space="preserve">for all </w:t>
      </w:r>
      <w:r w:rsidR="00437CF7">
        <w:t>g</w:t>
      </w:r>
      <w:r>
        <w:t>roups at risk of discrimination or social exclusion in order to monitor progress and inform policy-making (see also guideline no. 15)</w:t>
      </w:r>
      <w:r w:rsidRPr="007041C5">
        <w:t>.</w:t>
      </w:r>
    </w:p>
    <w:p w14:paraId="599B5167" w14:textId="77777777" w:rsidR="003216A1" w:rsidRDefault="001954A6" w:rsidP="003B76A1">
      <w:pPr>
        <w:numPr>
          <w:ilvl w:val="0"/>
          <w:numId w:val="16"/>
        </w:numPr>
        <w:jc w:val="both"/>
      </w:pPr>
      <w:r>
        <w:t>Enforcement authorities, including c</w:t>
      </w:r>
      <w:r w:rsidRPr="007041C5">
        <w:t>ourts and tribunals</w:t>
      </w:r>
      <w:r w:rsidR="006E3C14">
        <w:t>,</w:t>
      </w:r>
      <w:r w:rsidRPr="007041C5">
        <w:t xml:space="preserve"> should receive training on equality issues in housing</w:t>
      </w:r>
      <w:r w:rsidR="006E3C14">
        <w:t xml:space="preserve"> to avoid </w:t>
      </w:r>
      <w:r w:rsidRPr="007041C5">
        <w:t>stigmatizing stereotypes</w:t>
      </w:r>
      <w:r w:rsidR="00F91C54">
        <w:t xml:space="preserve"> regarding, for instance, </w:t>
      </w:r>
      <w:r w:rsidR="006E3C14">
        <w:t xml:space="preserve">people living in homelessness, </w:t>
      </w:r>
      <w:r w:rsidR="00F91C54">
        <w:t xml:space="preserve">grossly inadequate housing including </w:t>
      </w:r>
      <w:r w:rsidR="006E3C14">
        <w:t>informal settlements and encampments</w:t>
      </w:r>
      <w:r w:rsidR="00F91C54">
        <w:t>, and subsidized or social housing</w:t>
      </w:r>
      <w:bookmarkStart w:id="16" w:name="_Hlk22913459"/>
      <w:r w:rsidR="003216A1">
        <w:t>.</w:t>
      </w:r>
    </w:p>
    <w:p w14:paraId="368EB12A" w14:textId="77777777" w:rsidR="00D5275E" w:rsidRDefault="00D5275E" w:rsidP="003B76A1">
      <w:pPr>
        <w:numPr>
          <w:ilvl w:val="0"/>
          <w:numId w:val="16"/>
        </w:numPr>
        <w:jc w:val="both"/>
      </w:pPr>
      <w:r>
        <w:t xml:space="preserve">States must address the potentially discriminatory impact on marginalized groups of renovation and redevelopment of affordable housing communities. Marginalized groups must </w:t>
      </w:r>
      <w:r w:rsidR="003216A1" w:rsidRPr="003216A1">
        <w:t>be included in planning processes to ensure that their housing needs are fully considered</w:t>
      </w:r>
      <w:r>
        <w:t xml:space="preserve">. They must also be </w:t>
      </w:r>
      <w:r w:rsidR="003216A1" w:rsidRPr="003216A1">
        <w:t>guaranteed the equal benefit of any redevelopment, including a right to adequate</w:t>
      </w:r>
      <w:r>
        <w:t xml:space="preserve">, affordable </w:t>
      </w:r>
      <w:r w:rsidR="003216A1" w:rsidRPr="003216A1">
        <w:t>housing in the redeveloped community, in keeping with the Development Based Displacement Guidelines.</w:t>
      </w:r>
    </w:p>
    <w:p w14:paraId="1B2F5C72" w14:textId="77777777" w:rsidR="007A027A" w:rsidRDefault="007A027A" w:rsidP="00D5275E">
      <w:pPr>
        <w:jc w:val="both"/>
        <w:rPr>
          <w:b/>
          <w:bCs/>
          <w:u w:val="single"/>
        </w:rPr>
      </w:pPr>
    </w:p>
    <w:p w14:paraId="02FA4022" w14:textId="441D502A" w:rsidR="00AD6F62" w:rsidRPr="003216A1" w:rsidRDefault="00AD6F62" w:rsidP="009B3CE0">
      <w:pPr>
        <w:pStyle w:val="Heading2"/>
      </w:pPr>
      <w:bookmarkStart w:id="17" w:name="_Toc23200813"/>
      <w:r w:rsidRPr="003216A1">
        <w:t xml:space="preserve">Guideline </w:t>
      </w:r>
      <w:r w:rsidR="00121444">
        <w:t>N</w:t>
      </w:r>
      <w:r w:rsidRPr="003216A1">
        <w:t>o. 5</w:t>
      </w:r>
      <w:bookmarkEnd w:id="17"/>
    </w:p>
    <w:p w14:paraId="557B0D1A" w14:textId="77777777" w:rsidR="00AD6F62" w:rsidRPr="00AD6F62" w:rsidRDefault="00AD6F62" w:rsidP="009B3CE0">
      <w:pPr>
        <w:pStyle w:val="Heading3"/>
      </w:pPr>
      <w:bookmarkStart w:id="18" w:name="_Toc23200814"/>
      <w:r>
        <w:t>Ensure gender equality in housing</w:t>
      </w:r>
      <w:bookmarkEnd w:id="18"/>
      <w:r>
        <w:t xml:space="preserve"> </w:t>
      </w:r>
    </w:p>
    <w:p w14:paraId="6CB2737D" w14:textId="6DFEDF31" w:rsidR="005C7D58" w:rsidRDefault="007A027A" w:rsidP="005C7D58">
      <w:pPr>
        <w:jc w:val="both"/>
      </w:pPr>
      <w:r>
        <w:t>25.</w:t>
      </w:r>
      <w:r>
        <w:tab/>
      </w:r>
      <w:r w:rsidR="008216ED">
        <w:t xml:space="preserve">Women’s experiences of discrimination and inequality in housing </w:t>
      </w:r>
      <w:r w:rsidR="008216ED" w:rsidRPr="007041C5">
        <w:t xml:space="preserve">forces many </w:t>
      </w:r>
      <w:r w:rsidR="00111085">
        <w:t>of them</w:t>
      </w:r>
      <w:r w:rsidR="008216ED" w:rsidRPr="007041C5">
        <w:t xml:space="preserve"> to live in insecure, undignified and unsafe conditions</w:t>
      </w:r>
      <w:r w:rsidR="008216ED">
        <w:t>, placing them at greater risk of homelessness and violence</w:t>
      </w:r>
      <w:r w:rsidR="008216ED" w:rsidRPr="007041C5">
        <w:t>.</w:t>
      </w:r>
      <w:r w:rsidR="008216ED" w:rsidRPr="007041C5">
        <w:rPr>
          <w:vertAlign w:val="superscript"/>
        </w:rPr>
        <w:footnoteReference w:id="37"/>
      </w:r>
      <w:r w:rsidR="008216ED" w:rsidRPr="007041C5">
        <w:t xml:space="preserve"> </w:t>
      </w:r>
      <w:r w:rsidR="008216ED">
        <w:t>W</w:t>
      </w:r>
      <w:r w:rsidR="008216ED" w:rsidRPr="007041C5">
        <w:t xml:space="preserve">omen </w:t>
      </w:r>
      <w:r w:rsidR="008216ED">
        <w:t xml:space="preserve">often </w:t>
      </w:r>
      <w:r w:rsidR="008216ED" w:rsidRPr="007041C5">
        <w:t>lack security of tenure and equal rights to property, as a result of inheritance laws, customs, and traditions, which</w:t>
      </w:r>
      <w:r w:rsidR="008216ED">
        <w:t xml:space="preserve"> discriminate directly or indirectly against them. A</w:t>
      </w:r>
      <w:r w:rsidR="008216ED" w:rsidRPr="007041C5">
        <w:t>ccess to housing and land</w:t>
      </w:r>
      <w:r w:rsidR="008216ED">
        <w:t xml:space="preserve">, including through access to credit, is frequently </w:t>
      </w:r>
      <w:r w:rsidR="008216ED" w:rsidRPr="007041C5">
        <w:t xml:space="preserve">dependent on </w:t>
      </w:r>
      <w:r w:rsidR="008216ED">
        <w:t xml:space="preserve">a relationship with </w:t>
      </w:r>
      <w:r w:rsidR="008216ED" w:rsidRPr="007041C5">
        <w:t>male family</w:t>
      </w:r>
      <w:r w:rsidR="008216ED">
        <w:t xml:space="preserve"> members</w:t>
      </w:r>
      <w:r w:rsidR="008216ED" w:rsidRPr="007041C5">
        <w:t>.</w:t>
      </w:r>
      <w:r w:rsidR="008216ED">
        <w:t xml:space="preserve"> </w:t>
      </w:r>
      <w:r w:rsidR="00EE0E65">
        <w:t xml:space="preserve"> </w:t>
      </w:r>
    </w:p>
    <w:p w14:paraId="15057979" w14:textId="77777777" w:rsidR="00AD6F62" w:rsidRPr="007041C5" w:rsidRDefault="007A027A" w:rsidP="00AD6F62">
      <w:pPr>
        <w:jc w:val="both"/>
      </w:pPr>
      <w:r>
        <w:t>26.</w:t>
      </w:r>
      <w:r>
        <w:tab/>
      </w:r>
      <w:r w:rsidR="00AD6F62">
        <w:t>Inadequate housing has particularly adverse impacts for women</w:t>
      </w:r>
      <w:r w:rsidR="004F74F8">
        <w:t>, including increasing</w:t>
      </w:r>
      <w:r w:rsidR="004F74F8" w:rsidRPr="007041C5">
        <w:t xml:space="preserve"> </w:t>
      </w:r>
      <w:r w:rsidR="004F74F8">
        <w:t>violence within and outside the home</w:t>
      </w:r>
      <w:r w:rsidR="00AD6F62">
        <w:t>.</w:t>
      </w:r>
      <w:r w:rsidR="00CF10E5">
        <w:t xml:space="preserve"> For example, i</w:t>
      </w:r>
      <w:r w:rsidR="00AD6F62" w:rsidRPr="007041C5">
        <w:t xml:space="preserve">n developing countries, women may face harassment, physical attacks and rape when </w:t>
      </w:r>
      <w:r w:rsidR="006A4CA1">
        <w:t>having to</w:t>
      </w:r>
      <w:r w:rsidR="00AD6F62" w:rsidRPr="007041C5">
        <w:t xml:space="preserve"> walk long distance to </w:t>
      </w:r>
      <w:r w:rsidR="00CF10E5">
        <w:t xml:space="preserve">fetch safe drinking water. </w:t>
      </w:r>
      <w:r w:rsidR="00AD6F62">
        <w:t>L</w:t>
      </w:r>
      <w:r w:rsidR="00AD6F62" w:rsidRPr="007041C5">
        <w:t>ack of access to latrines and to privacy, affects women adversely, particularly during their menstruation</w:t>
      </w:r>
      <w:r w:rsidR="002660E0">
        <w:t>.</w:t>
      </w:r>
      <w:r w:rsidR="00AD6F62" w:rsidRPr="007041C5">
        <w:t xml:space="preserve"> </w:t>
      </w:r>
      <w:r w:rsidR="001455AD">
        <w:t xml:space="preserve">Evictions have a disproportionate impact on women, who are often on the frontlines defending their homes. As the emotional caregivers </w:t>
      </w:r>
      <w:r w:rsidR="008216ED">
        <w:t xml:space="preserve">and material providers </w:t>
      </w:r>
      <w:r w:rsidR="001455AD">
        <w:t xml:space="preserve">in many households, women bear a distinct burden in the aftermath of eviction.   </w:t>
      </w:r>
    </w:p>
    <w:p w14:paraId="0E11E290" w14:textId="0B04C690" w:rsidR="008216ED" w:rsidRDefault="007A027A" w:rsidP="00AD6F62">
      <w:pPr>
        <w:jc w:val="both"/>
      </w:pPr>
      <w:r>
        <w:lastRenderedPageBreak/>
        <w:t>27.</w:t>
      </w:r>
      <w:r>
        <w:tab/>
      </w:r>
      <w:r w:rsidR="00CF10E5">
        <w:t xml:space="preserve">Domestic violence is both a cause and consequence of violations of the right to housing.  </w:t>
      </w:r>
      <w:r w:rsidR="006A4CA1">
        <w:t>Women’s</w:t>
      </w:r>
      <w:r w:rsidR="006A4CA1" w:rsidRPr="007041C5">
        <w:t xml:space="preserve"> inability to </w:t>
      </w:r>
      <w:r w:rsidR="006A4CA1">
        <w:t>remove</w:t>
      </w:r>
      <w:r w:rsidR="006A4CA1" w:rsidRPr="007041C5">
        <w:t xml:space="preserve"> perpetrator</w:t>
      </w:r>
      <w:r w:rsidR="006A4CA1">
        <w:t>s of violence from their homes</w:t>
      </w:r>
      <w:r w:rsidR="00CF10E5">
        <w:t xml:space="preserve"> and </w:t>
      </w:r>
      <w:r w:rsidR="00900016">
        <w:t>the</w:t>
      </w:r>
      <w:r w:rsidR="00CF10E5">
        <w:t xml:space="preserve"> lack </w:t>
      </w:r>
      <w:r w:rsidR="00900016">
        <w:t xml:space="preserve">of </w:t>
      </w:r>
      <w:r w:rsidR="00CF10E5">
        <w:t>alternative housing options</w:t>
      </w:r>
      <w:r w:rsidR="00900016">
        <w:t xml:space="preserve"> for women places women’s security and lives at risk.</w:t>
      </w:r>
      <w:r w:rsidR="00900016" w:rsidRPr="00900016">
        <w:rPr>
          <w:vertAlign w:val="superscript"/>
        </w:rPr>
        <w:t xml:space="preserve"> </w:t>
      </w:r>
      <w:r w:rsidR="00525470">
        <w:rPr>
          <w:rStyle w:val="FootnoteReference"/>
        </w:rPr>
        <w:footnoteReference w:id="38"/>
      </w:r>
      <w:r w:rsidR="00525470">
        <w:rPr>
          <w:vertAlign w:val="superscript"/>
        </w:rPr>
        <w:t xml:space="preserve"> </w:t>
      </w:r>
      <w:r w:rsidR="00900016">
        <w:t xml:space="preserve">Many women </w:t>
      </w:r>
      <w:r w:rsidR="006A4CA1" w:rsidRPr="007041C5">
        <w:t>are confronted with the horrendous choice of becoming homeless—often with their children—or staying in violent situations at home.</w:t>
      </w:r>
      <w:r w:rsidR="006A4CA1">
        <w:t xml:space="preserve"> </w:t>
      </w:r>
      <w:r w:rsidR="00900016">
        <w:t xml:space="preserve">Because women will do whatever is necessary to avoid living on the streets, they are </w:t>
      </w:r>
      <w:r w:rsidR="00EE0E65" w:rsidRPr="007041C5">
        <w:t>more likely to be found among the ‘hidden homeless’</w:t>
      </w:r>
      <w:r w:rsidR="00EE0E65">
        <w:t xml:space="preserve"> and denied the benefit of programs directed to the most visible forms of homelessness. </w:t>
      </w:r>
    </w:p>
    <w:p w14:paraId="5F2D6C5A" w14:textId="77777777" w:rsidR="00AD6F62" w:rsidRPr="00D5275E" w:rsidRDefault="007A027A" w:rsidP="00AD6F62">
      <w:pPr>
        <w:jc w:val="both"/>
      </w:pPr>
      <w:r>
        <w:t>28.</w:t>
      </w:r>
      <w:r>
        <w:tab/>
      </w:r>
      <w:r w:rsidR="00AD6F62">
        <w:t xml:space="preserve">Ensuring gender equality in housing means empowering women to articulate and claim the right to housing </w:t>
      </w:r>
      <w:r w:rsidR="00AD6F62" w:rsidRPr="007041C5">
        <w:t xml:space="preserve">in a manner that addresses </w:t>
      </w:r>
      <w:r w:rsidR="002660E0">
        <w:t xml:space="preserve">their </w:t>
      </w:r>
      <w:r w:rsidR="00AD6F62" w:rsidRPr="007041C5">
        <w:t xml:space="preserve">housing disadvantages </w:t>
      </w:r>
      <w:r w:rsidR="00AD6F62">
        <w:t xml:space="preserve">experienced </w:t>
      </w:r>
      <w:r w:rsidR="00AD6F62" w:rsidRPr="007041C5">
        <w:t>across all dimensions of housing</w:t>
      </w:r>
      <w:r w:rsidR="00AD6F62">
        <w:t xml:space="preserve">. </w:t>
      </w:r>
    </w:p>
    <w:p w14:paraId="6CA2A1D1" w14:textId="190BD2F6" w:rsidR="00AD6F62" w:rsidRPr="00945068" w:rsidRDefault="00AD6F62" w:rsidP="005F3828">
      <w:pPr>
        <w:rPr>
          <w:b/>
          <w:bCs/>
        </w:rPr>
      </w:pPr>
      <w:r w:rsidRPr="00945068">
        <w:rPr>
          <w:b/>
          <w:bCs/>
        </w:rPr>
        <w:t xml:space="preserve">Implementation </w:t>
      </w:r>
      <w:r w:rsidR="00121444" w:rsidRPr="00945068">
        <w:rPr>
          <w:b/>
          <w:bCs/>
        </w:rPr>
        <w:t>M</w:t>
      </w:r>
      <w:r w:rsidRPr="00945068">
        <w:rPr>
          <w:b/>
          <w:bCs/>
        </w:rPr>
        <w:t>easures:</w:t>
      </w:r>
    </w:p>
    <w:p w14:paraId="3626C90F" w14:textId="0B7A2151" w:rsidR="00AD6F62" w:rsidRDefault="00AD6F62" w:rsidP="003B76A1">
      <w:pPr>
        <w:numPr>
          <w:ilvl w:val="0"/>
          <w:numId w:val="1"/>
        </w:numPr>
        <w:jc w:val="both"/>
      </w:pPr>
      <w:r w:rsidRPr="007041C5">
        <w:t>States should ensure gender equality in housing throughout the entire life cycle</w:t>
      </w:r>
      <w:r>
        <w:t>,</w:t>
      </w:r>
      <w:r w:rsidRPr="007041C5">
        <w:t xml:space="preserve"> taking into consideration </w:t>
      </w:r>
      <w:r w:rsidR="001E3941">
        <w:t>women’s</w:t>
      </w:r>
      <w:r w:rsidRPr="007041C5">
        <w:t xml:space="preserve"> </w:t>
      </w:r>
      <w:r>
        <w:t xml:space="preserve">multiple </w:t>
      </w:r>
      <w:r w:rsidRPr="007041C5">
        <w:t xml:space="preserve">roles </w:t>
      </w:r>
      <w:r>
        <w:t xml:space="preserve">as </w:t>
      </w:r>
      <w:r w:rsidRPr="007041C5">
        <w:t>parents, caregivers and workers,</w:t>
      </w:r>
      <w:r>
        <w:t xml:space="preserve"> the diverse </w:t>
      </w:r>
      <w:r w:rsidRPr="007041C5">
        <w:t>challenges</w:t>
      </w:r>
      <w:r>
        <w:t xml:space="preserve"> they</w:t>
      </w:r>
      <w:r w:rsidRPr="007041C5">
        <w:t xml:space="preserve"> face in terms of water provision, sanitation, </w:t>
      </w:r>
      <w:r w:rsidR="00900016">
        <w:t xml:space="preserve">and </w:t>
      </w:r>
      <w:r w:rsidRPr="007041C5">
        <w:t>child care and work</w:t>
      </w:r>
      <w:r w:rsidR="002660E0">
        <w:t>,</w:t>
      </w:r>
      <w:r>
        <w:t xml:space="preserve"> </w:t>
      </w:r>
      <w:r w:rsidR="002660E0">
        <w:t>both</w:t>
      </w:r>
      <w:r>
        <w:t xml:space="preserve"> inside </w:t>
      </w:r>
      <w:r w:rsidR="002660E0">
        <w:t xml:space="preserve">and </w:t>
      </w:r>
      <w:r>
        <w:t xml:space="preserve">outside the home.  </w:t>
      </w:r>
    </w:p>
    <w:p w14:paraId="08FC214A" w14:textId="77777777" w:rsidR="00900016" w:rsidRDefault="00AD6F62" w:rsidP="003B76A1">
      <w:pPr>
        <w:numPr>
          <w:ilvl w:val="0"/>
          <w:numId w:val="1"/>
        </w:numPr>
        <w:jc w:val="both"/>
      </w:pPr>
      <w:r w:rsidRPr="00D2211D">
        <w:t>States should recognize the important role that access to adequate housing plays in preventing domestic violence</w:t>
      </w:r>
      <w:r>
        <w:t>.</w:t>
      </w:r>
      <w:r w:rsidRPr="00D2211D">
        <w:t xml:space="preserve"> </w:t>
      </w:r>
      <w:r>
        <w:t>Immediate access to emergency shelters and prompt a</w:t>
      </w:r>
      <w:r w:rsidRPr="007041C5">
        <w:t xml:space="preserve">ccess to adequate </w:t>
      </w:r>
      <w:r w:rsidR="002660E0">
        <w:t xml:space="preserve">permanent </w:t>
      </w:r>
      <w:r w:rsidRPr="007041C5">
        <w:t xml:space="preserve">housing </w:t>
      </w:r>
      <w:r>
        <w:t xml:space="preserve">should be available </w:t>
      </w:r>
      <w:r w:rsidRPr="007041C5">
        <w:t xml:space="preserve">to all women and girls experiencing </w:t>
      </w:r>
      <w:r>
        <w:t xml:space="preserve">or at risk of </w:t>
      </w:r>
      <w:r w:rsidRPr="007041C5">
        <w:t>domestic violence.</w:t>
      </w:r>
      <w:r w:rsidRPr="007041C5">
        <w:rPr>
          <w:vertAlign w:val="superscript"/>
        </w:rPr>
        <w:footnoteReference w:id="39"/>
      </w:r>
      <w:r w:rsidRPr="007041C5">
        <w:t xml:space="preserve"> Legislation should ensure that women who are victims of domestic violence are able to reside in their own homes – regardless of title or formal ownership – and </w:t>
      </w:r>
      <w:r>
        <w:t xml:space="preserve">have </w:t>
      </w:r>
      <w:r w:rsidRPr="007041C5">
        <w:t>perpetrators removed.</w:t>
      </w:r>
      <w:r w:rsidRPr="007041C5">
        <w:rPr>
          <w:vertAlign w:val="superscript"/>
        </w:rPr>
        <w:footnoteReference w:id="40"/>
      </w:r>
      <w:r w:rsidRPr="007041C5">
        <w:t xml:space="preserve"> </w:t>
      </w:r>
    </w:p>
    <w:p w14:paraId="4B95C962" w14:textId="77777777" w:rsidR="00EF2A75" w:rsidRDefault="007A027A" w:rsidP="003B76A1">
      <w:pPr>
        <w:numPr>
          <w:ilvl w:val="0"/>
          <w:numId w:val="1"/>
        </w:numPr>
        <w:jc w:val="both"/>
      </w:pPr>
      <w:r>
        <w:t xml:space="preserve">Allocation of </w:t>
      </w:r>
      <w:r w:rsidR="00900016" w:rsidRPr="007041C5">
        <w:t>public</w:t>
      </w:r>
      <w:r w:rsidR="00900016">
        <w:t xml:space="preserve"> or social</w:t>
      </w:r>
      <w:r w:rsidR="00900016" w:rsidRPr="007041C5">
        <w:t xml:space="preserve"> housing should prioritize women escaping violence</w:t>
      </w:r>
      <w:r w:rsidR="00900016">
        <w:t>.</w:t>
      </w:r>
    </w:p>
    <w:p w14:paraId="4C5B829A" w14:textId="77777777" w:rsidR="00EF2A75" w:rsidRDefault="00AD6F62" w:rsidP="003B76A1">
      <w:pPr>
        <w:numPr>
          <w:ilvl w:val="0"/>
          <w:numId w:val="1"/>
        </w:numPr>
        <w:jc w:val="both"/>
      </w:pPr>
      <w:r w:rsidRPr="007041C5">
        <w:t>States should ensure that women are able to</w:t>
      </w:r>
      <w:r>
        <w:t xml:space="preserve"> assume leadership roles,</w:t>
      </w:r>
      <w:r w:rsidRPr="007041C5">
        <w:t xml:space="preserve"> </w:t>
      </w:r>
      <w:r w:rsidR="001455AD">
        <w:t xml:space="preserve">and </w:t>
      </w:r>
      <w:r w:rsidRPr="007041C5">
        <w:t xml:space="preserve">meaningfully participate in design, </w:t>
      </w:r>
      <w:r w:rsidR="00EF2A75">
        <w:t xml:space="preserve">and </w:t>
      </w:r>
      <w:r w:rsidRPr="007041C5">
        <w:t>implement</w:t>
      </w:r>
      <w:r w:rsidR="00EF2A75">
        <w:t xml:space="preserve">ation of </w:t>
      </w:r>
      <w:r w:rsidRPr="007041C5">
        <w:t>housing programmes</w:t>
      </w:r>
      <w:r>
        <w:t>.</w:t>
      </w:r>
    </w:p>
    <w:p w14:paraId="6DAE2B27" w14:textId="3F1376DC" w:rsidR="00AD6F62" w:rsidRPr="007041C5" w:rsidRDefault="001455AD" w:rsidP="003B76A1">
      <w:pPr>
        <w:numPr>
          <w:ilvl w:val="0"/>
          <w:numId w:val="1"/>
        </w:numPr>
        <w:jc w:val="both"/>
      </w:pPr>
      <w:r w:rsidRPr="007041C5">
        <w:t>The independent right of women to security of tenure, irrespective of their family or relationship status should be recognized in national housing law, policy and programming.</w:t>
      </w:r>
      <w:r w:rsidRPr="007041C5">
        <w:rPr>
          <w:vertAlign w:val="superscript"/>
        </w:rPr>
        <w:footnoteReference w:id="41"/>
      </w:r>
      <w:r>
        <w:t>In this regard, S</w:t>
      </w:r>
      <w:r w:rsidR="00AD6F62" w:rsidRPr="007041C5">
        <w:t>tates should review and amend or repeal, as appropriate, provisions in family, inheritance and other relevant laws that restrict women’s access to housing</w:t>
      </w:r>
      <w:r w:rsidR="00AD6F62">
        <w:t xml:space="preserve"> and land title</w:t>
      </w:r>
      <w:r w:rsidR="00AD6F62" w:rsidRPr="007041C5">
        <w:t xml:space="preserve">. </w:t>
      </w:r>
      <w:bookmarkStart w:id="19" w:name="_Hlk23163294"/>
      <w:r w:rsidR="00AD6F62" w:rsidRPr="007041C5">
        <w:t xml:space="preserve">Customary law </w:t>
      </w:r>
      <w:r w:rsidR="006F6DAA">
        <w:t xml:space="preserve">provisions that discriminate against women and </w:t>
      </w:r>
      <w:r w:rsidR="006F6DAA" w:rsidRPr="007041C5">
        <w:t>contraven</w:t>
      </w:r>
      <w:r w:rsidR="006F6DAA">
        <w:t>e international human rights norms</w:t>
      </w:r>
      <w:r w:rsidR="006F6DAA" w:rsidRPr="007041C5">
        <w:t xml:space="preserve"> </w:t>
      </w:r>
      <w:r w:rsidR="00AD6F62" w:rsidRPr="007041C5">
        <w:t xml:space="preserve">should </w:t>
      </w:r>
      <w:r w:rsidR="006F6DAA">
        <w:t xml:space="preserve">not </w:t>
      </w:r>
      <w:r w:rsidR="00AD6F62" w:rsidRPr="007041C5">
        <w:t>be recognized and applied.</w:t>
      </w:r>
      <w:bookmarkEnd w:id="19"/>
      <w:r w:rsidR="003E684B">
        <w:rPr>
          <w:rStyle w:val="FootnoteReference"/>
        </w:rPr>
        <w:footnoteReference w:id="42"/>
      </w:r>
    </w:p>
    <w:p w14:paraId="4DBA75DF" w14:textId="77777777" w:rsidR="00AD6F62" w:rsidRPr="007041C5" w:rsidRDefault="00AD6F62" w:rsidP="003B76A1">
      <w:pPr>
        <w:numPr>
          <w:ilvl w:val="0"/>
          <w:numId w:val="1"/>
        </w:numPr>
        <w:jc w:val="both"/>
      </w:pPr>
      <w:r w:rsidRPr="007041C5">
        <w:t>Women should be guaranteed equal access to credit, mortgages</w:t>
      </w:r>
      <w:r>
        <w:t>,</w:t>
      </w:r>
      <w:r w:rsidR="007A027A">
        <w:t xml:space="preserve"> </w:t>
      </w:r>
      <w:r w:rsidRPr="007041C5">
        <w:t>home ownership,</w:t>
      </w:r>
      <w:r>
        <w:t xml:space="preserve"> and rental housing,</w:t>
      </w:r>
      <w:r w:rsidRPr="007041C5">
        <w:t xml:space="preserve"> including subsidies to make up for their lower incomes.</w:t>
      </w:r>
      <w:r w:rsidRPr="007041C5">
        <w:rPr>
          <w:vertAlign w:val="superscript"/>
        </w:rPr>
        <w:footnoteReference w:id="43"/>
      </w:r>
      <w:r w:rsidRPr="007041C5">
        <w:t xml:space="preserve"> </w:t>
      </w:r>
    </w:p>
    <w:p w14:paraId="0548CBD9" w14:textId="77777777" w:rsidR="001455AD" w:rsidRDefault="00AD6F62" w:rsidP="003B76A1">
      <w:pPr>
        <w:numPr>
          <w:ilvl w:val="0"/>
          <w:numId w:val="1"/>
        </w:numPr>
        <w:jc w:val="both"/>
      </w:pPr>
      <w:r w:rsidRPr="007041C5">
        <w:lastRenderedPageBreak/>
        <w:t>The differential impact on women of evictions and displacement, including vulnerability to violence and loss of</w:t>
      </w:r>
      <w:r>
        <w:t xml:space="preserve"> access to</w:t>
      </w:r>
      <w:r w:rsidR="00EF2A75">
        <w:t xml:space="preserve"> child-</w:t>
      </w:r>
      <w:r w:rsidRPr="007041C5">
        <w:t>care</w:t>
      </w:r>
      <w:r>
        <w:t>, services</w:t>
      </w:r>
      <w:r w:rsidRPr="007041C5">
        <w:t xml:space="preserve"> and other supports, must be recognized and addressed through engagement with women regarding any planned relocation or development plans</w:t>
      </w:r>
      <w:r>
        <w:t>.</w:t>
      </w:r>
      <w:r w:rsidRPr="007041C5">
        <w:rPr>
          <w:vertAlign w:val="superscript"/>
        </w:rPr>
        <w:footnoteReference w:id="44"/>
      </w:r>
      <w:r w:rsidRPr="007041C5">
        <w:t xml:space="preserve">  </w:t>
      </w:r>
    </w:p>
    <w:p w14:paraId="54C10385" w14:textId="77777777" w:rsidR="00AD6F62" w:rsidRPr="007041C5" w:rsidRDefault="001455AD" w:rsidP="003B76A1">
      <w:pPr>
        <w:numPr>
          <w:ilvl w:val="0"/>
          <w:numId w:val="1"/>
        </w:numPr>
        <w:jc w:val="both"/>
      </w:pPr>
      <w:r w:rsidRPr="007041C5">
        <w:t xml:space="preserve">Gender disaggregated data and information on housing should be collected and adequate indicators should be developed, in collaboration with women’s organizations, to monitor progress in the realization of women’s </w:t>
      </w:r>
      <w:r>
        <w:t xml:space="preserve">equal </w:t>
      </w:r>
      <w:r w:rsidRPr="007041C5">
        <w:t xml:space="preserve">right to adequate housing. </w:t>
      </w:r>
    </w:p>
    <w:bookmarkEnd w:id="16"/>
    <w:p w14:paraId="0BB0EE4B" w14:textId="77777777" w:rsidR="001954A6" w:rsidRPr="00724CAF" w:rsidRDefault="001954A6" w:rsidP="001954A6">
      <w:pPr>
        <w:rPr>
          <w:u w:val="single"/>
        </w:rPr>
      </w:pPr>
    </w:p>
    <w:p w14:paraId="15A7EC7D" w14:textId="75A8E63B" w:rsidR="00B02E91" w:rsidRDefault="00B02E91">
      <w:pPr>
        <w:rPr>
          <w:b/>
          <w:bCs/>
          <w:u w:val="single"/>
        </w:rPr>
      </w:pPr>
    </w:p>
    <w:p w14:paraId="1DB27915" w14:textId="5AF2C35B" w:rsidR="00771D92" w:rsidRPr="007A027A" w:rsidRDefault="00771D92" w:rsidP="009B3CE0">
      <w:pPr>
        <w:pStyle w:val="Heading2"/>
      </w:pPr>
      <w:bookmarkStart w:id="20" w:name="_Toc23200815"/>
      <w:r w:rsidRPr="007A027A">
        <w:t>Guideline No</w:t>
      </w:r>
      <w:r w:rsidR="00121444">
        <w:t>.</w:t>
      </w:r>
      <w:r w:rsidRPr="007A027A">
        <w:t xml:space="preserve"> 6</w:t>
      </w:r>
      <w:bookmarkEnd w:id="20"/>
    </w:p>
    <w:p w14:paraId="62DBD931" w14:textId="77777777" w:rsidR="00771D92" w:rsidRPr="003901BA" w:rsidRDefault="00771D92" w:rsidP="009B3CE0">
      <w:pPr>
        <w:pStyle w:val="Heading3"/>
      </w:pPr>
      <w:bookmarkStart w:id="21" w:name="_Toc23200816"/>
      <w:r w:rsidRPr="003901BA">
        <w:t>Eliminate homelessness in the shortest possible time</w:t>
      </w:r>
      <w:bookmarkEnd w:id="21"/>
    </w:p>
    <w:p w14:paraId="27282058" w14:textId="132813C7" w:rsidR="00771D92" w:rsidRPr="003901BA" w:rsidRDefault="007A027A" w:rsidP="00771D92">
      <w:pPr>
        <w:jc w:val="both"/>
      </w:pPr>
      <w:r>
        <w:t>29.</w:t>
      </w:r>
      <w:r>
        <w:tab/>
      </w:r>
      <w:r w:rsidR="00771D92">
        <w:t xml:space="preserve">Homelessness is a profound assault on dignity, social inclusion and life. It is experienced in diverse ways throughout the world - from pavement dwellers, to makeshift encampments, to huddling for warmth </w:t>
      </w:r>
      <w:r w:rsidR="00163918">
        <w:t xml:space="preserve">on top of </w:t>
      </w:r>
      <w:r w:rsidR="00771D92">
        <w:t xml:space="preserve">ventilation grates in cold climates. </w:t>
      </w:r>
      <w:r w:rsidR="00771D92" w:rsidRPr="003901BA">
        <w:t xml:space="preserve"> Millions more live in deplorable housing circumstances tantamount to homelessness without adequate protection from the elements</w:t>
      </w:r>
      <w:r w:rsidR="00771D92">
        <w:t xml:space="preserve"> or access to water, sanitation or electricity.</w:t>
      </w:r>
      <w:r w:rsidR="00771D92" w:rsidRPr="003901BA">
        <w:t xml:space="preserve">  </w:t>
      </w:r>
    </w:p>
    <w:p w14:paraId="496D86E4" w14:textId="6A07F4F8" w:rsidR="00771D92" w:rsidRPr="003901BA" w:rsidRDefault="007A027A" w:rsidP="00771D92">
      <w:pPr>
        <w:jc w:val="both"/>
      </w:pPr>
      <w:r>
        <w:t>30.</w:t>
      </w:r>
      <w:r>
        <w:tab/>
      </w:r>
      <w:r w:rsidR="00771D92" w:rsidRPr="003901BA">
        <w:t xml:space="preserve">In a spiral of human rights violations, </w:t>
      </w:r>
      <w:r w:rsidR="00771D92">
        <w:t xml:space="preserve">homelessness deprives </w:t>
      </w:r>
      <w:r w:rsidR="00771D92" w:rsidRPr="003901BA">
        <w:t xml:space="preserve">those who are the most vulnerable in society </w:t>
      </w:r>
      <w:r w:rsidR="00771D92">
        <w:t>of the essentials of a dignified life and</w:t>
      </w:r>
      <w:r w:rsidR="00771D92" w:rsidRPr="003901BA">
        <w:t xml:space="preserve"> render</w:t>
      </w:r>
      <w:r w:rsidR="00771D92">
        <w:t>s them</w:t>
      </w:r>
      <w:r w:rsidR="00771D92" w:rsidRPr="003901BA">
        <w:t xml:space="preserve"> even more vulnerable to stigmatization and dehumanization</w:t>
      </w:r>
      <w:r w:rsidR="00771D92">
        <w:t>.</w:t>
      </w:r>
      <w:r w:rsidR="00771D92" w:rsidRPr="003901BA">
        <w:rPr>
          <w:vertAlign w:val="superscript"/>
        </w:rPr>
        <w:footnoteReference w:id="45"/>
      </w:r>
      <w:r w:rsidR="00771D92" w:rsidRPr="003901BA">
        <w:t xml:space="preserve"> </w:t>
      </w:r>
      <w:r w:rsidR="00771D92">
        <w:t xml:space="preserve">Homelessness violates multiple </w:t>
      </w:r>
      <w:r w:rsidR="00771D92" w:rsidRPr="003901BA">
        <w:t>human rights, including rights to housing, non-discrimination, life, health</w:t>
      </w:r>
      <w:r w:rsidR="00771D92">
        <w:t>, water and sanitation</w:t>
      </w:r>
      <w:r w:rsidR="00771D92" w:rsidRPr="003901BA">
        <w:t xml:space="preserve"> and freedom from cruel, degrading and inhuman treatment</w:t>
      </w:r>
      <w:r w:rsidR="00771D92">
        <w:t>.  Yet</w:t>
      </w:r>
      <w:r w:rsidR="006D711C">
        <w:t xml:space="preserve"> widespread homelessness is rarely</w:t>
      </w:r>
      <w:r w:rsidR="006D711C" w:rsidRPr="003901BA">
        <w:t xml:space="preserve"> addressed </w:t>
      </w:r>
      <w:r w:rsidR="006D711C">
        <w:t>by States as a human rights violation</w:t>
      </w:r>
      <w:r w:rsidR="00771D92">
        <w:t xml:space="preserve">. </w:t>
      </w:r>
    </w:p>
    <w:p w14:paraId="09DCB824" w14:textId="77777777" w:rsidR="00771D92" w:rsidRPr="00721285" w:rsidRDefault="007A027A" w:rsidP="00771D92">
      <w:pPr>
        <w:jc w:val="both"/>
      </w:pPr>
      <w:r>
        <w:t>31.</w:t>
      </w:r>
      <w:r>
        <w:tab/>
      </w:r>
      <w:r w:rsidR="00771D92">
        <w:t xml:space="preserve">States must treat the human rights obligation to reduce and eliminate </w:t>
      </w:r>
      <w:r w:rsidR="00721285">
        <w:t>homelessness</w:t>
      </w:r>
      <w:r w:rsidR="00771D92" w:rsidRPr="003901BA">
        <w:t xml:space="preserve"> </w:t>
      </w:r>
      <w:r w:rsidR="00771D92">
        <w:t xml:space="preserve">an urgent </w:t>
      </w:r>
      <w:r w:rsidR="00771D92" w:rsidRPr="003901BA">
        <w:t>priority</w:t>
      </w:r>
      <w:r w:rsidR="00771D92">
        <w:t>,</w:t>
      </w:r>
      <w:r w:rsidR="00771D92" w:rsidRPr="003901BA">
        <w:t xml:space="preserve"> </w:t>
      </w:r>
      <w:r w:rsidR="00771D92">
        <w:t xml:space="preserve">implementing immediate as well as long term responses. </w:t>
      </w:r>
    </w:p>
    <w:p w14:paraId="7390F259" w14:textId="0201EDA5" w:rsidR="00771D92" w:rsidRPr="00945068" w:rsidRDefault="00771D92" w:rsidP="005F3828">
      <w:pPr>
        <w:rPr>
          <w:b/>
          <w:bCs/>
        </w:rPr>
      </w:pPr>
      <w:r w:rsidRPr="00945068">
        <w:rPr>
          <w:b/>
          <w:bCs/>
        </w:rPr>
        <w:t xml:space="preserve">Implementation </w:t>
      </w:r>
      <w:r w:rsidR="00121444" w:rsidRPr="00945068">
        <w:rPr>
          <w:b/>
          <w:bCs/>
        </w:rPr>
        <w:t>M</w:t>
      </w:r>
      <w:r w:rsidRPr="00945068">
        <w:rPr>
          <w:b/>
          <w:bCs/>
        </w:rPr>
        <w:t xml:space="preserve">easures: </w:t>
      </w:r>
    </w:p>
    <w:p w14:paraId="1AAE4628" w14:textId="27C0A5BF" w:rsidR="00721285" w:rsidRDefault="00A33C86" w:rsidP="003B76A1">
      <w:pPr>
        <w:numPr>
          <w:ilvl w:val="0"/>
          <w:numId w:val="2"/>
        </w:numPr>
        <w:jc w:val="both"/>
      </w:pPr>
      <w:r w:rsidRPr="000D38EC">
        <w:t xml:space="preserve">All levels of government, </w:t>
      </w:r>
      <w:r w:rsidR="00721285">
        <w:t>must</w:t>
      </w:r>
      <w:r w:rsidRPr="000D38EC">
        <w:t xml:space="preserve"> adopt concrete multi-pronged strategies to </w:t>
      </w:r>
      <w:r>
        <w:t xml:space="preserve">respond to the immediate needs of those who are currently homeless </w:t>
      </w:r>
      <w:r w:rsidR="00721285">
        <w:t>while simultaneously</w:t>
      </w:r>
      <w:r>
        <w:t xml:space="preserve"> implementing concrete plans to</w:t>
      </w:r>
      <w:r w:rsidRPr="000D38EC">
        <w:t xml:space="preserve"> reduce and eliminate homelessness</w:t>
      </w:r>
      <w:r>
        <w:t xml:space="preserve"> “in the shortest possible time in accordance with the maximum of available resources“ with clear timelines and accountability mechanisms.</w:t>
      </w:r>
      <w:r>
        <w:rPr>
          <w:rStyle w:val="FootnoteReference"/>
        </w:rPr>
        <w:footnoteReference w:id="46"/>
      </w:r>
      <w:r>
        <w:t xml:space="preserve"> </w:t>
      </w:r>
      <w:r w:rsidR="00771D92">
        <w:t xml:space="preserve"> </w:t>
      </w:r>
    </w:p>
    <w:p w14:paraId="2AC62FE5" w14:textId="77777777" w:rsidR="00771D92" w:rsidRDefault="00771D92" w:rsidP="003B76A1">
      <w:pPr>
        <w:numPr>
          <w:ilvl w:val="0"/>
          <w:numId w:val="2"/>
        </w:numPr>
        <w:jc w:val="both"/>
      </w:pPr>
      <w:r>
        <w:t>Homelessness should be recognized as a prima facie violation of human rights.</w:t>
      </w:r>
      <w:r>
        <w:rPr>
          <w:rStyle w:val="FootnoteReference"/>
        </w:rPr>
        <w:footnoteReference w:id="47"/>
      </w:r>
      <w:r>
        <w:t xml:space="preserve">  States must be held accountable by courts and human rights institutions for failing to address it with the highest priority, and those affected must have access to effective remedies, both immediate and longer term.</w:t>
      </w:r>
    </w:p>
    <w:p w14:paraId="102822FC" w14:textId="77777777" w:rsidR="00721285" w:rsidRDefault="00721285" w:rsidP="003B76A1">
      <w:pPr>
        <w:numPr>
          <w:ilvl w:val="0"/>
          <w:numId w:val="2"/>
        </w:numPr>
        <w:jc w:val="both"/>
      </w:pPr>
      <w:r w:rsidRPr="003901BA">
        <w:lastRenderedPageBreak/>
        <w:t>States must</w:t>
      </w:r>
      <w:r>
        <w:t xml:space="preserve"> ensure</w:t>
      </w:r>
      <w:r w:rsidRPr="003901BA">
        <w:t xml:space="preserve"> that individuals and families in situation</w:t>
      </w:r>
      <w:r>
        <w:t>s</w:t>
      </w:r>
      <w:r w:rsidRPr="003901BA">
        <w:t xml:space="preserve"> of homelessness </w:t>
      </w:r>
      <w:r>
        <w:t>are not forced to rely o</w:t>
      </w:r>
      <w:r w:rsidRPr="003901BA">
        <w:t>n emergency accommodation</w:t>
      </w:r>
      <w:r>
        <w:t xml:space="preserve"> </w:t>
      </w:r>
      <w:r w:rsidRPr="003901BA">
        <w:t>for extended periods</w:t>
      </w:r>
      <w:r>
        <w:t xml:space="preserve"> and are instead</w:t>
      </w:r>
      <w:r w:rsidRPr="003901BA">
        <w:t xml:space="preserve"> provided access to secure and suitable </w:t>
      </w:r>
      <w:r>
        <w:t>permanent housing.</w:t>
      </w:r>
    </w:p>
    <w:p w14:paraId="6ED2D943" w14:textId="77777777" w:rsidR="00771D92" w:rsidRDefault="00771D92" w:rsidP="003B76A1">
      <w:pPr>
        <w:numPr>
          <w:ilvl w:val="0"/>
          <w:numId w:val="2"/>
        </w:numPr>
        <w:jc w:val="both"/>
      </w:pPr>
      <w:r>
        <w:t xml:space="preserve">States </w:t>
      </w:r>
      <w:r w:rsidRPr="003901BA">
        <w:t>should recognize diverse experiences of homelessness among different groups</w:t>
      </w:r>
      <w:r w:rsidRPr="003901BA">
        <w:rPr>
          <w:vertAlign w:val="superscript"/>
        </w:rPr>
        <w:footnoteReference w:id="48"/>
      </w:r>
      <w:r w:rsidRPr="003901BA">
        <w:t xml:space="preserve"> and provide to all persons in situation of homelessness access to emergency accommodation without discrimination on any grounds, including their migration status, nationality, ethnicity, gender, sexual orientation</w:t>
      </w:r>
      <w:r>
        <w:t>, disability (including mental health and addiction)</w:t>
      </w:r>
      <w:r w:rsidRPr="003901BA">
        <w:t xml:space="preserve"> or other status. </w:t>
      </w:r>
    </w:p>
    <w:p w14:paraId="29E5D6A1" w14:textId="77777777" w:rsidR="00771D92" w:rsidRDefault="00771D92" w:rsidP="003B76A1">
      <w:pPr>
        <w:numPr>
          <w:ilvl w:val="0"/>
          <w:numId w:val="2"/>
        </w:numPr>
        <w:jc w:val="both"/>
      </w:pPr>
      <w:r w:rsidRPr="003901BA">
        <w:t xml:space="preserve">States should prevent and </w:t>
      </w:r>
      <w:r>
        <w:t xml:space="preserve">eliminate </w:t>
      </w:r>
      <w:r w:rsidRPr="003901BA">
        <w:t>homelessness</w:t>
      </w:r>
      <w:r>
        <w:t xml:space="preserve"> among</w:t>
      </w:r>
      <w:r w:rsidRPr="003901BA">
        <w:t xml:space="preserve"> children and protect the rights of children in street situation as set by the Committee on the Rights of </w:t>
      </w:r>
      <w:r>
        <w:t>t</w:t>
      </w:r>
      <w:r w:rsidRPr="003901BA">
        <w:t>he Child in its General Comment no. 21.</w:t>
      </w:r>
      <w:r w:rsidRPr="003901BA">
        <w:rPr>
          <w:vertAlign w:val="superscript"/>
        </w:rPr>
        <w:footnoteReference w:id="49"/>
      </w:r>
      <w:r w:rsidRPr="003901BA">
        <w:t xml:space="preserve"> </w:t>
      </w:r>
    </w:p>
    <w:p w14:paraId="7167988E" w14:textId="77777777" w:rsidR="00A57E6B" w:rsidRDefault="00771D92" w:rsidP="003B76A1">
      <w:pPr>
        <w:numPr>
          <w:ilvl w:val="0"/>
          <w:numId w:val="2"/>
        </w:numPr>
        <w:jc w:val="both"/>
      </w:pPr>
      <w:r w:rsidRPr="003901BA">
        <w:t>Those who are homeless must be enabled to define their housing needs and participate</w:t>
      </w:r>
      <w:r>
        <w:t xml:space="preserve"> </w:t>
      </w:r>
      <w:r w:rsidRPr="003901BA">
        <w:t>in shaping the appropriate responses</w:t>
      </w:r>
      <w:r>
        <w:t xml:space="preserve"> and strategies</w:t>
      </w:r>
      <w:r w:rsidRPr="003901BA">
        <w:t xml:space="preserve"> </w:t>
      </w:r>
    </w:p>
    <w:p w14:paraId="2E547706" w14:textId="77777777" w:rsidR="00A57E6B" w:rsidRDefault="00A57E6B" w:rsidP="003B76A1">
      <w:pPr>
        <w:numPr>
          <w:ilvl w:val="0"/>
          <w:numId w:val="2"/>
        </w:numPr>
        <w:jc w:val="both"/>
      </w:pPr>
      <w:r>
        <w:t>“H</w:t>
      </w:r>
      <w:r w:rsidRPr="003901BA">
        <w:t>ousing first</w:t>
      </w:r>
      <w:r>
        <w:t>”</w:t>
      </w:r>
      <w:r w:rsidRPr="003901BA">
        <w:t xml:space="preserve"> approach</w:t>
      </w:r>
      <w:r>
        <w:t xml:space="preserve">es, </w:t>
      </w:r>
      <w:r w:rsidRPr="00A57E6B">
        <w:t>that cent</w:t>
      </w:r>
      <w:r>
        <w:t>re</w:t>
      </w:r>
      <w:r w:rsidRPr="00A57E6B">
        <w:t xml:space="preserve"> on quickly moving people experiencing homelessness into independent and permanent housing and then providing additional supports and services as needed</w:t>
      </w:r>
      <w:r>
        <w:t>, must be inclusive of all who are affected by homelessness, and</w:t>
      </w:r>
      <w:r w:rsidRPr="003901BA">
        <w:t xml:space="preserve"> accompanied by </w:t>
      </w:r>
      <w:r>
        <w:t xml:space="preserve">all </w:t>
      </w:r>
      <w:r w:rsidRPr="003901BA">
        <w:t>necessary supports</w:t>
      </w:r>
      <w:r>
        <w:t xml:space="preserve"> for as long as required for independent living.</w:t>
      </w:r>
    </w:p>
    <w:p w14:paraId="7966E955" w14:textId="77777777" w:rsidR="00771D92" w:rsidRPr="003901BA" w:rsidRDefault="00771D92" w:rsidP="003B76A1">
      <w:pPr>
        <w:numPr>
          <w:ilvl w:val="0"/>
          <w:numId w:val="2"/>
        </w:numPr>
        <w:jc w:val="both"/>
      </w:pPr>
      <w:r>
        <w:t>States should regularly collect and publish disag</w:t>
      </w:r>
      <w:r w:rsidR="00A57E6B">
        <w:t xml:space="preserve">gregated data on the number of </w:t>
      </w:r>
      <w:r>
        <w:t>persons living in differ</w:t>
      </w:r>
      <w:r w:rsidR="007B29FE">
        <w:t xml:space="preserve">ent situations of homelessness </w:t>
      </w:r>
      <w:r>
        <w:t>including not only rough sleeping but also less visible forms of homelessness, such as staying temporarily with friends or family. States should investigate factors leading to homelessness in order to design affective strategies for its prevention and elimination.</w:t>
      </w:r>
    </w:p>
    <w:p w14:paraId="038B7C6F" w14:textId="77777777" w:rsidR="006F6DAA" w:rsidRDefault="00771D92" w:rsidP="003B76A1">
      <w:pPr>
        <w:numPr>
          <w:ilvl w:val="0"/>
          <w:numId w:val="2"/>
        </w:numPr>
        <w:jc w:val="both"/>
      </w:pPr>
      <w:r w:rsidRPr="003901BA">
        <w:t xml:space="preserve">Any evictions that may result in homelessness must be prohibited and recognized under domestic law as a gross violation of human rights. </w:t>
      </w:r>
    </w:p>
    <w:p w14:paraId="7C125F01" w14:textId="19315836" w:rsidR="00581087" w:rsidRPr="00581087" w:rsidRDefault="00771D92" w:rsidP="003B76A1">
      <w:pPr>
        <w:numPr>
          <w:ilvl w:val="0"/>
          <w:numId w:val="2"/>
        </w:numPr>
        <w:jc w:val="both"/>
      </w:pPr>
      <w:r w:rsidRPr="003901BA">
        <w:t xml:space="preserve">States should establish preventive mechanism to avoid and reduce evictions of persons who are unable to pay their rent or their mortgages </w:t>
      </w:r>
      <w:r>
        <w:t>payments</w:t>
      </w:r>
      <w:r w:rsidRPr="003901BA">
        <w:t xml:space="preserve">, </w:t>
      </w:r>
      <w:r>
        <w:t xml:space="preserve">which should include legal and </w:t>
      </w:r>
      <w:r w:rsidRPr="003901BA">
        <w:t>debt counselling</w:t>
      </w:r>
      <w:r>
        <w:t xml:space="preserve">, </w:t>
      </w:r>
      <w:r w:rsidRPr="003901BA">
        <w:t xml:space="preserve">provision </w:t>
      </w:r>
      <w:r>
        <w:t xml:space="preserve">of temporary housing benefits to make up for short term liquidity problems, debt </w:t>
      </w:r>
      <w:r w:rsidRPr="003901BA">
        <w:t xml:space="preserve">rescheduling, </w:t>
      </w:r>
      <w:r>
        <w:t xml:space="preserve">and if required </w:t>
      </w:r>
      <w:r w:rsidRPr="003901BA">
        <w:t xml:space="preserve">relocation support to more affordable housing units meeting adequacy standards. </w:t>
      </w:r>
    </w:p>
    <w:p w14:paraId="67D3B6C0" w14:textId="77777777" w:rsidR="00581087" w:rsidRDefault="00581087" w:rsidP="00A90567">
      <w:pPr>
        <w:jc w:val="both"/>
        <w:rPr>
          <w:u w:val="single"/>
        </w:rPr>
      </w:pPr>
    </w:p>
    <w:p w14:paraId="4016DAA9" w14:textId="5773D326" w:rsidR="004818CC" w:rsidRPr="00230F08" w:rsidRDefault="004818CC" w:rsidP="009B3CE0">
      <w:pPr>
        <w:pStyle w:val="Heading2"/>
      </w:pPr>
      <w:bookmarkStart w:id="22" w:name="_Toc23200817"/>
      <w:bookmarkStart w:id="23" w:name="_Hlk22382574"/>
      <w:r w:rsidRPr="00230F08">
        <w:t xml:space="preserve">Guideline </w:t>
      </w:r>
      <w:r w:rsidR="00121444">
        <w:t>N</w:t>
      </w:r>
      <w:r w:rsidRPr="001E6253">
        <w:t>o.</w:t>
      </w:r>
      <w:r w:rsidRPr="00230F08">
        <w:t xml:space="preserve"> </w:t>
      </w:r>
      <w:r>
        <w:t>7</w:t>
      </w:r>
      <w:bookmarkEnd w:id="22"/>
    </w:p>
    <w:p w14:paraId="47CF6959" w14:textId="77777777" w:rsidR="004818CC" w:rsidRPr="001D6993" w:rsidRDefault="00581087" w:rsidP="009B3CE0">
      <w:pPr>
        <w:pStyle w:val="Heading3"/>
      </w:pPr>
      <w:bookmarkStart w:id="24" w:name="_Toc23200818"/>
      <w:r>
        <w:t>End</w:t>
      </w:r>
      <w:r w:rsidR="004818CC" w:rsidRPr="007E2A8E">
        <w:t xml:space="preserve"> criminalization and discrimination on the ground of homelessness or housing status</w:t>
      </w:r>
      <w:bookmarkEnd w:id="24"/>
    </w:p>
    <w:p w14:paraId="7B096102" w14:textId="77777777" w:rsidR="00581087" w:rsidRDefault="007A027A" w:rsidP="004818CC">
      <w:pPr>
        <w:jc w:val="both"/>
      </w:pPr>
      <w:r>
        <w:t>32.</w:t>
      </w:r>
      <w:r>
        <w:tab/>
      </w:r>
      <w:r w:rsidR="004818CC">
        <w:t>As noted in the Special Rapporteur’s thematic report, homelessness defines not only a deprivation of housing but also a social group that is subject to extreme forms of discrimination, stigmatization and criminalization</w:t>
      </w:r>
      <w:r>
        <w:t xml:space="preserve"> (A/HRC/31/54)</w:t>
      </w:r>
      <w:r w:rsidR="004818CC">
        <w:t xml:space="preserve">. Homeless persons are frequently depicted as morally inferior, even as vermin, subject to constant intimidation and harassment by authorities and the general public; denied access to places to shower, urinate or defecate; rounded up and driven from communities, or relocated to uninhabitable places; subject to extreme forms of violence, </w:t>
      </w:r>
      <w:r w:rsidR="004818CC">
        <w:lastRenderedPageBreak/>
        <w:t xml:space="preserve">including hate crimes trafficking and sexual exploitation. Informal housing status also constitutes a common basis for discrimination and stigmatization. </w:t>
      </w:r>
    </w:p>
    <w:p w14:paraId="31DB7639" w14:textId="77777777" w:rsidR="004818CC" w:rsidRDefault="007A027A" w:rsidP="004818CC">
      <w:pPr>
        <w:jc w:val="both"/>
      </w:pPr>
      <w:r>
        <w:t>33.</w:t>
      </w:r>
      <w:r>
        <w:tab/>
      </w:r>
      <w:r w:rsidR="00581087">
        <w:t>People living in poverty, and g</w:t>
      </w:r>
      <w:r w:rsidR="004818CC">
        <w:t>roups facing racial and other forms of discrimination are often forced to live in substandard housing in margin</w:t>
      </w:r>
      <w:r w:rsidR="00581087">
        <w:t>alized neighbourhoods or “slums”</w:t>
      </w:r>
      <w:r w:rsidR="004818CC">
        <w:t xml:space="preserve"> where they face </w:t>
      </w:r>
      <w:r w:rsidR="004818CC" w:rsidRPr="007E2A8E">
        <w:t xml:space="preserve">harassment </w:t>
      </w:r>
      <w:r w:rsidR="004818CC">
        <w:t>and</w:t>
      </w:r>
      <w:r w:rsidR="0055298F">
        <w:t xml:space="preserve"> violence from authorities and </w:t>
      </w:r>
      <w:r w:rsidR="004818CC">
        <w:t>frequently</w:t>
      </w:r>
      <w:r w:rsidR="004818CC" w:rsidRPr="007E2A8E">
        <w:t xml:space="preserve"> denied access to water, sanitation</w:t>
      </w:r>
      <w:r w:rsidR="004818CC">
        <w:t xml:space="preserve">, </w:t>
      </w:r>
      <w:r w:rsidR="004818CC" w:rsidRPr="007E2A8E">
        <w:t xml:space="preserve">health services and other basic necessities as an attempt to </w:t>
      </w:r>
      <w:r w:rsidR="004818CC">
        <w:t xml:space="preserve">drive </w:t>
      </w:r>
      <w:r w:rsidR="004818CC" w:rsidRPr="007E2A8E">
        <w:t xml:space="preserve">them from </w:t>
      </w:r>
      <w:r w:rsidR="004818CC">
        <w:t>their communities</w:t>
      </w:r>
      <w:r w:rsidR="004818CC" w:rsidRPr="007E2A8E">
        <w:t>.</w:t>
      </w:r>
      <w:r w:rsidR="004818CC" w:rsidRPr="00441EB4">
        <w:rPr>
          <w:vertAlign w:val="superscript"/>
        </w:rPr>
        <w:t xml:space="preserve"> </w:t>
      </w:r>
      <w:r w:rsidR="004818CC" w:rsidRPr="007E2A8E">
        <w:rPr>
          <w:vertAlign w:val="superscript"/>
        </w:rPr>
        <w:footnoteReference w:id="50"/>
      </w:r>
      <w:r w:rsidR="004818CC" w:rsidRPr="007E2A8E">
        <w:t xml:space="preserve">  </w:t>
      </w:r>
    </w:p>
    <w:p w14:paraId="4B534325" w14:textId="77777777" w:rsidR="004818CC" w:rsidRPr="007E2A8E" w:rsidRDefault="007A027A" w:rsidP="004818CC">
      <w:pPr>
        <w:jc w:val="both"/>
      </w:pPr>
      <w:r>
        <w:t>34.</w:t>
      </w:r>
      <w:r>
        <w:tab/>
      </w:r>
      <w:r w:rsidR="004818CC" w:rsidRPr="007E2A8E">
        <w:t>Rather than being treated as rights</w:t>
      </w:r>
      <w:r w:rsidR="004818CC">
        <w:t>-</w:t>
      </w:r>
      <w:r w:rsidR="004818CC" w:rsidRPr="007E2A8E">
        <w:t xml:space="preserve">holders entitled to remedies for serious violations of the right to housing, </w:t>
      </w:r>
      <w:r w:rsidR="004818CC">
        <w:t>those who are homeless or living in marginalized or informal communities</w:t>
      </w:r>
      <w:r w:rsidR="004818CC" w:rsidRPr="007E2A8E">
        <w:t xml:space="preserve"> are treated as violators of laws and “encroachers”</w:t>
      </w:r>
      <w:r w:rsidR="004818CC">
        <w:t>.</w:t>
      </w:r>
      <w:r w:rsidR="004818CC" w:rsidRPr="007E2A8E">
        <w:rPr>
          <w:vertAlign w:val="superscript"/>
        </w:rPr>
        <w:footnoteReference w:id="51"/>
      </w:r>
      <w:r w:rsidR="004818CC">
        <w:t xml:space="preserve"> </w:t>
      </w:r>
    </w:p>
    <w:p w14:paraId="5443C57F" w14:textId="77777777" w:rsidR="004818CC" w:rsidRDefault="007A027A" w:rsidP="004818CC">
      <w:pPr>
        <w:jc w:val="both"/>
      </w:pPr>
      <w:r>
        <w:t>35.</w:t>
      </w:r>
      <w:r>
        <w:tab/>
      </w:r>
      <w:r w:rsidR="004818CC" w:rsidRPr="007E2A8E">
        <w:t>The Committee on Economic Social and Cultural Rights</w:t>
      </w:r>
      <w:r w:rsidR="004818CC" w:rsidRPr="007E2A8E">
        <w:rPr>
          <w:vertAlign w:val="superscript"/>
        </w:rPr>
        <w:footnoteReference w:id="52"/>
      </w:r>
      <w:r w:rsidR="004818CC" w:rsidRPr="007E2A8E">
        <w:t xml:space="preserve"> </w:t>
      </w:r>
      <w:r w:rsidR="004818CC">
        <w:t xml:space="preserve">and </w:t>
      </w:r>
      <w:r w:rsidR="004818CC" w:rsidRPr="007E2A8E">
        <w:t>the Human Rights Committee ha</w:t>
      </w:r>
      <w:r w:rsidR="004818CC">
        <w:t>ve</w:t>
      </w:r>
      <w:r w:rsidR="004818CC" w:rsidRPr="007E2A8E">
        <w:t xml:space="preserve"> recognized distinctions based on socioeconomic status</w:t>
      </w:r>
      <w:r w:rsidR="004818CC">
        <w:t>, including homelessness,</w:t>
      </w:r>
      <w:r w:rsidR="004818CC" w:rsidRPr="007E2A8E">
        <w:t xml:space="preserve"> as a form of discrimination</w:t>
      </w:r>
      <w:r w:rsidR="004818CC">
        <w:t xml:space="preserve"> which must be prohibited in domestic law</w:t>
      </w:r>
      <w:r w:rsidR="004818CC" w:rsidRPr="007E2A8E">
        <w:t>.</w:t>
      </w:r>
      <w:r w:rsidR="004818CC" w:rsidRPr="007E2A8E">
        <w:rPr>
          <w:vertAlign w:val="superscript"/>
        </w:rPr>
        <w:footnoteReference w:id="53"/>
      </w:r>
      <w:r w:rsidR="004818CC" w:rsidRPr="007E2A8E">
        <w:t xml:space="preserve"> The Human Rights Council has called upon States to take all measures necessary to eliminate legislation that criminalizes homelessness and to ensure an effective remedy and the right to access to justice.</w:t>
      </w:r>
      <w:r w:rsidR="004818CC" w:rsidRPr="007E2A8E">
        <w:rPr>
          <w:vertAlign w:val="superscript"/>
        </w:rPr>
        <w:footnoteReference w:id="54"/>
      </w:r>
      <w:r w:rsidR="004818CC">
        <w:t xml:space="preserve">  States must put an end to all forms of criminalization and discrimination based on housing status and empower those who are homeless and living in ma</w:t>
      </w:r>
      <w:r w:rsidR="0055298F">
        <w:t xml:space="preserve">rginalized substandard housing </w:t>
      </w:r>
      <w:r w:rsidR="004818CC">
        <w:t>to redefine themselves as rights-holders,  based on their inherent dignity and rights</w:t>
      </w:r>
      <w:r w:rsidR="0055298F">
        <w:t>.</w:t>
      </w:r>
      <w:r w:rsidR="004818CC">
        <w:t xml:space="preserve"> </w:t>
      </w:r>
    </w:p>
    <w:p w14:paraId="46FC77EC" w14:textId="4D833B5C" w:rsidR="004818CC" w:rsidRPr="00945068" w:rsidRDefault="004818CC" w:rsidP="005F3828">
      <w:pPr>
        <w:rPr>
          <w:b/>
          <w:bCs/>
        </w:rPr>
      </w:pPr>
      <w:r w:rsidRPr="00945068">
        <w:rPr>
          <w:b/>
          <w:bCs/>
        </w:rPr>
        <w:t xml:space="preserve">Implementation </w:t>
      </w:r>
      <w:r w:rsidR="00121444" w:rsidRPr="00945068">
        <w:rPr>
          <w:b/>
          <w:bCs/>
        </w:rPr>
        <w:t>M</w:t>
      </w:r>
      <w:r w:rsidRPr="00945068">
        <w:rPr>
          <w:b/>
          <w:bCs/>
        </w:rPr>
        <w:t xml:space="preserve">easures: </w:t>
      </w:r>
    </w:p>
    <w:p w14:paraId="5E9169F5" w14:textId="77777777" w:rsidR="004818CC" w:rsidRPr="0023086B" w:rsidRDefault="004818CC" w:rsidP="003B76A1">
      <w:pPr>
        <w:pStyle w:val="ListParagraph"/>
        <w:numPr>
          <w:ilvl w:val="0"/>
          <w:numId w:val="3"/>
        </w:numPr>
        <w:spacing w:after="120"/>
        <w:ind w:left="714" w:hanging="357"/>
        <w:contextualSpacing w:val="0"/>
        <w:jc w:val="both"/>
      </w:pPr>
      <w:r w:rsidRPr="0023086B">
        <w:t xml:space="preserve">States should prohibit </w:t>
      </w:r>
      <w:r w:rsidR="00553E92">
        <w:t xml:space="preserve">in legislation </w:t>
      </w:r>
      <w:r w:rsidRPr="0023086B">
        <w:t>discrimination on the ground of socioeconomic status, including homelessness</w:t>
      </w:r>
      <w:r>
        <w:t xml:space="preserve">, </w:t>
      </w:r>
      <w:r w:rsidR="0055298F">
        <w:t xml:space="preserve">and </w:t>
      </w:r>
      <w:r w:rsidRPr="0023086B">
        <w:t>housing status</w:t>
      </w:r>
      <w:r w:rsidR="00553E92">
        <w:t xml:space="preserve">. Effective </w:t>
      </w:r>
      <w:r>
        <w:t xml:space="preserve">remedies </w:t>
      </w:r>
      <w:r w:rsidR="00553E92">
        <w:t>for discrimination based on these grounds must be guaranteed. In this regard, n</w:t>
      </w:r>
      <w:r>
        <w:t xml:space="preserve">ational human rights </w:t>
      </w:r>
      <w:r w:rsidR="00553E92">
        <w:t>institutions</w:t>
      </w:r>
      <w:r>
        <w:t xml:space="preserve">, ombudspersons and others bodies </w:t>
      </w:r>
      <w:r w:rsidR="00553E92">
        <w:t xml:space="preserve">must be mandated </w:t>
      </w:r>
      <w:r>
        <w:t>to monitor and combat discrimination against those who are homeless, living in precarious housing</w:t>
      </w:r>
      <w:r w:rsidR="0055298F">
        <w:t>, or i</w:t>
      </w:r>
      <w:r>
        <w:t xml:space="preserve">n socio-economically marginalized communities.  </w:t>
      </w:r>
    </w:p>
    <w:p w14:paraId="0B9AB1F3" w14:textId="77777777" w:rsidR="004818CC" w:rsidRPr="0023086B" w:rsidRDefault="004818CC" w:rsidP="003B76A1">
      <w:pPr>
        <w:pStyle w:val="ListParagraph"/>
        <w:numPr>
          <w:ilvl w:val="0"/>
          <w:numId w:val="3"/>
        </w:numPr>
        <w:spacing w:after="120"/>
        <w:ind w:left="714" w:hanging="357"/>
        <w:contextualSpacing w:val="0"/>
        <w:jc w:val="both"/>
      </w:pPr>
      <w:r w:rsidRPr="0023086B">
        <w:t xml:space="preserve"> </w:t>
      </w:r>
      <w:r>
        <w:t>A</w:t>
      </w:r>
      <w:r w:rsidRPr="0023086B">
        <w:t xml:space="preserve">ll laws </w:t>
      </w:r>
      <w:r>
        <w:t xml:space="preserve">and </w:t>
      </w:r>
      <w:r w:rsidRPr="0023086B">
        <w:t>measures</w:t>
      </w:r>
      <w:r>
        <w:t xml:space="preserve"> </w:t>
      </w:r>
      <w:r w:rsidRPr="0023086B">
        <w:t xml:space="preserve">that criminalize, impose fines on </w:t>
      </w:r>
      <w:r w:rsidRPr="007A027A">
        <w:t>restrict homeless people</w:t>
      </w:r>
      <w:r w:rsidRPr="0023086B">
        <w:t xml:space="preserve"> or behaviour associated with being homeless, such as sleeping or eating in public spaces</w:t>
      </w:r>
      <w:r w:rsidR="00153A47">
        <w:t xml:space="preserve"> including in motor vehicles</w:t>
      </w:r>
      <w:r w:rsidRPr="0023086B">
        <w:t xml:space="preserve">, must be immediately repealed. </w:t>
      </w:r>
    </w:p>
    <w:p w14:paraId="48A977DE" w14:textId="77777777" w:rsidR="004818CC" w:rsidRPr="0023086B" w:rsidRDefault="004818CC" w:rsidP="003B76A1">
      <w:pPr>
        <w:pStyle w:val="ListParagraph"/>
        <w:numPr>
          <w:ilvl w:val="0"/>
          <w:numId w:val="3"/>
        </w:numPr>
        <w:spacing w:after="120"/>
        <w:ind w:left="714" w:hanging="357"/>
        <w:contextualSpacing w:val="0"/>
        <w:jc w:val="both"/>
      </w:pPr>
      <w:r w:rsidRPr="0023086B">
        <w:t xml:space="preserve">Discriminatory practices, such us ‘deportation’ </w:t>
      </w:r>
      <w:r w:rsidR="00553E92">
        <w:t>or ‘clearance</w:t>
      </w:r>
      <w:r>
        <w:t xml:space="preserve">’ </w:t>
      </w:r>
      <w:r w:rsidRPr="0023086B">
        <w:t>of homeless</w:t>
      </w:r>
      <w:r>
        <w:t xml:space="preserve"> persons</w:t>
      </w:r>
      <w:r w:rsidRPr="0023086B">
        <w:t xml:space="preserve"> from city centres</w:t>
      </w:r>
      <w:r>
        <w:t>, confiscation of personal belongings, including sleeping bags or tents</w:t>
      </w:r>
      <w:r w:rsidR="00153A47">
        <w:t>,</w:t>
      </w:r>
      <w:r>
        <w:t xml:space="preserve"> </w:t>
      </w:r>
      <w:r w:rsidRPr="0023086B">
        <w:t>must be</w:t>
      </w:r>
      <w:r>
        <w:t xml:space="preserve"> prohibited. Forcing homeless persons against their will into shelters, hospitals, or detaining them in police custody must be prohibited and should only be authorised if strictly required to ensure the protection of the life, physical integrity, or health of the affected individual or that of other persons.</w:t>
      </w:r>
    </w:p>
    <w:p w14:paraId="28684928" w14:textId="77777777" w:rsidR="004818CC" w:rsidRDefault="004818CC" w:rsidP="003B76A1">
      <w:pPr>
        <w:pStyle w:val="ListParagraph"/>
        <w:numPr>
          <w:ilvl w:val="0"/>
          <w:numId w:val="3"/>
        </w:numPr>
        <w:spacing w:after="120"/>
        <w:ind w:left="714" w:hanging="357"/>
        <w:contextualSpacing w:val="0"/>
        <w:jc w:val="both"/>
      </w:pPr>
      <w:r w:rsidRPr="0023086B">
        <w:t xml:space="preserve">Punitive policies against residents of informal settlements, such as the suspension or denial of access to basic services, </w:t>
      </w:r>
      <w:r>
        <w:t xml:space="preserve">or other attempts to make the places they occupy uninhabitable </w:t>
      </w:r>
      <w:r w:rsidRPr="0023086B">
        <w:t xml:space="preserve">should be prohibited in law and immediately ceased. </w:t>
      </w:r>
    </w:p>
    <w:p w14:paraId="43CB3E46" w14:textId="77777777" w:rsidR="004818CC" w:rsidRDefault="004818CC" w:rsidP="003B76A1">
      <w:pPr>
        <w:pStyle w:val="ListParagraph"/>
        <w:numPr>
          <w:ilvl w:val="0"/>
          <w:numId w:val="3"/>
        </w:numPr>
        <w:spacing w:after="120"/>
        <w:ind w:left="714" w:hanging="357"/>
        <w:contextualSpacing w:val="0"/>
        <w:jc w:val="both"/>
      </w:pPr>
      <w:r>
        <w:lastRenderedPageBreak/>
        <w:t>Laws that protect people from interference with privacy and the home should recognize the rights of people whose homes are outside, including in tents, cars, in public spaces or in occupied buildings.</w:t>
      </w:r>
    </w:p>
    <w:p w14:paraId="6720ECDA" w14:textId="77777777" w:rsidR="004818CC" w:rsidRPr="00746395" w:rsidRDefault="004818CC" w:rsidP="003B76A1">
      <w:pPr>
        <w:pStyle w:val="ListParagraph"/>
        <w:numPr>
          <w:ilvl w:val="0"/>
          <w:numId w:val="3"/>
        </w:numPr>
        <w:spacing w:after="120"/>
        <w:ind w:left="714" w:hanging="357"/>
        <w:contextualSpacing w:val="0"/>
        <w:jc w:val="both"/>
      </w:pPr>
      <w:r>
        <w:t xml:space="preserve">Homeless persons and residents of informal settlements must be provided with access to justice both to challenge discrimination and criminalization and also to claim their right to adequate </w:t>
      </w:r>
      <w:r w:rsidRPr="00746395">
        <w:t>housing (see guideline no.</w:t>
      </w:r>
      <w:r w:rsidR="00746395" w:rsidRPr="00746395">
        <w:t xml:space="preserve"> 16</w:t>
      </w:r>
      <w:r w:rsidRPr="00746395">
        <w:t xml:space="preserve">) </w:t>
      </w:r>
      <w:r w:rsidRPr="00746395">
        <w:rPr>
          <w:vertAlign w:val="superscript"/>
        </w:rPr>
        <w:footnoteReference w:id="55"/>
      </w:r>
      <w:r w:rsidRPr="00746395">
        <w:rPr>
          <w:strike/>
        </w:rPr>
        <w:t xml:space="preserve"> </w:t>
      </w:r>
    </w:p>
    <w:p w14:paraId="752B56D6" w14:textId="77777777" w:rsidR="004818CC" w:rsidRDefault="004818CC" w:rsidP="003B76A1">
      <w:pPr>
        <w:pStyle w:val="ListParagraph"/>
        <w:numPr>
          <w:ilvl w:val="0"/>
          <w:numId w:val="3"/>
        </w:numPr>
        <w:spacing w:after="120"/>
        <w:ind w:left="714" w:hanging="357"/>
        <w:contextualSpacing w:val="0"/>
        <w:jc w:val="both"/>
      </w:pPr>
      <w:r>
        <w:t>Disproportionate rates of incarceration of those who are homeless should be addressed as a serious form of systemic discrimination within the justice system. States should provide, within their court system, alternative procedures for dealing with</w:t>
      </w:r>
      <w:r w:rsidR="00153A47">
        <w:t xml:space="preserve"> </w:t>
      </w:r>
      <w:r>
        <w:t xml:space="preserve">homeless people facing minor charges, </w:t>
      </w:r>
      <w:r w:rsidR="00153A47">
        <w:t>where</w:t>
      </w:r>
      <w:r>
        <w:t xml:space="preserve"> the primary object</w:t>
      </w:r>
      <w:r w:rsidR="006E7550">
        <w:t>ive</w:t>
      </w:r>
      <w:r>
        <w:t xml:space="preserve"> is to </w:t>
      </w:r>
      <w:r w:rsidR="006E7550">
        <w:t xml:space="preserve">secure their right to housing, and break out </w:t>
      </w:r>
      <w:r>
        <w:t xml:space="preserve">of the cycle of </w:t>
      </w:r>
      <w:r w:rsidR="00153A47">
        <w:t xml:space="preserve">criminalization, </w:t>
      </w:r>
      <w:r>
        <w:t xml:space="preserve">incarceration and homelessness.  </w:t>
      </w:r>
    </w:p>
    <w:bookmarkEnd w:id="11"/>
    <w:bookmarkEnd w:id="23"/>
    <w:p w14:paraId="1AAF424F" w14:textId="77777777" w:rsidR="007A027A" w:rsidRDefault="007A027A" w:rsidP="007278FD">
      <w:pPr>
        <w:jc w:val="both"/>
        <w:rPr>
          <w:b/>
          <w:bCs/>
          <w:u w:val="single"/>
        </w:rPr>
      </w:pPr>
    </w:p>
    <w:p w14:paraId="508FA033" w14:textId="6B954E7B" w:rsidR="007278FD" w:rsidRPr="001D6993" w:rsidRDefault="007278FD" w:rsidP="009B3CE0">
      <w:pPr>
        <w:pStyle w:val="Heading2"/>
      </w:pPr>
      <w:bookmarkStart w:id="25" w:name="_Toc23200819"/>
      <w:r w:rsidRPr="001D6993">
        <w:t xml:space="preserve">Guideline </w:t>
      </w:r>
      <w:r w:rsidR="00121444">
        <w:t>N</w:t>
      </w:r>
      <w:r w:rsidRPr="001D6993">
        <w:t>o. 8</w:t>
      </w:r>
      <w:bookmarkEnd w:id="25"/>
    </w:p>
    <w:p w14:paraId="310193A7" w14:textId="77777777" w:rsidR="00EE5F29" w:rsidRPr="000D79FC" w:rsidRDefault="00EE5F29" w:rsidP="009B3CE0">
      <w:pPr>
        <w:pStyle w:val="Heading3"/>
      </w:pPr>
      <w:bookmarkStart w:id="26" w:name="_Toc23200820"/>
      <w:r w:rsidRPr="000D79FC">
        <w:t>Clarify the obligations of</w:t>
      </w:r>
      <w:r>
        <w:t xml:space="preserve"> businesses in relation to the right to housing and address financialization of housing</w:t>
      </w:r>
      <w:bookmarkEnd w:id="26"/>
    </w:p>
    <w:p w14:paraId="248A4051" w14:textId="77777777" w:rsidR="00EE5F29" w:rsidRPr="006240A3" w:rsidRDefault="007A027A" w:rsidP="00EE5F29">
      <w:pPr>
        <w:jc w:val="both"/>
      </w:pPr>
      <w:r>
        <w:t>36.</w:t>
      </w:r>
      <w:r>
        <w:tab/>
      </w:r>
      <w:r w:rsidR="00EE5F29">
        <w:t xml:space="preserve">In current conditions, the realization of the right to housing significantly relies on the private sector. Private investors, businesses and individuals develop, build, sell or rent housing. Financial institutions provide access to credit. Private households purchase, build or improve their own housing, either formally or informally, and may then rent it to others. Without an increase in current levels of public expenditure, it is estimated that close to 85 percent of the cost of the additional housing required in rapidly expanding cities will have to </w:t>
      </w:r>
      <w:r w:rsidR="00EE5F29" w:rsidRPr="006240A3">
        <w:t>come from the private</w:t>
      </w:r>
      <w:r w:rsidR="00EE5F29">
        <w:t xml:space="preserve"> </w:t>
      </w:r>
      <w:r w:rsidR="00EE5F29" w:rsidRPr="006240A3">
        <w:t>sector.</w:t>
      </w:r>
      <w:r w:rsidR="00EE5F29" w:rsidRPr="006240A3">
        <w:rPr>
          <w:rStyle w:val="FootnoteReference"/>
        </w:rPr>
        <w:footnoteReference w:id="56"/>
      </w:r>
      <w:r w:rsidR="00EE5F29" w:rsidRPr="006240A3">
        <w:t xml:space="preserve">  </w:t>
      </w:r>
    </w:p>
    <w:p w14:paraId="66D22450" w14:textId="77777777" w:rsidR="00EE5F29" w:rsidRPr="00B45959" w:rsidRDefault="007A027A" w:rsidP="00EE5F29">
      <w:pPr>
        <w:jc w:val="both"/>
      </w:pPr>
      <w:r>
        <w:t>37.</w:t>
      </w:r>
      <w:r>
        <w:tab/>
      </w:r>
      <w:r w:rsidR="00EE5F29" w:rsidRPr="006240A3">
        <w:t>Over the last 20 years</w:t>
      </w:r>
      <w:r w:rsidR="00EE5F29">
        <w:t xml:space="preserve"> </w:t>
      </w:r>
      <w:r w:rsidR="00EE5F29" w:rsidRPr="006240A3">
        <w:t xml:space="preserve">large-scale private investment in housing has </w:t>
      </w:r>
      <w:r w:rsidR="00EE5F29">
        <w:t xml:space="preserve">served more affluent populations – diminishing existing affordable housing stock and creating new investor-driven stock that is beyond the reach of low and middle-income households. </w:t>
      </w:r>
      <w:r w:rsidR="00EE5F29" w:rsidRPr="007A24A4">
        <w:rPr>
          <w:bCs/>
        </w:rPr>
        <w:t xml:space="preserve">Housing has become the ‘commodity of choice’ for corporate finance, a security for financial instruments that are traded </w:t>
      </w:r>
      <w:r w:rsidR="00EE5F29">
        <w:rPr>
          <w:bCs/>
        </w:rPr>
        <w:t xml:space="preserve">remotely </w:t>
      </w:r>
      <w:r w:rsidR="00EE5F29" w:rsidRPr="007A24A4">
        <w:rPr>
          <w:bCs/>
        </w:rPr>
        <w:t>on global markets.</w:t>
      </w:r>
      <w:r w:rsidR="00EE5F29" w:rsidRPr="007A24A4">
        <w:rPr>
          <w:bCs/>
          <w:vertAlign w:val="superscript"/>
        </w:rPr>
        <w:footnoteReference w:id="57"/>
      </w:r>
      <w:r w:rsidR="00EE5F29" w:rsidRPr="007A24A4">
        <w:rPr>
          <w:bCs/>
        </w:rPr>
        <w:t xml:space="preserve"> </w:t>
      </w:r>
      <w:r w:rsidR="00EE5F29">
        <w:rPr>
          <w:bCs/>
        </w:rPr>
        <w:t xml:space="preserve">Private equity firms, pension funds and real estate investment trusts buy up massive amounts of housing, sometimes </w:t>
      </w:r>
      <w:r w:rsidR="00EE5F29" w:rsidRPr="007A24A4">
        <w:rPr>
          <w:bCs/>
        </w:rPr>
        <w:t xml:space="preserve">entire </w:t>
      </w:r>
      <w:r w:rsidR="00EE5F29">
        <w:rPr>
          <w:bCs/>
        </w:rPr>
        <w:t>neighbourhoods, in which lower income households live, usually raising rents or redeveloping communities in order to create housing for more affluent households, causing irreparable damage</w:t>
      </w:r>
      <w:r w:rsidR="00EE5F29" w:rsidRPr="007A24A4">
        <w:rPr>
          <w:bCs/>
        </w:rPr>
        <w:t xml:space="preserve"> to </w:t>
      </w:r>
      <w:r w:rsidR="00EE5F29">
        <w:rPr>
          <w:bCs/>
        </w:rPr>
        <w:t>communities</w:t>
      </w:r>
      <w:r w:rsidR="00EE5F29" w:rsidRPr="00B45959">
        <w:rPr>
          <w:bCs/>
        </w:rPr>
        <w:t xml:space="preserve">. </w:t>
      </w:r>
      <w:r w:rsidR="00EE5F29" w:rsidRPr="00B45959">
        <w:t xml:space="preserve">Investors seeking short-term profit through speculation and “flipping”, or using residential real estate </w:t>
      </w:r>
      <w:r w:rsidR="00EE5F29">
        <w:t xml:space="preserve">to hide ill-gotten gains, has resulted in needed homes standing </w:t>
      </w:r>
      <w:r w:rsidR="00EE5F29" w:rsidRPr="00B45959">
        <w:t>vacant.</w:t>
      </w:r>
      <w:r w:rsidR="00EE5F29" w:rsidRPr="00B45959">
        <w:rPr>
          <w:rStyle w:val="FootnoteReference"/>
        </w:rPr>
        <w:footnoteReference w:id="58"/>
      </w:r>
    </w:p>
    <w:p w14:paraId="26C7F671" w14:textId="77777777" w:rsidR="00EE5F29" w:rsidRPr="007A24A4" w:rsidRDefault="007A027A" w:rsidP="00EE5F29">
      <w:pPr>
        <w:jc w:val="both"/>
        <w:rPr>
          <w:bCs/>
        </w:rPr>
      </w:pPr>
      <w:r>
        <w:t>38.</w:t>
      </w:r>
      <w:r>
        <w:tab/>
      </w:r>
      <w:r w:rsidR="00EE5F29">
        <w:t xml:space="preserve">Housing and financial markets that determine what investments are most profitable, however, are </w:t>
      </w:r>
      <w:r w:rsidR="00EE5F29" w:rsidRPr="007A24A4">
        <w:rPr>
          <w:bCs/>
        </w:rPr>
        <w:t>created and sustained by Governments</w:t>
      </w:r>
      <w:r w:rsidR="00EE5F29">
        <w:rPr>
          <w:bCs/>
        </w:rPr>
        <w:t>. It is States</w:t>
      </w:r>
      <w:r w:rsidR="00EE5F29">
        <w:t xml:space="preserve"> that have failed to ensure that investment produces housing that people need and can afford.</w:t>
      </w:r>
      <w:r w:rsidR="00EE5F29">
        <w:rPr>
          <w:rStyle w:val="FootnoteReference"/>
          <w:bCs/>
        </w:rPr>
        <w:footnoteReference w:id="59"/>
      </w:r>
      <w:r w:rsidR="00EE5F29">
        <w:rPr>
          <w:bCs/>
        </w:rPr>
        <w:t xml:space="preserve"> They have provided tax breaks to real estate speculators, “golden visas” to encourage foreign investors to buy up scarce housing, deregulated markets to allow rents to rise and encouraged urban development that primarily produces housing </w:t>
      </w:r>
      <w:r w:rsidR="00EE5F29">
        <w:rPr>
          <w:bCs/>
        </w:rPr>
        <w:lastRenderedPageBreak/>
        <w:t>for the wealthy. All of this must change if private investment is going to be harnessed for the realization of the right to housing.</w:t>
      </w:r>
    </w:p>
    <w:p w14:paraId="60461DAC" w14:textId="77777777" w:rsidR="00EE5F29" w:rsidRDefault="007A027A" w:rsidP="00EE5F29">
      <w:pPr>
        <w:jc w:val="both"/>
        <w:rPr>
          <w:bCs/>
        </w:rPr>
      </w:pPr>
      <w:r>
        <w:rPr>
          <w:bCs/>
        </w:rPr>
        <w:t>39.</w:t>
      </w:r>
      <w:r>
        <w:rPr>
          <w:bCs/>
        </w:rPr>
        <w:tab/>
      </w:r>
      <w:r w:rsidR="00EE5F29" w:rsidRPr="007A24A4">
        <w:rPr>
          <w:bCs/>
        </w:rPr>
        <w:t xml:space="preserve">The CESCR has emphasised that States should regulate </w:t>
      </w:r>
      <w:r w:rsidR="00EE5F29">
        <w:rPr>
          <w:bCs/>
        </w:rPr>
        <w:t xml:space="preserve">and direct investment and business activity in </w:t>
      </w:r>
      <w:r w:rsidR="00EE5F29" w:rsidRPr="007A24A4">
        <w:rPr>
          <w:bCs/>
        </w:rPr>
        <w:t>the real estate market and</w:t>
      </w:r>
      <w:r w:rsidR="00EE5F29">
        <w:rPr>
          <w:bCs/>
        </w:rPr>
        <w:t xml:space="preserve"> financial markets by </w:t>
      </w:r>
      <w:r w:rsidR="00EE5F29" w:rsidRPr="007A24A4">
        <w:t>adopt</w:t>
      </w:r>
      <w:r w:rsidR="00EE5F29">
        <w:t>ing</w:t>
      </w:r>
      <w:r w:rsidR="00EE5F29" w:rsidRPr="007A24A4">
        <w:t xml:space="preserve"> “legislative, administrative, educational and other appropriate measures” </w:t>
      </w:r>
      <w:r w:rsidR="00EE5F29">
        <w:t>to ensure that businesses</w:t>
      </w:r>
      <w:r w:rsidR="00EE5F29" w:rsidRPr="007A24A4">
        <w:t xml:space="preserve"> </w:t>
      </w:r>
      <w:r w:rsidR="00EE5F29">
        <w:t xml:space="preserve">contribute to and </w:t>
      </w:r>
      <w:r w:rsidR="00EE5F29" w:rsidRPr="007A24A4">
        <w:t>do not undermine, the realization of the right to housing.</w:t>
      </w:r>
      <w:r w:rsidR="00EE5F29" w:rsidRPr="007A24A4">
        <w:rPr>
          <w:vertAlign w:val="superscript"/>
        </w:rPr>
        <w:footnoteReference w:id="60"/>
      </w:r>
      <w:r w:rsidR="00EE5F29">
        <w:rPr>
          <w:bCs/>
        </w:rPr>
        <w:t xml:space="preserve"> This means regulating and engaging with businesses and investors in a different way than is usually understood by requirements of corporate “due diligence” to avoid harm or negative human rights impact, as described in the </w:t>
      </w:r>
      <w:r w:rsidR="00EE5F29" w:rsidRPr="00A22071">
        <w:rPr>
          <w:bCs/>
        </w:rPr>
        <w:t>Guiding Principles on Business and Human Rights</w:t>
      </w:r>
      <w:r w:rsidR="00EE5F29">
        <w:rPr>
          <w:bCs/>
        </w:rPr>
        <w:t xml:space="preserve"> (</w:t>
      </w:r>
      <w:r w:rsidR="00EE5F29" w:rsidRPr="00A22071">
        <w:rPr>
          <w:bCs/>
        </w:rPr>
        <w:t>UN Doc. HR/PUB/11/04</w:t>
      </w:r>
      <w:r w:rsidR="00EE5F29">
        <w:rPr>
          <w:bCs/>
        </w:rPr>
        <w:t xml:space="preserve">).  </w:t>
      </w:r>
    </w:p>
    <w:p w14:paraId="7CED3A67" w14:textId="77777777" w:rsidR="00EE5F29" w:rsidRPr="00F8215A" w:rsidRDefault="007B1D5C" w:rsidP="00EE5F29">
      <w:pPr>
        <w:jc w:val="both"/>
        <w:rPr>
          <w:bCs/>
        </w:rPr>
      </w:pPr>
      <w:r>
        <w:rPr>
          <w:bCs/>
        </w:rPr>
        <w:t>40.</w:t>
      </w:r>
      <w:r>
        <w:rPr>
          <w:bCs/>
        </w:rPr>
        <w:tab/>
      </w:r>
      <w:r w:rsidR="00EE5F29">
        <w:rPr>
          <w:bCs/>
        </w:rPr>
        <w:t>The obligations that States must impose on businesses directly involved in the development or ownership of housing are different in kind from those that apply to businesses that are not involved in providing for a human right. In</w:t>
      </w:r>
      <w:r w:rsidR="00EE5F29">
        <w:t xml:space="preserve"> the case of businesses that are not directly involved in housing, States must ensure that they do not interfere with or harm the enjoyment of the right to housing by, for example, forcibly evicting residents. In the case of investors and developers engaged in the human rights area of housing, however, States must ensure not only that they do no harm, but also that their actions contribute to the progressive realization of the right to housing. The State may require them, for example, to include affordable housing in developments, to ensure that housing is not left vacant, or to redirect some of the profits made from more expensive housing to providing affordable housing.</w:t>
      </w:r>
      <w:r w:rsidR="00EE5F29">
        <w:rPr>
          <w:rStyle w:val="FootnoteReference"/>
        </w:rPr>
        <w:footnoteReference w:id="61"/>
      </w:r>
      <w:r w:rsidR="00EE5F29" w:rsidRPr="007A24A4">
        <w:t xml:space="preserve"> </w:t>
      </w:r>
    </w:p>
    <w:p w14:paraId="33E68957" w14:textId="77777777" w:rsidR="00EE5F29" w:rsidRDefault="007B1D5C" w:rsidP="00EE5F29">
      <w:pPr>
        <w:jc w:val="both"/>
      </w:pPr>
      <w:r>
        <w:t>41.</w:t>
      </w:r>
      <w:r>
        <w:tab/>
      </w:r>
      <w:r w:rsidR="00EE5F29">
        <w:t xml:space="preserve">In addition to regulatory measures, governments should also engage constructively with businesses and private actors to promote and facilitate business activities that contribute to the realization of the right to housing. The important role of private households in producing and upgrading housing must also be supported.  </w:t>
      </w:r>
    </w:p>
    <w:p w14:paraId="2E2F9544" w14:textId="5425408D" w:rsidR="00EE5F29" w:rsidRPr="00945068" w:rsidRDefault="00EE5F29" w:rsidP="005F3828">
      <w:pPr>
        <w:rPr>
          <w:b/>
          <w:bCs/>
        </w:rPr>
      </w:pPr>
      <w:r w:rsidRPr="00945068">
        <w:rPr>
          <w:b/>
          <w:bCs/>
        </w:rPr>
        <w:t>Implementation Measures</w:t>
      </w:r>
      <w:r w:rsidR="009B3CE0" w:rsidRPr="00945068">
        <w:rPr>
          <w:b/>
          <w:bCs/>
        </w:rPr>
        <w:t>:</w:t>
      </w:r>
      <w:r w:rsidRPr="00945068">
        <w:rPr>
          <w:b/>
          <w:bCs/>
        </w:rPr>
        <w:t xml:space="preserve"> </w:t>
      </w:r>
    </w:p>
    <w:p w14:paraId="6940145F" w14:textId="77777777" w:rsidR="00EE5F29" w:rsidRDefault="00EE5F29" w:rsidP="003B76A1">
      <w:pPr>
        <w:pStyle w:val="ListParagraph"/>
        <w:numPr>
          <w:ilvl w:val="0"/>
          <w:numId w:val="7"/>
        </w:numPr>
        <w:spacing w:after="120"/>
        <w:contextualSpacing w:val="0"/>
        <w:jc w:val="both"/>
      </w:pPr>
      <w:r w:rsidRPr="00746395">
        <w:t>States should require full disclosure of all investments in residential housing. Local, national</w:t>
      </w:r>
      <w:r>
        <w:t xml:space="preserve"> and international supervisory and monitoring bodies should be created, with adequate powers, to monitor and investigate business and private investor activity in housing markets. States must take appropriate measures to ensure that this activity furthers and does not undermine the realization of the right to housing. </w:t>
      </w:r>
    </w:p>
    <w:p w14:paraId="586E332D" w14:textId="77777777" w:rsidR="00EE5F29" w:rsidRDefault="00EE5F29" w:rsidP="003B76A1">
      <w:pPr>
        <w:pStyle w:val="ListParagraph"/>
        <w:numPr>
          <w:ilvl w:val="0"/>
          <w:numId w:val="7"/>
        </w:numPr>
        <w:spacing w:after="120"/>
        <w:ind w:left="714" w:hanging="357"/>
        <w:contextualSpacing w:val="0"/>
        <w:jc w:val="both"/>
      </w:pPr>
      <w:r>
        <w:t>States should require review and analysis of any development or business plans that may significantly impact the right to housing of multiple households and require any changes necessary to further the right to housing.</w:t>
      </w:r>
      <w:r w:rsidRPr="007A24A4">
        <w:rPr>
          <w:vertAlign w:val="superscript"/>
        </w:rPr>
        <w:footnoteReference w:id="62"/>
      </w:r>
    </w:p>
    <w:p w14:paraId="311D440B" w14:textId="77777777" w:rsidR="00EE5F29" w:rsidRDefault="00EE5F29" w:rsidP="003B76A1">
      <w:pPr>
        <w:pStyle w:val="ListParagraph"/>
        <w:numPr>
          <w:ilvl w:val="0"/>
          <w:numId w:val="7"/>
        </w:numPr>
        <w:spacing w:after="120"/>
        <w:ind w:left="714" w:hanging="357"/>
        <w:contextualSpacing w:val="0"/>
        <w:jc w:val="both"/>
      </w:pPr>
      <w:r>
        <w:t xml:space="preserve">There are a number of measures </w:t>
      </w:r>
      <w:r w:rsidRPr="007A24A4">
        <w:t xml:space="preserve">States </w:t>
      </w:r>
      <w:r>
        <w:t xml:space="preserve">could take to ensure that private investment and housing </w:t>
      </w:r>
      <w:r w:rsidRPr="007B1D5C">
        <w:t>related business activity is consistent</w:t>
      </w:r>
      <w:r>
        <w:t xml:space="preserve"> with the implementation of the right to housing, including: i/adjusting taxation measures to incentivise affordable housing and discourage speculation or vacant ownership of housing or lands; ii/ </w:t>
      </w:r>
      <w:r w:rsidRPr="00644DC0">
        <w:t>enabl</w:t>
      </w:r>
      <w:r>
        <w:t>ing</w:t>
      </w:r>
      <w:r w:rsidRPr="00644DC0">
        <w:t xml:space="preserve"> </w:t>
      </w:r>
      <w:r>
        <w:t xml:space="preserve">access to </w:t>
      </w:r>
      <w:r w:rsidRPr="00644DC0">
        <w:t>land</w:t>
      </w:r>
      <w:r>
        <w:t xml:space="preserve"> for needed housing; iii/making affordable materials available for environmentally sustainable housing construction; iv/maintaining a</w:t>
      </w:r>
      <w:r w:rsidRPr="00644DC0">
        <w:t xml:space="preserve"> rental regulatory framew</w:t>
      </w:r>
      <w:r>
        <w:t>ork that creates a predictable income stream for landlords but preserves security of tenure and affordable housing for tenants, including through rent caps or controls;</w:t>
      </w:r>
      <w:r w:rsidRPr="00644DC0">
        <w:t xml:space="preserve"> </w:t>
      </w:r>
      <w:r>
        <w:t xml:space="preserve">v/enabling </w:t>
      </w:r>
      <w:r w:rsidRPr="00644DC0">
        <w:t xml:space="preserve">innovative financing models </w:t>
      </w:r>
      <w:r>
        <w:t xml:space="preserve">for affordable </w:t>
      </w:r>
      <w:r>
        <w:lastRenderedPageBreak/>
        <w:t xml:space="preserve">housing or </w:t>
      </w:r>
      <w:r w:rsidRPr="00644DC0">
        <w:t>upgrading</w:t>
      </w:r>
      <w:r>
        <w:t>;</w:t>
      </w:r>
      <w:r w:rsidRPr="00644DC0">
        <w:t xml:space="preserve"> </w:t>
      </w:r>
      <w:r>
        <w:t xml:space="preserve">vi/encouraging alternatives to individual ownership </w:t>
      </w:r>
      <w:r w:rsidRPr="002F737B">
        <w:t xml:space="preserve"> </w:t>
      </w:r>
      <w:r>
        <w:t xml:space="preserve">through </w:t>
      </w:r>
      <w:r w:rsidRPr="002F737B">
        <w:t xml:space="preserve">shared ownership, social production of housing and </w:t>
      </w:r>
      <w:r>
        <w:t xml:space="preserve">or </w:t>
      </w:r>
      <w:r w:rsidRPr="002F737B">
        <w:t>recognizing housing</w:t>
      </w:r>
      <w:r>
        <w:t xml:space="preserve"> and land</w:t>
      </w:r>
      <w:r w:rsidRPr="002F737B">
        <w:t xml:space="preserve"> as commons</w:t>
      </w:r>
      <w:r>
        <w:t>.</w:t>
      </w:r>
    </w:p>
    <w:p w14:paraId="79465AC7" w14:textId="77777777" w:rsidR="00EE5F29" w:rsidRDefault="00EE5F29" w:rsidP="003B76A1">
      <w:pPr>
        <w:pStyle w:val="ListParagraph"/>
        <w:numPr>
          <w:ilvl w:val="0"/>
          <w:numId w:val="7"/>
        </w:numPr>
        <w:spacing w:after="120"/>
        <w:ind w:left="714" w:hanging="357"/>
        <w:contextualSpacing w:val="0"/>
        <w:jc w:val="both"/>
      </w:pPr>
      <w:r>
        <w:t>To address the impact of large investors on housing markets, States could: i/ remove preferential t</w:t>
      </w:r>
      <w:r w:rsidRPr="002F737B">
        <w:t>ax breaks provided to real estate investment trusts</w:t>
      </w:r>
      <w:r>
        <w:t xml:space="preserve">; ii/ impose a cap </w:t>
      </w:r>
      <w:r w:rsidRPr="002F737B">
        <w:t>on the number of housing units a single firm may purchase in a particular area</w:t>
      </w:r>
      <w:r>
        <w:t xml:space="preserve">; iii/require the development of binding, human rights compliant </w:t>
      </w:r>
      <w:r w:rsidRPr="002F737B">
        <w:t xml:space="preserve">“social benefits agreements” with existing residents </w:t>
      </w:r>
      <w:r>
        <w:t xml:space="preserve">or civil society organizations </w:t>
      </w:r>
      <w:r w:rsidRPr="002F737B">
        <w:t>before any development is approved</w:t>
      </w:r>
      <w:r>
        <w:t xml:space="preserve">; iv/issuing directives for </w:t>
      </w:r>
      <w:r w:rsidRPr="002F737B">
        <w:t>pension funds and other investors</w:t>
      </w:r>
      <w:r>
        <w:t xml:space="preserve"> to undertake human rights impact assessments of proposed investment on the right to housing prior to investments being approved. </w:t>
      </w:r>
    </w:p>
    <w:p w14:paraId="247A4306" w14:textId="77777777" w:rsidR="00EE5F29" w:rsidRDefault="00EE5F29" w:rsidP="003B76A1">
      <w:pPr>
        <w:pStyle w:val="ListParagraph"/>
        <w:numPr>
          <w:ilvl w:val="0"/>
          <w:numId w:val="7"/>
        </w:numPr>
        <w:spacing w:after="120"/>
        <w:ind w:left="714" w:hanging="357"/>
        <w:contextualSpacing w:val="0"/>
        <w:jc w:val="both"/>
      </w:pPr>
      <w:r>
        <w:t>States should take all necessary measures to prevent money laundering and tax evasion through investment in housing and real estate.</w:t>
      </w:r>
      <w:r w:rsidR="00746395">
        <w:rPr>
          <w:rStyle w:val="FootnoteReference"/>
        </w:rPr>
        <w:footnoteReference w:id="63"/>
      </w:r>
      <w:r>
        <w:t xml:space="preserve"> </w:t>
      </w:r>
    </w:p>
    <w:p w14:paraId="5919C501" w14:textId="77777777" w:rsidR="00EE5F29" w:rsidRDefault="00EE5F29" w:rsidP="003B76A1">
      <w:pPr>
        <w:pStyle w:val="ListParagraph"/>
        <w:numPr>
          <w:ilvl w:val="0"/>
          <w:numId w:val="7"/>
        </w:numPr>
        <w:spacing w:after="120"/>
        <w:ind w:left="714" w:hanging="357"/>
        <w:contextualSpacing w:val="0"/>
        <w:jc w:val="both"/>
      </w:pPr>
      <w:r w:rsidRPr="002F737B">
        <w:t xml:space="preserve">States should refrain from </w:t>
      </w:r>
      <w:r>
        <w:t xml:space="preserve">the </w:t>
      </w:r>
      <w:r w:rsidRPr="002F737B">
        <w:t xml:space="preserve">privatization of social housing </w:t>
      </w:r>
      <w:r>
        <w:t xml:space="preserve">where it would </w:t>
      </w:r>
      <w:r w:rsidRPr="002F737B">
        <w:t>reduce the capacity of the State to</w:t>
      </w:r>
      <w:r>
        <w:t xml:space="preserve"> fulfil the right to housing. </w:t>
      </w:r>
      <w:r w:rsidRPr="002F737B">
        <w:t xml:space="preserve">Likewise, States should avoid changing social housing units into housing that can be sold on the market and made subject to speculation and excessive rent increases. </w:t>
      </w:r>
    </w:p>
    <w:p w14:paraId="5315B98D" w14:textId="77777777" w:rsidR="00EE5F29" w:rsidRDefault="00EE5F29" w:rsidP="003B76A1">
      <w:pPr>
        <w:pStyle w:val="ListParagraph"/>
        <w:numPr>
          <w:ilvl w:val="0"/>
          <w:numId w:val="7"/>
        </w:numPr>
        <w:spacing w:after="120"/>
        <w:contextualSpacing w:val="0"/>
        <w:jc w:val="both"/>
      </w:pPr>
      <w:r>
        <w:t xml:space="preserve">States should ensure that all public-private partnerships in housing are subject to both initial and ongoing review for consistency with the State’s obligations to respect, protect and fulfil the right to housing. Where inconsistencies are found, they should be rectified in a manner that promotes the right to housing. </w:t>
      </w:r>
    </w:p>
    <w:p w14:paraId="516603CA" w14:textId="77777777" w:rsidR="00EE5F29" w:rsidRPr="002F737B" w:rsidRDefault="00EE5F29" w:rsidP="003B76A1">
      <w:pPr>
        <w:pStyle w:val="ListParagraph"/>
        <w:numPr>
          <w:ilvl w:val="0"/>
          <w:numId w:val="7"/>
        </w:numPr>
        <w:spacing w:after="120"/>
        <w:contextualSpacing w:val="0"/>
        <w:jc w:val="both"/>
      </w:pPr>
      <w:r>
        <w:t>Banks and other lenders should be required to remove barriers to access to credit for women, young families, residents of informal settlements and others in need of housing financing.</w:t>
      </w:r>
    </w:p>
    <w:p w14:paraId="589D23E0" w14:textId="59830346" w:rsidR="00EE5F29" w:rsidRDefault="00771525" w:rsidP="003B76A1">
      <w:pPr>
        <w:pStyle w:val="ListParagraph"/>
        <w:numPr>
          <w:ilvl w:val="0"/>
          <w:numId w:val="7"/>
        </w:numPr>
        <w:spacing w:after="120"/>
        <w:contextualSpacing w:val="0"/>
        <w:jc w:val="both"/>
      </w:pPr>
      <w:r>
        <w:t>C</w:t>
      </w:r>
      <w:r w:rsidR="00EE5F29" w:rsidRPr="002F737B">
        <w:t xml:space="preserve">onsideration should be given to developing specific guidelines for financial actors in the housing market, covering real estate investment funds, pension funds, and other business actors involved in the acquisition and sale of housing, at both national and international level.  </w:t>
      </w:r>
    </w:p>
    <w:p w14:paraId="13C055FF" w14:textId="77777777" w:rsidR="00EE5F29" w:rsidRPr="002F737B" w:rsidRDefault="00EE5F29" w:rsidP="003B76A1">
      <w:pPr>
        <w:pStyle w:val="ListParagraph"/>
        <w:numPr>
          <w:ilvl w:val="0"/>
          <w:numId w:val="7"/>
        </w:numPr>
        <w:spacing w:after="120"/>
        <w:contextualSpacing w:val="0"/>
        <w:jc w:val="both"/>
      </w:pPr>
      <w:r w:rsidRPr="002F737B">
        <w:t>States should review all laws and policies related to foreclosure, indebtedness and housing, to ensure consistency with the right to adequate housing, including the obligation to prevent any eviction resulting in homelessness</w:t>
      </w:r>
      <w:r>
        <w:t xml:space="preserve"> as is consistent with international human rights law</w:t>
      </w:r>
      <w:r w:rsidRPr="002F737B">
        <w:t>.</w:t>
      </w:r>
      <w:r>
        <w:rPr>
          <w:rStyle w:val="FootnoteReference"/>
        </w:rPr>
        <w:footnoteReference w:id="64"/>
      </w:r>
      <w:r w:rsidRPr="002F737B">
        <w:t xml:space="preserve"> </w:t>
      </w:r>
    </w:p>
    <w:p w14:paraId="54AFE470" w14:textId="77777777" w:rsidR="00EE5F29" w:rsidRDefault="00EE5F29" w:rsidP="00EE5F29"/>
    <w:p w14:paraId="7ADB7D7E" w14:textId="59F0B7FF" w:rsidR="00EE5F29" w:rsidRPr="00EE5F29" w:rsidRDefault="00E95A7E" w:rsidP="009B3CE0">
      <w:pPr>
        <w:pStyle w:val="Heading2"/>
      </w:pPr>
      <w:bookmarkStart w:id="27" w:name="_Toc23200821"/>
      <w:r>
        <w:br w:type="column"/>
      </w:r>
      <w:r w:rsidR="00EE5F29" w:rsidRPr="00EE5F29">
        <w:lastRenderedPageBreak/>
        <w:t>Guideline No. 9</w:t>
      </w:r>
      <w:bookmarkEnd w:id="27"/>
      <w:r w:rsidR="00EE5F29" w:rsidRPr="00EE5F29">
        <w:t xml:space="preserve"> </w:t>
      </w:r>
    </w:p>
    <w:p w14:paraId="516A3EB0" w14:textId="77777777" w:rsidR="007278FD" w:rsidRPr="004A176D" w:rsidRDefault="007278FD" w:rsidP="009B3CE0">
      <w:pPr>
        <w:pStyle w:val="Heading3"/>
      </w:pPr>
      <w:bookmarkStart w:id="28" w:name="_Toc23200822"/>
      <w:r w:rsidRPr="004A176D">
        <w:t>Ensure the right to housing for migrants</w:t>
      </w:r>
      <w:bookmarkEnd w:id="28"/>
    </w:p>
    <w:p w14:paraId="73F3BFC6" w14:textId="44703375" w:rsidR="007278FD" w:rsidRPr="004A176D" w:rsidRDefault="0055348C" w:rsidP="007278FD">
      <w:pPr>
        <w:jc w:val="both"/>
      </w:pPr>
      <w:r>
        <w:t>42.</w:t>
      </w:r>
      <w:r>
        <w:tab/>
      </w:r>
      <w:r w:rsidR="007278FD" w:rsidRPr="004A176D">
        <w:t>More people are on the move than at any time in history.</w:t>
      </w:r>
      <w:r w:rsidR="007278FD" w:rsidRPr="004A176D">
        <w:rPr>
          <w:vertAlign w:val="superscript"/>
        </w:rPr>
        <w:footnoteReference w:id="65"/>
      </w:r>
      <w:r w:rsidR="007278FD" w:rsidRPr="004A176D">
        <w:t xml:space="preserve"> </w:t>
      </w:r>
      <w:r w:rsidR="007278FD">
        <w:t>M</w:t>
      </w:r>
      <w:r w:rsidR="007278FD" w:rsidRPr="004A176D">
        <w:t xml:space="preserve">any live in </w:t>
      </w:r>
      <w:r w:rsidR="007278FD">
        <w:t xml:space="preserve">grossly </w:t>
      </w:r>
      <w:r w:rsidR="007278FD" w:rsidRPr="004A176D">
        <w:t xml:space="preserve">inadequate housing </w:t>
      </w:r>
      <w:r w:rsidR="007278FD">
        <w:t xml:space="preserve">conditions </w:t>
      </w:r>
      <w:r w:rsidR="007278FD" w:rsidRPr="004A176D">
        <w:t xml:space="preserve">in geographically segregated areas with poor access to services and facilities, </w:t>
      </w:r>
      <w:r w:rsidR="007278FD">
        <w:t>with no security of tenure</w:t>
      </w:r>
      <w:r w:rsidR="00690A95">
        <w:t xml:space="preserve">, </w:t>
      </w:r>
      <w:r w:rsidR="007278FD">
        <w:t xml:space="preserve">facing </w:t>
      </w:r>
      <w:r w:rsidR="007278FD" w:rsidRPr="004A176D">
        <w:t xml:space="preserve">discrimination, poverty and economic marginalization. </w:t>
      </w:r>
      <w:r w:rsidR="007278FD" w:rsidRPr="004A176D">
        <w:rPr>
          <w:vertAlign w:val="superscript"/>
        </w:rPr>
        <w:footnoteReference w:id="66"/>
      </w:r>
      <w:r w:rsidR="007278FD">
        <w:t xml:space="preserve"> </w:t>
      </w:r>
      <w:r w:rsidR="007E23AB">
        <w:t>Oftentimes, there is little coordination between migration and housing programmes. Migrants</w:t>
      </w:r>
      <w:r w:rsidR="007278FD" w:rsidRPr="004A176D">
        <w:t xml:space="preserve"> in irregular situation</w:t>
      </w:r>
      <w:r w:rsidR="007278FD">
        <w:t>s</w:t>
      </w:r>
      <w:r w:rsidR="007278FD" w:rsidRPr="004A176D">
        <w:t xml:space="preserve"> face even greater challenges in accessing housing</w:t>
      </w:r>
      <w:r w:rsidR="007278FD">
        <w:t xml:space="preserve">.  In many </w:t>
      </w:r>
      <w:r w:rsidR="007278FD" w:rsidRPr="004A176D">
        <w:t>countries irregular migration</w:t>
      </w:r>
      <w:r w:rsidR="007278FD">
        <w:t xml:space="preserve"> continues to be</w:t>
      </w:r>
      <w:r w:rsidR="007278FD" w:rsidRPr="004A176D">
        <w:t xml:space="preserve"> criminalized</w:t>
      </w:r>
      <w:r w:rsidR="007278FD">
        <w:t xml:space="preserve"> and in some, </w:t>
      </w:r>
      <w:r w:rsidR="007278FD" w:rsidRPr="004A176D">
        <w:t xml:space="preserve">renting accommodation to irregular migrants </w:t>
      </w:r>
      <w:r w:rsidR="007278FD">
        <w:t xml:space="preserve">is </w:t>
      </w:r>
      <w:r w:rsidR="007278FD" w:rsidRPr="004A176D">
        <w:t>a criminal offence.</w:t>
      </w:r>
      <w:r w:rsidR="007278FD" w:rsidRPr="004A176D">
        <w:rPr>
          <w:vertAlign w:val="superscript"/>
        </w:rPr>
        <w:footnoteReference w:id="67"/>
      </w:r>
      <w:r w:rsidR="007278FD">
        <w:t xml:space="preserve"> H</w:t>
      </w:r>
      <w:r w:rsidR="007278FD" w:rsidRPr="004A176D">
        <w:t xml:space="preserve">omeless shelters </w:t>
      </w:r>
      <w:r w:rsidR="007278FD">
        <w:t xml:space="preserve">are sometimes </w:t>
      </w:r>
      <w:r w:rsidR="007278FD" w:rsidRPr="004A176D">
        <w:t>restricted to nationals or to documented migrants</w:t>
      </w:r>
      <w:r w:rsidR="007278FD">
        <w:t xml:space="preserve"> and may be required </w:t>
      </w:r>
      <w:r w:rsidR="007278FD" w:rsidRPr="004A176D">
        <w:t>to report their clients to the authorities</w:t>
      </w:r>
      <w:r w:rsidR="007278FD">
        <w:t>, effectively</w:t>
      </w:r>
      <w:r w:rsidR="007278FD" w:rsidRPr="004A176D">
        <w:t xml:space="preserve"> prevent</w:t>
      </w:r>
      <w:r w:rsidR="007278FD">
        <w:t>ing</w:t>
      </w:r>
      <w:r w:rsidR="007278FD" w:rsidRPr="004A176D">
        <w:t xml:space="preserve"> migrants from using their services.</w:t>
      </w:r>
      <w:r w:rsidR="007278FD" w:rsidRPr="004A176D">
        <w:rPr>
          <w:vertAlign w:val="superscript"/>
        </w:rPr>
        <w:footnoteReference w:id="68"/>
      </w:r>
      <w:r w:rsidR="007278FD" w:rsidRPr="004A176D">
        <w:t xml:space="preserve"> </w:t>
      </w:r>
    </w:p>
    <w:p w14:paraId="691106F6" w14:textId="77777777" w:rsidR="007278FD" w:rsidRDefault="0055348C" w:rsidP="007278FD">
      <w:pPr>
        <w:jc w:val="both"/>
      </w:pPr>
      <w:r>
        <w:t>43.</w:t>
      </w:r>
      <w:r>
        <w:tab/>
      </w:r>
      <w:r w:rsidR="007278FD">
        <w:t>M</w:t>
      </w:r>
      <w:r w:rsidR="007278FD" w:rsidRPr="004A176D">
        <w:t xml:space="preserve">igrant workers </w:t>
      </w:r>
      <w:r w:rsidR="007278FD">
        <w:t xml:space="preserve">have been housed by employers in </w:t>
      </w:r>
      <w:r w:rsidR="007278FD" w:rsidRPr="004A176D">
        <w:t>grossly inadequate</w:t>
      </w:r>
      <w:r w:rsidR="007278FD">
        <w:t xml:space="preserve"> conditions, sometimes </w:t>
      </w:r>
      <w:r w:rsidR="007278FD" w:rsidRPr="004A176D">
        <w:t>consist</w:t>
      </w:r>
      <w:r w:rsidR="007278FD">
        <w:t>ing</w:t>
      </w:r>
      <w:r w:rsidR="007278FD" w:rsidRPr="004A176D">
        <w:t xml:space="preserve"> of transport containers, or make-shift accommodations, without the most basic facilities.</w:t>
      </w:r>
      <w:r w:rsidR="007278FD" w:rsidRPr="004A176D">
        <w:rPr>
          <w:vertAlign w:val="superscript"/>
        </w:rPr>
        <w:footnoteReference w:id="69"/>
      </w:r>
      <w:r w:rsidR="007278FD" w:rsidRPr="004A176D">
        <w:t xml:space="preserve"> </w:t>
      </w:r>
      <w:r w:rsidR="007278FD">
        <w:t>Similarly d</w:t>
      </w:r>
      <w:r w:rsidR="007278FD" w:rsidRPr="004A176D">
        <w:t xml:space="preserve">omestic workers residing in households </w:t>
      </w:r>
      <w:r w:rsidR="007278FD">
        <w:t xml:space="preserve"> have been </w:t>
      </w:r>
      <w:r w:rsidR="007278FD" w:rsidRPr="004A176D">
        <w:t>forced to sleep on the kitchen, or bathroom floors, to be deprived of privacy and vulnerable to abuse and violence.</w:t>
      </w:r>
      <w:r w:rsidR="007278FD" w:rsidRPr="004A176D">
        <w:rPr>
          <w:vertAlign w:val="superscript"/>
        </w:rPr>
        <w:footnoteReference w:id="70"/>
      </w:r>
    </w:p>
    <w:p w14:paraId="4D450B45" w14:textId="77777777" w:rsidR="007278FD" w:rsidRPr="004A176D" w:rsidRDefault="0055348C" w:rsidP="007278FD">
      <w:pPr>
        <w:jc w:val="both"/>
      </w:pPr>
      <w:r>
        <w:t>44.</w:t>
      </w:r>
      <w:r>
        <w:tab/>
      </w:r>
      <w:r w:rsidR="007278FD">
        <w:t>States must ensure the equal enjoyment of the right to housing without discrimination for all migrants, including refugees, asylum-seekers, stateless persons, migrant workers and victims of international trafficking, regardless of legal status and documentation.</w:t>
      </w:r>
      <w:r w:rsidR="007278FD">
        <w:rPr>
          <w:rStyle w:val="FootnoteReference"/>
        </w:rPr>
        <w:footnoteReference w:id="71"/>
      </w:r>
    </w:p>
    <w:p w14:paraId="3D69C4F2" w14:textId="091111C5" w:rsidR="007278FD" w:rsidRPr="00945068" w:rsidRDefault="007278FD" w:rsidP="005F3828">
      <w:pPr>
        <w:rPr>
          <w:b/>
          <w:bCs/>
          <w:lang w:val="en-US"/>
        </w:rPr>
      </w:pPr>
      <w:r w:rsidRPr="00945068">
        <w:rPr>
          <w:b/>
          <w:bCs/>
          <w:lang w:val="en-US"/>
        </w:rPr>
        <w:t xml:space="preserve">Implementation </w:t>
      </w:r>
      <w:r w:rsidR="00121444" w:rsidRPr="00945068">
        <w:rPr>
          <w:b/>
          <w:bCs/>
          <w:lang w:val="en-US"/>
        </w:rPr>
        <w:t>M</w:t>
      </w:r>
      <w:r w:rsidRPr="00945068">
        <w:rPr>
          <w:b/>
          <w:bCs/>
          <w:lang w:val="en-US"/>
        </w:rPr>
        <w:t xml:space="preserve">easures: </w:t>
      </w:r>
    </w:p>
    <w:p w14:paraId="1DB544B8" w14:textId="77777777" w:rsidR="006A04F5" w:rsidRDefault="00547BD0" w:rsidP="003B76A1">
      <w:pPr>
        <w:numPr>
          <w:ilvl w:val="0"/>
          <w:numId w:val="14"/>
        </w:numPr>
        <w:jc w:val="both"/>
      </w:pPr>
      <w:r w:rsidRPr="004A176D">
        <w:t>The right to housing should be explicitly recognized in migration laws and policies and be implemented consistently with international human rights law</w:t>
      </w:r>
      <w:r>
        <w:t>.</w:t>
      </w:r>
      <w:r w:rsidRPr="004A176D">
        <w:rPr>
          <w:vertAlign w:val="superscript"/>
        </w:rPr>
        <w:footnoteReference w:id="72"/>
      </w:r>
      <w:r w:rsidR="006A04F5">
        <w:t>State</w:t>
      </w:r>
      <w:r w:rsidR="001E6253">
        <w:t xml:space="preserve">s must ensure interdepartmental </w:t>
      </w:r>
      <w:r w:rsidR="006A04F5">
        <w:t xml:space="preserve">coordination between migration and housing programmes, and consistency with the right to adequate housing.  </w:t>
      </w:r>
    </w:p>
    <w:p w14:paraId="4E1A014A" w14:textId="77777777" w:rsidR="007278FD" w:rsidRDefault="007278FD" w:rsidP="003B76A1">
      <w:pPr>
        <w:numPr>
          <w:ilvl w:val="0"/>
          <w:numId w:val="14"/>
        </w:numPr>
        <w:jc w:val="both"/>
      </w:pPr>
      <w:r w:rsidRPr="004A176D">
        <w:t xml:space="preserve">States should </w:t>
      </w:r>
      <w:r>
        <w:t>repeal or amend as necessary any law, policy, regula</w:t>
      </w:r>
      <w:r w:rsidR="00FD588A">
        <w:t>ti</w:t>
      </w:r>
      <w:r>
        <w:t xml:space="preserve">on or practice which denies </w:t>
      </w:r>
      <w:r w:rsidRPr="004A176D">
        <w:t xml:space="preserve">the equal enjoyment of the right to adequate housing of migrants, </w:t>
      </w:r>
      <w:r>
        <w:t>irrespec</w:t>
      </w:r>
      <w:r w:rsidR="00FD588A">
        <w:t xml:space="preserve">tive of their migration status, </w:t>
      </w:r>
      <w:r w:rsidRPr="004A176D">
        <w:t>ensuring that housing agencies refrain from engaging in discriminatory practices</w:t>
      </w:r>
      <w:r>
        <w:t>.</w:t>
      </w:r>
      <w:r w:rsidRPr="004A176D">
        <w:rPr>
          <w:vertAlign w:val="superscript"/>
        </w:rPr>
        <w:footnoteReference w:id="73"/>
      </w:r>
      <w:r w:rsidRPr="004A176D">
        <w:t xml:space="preserve"> </w:t>
      </w:r>
      <w:r w:rsidR="006B5C63">
        <w:t xml:space="preserve">This means, for example, ensuring access for migrants to emergency housing </w:t>
      </w:r>
      <w:r w:rsidR="006B5C63" w:rsidRPr="004A176D">
        <w:t xml:space="preserve">for homeless </w:t>
      </w:r>
      <w:r w:rsidR="006B5C63">
        <w:t>persons or women escaping violence</w:t>
      </w:r>
      <w:r w:rsidR="001E6253">
        <w:t>,</w:t>
      </w:r>
      <w:r w:rsidR="006B5C63">
        <w:t xml:space="preserve"> </w:t>
      </w:r>
      <w:r w:rsidR="001E6253">
        <w:t>irrespective of their status.</w:t>
      </w:r>
    </w:p>
    <w:p w14:paraId="56B0416F" w14:textId="77777777" w:rsidR="007278FD" w:rsidRDefault="007278FD" w:rsidP="003B76A1">
      <w:pPr>
        <w:numPr>
          <w:ilvl w:val="0"/>
          <w:numId w:val="14"/>
        </w:numPr>
        <w:jc w:val="both"/>
      </w:pPr>
      <w:r w:rsidRPr="004A176D">
        <w:t xml:space="preserve">Multiple housing alternatives should be explored to address the growing inflow of migrants and refugees, </w:t>
      </w:r>
      <w:r>
        <w:t xml:space="preserve">ensuring immediate access to </w:t>
      </w:r>
      <w:r w:rsidRPr="004A176D">
        <w:t xml:space="preserve">humanitarian shelter and </w:t>
      </w:r>
      <w:r w:rsidR="00547BD0">
        <w:t xml:space="preserve">adequate </w:t>
      </w:r>
      <w:r w:rsidRPr="004A176D">
        <w:t xml:space="preserve">temporary accommodation, </w:t>
      </w:r>
      <w:r>
        <w:t xml:space="preserve">and access to </w:t>
      </w:r>
      <w:r w:rsidRPr="004A176D">
        <w:t>longer-term housing</w:t>
      </w:r>
      <w:r>
        <w:t xml:space="preserve"> as soon as possible.</w:t>
      </w:r>
    </w:p>
    <w:p w14:paraId="42CB1917" w14:textId="77777777" w:rsidR="007278FD" w:rsidRDefault="007278FD" w:rsidP="003B76A1">
      <w:pPr>
        <w:numPr>
          <w:ilvl w:val="0"/>
          <w:numId w:val="14"/>
        </w:numPr>
        <w:jc w:val="both"/>
      </w:pPr>
      <w:r>
        <w:lastRenderedPageBreak/>
        <w:t>States should monitor</w:t>
      </w:r>
      <w:r w:rsidR="00547BD0">
        <w:t xml:space="preserve"> the </w:t>
      </w:r>
      <w:r>
        <w:t xml:space="preserve">housing conditions of migrant workers </w:t>
      </w:r>
      <w:r w:rsidRPr="004A176D">
        <w:t xml:space="preserve">and </w:t>
      </w:r>
      <w:r>
        <w:t xml:space="preserve">impose </w:t>
      </w:r>
      <w:r w:rsidRPr="004A176D">
        <w:t xml:space="preserve">sanctions </w:t>
      </w:r>
      <w:r>
        <w:t xml:space="preserve">on employers who have housed workers in </w:t>
      </w:r>
      <w:r w:rsidRPr="004A176D">
        <w:t>inadequate</w:t>
      </w:r>
      <w:r>
        <w:t xml:space="preserve"> </w:t>
      </w:r>
      <w:r w:rsidRPr="004A176D">
        <w:t>conditions</w:t>
      </w:r>
      <w:r>
        <w:t xml:space="preserve">. </w:t>
      </w:r>
      <w:r w:rsidRPr="004A176D">
        <w:t xml:space="preserve"> </w:t>
      </w:r>
    </w:p>
    <w:p w14:paraId="048E5210" w14:textId="77777777" w:rsidR="007278FD" w:rsidRPr="004A176D" w:rsidRDefault="007278FD" w:rsidP="003B76A1">
      <w:pPr>
        <w:numPr>
          <w:ilvl w:val="0"/>
          <w:numId w:val="14"/>
        </w:numPr>
        <w:jc w:val="both"/>
      </w:pPr>
      <w:r>
        <w:t xml:space="preserve">Migrant women workers dealing with </w:t>
      </w:r>
      <w:r w:rsidRPr="004A176D">
        <w:t>abuse, harassment and violence</w:t>
      </w:r>
      <w:r>
        <w:t>, must be provided with access to a hot</w:t>
      </w:r>
      <w:r w:rsidR="006A04F5">
        <w:t xml:space="preserve">line, advocate or ombudsperson </w:t>
      </w:r>
      <w:r>
        <w:t xml:space="preserve">and immediate access to </w:t>
      </w:r>
      <w:r w:rsidRPr="004A176D">
        <w:t>programmes for relocation</w:t>
      </w:r>
      <w:r>
        <w:t>, support, counselling and</w:t>
      </w:r>
      <w:r w:rsidR="00FD588A">
        <w:t xml:space="preserve"> </w:t>
      </w:r>
      <w:r>
        <w:t xml:space="preserve">re-employment, </w:t>
      </w:r>
      <w:r w:rsidRPr="004A176D">
        <w:t xml:space="preserve">including the provision of </w:t>
      </w:r>
      <w:r>
        <w:t>alternative housing</w:t>
      </w:r>
      <w:r w:rsidR="00FD588A">
        <w:t xml:space="preserve"> </w:t>
      </w:r>
      <w:r w:rsidRPr="004A176D">
        <w:t>accommodation</w:t>
      </w:r>
      <w:r>
        <w:t>.</w:t>
      </w:r>
      <w:r w:rsidRPr="004A176D">
        <w:rPr>
          <w:vertAlign w:val="superscript"/>
        </w:rPr>
        <w:footnoteReference w:id="74"/>
      </w:r>
      <w:r w:rsidRPr="004A176D" w:rsidDel="009D49F8">
        <w:t xml:space="preserve"> </w:t>
      </w:r>
    </w:p>
    <w:p w14:paraId="62EEE6F5" w14:textId="77777777" w:rsidR="007278FD" w:rsidRPr="004A176D" w:rsidRDefault="007278FD" w:rsidP="003B76A1">
      <w:pPr>
        <w:numPr>
          <w:ilvl w:val="0"/>
          <w:numId w:val="14"/>
        </w:numPr>
        <w:jc w:val="both"/>
      </w:pPr>
      <w:r w:rsidRPr="004A176D">
        <w:t>States should prioritize non-custodial alternatives to detention that respect migrants’ right to</w:t>
      </w:r>
      <w:r>
        <w:t xml:space="preserve"> housing</w:t>
      </w:r>
      <w:r w:rsidRPr="004A176D">
        <w:t>, in line with the UN Principles and Guidelines on the human rights protection of migrants in vulnerable situations and the Global Compact for Safe, Orderly and Regular Migration</w:t>
      </w:r>
      <w:r>
        <w:t>.</w:t>
      </w:r>
      <w:r w:rsidRPr="004A176D">
        <w:rPr>
          <w:vertAlign w:val="superscript"/>
        </w:rPr>
        <w:footnoteReference w:id="75"/>
      </w:r>
    </w:p>
    <w:p w14:paraId="021F3939" w14:textId="77777777" w:rsidR="007278FD" w:rsidRPr="001E6253" w:rsidRDefault="007278FD" w:rsidP="003B76A1">
      <w:pPr>
        <w:numPr>
          <w:ilvl w:val="0"/>
          <w:numId w:val="14"/>
        </w:numPr>
        <w:jc w:val="both"/>
      </w:pPr>
      <w:r w:rsidRPr="004A176D">
        <w:rPr>
          <w:lang w:val="en-US"/>
        </w:rPr>
        <w:t xml:space="preserve">Reception </w:t>
      </w:r>
      <w:r w:rsidR="003101FD">
        <w:rPr>
          <w:lang w:val="en-US"/>
        </w:rPr>
        <w:t xml:space="preserve">and other </w:t>
      </w:r>
      <w:proofErr w:type="spellStart"/>
      <w:r w:rsidRPr="004A176D">
        <w:rPr>
          <w:lang w:val="en-US"/>
        </w:rPr>
        <w:t>centres</w:t>
      </w:r>
      <w:proofErr w:type="spellEnd"/>
      <w:r w:rsidRPr="004A176D">
        <w:rPr>
          <w:lang w:val="en-US"/>
        </w:rPr>
        <w:t xml:space="preserve"> </w:t>
      </w:r>
      <w:r w:rsidR="003101FD">
        <w:rPr>
          <w:lang w:val="en-US"/>
        </w:rPr>
        <w:t>for</w:t>
      </w:r>
      <w:r w:rsidRPr="004A176D">
        <w:rPr>
          <w:lang w:val="en-US"/>
        </w:rPr>
        <w:t xml:space="preserve"> migrants should provide separate housing for migrant women and girls</w:t>
      </w:r>
      <w:r w:rsidR="003101FD">
        <w:rPr>
          <w:lang w:val="en-US"/>
        </w:rPr>
        <w:t xml:space="preserve"> who prefer such arrangements. S</w:t>
      </w:r>
      <w:r w:rsidRPr="004A176D">
        <w:rPr>
          <w:lang w:val="en-US"/>
        </w:rPr>
        <w:t>afe and private water, sanitation and hygiene facilities for women</w:t>
      </w:r>
      <w:r w:rsidR="003101FD">
        <w:rPr>
          <w:lang w:val="en-US"/>
        </w:rPr>
        <w:t xml:space="preserve"> and girls must also be made available</w:t>
      </w:r>
      <w:r>
        <w:rPr>
          <w:lang w:val="en-US"/>
        </w:rPr>
        <w:t>.</w:t>
      </w:r>
      <w:r w:rsidRPr="004A176D">
        <w:rPr>
          <w:lang w:val="en-US"/>
        </w:rPr>
        <w:t xml:space="preserve"> </w:t>
      </w:r>
      <w:r w:rsidRPr="004A176D">
        <w:rPr>
          <w:vertAlign w:val="superscript"/>
          <w:lang w:val="en-US"/>
        </w:rPr>
        <w:footnoteReference w:id="76"/>
      </w:r>
    </w:p>
    <w:p w14:paraId="02E2E89F" w14:textId="77777777" w:rsidR="001E6253" w:rsidRPr="004A176D" w:rsidRDefault="001E6253" w:rsidP="003B76A1">
      <w:pPr>
        <w:numPr>
          <w:ilvl w:val="0"/>
          <w:numId w:val="14"/>
        </w:numPr>
        <w:jc w:val="both"/>
      </w:pPr>
      <w:r w:rsidRPr="004A176D">
        <w:t xml:space="preserve">Innovative initiatives to promote migrants’ access to housing at </w:t>
      </w:r>
      <w:r>
        <w:t xml:space="preserve">the </w:t>
      </w:r>
      <w:r w:rsidRPr="004A176D">
        <w:t xml:space="preserve">local level should be </w:t>
      </w:r>
      <w:r>
        <w:t xml:space="preserve">implemented such as when </w:t>
      </w:r>
      <w:r w:rsidRPr="004A176D">
        <w:t>local authorit</w:t>
      </w:r>
      <w:r>
        <w:t>ies</w:t>
      </w:r>
      <w:r w:rsidRPr="004A176D">
        <w:t xml:space="preserve"> or housing association</w:t>
      </w:r>
      <w:r>
        <w:t xml:space="preserve">s act as </w:t>
      </w:r>
      <w:r w:rsidRPr="004A176D">
        <w:t>guarantor</w:t>
      </w:r>
      <w:r>
        <w:t>s</w:t>
      </w:r>
      <w:r w:rsidRPr="004A176D">
        <w:t xml:space="preserve"> to facilitate access to</w:t>
      </w:r>
      <w:r>
        <w:t xml:space="preserve"> rental housing by migrants.</w:t>
      </w:r>
      <w:r w:rsidRPr="004A176D">
        <w:rPr>
          <w:vertAlign w:val="superscript"/>
        </w:rPr>
        <w:footnoteReference w:id="77"/>
      </w:r>
    </w:p>
    <w:p w14:paraId="5602D5FB" w14:textId="15C50E46" w:rsidR="007278FD" w:rsidRPr="004A176D" w:rsidRDefault="007278FD" w:rsidP="003B76A1">
      <w:pPr>
        <w:numPr>
          <w:ilvl w:val="0"/>
          <w:numId w:val="14"/>
        </w:numPr>
        <w:jc w:val="both"/>
      </w:pPr>
      <w:r w:rsidRPr="004A176D">
        <w:t xml:space="preserve">States should </w:t>
      </w:r>
      <w:r>
        <w:t xml:space="preserve">ensure that housing </w:t>
      </w:r>
      <w:r w:rsidRPr="004A176D">
        <w:t xml:space="preserve">providers </w:t>
      </w:r>
      <w:r>
        <w:t>are n</w:t>
      </w:r>
      <w:r w:rsidR="006B5C63">
        <w:t xml:space="preserve">either permitted nor required </w:t>
      </w:r>
      <w:r>
        <w:t xml:space="preserve">to </w:t>
      </w:r>
      <w:r w:rsidR="006B5C63">
        <w:t>convey i</w:t>
      </w:r>
      <w:r>
        <w:t xml:space="preserve">nformation to </w:t>
      </w:r>
      <w:r w:rsidRPr="004A176D">
        <w:t>immigration enforcement authoritie</w:t>
      </w:r>
      <w:r>
        <w:t>s</w:t>
      </w:r>
      <w:r w:rsidR="006B5C63">
        <w:t xml:space="preserve"> which could result in punitive measures thereby discouraging them from seeking shelter</w:t>
      </w:r>
      <w:r w:rsidRPr="004A176D">
        <w:t xml:space="preserve">. </w:t>
      </w:r>
      <w:r>
        <w:t>M</w:t>
      </w:r>
      <w:r w:rsidRPr="004A176D">
        <w:t xml:space="preserve">igrants </w:t>
      </w:r>
      <w:r>
        <w:t xml:space="preserve">should </w:t>
      </w:r>
      <w:r w:rsidRPr="004A176D">
        <w:t xml:space="preserve">never </w:t>
      </w:r>
      <w:r>
        <w:t xml:space="preserve">be </w:t>
      </w:r>
      <w:r w:rsidRPr="004A176D">
        <w:t>criminalized for exercisi</w:t>
      </w:r>
      <w:r w:rsidR="006B5C63">
        <w:t xml:space="preserve">ng their right to housing, and </w:t>
      </w:r>
      <w:r w:rsidRPr="004A176D">
        <w:t xml:space="preserve">private actors such as landlords or civil society organizations </w:t>
      </w:r>
      <w:r>
        <w:t xml:space="preserve">should </w:t>
      </w:r>
      <w:r w:rsidRPr="004A176D">
        <w:t xml:space="preserve">not </w:t>
      </w:r>
      <w:r>
        <w:t xml:space="preserve">be </w:t>
      </w:r>
      <w:r w:rsidRPr="004A176D">
        <w:t xml:space="preserve">criminalized </w:t>
      </w:r>
      <w:r w:rsidR="006B5C63">
        <w:t xml:space="preserve">for </w:t>
      </w:r>
      <w:r w:rsidRPr="004A176D">
        <w:t>assist</w:t>
      </w:r>
      <w:r>
        <w:t>ing</w:t>
      </w:r>
      <w:r w:rsidRPr="004A176D">
        <w:t xml:space="preserve"> migrants to</w:t>
      </w:r>
      <w:r>
        <w:t xml:space="preserve"> secure housing</w:t>
      </w:r>
      <w:r w:rsidR="00771525">
        <w:t>.</w:t>
      </w:r>
      <w:r w:rsidRPr="004A176D">
        <w:rPr>
          <w:vertAlign w:val="superscript"/>
        </w:rPr>
        <w:footnoteReference w:id="78"/>
      </w:r>
    </w:p>
    <w:p w14:paraId="08BFD139" w14:textId="77777777" w:rsidR="00EE5F29" w:rsidRDefault="00EE5F29" w:rsidP="001E6253">
      <w:pPr>
        <w:tabs>
          <w:tab w:val="left" w:pos="1343"/>
        </w:tabs>
        <w:rPr>
          <w:b/>
          <w:u w:val="single"/>
        </w:rPr>
      </w:pPr>
      <w:bookmarkStart w:id="29" w:name="_Hlk22997323"/>
    </w:p>
    <w:p w14:paraId="41CA2DE1" w14:textId="77777777" w:rsidR="001E6253" w:rsidRPr="00230F08" w:rsidRDefault="001E6253" w:rsidP="009B3CE0">
      <w:pPr>
        <w:pStyle w:val="Heading2"/>
      </w:pPr>
      <w:bookmarkStart w:id="30" w:name="_Toc23200823"/>
      <w:r w:rsidRPr="00230F08">
        <w:t xml:space="preserve">Guideline No. </w:t>
      </w:r>
      <w:r w:rsidR="00EE5F29">
        <w:t>10</w:t>
      </w:r>
      <w:bookmarkEnd w:id="30"/>
      <w:r w:rsidRPr="00230F08">
        <w:t xml:space="preserve"> </w:t>
      </w:r>
    </w:p>
    <w:p w14:paraId="044EF718" w14:textId="77777777" w:rsidR="001E6253" w:rsidRPr="003131C1" w:rsidRDefault="001E6253" w:rsidP="009B3CE0">
      <w:pPr>
        <w:pStyle w:val="Heading3"/>
      </w:pPr>
      <w:bookmarkStart w:id="31" w:name="_Toc23200824"/>
      <w:r w:rsidRPr="003131C1">
        <w:t>Ensure meaningful participation of all those affected in the design, implementation and monitoring of housing policies, programs and strategies</w:t>
      </w:r>
      <w:bookmarkEnd w:id="31"/>
    </w:p>
    <w:p w14:paraId="646A0BD7" w14:textId="77777777" w:rsidR="001E6253" w:rsidRPr="003152E7" w:rsidRDefault="0055348C" w:rsidP="0055348C">
      <w:pPr>
        <w:tabs>
          <w:tab w:val="left" w:pos="567"/>
        </w:tabs>
        <w:jc w:val="both"/>
        <w:rPr>
          <w:b/>
          <w:bCs/>
          <w:sz w:val="24"/>
          <w:szCs w:val="24"/>
        </w:rPr>
      </w:pPr>
      <w:r>
        <w:rPr>
          <w:rFonts w:cstheme="minorHAnsi"/>
          <w:bCs/>
        </w:rPr>
        <w:t>45.</w:t>
      </w:r>
      <w:r>
        <w:rPr>
          <w:rFonts w:cstheme="minorHAnsi"/>
          <w:bCs/>
        </w:rPr>
        <w:tab/>
      </w:r>
      <w:r w:rsidR="001E6253" w:rsidRPr="00BC1DEB">
        <w:rPr>
          <w:rFonts w:cstheme="minorHAnsi"/>
          <w:bCs/>
        </w:rPr>
        <w:t>“Th[e] right to take part and exert influence in decision-making processes that affect one’s life is inextricably linked to the most fundamental understanding of being human and the purpose of rights: respect of dignity and the exercise of agency, autonomy and self-determination”.</w:t>
      </w:r>
      <w:r w:rsidR="001E6253" w:rsidRPr="00BC1DEB">
        <w:rPr>
          <w:rStyle w:val="FootnoteReference"/>
          <w:rFonts w:cstheme="minorHAnsi"/>
          <w:bCs/>
        </w:rPr>
        <w:footnoteReference w:id="79"/>
      </w:r>
      <w:r w:rsidR="001E6253">
        <w:rPr>
          <w:rFonts w:cstheme="minorHAnsi"/>
          <w:bCs/>
        </w:rPr>
        <w:t xml:space="preserve">  The CESCR has emphasized that p</w:t>
      </w:r>
      <w:r w:rsidR="001E6253" w:rsidRPr="00BC1DEB">
        <w:rPr>
          <w:rFonts w:cstheme="minorHAnsi"/>
          <w:bCs/>
        </w:rPr>
        <w:t>articipation is key to any intervention aimed at making adequate housing a reality for all.</w:t>
      </w:r>
      <w:r w:rsidR="001E6253" w:rsidRPr="00BC1DEB">
        <w:rPr>
          <w:rStyle w:val="FootnoteReference"/>
          <w:rFonts w:cstheme="minorHAnsi"/>
          <w:bCs/>
        </w:rPr>
        <w:footnoteReference w:id="80"/>
      </w:r>
      <w:r w:rsidR="001E6253" w:rsidRPr="00BC1DEB">
        <w:rPr>
          <w:rFonts w:cstheme="minorHAnsi"/>
          <w:bCs/>
        </w:rPr>
        <w:t xml:space="preserve"> </w:t>
      </w:r>
      <w:r w:rsidR="001E6253">
        <w:rPr>
          <w:rFonts w:cstheme="minorHAnsi"/>
          <w:bCs/>
        </w:rPr>
        <w:t>It is “</w:t>
      </w:r>
      <w:r w:rsidR="001E6253" w:rsidRPr="00BC1DEB">
        <w:rPr>
          <w:rFonts w:cstheme="minorHAnsi"/>
          <w:bCs/>
        </w:rPr>
        <w:t>one of the core elements of human rights-based approaches aimed at eliminating marginalization and discrimination”</w:t>
      </w:r>
      <w:r w:rsidR="001E6253">
        <w:rPr>
          <w:rFonts w:cstheme="minorHAnsi"/>
          <w:bCs/>
        </w:rPr>
        <w:t>.</w:t>
      </w:r>
      <w:r w:rsidR="001E6253" w:rsidRPr="00BC1DEB">
        <w:rPr>
          <w:rStyle w:val="FootnoteReference"/>
          <w:rFonts w:cstheme="minorHAnsi"/>
          <w:bCs/>
        </w:rPr>
        <w:footnoteReference w:id="81"/>
      </w:r>
      <w:r w:rsidR="001E6253" w:rsidRPr="00BC1DEB">
        <w:rPr>
          <w:rFonts w:cstheme="minorHAnsi"/>
          <w:bCs/>
        </w:rPr>
        <w:t xml:space="preserve"> </w:t>
      </w:r>
    </w:p>
    <w:p w14:paraId="535512D1" w14:textId="43C1536B" w:rsidR="0022226C" w:rsidRDefault="0055348C" w:rsidP="0055348C">
      <w:pPr>
        <w:tabs>
          <w:tab w:val="left" w:pos="567"/>
        </w:tabs>
        <w:jc w:val="both"/>
        <w:rPr>
          <w:rFonts w:cstheme="minorHAnsi"/>
          <w:bCs/>
        </w:rPr>
      </w:pPr>
      <w:r>
        <w:rPr>
          <w:rFonts w:cstheme="minorHAnsi"/>
          <w:bCs/>
        </w:rPr>
        <w:lastRenderedPageBreak/>
        <w:t>46.</w:t>
      </w:r>
      <w:r>
        <w:rPr>
          <w:rFonts w:cstheme="minorHAnsi"/>
          <w:bCs/>
        </w:rPr>
        <w:tab/>
      </w:r>
      <w:r w:rsidR="001E6253" w:rsidRPr="00BC1DEB">
        <w:rPr>
          <w:rFonts w:cstheme="minorHAnsi"/>
          <w:bCs/>
        </w:rPr>
        <w:t xml:space="preserve">Yet, housing-related measures continue to be developed and implemented </w:t>
      </w:r>
      <w:r w:rsidR="001E6253">
        <w:rPr>
          <w:rFonts w:cstheme="minorHAnsi"/>
          <w:bCs/>
        </w:rPr>
        <w:t>through top</w:t>
      </w:r>
      <w:r w:rsidR="001E6253" w:rsidRPr="00BC1DEB">
        <w:rPr>
          <w:rFonts w:cstheme="minorHAnsi"/>
          <w:bCs/>
        </w:rPr>
        <w:t>-down decision-making models</w:t>
      </w:r>
      <w:r w:rsidR="001E6253">
        <w:rPr>
          <w:rFonts w:cstheme="minorHAnsi"/>
          <w:bCs/>
        </w:rPr>
        <w:t>, excluding affected communities</w:t>
      </w:r>
      <w:r w:rsidR="001E6253" w:rsidRPr="00BC1DEB">
        <w:rPr>
          <w:rFonts w:cstheme="minorHAnsi"/>
          <w:bCs/>
        </w:rPr>
        <w:t xml:space="preserve">. </w:t>
      </w:r>
      <w:r w:rsidR="001E6253">
        <w:rPr>
          <w:rFonts w:cstheme="minorHAnsi"/>
          <w:bCs/>
        </w:rPr>
        <w:t>T</w:t>
      </w:r>
      <w:r w:rsidR="001E6253" w:rsidRPr="00BC1DEB">
        <w:rPr>
          <w:rFonts w:cstheme="minorHAnsi"/>
          <w:bCs/>
        </w:rPr>
        <w:t xml:space="preserve">his means that </w:t>
      </w:r>
      <w:r w:rsidR="001E6253">
        <w:rPr>
          <w:rFonts w:cstheme="minorHAnsi"/>
          <w:bCs/>
        </w:rPr>
        <w:t xml:space="preserve">housing is often </w:t>
      </w:r>
      <w:r w:rsidR="001E6253" w:rsidRPr="00BC1DEB">
        <w:rPr>
          <w:rFonts w:cstheme="minorHAnsi"/>
          <w:bCs/>
        </w:rPr>
        <w:t xml:space="preserve">ill-suited to address </w:t>
      </w:r>
      <w:r w:rsidR="001E6253">
        <w:rPr>
          <w:rFonts w:cstheme="minorHAnsi"/>
          <w:bCs/>
        </w:rPr>
        <w:t xml:space="preserve">peoples’ </w:t>
      </w:r>
      <w:r w:rsidR="001E6253" w:rsidRPr="00BC1DEB">
        <w:rPr>
          <w:rFonts w:cstheme="minorHAnsi"/>
          <w:bCs/>
        </w:rPr>
        <w:t xml:space="preserve">needs and </w:t>
      </w:r>
      <w:r w:rsidR="001E6253">
        <w:rPr>
          <w:rFonts w:cstheme="minorHAnsi"/>
          <w:bCs/>
        </w:rPr>
        <w:t>development reinforces</w:t>
      </w:r>
      <w:r w:rsidR="001871FD">
        <w:rPr>
          <w:rFonts w:cstheme="minorHAnsi"/>
          <w:bCs/>
        </w:rPr>
        <w:t xml:space="preserve"> </w:t>
      </w:r>
      <w:r w:rsidR="001E6253" w:rsidRPr="00BC1DEB">
        <w:rPr>
          <w:rFonts w:cstheme="minorHAnsi"/>
          <w:bCs/>
        </w:rPr>
        <w:t xml:space="preserve">patterns of social exclusion. </w:t>
      </w:r>
      <w:r w:rsidR="001E6253">
        <w:rPr>
          <w:rFonts w:cstheme="minorHAnsi"/>
          <w:bCs/>
        </w:rPr>
        <w:t xml:space="preserve">Programs that deny participation of affected groups tend to </w:t>
      </w:r>
      <w:r w:rsidR="001E6253" w:rsidRPr="00BC1DEB">
        <w:rPr>
          <w:rFonts w:cstheme="minorHAnsi"/>
          <w:bCs/>
        </w:rPr>
        <w:t>reproduce</w:t>
      </w:r>
      <w:r w:rsidR="001E6253">
        <w:rPr>
          <w:rFonts w:cstheme="minorHAnsi"/>
          <w:bCs/>
        </w:rPr>
        <w:t xml:space="preserve"> the</w:t>
      </w:r>
      <w:r w:rsidR="001E6253" w:rsidRPr="00BC1DEB">
        <w:rPr>
          <w:rFonts w:cstheme="minorHAnsi"/>
          <w:bCs/>
        </w:rPr>
        <w:t xml:space="preserve"> stigmatization and exclusion</w:t>
      </w:r>
      <w:r w:rsidR="001E6253">
        <w:rPr>
          <w:rFonts w:cstheme="minorHAnsi"/>
          <w:bCs/>
        </w:rPr>
        <w:t xml:space="preserve"> that denied them their rights in the first place</w:t>
      </w:r>
      <w:r w:rsidR="001E6253" w:rsidRPr="00BC1DEB">
        <w:rPr>
          <w:rFonts w:cstheme="minorHAnsi"/>
          <w:bCs/>
        </w:rPr>
        <w:t xml:space="preserve">. </w:t>
      </w:r>
    </w:p>
    <w:p w14:paraId="01BFC25B" w14:textId="6AAA0E5A" w:rsidR="001E6253" w:rsidRDefault="0055348C" w:rsidP="0055348C">
      <w:pPr>
        <w:jc w:val="both"/>
        <w:rPr>
          <w:rFonts w:cstheme="minorHAnsi"/>
          <w:bCs/>
        </w:rPr>
      </w:pPr>
      <w:r>
        <w:rPr>
          <w:rFonts w:cstheme="minorHAnsi"/>
          <w:bCs/>
        </w:rPr>
        <w:t>47.</w:t>
      </w:r>
      <w:r>
        <w:rPr>
          <w:rFonts w:cstheme="minorHAnsi"/>
          <w:bCs/>
        </w:rPr>
        <w:tab/>
      </w:r>
      <w:r w:rsidR="001E6253">
        <w:rPr>
          <w:rFonts w:cstheme="minorHAnsi"/>
          <w:bCs/>
        </w:rPr>
        <w:t>The Special Rapporteur has seen many housing projects where residents have had no role in decision-making and where the result has been housing in remote locations in which units that do not meet residents’ needs are largely abandoned. On the other hand, housing programs designed by those who will live there tend to create vibrant, sustainable, culturally appropriate and aesthetically pleasing communities. Rather than being treated as voiceless recipients of programs designed and implemented by others, rights- based participation, with active support by all levels of government, transforms residents into active citizens and productive community members, making housing programs more affordable, effective and compliant with human rights.</w:t>
      </w:r>
    </w:p>
    <w:p w14:paraId="348FDC26" w14:textId="255B5F55" w:rsidR="001E6253" w:rsidRPr="00945068" w:rsidRDefault="001E6253" w:rsidP="005F3828">
      <w:pPr>
        <w:rPr>
          <w:b/>
          <w:bCs/>
        </w:rPr>
      </w:pPr>
      <w:r w:rsidRPr="00945068">
        <w:rPr>
          <w:b/>
          <w:bCs/>
        </w:rPr>
        <w:t xml:space="preserve">Implementation </w:t>
      </w:r>
      <w:r w:rsidR="00121444" w:rsidRPr="00945068">
        <w:rPr>
          <w:b/>
          <w:bCs/>
        </w:rPr>
        <w:t>M</w:t>
      </w:r>
      <w:r w:rsidRPr="00945068">
        <w:rPr>
          <w:b/>
          <w:bCs/>
        </w:rPr>
        <w:t xml:space="preserve">easures: </w:t>
      </w:r>
    </w:p>
    <w:p w14:paraId="0DFD7567" w14:textId="77777777" w:rsidR="001E6253" w:rsidRDefault="001E6253" w:rsidP="003B76A1">
      <w:pPr>
        <w:pStyle w:val="ListParagraph"/>
        <w:numPr>
          <w:ilvl w:val="0"/>
          <w:numId w:val="5"/>
        </w:numPr>
        <w:tabs>
          <w:tab w:val="left" w:pos="1343"/>
        </w:tabs>
        <w:spacing w:after="120"/>
        <w:ind w:left="714" w:hanging="357"/>
        <w:contextualSpacing w:val="0"/>
        <w:jc w:val="both"/>
        <w:rPr>
          <w:rFonts w:cstheme="minorHAnsi"/>
          <w:bCs/>
        </w:rPr>
      </w:pPr>
      <w:r w:rsidRPr="0051187C">
        <w:rPr>
          <w:rFonts w:cstheme="minorHAnsi"/>
          <w:bCs/>
        </w:rPr>
        <w:t>The right to participation and access to information should be protected in law through constitutional or legislative provisions with institutional support for the</w:t>
      </w:r>
      <w:r>
        <w:rPr>
          <w:rFonts w:cstheme="minorHAnsi"/>
          <w:bCs/>
        </w:rPr>
        <w:t xml:space="preserve"> full</w:t>
      </w:r>
      <w:r w:rsidRPr="0051187C">
        <w:rPr>
          <w:rFonts w:cstheme="minorHAnsi"/>
          <w:bCs/>
        </w:rPr>
        <w:t xml:space="preserve"> implementation of this right.</w:t>
      </w:r>
      <w:r w:rsidRPr="00BC1DEB">
        <w:rPr>
          <w:rStyle w:val="FootnoteReference"/>
          <w:rFonts w:cstheme="minorHAnsi"/>
          <w:bCs/>
        </w:rPr>
        <w:footnoteReference w:id="82"/>
      </w:r>
    </w:p>
    <w:p w14:paraId="4F8DA17F" w14:textId="77777777" w:rsidR="001E6253" w:rsidRPr="000D6B57" w:rsidRDefault="001E6253" w:rsidP="003B76A1">
      <w:pPr>
        <w:pStyle w:val="ListParagraph"/>
        <w:numPr>
          <w:ilvl w:val="0"/>
          <w:numId w:val="5"/>
        </w:numPr>
        <w:tabs>
          <w:tab w:val="left" w:pos="1343"/>
        </w:tabs>
        <w:spacing w:after="120"/>
        <w:ind w:left="714" w:hanging="357"/>
        <w:contextualSpacing w:val="0"/>
        <w:jc w:val="both"/>
        <w:rPr>
          <w:rFonts w:cstheme="minorHAnsi"/>
          <w:bCs/>
        </w:rPr>
      </w:pPr>
      <w:r w:rsidRPr="000D6B57">
        <w:rPr>
          <w:rFonts w:cstheme="minorHAnsi"/>
        </w:rPr>
        <w:t xml:space="preserve">Those affected by housing-related decisions must </w:t>
      </w:r>
      <w:r w:rsidR="009D604F" w:rsidRPr="000D6B57">
        <w:rPr>
          <w:rFonts w:cstheme="minorHAnsi"/>
        </w:rPr>
        <w:t xml:space="preserve">have access to more than pro forma consultations. They must </w:t>
      </w:r>
      <w:r w:rsidRPr="000D6B57">
        <w:rPr>
          <w:rFonts w:cstheme="minorHAnsi"/>
        </w:rPr>
        <w:t xml:space="preserve">be able to </w:t>
      </w:r>
      <w:r w:rsidRPr="000D6B57">
        <w:rPr>
          <w:rFonts w:cstheme="minorHAnsi"/>
          <w:bCs/>
        </w:rPr>
        <w:t>influence the outcome of the decision-making process, based on knowledge of their rights</w:t>
      </w:r>
      <w:r w:rsidR="000D6B57" w:rsidRPr="000D6B57">
        <w:rPr>
          <w:rFonts w:cstheme="minorHAnsi"/>
          <w:bCs/>
        </w:rPr>
        <w:t>, access to</w:t>
      </w:r>
      <w:r w:rsidR="009D604F" w:rsidRPr="000D6B57">
        <w:rPr>
          <w:rFonts w:cstheme="minorHAnsi"/>
          <w:bCs/>
        </w:rPr>
        <w:t xml:space="preserve"> </w:t>
      </w:r>
      <w:r w:rsidR="000D6B57" w:rsidRPr="000D6B57">
        <w:rPr>
          <w:rFonts w:cstheme="minorHAnsi"/>
          <w:bCs/>
        </w:rPr>
        <w:t xml:space="preserve">information taking into account socio-economic, literacy, linguistic, cultural or other barriers, </w:t>
      </w:r>
      <w:r w:rsidR="009D604F" w:rsidRPr="000D6B57">
        <w:rPr>
          <w:rFonts w:cstheme="minorHAnsi"/>
          <w:bCs/>
        </w:rPr>
        <w:t>and having been accorded s</w:t>
      </w:r>
      <w:r w:rsidRPr="000D6B57">
        <w:rPr>
          <w:rFonts w:cstheme="minorHAnsi"/>
          <w:bCs/>
        </w:rPr>
        <w:t xml:space="preserve">ufficient time for preparation, </w:t>
      </w:r>
      <w:r w:rsidR="009D604F" w:rsidRPr="000D6B57">
        <w:rPr>
          <w:rFonts w:cstheme="minorHAnsi"/>
          <w:bCs/>
        </w:rPr>
        <w:t xml:space="preserve">discussion and </w:t>
      </w:r>
      <w:r w:rsidRPr="000D6B57">
        <w:rPr>
          <w:rFonts w:cstheme="minorHAnsi"/>
          <w:bCs/>
        </w:rPr>
        <w:t>formulation of contributions.</w:t>
      </w:r>
      <w:r w:rsidRPr="00BC1DEB">
        <w:rPr>
          <w:rStyle w:val="FootnoteReference"/>
          <w:rFonts w:cstheme="minorHAnsi"/>
          <w:bCs/>
        </w:rPr>
        <w:footnoteReference w:id="83"/>
      </w:r>
      <w:r w:rsidRPr="000D6B57">
        <w:rPr>
          <w:rFonts w:cstheme="minorHAnsi"/>
          <w:bCs/>
        </w:rPr>
        <w:t xml:space="preserve"> </w:t>
      </w:r>
      <w:r w:rsidR="009D604F" w:rsidRPr="000D6B57">
        <w:rPr>
          <w:rFonts w:cstheme="minorHAnsi"/>
          <w:bCs/>
        </w:rPr>
        <w:t>To facilitate this</w:t>
      </w:r>
      <w:r w:rsidR="000D6B57" w:rsidRPr="000D6B57">
        <w:rPr>
          <w:rFonts w:cstheme="minorHAnsi"/>
          <w:bCs/>
        </w:rPr>
        <w:t xml:space="preserve">, </w:t>
      </w:r>
      <w:r w:rsidR="009D604F" w:rsidRPr="000D6B57">
        <w:rPr>
          <w:rFonts w:cstheme="minorHAnsi"/>
          <w:bCs/>
        </w:rPr>
        <w:t>m</w:t>
      </w:r>
      <w:r w:rsidRPr="000D6B57">
        <w:rPr>
          <w:rFonts w:cstheme="minorHAnsi"/>
          <w:bCs/>
        </w:rPr>
        <w:t>echanisms such as community advisory committees should be established, with necessary financial</w:t>
      </w:r>
      <w:r w:rsidR="009D604F" w:rsidRPr="000D6B57">
        <w:rPr>
          <w:rFonts w:cstheme="minorHAnsi"/>
          <w:bCs/>
        </w:rPr>
        <w:t xml:space="preserve"> and other</w:t>
      </w:r>
      <w:r w:rsidRPr="000D6B57">
        <w:rPr>
          <w:rFonts w:cstheme="minorHAnsi"/>
          <w:bCs/>
        </w:rPr>
        <w:t xml:space="preserve"> support</w:t>
      </w:r>
      <w:r w:rsidR="009D604F" w:rsidRPr="000D6B57">
        <w:rPr>
          <w:rFonts w:cstheme="minorHAnsi"/>
          <w:bCs/>
        </w:rPr>
        <w:t>s</w:t>
      </w:r>
      <w:r w:rsidRPr="000D6B57">
        <w:rPr>
          <w:rFonts w:cstheme="minorHAnsi"/>
          <w:bCs/>
        </w:rPr>
        <w:t xml:space="preserve"> for </w:t>
      </w:r>
      <w:r w:rsidR="009D604F" w:rsidRPr="000D6B57">
        <w:rPr>
          <w:rFonts w:cstheme="minorHAnsi"/>
          <w:bCs/>
        </w:rPr>
        <w:t>meaningful participation</w:t>
      </w:r>
      <w:r w:rsidRPr="000D6B57">
        <w:rPr>
          <w:rFonts w:cstheme="minorHAnsi"/>
          <w:bCs/>
        </w:rPr>
        <w:t>.</w:t>
      </w:r>
      <w:r>
        <w:rPr>
          <w:rStyle w:val="FootnoteReference"/>
          <w:bCs/>
        </w:rPr>
        <w:footnoteReference w:id="84"/>
      </w:r>
    </w:p>
    <w:p w14:paraId="07795E01" w14:textId="77777777" w:rsidR="00BD0C9A" w:rsidRPr="00233863" w:rsidRDefault="00BD0C9A" w:rsidP="003B76A1">
      <w:pPr>
        <w:pStyle w:val="ListParagraph"/>
        <w:numPr>
          <w:ilvl w:val="0"/>
          <w:numId w:val="5"/>
        </w:numPr>
        <w:tabs>
          <w:tab w:val="left" w:pos="1343"/>
        </w:tabs>
        <w:spacing w:after="120"/>
        <w:ind w:left="714" w:hanging="357"/>
        <w:contextualSpacing w:val="0"/>
        <w:jc w:val="both"/>
        <w:rPr>
          <w:rFonts w:cstheme="minorHAnsi"/>
          <w:bCs/>
        </w:rPr>
      </w:pPr>
      <w:r>
        <w:rPr>
          <w:rFonts w:cstheme="minorHAnsi"/>
          <w:bCs/>
        </w:rPr>
        <w:t xml:space="preserve">The capacity of communities to participate in decision-making requires the provision of opportunities for community education </w:t>
      </w:r>
      <w:r w:rsidRPr="0051187C">
        <w:rPr>
          <w:rFonts w:cstheme="minorHAnsi"/>
          <w:bCs/>
        </w:rPr>
        <w:t xml:space="preserve">about </w:t>
      </w:r>
      <w:r>
        <w:rPr>
          <w:rFonts w:cstheme="minorHAnsi"/>
          <w:bCs/>
        </w:rPr>
        <w:t xml:space="preserve">human </w:t>
      </w:r>
      <w:r w:rsidRPr="0051187C">
        <w:rPr>
          <w:rFonts w:cstheme="minorHAnsi"/>
          <w:bCs/>
        </w:rPr>
        <w:t>rights</w:t>
      </w:r>
      <w:r>
        <w:rPr>
          <w:rFonts w:cstheme="minorHAnsi"/>
          <w:bCs/>
        </w:rPr>
        <w:t xml:space="preserve"> and housing as well as </w:t>
      </w:r>
      <w:r w:rsidRPr="0051187C">
        <w:rPr>
          <w:rFonts w:cstheme="minorHAnsi"/>
          <w:bCs/>
        </w:rPr>
        <w:t>the provision of technical and financial support.</w:t>
      </w:r>
      <w:r w:rsidRPr="003152E7">
        <w:rPr>
          <w:rStyle w:val="FootnoteReference"/>
          <w:rFonts w:cstheme="minorHAnsi"/>
          <w:bCs/>
        </w:rPr>
        <w:footnoteReference w:id="85"/>
      </w:r>
      <w:r>
        <w:rPr>
          <w:rFonts w:cstheme="minorHAnsi"/>
          <w:bCs/>
        </w:rPr>
        <w:t xml:space="preserve">  </w:t>
      </w:r>
    </w:p>
    <w:p w14:paraId="5618102C" w14:textId="77777777" w:rsidR="00BD0C9A" w:rsidRPr="00BD0C9A" w:rsidRDefault="001E6253" w:rsidP="003B76A1">
      <w:pPr>
        <w:pStyle w:val="ListParagraph"/>
        <w:numPr>
          <w:ilvl w:val="0"/>
          <w:numId w:val="5"/>
        </w:numPr>
        <w:tabs>
          <w:tab w:val="left" w:pos="1343"/>
        </w:tabs>
        <w:spacing w:after="120"/>
        <w:ind w:left="714" w:hanging="357"/>
        <w:contextualSpacing w:val="0"/>
        <w:jc w:val="both"/>
        <w:rPr>
          <w:rFonts w:cstheme="minorHAnsi"/>
          <w:bCs/>
        </w:rPr>
      </w:pPr>
      <w:r>
        <w:rPr>
          <w:rFonts w:cstheme="minorHAnsi"/>
          <w:bCs/>
        </w:rPr>
        <w:t xml:space="preserve">Participation </w:t>
      </w:r>
      <w:r w:rsidR="000D6B57">
        <w:rPr>
          <w:rFonts w:cstheme="minorHAnsi"/>
          <w:bCs/>
        </w:rPr>
        <w:t xml:space="preserve">must engage </w:t>
      </w:r>
      <w:r>
        <w:rPr>
          <w:rFonts w:cstheme="minorHAnsi"/>
          <w:bCs/>
        </w:rPr>
        <w:t xml:space="preserve">diverse groups </w:t>
      </w:r>
      <w:r w:rsidR="000D6B57">
        <w:rPr>
          <w:rFonts w:cstheme="minorHAnsi"/>
          <w:bCs/>
        </w:rPr>
        <w:t xml:space="preserve">to </w:t>
      </w:r>
      <w:r>
        <w:rPr>
          <w:rFonts w:cstheme="minorHAnsi"/>
          <w:bCs/>
        </w:rPr>
        <w:t xml:space="preserve">ensure that the design, </w:t>
      </w:r>
      <w:r>
        <w:t xml:space="preserve">construction and administration of housing </w:t>
      </w:r>
      <w:r>
        <w:rPr>
          <w:rFonts w:cstheme="minorHAnsi"/>
          <w:bCs/>
        </w:rPr>
        <w:t>reflects the cultural diversity of communities and meets the needs of all residents, including persons with disabilities, older persons, young people, religious and linguistic minorities</w:t>
      </w:r>
      <w:r>
        <w:t>.</w:t>
      </w:r>
      <w:r>
        <w:rPr>
          <w:rStyle w:val="FootnoteReference"/>
        </w:rPr>
        <w:footnoteReference w:id="86"/>
      </w:r>
    </w:p>
    <w:p w14:paraId="74315095" w14:textId="77777777" w:rsidR="00BD0C9A" w:rsidRDefault="001E6253" w:rsidP="003B76A1">
      <w:pPr>
        <w:pStyle w:val="ListParagraph"/>
        <w:numPr>
          <w:ilvl w:val="0"/>
          <w:numId w:val="5"/>
        </w:numPr>
        <w:tabs>
          <w:tab w:val="left" w:pos="1343"/>
        </w:tabs>
        <w:spacing w:after="120"/>
        <w:ind w:left="714" w:hanging="357"/>
        <w:contextualSpacing w:val="0"/>
        <w:jc w:val="both"/>
        <w:rPr>
          <w:rFonts w:cstheme="minorHAnsi"/>
          <w:bCs/>
        </w:rPr>
      </w:pPr>
      <w:r w:rsidRPr="007E2225">
        <w:t xml:space="preserve">Special measures must be adopted to ensure the effective participation of all rights-holders in decision-making processes concerning </w:t>
      </w:r>
      <w:r w:rsidR="00BD0C9A">
        <w:t xml:space="preserve">them, ensuring, in particular, </w:t>
      </w:r>
      <w:r w:rsidRPr="007E2225">
        <w:t xml:space="preserve">the equal participation of women, </w:t>
      </w:r>
      <w:r w:rsidRPr="00BD0C9A">
        <w:rPr>
          <w:rFonts w:cstheme="minorHAnsi"/>
          <w:bCs/>
        </w:rPr>
        <w:t>young people, renters, linguistic minorities, people with disabilities and marginalized groups within communities.</w:t>
      </w:r>
    </w:p>
    <w:p w14:paraId="22ED53D9" w14:textId="77777777" w:rsidR="001E6253" w:rsidRPr="00BD0C9A" w:rsidRDefault="001E6253" w:rsidP="003B76A1">
      <w:pPr>
        <w:pStyle w:val="ListParagraph"/>
        <w:numPr>
          <w:ilvl w:val="0"/>
          <w:numId w:val="5"/>
        </w:numPr>
        <w:tabs>
          <w:tab w:val="left" w:pos="1343"/>
        </w:tabs>
        <w:spacing w:after="120"/>
        <w:ind w:left="714" w:hanging="357"/>
        <w:contextualSpacing w:val="0"/>
        <w:jc w:val="both"/>
        <w:rPr>
          <w:rFonts w:cstheme="minorHAnsi"/>
          <w:bCs/>
        </w:rPr>
      </w:pPr>
      <w:r w:rsidRPr="00BD0C9A">
        <w:rPr>
          <w:rFonts w:cstheme="minorHAnsi"/>
          <w:bCs/>
        </w:rPr>
        <w:lastRenderedPageBreak/>
        <w:t xml:space="preserve">In the case of indigenous peoples, States should ensure consultation and participation in compliance with the UN Declaration on the Rights of Indigenous Peoples and ensure the application of the principle of free, prior and informed consent. </w:t>
      </w:r>
    </w:p>
    <w:p w14:paraId="05B67F15" w14:textId="77777777" w:rsidR="001E6253" w:rsidRDefault="001E6253" w:rsidP="003B76A1">
      <w:pPr>
        <w:pStyle w:val="ListParagraph"/>
        <w:numPr>
          <w:ilvl w:val="0"/>
          <w:numId w:val="5"/>
        </w:numPr>
        <w:tabs>
          <w:tab w:val="left" w:pos="1343"/>
        </w:tabs>
        <w:spacing w:after="120"/>
        <w:ind w:left="714" w:hanging="357"/>
        <w:contextualSpacing w:val="0"/>
        <w:jc w:val="both"/>
        <w:rPr>
          <w:rFonts w:cstheme="minorHAnsi"/>
          <w:bCs/>
        </w:rPr>
      </w:pPr>
      <w:r>
        <w:rPr>
          <w:rFonts w:cstheme="minorHAnsi"/>
          <w:bCs/>
        </w:rPr>
        <w:t>E</w:t>
      </w:r>
      <w:r w:rsidRPr="0051187C">
        <w:rPr>
          <w:rFonts w:cstheme="minorHAnsi"/>
          <w:bCs/>
        </w:rPr>
        <w:t>ffective participation should be considered as a legal requirement of reasonable housing policy and decision-making,</w:t>
      </w:r>
      <w:r>
        <w:rPr>
          <w:rFonts w:cstheme="minorHAnsi"/>
          <w:bCs/>
        </w:rPr>
        <w:t xml:space="preserve"> </w:t>
      </w:r>
      <w:r w:rsidRPr="0051187C">
        <w:rPr>
          <w:rFonts w:cstheme="minorHAnsi"/>
          <w:bCs/>
        </w:rPr>
        <w:t>subject to effective judicial review</w:t>
      </w:r>
      <w:r>
        <w:rPr>
          <w:rFonts w:cstheme="minorHAnsi"/>
          <w:bCs/>
        </w:rPr>
        <w:t xml:space="preserve"> and enforcement (See Guideline 3) </w:t>
      </w:r>
    </w:p>
    <w:p w14:paraId="4535F489" w14:textId="77777777" w:rsidR="001E6253" w:rsidRDefault="001E6253" w:rsidP="003B76A1">
      <w:pPr>
        <w:pStyle w:val="ListParagraph"/>
        <w:numPr>
          <w:ilvl w:val="0"/>
          <w:numId w:val="5"/>
        </w:numPr>
        <w:tabs>
          <w:tab w:val="left" w:pos="1343"/>
        </w:tabs>
        <w:spacing w:after="120"/>
        <w:ind w:left="714" w:hanging="357"/>
        <w:contextualSpacing w:val="0"/>
        <w:jc w:val="both"/>
        <w:rPr>
          <w:rFonts w:cstheme="minorHAnsi"/>
          <w:bCs/>
        </w:rPr>
      </w:pPr>
      <w:r w:rsidRPr="0051187C">
        <w:rPr>
          <w:rFonts w:cstheme="minorHAnsi"/>
          <w:bCs/>
        </w:rPr>
        <w:t>Procedures</w:t>
      </w:r>
      <w:r>
        <w:rPr>
          <w:rFonts w:cstheme="minorHAnsi"/>
          <w:bCs/>
        </w:rPr>
        <w:t xml:space="preserve"> and support</w:t>
      </w:r>
      <w:r w:rsidRPr="0051187C">
        <w:rPr>
          <w:rFonts w:cstheme="minorHAnsi"/>
          <w:bCs/>
        </w:rPr>
        <w:t xml:space="preserve"> for consultation and participation should be regularly assessed and adjusted as needed.</w:t>
      </w:r>
    </w:p>
    <w:p w14:paraId="41F3168B" w14:textId="77777777" w:rsidR="001E6253" w:rsidRDefault="001E6253" w:rsidP="003B76A1">
      <w:pPr>
        <w:pStyle w:val="ListParagraph"/>
        <w:numPr>
          <w:ilvl w:val="0"/>
          <w:numId w:val="5"/>
        </w:numPr>
        <w:tabs>
          <w:tab w:val="left" w:pos="1343"/>
        </w:tabs>
        <w:spacing w:after="120"/>
        <w:ind w:left="714" w:hanging="357"/>
        <w:contextualSpacing w:val="0"/>
        <w:jc w:val="both"/>
        <w:rPr>
          <w:rFonts w:cstheme="minorHAnsi"/>
          <w:bCs/>
        </w:rPr>
      </w:pPr>
      <w:r w:rsidRPr="0051187C">
        <w:rPr>
          <w:rFonts w:cstheme="minorHAnsi"/>
          <w:bCs/>
        </w:rPr>
        <w:t xml:space="preserve">Final decisions </w:t>
      </w:r>
      <w:r w:rsidR="00BD0C9A">
        <w:rPr>
          <w:rFonts w:cstheme="minorHAnsi"/>
          <w:bCs/>
        </w:rPr>
        <w:t xml:space="preserve">taken </w:t>
      </w:r>
      <w:r w:rsidRPr="0051187C">
        <w:rPr>
          <w:rFonts w:cstheme="minorHAnsi"/>
          <w:bCs/>
        </w:rPr>
        <w:t xml:space="preserve">should explain how they are consistent with international and domestic human rights law and include a clear indication of how the contributions of rights holders have been taken into </w:t>
      </w:r>
      <w:r w:rsidR="00BD0C9A">
        <w:rPr>
          <w:rFonts w:cstheme="minorHAnsi"/>
          <w:bCs/>
        </w:rPr>
        <w:t>account.</w:t>
      </w:r>
      <w:r w:rsidRPr="00BC1DEB">
        <w:rPr>
          <w:rStyle w:val="FootnoteReference"/>
          <w:rFonts w:cstheme="minorHAnsi"/>
          <w:bCs/>
        </w:rPr>
        <w:footnoteReference w:id="87"/>
      </w:r>
      <w:r w:rsidRPr="0051187C">
        <w:rPr>
          <w:rFonts w:cstheme="minorHAnsi"/>
          <w:bCs/>
        </w:rPr>
        <w:t xml:space="preserve"> </w:t>
      </w:r>
    </w:p>
    <w:p w14:paraId="25B4A61E" w14:textId="77777777" w:rsidR="001E6253" w:rsidRPr="0051187C" w:rsidRDefault="001E6253" w:rsidP="003B76A1">
      <w:pPr>
        <w:pStyle w:val="ListParagraph"/>
        <w:numPr>
          <w:ilvl w:val="0"/>
          <w:numId w:val="5"/>
        </w:numPr>
        <w:tabs>
          <w:tab w:val="left" w:pos="1343"/>
        </w:tabs>
        <w:spacing w:after="120"/>
        <w:ind w:left="714" w:hanging="357"/>
        <w:contextualSpacing w:val="0"/>
        <w:jc w:val="both"/>
        <w:rPr>
          <w:rFonts w:cstheme="minorHAnsi"/>
          <w:bCs/>
        </w:rPr>
      </w:pPr>
      <w:r>
        <w:rPr>
          <w:rFonts w:cstheme="minorHAnsi"/>
          <w:bCs/>
        </w:rPr>
        <w:t>E</w:t>
      </w:r>
      <w:r w:rsidRPr="0051187C">
        <w:rPr>
          <w:rFonts w:cstheme="minorHAnsi"/>
          <w:bCs/>
        </w:rPr>
        <w:t xml:space="preserve">ffective remedies </w:t>
      </w:r>
      <w:r>
        <w:rPr>
          <w:rFonts w:cstheme="minorHAnsi"/>
          <w:bCs/>
        </w:rPr>
        <w:t xml:space="preserve">should be </w:t>
      </w:r>
      <w:r w:rsidRPr="0051187C">
        <w:rPr>
          <w:rFonts w:cstheme="minorHAnsi"/>
          <w:bCs/>
        </w:rPr>
        <w:t xml:space="preserve">available and easily accessible in the event of complaints about infringement of rights during the decision-making process or by its final outcome. </w:t>
      </w:r>
    </w:p>
    <w:bookmarkEnd w:id="29"/>
    <w:p w14:paraId="1E559BA7" w14:textId="77777777" w:rsidR="00F130EF" w:rsidRDefault="00F130EF" w:rsidP="00F130EF">
      <w:pPr>
        <w:tabs>
          <w:tab w:val="left" w:pos="1343"/>
        </w:tabs>
        <w:rPr>
          <w:b/>
          <w:bCs/>
          <w:iCs/>
          <w:u w:val="single"/>
        </w:rPr>
      </w:pPr>
    </w:p>
    <w:p w14:paraId="55410579" w14:textId="69060B9E" w:rsidR="00F130EF" w:rsidRPr="00230F08" w:rsidRDefault="00F130EF" w:rsidP="009B3CE0">
      <w:pPr>
        <w:pStyle w:val="Heading2"/>
      </w:pPr>
      <w:bookmarkStart w:id="32" w:name="_Toc23200825"/>
      <w:r w:rsidRPr="00230F08">
        <w:t xml:space="preserve">Guideline </w:t>
      </w:r>
      <w:r w:rsidR="00121444">
        <w:t>N</w:t>
      </w:r>
      <w:r w:rsidRPr="00230F08">
        <w:t xml:space="preserve">o. </w:t>
      </w:r>
      <w:r w:rsidR="00EE5F29">
        <w:t>11</w:t>
      </w:r>
      <w:bookmarkEnd w:id="32"/>
    </w:p>
    <w:p w14:paraId="3A7BC873" w14:textId="77777777" w:rsidR="00F130EF" w:rsidRPr="00F240DE" w:rsidRDefault="00F130EF" w:rsidP="009B3CE0">
      <w:pPr>
        <w:pStyle w:val="Heading3"/>
      </w:pPr>
      <w:bookmarkStart w:id="33" w:name="_Toc23200826"/>
      <w:r>
        <w:t xml:space="preserve">Specify the </w:t>
      </w:r>
      <w:r w:rsidRPr="00F240DE">
        <w:t xml:space="preserve">responsibilities of </w:t>
      </w:r>
      <w:r>
        <w:t xml:space="preserve">each level of </w:t>
      </w:r>
      <w:r w:rsidRPr="00F240DE">
        <w:t>government</w:t>
      </w:r>
      <w:r>
        <w:t xml:space="preserve"> and ensure co-ordination and accountability</w:t>
      </w:r>
      <w:r w:rsidRPr="00F240DE">
        <w:t xml:space="preserve"> </w:t>
      </w:r>
      <w:r>
        <w:t xml:space="preserve">for </w:t>
      </w:r>
      <w:r w:rsidRPr="00F240DE">
        <w:t>the realization of the right to adequate housing</w:t>
      </w:r>
      <w:bookmarkEnd w:id="33"/>
      <w:r w:rsidRPr="00F240DE">
        <w:t xml:space="preserve"> </w:t>
      </w:r>
    </w:p>
    <w:p w14:paraId="39C5C748" w14:textId="4119FCEA" w:rsidR="005202F3" w:rsidRDefault="0055348C" w:rsidP="0055348C">
      <w:pPr>
        <w:tabs>
          <w:tab w:val="left" w:pos="426"/>
        </w:tabs>
        <w:jc w:val="both"/>
        <w:rPr>
          <w:bCs/>
          <w:iCs/>
        </w:rPr>
      </w:pPr>
      <w:r>
        <w:rPr>
          <w:bCs/>
          <w:iCs/>
        </w:rPr>
        <w:t>48.</w:t>
      </w:r>
      <w:r>
        <w:rPr>
          <w:bCs/>
          <w:iCs/>
        </w:rPr>
        <w:tab/>
      </w:r>
      <w:r w:rsidR="00F130EF">
        <w:rPr>
          <w:bCs/>
          <w:iCs/>
        </w:rPr>
        <w:t>Local and regional governments have been assigned crucial responsibilities related to the right to adequate housing, ranging from infrastructure development and land-use planning, to upgrading of informal settlements</w:t>
      </w:r>
      <w:r w:rsidR="0032327D">
        <w:rPr>
          <w:bCs/>
          <w:iCs/>
        </w:rPr>
        <w:t>, navigating investor driven market-pressures,</w:t>
      </w:r>
      <w:r w:rsidR="00F130EF">
        <w:rPr>
          <w:bCs/>
          <w:iCs/>
        </w:rPr>
        <w:t xml:space="preserve"> and </w:t>
      </w:r>
      <w:r w:rsidR="0032327D">
        <w:rPr>
          <w:bCs/>
          <w:iCs/>
        </w:rPr>
        <w:t xml:space="preserve">developing and administering </w:t>
      </w:r>
      <w:r w:rsidR="00F130EF">
        <w:rPr>
          <w:bCs/>
          <w:iCs/>
        </w:rPr>
        <w:t xml:space="preserve">housing and </w:t>
      </w:r>
      <w:r w:rsidR="0032327D">
        <w:rPr>
          <w:bCs/>
          <w:iCs/>
        </w:rPr>
        <w:t xml:space="preserve">related </w:t>
      </w:r>
      <w:r w:rsidR="00F130EF">
        <w:rPr>
          <w:bCs/>
          <w:iCs/>
        </w:rPr>
        <w:t>programmes. International human rights obligations apply to all levels of government, without limitations or exceptions</w:t>
      </w:r>
      <w:r w:rsidR="00BA187E">
        <w:rPr>
          <w:bCs/>
          <w:iCs/>
        </w:rPr>
        <w:t>,</w:t>
      </w:r>
      <w:r w:rsidR="00F130EF">
        <w:rPr>
          <w:rStyle w:val="FootnoteReference"/>
          <w:bCs/>
          <w:iCs/>
        </w:rPr>
        <w:footnoteReference w:id="88"/>
      </w:r>
      <w:r w:rsidR="00F130EF">
        <w:rPr>
          <w:bCs/>
          <w:iCs/>
        </w:rPr>
        <w:t xml:space="preserve"> yet accountability for the </w:t>
      </w:r>
      <w:r w:rsidR="00EC367F">
        <w:rPr>
          <w:bCs/>
          <w:iCs/>
        </w:rPr>
        <w:t xml:space="preserve">human </w:t>
      </w:r>
      <w:r w:rsidR="00F130EF">
        <w:rPr>
          <w:bCs/>
          <w:iCs/>
        </w:rPr>
        <w:t xml:space="preserve">right to housing continues to be viewed as attaching primarily to national level governments. </w:t>
      </w:r>
    </w:p>
    <w:p w14:paraId="737AF762" w14:textId="77777777" w:rsidR="00F130EF" w:rsidRDefault="0055348C" w:rsidP="0055348C">
      <w:pPr>
        <w:tabs>
          <w:tab w:val="left" w:pos="426"/>
        </w:tabs>
        <w:jc w:val="both"/>
        <w:rPr>
          <w:bCs/>
          <w:iCs/>
        </w:rPr>
      </w:pPr>
      <w:r>
        <w:t>49.</w:t>
      </w:r>
      <w:r>
        <w:tab/>
      </w:r>
      <w:r w:rsidR="00F130EF">
        <w:t xml:space="preserve">Local governments are </w:t>
      </w:r>
      <w:r w:rsidR="005202F3">
        <w:t>confronted with</w:t>
      </w:r>
      <w:r w:rsidR="00F130EF">
        <w:t xml:space="preserve"> </w:t>
      </w:r>
      <w:r w:rsidR="00C37AA0">
        <w:t xml:space="preserve">the </w:t>
      </w:r>
      <w:r w:rsidR="00F130EF">
        <w:t>most significant challenges to the right to housing</w:t>
      </w:r>
      <w:r w:rsidR="00C37AA0">
        <w:t xml:space="preserve"> be it homelessness, </w:t>
      </w:r>
      <w:r w:rsidR="00334ED2">
        <w:t xml:space="preserve">migrations, </w:t>
      </w:r>
      <w:r w:rsidR="00C37AA0">
        <w:t>or financialization</w:t>
      </w:r>
      <w:r w:rsidR="00334ED2">
        <w:t xml:space="preserve">, and are </w:t>
      </w:r>
      <w:r w:rsidR="00F130EF">
        <w:t>cl</w:t>
      </w:r>
      <w:r w:rsidR="00C37AA0">
        <w:t xml:space="preserve">osest to affected communities, </w:t>
      </w:r>
      <w:r w:rsidR="00F130EF">
        <w:t>better able to ensure participatory decision-making and to develop innovat</w:t>
      </w:r>
      <w:r w:rsidR="00C37AA0">
        <w:t>iv</w:t>
      </w:r>
      <w:r w:rsidR="00F130EF">
        <w:t xml:space="preserve">e solutions adapted to local circumstances. </w:t>
      </w:r>
      <w:r w:rsidR="00F130EF">
        <w:rPr>
          <w:bCs/>
          <w:iCs/>
        </w:rPr>
        <w:t>Too often, however, local governments are being allocated responsib</w:t>
      </w:r>
      <w:r w:rsidR="00C37AA0">
        <w:rPr>
          <w:bCs/>
          <w:iCs/>
        </w:rPr>
        <w:t xml:space="preserve">ilities without a commensurate </w:t>
      </w:r>
      <w:r w:rsidR="00F130EF">
        <w:rPr>
          <w:bCs/>
          <w:iCs/>
        </w:rPr>
        <w:t>allocation of resources, knowledge, capacity and accountability mechanisms for the realization of the right to housing.</w:t>
      </w:r>
      <w:r w:rsidR="00F130EF">
        <w:rPr>
          <w:rStyle w:val="FootnoteReference"/>
          <w:bCs/>
          <w:iCs/>
        </w:rPr>
        <w:footnoteReference w:id="89"/>
      </w:r>
      <w:r w:rsidR="00F130EF">
        <w:rPr>
          <w:bCs/>
          <w:iCs/>
        </w:rPr>
        <w:t xml:space="preserve"> </w:t>
      </w:r>
    </w:p>
    <w:p w14:paraId="4F716FD3" w14:textId="77777777" w:rsidR="00F130EF" w:rsidRPr="00DD569C" w:rsidRDefault="0055348C" w:rsidP="0055348C">
      <w:pPr>
        <w:tabs>
          <w:tab w:val="left" w:pos="426"/>
        </w:tabs>
        <w:jc w:val="both"/>
      </w:pPr>
      <w:r>
        <w:rPr>
          <w:bCs/>
          <w:iCs/>
        </w:rPr>
        <w:t>50.</w:t>
      </w:r>
      <w:r>
        <w:rPr>
          <w:bCs/>
          <w:iCs/>
        </w:rPr>
        <w:tab/>
      </w:r>
      <w:r w:rsidR="00F130EF">
        <w:rPr>
          <w:bCs/>
          <w:iCs/>
        </w:rPr>
        <w:t xml:space="preserve">The allocation of responsibilities for implementing the right to housing within a State is a matter of internal decision, but it must be consistent with the obligation to realize the right to housing.  It must be clear which government can </w:t>
      </w:r>
      <w:r w:rsidR="00334ED2">
        <w:rPr>
          <w:bCs/>
          <w:iCs/>
        </w:rPr>
        <w:t xml:space="preserve">be held accountable, and how.  </w:t>
      </w:r>
      <w:r w:rsidR="00F130EF">
        <w:rPr>
          <w:bCs/>
          <w:iCs/>
        </w:rPr>
        <w:t xml:space="preserve">As outlined by the Committee on Economic, Social and Cultural Rights, States </w:t>
      </w:r>
      <w:r w:rsidR="00F130EF" w:rsidRPr="003E419D">
        <w:t xml:space="preserve">should ensure coordination between </w:t>
      </w:r>
      <w:r w:rsidR="00F130EF">
        <w:t>national,</w:t>
      </w:r>
      <w:r w:rsidR="00F130EF" w:rsidRPr="003E419D">
        <w:t xml:space="preserve"> regional and local </w:t>
      </w:r>
      <w:r w:rsidR="00F130EF" w:rsidRPr="00173E5A">
        <w:t>authorities</w:t>
      </w:r>
      <w:r w:rsidR="00F130EF">
        <w:t xml:space="preserve"> for the realization of the right to housing.</w:t>
      </w:r>
      <w:r w:rsidR="00F130EF" w:rsidRPr="00173E5A">
        <w:rPr>
          <w:rStyle w:val="FootnoteReference"/>
        </w:rPr>
        <w:footnoteReference w:id="90"/>
      </w:r>
      <w:r w:rsidR="00F130EF">
        <w:t xml:space="preserve">  </w:t>
      </w:r>
    </w:p>
    <w:p w14:paraId="4DDBC9FE" w14:textId="02CFA076" w:rsidR="00F130EF" w:rsidRPr="00945068" w:rsidRDefault="00E95A7E" w:rsidP="005F3828">
      <w:pPr>
        <w:rPr>
          <w:b/>
          <w:bCs/>
        </w:rPr>
      </w:pPr>
      <w:r>
        <w:rPr>
          <w:b/>
          <w:bCs/>
        </w:rPr>
        <w:br w:type="column"/>
      </w:r>
      <w:r w:rsidR="00F130EF" w:rsidRPr="00945068">
        <w:rPr>
          <w:b/>
          <w:bCs/>
        </w:rPr>
        <w:lastRenderedPageBreak/>
        <w:t xml:space="preserve">Implementation </w:t>
      </w:r>
      <w:r w:rsidR="00121444" w:rsidRPr="00945068">
        <w:rPr>
          <w:b/>
          <w:bCs/>
        </w:rPr>
        <w:t>M</w:t>
      </w:r>
      <w:r w:rsidR="00F130EF" w:rsidRPr="00945068">
        <w:rPr>
          <w:b/>
          <w:bCs/>
        </w:rPr>
        <w:t xml:space="preserve">easures: </w:t>
      </w:r>
    </w:p>
    <w:p w14:paraId="03E0F509" w14:textId="7E596081" w:rsidR="00F130EF" w:rsidRDefault="00F130EF" w:rsidP="003B76A1">
      <w:pPr>
        <w:pStyle w:val="ListParagraph"/>
        <w:numPr>
          <w:ilvl w:val="0"/>
          <w:numId w:val="6"/>
        </w:numPr>
        <w:tabs>
          <w:tab w:val="left" w:pos="1343"/>
        </w:tabs>
        <w:spacing w:after="120"/>
        <w:contextualSpacing w:val="0"/>
        <w:jc w:val="both"/>
      </w:pPr>
      <w:r>
        <w:t xml:space="preserve">The responsibilities </w:t>
      </w:r>
      <w:r w:rsidR="00EB5EA3">
        <w:t>of each</w:t>
      </w:r>
      <w:r>
        <w:t xml:space="preserve"> government in relation to the right to housing should be clearly outlined in legislation, in funding agreements and in housing programs and policies.</w:t>
      </w:r>
      <w:r>
        <w:rPr>
          <w:rStyle w:val="FootnoteReference"/>
        </w:rPr>
        <w:footnoteReference w:id="91"/>
      </w:r>
      <w:r>
        <w:t xml:space="preserve">  </w:t>
      </w:r>
      <w:r w:rsidR="00AA7C96" w:rsidRPr="00AA7C96">
        <w:t xml:space="preserve">States should consider providing financial and other incentives to encourage local and regional governments to adopt </w:t>
      </w:r>
      <w:r w:rsidR="00AA7C96">
        <w:t>rights</w:t>
      </w:r>
      <w:r w:rsidR="00D3719B">
        <w:t>-</w:t>
      </w:r>
      <w:r w:rsidR="00AA7C96">
        <w:t>based housing strategies</w:t>
      </w:r>
      <w:r w:rsidR="00AA7C96" w:rsidRPr="00AA7C96">
        <w:t xml:space="preserve">. </w:t>
      </w:r>
      <w:r w:rsidRPr="00AA7C96">
        <w:t>Provision should be made</w:t>
      </w:r>
      <w:r>
        <w:t xml:space="preserve"> for promptly resolving jurisdictional questions, in accordance with the right to housing and ensuring that no one is left behind.</w:t>
      </w:r>
      <w:r w:rsidR="008573A5" w:rsidRPr="0032327D">
        <w:rPr>
          <w:rStyle w:val="FootnoteReference"/>
        </w:rPr>
        <w:footnoteReference w:id="92"/>
      </w:r>
      <w:r w:rsidR="00AA7C96" w:rsidRPr="00AA7C96">
        <w:rPr>
          <w:highlight w:val="cyan"/>
        </w:rPr>
        <w:t xml:space="preserve"> </w:t>
      </w:r>
    </w:p>
    <w:p w14:paraId="71566101" w14:textId="13EB6E2B" w:rsidR="009671DE" w:rsidRPr="00C708B2" w:rsidRDefault="009671DE" w:rsidP="003B76A1">
      <w:pPr>
        <w:pStyle w:val="ListParagraph"/>
        <w:numPr>
          <w:ilvl w:val="0"/>
          <w:numId w:val="6"/>
        </w:numPr>
        <w:tabs>
          <w:tab w:val="left" w:pos="1343"/>
        </w:tabs>
        <w:spacing w:after="120"/>
        <w:contextualSpacing w:val="0"/>
        <w:jc w:val="both"/>
      </w:pPr>
      <w:r w:rsidRPr="00C708B2">
        <w:t xml:space="preserve">Local and regional governments should implement </w:t>
      </w:r>
      <w:r w:rsidR="00CC30B6" w:rsidRPr="00C708B2">
        <w:t>human rights</w:t>
      </w:r>
      <w:r w:rsidR="00D3719B">
        <w:t>-</w:t>
      </w:r>
      <w:r w:rsidR="00CC30B6" w:rsidRPr="00C708B2">
        <w:t xml:space="preserve">based </w:t>
      </w:r>
      <w:r w:rsidRPr="00C708B2">
        <w:t xml:space="preserve">housing strategies </w:t>
      </w:r>
      <w:r w:rsidR="00CC30B6" w:rsidRPr="00C708B2">
        <w:t>in</w:t>
      </w:r>
      <w:r w:rsidRPr="00C708B2">
        <w:t xml:space="preserve"> areas of their authority, with measurable goals, timelines, independent monitoring and complaints procedures</w:t>
      </w:r>
      <w:r w:rsidR="00CC30B6" w:rsidRPr="00C708B2">
        <w:t xml:space="preserve">. These should be </w:t>
      </w:r>
      <w:r w:rsidRPr="00C708B2">
        <w:t>properly coordinated with national strategies</w:t>
      </w:r>
      <w:r w:rsidR="00CC30B6" w:rsidRPr="00C708B2">
        <w:t xml:space="preserve"> and consistent with the Rapporteur’s thematic report (</w:t>
      </w:r>
      <w:r w:rsidR="00C708B2" w:rsidRPr="00C708B2">
        <w:t>A/</w:t>
      </w:r>
      <w:r w:rsidR="00C708B2">
        <w:t>HRC/37/53</w:t>
      </w:r>
      <w:r w:rsidR="00CC30B6" w:rsidRPr="00C708B2">
        <w:t>)</w:t>
      </w:r>
      <w:r w:rsidRPr="00C708B2">
        <w:t>.</w:t>
      </w:r>
      <w:r w:rsidRPr="00C708B2">
        <w:rPr>
          <w:rStyle w:val="FootnoteReference"/>
        </w:rPr>
        <w:footnoteReference w:id="93"/>
      </w:r>
      <w:r w:rsidR="00952E58" w:rsidRPr="00C708B2">
        <w:t xml:space="preserve">  </w:t>
      </w:r>
    </w:p>
    <w:p w14:paraId="00EEA69A" w14:textId="4F52F717" w:rsidR="00952E58" w:rsidRDefault="00952E58" w:rsidP="003B76A1">
      <w:pPr>
        <w:pStyle w:val="ListParagraph"/>
        <w:numPr>
          <w:ilvl w:val="0"/>
          <w:numId w:val="6"/>
        </w:numPr>
        <w:tabs>
          <w:tab w:val="left" w:pos="1343"/>
        </w:tabs>
        <w:spacing w:after="120"/>
        <w:ind w:left="714" w:hanging="357"/>
        <w:contextualSpacing w:val="0"/>
        <w:jc w:val="both"/>
      </w:pPr>
      <w:r w:rsidRPr="0032327D">
        <w:t xml:space="preserve">States must ensure that local </w:t>
      </w:r>
      <w:r>
        <w:t>rights</w:t>
      </w:r>
      <w:r w:rsidR="00D3719B">
        <w:t>-</w:t>
      </w:r>
      <w:r>
        <w:t xml:space="preserve">based </w:t>
      </w:r>
      <w:r w:rsidRPr="0032327D">
        <w:t xml:space="preserve">housing strategies and </w:t>
      </w:r>
      <w:r>
        <w:t xml:space="preserve">related </w:t>
      </w:r>
      <w:r w:rsidRPr="0032327D">
        <w:t xml:space="preserve">programs are supported by </w:t>
      </w:r>
      <w:r>
        <w:t>adequate</w:t>
      </w:r>
      <w:r w:rsidRPr="0032327D">
        <w:t xml:space="preserve"> </w:t>
      </w:r>
      <w:r>
        <w:t xml:space="preserve">financial resources, and </w:t>
      </w:r>
      <w:r w:rsidRPr="0032327D">
        <w:t xml:space="preserve">administrative </w:t>
      </w:r>
      <w:r>
        <w:t xml:space="preserve">support and </w:t>
      </w:r>
      <w:r w:rsidRPr="0032327D">
        <w:t xml:space="preserve">capacity.  </w:t>
      </w:r>
    </w:p>
    <w:p w14:paraId="0ED0A82D" w14:textId="77777777" w:rsidR="00CC30B6" w:rsidRDefault="009671DE" w:rsidP="003B76A1">
      <w:pPr>
        <w:pStyle w:val="ListParagraph"/>
        <w:numPr>
          <w:ilvl w:val="0"/>
          <w:numId w:val="6"/>
        </w:numPr>
        <w:tabs>
          <w:tab w:val="left" w:pos="1343"/>
        </w:tabs>
        <w:spacing w:after="120"/>
        <w:ind w:left="714" w:hanging="357"/>
        <w:contextualSpacing w:val="0"/>
        <w:jc w:val="both"/>
      </w:pPr>
      <w:r w:rsidRPr="0032327D">
        <w:t xml:space="preserve">Local and regional governments should be encouraged to adopt human rights charters that recognize the right to housing or incorporate into municipal law a commitment to comply with obligations under international human rights law to respect, protect and fulfil the right to housing, providing for accountability mechanisms </w:t>
      </w:r>
      <w:r w:rsidRPr="0032327D">
        <w:rPr>
          <w:rStyle w:val="FootnoteReference"/>
        </w:rPr>
        <w:footnoteReference w:id="94"/>
      </w:r>
      <w:r w:rsidRPr="0032327D">
        <w:t xml:space="preserve"> </w:t>
      </w:r>
    </w:p>
    <w:p w14:paraId="595A2B46" w14:textId="77777777" w:rsidR="00EB5EA3" w:rsidRDefault="004B7A36" w:rsidP="003B76A1">
      <w:pPr>
        <w:pStyle w:val="ListParagraph"/>
        <w:numPr>
          <w:ilvl w:val="0"/>
          <w:numId w:val="6"/>
        </w:numPr>
        <w:tabs>
          <w:tab w:val="left" w:pos="1343"/>
        </w:tabs>
        <w:spacing w:after="120"/>
        <w:contextualSpacing w:val="0"/>
        <w:jc w:val="both"/>
      </w:pPr>
      <w:r w:rsidRPr="0032327D">
        <w:t xml:space="preserve">Housing policy and programs of all levels of government should be coordinated </w:t>
      </w:r>
      <w:r w:rsidR="00F130EF" w:rsidRPr="0032327D">
        <w:t>through national level oversight and leadership a</w:t>
      </w:r>
      <w:r w:rsidRPr="0032327D">
        <w:t xml:space="preserve">s well as </w:t>
      </w:r>
      <w:r w:rsidR="00F130EF" w:rsidRPr="0032327D">
        <w:t>by inter-governmental bodies with an explicit mandate to promote and ensure compliance with the right to housing.</w:t>
      </w:r>
      <w:r w:rsidR="00F130EF" w:rsidRPr="0032327D">
        <w:rPr>
          <w:rStyle w:val="FootnoteReference"/>
        </w:rPr>
        <w:footnoteReference w:id="95"/>
      </w:r>
      <w:r w:rsidR="00F130EF" w:rsidRPr="0032327D">
        <w:t xml:space="preserve">  </w:t>
      </w:r>
    </w:p>
    <w:p w14:paraId="379F0B65" w14:textId="42027DDD" w:rsidR="00013B37" w:rsidRPr="00EE5F29" w:rsidRDefault="00F130EF" w:rsidP="003B76A1">
      <w:pPr>
        <w:pStyle w:val="ListParagraph"/>
        <w:numPr>
          <w:ilvl w:val="0"/>
          <w:numId w:val="6"/>
        </w:numPr>
        <w:tabs>
          <w:tab w:val="left" w:pos="1343"/>
        </w:tabs>
        <w:spacing w:after="120"/>
        <w:contextualSpacing w:val="0"/>
        <w:jc w:val="both"/>
      </w:pPr>
      <w:r>
        <w:t xml:space="preserve">In line with </w:t>
      </w:r>
      <w:r w:rsidR="00C708B2">
        <w:t>the right of indigenous peoples to be actively involved in developing and determining housing programmes and to administer such programmes through their own institutions</w:t>
      </w:r>
      <w:r w:rsidR="004F4547">
        <w:t>,</w:t>
      </w:r>
      <w:r>
        <w:rPr>
          <w:rStyle w:val="FootnoteReference"/>
        </w:rPr>
        <w:footnoteReference w:id="96"/>
      </w:r>
      <w:r>
        <w:t>indigenous peoples should have access to adequate resources to implement the right to housing</w:t>
      </w:r>
      <w:r w:rsidRPr="006C2061">
        <w:rPr>
          <w:rStyle w:val="FootnoteReference"/>
        </w:rPr>
        <w:footnoteReference w:id="97"/>
      </w:r>
      <w:r w:rsidRPr="006C2061">
        <w:t xml:space="preserve"> and </w:t>
      </w:r>
      <w:r>
        <w:t xml:space="preserve">should establish </w:t>
      </w:r>
      <w:r w:rsidRPr="00F60D57">
        <w:rPr>
          <w:bCs/>
          <w:iCs/>
        </w:rPr>
        <w:t>effective accountability and monitoring mechanisms to ensure that resources are allocated in a manner that is consistent with international human rights law and promotes equality among all their members, including between women and men</w:t>
      </w:r>
      <w:r w:rsidRPr="006C2061">
        <w:t>.</w:t>
      </w:r>
      <w:r w:rsidRPr="006C2061">
        <w:rPr>
          <w:rStyle w:val="FootnoteReference"/>
        </w:rPr>
        <w:footnoteReference w:id="98"/>
      </w:r>
      <w:r>
        <w:t xml:space="preserve">  </w:t>
      </w:r>
    </w:p>
    <w:p w14:paraId="6B84F622" w14:textId="77777777" w:rsidR="0055348C" w:rsidRDefault="0055348C" w:rsidP="00C25D35">
      <w:pPr>
        <w:tabs>
          <w:tab w:val="left" w:pos="1343"/>
        </w:tabs>
        <w:rPr>
          <w:b/>
          <w:u w:val="single"/>
        </w:rPr>
      </w:pPr>
    </w:p>
    <w:p w14:paraId="66E36B63" w14:textId="724B74C7" w:rsidR="00C25D35" w:rsidRPr="00230F08" w:rsidRDefault="00E95A7E" w:rsidP="009B3CE0">
      <w:pPr>
        <w:pStyle w:val="Heading2"/>
      </w:pPr>
      <w:bookmarkStart w:id="34" w:name="_Toc23200827"/>
      <w:r>
        <w:br w:type="column"/>
      </w:r>
      <w:r w:rsidR="00C25D35" w:rsidRPr="00230F08">
        <w:lastRenderedPageBreak/>
        <w:t xml:space="preserve">Guideline </w:t>
      </w:r>
      <w:r w:rsidR="00121444">
        <w:t>N</w:t>
      </w:r>
      <w:r w:rsidR="00C25D35" w:rsidRPr="00230F08">
        <w:t xml:space="preserve">o. </w:t>
      </w:r>
      <w:r w:rsidR="004A176D" w:rsidRPr="00230F08">
        <w:t>1</w:t>
      </w:r>
      <w:r w:rsidR="009E237C">
        <w:t>2</w:t>
      </w:r>
      <w:bookmarkEnd w:id="34"/>
    </w:p>
    <w:p w14:paraId="3D9BAAAD" w14:textId="77777777" w:rsidR="008064BE" w:rsidRPr="003D5B5A" w:rsidRDefault="008064BE" w:rsidP="009B3CE0">
      <w:pPr>
        <w:pStyle w:val="Heading3"/>
      </w:pPr>
      <w:bookmarkStart w:id="35" w:name="_Toc23200828"/>
      <w:r w:rsidRPr="003D5B5A">
        <w:t xml:space="preserve">Upgrade informal settlements </w:t>
      </w:r>
      <w:r w:rsidR="00EE5F29">
        <w:t>incorporating</w:t>
      </w:r>
      <w:r w:rsidRPr="003D5B5A">
        <w:t xml:space="preserve"> a human rights-based approach</w:t>
      </w:r>
      <w:bookmarkEnd w:id="35"/>
    </w:p>
    <w:p w14:paraId="17EF9667" w14:textId="77777777" w:rsidR="008064BE" w:rsidRDefault="0055348C" w:rsidP="008064BE">
      <w:pPr>
        <w:jc w:val="both"/>
        <w:rPr>
          <w:rFonts w:cstheme="minorHAnsi"/>
          <w:bCs/>
        </w:rPr>
      </w:pPr>
      <w:r>
        <w:rPr>
          <w:rFonts w:cstheme="minorHAnsi"/>
          <w:bCs/>
        </w:rPr>
        <w:t>51.</w:t>
      </w:r>
      <w:r>
        <w:rPr>
          <w:rFonts w:cstheme="minorHAnsi"/>
          <w:bCs/>
        </w:rPr>
        <w:tab/>
      </w:r>
      <w:r w:rsidR="008064BE" w:rsidRPr="00F578FE">
        <w:rPr>
          <w:rFonts w:cstheme="minorHAnsi"/>
          <w:bCs/>
        </w:rPr>
        <w:t>Nearly one quarter of the world’s urban population live in informal settlements</w:t>
      </w:r>
      <w:r w:rsidR="008064BE">
        <w:rPr>
          <w:rFonts w:cstheme="minorHAnsi"/>
          <w:bCs/>
        </w:rPr>
        <w:t>, often in overcrowded, insecure dwellings, in areas that are prone to floods and other natural disasters, without water and sanitation, fearful of evictions and subject to preventable life-threatening illness</w:t>
      </w:r>
      <w:r w:rsidR="008064BE" w:rsidRPr="00F578FE">
        <w:rPr>
          <w:rFonts w:cstheme="minorHAnsi"/>
          <w:bCs/>
        </w:rPr>
        <w:t>.</w:t>
      </w:r>
      <w:r w:rsidR="008064BE" w:rsidRPr="00F578FE">
        <w:rPr>
          <w:rStyle w:val="FootnoteReference"/>
          <w:rFonts w:cstheme="minorHAnsi"/>
          <w:bCs/>
        </w:rPr>
        <w:footnoteReference w:id="99"/>
      </w:r>
      <w:r w:rsidR="003E35CC">
        <w:rPr>
          <w:rFonts w:cstheme="minorHAnsi"/>
          <w:bCs/>
        </w:rPr>
        <w:t xml:space="preserve"> Grossly inadequate informal settlements are </w:t>
      </w:r>
      <w:r w:rsidR="008064BE" w:rsidRPr="00EA2565">
        <w:rPr>
          <w:rFonts w:cstheme="minorHAnsi"/>
          <w:bCs/>
        </w:rPr>
        <w:t>one of the most pervasive violations of the human rights of dignity, security, health and life</w:t>
      </w:r>
      <w:r w:rsidR="008064BE">
        <w:rPr>
          <w:rFonts w:cstheme="minorHAnsi"/>
          <w:bCs/>
        </w:rPr>
        <w:t xml:space="preserve"> worldwide</w:t>
      </w:r>
      <w:r w:rsidR="003E35CC">
        <w:rPr>
          <w:rFonts w:cstheme="minorHAnsi"/>
          <w:bCs/>
        </w:rPr>
        <w:t>.</w:t>
      </w:r>
      <w:r w:rsidR="008064BE">
        <w:rPr>
          <w:rStyle w:val="FootnoteReference"/>
          <w:bCs/>
        </w:rPr>
        <w:footnoteReference w:id="100"/>
      </w:r>
      <w:r w:rsidR="008064BE" w:rsidRPr="00EA2565">
        <w:rPr>
          <w:rFonts w:cstheme="minorHAnsi"/>
          <w:bCs/>
        </w:rPr>
        <w:t xml:space="preserve"> </w:t>
      </w:r>
      <w:r w:rsidR="008064BE">
        <w:rPr>
          <w:rFonts w:cstheme="minorHAnsi"/>
          <w:bCs/>
        </w:rPr>
        <w:t xml:space="preserve">At the same time, informal settlements </w:t>
      </w:r>
      <w:r w:rsidR="00C40F3A">
        <w:rPr>
          <w:rFonts w:cstheme="minorHAnsi"/>
          <w:bCs/>
        </w:rPr>
        <w:t>can be</w:t>
      </w:r>
      <w:r w:rsidR="008064BE">
        <w:rPr>
          <w:rFonts w:cstheme="minorHAnsi"/>
          <w:bCs/>
        </w:rPr>
        <w:t xml:space="preserve"> </w:t>
      </w:r>
      <w:r w:rsidR="00C40F3A">
        <w:rPr>
          <w:rFonts w:cstheme="minorHAnsi"/>
          <w:bCs/>
        </w:rPr>
        <w:t xml:space="preserve">human scale </w:t>
      </w:r>
      <w:r w:rsidR="008064BE">
        <w:rPr>
          <w:rFonts w:cstheme="minorHAnsi"/>
          <w:bCs/>
        </w:rPr>
        <w:t xml:space="preserve">accomplishments </w:t>
      </w:r>
      <w:r w:rsidR="00C40F3A">
        <w:rPr>
          <w:rFonts w:cstheme="minorHAnsi"/>
          <w:bCs/>
        </w:rPr>
        <w:t xml:space="preserve">where people </w:t>
      </w:r>
      <w:r w:rsidR="008064BE">
        <w:rPr>
          <w:rFonts w:cstheme="minorHAnsi"/>
          <w:bCs/>
        </w:rPr>
        <w:t>create homes, community life and preserve culture in t</w:t>
      </w:r>
      <w:r w:rsidR="00C708B2">
        <w:rPr>
          <w:rFonts w:cstheme="minorHAnsi"/>
          <w:bCs/>
        </w:rPr>
        <w:t>he most adverse circumstances.</w:t>
      </w:r>
    </w:p>
    <w:p w14:paraId="5D69A1F1" w14:textId="77777777" w:rsidR="008064BE" w:rsidRDefault="0055348C" w:rsidP="008064BE">
      <w:pPr>
        <w:jc w:val="both"/>
        <w:rPr>
          <w:rFonts w:cstheme="minorHAnsi"/>
          <w:bCs/>
        </w:rPr>
      </w:pPr>
      <w:r>
        <w:rPr>
          <w:rFonts w:cstheme="minorHAnsi"/>
          <w:bCs/>
        </w:rPr>
        <w:t>52.</w:t>
      </w:r>
      <w:r>
        <w:rPr>
          <w:rFonts w:cstheme="minorHAnsi"/>
          <w:bCs/>
        </w:rPr>
        <w:tab/>
      </w:r>
      <w:r w:rsidR="00C40F3A">
        <w:rPr>
          <w:rFonts w:cstheme="minorHAnsi"/>
          <w:bCs/>
        </w:rPr>
        <w:t>States often view i</w:t>
      </w:r>
      <w:r w:rsidR="008064BE">
        <w:rPr>
          <w:rFonts w:cstheme="minorHAnsi"/>
          <w:bCs/>
        </w:rPr>
        <w:t xml:space="preserve">nformal settlements as “slums” </w:t>
      </w:r>
      <w:r w:rsidR="00C40F3A">
        <w:rPr>
          <w:rFonts w:cstheme="minorHAnsi"/>
          <w:bCs/>
        </w:rPr>
        <w:t xml:space="preserve">that need to </w:t>
      </w:r>
      <w:r w:rsidR="008064BE">
        <w:rPr>
          <w:rFonts w:cstheme="minorHAnsi"/>
          <w:bCs/>
        </w:rPr>
        <w:t>be ‘cleared’.</w:t>
      </w:r>
      <w:r w:rsidR="00C40F3A">
        <w:rPr>
          <w:rFonts w:cstheme="minorHAnsi"/>
          <w:bCs/>
        </w:rPr>
        <w:t xml:space="preserve"> </w:t>
      </w:r>
      <w:r w:rsidR="008064BE">
        <w:rPr>
          <w:rFonts w:cstheme="minorHAnsi"/>
          <w:bCs/>
        </w:rPr>
        <w:t>Instead of being supported to improve their housing and to liberate the capacities of their communities, residents of informal settlements are too often criminalized, denied services and</w:t>
      </w:r>
      <w:r w:rsidR="0088402F">
        <w:rPr>
          <w:rFonts w:cstheme="minorHAnsi"/>
          <w:bCs/>
        </w:rPr>
        <w:t xml:space="preserve"> </w:t>
      </w:r>
      <w:r w:rsidR="008064BE">
        <w:rPr>
          <w:rFonts w:cstheme="minorHAnsi"/>
          <w:bCs/>
        </w:rPr>
        <w:t>often forcibly and violently evicted, and their homes and belongings destroyed. When they are relocated to alternat</w:t>
      </w:r>
      <w:r w:rsidR="00C40F3A">
        <w:rPr>
          <w:rFonts w:cstheme="minorHAnsi"/>
          <w:bCs/>
        </w:rPr>
        <w:t xml:space="preserve">ive housing, </w:t>
      </w:r>
      <w:r w:rsidR="008064BE">
        <w:rPr>
          <w:rFonts w:cstheme="minorHAnsi"/>
          <w:bCs/>
        </w:rPr>
        <w:t xml:space="preserve">it is often </w:t>
      </w:r>
      <w:r w:rsidR="00C40F3A">
        <w:rPr>
          <w:rFonts w:cstheme="minorHAnsi"/>
          <w:bCs/>
        </w:rPr>
        <w:t xml:space="preserve">inadequate, </w:t>
      </w:r>
      <w:r w:rsidR="0088402F">
        <w:rPr>
          <w:rFonts w:cstheme="minorHAnsi"/>
          <w:bCs/>
        </w:rPr>
        <w:t>at some distance</w:t>
      </w:r>
      <w:r w:rsidR="00C40F3A">
        <w:rPr>
          <w:rFonts w:cstheme="minorHAnsi"/>
          <w:bCs/>
        </w:rPr>
        <w:t xml:space="preserve"> from t</w:t>
      </w:r>
      <w:r w:rsidR="008064BE">
        <w:rPr>
          <w:rFonts w:cstheme="minorHAnsi"/>
          <w:bCs/>
        </w:rPr>
        <w:t>heir original homes, on the outskirts of cities, far from employment or community life</w:t>
      </w:r>
      <w:r w:rsidR="00C40F3A">
        <w:rPr>
          <w:rFonts w:cstheme="minorHAnsi"/>
          <w:bCs/>
        </w:rPr>
        <w:t xml:space="preserve"> and without access to adequate transportation</w:t>
      </w:r>
      <w:r w:rsidR="008064BE">
        <w:rPr>
          <w:rFonts w:cstheme="minorHAnsi"/>
          <w:bCs/>
        </w:rPr>
        <w:t>.</w:t>
      </w:r>
    </w:p>
    <w:p w14:paraId="3876810E" w14:textId="2CDD5993" w:rsidR="008064BE" w:rsidRDefault="0055348C" w:rsidP="008064BE">
      <w:pPr>
        <w:jc w:val="both"/>
        <w:rPr>
          <w:rFonts w:cstheme="minorHAnsi"/>
          <w:bCs/>
        </w:rPr>
      </w:pPr>
      <w:r>
        <w:rPr>
          <w:rFonts w:cstheme="minorHAnsi"/>
          <w:bCs/>
        </w:rPr>
        <w:t>53.</w:t>
      </w:r>
      <w:r>
        <w:rPr>
          <w:rFonts w:cstheme="minorHAnsi"/>
          <w:bCs/>
        </w:rPr>
        <w:tab/>
      </w:r>
      <w:r w:rsidR="008064BE">
        <w:rPr>
          <w:rFonts w:cstheme="minorHAnsi"/>
          <w:bCs/>
        </w:rPr>
        <w:t>Under the 2030 Agenda for Sustainable Development, States have committed to “upgrade slums” and ensure adequate housing for all (target 11.1).</w:t>
      </w:r>
      <w:r w:rsidR="008064BE">
        <w:rPr>
          <w:rStyle w:val="FootnoteReference"/>
          <w:bCs/>
        </w:rPr>
        <w:footnoteReference w:id="101"/>
      </w:r>
      <w:r w:rsidR="008064BE">
        <w:rPr>
          <w:rFonts w:cstheme="minorHAnsi"/>
          <w:bCs/>
        </w:rPr>
        <w:t xml:space="preserve"> As indicated by the CESCR, a State is in prima facie violation of the right to adequate housing if a significant portion of the population does not have access to basic shelter and housing.</w:t>
      </w:r>
      <w:r w:rsidR="008064BE">
        <w:rPr>
          <w:rStyle w:val="FootnoteReference"/>
          <w:bCs/>
        </w:rPr>
        <w:footnoteReference w:id="102"/>
      </w:r>
      <w:r w:rsidR="008064BE">
        <w:rPr>
          <w:rFonts w:cstheme="minorHAnsi"/>
          <w:bCs/>
        </w:rPr>
        <w:t xml:space="preserve"> </w:t>
      </w:r>
      <w:r w:rsidR="008064BE" w:rsidRPr="00EA2565">
        <w:rPr>
          <w:rFonts w:cstheme="minorHAnsi"/>
          <w:bCs/>
        </w:rPr>
        <w:t>I</w:t>
      </w:r>
      <w:r w:rsidR="008064BE">
        <w:rPr>
          <w:rFonts w:cstheme="minorHAnsi"/>
          <w:bCs/>
        </w:rPr>
        <w:t xml:space="preserve">nstead of “eradicating” informal settlements and displacing residents to </w:t>
      </w:r>
      <w:r w:rsidR="0088402F">
        <w:rPr>
          <w:rFonts w:cstheme="minorHAnsi"/>
          <w:bCs/>
        </w:rPr>
        <w:t>remote</w:t>
      </w:r>
      <w:r w:rsidR="008064BE">
        <w:rPr>
          <w:rFonts w:cstheme="minorHAnsi"/>
          <w:bCs/>
        </w:rPr>
        <w:t xml:space="preserve"> locations, States should engage with </w:t>
      </w:r>
      <w:r w:rsidR="00507FF0">
        <w:rPr>
          <w:rFonts w:cstheme="minorHAnsi"/>
          <w:bCs/>
        </w:rPr>
        <w:t>residents of informal settlements</w:t>
      </w:r>
      <w:r w:rsidR="008064BE">
        <w:rPr>
          <w:rFonts w:cstheme="minorHAnsi"/>
          <w:bCs/>
        </w:rPr>
        <w:t xml:space="preserve"> to build on their capacities, </w:t>
      </w:r>
      <w:r w:rsidR="00507FF0">
        <w:rPr>
          <w:rFonts w:cstheme="minorHAnsi"/>
          <w:bCs/>
        </w:rPr>
        <w:t xml:space="preserve">improve conditions and keep communities intact. </w:t>
      </w:r>
    </w:p>
    <w:p w14:paraId="3541BC25" w14:textId="77777777" w:rsidR="00AE70F4" w:rsidRDefault="0055348C" w:rsidP="008064BE">
      <w:pPr>
        <w:jc w:val="both"/>
        <w:rPr>
          <w:rFonts w:cstheme="minorHAnsi"/>
          <w:bCs/>
        </w:rPr>
      </w:pPr>
      <w:r>
        <w:rPr>
          <w:rFonts w:cstheme="minorHAnsi"/>
          <w:bCs/>
        </w:rPr>
        <w:t>54.</w:t>
      </w:r>
      <w:r>
        <w:rPr>
          <w:rFonts w:cstheme="minorHAnsi"/>
          <w:bCs/>
        </w:rPr>
        <w:tab/>
      </w:r>
      <w:r w:rsidR="00AE70F4">
        <w:rPr>
          <w:rFonts w:cstheme="minorHAnsi"/>
          <w:bCs/>
        </w:rPr>
        <w:t>States must be practical. Ensuring adequate housing for all by 2030 is a target that will be difficult to meet through the creation of new housing supply alone, in light of costs and a short time horizon. It makes far more sense to meet</w:t>
      </w:r>
      <w:r w:rsidR="00002685">
        <w:rPr>
          <w:rFonts w:cstheme="minorHAnsi"/>
          <w:bCs/>
        </w:rPr>
        <w:t xml:space="preserve"> </w:t>
      </w:r>
      <w:r w:rsidR="00AE70F4">
        <w:rPr>
          <w:rFonts w:cstheme="minorHAnsi"/>
          <w:bCs/>
        </w:rPr>
        <w:t xml:space="preserve">this target </w:t>
      </w:r>
      <w:r w:rsidR="00002685">
        <w:rPr>
          <w:rFonts w:cstheme="minorHAnsi"/>
          <w:bCs/>
        </w:rPr>
        <w:t>through a combined strategy of building new supply while also r</w:t>
      </w:r>
      <w:r w:rsidR="00AE70F4">
        <w:rPr>
          <w:rFonts w:cstheme="minorHAnsi"/>
          <w:bCs/>
        </w:rPr>
        <w:t xml:space="preserve">egularizing and upgrading </w:t>
      </w:r>
      <w:r w:rsidR="00002685">
        <w:rPr>
          <w:rFonts w:cstheme="minorHAnsi"/>
          <w:bCs/>
        </w:rPr>
        <w:t xml:space="preserve">existing </w:t>
      </w:r>
      <w:r w:rsidR="00AE70F4">
        <w:rPr>
          <w:rFonts w:cstheme="minorHAnsi"/>
          <w:bCs/>
        </w:rPr>
        <w:t xml:space="preserve">informal settlements to ensure they meet housing adequacy standards as outlined in international human rights law. </w:t>
      </w:r>
    </w:p>
    <w:p w14:paraId="35DBAAEA" w14:textId="5D988043" w:rsidR="008064BE" w:rsidRPr="00945068" w:rsidRDefault="008064BE" w:rsidP="005F3828">
      <w:pPr>
        <w:rPr>
          <w:b/>
          <w:bCs/>
        </w:rPr>
      </w:pPr>
      <w:r w:rsidRPr="00945068">
        <w:rPr>
          <w:b/>
          <w:bCs/>
        </w:rPr>
        <w:t xml:space="preserve">Implementation </w:t>
      </w:r>
      <w:r w:rsidR="00121444" w:rsidRPr="00945068">
        <w:rPr>
          <w:b/>
          <w:bCs/>
        </w:rPr>
        <w:t>M</w:t>
      </w:r>
      <w:r w:rsidRPr="00945068">
        <w:rPr>
          <w:b/>
          <w:bCs/>
        </w:rPr>
        <w:t>easures</w:t>
      </w:r>
      <w:r w:rsidR="009B3CE0" w:rsidRPr="00945068">
        <w:rPr>
          <w:b/>
          <w:bCs/>
        </w:rPr>
        <w:t>:</w:t>
      </w:r>
    </w:p>
    <w:p w14:paraId="473893D2" w14:textId="77777777" w:rsidR="000300F5" w:rsidRDefault="00B731F2" w:rsidP="003B76A1">
      <w:pPr>
        <w:pStyle w:val="ListParagraph"/>
        <w:numPr>
          <w:ilvl w:val="0"/>
          <w:numId w:val="17"/>
        </w:numPr>
        <w:spacing w:after="120"/>
        <w:contextualSpacing w:val="0"/>
        <w:jc w:val="both"/>
        <w:rPr>
          <w:rFonts w:cstheme="minorHAnsi"/>
          <w:bCs/>
        </w:rPr>
      </w:pPr>
      <w:r>
        <w:rPr>
          <w:rFonts w:cstheme="minorHAnsi"/>
          <w:bCs/>
        </w:rPr>
        <w:t>States should adopt a rights-based approach to upgrading of informal settlements in accordance with the core principles outlined by the Special Rapporteur in her thematic report on this subject.</w:t>
      </w:r>
      <w:r>
        <w:rPr>
          <w:rStyle w:val="FootnoteReference"/>
          <w:bCs/>
        </w:rPr>
        <w:footnoteReference w:id="103"/>
      </w:r>
      <w:r w:rsidR="000300F5">
        <w:rPr>
          <w:rFonts w:cstheme="minorHAnsi"/>
          <w:bCs/>
        </w:rPr>
        <w:t xml:space="preserve"> </w:t>
      </w:r>
    </w:p>
    <w:p w14:paraId="6BF950C5" w14:textId="77777777" w:rsidR="00D71D74" w:rsidRDefault="008064BE" w:rsidP="003B76A1">
      <w:pPr>
        <w:pStyle w:val="ListParagraph"/>
        <w:numPr>
          <w:ilvl w:val="0"/>
          <w:numId w:val="17"/>
        </w:numPr>
        <w:spacing w:after="120"/>
        <w:ind w:left="714" w:hanging="357"/>
        <w:contextualSpacing w:val="0"/>
        <w:jc w:val="both"/>
        <w:rPr>
          <w:rFonts w:cstheme="minorHAnsi"/>
          <w:bCs/>
        </w:rPr>
      </w:pPr>
      <w:r w:rsidRPr="00D71D74">
        <w:rPr>
          <w:rFonts w:cstheme="minorHAnsi"/>
          <w:bCs/>
        </w:rPr>
        <w:t>All upgrading programmes must comply with the right to adequate housing, aiming to ensure that everyone, without discrimination, can live, in security, peace and dignity, in housing with secure tenure, that is affordable, habitable, culturally adequate, in a decent location, accessible, and where services are availabl</w:t>
      </w:r>
      <w:r w:rsidR="00D71D74">
        <w:rPr>
          <w:rFonts w:cstheme="minorHAnsi"/>
          <w:bCs/>
        </w:rPr>
        <w:t xml:space="preserve">e. </w:t>
      </w:r>
    </w:p>
    <w:p w14:paraId="4CEBBDC3" w14:textId="77777777" w:rsidR="00D71D74" w:rsidRDefault="00D71D74" w:rsidP="003B76A1">
      <w:pPr>
        <w:pStyle w:val="ListParagraph"/>
        <w:numPr>
          <w:ilvl w:val="0"/>
          <w:numId w:val="17"/>
        </w:numPr>
        <w:spacing w:after="120"/>
        <w:ind w:left="714" w:hanging="357"/>
        <w:contextualSpacing w:val="0"/>
        <w:jc w:val="both"/>
        <w:rPr>
          <w:rFonts w:cstheme="minorHAnsi"/>
          <w:bCs/>
        </w:rPr>
      </w:pPr>
      <w:r w:rsidRPr="00D71D74">
        <w:rPr>
          <w:rFonts w:cstheme="minorHAnsi"/>
          <w:bCs/>
        </w:rPr>
        <w:t>Upgrading</w:t>
      </w:r>
      <w:r>
        <w:rPr>
          <w:rStyle w:val="CommentReference"/>
        </w:rPr>
        <w:t xml:space="preserve"> </w:t>
      </w:r>
      <w:r w:rsidRPr="00D71D74">
        <w:rPr>
          <w:rFonts w:cstheme="minorHAnsi"/>
          <w:bCs/>
        </w:rPr>
        <w:t>programmes should provide continued access of residents to their livelihoods, and support economic development of the community</w:t>
      </w:r>
      <w:r w:rsidR="000300F5">
        <w:rPr>
          <w:rFonts w:cstheme="minorHAnsi"/>
          <w:bCs/>
        </w:rPr>
        <w:t>.</w:t>
      </w:r>
    </w:p>
    <w:p w14:paraId="2D0359A2" w14:textId="77777777" w:rsidR="00D71D74" w:rsidRPr="00D71D74" w:rsidRDefault="00D71D74" w:rsidP="003B76A1">
      <w:pPr>
        <w:pStyle w:val="ListParagraph"/>
        <w:numPr>
          <w:ilvl w:val="0"/>
          <w:numId w:val="17"/>
        </w:numPr>
        <w:spacing w:after="120"/>
        <w:ind w:left="714" w:hanging="357"/>
        <w:contextualSpacing w:val="0"/>
        <w:jc w:val="both"/>
        <w:rPr>
          <w:rFonts w:cstheme="minorHAnsi"/>
          <w:bCs/>
        </w:rPr>
      </w:pPr>
      <w:r w:rsidRPr="00D71D74">
        <w:rPr>
          <w:rFonts w:cstheme="minorHAnsi"/>
          <w:bCs/>
        </w:rPr>
        <w:lastRenderedPageBreak/>
        <w:t>Upgrading programmes should be community-led, inclusive, and enabling, providing for rights-based participation and accountability in their design and implementation.</w:t>
      </w:r>
      <w:r>
        <w:rPr>
          <w:vertAlign w:val="superscript"/>
        </w:rPr>
        <w:footnoteReference w:id="104"/>
      </w:r>
      <w:r w:rsidRPr="00D71D74" w:rsidDel="00B7054C">
        <w:rPr>
          <w:rFonts w:cstheme="minorHAnsi"/>
          <w:bCs/>
        </w:rPr>
        <w:t xml:space="preserve"> </w:t>
      </w:r>
      <w:r>
        <w:rPr>
          <w:rFonts w:cstheme="minorHAnsi"/>
          <w:bCs/>
        </w:rPr>
        <w:t>They should integrate residents’ skills and labour whenever possible.</w:t>
      </w:r>
    </w:p>
    <w:p w14:paraId="2D056F29" w14:textId="77777777" w:rsidR="00D71D74" w:rsidRDefault="008064BE" w:rsidP="003B76A1">
      <w:pPr>
        <w:pStyle w:val="ListParagraph"/>
        <w:numPr>
          <w:ilvl w:val="0"/>
          <w:numId w:val="17"/>
        </w:numPr>
        <w:spacing w:after="120"/>
        <w:ind w:left="714" w:hanging="357"/>
        <w:contextualSpacing w:val="0"/>
        <w:jc w:val="both"/>
        <w:rPr>
          <w:rFonts w:cstheme="minorHAnsi"/>
          <w:bCs/>
        </w:rPr>
      </w:pPr>
      <w:r w:rsidRPr="00CB6622">
        <w:rPr>
          <w:rFonts w:cstheme="minorHAnsi"/>
          <w:bCs/>
        </w:rPr>
        <w:t>All upgrading plans should be reviewed and overseen by an independent authority or “upgrading ombudsperson” to ensure compliance with the right to housing, to receive complaints, hold hearings and information sessions within the community and liaise with gover</w:t>
      </w:r>
      <w:r w:rsidR="00D71D74">
        <w:rPr>
          <w:rFonts w:cstheme="minorHAnsi"/>
          <w:bCs/>
        </w:rPr>
        <w:t xml:space="preserve">nments, planners, contractors, </w:t>
      </w:r>
      <w:r w:rsidRPr="00CB6622">
        <w:rPr>
          <w:rFonts w:cstheme="minorHAnsi"/>
          <w:bCs/>
        </w:rPr>
        <w:t xml:space="preserve">financial institutions and others to ensure </w:t>
      </w:r>
      <w:r>
        <w:rPr>
          <w:rFonts w:cstheme="minorHAnsi"/>
          <w:bCs/>
        </w:rPr>
        <w:t>compliance with human rights.</w:t>
      </w:r>
    </w:p>
    <w:p w14:paraId="6FFA6AF7" w14:textId="77777777" w:rsidR="00D71D74" w:rsidRDefault="008064BE" w:rsidP="003B76A1">
      <w:pPr>
        <w:pStyle w:val="ListParagraph"/>
        <w:numPr>
          <w:ilvl w:val="0"/>
          <w:numId w:val="17"/>
        </w:numPr>
        <w:spacing w:after="120"/>
        <w:ind w:left="714" w:hanging="357"/>
        <w:contextualSpacing w:val="0"/>
        <w:jc w:val="both"/>
        <w:rPr>
          <w:rFonts w:cstheme="minorHAnsi"/>
          <w:bCs/>
        </w:rPr>
      </w:pPr>
      <w:r>
        <w:rPr>
          <w:rFonts w:cstheme="minorHAnsi"/>
          <w:bCs/>
        </w:rPr>
        <w:t xml:space="preserve">Governments should be held accountable, through human rights institutions and courts to their obligation to facilitate and support transforming </w:t>
      </w:r>
      <w:r w:rsidRPr="0003192B">
        <w:rPr>
          <w:rFonts w:cstheme="minorHAnsi"/>
          <w:bCs/>
        </w:rPr>
        <w:t>informally</w:t>
      </w:r>
      <w:r>
        <w:rPr>
          <w:rFonts w:cstheme="minorHAnsi"/>
          <w:bCs/>
        </w:rPr>
        <w:t>-</w:t>
      </w:r>
      <w:r w:rsidRPr="0003192B">
        <w:rPr>
          <w:rFonts w:cstheme="minorHAnsi"/>
          <w:bCs/>
        </w:rPr>
        <w:t xml:space="preserve">built housing into </w:t>
      </w:r>
      <w:r>
        <w:rPr>
          <w:rFonts w:cstheme="minorHAnsi"/>
          <w:bCs/>
        </w:rPr>
        <w:t xml:space="preserve">formally recognized </w:t>
      </w:r>
      <w:r w:rsidRPr="0003192B">
        <w:rPr>
          <w:rFonts w:cstheme="minorHAnsi"/>
          <w:bCs/>
        </w:rPr>
        <w:t xml:space="preserve">housing </w:t>
      </w:r>
      <w:r>
        <w:rPr>
          <w:rFonts w:cstheme="minorHAnsi"/>
          <w:bCs/>
        </w:rPr>
        <w:t xml:space="preserve">that </w:t>
      </w:r>
      <w:r w:rsidRPr="0003192B">
        <w:rPr>
          <w:rFonts w:cstheme="minorHAnsi"/>
          <w:bCs/>
        </w:rPr>
        <w:t>meet</w:t>
      </w:r>
      <w:r>
        <w:rPr>
          <w:rFonts w:cstheme="minorHAnsi"/>
          <w:bCs/>
        </w:rPr>
        <w:t>s</w:t>
      </w:r>
      <w:r w:rsidRPr="0003192B">
        <w:rPr>
          <w:rFonts w:cstheme="minorHAnsi"/>
          <w:bCs/>
        </w:rPr>
        <w:t xml:space="preserve"> basic security, health and adequacy standards </w:t>
      </w:r>
      <w:r w:rsidRPr="008C25CC">
        <w:rPr>
          <w:rFonts w:cstheme="minorHAnsi"/>
          <w:bCs/>
        </w:rPr>
        <w:t>within the shortest possible time, by all appropriate means, using the</w:t>
      </w:r>
      <w:r>
        <w:rPr>
          <w:rFonts w:cstheme="minorHAnsi"/>
          <w:bCs/>
        </w:rPr>
        <w:t xml:space="preserve"> maximum of available resources</w:t>
      </w:r>
      <w:r w:rsidRPr="0003192B">
        <w:rPr>
          <w:rFonts w:cstheme="minorHAnsi"/>
          <w:bCs/>
        </w:rPr>
        <w:t>.</w:t>
      </w:r>
      <w:r>
        <w:rPr>
          <w:rFonts w:cstheme="minorHAnsi"/>
          <w:bCs/>
        </w:rPr>
        <w:t xml:space="preserve">  Goals and timelines should be established commensurate with the commitment to upgrade all informal settlements by 2030, with meaningful accountability mechanisms in place to ensure that timelines are met.</w:t>
      </w:r>
    </w:p>
    <w:p w14:paraId="4A9BB459" w14:textId="77777777" w:rsidR="00D71D74" w:rsidRDefault="000300F5" w:rsidP="003B76A1">
      <w:pPr>
        <w:pStyle w:val="ListParagraph"/>
        <w:numPr>
          <w:ilvl w:val="0"/>
          <w:numId w:val="17"/>
        </w:numPr>
        <w:spacing w:after="120"/>
        <w:ind w:left="714" w:hanging="357"/>
        <w:contextualSpacing w:val="0"/>
        <w:rPr>
          <w:rFonts w:cstheme="minorHAnsi"/>
          <w:bCs/>
          <w:lang w:val="en-US"/>
        </w:rPr>
      </w:pPr>
      <w:r w:rsidRPr="000300F5">
        <w:rPr>
          <w:rFonts w:cstheme="minorHAnsi"/>
          <w:bCs/>
        </w:rPr>
        <w:t xml:space="preserve">States should recognize the right of residents to remain </w:t>
      </w:r>
      <w:r w:rsidRPr="000300F5">
        <w:rPr>
          <w:rFonts w:cstheme="minorHAnsi"/>
          <w:bCs/>
          <w:i/>
        </w:rPr>
        <w:t>in situ</w:t>
      </w:r>
      <w:r w:rsidRPr="000300F5">
        <w:rPr>
          <w:rFonts w:cstheme="minorHAnsi"/>
          <w:bCs/>
        </w:rPr>
        <w:t xml:space="preserve"> whenever possible and when desired by residents.  Relocation should only be required, after all other options have been explored, and through meaningful engagement with residents.</w:t>
      </w:r>
      <w:r w:rsidRPr="00CB682B">
        <w:rPr>
          <w:rFonts w:cstheme="minorHAnsi"/>
          <w:bCs/>
          <w:vertAlign w:val="superscript"/>
          <w:lang w:val="en-US"/>
        </w:rPr>
        <w:footnoteReference w:id="105"/>
      </w:r>
      <w:r w:rsidRPr="000300F5">
        <w:rPr>
          <w:rFonts w:cstheme="minorHAnsi"/>
          <w:bCs/>
          <w:lang w:val="en-US"/>
        </w:rPr>
        <w:t xml:space="preserve"> </w:t>
      </w:r>
    </w:p>
    <w:p w14:paraId="29CCF9D1" w14:textId="77777777" w:rsidR="00C25D35" w:rsidRPr="00D71D74" w:rsidRDefault="008064BE" w:rsidP="003B76A1">
      <w:pPr>
        <w:pStyle w:val="ListParagraph"/>
        <w:numPr>
          <w:ilvl w:val="0"/>
          <w:numId w:val="17"/>
        </w:numPr>
        <w:spacing w:after="120"/>
        <w:contextualSpacing w:val="0"/>
        <w:rPr>
          <w:rFonts w:cstheme="minorHAnsi"/>
          <w:bCs/>
        </w:rPr>
      </w:pPr>
      <w:r w:rsidRPr="00FA149A">
        <w:rPr>
          <w:rFonts w:cstheme="minorHAnsi"/>
          <w:bCs/>
        </w:rPr>
        <w:t xml:space="preserve">Any relocation must </w:t>
      </w:r>
      <w:r>
        <w:rPr>
          <w:rFonts w:cstheme="minorHAnsi"/>
          <w:bCs/>
        </w:rPr>
        <w:t xml:space="preserve">comply </w:t>
      </w:r>
      <w:r w:rsidRPr="00FA149A">
        <w:rPr>
          <w:rFonts w:cstheme="minorHAnsi"/>
          <w:bCs/>
        </w:rPr>
        <w:t>with the</w:t>
      </w:r>
      <w:r w:rsidRPr="00FA149A">
        <w:rPr>
          <w:rFonts w:cstheme="minorHAnsi"/>
          <w:bCs/>
          <w:lang w:val="en-US"/>
        </w:rPr>
        <w:t xml:space="preserve"> </w:t>
      </w:r>
      <w:r w:rsidRPr="00402DC0">
        <w:rPr>
          <w:rFonts w:cstheme="minorHAnsi"/>
          <w:bCs/>
          <w:lang w:val="en-US"/>
        </w:rPr>
        <w:t>Basic Principles and Guidelines on Development-Based Evictions and Displacement</w:t>
      </w:r>
      <w:r w:rsidRPr="006A2D7B">
        <w:rPr>
          <w:rFonts w:cstheme="minorHAnsi"/>
          <w:bCs/>
          <w:lang w:val="en-US"/>
        </w:rPr>
        <w:t xml:space="preserve"> </w:t>
      </w:r>
      <w:r w:rsidRPr="00B97EF8">
        <w:rPr>
          <w:rFonts w:cstheme="minorHAnsi"/>
          <w:bCs/>
          <w:lang w:val="en-US"/>
        </w:rPr>
        <w:t xml:space="preserve">and with General Comments </w:t>
      </w:r>
      <w:r>
        <w:rPr>
          <w:rFonts w:cstheme="minorHAnsi"/>
          <w:bCs/>
          <w:lang w:val="en-US"/>
        </w:rPr>
        <w:t xml:space="preserve">No. </w:t>
      </w:r>
      <w:r w:rsidRPr="00B97EF8">
        <w:rPr>
          <w:rFonts w:cstheme="minorHAnsi"/>
          <w:bCs/>
          <w:lang w:val="en-US"/>
        </w:rPr>
        <w:t>4 and 7</w:t>
      </w:r>
      <w:r>
        <w:rPr>
          <w:rFonts w:cstheme="minorHAnsi"/>
          <w:bCs/>
          <w:lang w:val="en-US"/>
        </w:rPr>
        <w:t xml:space="preserve"> of the Committee on Economic, Social and Cultural Rights</w:t>
      </w:r>
      <w:r w:rsidRPr="00B97EF8">
        <w:rPr>
          <w:rFonts w:cstheme="minorHAnsi"/>
          <w:bCs/>
          <w:lang w:val="en-US"/>
        </w:rPr>
        <w:t xml:space="preserve">.  This means that, </w:t>
      </w:r>
      <w:r w:rsidRPr="006A2D7B">
        <w:rPr>
          <w:rFonts w:cstheme="minorHAnsi"/>
          <w:bCs/>
          <w:i/>
          <w:iCs/>
          <w:lang w:val="en-US"/>
        </w:rPr>
        <w:t>inter alia,</w:t>
      </w:r>
      <w:r w:rsidRPr="00B97EF8">
        <w:rPr>
          <w:rFonts w:cstheme="minorHAnsi"/>
          <w:bCs/>
          <w:lang w:val="en-US"/>
        </w:rPr>
        <w:t xml:space="preserve"> affected persons and their advocates must have opportunities to</w:t>
      </w:r>
      <w:r>
        <w:rPr>
          <w:rFonts w:cstheme="minorHAnsi"/>
          <w:bCs/>
          <w:lang w:val="en-US"/>
        </w:rPr>
        <w:t xml:space="preserve"> review the</w:t>
      </w:r>
      <w:r w:rsidRPr="00FA149A">
        <w:rPr>
          <w:rFonts w:cstheme="minorHAnsi"/>
          <w:bCs/>
          <w:lang w:val="en-US"/>
        </w:rPr>
        <w:t xml:space="preserve"> </w:t>
      </w:r>
      <w:r w:rsidRPr="00CB682B">
        <w:rPr>
          <w:rFonts w:cstheme="minorHAnsi"/>
          <w:bCs/>
          <w:lang w:val="en-US"/>
        </w:rPr>
        <w:t>full details of all proposed alternatives and all the measures taken and foreseen to minimize the adverse effects of evictions.</w:t>
      </w:r>
      <w:r w:rsidRPr="00CB682B">
        <w:rPr>
          <w:rFonts w:cstheme="minorHAnsi"/>
          <w:bCs/>
          <w:vertAlign w:val="superscript"/>
          <w:lang w:val="en-US"/>
        </w:rPr>
        <w:footnoteReference w:id="106"/>
      </w:r>
      <w:r>
        <w:rPr>
          <w:rFonts w:cstheme="minorHAnsi"/>
          <w:bCs/>
          <w:lang w:val="en-US"/>
        </w:rPr>
        <w:t xml:space="preserve">  They must be able to c</w:t>
      </w:r>
      <w:r w:rsidRPr="00FA149A">
        <w:rPr>
          <w:rFonts w:cstheme="minorHAnsi"/>
          <w:bCs/>
          <w:lang w:val="en-US"/>
        </w:rPr>
        <w:t>hallenge any decision, to present alternative proposals</w:t>
      </w:r>
      <w:r>
        <w:rPr>
          <w:rFonts w:cstheme="minorHAnsi"/>
          <w:bCs/>
          <w:lang w:val="en-US"/>
        </w:rPr>
        <w:t xml:space="preserve"> and </w:t>
      </w:r>
      <w:r w:rsidRPr="00FA149A">
        <w:rPr>
          <w:rFonts w:cstheme="minorHAnsi"/>
          <w:bCs/>
          <w:lang w:val="en-US"/>
        </w:rPr>
        <w:t>to articulate their demands and development priorities</w:t>
      </w:r>
      <w:r>
        <w:rPr>
          <w:rFonts w:cstheme="minorHAnsi"/>
          <w:bCs/>
          <w:lang w:val="en-US"/>
        </w:rPr>
        <w:t>.</w:t>
      </w:r>
      <w:r w:rsidRPr="00CB682B">
        <w:rPr>
          <w:vertAlign w:val="superscript"/>
          <w:lang w:val="en-US"/>
        </w:rPr>
        <w:footnoteReference w:id="107"/>
      </w:r>
    </w:p>
    <w:p w14:paraId="37987DB3" w14:textId="77777777" w:rsidR="00C25D35" w:rsidRDefault="00C25D35" w:rsidP="00C25D35">
      <w:pPr>
        <w:tabs>
          <w:tab w:val="left" w:pos="1343"/>
        </w:tabs>
        <w:rPr>
          <w:bCs/>
          <w:u w:val="single"/>
        </w:rPr>
      </w:pPr>
    </w:p>
    <w:p w14:paraId="701B0D66" w14:textId="707550F6" w:rsidR="00C25D35" w:rsidRPr="00230F08" w:rsidRDefault="00C25D35" w:rsidP="009B3CE0">
      <w:pPr>
        <w:pStyle w:val="Heading2"/>
      </w:pPr>
      <w:bookmarkStart w:id="36" w:name="_Toc23200829"/>
      <w:r w:rsidRPr="00230F08">
        <w:t xml:space="preserve">Guideline </w:t>
      </w:r>
      <w:r w:rsidR="00121444">
        <w:t>N</w:t>
      </w:r>
      <w:r w:rsidRPr="00230F08">
        <w:t>o. 1</w:t>
      </w:r>
      <w:r w:rsidR="006960B5">
        <w:t>3</w:t>
      </w:r>
      <w:bookmarkEnd w:id="36"/>
    </w:p>
    <w:p w14:paraId="58DDE5EF" w14:textId="77777777" w:rsidR="00C25D35" w:rsidRPr="006960B5" w:rsidRDefault="00B023C8" w:rsidP="009B3CE0">
      <w:pPr>
        <w:pStyle w:val="Heading3"/>
      </w:pPr>
      <w:bookmarkStart w:id="37" w:name="_Toc23200830"/>
      <w:r>
        <w:t>Prohibit forced evictions and p</w:t>
      </w:r>
      <w:r w:rsidR="00C25D35" w:rsidRPr="00215F99">
        <w:t xml:space="preserve">revent </w:t>
      </w:r>
      <w:r>
        <w:t xml:space="preserve">any </w:t>
      </w:r>
      <w:r w:rsidR="00C25D35" w:rsidRPr="00215F99">
        <w:t>evictions</w:t>
      </w:r>
      <w:bookmarkEnd w:id="37"/>
    </w:p>
    <w:p w14:paraId="53CAE09C" w14:textId="77777777" w:rsidR="00DA42B1" w:rsidRDefault="0055348C" w:rsidP="0055348C">
      <w:pPr>
        <w:tabs>
          <w:tab w:val="left" w:pos="567"/>
        </w:tabs>
        <w:jc w:val="both"/>
      </w:pPr>
      <w:r>
        <w:t>55.</w:t>
      </w:r>
      <w:r>
        <w:tab/>
      </w:r>
      <w:r w:rsidR="00DA42B1">
        <w:t>Forced evictions are defined as “</w:t>
      </w:r>
      <w:r w:rsidR="00DA42B1" w:rsidRPr="007F4854">
        <w:t>the permanent or temporary removal against their will of individuals, families and/or communities from the homes and/or land which they occupy, without the provision of and access to appropriate forms of legal or other protection</w:t>
      </w:r>
      <w:r w:rsidR="00DA42B1">
        <w:t>.</w:t>
      </w:r>
      <w:r w:rsidR="00DA42B1" w:rsidRPr="007F4854">
        <w:t>”</w:t>
      </w:r>
      <w:r w:rsidR="00DA42B1">
        <w:rPr>
          <w:rStyle w:val="FootnoteReference"/>
        </w:rPr>
        <w:footnoteReference w:id="108"/>
      </w:r>
      <w:r w:rsidR="00DA42B1">
        <w:t xml:space="preserve"> They have long been recognized as a gross violation of human rights which must be prohibited, and subject to prosecution of those responsible and reparation for victims.</w:t>
      </w:r>
      <w:r w:rsidR="00DA42B1">
        <w:rPr>
          <w:rStyle w:val="FootnoteReference"/>
        </w:rPr>
        <w:footnoteReference w:id="109"/>
      </w:r>
    </w:p>
    <w:p w14:paraId="291791E5" w14:textId="668F253B" w:rsidR="000E753D" w:rsidRPr="0050024D" w:rsidRDefault="0055348C" w:rsidP="0055348C">
      <w:pPr>
        <w:tabs>
          <w:tab w:val="left" w:pos="567"/>
        </w:tabs>
        <w:jc w:val="both"/>
      </w:pPr>
      <w:r>
        <w:t>56.</w:t>
      </w:r>
      <w:r>
        <w:tab/>
      </w:r>
      <w:r w:rsidR="00DA42B1">
        <w:t xml:space="preserve">The damage to lives and families caused by forced evictions world-wide is staggering. Being forced from one’s home, often to see it demolished, </w:t>
      </w:r>
      <w:r w:rsidR="00F85BB0">
        <w:t xml:space="preserve">has been </w:t>
      </w:r>
      <w:r w:rsidR="00DA42B1">
        <w:t>recognized as a form of cruel and inhuman treatment</w:t>
      </w:r>
      <w:r w:rsidR="000E753D">
        <w:t xml:space="preserve">. Forced evictions often involve violence including gender-based violence, and are </w:t>
      </w:r>
      <w:r w:rsidR="000E753D">
        <w:lastRenderedPageBreak/>
        <w:t xml:space="preserve">sometimes linked to ethnic cleansing. </w:t>
      </w:r>
      <w:r w:rsidR="00DA42B1">
        <w:t>Eviction of any kind, however, including whe</w:t>
      </w:r>
      <w:r w:rsidR="000E753D">
        <w:t xml:space="preserve">n </w:t>
      </w:r>
      <w:r w:rsidR="00DA42B1">
        <w:t xml:space="preserve">carried out in accordance with legal protections, have severe adverse repercussions for those affected, particularly </w:t>
      </w:r>
      <w:r w:rsidR="00DA42B1" w:rsidRPr="0050024D">
        <w:t xml:space="preserve">for children.  </w:t>
      </w:r>
    </w:p>
    <w:p w14:paraId="0844D423" w14:textId="59B05C89" w:rsidR="00DA42B1" w:rsidRDefault="0055348C" w:rsidP="0055348C">
      <w:pPr>
        <w:tabs>
          <w:tab w:val="left" w:pos="567"/>
        </w:tabs>
        <w:jc w:val="both"/>
      </w:pPr>
      <w:r w:rsidRPr="0050024D">
        <w:t>57.</w:t>
      </w:r>
      <w:r w:rsidRPr="0050024D">
        <w:tab/>
      </w:r>
      <w:r w:rsidR="0050024D" w:rsidRPr="0050024D">
        <w:t>Resorting to e</w:t>
      </w:r>
      <w:r w:rsidR="00590E54" w:rsidRPr="0050024D">
        <w:t>viction</w:t>
      </w:r>
      <w:r w:rsidR="0050024D" w:rsidRPr="0050024D">
        <w:t xml:space="preserve"> procedures to remove people from their homes</w:t>
      </w:r>
      <w:r w:rsidR="00590E54" w:rsidRPr="0050024D">
        <w:t xml:space="preserve"> is </w:t>
      </w:r>
      <w:r w:rsidRPr="0050024D">
        <w:t>usually</w:t>
      </w:r>
      <w:r w:rsidR="0050024D" w:rsidRPr="0050024D">
        <w:t xml:space="preserve"> indicative of</w:t>
      </w:r>
      <w:r w:rsidRPr="0050024D">
        <w:t xml:space="preserve"> </w:t>
      </w:r>
      <w:r w:rsidR="00590E54" w:rsidRPr="0050024D">
        <w:t xml:space="preserve">the </w:t>
      </w:r>
      <w:r w:rsidRPr="0050024D">
        <w:t xml:space="preserve">failure of </w:t>
      </w:r>
      <w:r w:rsidR="00590E54" w:rsidRPr="0050024D">
        <w:t>S</w:t>
      </w:r>
      <w:r w:rsidR="000E753D" w:rsidRPr="0050024D">
        <w:t>tate</w:t>
      </w:r>
      <w:r w:rsidRPr="0050024D">
        <w:t xml:space="preserve">s and businesses </w:t>
      </w:r>
      <w:r w:rsidR="000E753D" w:rsidRPr="0050024D">
        <w:t>to mea</w:t>
      </w:r>
      <w:r w:rsidR="00DA42B1" w:rsidRPr="0050024D">
        <w:t>ningfully engage with communities and affected individuals</w:t>
      </w:r>
      <w:r w:rsidR="0050024D" w:rsidRPr="0050024D">
        <w:t xml:space="preserve"> in full compliance with </w:t>
      </w:r>
      <w:r w:rsidR="00DA42B1" w:rsidRPr="0050024D">
        <w:t xml:space="preserve">the </w:t>
      </w:r>
      <w:r w:rsidRPr="0050024D">
        <w:t xml:space="preserve">Basic </w:t>
      </w:r>
      <w:r w:rsidR="00DE0892" w:rsidRPr="0050024D">
        <w:t xml:space="preserve">Principles </w:t>
      </w:r>
      <w:r w:rsidRPr="0050024D">
        <w:t xml:space="preserve">and </w:t>
      </w:r>
      <w:r w:rsidR="00DE0892" w:rsidRPr="0050024D">
        <w:t>G</w:t>
      </w:r>
      <w:r w:rsidRPr="0050024D">
        <w:t>uid</w:t>
      </w:r>
      <w:r w:rsidR="00DE0892" w:rsidRPr="0050024D">
        <w:t xml:space="preserve">elines </w:t>
      </w:r>
      <w:r w:rsidR="00DA42B1" w:rsidRPr="0050024D">
        <w:t xml:space="preserve">on </w:t>
      </w:r>
      <w:r w:rsidR="00DE0892" w:rsidRPr="0050024D">
        <w:t>D</w:t>
      </w:r>
      <w:r w:rsidR="00DA42B1" w:rsidRPr="0050024D">
        <w:t>evelopment</w:t>
      </w:r>
      <w:r w:rsidRPr="0050024D">
        <w:t>-b</w:t>
      </w:r>
      <w:r w:rsidR="00DA42B1" w:rsidRPr="0050024D">
        <w:t xml:space="preserve">ased </w:t>
      </w:r>
      <w:r w:rsidR="00DE0892" w:rsidRPr="0050024D">
        <w:t>E</w:t>
      </w:r>
      <w:r w:rsidRPr="0050024D">
        <w:t>viction</w:t>
      </w:r>
      <w:r w:rsidR="00DE0892" w:rsidRPr="0050024D">
        <w:t>s</w:t>
      </w:r>
      <w:r w:rsidRPr="0050024D">
        <w:t xml:space="preserve"> and </w:t>
      </w:r>
      <w:r w:rsidR="00DE0892" w:rsidRPr="0050024D">
        <w:t>D</w:t>
      </w:r>
      <w:r w:rsidR="00DA42B1" w:rsidRPr="0050024D">
        <w:t xml:space="preserve">isplacement.  </w:t>
      </w:r>
      <w:r w:rsidR="000E753D" w:rsidRPr="0050024D">
        <w:t xml:space="preserve">Engaging with communities </w:t>
      </w:r>
      <w:r w:rsidR="00DA42B1" w:rsidRPr="0050024D">
        <w:t xml:space="preserve">should result in </w:t>
      </w:r>
      <w:r w:rsidR="000E753D" w:rsidRPr="0050024D">
        <w:t xml:space="preserve">the development of </w:t>
      </w:r>
      <w:r w:rsidR="00DA42B1" w:rsidRPr="0050024D">
        <w:t xml:space="preserve">plans that respect the rights of residents, </w:t>
      </w:r>
      <w:r w:rsidR="000E753D" w:rsidRPr="0050024D">
        <w:t>and</w:t>
      </w:r>
      <w:r w:rsidR="000E753D" w:rsidRPr="00590E54">
        <w:t xml:space="preserve"> </w:t>
      </w:r>
      <w:r w:rsidR="00DA42B1" w:rsidRPr="00590E54">
        <w:t>provide for relocation</w:t>
      </w:r>
      <w:r w:rsidR="00DA42B1">
        <w:t xml:space="preserve"> to suitable alternative housing nearby where necessary</w:t>
      </w:r>
      <w:r w:rsidR="000E753D">
        <w:t xml:space="preserve">. This can </w:t>
      </w:r>
      <w:r w:rsidR="00DA42B1">
        <w:t>usually</w:t>
      </w:r>
      <w:r w:rsidR="00DA42B1" w:rsidRPr="009A4A01">
        <w:t xml:space="preserve"> be implemented cooperatively, without the use of force.</w:t>
      </w:r>
      <w:r w:rsidR="00DA42B1">
        <w:rPr>
          <w:rStyle w:val="FootnoteReference"/>
        </w:rPr>
        <w:footnoteReference w:id="110"/>
      </w:r>
      <w:r w:rsidR="00DA42B1" w:rsidRPr="009A4A01">
        <w:t xml:space="preserve"> </w:t>
      </w:r>
    </w:p>
    <w:p w14:paraId="538B034D" w14:textId="77777777" w:rsidR="00DA42B1" w:rsidRDefault="00DE0892" w:rsidP="00DE0892">
      <w:pPr>
        <w:tabs>
          <w:tab w:val="left" w:pos="567"/>
        </w:tabs>
        <w:spacing w:after="0"/>
        <w:jc w:val="both"/>
      </w:pPr>
      <w:r>
        <w:t>58.</w:t>
      </w:r>
      <w:r>
        <w:tab/>
      </w:r>
      <w:r w:rsidR="00DA42B1">
        <w:t>The growing number of evictions linked to</w:t>
      </w:r>
      <w:r w:rsidR="0021285C">
        <w:t xml:space="preserve"> defaults on mortgage or rent – </w:t>
      </w:r>
      <w:r w:rsidR="00DA42B1">
        <w:t xml:space="preserve">even when they are carried out </w:t>
      </w:r>
      <w:r w:rsidR="0021285C">
        <w:t>in accordance with domestic law –</w:t>
      </w:r>
      <w:r w:rsidR="00DA42B1">
        <w:t xml:space="preserve"> are often noncompliant with international human rights law</w:t>
      </w:r>
      <w:r w:rsidR="0021285C">
        <w:t>. E</w:t>
      </w:r>
      <w:r w:rsidR="00DA42B1">
        <w:t xml:space="preserve">victions </w:t>
      </w:r>
      <w:r w:rsidR="0021285C">
        <w:t xml:space="preserve">of this nature </w:t>
      </w:r>
      <w:r w:rsidR="00DA42B1">
        <w:t xml:space="preserve">should only be ordered as a last resort, if no alternatives exist, </w:t>
      </w:r>
      <w:r w:rsidR="00DA42B1" w:rsidRPr="00C81DC6">
        <w:t xml:space="preserve">if </w:t>
      </w:r>
      <w:r w:rsidR="00DA42B1">
        <w:t>they</w:t>
      </w:r>
      <w:r w:rsidR="00DA42B1" w:rsidRPr="00C81DC6">
        <w:t xml:space="preserve"> will</w:t>
      </w:r>
      <w:r w:rsidR="00DA42B1">
        <w:t xml:space="preserve"> not result in </w:t>
      </w:r>
      <w:r w:rsidR="00DA42B1" w:rsidRPr="00C81DC6">
        <w:t>homelessness</w:t>
      </w:r>
      <w:r w:rsidR="00DA42B1">
        <w:t xml:space="preserve"> and if reasonable measures have been adopted to provide for alternative housing.</w:t>
      </w:r>
      <w:r w:rsidR="00DA42B1">
        <w:rPr>
          <w:rStyle w:val="FootnoteReference"/>
        </w:rPr>
        <w:footnoteReference w:id="111"/>
      </w:r>
      <w:r w:rsidR="00DA42B1">
        <w:t xml:space="preserve"> </w:t>
      </w:r>
      <w:r w:rsidR="00F65D41">
        <w:t>When, however, landlords and creditors have alternative means to recover debt, or where default has been linked to systemic issues of affordability that are the responsibility of States to address there is no attempt to abide by these</w:t>
      </w:r>
      <w:r w:rsidR="00DA42B1">
        <w:t xml:space="preserve"> </w:t>
      </w:r>
      <w:r w:rsidR="0021285C">
        <w:t xml:space="preserve">international human rights </w:t>
      </w:r>
      <w:r w:rsidR="00DA42B1">
        <w:t xml:space="preserve">obligations </w:t>
      </w:r>
      <w:r w:rsidR="00F65D41">
        <w:t>to avoid evictions.</w:t>
      </w:r>
      <w:r w:rsidR="00DA42B1">
        <w:rPr>
          <w:rStyle w:val="FootnoteReference"/>
        </w:rPr>
        <w:footnoteReference w:id="112"/>
      </w:r>
      <w:r w:rsidR="00DA42B1">
        <w:t xml:space="preserve"> </w:t>
      </w:r>
      <w:r w:rsidR="00DA42B1" w:rsidRPr="005D7884">
        <w:rPr>
          <w:rFonts w:cstheme="minorHAnsi"/>
        </w:rPr>
        <w:t xml:space="preserve">The practice of depriving people of their homes </w:t>
      </w:r>
      <w:r w:rsidR="0021285C">
        <w:rPr>
          <w:rFonts w:cstheme="minorHAnsi"/>
        </w:rPr>
        <w:t>as a result of</w:t>
      </w:r>
      <w:r w:rsidR="00DA42B1" w:rsidRPr="005D7884">
        <w:rPr>
          <w:rFonts w:cstheme="minorHAnsi"/>
        </w:rPr>
        <w:t xml:space="preserve"> outstanding mortgage or rental arrears should be subject to more rigorous human rights review</w:t>
      </w:r>
      <w:r w:rsidR="00DA42B1">
        <w:rPr>
          <w:rFonts w:cstheme="minorHAnsi"/>
        </w:rPr>
        <w:t xml:space="preserve"> for compliance with these standards</w:t>
      </w:r>
      <w:r w:rsidR="00DA42B1" w:rsidRPr="005D7884">
        <w:rPr>
          <w:rFonts w:cstheme="minorHAnsi"/>
        </w:rPr>
        <w:t xml:space="preserve"> than it has received to date </w:t>
      </w:r>
      <w:r w:rsidR="00DA42B1">
        <w:rPr>
          <w:rFonts w:cstheme="minorHAnsi"/>
        </w:rPr>
        <w:t xml:space="preserve">by </w:t>
      </w:r>
      <w:r w:rsidR="00DA42B1" w:rsidRPr="005D7884">
        <w:rPr>
          <w:rFonts w:cstheme="minorHAnsi"/>
        </w:rPr>
        <w:t xml:space="preserve">domestic courts and </w:t>
      </w:r>
      <w:r w:rsidR="0021285C">
        <w:rPr>
          <w:rFonts w:cstheme="minorHAnsi"/>
        </w:rPr>
        <w:t xml:space="preserve">national and international </w:t>
      </w:r>
      <w:r w:rsidR="00DA42B1" w:rsidRPr="005D7884">
        <w:rPr>
          <w:rFonts w:cstheme="minorHAnsi"/>
        </w:rPr>
        <w:t>human rights bodies.</w:t>
      </w:r>
      <w:r w:rsidR="00DA42B1" w:rsidRPr="005D7884">
        <w:rPr>
          <w:rStyle w:val="FootnoteReference"/>
          <w:rFonts w:cstheme="minorHAnsi"/>
        </w:rPr>
        <w:footnoteReference w:id="113"/>
      </w:r>
    </w:p>
    <w:p w14:paraId="170A90D8" w14:textId="77777777" w:rsidR="00F65D41" w:rsidRDefault="00F65D41" w:rsidP="00DA42B1">
      <w:pPr>
        <w:tabs>
          <w:tab w:val="left" w:pos="1343"/>
        </w:tabs>
        <w:jc w:val="both"/>
        <w:rPr>
          <w:b/>
          <w:bCs/>
        </w:rPr>
      </w:pPr>
    </w:p>
    <w:p w14:paraId="0B636937" w14:textId="77293A99" w:rsidR="00DA42B1" w:rsidRPr="00945068" w:rsidRDefault="00DA42B1" w:rsidP="005F3828">
      <w:pPr>
        <w:rPr>
          <w:b/>
          <w:bCs/>
        </w:rPr>
      </w:pPr>
      <w:r w:rsidRPr="00945068">
        <w:rPr>
          <w:b/>
          <w:bCs/>
        </w:rPr>
        <w:t xml:space="preserve">Implementation </w:t>
      </w:r>
      <w:r w:rsidR="00121444" w:rsidRPr="00945068">
        <w:rPr>
          <w:b/>
          <w:bCs/>
        </w:rPr>
        <w:t>M</w:t>
      </w:r>
      <w:r w:rsidRPr="00945068">
        <w:rPr>
          <w:b/>
          <w:bCs/>
        </w:rPr>
        <w:t xml:space="preserve">easures: </w:t>
      </w:r>
    </w:p>
    <w:p w14:paraId="7FC8260A" w14:textId="77777777" w:rsidR="00DA42B1" w:rsidRDefault="00DA42B1" w:rsidP="003B76A1">
      <w:pPr>
        <w:pStyle w:val="ListParagraph"/>
        <w:numPr>
          <w:ilvl w:val="0"/>
          <w:numId w:val="8"/>
        </w:numPr>
        <w:tabs>
          <w:tab w:val="left" w:pos="1343"/>
        </w:tabs>
        <w:spacing w:after="120"/>
        <w:ind w:left="714" w:hanging="357"/>
        <w:contextualSpacing w:val="0"/>
        <w:jc w:val="both"/>
        <w:rPr>
          <w:rFonts w:cstheme="minorHAnsi"/>
        </w:rPr>
      </w:pPr>
      <w:r>
        <w:rPr>
          <w:rFonts w:cstheme="minorHAnsi"/>
        </w:rPr>
        <w:t xml:space="preserve">States should prohibit </w:t>
      </w:r>
      <w:r w:rsidRPr="00955B72">
        <w:rPr>
          <w:rFonts w:cstheme="minorHAnsi"/>
        </w:rPr>
        <w:t>forced evictions</w:t>
      </w:r>
      <w:r>
        <w:rPr>
          <w:rFonts w:cstheme="minorHAnsi"/>
        </w:rPr>
        <w:t xml:space="preserve"> </w:t>
      </w:r>
      <w:r w:rsidR="00F63D2C">
        <w:rPr>
          <w:rFonts w:cstheme="minorHAnsi"/>
        </w:rPr>
        <w:t xml:space="preserve">including through </w:t>
      </w:r>
      <w:r>
        <w:rPr>
          <w:rFonts w:cstheme="minorHAnsi"/>
        </w:rPr>
        <w:t xml:space="preserve">national law, and take all necessary measures to ensure that authorities or private actors do not contravene this law.  Prohibited forced evictions include any evictions that render people homelessness.  </w:t>
      </w:r>
    </w:p>
    <w:p w14:paraId="3C683D47" w14:textId="77777777" w:rsidR="00DA42B1" w:rsidRDefault="00DA42B1" w:rsidP="003B76A1">
      <w:pPr>
        <w:pStyle w:val="ListParagraph"/>
        <w:numPr>
          <w:ilvl w:val="0"/>
          <w:numId w:val="8"/>
        </w:numPr>
        <w:tabs>
          <w:tab w:val="left" w:pos="1343"/>
        </w:tabs>
        <w:spacing w:after="120"/>
        <w:ind w:left="714" w:hanging="357"/>
        <w:contextualSpacing w:val="0"/>
        <w:jc w:val="both"/>
        <w:rPr>
          <w:rFonts w:cstheme="minorHAnsi"/>
        </w:rPr>
      </w:pPr>
      <w:r>
        <w:rPr>
          <w:rFonts w:cstheme="minorHAnsi"/>
        </w:rPr>
        <w:t>National law should specify that any displacement or relocation</w:t>
      </w:r>
      <w:r w:rsidRPr="00955B72">
        <w:rPr>
          <w:rFonts w:cstheme="minorHAnsi"/>
        </w:rPr>
        <w:t xml:space="preserve"> of indigenous communities without their free, prior and informed consent</w:t>
      </w:r>
      <w:r>
        <w:rPr>
          <w:rFonts w:cstheme="minorHAnsi"/>
        </w:rPr>
        <w:t xml:space="preserve"> constitutes a forced eviction and is prohibited.</w:t>
      </w:r>
      <w:r w:rsidRPr="005D7884">
        <w:rPr>
          <w:rStyle w:val="FootnoteReference"/>
          <w:rFonts w:cstheme="minorHAnsi"/>
        </w:rPr>
        <w:footnoteReference w:id="114"/>
      </w:r>
      <w:r w:rsidRPr="00955B72">
        <w:rPr>
          <w:rFonts w:cstheme="minorHAnsi"/>
        </w:rPr>
        <w:t xml:space="preserve"> </w:t>
      </w:r>
    </w:p>
    <w:p w14:paraId="06039926" w14:textId="3B35A1EC" w:rsidR="00DA42B1" w:rsidRDefault="00DA42B1" w:rsidP="003B76A1">
      <w:pPr>
        <w:pStyle w:val="ListParagraph"/>
        <w:numPr>
          <w:ilvl w:val="0"/>
          <w:numId w:val="8"/>
        </w:numPr>
        <w:tabs>
          <w:tab w:val="left" w:pos="1343"/>
        </w:tabs>
        <w:spacing w:after="120"/>
        <w:ind w:left="714" w:hanging="357"/>
        <w:contextualSpacing w:val="0"/>
        <w:jc w:val="both"/>
        <w:rPr>
          <w:rFonts w:cstheme="minorHAnsi"/>
        </w:rPr>
      </w:pPr>
      <w:r>
        <w:rPr>
          <w:rFonts w:cstheme="minorHAnsi"/>
        </w:rPr>
        <w:t>Protection from forced evictions and guarantees of legal protections apply equally to persons living outside</w:t>
      </w:r>
      <w:r w:rsidR="0021285C">
        <w:rPr>
          <w:rFonts w:cstheme="minorHAnsi"/>
        </w:rPr>
        <w:t xml:space="preserve"> (</w:t>
      </w:r>
      <w:proofErr w:type="spellStart"/>
      <w:r w:rsidR="0021285C">
        <w:rPr>
          <w:rFonts w:cstheme="minorHAnsi"/>
        </w:rPr>
        <w:t>e</w:t>
      </w:r>
      <w:r w:rsidR="007E1473">
        <w:rPr>
          <w:rFonts w:cstheme="minorHAnsi"/>
        </w:rPr>
        <w:t>.</w:t>
      </w:r>
      <w:r w:rsidR="0021285C">
        <w:rPr>
          <w:rFonts w:cstheme="minorHAnsi"/>
        </w:rPr>
        <w:t>g</w:t>
      </w:r>
      <w:proofErr w:type="spellEnd"/>
      <w:r w:rsidR="0021285C">
        <w:rPr>
          <w:rFonts w:cstheme="minorHAnsi"/>
        </w:rPr>
        <w:t xml:space="preserve">: on pavements) because they have no housing, </w:t>
      </w:r>
      <w:r>
        <w:rPr>
          <w:rFonts w:cstheme="minorHAnsi"/>
        </w:rPr>
        <w:t xml:space="preserve">and to those who are living informally on land or in housing </w:t>
      </w:r>
      <w:r w:rsidR="0050024D">
        <w:rPr>
          <w:rFonts w:cstheme="minorHAnsi"/>
        </w:rPr>
        <w:t>for which</w:t>
      </w:r>
      <w:r>
        <w:rPr>
          <w:rFonts w:cstheme="minorHAnsi"/>
        </w:rPr>
        <w:t xml:space="preserve"> they do not have title or formal authorization to occupy. States should clarify in national law that </w:t>
      </w:r>
      <w:r w:rsidRPr="00955B72">
        <w:rPr>
          <w:rFonts w:cstheme="minorHAnsi"/>
        </w:rPr>
        <w:t xml:space="preserve">lack of security of tenure </w:t>
      </w:r>
      <w:r>
        <w:rPr>
          <w:rFonts w:cstheme="minorHAnsi"/>
        </w:rPr>
        <w:t xml:space="preserve">or land title </w:t>
      </w:r>
      <w:r w:rsidRPr="00955B72">
        <w:rPr>
          <w:rFonts w:cstheme="minorHAnsi"/>
        </w:rPr>
        <w:t xml:space="preserve">should </w:t>
      </w:r>
      <w:r>
        <w:rPr>
          <w:rFonts w:cstheme="minorHAnsi"/>
        </w:rPr>
        <w:t xml:space="preserve">in itself </w:t>
      </w:r>
      <w:r w:rsidRPr="00955B72">
        <w:rPr>
          <w:rFonts w:cstheme="minorHAnsi"/>
        </w:rPr>
        <w:t xml:space="preserve">never </w:t>
      </w:r>
      <w:r>
        <w:rPr>
          <w:rFonts w:cstheme="minorHAnsi"/>
        </w:rPr>
        <w:t xml:space="preserve">be sufficient to </w:t>
      </w:r>
      <w:r w:rsidRPr="00955B72">
        <w:rPr>
          <w:rFonts w:cstheme="minorHAnsi"/>
        </w:rPr>
        <w:t>justify evictions</w:t>
      </w:r>
      <w:r>
        <w:rPr>
          <w:rFonts w:cstheme="minorHAnsi"/>
        </w:rPr>
        <w:t>.</w:t>
      </w:r>
      <w:r w:rsidRPr="005D7884">
        <w:rPr>
          <w:rStyle w:val="FootnoteReference"/>
          <w:rFonts w:cstheme="minorHAnsi"/>
        </w:rPr>
        <w:footnoteReference w:id="115"/>
      </w:r>
      <w:r w:rsidRPr="00955B72">
        <w:rPr>
          <w:rFonts w:cstheme="minorHAnsi"/>
        </w:rPr>
        <w:t xml:space="preserve"> </w:t>
      </w:r>
    </w:p>
    <w:p w14:paraId="5316FDCD" w14:textId="5F976DB8" w:rsidR="00DA42B1" w:rsidRPr="00F63D2C" w:rsidRDefault="00F63D2C" w:rsidP="003B76A1">
      <w:pPr>
        <w:pStyle w:val="ListParagraph"/>
        <w:numPr>
          <w:ilvl w:val="0"/>
          <w:numId w:val="8"/>
        </w:numPr>
        <w:tabs>
          <w:tab w:val="left" w:pos="1343"/>
        </w:tabs>
        <w:spacing w:after="120"/>
        <w:ind w:left="714" w:hanging="357"/>
        <w:contextualSpacing w:val="0"/>
        <w:jc w:val="both"/>
        <w:rPr>
          <w:rFonts w:cstheme="minorHAnsi"/>
        </w:rPr>
      </w:pPr>
      <w:r w:rsidRPr="009C0C52">
        <w:rPr>
          <w:rFonts w:cstheme="minorHAnsi"/>
        </w:rPr>
        <w:t xml:space="preserve">Evictions </w:t>
      </w:r>
      <w:r>
        <w:rPr>
          <w:rFonts w:cstheme="minorHAnsi"/>
        </w:rPr>
        <w:t>must</w:t>
      </w:r>
      <w:r w:rsidRPr="009C0C52">
        <w:rPr>
          <w:rFonts w:cstheme="minorHAnsi"/>
        </w:rPr>
        <w:t xml:space="preserve"> be governed by legislation that is compatible with the right to housing</w:t>
      </w:r>
      <w:r>
        <w:rPr>
          <w:rFonts w:cstheme="minorHAnsi"/>
        </w:rPr>
        <w:t xml:space="preserve"> under international law</w:t>
      </w:r>
      <w:r w:rsidRPr="009C0C52">
        <w:rPr>
          <w:rFonts w:cstheme="minorHAnsi"/>
        </w:rPr>
        <w:t>, in</w:t>
      </w:r>
      <w:r w:rsidRPr="005217F8">
        <w:rPr>
          <w:rFonts w:cstheme="minorHAnsi"/>
        </w:rPr>
        <w:t>cluding the principle of human dignity and the general principles of reasonableness and proportionalit</w:t>
      </w:r>
      <w:r>
        <w:rPr>
          <w:rFonts w:cstheme="minorHAnsi"/>
        </w:rPr>
        <w:t>y.</w:t>
      </w:r>
      <w:r w:rsidRPr="009C0C52">
        <w:rPr>
          <w:rFonts w:cstheme="minorHAnsi"/>
        </w:rPr>
        <w:t xml:space="preserve"> </w:t>
      </w:r>
      <w:r>
        <w:rPr>
          <w:rFonts w:cstheme="minorHAnsi"/>
        </w:rPr>
        <w:t xml:space="preserve">National law governing evictions should be compliant with </w:t>
      </w:r>
      <w:r w:rsidRPr="009C0C52">
        <w:rPr>
          <w:rFonts w:cstheme="minorHAnsi"/>
        </w:rPr>
        <w:t xml:space="preserve">General Comment No. 7 of the Committee on Economic, Social and Cultural Rights, the UN Basic Principles and Guidelines on Development-Based Evictions and Displacement </w:t>
      </w:r>
      <w:r w:rsidRPr="009C0C52">
        <w:rPr>
          <w:rFonts w:cstheme="minorHAnsi"/>
        </w:rPr>
        <w:lastRenderedPageBreak/>
        <w:t>(A/HRC/4/18) and the Guiding principles on security of tenure for the urban poor (A/HRC/25/54)</w:t>
      </w:r>
      <w:r w:rsidRPr="005217F8">
        <w:rPr>
          <w:rFonts w:cstheme="minorHAnsi"/>
        </w:rPr>
        <w:t xml:space="preserve">. </w:t>
      </w:r>
    </w:p>
    <w:p w14:paraId="341387C0" w14:textId="7B32BABE" w:rsidR="00C01B04" w:rsidRPr="008C54BB" w:rsidRDefault="00DA42B1" w:rsidP="003B76A1">
      <w:pPr>
        <w:pStyle w:val="ListParagraph"/>
        <w:numPr>
          <w:ilvl w:val="0"/>
          <w:numId w:val="8"/>
        </w:numPr>
        <w:tabs>
          <w:tab w:val="left" w:pos="1343"/>
        </w:tabs>
        <w:spacing w:after="120"/>
        <w:ind w:left="714" w:hanging="357"/>
        <w:contextualSpacing w:val="0"/>
        <w:jc w:val="both"/>
        <w:rPr>
          <w:rFonts w:cstheme="minorHAnsi"/>
        </w:rPr>
      </w:pPr>
      <w:r>
        <w:rPr>
          <w:rFonts w:cstheme="minorHAnsi"/>
        </w:rPr>
        <w:t>E</w:t>
      </w:r>
      <w:r w:rsidRPr="00B023C8">
        <w:rPr>
          <w:rFonts w:cstheme="minorHAnsi"/>
        </w:rPr>
        <w:t xml:space="preserve">victions </w:t>
      </w:r>
      <w:r w:rsidR="00D173BE">
        <w:rPr>
          <w:rFonts w:cstheme="minorHAnsi"/>
        </w:rPr>
        <w:t>– including in instances</w:t>
      </w:r>
      <w:r w:rsidR="00F85BB0">
        <w:rPr>
          <w:rFonts w:cstheme="minorHAnsi"/>
        </w:rPr>
        <w:t xml:space="preserve"> of mortgage foreclosure or non-</w:t>
      </w:r>
      <w:r w:rsidR="00D173BE">
        <w:rPr>
          <w:rFonts w:cstheme="minorHAnsi"/>
        </w:rPr>
        <w:t xml:space="preserve">payment of rent due to structural unaffordability – </w:t>
      </w:r>
      <w:r w:rsidRPr="00D173BE">
        <w:rPr>
          <w:rFonts w:cstheme="minorHAnsi"/>
        </w:rPr>
        <w:t xml:space="preserve">should only occur in the most exceptional circumstances and after </w:t>
      </w:r>
      <w:r w:rsidR="00D173BE">
        <w:rPr>
          <w:rFonts w:cstheme="minorHAnsi"/>
        </w:rPr>
        <w:t xml:space="preserve">the State has explored </w:t>
      </w:r>
      <w:r w:rsidRPr="00D173BE">
        <w:rPr>
          <w:rFonts w:cstheme="minorHAnsi"/>
        </w:rPr>
        <w:t>all a</w:t>
      </w:r>
      <w:r w:rsidR="00D173BE" w:rsidRPr="00D173BE">
        <w:rPr>
          <w:rFonts w:cstheme="minorHAnsi"/>
        </w:rPr>
        <w:t xml:space="preserve">lternatives </w:t>
      </w:r>
      <w:r w:rsidR="00D173BE" w:rsidRPr="008C54BB">
        <w:rPr>
          <w:rFonts w:cstheme="minorHAnsi"/>
        </w:rPr>
        <w:t>to secure housing (or productive land) for those</w:t>
      </w:r>
      <w:r w:rsidRPr="008C54BB">
        <w:rPr>
          <w:rFonts w:cstheme="minorHAnsi"/>
        </w:rPr>
        <w:t xml:space="preserve"> affected</w:t>
      </w:r>
      <w:r w:rsidR="008C54BB" w:rsidRPr="008C54BB">
        <w:rPr>
          <w:rFonts w:cstheme="minorHAnsi"/>
        </w:rPr>
        <w:t>, particularly in cases involving families, older persons, children and/or other persons in vulnerable situations</w:t>
      </w:r>
      <w:r w:rsidRPr="008C54BB">
        <w:rPr>
          <w:rFonts w:cstheme="minorHAnsi"/>
        </w:rPr>
        <w:t>.</w:t>
      </w:r>
      <w:r w:rsidR="008C54BB" w:rsidRPr="008C54BB">
        <w:rPr>
          <w:rStyle w:val="FootnoteReference"/>
        </w:rPr>
        <w:t xml:space="preserve"> </w:t>
      </w:r>
      <w:r w:rsidR="008C54BB" w:rsidRPr="008C54BB">
        <w:rPr>
          <w:rStyle w:val="FootnoteReference"/>
        </w:rPr>
        <w:footnoteReference w:id="116"/>
      </w:r>
      <w:r w:rsidR="00F63D2C" w:rsidRPr="008C54BB">
        <w:rPr>
          <w:rFonts w:cstheme="minorHAnsi"/>
        </w:rPr>
        <w:t xml:space="preserve"> </w:t>
      </w:r>
      <w:r w:rsidRPr="008C54BB">
        <w:rPr>
          <w:rFonts w:cstheme="minorHAnsi"/>
        </w:rPr>
        <w:t xml:space="preserve">Evictions should never be carried out in a discriminatory or inhumane manner, or render someone homeless or vulnerable to other human rights violations.  </w:t>
      </w:r>
    </w:p>
    <w:p w14:paraId="6C4BA844" w14:textId="15BFD330" w:rsidR="00DA42B1" w:rsidRPr="008C54BB" w:rsidRDefault="008C54BB" w:rsidP="003B76A1">
      <w:pPr>
        <w:pStyle w:val="ListParagraph"/>
        <w:numPr>
          <w:ilvl w:val="0"/>
          <w:numId w:val="8"/>
        </w:numPr>
        <w:tabs>
          <w:tab w:val="left" w:pos="1343"/>
        </w:tabs>
        <w:spacing w:after="120"/>
        <w:ind w:left="714" w:hanging="357"/>
        <w:contextualSpacing w:val="0"/>
        <w:jc w:val="both"/>
        <w:rPr>
          <w:rFonts w:cstheme="minorHAnsi"/>
        </w:rPr>
      </w:pPr>
      <w:r>
        <w:rPr>
          <w:rFonts w:cstheme="minorHAnsi"/>
        </w:rPr>
        <w:t>T</w:t>
      </w:r>
      <w:r w:rsidR="00DA42B1" w:rsidRPr="008C54BB">
        <w:rPr>
          <w:rFonts w:cstheme="minorHAnsi"/>
        </w:rPr>
        <w:t xml:space="preserve">o prevent evictions </w:t>
      </w:r>
      <w:r>
        <w:rPr>
          <w:rFonts w:cstheme="minorHAnsi"/>
        </w:rPr>
        <w:t xml:space="preserve">States should implement </w:t>
      </w:r>
      <w:r w:rsidR="00DA42B1" w:rsidRPr="008C54BB">
        <w:rPr>
          <w:rFonts w:cstheme="minorHAnsi"/>
        </w:rPr>
        <w:t xml:space="preserve">early intervention and support </w:t>
      </w:r>
      <w:r>
        <w:rPr>
          <w:rFonts w:cstheme="minorHAnsi"/>
        </w:rPr>
        <w:t xml:space="preserve">programmes </w:t>
      </w:r>
      <w:r w:rsidR="00DA42B1" w:rsidRPr="008C54BB">
        <w:rPr>
          <w:rFonts w:cstheme="minorHAnsi"/>
        </w:rPr>
        <w:t xml:space="preserve">for </w:t>
      </w:r>
      <w:r w:rsidR="00723794">
        <w:rPr>
          <w:rFonts w:cstheme="minorHAnsi"/>
        </w:rPr>
        <w:t>households</w:t>
      </w:r>
      <w:r w:rsidR="00DA42B1" w:rsidRPr="008C54BB">
        <w:rPr>
          <w:rFonts w:cstheme="minorHAnsi"/>
        </w:rPr>
        <w:t xml:space="preserve"> struggling to pay rent or </w:t>
      </w:r>
      <w:r w:rsidR="00C01B04" w:rsidRPr="008C54BB">
        <w:rPr>
          <w:rFonts w:cstheme="minorHAnsi"/>
        </w:rPr>
        <w:t xml:space="preserve">make </w:t>
      </w:r>
      <w:r w:rsidR="00DA42B1" w:rsidRPr="008C54BB">
        <w:rPr>
          <w:rFonts w:cstheme="minorHAnsi"/>
        </w:rPr>
        <w:t xml:space="preserve">mortgage payments. </w:t>
      </w:r>
      <w:r w:rsidR="006D711C">
        <w:rPr>
          <w:rFonts w:cstheme="minorHAnsi"/>
        </w:rPr>
        <w:t xml:space="preserve"> Information on eviction applications should be made available to organizations mandated to provide advice or support for eviction prevention.</w:t>
      </w:r>
      <w:r w:rsidR="00DA42B1" w:rsidRPr="008C54BB">
        <w:rPr>
          <w:rFonts w:cstheme="minorHAnsi"/>
        </w:rPr>
        <w:t xml:space="preserve"> </w:t>
      </w:r>
    </w:p>
    <w:p w14:paraId="2D83188A" w14:textId="32E896B6" w:rsidR="00DA42B1" w:rsidRPr="00C01B04" w:rsidRDefault="00DA42B1" w:rsidP="003B76A1">
      <w:pPr>
        <w:pStyle w:val="ListParagraph"/>
        <w:numPr>
          <w:ilvl w:val="0"/>
          <w:numId w:val="8"/>
        </w:numPr>
        <w:tabs>
          <w:tab w:val="left" w:pos="1343"/>
        </w:tabs>
        <w:spacing w:after="120"/>
        <w:ind w:left="714" w:hanging="357"/>
        <w:contextualSpacing w:val="0"/>
        <w:jc w:val="both"/>
        <w:rPr>
          <w:rFonts w:cstheme="minorHAnsi"/>
        </w:rPr>
      </w:pPr>
      <w:r>
        <w:rPr>
          <w:rFonts w:cstheme="minorHAnsi"/>
        </w:rPr>
        <w:t>C</w:t>
      </w:r>
      <w:r w:rsidRPr="005D7884">
        <w:rPr>
          <w:rFonts w:cstheme="minorHAnsi"/>
        </w:rPr>
        <w:t xml:space="preserve">ourts should </w:t>
      </w:r>
      <w:r>
        <w:rPr>
          <w:rFonts w:cstheme="minorHAnsi"/>
        </w:rPr>
        <w:t xml:space="preserve">explore all alternatives to eviction before authorizing them, and may </w:t>
      </w:r>
      <w:r w:rsidRPr="005D7884">
        <w:rPr>
          <w:rFonts w:cstheme="minorHAnsi"/>
        </w:rPr>
        <w:t>require Governments to provide financial assistance and to adopt other measures to allow people to remain in their homes.</w:t>
      </w:r>
      <w:r>
        <w:rPr>
          <w:rFonts w:cstheme="minorHAnsi"/>
        </w:rPr>
        <w:t xml:space="preserve"> </w:t>
      </w:r>
      <w:r w:rsidRPr="00AE3249">
        <w:rPr>
          <w:rFonts w:cstheme="minorHAnsi"/>
        </w:rPr>
        <w:t>Access to justice should be ensured from the earliest stages of any relocation or development plan</w:t>
      </w:r>
      <w:r>
        <w:rPr>
          <w:rFonts w:cstheme="minorHAnsi"/>
        </w:rPr>
        <w:t xml:space="preserve"> so that courts are able to </w:t>
      </w:r>
      <w:r w:rsidRPr="00AE3249">
        <w:rPr>
          <w:rFonts w:cstheme="minorHAnsi"/>
        </w:rPr>
        <w:t>ensure</w:t>
      </w:r>
      <w:r>
        <w:rPr>
          <w:rFonts w:cstheme="minorHAnsi"/>
        </w:rPr>
        <w:t xml:space="preserve"> meaningful engagement with residents and</w:t>
      </w:r>
      <w:r w:rsidRPr="00AE3249">
        <w:rPr>
          <w:rFonts w:cstheme="minorHAnsi"/>
        </w:rPr>
        <w:t xml:space="preserve"> </w:t>
      </w:r>
      <w:r>
        <w:rPr>
          <w:rFonts w:cstheme="minorHAnsi"/>
        </w:rPr>
        <w:t xml:space="preserve">require that reasonable </w:t>
      </w:r>
      <w:r w:rsidRPr="00AE3249">
        <w:rPr>
          <w:rFonts w:cstheme="minorHAnsi"/>
        </w:rPr>
        <w:t>measures</w:t>
      </w:r>
      <w:r>
        <w:rPr>
          <w:rFonts w:cstheme="minorHAnsi"/>
        </w:rPr>
        <w:t xml:space="preserve"> be </w:t>
      </w:r>
      <w:r w:rsidRPr="00AE3249">
        <w:rPr>
          <w:rFonts w:cstheme="minorHAnsi"/>
        </w:rPr>
        <w:t>adopted to prevent evictions.</w:t>
      </w:r>
      <w:r w:rsidRPr="005D7884">
        <w:rPr>
          <w:rStyle w:val="FootnoteReference"/>
          <w:rFonts w:cstheme="minorHAnsi"/>
        </w:rPr>
        <w:footnoteReference w:id="117"/>
      </w:r>
      <w:r w:rsidRPr="00AE3249">
        <w:rPr>
          <w:rFonts w:cstheme="minorHAnsi"/>
        </w:rPr>
        <w:t xml:space="preserve"> </w:t>
      </w:r>
    </w:p>
    <w:p w14:paraId="195125E6" w14:textId="77777777" w:rsidR="00DA42B1" w:rsidRDefault="00DA42B1" w:rsidP="003B76A1">
      <w:pPr>
        <w:pStyle w:val="ListParagraph"/>
        <w:numPr>
          <w:ilvl w:val="0"/>
          <w:numId w:val="8"/>
        </w:numPr>
        <w:tabs>
          <w:tab w:val="left" w:pos="1343"/>
        </w:tabs>
        <w:spacing w:after="120"/>
        <w:ind w:left="714" w:hanging="357"/>
        <w:contextualSpacing w:val="0"/>
        <w:jc w:val="both"/>
        <w:rPr>
          <w:rFonts w:cstheme="minorHAnsi"/>
        </w:rPr>
      </w:pPr>
      <w:r>
        <w:rPr>
          <w:rFonts w:cstheme="minorHAnsi"/>
        </w:rPr>
        <w:t>P</w:t>
      </w:r>
      <w:r w:rsidRPr="00955B72">
        <w:rPr>
          <w:rFonts w:cstheme="minorHAnsi"/>
        </w:rPr>
        <w:t xml:space="preserve">reventive measures </w:t>
      </w:r>
      <w:r>
        <w:rPr>
          <w:rFonts w:cstheme="minorHAnsi"/>
        </w:rPr>
        <w:t xml:space="preserve">should be adopted </w:t>
      </w:r>
      <w:r w:rsidRPr="00955B72">
        <w:rPr>
          <w:rFonts w:cstheme="minorHAnsi"/>
        </w:rPr>
        <w:t>to avoid and/or eliminate the underlying causes of evictions and displacement, including speculation in land and real estate, inadequate income and rental assistance,</w:t>
      </w:r>
      <w:r>
        <w:rPr>
          <w:rFonts w:cstheme="minorHAnsi"/>
        </w:rPr>
        <w:t xml:space="preserve"> and</w:t>
      </w:r>
      <w:r w:rsidRPr="00955B72">
        <w:rPr>
          <w:rFonts w:cstheme="minorHAnsi"/>
        </w:rPr>
        <w:t xml:space="preserve"> planning and zoning restrictions.</w:t>
      </w:r>
      <w:r>
        <w:rPr>
          <w:rStyle w:val="FootnoteReference"/>
        </w:rPr>
        <w:footnoteReference w:id="118"/>
      </w:r>
      <w:r w:rsidRPr="00955B72">
        <w:rPr>
          <w:rFonts w:cstheme="minorHAnsi"/>
        </w:rPr>
        <w:t xml:space="preserve"> </w:t>
      </w:r>
    </w:p>
    <w:p w14:paraId="5927B222" w14:textId="77777777" w:rsidR="00DA42B1" w:rsidRDefault="00DA42B1" w:rsidP="00DA42B1"/>
    <w:p w14:paraId="62E9AA6D" w14:textId="53CBF30D" w:rsidR="00BE5E2C" w:rsidRPr="00230F08" w:rsidRDefault="00BE5E2C" w:rsidP="009B3CE0">
      <w:pPr>
        <w:pStyle w:val="Heading2"/>
      </w:pPr>
      <w:bookmarkStart w:id="38" w:name="_Toc23200831"/>
      <w:r w:rsidRPr="00230F08">
        <w:t xml:space="preserve">Guideline </w:t>
      </w:r>
      <w:r w:rsidR="00121444">
        <w:t>N</w:t>
      </w:r>
      <w:r w:rsidRPr="00230F08">
        <w:t>o. 1</w:t>
      </w:r>
      <w:r w:rsidR="00DA42B1">
        <w:t>4</w:t>
      </w:r>
      <w:bookmarkEnd w:id="38"/>
    </w:p>
    <w:p w14:paraId="393BFCE7" w14:textId="77777777" w:rsidR="00835D3D" w:rsidRPr="007E5DDA" w:rsidRDefault="00835D3D" w:rsidP="009B3CE0">
      <w:pPr>
        <w:pStyle w:val="Heading3"/>
      </w:pPr>
      <w:bookmarkStart w:id="39" w:name="_Toc23200832"/>
      <w:r w:rsidRPr="007E5DDA">
        <w:t xml:space="preserve">Review all housing and related policies </w:t>
      </w:r>
      <w:r>
        <w:t>to ensure their</w:t>
      </w:r>
      <w:r w:rsidRPr="007E5DDA">
        <w:t xml:space="preserve"> environmental sustainability</w:t>
      </w:r>
      <w:r>
        <w:t xml:space="preserve"> </w:t>
      </w:r>
      <w:r w:rsidRPr="007E5DDA">
        <w:t xml:space="preserve">and develop and implement strategies to address the effects of </w:t>
      </w:r>
      <w:r>
        <w:t xml:space="preserve">the </w:t>
      </w:r>
      <w:r w:rsidRPr="007E5DDA">
        <w:t>climate c</w:t>
      </w:r>
      <w:r>
        <w:t xml:space="preserve">risis </w:t>
      </w:r>
      <w:r w:rsidRPr="007E5DDA">
        <w:t>on the right to housing</w:t>
      </w:r>
      <w:bookmarkEnd w:id="39"/>
    </w:p>
    <w:p w14:paraId="4D61F392" w14:textId="1FEA981D" w:rsidR="00835D3D" w:rsidRDefault="00DE0892" w:rsidP="00DE0892">
      <w:pPr>
        <w:tabs>
          <w:tab w:val="left" w:pos="709"/>
        </w:tabs>
        <w:jc w:val="both"/>
      </w:pPr>
      <w:r>
        <w:t>59.</w:t>
      </w:r>
      <w:r>
        <w:tab/>
      </w:r>
      <w:r w:rsidR="00835D3D">
        <w:t>Natural disasters and the climate crisis have enormous impacts on the enjoyment of the right to housing, with exponential increases of these effects anticipated in decades to come. Those living in homelessness or precariously housed are usually the most adversely affected, lacking access to resilient or secure housing and often living in areas that are</w:t>
      </w:r>
      <w:r w:rsidR="00835D3D" w:rsidRPr="008E76F6">
        <w:t xml:space="preserve"> vulnerable to flooding, storm surges, mudslides, earthquakes or other natural disasters</w:t>
      </w:r>
      <w:r w:rsidR="00835D3D">
        <w:t xml:space="preserve">.  Moreover, disaster </w:t>
      </w:r>
      <w:r w:rsidR="00835D3D" w:rsidRPr="008E76F6">
        <w:t>risk management measures</w:t>
      </w:r>
      <w:r w:rsidR="00835D3D">
        <w:t xml:space="preserve"> undertaken by States often fail to take into consideration their effects on vulnerable communities that may be displaced.</w:t>
      </w:r>
    </w:p>
    <w:p w14:paraId="41CA1715" w14:textId="5D499635" w:rsidR="00835D3D" w:rsidRDefault="00DE0892" w:rsidP="00DE0892">
      <w:pPr>
        <w:tabs>
          <w:tab w:val="left" w:pos="709"/>
        </w:tabs>
        <w:jc w:val="both"/>
      </w:pPr>
      <w:r>
        <w:t>60.</w:t>
      </w:r>
      <w:r>
        <w:tab/>
      </w:r>
      <w:r w:rsidR="00723794">
        <w:t xml:space="preserve">The manner in which </w:t>
      </w:r>
      <w:r w:rsidR="00835D3D">
        <w:t xml:space="preserve">the right to housing </w:t>
      </w:r>
      <w:r w:rsidR="00723794">
        <w:t xml:space="preserve">is to be realized </w:t>
      </w:r>
      <w:r w:rsidR="00835D3D">
        <w:t>also has implications for climate change. The building and construction sector together account for 39% of global CO2 emissions, most of which is concentrated in the</w:t>
      </w:r>
      <w:r w:rsidR="00171AB8">
        <w:t xml:space="preserve"> middle and high income countries</w:t>
      </w:r>
      <w:r w:rsidR="00835D3D">
        <w:t>, and significant amounts linked to the construction of housing for the more affluent.</w:t>
      </w:r>
      <w:r w:rsidR="00835D3D">
        <w:rPr>
          <w:rStyle w:val="FootnoteReference"/>
        </w:rPr>
        <w:footnoteReference w:id="119"/>
      </w:r>
      <w:r w:rsidR="00835D3D">
        <w:t xml:space="preserve">  It is in</w:t>
      </w:r>
      <w:r w:rsidR="00171AB8">
        <w:t xml:space="preserve"> low income countries</w:t>
      </w:r>
      <w:r w:rsidR="00835D3D">
        <w:t>, however, that the greatest amount of construction will be required if informal settlements are to be upgraded by 2030.</w:t>
      </w:r>
    </w:p>
    <w:p w14:paraId="00E461D1" w14:textId="2BB678D5" w:rsidR="00835D3D" w:rsidRDefault="00DE0892" w:rsidP="00DE0892">
      <w:pPr>
        <w:tabs>
          <w:tab w:val="left" w:pos="709"/>
        </w:tabs>
        <w:jc w:val="both"/>
      </w:pPr>
      <w:r>
        <w:t>61.</w:t>
      </w:r>
      <w:r>
        <w:tab/>
      </w:r>
      <w:r w:rsidR="00835D3D">
        <w:t xml:space="preserve">The New Urban Agenda and the Sustainable Development Goals affirm the need to develop resilient and sustainable communities. </w:t>
      </w:r>
      <w:r w:rsidR="00723794">
        <w:t xml:space="preserve"> </w:t>
      </w:r>
      <w:r w:rsidR="00835D3D">
        <w:t xml:space="preserve">States must work in consultation with communities to </w:t>
      </w:r>
      <w:r w:rsidR="00835D3D">
        <w:lastRenderedPageBreak/>
        <w:t xml:space="preserve">promote a </w:t>
      </w:r>
      <w:r w:rsidR="00835D3D" w:rsidRPr="009F6687">
        <w:rPr>
          <w:rFonts w:ascii="MetaBookLF" w:hAnsi="MetaBookLF"/>
        </w:rPr>
        <w:t>return to local building methods and environmentally sound or renewable building materials</w:t>
      </w:r>
      <w:r w:rsidR="00835D3D">
        <w:rPr>
          <w:rFonts w:ascii="MetaBookLF" w:hAnsi="MetaBookLF"/>
        </w:rPr>
        <w:t>, if the Sustainability Agenda is to be compl</w:t>
      </w:r>
      <w:r w:rsidR="00723794">
        <w:rPr>
          <w:rFonts w:ascii="MetaBookLF" w:hAnsi="MetaBookLF"/>
        </w:rPr>
        <w:t>ia</w:t>
      </w:r>
      <w:r w:rsidR="00835D3D">
        <w:rPr>
          <w:rFonts w:ascii="MetaBookLF" w:hAnsi="MetaBookLF"/>
        </w:rPr>
        <w:t>nt with the Paris Agreement.</w:t>
      </w:r>
      <w:r w:rsidR="00835D3D">
        <w:t xml:space="preserve">  </w:t>
      </w:r>
    </w:p>
    <w:p w14:paraId="54893297" w14:textId="7F98F25F" w:rsidR="00835D3D" w:rsidRPr="00945068" w:rsidRDefault="00835D3D" w:rsidP="005F3828">
      <w:pPr>
        <w:rPr>
          <w:b/>
          <w:bCs/>
        </w:rPr>
      </w:pPr>
      <w:r w:rsidRPr="00945068">
        <w:rPr>
          <w:b/>
          <w:bCs/>
        </w:rPr>
        <w:t xml:space="preserve">Implementation </w:t>
      </w:r>
      <w:r w:rsidR="00121444" w:rsidRPr="00945068">
        <w:rPr>
          <w:b/>
          <w:bCs/>
        </w:rPr>
        <w:t>M</w:t>
      </w:r>
      <w:r w:rsidRPr="00945068">
        <w:rPr>
          <w:b/>
          <w:bCs/>
        </w:rPr>
        <w:t>easure</w:t>
      </w:r>
      <w:r w:rsidR="00121444" w:rsidRPr="00945068">
        <w:rPr>
          <w:b/>
          <w:bCs/>
        </w:rPr>
        <w:t>s:</w:t>
      </w:r>
    </w:p>
    <w:p w14:paraId="2E66B661" w14:textId="296A2BC0" w:rsidR="00835D3D" w:rsidRDefault="00835D3D" w:rsidP="003B76A1">
      <w:pPr>
        <w:pStyle w:val="ListParagraph"/>
        <w:numPr>
          <w:ilvl w:val="0"/>
          <w:numId w:val="13"/>
        </w:numPr>
        <w:tabs>
          <w:tab w:val="left" w:pos="1343"/>
        </w:tabs>
        <w:spacing w:after="120"/>
        <w:ind w:left="714" w:hanging="357"/>
        <w:contextualSpacing w:val="0"/>
        <w:jc w:val="both"/>
      </w:pPr>
      <w:r>
        <w:t xml:space="preserve">States should </w:t>
      </w:r>
      <w:r w:rsidRPr="002E3163">
        <w:t>recognize that</w:t>
      </w:r>
      <w:r>
        <w:t xml:space="preserve"> the</w:t>
      </w:r>
      <w:r w:rsidRPr="002E3163">
        <w:t xml:space="preserve"> </w:t>
      </w:r>
      <w:r>
        <w:t xml:space="preserve">climate crisis </w:t>
      </w:r>
      <w:r w:rsidRPr="002E3163">
        <w:t>ha</w:t>
      </w:r>
      <w:r>
        <w:t>s</w:t>
      </w:r>
      <w:r w:rsidRPr="002E3163">
        <w:t xml:space="preserve"> </w:t>
      </w:r>
      <w:r>
        <w:t xml:space="preserve">significant </w:t>
      </w:r>
      <w:r w:rsidRPr="002E3163">
        <w:t>implications for the effective implementation of the right to adequate housing</w:t>
      </w:r>
      <w:r>
        <w:t xml:space="preserve">. The </w:t>
      </w:r>
      <w:r w:rsidRPr="0060646B">
        <w:t xml:space="preserve">right to adequate housing </w:t>
      </w:r>
      <w:r>
        <w:t>should be</w:t>
      </w:r>
      <w:r w:rsidRPr="0060646B">
        <w:t xml:space="preserve"> integrated as a key component </w:t>
      </w:r>
      <w:r>
        <w:t>in</w:t>
      </w:r>
      <w:r w:rsidRPr="0060646B">
        <w:t xml:space="preserve"> planning, preparation and implementation of </w:t>
      </w:r>
      <w:r>
        <w:t>pre and post-disaster interventions.</w:t>
      </w:r>
      <w:r>
        <w:rPr>
          <w:rStyle w:val="FootnoteReference"/>
        </w:rPr>
        <w:footnoteReference w:id="120"/>
      </w:r>
    </w:p>
    <w:p w14:paraId="356F7F48" w14:textId="77777777" w:rsidR="00835D3D" w:rsidRDefault="00835D3D" w:rsidP="003B76A1">
      <w:pPr>
        <w:pStyle w:val="ListParagraph"/>
        <w:numPr>
          <w:ilvl w:val="0"/>
          <w:numId w:val="13"/>
        </w:numPr>
        <w:tabs>
          <w:tab w:val="left" w:pos="1343"/>
        </w:tabs>
        <w:spacing w:after="120"/>
        <w:ind w:left="714" w:hanging="357"/>
        <w:contextualSpacing w:val="0"/>
        <w:jc w:val="both"/>
      </w:pPr>
      <w:r>
        <w:t xml:space="preserve">States should ensure that adaptation </w:t>
      </w:r>
      <w:r w:rsidRPr="002E3163">
        <w:t xml:space="preserve">measures intended to protect people from the effects of </w:t>
      </w:r>
      <w:r>
        <w:t xml:space="preserve">the climate crisis </w:t>
      </w:r>
      <w:r w:rsidRPr="002E3163">
        <w:t>do not</w:t>
      </w:r>
      <w:r>
        <w:t xml:space="preserve"> adversely impact those who are living in precarious housing or</w:t>
      </w:r>
      <w:r w:rsidRPr="002E3163">
        <w:t xml:space="preserve"> result in violation</w:t>
      </w:r>
      <w:r>
        <w:t>s</w:t>
      </w:r>
      <w:r w:rsidRPr="002E3163">
        <w:t xml:space="preserve"> of th</w:t>
      </w:r>
      <w:r>
        <w:t>e</w:t>
      </w:r>
      <w:r w:rsidRPr="002E3163">
        <w:t xml:space="preserve"> right</w:t>
      </w:r>
      <w:r>
        <w:t xml:space="preserve"> to housing.</w:t>
      </w:r>
    </w:p>
    <w:p w14:paraId="1172B10B" w14:textId="77777777" w:rsidR="00835D3D" w:rsidRDefault="00835D3D" w:rsidP="003B76A1">
      <w:pPr>
        <w:pStyle w:val="ListParagraph"/>
        <w:numPr>
          <w:ilvl w:val="0"/>
          <w:numId w:val="13"/>
        </w:numPr>
        <w:tabs>
          <w:tab w:val="left" w:pos="1343"/>
        </w:tabs>
        <w:spacing w:after="120"/>
        <w:ind w:left="714" w:hanging="357"/>
        <w:contextualSpacing w:val="0"/>
        <w:jc w:val="both"/>
      </w:pPr>
      <w:r>
        <w:t>Measures should be adopted to prevent conditions that might lead to climate displacement and ensure that people and communities can continue to live in their houses and lands for as long as possible in a manner consistent with their human rights.</w:t>
      </w:r>
      <w:r>
        <w:rPr>
          <w:rStyle w:val="FootnoteReference"/>
        </w:rPr>
        <w:footnoteReference w:id="121"/>
      </w:r>
      <w:r>
        <w:t xml:space="preserve">  </w:t>
      </w:r>
    </w:p>
    <w:p w14:paraId="77FEBC33" w14:textId="26E84165" w:rsidR="00835D3D" w:rsidRDefault="00835D3D" w:rsidP="003B76A1">
      <w:pPr>
        <w:pStyle w:val="ListParagraph"/>
        <w:numPr>
          <w:ilvl w:val="0"/>
          <w:numId w:val="13"/>
        </w:numPr>
        <w:tabs>
          <w:tab w:val="left" w:pos="1343"/>
        </w:tabs>
        <w:spacing w:after="120"/>
        <w:ind w:left="714" w:hanging="357"/>
        <w:contextualSpacing w:val="0"/>
        <w:jc w:val="both"/>
      </w:pPr>
      <w:r w:rsidRPr="00580919">
        <w:t xml:space="preserve">Climate change adaptation efforts should give priority to the needs of the most vulnerable and start by </w:t>
      </w:r>
      <w:r>
        <w:t xml:space="preserve">collaborating with them to </w:t>
      </w:r>
      <w:r w:rsidRPr="00580919">
        <w:t xml:space="preserve">identify the measures </w:t>
      </w:r>
      <w:r>
        <w:t xml:space="preserve">needed </w:t>
      </w:r>
      <w:r w:rsidRPr="00580919">
        <w:t>for their protection</w:t>
      </w:r>
      <w:r w:rsidR="00723794">
        <w:t>.  Such measures may</w:t>
      </w:r>
      <w:r>
        <w:t xml:space="preserve"> includ</w:t>
      </w:r>
      <w:r w:rsidR="00723794">
        <w:t>e</w:t>
      </w:r>
      <w:r>
        <w:t xml:space="preserve"> </w:t>
      </w:r>
      <w:r w:rsidRPr="00580919">
        <w:t xml:space="preserve">installing protective infrastructure, supporting buildings of better quality, </w:t>
      </w:r>
      <w:r>
        <w:t>providing</w:t>
      </w:r>
      <w:r w:rsidRPr="00580919">
        <w:t xml:space="preserve"> technical support and appropriate finance systems, and assisting those who live in</w:t>
      </w:r>
      <w:r w:rsidR="00723794">
        <w:t xml:space="preserve"> </w:t>
      </w:r>
      <w:r w:rsidRPr="00580919">
        <w:t>dangerous sites to move to safer sites</w:t>
      </w:r>
      <w:r>
        <w:t>.</w:t>
      </w:r>
      <w:r>
        <w:rPr>
          <w:rStyle w:val="FootnoteReference"/>
        </w:rPr>
        <w:footnoteReference w:id="122"/>
      </w:r>
    </w:p>
    <w:p w14:paraId="0286DC21" w14:textId="1DD9F739" w:rsidR="00835D3D" w:rsidRPr="0081659B" w:rsidRDefault="00835D3D" w:rsidP="003B76A1">
      <w:pPr>
        <w:pStyle w:val="ListParagraph"/>
        <w:numPr>
          <w:ilvl w:val="0"/>
          <w:numId w:val="13"/>
        </w:numPr>
        <w:tabs>
          <w:tab w:val="left" w:pos="1343"/>
        </w:tabs>
        <w:spacing w:after="120"/>
        <w:ind w:left="714" w:hanging="357"/>
        <w:contextualSpacing w:val="0"/>
        <w:jc w:val="both"/>
        <w:rPr>
          <w:lang w:val="en-US"/>
        </w:rPr>
      </w:pPr>
      <w:r>
        <w:t xml:space="preserve">States should conduct thorough analysis of </w:t>
      </w:r>
      <w:r w:rsidRPr="0081659B">
        <w:rPr>
          <w:lang w:val="en-US"/>
        </w:rPr>
        <w:t>anticipated climate displacement</w:t>
      </w:r>
      <w:r>
        <w:rPr>
          <w:lang w:val="en-US"/>
        </w:rPr>
        <w:t xml:space="preserve">, determine likely </w:t>
      </w:r>
      <w:r w:rsidRPr="0081659B">
        <w:rPr>
          <w:lang w:val="en-US"/>
        </w:rPr>
        <w:t>timeframes</w:t>
      </w:r>
      <w:r>
        <w:rPr>
          <w:lang w:val="en-US"/>
        </w:rPr>
        <w:t>, identify communities</w:t>
      </w:r>
      <w:r w:rsidRPr="0081659B">
        <w:rPr>
          <w:lang w:val="en-US"/>
        </w:rPr>
        <w:t xml:space="preserve"> threatened by climate change, and possible relocation sites for climate displaced persons</w:t>
      </w:r>
      <w:r w:rsidR="00227458">
        <w:rPr>
          <w:lang w:val="en-US"/>
        </w:rPr>
        <w:t>.</w:t>
      </w:r>
    </w:p>
    <w:p w14:paraId="0AB78B2C" w14:textId="2C637606" w:rsidR="00835D3D" w:rsidRPr="008E076D" w:rsidRDefault="00835D3D" w:rsidP="003B76A1">
      <w:pPr>
        <w:pStyle w:val="ListParagraph"/>
        <w:numPr>
          <w:ilvl w:val="0"/>
          <w:numId w:val="13"/>
        </w:numPr>
        <w:tabs>
          <w:tab w:val="left" w:pos="1343"/>
        </w:tabs>
        <w:spacing w:after="120"/>
        <w:ind w:left="714" w:hanging="357"/>
        <w:contextualSpacing w:val="0"/>
        <w:jc w:val="both"/>
        <w:rPr>
          <w:lang w:val="en-US"/>
        </w:rPr>
      </w:pPr>
      <w:r>
        <w:rPr>
          <w:lang w:val="en-US"/>
        </w:rPr>
        <w:t xml:space="preserve">Rights to remain in communities where possible and </w:t>
      </w:r>
      <w:r w:rsidRPr="0081659B">
        <w:rPr>
          <w:lang w:val="en-US"/>
        </w:rPr>
        <w:t>rights</w:t>
      </w:r>
      <w:r>
        <w:rPr>
          <w:lang w:val="en-US"/>
        </w:rPr>
        <w:t xml:space="preserve"> to relocate should be clearly defined in law and policy on climate displacement. </w:t>
      </w:r>
      <w:r>
        <w:t xml:space="preserve">Relocation </w:t>
      </w:r>
      <w:r w:rsidR="00723794">
        <w:t xml:space="preserve">should be </w:t>
      </w:r>
      <w:r>
        <w:t xml:space="preserve">implemented in consultation </w:t>
      </w:r>
      <w:r w:rsidR="00723794">
        <w:t xml:space="preserve">and full cooperation </w:t>
      </w:r>
      <w:r>
        <w:t>with the people concerned</w:t>
      </w:r>
      <w:r w:rsidR="00227458">
        <w:t>.</w:t>
      </w:r>
    </w:p>
    <w:p w14:paraId="3E62DEC5" w14:textId="77777777" w:rsidR="00835D3D" w:rsidRDefault="00835D3D" w:rsidP="003B76A1">
      <w:pPr>
        <w:pStyle w:val="ListParagraph"/>
        <w:numPr>
          <w:ilvl w:val="0"/>
          <w:numId w:val="13"/>
        </w:numPr>
        <w:tabs>
          <w:tab w:val="left" w:pos="1343"/>
        </w:tabs>
        <w:spacing w:after="120"/>
        <w:ind w:left="714" w:hanging="357"/>
        <w:contextualSpacing w:val="0"/>
        <w:jc w:val="both"/>
      </w:pPr>
      <w:r>
        <w:t>In case of temporarily displacements</w:t>
      </w:r>
      <w:r w:rsidRPr="00773624">
        <w:t xml:space="preserve"> due to climate change-related disasters, such as hurricanes, storms</w:t>
      </w:r>
      <w:r>
        <w:t>, fires, droughts</w:t>
      </w:r>
      <w:r w:rsidRPr="00773624">
        <w:t xml:space="preserve"> and floods, relocation </w:t>
      </w:r>
      <w:r>
        <w:t>should</w:t>
      </w:r>
      <w:r w:rsidRPr="00773624">
        <w:t xml:space="preserve"> last only as long as absolutely necessary and all displaced persons should have the right to return to their homes without discrimination.</w:t>
      </w:r>
      <w:r>
        <w:rPr>
          <w:rStyle w:val="FootnoteReference"/>
        </w:rPr>
        <w:footnoteReference w:id="123"/>
      </w:r>
      <w:r w:rsidRPr="00773624">
        <w:t xml:space="preserve">  </w:t>
      </w:r>
    </w:p>
    <w:p w14:paraId="7208F67C" w14:textId="77777777" w:rsidR="00835D3D" w:rsidRPr="00491B5C" w:rsidRDefault="00835D3D" w:rsidP="00835D3D">
      <w:pPr>
        <w:tabs>
          <w:tab w:val="left" w:pos="1343"/>
        </w:tabs>
        <w:rPr>
          <w:b/>
          <w:bCs/>
        </w:rPr>
      </w:pPr>
    </w:p>
    <w:p w14:paraId="5CE4D62D" w14:textId="77777777" w:rsidR="00835D3D" w:rsidRPr="00835D3D" w:rsidRDefault="00835D3D" w:rsidP="009B3CE0">
      <w:pPr>
        <w:pStyle w:val="Heading2"/>
      </w:pPr>
      <w:bookmarkStart w:id="40" w:name="_Toc23200833"/>
      <w:r w:rsidRPr="00835D3D">
        <w:t>Guideline No. 15</w:t>
      </w:r>
      <w:bookmarkEnd w:id="40"/>
      <w:r w:rsidRPr="00835D3D">
        <w:t xml:space="preserve"> </w:t>
      </w:r>
    </w:p>
    <w:p w14:paraId="51F9622D" w14:textId="77777777" w:rsidR="00BE5E2C" w:rsidRDefault="00BE5E2C" w:rsidP="009B3CE0">
      <w:pPr>
        <w:pStyle w:val="Heading3"/>
      </w:pPr>
      <w:bookmarkStart w:id="41" w:name="_Toc23200834"/>
      <w:r w:rsidRPr="00D249BB">
        <w:t>Ensure effective monitoring and accountability mechanisms</w:t>
      </w:r>
      <w:bookmarkEnd w:id="41"/>
      <w:r w:rsidRPr="00D249BB">
        <w:t xml:space="preserve"> </w:t>
      </w:r>
    </w:p>
    <w:p w14:paraId="67382C6A" w14:textId="77777777" w:rsidR="004B6071" w:rsidRDefault="00DE0892" w:rsidP="00DE0892">
      <w:pPr>
        <w:tabs>
          <w:tab w:val="left" w:pos="709"/>
        </w:tabs>
        <w:jc w:val="both"/>
      </w:pPr>
      <w:r>
        <w:t>62.</w:t>
      </w:r>
      <w:r>
        <w:tab/>
      </w:r>
      <w:r w:rsidR="004B6071">
        <w:t xml:space="preserve">Monitoring </w:t>
      </w:r>
      <w:r w:rsidR="00627B28">
        <w:t xml:space="preserve">the implementation of the right to housing is a central component of the </w:t>
      </w:r>
      <w:r w:rsidR="004B6071">
        <w:t>obligation to pr</w:t>
      </w:r>
      <w:r w:rsidR="00F61DAD">
        <w:t>ogressively realize the right</w:t>
      </w:r>
      <w:r w:rsidR="004B6071">
        <w:t>.</w:t>
      </w:r>
      <w:r w:rsidR="004B6071">
        <w:rPr>
          <w:rStyle w:val="FootnoteReference"/>
        </w:rPr>
        <w:footnoteReference w:id="124"/>
      </w:r>
      <w:r w:rsidR="004B6071">
        <w:t xml:space="preserve">  In the Special Rapporteur’s experience, States tend to misunderstand the obligation to monitor progress as being merely a matter of collecting and disseminating data about housing programs</w:t>
      </w:r>
      <w:r w:rsidR="00627B28">
        <w:t>, expenditures</w:t>
      </w:r>
      <w:r w:rsidR="004B6071">
        <w:t xml:space="preserve"> and aggregate demographic data, devoid of reference to the human rights standards to which States are accountable.  </w:t>
      </w:r>
    </w:p>
    <w:p w14:paraId="710CD711" w14:textId="77777777" w:rsidR="00DE0892" w:rsidRDefault="00DE0892" w:rsidP="00DE0892">
      <w:pPr>
        <w:jc w:val="both"/>
      </w:pPr>
      <w:r>
        <w:lastRenderedPageBreak/>
        <w:t>63.</w:t>
      </w:r>
      <w:r>
        <w:tab/>
      </w:r>
      <w:r w:rsidR="004B6071">
        <w:t>Monitoring is often conducted by governments themselves, rather than by independent institutions with the capacity to assess human rights compliance and to hold governments accountable. Evidence considered is often restricted to aggregate</w:t>
      </w:r>
      <w:r w:rsidR="004B6071" w:rsidRPr="000D6CE1">
        <w:t xml:space="preserve"> statistical </w:t>
      </w:r>
      <w:r w:rsidR="004B6071">
        <w:t xml:space="preserve">information, without qualitative evidence based on experiences of rights-holders. In many countries disaggregated data are not collected </w:t>
      </w:r>
      <w:r w:rsidR="004B6071" w:rsidRPr="007F70D5">
        <w:t xml:space="preserve">due to either the lack of technical capacity or </w:t>
      </w:r>
      <w:r w:rsidR="004B6071">
        <w:t>absence of legislation allowing it</w:t>
      </w:r>
      <w:r w:rsidR="004B6071" w:rsidRPr="007F70D5">
        <w:t xml:space="preserve">. </w:t>
      </w:r>
    </w:p>
    <w:p w14:paraId="14A38AFC" w14:textId="29D76682" w:rsidR="004B6071" w:rsidRPr="005F6B39" w:rsidRDefault="00DE0892" w:rsidP="00DE0892">
      <w:pPr>
        <w:jc w:val="both"/>
        <w:rPr>
          <w:rFonts w:cstheme="minorHAnsi"/>
          <w:bCs/>
        </w:rPr>
      </w:pPr>
      <w:r>
        <w:t>64.</w:t>
      </w:r>
      <w:r>
        <w:tab/>
      </w:r>
      <w:r w:rsidR="004B6071">
        <w:t xml:space="preserve">Monitoring bodies have not provided means for rights-holders to identify areas in need of attention so the assessment of progress and compliance is often </w:t>
      </w:r>
      <w:r w:rsidR="004B6071" w:rsidRPr="00A03E3E">
        <w:t xml:space="preserve">remote from the actual </w:t>
      </w:r>
      <w:r w:rsidR="004B6071">
        <w:t>experiences</w:t>
      </w:r>
      <w:r w:rsidR="004B6071" w:rsidRPr="00A03E3E">
        <w:t xml:space="preserve"> of rights holders</w:t>
      </w:r>
      <w:r w:rsidR="004B6071">
        <w:t>. Statistical reports are often simply submitted without any procedure for follow-up to ensure that problem areas are addressed. As noted by the CESCR, human rights institutions, (or similar bodies mandated to focus specifically on the right to housing) can play an important role in identifying appropriate goals and benchmarks, providing research, monitoring compliance and examining complaints.</w:t>
      </w:r>
      <w:r w:rsidR="00075A40">
        <w:rPr>
          <w:rStyle w:val="FootnoteReference"/>
        </w:rPr>
        <w:footnoteReference w:id="125"/>
      </w:r>
      <w:r w:rsidR="004B6071">
        <w:t xml:space="preserve">  If States are to take seriously their commitments under target 11.1 of the Sustainable Development Goals, they must institute rigo</w:t>
      </w:r>
      <w:r w:rsidR="002F2382">
        <w:t xml:space="preserve">rous independent monitoring of </w:t>
      </w:r>
      <w:r w:rsidR="004B6071">
        <w:t>progress, based on realistic goals and timelines, with means to hold governments and other</w:t>
      </w:r>
      <w:r w:rsidR="005A0A12">
        <w:t xml:space="preserve"> actors</w:t>
      </w:r>
      <w:r w:rsidR="004B6071">
        <w:t xml:space="preserve"> accountable. </w:t>
      </w:r>
    </w:p>
    <w:p w14:paraId="611796EC" w14:textId="77777777" w:rsidR="004B6071" w:rsidRDefault="00DE0892" w:rsidP="00DE0892">
      <w:pPr>
        <w:tabs>
          <w:tab w:val="left" w:pos="709"/>
        </w:tabs>
        <w:jc w:val="both"/>
      </w:pPr>
      <w:r>
        <w:t>65.</w:t>
      </w:r>
      <w:r>
        <w:tab/>
      </w:r>
      <w:r w:rsidR="002F2382">
        <w:t>Effective monitoring should assess progress in relation to capacity and available resources; consider whether the needs and circumstances of those most in need have been met; whether the rights of women, migrants, persons with disabilities and other marginalized groups have been addressed; and whether governments have made reasonable efforts to meet established targets and timelines in accordance with housing strategies and sustainable development goal commitments.  Monitoring must be designed to uncover systemic issues requiring redress including real estate markets and broader trends impacting the right to housing, and must extend to all actors engaged in the housing system, including private business enterprises.</w:t>
      </w:r>
      <w:r w:rsidR="002F2382" w:rsidRPr="002F2382">
        <w:rPr>
          <w:rStyle w:val="FootnoteReference"/>
        </w:rPr>
        <w:t xml:space="preserve"> </w:t>
      </w:r>
      <w:r w:rsidR="002F2382">
        <w:rPr>
          <w:rStyle w:val="FootnoteReference"/>
        </w:rPr>
        <w:footnoteReference w:id="126"/>
      </w:r>
      <w:r w:rsidR="002F2382">
        <w:t xml:space="preserve"> </w:t>
      </w:r>
    </w:p>
    <w:p w14:paraId="6105D079" w14:textId="523814C2" w:rsidR="004B6071" w:rsidRPr="00945068" w:rsidRDefault="004B6071" w:rsidP="005F3828">
      <w:pPr>
        <w:rPr>
          <w:b/>
          <w:bCs/>
        </w:rPr>
      </w:pPr>
      <w:r w:rsidRPr="00945068">
        <w:rPr>
          <w:b/>
          <w:bCs/>
        </w:rPr>
        <w:t xml:space="preserve">Implementation </w:t>
      </w:r>
      <w:r w:rsidR="00121444" w:rsidRPr="00945068">
        <w:rPr>
          <w:b/>
          <w:bCs/>
        </w:rPr>
        <w:t>M</w:t>
      </w:r>
      <w:r w:rsidRPr="00945068">
        <w:rPr>
          <w:b/>
          <w:bCs/>
        </w:rPr>
        <w:t>easures</w:t>
      </w:r>
      <w:r w:rsidR="00121444" w:rsidRPr="00945068">
        <w:rPr>
          <w:b/>
          <w:bCs/>
        </w:rPr>
        <w:t>:</w:t>
      </w:r>
    </w:p>
    <w:p w14:paraId="371B8BA6" w14:textId="77777777" w:rsidR="004B6071" w:rsidRDefault="004B6071" w:rsidP="003B76A1">
      <w:pPr>
        <w:pStyle w:val="ListParagraph"/>
        <w:numPr>
          <w:ilvl w:val="0"/>
          <w:numId w:val="10"/>
        </w:numPr>
        <w:spacing w:after="120"/>
        <w:ind w:left="714" w:hanging="357"/>
        <w:contextualSpacing w:val="0"/>
        <w:jc w:val="both"/>
      </w:pPr>
      <w:r w:rsidRPr="000D6CE1">
        <w:t xml:space="preserve">Effective monitoring and accountability </w:t>
      </w:r>
      <w:r>
        <w:t>should</w:t>
      </w:r>
      <w:r w:rsidRPr="000D6CE1">
        <w:t xml:space="preserve"> be</w:t>
      </w:r>
      <w:r>
        <w:t xml:space="preserve"> incorporated </w:t>
      </w:r>
      <w:r w:rsidRPr="000D6CE1">
        <w:t>a</w:t>
      </w:r>
      <w:r>
        <w:t>s a</w:t>
      </w:r>
      <w:r w:rsidRPr="000D6CE1">
        <w:t xml:space="preserve"> component of all programs, ensuring access to hearings or an ability of affected groups to bring problems to light and propose solutions</w:t>
      </w:r>
      <w:r>
        <w:t>.  Regular reporting should be accompanied by requirements that authorities provide a response with proposed follow-up action within a reasonable period of time.</w:t>
      </w:r>
    </w:p>
    <w:p w14:paraId="36C9230A" w14:textId="77777777" w:rsidR="004B6071" w:rsidRDefault="004B6071" w:rsidP="003B76A1">
      <w:pPr>
        <w:pStyle w:val="ListParagraph"/>
        <w:numPr>
          <w:ilvl w:val="0"/>
          <w:numId w:val="10"/>
        </w:numPr>
        <w:spacing w:after="120"/>
        <w:ind w:left="714" w:hanging="357"/>
        <w:contextualSpacing w:val="0"/>
        <w:jc w:val="both"/>
      </w:pPr>
      <w:r>
        <w:t>Appropriate quantitative and qualitative human rights indicators should be developed,</w:t>
      </w:r>
      <w:r>
        <w:rPr>
          <w:rStyle w:val="FootnoteReference"/>
        </w:rPr>
        <w:footnoteReference w:id="127"/>
      </w:r>
      <w:r>
        <w:t xml:space="preserve"> covering all aspects of the right to housing, including security of tenure, availability of services, affordability, habitability, accessibility, location and cultural adequacy.</w:t>
      </w:r>
      <w:r>
        <w:rPr>
          <w:rStyle w:val="FootnoteReference"/>
        </w:rPr>
        <w:footnoteReference w:id="128"/>
      </w:r>
      <w:r>
        <w:t xml:space="preserve">  </w:t>
      </w:r>
    </w:p>
    <w:p w14:paraId="340D14EC" w14:textId="77777777" w:rsidR="005A0A12" w:rsidRDefault="004B6071" w:rsidP="003B76A1">
      <w:pPr>
        <w:pStyle w:val="ListParagraph"/>
        <w:numPr>
          <w:ilvl w:val="0"/>
          <w:numId w:val="10"/>
        </w:numPr>
        <w:spacing w:after="120"/>
        <w:ind w:left="714" w:hanging="357"/>
        <w:contextualSpacing w:val="0"/>
        <w:jc w:val="both"/>
      </w:pPr>
      <w:r w:rsidRPr="00642023">
        <w:t>An independent</w:t>
      </w:r>
      <w:r>
        <w:t xml:space="preserve"> body such as the national human rights institution</w:t>
      </w:r>
      <w:r w:rsidR="00873B49">
        <w:t xml:space="preserve"> or ombuds</w:t>
      </w:r>
      <w:r w:rsidR="00DE0892">
        <w:t>persons</w:t>
      </w:r>
      <w:r>
        <w:t>, with expertise in human rights and the right to housing should be mandated to monitor progress and c</w:t>
      </w:r>
      <w:r w:rsidR="00873B49">
        <w:t>ompliance with the progressive</w:t>
      </w:r>
      <w:r>
        <w:t xml:space="preserve"> realization of the right to housing</w:t>
      </w:r>
      <w:r w:rsidR="007F4E1A">
        <w:t>. Using political venues such a</w:t>
      </w:r>
      <w:r w:rsidR="005A0A12">
        <w:t>s</w:t>
      </w:r>
      <w:r w:rsidR="007F4E1A">
        <w:t xml:space="preserve"> parliamentary or congressional hearings that include stakeholder witnesses, States should </w:t>
      </w:r>
      <w:r w:rsidR="00180594">
        <w:t>provide periodic public reports on</w:t>
      </w:r>
      <w:r w:rsidR="007F4E1A">
        <w:t xml:space="preserve"> their progress on the implementation of the right to housing. </w:t>
      </w:r>
    </w:p>
    <w:p w14:paraId="5D521843" w14:textId="050A7CAF" w:rsidR="004B6071" w:rsidRDefault="005A0A12" w:rsidP="003B76A1">
      <w:pPr>
        <w:pStyle w:val="ListParagraph"/>
        <w:numPr>
          <w:ilvl w:val="0"/>
          <w:numId w:val="10"/>
        </w:numPr>
        <w:spacing w:after="120"/>
        <w:ind w:left="714" w:hanging="357"/>
        <w:contextualSpacing w:val="0"/>
        <w:jc w:val="both"/>
      </w:pPr>
      <w:r>
        <w:t>Monitoring should include a</w:t>
      </w:r>
      <w:r w:rsidR="004B6071">
        <w:t>nalysis</w:t>
      </w:r>
      <w:r w:rsidR="00873B49">
        <w:t xml:space="preserve"> of </w:t>
      </w:r>
      <w:r w:rsidR="00596AAE">
        <w:t>effectiveness of policies and programmes,</w:t>
      </w:r>
      <w:r>
        <w:t xml:space="preserve"> adequacy of</w:t>
      </w:r>
      <w:r w:rsidR="00596AAE">
        <w:t xml:space="preserve"> </w:t>
      </w:r>
      <w:r w:rsidR="00873B49">
        <w:t xml:space="preserve">budgetary allocations and </w:t>
      </w:r>
      <w:r w:rsidR="004B6071">
        <w:t xml:space="preserve">assess compliance with the obligation to apply the </w:t>
      </w:r>
      <w:r w:rsidR="004B6071" w:rsidRPr="00A146FF">
        <w:t xml:space="preserve">“maximum” of </w:t>
      </w:r>
      <w:r w:rsidR="004B6071" w:rsidRPr="00A146FF">
        <w:lastRenderedPageBreak/>
        <w:t>“available resources” and “all appropriate means” to address</w:t>
      </w:r>
      <w:r w:rsidR="004B6071">
        <w:t xml:space="preserve"> inadequate housing conditions and homelessness</w:t>
      </w:r>
      <w:r w:rsidR="00873B49">
        <w:rPr>
          <w:rStyle w:val="CommentReference"/>
        </w:rPr>
        <w:t>.</w:t>
      </w:r>
    </w:p>
    <w:p w14:paraId="3179B62E" w14:textId="77777777" w:rsidR="004B6071" w:rsidRDefault="004B6071" w:rsidP="003B76A1">
      <w:pPr>
        <w:pStyle w:val="ListParagraph"/>
        <w:numPr>
          <w:ilvl w:val="0"/>
          <w:numId w:val="10"/>
        </w:numPr>
        <w:spacing w:after="120"/>
        <w:ind w:left="714" w:hanging="357"/>
        <w:contextualSpacing w:val="0"/>
        <w:jc w:val="both"/>
      </w:pPr>
      <w:r>
        <w:t>Partici</w:t>
      </w:r>
      <w:r w:rsidR="00873B49">
        <w:t xml:space="preserve">pation of rights-holders in </w:t>
      </w:r>
      <w:r>
        <w:t xml:space="preserve">monitoring should be ensured and special measures should be adopted with a view to enabling marginalized groups to engage effectively in the monitoring process. </w:t>
      </w:r>
    </w:p>
    <w:p w14:paraId="254ED582" w14:textId="5156AC6E" w:rsidR="004B6071" w:rsidRDefault="004B6071" w:rsidP="003B76A1">
      <w:pPr>
        <w:pStyle w:val="ListParagraph"/>
        <w:numPr>
          <w:ilvl w:val="0"/>
          <w:numId w:val="10"/>
        </w:numPr>
        <w:spacing w:after="120"/>
        <w:ind w:left="714" w:hanging="357"/>
        <w:contextualSpacing w:val="0"/>
        <w:jc w:val="both"/>
      </w:pPr>
      <w:r>
        <w:t>The independent monitoring body should be conferred the capacity to hear complaints from concerned people</w:t>
      </w:r>
      <w:r w:rsidR="005A0A12">
        <w:t xml:space="preserve"> or groups</w:t>
      </w:r>
      <w:r>
        <w:t xml:space="preserve">, undertake monitoring visits, surveys and convene public hearings to gather information relevant to the discharge of its functions. </w:t>
      </w:r>
    </w:p>
    <w:p w14:paraId="5C61AB0D" w14:textId="77777777" w:rsidR="004B6071" w:rsidRDefault="004B6071" w:rsidP="003B76A1">
      <w:pPr>
        <w:pStyle w:val="ListParagraph"/>
        <w:numPr>
          <w:ilvl w:val="0"/>
          <w:numId w:val="10"/>
        </w:numPr>
        <w:spacing w:after="120"/>
        <w:ind w:left="714" w:hanging="357"/>
        <w:contextualSpacing w:val="0"/>
        <w:jc w:val="both"/>
      </w:pPr>
      <w:r>
        <w:t>States should ensure that monitoring bodies are provided with sufficient human and financial resources.</w:t>
      </w:r>
    </w:p>
    <w:p w14:paraId="767F6D93" w14:textId="77777777" w:rsidR="005A0A12" w:rsidRDefault="005A0A12" w:rsidP="005A0A12">
      <w:pPr>
        <w:jc w:val="both"/>
      </w:pPr>
    </w:p>
    <w:p w14:paraId="5B373F4B" w14:textId="7B3EB6E0" w:rsidR="00BE5E2C" w:rsidRPr="005A0A12" w:rsidRDefault="00BE5E2C" w:rsidP="009B3CE0">
      <w:pPr>
        <w:pStyle w:val="Heading2"/>
      </w:pPr>
      <w:bookmarkStart w:id="42" w:name="_Toc23200835"/>
      <w:r w:rsidRPr="005A0A12">
        <w:t xml:space="preserve">Guideline </w:t>
      </w:r>
      <w:r w:rsidR="00121444">
        <w:t>N</w:t>
      </w:r>
      <w:r w:rsidRPr="005A0A12">
        <w:t>o. 1</w:t>
      </w:r>
      <w:r w:rsidR="00835D3D" w:rsidRPr="005A0A12">
        <w:t>6</w:t>
      </w:r>
      <w:bookmarkEnd w:id="42"/>
    </w:p>
    <w:p w14:paraId="7184041F" w14:textId="77777777" w:rsidR="00BE5E2C" w:rsidRPr="00764B00" w:rsidRDefault="00BE5E2C" w:rsidP="009B3CE0">
      <w:pPr>
        <w:pStyle w:val="Heading3"/>
      </w:pPr>
      <w:bookmarkStart w:id="43" w:name="_Toc23200836"/>
      <w:r w:rsidRPr="00764B00">
        <w:t>Ensure access to justice for all aspects of the right to housing</w:t>
      </w:r>
      <w:bookmarkEnd w:id="43"/>
    </w:p>
    <w:p w14:paraId="709F1E55" w14:textId="50EB4D4C" w:rsidR="00C13DCF" w:rsidRDefault="00F85BB0" w:rsidP="00DE0892">
      <w:pPr>
        <w:tabs>
          <w:tab w:val="left" w:pos="567"/>
        </w:tabs>
        <w:jc w:val="both"/>
      </w:pPr>
      <w:r>
        <w:t>66</w:t>
      </w:r>
      <w:r w:rsidR="00DE0892">
        <w:t>.</w:t>
      </w:r>
      <w:r w:rsidR="00DE0892">
        <w:tab/>
      </w:r>
      <w:r w:rsidR="00C13DCF">
        <w:t>The provision of legal remedies for the violation of the right to housing is a core component of States’ obligation to ensure the realization of this right</w:t>
      </w:r>
      <w:r w:rsidR="00C13DCF" w:rsidRPr="008D7F41">
        <w:t>.</w:t>
      </w:r>
      <w:r w:rsidR="00C13DCF" w:rsidRPr="008D7F41">
        <w:rPr>
          <w:rStyle w:val="FootnoteReference"/>
        </w:rPr>
        <w:footnoteReference w:id="129"/>
      </w:r>
      <w:r w:rsidR="00C13DCF" w:rsidRPr="008D7F41">
        <w:t xml:space="preserve"> As spelt out by the CESCR, “</w:t>
      </w:r>
      <w:r w:rsidR="00C13DCF">
        <w:t>[m]</w:t>
      </w:r>
      <w:r w:rsidR="00C13DCF" w:rsidRPr="008D7F41">
        <w:t>any component elements of the right to adequate housing are closely bound up with the provision of domestic legal remedies to ensure the effective enjoyment of the right</w:t>
      </w:r>
      <w:r w:rsidR="00C13DCF">
        <w:t>.</w:t>
      </w:r>
      <w:r w:rsidR="00C13DCF" w:rsidRPr="008D7F41">
        <w:t>”</w:t>
      </w:r>
      <w:r w:rsidR="00C13DCF">
        <w:rPr>
          <w:rStyle w:val="FootnoteReference"/>
        </w:rPr>
        <w:footnoteReference w:id="130"/>
      </w:r>
      <w:r w:rsidR="00C13DCF" w:rsidRPr="008D7F41">
        <w:t xml:space="preserve"> </w:t>
      </w:r>
      <w:r w:rsidR="00C13DCF">
        <w:t xml:space="preserve"> The definition of forced eviction, for example, </w:t>
      </w:r>
      <w:r w:rsidR="005A0A12">
        <w:t>is directly linked to the</w:t>
      </w:r>
      <w:r w:rsidR="00C13DCF">
        <w:t xml:space="preserve"> denial of </w:t>
      </w:r>
      <w:r w:rsidR="00C13DCF" w:rsidRPr="007F4854">
        <w:t xml:space="preserve">access to legal </w:t>
      </w:r>
      <w:r w:rsidR="00C13DCF">
        <w:t>protections.  Indeed, as noted in the Special Rapporteur’s report on access to justice for the right to housing (</w:t>
      </w:r>
      <w:r w:rsidR="00C13DCF" w:rsidRPr="00C87682">
        <w:t>A</w:t>
      </w:r>
      <w:r w:rsidR="00C13DCF">
        <w:t>/HRC/40/61), v</w:t>
      </w:r>
      <w:r w:rsidR="00C13DCF" w:rsidRPr="008D7F41">
        <w:t>iolations</w:t>
      </w:r>
      <w:r w:rsidR="00C13DCF" w:rsidRPr="00A04FC1">
        <w:t xml:space="preserve"> of the right to housing are as much failures in the administration of justice</w:t>
      </w:r>
      <w:r w:rsidR="00C13DCF">
        <w:t xml:space="preserve"> to ensure meaningful accountability and access to effective remedies</w:t>
      </w:r>
      <w:r w:rsidR="00C13DCF" w:rsidRPr="00A04FC1">
        <w:t xml:space="preserve"> as they are failures of housing programmes.</w:t>
      </w:r>
      <w:r w:rsidR="00C13DCF">
        <w:rPr>
          <w:rStyle w:val="FootnoteReference"/>
        </w:rPr>
        <w:footnoteReference w:id="131"/>
      </w:r>
      <w:r w:rsidR="00C13DCF" w:rsidRPr="00A04FC1">
        <w:t xml:space="preserve"> </w:t>
      </w:r>
      <w:r w:rsidR="00C13DCF">
        <w:t xml:space="preserve"> </w:t>
      </w:r>
      <w:r w:rsidR="00C13DCF" w:rsidRPr="000A34F7">
        <w:t>Courts and tribunals are more often experienced by those who are living in informal settlements or homelessness as places where evictions are ordered or criminalizing sanctions imposed, than as venues where the right to housing can be claimed</w:t>
      </w:r>
      <w:r w:rsidR="00C13DCF">
        <w:t>.</w:t>
      </w:r>
      <w:r w:rsidR="00C13DCF">
        <w:rPr>
          <w:rStyle w:val="FootnoteReference"/>
        </w:rPr>
        <w:footnoteReference w:id="132"/>
      </w:r>
      <w:r w:rsidR="00C13DCF">
        <w:t xml:space="preserve"> </w:t>
      </w:r>
    </w:p>
    <w:p w14:paraId="235B9380" w14:textId="3E33FB3A" w:rsidR="00C13DCF" w:rsidRPr="0098512C" w:rsidRDefault="00F85BB0" w:rsidP="00C13DCF">
      <w:pPr>
        <w:jc w:val="both"/>
      </w:pPr>
      <w:r>
        <w:t>67</w:t>
      </w:r>
      <w:r w:rsidR="00DE0892">
        <w:t>.</w:t>
      </w:r>
      <w:r w:rsidR="00DE0892">
        <w:tab/>
      </w:r>
      <w:r w:rsidR="00C13DCF">
        <w:t>States have an immediate obligation to ensure access to justice for those whose right to housing has been violated.</w:t>
      </w:r>
      <w:r w:rsidR="00C13DCF">
        <w:rPr>
          <w:rStyle w:val="FootnoteReference"/>
        </w:rPr>
        <w:footnoteReference w:id="133"/>
      </w:r>
      <w:r w:rsidR="00C13DCF">
        <w:t xml:space="preserve">  In discharging their obligation, they should follow the 10 key principles spelled out in the Special Rapporteur’s report.</w:t>
      </w:r>
      <w:r w:rsidR="00C13DCF">
        <w:rPr>
          <w:rStyle w:val="FootnoteReference"/>
        </w:rPr>
        <w:footnoteReference w:id="134"/>
      </w:r>
    </w:p>
    <w:p w14:paraId="0B364947" w14:textId="3D62A734" w:rsidR="00C13DCF" w:rsidRPr="00945068" w:rsidRDefault="00C13DCF" w:rsidP="005F3828">
      <w:pPr>
        <w:rPr>
          <w:b/>
          <w:bCs/>
        </w:rPr>
      </w:pPr>
      <w:r w:rsidRPr="00945068">
        <w:rPr>
          <w:b/>
          <w:bCs/>
        </w:rPr>
        <w:t xml:space="preserve">Implementation </w:t>
      </w:r>
      <w:r w:rsidR="00121444" w:rsidRPr="00945068">
        <w:rPr>
          <w:b/>
          <w:bCs/>
        </w:rPr>
        <w:t>M</w:t>
      </w:r>
      <w:r w:rsidRPr="00945068">
        <w:rPr>
          <w:b/>
          <w:bCs/>
        </w:rPr>
        <w:t>easures</w:t>
      </w:r>
      <w:r w:rsidR="009B3CE0" w:rsidRPr="00945068">
        <w:rPr>
          <w:b/>
          <w:bCs/>
        </w:rPr>
        <w:t>:</w:t>
      </w:r>
    </w:p>
    <w:p w14:paraId="3CA5EFFA" w14:textId="2A48F3FF" w:rsidR="00C13DCF" w:rsidRDefault="00C13DCF" w:rsidP="003B76A1">
      <w:pPr>
        <w:pStyle w:val="ListParagraph"/>
        <w:numPr>
          <w:ilvl w:val="0"/>
          <w:numId w:val="11"/>
        </w:numPr>
        <w:spacing w:after="120"/>
        <w:ind w:left="714" w:hanging="357"/>
        <w:contextualSpacing w:val="0"/>
        <w:jc w:val="both"/>
      </w:pPr>
      <w:r w:rsidRPr="009161BA">
        <w:t xml:space="preserve">Access to justice </w:t>
      </w:r>
      <w:r>
        <w:t>should</w:t>
      </w:r>
      <w:r w:rsidRPr="009161BA">
        <w:t xml:space="preserve"> be ensured by all appropriate means</w:t>
      </w:r>
      <w:r>
        <w:t xml:space="preserve">, not </w:t>
      </w:r>
      <w:r w:rsidR="005A0A12">
        <w:t>only</w:t>
      </w:r>
      <w:r>
        <w:t xml:space="preserve"> through courts,</w:t>
      </w:r>
      <w:r w:rsidRPr="009161BA">
        <w:t xml:space="preserve"> and address the needs of diverse groups</w:t>
      </w:r>
      <w:r>
        <w:t>.</w:t>
      </w:r>
      <w:r w:rsidRPr="009161BA">
        <w:t xml:space="preserve"> </w:t>
      </w:r>
    </w:p>
    <w:p w14:paraId="44F412BA" w14:textId="77777777" w:rsidR="00C13DCF" w:rsidRDefault="00C13DCF" w:rsidP="003B76A1">
      <w:pPr>
        <w:pStyle w:val="ListParagraph"/>
        <w:numPr>
          <w:ilvl w:val="0"/>
          <w:numId w:val="11"/>
        </w:numPr>
        <w:spacing w:after="120"/>
        <w:ind w:left="714" w:hanging="357"/>
        <w:contextualSpacing w:val="0"/>
        <w:jc w:val="both"/>
      </w:pPr>
      <w:r w:rsidRPr="009161BA">
        <w:t xml:space="preserve">It </w:t>
      </w:r>
      <w:r>
        <w:t>should</w:t>
      </w:r>
      <w:r w:rsidRPr="009161BA">
        <w:t xml:space="preserve"> be ensured for all components and dimensions of the right to housing that are guaranteed under international human rights law</w:t>
      </w:r>
      <w:r>
        <w:t>, covering not just the right to a physical shelter, but to a safe and secure home in which to live in security, peace and dignity, with legal tenure security,</w:t>
      </w:r>
      <w:r w:rsidRPr="00ED451D">
        <w:t xml:space="preserve"> affordable, habitable, culturally adequate, in a decent location, accessible, and where services are available</w:t>
      </w:r>
      <w:r>
        <w:t>.</w:t>
      </w:r>
    </w:p>
    <w:p w14:paraId="627F394B" w14:textId="77777777" w:rsidR="00C13DCF" w:rsidRDefault="00C13DCF" w:rsidP="003B76A1">
      <w:pPr>
        <w:pStyle w:val="ListParagraph"/>
        <w:numPr>
          <w:ilvl w:val="0"/>
          <w:numId w:val="11"/>
        </w:numPr>
        <w:spacing w:after="120"/>
        <w:ind w:left="714" w:hanging="357"/>
        <w:contextualSpacing w:val="0"/>
        <w:jc w:val="both"/>
      </w:pPr>
      <w:r w:rsidRPr="009161BA">
        <w:lastRenderedPageBreak/>
        <w:t xml:space="preserve">Remedies </w:t>
      </w:r>
      <w:r>
        <w:t>should</w:t>
      </w:r>
      <w:r w:rsidRPr="009161BA">
        <w:t xml:space="preserve"> address both individual and systemic violations</w:t>
      </w:r>
      <w:r>
        <w:t xml:space="preserve"> of the right to housing.</w:t>
      </w:r>
    </w:p>
    <w:p w14:paraId="45C5D646" w14:textId="3E9B1465" w:rsidR="00C13DCF" w:rsidRDefault="00C13DCF" w:rsidP="003B76A1">
      <w:pPr>
        <w:pStyle w:val="ListParagraph"/>
        <w:numPr>
          <w:ilvl w:val="0"/>
          <w:numId w:val="11"/>
        </w:numPr>
        <w:spacing w:after="120"/>
        <w:ind w:left="714" w:hanging="357"/>
        <w:contextualSpacing w:val="0"/>
        <w:jc w:val="both"/>
      </w:pPr>
      <w:r w:rsidRPr="009161BA">
        <w:t xml:space="preserve">Individuals and groups, households and communities </w:t>
      </w:r>
      <w:r w:rsidR="005A0A12">
        <w:t>should</w:t>
      </w:r>
      <w:r w:rsidRPr="009161BA">
        <w:t xml:space="preserve"> have standing to advance claims and to participate throughout legal processes</w:t>
      </w:r>
      <w:r w:rsidR="005A0A12">
        <w:t>, including in</w:t>
      </w:r>
      <w:r w:rsidRPr="009161BA">
        <w:t xml:space="preserve"> the implementation of remedi</w:t>
      </w:r>
      <w:r w:rsidR="005A0A12">
        <w:t>al measures</w:t>
      </w:r>
      <w:r>
        <w:t>, through hearings and effective engagement.</w:t>
      </w:r>
    </w:p>
    <w:p w14:paraId="51BA2813" w14:textId="0001EC46" w:rsidR="00C13DCF" w:rsidRDefault="00C13DCF" w:rsidP="003B76A1">
      <w:pPr>
        <w:pStyle w:val="ListParagraph"/>
        <w:numPr>
          <w:ilvl w:val="0"/>
          <w:numId w:val="11"/>
        </w:numPr>
        <w:spacing w:after="120"/>
        <w:ind w:left="714" w:hanging="357"/>
        <w:contextualSpacing w:val="0"/>
        <w:jc w:val="both"/>
      </w:pPr>
      <w:r>
        <w:t xml:space="preserve">All </w:t>
      </w:r>
      <w:r w:rsidRPr="009161BA">
        <w:t>decision-making</w:t>
      </w:r>
      <w:r>
        <w:t xml:space="preserve"> that affects the enjoyment or realization of the right to housing must be reviewable for compliance with the right to housing, based, where appropriate, on the reasonableness standard described above.</w:t>
      </w:r>
      <w:r w:rsidR="006B64B9">
        <w:t xml:space="preserve"> (see guideline no. 3).</w:t>
      </w:r>
    </w:p>
    <w:p w14:paraId="6DA04946" w14:textId="2446F464" w:rsidR="00C13DCF" w:rsidRDefault="00C13DCF" w:rsidP="003B76A1">
      <w:pPr>
        <w:pStyle w:val="ListParagraph"/>
        <w:numPr>
          <w:ilvl w:val="0"/>
          <w:numId w:val="11"/>
        </w:numPr>
        <w:spacing w:after="120"/>
        <w:ind w:left="714" w:hanging="357"/>
        <w:contextualSpacing w:val="0"/>
        <w:jc w:val="both"/>
      </w:pPr>
      <w:bookmarkStart w:id="44" w:name="_Hlk23155054"/>
      <w:r>
        <w:t>A</w:t>
      </w:r>
      <w:r w:rsidRPr="009161BA">
        <w:t xml:space="preserve">ccess to justice </w:t>
      </w:r>
      <w:r w:rsidR="005A0A12">
        <w:t>may</w:t>
      </w:r>
      <w:r>
        <w:t xml:space="preserve"> not be denied</w:t>
      </w:r>
      <w:r w:rsidRPr="009161BA">
        <w:t xml:space="preserve"> on the basis that the right to housing or any of its component is not considered justiciable within the State’s domestic legal order</w:t>
      </w:r>
      <w:r w:rsidR="00F85BB0">
        <w:t>.</w:t>
      </w:r>
      <w:r w:rsidR="00F85BB0">
        <w:rPr>
          <w:rStyle w:val="FootnoteReference"/>
        </w:rPr>
        <w:footnoteReference w:id="135"/>
      </w:r>
      <w:r w:rsidR="005A0A12">
        <w:t xml:space="preserve"> </w:t>
      </w:r>
    </w:p>
    <w:bookmarkEnd w:id="44"/>
    <w:p w14:paraId="3928039B" w14:textId="04C9B9DA" w:rsidR="00C13DCF" w:rsidRDefault="00C13DCF" w:rsidP="003B76A1">
      <w:pPr>
        <w:pStyle w:val="ListParagraph"/>
        <w:numPr>
          <w:ilvl w:val="0"/>
          <w:numId w:val="11"/>
        </w:numPr>
        <w:spacing w:after="120"/>
        <w:ind w:left="714" w:hanging="357"/>
        <w:contextualSpacing w:val="0"/>
        <w:jc w:val="both"/>
      </w:pPr>
      <w:r>
        <w:t>Victims of violations should be ensured a</w:t>
      </w:r>
      <w:r w:rsidRPr="00067CB2">
        <w:t xml:space="preserve">ccess to justice </w:t>
      </w:r>
      <w:r>
        <w:t xml:space="preserve">when public authorities directly violated the right to housing, when they failed to </w:t>
      </w:r>
      <w:r w:rsidRPr="00067CB2">
        <w:t>protect rights</w:t>
      </w:r>
      <w:r>
        <w:t>-</w:t>
      </w:r>
      <w:r w:rsidRPr="00067CB2">
        <w:t xml:space="preserve">holders against violations </w:t>
      </w:r>
      <w:r w:rsidR="00A85B2E">
        <w:t>by</w:t>
      </w:r>
      <w:r w:rsidRPr="00067CB2">
        <w:t xml:space="preserve"> </w:t>
      </w:r>
      <w:r>
        <w:t>others actors, and</w:t>
      </w:r>
      <w:r w:rsidRPr="00067CB2">
        <w:t xml:space="preserve"> </w:t>
      </w:r>
      <w:r>
        <w:t>when the State failed</w:t>
      </w:r>
      <w:r w:rsidR="00A85B2E">
        <w:t xml:space="preserve"> to meet its</w:t>
      </w:r>
      <w:r>
        <w:t xml:space="preserve"> </w:t>
      </w:r>
      <w:r w:rsidRPr="00067CB2">
        <w:t>obligation to fulfil</w:t>
      </w:r>
      <w:r>
        <w:t>,</w:t>
      </w:r>
      <w:r w:rsidRPr="00067CB2">
        <w:t xml:space="preserve"> thus covering for example, </w:t>
      </w:r>
      <w:r w:rsidR="00A85B2E">
        <w:t xml:space="preserve">both </w:t>
      </w:r>
      <w:r w:rsidRPr="00067CB2">
        <w:t>protection from forced evictions and arbitrary home demolitions</w:t>
      </w:r>
      <w:r w:rsidR="00A85B2E">
        <w:t xml:space="preserve"> and from States’ failures to adequate fund programs to ensure housing in the community, with supports, for persons with disabilities</w:t>
      </w:r>
      <w:r w:rsidRPr="00067CB2">
        <w:t xml:space="preserve">. </w:t>
      </w:r>
      <w:r w:rsidRPr="009161BA">
        <w:t xml:space="preserve"> </w:t>
      </w:r>
    </w:p>
    <w:p w14:paraId="4F1F30D7" w14:textId="49EB87D5" w:rsidR="00C13DCF" w:rsidRDefault="00C13DCF" w:rsidP="003B76A1">
      <w:pPr>
        <w:pStyle w:val="ListParagraph"/>
        <w:numPr>
          <w:ilvl w:val="0"/>
          <w:numId w:val="11"/>
        </w:numPr>
        <w:spacing w:after="120"/>
        <w:ind w:left="714" w:hanging="357"/>
        <w:contextualSpacing w:val="0"/>
        <w:jc w:val="both"/>
      </w:pPr>
      <w:r>
        <w:t>M</w:t>
      </w:r>
      <w:r w:rsidRPr="007A24A4">
        <w:t>echanisms</w:t>
      </w:r>
      <w:r>
        <w:t xml:space="preserve"> for hearings and adjudication of the right to housing outside of courts may provide supplementary, access to justice, but these</w:t>
      </w:r>
      <w:r w:rsidRPr="007A24A4">
        <w:t xml:space="preserve"> must be </w:t>
      </w:r>
      <w:r>
        <w:t xml:space="preserve">timely, accessible </w:t>
      </w:r>
      <w:r w:rsidRPr="007A24A4">
        <w:t xml:space="preserve">procedurally fair, enable full participation, and </w:t>
      </w:r>
      <w:r>
        <w:t xml:space="preserve">ensure effective </w:t>
      </w:r>
      <w:r w:rsidRPr="007A24A4">
        <w:t>remedies</w:t>
      </w:r>
      <w:r>
        <w:t xml:space="preserve"> that</w:t>
      </w:r>
      <w:r w:rsidRPr="007A24A4">
        <w:t xml:space="preserve"> accord with the right to housing</w:t>
      </w:r>
      <w:r>
        <w:t xml:space="preserve">. Recourse to courts and </w:t>
      </w:r>
      <w:r w:rsidRPr="009161BA">
        <w:t xml:space="preserve">judicial remedies </w:t>
      </w:r>
      <w:r>
        <w:t>should be available</w:t>
      </w:r>
      <w:r w:rsidRPr="009161BA">
        <w:t xml:space="preserve"> when needed</w:t>
      </w:r>
      <w:r>
        <w:t xml:space="preserve">. </w:t>
      </w:r>
    </w:p>
    <w:p w14:paraId="7AA198A5" w14:textId="06EDDE57" w:rsidR="00C13DCF" w:rsidRDefault="00C13DCF" w:rsidP="003B76A1">
      <w:pPr>
        <w:pStyle w:val="ListParagraph"/>
        <w:numPr>
          <w:ilvl w:val="0"/>
          <w:numId w:val="11"/>
        </w:numPr>
        <w:spacing w:after="120"/>
        <w:ind w:left="714" w:hanging="357"/>
        <w:contextualSpacing w:val="0"/>
        <w:jc w:val="both"/>
      </w:pPr>
      <w:r>
        <w:t>Governments and c</w:t>
      </w:r>
      <w:r w:rsidRPr="009161BA">
        <w:t xml:space="preserve">ourts </w:t>
      </w:r>
      <w:r>
        <w:t>should</w:t>
      </w:r>
      <w:r w:rsidRPr="009161BA">
        <w:t xml:space="preserve"> interpret and apply domestic law in accordance with the State’s obligations to respect, protect and fulfil the right to housing</w:t>
      </w:r>
      <w:r w:rsidR="00A85B2E">
        <w:t>.  J</w:t>
      </w:r>
      <w:r w:rsidRPr="0008772F">
        <w:t>udges, tribunal members and administrative decision-makers should be trained in</w:t>
      </w:r>
      <w:r>
        <w:t xml:space="preserve"> how</w:t>
      </w:r>
      <w:r w:rsidRPr="0008772F">
        <w:t xml:space="preserve"> the right to housing under international human rights law</w:t>
      </w:r>
      <w:r>
        <w:t xml:space="preserve"> is applied in the interpretation or application of domestic law.</w:t>
      </w:r>
    </w:p>
    <w:p w14:paraId="2469EB67" w14:textId="274C1AFF" w:rsidR="00C13DCF" w:rsidRDefault="00C13DCF" w:rsidP="003B76A1">
      <w:pPr>
        <w:pStyle w:val="ListParagraph"/>
        <w:numPr>
          <w:ilvl w:val="0"/>
          <w:numId w:val="11"/>
        </w:numPr>
        <w:spacing w:after="120"/>
        <w:ind w:left="714" w:hanging="357"/>
        <w:contextualSpacing w:val="0"/>
        <w:jc w:val="both"/>
      </w:pPr>
      <w:r>
        <w:t>National human rights institutions should promote access to justice for the right to housing. Besides monitoring progress o</w:t>
      </w:r>
      <w:r w:rsidR="00A85B2E">
        <w:t>f</w:t>
      </w:r>
      <w:r>
        <w:t xml:space="preserve"> the realization </w:t>
      </w:r>
      <w:r w:rsidR="00A85B2E">
        <w:t>of</w:t>
      </w:r>
      <w:r>
        <w:t xml:space="preserve"> the right to </w:t>
      </w:r>
      <w:r w:rsidRPr="006B64B9">
        <w:t xml:space="preserve">housing (see guideline </w:t>
      </w:r>
      <w:r w:rsidR="006B64B9" w:rsidRPr="006B64B9">
        <w:t>no. 15</w:t>
      </w:r>
      <w:r w:rsidRPr="006B64B9">
        <w:t>),</w:t>
      </w:r>
      <w:r>
        <w:t xml:space="preserve"> they may also be enabled to identify and address areas of State non-compliance with the obligation to ensure access to justice and to take these issues before relevant courts or tribunals. </w:t>
      </w:r>
    </w:p>
    <w:p w14:paraId="0E7892D5" w14:textId="77777777" w:rsidR="00C13DCF" w:rsidRDefault="00C13DCF" w:rsidP="003B76A1">
      <w:pPr>
        <w:pStyle w:val="ListParagraph"/>
        <w:numPr>
          <w:ilvl w:val="0"/>
          <w:numId w:val="11"/>
        </w:numPr>
        <w:spacing w:after="120"/>
        <w:ind w:left="714" w:hanging="357"/>
        <w:contextualSpacing w:val="0"/>
        <w:jc w:val="both"/>
      </w:pPr>
      <w:r>
        <w:t xml:space="preserve">Informal and customary forms of justice that are compliant with international human rights law should be promoted and strengthened with a view to facilitating access to justice. </w:t>
      </w:r>
    </w:p>
    <w:p w14:paraId="42A5A2A3" w14:textId="2DB47357" w:rsidR="00C13DCF" w:rsidRDefault="00C13DCF" w:rsidP="003B76A1">
      <w:pPr>
        <w:pStyle w:val="ListParagraph"/>
        <w:numPr>
          <w:ilvl w:val="0"/>
          <w:numId w:val="11"/>
        </w:numPr>
        <w:jc w:val="both"/>
      </w:pPr>
      <w:r>
        <w:t xml:space="preserve">States should ensure access to justice for violations of the right to housing by private actors, </w:t>
      </w:r>
      <w:r w:rsidRPr="007A24A4">
        <w:t xml:space="preserve"> including </w:t>
      </w:r>
      <w:r>
        <w:t>“</w:t>
      </w:r>
      <w:r w:rsidRPr="007A24A4">
        <w:t>by establishing parent company or group liability regimes, providing legal aid and other funding schemes to claimants, enabling human rights-related class actions and public interest litigation, facilitating access to relevant information and the collection of evidence abroad, including witness testimony, and allowing such evidence to be presented in judicial proceedings”.</w:t>
      </w:r>
      <w:r w:rsidRPr="007A24A4">
        <w:rPr>
          <w:vertAlign w:val="superscript"/>
        </w:rPr>
        <w:footnoteReference w:id="136"/>
      </w:r>
      <w:r>
        <w:t xml:space="preserve"> </w:t>
      </w:r>
      <w:r w:rsidRPr="000D09E6">
        <w:rPr>
          <w:vertAlign w:val="superscript"/>
        </w:rPr>
        <w:t xml:space="preserve"> </w:t>
      </w:r>
    </w:p>
    <w:p w14:paraId="675D15F6" w14:textId="77777777" w:rsidR="00C13DCF" w:rsidRDefault="00C13DCF" w:rsidP="00C13DCF"/>
    <w:p w14:paraId="79207AE5" w14:textId="24CE92F1" w:rsidR="00764D9C" w:rsidRPr="00230F08" w:rsidRDefault="00764D9C" w:rsidP="009B3CE0">
      <w:pPr>
        <w:pStyle w:val="Heading2"/>
      </w:pPr>
      <w:bookmarkStart w:id="45" w:name="_Toc23200837"/>
      <w:r w:rsidRPr="00230F08">
        <w:lastRenderedPageBreak/>
        <w:t xml:space="preserve">Guideline </w:t>
      </w:r>
      <w:r w:rsidR="00121444">
        <w:t>N</w:t>
      </w:r>
      <w:r w:rsidRPr="00230F08">
        <w:t>o. 1</w:t>
      </w:r>
      <w:r w:rsidR="00835D3D">
        <w:t>7</w:t>
      </w:r>
      <w:bookmarkEnd w:id="45"/>
    </w:p>
    <w:p w14:paraId="6E179F0C" w14:textId="77777777" w:rsidR="00C13DCF" w:rsidRPr="00B95D1B" w:rsidRDefault="00C13DCF" w:rsidP="009B3CE0">
      <w:pPr>
        <w:pStyle w:val="Heading3"/>
      </w:pPr>
      <w:bookmarkStart w:id="46" w:name="_Toc23200838"/>
      <w:r>
        <w:t>Undertake</w:t>
      </w:r>
      <w:r w:rsidRPr="00B95D1B">
        <w:t xml:space="preserve"> international cooperation to ensure the realization of the right to adequate housing</w:t>
      </w:r>
      <w:bookmarkEnd w:id="46"/>
      <w:r w:rsidRPr="00B95D1B">
        <w:t xml:space="preserve"> </w:t>
      </w:r>
    </w:p>
    <w:p w14:paraId="1B3D72F1" w14:textId="2127EB1C" w:rsidR="00C13DCF" w:rsidRDefault="00F85BB0" w:rsidP="00DE0892">
      <w:pPr>
        <w:tabs>
          <w:tab w:val="left" w:pos="567"/>
        </w:tabs>
        <w:jc w:val="both"/>
      </w:pPr>
      <w:r>
        <w:t>68</w:t>
      </w:r>
      <w:r w:rsidR="00DE0892">
        <w:t>.</w:t>
      </w:r>
      <w:r w:rsidR="00DE0892">
        <w:tab/>
      </w:r>
      <w:r w:rsidR="00C13DCF" w:rsidRPr="007707B0">
        <w:t>The current human rights crisis in housing is of a global scale. Many actors involved in housing operate at a transnational level, with complex corporate structures that pose considerable obstacles to ensuring accountability (private equity firms, corporations, funds). International financial institutions and development banks often apply approaches that are detrimental to the implementation of the right to housing and do not adhere fully to human rights standards</w:t>
      </w:r>
      <w:r w:rsidR="00C13DCF">
        <w:t xml:space="preserve">. </w:t>
      </w:r>
      <w:r w:rsidR="00C13DCF" w:rsidRPr="007707B0">
        <w:t>as has been the case, for example, of the imposed deregulation or austerity measures, or mortgage financing</w:t>
      </w:r>
      <w:r w:rsidR="00A85B2E">
        <w:t xml:space="preserve"> that</w:t>
      </w:r>
      <w:r w:rsidR="00C13DCF" w:rsidRPr="007707B0">
        <w:t xml:space="preserve"> exclud</w:t>
      </w:r>
      <w:r w:rsidR="00A85B2E">
        <w:t>es</w:t>
      </w:r>
      <w:r w:rsidR="00C13DCF" w:rsidRPr="007707B0">
        <w:t xml:space="preserve"> those most in need.</w:t>
      </w:r>
      <w:r w:rsidR="00C13DCF" w:rsidRPr="007707B0">
        <w:rPr>
          <w:rStyle w:val="FootnoteReference"/>
        </w:rPr>
        <w:footnoteReference w:id="137"/>
      </w:r>
      <w:r w:rsidR="00C13DCF" w:rsidRPr="007707B0">
        <w:t xml:space="preserve"> The global nature of many of the challenges related to the realization of the right to housing thus</w:t>
      </w:r>
      <w:r w:rsidR="00C13DCF">
        <w:t xml:space="preserve"> </w:t>
      </w:r>
      <w:r w:rsidR="00C13DCF" w:rsidRPr="007707B0">
        <w:t xml:space="preserve">requires urgent international action, through international cooperation and States’ membership in international organizations. </w:t>
      </w:r>
      <w:r w:rsidR="00A85B2E">
        <w:t xml:space="preserve"> International co-operation should be recognized as a legal obligation that is necessary for States’ domestic implementation the right to housing.</w:t>
      </w:r>
    </w:p>
    <w:p w14:paraId="1F6F4A77" w14:textId="4CEBAEA0" w:rsidR="00C13DCF" w:rsidRDefault="00F85BB0" w:rsidP="00DE0892">
      <w:pPr>
        <w:jc w:val="both"/>
      </w:pPr>
      <w:r>
        <w:t>69</w:t>
      </w:r>
      <w:r w:rsidR="00DE0892">
        <w:t>.</w:t>
      </w:r>
      <w:r w:rsidR="00DE0892">
        <w:tab/>
      </w:r>
      <w:r w:rsidR="00C13DCF">
        <w:t>The Declaration on the Right to Development proclaims that a</w:t>
      </w:r>
      <w:r w:rsidR="00C13DCF" w:rsidRPr="00790838">
        <w:t>ll States should co-operate with a view to promoting, encouraging and strengthening universal respect for and observance of all human rights and fundamental freedoms</w:t>
      </w:r>
      <w:r w:rsidR="00C13DCF">
        <w:t xml:space="preserve"> without discrimination. The realization of the right to housing for all is a key pillar of inclusive sustainable development agendas, including the SDGs.</w:t>
      </w:r>
    </w:p>
    <w:p w14:paraId="0B887294" w14:textId="77777777" w:rsidR="00C13DCF" w:rsidRDefault="00C13DCF" w:rsidP="00C13DCF">
      <w:pPr>
        <w:tabs>
          <w:tab w:val="left" w:pos="1343"/>
        </w:tabs>
        <w:jc w:val="both"/>
        <w:rPr>
          <w:b/>
          <w:bCs/>
        </w:rPr>
      </w:pPr>
    </w:p>
    <w:p w14:paraId="0CA045DA" w14:textId="4C814AEA" w:rsidR="00C13DCF" w:rsidRPr="00945068" w:rsidRDefault="00C13DCF" w:rsidP="005F3828">
      <w:pPr>
        <w:rPr>
          <w:b/>
          <w:bCs/>
        </w:rPr>
      </w:pPr>
      <w:r w:rsidRPr="00945068">
        <w:rPr>
          <w:b/>
          <w:bCs/>
        </w:rPr>
        <w:t xml:space="preserve">Implementation </w:t>
      </w:r>
      <w:r w:rsidR="00121444" w:rsidRPr="00945068">
        <w:rPr>
          <w:b/>
          <w:bCs/>
        </w:rPr>
        <w:t>M</w:t>
      </w:r>
      <w:r w:rsidRPr="00945068">
        <w:rPr>
          <w:b/>
          <w:bCs/>
        </w:rPr>
        <w:t>easures</w:t>
      </w:r>
      <w:r w:rsidR="009B3CE0" w:rsidRPr="00945068">
        <w:rPr>
          <w:b/>
          <w:bCs/>
        </w:rPr>
        <w:t>:</w:t>
      </w:r>
    </w:p>
    <w:p w14:paraId="7BA46481" w14:textId="77777777" w:rsidR="00C13DCF" w:rsidRDefault="00C13DCF" w:rsidP="003B76A1">
      <w:pPr>
        <w:pStyle w:val="ListParagraph"/>
        <w:numPr>
          <w:ilvl w:val="0"/>
          <w:numId w:val="12"/>
        </w:numPr>
        <w:tabs>
          <w:tab w:val="left" w:pos="1343"/>
        </w:tabs>
        <w:spacing w:after="120"/>
        <w:ind w:left="714" w:hanging="357"/>
        <w:contextualSpacing w:val="0"/>
        <w:jc w:val="both"/>
      </w:pPr>
      <w:r>
        <w:t>States should r</w:t>
      </w:r>
      <w:r w:rsidRPr="00031680">
        <w:t xml:space="preserve">ecognize international co-operation for the realization of the right to adequate housing as a firm legal obligation </w:t>
      </w:r>
      <w:r>
        <w:t>in domestic</w:t>
      </w:r>
      <w:r w:rsidRPr="00031680">
        <w:t xml:space="preserve"> law</w:t>
      </w:r>
      <w:r>
        <w:t>.</w:t>
      </w:r>
      <w:r w:rsidRPr="00031680">
        <w:t xml:space="preserve"> </w:t>
      </w:r>
    </w:p>
    <w:p w14:paraId="6CB09E6C" w14:textId="77777777" w:rsidR="00C13DCF" w:rsidRDefault="00C13DCF" w:rsidP="003B76A1">
      <w:pPr>
        <w:pStyle w:val="ListParagraph"/>
        <w:numPr>
          <w:ilvl w:val="0"/>
          <w:numId w:val="12"/>
        </w:numPr>
        <w:tabs>
          <w:tab w:val="left" w:pos="1343"/>
        </w:tabs>
        <w:spacing w:after="120"/>
        <w:ind w:left="714" w:hanging="357"/>
        <w:contextualSpacing w:val="0"/>
        <w:jc w:val="both"/>
      </w:pPr>
      <w:r w:rsidRPr="007707B0">
        <w:t xml:space="preserve">States </w:t>
      </w:r>
      <w:r>
        <w:t>should</w:t>
      </w:r>
      <w:r w:rsidRPr="007707B0">
        <w:t xml:space="preserve"> undertake international cooperation and create an international environment conducive to the realization of the right to housing for all, including through the reform of international financial institutions</w:t>
      </w:r>
      <w:r>
        <w:t xml:space="preserve"> and international policy coherence</w:t>
      </w:r>
      <w:r w:rsidRPr="007707B0">
        <w:t>.</w:t>
      </w:r>
      <w:r>
        <w:rPr>
          <w:rStyle w:val="FootnoteReference"/>
        </w:rPr>
        <w:footnoteReference w:id="138"/>
      </w:r>
      <w:r w:rsidRPr="007707B0">
        <w:t xml:space="preserve"> </w:t>
      </w:r>
    </w:p>
    <w:p w14:paraId="4EBA9549" w14:textId="77777777" w:rsidR="00C13DCF" w:rsidRDefault="00C13DCF" w:rsidP="003B76A1">
      <w:pPr>
        <w:pStyle w:val="ListParagraph"/>
        <w:numPr>
          <w:ilvl w:val="0"/>
          <w:numId w:val="12"/>
        </w:numPr>
        <w:tabs>
          <w:tab w:val="left" w:pos="1343"/>
        </w:tabs>
        <w:spacing w:after="120"/>
        <w:ind w:left="714" w:hanging="357"/>
        <w:contextualSpacing w:val="0"/>
        <w:jc w:val="both"/>
      </w:pPr>
      <w:r>
        <w:t>With regard to development cooperation and assistance, both recipients and providers States should ensure that a substantial proportion of financing is devoted to creating conditions leading to a higher number of persons being adequately housed.</w:t>
      </w:r>
      <w:r>
        <w:rPr>
          <w:rStyle w:val="FootnoteReference"/>
        </w:rPr>
        <w:footnoteReference w:id="139"/>
      </w:r>
      <w:r w:rsidRPr="00790838">
        <w:t xml:space="preserve"> </w:t>
      </w:r>
    </w:p>
    <w:p w14:paraId="66FDFBB1" w14:textId="77777777" w:rsidR="00C13DCF" w:rsidRDefault="00C13DCF" w:rsidP="003B76A1">
      <w:pPr>
        <w:pStyle w:val="ListParagraph"/>
        <w:numPr>
          <w:ilvl w:val="0"/>
          <w:numId w:val="12"/>
        </w:numPr>
        <w:tabs>
          <w:tab w:val="left" w:pos="1343"/>
        </w:tabs>
        <w:spacing w:after="120"/>
        <w:ind w:left="714" w:hanging="357"/>
        <w:contextualSpacing w:val="0"/>
        <w:jc w:val="both"/>
      </w:pPr>
      <w:r>
        <w:t>Public and non-governmental development organizations, humanitarian organizations and international organisations should adopt a rights-based approach to housing and adopt policies to prevent viol</w:t>
      </w:r>
      <w:r w:rsidR="00DE0892">
        <w:t>ations of the right to housing.</w:t>
      </w:r>
    </w:p>
    <w:p w14:paraId="38AD9DE7" w14:textId="77777777" w:rsidR="00C13DCF" w:rsidRDefault="00C13DCF" w:rsidP="003B76A1">
      <w:pPr>
        <w:pStyle w:val="ListParagraph"/>
        <w:numPr>
          <w:ilvl w:val="0"/>
          <w:numId w:val="12"/>
        </w:numPr>
        <w:tabs>
          <w:tab w:val="left" w:pos="1343"/>
        </w:tabs>
        <w:spacing w:after="120"/>
        <w:ind w:left="714" w:hanging="357"/>
        <w:contextualSpacing w:val="0"/>
        <w:jc w:val="both"/>
      </w:pPr>
      <w:r w:rsidRPr="007707B0">
        <w:t xml:space="preserve">The role of international financial institutions should be aligned with the promotion of the realization of the right to housing rather than the financialization of housing. Development banks </w:t>
      </w:r>
      <w:r>
        <w:t xml:space="preserve">and financial institutions </w:t>
      </w:r>
      <w:r w:rsidRPr="007707B0">
        <w:t>should only fund and implement projects that are designed and undertaken in full compliance with international human rights law</w:t>
      </w:r>
      <w:r>
        <w:t xml:space="preserve"> and establish safeguard policies covering all aspect of the right to adequate housing.  Independent complaints mechanism should be available for any alleged violation of or incompatibility </w:t>
      </w:r>
      <w:r w:rsidR="005C0FB3">
        <w:t>with the State’s obligat</w:t>
      </w:r>
      <w:r>
        <w:t>ions with respect to the right to housing and should be accessib</w:t>
      </w:r>
      <w:r w:rsidR="005C0FB3">
        <w:t>le to all persons or communitie</w:t>
      </w:r>
      <w:r>
        <w:t>s affected by projects that are financed by them</w:t>
      </w:r>
      <w:r w:rsidRPr="007707B0">
        <w:t>.</w:t>
      </w:r>
    </w:p>
    <w:p w14:paraId="778F7045" w14:textId="77777777" w:rsidR="00C13DCF" w:rsidRDefault="00C13DCF" w:rsidP="003B76A1">
      <w:pPr>
        <w:pStyle w:val="ListParagraph"/>
        <w:numPr>
          <w:ilvl w:val="0"/>
          <w:numId w:val="12"/>
        </w:numPr>
        <w:tabs>
          <w:tab w:val="left" w:pos="1343"/>
        </w:tabs>
        <w:spacing w:after="120"/>
        <w:ind w:left="714" w:hanging="357"/>
        <w:contextualSpacing w:val="0"/>
        <w:jc w:val="both"/>
      </w:pPr>
      <w:r>
        <w:lastRenderedPageBreak/>
        <w:t xml:space="preserve">States should improve international tax cooperation to prevent and combat tax evasion and tax avoidance strategies in order to preserve their ability to mobilize resources domestically to realize the right to adequate housing. </w:t>
      </w:r>
      <w:r>
        <w:rPr>
          <w:rStyle w:val="FootnoteReference"/>
        </w:rPr>
        <w:footnoteReference w:id="140"/>
      </w:r>
    </w:p>
    <w:p w14:paraId="54D30099" w14:textId="77777777" w:rsidR="00C13DCF" w:rsidRDefault="00C13DCF" w:rsidP="003B76A1">
      <w:pPr>
        <w:pStyle w:val="ListParagraph"/>
        <w:numPr>
          <w:ilvl w:val="0"/>
          <w:numId w:val="12"/>
        </w:numPr>
        <w:tabs>
          <w:tab w:val="left" w:pos="1343"/>
        </w:tabs>
        <w:spacing w:after="120"/>
        <w:ind w:left="714" w:hanging="357"/>
        <w:contextualSpacing w:val="0"/>
        <w:jc w:val="both"/>
      </w:pPr>
      <w:r w:rsidRPr="007707B0">
        <w:t>States should cooperate to ensure that businesses respect human rights abroad.</w:t>
      </w:r>
      <w:r w:rsidRPr="007707B0">
        <w:rPr>
          <w:rStyle w:val="FootnoteReference"/>
        </w:rPr>
        <w:footnoteReference w:id="141"/>
      </w:r>
      <w:r w:rsidRPr="007707B0">
        <w:t xml:space="preserve"> States should take additional steps to p</w:t>
      </w:r>
      <w:r>
        <w:t>revent</w:t>
      </w:r>
      <w:r w:rsidRPr="007707B0">
        <w:t xml:space="preserve"> human rights violations abroad by corporations that are domiciled in their territory and/or jurisdiction</w:t>
      </w:r>
      <w:r>
        <w:t xml:space="preserve"> and ensure access to justice for violations within domestic courts</w:t>
      </w:r>
      <w:r w:rsidRPr="007707B0">
        <w:t>.</w:t>
      </w:r>
      <w:r>
        <w:rPr>
          <w:rStyle w:val="FootnoteReference"/>
        </w:rPr>
        <w:footnoteReference w:id="142"/>
      </w:r>
      <w:r>
        <w:t xml:space="preserve"> </w:t>
      </w:r>
    </w:p>
    <w:p w14:paraId="3DCADF66" w14:textId="77777777" w:rsidR="00864663" w:rsidRPr="00230F08" w:rsidRDefault="00864663" w:rsidP="00864663">
      <w:pPr>
        <w:tabs>
          <w:tab w:val="left" w:pos="1343"/>
        </w:tabs>
        <w:rPr>
          <w:b/>
          <w:bCs/>
          <w:u w:val="single"/>
        </w:rPr>
      </w:pPr>
    </w:p>
    <w:sectPr w:rsidR="00864663" w:rsidRPr="00230F0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3798C" w14:textId="77777777" w:rsidR="00DC09B7" w:rsidRDefault="00DC09B7" w:rsidP="004266CD">
      <w:pPr>
        <w:spacing w:after="0" w:line="240" w:lineRule="auto"/>
      </w:pPr>
      <w:r>
        <w:separator/>
      </w:r>
    </w:p>
  </w:endnote>
  <w:endnote w:type="continuationSeparator" w:id="0">
    <w:p w14:paraId="3E75B506" w14:textId="77777777" w:rsidR="00DC09B7" w:rsidRDefault="00DC09B7" w:rsidP="0042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taBookLF">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416509"/>
      <w:docPartObj>
        <w:docPartGallery w:val="Page Numbers (Bottom of Page)"/>
        <w:docPartUnique/>
      </w:docPartObj>
    </w:sdtPr>
    <w:sdtEndPr>
      <w:rPr>
        <w:noProof/>
      </w:rPr>
    </w:sdtEndPr>
    <w:sdtContent>
      <w:p w14:paraId="5AED7C91" w14:textId="5509C0DE" w:rsidR="005F3828" w:rsidRDefault="005F3828">
        <w:pPr>
          <w:pStyle w:val="Footer"/>
          <w:jc w:val="center"/>
        </w:pPr>
        <w:r>
          <w:fldChar w:fldCharType="begin"/>
        </w:r>
        <w:r>
          <w:instrText xml:space="preserve"> PAGE   \* MERGEFORMAT </w:instrText>
        </w:r>
        <w:r>
          <w:fldChar w:fldCharType="separate"/>
        </w:r>
        <w:r w:rsidR="00B10045">
          <w:rPr>
            <w:noProof/>
          </w:rPr>
          <w:t>32</w:t>
        </w:r>
        <w:r>
          <w:rPr>
            <w:noProof/>
          </w:rPr>
          <w:fldChar w:fldCharType="end"/>
        </w:r>
      </w:p>
    </w:sdtContent>
  </w:sdt>
  <w:p w14:paraId="42EC93C8" w14:textId="77777777" w:rsidR="005F3828" w:rsidRPr="00B02E91" w:rsidRDefault="005F3828" w:rsidP="00B02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4E3BF" w14:textId="77777777" w:rsidR="00DC09B7" w:rsidRDefault="00DC09B7" w:rsidP="004266CD">
      <w:pPr>
        <w:spacing w:after="0" w:line="240" w:lineRule="auto"/>
      </w:pPr>
      <w:r>
        <w:separator/>
      </w:r>
    </w:p>
  </w:footnote>
  <w:footnote w:type="continuationSeparator" w:id="0">
    <w:p w14:paraId="4214F629" w14:textId="77777777" w:rsidR="00DC09B7" w:rsidRDefault="00DC09B7" w:rsidP="004266CD">
      <w:pPr>
        <w:spacing w:after="0" w:line="240" w:lineRule="auto"/>
      </w:pPr>
      <w:r>
        <w:continuationSeparator/>
      </w:r>
    </w:p>
  </w:footnote>
  <w:footnote w:id="1">
    <w:p w14:paraId="0ABD36F9" w14:textId="423E186F" w:rsidR="005F3828" w:rsidRPr="00F603B6" w:rsidRDefault="005F3828" w:rsidP="00230F08">
      <w:pPr>
        <w:pStyle w:val="FootnoteText"/>
        <w:rPr>
          <w:lang w:val="en-US"/>
        </w:rPr>
      </w:pPr>
      <w:r>
        <w:rPr>
          <w:rStyle w:val="FootnoteReference"/>
        </w:rPr>
        <w:footnoteRef/>
      </w:r>
      <w:r>
        <w:t xml:space="preserve"> </w:t>
      </w:r>
      <w:r w:rsidRPr="00D80607">
        <w:t>https://unstats.un.org/sdgs/report/2019/goal-11/</w:t>
      </w:r>
    </w:p>
  </w:footnote>
  <w:footnote w:id="2">
    <w:p w14:paraId="5537BD18" w14:textId="158D993F" w:rsidR="005F3828" w:rsidRPr="00DB4FEE" w:rsidRDefault="005F3828" w:rsidP="002C3925">
      <w:pPr>
        <w:pStyle w:val="FootnoteText"/>
        <w:tabs>
          <w:tab w:val="clear" w:pos="1021"/>
          <w:tab w:val="right" w:pos="0"/>
        </w:tabs>
        <w:ind w:left="0" w:firstLine="0"/>
        <w:rPr>
          <w:lang w:val="en-GB"/>
        </w:rPr>
      </w:pPr>
      <w:r>
        <w:rPr>
          <w:rStyle w:val="FootnoteReference"/>
        </w:rPr>
        <w:footnoteRef/>
      </w:r>
      <w:r>
        <w:t xml:space="preserve"> </w:t>
      </w:r>
      <w:hyperlink w:history="1"/>
      <w:r>
        <w:rPr>
          <w:lang w:val="en-GB"/>
        </w:rPr>
        <w:t xml:space="preserve"> </w:t>
      </w:r>
      <w:r w:rsidRPr="00D80607">
        <w:t>https://yaleglobal.yale.edu/content/cities-grow-so-do-numbers-homeless#targetText=Based%20on%20national%20reports%2C%20it's,population%2C%20may%20lack%20adequate%20housing.</w:t>
      </w:r>
      <w:r w:rsidRPr="00DB4FEE" w:rsidDel="00E51458">
        <w:rPr>
          <w:lang w:val="en-GB"/>
        </w:rPr>
        <w:t xml:space="preserve"> </w:t>
      </w:r>
    </w:p>
  </w:footnote>
  <w:footnote w:id="3">
    <w:p w14:paraId="565E2B71" w14:textId="77777777" w:rsidR="005F3828" w:rsidRPr="00DB4FEE" w:rsidRDefault="005F3828" w:rsidP="00230F08">
      <w:pPr>
        <w:pStyle w:val="FootnoteText"/>
        <w:rPr>
          <w:lang w:val="en-GB"/>
        </w:rPr>
      </w:pPr>
      <w:r>
        <w:rPr>
          <w:rStyle w:val="FootnoteReference"/>
        </w:rPr>
        <w:footnoteRef/>
      </w:r>
      <w:r>
        <w:t xml:space="preserve"> </w:t>
      </w:r>
      <w:r w:rsidRPr="00DB4FEE">
        <w:t>https://fe.witness.org/</w:t>
      </w:r>
    </w:p>
  </w:footnote>
  <w:footnote w:id="4">
    <w:p w14:paraId="75B57333" w14:textId="77777777" w:rsidR="005F3828" w:rsidRPr="00174BA6" w:rsidRDefault="005F3828" w:rsidP="00230F08">
      <w:pPr>
        <w:pStyle w:val="FootnoteText"/>
        <w:jc w:val="both"/>
      </w:pPr>
      <w:r>
        <w:rPr>
          <w:rStyle w:val="FootnoteReference"/>
        </w:rPr>
        <w:footnoteRef/>
      </w:r>
      <w:r>
        <w:t xml:space="preserve"> </w:t>
      </w:r>
      <w:r w:rsidRPr="00DB4E7D">
        <w:rPr>
          <w:lang w:val="en-GB"/>
        </w:rPr>
        <w:t xml:space="preserve">See, for example, </w:t>
      </w:r>
      <w:r w:rsidRPr="00DA4A04">
        <w:t>UN-Habitat 2016, p. 53.</w:t>
      </w:r>
    </w:p>
  </w:footnote>
  <w:footnote w:id="5">
    <w:p w14:paraId="4D1173F9" w14:textId="1C2170B1" w:rsidR="005F3828" w:rsidRPr="005C0FB3" w:rsidRDefault="005F3828" w:rsidP="002C3925">
      <w:pPr>
        <w:pStyle w:val="FootnoteText"/>
        <w:tabs>
          <w:tab w:val="clear" w:pos="1021"/>
          <w:tab w:val="right" w:pos="0"/>
        </w:tabs>
        <w:ind w:left="0" w:firstLine="0"/>
        <w:rPr>
          <w:lang w:val="en-US"/>
        </w:rPr>
      </w:pPr>
      <w:r>
        <w:rPr>
          <w:rStyle w:val="FootnoteReference"/>
        </w:rPr>
        <w:footnoteRef/>
      </w:r>
      <w:r>
        <w:t xml:space="preserve"> </w:t>
      </w:r>
      <w:r>
        <w:rPr>
          <w:lang w:val="en-GB"/>
        </w:rPr>
        <w:t xml:space="preserve">CESCR, General </w:t>
      </w:r>
      <w:r>
        <w:rPr>
          <w:lang w:val="en-US"/>
        </w:rPr>
        <w:t xml:space="preserve">comments nos. 4 and 7; Basic Principles and Guidelines on Development-based Evictions and Displacement (A/HRC/4/18, Annex); Guiding Principles on Security of Tenure for the Urban Poor (A/HRC/25/54); and Communications under the Optional Protocol to the ICESCR. See for example, communications no. 5/2005 and no. 2/2014. </w:t>
      </w:r>
    </w:p>
  </w:footnote>
  <w:footnote w:id="6">
    <w:p w14:paraId="319AE875" w14:textId="77777777" w:rsidR="005F3828" w:rsidRPr="004F2393" w:rsidRDefault="005F3828" w:rsidP="00230F08">
      <w:pPr>
        <w:pStyle w:val="FootnoteText"/>
        <w:jc w:val="both"/>
        <w:rPr>
          <w:lang w:val="en-GB"/>
        </w:rPr>
      </w:pPr>
      <w:r>
        <w:rPr>
          <w:rStyle w:val="FootnoteReference"/>
        </w:rPr>
        <w:footnoteRef/>
      </w:r>
      <w:r>
        <w:t xml:space="preserve"> </w:t>
      </w:r>
      <w:r w:rsidRPr="00841F0F">
        <w:t>A/69/274</w:t>
      </w:r>
      <w:r w:rsidRPr="004F2393">
        <w:rPr>
          <w:lang w:val="en-GB"/>
        </w:rPr>
        <w:t>, para.18; A/71/310, para. 5.</w:t>
      </w:r>
    </w:p>
  </w:footnote>
  <w:footnote w:id="7">
    <w:p w14:paraId="35CBCAEA" w14:textId="715310A5" w:rsidR="005F3828" w:rsidRPr="004F2393" w:rsidRDefault="005F3828">
      <w:pPr>
        <w:pStyle w:val="FootnoteText"/>
        <w:rPr>
          <w:lang w:val="fr-FR"/>
        </w:rPr>
      </w:pPr>
      <w:r>
        <w:rPr>
          <w:rStyle w:val="FootnoteReference"/>
        </w:rPr>
        <w:footnoteRef/>
      </w:r>
      <w:r>
        <w:t xml:space="preserve"> </w:t>
      </w:r>
      <w:r>
        <w:rPr>
          <w:lang w:val="fr-FR"/>
        </w:rPr>
        <w:t xml:space="preserve">UDHR, </w:t>
      </w:r>
      <w:proofErr w:type="spellStart"/>
      <w:r>
        <w:rPr>
          <w:lang w:val="fr-FR"/>
        </w:rPr>
        <w:t>preamble</w:t>
      </w:r>
      <w:proofErr w:type="spellEnd"/>
    </w:p>
  </w:footnote>
  <w:footnote w:id="8">
    <w:p w14:paraId="1ED4918B" w14:textId="77777777" w:rsidR="005F3828" w:rsidRPr="004F2393" w:rsidRDefault="005F3828" w:rsidP="00230F08">
      <w:pPr>
        <w:pStyle w:val="FootnoteText"/>
        <w:rPr>
          <w:lang w:val="fr-FR"/>
        </w:rPr>
      </w:pPr>
      <w:r>
        <w:rPr>
          <w:rStyle w:val="FootnoteReference"/>
        </w:rPr>
        <w:footnoteRef/>
      </w:r>
      <w:r>
        <w:t xml:space="preserve"> A/71/310, paras 12ff.</w:t>
      </w:r>
    </w:p>
  </w:footnote>
  <w:footnote w:id="9">
    <w:p w14:paraId="5BE04E72" w14:textId="77777777" w:rsidR="005F3828" w:rsidRPr="00A02865" w:rsidRDefault="005F3828" w:rsidP="00230F08">
      <w:pPr>
        <w:pStyle w:val="FootnoteText"/>
        <w:rPr>
          <w:lang w:val="en-GB"/>
        </w:rPr>
      </w:pPr>
      <w:r>
        <w:rPr>
          <w:rStyle w:val="FootnoteReference"/>
        </w:rPr>
        <w:footnoteRef/>
      </w:r>
      <w:r>
        <w:t xml:space="preserve"> </w:t>
      </w:r>
      <w:r w:rsidRPr="00A02865">
        <w:rPr>
          <w:lang w:val="en-GB"/>
        </w:rPr>
        <w:t>A/71/310, para. 31</w:t>
      </w:r>
    </w:p>
  </w:footnote>
  <w:footnote w:id="10">
    <w:p w14:paraId="472E5A28" w14:textId="77777777" w:rsidR="005F3828" w:rsidRPr="004D2751" w:rsidRDefault="005F3828" w:rsidP="00230F08">
      <w:pPr>
        <w:pStyle w:val="FootnoteText"/>
        <w:jc w:val="both"/>
        <w:rPr>
          <w:lang w:val="en-GB"/>
        </w:rPr>
      </w:pPr>
      <w:r>
        <w:rPr>
          <w:rStyle w:val="FootnoteReference"/>
        </w:rPr>
        <w:footnoteRef/>
      </w:r>
      <w:r>
        <w:t xml:space="preserve"> </w:t>
      </w:r>
      <w:r w:rsidRPr="004D2751">
        <w:rPr>
          <w:lang w:val="en-GB"/>
        </w:rPr>
        <w:t>A/HRC/37/53, para.10.</w:t>
      </w:r>
    </w:p>
  </w:footnote>
  <w:footnote w:id="11">
    <w:p w14:paraId="58459C34" w14:textId="77777777" w:rsidR="005F3828" w:rsidRPr="00341FB8" w:rsidRDefault="005F3828" w:rsidP="008F18B1">
      <w:pPr>
        <w:pStyle w:val="FootnoteText"/>
        <w:tabs>
          <w:tab w:val="clear" w:pos="1021"/>
          <w:tab w:val="right" w:pos="0"/>
        </w:tabs>
        <w:ind w:left="0" w:firstLine="0"/>
        <w:jc w:val="both"/>
        <w:rPr>
          <w:szCs w:val="18"/>
          <w:lang w:val="en-US"/>
        </w:rPr>
      </w:pPr>
      <w:r>
        <w:rPr>
          <w:rStyle w:val="FootnoteReference"/>
        </w:rPr>
        <w:footnoteRef/>
      </w:r>
      <w:r w:rsidRPr="005B4ECB">
        <w:rPr>
          <w:szCs w:val="18"/>
          <w:lang w:val="en-IE"/>
        </w:rPr>
        <w:t>See, for example, the jurisprudence of the Indian Supreme Court on the right to life and the right to housing.</w:t>
      </w:r>
      <w:r>
        <w:rPr>
          <w:szCs w:val="18"/>
          <w:lang w:val="en-IE"/>
        </w:rPr>
        <w:t xml:space="preserve"> </w:t>
      </w:r>
      <w:proofErr w:type="spellStart"/>
      <w:r w:rsidRPr="005B4ECB">
        <w:rPr>
          <w:szCs w:val="18"/>
          <w:lang w:val="en-IE"/>
        </w:rPr>
        <w:t>Shantistar</w:t>
      </w:r>
      <w:proofErr w:type="spellEnd"/>
      <w:r w:rsidRPr="005B4ECB">
        <w:rPr>
          <w:szCs w:val="18"/>
          <w:lang w:val="en-IE"/>
        </w:rPr>
        <w:t xml:space="preserve"> Builders v Narayan </w:t>
      </w:r>
      <w:proofErr w:type="spellStart"/>
      <w:r w:rsidRPr="005B4ECB">
        <w:rPr>
          <w:szCs w:val="18"/>
          <w:lang w:val="en-IE"/>
        </w:rPr>
        <w:t>Khimalal</w:t>
      </w:r>
      <w:proofErr w:type="spellEnd"/>
      <w:r w:rsidRPr="005B4ECB">
        <w:rPr>
          <w:szCs w:val="18"/>
          <w:lang w:val="en-IE"/>
        </w:rPr>
        <w:t xml:space="preserve"> </w:t>
      </w:r>
      <w:proofErr w:type="spellStart"/>
      <w:r w:rsidRPr="005B4ECB">
        <w:rPr>
          <w:szCs w:val="18"/>
          <w:lang w:val="en-IE"/>
        </w:rPr>
        <w:t>Totame</w:t>
      </w:r>
      <w:proofErr w:type="spellEnd"/>
      <w:r w:rsidRPr="005B4ECB">
        <w:rPr>
          <w:szCs w:val="18"/>
          <w:lang w:val="en-IE"/>
        </w:rPr>
        <w:t xml:space="preserve"> (1990) 1 SCC 520, para 9 and </w:t>
      </w:r>
      <w:proofErr w:type="spellStart"/>
      <w:r w:rsidRPr="005B4ECB">
        <w:rPr>
          <w:szCs w:val="18"/>
          <w:lang w:val="en-IE"/>
        </w:rPr>
        <w:t>Chameli</w:t>
      </w:r>
      <w:proofErr w:type="spellEnd"/>
      <w:r w:rsidRPr="005B4ECB">
        <w:rPr>
          <w:szCs w:val="18"/>
          <w:lang w:val="en-IE"/>
        </w:rPr>
        <w:t xml:space="preserve"> Singh v State of UP (1996) 2 SCC 549</w:t>
      </w:r>
      <w:r>
        <w:rPr>
          <w:szCs w:val="18"/>
          <w:lang w:val="en-IE"/>
        </w:rPr>
        <w:t>.</w:t>
      </w:r>
    </w:p>
  </w:footnote>
  <w:footnote w:id="12">
    <w:p w14:paraId="01865168" w14:textId="0FA89AD7" w:rsidR="005F3828" w:rsidRPr="00654237" w:rsidRDefault="005F3828" w:rsidP="00230F08">
      <w:pPr>
        <w:pStyle w:val="FootnoteText"/>
        <w:jc w:val="both"/>
        <w:rPr>
          <w:lang w:val="en-US"/>
        </w:rPr>
      </w:pPr>
      <w:r>
        <w:rPr>
          <w:rStyle w:val="FootnoteReference"/>
        </w:rPr>
        <w:footnoteRef/>
      </w:r>
      <w:r>
        <w:t xml:space="preserve"> </w:t>
      </w:r>
      <w:r w:rsidRPr="00654237">
        <w:rPr>
          <w:lang w:val="en-GB"/>
        </w:rPr>
        <w:t>CESCR, general comment no. 4, p</w:t>
      </w:r>
      <w:proofErr w:type="spellStart"/>
      <w:r w:rsidRPr="00654237">
        <w:rPr>
          <w:lang w:val="en-US"/>
        </w:rPr>
        <w:t>ara</w:t>
      </w:r>
      <w:proofErr w:type="spellEnd"/>
      <w:r w:rsidRPr="00654237">
        <w:rPr>
          <w:lang w:val="en-US"/>
        </w:rPr>
        <w:t>. 7</w:t>
      </w:r>
      <w:r>
        <w:rPr>
          <w:lang w:val="en-US"/>
        </w:rPr>
        <w:t>.</w:t>
      </w:r>
    </w:p>
  </w:footnote>
  <w:footnote w:id="13">
    <w:p w14:paraId="18EDC672" w14:textId="77777777" w:rsidR="005F3828" w:rsidRPr="00233765" w:rsidRDefault="005F3828" w:rsidP="0052010D">
      <w:pPr>
        <w:pStyle w:val="FootnoteText"/>
        <w:jc w:val="both"/>
        <w:rPr>
          <w:lang w:val="en-GB"/>
        </w:rPr>
      </w:pPr>
      <w:r>
        <w:rPr>
          <w:rStyle w:val="FootnoteReference"/>
        </w:rPr>
        <w:footnoteRef/>
      </w:r>
      <w:r>
        <w:t xml:space="preserve"> </w:t>
      </w:r>
      <w:r w:rsidRPr="0017231F">
        <w:rPr>
          <w:szCs w:val="18"/>
          <w:lang w:val="en-GB"/>
        </w:rPr>
        <w:t xml:space="preserve">CESCR, Views adopted on communication No. 5/2015, E/C.12/61/D/5/2015, </w:t>
      </w:r>
      <w:r w:rsidRPr="00233765">
        <w:rPr>
          <w:lang w:val="en-GB"/>
        </w:rPr>
        <w:t>para. 15.4</w:t>
      </w:r>
    </w:p>
  </w:footnote>
  <w:footnote w:id="14">
    <w:p w14:paraId="74E2B7B6" w14:textId="77777777" w:rsidR="005F3828" w:rsidRPr="00CD0BDE" w:rsidRDefault="005F3828" w:rsidP="0052010D">
      <w:pPr>
        <w:pStyle w:val="FootnoteText"/>
        <w:rPr>
          <w:lang w:val="en-GB"/>
        </w:rPr>
      </w:pPr>
      <w:r>
        <w:rPr>
          <w:rStyle w:val="FootnoteReference"/>
        </w:rPr>
        <w:footnoteRef/>
      </w:r>
      <w:r>
        <w:t xml:space="preserve"> </w:t>
      </w:r>
      <w:r w:rsidRPr="00CD0BDE">
        <w:rPr>
          <w:lang w:val="en-GB"/>
        </w:rPr>
        <w:t>A/71/310, para. 73.</w:t>
      </w:r>
    </w:p>
  </w:footnote>
  <w:footnote w:id="15">
    <w:p w14:paraId="38AEC494" w14:textId="77777777" w:rsidR="005F3828" w:rsidRPr="0017719D" w:rsidRDefault="005F3828">
      <w:pPr>
        <w:pStyle w:val="FootnoteText"/>
        <w:rPr>
          <w:lang w:val="en-GB"/>
        </w:rPr>
      </w:pPr>
      <w:r>
        <w:rPr>
          <w:rStyle w:val="FootnoteReference"/>
        </w:rPr>
        <w:footnoteRef/>
      </w:r>
      <w:r>
        <w:t xml:space="preserve"> </w:t>
      </w:r>
      <w:r w:rsidRPr="00DD6619">
        <w:t>A/HRC/37/53</w:t>
      </w:r>
      <w:r>
        <w:rPr>
          <w:lang w:val="en-GB"/>
        </w:rPr>
        <w:t>.</w:t>
      </w:r>
    </w:p>
  </w:footnote>
  <w:footnote w:id="16">
    <w:p w14:paraId="23B842F3" w14:textId="77777777" w:rsidR="005F3828" w:rsidRPr="0017719D" w:rsidRDefault="005F3828">
      <w:pPr>
        <w:pStyle w:val="FootnoteText"/>
        <w:rPr>
          <w:lang w:val="en-US"/>
        </w:rPr>
      </w:pPr>
      <w:r>
        <w:rPr>
          <w:rStyle w:val="FootnoteReference"/>
        </w:rPr>
        <w:footnoteRef/>
      </w:r>
      <w:r>
        <w:t xml:space="preserve"> </w:t>
      </w:r>
      <w:r>
        <w:rPr>
          <w:lang w:val="en-US"/>
        </w:rPr>
        <w:t>ICESCR, article 2(1).</w:t>
      </w:r>
    </w:p>
  </w:footnote>
  <w:footnote w:id="17">
    <w:p w14:paraId="6EED2E4E" w14:textId="77777777" w:rsidR="005F3828" w:rsidRPr="0017719D" w:rsidRDefault="005F3828" w:rsidP="00616418">
      <w:pPr>
        <w:pStyle w:val="FootnoteText"/>
        <w:rPr>
          <w:lang w:val="en-GB"/>
        </w:rPr>
      </w:pPr>
      <w:r>
        <w:rPr>
          <w:rStyle w:val="FootnoteReference"/>
        </w:rPr>
        <w:footnoteRef/>
      </w:r>
      <w:r>
        <w:t xml:space="preserve"> </w:t>
      </w:r>
      <w:r>
        <w:rPr>
          <w:lang w:val="en-GB"/>
        </w:rPr>
        <w:t>CESCR, General Comment, No. 4, para 12.</w:t>
      </w:r>
    </w:p>
  </w:footnote>
  <w:footnote w:id="18">
    <w:p w14:paraId="68B8FE6B" w14:textId="1E90383F" w:rsidR="005F3828" w:rsidRPr="00C432C6" w:rsidRDefault="005F3828">
      <w:pPr>
        <w:pStyle w:val="FootnoteText"/>
        <w:rPr>
          <w:lang w:val="en-GB"/>
        </w:rPr>
      </w:pPr>
      <w:r>
        <w:rPr>
          <w:rStyle w:val="FootnoteReference"/>
        </w:rPr>
        <w:footnoteRef/>
      </w:r>
      <w:r>
        <w:t xml:space="preserve"> </w:t>
      </w:r>
      <w:r w:rsidRPr="00C432C6">
        <w:rPr>
          <w:lang w:val="en-GB"/>
        </w:rPr>
        <w:t>CESCR, General</w:t>
      </w:r>
      <w:r>
        <w:rPr>
          <w:lang w:val="en-GB"/>
        </w:rPr>
        <w:t xml:space="preserve"> comment no.3, para. 1.</w:t>
      </w:r>
    </w:p>
  </w:footnote>
  <w:footnote w:id="19">
    <w:p w14:paraId="0CCF9550" w14:textId="421EB1FE" w:rsidR="005F3828" w:rsidRPr="000A364D" w:rsidRDefault="005F3828">
      <w:pPr>
        <w:pStyle w:val="FootnoteText"/>
        <w:rPr>
          <w:lang w:val="en-GB"/>
        </w:rPr>
      </w:pPr>
      <w:r>
        <w:rPr>
          <w:rStyle w:val="FootnoteReference"/>
        </w:rPr>
        <w:footnoteRef/>
      </w:r>
      <w:r>
        <w:t xml:space="preserve"> </w:t>
      </w:r>
      <w:r w:rsidRPr="000A364D">
        <w:rPr>
          <w:lang w:val="en-GB"/>
        </w:rPr>
        <w:t xml:space="preserve">OP, </w:t>
      </w:r>
      <w:r>
        <w:rPr>
          <w:lang w:val="en-GB"/>
        </w:rPr>
        <w:t>A</w:t>
      </w:r>
      <w:r w:rsidRPr="000A364D">
        <w:rPr>
          <w:lang w:val="en-GB"/>
        </w:rPr>
        <w:t>rt</w:t>
      </w:r>
      <w:r>
        <w:rPr>
          <w:lang w:val="en-GB"/>
        </w:rPr>
        <w:t>.8.4.</w:t>
      </w:r>
    </w:p>
  </w:footnote>
  <w:footnote w:id="20">
    <w:p w14:paraId="1F4F3193" w14:textId="77777777" w:rsidR="005F3828" w:rsidRPr="00CD6131" w:rsidRDefault="005F3828" w:rsidP="00827535">
      <w:pPr>
        <w:pStyle w:val="FootnoteText"/>
        <w:tabs>
          <w:tab w:val="clear" w:pos="1021"/>
          <w:tab w:val="right" w:pos="142"/>
        </w:tabs>
        <w:ind w:left="142" w:hanging="142"/>
        <w:rPr>
          <w:lang w:val="en-US"/>
        </w:rPr>
      </w:pPr>
      <w:r>
        <w:rPr>
          <w:rStyle w:val="FootnoteReference"/>
        </w:rPr>
        <w:footnoteRef/>
      </w:r>
      <w:r>
        <w:t xml:space="preserve"> </w:t>
      </w:r>
      <w:r>
        <w:rPr>
          <w:lang w:val="it-IT"/>
        </w:rPr>
        <w:t>CESCR, Communication No. 5/2015 para 15.1.  See also Sandra Liebenberg, “</w:t>
      </w:r>
      <w:r w:rsidRPr="00873284">
        <w:rPr>
          <w:lang w:val="it-IT"/>
        </w:rPr>
        <w:t>Between Sovereignty and Accountability: The Emerging Jurisprudence of the United Nations Committee on Economic, Social and Cultural Rights under the Optional Protocol</w:t>
      </w:r>
      <w:r>
        <w:rPr>
          <w:lang w:val="it-IT"/>
        </w:rPr>
        <w:t xml:space="preserve">,” forthcoming, Human Rights Quarterly 42:1 (Jan-Feb) 2020. </w:t>
      </w:r>
    </w:p>
  </w:footnote>
  <w:footnote w:id="21">
    <w:p w14:paraId="3C2DA746" w14:textId="7B4BD38A" w:rsidR="005F3828" w:rsidRPr="009A0290" w:rsidRDefault="005F3828" w:rsidP="00827535">
      <w:pPr>
        <w:pStyle w:val="FootnoteText"/>
        <w:tabs>
          <w:tab w:val="clear" w:pos="1021"/>
          <w:tab w:val="right" w:pos="142"/>
        </w:tabs>
        <w:ind w:left="142" w:hanging="142"/>
        <w:rPr>
          <w:lang w:val="en-GB"/>
        </w:rPr>
      </w:pPr>
      <w:r>
        <w:rPr>
          <w:rStyle w:val="FootnoteReference"/>
        </w:rPr>
        <w:footnoteRef/>
      </w:r>
      <w:r>
        <w:t xml:space="preserve"> </w:t>
      </w:r>
      <w:r w:rsidRPr="009A0290">
        <w:rPr>
          <w:lang w:val="en-GB"/>
        </w:rPr>
        <w:t>See C</w:t>
      </w:r>
      <w:r>
        <w:rPr>
          <w:lang w:val="en-GB"/>
        </w:rPr>
        <w:t>ESCR, general comments nos. 3 and 4. CESCR, “</w:t>
      </w:r>
      <w:r>
        <w:t>Statement by the Committee: An evaluation of the obligation to take steps to the “Maximum of available resources” under an optional protocol to the Covenant U.N. Doc. E/C.12/2007/1</w:t>
      </w:r>
      <w:r>
        <w:rPr>
          <w:lang w:val="fr-FR"/>
        </w:rPr>
        <w:t xml:space="preserve">, </w:t>
      </w:r>
      <w:r>
        <w:t>10 May 2007, para. 3</w:t>
      </w:r>
    </w:p>
  </w:footnote>
  <w:footnote w:id="22">
    <w:p w14:paraId="3E76FE39" w14:textId="4D971E3E" w:rsidR="005F3828" w:rsidRPr="00B83B59" w:rsidRDefault="005F3828" w:rsidP="00827535">
      <w:pPr>
        <w:pStyle w:val="FootnoteText"/>
        <w:tabs>
          <w:tab w:val="clear" w:pos="1021"/>
          <w:tab w:val="right" w:pos="142"/>
        </w:tabs>
        <w:ind w:left="142" w:hanging="142"/>
        <w:rPr>
          <w:lang w:val="it-IT"/>
        </w:rPr>
      </w:pPr>
      <w:r>
        <w:rPr>
          <w:rStyle w:val="FootnoteReference"/>
        </w:rPr>
        <w:footnoteRef/>
      </w:r>
      <w:r>
        <w:t xml:space="preserve"> </w:t>
      </w:r>
      <w:r w:rsidRPr="00DD1B66">
        <w:rPr>
          <w:lang w:val="en-GB"/>
        </w:rPr>
        <w:t xml:space="preserve">See, for example, </w:t>
      </w:r>
      <w:r>
        <w:rPr>
          <w:lang w:val="it-IT"/>
        </w:rPr>
        <w:t xml:space="preserve">CESCR, </w:t>
      </w:r>
      <w:bookmarkStart w:id="9" w:name="_Hlk23160654"/>
      <w:r>
        <w:rPr>
          <w:lang w:val="it-IT"/>
        </w:rPr>
        <w:t>Communication No. 5/2015, paras.</w:t>
      </w:r>
      <w:bookmarkEnd w:id="9"/>
      <w:r>
        <w:rPr>
          <w:lang w:val="it-IT"/>
        </w:rPr>
        <w:t xml:space="preserve"> 15.3 and 21 (c).</w:t>
      </w:r>
    </w:p>
  </w:footnote>
  <w:footnote w:id="23">
    <w:p w14:paraId="7603A9B8" w14:textId="0AFFCFAB" w:rsidR="005F3828" w:rsidRPr="00A25E75" w:rsidRDefault="005F3828" w:rsidP="0045388B">
      <w:pPr>
        <w:pStyle w:val="FootnoteText"/>
        <w:rPr>
          <w:lang w:val="it-IT"/>
        </w:rPr>
      </w:pPr>
      <w:r>
        <w:rPr>
          <w:rStyle w:val="FootnoteReference"/>
        </w:rPr>
        <w:footnoteRef/>
      </w:r>
      <w:r>
        <w:t xml:space="preserve"> </w:t>
      </w:r>
      <w:r>
        <w:rPr>
          <w:lang w:val="it-IT"/>
        </w:rPr>
        <w:t>Ibid., para. 15.3</w:t>
      </w:r>
    </w:p>
  </w:footnote>
  <w:footnote w:id="24">
    <w:p w14:paraId="0592EFF5" w14:textId="0F095037" w:rsidR="005F3828" w:rsidRPr="00E6047B" w:rsidRDefault="005F3828" w:rsidP="0045388B">
      <w:pPr>
        <w:pStyle w:val="FootnoteText"/>
        <w:rPr>
          <w:lang w:val="it-IT"/>
        </w:rPr>
      </w:pPr>
      <w:r w:rsidRPr="00913161">
        <w:rPr>
          <w:rStyle w:val="FootnoteReference"/>
        </w:rPr>
        <w:footnoteRef/>
      </w:r>
      <w:r w:rsidRPr="00913161">
        <w:t xml:space="preserve"> </w:t>
      </w:r>
      <w:r w:rsidRPr="00913161">
        <w:rPr>
          <w:lang w:val="it-IT"/>
        </w:rPr>
        <w:t>See, for example, CESCR</w:t>
      </w:r>
      <w:r>
        <w:rPr>
          <w:lang w:val="it-IT"/>
        </w:rPr>
        <w:t xml:space="preserve">, communication no. 5/2015. </w:t>
      </w:r>
    </w:p>
  </w:footnote>
  <w:footnote w:id="25">
    <w:p w14:paraId="710C4412" w14:textId="40217FFC" w:rsidR="005F3828" w:rsidRPr="00827535" w:rsidRDefault="005F3828" w:rsidP="0044575B">
      <w:pPr>
        <w:pStyle w:val="FootnoteText"/>
        <w:rPr>
          <w:lang w:val="en-US"/>
        </w:rPr>
      </w:pPr>
      <w:r>
        <w:rPr>
          <w:rStyle w:val="FootnoteReference"/>
        </w:rPr>
        <w:footnoteRef/>
      </w:r>
      <w:r>
        <w:t xml:space="preserve"> </w:t>
      </w:r>
      <w:r w:rsidRPr="00723E53">
        <w:rPr>
          <w:sz w:val="20"/>
          <w:szCs w:val="20"/>
          <w:lang w:val="en-GB"/>
        </w:rPr>
        <w:t>See, CESCR, Communication No. 5/2015, para</w:t>
      </w:r>
      <w:r>
        <w:rPr>
          <w:sz w:val="20"/>
          <w:szCs w:val="20"/>
          <w:lang w:val="en-GB"/>
        </w:rPr>
        <w:t xml:space="preserve">s. 15.3 and </w:t>
      </w:r>
      <w:r>
        <w:rPr>
          <w:sz w:val="20"/>
          <w:szCs w:val="20"/>
        </w:rPr>
        <w:t xml:space="preserve">15.5. </w:t>
      </w:r>
      <w:r>
        <w:t xml:space="preserve"> </w:t>
      </w:r>
    </w:p>
  </w:footnote>
  <w:footnote w:id="26">
    <w:p w14:paraId="7E9C5DF9" w14:textId="77777777" w:rsidR="005F3828" w:rsidRPr="00DA4A04" w:rsidRDefault="005F3828" w:rsidP="001954A6">
      <w:pPr>
        <w:pStyle w:val="FootnoteText"/>
      </w:pPr>
      <w:r>
        <w:rPr>
          <w:rStyle w:val="FootnoteReference"/>
        </w:rPr>
        <w:footnoteRef/>
      </w:r>
      <w:r>
        <w:t xml:space="preserve"> </w:t>
      </w:r>
      <w:r w:rsidRPr="00DA4A04">
        <w:t>A/70/270, para. 38</w:t>
      </w:r>
    </w:p>
  </w:footnote>
  <w:footnote w:id="27">
    <w:p w14:paraId="4FCE07FA" w14:textId="77777777" w:rsidR="005F3828" w:rsidRPr="00DA4A04" w:rsidRDefault="005F3828" w:rsidP="001954A6">
      <w:pPr>
        <w:pStyle w:val="FootnoteText"/>
        <w:jc w:val="both"/>
      </w:pPr>
      <w:r>
        <w:rPr>
          <w:rStyle w:val="FootnoteReference"/>
        </w:rPr>
        <w:footnoteRef/>
      </w:r>
      <w:r>
        <w:t xml:space="preserve"> </w:t>
      </w:r>
      <w:r w:rsidRPr="00DA4A04">
        <w:t>A/69/274, para. 46.</w:t>
      </w:r>
    </w:p>
  </w:footnote>
  <w:footnote w:id="28">
    <w:p w14:paraId="2E14D8AA" w14:textId="5C3DDDF2" w:rsidR="005F3828" w:rsidRPr="00CD2CFA" w:rsidRDefault="005F3828" w:rsidP="001954A6">
      <w:pPr>
        <w:pStyle w:val="FootnoteText"/>
        <w:jc w:val="both"/>
      </w:pPr>
      <w:r>
        <w:rPr>
          <w:rStyle w:val="FootnoteReference"/>
        </w:rPr>
        <w:footnoteRef/>
      </w:r>
      <w:r>
        <w:t xml:space="preserve"> </w:t>
      </w:r>
      <w:r w:rsidRPr="00925A15">
        <w:rPr>
          <w:lang w:val="en-GB"/>
        </w:rPr>
        <w:t>Se</w:t>
      </w:r>
      <w:r>
        <w:rPr>
          <w:lang w:val="en-GB"/>
        </w:rPr>
        <w:t xml:space="preserve">e, for example, </w:t>
      </w:r>
      <w:r w:rsidRPr="00CD2CFA">
        <w:t xml:space="preserve">CESCR, statement on the pledge to leave no one behind, E/C.12/2019/1, para. </w:t>
      </w:r>
      <w:r>
        <w:t xml:space="preserve">9. </w:t>
      </w:r>
    </w:p>
  </w:footnote>
  <w:footnote w:id="29">
    <w:p w14:paraId="70C8B93D" w14:textId="77777777" w:rsidR="005F3828" w:rsidRPr="00B55381" w:rsidRDefault="005F3828" w:rsidP="005C0FB3">
      <w:pPr>
        <w:pStyle w:val="FootnoteText"/>
        <w:tabs>
          <w:tab w:val="clear" w:pos="1021"/>
          <w:tab w:val="right" w:pos="0"/>
        </w:tabs>
        <w:ind w:left="0" w:firstLine="0"/>
        <w:jc w:val="both"/>
      </w:pPr>
      <w:r>
        <w:rPr>
          <w:rStyle w:val="FootnoteReference"/>
        </w:rPr>
        <w:footnoteRef/>
      </w:r>
      <w:r>
        <w:t xml:space="preserve"> </w:t>
      </w:r>
      <w:r w:rsidRPr="00B55381">
        <w:t>See, for e</w:t>
      </w:r>
      <w:r>
        <w:t xml:space="preserve">xample, </w:t>
      </w:r>
      <w:r w:rsidRPr="00B55381">
        <w:t>European Committee of Social Rights, European Roma Rights Centre v. Portugal,</w:t>
      </w:r>
      <w:r>
        <w:t xml:space="preserve"> </w:t>
      </w:r>
      <w:r w:rsidRPr="00B55381">
        <w:t>Complaint No. 61/2010, decision of 30 June 2011</w:t>
      </w:r>
      <w:r>
        <w:t xml:space="preserve">, paras 19ff. </w:t>
      </w:r>
    </w:p>
  </w:footnote>
  <w:footnote w:id="30">
    <w:p w14:paraId="5F773DF0" w14:textId="23183505" w:rsidR="005F3828" w:rsidRPr="007F60F8" w:rsidRDefault="005F3828">
      <w:pPr>
        <w:pStyle w:val="FootnoteText"/>
        <w:rPr>
          <w:lang w:val="en-US"/>
        </w:rPr>
      </w:pPr>
      <w:r w:rsidRPr="002F02C9">
        <w:rPr>
          <w:rStyle w:val="FootnoteReference"/>
        </w:rPr>
        <w:footnoteRef/>
      </w:r>
      <w:r w:rsidRPr="002F02C9">
        <w:t xml:space="preserve"> </w:t>
      </w:r>
      <w:r w:rsidRPr="00F61D23">
        <w:rPr>
          <w:lang w:val="en-GB"/>
        </w:rPr>
        <w:t xml:space="preserve">CESCR General Comment no. 9, para. </w:t>
      </w:r>
      <w:r w:rsidRPr="002F02C9">
        <w:rPr>
          <w:lang w:val="en-US"/>
        </w:rPr>
        <w:t>15, and</w:t>
      </w:r>
      <w:r>
        <w:rPr>
          <w:lang w:val="en-US"/>
        </w:rPr>
        <w:t xml:space="preserve"> no.</w:t>
      </w:r>
      <w:r w:rsidRPr="002F02C9">
        <w:rPr>
          <w:lang w:val="en-US"/>
        </w:rPr>
        <w:t xml:space="preserve"> 20, para. 40.</w:t>
      </w:r>
    </w:p>
  </w:footnote>
  <w:footnote w:id="31">
    <w:p w14:paraId="7C9005DD" w14:textId="37CFCE16" w:rsidR="005F3828" w:rsidRPr="005C0FB3" w:rsidRDefault="005F3828" w:rsidP="00EF6C57">
      <w:pPr>
        <w:pStyle w:val="FootnoteText"/>
        <w:rPr>
          <w:lang w:val="en-US"/>
        </w:rPr>
      </w:pPr>
      <w:r>
        <w:rPr>
          <w:rStyle w:val="FootnoteReference"/>
        </w:rPr>
        <w:footnoteRef/>
      </w:r>
      <w:r>
        <w:t xml:space="preserve"> </w:t>
      </w:r>
      <w:r>
        <w:rPr>
          <w:lang w:val="en-GB"/>
        </w:rPr>
        <w:t xml:space="preserve">CESCR, </w:t>
      </w:r>
      <w:r>
        <w:rPr>
          <w:lang w:val="en-US"/>
        </w:rPr>
        <w:t>General Comment no. 20, para. 7ff.</w:t>
      </w:r>
    </w:p>
  </w:footnote>
  <w:footnote w:id="32">
    <w:p w14:paraId="3C3DDBC8" w14:textId="77777777" w:rsidR="005F3828" w:rsidRPr="00355649" w:rsidRDefault="005F3828" w:rsidP="005C0FB3">
      <w:pPr>
        <w:pStyle w:val="FootnoteText"/>
        <w:tabs>
          <w:tab w:val="clear" w:pos="1021"/>
          <w:tab w:val="right" w:pos="0"/>
        </w:tabs>
        <w:ind w:left="0" w:firstLine="0"/>
      </w:pPr>
      <w:r>
        <w:rPr>
          <w:rStyle w:val="FootnoteReference"/>
        </w:rPr>
        <w:footnoteRef/>
      </w:r>
      <w:r w:rsidRPr="00355649">
        <w:t xml:space="preserve"> CESCR, general comment </w:t>
      </w:r>
      <w:r w:rsidRPr="00EB7EF9">
        <w:rPr>
          <w:lang w:val="en-GB"/>
        </w:rPr>
        <w:t xml:space="preserve">no. 20, para. </w:t>
      </w:r>
      <w:r>
        <w:t xml:space="preserve">37. </w:t>
      </w:r>
    </w:p>
  </w:footnote>
  <w:footnote w:id="33">
    <w:p w14:paraId="2C256219" w14:textId="77777777" w:rsidR="005F3828" w:rsidRPr="003B47DA" w:rsidRDefault="005F3828" w:rsidP="005C0FB3">
      <w:pPr>
        <w:pStyle w:val="FootnoteText"/>
        <w:tabs>
          <w:tab w:val="clear" w:pos="1021"/>
          <w:tab w:val="right" w:pos="0"/>
        </w:tabs>
        <w:ind w:left="0" w:firstLine="0"/>
      </w:pPr>
      <w:r>
        <w:rPr>
          <w:rStyle w:val="FootnoteReference"/>
        </w:rPr>
        <w:footnoteRef/>
      </w:r>
      <w:r>
        <w:t xml:space="preserve"> </w:t>
      </w:r>
      <w:r w:rsidRPr="003B47DA">
        <w:t>See, f</w:t>
      </w:r>
      <w:r>
        <w:t xml:space="preserve">or example, CERD, general recommendations nos. 34 and 27. </w:t>
      </w:r>
    </w:p>
  </w:footnote>
  <w:footnote w:id="34">
    <w:p w14:paraId="313115C6" w14:textId="77777777" w:rsidR="005F3828" w:rsidRPr="003569EC" w:rsidRDefault="005F3828" w:rsidP="005C0FB3">
      <w:pPr>
        <w:pStyle w:val="FootnoteText"/>
        <w:tabs>
          <w:tab w:val="clear" w:pos="1021"/>
          <w:tab w:val="right" w:pos="0"/>
        </w:tabs>
        <w:ind w:left="0" w:firstLine="0"/>
      </w:pPr>
      <w:r>
        <w:rPr>
          <w:rStyle w:val="FootnoteReference"/>
        </w:rPr>
        <w:footnoteRef/>
      </w:r>
      <w:r>
        <w:t xml:space="preserve"> See, for example, ICRC, art. 27 and CRC, general comment no. 21. </w:t>
      </w:r>
    </w:p>
  </w:footnote>
  <w:footnote w:id="35">
    <w:p w14:paraId="431D2BB7" w14:textId="77777777" w:rsidR="005F3828" w:rsidRPr="00DA4A04" w:rsidRDefault="005F3828" w:rsidP="005C0FB3">
      <w:pPr>
        <w:pStyle w:val="FootnoteText"/>
        <w:tabs>
          <w:tab w:val="clear" w:pos="1021"/>
          <w:tab w:val="right" w:pos="0"/>
        </w:tabs>
        <w:ind w:left="0" w:firstLine="0"/>
      </w:pPr>
      <w:r>
        <w:rPr>
          <w:rStyle w:val="FootnoteReference"/>
        </w:rPr>
        <w:footnoteRef/>
      </w:r>
      <w:r>
        <w:t xml:space="preserve"> </w:t>
      </w:r>
      <w:r w:rsidRPr="00DA4A04">
        <w:t>See further A/74/183</w:t>
      </w:r>
    </w:p>
  </w:footnote>
  <w:footnote w:id="36">
    <w:p w14:paraId="5122DCB4" w14:textId="77777777" w:rsidR="005F3828" w:rsidRPr="00B70202" w:rsidRDefault="005F3828" w:rsidP="005C0FB3">
      <w:pPr>
        <w:pStyle w:val="FootnoteText"/>
        <w:tabs>
          <w:tab w:val="clear" w:pos="1021"/>
          <w:tab w:val="right" w:pos="0"/>
        </w:tabs>
        <w:ind w:left="0" w:firstLine="0"/>
      </w:pPr>
      <w:r>
        <w:rPr>
          <w:rStyle w:val="FootnoteReference"/>
        </w:rPr>
        <w:footnoteRef/>
      </w:r>
      <w:r>
        <w:t xml:space="preserve"> </w:t>
      </w:r>
      <w:r w:rsidRPr="00B70202">
        <w:t>See</w:t>
      </w:r>
      <w:r>
        <w:t xml:space="preserve"> ICRPD, arts 9, 19, 28. See</w:t>
      </w:r>
      <w:r w:rsidRPr="00B70202">
        <w:t xml:space="preserve"> f</w:t>
      </w:r>
      <w:r>
        <w:t>urther A/72/128.</w:t>
      </w:r>
    </w:p>
  </w:footnote>
  <w:footnote w:id="37">
    <w:p w14:paraId="4179BB55" w14:textId="77777777" w:rsidR="005F3828" w:rsidRPr="003072BB" w:rsidRDefault="005F3828" w:rsidP="008216ED">
      <w:pPr>
        <w:pStyle w:val="FootnoteText"/>
        <w:tabs>
          <w:tab w:val="clear" w:pos="1021"/>
          <w:tab w:val="right" w:pos="0"/>
        </w:tabs>
        <w:ind w:left="0" w:firstLine="0"/>
      </w:pPr>
      <w:r>
        <w:rPr>
          <w:rStyle w:val="FootnoteReference"/>
        </w:rPr>
        <w:footnoteRef/>
      </w:r>
      <w:r>
        <w:t xml:space="preserve"> </w:t>
      </w:r>
      <w:r w:rsidRPr="00E7448C">
        <w:t>A/H</w:t>
      </w:r>
      <w:r>
        <w:t xml:space="preserve">RC/19/53, para. 3. For a more detailed illustration of the specific challenges faced by women with respect to housing, see also OHCHR, </w:t>
      </w:r>
      <w:r>
        <w:rPr>
          <w:i/>
          <w:iCs/>
        </w:rPr>
        <w:t>Women and the Right to Adequate Housing</w:t>
      </w:r>
      <w:r>
        <w:t xml:space="preserve">, (NY 2012); </w:t>
      </w:r>
      <w:r w:rsidRPr="003072BB">
        <w:t>A/74/183</w:t>
      </w:r>
      <w:r>
        <w:t>, paras. 45-47; A/HRC/31/54, para 34 ff; A/73/310/Rev.1, para. 83ff.</w:t>
      </w:r>
    </w:p>
  </w:footnote>
  <w:footnote w:id="38">
    <w:p w14:paraId="1994ED95" w14:textId="24034F19" w:rsidR="005F3828" w:rsidRPr="00525470" w:rsidRDefault="005F3828" w:rsidP="00525470">
      <w:pPr>
        <w:pStyle w:val="FootnoteText"/>
        <w:ind w:left="0" w:firstLine="0"/>
        <w:rPr>
          <w:lang w:val="en-GB"/>
        </w:rPr>
      </w:pPr>
      <w:r>
        <w:rPr>
          <w:rStyle w:val="FootnoteReference"/>
        </w:rPr>
        <w:footnoteRef/>
      </w:r>
      <w:r>
        <w:t xml:space="preserve"> </w:t>
      </w:r>
      <w:r w:rsidRPr="00525470">
        <w:t>OHCHR 2012, p. 76.</w:t>
      </w:r>
      <w:r>
        <w:rPr>
          <w:lang w:val="en-GB"/>
        </w:rPr>
        <w:t xml:space="preserve"> See also </w:t>
      </w:r>
      <w:r w:rsidRPr="006B6B1C">
        <w:rPr>
          <w:lang w:val="en-GB"/>
        </w:rPr>
        <w:t>A/71/310, para. 24</w:t>
      </w:r>
      <w:r>
        <w:rPr>
          <w:lang w:val="en-GB"/>
        </w:rPr>
        <w:t xml:space="preserve">, and </w:t>
      </w:r>
      <w:r w:rsidRPr="00525470">
        <w:rPr>
          <w:lang w:val="en-GB"/>
        </w:rPr>
        <w:t>Canada, National Inquiry into Missing and Murdered Indigenous Women and Girls, Reclaiming Power and Place: The Final Report of the National Inquiry into Missing and Murdered Indigenous Women and Girls (2019).</w:t>
      </w:r>
    </w:p>
  </w:footnote>
  <w:footnote w:id="39">
    <w:p w14:paraId="0E51BEE3" w14:textId="77777777" w:rsidR="005F3828" w:rsidRPr="00D65EF0" w:rsidRDefault="005F3828" w:rsidP="00AD6F62">
      <w:pPr>
        <w:pStyle w:val="FootnoteText"/>
        <w:tabs>
          <w:tab w:val="clear" w:pos="1021"/>
          <w:tab w:val="right" w:pos="0"/>
        </w:tabs>
        <w:ind w:left="0" w:firstLine="0"/>
      </w:pPr>
      <w:r>
        <w:rPr>
          <w:rStyle w:val="FootnoteReference"/>
        </w:rPr>
        <w:footnoteRef/>
      </w:r>
      <w:r>
        <w:t xml:space="preserve"> </w:t>
      </w:r>
      <w:r w:rsidRPr="00D65EF0">
        <w:t>CEDAW, g</w:t>
      </w:r>
      <w:r>
        <w:t>eneral recommendation no. 35, para 24ff. See also A/HRC/35/30.</w:t>
      </w:r>
    </w:p>
  </w:footnote>
  <w:footnote w:id="40">
    <w:p w14:paraId="7114C548" w14:textId="77777777" w:rsidR="005F3828" w:rsidRPr="004245E3" w:rsidRDefault="005F3828" w:rsidP="00AD6F62">
      <w:pPr>
        <w:pStyle w:val="FootnoteText"/>
        <w:tabs>
          <w:tab w:val="clear" w:pos="1021"/>
          <w:tab w:val="right" w:pos="0"/>
        </w:tabs>
        <w:ind w:left="0" w:firstLine="0"/>
      </w:pPr>
      <w:r>
        <w:rPr>
          <w:rStyle w:val="FootnoteReference"/>
        </w:rPr>
        <w:footnoteRef/>
      </w:r>
      <w:r>
        <w:t xml:space="preserve"> </w:t>
      </w:r>
      <w:r w:rsidRPr="001F684F">
        <w:t>See for example, Istanbul Convention</w:t>
      </w:r>
      <w:r>
        <w:t xml:space="preserve"> on </w:t>
      </w:r>
      <w:r w:rsidRPr="001F684F">
        <w:t>Action against violence against women and domestic violence</w:t>
      </w:r>
      <w:r>
        <w:t xml:space="preserve">, art. 52. See further </w:t>
      </w:r>
      <w:r w:rsidRPr="00E308E1">
        <w:t>A/HRC/19/53, para. 36</w:t>
      </w:r>
      <w:r w:rsidRPr="001F684F">
        <w:t xml:space="preserve"> </w:t>
      </w:r>
      <w:r>
        <w:t xml:space="preserve">and </w:t>
      </w:r>
      <w:r w:rsidRPr="00CD18DC">
        <w:t>A/HRC/35/30</w:t>
      </w:r>
      <w:r w:rsidRPr="004245E3">
        <w:t>.</w:t>
      </w:r>
    </w:p>
  </w:footnote>
  <w:footnote w:id="41">
    <w:p w14:paraId="44E14B8C" w14:textId="77777777" w:rsidR="005F3828" w:rsidRPr="00E308E1" w:rsidRDefault="005F3828" w:rsidP="001455AD">
      <w:pPr>
        <w:pStyle w:val="FootnoteText"/>
        <w:tabs>
          <w:tab w:val="clear" w:pos="1021"/>
          <w:tab w:val="right" w:pos="0"/>
        </w:tabs>
        <w:ind w:left="0" w:firstLine="0"/>
      </w:pPr>
      <w:r>
        <w:rPr>
          <w:rStyle w:val="FootnoteReference"/>
        </w:rPr>
        <w:footnoteRef/>
      </w:r>
      <w:r>
        <w:t xml:space="preserve"> </w:t>
      </w:r>
      <w:r w:rsidRPr="00D673CA">
        <w:t>See, for example,</w:t>
      </w:r>
      <w:r>
        <w:t xml:space="preserve"> CESCR, general comment no. 16, para. 28; </w:t>
      </w:r>
      <w:r w:rsidRPr="00D673CA">
        <w:t xml:space="preserve">ICEDAW, arts 2(f); </w:t>
      </w:r>
      <w:r>
        <w:t xml:space="preserve">15 and </w:t>
      </w:r>
      <w:r w:rsidRPr="00D673CA">
        <w:t>16; </w:t>
      </w:r>
      <w:r>
        <w:t xml:space="preserve">CEDAW, general recommendations nos. 21, 29 and 34; CCPR, general comment no. 28, para.19; </w:t>
      </w:r>
      <w:r w:rsidRPr="00E308E1">
        <w:t>A/H</w:t>
      </w:r>
      <w:r>
        <w:t>RC/19/53, para. 68.</w:t>
      </w:r>
    </w:p>
  </w:footnote>
  <w:footnote w:id="42">
    <w:p w14:paraId="49199309" w14:textId="60A407A3" w:rsidR="005F3828" w:rsidRPr="003E684B" w:rsidRDefault="005F3828" w:rsidP="005E4663">
      <w:pPr>
        <w:pStyle w:val="FootnoteText"/>
        <w:ind w:left="0" w:right="1191" w:firstLine="0"/>
        <w:rPr>
          <w:lang w:val="en-GB"/>
        </w:rPr>
      </w:pPr>
      <w:r>
        <w:rPr>
          <w:rStyle w:val="FootnoteReference"/>
        </w:rPr>
        <w:footnoteRef/>
      </w:r>
      <w:r>
        <w:t xml:space="preserve"> </w:t>
      </w:r>
      <w:r>
        <w:rPr>
          <w:lang w:val="en-GB"/>
        </w:rPr>
        <w:t xml:space="preserve">See, for example, CEDAW, general recommendation no. 34, paras. 58 and 77; general recommendation no. 21, paras 28, 33. </w:t>
      </w:r>
    </w:p>
  </w:footnote>
  <w:footnote w:id="43">
    <w:p w14:paraId="121C2562" w14:textId="77777777" w:rsidR="005F3828" w:rsidRPr="00D65EF0" w:rsidRDefault="005F3828" w:rsidP="00AD6F62">
      <w:pPr>
        <w:pStyle w:val="FootnoteText"/>
      </w:pPr>
      <w:r>
        <w:rPr>
          <w:rStyle w:val="FootnoteReference"/>
        </w:rPr>
        <w:footnoteRef/>
      </w:r>
      <w:r>
        <w:t xml:space="preserve"> </w:t>
      </w:r>
      <w:r w:rsidRPr="00D65EF0">
        <w:t>See, for example, ICEDAW, art. 13.</w:t>
      </w:r>
    </w:p>
  </w:footnote>
  <w:footnote w:id="44">
    <w:p w14:paraId="5CD2ED2D" w14:textId="77777777" w:rsidR="005F3828" w:rsidRPr="00583614" w:rsidRDefault="005F3828" w:rsidP="00AD6F62">
      <w:pPr>
        <w:pStyle w:val="FootnoteText"/>
      </w:pPr>
      <w:r>
        <w:rPr>
          <w:rStyle w:val="FootnoteReference"/>
        </w:rPr>
        <w:footnoteRef/>
      </w:r>
      <w:r>
        <w:t xml:space="preserve"> </w:t>
      </w:r>
      <w:r w:rsidRPr="00583614">
        <w:t>Basic principles and guidelines on d</w:t>
      </w:r>
      <w:r>
        <w:t xml:space="preserve">evelopment-based evictions and displacement, para. 47. </w:t>
      </w:r>
    </w:p>
  </w:footnote>
  <w:footnote w:id="45">
    <w:p w14:paraId="22E1C99E" w14:textId="77777777" w:rsidR="005F3828" w:rsidRPr="00565C07" w:rsidRDefault="005F3828" w:rsidP="00771D92">
      <w:pPr>
        <w:pStyle w:val="FootnoteText"/>
        <w:rPr>
          <w:lang w:val="en-GB"/>
        </w:rPr>
      </w:pPr>
      <w:r>
        <w:rPr>
          <w:rStyle w:val="FootnoteReference"/>
        </w:rPr>
        <w:footnoteRef/>
      </w:r>
      <w:r>
        <w:t xml:space="preserve"> </w:t>
      </w:r>
      <w:r w:rsidRPr="00565C07">
        <w:rPr>
          <w:lang w:val="en-GB"/>
        </w:rPr>
        <w:t>For examples, see A/H</w:t>
      </w:r>
      <w:r>
        <w:rPr>
          <w:lang w:val="en-GB"/>
        </w:rPr>
        <w:t xml:space="preserve">RC/31/54, para 20ff. </w:t>
      </w:r>
    </w:p>
  </w:footnote>
  <w:footnote w:id="46">
    <w:p w14:paraId="4B0065F3" w14:textId="09559DFC" w:rsidR="005F3828" w:rsidRPr="00461774" w:rsidRDefault="005F3828" w:rsidP="00A33C86">
      <w:pPr>
        <w:pStyle w:val="FootnoteText"/>
        <w:rPr>
          <w:lang w:val="en-US"/>
        </w:rPr>
      </w:pPr>
      <w:r>
        <w:rPr>
          <w:rStyle w:val="FootnoteReference"/>
        </w:rPr>
        <w:footnoteRef/>
      </w:r>
      <w:r>
        <w:t xml:space="preserve"> </w:t>
      </w:r>
      <w:r>
        <w:rPr>
          <w:lang w:val="en-US"/>
        </w:rPr>
        <w:t>General Comment no. 4, paras.11ff.</w:t>
      </w:r>
    </w:p>
  </w:footnote>
  <w:footnote w:id="47">
    <w:p w14:paraId="6953F3EA" w14:textId="4330A0BF" w:rsidR="005F3828" w:rsidRPr="002111BB" w:rsidRDefault="005F3828" w:rsidP="00771D92">
      <w:pPr>
        <w:pStyle w:val="FootnoteText"/>
        <w:rPr>
          <w:lang w:val="en-US"/>
        </w:rPr>
      </w:pPr>
      <w:r>
        <w:rPr>
          <w:rStyle w:val="FootnoteReference"/>
        </w:rPr>
        <w:footnoteRef/>
      </w:r>
      <w:r>
        <w:t xml:space="preserve"> </w:t>
      </w:r>
      <w:r>
        <w:rPr>
          <w:lang w:val="en-US"/>
        </w:rPr>
        <w:t>General Comment no. 3, para. 10.</w:t>
      </w:r>
    </w:p>
  </w:footnote>
  <w:footnote w:id="48">
    <w:p w14:paraId="54C153A3" w14:textId="77777777" w:rsidR="005F3828" w:rsidRPr="008C6F12" w:rsidRDefault="005F3828" w:rsidP="00771D92">
      <w:pPr>
        <w:pStyle w:val="FootnoteText"/>
        <w:ind w:left="0" w:right="0" w:firstLine="0"/>
        <w:rPr>
          <w:lang w:val="en-GB"/>
        </w:rPr>
      </w:pPr>
      <w:r>
        <w:rPr>
          <w:rStyle w:val="FootnoteReference"/>
        </w:rPr>
        <w:footnoteRef/>
      </w:r>
      <w:r>
        <w:t xml:space="preserve"> </w:t>
      </w:r>
      <w:r w:rsidRPr="008C6F12">
        <w:t>See the three-dimensional human rights definition of homelessness proposed by the Special Rapporteur in her report to the HRC, A/HRC/31/54</w:t>
      </w:r>
      <w:r w:rsidRPr="008C6F12">
        <w:rPr>
          <w:lang w:val="en-GB"/>
        </w:rPr>
        <w:t xml:space="preserve">. </w:t>
      </w:r>
      <w:r>
        <w:rPr>
          <w:lang w:val="en-GB"/>
        </w:rPr>
        <w:t xml:space="preserve">For indigenous peoples’ experience of homelessness, see </w:t>
      </w:r>
      <w:r w:rsidRPr="008C6F12">
        <w:rPr>
          <w:lang w:val="en-GB"/>
        </w:rPr>
        <w:t>A/74/183</w:t>
      </w:r>
      <w:r>
        <w:rPr>
          <w:lang w:val="en-GB"/>
        </w:rPr>
        <w:t>.</w:t>
      </w:r>
    </w:p>
  </w:footnote>
  <w:footnote w:id="49">
    <w:p w14:paraId="17B2892E" w14:textId="77777777" w:rsidR="005F3828" w:rsidRPr="00433CAD" w:rsidRDefault="005F3828" w:rsidP="00771D92">
      <w:pPr>
        <w:pStyle w:val="FootnoteText"/>
        <w:rPr>
          <w:lang w:val="en-GB"/>
        </w:rPr>
      </w:pPr>
      <w:r>
        <w:rPr>
          <w:rStyle w:val="FootnoteReference"/>
        </w:rPr>
        <w:footnoteRef/>
      </w:r>
      <w:r>
        <w:t xml:space="preserve"> </w:t>
      </w:r>
      <w:r w:rsidRPr="00433CAD">
        <w:rPr>
          <w:bCs/>
          <w:szCs w:val="18"/>
        </w:rPr>
        <w:t>CRC/C/GC/21</w:t>
      </w:r>
    </w:p>
  </w:footnote>
  <w:footnote w:id="50">
    <w:p w14:paraId="374571F1" w14:textId="77777777" w:rsidR="005F3828" w:rsidRPr="00402DC0" w:rsidRDefault="005F3828" w:rsidP="004818CC">
      <w:pPr>
        <w:pStyle w:val="FootnoteText"/>
        <w:rPr>
          <w:lang w:val="en-GB"/>
        </w:rPr>
      </w:pPr>
      <w:r>
        <w:rPr>
          <w:rStyle w:val="FootnoteReference"/>
        </w:rPr>
        <w:footnoteRef/>
      </w:r>
      <w:r>
        <w:t xml:space="preserve"> </w:t>
      </w:r>
      <w:r w:rsidRPr="00874B79">
        <w:t>A/73/310/R</w:t>
      </w:r>
      <w:r>
        <w:t>ev.1, para. 44</w:t>
      </w:r>
      <w:r>
        <w:rPr>
          <w:lang w:val="en-GB"/>
        </w:rPr>
        <w:t>.</w:t>
      </w:r>
    </w:p>
  </w:footnote>
  <w:footnote w:id="51">
    <w:p w14:paraId="7E310848" w14:textId="77777777" w:rsidR="005F3828" w:rsidRPr="00874B79" w:rsidRDefault="005F3828" w:rsidP="004818CC">
      <w:pPr>
        <w:pStyle w:val="FootnoteText"/>
      </w:pPr>
      <w:r>
        <w:rPr>
          <w:rStyle w:val="FootnoteReference"/>
        </w:rPr>
        <w:footnoteRef/>
      </w:r>
      <w:r>
        <w:t xml:space="preserve"> </w:t>
      </w:r>
      <w:r w:rsidRPr="00874B79">
        <w:t xml:space="preserve">A/HRC/40/61, para. 41. </w:t>
      </w:r>
    </w:p>
  </w:footnote>
  <w:footnote w:id="52">
    <w:p w14:paraId="3A17BB47" w14:textId="77777777" w:rsidR="005F3828" w:rsidRPr="00D113A2" w:rsidRDefault="005F3828" w:rsidP="004818CC">
      <w:pPr>
        <w:pStyle w:val="FootnoteText"/>
      </w:pPr>
      <w:r>
        <w:rPr>
          <w:rStyle w:val="FootnoteReference"/>
        </w:rPr>
        <w:footnoteRef/>
      </w:r>
      <w:r>
        <w:t xml:space="preserve"> General comment no. 20, para. 35.</w:t>
      </w:r>
    </w:p>
  </w:footnote>
  <w:footnote w:id="53">
    <w:p w14:paraId="3B7855DB" w14:textId="77777777" w:rsidR="005F3828" w:rsidRPr="00B7731F" w:rsidRDefault="005F3828" w:rsidP="00653E6C">
      <w:pPr>
        <w:pStyle w:val="FootnoteText"/>
        <w:tabs>
          <w:tab w:val="clear" w:pos="1021"/>
          <w:tab w:val="right" w:pos="0"/>
        </w:tabs>
        <w:ind w:left="0" w:firstLine="0"/>
      </w:pPr>
      <w:r>
        <w:rPr>
          <w:rStyle w:val="FootnoteReference"/>
        </w:rPr>
        <w:footnoteRef/>
      </w:r>
      <w:r>
        <w:t xml:space="preserve"> </w:t>
      </w:r>
      <w:r w:rsidRPr="00B7731F">
        <w:t>HRC, general comment n</w:t>
      </w:r>
      <w:r>
        <w:t xml:space="preserve">o. 36, para. 61. [See also </w:t>
      </w:r>
      <w:r w:rsidRPr="00D113A2">
        <w:t>Communication No. 2425/2014 Whelan v Ireland, Views adopted on 17 March 2017, para. 7.12</w:t>
      </w:r>
      <w:r>
        <w:t>]</w:t>
      </w:r>
    </w:p>
  </w:footnote>
  <w:footnote w:id="54">
    <w:p w14:paraId="12827BD7" w14:textId="77777777" w:rsidR="005F3828" w:rsidRPr="00B7731F" w:rsidRDefault="005F3828" w:rsidP="004818CC">
      <w:pPr>
        <w:pStyle w:val="FootnoteText"/>
      </w:pPr>
      <w:r>
        <w:rPr>
          <w:rStyle w:val="FootnoteReference"/>
        </w:rPr>
        <w:footnoteRef/>
      </w:r>
      <w:r>
        <w:t xml:space="preserve"> </w:t>
      </w:r>
      <w:r w:rsidRPr="00B7731F">
        <w:t xml:space="preserve">Resolution 31/9. </w:t>
      </w:r>
    </w:p>
  </w:footnote>
  <w:footnote w:id="55">
    <w:p w14:paraId="32D5B34F" w14:textId="77777777" w:rsidR="005F3828" w:rsidRPr="006A5031" w:rsidRDefault="005F3828" w:rsidP="004818CC">
      <w:pPr>
        <w:pStyle w:val="FootnoteText"/>
        <w:rPr>
          <w:lang w:val="en-GB"/>
        </w:rPr>
      </w:pPr>
      <w:r>
        <w:rPr>
          <w:rStyle w:val="FootnoteReference"/>
        </w:rPr>
        <w:footnoteRef/>
      </w:r>
      <w:r>
        <w:t xml:space="preserve"> </w:t>
      </w:r>
      <w:r w:rsidRPr="006A5031">
        <w:rPr>
          <w:lang w:val="en-GB"/>
        </w:rPr>
        <w:t xml:space="preserve">A/HRC/40/61, para. 42. </w:t>
      </w:r>
    </w:p>
  </w:footnote>
  <w:footnote w:id="56">
    <w:p w14:paraId="4B4CAD1F" w14:textId="77777777" w:rsidR="005F3828" w:rsidRPr="00EB20C1" w:rsidRDefault="005F3828" w:rsidP="00EE5F2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0" w:right="1260" w:firstLine="0"/>
      </w:pPr>
      <w:r w:rsidRPr="00EB20C1">
        <w:rPr>
          <w:rStyle w:val="FootnoteReference"/>
        </w:rPr>
        <w:footnoteRef/>
      </w:r>
      <w:r>
        <w:rPr>
          <w:lang w:val="en-GB"/>
        </w:rPr>
        <w:t xml:space="preserve"> </w:t>
      </w:r>
      <w:r w:rsidRPr="00EB20C1">
        <w:tab/>
        <w:t xml:space="preserve">Jonathan </w:t>
      </w:r>
      <w:proofErr w:type="spellStart"/>
      <w:r w:rsidRPr="00EB20C1">
        <w:t>Woetzel</w:t>
      </w:r>
      <w:proofErr w:type="spellEnd"/>
      <w:r w:rsidRPr="00EB20C1">
        <w:t xml:space="preserve"> and others, “A blueprint for addressing the global affordable housing challenge” (McKinsey Global Institute, October 2014).</w:t>
      </w:r>
    </w:p>
  </w:footnote>
  <w:footnote w:id="57">
    <w:p w14:paraId="579A6CC8" w14:textId="77777777" w:rsidR="005F3828" w:rsidRPr="00932142" w:rsidRDefault="005F3828" w:rsidP="00EE5F29">
      <w:pPr>
        <w:pStyle w:val="FootnoteText"/>
        <w:rPr>
          <w:lang w:val="it-IT"/>
        </w:rPr>
      </w:pPr>
      <w:r>
        <w:rPr>
          <w:rStyle w:val="FootnoteReference"/>
        </w:rPr>
        <w:footnoteRef/>
      </w:r>
      <w:r>
        <w:t xml:space="preserve"> </w:t>
      </w:r>
      <w:r>
        <w:rPr>
          <w:lang w:val="it-IT"/>
        </w:rPr>
        <w:t>See A/HRC/34/51.</w:t>
      </w:r>
    </w:p>
  </w:footnote>
  <w:footnote w:id="58">
    <w:p w14:paraId="5A4C0B6C" w14:textId="77777777" w:rsidR="005F3828" w:rsidRPr="00EB7EF9" w:rsidRDefault="005F3828" w:rsidP="00EE5F29">
      <w:pPr>
        <w:pStyle w:val="FootnoteText"/>
        <w:ind w:left="0" w:firstLine="0"/>
        <w:rPr>
          <w:lang w:val="en-GB"/>
        </w:rPr>
      </w:pPr>
      <w:r>
        <w:rPr>
          <w:rStyle w:val="FootnoteReference"/>
        </w:rPr>
        <w:footnoteRef/>
      </w:r>
      <w:r>
        <w:t xml:space="preserve"> </w:t>
      </w:r>
      <w:r w:rsidRPr="00EB7EF9">
        <w:rPr>
          <w:lang w:val="en-GB"/>
        </w:rPr>
        <w:t>S</w:t>
      </w:r>
      <w:r>
        <w:rPr>
          <w:lang w:val="en-GB"/>
        </w:rPr>
        <w:t xml:space="preserve">ee, for example, </w:t>
      </w:r>
      <w:r w:rsidRPr="00FC7D5A">
        <w:rPr>
          <w:lang w:val="en-GB"/>
        </w:rPr>
        <w:t>The State of Housing in the EU 2019</w:t>
      </w:r>
      <w:r>
        <w:rPr>
          <w:lang w:val="en-GB"/>
        </w:rPr>
        <w:t xml:space="preserve">, </w:t>
      </w:r>
      <w:r w:rsidRPr="00FC7D5A">
        <w:rPr>
          <w:lang w:val="en-GB"/>
        </w:rPr>
        <w:t>http://www.housingeurope.eu/resource-1323/the-state-of-housing-in-the-eu-2019</w:t>
      </w:r>
      <w:r>
        <w:rPr>
          <w:lang w:val="en-GB"/>
        </w:rPr>
        <w:t>.</w:t>
      </w:r>
    </w:p>
  </w:footnote>
  <w:footnote w:id="59">
    <w:p w14:paraId="325F151D" w14:textId="77777777" w:rsidR="005F3828" w:rsidRPr="00215F99" w:rsidRDefault="005F3828" w:rsidP="00EE5F29">
      <w:pPr>
        <w:pStyle w:val="FootnoteText"/>
        <w:rPr>
          <w:lang w:val="en-GB"/>
        </w:rPr>
      </w:pPr>
      <w:r>
        <w:rPr>
          <w:rStyle w:val="FootnoteReference"/>
        </w:rPr>
        <w:footnoteRef/>
      </w:r>
      <w:r>
        <w:t xml:space="preserve"> </w:t>
      </w:r>
      <w:r w:rsidRPr="00406B30">
        <w:t>A/HRC/34/51, para. 12</w:t>
      </w:r>
    </w:p>
  </w:footnote>
  <w:footnote w:id="60">
    <w:p w14:paraId="04B9BC13" w14:textId="041FCA36" w:rsidR="005F3828" w:rsidRPr="00F8215A" w:rsidRDefault="005F3828" w:rsidP="007B1D5C">
      <w:pPr>
        <w:pStyle w:val="FootnoteText"/>
        <w:tabs>
          <w:tab w:val="clear" w:pos="1021"/>
        </w:tabs>
        <w:ind w:left="0" w:firstLine="0"/>
        <w:rPr>
          <w:lang w:val="en-US"/>
        </w:rPr>
      </w:pPr>
      <w:r>
        <w:rPr>
          <w:rStyle w:val="FootnoteReference"/>
        </w:rPr>
        <w:footnoteRef/>
      </w:r>
      <w:r>
        <w:t xml:space="preserve"> </w:t>
      </w:r>
      <w:r w:rsidRPr="000F30FD">
        <w:t>General comment No. 24, para</w:t>
      </w:r>
      <w:r>
        <w:rPr>
          <w:lang w:val="en-US"/>
        </w:rPr>
        <w:t>s. 12</w:t>
      </w:r>
      <w:r>
        <w:t>,</w:t>
      </w:r>
      <w:r w:rsidRPr="000F30FD">
        <w:t xml:space="preserve"> 14</w:t>
      </w:r>
      <w:r>
        <w:rPr>
          <w:lang w:val="en-US"/>
        </w:rPr>
        <w:t>, 18</w:t>
      </w:r>
    </w:p>
  </w:footnote>
  <w:footnote w:id="61">
    <w:p w14:paraId="6470E3C4" w14:textId="0CE9E393" w:rsidR="005F3828" w:rsidRPr="00C90226" w:rsidRDefault="005F3828" w:rsidP="00EE5F29">
      <w:pPr>
        <w:pStyle w:val="FootnoteText"/>
        <w:rPr>
          <w:lang w:val="en-US"/>
        </w:rPr>
      </w:pPr>
      <w:r>
        <w:rPr>
          <w:rStyle w:val="FootnoteReference"/>
        </w:rPr>
        <w:footnoteRef/>
      </w:r>
      <w:r>
        <w:rPr>
          <w:lang w:val="en-US"/>
        </w:rPr>
        <w:t xml:space="preserve"> CESCR, g</w:t>
      </w:r>
      <w:proofErr w:type="spellStart"/>
      <w:r w:rsidRPr="00C90226">
        <w:rPr>
          <w:lang w:val="en-GB"/>
        </w:rPr>
        <w:t>eneral</w:t>
      </w:r>
      <w:proofErr w:type="spellEnd"/>
      <w:r w:rsidRPr="00C90226">
        <w:rPr>
          <w:lang w:val="en-GB"/>
        </w:rPr>
        <w:t xml:space="preserve"> comment </w:t>
      </w:r>
      <w:r>
        <w:rPr>
          <w:lang w:val="en-GB"/>
        </w:rPr>
        <w:t>n</w:t>
      </w:r>
      <w:r w:rsidRPr="00C90226">
        <w:rPr>
          <w:lang w:val="en-GB"/>
        </w:rPr>
        <w:t>o. 24</w:t>
      </w:r>
      <w:r>
        <w:rPr>
          <w:lang w:val="en-GB"/>
        </w:rPr>
        <w:t>, para 18.</w:t>
      </w:r>
    </w:p>
  </w:footnote>
  <w:footnote w:id="62">
    <w:p w14:paraId="59DEBF40" w14:textId="77777777" w:rsidR="005F3828" w:rsidRPr="00607446" w:rsidRDefault="005F3828" w:rsidP="00EE5F29">
      <w:pPr>
        <w:pStyle w:val="FootnoteText"/>
        <w:rPr>
          <w:lang w:val="it-IT"/>
        </w:rPr>
      </w:pPr>
      <w:r>
        <w:rPr>
          <w:rStyle w:val="FootnoteReference"/>
        </w:rPr>
        <w:footnoteRef/>
      </w:r>
      <w:r>
        <w:t xml:space="preserve"> </w:t>
      </w:r>
      <w:r>
        <w:rPr>
          <w:lang w:val="it-IT"/>
        </w:rPr>
        <w:t>CESCR, general comment no. 24, para. 16 and CRC, general comment no. 16, p.8</w:t>
      </w:r>
    </w:p>
  </w:footnote>
  <w:footnote w:id="63">
    <w:p w14:paraId="515BED6A" w14:textId="73F41BB0" w:rsidR="005F3828" w:rsidRPr="008F18B1" w:rsidRDefault="005F3828" w:rsidP="000D12CD">
      <w:pPr>
        <w:pStyle w:val="FootnoteText"/>
        <w:tabs>
          <w:tab w:val="clear" w:pos="1021"/>
          <w:tab w:val="right" w:pos="0"/>
        </w:tabs>
        <w:ind w:left="0" w:firstLine="0"/>
        <w:rPr>
          <w:lang w:val="en-GB"/>
        </w:rPr>
      </w:pPr>
      <w:r>
        <w:rPr>
          <w:rStyle w:val="FootnoteReference"/>
        </w:rPr>
        <w:footnoteRef/>
      </w:r>
      <w:r>
        <w:t xml:space="preserve"> </w:t>
      </w:r>
      <w:r>
        <w:rPr>
          <w:lang w:val="en-GB"/>
        </w:rPr>
        <w:t xml:space="preserve"> See UN Convention against Corruption, Article 14, OECD Model Tax Convention on Income and on Capital, OECD standards to address Base Erosion and Profit Shifting; FATF, International Standards on combating money laundering and the financing of terrorism and proliferation.</w:t>
      </w:r>
    </w:p>
  </w:footnote>
  <w:footnote w:id="64">
    <w:p w14:paraId="4EAFDC51" w14:textId="1F5872FC" w:rsidR="005F3828" w:rsidRPr="00E124D0" w:rsidRDefault="005F3828" w:rsidP="00EE5F29">
      <w:pPr>
        <w:pStyle w:val="FootnoteText"/>
        <w:rPr>
          <w:lang w:val="en-US"/>
        </w:rPr>
      </w:pPr>
      <w:r w:rsidRPr="0055348C">
        <w:rPr>
          <w:rStyle w:val="FootnoteReference"/>
        </w:rPr>
        <w:footnoteRef/>
      </w:r>
      <w:r w:rsidRPr="0055348C">
        <w:t xml:space="preserve"> </w:t>
      </w:r>
      <w:r w:rsidRPr="0055348C">
        <w:rPr>
          <w:lang w:val="en-US"/>
        </w:rPr>
        <w:t xml:space="preserve">CESCR, General </w:t>
      </w:r>
      <w:r>
        <w:rPr>
          <w:lang w:val="en-US"/>
        </w:rPr>
        <w:t>c</w:t>
      </w:r>
      <w:r w:rsidRPr="00771525">
        <w:rPr>
          <w:lang w:val="en-US"/>
        </w:rPr>
        <w:t>omment no. 7, para.  16.</w:t>
      </w:r>
    </w:p>
  </w:footnote>
  <w:footnote w:id="65">
    <w:p w14:paraId="4BA3DCFA" w14:textId="4AF1BF4A" w:rsidR="005F3828" w:rsidRPr="00DE5A9A" w:rsidRDefault="005F3828" w:rsidP="007B1D5C">
      <w:pPr>
        <w:pStyle w:val="FootnoteText"/>
        <w:tabs>
          <w:tab w:val="clear" w:pos="1021"/>
        </w:tabs>
        <w:ind w:left="0" w:firstLine="0"/>
      </w:pPr>
      <w:r>
        <w:rPr>
          <w:rStyle w:val="FootnoteReference"/>
        </w:rPr>
        <w:footnoteRef/>
      </w:r>
      <w:r>
        <w:t xml:space="preserve"> </w:t>
      </w:r>
      <w:r w:rsidRPr="004A176D">
        <w:t>In 2019, the</w:t>
      </w:r>
      <w:r>
        <w:rPr>
          <w:lang w:val="en-US"/>
        </w:rPr>
        <w:t>re were</w:t>
      </w:r>
      <w:r w:rsidRPr="004A176D">
        <w:t xml:space="preserve"> an estimated 272 million </w:t>
      </w:r>
      <w:r>
        <w:rPr>
          <w:lang w:val="en-US"/>
        </w:rPr>
        <w:t>migrants</w:t>
      </w:r>
      <w:r w:rsidRPr="004A176D">
        <w:t>,</w:t>
      </w:r>
      <w:r>
        <w:t xml:space="preserve"> an increase of 23 per cent in 9 years</w:t>
      </w:r>
      <w:r>
        <w:rPr>
          <w:lang w:val="en-GB"/>
        </w:rPr>
        <w:t xml:space="preserve">. See </w:t>
      </w:r>
      <w:r w:rsidRPr="00F85BB0">
        <w:rPr>
          <w:lang w:val="en-GB"/>
        </w:rPr>
        <w:t>UN DESA, International Migrant Stock 2019</w:t>
      </w:r>
      <w:r>
        <w:rPr>
          <w:lang w:val="en-GB"/>
        </w:rPr>
        <w:t xml:space="preserve">: see also </w:t>
      </w:r>
      <w:r>
        <w:t xml:space="preserve">OHCHR, </w:t>
      </w:r>
      <w:r w:rsidRPr="00DE5A9A">
        <w:t xml:space="preserve">The Economic, Social </w:t>
      </w:r>
      <w:r>
        <w:t>an</w:t>
      </w:r>
      <w:r w:rsidRPr="00DE5A9A">
        <w:t xml:space="preserve">d Cultural Rights </w:t>
      </w:r>
      <w:r>
        <w:t>o</w:t>
      </w:r>
      <w:r w:rsidRPr="00DE5A9A">
        <w:t xml:space="preserve">f Migrants </w:t>
      </w:r>
      <w:r>
        <w:t>i</w:t>
      </w:r>
      <w:r w:rsidRPr="00DE5A9A">
        <w:t xml:space="preserve">n </w:t>
      </w:r>
      <w:r>
        <w:t>a</w:t>
      </w:r>
      <w:r w:rsidRPr="00DE5A9A">
        <w:t>n Irregular Situation</w:t>
      </w:r>
      <w:r>
        <w:t xml:space="preserve">, 2014. </w:t>
      </w:r>
    </w:p>
  </w:footnote>
  <w:footnote w:id="66">
    <w:p w14:paraId="68613C95" w14:textId="77777777" w:rsidR="005F3828" w:rsidRPr="00886D7E" w:rsidRDefault="005F3828" w:rsidP="007278FD">
      <w:pPr>
        <w:pStyle w:val="FootnoteText"/>
        <w:tabs>
          <w:tab w:val="clear" w:pos="1021"/>
          <w:tab w:val="right" w:pos="0"/>
        </w:tabs>
        <w:ind w:left="142" w:hanging="142"/>
      </w:pPr>
      <w:r>
        <w:rPr>
          <w:rStyle w:val="FootnoteReference"/>
        </w:rPr>
        <w:footnoteRef/>
      </w:r>
      <w:r>
        <w:t xml:space="preserve"> </w:t>
      </w:r>
      <w:r w:rsidRPr="00886D7E">
        <w:t>CESCR, statement on The Duties of States Towards Refugees and Migrants under the International Covenant on Economic, Social and Cultural Rights</w:t>
      </w:r>
      <w:r>
        <w:t xml:space="preserve"> (2017); </w:t>
      </w:r>
      <w:r w:rsidRPr="001B4E40">
        <w:t>A/HRC/14/30</w:t>
      </w:r>
      <w:r>
        <w:t xml:space="preserve">, para. 14 ff.  See also: OHCHR, </w:t>
      </w:r>
      <w:r w:rsidRPr="00DE5A9A">
        <w:t xml:space="preserve">The Economic, Social </w:t>
      </w:r>
      <w:r>
        <w:t>an</w:t>
      </w:r>
      <w:r w:rsidRPr="00DE5A9A">
        <w:t xml:space="preserve">d Cultural Rights </w:t>
      </w:r>
      <w:r>
        <w:t>o</w:t>
      </w:r>
      <w:r w:rsidRPr="00DE5A9A">
        <w:t xml:space="preserve">f Migrants </w:t>
      </w:r>
      <w:r>
        <w:t>i</w:t>
      </w:r>
      <w:r w:rsidRPr="00DE5A9A">
        <w:t xml:space="preserve">n </w:t>
      </w:r>
      <w:r>
        <w:t>a</w:t>
      </w:r>
      <w:r w:rsidRPr="00DE5A9A">
        <w:t>n Irregular Situation</w:t>
      </w:r>
      <w:r>
        <w:t>, 2014.</w:t>
      </w:r>
      <w:r w:rsidRPr="002C3A07" w:rsidDel="0055348C">
        <w:t xml:space="preserve"> </w:t>
      </w:r>
    </w:p>
  </w:footnote>
  <w:footnote w:id="67">
    <w:p w14:paraId="755E1131" w14:textId="77777777" w:rsidR="005F3828" w:rsidRPr="00833885" w:rsidRDefault="005F3828" w:rsidP="0055348C">
      <w:pPr>
        <w:pStyle w:val="FootnoteText"/>
        <w:ind w:left="0" w:firstLine="0"/>
      </w:pPr>
      <w:r>
        <w:rPr>
          <w:rStyle w:val="FootnoteReference"/>
        </w:rPr>
        <w:footnoteRef/>
      </w:r>
      <w:r>
        <w:t xml:space="preserve"> See, for example, A/HRC/14/30, para. 47.</w:t>
      </w:r>
    </w:p>
  </w:footnote>
  <w:footnote w:id="68">
    <w:p w14:paraId="34C688AD" w14:textId="77777777" w:rsidR="005F3828" w:rsidRPr="0099228A" w:rsidRDefault="005F3828" w:rsidP="007278FD">
      <w:pPr>
        <w:pStyle w:val="FootnoteText"/>
      </w:pPr>
      <w:r>
        <w:rPr>
          <w:rStyle w:val="FootnoteReference"/>
        </w:rPr>
        <w:footnoteRef/>
      </w:r>
      <w:r>
        <w:t xml:space="preserve"> Ibid. </w:t>
      </w:r>
    </w:p>
  </w:footnote>
  <w:footnote w:id="69">
    <w:p w14:paraId="3F7622B3" w14:textId="77777777" w:rsidR="005F3828" w:rsidRPr="0099228A" w:rsidRDefault="005F3828" w:rsidP="007278FD">
      <w:pPr>
        <w:pStyle w:val="FootnoteText"/>
      </w:pPr>
      <w:r>
        <w:rPr>
          <w:rStyle w:val="FootnoteReference"/>
        </w:rPr>
        <w:footnoteRef/>
      </w:r>
      <w:r>
        <w:t xml:space="preserve"> </w:t>
      </w:r>
      <w:r w:rsidRPr="0099228A">
        <w:t>See, for example, A</w:t>
      </w:r>
      <w:r>
        <w:t xml:space="preserve">/HRC/14/30, para. 49; and </w:t>
      </w:r>
      <w:r w:rsidRPr="0099228A">
        <w:t>A/HRC/40/61/Add.1</w:t>
      </w:r>
      <w:r>
        <w:t xml:space="preserve">, para. 81. </w:t>
      </w:r>
    </w:p>
  </w:footnote>
  <w:footnote w:id="70">
    <w:p w14:paraId="321DFC4D" w14:textId="77777777" w:rsidR="005F3828" w:rsidRPr="00820C42" w:rsidRDefault="005F3828" w:rsidP="007278FD">
      <w:pPr>
        <w:pStyle w:val="FootnoteText"/>
      </w:pPr>
      <w:r>
        <w:rPr>
          <w:rStyle w:val="FootnoteReference"/>
        </w:rPr>
        <w:footnoteRef/>
      </w:r>
      <w:r>
        <w:t xml:space="preserve"> </w:t>
      </w:r>
      <w:r w:rsidRPr="00820C42">
        <w:t xml:space="preserve">See, for example, A/HRC/14/30, para. 54. </w:t>
      </w:r>
    </w:p>
  </w:footnote>
  <w:footnote w:id="71">
    <w:p w14:paraId="4364F68E" w14:textId="77777777" w:rsidR="005F3828" w:rsidRPr="009776CD" w:rsidRDefault="005F3828" w:rsidP="007278FD">
      <w:pPr>
        <w:pStyle w:val="FootnoteText"/>
        <w:rPr>
          <w:lang w:val="en-US"/>
        </w:rPr>
      </w:pPr>
      <w:r>
        <w:rPr>
          <w:rStyle w:val="FootnoteReference"/>
        </w:rPr>
        <w:footnoteRef/>
      </w:r>
      <w:r>
        <w:t xml:space="preserve"> </w:t>
      </w:r>
      <w:r>
        <w:rPr>
          <w:lang w:val="en-US"/>
        </w:rPr>
        <w:t xml:space="preserve">CESCR, General Comment no. 20, </w:t>
      </w:r>
      <w:r w:rsidRPr="008351D0">
        <w:rPr>
          <w:lang w:val="en-US"/>
        </w:rPr>
        <w:t>para 30</w:t>
      </w:r>
      <w:r>
        <w:rPr>
          <w:lang w:val="en-US"/>
        </w:rPr>
        <w:t>.</w:t>
      </w:r>
    </w:p>
  </w:footnote>
  <w:footnote w:id="72">
    <w:p w14:paraId="13538499" w14:textId="77777777" w:rsidR="005F3828" w:rsidRPr="00C120A4" w:rsidRDefault="005F3828" w:rsidP="00547BD0">
      <w:pPr>
        <w:pStyle w:val="FootnoteText"/>
        <w:tabs>
          <w:tab w:val="clear" w:pos="1021"/>
          <w:tab w:val="right" w:pos="0"/>
        </w:tabs>
        <w:ind w:left="0" w:firstLine="0"/>
      </w:pPr>
      <w:r>
        <w:rPr>
          <w:rStyle w:val="FootnoteReference"/>
        </w:rPr>
        <w:footnoteRef/>
      </w:r>
      <w:r>
        <w:t xml:space="preserve"> See ICMW, art. 43; and CERD, general recommendation no. 30. See also </w:t>
      </w:r>
      <w:r w:rsidRPr="00457B12">
        <w:t>Global Compact for Safe, Orderly and Regular Migration, objective</w:t>
      </w:r>
      <w:r>
        <w:t xml:space="preserve"> 15. </w:t>
      </w:r>
    </w:p>
  </w:footnote>
  <w:footnote w:id="73">
    <w:p w14:paraId="0612A15A" w14:textId="77777777" w:rsidR="005F3828" w:rsidRPr="00C52384" w:rsidRDefault="005F3828" w:rsidP="007278FD">
      <w:pPr>
        <w:pStyle w:val="FootnoteText"/>
      </w:pPr>
      <w:r>
        <w:rPr>
          <w:rStyle w:val="FootnoteReference"/>
        </w:rPr>
        <w:footnoteRef/>
      </w:r>
      <w:r>
        <w:t xml:space="preserve"> See, for example, CERD, general recommendation no. 30, para. 32. </w:t>
      </w:r>
    </w:p>
  </w:footnote>
  <w:footnote w:id="74">
    <w:p w14:paraId="13C49CEA" w14:textId="77777777" w:rsidR="005F3828" w:rsidRPr="00C334A2" w:rsidRDefault="005F3828" w:rsidP="007278FD">
      <w:pPr>
        <w:pStyle w:val="FootnoteText"/>
      </w:pPr>
      <w:r>
        <w:rPr>
          <w:rStyle w:val="FootnoteReference"/>
        </w:rPr>
        <w:footnoteRef/>
      </w:r>
      <w:r>
        <w:t xml:space="preserve"> See, for example, ILO </w:t>
      </w:r>
      <w:r w:rsidRPr="00C334A2">
        <w:t>Domestic Workers Recommendation, 2011 (No. 201)</w:t>
      </w:r>
      <w:r>
        <w:t xml:space="preserve">, para. 7. </w:t>
      </w:r>
    </w:p>
  </w:footnote>
  <w:footnote w:id="75">
    <w:p w14:paraId="78C47EB7" w14:textId="77777777" w:rsidR="005F3828" w:rsidRPr="00457B12" w:rsidRDefault="005F3828" w:rsidP="007278FD">
      <w:pPr>
        <w:pStyle w:val="FootnoteText"/>
        <w:tabs>
          <w:tab w:val="clear" w:pos="1021"/>
          <w:tab w:val="right" w:pos="0"/>
        </w:tabs>
        <w:ind w:left="0" w:firstLine="0"/>
      </w:pPr>
      <w:r>
        <w:rPr>
          <w:rStyle w:val="FootnoteReference"/>
        </w:rPr>
        <w:footnoteRef/>
      </w:r>
      <w:r>
        <w:t xml:space="preserve"> </w:t>
      </w:r>
      <w:r w:rsidRPr="00457B12">
        <w:t>UN Principles and Guidelines on the human rights protection of migrants in vulnerable situations, principle</w:t>
      </w:r>
      <w:r>
        <w:t xml:space="preserve"> 8; and Global Compact for Safe, Orderly and Regular Migration, objective 13. </w:t>
      </w:r>
    </w:p>
  </w:footnote>
  <w:footnote w:id="76">
    <w:p w14:paraId="253E3E26" w14:textId="77777777" w:rsidR="005F3828" w:rsidRPr="00F12C5B" w:rsidRDefault="005F3828" w:rsidP="007278FD">
      <w:pPr>
        <w:pStyle w:val="FootnoteText"/>
        <w:tabs>
          <w:tab w:val="clear" w:pos="1021"/>
          <w:tab w:val="right" w:pos="0"/>
        </w:tabs>
        <w:ind w:left="0" w:firstLine="0"/>
      </w:pPr>
      <w:r>
        <w:rPr>
          <w:rStyle w:val="FootnoteReference"/>
        </w:rPr>
        <w:footnoteRef/>
      </w:r>
      <w:r>
        <w:t xml:space="preserve"> See, for example, </w:t>
      </w:r>
      <w:r w:rsidRPr="00F12C5B">
        <w:t>UN Principles and Guidelines on the human rights protection of migrants in vulnerable situations</w:t>
      </w:r>
      <w:r>
        <w:t xml:space="preserve">, principle 11. </w:t>
      </w:r>
    </w:p>
  </w:footnote>
  <w:footnote w:id="77">
    <w:p w14:paraId="5FE30175" w14:textId="77777777" w:rsidR="005F3828" w:rsidRPr="004A176D" w:rsidRDefault="005F3828" w:rsidP="001E6253">
      <w:pPr>
        <w:pStyle w:val="FootnoteText"/>
        <w:rPr>
          <w:lang w:val="en-GB"/>
        </w:rPr>
      </w:pPr>
      <w:r>
        <w:rPr>
          <w:rStyle w:val="FootnoteReference"/>
        </w:rPr>
        <w:footnoteRef/>
      </w:r>
      <w:r>
        <w:t xml:space="preserve"> </w:t>
      </w:r>
      <w:r w:rsidRPr="00457B12">
        <w:t>A/HRC/14/30</w:t>
      </w:r>
      <w:r>
        <w:t>, p</w:t>
      </w:r>
      <w:r w:rsidRPr="004A176D">
        <w:rPr>
          <w:lang w:val="en-GB"/>
        </w:rPr>
        <w:t>ara. 87.</w:t>
      </w:r>
    </w:p>
  </w:footnote>
  <w:footnote w:id="78">
    <w:p w14:paraId="22BBD48D" w14:textId="77777777" w:rsidR="005F3828" w:rsidRPr="006223CF" w:rsidRDefault="005F3828" w:rsidP="007278FD">
      <w:pPr>
        <w:pStyle w:val="FootnoteText"/>
        <w:tabs>
          <w:tab w:val="clear" w:pos="1021"/>
          <w:tab w:val="right" w:pos="0"/>
        </w:tabs>
        <w:ind w:left="0" w:firstLine="0"/>
      </w:pPr>
      <w:r>
        <w:rPr>
          <w:rStyle w:val="FootnoteReference"/>
        </w:rPr>
        <w:footnoteRef/>
      </w:r>
      <w:r>
        <w:t xml:space="preserve"> </w:t>
      </w:r>
      <w:r w:rsidRPr="006223CF">
        <w:t>UN Principles and Guidelines on the human rights protection of migrants in vulnerable situations, principle 13</w:t>
      </w:r>
      <w:r>
        <w:t>, para. 4</w:t>
      </w:r>
    </w:p>
  </w:footnote>
  <w:footnote w:id="79">
    <w:p w14:paraId="1AD5E00B" w14:textId="77777777" w:rsidR="005F3828" w:rsidRPr="00F84287" w:rsidRDefault="005F3828" w:rsidP="001E6253">
      <w:pPr>
        <w:pStyle w:val="FootnoteText"/>
        <w:rPr>
          <w:lang w:val="it-IT"/>
        </w:rPr>
      </w:pPr>
      <w:r>
        <w:rPr>
          <w:rStyle w:val="FootnoteReference"/>
        </w:rPr>
        <w:footnoteRef/>
      </w:r>
      <w:r>
        <w:t xml:space="preserve"> </w:t>
      </w:r>
      <w:r w:rsidRPr="00F84287">
        <w:t>A/HRC/23/36</w:t>
      </w:r>
      <w:r>
        <w:rPr>
          <w:lang w:val="it-IT"/>
        </w:rPr>
        <w:t xml:space="preserve">, para. 20. </w:t>
      </w:r>
    </w:p>
  </w:footnote>
  <w:footnote w:id="80">
    <w:p w14:paraId="1A00D007" w14:textId="77777777" w:rsidR="005F3828" w:rsidRPr="008D6A72" w:rsidRDefault="005F3828" w:rsidP="001E6253">
      <w:pPr>
        <w:pStyle w:val="FootnoteText"/>
        <w:rPr>
          <w:lang w:val="it-IT"/>
        </w:rPr>
      </w:pPr>
      <w:r>
        <w:rPr>
          <w:rStyle w:val="FootnoteReference"/>
        </w:rPr>
        <w:footnoteRef/>
      </w:r>
      <w:r>
        <w:t xml:space="preserve"> </w:t>
      </w:r>
      <w:r>
        <w:rPr>
          <w:lang w:val="it-IT"/>
        </w:rPr>
        <w:t xml:space="preserve">CESCR, general comment no. 4, para. 12. </w:t>
      </w:r>
    </w:p>
  </w:footnote>
  <w:footnote w:id="81">
    <w:p w14:paraId="2C3961B4" w14:textId="77777777" w:rsidR="005F3828" w:rsidRPr="00CB4844" w:rsidRDefault="005F3828" w:rsidP="001E6253">
      <w:pPr>
        <w:pStyle w:val="FootnoteText"/>
        <w:tabs>
          <w:tab w:val="clear" w:pos="1021"/>
          <w:tab w:val="right" w:pos="0"/>
        </w:tabs>
        <w:ind w:left="0" w:firstLine="0"/>
        <w:rPr>
          <w:lang w:val="it-IT"/>
        </w:rPr>
      </w:pPr>
      <w:r>
        <w:rPr>
          <w:rStyle w:val="FootnoteReference"/>
        </w:rPr>
        <w:footnoteRef/>
      </w:r>
      <w:r>
        <w:t xml:space="preserve"> </w:t>
      </w:r>
      <w:r>
        <w:rPr>
          <w:lang w:val="it-IT"/>
        </w:rPr>
        <w:t xml:space="preserve">UN </w:t>
      </w:r>
      <w:r w:rsidRPr="00CB4844">
        <w:rPr>
          <w:lang w:val="it-IT"/>
        </w:rPr>
        <w:t>Guidelines for States on the effective implementation of the right to participate in public affairs</w:t>
      </w:r>
      <w:r>
        <w:rPr>
          <w:lang w:val="it-IT"/>
        </w:rPr>
        <w:t xml:space="preserve">, para.1. </w:t>
      </w:r>
    </w:p>
  </w:footnote>
  <w:footnote w:id="82">
    <w:p w14:paraId="306602F8" w14:textId="77777777" w:rsidR="005F3828" w:rsidRPr="00390DE1" w:rsidRDefault="005F3828" w:rsidP="0055348C">
      <w:pPr>
        <w:pStyle w:val="FootnoteText"/>
        <w:tabs>
          <w:tab w:val="clear" w:pos="1021"/>
          <w:tab w:val="right" w:pos="0"/>
        </w:tabs>
        <w:ind w:left="0" w:firstLine="0"/>
        <w:rPr>
          <w:lang w:val="it-IT"/>
        </w:rPr>
      </w:pPr>
      <w:r>
        <w:rPr>
          <w:rStyle w:val="FootnoteReference"/>
        </w:rPr>
        <w:footnoteRef/>
      </w:r>
      <w:r>
        <w:t xml:space="preserve"> </w:t>
      </w:r>
      <w:r>
        <w:rPr>
          <w:lang w:val="it-IT"/>
        </w:rPr>
        <w:t xml:space="preserve">See, for example, </w:t>
      </w:r>
      <w:r w:rsidRPr="008D6A72">
        <w:rPr>
          <w:lang w:val="it-IT"/>
        </w:rPr>
        <w:t xml:space="preserve">UN Guidelines for States on the effective implementation of the right to participate in public affairs </w:t>
      </w:r>
      <w:r>
        <w:rPr>
          <w:lang w:val="it-IT"/>
        </w:rPr>
        <w:t>paras. 16 and 22.</w:t>
      </w:r>
    </w:p>
  </w:footnote>
  <w:footnote w:id="83">
    <w:p w14:paraId="548CAFFF" w14:textId="77777777" w:rsidR="005F3828" w:rsidRPr="005F2FD1" w:rsidRDefault="005F3828" w:rsidP="0055348C">
      <w:pPr>
        <w:pStyle w:val="FootnoteText"/>
        <w:tabs>
          <w:tab w:val="clear" w:pos="1021"/>
          <w:tab w:val="right" w:pos="0"/>
        </w:tabs>
        <w:ind w:left="0" w:firstLine="0"/>
        <w:rPr>
          <w:lang w:val="it-IT"/>
        </w:rPr>
      </w:pPr>
      <w:r>
        <w:rPr>
          <w:rStyle w:val="FootnoteReference"/>
        </w:rPr>
        <w:footnoteRef/>
      </w:r>
      <w:r>
        <w:t xml:space="preserve"> </w:t>
      </w:r>
      <w:r w:rsidRPr="005F2FD1">
        <w:t>UN Guidelines for States on the effective implementation of the right to participate in public affairs, para.</w:t>
      </w:r>
      <w:r>
        <w:rPr>
          <w:lang w:val="it-IT"/>
        </w:rPr>
        <w:t xml:space="preserve">70ff. </w:t>
      </w:r>
    </w:p>
  </w:footnote>
  <w:footnote w:id="84">
    <w:p w14:paraId="3448A38D" w14:textId="77777777" w:rsidR="005F3828" w:rsidRPr="00697192" w:rsidRDefault="005F3828" w:rsidP="001E6253">
      <w:pPr>
        <w:pStyle w:val="FootnoteText"/>
        <w:rPr>
          <w:lang w:val="en-US"/>
        </w:rPr>
      </w:pPr>
      <w:r>
        <w:rPr>
          <w:rStyle w:val="FootnoteReference"/>
        </w:rPr>
        <w:footnoteRef/>
      </w:r>
      <w:r>
        <w:t xml:space="preserve"> </w:t>
      </w:r>
      <w:r w:rsidRPr="00BC1DEB">
        <w:rPr>
          <w:rFonts w:cstheme="minorHAnsi"/>
          <w:bCs/>
        </w:rPr>
        <w:t>UN Guidelines for States on the effective implementation of the right to participate in public affairs</w:t>
      </w:r>
      <w:r>
        <w:rPr>
          <w:rFonts w:cstheme="minorHAnsi"/>
          <w:bCs/>
          <w:lang w:val="en-US"/>
        </w:rPr>
        <w:t>.</w:t>
      </w:r>
    </w:p>
  </w:footnote>
  <w:footnote w:id="85">
    <w:p w14:paraId="61B730DC" w14:textId="77777777" w:rsidR="005F3828" w:rsidRPr="00C0740C" w:rsidRDefault="005F3828" w:rsidP="00BD0C9A">
      <w:pPr>
        <w:pStyle w:val="FootnoteText"/>
        <w:tabs>
          <w:tab w:val="clear" w:pos="1021"/>
          <w:tab w:val="right" w:pos="0"/>
        </w:tabs>
        <w:ind w:left="0" w:firstLine="0"/>
        <w:rPr>
          <w:lang w:val="it-IT"/>
        </w:rPr>
      </w:pPr>
      <w:r>
        <w:rPr>
          <w:rStyle w:val="FootnoteReference"/>
        </w:rPr>
        <w:footnoteRef/>
      </w:r>
      <w:r>
        <w:t xml:space="preserve"> </w:t>
      </w:r>
      <w:r>
        <w:rPr>
          <w:lang w:val="it-IT"/>
        </w:rPr>
        <w:t xml:space="preserve">HRC, general comment no. 25, para. 5; CESCR, general comment no. 4, para. 12.See also ICEDAW, and ICPD, art.3; CERD, general recommendations XXVII, para. 42, and 34, para.4, and UN Guiding principles on extreme poverty and human rights, paras. 38-39; </w:t>
      </w:r>
      <w:r w:rsidRPr="000D26B7">
        <w:rPr>
          <w:lang w:val="it-IT"/>
        </w:rPr>
        <w:t>United Nations Basic Principles and Guidelines on DevelopmentBased Evictions and Displacement</w:t>
      </w:r>
      <w:r>
        <w:rPr>
          <w:lang w:val="it-IT"/>
        </w:rPr>
        <w:t xml:space="preserve">, para. 39. </w:t>
      </w:r>
    </w:p>
  </w:footnote>
  <w:footnote w:id="86">
    <w:p w14:paraId="4BDA638E" w14:textId="2231DF29" w:rsidR="005F3828" w:rsidRPr="00691E41" w:rsidRDefault="005F3828" w:rsidP="001E6253">
      <w:pPr>
        <w:pStyle w:val="FootnoteText"/>
        <w:rPr>
          <w:lang w:val="en-US"/>
        </w:rPr>
      </w:pPr>
      <w:r>
        <w:rPr>
          <w:rStyle w:val="FootnoteReference"/>
        </w:rPr>
        <w:footnoteRef/>
      </w:r>
      <w:r>
        <w:t xml:space="preserve"> </w:t>
      </w:r>
      <w:r>
        <w:rPr>
          <w:lang w:val="en-GB"/>
        </w:rPr>
        <w:t xml:space="preserve">CESCR, </w:t>
      </w:r>
      <w:r>
        <w:rPr>
          <w:lang w:val="en-US"/>
        </w:rPr>
        <w:t xml:space="preserve">General comment no. 21, particularly para. 16ff. </w:t>
      </w:r>
    </w:p>
  </w:footnote>
  <w:footnote w:id="87">
    <w:p w14:paraId="142A0D30" w14:textId="331F8EB6" w:rsidR="005F3828" w:rsidRPr="00D7250F" w:rsidRDefault="005F3828" w:rsidP="00ED1FA9">
      <w:pPr>
        <w:pStyle w:val="FootnoteText"/>
        <w:ind w:left="0" w:firstLine="0"/>
        <w:rPr>
          <w:lang w:val="it-IT"/>
        </w:rPr>
      </w:pPr>
      <w:r>
        <w:rPr>
          <w:rStyle w:val="FootnoteReference"/>
        </w:rPr>
        <w:footnoteRef/>
      </w:r>
      <w:r>
        <w:t xml:space="preserve"> </w:t>
      </w:r>
      <w:r w:rsidRPr="005F2FD1">
        <w:t>UN Guidelines for States on the effective implementation of the right to participate in public affairs</w:t>
      </w:r>
      <w:r>
        <w:rPr>
          <w:i/>
          <w:lang w:val="it-IT"/>
        </w:rPr>
        <w:t xml:space="preserve"> </w:t>
      </w:r>
      <w:r>
        <w:rPr>
          <w:lang w:val="it-IT"/>
        </w:rPr>
        <w:t xml:space="preserve">para. 79. </w:t>
      </w:r>
    </w:p>
  </w:footnote>
  <w:footnote w:id="88">
    <w:p w14:paraId="2C48B2AB" w14:textId="77777777" w:rsidR="005F3828" w:rsidRPr="004A599D" w:rsidRDefault="005F3828" w:rsidP="00F130EF">
      <w:pPr>
        <w:pStyle w:val="FootnoteText"/>
        <w:rPr>
          <w:lang w:val="en-GB"/>
        </w:rPr>
      </w:pPr>
      <w:r>
        <w:rPr>
          <w:rStyle w:val="FootnoteReference"/>
        </w:rPr>
        <w:footnoteRef/>
      </w:r>
      <w:r>
        <w:t xml:space="preserve"> </w:t>
      </w:r>
      <w:r w:rsidRPr="004A599D">
        <w:rPr>
          <w:lang w:val="en-GB"/>
        </w:rPr>
        <w:t>HRC, General comment No. 31, p</w:t>
      </w:r>
      <w:r>
        <w:rPr>
          <w:lang w:val="en-GB"/>
        </w:rPr>
        <w:t>ara. 4; CESCR, general comment no. 9, para. 9; ICESCR article 28.</w:t>
      </w:r>
    </w:p>
  </w:footnote>
  <w:footnote w:id="89">
    <w:p w14:paraId="7BFB27DA" w14:textId="77777777" w:rsidR="005F3828" w:rsidRPr="005615C7" w:rsidRDefault="005F3828" w:rsidP="00F130EF">
      <w:pPr>
        <w:pStyle w:val="FootnoteText"/>
        <w:rPr>
          <w:lang w:val="it-IT"/>
        </w:rPr>
      </w:pPr>
      <w:r>
        <w:rPr>
          <w:rStyle w:val="FootnoteReference"/>
        </w:rPr>
        <w:footnoteRef/>
      </w:r>
      <w:r>
        <w:t xml:space="preserve"> </w:t>
      </w:r>
      <w:r>
        <w:rPr>
          <w:lang w:val="it-IT"/>
        </w:rPr>
        <w:t>A/HRC/28/62, para. 5.</w:t>
      </w:r>
    </w:p>
  </w:footnote>
  <w:footnote w:id="90">
    <w:p w14:paraId="6D34DF50" w14:textId="77777777" w:rsidR="005F3828" w:rsidRPr="00B712FB" w:rsidRDefault="005F3828" w:rsidP="00F130EF">
      <w:pPr>
        <w:pStyle w:val="FootnoteText"/>
        <w:rPr>
          <w:lang w:val="it-IT"/>
        </w:rPr>
      </w:pPr>
      <w:r>
        <w:rPr>
          <w:rStyle w:val="FootnoteReference"/>
        </w:rPr>
        <w:footnoteRef/>
      </w:r>
      <w:r>
        <w:t xml:space="preserve"> </w:t>
      </w:r>
      <w:r>
        <w:rPr>
          <w:lang w:val="it-IT"/>
        </w:rPr>
        <w:t>CESCR, general comment no, 4, para. 12</w:t>
      </w:r>
    </w:p>
  </w:footnote>
  <w:footnote w:id="91">
    <w:p w14:paraId="2067E97D" w14:textId="77777777" w:rsidR="005F3828" w:rsidRPr="009D3991" w:rsidRDefault="005F3828" w:rsidP="00F130EF">
      <w:pPr>
        <w:pStyle w:val="FootnoteText"/>
        <w:rPr>
          <w:lang w:val="it-IT"/>
        </w:rPr>
      </w:pPr>
      <w:r>
        <w:rPr>
          <w:rStyle w:val="FootnoteReference"/>
        </w:rPr>
        <w:footnoteRef/>
      </w:r>
      <w:r>
        <w:t xml:space="preserve"> </w:t>
      </w:r>
      <w:r>
        <w:rPr>
          <w:lang w:val="it-IT"/>
        </w:rPr>
        <w:t>See, for example, A/HRC/27/59, para. 13.</w:t>
      </w:r>
    </w:p>
  </w:footnote>
  <w:footnote w:id="92">
    <w:p w14:paraId="4D7529C4" w14:textId="77777777" w:rsidR="005F3828" w:rsidRPr="0013482E" w:rsidRDefault="005F3828" w:rsidP="008573A5">
      <w:pPr>
        <w:pStyle w:val="FootnoteText"/>
        <w:ind w:left="0" w:right="0" w:firstLine="0"/>
        <w:jc w:val="both"/>
        <w:rPr>
          <w:lang w:val="it-IT"/>
        </w:rPr>
      </w:pPr>
      <w:r>
        <w:rPr>
          <w:rStyle w:val="FootnoteReference"/>
        </w:rPr>
        <w:footnoteRef/>
      </w:r>
      <w:r>
        <w:t xml:space="preserve"> </w:t>
      </w:r>
      <w:r w:rsidRPr="00281EA0">
        <w:t>As indicated by the Advisory Committee to the UN Human Rights Council, in this manner “[l]</w:t>
      </w:r>
      <w:proofErr w:type="spellStart"/>
      <w:r w:rsidRPr="00281EA0">
        <w:t>ocal</w:t>
      </w:r>
      <w:proofErr w:type="spellEnd"/>
      <w:r w:rsidRPr="00281EA0">
        <w:t xml:space="preserve"> authorities are thus made aware of their human rights responsibilities, understanding that any failure to comply with those responsibilities will entail their liability under national law as well as international responsibility of the State as a whole. Further, such a provision imposes a clear obligation on local authorities to apply a human rights-based approach to delivering public services within their defined competences. Consequently, it may well encourage rights holders to claim their rights vis-à-vis local authorities</w:t>
      </w:r>
      <w:r w:rsidRPr="00455150">
        <w:rPr>
          <w:lang w:val="en-GB"/>
        </w:rPr>
        <w:t>.</w:t>
      </w:r>
      <w:r w:rsidRPr="00281EA0">
        <w:t>”</w:t>
      </w:r>
      <w:r w:rsidRPr="00281EA0">
        <w:rPr>
          <w:lang w:val="en-GB"/>
        </w:rPr>
        <w:t xml:space="preserve"> </w:t>
      </w:r>
      <w:r w:rsidRPr="00281EA0">
        <w:rPr>
          <w:lang w:val="it-IT"/>
        </w:rPr>
        <w:t>A/HRC/27/59</w:t>
      </w:r>
      <w:r>
        <w:rPr>
          <w:lang w:val="it-IT"/>
        </w:rPr>
        <w:t>, para. 31.</w:t>
      </w:r>
    </w:p>
  </w:footnote>
  <w:footnote w:id="93">
    <w:p w14:paraId="22D01760" w14:textId="77777777" w:rsidR="005F3828" w:rsidRPr="00DA31C7" w:rsidRDefault="005F3828" w:rsidP="009671DE">
      <w:pPr>
        <w:pStyle w:val="FootnoteText"/>
        <w:rPr>
          <w:lang w:val="it-IT"/>
        </w:rPr>
      </w:pPr>
      <w:r>
        <w:rPr>
          <w:rStyle w:val="FootnoteReference"/>
        </w:rPr>
        <w:footnoteRef/>
      </w:r>
      <w:r>
        <w:t xml:space="preserve"> </w:t>
      </w:r>
      <w:r>
        <w:rPr>
          <w:lang w:val="it-IT"/>
        </w:rPr>
        <w:t>A/HRC/28/62, para. 69. See also A/HRC/27/59, para. 26 and A/HRC/28/62, para. 76 (i).</w:t>
      </w:r>
    </w:p>
  </w:footnote>
  <w:footnote w:id="94">
    <w:p w14:paraId="241D892E" w14:textId="06E4884A" w:rsidR="005F3828" w:rsidRPr="005905AD" w:rsidRDefault="005F3828" w:rsidP="009671DE">
      <w:pPr>
        <w:pStyle w:val="FootnoteText"/>
        <w:rPr>
          <w:lang w:val="it-IT"/>
        </w:rPr>
      </w:pPr>
      <w:r>
        <w:rPr>
          <w:rStyle w:val="FootnoteReference"/>
        </w:rPr>
        <w:footnoteRef/>
      </w:r>
      <w:r>
        <w:t xml:space="preserve"> </w:t>
      </w:r>
      <w:r w:rsidRPr="00D3719B">
        <w:rPr>
          <w:lang w:val="it-IT"/>
        </w:rPr>
        <w:t>A/HRC/28/62</w:t>
      </w:r>
      <w:r>
        <w:rPr>
          <w:lang w:val="it-IT"/>
        </w:rPr>
        <w:t xml:space="preserve">, para. 71. </w:t>
      </w:r>
    </w:p>
  </w:footnote>
  <w:footnote w:id="95">
    <w:p w14:paraId="1C24723E" w14:textId="77777777" w:rsidR="005F3828" w:rsidRPr="00D33002" w:rsidRDefault="005F3828" w:rsidP="00F130EF">
      <w:pPr>
        <w:pStyle w:val="FootnoteText"/>
        <w:rPr>
          <w:lang w:val="it-IT"/>
        </w:rPr>
      </w:pPr>
      <w:r>
        <w:rPr>
          <w:rStyle w:val="FootnoteReference"/>
        </w:rPr>
        <w:footnoteRef/>
      </w:r>
      <w:r>
        <w:t xml:space="preserve"> </w:t>
      </w:r>
      <w:r w:rsidRPr="00A82143">
        <w:t>A/HRC/37/53</w:t>
      </w:r>
      <w:r>
        <w:rPr>
          <w:lang w:val="it-IT"/>
        </w:rPr>
        <w:t>, para. 51</w:t>
      </w:r>
    </w:p>
  </w:footnote>
  <w:footnote w:id="96">
    <w:p w14:paraId="3D3F87C5" w14:textId="77777777" w:rsidR="005F3828" w:rsidRPr="005C1C80" w:rsidRDefault="005F3828" w:rsidP="00F130EF">
      <w:pPr>
        <w:pStyle w:val="FootnoteText"/>
        <w:rPr>
          <w:lang w:val="en-GB"/>
        </w:rPr>
      </w:pPr>
      <w:r>
        <w:rPr>
          <w:rStyle w:val="FootnoteReference"/>
        </w:rPr>
        <w:footnoteRef/>
      </w:r>
      <w:r>
        <w:t>United Nations Declaration on the Rights of Indigenous Peoples</w:t>
      </w:r>
      <w:r w:rsidRPr="005C1C80">
        <w:rPr>
          <w:lang w:val="en-GB"/>
        </w:rPr>
        <w:t>, art. 23</w:t>
      </w:r>
    </w:p>
  </w:footnote>
  <w:footnote w:id="97">
    <w:p w14:paraId="494862D6" w14:textId="77777777" w:rsidR="005F3828" w:rsidRPr="00CA7AF3" w:rsidRDefault="005F3828" w:rsidP="00F130EF">
      <w:pPr>
        <w:pStyle w:val="FootnoteText"/>
        <w:rPr>
          <w:lang w:val="en-GB"/>
        </w:rPr>
      </w:pPr>
      <w:r>
        <w:rPr>
          <w:rStyle w:val="FootnoteReference"/>
        </w:rPr>
        <w:footnoteRef/>
      </w:r>
      <w:r w:rsidRPr="00CA7AF3">
        <w:rPr>
          <w:lang w:val="en-GB"/>
        </w:rPr>
        <w:t xml:space="preserve"> </w:t>
      </w:r>
      <w:r>
        <w:rPr>
          <w:lang w:val="en-GB"/>
        </w:rPr>
        <w:t xml:space="preserve">UNDRIP, art. 4. See also A/73/176, para. 5. </w:t>
      </w:r>
    </w:p>
  </w:footnote>
  <w:footnote w:id="98">
    <w:p w14:paraId="79049683" w14:textId="39116E79" w:rsidR="005F3828" w:rsidRPr="005C1C80" w:rsidRDefault="005F3828" w:rsidP="00F130EF">
      <w:pPr>
        <w:pStyle w:val="FootnoteText"/>
        <w:ind w:left="0" w:right="0" w:firstLine="0"/>
        <w:rPr>
          <w:lang w:val="en-GB"/>
        </w:rPr>
      </w:pPr>
      <w:r>
        <w:rPr>
          <w:rStyle w:val="FootnoteReference"/>
        </w:rPr>
        <w:footnoteRef/>
      </w:r>
      <w:r>
        <w:rPr>
          <w:lang w:val="en-GB"/>
        </w:rPr>
        <w:t xml:space="preserve"> See also UNDRIP, art. 34; and ILO C169, art. 8.2. See also A/HRC/30/41, paras. 38 and 78; and A/74/183/, para. 64. </w:t>
      </w:r>
    </w:p>
  </w:footnote>
  <w:footnote w:id="99">
    <w:p w14:paraId="400F1993" w14:textId="77777777" w:rsidR="005F3828" w:rsidRPr="00B33894" w:rsidRDefault="005F3828" w:rsidP="008064BE">
      <w:pPr>
        <w:pStyle w:val="FootnoteText"/>
        <w:rPr>
          <w:lang w:val="it-IT"/>
        </w:rPr>
      </w:pPr>
      <w:r>
        <w:rPr>
          <w:rStyle w:val="FootnoteReference"/>
        </w:rPr>
        <w:footnoteRef/>
      </w:r>
      <w:r>
        <w:t xml:space="preserve"> </w:t>
      </w:r>
      <w:r>
        <w:rPr>
          <w:lang w:val="it-IT"/>
        </w:rPr>
        <w:t>See further A/73/310/Rev.1</w:t>
      </w:r>
    </w:p>
  </w:footnote>
  <w:footnote w:id="100">
    <w:p w14:paraId="1E54EB28" w14:textId="77777777" w:rsidR="005F3828" w:rsidRPr="00EA2565" w:rsidRDefault="005F3828" w:rsidP="008064BE">
      <w:pPr>
        <w:pStyle w:val="FootnoteText"/>
        <w:rPr>
          <w:lang w:val="it-IT"/>
        </w:rPr>
      </w:pPr>
      <w:r>
        <w:rPr>
          <w:rStyle w:val="FootnoteReference"/>
        </w:rPr>
        <w:footnoteRef/>
      </w:r>
      <w:r>
        <w:t xml:space="preserve"> </w:t>
      </w:r>
      <w:r>
        <w:rPr>
          <w:lang w:val="it-IT"/>
        </w:rPr>
        <w:t>A/73/310/Rev.1, para. 12.</w:t>
      </w:r>
    </w:p>
  </w:footnote>
  <w:footnote w:id="101">
    <w:p w14:paraId="3ACE0D56" w14:textId="77777777" w:rsidR="005F3828" w:rsidRPr="003D5B5A" w:rsidRDefault="005F3828" w:rsidP="008064BE">
      <w:pPr>
        <w:pStyle w:val="FootnoteText"/>
        <w:rPr>
          <w:lang w:val="en-GB"/>
        </w:rPr>
      </w:pPr>
      <w:r>
        <w:rPr>
          <w:rStyle w:val="FootnoteReference"/>
        </w:rPr>
        <w:footnoteRef/>
      </w:r>
      <w:r>
        <w:t xml:space="preserve"> </w:t>
      </w:r>
      <w:r w:rsidRPr="003D5B5A">
        <w:rPr>
          <w:lang w:val="en-GB"/>
        </w:rPr>
        <w:t>See also the New U</w:t>
      </w:r>
      <w:r>
        <w:rPr>
          <w:lang w:val="en-GB"/>
        </w:rPr>
        <w:t xml:space="preserve">rban Agenda, HABITAT III. </w:t>
      </w:r>
    </w:p>
  </w:footnote>
  <w:footnote w:id="102">
    <w:p w14:paraId="0DE271BD" w14:textId="77777777" w:rsidR="005F3828" w:rsidRPr="00390E25" w:rsidRDefault="005F3828" w:rsidP="008064BE">
      <w:pPr>
        <w:pStyle w:val="FootnoteText"/>
        <w:rPr>
          <w:lang w:val="en-GB"/>
        </w:rPr>
      </w:pPr>
      <w:r>
        <w:rPr>
          <w:rStyle w:val="FootnoteReference"/>
        </w:rPr>
        <w:footnoteRef/>
      </w:r>
      <w:r>
        <w:t xml:space="preserve"> </w:t>
      </w:r>
      <w:r w:rsidRPr="00390E25">
        <w:rPr>
          <w:lang w:val="en-GB"/>
        </w:rPr>
        <w:t>CESCR, general comment no</w:t>
      </w:r>
      <w:r>
        <w:rPr>
          <w:lang w:val="en-GB"/>
        </w:rPr>
        <w:t>. 3, para. 10</w:t>
      </w:r>
    </w:p>
  </w:footnote>
  <w:footnote w:id="103">
    <w:p w14:paraId="43321CCD" w14:textId="77777777" w:rsidR="005F3828" w:rsidRPr="00D82FC7" w:rsidRDefault="005F3828" w:rsidP="00B731F2">
      <w:pPr>
        <w:pStyle w:val="FootnoteText"/>
        <w:rPr>
          <w:lang w:val="en-GB"/>
        </w:rPr>
      </w:pPr>
      <w:r>
        <w:rPr>
          <w:rStyle w:val="FootnoteReference"/>
        </w:rPr>
        <w:footnoteRef/>
      </w:r>
      <w:r>
        <w:t xml:space="preserve"> </w:t>
      </w:r>
      <w:r>
        <w:rPr>
          <w:lang w:val="it-IT"/>
        </w:rPr>
        <w:t>A/73/310/Rev.1,</w:t>
      </w:r>
    </w:p>
  </w:footnote>
  <w:footnote w:id="104">
    <w:p w14:paraId="7487C6B3" w14:textId="58C0D684" w:rsidR="005F3828" w:rsidRPr="006A2D7B" w:rsidRDefault="005F3828" w:rsidP="00D71D74">
      <w:pPr>
        <w:spacing w:after="0" w:line="240" w:lineRule="auto"/>
        <w:rPr>
          <w:rFonts w:eastAsia="Tahoma"/>
          <w:sz w:val="20"/>
          <w:szCs w:val="20"/>
        </w:rPr>
      </w:pPr>
      <w:r w:rsidRPr="009F2647">
        <w:rPr>
          <w:sz w:val="20"/>
          <w:szCs w:val="20"/>
          <w:vertAlign w:val="superscript"/>
        </w:rPr>
        <w:footnoteRef/>
      </w:r>
      <w:r w:rsidRPr="009F2647">
        <w:rPr>
          <w:rFonts w:eastAsia="Tahoma"/>
          <w:sz w:val="20"/>
          <w:szCs w:val="20"/>
        </w:rPr>
        <w:t xml:space="preserve"> </w:t>
      </w:r>
      <w:r w:rsidRPr="006A2D7B">
        <w:rPr>
          <w:rFonts w:eastAsia="Tahoma"/>
          <w:sz w:val="20"/>
          <w:szCs w:val="20"/>
        </w:rPr>
        <w:t>A/73/310/Rev.</w:t>
      </w:r>
      <w:r w:rsidRPr="00402DC0">
        <w:rPr>
          <w:rFonts w:eastAsia="Tahoma"/>
          <w:sz w:val="20"/>
          <w:szCs w:val="20"/>
        </w:rPr>
        <w:t>1</w:t>
      </w:r>
      <w:r>
        <w:rPr>
          <w:rFonts w:eastAsia="Tahoma"/>
          <w:sz w:val="20"/>
          <w:szCs w:val="20"/>
        </w:rPr>
        <w:t xml:space="preserve"> para. 72ff</w:t>
      </w:r>
      <w:r w:rsidRPr="009F2647">
        <w:rPr>
          <w:rFonts w:eastAsia="Tahoma"/>
          <w:sz w:val="20"/>
          <w:szCs w:val="20"/>
        </w:rPr>
        <w:t xml:space="preserve">; see </w:t>
      </w:r>
      <w:r w:rsidRPr="006A2D7B">
        <w:rPr>
          <w:rFonts w:eastAsia="Tahoma"/>
          <w:sz w:val="20"/>
          <w:szCs w:val="20"/>
        </w:rPr>
        <w:t xml:space="preserve">also </w:t>
      </w:r>
      <w:r w:rsidRPr="00402DC0">
        <w:rPr>
          <w:rFonts w:eastAsia="Tahoma"/>
          <w:sz w:val="20"/>
          <w:szCs w:val="20"/>
        </w:rPr>
        <w:t>M.D.B. v. Spain</w:t>
      </w:r>
      <w:r w:rsidRPr="006A2D7B">
        <w:rPr>
          <w:rFonts w:eastAsia="Tahoma"/>
          <w:sz w:val="20"/>
          <w:szCs w:val="20"/>
        </w:rPr>
        <w:t xml:space="preserve"> E/C.12/61/D/5/2015</w:t>
      </w:r>
      <w:r>
        <w:rPr>
          <w:rFonts w:eastAsia="Tahoma"/>
          <w:sz w:val="20"/>
          <w:szCs w:val="20"/>
        </w:rPr>
        <w:t>,</w:t>
      </w:r>
      <w:r w:rsidRPr="006A2D7B">
        <w:rPr>
          <w:rFonts w:eastAsia="Tahoma"/>
          <w:sz w:val="20"/>
          <w:szCs w:val="20"/>
        </w:rPr>
        <w:t xml:space="preserve"> para 15.1</w:t>
      </w:r>
    </w:p>
  </w:footnote>
  <w:footnote w:id="105">
    <w:p w14:paraId="17DEC641" w14:textId="42CE04F0" w:rsidR="005F3828" w:rsidRPr="006A2D7B" w:rsidRDefault="005F3828" w:rsidP="000300F5">
      <w:pPr>
        <w:pBdr>
          <w:top w:val="nil"/>
          <w:left w:val="nil"/>
          <w:bottom w:val="nil"/>
          <w:right w:val="nil"/>
          <w:between w:val="nil"/>
        </w:pBdr>
        <w:spacing w:after="0" w:line="240" w:lineRule="auto"/>
        <w:rPr>
          <w:rFonts w:eastAsia="Tahoma"/>
          <w:color w:val="000000"/>
          <w:sz w:val="20"/>
          <w:szCs w:val="20"/>
        </w:rPr>
      </w:pPr>
      <w:r w:rsidRPr="006A2D7B">
        <w:rPr>
          <w:sz w:val="20"/>
          <w:szCs w:val="20"/>
          <w:vertAlign w:val="superscript"/>
        </w:rPr>
        <w:footnoteRef/>
      </w:r>
      <w:r w:rsidRPr="006A2D7B">
        <w:rPr>
          <w:rFonts w:eastAsia="Tahoma"/>
          <w:color w:val="000000"/>
          <w:sz w:val="20"/>
          <w:szCs w:val="20"/>
        </w:rPr>
        <w:t xml:space="preserve"> </w:t>
      </w:r>
      <w:r w:rsidRPr="00402DC0">
        <w:rPr>
          <w:rFonts w:eastAsia="Tahoma"/>
          <w:iCs/>
          <w:color w:val="000000"/>
          <w:sz w:val="20"/>
          <w:szCs w:val="20"/>
        </w:rPr>
        <w:t>Basic Principles and Guidelines</w:t>
      </w:r>
      <w:r>
        <w:rPr>
          <w:rFonts w:eastAsia="Tahoma"/>
          <w:color w:val="000000"/>
          <w:sz w:val="20"/>
          <w:szCs w:val="20"/>
        </w:rPr>
        <w:t xml:space="preserve"> </w:t>
      </w:r>
      <w:r w:rsidRPr="006B0B75">
        <w:rPr>
          <w:rFonts w:eastAsia="Tahoma"/>
          <w:color w:val="000000"/>
          <w:sz w:val="20"/>
          <w:szCs w:val="20"/>
        </w:rPr>
        <w:t>on Development-Based Evictions and Displacement</w:t>
      </w:r>
      <w:r>
        <w:rPr>
          <w:rFonts w:eastAsia="Tahoma"/>
          <w:color w:val="000000"/>
          <w:sz w:val="20"/>
          <w:szCs w:val="20"/>
        </w:rPr>
        <w:t>,</w:t>
      </w:r>
      <w:r w:rsidRPr="006A2D7B">
        <w:rPr>
          <w:rFonts w:eastAsia="Tahoma"/>
          <w:color w:val="000000"/>
          <w:sz w:val="20"/>
          <w:szCs w:val="20"/>
        </w:rPr>
        <w:t xml:space="preserve"> para 38.</w:t>
      </w:r>
    </w:p>
  </w:footnote>
  <w:footnote w:id="106">
    <w:p w14:paraId="58685D97" w14:textId="2A7AA966" w:rsidR="005F3828" w:rsidRPr="006A2D7B" w:rsidRDefault="005F3828" w:rsidP="008064BE">
      <w:pPr>
        <w:pBdr>
          <w:top w:val="nil"/>
          <w:left w:val="nil"/>
          <w:bottom w:val="nil"/>
          <w:right w:val="nil"/>
          <w:between w:val="nil"/>
        </w:pBdr>
        <w:spacing w:after="0" w:line="240" w:lineRule="auto"/>
        <w:rPr>
          <w:rFonts w:eastAsia="Tahoma"/>
          <w:color w:val="000000"/>
          <w:sz w:val="20"/>
          <w:szCs w:val="20"/>
        </w:rPr>
      </w:pPr>
      <w:r w:rsidRPr="006A2D7B">
        <w:rPr>
          <w:sz w:val="20"/>
          <w:szCs w:val="20"/>
          <w:vertAlign w:val="superscript"/>
        </w:rPr>
        <w:footnoteRef/>
      </w:r>
      <w:r w:rsidRPr="006A2D7B">
        <w:rPr>
          <w:rFonts w:eastAsia="Tahoma"/>
          <w:color w:val="000000"/>
          <w:sz w:val="20"/>
          <w:szCs w:val="20"/>
        </w:rPr>
        <w:t xml:space="preserve"> </w:t>
      </w:r>
      <w:r>
        <w:rPr>
          <w:rFonts w:eastAsia="Tahoma"/>
          <w:color w:val="000000"/>
          <w:sz w:val="20"/>
          <w:szCs w:val="20"/>
        </w:rPr>
        <w:t xml:space="preserve">Ibid, </w:t>
      </w:r>
      <w:r w:rsidRPr="006A2D7B">
        <w:rPr>
          <w:rFonts w:eastAsia="Tahoma"/>
          <w:color w:val="000000"/>
          <w:sz w:val="20"/>
          <w:szCs w:val="20"/>
        </w:rPr>
        <w:t>para 41.</w:t>
      </w:r>
    </w:p>
  </w:footnote>
  <w:footnote w:id="107">
    <w:p w14:paraId="36DB499D" w14:textId="2DC99EA1" w:rsidR="005F3828" w:rsidRPr="006A2D7B" w:rsidRDefault="005F3828" w:rsidP="008064BE">
      <w:pPr>
        <w:pBdr>
          <w:top w:val="nil"/>
          <w:left w:val="nil"/>
          <w:bottom w:val="nil"/>
          <w:right w:val="nil"/>
          <w:between w:val="nil"/>
        </w:pBdr>
        <w:spacing w:after="0" w:line="240" w:lineRule="auto"/>
        <w:rPr>
          <w:rFonts w:eastAsia="Tahoma"/>
          <w:color w:val="000000"/>
          <w:sz w:val="20"/>
          <w:szCs w:val="20"/>
        </w:rPr>
      </w:pPr>
      <w:r w:rsidRPr="006A2D7B">
        <w:rPr>
          <w:sz w:val="20"/>
          <w:szCs w:val="20"/>
          <w:vertAlign w:val="superscript"/>
        </w:rPr>
        <w:footnoteRef/>
      </w:r>
      <w:r w:rsidRPr="006A2D7B">
        <w:rPr>
          <w:rFonts w:eastAsia="Tahoma"/>
          <w:color w:val="000000"/>
          <w:sz w:val="20"/>
          <w:szCs w:val="20"/>
        </w:rPr>
        <w:t xml:space="preserve"> </w:t>
      </w:r>
      <w:r>
        <w:rPr>
          <w:rFonts w:eastAsia="Tahoma"/>
          <w:iCs/>
          <w:color w:val="000000"/>
          <w:sz w:val="20"/>
          <w:szCs w:val="20"/>
        </w:rPr>
        <w:t>Ibid.</w:t>
      </w:r>
      <w:r w:rsidRPr="006A2D7B">
        <w:rPr>
          <w:rFonts w:eastAsia="Tahoma"/>
          <w:color w:val="000000"/>
          <w:sz w:val="20"/>
          <w:szCs w:val="20"/>
        </w:rPr>
        <w:t xml:space="preserve"> para 37.</w:t>
      </w:r>
    </w:p>
  </w:footnote>
  <w:footnote w:id="108">
    <w:p w14:paraId="15A3EB1F" w14:textId="77777777" w:rsidR="005F3828" w:rsidRPr="005C0FB3" w:rsidRDefault="005F3828" w:rsidP="00DA42B1">
      <w:pPr>
        <w:pStyle w:val="FootnoteText"/>
        <w:rPr>
          <w:lang w:val="en-GB"/>
        </w:rPr>
      </w:pPr>
      <w:r>
        <w:rPr>
          <w:rStyle w:val="FootnoteReference"/>
        </w:rPr>
        <w:footnoteRef/>
      </w:r>
      <w:r>
        <w:rPr>
          <w:lang w:val="en-GB"/>
        </w:rPr>
        <w:t xml:space="preserve">CESCR, </w:t>
      </w:r>
      <w:r w:rsidRPr="007F4854">
        <w:t xml:space="preserve">General </w:t>
      </w:r>
      <w:r w:rsidRPr="003B17D2">
        <w:t>Comment No. 7</w:t>
      </w:r>
      <w:r w:rsidRPr="003B17D2">
        <w:rPr>
          <w:lang w:val="en-GB"/>
        </w:rPr>
        <w:t xml:space="preserve">, </w:t>
      </w:r>
      <w:r w:rsidRPr="005C0FB3">
        <w:rPr>
          <w:lang w:val="en-GB"/>
        </w:rPr>
        <w:t>para. 3</w:t>
      </w:r>
    </w:p>
  </w:footnote>
  <w:footnote w:id="109">
    <w:p w14:paraId="4C7FCAFE" w14:textId="2D0386D7" w:rsidR="005F3828" w:rsidRDefault="005F3828" w:rsidP="00DA42B1">
      <w:pPr>
        <w:pStyle w:val="FootnoteText"/>
        <w:spacing w:line="240" w:lineRule="auto"/>
        <w:ind w:left="227" w:hanging="227"/>
        <w:jc w:val="lowKashida"/>
        <w:rPr>
          <w:i/>
          <w:iCs/>
          <w:lang w:val="en-US"/>
        </w:rPr>
      </w:pPr>
      <w:r>
        <w:rPr>
          <w:rStyle w:val="FootnoteReference"/>
        </w:rPr>
        <w:footnoteRef/>
      </w:r>
      <w:r>
        <w:t xml:space="preserve"> </w:t>
      </w:r>
      <w:r>
        <w:rPr>
          <w:lang w:val="en-GB"/>
        </w:rPr>
        <w:t xml:space="preserve">See, for example, </w:t>
      </w:r>
      <w:r>
        <w:t>Basic Principles and Guidelines on the Right to a Remedy and Reparation for Victims of Gross Violations of International Human Rights Law and Serious Violations of International Humanitarian Law</w:t>
      </w:r>
    </w:p>
  </w:footnote>
  <w:footnote w:id="110">
    <w:p w14:paraId="5D9B5E18" w14:textId="77777777" w:rsidR="005F3828" w:rsidRPr="009A4A01" w:rsidRDefault="005F3828" w:rsidP="00DA42B1">
      <w:pPr>
        <w:pStyle w:val="FootnoteText"/>
        <w:rPr>
          <w:lang w:val="it-IT"/>
        </w:rPr>
      </w:pPr>
      <w:r>
        <w:rPr>
          <w:rStyle w:val="FootnoteReference"/>
        </w:rPr>
        <w:footnoteRef/>
      </w:r>
      <w:r>
        <w:t xml:space="preserve"> </w:t>
      </w:r>
      <w:r w:rsidRPr="009471FA">
        <w:t>A/HRC/40/61</w:t>
      </w:r>
      <w:r>
        <w:rPr>
          <w:lang w:val="it-IT"/>
        </w:rPr>
        <w:t>, para. 38.</w:t>
      </w:r>
    </w:p>
  </w:footnote>
  <w:footnote w:id="111">
    <w:p w14:paraId="2C75A72C" w14:textId="77777777" w:rsidR="005F3828" w:rsidRPr="003B17D2" w:rsidRDefault="005F3828" w:rsidP="00DA42B1">
      <w:pPr>
        <w:pStyle w:val="FootnoteText"/>
        <w:rPr>
          <w:lang w:val="en-US"/>
        </w:rPr>
      </w:pPr>
      <w:r>
        <w:rPr>
          <w:rStyle w:val="FootnoteReference"/>
        </w:rPr>
        <w:footnoteRef/>
      </w:r>
      <w:r>
        <w:t xml:space="preserve"> </w:t>
      </w:r>
      <w:r>
        <w:rPr>
          <w:lang w:val="en-GB"/>
        </w:rPr>
        <w:t xml:space="preserve">CESCR, </w:t>
      </w:r>
      <w:r>
        <w:rPr>
          <w:lang w:val="en-US"/>
        </w:rPr>
        <w:t>General Comment No. 7, para 16.</w:t>
      </w:r>
    </w:p>
  </w:footnote>
  <w:footnote w:id="112">
    <w:p w14:paraId="389AFE67" w14:textId="77777777" w:rsidR="005F3828" w:rsidRPr="00593A28" w:rsidRDefault="005F3828" w:rsidP="00DA42B1">
      <w:pPr>
        <w:pStyle w:val="FootnoteText"/>
        <w:rPr>
          <w:lang w:val="it-IT"/>
        </w:rPr>
      </w:pPr>
      <w:r>
        <w:rPr>
          <w:rStyle w:val="FootnoteReference"/>
        </w:rPr>
        <w:footnoteRef/>
      </w:r>
      <w:r>
        <w:t xml:space="preserve"> </w:t>
      </w:r>
      <w:r>
        <w:rPr>
          <w:lang w:val="it-IT"/>
        </w:rPr>
        <w:t xml:space="preserve">See, for example, </w:t>
      </w:r>
      <w:r w:rsidRPr="00593A28">
        <w:rPr>
          <w:lang w:val="it-IT"/>
        </w:rPr>
        <w:t>A/HRC/34/51, para. 58</w:t>
      </w:r>
      <w:r>
        <w:rPr>
          <w:lang w:val="it-IT"/>
        </w:rPr>
        <w:t>.</w:t>
      </w:r>
    </w:p>
  </w:footnote>
  <w:footnote w:id="113">
    <w:p w14:paraId="2D1E90D5" w14:textId="77777777" w:rsidR="005F3828" w:rsidRPr="00480455" w:rsidRDefault="005F3828" w:rsidP="00DA42B1">
      <w:pPr>
        <w:pStyle w:val="FootnoteText"/>
        <w:rPr>
          <w:lang w:val="it-IT"/>
        </w:rPr>
      </w:pPr>
      <w:r>
        <w:rPr>
          <w:rStyle w:val="FootnoteReference"/>
        </w:rPr>
        <w:footnoteRef/>
      </w:r>
      <w:r>
        <w:t xml:space="preserve"> </w:t>
      </w:r>
      <w:r w:rsidRPr="00593A28">
        <w:rPr>
          <w:lang w:val="it-IT"/>
        </w:rPr>
        <w:t>A/HRC/34/51, para.</w:t>
      </w:r>
      <w:r>
        <w:rPr>
          <w:lang w:val="it-IT"/>
        </w:rPr>
        <w:t xml:space="preserve"> 61.</w:t>
      </w:r>
    </w:p>
  </w:footnote>
  <w:footnote w:id="114">
    <w:p w14:paraId="08A705F0" w14:textId="77777777" w:rsidR="005F3828" w:rsidRPr="008D68FD" w:rsidRDefault="005F3828" w:rsidP="00DA42B1">
      <w:pPr>
        <w:pStyle w:val="FootnoteText"/>
        <w:rPr>
          <w:lang w:val="it-IT"/>
        </w:rPr>
      </w:pPr>
      <w:r>
        <w:rPr>
          <w:rStyle w:val="FootnoteReference"/>
        </w:rPr>
        <w:footnoteRef/>
      </w:r>
      <w:r>
        <w:t xml:space="preserve"> </w:t>
      </w:r>
      <w:r>
        <w:rPr>
          <w:lang w:val="it-IT"/>
        </w:rPr>
        <w:t>See UNDRIP, art. 10.</w:t>
      </w:r>
    </w:p>
  </w:footnote>
  <w:footnote w:id="115">
    <w:p w14:paraId="0A9B7167" w14:textId="77777777" w:rsidR="005F3828" w:rsidRPr="00E8168E" w:rsidRDefault="005F3828" w:rsidP="00DA42B1">
      <w:pPr>
        <w:pStyle w:val="FootnoteText"/>
        <w:rPr>
          <w:lang w:val="it-IT"/>
        </w:rPr>
      </w:pPr>
      <w:r>
        <w:rPr>
          <w:rStyle w:val="FootnoteReference"/>
        </w:rPr>
        <w:footnoteRef/>
      </w:r>
      <w:r>
        <w:t xml:space="preserve"> </w:t>
      </w:r>
      <w:r>
        <w:rPr>
          <w:lang w:val="it-IT"/>
        </w:rPr>
        <w:t xml:space="preserve">A/73/310/Rev.1, para. 36. </w:t>
      </w:r>
    </w:p>
  </w:footnote>
  <w:footnote w:id="116">
    <w:p w14:paraId="065C7C55" w14:textId="77777777" w:rsidR="005F3828" w:rsidRPr="006E5FA7" w:rsidRDefault="005F3828" w:rsidP="008C54BB">
      <w:pPr>
        <w:pStyle w:val="FootnoteText"/>
        <w:rPr>
          <w:lang w:val="it-IT"/>
        </w:rPr>
      </w:pPr>
      <w:r>
        <w:rPr>
          <w:rStyle w:val="FootnoteReference"/>
        </w:rPr>
        <w:footnoteRef/>
      </w:r>
      <w:r>
        <w:t xml:space="preserve"> </w:t>
      </w:r>
      <w:r>
        <w:rPr>
          <w:lang w:val="it-IT"/>
        </w:rPr>
        <w:t xml:space="preserve">CESCR, Communication No. 5/2015, para. 21 (c). </w:t>
      </w:r>
    </w:p>
  </w:footnote>
  <w:footnote w:id="117">
    <w:p w14:paraId="251A8A25" w14:textId="29F663AB" w:rsidR="005F3828" w:rsidRPr="00684E24" w:rsidRDefault="005F3828" w:rsidP="00DA42B1">
      <w:pPr>
        <w:pStyle w:val="FootnoteText"/>
        <w:rPr>
          <w:lang w:val="it-IT"/>
        </w:rPr>
      </w:pPr>
      <w:r>
        <w:rPr>
          <w:rStyle w:val="FootnoteReference"/>
        </w:rPr>
        <w:footnoteRef/>
      </w:r>
      <w:r>
        <w:t xml:space="preserve"> </w:t>
      </w:r>
      <w:r>
        <w:rPr>
          <w:lang w:val="it-IT"/>
        </w:rPr>
        <w:t>See further A/HRC/40/61.</w:t>
      </w:r>
    </w:p>
  </w:footnote>
  <w:footnote w:id="118">
    <w:p w14:paraId="063268F0" w14:textId="77777777" w:rsidR="005F3828" w:rsidRPr="00BB519B" w:rsidRDefault="005F3828" w:rsidP="00DA42B1">
      <w:pPr>
        <w:pStyle w:val="FootnoteText"/>
        <w:rPr>
          <w:lang w:val="it-IT"/>
        </w:rPr>
      </w:pPr>
      <w:r>
        <w:rPr>
          <w:rStyle w:val="FootnoteReference"/>
        </w:rPr>
        <w:footnoteRef/>
      </w:r>
      <w:r>
        <w:t xml:space="preserve"> </w:t>
      </w:r>
      <w:r>
        <w:rPr>
          <w:lang w:val="it-IT"/>
        </w:rPr>
        <w:t xml:space="preserve">See, for example, </w:t>
      </w:r>
      <w:r w:rsidRPr="00BB519B">
        <w:rPr>
          <w:lang w:val="it-IT"/>
        </w:rPr>
        <w:t>UN Guiding Principles on Extreme Poverty</w:t>
      </w:r>
      <w:r>
        <w:rPr>
          <w:lang w:val="it-IT"/>
        </w:rPr>
        <w:t xml:space="preserve"> and Human Rights, para. 80 (b).</w:t>
      </w:r>
    </w:p>
  </w:footnote>
  <w:footnote w:id="119">
    <w:p w14:paraId="56F07B34" w14:textId="77777777" w:rsidR="005F3828" w:rsidRPr="009514EB" w:rsidRDefault="005F3828" w:rsidP="00835D3D">
      <w:pPr>
        <w:pStyle w:val="FootnoteText"/>
        <w:rPr>
          <w:lang w:val="en-US"/>
        </w:rPr>
      </w:pPr>
      <w:r>
        <w:rPr>
          <w:rStyle w:val="FootnoteReference"/>
        </w:rPr>
        <w:footnoteRef/>
      </w:r>
      <w:r>
        <w:t xml:space="preserve"> </w:t>
      </w:r>
      <w:r>
        <w:rPr>
          <w:lang w:val="en-US"/>
        </w:rPr>
        <w:t xml:space="preserve">UNEP, 2018. </w:t>
      </w:r>
      <w:r w:rsidRPr="009550EE">
        <w:rPr>
          <w:lang w:val="en-US"/>
        </w:rPr>
        <w:t>https://www.worldgbc.org/sites/default/files/UNEP%20188_GABC_en%20%28web%29.pdf</w:t>
      </w:r>
    </w:p>
  </w:footnote>
  <w:footnote w:id="120">
    <w:p w14:paraId="62B366AF" w14:textId="77777777" w:rsidR="005F3828" w:rsidRPr="005265AF" w:rsidRDefault="005F3828" w:rsidP="00835D3D">
      <w:pPr>
        <w:pStyle w:val="FootnoteText"/>
        <w:rPr>
          <w:lang w:val="en-GB"/>
        </w:rPr>
      </w:pPr>
      <w:r>
        <w:rPr>
          <w:rStyle w:val="FootnoteReference"/>
        </w:rPr>
        <w:footnoteRef/>
      </w:r>
      <w:r>
        <w:t xml:space="preserve"> </w:t>
      </w:r>
      <w:r>
        <w:rPr>
          <w:lang w:val="en-GB"/>
        </w:rPr>
        <w:t xml:space="preserve">See, for example, A/HRC/16/42. </w:t>
      </w:r>
    </w:p>
  </w:footnote>
  <w:footnote w:id="121">
    <w:p w14:paraId="17773DE4" w14:textId="7E7678F0" w:rsidR="005F3828" w:rsidRPr="005265AF" w:rsidRDefault="005F3828" w:rsidP="00835D3D">
      <w:pPr>
        <w:pStyle w:val="FootnoteText"/>
        <w:rPr>
          <w:lang w:val="en-GB"/>
        </w:rPr>
      </w:pPr>
      <w:r>
        <w:rPr>
          <w:rStyle w:val="FootnoteReference"/>
        </w:rPr>
        <w:footnoteRef/>
      </w:r>
      <w:r>
        <w:t xml:space="preserve"> </w:t>
      </w:r>
      <w:r w:rsidRPr="005265AF">
        <w:t xml:space="preserve">See for example, </w:t>
      </w:r>
      <w:r>
        <w:rPr>
          <w:lang w:val="en-GB"/>
        </w:rPr>
        <w:t xml:space="preserve">Peninsula Principles on Climate Displacement within States. </w:t>
      </w:r>
    </w:p>
  </w:footnote>
  <w:footnote w:id="122">
    <w:p w14:paraId="548E0009" w14:textId="77777777" w:rsidR="005F3828" w:rsidRPr="00580919" w:rsidRDefault="005F3828" w:rsidP="00835D3D">
      <w:pPr>
        <w:pStyle w:val="FootnoteText"/>
        <w:rPr>
          <w:lang w:val="en-GB"/>
        </w:rPr>
      </w:pPr>
      <w:r>
        <w:rPr>
          <w:rStyle w:val="FootnoteReference"/>
        </w:rPr>
        <w:footnoteRef/>
      </w:r>
      <w:r>
        <w:t xml:space="preserve"> </w:t>
      </w:r>
      <w:r>
        <w:rPr>
          <w:lang w:val="en-GB"/>
        </w:rPr>
        <w:t xml:space="preserve">See, for example, A/64/255 para. 74. </w:t>
      </w:r>
    </w:p>
  </w:footnote>
  <w:footnote w:id="123">
    <w:p w14:paraId="66A4398D" w14:textId="77777777" w:rsidR="005F3828" w:rsidRPr="005265AF" w:rsidRDefault="005F3828" w:rsidP="00835D3D">
      <w:pPr>
        <w:pStyle w:val="FootnoteText"/>
        <w:rPr>
          <w:lang w:val="en-GB"/>
        </w:rPr>
      </w:pPr>
      <w:r>
        <w:rPr>
          <w:rStyle w:val="FootnoteReference"/>
        </w:rPr>
        <w:footnoteRef/>
      </w:r>
      <w:r>
        <w:t xml:space="preserve"> </w:t>
      </w:r>
      <w:r>
        <w:rPr>
          <w:lang w:val="en-GB"/>
        </w:rPr>
        <w:t>A/64/255, para. 55.</w:t>
      </w:r>
    </w:p>
  </w:footnote>
  <w:footnote w:id="124">
    <w:p w14:paraId="4540BFB9" w14:textId="77777777" w:rsidR="005F3828" w:rsidRPr="005533A4" w:rsidRDefault="005F3828" w:rsidP="004B6071">
      <w:pPr>
        <w:pStyle w:val="FootnoteText"/>
        <w:rPr>
          <w:lang w:val="en-GB"/>
        </w:rPr>
      </w:pPr>
      <w:r>
        <w:rPr>
          <w:rStyle w:val="FootnoteReference"/>
        </w:rPr>
        <w:footnoteRef/>
      </w:r>
      <w:r>
        <w:t xml:space="preserve"> </w:t>
      </w:r>
      <w:r w:rsidRPr="005533A4">
        <w:rPr>
          <w:lang w:val="en-GB"/>
        </w:rPr>
        <w:t>CESCR, gene</w:t>
      </w:r>
      <w:r>
        <w:rPr>
          <w:lang w:val="en-GB"/>
        </w:rPr>
        <w:t xml:space="preserve">ral comments no. 3, para. 11 and no. 4, para, 13. See also ICESCR, art. 16. </w:t>
      </w:r>
    </w:p>
  </w:footnote>
  <w:footnote w:id="125">
    <w:p w14:paraId="5D0793E6" w14:textId="0C20879F" w:rsidR="005F3828" w:rsidRPr="00075A40" w:rsidRDefault="005F3828">
      <w:pPr>
        <w:pStyle w:val="FootnoteText"/>
        <w:rPr>
          <w:lang w:val="en-GB"/>
        </w:rPr>
      </w:pPr>
      <w:r>
        <w:rPr>
          <w:rStyle w:val="FootnoteReference"/>
        </w:rPr>
        <w:footnoteRef/>
      </w:r>
      <w:r>
        <w:t xml:space="preserve"> </w:t>
      </w:r>
      <w:r>
        <w:rPr>
          <w:lang w:val="en-GB"/>
        </w:rPr>
        <w:t xml:space="preserve">CESCR, general comment no. 10. </w:t>
      </w:r>
    </w:p>
  </w:footnote>
  <w:footnote w:id="126">
    <w:p w14:paraId="6007EC74" w14:textId="77777777" w:rsidR="005F3828" w:rsidRPr="00B70422" w:rsidRDefault="005F3828" w:rsidP="002F2382">
      <w:pPr>
        <w:pStyle w:val="FootnoteText"/>
        <w:rPr>
          <w:lang w:val="en-GB"/>
        </w:rPr>
      </w:pPr>
      <w:r>
        <w:rPr>
          <w:rStyle w:val="FootnoteReference"/>
        </w:rPr>
        <w:footnoteRef/>
      </w:r>
      <w:r>
        <w:t xml:space="preserve"> </w:t>
      </w:r>
      <w:r w:rsidRPr="00B70422">
        <w:rPr>
          <w:lang w:val="en-GB"/>
        </w:rPr>
        <w:t>See UN Guiding principles o</w:t>
      </w:r>
      <w:r>
        <w:rPr>
          <w:lang w:val="en-GB"/>
        </w:rPr>
        <w:t xml:space="preserve">n business and human rights, principle no. 5. </w:t>
      </w:r>
    </w:p>
  </w:footnote>
  <w:footnote w:id="127">
    <w:p w14:paraId="2B070C96" w14:textId="77777777" w:rsidR="005F3828" w:rsidRPr="00DF6057" w:rsidRDefault="005F3828" w:rsidP="005C0FB3">
      <w:pPr>
        <w:pStyle w:val="FootnoteText"/>
        <w:tabs>
          <w:tab w:val="clear" w:pos="1021"/>
          <w:tab w:val="right" w:pos="0"/>
        </w:tabs>
        <w:ind w:left="0" w:firstLine="0"/>
        <w:rPr>
          <w:lang w:val="en-GB"/>
        </w:rPr>
      </w:pPr>
      <w:r>
        <w:rPr>
          <w:rStyle w:val="FootnoteReference"/>
        </w:rPr>
        <w:footnoteRef/>
      </w:r>
      <w:r>
        <w:t xml:space="preserve"> </w:t>
      </w:r>
      <w:r w:rsidRPr="00DF6057">
        <w:rPr>
          <w:lang w:val="en-GB"/>
        </w:rPr>
        <w:t xml:space="preserve">See for guidance, </w:t>
      </w:r>
      <w:r>
        <w:rPr>
          <w:lang w:val="en-GB"/>
        </w:rPr>
        <w:t xml:space="preserve">OHCHR, </w:t>
      </w:r>
      <w:r w:rsidRPr="00DF6057">
        <w:rPr>
          <w:lang w:val="en-GB"/>
        </w:rPr>
        <w:t>Human Rights Indicators</w:t>
      </w:r>
      <w:r>
        <w:rPr>
          <w:lang w:val="en-GB"/>
        </w:rPr>
        <w:t>:</w:t>
      </w:r>
      <w:r w:rsidRPr="00DF6057">
        <w:rPr>
          <w:lang w:val="en-GB"/>
        </w:rPr>
        <w:t xml:space="preserve"> A Guide to Measurement</w:t>
      </w:r>
      <w:r>
        <w:rPr>
          <w:lang w:val="en-GB"/>
        </w:rPr>
        <w:t>, 2012. See also OHCHR, Human Rights-Based Approach to Data, 2018.</w:t>
      </w:r>
    </w:p>
  </w:footnote>
  <w:footnote w:id="128">
    <w:p w14:paraId="487AA64A" w14:textId="77777777" w:rsidR="005F3828" w:rsidRPr="00BD4183" w:rsidRDefault="005F3828" w:rsidP="004B6071">
      <w:pPr>
        <w:pStyle w:val="FootnoteText"/>
        <w:rPr>
          <w:lang w:val="en-GB"/>
        </w:rPr>
      </w:pPr>
      <w:r>
        <w:rPr>
          <w:rStyle w:val="FootnoteReference"/>
        </w:rPr>
        <w:footnoteRef/>
      </w:r>
      <w:r>
        <w:t xml:space="preserve"> </w:t>
      </w:r>
      <w:r w:rsidRPr="00BD4183">
        <w:rPr>
          <w:lang w:val="en-GB"/>
        </w:rPr>
        <w:t>See C</w:t>
      </w:r>
      <w:r>
        <w:rPr>
          <w:lang w:val="en-GB"/>
        </w:rPr>
        <w:t>ESCR general comment no. 4 for a detailed description.</w:t>
      </w:r>
    </w:p>
  </w:footnote>
  <w:footnote w:id="129">
    <w:p w14:paraId="244A4FE2" w14:textId="1B2D7D89" w:rsidR="005F3828" w:rsidRPr="00D83E1C" w:rsidRDefault="005F3828" w:rsidP="00C13DCF">
      <w:pPr>
        <w:pStyle w:val="FootnoteText"/>
        <w:rPr>
          <w:lang w:val="en-GB"/>
        </w:rPr>
      </w:pPr>
      <w:r>
        <w:rPr>
          <w:rStyle w:val="FootnoteReference"/>
        </w:rPr>
        <w:footnoteRef/>
      </w:r>
      <w:r>
        <w:t xml:space="preserve"> </w:t>
      </w:r>
      <w:r w:rsidRPr="00D83E1C">
        <w:rPr>
          <w:lang w:val="en-GB"/>
        </w:rPr>
        <w:t>See, for e</w:t>
      </w:r>
      <w:r>
        <w:rPr>
          <w:lang w:val="en-GB"/>
        </w:rPr>
        <w:t xml:space="preserve">xample, CESCR, general comment nos. 3, para. 5, and 4, para. 17. </w:t>
      </w:r>
    </w:p>
  </w:footnote>
  <w:footnote w:id="130">
    <w:p w14:paraId="51E75343" w14:textId="77777777" w:rsidR="005F3828" w:rsidRPr="008D7F41" w:rsidRDefault="005F3828" w:rsidP="005C0FB3">
      <w:pPr>
        <w:pStyle w:val="FootnoteText"/>
        <w:tabs>
          <w:tab w:val="clear" w:pos="1021"/>
          <w:tab w:val="right" w:pos="0"/>
        </w:tabs>
        <w:ind w:left="0" w:firstLine="0"/>
        <w:rPr>
          <w:lang w:val="en-GB"/>
        </w:rPr>
      </w:pPr>
      <w:r>
        <w:rPr>
          <w:rStyle w:val="FootnoteReference"/>
        </w:rPr>
        <w:footnoteRef/>
      </w:r>
      <w:r>
        <w:t xml:space="preserve"> </w:t>
      </w:r>
      <w:r w:rsidRPr="008D7F41">
        <w:t>CESCR, Communication No. 2/2014, Views adopted by the Committee at its fifty-fifth session (1-19 June 2015), para</w:t>
      </w:r>
      <w:r w:rsidRPr="008D7F41">
        <w:rPr>
          <w:lang w:val="en-GB"/>
        </w:rPr>
        <w:t xml:space="preserve">. </w:t>
      </w:r>
      <w:r>
        <w:rPr>
          <w:lang w:val="en-GB"/>
        </w:rPr>
        <w:t xml:space="preserve">11.1 </w:t>
      </w:r>
    </w:p>
  </w:footnote>
  <w:footnote w:id="131">
    <w:p w14:paraId="32721A17" w14:textId="77777777" w:rsidR="005F3828" w:rsidRPr="00C87682" w:rsidRDefault="005F3828" w:rsidP="00C13DCF">
      <w:pPr>
        <w:pStyle w:val="FootnoteText"/>
        <w:rPr>
          <w:lang w:val="en-GB"/>
        </w:rPr>
      </w:pPr>
      <w:r>
        <w:rPr>
          <w:rStyle w:val="FootnoteReference"/>
        </w:rPr>
        <w:footnoteRef/>
      </w:r>
      <w:r>
        <w:t xml:space="preserve"> </w:t>
      </w:r>
      <w:r w:rsidRPr="00C87682">
        <w:rPr>
          <w:lang w:val="en-GB"/>
        </w:rPr>
        <w:t>A</w:t>
      </w:r>
      <w:r>
        <w:rPr>
          <w:lang w:val="en-GB"/>
        </w:rPr>
        <w:t>/HRC/40/61.</w:t>
      </w:r>
    </w:p>
  </w:footnote>
  <w:footnote w:id="132">
    <w:p w14:paraId="5E5FBBA5" w14:textId="77777777" w:rsidR="005F3828" w:rsidRPr="004F4205" w:rsidRDefault="005F3828" w:rsidP="00C13DCF">
      <w:pPr>
        <w:pStyle w:val="FootnoteText"/>
        <w:rPr>
          <w:lang w:val="en-GB"/>
        </w:rPr>
      </w:pPr>
      <w:r>
        <w:rPr>
          <w:rStyle w:val="FootnoteReference"/>
        </w:rPr>
        <w:footnoteRef/>
      </w:r>
      <w:r>
        <w:t xml:space="preserve"> </w:t>
      </w:r>
      <w:r w:rsidRPr="004F4205">
        <w:rPr>
          <w:lang w:val="en-GB"/>
        </w:rPr>
        <w:t>Ibid. para. 4</w:t>
      </w:r>
    </w:p>
  </w:footnote>
  <w:footnote w:id="133">
    <w:p w14:paraId="19AE9A3C" w14:textId="77777777" w:rsidR="005F3828" w:rsidRPr="00EC3C94" w:rsidRDefault="005F3828" w:rsidP="005C0FB3">
      <w:pPr>
        <w:pStyle w:val="FootnoteText"/>
        <w:ind w:left="0" w:firstLine="0"/>
        <w:rPr>
          <w:lang w:val="en-GB"/>
        </w:rPr>
      </w:pPr>
      <w:r>
        <w:rPr>
          <w:rStyle w:val="FootnoteReference"/>
        </w:rPr>
        <w:footnoteRef/>
      </w:r>
      <w:r>
        <w:t xml:space="preserve"> </w:t>
      </w:r>
      <w:r w:rsidRPr="00202E0E">
        <w:rPr>
          <w:lang w:val="en-GB"/>
        </w:rPr>
        <w:t>CESCR, g</w:t>
      </w:r>
      <w:r>
        <w:rPr>
          <w:lang w:val="en-GB"/>
        </w:rPr>
        <w:t>eneral comment nos. 3 and 9. See also CESCR</w:t>
      </w:r>
      <w:r w:rsidRPr="00EC3C94">
        <w:t xml:space="preserve"> </w:t>
      </w:r>
      <w:r w:rsidRPr="00EC3C94">
        <w:rPr>
          <w:lang w:val="en-GB"/>
        </w:rPr>
        <w:t>Communication No. 2/2014</w:t>
      </w:r>
      <w:r>
        <w:rPr>
          <w:lang w:val="en-GB"/>
        </w:rPr>
        <w:t xml:space="preserve">, views adopted </w:t>
      </w:r>
      <w:r>
        <w:t>at its fifty-fifth session</w:t>
      </w:r>
      <w:r w:rsidRPr="00EC3C94">
        <w:rPr>
          <w:lang w:val="en-GB"/>
        </w:rPr>
        <w:t xml:space="preserve"> </w:t>
      </w:r>
      <w:r>
        <w:t>(1-19 June 2015</w:t>
      </w:r>
      <w:r w:rsidRPr="00EC3C94">
        <w:rPr>
          <w:lang w:val="en-GB"/>
        </w:rPr>
        <w:t>)</w:t>
      </w:r>
      <w:r>
        <w:rPr>
          <w:lang w:val="en-GB"/>
        </w:rPr>
        <w:t>, para. 11.3.</w:t>
      </w:r>
    </w:p>
  </w:footnote>
  <w:footnote w:id="134">
    <w:p w14:paraId="5A5FBBD9" w14:textId="77777777" w:rsidR="005F3828" w:rsidRPr="00ED451D" w:rsidRDefault="005F3828" w:rsidP="00C13DCF">
      <w:pPr>
        <w:pStyle w:val="FootnoteText"/>
        <w:rPr>
          <w:lang w:val="en-GB"/>
        </w:rPr>
      </w:pPr>
      <w:r>
        <w:rPr>
          <w:rStyle w:val="FootnoteReference"/>
        </w:rPr>
        <w:footnoteRef/>
      </w:r>
      <w:r>
        <w:t xml:space="preserve"> </w:t>
      </w:r>
      <w:r w:rsidRPr="00ED451D">
        <w:rPr>
          <w:lang w:val="en-GB"/>
        </w:rPr>
        <w:t>For further guidance, see A/HRC/40/61.</w:t>
      </w:r>
    </w:p>
  </w:footnote>
  <w:footnote w:id="135">
    <w:p w14:paraId="6E243D48" w14:textId="44E4DE35" w:rsidR="005F3828" w:rsidRPr="00F85BB0" w:rsidRDefault="005F3828" w:rsidP="00F85BB0">
      <w:pPr>
        <w:pStyle w:val="FootnoteText"/>
        <w:tabs>
          <w:tab w:val="clear" w:pos="1021"/>
          <w:tab w:val="right" w:pos="0"/>
        </w:tabs>
        <w:ind w:left="0" w:firstLine="0"/>
        <w:rPr>
          <w:lang w:val="en-GB"/>
        </w:rPr>
      </w:pPr>
      <w:r>
        <w:rPr>
          <w:rStyle w:val="FootnoteReference"/>
        </w:rPr>
        <w:footnoteRef/>
      </w:r>
      <w:r>
        <w:t xml:space="preserve"> </w:t>
      </w:r>
      <w:r>
        <w:rPr>
          <w:lang w:val="en-GB"/>
        </w:rPr>
        <w:t>This would be in contravention of article 27 of the Vienna Convention on the Law of Treaties, which stipulates “</w:t>
      </w:r>
      <w:r>
        <w:rPr>
          <w:szCs w:val="18"/>
        </w:rPr>
        <w:t>A party may not invoke the provisions of its internal law as justification for its failure to perform a treaty”</w:t>
      </w:r>
      <w:r>
        <w:rPr>
          <w:lang w:val="en-GB"/>
        </w:rPr>
        <w:t>, see as well CESCR, general comment no. 9, para. 9-15.</w:t>
      </w:r>
    </w:p>
  </w:footnote>
  <w:footnote w:id="136">
    <w:p w14:paraId="5FE818F8" w14:textId="77777777" w:rsidR="005F3828" w:rsidRPr="006F0DF2" w:rsidRDefault="005F3828" w:rsidP="00C13DCF">
      <w:pPr>
        <w:pStyle w:val="FootnoteText"/>
        <w:rPr>
          <w:lang w:val="it-IT"/>
        </w:rPr>
      </w:pPr>
      <w:r>
        <w:rPr>
          <w:rStyle w:val="FootnoteReference"/>
        </w:rPr>
        <w:footnoteRef/>
      </w:r>
      <w:r>
        <w:t xml:space="preserve"> </w:t>
      </w:r>
      <w:r>
        <w:rPr>
          <w:lang w:val="it-IT"/>
        </w:rPr>
        <w:t>CESCR, general comment no. 24, para. 44.</w:t>
      </w:r>
    </w:p>
  </w:footnote>
  <w:footnote w:id="137">
    <w:p w14:paraId="6612DE79" w14:textId="77777777" w:rsidR="005F3828" w:rsidRPr="002C33D1" w:rsidRDefault="005F3828" w:rsidP="00C13DCF">
      <w:pPr>
        <w:pStyle w:val="FootnoteText"/>
      </w:pPr>
      <w:r>
        <w:rPr>
          <w:rStyle w:val="FootnoteReference"/>
        </w:rPr>
        <w:footnoteRef/>
      </w:r>
      <w:r>
        <w:t xml:space="preserve"> </w:t>
      </w:r>
      <w:r w:rsidRPr="002C33D1">
        <w:t>A/HRC/37/53, para. 134 and A</w:t>
      </w:r>
      <w:r>
        <w:t>/73/310/Rev.1 paras.99ff.</w:t>
      </w:r>
    </w:p>
  </w:footnote>
  <w:footnote w:id="138">
    <w:p w14:paraId="7CEDB5E0" w14:textId="77777777" w:rsidR="005F3828" w:rsidRPr="001E68AB" w:rsidRDefault="005F3828" w:rsidP="00C13DCF">
      <w:pPr>
        <w:pStyle w:val="FootnoteText"/>
        <w:tabs>
          <w:tab w:val="clear" w:pos="1021"/>
          <w:tab w:val="right" w:pos="0"/>
        </w:tabs>
        <w:ind w:left="0" w:firstLine="0"/>
      </w:pPr>
      <w:r>
        <w:rPr>
          <w:rStyle w:val="FootnoteReference"/>
        </w:rPr>
        <w:footnoteRef/>
      </w:r>
      <w:r>
        <w:t xml:space="preserve"> UN Charter; ICESCR, arts 2(1) and 11; Declaration on the Right to Development; Guiding principles on business and human rights, principle no. 10; CESCR, general comment no. 24, para. 37.  </w:t>
      </w:r>
    </w:p>
  </w:footnote>
  <w:footnote w:id="139">
    <w:p w14:paraId="46673E1F" w14:textId="77777777" w:rsidR="005F3828" w:rsidRPr="00790838" w:rsidRDefault="005F3828" w:rsidP="00C13DCF">
      <w:pPr>
        <w:pStyle w:val="FootnoteText"/>
      </w:pPr>
      <w:r>
        <w:rPr>
          <w:rStyle w:val="FootnoteReference"/>
        </w:rPr>
        <w:footnoteRef/>
      </w:r>
      <w:r>
        <w:t xml:space="preserve"> CESCR, general comment no. 4, para. 19. </w:t>
      </w:r>
    </w:p>
  </w:footnote>
  <w:footnote w:id="140">
    <w:p w14:paraId="01C70CE6" w14:textId="77777777" w:rsidR="005F3828" w:rsidRPr="00015C2C" w:rsidRDefault="005F3828" w:rsidP="00C13DCF">
      <w:pPr>
        <w:pStyle w:val="FootnoteText"/>
      </w:pPr>
      <w:r>
        <w:rPr>
          <w:rStyle w:val="FootnoteReference"/>
        </w:rPr>
        <w:footnoteRef/>
      </w:r>
      <w:r>
        <w:t xml:space="preserve"> See, for example, CESCR, general comment no. 24, para. 37. </w:t>
      </w:r>
    </w:p>
  </w:footnote>
  <w:footnote w:id="141">
    <w:p w14:paraId="4C467AAB" w14:textId="77777777" w:rsidR="005F3828" w:rsidRPr="00C708B2" w:rsidRDefault="005F3828" w:rsidP="00C13DCF">
      <w:pPr>
        <w:pStyle w:val="FootnoteText"/>
        <w:rPr>
          <w:lang w:val="en-GB"/>
        </w:rPr>
      </w:pPr>
      <w:r>
        <w:rPr>
          <w:rStyle w:val="FootnoteReference"/>
        </w:rPr>
        <w:footnoteRef/>
      </w:r>
      <w:r>
        <w:t xml:space="preserve"> </w:t>
      </w:r>
      <w:r w:rsidRPr="00DF2BDD">
        <w:t>S</w:t>
      </w:r>
      <w:r>
        <w:t>ee, for example, Guiding Principles on Extreme Poverty and Human Rights</w:t>
      </w:r>
      <w:r>
        <w:rPr>
          <w:lang w:val="en-GB"/>
        </w:rPr>
        <w:t>.</w:t>
      </w:r>
    </w:p>
  </w:footnote>
  <w:footnote w:id="142">
    <w:p w14:paraId="46DCC4EB" w14:textId="77777777" w:rsidR="005F3828" w:rsidRPr="00A73886" w:rsidRDefault="005F3828" w:rsidP="00C13DCF">
      <w:pPr>
        <w:pStyle w:val="FootnoteText"/>
        <w:tabs>
          <w:tab w:val="clear" w:pos="1021"/>
          <w:tab w:val="right" w:pos="0"/>
        </w:tabs>
        <w:ind w:left="0" w:firstLine="0"/>
        <w:rPr>
          <w:lang w:val="en-GB"/>
        </w:rPr>
      </w:pPr>
      <w:r>
        <w:rPr>
          <w:rStyle w:val="FootnoteReference"/>
        </w:rPr>
        <w:footnoteRef/>
      </w:r>
      <w:r>
        <w:t xml:space="preserve"> </w:t>
      </w:r>
      <w:r>
        <w:rPr>
          <w:lang w:val="en-GB"/>
        </w:rPr>
        <w:t xml:space="preserve">CESCR, general comment no. 24, para. 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5B218" w14:textId="133AC7E9" w:rsidR="00B10045" w:rsidRDefault="00B10045" w:rsidP="00B10045">
    <w:pPr>
      <w:pStyle w:val="Header"/>
      <w:jc w:val="right"/>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5FB"/>
    <w:multiLevelType w:val="hybridMultilevel"/>
    <w:tmpl w:val="776E5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24FB0"/>
    <w:multiLevelType w:val="hybridMultilevel"/>
    <w:tmpl w:val="84EE32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15D09"/>
    <w:multiLevelType w:val="hybridMultilevel"/>
    <w:tmpl w:val="F34E89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E20C1"/>
    <w:multiLevelType w:val="hybridMultilevel"/>
    <w:tmpl w:val="25F6C27A"/>
    <w:lvl w:ilvl="0" w:tplc="561CF086">
      <w:start w:val="1"/>
      <w:numFmt w:val="upperRoman"/>
      <w:pStyle w:val="TOC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F541F"/>
    <w:multiLevelType w:val="hybridMultilevel"/>
    <w:tmpl w:val="AC36424E"/>
    <w:lvl w:ilvl="0" w:tplc="097AD8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B6092E"/>
    <w:multiLevelType w:val="hybridMultilevel"/>
    <w:tmpl w:val="90AE08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EF7678"/>
    <w:multiLevelType w:val="hybridMultilevel"/>
    <w:tmpl w:val="4D8091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F5B9A"/>
    <w:multiLevelType w:val="hybridMultilevel"/>
    <w:tmpl w:val="E93AEA7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787488"/>
    <w:multiLevelType w:val="hybridMultilevel"/>
    <w:tmpl w:val="91EEB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C3CB1"/>
    <w:multiLevelType w:val="hybridMultilevel"/>
    <w:tmpl w:val="DF625A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571E44"/>
    <w:multiLevelType w:val="hybridMultilevel"/>
    <w:tmpl w:val="8EF605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701541"/>
    <w:multiLevelType w:val="hybridMultilevel"/>
    <w:tmpl w:val="0D0A8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F69B4"/>
    <w:multiLevelType w:val="hybridMultilevel"/>
    <w:tmpl w:val="DF2C59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2E365E"/>
    <w:multiLevelType w:val="hybridMultilevel"/>
    <w:tmpl w:val="C310F1F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602238E"/>
    <w:multiLevelType w:val="hybridMultilevel"/>
    <w:tmpl w:val="59DA7D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715095"/>
    <w:multiLevelType w:val="hybridMultilevel"/>
    <w:tmpl w:val="7390C5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3125D"/>
    <w:multiLevelType w:val="hybridMultilevel"/>
    <w:tmpl w:val="72D00F9E"/>
    <w:lvl w:ilvl="0" w:tplc="F2F8CBC6">
      <w:start w:val="1"/>
      <w:numFmt w:val="lowerRoman"/>
      <w:lvlText w:val="%1."/>
      <w:lvlJc w:val="left"/>
      <w:pPr>
        <w:ind w:left="177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7" w15:restartNumberingAfterBreak="0">
    <w:nsid w:val="725330CC"/>
    <w:multiLevelType w:val="hybridMultilevel"/>
    <w:tmpl w:val="6658D11E"/>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7AF442BB"/>
    <w:multiLevelType w:val="hybridMultilevel"/>
    <w:tmpl w:val="81F623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7A4658"/>
    <w:multiLevelType w:val="hybridMultilevel"/>
    <w:tmpl w:val="A420FE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1"/>
  </w:num>
  <w:num w:numId="3">
    <w:abstractNumId w:val="15"/>
  </w:num>
  <w:num w:numId="4">
    <w:abstractNumId w:val="13"/>
  </w:num>
  <w:num w:numId="5">
    <w:abstractNumId w:val="10"/>
  </w:num>
  <w:num w:numId="6">
    <w:abstractNumId w:val="14"/>
  </w:num>
  <w:num w:numId="7">
    <w:abstractNumId w:val="1"/>
  </w:num>
  <w:num w:numId="8">
    <w:abstractNumId w:val="7"/>
  </w:num>
  <w:num w:numId="9">
    <w:abstractNumId w:val="6"/>
  </w:num>
  <w:num w:numId="10">
    <w:abstractNumId w:val="2"/>
  </w:num>
  <w:num w:numId="11">
    <w:abstractNumId w:val="19"/>
  </w:num>
  <w:num w:numId="12">
    <w:abstractNumId w:val="12"/>
  </w:num>
  <w:num w:numId="13">
    <w:abstractNumId w:val="5"/>
  </w:num>
  <w:num w:numId="14">
    <w:abstractNumId w:val="18"/>
  </w:num>
  <w:num w:numId="15">
    <w:abstractNumId w:val="0"/>
  </w:num>
  <w:num w:numId="16">
    <w:abstractNumId w:val="8"/>
  </w:num>
  <w:num w:numId="17">
    <w:abstractNumId w:val="9"/>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fr-CH"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IE" w:vendorID="64" w:dllVersion="0" w:nlCheck="1" w:checkStyle="0"/>
  <w:activeWritingStyle w:appName="MSWord" w:lang="en-IE" w:vendorID="64" w:dllVersion="6" w:nlCheck="1" w:checkStyle="1"/>
  <w:activeWritingStyle w:appName="MSWord" w:lang="en-I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25"/>
    <w:rsid w:val="00000246"/>
    <w:rsid w:val="000008C0"/>
    <w:rsid w:val="00002243"/>
    <w:rsid w:val="00002685"/>
    <w:rsid w:val="00002D21"/>
    <w:rsid w:val="000033FF"/>
    <w:rsid w:val="000047F6"/>
    <w:rsid w:val="0000486B"/>
    <w:rsid w:val="00004B5A"/>
    <w:rsid w:val="00004E40"/>
    <w:rsid w:val="00007B4A"/>
    <w:rsid w:val="00007C01"/>
    <w:rsid w:val="0001062D"/>
    <w:rsid w:val="00010809"/>
    <w:rsid w:val="00011193"/>
    <w:rsid w:val="00011F5E"/>
    <w:rsid w:val="00012A82"/>
    <w:rsid w:val="00012B14"/>
    <w:rsid w:val="00013620"/>
    <w:rsid w:val="0001396B"/>
    <w:rsid w:val="00013B37"/>
    <w:rsid w:val="0001423A"/>
    <w:rsid w:val="0001434F"/>
    <w:rsid w:val="000148E0"/>
    <w:rsid w:val="00016907"/>
    <w:rsid w:val="00016A7F"/>
    <w:rsid w:val="00017931"/>
    <w:rsid w:val="0002148F"/>
    <w:rsid w:val="000214CB"/>
    <w:rsid w:val="000215D9"/>
    <w:rsid w:val="00021E56"/>
    <w:rsid w:val="00021F37"/>
    <w:rsid w:val="00023596"/>
    <w:rsid w:val="00023DA2"/>
    <w:rsid w:val="00025378"/>
    <w:rsid w:val="0002590E"/>
    <w:rsid w:val="000274A7"/>
    <w:rsid w:val="000275C2"/>
    <w:rsid w:val="00030078"/>
    <w:rsid w:val="000300F5"/>
    <w:rsid w:val="000312CC"/>
    <w:rsid w:val="00031680"/>
    <w:rsid w:val="00031B8C"/>
    <w:rsid w:val="00031E24"/>
    <w:rsid w:val="000321F5"/>
    <w:rsid w:val="00032A7B"/>
    <w:rsid w:val="0003374F"/>
    <w:rsid w:val="00034080"/>
    <w:rsid w:val="00034F7D"/>
    <w:rsid w:val="00036194"/>
    <w:rsid w:val="0003782E"/>
    <w:rsid w:val="00037BEA"/>
    <w:rsid w:val="00037D0C"/>
    <w:rsid w:val="0004071C"/>
    <w:rsid w:val="0004119C"/>
    <w:rsid w:val="00041BB9"/>
    <w:rsid w:val="000439EB"/>
    <w:rsid w:val="00043F34"/>
    <w:rsid w:val="0004439D"/>
    <w:rsid w:val="00044B10"/>
    <w:rsid w:val="000504A8"/>
    <w:rsid w:val="0005081B"/>
    <w:rsid w:val="00051359"/>
    <w:rsid w:val="000517F3"/>
    <w:rsid w:val="000519F2"/>
    <w:rsid w:val="00051ECA"/>
    <w:rsid w:val="00052D97"/>
    <w:rsid w:val="00052F96"/>
    <w:rsid w:val="0005457D"/>
    <w:rsid w:val="00054667"/>
    <w:rsid w:val="000546A2"/>
    <w:rsid w:val="0005702B"/>
    <w:rsid w:val="00057815"/>
    <w:rsid w:val="000600DD"/>
    <w:rsid w:val="00060826"/>
    <w:rsid w:val="00060FFF"/>
    <w:rsid w:val="00061071"/>
    <w:rsid w:val="00062A47"/>
    <w:rsid w:val="0006375E"/>
    <w:rsid w:val="00063D6E"/>
    <w:rsid w:val="0006599F"/>
    <w:rsid w:val="00065CE6"/>
    <w:rsid w:val="00067CB2"/>
    <w:rsid w:val="000700CB"/>
    <w:rsid w:val="0007063C"/>
    <w:rsid w:val="00070875"/>
    <w:rsid w:val="00070BE7"/>
    <w:rsid w:val="00071F1C"/>
    <w:rsid w:val="000737ED"/>
    <w:rsid w:val="00074B6A"/>
    <w:rsid w:val="000754D6"/>
    <w:rsid w:val="00075A40"/>
    <w:rsid w:val="0007624D"/>
    <w:rsid w:val="00081411"/>
    <w:rsid w:val="00081591"/>
    <w:rsid w:val="00082B29"/>
    <w:rsid w:val="00082D55"/>
    <w:rsid w:val="00084180"/>
    <w:rsid w:val="0008489A"/>
    <w:rsid w:val="00084EC5"/>
    <w:rsid w:val="00085921"/>
    <w:rsid w:val="000863C2"/>
    <w:rsid w:val="00086F4E"/>
    <w:rsid w:val="0008772F"/>
    <w:rsid w:val="000905FB"/>
    <w:rsid w:val="00090A8D"/>
    <w:rsid w:val="00090EDD"/>
    <w:rsid w:val="00092635"/>
    <w:rsid w:val="00092C26"/>
    <w:rsid w:val="00093130"/>
    <w:rsid w:val="000933CE"/>
    <w:rsid w:val="00093C66"/>
    <w:rsid w:val="00093E0C"/>
    <w:rsid w:val="00095439"/>
    <w:rsid w:val="00096063"/>
    <w:rsid w:val="000962FF"/>
    <w:rsid w:val="0009738B"/>
    <w:rsid w:val="00097D21"/>
    <w:rsid w:val="000A00E0"/>
    <w:rsid w:val="000A08CD"/>
    <w:rsid w:val="000A1527"/>
    <w:rsid w:val="000A192E"/>
    <w:rsid w:val="000A198D"/>
    <w:rsid w:val="000A25B8"/>
    <w:rsid w:val="000A34F7"/>
    <w:rsid w:val="000A364D"/>
    <w:rsid w:val="000A68D9"/>
    <w:rsid w:val="000A6F03"/>
    <w:rsid w:val="000A75BB"/>
    <w:rsid w:val="000B0FE6"/>
    <w:rsid w:val="000B1104"/>
    <w:rsid w:val="000B2108"/>
    <w:rsid w:val="000B38E5"/>
    <w:rsid w:val="000B41C0"/>
    <w:rsid w:val="000B5C5B"/>
    <w:rsid w:val="000B62D6"/>
    <w:rsid w:val="000B7043"/>
    <w:rsid w:val="000B70C2"/>
    <w:rsid w:val="000C0314"/>
    <w:rsid w:val="000C159D"/>
    <w:rsid w:val="000C15B0"/>
    <w:rsid w:val="000C2170"/>
    <w:rsid w:val="000C2EDA"/>
    <w:rsid w:val="000C3FCB"/>
    <w:rsid w:val="000C436C"/>
    <w:rsid w:val="000C6CB9"/>
    <w:rsid w:val="000C6FCF"/>
    <w:rsid w:val="000C7064"/>
    <w:rsid w:val="000C7209"/>
    <w:rsid w:val="000C7539"/>
    <w:rsid w:val="000C7F38"/>
    <w:rsid w:val="000D00B0"/>
    <w:rsid w:val="000D09E6"/>
    <w:rsid w:val="000D12CD"/>
    <w:rsid w:val="000D13AB"/>
    <w:rsid w:val="000D26B7"/>
    <w:rsid w:val="000D3935"/>
    <w:rsid w:val="000D4230"/>
    <w:rsid w:val="000D43D3"/>
    <w:rsid w:val="000D45FA"/>
    <w:rsid w:val="000D5030"/>
    <w:rsid w:val="000D6853"/>
    <w:rsid w:val="000D6A7C"/>
    <w:rsid w:val="000D6B57"/>
    <w:rsid w:val="000D6CE1"/>
    <w:rsid w:val="000D6E77"/>
    <w:rsid w:val="000D74A4"/>
    <w:rsid w:val="000D78DD"/>
    <w:rsid w:val="000D79FC"/>
    <w:rsid w:val="000E0C7D"/>
    <w:rsid w:val="000E0D90"/>
    <w:rsid w:val="000E1FAA"/>
    <w:rsid w:val="000E292D"/>
    <w:rsid w:val="000E2BC6"/>
    <w:rsid w:val="000E3A6F"/>
    <w:rsid w:val="000E3BAE"/>
    <w:rsid w:val="000E4477"/>
    <w:rsid w:val="000E5D5E"/>
    <w:rsid w:val="000E6E10"/>
    <w:rsid w:val="000E753D"/>
    <w:rsid w:val="000E7AAE"/>
    <w:rsid w:val="000E7CE3"/>
    <w:rsid w:val="000F0644"/>
    <w:rsid w:val="000F1172"/>
    <w:rsid w:val="000F2605"/>
    <w:rsid w:val="000F26B4"/>
    <w:rsid w:val="000F2D18"/>
    <w:rsid w:val="000F2E2E"/>
    <w:rsid w:val="000F30FD"/>
    <w:rsid w:val="000F3D4A"/>
    <w:rsid w:val="000F4387"/>
    <w:rsid w:val="000F4F28"/>
    <w:rsid w:val="000F50D5"/>
    <w:rsid w:val="000F586F"/>
    <w:rsid w:val="000F63E5"/>
    <w:rsid w:val="000F7E3D"/>
    <w:rsid w:val="000F7F0A"/>
    <w:rsid w:val="0010161E"/>
    <w:rsid w:val="00101896"/>
    <w:rsid w:val="001020D8"/>
    <w:rsid w:val="0010250B"/>
    <w:rsid w:val="00102EAB"/>
    <w:rsid w:val="00103748"/>
    <w:rsid w:val="00104F83"/>
    <w:rsid w:val="00105DDB"/>
    <w:rsid w:val="001067BA"/>
    <w:rsid w:val="00106FFC"/>
    <w:rsid w:val="00107FC8"/>
    <w:rsid w:val="00111085"/>
    <w:rsid w:val="00111449"/>
    <w:rsid w:val="00112772"/>
    <w:rsid w:val="0011306B"/>
    <w:rsid w:val="00113528"/>
    <w:rsid w:val="001138B7"/>
    <w:rsid w:val="00114E31"/>
    <w:rsid w:val="001150C7"/>
    <w:rsid w:val="00115B2D"/>
    <w:rsid w:val="00115BCA"/>
    <w:rsid w:val="00115DA8"/>
    <w:rsid w:val="00115DF5"/>
    <w:rsid w:val="00116120"/>
    <w:rsid w:val="001161F0"/>
    <w:rsid w:val="00120803"/>
    <w:rsid w:val="00120C7C"/>
    <w:rsid w:val="00121444"/>
    <w:rsid w:val="00121491"/>
    <w:rsid w:val="001226CE"/>
    <w:rsid w:val="00123212"/>
    <w:rsid w:val="0012393C"/>
    <w:rsid w:val="00123A2C"/>
    <w:rsid w:val="00123FCE"/>
    <w:rsid w:val="00124BAC"/>
    <w:rsid w:val="00124D34"/>
    <w:rsid w:val="00125A0E"/>
    <w:rsid w:val="00125AF8"/>
    <w:rsid w:val="0012685E"/>
    <w:rsid w:val="00131386"/>
    <w:rsid w:val="00131D97"/>
    <w:rsid w:val="0013202B"/>
    <w:rsid w:val="00132415"/>
    <w:rsid w:val="0013366E"/>
    <w:rsid w:val="001337C7"/>
    <w:rsid w:val="00133BA5"/>
    <w:rsid w:val="0013482E"/>
    <w:rsid w:val="00137BC3"/>
    <w:rsid w:val="001406AD"/>
    <w:rsid w:val="00140F65"/>
    <w:rsid w:val="00142BC9"/>
    <w:rsid w:val="0014529B"/>
    <w:rsid w:val="001455AD"/>
    <w:rsid w:val="00145DEB"/>
    <w:rsid w:val="00146977"/>
    <w:rsid w:val="00146BFA"/>
    <w:rsid w:val="00146D27"/>
    <w:rsid w:val="00146F3D"/>
    <w:rsid w:val="00147025"/>
    <w:rsid w:val="001473ED"/>
    <w:rsid w:val="001474D9"/>
    <w:rsid w:val="001475D1"/>
    <w:rsid w:val="00150287"/>
    <w:rsid w:val="00150893"/>
    <w:rsid w:val="001515A5"/>
    <w:rsid w:val="00152424"/>
    <w:rsid w:val="00152BF7"/>
    <w:rsid w:val="00152EC0"/>
    <w:rsid w:val="00153965"/>
    <w:rsid w:val="00153A47"/>
    <w:rsid w:val="00155105"/>
    <w:rsid w:val="001553E5"/>
    <w:rsid w:val="001558EF"/>
    <w:rsid w:val="001561A5"/>
    <w:rsid w:val="00157288"/>
    <w:rsid w:val="00157B1D"/>
    <w:rsid w:val="0016049B"/>
    <w:rsid w:val="00160FFE"/>
    <w:rsid w:val="0016341B"/>
    <w:rsid w:val="00163918"/>
    <w:rsid w:val="001644BD"/>
    <w:rsid w:val="00164595"/>
    <w:rsid w:val="00165518"/>
    <w:rsid w:val="00166387"/>
    <w:rsid w:val="001668E0"/>
    <w:rsid w:val="001671AA"/>
    <w:rsid w:val="00170E1F"/>
    <w:rsid w:val="0017186A"/>
    <w:rsid w:val="00171AB8"/>
    <w:rsid w:val="001721AB"/>
    <w:rsid w:val="0017231F"/>
    <w:rsid w:val="0017314D"/>
    <w:rsid w:val="00173E5A"/>
    <w:rsid w:val="00174BA6"/>
    <w:rsid w:val="00174C33"/>
    <w:rsid w:val="00175105"/>
    <w:rsid w:val="00175786"/>
    <w:rsid w:val="00175EF5"/>
    <w:rsid w:val="0017719D"/>
    <w:rsid w:val="00177C6A"/>
    <w:rsid w:val="00177FE3"/>
    <w:rsid w:val="00180021"/>
    <w:rsid w:val="00180486"/>
    <w:rsid w:val="00180594"/>
    <w:rsid w:val="001807AF"/>
    <w:rsid w:val="00181F73"/>
    <w:rsid w:val="00182F5B"/>
    <w:rsid w:val="00183675"/>
    <w:rsid w:val="001856C5"/>
    <w:rsid w:val="00185944"/>
    <w:rsid w:val="00185FB0"/>
    <w:rsid w:val="00186208"/>
    <w:rsid w:val="00186270"/>
    <w:rsid w:val="001871FD"/>
    <w:rsid w:val="001879CC"/>
    <w:rsid w:val="00191055"/>
    <w:rsid w:val="00193B6E"/>
    <w:rsid w:val="00194DE2"/>
    <w:rsid w:val="001954A6"/>
    <w:rsid w:val="00196747"/>
    <w:rsid w:val="001A00EF"/>
    <w:rsid w:val="001A02A9"/>
    <w:rsid w:val="001A0FC4"/>
    <w:rsid w:val="001A1861"/>
    <w:rsid w:val="001A1C32"/>
    <w:rsid w:val="001A1F8F"/>
    <w:rsid w:val="001A2B48"/>
    <w:rsid w:val="001A30BE"/>
    <w:rsid w:val="001A3CAC"/>
    <w:rsid w:val="001A3E69"/>
    <w:rsid w:val="001A4E7C"/>
    <w:rsid w:val="001A61FA"/>
    <w:rsid w:val="001A6272"/>
    <w:rsid w:val="001A6853"/>
    <w:rsid w:val="001A73E0"/>
    <w:rsid w:val="001B08D2"/>
    <w:rsid w:val="001B13E3"/>
    <w:rsid w:val="001B24F3"/>
    <w:rsid w:val="001B2BBA"/>
    <w:rsid w:val="001B453E"/>
    <w:rsid w:val="001B4C60"/>
    <w:rsid w:val="001B5C39"/>
    <w:rsid w:val="001B63E5"/>
    <w:rsid w:val="001B72D4"/>
    <w:rsid w:val="001B76E1"/>
    <w:rsid w:val="001C01D7"/>
    <w:rsid w:val="001C0E54"/>
    <w:rsid w:val="001C1F63"/>
    <w:rsid w:val="001C3FA4"/>
    <w:rsid w:val="001C43CF"/>
    <w:rsid w:val="001C69F7"/>
    <w:rsid w:val="001C6A3E"/>
    <w:rsid w:val="001C7DF6"/>
    <w:rsid w:val="001D1E32"/>
    <w:rsid w:val="001D21B2"/>
    <w:rsid w:val="001D3EC7"/>
    <w:rsid w:val="001D3EFE"/>
    <w:rsid w:val="001D5812"/>
    <w:rsid w:val="001D5B08"/>
    <w:rsid w:val="001D6993"/>
    <w:rsid w:val="001D6DA0"/>
    <w:rsid w:val="001E01D3"/>
    <w:rsid w:val="001E0816"/>
    <w:rsid w:val="001E188F"/>
    <w:rsid w:val="001E19FF"/>
    <w:rsid w:val="001E255B"/>
    <w:rsid w:val="001E3941"/>
    <w:rsid w:val="001E5941"/>
    <w:rsid w:val="001E6253"/>
    <w:rsid w:val="001E6B56"/>
    <w:rsid w:val="001F0EC4"/>
    <w:rsid w:val="001F446D"/>
    <w:rsid w:val="001F671B"/>
    <w:rsid w:val="001F687E"/>
    <w:rsid w:val="001F6AF1"/>
    <w:rsid w:val="001F6DD8"/>
    <w:rsid w:val="001F6F85"/>
    <w:rsid w:val="001F76D2"/>
    <w:rsid w:val="002001D5"/>
    <w:rsid w:val="002013D3"/>
    <w:rsid w:val="00201C5C"/>
    <w:rsid w:val="0020276A"/>
    <w:rsid w:val="00202917"/>
    <w:rsid w:val="00202E0E"/>
    <w:rsid w:val="00203C71"/>
    <w:rsid w:val="00204484"/>
    <w:rsid w:val="00204602"/>
    <w:rsid w:val="00205C9B"/>
    <w:rsid w:val="00207286"/>
    <w:rsid w:val="0021113E"/>
    <w:rsid w:val="0021285C"/>
    <w:rsid w:val="00212E61"/>
    <w:rsid w:val="002130AD"/>
    <w:rsid w:val="00213EE8"/>
    <w:rsid w:val="00214D71"/>
    <w:rsid w:val="00215B52"/>
    <w:rsid w:val="00215F99"/>
    <w:rsid w:val="00215FD9"/>
    <w:rsid w:val="00216A9E"/>
    <w:rsid w:val="002173F7"/>
    <w:rsid w:val="002175EE"/>
    <w:rsid w:val="002177E1"/>
    <w:rsid w:val="00217F1C"/>
    <w:rsid w:val="00220540"/>
    <w:rsid w:val="0022067E"/>
    <w:rsid w:val="0022098A"/>
    <w:rsid w:val="002209B3"/>
    <w:rsid w:val="0022226C"/>
    <w:rsid w:val="00222860"/>
    <w:rsid w:val="002232A9"/>
    <w:rsid w:val="00224051"/>
    <w:rsid w:val="00224822"/>
    <w:rsid w:val="0022689F"/>
    <w:rsid w:val="00227458"/>
    <w:rsid w:val="00227A6D"/>
    <w:rsid w:val="0023086B"/>
    <w:rsid w:val="002309B7"/>
    <w:rsid w:val="00230D9F"/>
    <w:rsid w:val="00230F08"/>
    <w:rsid w:val="0023319B"/>
    <w:rsid w:val="00233765"/>
    <w:rsid w:val="00233863"/>
    <w:rsid w:val="0023451B"/>
    <w:rsid w:val="0023538A"/>
    <w:rsid w:val="00236377"/>
    <w:rsid w:val="0023692F"/>
    <w:rsid w:val="00236BC6"/>
    <w:rsid w:val="002370D1"/>
    <w:rsid w:val="00237284"/>
    <w:rsid w:val="00240137"/>
    <w:rsid w:val="00240B99"/>
    <w:rsid w:val="002410F7"/>
    <w:rsid w:val="00241EFE"/>
    <w:rsid w:val="002422D3"/>
    <w:rsid w:val="00242DEC"/>
    <w:rsid w:val="00244FDB"/>
    <w:rsid w:val="00246911"/>
    <w:rsid w:val="002476F5"/>
    <w:rsid w:val="00247C0C"/>
    <w:rsid w:val="00252835"/>
    <w:rsid w:val="00253852"/>
    <w:rsid w:val="00253CB1"/>
    <w:rsid w:val="00253F8C"/>
    <w:rsid w:val="002540CB"/>
    <w:rsid w:val="002546FE"/>
    <w:rsid w:val="00255010"/>
    <w:rsid w:val="00255D32"/>
    <w:rsid w:val="00260A3A"/>
    <w:rsid w:val="00262932"/>
    <w:rsid w:val="00262FD3"/>
    <w:rsid w:val="00263D98"/>
    <w:rsid w:val="002649F3"/>
    <w:rsid w:val="00264C13"/>
    <w:rsid w:val="002660E0"/>
    <w:rsid w:val="002665F0"/>
    <w:rsid w:val="0026685D"/>
    <w:rsid w:val="00267BA2"/>
    <w:rsid w:val="00267CCB"/>
    <w:rsid w:val="00270EC6"/>
    <w:rsid w:val="00280BA0"/>
    <w:rsid w:val="00281EA0"/>
    <w:rsid w:val="002824FF"/>
    <w:rsid w:val="00282964"/>
    <w:rsid w:val="00282C03"/>
    <w:rsid w:val="00282C0C"/>
    <w:rsid w:val="00286972"/>
    <w:rsid w:val="00287083"/>
    <w:rsid w:val="00287A98"/>
    <w:rsid w:val="002906A9"/>
    <w:rsid w:val="0029139F"/>
    <w:rsid w:val="00291F51"/>
    <w:rsid w:val="00293F7C"/>
    <w:rsid w:val="00294918"/>
    <w:rsid w:val="00295A2D"/>
    <w:rsid w:val="00296218"/>
    <w:rsid w:val="002A16F7"/>
    <w:rsid w:val="002A1E2D"/>
    <w:rsid w:val="002A2417"/>
    <w:rsid w:val="002A3ACB"/>
    <w:rsid w:val="002A569D"/>
    <w:rsid w:val="002A58D4"/>
    <w:rsid w:val="002A5D68"/>
    <w:rsid w:val="002A71D4"/>
    <w:rsid w:val="002A7352"/>
    <w:rsid w:val="002A789F"/>
    <w:rsid w:val="002B20D5"/>
    <w:rsid w:val="002B2F4B"/>
    <w:rsid w:val="002B35FA"/>
    <w:rsid w:val="002B3F2E"/>
    <w:rsid w:val="002B441D"/>
    <w:rsid w:val="002B4977"/>
    <w:rsid w:val="002B4D87"/>
    <w:rsid w:val="002B52D2"/>
    <w:rsid w:val="002B5B83"/>
    <w:rsid w:val="002B63B6"/>
    <w:rsid w:val="002B6DAA"/>
    <w:rsid w:val="002B77DD"/>
    <w:rsid w:val="002B7B53"/>
    <w:rsid w:val="002C013C"/>
    <w:rsid w:val="002C0F24"/>
    <w:rsid w:val="002C1307"/>
    <w:rsid w:val="002C1572"/>
    <w:rsid w:val="002C266C"/>
    <w:rsid w:val="002C2AC6"/>
    <w:rsid w:val="002C2F26"/>
    <w:rsid w:val="002C3212"/>
    <w:rsid w:val="002C33D1"/>
    <w:rsid w:val="002C3925"/>
    <w:rsid w:val="002C3A47"/>
    <w:rsid w:val="002D0B15"/>
    <w:rsid w:val="002D0D94"/>
    <w:rsid w:val="002D10C6"/>
    <w:rsid w:val="002D21A8"/>
    <w:rsid w:val="002D2B78"/>
    <w:rsid w:val="002D30C0"/>
    <w:rsid w:val="002D3BF7"/>
    <w:rsid w:val="002D6926"/>
    <w:rsid w:val="002D6947"/>
    <w:rsid w:val="002E0374"/>
    <w:rsid w:val="002E1429"/>
    <w:rsid w:val="002E1706"/>
    <w:rsid w:val="002E3163"/>
    <w:rsid w:val="002E3A5B"/>
    <w:rsid w:val="002E3BB6"/>
    <w:rsid w:val="002E3D5A"/>
    <w:rsid w:val="002E4351"/>
    <w:rsid w:val="002E609D"/>
    <w:rsid w:val="002E668B"/>
    <w:rsid w:val="002E68C4"/>
    <w:rsid w:val="002E7845"/>
    <w:rsid w:val="002F02C9"/>
    <w:rsid w:val="002F056E"/>
    <w:rsid w:val="002F15A4"/>
    <w:rsid w:val="002F21AC"/>
    <w:rsid w:val="002F2382"/>
    <w:rsid w:val="002F2410"/>
    <w:rsid w:val="002F307F"/>
    <w:rsid w:val="002F3098"/>
    <w:rsid w:val="002F37A6"/>
    <w:rsid w:val="002F3910"/>
    <w:rsid w:val="002F393B"/>
    <w:rsid w:val="002F3FC0"/>
    <w:rsid w:val="002F4A69"/>
    <w:rsid w:val="002F4D2C"/>
    <w:rsid w:val="002F4D3E"/>
    <w:rsid w:val="002F5234"/>
    <w:rsid w:val="002F6588"/>
    <w:rsid w:val="002F6FB3"/>
    <w:rsid w:val="003020C3"/>
    <w:rsid w:val="00302785"/>
    <w:rsid w:val="00304229"/>
    <w:rsid w:val="00306089"/>
    <w:rsid w:val="003101FD"/>
    <w:rsid w:val="00310EDF"/>
    <w:rsid w:val="00311AA9"/>
    <w:rsid w:val="003124B6"/>
    <w:rsid w:val="003131C1"/>
    <w:rsid w:val="00313930"/>
    <w:rsid w:val="00313C92"/>
    <w:rsid w:val="0031405C"/>
    <w:rsid w:val="003149F7"/>
    <w:rsid w:val="003152E7"/>
    <w:rsid w:val="00316AAC"/>
    <w:rsid w:val="0031760A"/>
    <w:rsid w:val="003178A4"/>
    <w:rsid w:val="003216A1"/>
    <w:rsid w:val="00322333"/>
    <w:rsid w:val="00322B30"/>
    <w:rsid w:val="00322DCE"/>
    <w:rsid w:val="0032327D"/>
    <w:rsid w:val="00323C07"/>
    <w:rsid w:val="00325660"/>
    <w:rsid w:val="00325E95"/>
    <w:rsid w:val="00326524"/>
    <w:rsid w:val="00326E80"/>
    <w:rsid w:val="00333C0C"/>
    <w:rsid w:val="00334ED2"/>
    <w:rsid w:val="00341FB8"/>
    <w:rsid w:val="003442E1"/>
    <w:rsid w:val="00345DB4"/>
    <w:rsid w:val="00345F6E"/>
    <w:rsid w:val="003476B7"/>
    <w:rsid w:val="00347E9C"/>
    <w:rsid w:val="003516DA"/>
    <w:rsid w:val="0035241E"/>
    <w:rsid w:val="003533F2"/>
    <w:rsid w:val="00353BAA"/>
    <w:rsid w:val="00355B5A"/>
    <w:rsid w:val="00356386"/>
    <w:rsid w:val="00356A21"/>
    <w:rsid w:val="00357B18"/>
    <w:rsid w:val="00357FCF"/>
    <w:rsid w:val="003616F4"/>
    <w:rsid w:val="00362205"/>
    <w:rsid w:val="0036277A"/>
    <w:rsid w:val="0036347A"/>
    <w:rsid w:val="003639FD"/>
    <w:rsid w:val="00365017"/>
    <w:rsid w:val="00365402"/>
    <w:rsid w:val="0036551A"/>
    <w:rsid w:val="0036612D"/>
    <w:rsid w:val="003678F3"/>
    <w:rsid w:val="0037026B"/>
    <w:rsid w:val="00370D84"/>
    <w:rsid w:val="00370F8F"/>
    <w:rsid w:val="00371D4B"/>
    <w:rsid w:val="0037226A"/>
    <w:rsid w:val="00372CC1"/>
    <w:rsid w:val="003741DB"/>
    <w:rsid w:val="003743CA"/>
    <w:rsid w:val="0037452C"/>
    <w:rsid w:val="00374984"/>
    <w:rsid w:val="003749AC"/>
    <w:rsid w:val="0037509C"/>
    <w:rsid w:val="00375DC9"/>
    <w:rsid w:val="003775EA"/>
    <w:rsid w:val="00377D5A"/>
    <w:rsid w:val="0038088C"/>
    <w:rsid w:val="00382119"/>
    <w:rsid w:val="00384437"/>
    <w:rsid w:val="003852A3"/>
    <w:rsid w:val="0038579C"/>
    <w:rsid w:val="00386F6F"/>
    <w:rsid w:val="003901BA"/>
    <w:rsid w:val="00390A59"/>
    <w:rsid w:val="00390DE1"/>
    <w:rsid w:val="00390E25"/>
    <w:rsid w:val="00391F99"/>
    <w:rsid w:val="00392737"/>
    <w:rsid w:val="00393148"/>
    <w:rsid w:val="00393D3E"/>
    <w:rsid w:val="0039562B"/>
    <w:rsid w:val="003A08A4"/>
    <w:rsid w:val="003A1EBB"/>
    <w:rsid w:val="003A31AA"/>
    <w:rsid w:val="003A375B"/>
    <w:rsid w:val="003A3F68"/>
    <w:rsid w:val="003B074C"/>
    <w:rsid w:val="003B0C5A"/>
    <w:rsid w:val="003B0F58"/>
    <w:rsid w:val="003B1263"/>
    <w:rsid w:val="003B17D2"/>
    <w:rsid w:val="003B2EB1"/>
    <w:rsid w:val="003B34AE"/>
    <w:rsid w:val="003B37FF"/>
    <w:rsid w:val="003B384A"/>
    <w:rsid w:val="003B3EDA"/>
    <w:rsid w:val="003B42BF"/>
    <w:rsid w:val="003B47DA"/>
    <w:rsid w:val="003B6199"/>
    <w:rsid w:val="003B73B8"/>
    <w:rsid w:val="003B76A1"/>
    <w:rsid w:val="003B7EF4"/>
    <w:rsid w:val="003C0065"/>
    <w:rsid w:val="003C1540"/>
    <w:rsid w:val="003C2030"/>
    <w:rsid w:val="003C2743"/>
    <w:rsid w:val="003C2762"/>
    <w:rsid w:val="003C2DEC"/>
    <w:rsid w:val="003C32AE"/>
    <w:rsid w:val="003C4C7C"/>
    <w:rsid w:val="003C4D39"/>
    <w:rsid w:val="003C77BD"/>
    <w:rsid w:val="003D02E5"/>
    <w:rsid w:val="003D1FCC"/>
    <w:rsid w:val="003D20CD"/>
    <w:rsid w:val="003D3155"/>
    <w:rsid w:val="003D32E4"/>
    <w:rsid w:val="003D3696"/>
    <w:rsid w:val="003D386E"/>
    <w:rsid w:val="003D449C"/>
    <w:rsid w:val="003D4BDB"/>
    <w:rsid w:val="003D4CAE"/>
    <w:rsid w:val="003D5562"/>
    <w:rsid w:val="003D5B5A"/>
    <w:rsid w:val="003D7803"/>
    <w:rsid w:val="003E003F"/>
    <w:rsid w:val="003E13FC"/>
    <w:rsid w:val="003E1B03"/>
    <w:rsid w:val="003E32D0"/>
    <w:rsid w:val="003E33EC"/>
    <w:rsid w:val="003E35CC"/>
    <w:rsid w:val="003E4102"/>
    <w:rsid w:val="003E4223"/>
    <w:rsid w:val="003E4EAF"/>
    <w:rsid w:val="003E594A"/>
    <w:rsid w:val="003E63C0"/>
    <w:rsid w:val="003E684B"/>
    <w:rsid w:val="003E74EC"/>
    <w:rsid w:val="003E7B0E"/>
    <w:rsid w:val="003F086E"/>
    <w:rsid w:val="003F1456"/>
    <w:rsid w:val="003F1ED2"/>
    <w:rsid w:val="003F23EE"/>
    <w:rsid w:val="003F25ED"/>
    <w:rsid w:val="003F2A39"/>
    <w:rsid w:val="003F31B3"/>
    <w:rsid w:val="003F3314"/>
    <w:rsid w:val="003F3953"/>
    <w:rsid w:val="003F3B2D"/>
    <w:rsid w:val="003F6382"/>
    <w:rsid w:val="003F6553"/>
    <w:rsid w:val="003F72B2"/>
    <w:rsid w:val="0040004A"/>
    <w:rsid w:val="004003E9"/>
    <w:rsid w:val="00400FEC"/>
    <w:rsid w:val="00402D24"/>
    <w:rsid w:val="00402DC0"/>
    <w:rsid w:val="00402DF2"/>
    <w:rsid w:val="00402FF6"/>
    <w:rsid w:val="0040329D"/>
    <w:rsid w:val="004035B2"/>
    <w:rsid w:val="00404440"/>
    <w:rsid w:val="004059A5"/>
    <w:rsid w:val="00406B30"/>
    <w:rsid w:val="00410642"/>
    <w:rsid w:val="004109F9"/>
    <w:rsid w:val="00410B4A"/>
    <w:rsid w:val="00410BBD"/>
    <w:rsid w:val="00411F0D"/>
    <w:rsid w:val="004136EC"/>
    <w:rsid w:val="00415AE2"/>
    <w:rsid w:val="004202E3"/>
    <w:rsid w:val="00421000"/>
    <w:rsid w:val="004213AF"/>
    <w:rsid w:val="00422DB4"/>
    <w:rsid w:val="00423263"/>
    <w:rsid w:val="0042374B"/>
    <w:rsid w:val="00423CEA"/>
    <w:rsid w:val="004245E3"/>
    <w:rsid w:val="0042548A"/>
    <w:rsid w:val="00425BD1"/>
    <w:rsid w:val="00425FD5"/>
    <w:rsid w:val="004266CD"/>
    <w:rsid w:val="00426744"/>
    <w:rsid w:val="004269BA"/>
    <w:rsid w:val="004272DC"/>
    <w:rsid w:val="00427C71"/>
    <w:rsid w:val="00431B80"/>
    <w:rsid w:val="004323E6"/>
    <w:rsid w:val="0043393C"/>
    <w:rsid w:val="00433977"/>
    <w:rsid w:val="00433CAD"/>
    <w:rsid w:val="004359FB"/>
    <w:rsid w:val="00435F02"/>
    <w:rsid w:val="004378BE"/>
    <w:rsid w:val="00437CF7"/>
    <w:rsid w:val="0044104A"/>
    <w:rsid w:val="00441750"/>
    <w:rsid w:val="00441FE3"/>
    <w:rsid w:val="00442052"/>
    <w:rsid w:val="00442825"/>
    <w:rsid w:val="0044575B"/>
    <w:rsid w:val="00446434"/>
    <w:rsid w:val="00450805"/>
    <w:rsid w:val="004508EF"/>
    <w:rsid w:val="00451CF5"/>
    <w:rsid w:val="0045315C"/>
    <w:rsid w:val="0045388B"/>
    <w:rsid w:val="00453FE3"/>
    <w:rsid w:val="0045423B"/>
    <w:rsid w:val="00455150"/>
    <w:rsid w:val="0045541C"/>
    <w:rsid w:val="00455E60"/>
    <w:rsid w:val="0045628E"/>
    <w:rsid w:val="00456753"/>
    <w:rsid w:val="0046007B"/>
    <w:rsid w:val="00461774"/>
    <w:rsid w:val="00462CF9"/>
    <w:rsid w:val="004634D1"/>
    <w:rsid w:val="00463515"/>
    <w:rsid w:val="00465FE9"/>
    <w:rsid w:val="00466ABA"/>
    <w:rsid w:val="00466DD2"/>
    <w:rsid w:val="00470658"/>
    <w:rsid w:val="00471479"/>
    <w:rsid w:val="0047164A"/>
    <w:rsid w:val="00471677"/>
    <w:rsid w:val="00472C37"/>
    <w:rsid w:val="0047407F"/>
    <w:rsid w:val="0047418B"/>
    <w:rsid w:val="00474576"/>
    <w:rsid w:val="004753CF"/>
    <w:rsid w:val="00475B1D"/>
    <w:rsid w:val="00475BD2"/>
    <w:rsid w:val="00475C78"/>
    <w:rsid w:val="00475E58"/>
    <w:rsid w:val="00475FB5"/>
    <w:rsid w:val="004761B0"/>
    <w:rsid w:val="004767BE"/>
    <w:rsid w:val="00476A52"/>
    <w:rsid w:val="004773BA"/>
    <w:rsid w:val="0047768F"/>
    <w:rsid w:val="00477BD9"/>
    <w:rsid w:val="00477D3F"/>
    <w:rsid w:val="00480204"/>
    <w:rsid w:val="00480455"/>
    <w:rsid w:val="004818CC"/>
    <w:rsid w:val="00482DCF"/>
    <w:rsid w:val="004848D5"/>
    <w:rsid w:val="00484DC4"/>
    <w:rsid w:val="004852E7"/>
    <w:rsid w:val="00486065"/>
    <w:rsid w:val="00486113"/>
    <w:rsid w:val="0048634F"/>
    <w:rsid w:val="00486AC2"/>
    <w:rsid w:val="00487291"/>
    <w:rsid w:val="00490006"/>
    <w:rsid w:val="004909E5"/>
    <w:rsid w:val="00491B5C"/>
    <w:rsid w:val="00491EF9"/>
    <w:rsid w:val="00492113"/>
    <w:rsid w:val="00496C43"/>
    <w:rsid w:val="004A0E33"/>
    <w:rsid w:val="004A176D"/>
    <w:rsid w:val="004A1AE5"/>
    <w:rsid w:val="004A26CA"/>
    <w:rsid w:val="004A2954"/>
    <w:rsid w:val="004A2C00"/>
    <w:rsid w:val="004A2C3E"/>
    <w:rsid w:val="004A2E0B"/>
    <w:rsid w:val="004A331F"/>
    <w:rsid w:val="004A4828"/>
    <w:rsid w:val="004A4E0D"/>
    <w:rsid w:val="004A599D"/>
    <w:rsid w:val="004A5FE5"/>
    <w:rsid w:val="004A603F"/>
    <w:rsid w:val="004A6F1A"/>
    <w:rsid w:val="004A70CD"/>
    <w:rsid w:val="004A70F4"/>
    <w:rsid w:val="004A7D04"/>
    <w:rsid w:val="004B0004"/>
    <w:rsid w:val="004B0EDE"/>
    <w:rsid w:val="004B29A6"/>
    <w:rsid w:val="004B2F10"/>
    <w:rsid w:val="004B327D"/>
    <w:rsid w:val="004B4462"/>
    <w:rsid w:val="004B5B2E"/>
    <w:rsid w:val="004B6071"/>
    <w:rsid w:val="004B7962"/>
    <w:rsid w:val="004B7A36"/>
    <w:rsid w:val="004B7C8F"/>
    <w:rsid w:val="004C021E"/>
    <w:rsid w:val="004C0413"/>
    <w:rsid w:val="004C0A4A"/>
    <w:rsid w:val="004C12FA"/>
    <w:rsid w:val="004C1553"/>
    <w:rsid w:val="004C1C61"/>
    <w:rsid w:val="004C2EFA"/>
    <w:rsid w:val="004C3D6E"/>
    <w:rsid w:val="004C4C28"/>
    <w:rsid w:val="004C4CFF"/>
    <w:rsid w:val="004C57C3"/>
    <w:rsid w:val="004C5DFA"/>
    <w:rsid w:val="004C6BF8"/>
    <w:rsid w:val="004C6D08"/>
    <w:rsid w:val="004D14E8"/>
    <w:rsid w:val="004D1526"/>
    <w:rsid w:val="004D18B5"/>
    <w:rsid w:val="004D2276"/>
    <w:rsid w:val="004D2751"/>
    <w:rsid w:val="004D2904"/>
    <w:rsid w:val="004D324E"/>
    <w:rsid w:val="004D573A"/>
    <w:rsid w:val="004D76A4"/>
    <w:rsid w:val="004D7A79"/>
    <w:rsid w:val="004D7B35"/>
    <w:rsid w:val="004E266F"/>
    <w:rsid w:val="004E3A60"/>
    <w:rsid w:val="004E45A9"/>
    <w:rsid w:val="004E5253"/>
    <w:rsid w:val="004E53EB"/>
    <w:rsid w:val="004E625B"/>
    <w:rsid w:val="004E65F6"/>
    <w:rsid w:val="004E67CA"/>
    <w:rsid w:val="004E7731"/>
    <w:rsid w:val="004E7A3F"/>
    <w:rsid w:val="004F0492"/>
    <w:rsid w:val="004F1F88"/>
    <w:rsid w:val="004F2393"/>
    <w:rsid w:val="004F2ED3"/>
    <w:rsid w:val="004F4205"/>
    <w:rsid w:val="004F4547"/>
    <w:rsid w:val="004F74F8"/>
    <w:rsid w:val="004F7A3A"/>
    <w:rsid w:val="0050024D"/>
    <w:rsid w:val="00500971"/>
    <w:rsid w:val="00500CB3"/>
    <w:rsid w:val="00502246"/>
    <w:rsid w:val="005025D6"/>
    <w:rsid w:val="00502FDA"/>
    <w:rsid w:val="005030C0"/>
    <w:rsid w:val="00503910"/>
    <w:rsid w:val="00504AB1"/>
    <w:rsid w:val="00505921"/>
    <w:rsid w:val="005069D2"/>
    <w:rsid w:val="00506CC5"/>
    <w:rsid w:val="00507C71"/>
    <w:rsid w:val="00507FF0"/>
    <w:rsid w:val="0051049D"/>
    <w:rsid w:val="005106B0"/>
    <w:rsid w:val="0051087F"/>
    <w:rsid w:val="00510A9B"/>
    <w:rsid w:val="0051187C"/>
    <w:rsid w:val="005124C1"/>
    <w:rsid w:val="00513B7F"/>
    <w:rsid w:val="00513DFE"/>
    <w:rsid w:val="0051422C"/>
    <w:rsid w:val="005158AE"/>
    <w:rsid w:val="00515F07"/>
    <w:rsid w:val="00515FC0"/>
    <w:rsid w:val="00516120"/>
    <w:rsid w:val="00516214"/>
    <w:rsid w:val="00516BCF"/>
    <w:rsid w:val="00517914"/>
    <w:rsid w:val="0052010D"/>
    <w:rsid w:val="005202F3"/>
    <w:rsid w:val="005212EE"/>
    <w:rsid w:val="005217F8"/>
    <w:rsid w:val="00523BDE"/>
    <w:rsid w:val="00524B29"/>
    <w:rsid w:val="00524BC6"/>
    <w:rsid w:val="00525470"/>
    <w:rsid w:val="005265AF"/>
    <w:rsid w:val="0052664D"/>
    <w:rsid w:val="0052671A"/>
    <w:rsid w:val="0053149B"/>
    <w:rsid w:val="005316E0"/>
    <w:rsid w:val="00532505"/>
    <w:rsid w:val="005326F3"/>
    <w:rsid w:val="00532DDB"/>
    <w:rsid w:val="00532E5A"/>
    <w:rsid w:val="005333EC"/>
    <w:rsid w:val="00533667"/>
    <w:rsid w:val="00534B95"/>
    <w:rsid w:val="00534BF6"/>
    <w:rsid w:val="00535120"/>
    <w:rsid w:val="005369FD"/>
    <w:rsid w:val="00537201"/>
    <w:rsid w:val="00541892"/>
    <w:rsid w:val="00544775"/>
    <w:rsid w:val="00544F39"/>
    <w:rsid w:val="00545FDC"/>
    <w:rsid w:val="00546218"/>
    <w:rsid w:val="005462D1"/>
    <w:rsid w:val="005476E0"/>
    <w:rsid w:val="00547BD0"/>
    <w:rsid w:val="00547FB9"/>
    <w:rsid w:val="00550D27"/>
    <w:rsid w:val="0055298F"/>
    <w:rsid w:val="0055334C"/>
    <w:rsid w:val="005533A4"/>
    <w:rsid w:val="00553489"/>
    <w:rsid w:val="0055348C"/>
    <w:rsid w:val="00553808"/>
    <w:rsid w:val="00553D00"/>
    <w:rsid w:val="00553E92"/>
    <w:rsid w:val="00554CBA"/>
    <w:rsid w:val="005554E4"/>
    <w:rsid w:val="00560C45"/>
    <w:rsid w:val="005615C7"/>
    <w:rsid w:val="00561C3E"/>
    <w:rsid w:val="00562A71"/>
    <w:rsid w:val="00564357"/>
    <w:rsid w:val="00564DF6"/>
    <w:rsid w:val="00565B09"/>
    <w:rsid w:val="00565C07"/>
    <w:rsid w:val="00566826"/>
    <w:rsid w:val="00571B18"/>
    <w:rsid w:val="005745E1"/>
    <w:rsid w:val="005762D9"/>
    <w:rsid w:val="005765CC"/>
    <w:rsid w:val="00576BEC"/>
    <w:rsid w:val="00576FED"/>
    <w:rsid w:val="0058027D"/>
    <w:rsid w:val="00580919"/>
    <w:rsid w:val="00581087"/>
    <w:rsid w:val="00582244"/>
    <w:rsid w:val="005829A6"/>
    <w:rsid w:val="00583B2D"/>
    <w:rsid w:val="00584304"/>
    <w:rsid w:val="00584398"/>
    <w:rsid w:val="00586DD3"/>
    <w:rsid w:val="00587042"/>
    <w:rsid w:val="0058723B"/>
    <w:rsid w:val="00587DB2"/>
    <w:rsid w:val="00587F15"/>
    <w:rsid w:val="005905AD"/>
    <w:rsid w:val="00590E54"/>
    <w:rsid w:val="00590ED5"/>
    <w:rsid w:val="00591576"/>
    <w:rsid w:val="0059157F"/>
    <w:rsid w:val="00592089"/>
    <w:rsid w:val="00592848"/>
    <w:rsid w:val="00593A28"/>
    <w:rsid w:val="00594B40"/>
    <w:rsid w:val="00595344"/>
    <w:rsid w:val="005958C7"/>
    <w:rsid w:val="00595D7B"/>
    <w:rsid w:val="00596890"/>
    <w:rsid w:val="00596AAE"/>
    <w:rsid w:val="00597771"/>
    <w:rsid w:val="00597EE0"/>
    <w:rsid w:val="00597F98"/>
    <w:rsid w:val="005A01F3"/>
    <w:rsid w:val="005A0619"/>
    <w:rsid w:val="005A0A12"/>
    <w:rsid w:val="005A0B5D"/>
    <w:rsid w:val="005A2C28"/>
    <w:rsid w:val="005A2CD0"/>
    <w:rsid w:val="005A39EF"/>
    <w:rsid w:val="005A3FC9"/>
    <w:rsid w:val="005A58E1"/>
    <w:rsid w:val="005A6194"/>
    <w:rsid w:val="005A6CB1"/>
    <w:rsid w:val="005A7166"/>
    <w:rsid w:val="005A73E6"/>
    <w:rsid w:val="005B08EE"/>
    <w:rsid w:val="005B1F79"/>
    <w:rsid w:val="005B23E8"/>
    <w:rsid w:val="005B290F"/>
    <w:rsid w:val="005B3124"/>
    <w:rsid w:val="005B3362"/>
    <w:rsid w:val="005B4ECB"/>
    <w:rsid w:val="005B5475"/>
    <w:rsid w:val="005B774B"/>
    <w:rsid w:val="005B7956"/>
    <w:rsid w:val="005B7A2C"/>
    <w:rsid w:val="005C04FC"/>
    <w:rsid w:val="005C08B7"/>
    <w:rsid w:val="005C0A01"/>
    <w:rsid w:val="005C0BED"/>
    <w:rsid w:val="005C0FB3"/>
    <w:rsid w:val="005C159F"/>
    <w:rsid w:val="005C16D7"/>
    <w:rsid w:val="005C1B6F"/>
    <w:rsid w:val="005C47E5"/>
    <w:rsid w:val="005C48E3"/>
    <w:rsid w:val="005C5913"/>
    <w:rsid w:val="005C5F4C"/>
    <w:rsid w:val="005C72D5"/>
    <w:rsid w:val="005C74A2"/>
    <w:rsid w:val="005C7D48"/>
    <w:rsid w:val="005C7D58"/>
    <w:rsid w:val="005C7E5B"/>
    <w:rsid w:val="005D0300"/>
    <w:rsid w:val="005D0C7F"/>
    <w:rsid w:val="005D1C89"/>
    <w:rsid w:val="005D2376"/>
    <w:rsid w:val="005D302F"/>
    <w:rsid w:val="005D3CC7"/>
    <w:rsid w:val="005D3D77"/>
    <w:rsid w:val="005D4D9A"/>
    <w:rsid w:val="005D65F4"/>
    <w:rsid w:val="005D690C"/>
    <w:rsid w:val="005D7700"/>
    <w:rsid w:val="005D7884"/>
    <w:rsid w:val="005E02A6"/>
    <w:rsid w:val="005E165F"/>
    <w:rsid w:val="005E265C"/>
    <w:rsid w:val="005E2B3D"/>
    <w:rsid w:val="005E3A1B"/>
    <w:rsid w:val="005E4663"/>
    <w:rsid w:val="005E566B"/>
    <w:rsid w:val="005E5FF3"/>
    <w:rsid w:val="005E6027"/>
    <w:rsid w:val="005E6E84"/>
    <w:rsid w:val="005E71C8"/>
    <w:rsid w:val="005E766D"/>
    <w:rsid w:val="005E7812"/>
    <w:rsid w:val="005F04FC"/>
    <w:rsid w:val="005F1C68"/>
    <w:rsid w:val="005F1E2A"/>
    <w:rsid w:val="005F263E"/>
    <w:rsid w:val="005F2FD1"/>
    <w:rsid w:val="005F3828"/>
    <w:rsid w:val="005F6277"/>
    <w:rsid w:val="005F731C"/>
    <w:rsid w:val="00600237"/>
    <w:rsid w:val="00600760"/>
    <w:rsid w:val="0060087C"/>
    <w:rsid w:val="00600D82"/>
    <w:rsid w:val="00601604"/>
    <w:rsid w:val="00602116"/>
    <w:rsid w:val="006025D8"/>
    <w:rsid w:val="006029DA"/>
    <w:rsid w:val="0060444B"/>
    <w:rsid w:val="006045C8"/>
    <w:rsid w:val="00605311"/>
    <w:rsid w:val="00606192"/>
    <w:rsid w:val="00606344"/>
    <w:rsid w:val="0060646B"/>
    <w:rsid w:val="006065AE"/>
    <w:rsid w:val="006068BA"/>
    <w:rsid w:val="00606F41"/>
    <w:rsid w:val="00607446"/>
    <w:rsid w:val="0061162F"/>
    <w:rsid w:val="00611CF5"/>
    <w:rsid w:val="00611FEE"/>
    <w:rsid w:val="00612957"/>
    <w:rsid w:val="00614786"/>
    <w:rsid w:val="00616418"/>
    <w:rsid w:val="00617579"/>
    <w:rsid w:val="0061758B"/>
    <w:rsid w:val="00617DDD"/>
    <w:rsid w:val="00620ECE"/>
    <w:rsid w:val="00621105"/>
    <w:rsid w:val="00623C50"/>
    <w:rsid w:val="006240A3"/>
    <w:rsid w:val="00624236"/>
    <w:rsid w:val="00624BBB"/>
    <w:rsid w:val="00626314"/>
    <w:rsid w:val="0062689E"/>
    <w:rsid w:val="006279E5"/>
    <w:rsid w:val="00627A40"/>
    <w:rsid w:val="00627B28"/>
    <w:rsid w:val="00630052"/>
    <w:rsid w:val="00630449"/>
    <w:rsid w:val="006306D7"/>
    <w:rsid w:val="0063090A"/>
    <w:rsid w:val="00630BA3"/>
    <w:rsid w:val="006310E6"/>
    <w:rsid w:val="00632054"/>
    <w:rsid w:val="00632E51"/>
    <w:rsid w:val="006331EC"/>
    <w:rsid w:val="006349B7"/>
    <w:rsid w:val="0063612D"/>
    <w:rsid w:val="00637D45"/>
    <w:rsid w:val="0064001F"/>
    <w:rsid w:val="00640424"/>
    <w:rsid w:val="00641341"/>
    <w:rsid w:val="00641D8B"/>
    <w:rsid w:val="00642023"/>
    <w:rsid w:val="00642881"/>
    <w:rsid w:val="006443F8"/>
    <w:rsid w:val="00644DC0"/>
    <w:rsid w:val="0064587D"/>
    <w:rsid w:val="00647846"/>
    <w:rsid w:val="0065055D"/>
    <w:rsid w:val="00650CFC"/>
    <w:rsid w:val="00653381"/>
    <w:rsid w:val="00653E6C"/>
    <w:rsid w:val="00654146"/>
    <w:rsid w:val="00654237"/>
    <w:rsid w:val="006546EB"/>
    <w:rsid w:val="0065530E"/>
    <w:rsid w:val="00655FC6"/>
    <w:rsid w:val="0066019D"/>
    <w:rsid w:val="00661964"/>
    <w:rsid w:val="0066236F"/>
    <w:rsid w:val="006635DF"/>
    <w:rsid w:val="006638B9"/>
    <w:rsid w:val="00663F66"/>
    <w:rsid w:val="006644DF"/>
    <w:rsid w:val="006678AB"/>
    <w:rsid w:val="00670574"/>
    <w:rsid w:val="00671147"/>
    <w:rsid w:val="0067141E"/>
    <w:rsid w:val="006717C3"/>
    <w:rsid w:val="00671ABF"/>
    <w:rsid w:val="00672460"/>
    <w:rsid w:val="00672697"/>
    <w:rsid w:val="00673669"/>
    <w:rsid w:val="00674375"/>
    <w:rsid w:val="006769CE"/>
    <w:rsid w:val="00676DF2"/>
    <w:rsid w:val="006778FC"/>
    <w:rsid w:val="00680213"/>
    <w:rsid w:val="00681920"/>
    <w:rsid w:val="00682195"/>
    <w:rsid w:val="006821BC"/>
    <w:rsid w:val="00684630"/>
    <w:rsid w:val="00684701"/>
    <w:rsid w:val="00684E24"/>
    <w:rsid w:val="00685D3C"/>
    <w:rsid w:val="00686E0D"/>
    <w:rsid w:val="00687379"/>
    <w:rsid w:val="006876CB"/>
    <w:rsid w:val="00687981"/>
    <w:rsid w:val="00687BF6"/>
    <w:rsid w:val="00690311"/>
    <w:rsid w:val="00690A95"/>
    <w:rsid w:val="00690CB9"/>
    <w:rsid w:val="00691B81"/>
    <w:rsid w:val="00692196"/>
    <w:rsid w:val="006923D0"/>
    <w:rsid w:val="006929C5"/>
    <w:rsid w:val="006960B5"/>
    <w:rsid w:val="0069670F"/>
    <w:rsid w:val="006969BF"/>
    <w:rsid w:val="00697192"/>
    <w:rsid w:val="006A04F5"/>
    <w:rsid w:val="006A082E"/>
    <w:rsid w:val="006A2259"/>
    <w:rsid w:val="006A2D7B"/>
    <w:rsid w:val="006A3B69"/>
    <w:rsid w:val="006A48A9"/>
    <w:rsid w:val="006A4CA1"/>
    <w:rsid w:val="006A5031"/>
    <w:rsid w:val="006A643D"/>
    <w:rsid w:val="006A78EF"/>
    <w:rsid w:val="006B0B75"/>
    <w:rsid w:val="006B0B9A"/>
    <w:rsid w:val="006B224B"/>
    <w:rsid w:val="006B41C4"/>
    <w:rsid w:val="006B5B29"/>
    <w:rsid w:val="006B5B52"/>
    <w:rsid w:val="006B5C63"/>
    <w:rsid w:val="006B64B9"/>
    <w:rsid w:val="006B6510"/>
    <w:rsid w:val="006B668D"/>
    <w:rsid w:val="006B6913"/>
    <w:rsid w:val="006B6FAD"/>
    <w:rsid w:val="006B79DF"/>
    <w:rsid w:val="006B7B13"/>
    <w:rsid w:val="006C03EE"/>
    <w:rsid w:val="006C0929"/>
    <w:rsid w:val="006C0A77"/>
    <w:rsid w:val="006C15B6"/>
    <w:rsid w:val="006C19AD"/>
    <w:rsid w:val="006C1D64"/>
    <w:rsid w:val="006C3D93"/>
    <w:rsid w:val="006C44F3"/>
    <w:rsid w:val="006C54C3"/>
    <w:rsid w:val="006C5DB4"/>
    <w:rsid w:val="006C5F16"/>
    <w:rsid w:val="006C632B"/>
    <w:rsid w:val="006C6690"/>
    <w:rsid w:val="006C6766"/>
    <w:rsid w:val="006C7174"/>
    <w:rsid w:val="006C7189"/>
    <w:rsid w:val="006C7255"/>
    <w:rsid w:val="006D004F"/>
    <w:rsid w:val="006D0531"/>
    <w:rsid w:val="006D2123"/>
    <w:rsid w:val="006D24F6"/>
    <w:rsid w:val="006D29EC"/>
    <w:rsid w:val="006D4DEF"/>
    <w:rsid w:val="006D5224"/>
    <w:rsid w:val="006D5A45"/>
    <w:rsid w:val="006D652C"/>
    <w:rsid w:val="006D711C"/>
    <w:rsid w:val="006D7277"/>
    <w:rsid w:val="006E1BE0"/>
    <w:rsid w:val="006E1CF4"/>
    <w:rsid w:val="006E2BBB"/>
    <w:rsid w:val="006E3336"/>
    <w:rsid w:val="006E3C14"/>
    <w:rsid w:val="006E5FA7"/>
    <w:rsid w:val="006E6536"/>
    <w:rsid w:val="006E6651"/>
    <w:rsid w:val="006E6738"/>
    <w:rsid w:val="006E6934"/>
    <w:rsid w:val="006E7550"/>
    <w:rsid w:val="006F0DF2"/>
    <w:rsid w:val="006F12DC"/>
    <w:rsid w:val="006F15C0"/>
    <w:rsid w:val="006F4374"/>
    <w:rsid w:val="006F4983"/>
    <w:rsid w:val="006F536B"/>
    <w:rsid w:val="006F60C2"/>
    <w:rsid w:val="006F6DAA"/>
    <w:rsid w:val="006F7AEF"/>
    <w:rsid w:val="00700CBA"/>
    <w:rsid w:val="00701BA5"/>
    <w:rsid w:val="00702BDB"/>
    <w:rsid w:val="00702F9A"/>
    <w:rsid w:val="0070421F"/>
    <w:rsid w:val="00705616"/>
    <w:rsid w:val="007058EE"/>
    <w:rsid w:val="00705B2E"/>
    <w:rsid w:val="0071284E"/>
    <w:rsid w:val="007132F4"/>
    <w:rsid w:val="00713795"/>
    <w:rsid w:val="00713B19"/>
    <w:rsid w:val="0071434D"/>
    <w:rsid w:val="007154BA"/>
    <w:rsid w:val="00720574"/>
    <w:rsid w:val="00720A77"/>
    <w:rsid w:val="00721285"/>
    <w:rsid w:val="00721A77"/>
    <w:rsid w:val="0072208A"/>
    <w:rsid w:val="00723192"/>
    <w:rsid w:val="00723794"/>
    <w:rsid w:val="00723E53"/>
    <w:rsid w:val="007246F6"/>
    <w:rsid w:val="007254F6"/>
    <w:rsid w:val="0072671D"/>
    <w:rsid w:val="007278FD"/>
    <w:rsid w:val="0073013E"/>
    <w:rsid w:val="0073037C"/>
    <w:rsid w:val="00730855"/>
    <w:rsid w:val="00730AFB"/>
    <w:rsid w:val="00730E9D"/>
    <w:rsid w:val="00731F07"/>
    <w:rsid w:val="00732137"/>
    <w:rsid w:val="00732205"/>
    <w:rsid w:val="007326B2"/>
    <w:rsid w:val="00732F1C"/>
    <w:rsid w:val="00733E34"/>
    <w:rsid w:val="00733F7A"/>
    <w:rsid w:val="0073482E"/>
    <w:rsid w:val="00736535"/>
    <w:rsid w:val="00741052"/>
    <w:rsid w:val="0074160A"/>
    <w:rsid w:val="00741FF6"/>
    <w:rsid w:val="00744C86"/>
    <w:rsid w:val="007452CA"/>
    <w:rsid w:val="007455DE"/>
    <w:rsid w:val="00745C4C"/>
    <w:rsid w:val="00745F44"/>
    <w:rsid w:val="00746395"/>
    <w:rsid w:val="0074752C"/>
    <w:rsid w:val="007509AF"/>
    <w:rsid w:val="0075181E"/>
    <w:rsid w:val="0075276B"/>
    <w:rsid w:val="0075353C"/>
    <w:rsid w:val="007546FC"/>
    <w:rsid w:val="00754DA6"/>
    <w:rsid w:val="00755633"/>
    <w:rsid w:val="00756508"/>
    <w:rsid w:val="00757243"/>
    <w:rsid w:val="00757712"/>
    <w:rsid w:val="00757935"/>
    <w:rsid w:val="00761C4A"/>
    <w:rsid w:val="00761D3B"/>
    <w:rsid w:val="00762269"/>
    <w:rsid w:val="007636F4"/>
    <w:rsid w:val="007639FA"/>
    <w:rsid w:val="007648C7"/>
    <w:rsid w:val="00764B00"/>
    <w:rsid w:val="00764D9C"/>
    <w:rsid w:val="007673C3"/>
    <w:rsid w:val="007707B0"/>
    <w:rsid w:val="00771525"/>
    <w:rsid w:val="007718E5"/>
    <w:rsid w:val="00771D92"/>
    <w:rsid w:val="00772325"/>
    <w:rsid w:val="007724E7"/>
    <w:rsid w:val="00773073"/>
    <w:rsid w:val="00773624"/>
    <w:rsid w:val="00774838"/>
    <w:rsid w:val="00775239"/>
    <w:rsid w:val="007761CD"/>
    <w:rsid w:val="00776A28"/>
    <w:rsid w:val="00777325"/>
    <w:rsid w:val="00777A69"/>
    <w:rsid w:val="007800FA"/>
    <w:rsid w:val="00780E0F"/>
    <w:rsid w:val="007815CF"/>
    <w:rsid w:val="00781FBE"/>
    <w:rsid w:val="00783BD6"/>
    <w:rsid w:val="00785202"/>
    <w:rsid w:val="00785813"/>
    <w:rsid w:val="00785D36"/>
    <w:rsid w:val="007862B6"/>
    <w:rsid w:val="00787E29"/>
    <w:rsid w:val="0079100D"/>
    <w:rsid w:val="007922EC"/>
    <w:rsid w:val="007932BC"/>
    <w:rsid w:val="0079418A"/>
    <w:rsid w:val="00795507"/>
    <w:rsid w:val="00795883"/>
    <w:rsid w:val="00796022"/>
    <w:rsid w:val="00796557"/>
    <w:rsid w:val="00797219"/>
    <w:rsid w:val="007A027A"/>
    <w:rsid w:val="007A05C9"/>
    <w:rsid w:val="007A0652"/>
    <w:rsid w:val="007A11CE"/>
    <w:rsid w:val="007A17FD"/>
    <w:rsid w:val="007A1B0E"/>
    <w:rsid w:val="007A1D02"/>
    <w:rsid w:val="007A23AB"/>
    <w:rsid w:val="007A2953"/>
    <w:rsid w:val="007A2DDE"/>
    <w:rsid w:val="007A3AC1"/>
    <w:rsid w:val="007A4A55"/>
    <w:rsid w:val="007A4BE3"/>
    <w:rsid w:val="007A5BB8"/>
    <w:rsid w:val="007A62DA"/>
    <w:rsid w:val="007A67D6"/>
    <w:rsid w:val="007A7A21"/>
    <w:rsid w:val="007B1830"/>
    <w:rsid w:val="007B1D5C"/>
    <w:rsid w:val="007B29FE"/>
    <w:rsid w:val="007B300D"/>
    <w:rsid w:val="007B3F4A"/>
    <w:rsid w:val="007B55B4"/>
    <w:rsid w:val="007B5680"/>
    <w:rsid w:val="007B577E"/>
    <w:rsid w:val="007B6ADD"/>
    <w:rsid w:val="007B752D"/>
    <w:rsid w:val="007B7CCA"/>
    <w:rsid w:val="007C19E9"/>
    <w:rsid w:val="007C1DDF"/>
    <w:rsid w:val="007C1F6B"/>
    <w:rsid w:val="007C23E7"/>
    <w:rsid w:val="007C27EC"/>
    <w:rsid w:val="007C3826"/>
    <w:rsid w:val="007C60DB"/>
    <w:rsid w:val="007D0ABF"/>
    <w:rsid w:val="007D14AC"/>
    <w:rsid w:val="007D166B"/>
    <w:rsid w:val="007D1F67"/>
    <w:rsid w:val="007D32E8"/>
    <w:rsid w:val="007D36A2"/>
    <w:rsid w:val="007D37F3"/>
    <w:rsid w:val="007D42C0"/>
    <w:rsid w:val="007D4ADB"/>
    <w:rsid w:val="007D50EC"/>
    <w:rsid w:val="007D5F3D"/>
    <w:rsid w:val="007D6599"/>
    <w:rsid w:val="007D7A48"/>
    <w:rsid w:val="007D7E2F"/>
    <w:rsid w:val="007E135D"/>
    <w:rsid w:val="007E1473"/>
    <w:rsid w:val="007E1F3A"/>
    <w:rsid w:val="007E2207"/>
    <w:rsid w:val="007E2225"/>
    <w:rsid w:val="007E23AB"/>
    <w:rsid w:val="007E2A8E"/>
    <w:rsid w:val="007E3F2E"/>
    <w:rsid w:val="007E3FF6"/>
    <w:rsid w:val="007E4FE5"/>
    <w:rsid w:val="007E5DDA"/>
    <w:rsid w:val="007E5E30"/>
    <w:rsid w:val="007E7319"/>
    <w:rsid w:val="007E7562"/>
    <w:rsid w:val="007F154F"/>
    <w:rsid w:val="007F1FA8"/>
    <w:rsid w:val="007F47D5"/>
    <w:rsid w:val="007F4854"/>
    <w:rsid w:val="007F4915"/>
    <w:rsid w:val="007F4950"/>
    <w:rsid w:val="007F4B40"/>
    <w:rsid w:val="007F4E1A"/>
    <w:rsid w:val="007F566F"/>
    <w:rsid w:val="007F60F8"/>
    <w:rsid w:val="007F63E3"/>
    <w:rsid w:val="007F70D5"/>
    <w:rsid w:val="007F77C4"/>
    <w:rsid w:val="0080019B"/>
    <w:rsid w:val="00800778"/>
    <w:rsid w:val="00800CF7"/>
    <w:rsid w:val="00801592"/>
    <w:rsid w:val="00802335"/>
    <w:rsid w:val="00802786"/>
    <w:rsid w:val="00802AC3"/>
    <w:rsid w:val="008034A1"/>
    <w:rsid w:val="008035E5"/>
    <w:rsid w:val="00805052"/>
    <w:rsid w:val="008064BE"/>
    <w:rsid w:val="00807264"/>
    <w:rsid w:val="00807A12"/>
    <w:rsid w:val="00811C63"/>
    <w:rsid w:val="008129C6"/>
    <w:rsid w:val="0081336B"/>
    <w:rsid w:val="00813F72"/>
    <w:rsid w:val="0081492F"/>
    <w:rsid w:val="00814A41"/>
    <w:rsid w:val="00814AEF"/>
    <w:rsid w:val="00814EDA"/>
    <w:rsid w:val="008150A1"/>
    <w:rsid w:val="00815493"/>
    <w:rsid w:val="00815ABC"/>
    <w:rsid w:val="0081659B"/>
    <w:rsid w:val="00816A97"/>
    <w:rsid w:val="008170C0"/>
    <w:rsid w:val="00817A2A"/>
    <w:rsid w:val="008203AA"/>
    <w:rsid w:val="00820F85"/>
    <w:rsid w:val="008216ED"/>
    <w:rsid w:val="00823DAC"/>
    <w:rsid w:val="00824850"/>
    <w:rsid w:val="008248FD"/>
    <w:rsid w:val="0082499D"/>
    <w:rsid w:val="00824C55"/>
    <w:rsid w:val="00827535"/>
    <w:rsid w:val="008305D4"/>
    <w:rsid w:val="00831248"/>
    <w:rsid w:val="00831954"/>
    <w:rsid w:val="00831F4E"/>
    <w:rsid w:val="00833C67"/>
    <w:rsid w:val="008347BA"/>
    <w:rsid w:val="00834E06"/>
    <w:rsid w:val="008351A3"/>
    <w:rsid w:val="008351D0"/>
    <w:rsid w:val="00835292"/>
    <w:rsid w:val="00835A10"/>
    <w:rsid w:val="00835BAE"/>
    <w:rsid w:val="00835D3D"/>
    <w:rsid w:val="00835E50"/>
    <w:rsid w:val="0083614F"/>
    <w:rsid w:val="00836332"/>
    <w:rsid w:val="00836577"/>
    <w:rsid w:val="008368BF"/>
    <w:rsid w:val="008401C8"/>
    <w:rsid w:val="00841F0F"/>
    <w:rsid w:val="008426B4"/>
    <w:rsid w:val="00842E43"/>
    <w:rsid w:val="008430A7"/>
    <w:rsid w:val="008452F8"/>
    <w:rsid w:val="00845BFE"/>
    <w:rsid w:val="00845F21"/>
    <w:rsid w:val="00846221"/>
    <w:rsid w:val="00847FB9"/>
    <w:rsid w:val="00850025"/>
    <w:rsid w:val="00851AF5"/>
    <w:rsid w:val="008530E4"/>
    <w:rsid w:val="00854200"/>
    <w:rsid w:val="00855264"/>
    <w:rsid w:val="008573A5"/>
    <w:rsid w:val="008610B3"/>
    <w:rsid w:val="00861196"/>
    <w:rsid w:val="00861C1E"/>
    <w:rsid w:val="008637B8"/>
    <w:rsid w:val="008644D8"/>
    <w:rsid w:val="008645E2"/>
    <w:rsid w:val="00864663"/>
    <w:rsid w:val="008658E2"/>
    <w:rsid w:val="0086673C"/>
    <w:rsid w:val="00866B66"/>
    <w:rsid w:val="00867482"/>
    <w:rsid w:val="00867942"/>
    <w:rsid w:val="0087092B"/>
    <w:rsid w:val="00870BE5"/>
    <w:rsid w:val="00871960"/>
    <w:rsid w:val="00871CEF"/>
    <w:rsid w:val="00871F63"/>
    <w:rsid w:val="008720F0"/>
    <w:rsid w:val="00872E91"/>
    <w:rsid w:val="00873284"/>
    <w:rsid w:val="00873AFC"/>
    <w:rsid w:val="00873B49"/>
    <w:rsid w:val="00873EE2"/>
    <w:rsid w:val="008746CC"/>
    <w:rsid w:val="008752F7"/>
    <w:rsid w:val="008754A6"/>
    <w:rsid w:val="00876CE2"/>
    <w:rsid w:val="0087725B"/>
    <w:rsid w:val="00877265"/>
    <w:rsid w:val="008772F9"/>
    <w:rsid w:val="008774EB"/>
    <w:rsid w:val="0088065E"/>
    <w:rsid w:val="00880965"/>
    <w:rsid w:val="008820A4"/>
    <w:rsid w:val="00882997"/>
    <w:rsid w:val="00882FF1"/>
    <w:rsid w:val="0088402F"/>
    <w:rsid w:val="00884734"/>
    <w:rsid w:val="008847B3"/>
    <w:rsid w:val="00885C91"/>
    <w:rsid w:val="00885D74"/>
    <w:rsid w:val="008867B0"/>
    <w:rsid w:val="0088734B"/>
    <w:rsid w:val="00890492"/>
    <w:rsid w:val="00890A39"/>
    <w:rsid w:val="00891322"/>
    <w:rsid w:val="00891960"/>
    <w:rsid w:val="008920A4"/>
    <w:rsid w:val="008928D1"/>
    <w:rsid w:val="008930E1"/>
    <w:rsid w:val="008931D5"/>
    <w:rsid w:val="008934E4"/>
    <w:rsid w:val="00893E21"/>
    <w:rsid w:val="00893F07"/>
    <w:rsid w:val="00894579"/>
    <w:rsid w:val="00896DEC"/>
    <w:rsid w:val="008979B8"/>
    <w:rsid w:val="00897C3F"/>
    <w:rsid w:val="008A10F3"/>
    <w:rsid w:val="008A1B9C"/>
    <w:rsid w:val="008A22C7"/>
    <w:rsid w:val="008A2B75"/>
    <w:rsid w:val="008A38BD"/>
    <w:rsid w:val="008A4AF2"/>
    <w:rsid w:val="008A4E5C"/>
    <w:rsid w:val="008A6206"/>
    <w:rsid w:val="008A65B5"/>
    <w:rsid w:val="008A70CF"/>
    <w:rsid w:val="008A77EB"/>
    <w:rsid w:val="008A7CAF"/>
    <w:rsid w:val="008A7FF0"/>
    <w:rsid w:val="008B0871"/>
    <w:rsid w:val="008B099C"/>
    <w:rsid w:val="008B1BA3"/>
    <w:rsid w:val="008B26CC"/>
    <w:rsid w:val="008B2EDE"/>
    <w:rsid w:val="008B31BF"/>
    <w:rsid w:val="008B31FD"/>
    <w:rsid w:val="008B342F"/>
    <w:rsid w:val="008B52E1"/>
    <w:rsid w:val="008B53B9"/>
    <w:rsid w:val="008B6545"/>
    <w:rsid w:val="008B6AD1"/>
    <w:rsid w:val="008B6DC5"/>
    <w:rsid w:val="008C25CC"/>
    <w:rsid w:val="008C2C66"/>
    <w:rsid w:val="008C3488"/>
    <w:rsid w:val="008C48B3"/>
    <w:rsid w:val="008C50A5"/>
    <w:rsid w:val="008C54BB"/>
    <w:rsid w:val="008C6F12"/>
    <w:rsid w:val="008C7A62"/>
    <w:rsid w:val="008D06D4"/>
    <w:rsid w:val="008D0803"/>
    <w:rsid w:val="008D0903"/>
    <w:rsid w:val="008D1403"/>
    <w:rsid w:val="008D1B9F"/>
    <w:rsid w:val="008D2C91"/>
    <w:rsid w:val="008D3A7B"/>
    <w:rsid w:val="008D43E0"/>
    <w:rsid w:val="008D46E3"/>
    <w:rsid w:val="008D488F"/>
    <w:rsid w:val="008D66D8"/>
    <w:rsid w:val="008D68FD"/>
    <w:rsid w:val="008D6A09"/>
    <w:rsid w:val="008D6A72"/>
    <w:rsid w:val="008D7DE4"/>
    <w:rsid w:val="008D7F41"/>
    <w:rsid w:val="008E076D"/>
    <w:rsid w:val="008E1172"/>
    <w:rsid w:val="008E171F"/>
    <w:rsid w:val="008E1CEF"/>
    <w:rsid w:val="008E2097"/>
    <w:rsid w:val="008E2A36"/>
    <w:rsid w:val="008E41AD"/>
    <w:rsid w:val="008E42DA"/>
    <w:rsid w:val="008E4DF0"/>
    <w:rsid w:val="008E6027"/>
    <w:rsid w:val="008E6491"/>
    <w:rsid w:val="008E76F6"/>
    <w:rsid w:val="008E7731"/>
    <w:rsid w:val="008E7CD5"/>
    <w:rsid w:val="008F0D70"/>
    <w:rsid w:val="008F18B1"/>
    <w:rsid w:val="008F25FF"/>
    <w:rsid w:val="008F2DB2"/>
    <w:rsid w:val="008F355C"/>
    <w:rsid w:val="008F7C3C"/>
    <w:rsid w:val="00900016"/>
    <w:rsid w:val="00900AED"/>
    <w:rsid w:val="00901DD8"/>
    <w:rsid w:val="009036BC"/>
    <w:rsid w:val="00905811"/>
    <w:rsid w:val="00907747"/>
    <w:rsid w:val="0090785D"/>
    <w:rsid w:val="00907A71"/>
    <w:rsid w:val="009107A3"/>
    <w:rsid w:val="00910A3F"/>
    <w:rsid w:val="00910D64"/>
    <w:rsid w:val="00911610"/>
    <w:rsid w:val="00913161"/>
    <w:rsid w:val="00914E33"/>
    <w:rsid w:val="00920B57"/>
    <w:rsid w:val="009212CA"/>
    <w:rsid w:val="00921517"/>
    <w:rsid w:val="00921595"/>
    <w:rsid w:val="00923878"/>
    <w:rsid w:val="00923B0C"/>
    <w:rsid w:val="00923E3D"/>
    <w:rsid w:val="0092492B"/>
    <w:rsid w:val="0092518E"/>
    <w:rsid w:val="009253F8"/>
    <w:rsid w:val="0092590C"/>
    <w:rsid w:val="00925A15"/>
    <w:rsid w:val="00926E57"/>
    <w:rsid w:val="0092753A"/>
    <w:rsid w:val="009317C7"/>
    <w:rsid w:val="00931A0E"/>
    <w:rsid w:val="00932142"/>
    <w:rsid w:val="00932C17"/>
    <w:rsid w:val="00933420"/>
    <w:rsid w:val="00933676"/>
    <w:rsid w:val="009340DD"/>
    <w:rsid w:val="0093462B"/>
    <w:rsid w:val="00934D56"/>
    <w:rsid w:val="00935A29"/>
    <w:rsid w:val="00936875"/>
    <w:rsid w:val="00936C02"/>
    <w:rsid w:val="00936DF2"/>
    <w:rsid w:val="00937A2C"/>
    <w:rsid w:val="00937C4A"/>
    <w:rsid w:val="00940A54"/>
    <w:rsid w:val="009414DE"/>
    <w:rsid w:val="009415CA"/>
    <w:rsid w:val="00942F14"/>
    <w:rsid w:val="00943110"/>
    <w:rsid w:val="009437BB"/>
    <w:rsid w:val="00943F93"/>
    <w:rsid w:val="00944B6B"/>
    <w:rsid w:val="00945068"/>
    <w:rsid w:val="00946923"/>
    <w:rsid w:val="00946B0D"/>
    <w:rsid w:val="00946F98"/>
    <w:rsid w:val="009470F3"/>
    <w:rsid w:val="00947AD7"/>
    <w:rsid w:val="00952E58"/>
    <w:rsid w:val="00952F02"/>
    <w:rsid w:val="0095348B"/>
    <w:rsid w:val="00954174"/>
    <w:rsid w:val="009548C5"/>
    <w:rsid w:val="00956357"/>
    <w:rsid w:val="00956BA4"/>
    <w:rsid w:val="0095701D"/>
    <w:rsid w:val="009572FA"/>
    <w:rsid w:val="0095741B"/>
    <w:rsid w:val="009575A2"/>
    <w:rsid w:val="00957BE9"/>
    <w:rsid w:val="00960391"/>
    <w:rsid w:val="00960560"/>
    <w:rsid w:val="009613E1"/>
    <w:rsid w:val="00961410"/>
    <w:rsid w:val="00963915"/>
    <w:rsid w:val="00964797"/>
    <w:rsid w:val="00964E14"/>
    <w:rsid w:val="00964E91"/>
    <w:rsid w:val="00964FB8"/>
    <w:rsid w:val="0096572C"/>
    <w:rsid w:val="0096588E"/>
    <w:rsid w:val="009671DE"/>
    <w:rsid w:val="00967E0C"/>
    <w:rsid w:val="00971F96"/>
    <w:rsid w:val="00973085"/>
    <w:rsid w:val="009735AE"/>
    <w:rsid w:val="00974182"/>
    <w:rsid w:val="009750EC"/>
    <w:rsid w:val="00975892"/>
    <w:rsid w:val="00975D1B"/>
    <w:rsid w:val="00976318"/>
    <w:rsid w:val="00976A24"/>
    <w:rsid w:val="00976B2D"/>
    <w:rsid w:val="00977222"/>
    <w:rsid w:val="00977299"/>
    <w:rsid w:val="009776CD"/>
    <w:rsid w:val="00977B54"/>
    <w:rsid w:val="009806D9"/>
    <w:rsid w:val="009807D6"/>
    <w:rsid w:val="0098092A"/>
    <w:rsid w:val="00981093"/>
    <w:rsid w:val="00981A4E"/>
    <w:rsid w:val="00982F12"/>
    <w:rsid w:val="009830D9"/>
    <w:rsid w:val="00983ADD"/>
    <w:rsid w:val="00983AF8"/>
    <w:rsid w:val="00984384"/>
    <w:rsid w:val="0098497A"/>
    <w:rsid w:val="00985E7A"/>
    <w:rsid w:val="00987414"/>
    <w:rsid w:val="00992BD7"/>
    <w:rsid w:val="00992C83"/>
    <w:rsid w:val="0099398C"/>
    <w:rsid w:val="00993B1C"/>
    <w:rsid w:val="00993C3A"/>
    <w:rsid w:val="00994C35"/>
    <w:rsid w:val="0099688E"/>
    <w:rsid w:val="00996A8B"/>
    <w:rsid w:val="00996B47"/>
    <w:rsid w:val="0099700F"/>
    <w:rsid w:val="009A0290"/>
    <w:rsid w:val="009A248E"/>
    <w:rsid w:val="009A3FA7"/>
    <w:rsid w:val="009A4560"/>
    <w:rsid w:val="009A4A01"/>
    <w:rsid w:val="009A5EF9"/>
    <w:rsid w:val="009A64BE"/>
    <w:rsid w:val="009A7D44"/>
    <w:rsid w:val="009B0941"/>
    <w:rsid w:val="009B19CB"/>
    <w:rsid w:val="009B1D52"/>
    <w:rsid w:val="009B1E60"/>
    <w:rsid w:val="009B2475"/>
    <w:rsid w:val="009B27F7"/>
    <w:rsid w:val="009B2B53"/>
    <w:rsid w:val="009B2B79"/>
    <w:rsid w:val="009B32B2"/>
    <w:rsid w:val="009B3577"/>
    <w:rsid w:val="009B3652"/>
    <w:rsid w:val="009B3CE0"/>
    <w:rsid w:val="009B4EF5"/>
    <w:rsid w:val="009B55AC"/>
    <w:rsid w:val="009B59E5"/>
    <w:rsid w:val="009B62EF"/>
    <w:rsid w:val="009B67C7"/>
    <w:rsid w:val="009B6E0E"/>
    <w:rsid w:val="009B6E64"/>
    <w:rsid w:val="009B70DE"/>
    <w:rsid w:val="009B7101"/>
    <w:rsid w:val="009B7187"/>
    <w:rsid w:val="009C038D"/>
    <w:rsid w:val="009C0C52"/>
    <w:rsid w:val="009C3E6C"/>
    <w:rsid w:val="009C59E3"/>
    <w:rsid w:val="009D115B"/>
    <w:rsid w:val="009D1406"/>
    <w:rsid w:val="009D181A"/>
    <w:rsid w:val="009D1BC5"/>
    <w:rsid w:val="009D3991"/>
    <w:rsid w:val="009D3F07"/>
    <w:rsid w:val="009D49F8"/>
    <w:rsid w:val="009D4C71"/>
    <w:rsid w:val="009D4FF0"/>
    <w:rsid w:val="009D5C04"/>
    <w:rsid w:val="009D604F"/>
    <w:rsid w:val="009D6597"/>
    <w:rsid w:val="009D69C8"/>
    <w:rsid w:val="009D6A27"/>
    <w:rsid w:val="009D75F8"/>
    <w:rsid w:val="009D7CD9"/>
    <w:rsid w:val="009E0F73"/>
    <w:rsid w:val="009E10C0"/>
    <w:rsid w:val="009E237C"/>
    <w:rsid w:val="009E2A44"/>
    <w:rsid w:val="009E3501"/>
    <w:rsid w:val="009E39F3"/>
    <w:rsid w:val="009E3BC6"/>
    <w:rsid w:val="009E68A9"/>
    <w:rsid w:val="009E6CB7"/>
    <w:rsid w:val="009E6CBC"/>
    <w:rsid w:val="009E7E22"/>
    <w:rsid w:val="009F06DE"/>
    <w:rsid w:val="009F219C"/>
    <w:rsid w:val="009F22CA"/>
    <w:rsid w:val="009F2B84"/>
    <w:rsid w:val="009F2C8A"/>
    <w:rsid w:val="009F2D7D"/>
    <w:rsid w:val="009F4371"/>
    <w:rsid w:val="009F6C31"/>
    <w:rsid w:val="009F741A"/>
    <w:rsid w:val="00A01328"/>
    <w:rsid w:val="00A02865"/>
    <w:rsid w:val="00A049A0"/>
    <w:rsid w:val="00A04CAE"/>
    <w:rsid w:val="00A04FC1"/>
    <w:rsid w:val="00A05A03"/>
    <w:rsid w:val="00A05F59"/>
    <w:rsid w:val="00A06E5B"/>
    <w:rsid w:val="00A0712C"/>
    <w:rsid w:val="00A07206"/>
    <w:rsid w:val="00A10311"/>
    <w:rsid w:val="00A109B7"/>
    <w:rsid w:val="00A11183"/>
    <w:rsid w:val="00A113F9"/>
    <w:rsid w:val="00A11CD6"/>
    <w:rsid w:val="00A1362C"/>
    <w:rsid w:val="00A13C4B"/>
    <w:rsid w:val="00A13DB3"/>
    <w:rsid w:val="00A146FF"/>
    <w:rsid w:val="00A149AD"/>
    <w:rsid w:val="00A14C76"/>
    <w:rsid w:val="00A14F76"/>
    <w:rsid w:val="00A1539D"/>
    <w:rsid w:val="00A1763D"/>
    <w:rsid w:val="00A20551"/>
    <w:rsid w:val="00A20D4A"/>
    <w:rsid w:val="00A22071"/>
    <w:rsid w:val="00A220EE"/>
    <w:rsid w:val="00A22C28"/>
    <w:rsid w:val="00A23A3C"/>
    <w:rsid w:val="00A23ACE"/>
    <w:rsid w:val="00A245EC"/>
    <w:rsid w:val="00A25B76"/>
    <w:rsid w:val="00A25E75"/>
    <w:rsid w:val="00A25ED7"/>
    <w:rsid w:val="00A262A4"/>
    <w:rsid w:val="00A27537"/>
    <w:rsid w:val="00A27BBE"/>
    <w:rsid w:val="00A30955"/>
    <w:rsid w:val="00A31691"/>
    <w:rsid w:val="00A321A4"/>
    <w:rsid w:val="00A33994"/>
    <w:rsid w:val="00A339C1"/>
    <w:rsid w:val="00A33C86"/>
    <w:rsid w:val="00A346DA"/>
    <w:rsid w:val="00A35556"/>
    <w:rsid w:val="00A36269"/>
    <w:rsid w:val="00A369D0"/>
    <w:rsid w:val="00A36CEA"/>
    <w:rsid w:val="00A4001E"/>
    <w:rsid w:val="00A408DD"/>
    <w:rsid w:val="00A40E65"/>
    <w:rsid w:val="00A41B59"/>
    <w:rsid w:val="00A4277D"/>
    <w:rsid w:val="00A43919"/>
    <w:rsid w:val="00A4605B"/>
    <w:rsid w:val="00A46E3B"/>
    <w:rsid w:val="00A47DE1"/>
    <w:rsid w:val="00A47F2A"/>
    <w:rsid w:val="00A500D0"/>
    <w:rsid w:val="00A50298"/>
    <w:rsid w:val="00A50DE2"/>
    <w:rsid w:val="00A518B5"/>
    <w:rsid w:val="00A51D5A"/>
    <w:rsid w:val="00A52839"/>
    <w:rsid w:val="00A52CC2"/>
    <w:rsid w:val="00A555C2"/>
    <w:rsid w:val="00A567C6"/>
    <w:rsid w:val="00A572C6"/>
    <w:rsid w:val="00A57399"/>
    <w:rsid w:val="00A57E6B"/>
    <w:rsid w:val="00A60565"/>
    <w:rsid w:val="00A60B64"/>
    <w:rsid w:val="00A617F8"/>
    <w:rsid w:val="00A62235"/>
    <w:rsid w:val="00A629B7"/>
    <w:rsid w:val="00A63197"/>
    <w:rsid w:val="00A639F8"/>
    <w:rsid w:val="00A642F0"/>
    <w:rsid w:val="00A64680"/>
    <w:rsid w:val="00A6574F"/>
    <w:rsid w:val="00A73886"/>
    <w:rsid w:val="00A7464F"/>
    <w:rsid w:val="00A74A05"/>
    <w:rsid w:val="00A769A8"/>
    <w:rsid w:val="00A76D07"/>
    <w:rsid w:val="00A777D5"/>
    <w:rsid w:val="00A80A16"/>
    <w:rsid w:val="00A8184D"/>
    <w:rsid w:val="00A82393"/>
    <w:rsid w:val="00A83A29"/>
    <w:rsid w:val="00A856C6"/>
    <w:rsid w:val="00A85AAD"/>
    <w:rsid w:val="00A85B2E"/>
    <w:rsid w:val="00A87A31"/>
    <w:rsid w:val="00A87AD9"/>
    <w:rsid w:val="00A90567"/>
    <w:rsid w:val="00A91632"/>
    <w:rsid w:val="00A934F8"/>
    <w:rsid w:val="00A944C0"/>
    <w:rsid w:val="00A95398"/>
    <w:rsid w:val="00A95BB9"/>
    <w:rsid w:val="00A95C7F"/>
    <w:rsid w:val="00A9621E"/>
    <w:rsid w:val="00A965CE"/>
    <w:rsid w:val="00A96911"/>
    <w:rsid w:val="00A969E0"/>
    <w:rsid w:val="00AA04F1"/>
    <w:rsid w:val="00AA17F4"/>
    <w:rsid w:val="00AA1900"/>
    <w:rsid w:val="00AA277D"/>
    <w:rsid w:val="00AA2785"/>
    <w:rsid w:val="00AA3081"/>
    <w:rsid w:val="00AA380D"/>
    <w:rsid w:val="00AA49C0"/>
    <w:rsid w:val="00AA5072"/>
    <w:rsid w:val="00AA56F0"/>
    <w:rsid w:val="00AA5EA8"/>
    <w:rsid w:val="00AA6874"/>
    <w:rsid w:val="00AA6A8C"/>
    <w:rsid w:val="00AA7887"/>
    <w:rsid w:val="00AA7BDC"/>
    <w:rsid w:val="00AA7C96"/>
    <w:rsid w:val="00AB0AA0"/>
    <w:rsid w:val="00AB1444"/>
    <w:rsid w:val="00AB166F"/>
    <w:rsid w:val="00AB2C80"/>
    <w:rsid w:val="00AB33A8"/>
    <w:rsid w:val="00AB40B2"/>
    <w:rsid w:val="00AB45FA"/>
    <w:rsid w:val="00AB58CB"/>
    <w:rsid w:val="00AB6597"/>
    <w:rsid w:val="00AB763D"/>
    <w:rsid w:val="00AB7DDC"/>
    <w:rsid w:val="00AC152B"/>
    <w:rsid w:val="00AC33C6"/>
    <w:rsid w:val="00AC3EE2"/>
    <w:rsid w:val="00AC5441"/>
    <w:rsid w:val="00AC6268"/>
    <w:rsid w:val="00AC7A9A"/>
    <w:rsid w:val="00AD056A"/>
    <w:rsid w:val="00AD18F4"/>
    <w:rsid w:val="00AD28AA"/>
    <w:rsid w:val="00AD2B4D"/>
    <w:rsid w:val="00AD401F"/>
    <w:rsid w:val="00AD6F62"/>
    <w:rsid w:val="00AD7AC0"/>
    <w:rsid w:val="00AD7B2D"/>
    <w:rsid w:val="00AD7BE1"/>
    <w:rsid w:val="00AD7C93"/>
    <w:rsid w:val="00AE0919"/>
    <w:rsid w:val="00AE1E38"/>
    <w:rsid w:val="00AE2290"/>
    <w:rsid w:val="00AE251F"/>
    <w:rsid w:val="00AE2DE3"/>
    <w:rsid w:val="00AE6C66"/>
    <w:rsid w:val="00AE70F4"/>
    <w:rsid w:val="00AE75D4"/>
    <w:rsid w:val="00AF10EF"/>
    <w:rsid w:val="00AF13B8"/>
    <w:rsid w:val="00AF19FB"/>
    <w:rsid w:val="00AF2FA3"/>
    <w:rsid w:val="00AF2FB4"/>
    <w:rsid w:val="00AF553A"/>
    <w:rsid w:val="00AF6012"/>
    <w:rsid w:val="00AF6342"/>
    <w:rsid w:val="00AF6D6B"/>
    <w:rsid w:val="00AF6E7B"/>
    <w:rsid w:val="00AF6F83"/>
    <w:rsid w:val="00AF7754"/>
    <w:rsid w:val="00B023C8"/>
    <w:rsid w:val="00B02721"/>
    <w:rsid w:val="00B02E91"/>
    <w:rsid w:val="00B03649"/>
    <w:rsid w:val="00B04D86"/>
    <w:rsid w:val="00B05A5E"/>
    <w:rsid w:val="00B05EA6"/>
    <w:rsid w:val="00B063E0"/>
    <w:rsid w:val="00B06AA7"/>
    <w:rsid w:val="00B07414"/>
    <w:rsid w:val="00B10045"/>
    <w:rsid w:val="00B10F52"/>
    <w:rsid w:val="00B117B7"/>
    <w:rsid w:val="00B12139"/>
    <w:rsid w:val="00B125C7"/>
    <w:rsid w:val="00B138D2"/>
    <w:rsid w:val="00B13E32"/>
    <w:rsid w:val="00B1417B"/>
    <w:rsid w:val="00B14879"/>
    <w:rsid w:val="00B155CA"/>
    <w:rsid w:val="00B1576F"/>
    <w:rsid w:val="00B15B7E"/>
    <w:rsid w:val="00B23044"/>
    <w:rsid w:val="00B2390C"/>
    <w:rsid w:val="00B25236"/>
    <w:rsid w:val="00B26A77"/>
    <w:rsid w:val="00B271E8"/>
    <w:rsid w:val="00B27F39"/>
    <w:rsid w:val="00B32602"/>
    <w:rsid w:val="00B33894"/>
    <w:rsid w:val="00B33A00"/>
    <w:rsid w:val="00B33CF6"/>
    <w:rsid w:val="00B36911"/>
    <w:rsid w:val="00B375F0"/>
    <w:rsid w:val="00B379CD"/>
    <w:rsid w:val="00B400A7"/>
    <w:rsid w:val="00B41895"/>
    <w:rsid w:val="00B43B1E"/>
    <w:rsid w:val="00B44504"/>
    <w:rsid w:val="00B44ADE"/>
    <w:rsid w:val="00B45959"/>
    <w:rsid w:val="00B460E8"/>
    <w:rsid w:val="00B50389"/>
    <w:rsid w:val="00B50854"/>
    <w:rsid w:val="00B5160B"/>
    <w:rsid w:val="00B52C85"/>
    <w:rsid w:val="00B536CB"/>
    <w:rsid w:val="00B53DC6"/>
    <w:rsid w:val="00B544CA"/>
    <w:rsid w:val="00B55381"/>
    <w:rsid w:val="00B578DB"/>
    <w:rsid w:val="00B60AFF"/>
    <w:rsid w:val="00B61DE3"/>
    <w:rsid w:val="00B62722"/>
    <w:rsid w:val="00B62FEB"/>
    <w:rsid w:val="00B63082"/>
    <w:rsid w:val="00B63395"/>
    <w:rsid w:val="00B65D8A"/>
    <w:rsid w:val="00B70202"/>
    <w:rsid w:val="00B70422"/>
    <w:rsid w:val="00B7054C"/>
    <w:rsid w:val="00B712FB"/>
    <w:rsid w:val="00B717C0"/>
    <w:rsid w:val="00B719B9"/>
    <w:rsid w:val="00B71BC7"/>
    <w:rsid w:val="00B731F2"/>
    <w:rsid w:val="00B753CF"/>
    <w:rsid w:val="00B755C9"/>
    <w:rsid w:val="00B7587A"/>
    <w:rsid w:val="00B75DFC"/>
    <w:rsid w:val="00B76572"/>
    <w:rsid w:val="00B76D02"/>
    <w:rsid w:val="00B80C7D"/>
    <w:rsid w:val="00B81356"/>
    <w:rsid w:val="00B820DB"/>
    <w:rsid w:val="00B83265"/>
    <w:rsid w:val="00B83B59"/>
    <w:rsid w:val="00B859FA"/>
    <w:rsid w:val="00B86A18"/>
    <w:rsid w:val="00B904AB"/>
    <w:rsid w:val="00B915B9"/>
    <w:rsid w:val="00B91868"/>
    <w:rsid w:val="00B93EC3"/>
    <w:rsid w:val="00B940D7"/>
    <w:rsid w:val="00B95D1B"/>
    <w:rsid w:val="00B960F0"/>
    <w:rsid w:val="00B9673E"/>
    <w:rsid w:val="00B970FA"/>
    <w:rsid w:val="00B97EF8"/>
    <w:rsid w:val="00BA03B1"/>
    <w:rsid w:val="00BA05EA"/>
    <w:rsid w:val="00BA0E0B"/>
    <w:rsid w:val="00BA187E"/>
    <w:rsid w:val="00BA1D91"/>
    <w:rsid w:val="00BA495C"/>
    <w:rsid w:val="00BA4BBE"/>
    <w:rsid w:val="00BA5708"/>
    <w:rsid w:val="00BA5A69"/>
    <w:rsid w:val="00BA65E3"/>
    <w:rsid w:val="00BA6F14"/>
    <w:rsid w:val="00BA71AE"/>
    <w:rsid w:val="00BA7D86"/>
    <w:rsid w:val="00BB1573"/>
    <w:rsid w:val="00BB268A"/>
    <w:rsid w:val="00BB2E08"/>
    <w:rsid w:val="00BB3568"/>
    <w:rsid w:val="00BB40FB"/>
    <w:rsid w:val="00BB4992"/>
    <w:rsid w:val="00BB4F08"/>
    <w:rsid w:val="00BB519B"/>
    <w:rsid w:val="00BC1B98"/>
    <w:rsid w:val="00BC1DEB"/>
    <w:rsid w:val="00BC209F"/>
    <w:rsid w:val="00BC2315"/>
    <w:rsid w:val="00BC2AE3"/>
    <w:rsid w:val="00BC2BBC"/>
    <w:rsid w:val="00BC3AE7"/>
    <w:rsid w:val="00BC460C"/>
    <w:rsid w:val="00BC779D"/>
    <w:rsid w:val="00BC78EE"/>
    <w:rsid w:val="00BC7B65"/>
    <w:rsid w:val="00BD00F4"/>
    <w:rsid w:val="00BD0C9A"/>
    <w:rsid w:val="00BD17BB"/>
    <w:rsid w:val="00BD29E3"/>
    <w:rsid w:val="00BD3CC3"/>
    <w:rsid w:val="00BD4183"/>
    <w:rsid w:val="00BD4F7B"/>
    <w:rsid w:val="00BD56D1"/>
    <w:rsid w:val="00BD6F86"/>
    <w:rsid w:val="00BE238E"/>
    <w:rsid w:val="00BE2C0C"/>
    <w:rsid w:val="00BE31AC"/>
    <w:rsid w:val="00BE3AB1"/>
    <w:rsid w:val="00BE47C8"/>
    <w:rsid w:val="00BE5E2C"/>
    <w:rsid w:val="00BE6F87"/>
    <w:rsid w:val="00BF01C6"/>
    <w:rsid w:val="00BF0E9D"/>
    <w:rsid w:val="00BF1A3D"/>
    <w:rsid w:val="00BF51D7"/>
    <w:rsid w:val="00BF5CD2"/>
    <w:rsid w:val="00C002A9"/>
    <w:rsid w:val="00C0082B"/>
    <w:rsid w:val="00C00D5A"/>
    <w:rsid w:val="00C01B04"/>
    <w:rsid w:val="00C01F4A"/>
    <w:rsid w:val="00C03849"/>
    <w:rsid w:val="00C06D0E"/>
    <w:rsid w:val="00C0740C"/>
    <w:rsid w:val="00C07921"/>
    <w:rsid w:val="00C07B83"/>
    <w:rsid w:val="00C10364"/>
    <w:rsid w:val="00C10FDD"/>
    <w:rsid w:val="00C11752"/>
    <w:rsid w:val="00C1185D"/>
    <w:rsid w:val="00C129CE"/>
    <w:rsid w:val="00C133F5"/>
    <w:rsid w:val="00C13639"/>
    <w:rsid w:val="00C13DCF"/>
    <w:rsid w:val="00C14A8E"/>
    <w:rsid w:val="00C151B9"/>
    <w:rsid w:val="00C152ED"/>
    <w:rsid w:val="00C15482"/>
    <w:rsid w:val="00C1560D"/>
    <w:rsid w:val="00C16DCE"/>
    <w:rsid w:val="00C17685"/>
    <w:rsid w:val="00C1797B"/>
    <w:rsid w:val="00C209BB"/>
    <w:rsid w:val="00C20FE6"/>
    <w:rsid w:val="00C21E79"/>
    <w:rsid w:val="00C21EA6"/>
    <w:rsid w:val="00C2385D"/>
    <w:rsid w:val="00C2394E"/>
    <w:rsid w:val="00C24246"/>
    <w:rsid w:val="00C2473A"/>
    <w:rsid w:val="00C25BB5"/>
    <w:rsid w:val="00C25D35"/>
    <w:rsid w:val="00C26A40"/>
    <w:rsid w:val="00C26C69"/>
    <w:rsid w:val="00C278D4"/>
    <w:rsid w:val="00C30C0A"/>
    <w:rsid w:val="00C310B0"/>
    <w:rsid w:val="00C32AF8"/>
    <w:rsid w:val="00C32EEE"/>
    <w:rsid w:val="00C334D6"/>
    <w:rsid w:val="00C343FA"/>
    <w:rsid w:val="00C34A2C"/>
    <w:rsid w:val="00C36766"/>
    <w:rsid w:val="00C36C1E"/>
    <w:rsid w:val="00C37AA0"/>
    <w:rsid w:val="00C40F3A"/>
    <w:rsid w:val="00C4243B"/>
    <w:rsid w:val="00C42654"/>
    <w:rsid w:val="00C432C6"/>
    <w:rsid w:val="00C449DD"/>
    <w:rsid w:val="00C46174"/>
    <w:rsid w:val="00C46B88"/>
    <w:rsid w:val="00C470BF"/>
    <w:rsid w:val="00C47755"/>
    <w:rsid w:val="00C5036C"/>
    <w:rsid w:val="00C50504"/>
    <w:rsid w:val="00C506A9"/>
    <w:rsid w:val="00C5235C"/>
    <w:rsid w:val="00C5353D"/>
    <w:rsid w:val="00C53BA6"/>
    <w:rsid w:val="00C55159"/>
    <w:rsid w:val="00C55175"/>
    <w:rsid w:val="00C552F6"/>
    <w:rsid w:val="00C55797"/>
    <w:rsid w:val="00C56137"/>
    <w:rsid w:val="00C56D60"/>
    <w:rsid w:val="00C56F20"/>
    <w:rsid w:val="00C57F34"/>
    <w:rsid w:val="00C57FE6"/>
    <w:rsid w:val="00C6095B"/>
    <w:rsid w:val="00C61BC1"/>
    <w:rsid w:val="00C62FE0"/>
    <w:rsid w:val="00C62FE5"/>
    <w:rsid w:val="00C6378D"/>
    <w:rsid w:val="00C63DD9"/>
    <w:rsid w:val="00C63FF5"/>
    <w:rsid w:val="00C64F29"/>
    <w:rsid w:val="00C64FC4"/>
    <w:rsid w:val="00C65CEE"/>
    <w:rsid w:val="00C6608F"/>
    <w:rsid w:val="00C66270"/>
    <w:rsid w:val="00C672B2"/>
    <w:rsid w:val="00C676FD"/>
    <w:rsid w:val="00C702B6"/>
    <w:rsid w:val="00C708B2"/>
    <w:rsid w:val="00C719E4"/>
    <w:rsid w:val="00C72246"/>
    <w:rsid w:val="00C7226D"/>
    <w:rsid w:val="00C7481A"/>
    <w:rsid w:val="00C748C5"/>
    <w:rsid w:val="00C7641D"/>
    <w:rsid w:val="00C764CD"/>
    <w:rsid w:val="00C76ED8"/>
    <w:rsid w:val="00C818E6"/>
    <w:rsid w:val="00C81DC6"/>
    <w:rsid w:val="00C81E40"/>
    <w:rsid w:val="00C824C3"/>
    <w:rsid w:val="00C83EF8"/>
    <w:rsid w:val="00C84743"/>
    <w:rsid w:val="00C86B86"/>
    <w:rsid w:val="00C86E39"/>
    <w:rsid w:val="00C87682"/>
    <w:rsid w:val="00C90226"/>
    <w:rsid w:val="00C91ECC"/>
    <w:rsid w:val="00C925D0"/>
    <w:rsid w:val="00C92E1E"/>
    <w:rsid w:val="00C93C70"/>
    <w:rsid w:val="00C96B27"/>
    <w:rsid w:val="00C972C0"/>
    <w:rsid w:val="00C97A5E"/>
    <w:rsid w:val="00CA0629"/>
    <w:rsid w:val="00CA0D93"/>
    <w:rsid w:val="00CA16D0"/>
    <w:rsid w:val="00CA2AC9"/>
    <w:rsid w:val="00CA34F7"/>
    <w:rsid w:val="00CA3535"/>
    <w:rsid w:val="00CA4C5C"/>
    <w:rsid w:val="00CA5B6E"/>
    <w:rsid w:val="00CA6307"/>
    <w:rsid w:val="00CB10B1"/>
    <w:rsid w:val="00CB2485"/>
    <w:rsid w:val="00CB28A7"/>
    <w:rsid w:val="00CB4844"/>
    <w:rsid w:val="00CB49DC"/>
    <w:rsid w:val="00CB5293"/>
    <w:rsid w:val="00CB682B"/>
    <w:rsid w:val="00CC0D1B"/>
    <w:rsid w:val="00CC30B6"/>
    <w:rsid w:val="00CC6796"/>
    <w:rsid w:val="00CD0297"/>
    <w:rsid w:val="00CD0BDE"/>
    <w:rsid w:val="00CD2CFA"/>
    <w:rsid w:val="00CD423F"/>
    <w:rsid w:val="00CD48BB"/>
    <w:rsid w:val="00CD65A1"/>
    <w:rsid w:val="00CD66BD"/>
    <w:rsid w:val="00CE1372"/>
    <w:rsid w:val="00CE1EEF"/>
    <w:rsid w:val="00CE2570"/>
    <w:rsid w:val="00CE3F4C"/>
    <w:rsid w:val="00CE4ADF"/>
    <w:rsid w:val="00CE5953"/>
    <w:rsid w:val="00CE651B"/>
    <w:rsid w:val="00CE6DAA"/>
    <w:rsid w:val="00CF10E5"/>
    <w:rsid w:val="00CF197F"/>
    <w:rsid w:val="00CF1DFF"/>
    <w:rsid w:val="00CF1FD8"/>
    <w:rsid w:val="00CF232A"/>
    <w:rsid w:val="00CF322D"/>
    <w:rsid w:val="00CF5596"/>
    <w:rsid w:val="00CF5D89"/>
    <w:rsid w:val="00CF75C8"/>
    <w:rsid w:val="00CF75D6"/>
    <w:rsid w:val="00D00592"/>
    <w:rsid w:val="00D00C59"/>
    <w:rsid w:val="00D00E89"/>
    <w:rsid w:val="00D0172E"/>
    <w:rsid w:val="00D01BBD"/>
    <w:rsid w:val="00D02989"/>
    <w:rsid w:val="00D032C3"/>
    <w:rsid w:val="00D045E3"/>
    <w:rsid w:val="00D07371"/>
    <w:rsid w:val="00D11317"/>
    <w:rsid w:val="00D11839"/>
    <w:rsid w:val="00D11FF0"/>
    <w:rsid w:val="00D12776"/>
    <w:rsid w:val="00D14932"/>
    <w:rsid w:val="00D162CC"/>
    <w:rsid w:val="00D16572"/>
    <w:rsid w:val="00D173BE"/>
    <w:rsid w:val="00D2019A"/>
    <w:rsid w:val="00D2068A"/>
    <w:rsid w:val="00D209E0"/>
    <w:rsid w:val="00D210CC"/>
    <w:rsid w:val="00D2113A"/>
    <w:rsid w:val="00D214C3"/>
    <w:rsid w:val="00D21FB2"/>
    <w:rsid w:val="00D22479"/>
    <w:rsid w:val="00D23361"/>
    <w:rsid w:val="00D2470E"/>
    <w:rsid w:val="00D249BB"/>
    <w:rsid w:val="00D24F13"/>
    <w:rsid w:val="00D257A6"/>
    <w:rsid w:val="00D27A29"/>
    <w:rsid w:val="00D27CDA"/>
    <w:rsid w:val="00D27D31"/>
    <w:rsid w:val="00D314E9"/>
    <w:rsid w:val="00D3173D"/>
    <w:rsid w:val="00D3263D"/>
    <w:rsid w:val="00D32A1B"/>
    <w:rsid w:val="00D32F5F"/>
    <w:rsid w:val="00D33002"/>
    <w:rsid w:val="00D33872"/>
    <w:rsid w:val="00D3475E"/>
    <w:rsid w:val="00D34A6B"/>
    <w:rsid w:val="00D363DD"/>
    <w:rsid w:val="00D36784"/>
    <w:rsid w:val="00D3719B"/>
    <w:rsid w:val="00D37F25"/>
    <w:rsid w:val="00D409E0"/>
    <w:rsid w:val="00D4139E"/>
    <w:rsid w:val="00D41D97"/>
    <w:rsid w:val="00D4267F"/>
    <w:rsid w:val="00D42807"/>
    <w:rsid w:val="00D46390"/>
    <w:rsid w:val="00D463AC"/>
    <w:rsid w:val="00D4669E"/>
    <w:rsid w:val="00D51A35"/>
    <w:rsid w:val="00D525B4"/>
    <w:rsid w:val="00D5275E"/>
    <w:rsid w:val="00D5280B"/>
    <w:rsid w:val="00D53CD8"/>
    <w:rsid w:val="00D53F42"/>
    <w:rsid w:val="00D55927"/>
    <w:rsid w:val="00D55F2E"/>
    <w:rsid w:val="00D56392"/>
    <w:rsid w:val="00D6053A"/>
    <w:rsid w:val="00D60FA2"/>
    <w:rsid w:val="00D6112D"/>
    <w:rsid w:val="00D61D46"/>
    <w:rsid w:val="00D64980"/>
    <w:rsid w:val="00D658A9"/>
    <w:rsid w:val="00D675C1"/>
    <w:rsid w:val="00D67845"/>
    <w:rsid w:val="00D707DA"/>
    <w:rsid w:val="00D70D45"/>
    <w:rsid w:val="00D7158B"/>
    <w:rsid w:val="00D71D74"/>
    <w:rsid w:val="00D7250F"/>
    <w:rsid w:val="00D73A6A"/>
    <w:rsid w:val="00D75D6C"/>
    <w:rsid w:val="00D764D9"/>
    <w:rsid w:val="00D76D5D"/>
    <w:rsid w:val="00D804C3"/>
    <w:rsid w:val="00D80607"/>
    <w:rsid w:val="00D813CB"/>
    <w:rsid w:val="00D816F2"/>
    <w:rsid w:val="00D82678"/>
    <w:rsid w:val="00D82FC7"/>
    <w:rsid w:val="00D83E1C"/>
    <w:rsid w:val="00D853AE"/>
    <w:rsid w:val="00D87201"/>
    <w:rsid w:val="00D900D7"/>
    <w:rsid w:val="00D90353"/>
    <w:rsid w:val="00D912BF"/>
    <w:rsid w:val="00D92108"/>
    <w:rsid w:val="00D921A0"/>
    <w:rsid w:val="00D954B5"/>
    <w:rsid w:val="00D95E23"/>
    <w:rsid w:val="00D96346"/>
    <w:rsid w:val="00D96453"/>
    <w:rsid w:val="00D979E8"/>
    <w:rsid w:val="00DA0B45"/>
    <w:rsid w:val="00DA0BAE"/>
    <w:rsid w:val="00DA10BF"/>
    <w:rsid w:val="00DA158C"/>
    <w:rsid w:val="00DA22CE"/>
    <w:rsid w:val="00DA31C7"/>
    <w:rsid w:val="00DA391D"/>
    <w:rsid w:val="00DA42B1"/>
    <w:rsid w:val="00DA4A04"/>
    <w:rsid w:val="00DA57D1"/>
    <w:rsid w:val="00DA66FA"/>
    <w:rsid w:val="00DA6DC3"/>
    <w:rsid w:val="00DA6F0E"/>
    <w:rsid w:val="00DA7C5B"/>
    <w:rsid w:val="00DB0BB1"/>
    <w:rsid w:val="00DB0D9B"/>
    <w:rsid w:val="00DB1DA3"/>
    <w:rsid w:val="00DB1DE6"/>
    <w:rsid w:val="00DB2DFF"/>
    <w:rsid w:val="00DB4212"/>
    <w:rsid w:val="00DB4D2B"/>
    <w:rsid w:val="00DB4E7D"/>
    <w:rsid w:val="00DB7A27"/>
    <w:rsid w:val="00DB7A40"/>
    <w:rsid w:val="00DB7BBB"/>
    <w:rsid w:val="00DB7C36"/>
    <w:rsid w:val="00DB7C77"/>
    <w:rsid w:val="00DC068F"/>
    <w:rsid w:val="00DC09B7"/>
    <w:rsid w:val="00DC0AE9"/>
    <w:rsid w:val="00DC0B29"/>
    <w:rsid w:val="00DC1356"/>
    <w:rsid w:val="00DC1742"/>
    <w:rsid w:val="00DC2398"/>
    <w:rsid w:val="00DC28A3"/>
    <w:rsid w:val="00DC5CB3"/>
    <w:rsid w:val="00DC66BA"/>
    <w:rsid w:val="00DC6778"/>
    <w:rsid w:val="00DC67AF"/>
    <w:rsid w:val="00DD0369"/>
    <w:rsid w:val="00DD045F"/>
    <w:rsid w:val="00DD0625"/>
    <w:rsid w:val="00DD15CE"/>
    <w:rsid w:val="00DD1B66"/>
    <w:rsid w:val="00DD25B7"/>
    <w:rsid w:val="00DD2902"/>
    <w:rsid w:val="00DD2BE6"/>
    <w:rsid w:val="00DD481A"/>
    <w:rsid w:val="00DD4B41"/>
    <w:rsid w:val="00DD4BE3"/>
    <w:rsid w:val="00DD519C"/>
    <w:rsid w:val="00DD569C"/>
    <w:rsid w:val="00DD6619"/>
    <w:rsid w:val="00DD6713"/>
    <w:rsid w:val="00DD7713"/>
    <w:rsid w:val="00DE0892"/>
    <w:rsid w:val="00DE1315"/>
    <w:rsid w:val="00DE355E"/>
    <w:rsid w:val="00DE5422"/>
    <w:rsid w:val="00DE61EE"/>
    <w:rsid w:val="00DE7538"/>
    <w:rsid w:val="00DE7DC7"/>
    <w:rsid w:val="00DF2BDD"/>
    <w:rsid w:val="00DF40EA"/>
    <w:rsid w:val="00DF433A"/>
    <w:rsid w:val="00DF5ABB"/>
    <w:rsid w:val="00DF5C63"/>
    <w:rsid w:val="00DF6057"/>
    <w:rsid w:val="00DF66CC"/>
    <w:rsid w:val="00DF6F46"/>
    <w:rsid w:val="00DF7DF7"/>
    <w:rsid w:val="00E01212"/>
    <w:rsid w:val="00E02781"/>
    <w:rsid w:val="00E033B1"/>
    <w:rsid w:val="00E03A1D"/>
    <w:rsid w:val="00E05C3E"/>
    <w:rsid w:val="00E069A3"/>
    <w:rsid w:val="00E07F2C"/>
    <w:rsid w:val="00E10F95"/>
    <w:rsid w:val="00E1117B"/>
    <w:rsid w:val="00E11534"/>
    <w:rsid w:val="00E11DC5"/>
    <w:rsid w:val="00E124D0"/>
    <w:rsid w:val="00E14853"/>
    <w:rsid w:val="00E16F34"/>
    <w:rsid w:val="00E2020E"/>
    <w:rsid w:val="00E232F4"/>
    <w:rsid w:val="00E23DD1"/>
    <w:rsid w:val="00E2522F"/>
    <w:rsid w:val="00E256ED"/>
    <w:rsid w:val="00E27FE7"/>
    <w:rsid w:val="00E3036F"/>
    <w:rsid w:val="00E31364"/>
    <w:rsid w:val="00E31A16"/>
    <w:rsid w:val="00E31E08"/>
    <w:rsid w:val="00E31E82"/>
    <w:rsid w:val="00E33AFF"/>
    <w:rsid w:val="00E345C2"/>
    <w:rsid w:val="00E34B18"/>
    <w:rsid w:val="00E3531F"/>
    <w:rsid w:val="00E35F88"/>
    <w:rsid w:val="00E36E74"/>
    <w:rsid w:val="00E3720C"/>
    <w:rsid w:val="00E37A0C"/>
    <w:rsid w:val="00E37AEF"/>
    <w:rsid w:val="00E37C35"/>
    <w:rsid w:val="00E37DFD"/>
    <w:rsid w:val="00E37E82"/>
    <w:rsid w:val="00E37FF7"/>
    <w:rsid w:val="00E405EC"/>
    <w:rsid w:val="00E40C9D"/>
    <w:rsid w:val="00E424D3"/>
    <w:rsid w:val="00E43D9E"/>
    <w:rsid w:val="00E43FD4"/>
    <w:rsid w:val="00E442CE"/>
    <w:rsid w:val="00E46ED4"/>
    <w:rsid w:val="00E5005A"/>
    <w:rsid w:val="00E507B3"/>
    <w:rsid w:val="00E50BAB"/>
    <w:rsid w:val="00E51398"/>
    <w:rsid w:val="00E51458"/>
    <w:rsid w:val="00E51B2E"/>
    <w:rsid w:val="00E52FAB"/>
    <w:rsid w:val="00E53689"/>
    <w:rsid w:val="00E55741"/>
    <w:rsid w:val="00E56AA7"/>
    <w:rsid w:val="00E57519"/>
    <w:rsid w:val="00E6047B"/>
    <w:rsid w:val="00E61136"/>
    <w:rsid w:val="00E61CED"/>
    <w:rsid w:val="00E6399B"/>
    <w:rsid w:val="00E63E15"/>
    <w:rsid w:val="00E64C15"/>
    <w:rsid w:val="00E6519B"/>
    <w:rsid w:val="00E65B77"/>
    <w:rsid w:val="00E66392"/>
    <w:rsid w:val="00E67E11"/>
    <w:rsid w:val="00E700A5"/>
    <w:rsid w:val="00E701EF"/>
    <w:rsid w:val="00E70FD0"/>
    <w:rsid w:val="00E72028"/>
    <w:rsid w:val="00E73E32"/>
    <w:rsid w:val="00E73F80"/>
    <w:rsid w:val="00E745A6"/>
    <w:rsid w:val="00E757B0"/>
    <w:rsid w:val="00E75AA2"/>
    <w:rsid w:val="00E7700E"/>
    <w:rsid w:val="00E77765"/>
    <w:rsid w:val="00E813AB"/>
    <w:rsid w:val="00E8168E"/>
    <w:rsid w:val="00E82FD1"/>
    <w:rsid w:val="00E8724F"/>
    <w:rsid w:val="00E877A5"/>
    <w:rsid w:val="00E87B02"/>
    <w:rsid w:val="00E87F22"/>
    <w:rsid w:val="00E90407"/>
    <w:rsid w:val="00E9074B"/>
    <w:rsid w:val="00E91DF4"/>
    <w:rsid w:val="00E92FD4"/>
    <w:rsid w:val="00E94B2F"/>
    <w:rsid w:val="00E95A7E"/>
    <w:rsid w:val="00E95B4D"/>
    <w:rsid w:val="00E96484"/>
    <w:rsid w:val="00E968A8"/>
    <w:rsid w:val="00E96A8E"/>
    <w:rsid w:val="00E96E8F"/>
    <w:rsid w:val="00E97F9A"/>
    <w:rsid w:val="00EA0E68"/>
    <w:rsid w:val="00EA1499"/>
    <w:rsid w:val="00EA2565"/>
    <w:rsid w:val="00EA3298"/>
    <w:rsid w:val="00EA3AA0"/>
    <w:rsid w:val="00EA3EDB"/>
    <w:rsid w:val="00EA416F"/>
    <w:rsid w:val="00EA469A"/>
    <w:rsid w:val="00EA4CFD"/>
    <w:rsid w:val="00EA4D9A"/>
    <w:rsid w:val="00EA5E32"/>
    <w:rsid w:val="00EA65E0"/>
    <w:rsid w:val="00EA6750"/>
    <w:rsid w:val="00EA6A8E"/>
    <w:rsid w:val="00EA75A1"/>
    <w:rsid w:val="00EA792D"/>
    <w:rsid w:val="00EB151F"/>
    <w:rsid w:val="00EB1D28"/>
    <w:rsid w:val="00EB4EE2"/>
    <w:rsid w:val="00EB5EA3"/>
    <w:rsid w:val="00EB7369"/>
    <w:rsid w:val="00EB744F"/>
    <w:rsid w:val="00EB7A1B"/>
    <w:rsid w:val="00EC009E"/>
    <w:rsid w:val="00EC07FE"/>
    <w:rsid w:val="00EC1082"/>
    <w:rsid w:val="00EC1463"/>
    <w:rsid w:val="00EC1542"/>
    <w:rsid w:val="00EC19E8"/>
    <w:rsid w:val="00EC21CC"/>
    <w:rsid w:val="00EC243C"/>
    <w:rsid w:val="00EC2AC1"/>
    <w:rsid w:val="00EC367F"/>
    <w:rsid w:val="00EC3C94"/>
    <w:rsid w:val="00EC4A71"/>
    <w:rsid w:val="00EC538C"/>
    <w:rsid w:val="00EC5D18"/>
    <w:rsid w:val="00EC647A"/>
    <w:rsid w:val="00EC68CF"/>
    <w:rsid w:val="00EC7026"/>
    <w:rsid w:val="00EC7860"/>
    <w:rsid w:val="00ED0DDD"/>
    <w:rsid w:val="00ED0F92"/>
    <w:rsid w:val="00ED1FA9"/>
    <w:rsid w:val="00ED2BBD"/>
    <w:rsid w:val="00ED3BA5"/>
    <w:rsid w:val="00ED451D"/>
    <w:rsid w:val="00ED5CA1"/>
    <w:rsid w:val="00ED6869"/>
    <w:rsid w:val="00ED6877"/>
    <w:rsid w:val="00ED687C"/>
    <w:rsid w:val="00ED71F3"/>
    <w:rsid w:val="00ED7B70"/>
    <w:rsid w:val="00ED7CFD"/>
    <w:rsid w:val="00ED7DB5"/>
    <w:rsid w:val="00EE0E65"/>
    <w:rsid w:val="00EE1029"/>
    <w:rsid w:val="00EE10E9"/>
    <w:rsid w:val="00EE19FC"/>
    <w:rsid w:val="00EE1CB5"/>
    <w:rsid w:val="00EE1E7F"/>
    <w:rsid w:val="00EE1EEA"/>
    <w:rsid w:val="00EE1F89"/>
    <w:rsid w:val="00EE34A5"/>
    <w:rsid w:val="00EE3966"/>
    <w:rsid w:val="00EE3F4F"/>
    <w:rsid w:val="00EE4169"/>
    <w:rsid w:val="00EE4B56"/>
    <w:rsid w:val="00EE53E3"/>
    <w:rsid w:val="00EE5D02"/>
    <w:rsid w:val="00EE5F29"/>
    <w:rsid w:val="00EE60FE"/>
    <w:rsid w:val="00EE70D0"/>
    <w:rsid w:val="00EE7291"/>
    <w:rsid w:val="00EE75C0"/>
    <w:rsid w:val="00EE7A9D"/>
    <w:rsid w:val="00EF1DF1"/>
    <w:rsid w:val="00EF2A75"/>
    <w:rsid w:val="00EF4301"/>
    <w:rsid w:val="00EF48E2"/>
    <w:rsid w:val="00EF5800"/>
    <w:rsid w:val="00EF59D5"/>
    <w:rsid w:val="00EF6234"/>
    <w:rsid w:val="00EF6C57"/>
    <w:rsid w:val="00EF7422"/>
    <w:rsid w:val="00F01D36"/>
    <w:rsid w:val="00F056CF"/>
    <w:rsid w:val="00F10354"/>
    <w:rsid w:val="00F1057F"/>
    <w:rsid w:val="00F118CD"/>
    <w:rsid w:val="00F12116"/>
    <w:rsid w:val="00F130EF"/>
    <w:rsid w:val="00F138D5"/>
    <w:rsid w:val="00F14679"/>
    <w:rsid w:val="00F1470B"/>
    <w:rsid w:val="00F163A9"/>
    <w:rsid w:val="00F16D7A"/>
    <w:rsid w:val="00F17C08"/>
    <w:rsid w:val="00F20B91"/>
    <w:rsid w:val="00F23E67"/>
    <w:rsid w:val="00F240DE"/>
    <w:rsid w:val="00F24448"/>
    <w:rsid w:val="00F2496D"/>
    <w:rsid w:val="00F265DC"/>
    <w:rsid w:val="00F26876"/>
    <w:rsid w:val="00F26895"/>
    <w:rsid w:val="00F301AA"/>
    <w:rsid w:val="00F30D59"/>
    <w:rsid w:val="00F317CE"/>
    <w:rsid w:val="00F32779"/>
    <w:rsid w:val="00F3279E"/>
    <w:rsid w:val="00F32EA6"/>
    <w:rsid w:val="00F332E3"/>
    <w:rsid w:val="00F333B7"/>
    <w:rsid w:val="00F34BF8"/>
    <w:rsid w:val="00F34E0E"/>
    <w:rsid w:val="00F35E12"/>
    <w:rsid w:val="00F36D38"/>
    <w:rsid w:val="00F3717A"/>
    <w:rsid w:val="00F40E5B"/>
    <w:rsid w:val="00F416A9"/>
    <w:rsid w:val="00F4180D"/>
    <w:rsid w:val="00F41914"/>
    <w:rsid w:val="00F41DFE"/>
    <w:rsid w:val="00F437A4"/>
    <w:rsid w:val="00F44015"/>
    <w:rsid w:val="00F45637"/>
    <w:rsid w:val="00F456E1"/>
    <w:rsid w:val="00F4579E"/>
    <w:rsid w:val="00F46B17"/>
    <w:rsid w:val="00F50850"/>
    <w:rsid w:val="00F529C7"/>
    <w:rsid w:val="00F53270"/>
    <w:rsid w:val="00F53367"/>
    <w:rsid w:val="00F53AE9"/>
    <w:rsid w:val="00F540D2"/>
    <w:rsid w:val="00F55660"/>
    <w:rsid w:val="00F55D78"/>
    <w:rsid w:val="00F56279"/>
    <w:rsid w:val="00F578FE"/>
    <w:rsid w:val="00F57929"/>
    <w:rsid w:val="00F57E90"/>
    <w:rsid w:val="00F60241"/>
    <w:rsid w:val="00F603B6"/>
    <w:rsid w:val="00F60D57"/>
    <w:rsid w:val="00F61C45"/>
    <w:rsid w:val="00F61D23"/>
    <w:rsid w:val="00F61DAD"/>
    <w:rsid w:val="00F62C56"/>
    <w:rsid w:val="00F6333F"/>
    <w:rsid w:val="00F63D2C"/>
    <w:rsid w:val="00F65B29"/>
    <w:rsid w:val="00F65D41"/>
    <w:rsid w:val="00F66254"/>
    <w:rsid w:val="00F66D75"/>
    <w:rsid w:val="00F6708E"/>
    <w:rsid w:val="00F67217"/>
    <w:rsid w:val="00F676C5"/>
    <w:rsid w:val="00F700B8"/>
    <w:rsid w:val="00F703BB"/>
    <w:rsid w:val="00F72670"/>
    <w:rsid w:val="00F72AB4"/>
    <w:rsid w:val="00F740AA"/>
    <w:rsid w:val="00F7432B"/>
    <w:rsid w:val="00F74E66"/>
    <w:rsid w:val="00F75100"/>
    <w:rsid w:val="00F75D72"/>
    <w:rsid w:val="00F75F33"/>
    <w:rsid w:val="00F76848"/>
    <w:rsid w:val="00F77501"/>
    <w:rsid w:val="00F80A29"/>
    <w:rsid w:val="00F814F8"/>
    <w:rsid w:val="00F8215A"/>
    <w:rsid w:val="00F8291F"/>
    <w:rsid w:val="00F82DEB"/>
    <w:rsid w:val="00F83D7F"/>
    <w:rsid w:val="00F83EF4"/>
    <w:rsid w:val="00F84091"/>
    <w:rsid w:val="00F84287"/>
    <w:rsid w:val="00F859EA"/>
    <w:rsid w:val="00F85BB0"/>
    <w:rsid w:val="00F85CAF"/>
    <w:rsid w:val="00F860B5"/>
    <w:rsid w:val="00F86DB1"/>
    <w:rsid w:val="00F876D5"/>
    <w:rsid w:val="00F90ADF"/>
    <w:rsid w:val="00F91400"/>
    <w:rsid w:val="00F91C54"/>
    <w:rsid w:val="00F91D9B"/>
    <w:rsid w:val="00F924B2"/>
    <w:rsid w:val="00F9274C"/>
    <w:rsid w:val="00F92C3E"/>
    <w:rsid w:val="00F93AD6"/>
    <w:rsid w:val="00F94630"/>
    <w:rsid w:val="00F95422"/>
    <w:rsid w:val="00F95804"/>
    <w:rsid w:val="00F96174"/>
    <w:rsid w:val="00F96335"/>
    <w:rsid w:val="00F9659D"/>
    <w:rsid w:val="00F9736D"/>
    <w:rsid w:val="00F97E95"/>
    <w:rsid w:val="00FA149A"/>
    <w:rsid w:val="00FA3263"/>
    <w:rsid w:val="00FA65F4"/>
    <w:rsid w:val="00FA6C49"/>
    <w:rsid w:val="00FA7459"/>
    <w:rsid w:val="00FA78D7"/>
    <w:rsid w:val="00FB1EA4"/>
    <w:rsid w:val="00FB2799"/>
    <w:rsid w:val="00FB34B2"/>
    <w:rsid w:val="00FB3942"/>
    <w:rsid w:val="00FB4802"/>
    <w:rsid w:val="00FB4A53"/>
    <w:rsid w:val="00FB5B3A"/>
    <w:rsid w:val="00FB6B4F"/>
    <w:rsid w:val="00FB7CC5"/>
    <w:rsid w:val="00FC07F6"/>
    <w:rsid w:val="00FC26D8"/>
    <w:rsid w:val="00FC28E5"/>
    <w:rsid w:val="00FC2D19"/>
    <w:rsid w:val="00FC364E"/>
    <w:rsid w:val="00FC4B71"/>
    <w:rsid w:val="00FC51EC"/>
    <w:rsid w:val="00FC5E2E"/>
    <w:rsid w:val="00FC6529"/>
    <w:rsid w:val="00FC6D8A"/>
    <w:rsid w:val="00FC72E0"/>
    <w:rsid w:val="00FC7D5A"/>
    <w:rsid w:val="00FD1181"/>
    <w:rsid w:val="00FD130A"/>
    <w:rsid w:val="00FD1508"/>
    <w:rsid w:val="00FD1702"/>
    <w:rsid w:val="00FD2AB5"/>
    <w:rsid w:val="00FD3AFC"/>
    <w:rsid w:val="00FD442A"/>
    <w:rsid w:val="00FD588A"/>
    <w:rsid w:val="00FD6703"/>
    <w:rsid w:val="00FD6A2A"/>
    <w:rsid w:val="00FD6B20"/>
    <w:rsid w:val="00FD79A4"/>
    <w:rsid w:val="00FD7C23"/>
    <w:rsid w:val="00FD7C9D"/>
    <w:rsid w:val="00FE0D32"/>
    <w:rsid w:val="00FE14DA"/>
    <w:rsid w:val="00FE1618"/>
    <w:rsid w:val="00FE1E26"/>
    <w:rsid w:val="00FE270E"/>
    <w:rsid w:val="00FE3880"/>
    <w:rsid w:val="00FE480A"/>
    <w:rsid w:val="00FE638B"/>
    <w:rsid w:val="00FE7F8E"/>
    <w:rsid w:val="00FF0F47"/>
    <w:rsid w:val="00FF13CC"/>
    <w:rsid w:val="00FF1516"/>
    <w:rsid w:val="00FF1914"/>
    <w:rsid w:val="00FF377B"/>
    <w:rsid w:val="00FF4D66"/>
    <w:rsid w:val="00FF541D"/>
    <w:rsid w:val="00FF70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5C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9A3"/>
  </w:style>
  <w:style w:type="paragraph" w:styleId="Heading1">
    <w:name w:val="heading 1"/>
    <w:basedOn w:val="Normal"/>
    <w:next w:val="Normal"/>
    <w:link w:val="Heading1Char"/>
    <w:uiPriority w:val="9"/>
    <w:qFormat/>
    <w:rsid w:val="009B3CE0"/>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B3CE0"/>
    <w:pPr>
      <w:keepNext/>
      <w:keepLines/>
      <w:spacing w:before="160" w:after="120"/>
      <w:outlineLvl w:val="1"/>
    </w:pPr>
    <w:rPr>
      <w:rFonts w:eastAsiaTheme="majorEastAsia" w:cstheme="majorBidi"/>
      <w:b/>
      <w:szCs w:val="26"/>
      <w:u w:val="single"/>
    </w:rPr>
  </w:style>
  <w:style w:type="paragraph" w:styleId="Heading3">
    <w:name w:val="heading 3"/>
    <w:basedOn w:val="Normal"/>
    <w:next w:val="Normal"/>
    <w:link w:val="Heading3Char"/>
    <w:unhideWhenUsed/>
    <w:qFormat/>
    <w:rsid w:val="009B3CE0"/>
    <w:pPr>
      <w:keepNext/>
      <w:spacing w:after="240" w:line="240" w:lineRule="auto"/>
      <w:outlineLvl w:val="2"/>
    </w:pPr>
    <w:rPr>
      <w:rFonts w:eastAsia="Times New Roman"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2196"/>
    <w:rPr>
      <w:sz w:val="16"/>
      <w:szCs w:val="16"/>
    </w:rPr>
  </w:style>
  <w:style w:type="paragraph" w:styleId="CommentText">
    <w:name w:val="annotation text"/>
    <w:basedOn w:val="Normal"/>
    <w:link w:val="CommentTextChar"/>
    <w:uiPriority w:val="99"/>
    <w:unhideWhenUsed/>
    <w:rsid w:val="00692196"/>
    <w:pPr>
      <w:spacing w:line="240" w:lineRule="auto"/>
    </w:pPr>
    <w:rPr>
      <w:sz w:val="20"/>
      <w:szCs w:val="20"/>
    </w:rPr>
  </w:style>
  <w:style w:type="character" w:customStyle="1" w:styleId="CommentTextChar">
    <w:name w:val="Comment Text Char"/>
    <w:basedOn w:val="DefaultParagraphFont"/>
    <w:link w:val="CommentText"/>
    <w:uiPriority w:val="99"/>
    <w:rsid w:val="00692196"/>
    <w:rPr>
      <w:sz w:val="20"/>
      <w:szCs w:val="20"/>
    </w:rPr>
  </w:style>
  <w:style w:type="paragraph" w:styleId="CommentSubject">
    <w:name w:val="annotation subject"/>
    <w:basedOn w:val="CommentText"/>
    <w:next w:val="CommentText"/>
    <w:link w:val="CommentSubjectChar"/>
    <w:uiPriority w:val="99"/>
    <w:semiHidden/>
    <w:unhideWhenUsed/>
    <w:rsid w:val="00692196"/>
    <w:rPr>
      <w:b/>
      <w:bCs/>
    </w:rPr>
  </w:style>
  <w:style w:type="character" w:customStyle="1" w:styleId="CommentSubjectChar">
    <w:name w:val="Comment Subject Char"/>
    <w:basedOn w:val="CommentTextChar"/>
    <w:link w:val="CommentSubject"/>
    <w:uiPriority w:val="99"/>
    <w:semiHidden/>
    <w:rsid w:val="00692196"/>
    <w:rPr>
      <w:b/>
      <w:bCs/>
      <w:sz w:val="20"/>
      <w:szCs w:val="20"/>
    </w:rPr>
  </w:style>
  <w:style w:type="paragraph" w:styleId="BalloonText">
    <w:name w:val="Balloon Text"/>
    <w:basedOn w:val="Normal"/>
    <w:link w:val="BalloonTextChar"/>
    <w:uiPriority w:val="99"/>
    <w:semiHidden/>
    <w:unhideWhenUsed/>
    <w:rsid w:val="00692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196"/>
    <w:rPr>
      <w:rFonts w:ascii="Segoe UI" w:hAnsi="Segoe UI" w:cs="Segoe UI"/>
      <w:sz w:val="18"/>
      <w:szCs w:val="18"/>
    </w:rPr>
  </w:style>
  <w:style w:type="paragraph" w:customStyle="1" w:styleId="SingleTxt">
    <w:name w:val="__Single Txt"/>
    <w:basedOn w:val="Normal"/>
    <w:rsid w:val="00140F6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0"/>
      <w:lang w:eastAsia="en-US"/>
    </w:rPr>
  </w:style>
  <w:style w:type="character" w:styleId="Hyperlink">
    <w:name w:val="Hyperlink"/>
    <w:basedOn w:val="DefaultParagraphFont"/>
    <w:uiPriority w:val="99"/>
    <w:unhideWhenUsed/>
    <w:rsid w:val="00062A47"/>
    <w:rPr>
      <w:color w:val="0563C1" w:themeColor="hyperlink"/>
      <w:u w:val="single"/>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Footnote reference Char"/>
    <w:basedOn w:val="DefaultParagraphFont"/>
    <w:link w:val="FootnoteText"/>
    <w:locked/>
    <w:rsid w:val="004266CD"/>
    <w:rPr>
      <w:sz w:val="18"/>
      <w:lang w:val="x-none" w:eastAsia="en-US"/>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Footnote reference,FA Fu"/>
    <w:basedOn w:val="Normal"/>
    <w:link w:val="FootnoteTextChar"/>
    <w:unhideWhenUsed/>
    <w:qFormat/>
    <w:rsid w:val="004266CD"/>
    <w:pPr>
      <w:tabs>
        <w:tab w:val="right" w:pos="1021"/>
      </w:tabs>
      <w:suppressAutoHyphens/>
      <w:spacing w:after="0" w:line="220" w:lineRule="exact"/>
      <w:ind w:left="1134" w:right="1134" w:hanging="1134"/>
    </w:pPr>
    <w:rPr>
      <w:sz w:val="18"/>
      <w:lang w:val="x-none" w:eastAsia="en-US"/>
    </w:rPr>
  </w:style>
  <w:style w:type="character" w:customStyle="1" w:styleId="FootnoteTextChar1">
    <w:name w:val="Footnote Text Char1"/>
    <w:basedOn w:val="DefaultParagraphFont"/>
    <w:uiPriority w:val="99"/>
    <w:semiHidden/>
    <w:rsid w:val="004266CD"/>
    <w:rPr>
      <w:sz w:val="20"/>
      <w:szCs w:val="20"/>
    </w:rPr>
  </w:style>
  <w:style w:type="character" w:styleId="FootnoteReference">
    <w:name w:val="footnote reference"/>
    <w:aliases w:val="4_G,Footnote number,ftref,Footnotes refss,Footnote Refernece,Appel note de bas de p.,Footnote Ref,16 Point,Superscript 6 Point,Footnote symbol Car Zchn Zchn,Footnote Car Zchn Zchn,Times 10 Point Car Zchn Zchn,Ref,BVI fn"/>
    <w:link w:val="FootnotesymbolCarZchn"/>
    <w:uiPriority w:val="99"/>
    <w:unhideWhenUsed/>
    <w:rsid w:val="004266CD"/>
    <w:rPr>
      <w:rFonts w:ascii="Times New Roman" w:hAnsi="Times New Roman" w:cs="Times New Roman" w:hint="default"/>
      <w:sz w:val="18"/>
      <w:vertAlign w:val="superscript"/>
    </w:rPr>
  </w:style>
  <w:style w:type="character" w:styleId="Emphasis">
    <w:name w:val="Emphasis"/>
    <w:basedOn w:val="DefaultParagraphFont"/>
    <w:uiPriority w:val="20"/>
    <w:qFormat/>
    <w:rsid w:val="003C4D39"/>
    <w:rPr>
      <w:i/>
      <w:iCs/>
    </w:rPr>
  </w:style>
  <w:style w:type="paragraph" w:styleId="ListParagraph">
    <w:name w:val="List Paragraph"/>
    <w:basedOn w:val="Normal"/>
    <w:uiPriority w:val="34"/>
    <w:qFormat/>
    <w:rsid w:val="008E7CD5"/>
    <w:pPr>
      <w:ind w:left="720"/>
      <w:contextualSpacing/>
    </w:pPr>
  </w:style>
  <w:style w:type="character" w:customStyle="1" w:styleId="m-5567036575978786047xmsofootnotereference">
    <w:name w:val="m_-5567036575978786047x_msofootnotereference"/>
    <w:basedOn w:val="DefaultParagraphFont"/>
    <w:rsid w:val="000517F3"/>
  </w:style>
  <w:style w:type="paragraph" w:styleId="Revision">
    <w:name w:val="Revision"/>
    <w:hidden/>
    <w:uiPriority w:val="99"/>
    <w:semiHidden/>
    <w:rsid w:val="00C310B0"/>
    <w:pPr>
      <w:spacing w:after="0" w:line="240" w:lineRule="auto"/>
    </w:pPr>
  </w:style>
  <w:style w:type="paragraph" w:styleId="Header">
    <w:name w:val="header"/>
    <w:basedOn w:val="Normal"/>
    <w:link w:val="HeaderChar"/>
    <w:uiPriority w:val="99"/>
    <w:unhideWhenUsed/>
    <w:rsid w:val="00C97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A5E"/>
  </w:style>
  <w:style w:type="paragraph" w:styleId="Footer">
    <w:name w:val="footer"/>
    <w:basedOn w:val="Normal"/>
    <w:link w:val="FooterChar"/>
    <w:uiPriority w:val="99"/>
    <w:unhideWhenUsed/>
    <w:rsid w:val="00C97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A5E"/>
  </w:style>
  <w:style w:type="character" w:customStyle="1" w:styleId="UnresolvedMention1">
    <w:name w:val="Unresolved Mention1"/>
    <w:basedOn w:val="DefaultParagraphFont"/>
    <w:uiPriority w:val="99"/>
    <w:semiHidden/>
    <w:unhideWhenUsed/>
    <w:rsid w:val="00CD48BB"/>
    <w:rPr>
      <w:color w:val="605E5C"/>
      <w:shd w:val="clear" w:color="auto" w:fill="E1DFDD"/>
    </w:rPr>
  </w:style>
  <w:style w:type="character" w:styleId="FollowedHyperlink">
    <w:name w:val="FollowedHyperlink"/>
    <w:basedOn w:val="DefaultParagraphFont"/>
    <w:uiPriority w:val="99"/>
    <w:semiHidden/>
    <w:unhideWhenUsed/>
    <w:rsid w:val="00D707DA"/>
    <w:rPr>
      <w:color w:val="954F72" w:themeColor="followedHyperlink"/>
      <w:u w:val="single"/>
    </w:rPr>
  </w:style>
  <w:style w:type="character" w:customStyle="1" w:styleId="Heading3Char">
    <w:name w:val="Heading 3 Char"/>
    <w:basedOn w:val="DefaultParagraphFont"/>
    <w:link w:val="Heading3"/>
    <w:rsid w:val="009B3CE0"/>
    <w:rPr>
      <w:rFonts w:eastAsia="Times New Roman" w:cs="Times New Roman"/>
      <w:b/>
      <w:szCs w:val="20"/>
      <w:lang w:eastAsia="en-US"/>
    </w:rPr>
  </w:style>
  <w:style w:type="character" w:customStyle="1" w:styleId="highlight">
    <w:name w:val="highlight"/>
    <w:basedOn w:val="DefaultParagraphFont"/>
    <w:rsid w:val="00DA57D1"/>
  </w:style>
  <w:style w:type="paragraph" w:styleId="NormalWeb">
    <w:name w:val="Normal (Web)"/>
    <w:basedOn w:val="Normal"/>
    <w:uiPriority w:val="99"/>
    <w:semiHidden/>
    <w:unhideWhenUsed/>
    <w:rsid w:val="00882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TxtG">
    <w:name w:val="_ Single Txt_G"/>
    <w:basedOn w:val="Normal"/>
    <w:link w:val="SingleTxtGChar"/>
    <w:qFormat/>
    <w:rsid w:val="0017186A"/>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authors">
    <w:name w:val="authors"/>
    <w:basedOn w:val="DefaultParagraphFont"/>
    <w:rsid w:val="00E31364"/>
  </w:style>
  <w:style w:type="character" w:customStyle="1" w:styleId="Date1">
    <w:name w:val="Date1"/>
    <w:basedOn w:val="DefaultParagraphFont"/>
    <w:rsid w:val="00E31364"/>
  </w:style>
  <w:style w:type="character" w:customStyle="1" w:styleId="arttitle">
    <w:name w:val="art_title"/>
    <w:basedOn w:val="DefaultParagraphFont"/>
    <w:rsid w:val="00E31364"/>
  </w:style>
  <w:style w:type="character" w:customStyle="1" w:styleId="serialtitle">
    <w:name w:val="serial_title"/>
    <w:basedOn w:val="DefaultParagraphFont"/>
    <w:rsid w:val="00E31364"/>
  </w:style>
  <w:style w:type="character" w:customStyle="1" w:styleId="volumeissue">
    <w:name w:val="volume_issue"/>
    <w:basedOn w:val="DefaultParagraphFont"/>
    <w:rsid w:val="00E31364"/>
  </w:style>
  <w:style w:type="character" w:customStyle="1" w:styleId="pagerange">
    <w:name w:val="page_range"/>
    <w:basedOn w:val="DefaultParagraphFont"/>
    <w:rsid w:val="00E31364"/>
  </w:style>
  <w:style w:type="character" w:customStyle="1" w:styleId="Heading1Char">
    <w:name w:val="Heading 1 Char"/>
    <w:basedOn w:val="DefaultParagraphFont"/>
    <w:link w:val="Heading1"/>
    <w:uiPriority w:val="9"/>
    <w:rsid w:val="009B3CE0"/>
    <w:rPr>
      <w:rFonts w:eastAsiaTheme="majorEastAsia" w:cstheme="majorBidi"/>
      <w:b/>
      <w:sz w:val="28"/>
      <w:szCs w:val="32"/>
    </w:rPr>
  </w:style>
  <w:style w:type="paragraph" w:customStyle="1" w:styleId="gb-buy-options-link">
    <w:name w:val="gb-buy-options-link"/>
    <w:basedOn w:val="Normal"/>
    <w:rsid w:val="001D2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b-buy-options-arrow">
    <w:name w:val="gb-buy-options-arrow"/>
    <w:basedOn w:val="DefaultParagraphFont"/>
    <w:rsid w:val="001D21B2"/>
  </w:style>
  <w:style w:type="character" w:customStyle="1" w:styleId="num-ratings">
    <w:name w:val="num-ratings"/>
    <w:basedOn w:val="DefaultParagraphFont"/>
    <w:rsid w:val="001D21B2"/>
  </w:style>
  <w:style w:type="character" w:customStyle="1" w:styleId="count">
    <w:name w:val="count"/>
    <w:basedOn w:val="DefaultParagraphFont"/>
    <w:rsid w:val="001D21B2"/>
  </w:style>
  <w:style w:type="character" w:customStyle="1" w:styleId="addmd">
    <w:name w:val="addmd"/>
    <w:basedOn w:val="DefaultParagraphFont"/>
    <w:rsid w:val="001D21B2"/>
  </w:style>
  <w:style w:type="character" w:customStyle="1" w:styleId="SingleTxtGChar">
    <w:name w:val="_ Single Txt_G Char"/>
    <w:link w:val="SingleTxtG"/>
    <w:locked/>
    <w:rsid w:val="00193B6E"/>
    <w:rPr>
      <w:rFonts w:ascii="Times New Roman" w:eastAsia="Times New Roman" w:hAnsi="Times New Roman" w:cs="Times New Roman"/>
      <w:sz w:val="20"/>
      <w:szCs w:val="20"/>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193B6E"/>
    <w:pPr>
      <w:spacing w:line="240" w:lineRule="exact"/>
      <w:jc w:val="both"/>
    </w:pPr>
    <w:rPr>
      <w:rFonts w:ascii="Times New Roman" w:hAnsi="Times New Roman" w:cs="Times New Roman"/>
      <w:sz w:val="18"/>
      <w:vertAlign w:val="superscript"/>
    </w:rPr>
  </w:style>
  <w:style w:type="character" w:customStyle="1" w:styleId="StyleIChar">
    <w:name w:val="Style I Char"/>
    <w:basedOn w:val="DefaultParagraphFont"/>
    <w:link w:val="StyleI"/>
    <w:locked/>
    <w:rsid w:val="0073482E"/>
    <w:rPr>
      <w:b/>
      <w:sz w:val="24"/>
      <w:lang w:eastAsia="en-US"/>
    </w:rPr>
  </w:style>
  <w:style w:type="paragraph" w:customStyle="1" w:styleId="StyleI">
    <w:name w:val="Style I"/>
    <w:basedOn w:val="Normal"/>
    <w:link w:val="StyleIChar"/>
    <w:qFormat/>
    <w:rsid w:val="0073482E"/>
    <w:pPr>
      <w:keepNext/>
      <w:keepLines/>
      <w:tabs>
        <w:tab w:val="right" w:pos="851"/>
      </w:tabs>
      <w:suppressAutoHyphens/>
      <w:spacing w:before="360" w:after="240" w:line="270" w:lineRule="exact"/>
      <w:ind w:left="567" w:right="1134" w:hanging="567"/>
    </w:pPr>
    <w:rPr>
      <w:b/>
      <w:sz w:val="24"/>
      <w:lang w:eastAsia="en-US"/>
    </w:rPr>
  </w:style>
  <w:style w:type="character" w:styleId="Strong">
    <w:name w:val="Strong"/>
    <w:basedOn w:val="DefaultParagraphFont"/>
    <w:uiPriority w:val="22"/>
    <w:qFormat/>
    <w:rsid w:val="00044B10"/>
    <w:rPr>
      <w:b/>
      <w:bCs/>
    </w:rPr>
  </w:style>
  <w:style w:type="character" w:customStyle="1" w:styleId="title2">
    <w:name w:val="title2"/>
    <w:basedOn w:val="DefaultParagraphFont"/>
    <w:rsid w:val="009F6C31"/>
  </w:style>
  <w:style w:type="character" w:customStyle="1" w:styleId="Heading2Char">
    <w:name w:val="Heading 2 Char"/>
    <w:basedOn w:val="DefaultParagraphFont"/>
    <w:link w:val="Heading2"/>
    <w:uiPriority w:val="9"/>
    <w:rsid w:val="009B3CE0"/>
    <w:rPr>
      <w:rFonts w:eastAsiaTheme="majorEastAsia" w:cstheme="majorBidi"/>
      <w:b/>
      <w:szCs w:val="26"/>
      <w:u w:val="single"/>
    </w:rPr>
  </w:style>
  <w:style w:type="paragraph" w:customStyle="1" w:styleId="xmsonormal">
    <w:name w:val="x_msonormal"/>
    <w:basedOn w:val="Normal"/>
    <w:rsid w:val="00C81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41FE3"/>
    <w:rPr>
      <w:color w:val="605E5C"/>
      <w:shd w:val="clear" w:color="auto" w:fill="E1DFDD"/>
    </w:rPr>
  </w:style>
  <w:style w:type="paragraph" w:customStyle="1" w:styleId="Default">
    <w:name w:val="Default"/>
    <w:rsid w:val="00AD7B2D"/>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121444"/>
    <w:pPr>
      <w:jc w:val="left"/>
      <w:outlineLvl w:val="9"/>
    </w:pPr>
    <w:rPr>
      <w:lang w:val="en-US" w:eastAsia="en-US"/>
    </w:rPr>
  </w:style>
  <w:style w:type="paragraph" w:styleId="TOC1">
    <w:name w:val="toc 1"/>
    <w:basedOn w:val="Normal"/>
    <w:next w:val="Normal"/>
    <w:autoRedefine/>
    <w:uiPriority w:val="39"/>
    <w:unhideWhenUsed/>
    <w:rsid w:val="003B76A1"/>
    <w:pPr>
      <w:numPr>
        <w:numId w:val="20"/>
      </w:numPr>
      <w:tabs>
        <w:tab w:val="right" w:leader="dot" w:pos="9016"/>
      </w:tabs>
      <w:spacing w:after="100"/>
      <w:ind w:left="426" w:hanging="426"/>
    </w:pPr>
  </w:style>
  <w:style w:type="paragraph" w:styleId="TOC2">
    <w:name w:val="toc 2"/>
    <w:basedOn w:val="Normal"/>
    <w:next w:val="Normal"/>
    <w:autoRedefine/>
    <w:uiPriority w:val="39"/>
    <w:unhideWhenUsed/>
    <w:rsid w:val="00121444"/>
    <w:pPr>
      <w:tabs>
        <w:tab w:val="right" w:leader="dot" w:pos="9016"/>
      </w:tabs>
      <w:spacing w:after="0" w:line="240" w:lineRule="auto"/>
      <w:ind w:left="221"/>
    </w:pPr>
  </w:style>
  <w:style w:type="paragraph" w:styleId="TOC3">
    <w:name w:val="toc 3"/>
    <w:basedOn w:val="Normal"/>
    <w:next w:val="Normal"/>
    <w:autoRedefine/>
    <w:uiPriority w:val="39"/>
    <w:unhideWhenUsed/>
    <w:rsid w:val="00121444"/>
    <w:pPr>
      <w:spacing w:after="100"/>
      <w:ind w:left="440"/>
    </w:pPr>
  </w:style>
  <w:style w:type="paragraph" w:styleId="Title">
    <w:name w:val="Title"/>
    <w:basedOn w:val="Normal"/>
    <w:next w:val="Normal"/>
    <w:link w:val="TitleChar"/>
    <w:uiPriority w:val="10"/>
    <w:qFormat/>
    <w:rsid w:val="00121444"/>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1444"/>
    <w:rPr>
      <w:rFonts w:eastAsiaTheme="majorEastAsia"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745">
      <w:bodyDiv w:val="1"/>
      <w:marLeft w:val="0"/>
      <w:marRight w:val="0"/>
      <w:marTop w:val="0"/>
      <w:marBottom w:val="0"/>
      <w:divBdr>
        <w:top w:val="none" w:sz="0" w:space="0" w:color="auto"/>
        <w:left w:val="none" w:sz="0" w:space="0" w:color="auto"/>
        <w:bottom w:val="none" w:sz="0" w:space="0" w:color="auto"/>
        <w:right w:val="none" w:sz="0" w:space="0" w:color="auto"/>
      </w:divBdr>
    </w:div>
    <w:div w:id="115949141">
      <w:bodyDiv w:val="1"/>
      <w:marLeft w:val="0"/>
      <w:marRight w:val="0"/>
      <w:marTop w:val="0"/>
      <w:marBottom w:val="0"/>
      <w:divBdr>
        <w:top w:val="none" w:sz="0" w:space="0" w:color="auto"/>
        <w:left w:val="none" w:sz="0" w:space="0" w:color="auto"/>
        <w:bottom w:val="none" w:sz="0" w:space="0" w:color="auto"/>
        <w:right w:val="none" w:sz="0" w:space="0" w:color="auto"/>
      </w:divBdr>
    </w:div>
    <w:div w:id="142357936">
      <w:bodyDiv w:val="1"/>
      <w:marLeft w:val="0"/>
      <w:marRight w:val="0"/>
      <w:marTop w:val="0"/>
      <w:marBottom w:val="0"/>
      <w:divBdr>
        <w:top w:val="none" w:sz="0" w:space="0" w:color="auto"/>
        <w:left w:val="none" w:sz="0" w:space="0" w:color="auto"/>
        <w:bottom w:val="none" w:sz="0" w:space="0" w:color="auto"/>
        <w:right w:val="none" w:sz="0" w:space="0" w:color="auto"/>
      </w:divBdr>
    </w:div>
    <w:div w:id="254020920">
      <w:bodyDiv w:val="1"/>
      <w:marLeft w:val="0"/>
      <w:marRight w:val="0"/>
      <w:marTop w:val="0"/>
      <w:marBottom w:val="0"/>
      <w:divBdr>
        <w:top w:val="none" w:sz="0" w:space="0" w:color="auto"/>
        <w:left w:val="none" w:sz="0" w:space="0" w:color="auto"/>
        <w:bottom w:val="none" w:sz="0" w:space="0" w:color="auto"/>
        <w:right w:val="none" w:sz="0" w:space="0" w:color="auto"/>
      </w:divBdr>
    </w:div>
    <w:div w:id="366297615">
      <w:bodyDiv w:val="1"/>
      <w:marLeft w:val="0"/>
      <w:marRight w:val="0"/>
      <w:marTop w:val="0"/>
      <w:marBottom w:val="0"/>
      <w:divBdr>
        <w:top w:val="none" w:sz="0" w:space="0" w:color="auto"/>
        <w:left w:val="none" w:sz="0" w:space="0" w:color="auto"/>
        <w:bottom w:val="none" w:sz="0" w:space="0" w:color="auto"/>
        <w:right w:val="none" w:sz="0" w:space="0" w:color="auto"/>
      </w:divBdr>
    </w:div>
    <w:div w:id="437218707">
      <w:bodyDiv w:val="1"/>
      <w:marLeft w:val="0"/>
      <w:marRight w:val="0"/>
      <w:marTop w:val="0"/>
      <w:marBottom w:val="0"/>
      <w:divBdr>
        <w:top w:val="none" w:sz="0" w:space="0" w:color="auto"/>
        <w:left w:val="none" w:sz="0" w:space="0" w:color="auto"/>
        <w:bottom w:val="none" w:sz="0" w:space="0" w:color="auto"/>
        <w:right w:val="none" w:sz="0" w:space="0" w:color="auto"/>
      </w:divBdr>
      <w:divsChild>
        <w:div w:id="266230016">
          <w:marLeft w:val="-225"/>
          <w:marRight w:val="0"/>
          <w:marTop w:val="0"/>
          <w:marBottom w:val="0"/>
          <w:divBdr>
            <w:top w:val="none" w:sz="0" w:space="0" w:color="auto"/>
            <w:left w:val="none" w:sz="0" w:space="0" w:color="auto"/>
            <w:bottom w:val="none" w:sz="0" w:space="0" w:color="auto"/>
            <w:right w:val="none" w:sz="0" w:space="0" w:color="auto"/>
          </w:divBdr>
        </w:div>
        <w:div w:id="1420444927">
          <w:marLeft w:val="-225"/>
          <w:marRight w:val="0"/>
          <w:marTop w:val="0"/>
          <w:marBottom w:val="300"/>
          <w:divBdr>
            <w:top w:val="none" w:sz="0" w:space="0" w:color="auto"/>
            <w:left w:val="none" w:sz="0" w:space="0" w:color="auto"/>
            <w:bottom w:val="none" w:sz="0" w:space="0" w:color="auto"/>
            <w:right w:val="none" w:sz="0" w:space="0" w:color="auto"/>
          </w:divBdr>
          <w:divsChild>
            <w:div w:id="1382171381">
              <w:marLeft w:val="-225"/>
              <w:marRight w:val="0"/>
              <w:marTop w:val="0"/>
              <w:marBottom w:val="0"/>
              <w:divBdr>
                <w:top w:val="none" w:sz="0" w:space="0" w:color="auto"/>
                <w:left w:val="none" w:sz="0" w:space="0" w:color="auto"/>
                <w:bottom w:val="none" w:sz="0" w:space="0" w:color="auto"/>
                <w:right w:val="none" w:sz="0" w:space="0" w:color="auto"/>
              </w:divBdr>
              <w:divsChild>
                <w:div w:id="184254956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7247">
      <w:bodyDiv w:val="1"/>
      <w:marLeft w:val="0"/>
      <w:marRight w:val="0"/>
      <w:marTop w:val="0"/>
      <w:marBottom w:val="0"/>
      <w:divBdr>
        <w:top w:val="none" w:sz="0" w:space="0" w:color="auto"/>
        <w:left w:val="none" w:sz="0" w:space="0" w:color="auto"/>
        <w:bottom w:val="none" w:sz="0" w:space="0" w:color="auto"/>
        <w:right w:val="none" w:sz="0" w:space="0" w:color="auto"/>
      </w:divBdr>
      <w:divsChild>
        <w:div w:id="2108841176">
          <w:marLeft w:val="0"/>
          <w:marRight w:val="0"/>
          <w:marTop w:val="0"/>
          <w:marBottom w:val="0"/>
          <w:divBdr>
            <w:top w:val="none" w:sz="0" w:space="0" w:color="auto"/>
            <w:left w:val="none" w:sz="0" w:space="0" w:color="auto"/>
            <w:bottom w:val="none" w:sz="0" w:space="0" w:color="auto"/>
            <w:right w:val="none" w:sz="0" w:space="0" w:color="auto"/>
          </w:divBdr>
          <w:divsChild>
            <w:div w:id="1952082237">
              <w:marLeft w:val="0"/>
              <w:marRight w:val="0"/>
              <w:marTop w:val="0"/>
              <w:marBottom w:val="0"/>
              <w:divBdr>
                <w:top w:val="none" w:sz="0" w:space="0" w:color="auto"/>
                <w:left w:val="none" w:sz="0" w:space="0" w:color="auto"/>
                <w:bottom w:val="none" w:sz="0" w:space="0" w:color="auto"/>
                <w:right w:val="none" w:sz="0" w:space="0" w:color="auto"/>
              </w:divBdr>
              <w:divsChild>
                <w:div w:id="853687730">
                  <w:marLeft w:val="0"/>
                  <w:marRight w:val="0"/>
                  <w:marTop w:val="375"/>
                  <w:marBottom w:val="0"/>
                  <w:divBdr>
                    <w:top w:val="none" w:sz="0" w:space="0" w:color="auto"/>
                    <w:left w:val="none" w:sz="0" w:space="0" w:color="auto"/>
                    <w:bottom w:val="none" w:sz="0" w:space="0" w:color="auto"/>
                    <w:right w:val="none" w:sz="0" w:space="0" w:color="auto"/>
                  </w:divBdr>
                  <w:divsChild>
                    <w:div w:id="1541169229">
                      <w:marLeft w:val="0"/>
                      <w:marRight w:val="0"/>
                      <w:marTop w:val="0"/>
                      <w:marBottom w:val="0"/>
                      <w:divBdr>
                        <w:top w:val="none" w:sz="0" w:space="0" w:color="auto"/>
                        <w:left w:val="none" w:sz="0" w:space="0" w:color="auto"/>
                        <w:bottom w:val="none" w:sz="0" w:space="0" w:color="auto"/>
                        <w:right w:val="none" w:sz="0" w:space="0" w:color="auto"/>
                      </w:divBdr>
                      <w:divsChild>
                        <w:div w:id="574243660">
                          <w:marLeft w:val="0"/>
                          <w:marRight w:val="0"/>
                          <w:marTop w:val="0"/>
                          <w:marBottom w:val="0"/>
                          <w:divBdr>
                            <w:top w:val="none" w:sz="0" w:space="0" w:color="auto"/>
                            <w:left w:val="none" w:sz="0" w:space="0" w:color="auto"/>
                            <w:bottom w:val="none" w:sz="0" w:space="0" w:color="auto"/>
                            <w:right w:val="none" w:sz="0" w:space="0" w:color="auto"/>
                          </w:divBdr>
                          <w:divsChild>
                            <w:div w:id="1406804672">
                              <w:marLeft w:val="0"/>
                              <w:marRight w:val="0"/>
                              <w:marTop w:val="0"/>
                              <w:marBottom w:val="0"/>
                              <w:divBdr>
                                <w:top w:val="none" w:sz="0" w:space="0" w:color="auto"/>
                                <w:left w:val="none" w:sz="0" w:space="0" w:color="auto"/>
                                <w:bottom w:val="none" w:sz="0" w:space="0" w:color="auto"/>
                                <w:right w:val="none" w:sz="0" w:space="0" w:color="auto"/>
                              </w:divBdr>
                              <w:divsChild>
                                <w:div w:id="2077126655">
                                  <w:marLeft w:val="0"/>
                                  <w:marRight w:val="0"/>
                                  <w:marTop w:val="0"/>
                                  <w:marBottom w:val="0"/>
                                  <w:divBdr>
                                    <w:top w:val="none" w:sz="0" w:space="0" w:color="auto"/>
                                    <w:left w:val="none" w:sz="0" w:space="0" w:color="auto"/>
                                    <w:bottom w:val="none" w:sz="0" w:space="0" w:color="auto"/>
                                    <w:right w:val="none" w:sz="0" w:space="0" w:color="auto"/>
                                  </w:divBdr>
                                  <w:divsChild>
                                    <w:div w:id="1926261604">
                                      <w:marLeft w:val="0"/>
                                      <w:marRight w:val="0"/>
                                      <w:marTop w:val="0"/>
                                      <w:marBottom w:val="0"/>
                                      <w:divBdr>
                                        <w:top w:val="none" w:sz="0" w:space="0" w:color="auto"/>
                                        <w:left w:val="none" w:sz="0" w:space="0" w:color="auto"/>
                                        <w:bottom w:val="none" w:sz="0" w:space="0" w:color="auto"/>
                                        <w:right w:val="none" w:sz="0" w:space="0" w:color="auto"/>
                                      </w:divBdr>
                                    </w:div>
                                    <w:div w:id="1572736204">
                                      <w:marLeft w:val="0"/>
                                      <w:marRight w:val="0"/>
                                      <w:marTop w:val="0"/>
                                      <w:marBottom w:val="75"/>
                                      <w:divBdr>
                                        <w:top w:val="none" w:sz="0" w:space="0" w:color="auto"/>
                                        <w:left w:val="none" w:sz="0" w:space="0" w:color="auto"/>
                                        <w:bottom w:val="none" w:sz="0" w:space="0" w:color="auto"/>
                                        <w:right w:val="none" w:sz="0" w:space="0" w:color="auto"/>
                                      </w:divBdr>
                                    </w:div>
                                  </w:divsChild>
                                </w:div>
                                <w:div w:id="11570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3300">
          <w:marLeft w:val="0"/>
          <w:marRight w:val="0"/>
          <w:marTop w:val="0"/>
          <w:marBottom w:val="0"/>
          <w:divBdr>
            <w:top w:val="none" w:sz="0" w:space="0" w:color="auto"/>
            <w:left w:val="none" w:sz="0" w:space="0" w:color="auto"/>
            <w:bottom w:val="none" w:sz="0" w:space="0" w:color="auto"/>
            <w:right w:val="none" w:sz="0" w:space="0" w:color="auto"/>
          </w:divBdr>
          <w:divsChild>
            <w:div w:id="360210326">
              <w:marLeft w:val="0"/>
              <w:marRight w:val="0"/>
              <w:marTop w:val="0"/>
              <w:marBottom w:val="0"/>
              <w:divBdr>
                <w:top w:val="none" w:sz="0" w:space="0" w:color="auto"/>
                <w:left w:val="none" w:sz="0" w:space="0" w:color="auto"/>
                <w:bottom w:val="single" w:sz="6" w:space="0" w:color="CFD5E4"/>
                <w:right w:val="none" w:sz="0" w:space="0" w:color="auto"/>
              </w:divBdr>
              <w:divsChild>
                <w:div w:id="201402268">
                  <w:marLeft w:val="0"/>
                  <w:marRight w:val="0"/>
                  <w:marTop w:val="0"/>
                  <w:marBottom w:val="0"/>
                  <w:divBdr>
                    <w:top w:val="none" w:sz="0" w:space="0" w:color="auto"/>
                    <w:left w:val="none" w:sz="0" w:space="0" w:color="auto"/>
                    <w:bottom w:val="none" w:sz="0" w:space="0" w:color="auto"/>
                    <w:right w:val="none" w:sz="0" w:space="0" w:color="auto"/>
                  </w:divBdr>
                  <w:divsChild>
                    <w:div w:id="2035619493">
                      <w:marLeft w:val="0"/>
                      <w:marRight w:val="0"/>
                      <w:marTop w:val="0"/>
                      <w:marBottom w:val="0"/>
                      <w:divBdr>
                        <w:top w:val="none" w:sz="0" w:space="0" w:color="auto"/>
                        <w:left w:val="none" w:sz="0" w:space="0" w:color="auto"/>
                        <w:bottom w:val="none" w:sz="0" w:space="0" w:color="auto"/>
                        <w:right w:val="none" w:sz="0" w:space="0" w:color="auto"/>
                      </w:divBdr>
                    </w:div>
                    <w:div w:id="931161350">
                      <w:marLeft w:val="0"/>
                      <w:marRight w:val="0"/>
                      <w:marTop w:val="0"/>
                      <w:marBottom w:val="0"/>
                      <w:divBdr>
                        <w:top w:val="none" w:sz="0" w:space="0" w:color="auto"/>
                        <w:left w:val="none" w:sz="0" w:space="0" w:color="auto"/>
                        <w:bottom w:val="none" w:sz="0" w:space="0" w:color="auto"/>
                        <w:right w:val="none" w:sz="0" w:space="0" w:color="auto"/>
                      </w:divBdr>
                      <w:divsChild>
                        <w:div w:id="1488861940">
                          <w:marLeft w:val="0"/>
                          <w:marRight w:val="0"/>
                          <w:marTop w:val="0"/>
                          <w:marBottom w:val="0"/>
                          <w:divBdr>
                            <w:top w:val="none" w:sz="0" w:space="0" w:color="auto"/>
                            <w:left w:val="none" w:sz="0" w:space="0" w:color="auto"/>
                            <w:bottom w:val="none" w:sz="0" w:space="0" w:color="auto"/>
                            <w:right w:val="none" w:sz="0" w:space="0" w:color="auto"/>
                          </w:divBdr>
                        </w:div>
                      </w:divsChild>
                    </w:div>
                    <w:div w:id="1563835683">
                      <w:marLeft w:val="0"/>
                      <w:marRight w:val="0"/>
                      <w:marTop w:val="0"/>
                      <w:marBottom w:val="0"/>
                      <w:divBdr>
                        <w:top w:val="none" w:sz="0" w:space="0" w:color="auto"/>
                        <w:left w:val="none" w:sz="0" w:space="0" w:color="auto"/>
                        <w:bottom w:val="none" w:sz="0" w:space="0" w:color="auto"/>
                        <w:right w:val="none" w:sz="0" w:space="0" w:color="auto"/>
                      </w:divBdr>
                      <w:divsChild>
                        <w:div w:id="72110290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4554">
          <w:marLeft w:val="0"/>
          <w:marRight w:val="0"/>
          <w:marTop w:val="0"/>
          <w:marBottom w:val="0"/>
          <w:divBdr>
            <w:top w:val="none" w:sz="0" w:space="0" w:color="auto"/>
            <w:left w:val="single" w:sz="6" w:space="31" w:color="CFD5E4"/>
            <w:bottom w:val="none" w:sz="0" w:space="0" w:color="auto"/>
            <w:right w:val="none" w:sz="0" w:space="31" w:color="auto"/>
          </w:divBdr>
          <w:divsChild>
            <w:div w:id="1325016020">
              <w:marLeft w:val="0"/>
              <w:marRight w:val="0"/>
              <w:marTop w:val="0"/>
              <w:marBottom w:val="0"/>
              <w:divBdr>
                <w:top w:val="none" w:sz="0" w:space="0" w:color="auto"/>
                <w:left w:val="none" w:sz="0" w:space="0" w:color="auto"/>
                <w:bottom w:val="none" w:sz="0" w:space="0" w:color="auto"/>
                <w:right w:val="none" w:sz="0" w:space="0" w:color="auto"/>
              </w:divBdr>
              <w:divsChild>
                <w:div w:id="2015763293">
                  <w:marLeft w:val="0"/>
                  <w:marRight w:val="0"/>
                  <w:marTop w:val="0"/>
                  <w:marBottom w:val="0"/>
                  <w:divBdr>
                    <w:top w:val="none" w:sz="0" w:space="0" w:color="auto"/>
                    <w:left w:val="none" w:sz="0" w:space="0" w:color="auto"/>
                    <w:bottom w:val="none" w:sz="0" w:space="0" w:color="auto"/>
                    <w:right w:val="none" w:sz="0" w:space="0" w:color="auto"/>
                  </w:divBdr>
                  <w:divsChild>
                    <w:div w:id="483162340">
                      <w:marLeft w:val="0"/>
                      <w:marRight w:val="0"/>
                      <w:marTop w:val="0"/>
                      <w:marBottom w:val="0"/>
                      <w:divBdr>
                        <w:top w:val="none" w:sz="0" w:space="0" w:color="auto"/>
                        <w:left w:val="none" w:sz="0" w:space="0" w:color="auto"/>
                        <w:bottom w:val="none" w:sz="0" w:space="0" w:color="auto"/>
                        <w:right w:val="none" w:sz="0" w:space="0" w:color="auto"/>
                      </w:divBdr>
                      <w:divsChild>
                        <w:div w:id="861673511">
                          <w:marLeft w:val="0"/>
                          <w:marRight w:val="0"/>
                          <w:marTop w:val="0"/>
                          <w:marBottom w:val="0"/>
                          <w:divBdr>
                            <w:top w:val="none" w:sz="0" w:space="0" w:color="auto"/>
                            <w:left w:val="none" w:sz="0" w:space="0" w:color="auto"/>
                            <w:bottom w:val="none" w:sz="0" w:space="0" w:color="auto"/>
                            <w:right w:val="none" w:sz="0" w:space="0" w:color="auto"/>
                          </w:divBdr>
                          <w:divsChild>
                            <w:div w:id="978455018">
                              <w:marLeft w:val="0"/>
                              <w:marRight w:val="0"/>
                              <w:marTop w:val="0"/>
                              <w:marBottom w:val="0"/>
                              <w:divBdr>
                                <w:top w:val="none" w:sz="0" w:space="0" w:color="auto"/>
                                <w:left w:val="none" w:sz="0" w:space="0" w:color="auto"/>
                                <w:bottom w:val="none" w:sz="0" w:space="0" w:color="auto"/>
                                <w:right w:val="none" w:sz="0" w:space="0" w:color="auto"/>
                              </w:divBdr>
                              <w:divsChild>
                                <w:div w:id="914241992">
                                  <w:marLeft w:val="0"/>
                                  <w:marRight w:val="0"/>
                                  <w:marTop w:val="0"/>
                                  <w:marBottom w:val="165"/>
                                  <w:divBdr>
                                    <w:top w:val="none" w:sz="0" w:space="0" w:color="auto"/>
                                    <w:left w:val="none" w:sz="0" w:space="0" w:color="auto"/>
                                    <w:bottom w:val="none" w:sz="0" w:space="0" w:color="auto"/>
                                    <w:right w:val="none" w:sz="0" w:space="0" w:color="auto"/>
                                  </w:divBdr>
                                </w:div>
                              </w:divsChild>
                            </w:div>
                            <w:div w:id="1328246499">
                              <w:marLeft w:val="0"/>
                              <w:marRight w:val="0"/>
                              <w:marTop w:val="165"/>
                              <w:marBottom w:val="165"/>
                              <w:divBdr>
                                <w:top w:val="none" w:sz="0" w:space="0" w:color="auto"/>
                                <w:left w:val="none" w:sz="0" w:space="0" w:color="auto"/>
                                <w:bottom w:val="none" w:sz="0" w:space="0" w:color="auto"/>
                                <w:right w:val="none" w:sz="0" w:space="0" w:color="auto"/>
                              </w:divBdr>
                              <w:divsChild>
                                <w:div w:id="606086479">
                                  <w:marLeft w:val="0"/>
                                  <w:marRight w:val="0"/>
                                  <w:marTop w:val="0"/>
                                  <w:marBottom w:val="0"/>
                                  <w:divBdr>
                                    <w:top w:val="none" w:sz="0" w:space="0" w:color="auto"/>
                                    <w:left w:val="none" w:sz="0" w:space="0" w:color="auto"/>
                                    <w:bottom w:val="none" w:sz="0" w:space="0" w:color="auto"/>
                                    <w:right w:val="none" w:sz="0" w:space="0" w:color="auto"/>
                                  </w:divBdr>
                                  <w:divsChild>
                                    <w:div w:id="1877767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770129">
      <w:bodyDiv w:val="1"/>
      <w:marLeft w:val="0"/>
      <w:marRight w:val="0"/>
      <w:marTop w:val="0"/>
      <w:marBottom w:val="0"/>
      <w:divBdr>
        <w:top w:val="none" w:sz="0" w:space="0" w:color="auto"/>
        <w:left w:val="none" w:sz="0" w:space="0" w:color="auto"/>
        <w:bottom w:val="none" w:sz="0" w:space="0" w:color="auto"/>
        <w:right w:val="none" w:sz="0" w:space="0" w:color="auto"/>
      </w:divBdr>
      <w:divsChild>
        <w:div w:id="1477525416">
          <w:marLeft w:val="0"/>
          <w:marRight w:val="240"/>
          <w:marTop w:val="0"/>
          <w:marBottom w:val="0"/>
          <w:divBdr>
            <w:top w:val="single" w:sz="6" w:space="0" w:color="auto"/>
            <w:left w:val="single" w:sz="6" w:space="6" w:color="auto"/>
            <w:bottom w:val="single" w:sz="6" w:space="0" w:color="auto"/>
            <w:right w:val="single" w:sz="6" w:space="6" w:color="auto"/>
          </w:divBdr>
        </w:div>
        <w:div w:id="369912927">
          <w:marLeft w:val="0"/>
          <w:marRight w:val="150"/>
          <w:marTop w:val="0"/>
          <w:marBottom w:val="90"/>
          <w:divBdr>
            <w:top w:val="none" w:sz="0" w:space="0" w:color="auto"/>
            <w:left w:val="none" w:sz="0" w:space="0" w:color="auto"/>
            <w:bottom w:val="none" w:sz="0" w:space="0" w:color="auto"/>
            <w:right w:val="none" w:sz="0" w:space="0" w:color="auto"/>
          </w:divBdr>
          <w:divsChild>
            <w:div w:id="1396469762">
              <w:marLeft w:val="0"/>
              <w:marRight w:val="0"/>
              <w:marTop w:val="0"/>
              <w:marBottom w:val="60"/>
              <w:divBdr>
                <w:top w:val="none" w:sz="0" w:space="0" w:color="auto"/>
                <w:left w:val="none" w:sz="0" w:space="0" w:color="auto"/>
                <w:bottom w:val="none" w:sz="0" w:space="0" w:color="auto"/>
                <w:right w:val="none" w:sz="0" w:space="0" w:color="auto"/>
              </w:divBdr>
              <w:divsChild>
                <w:div w:id="2040811651">
                  <w:marLeft w:val="0"/>
                  <w:marRight w:val="0"/>
                  <w:marTop w:val="75"/>
                  <w:marBottom w:val="0"/>
                  <w:divBdr>
                    <w:top w:val="none" w:sz="0" w:space="0" w:color="auto"/>
                    <w:left w:val="none" w:sz="0" w:space="0" w:color="auto"/>
                    <w:bottom w:val="none" w:sz="0" w:space="0" w:color="auto"/>
                    <w:right w:val="none" w:sz="0" w:space="0" w:color="auto"/>
                  </w:divBdr>
                  <w:divsChild>
                    <w:div w:id="602880448">
                      <w:marLeft w:val="0"/>
                      <w:marRight w:val="12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790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88588863">
      <w:bodyDiv w:val="1"/>
      <w:marLeft w:val="0"/>
      <w:marRight w:val="0"/>
      <w:marTop w:val="0"/>
      <w:marBottom w:val="0"/>
      <w:divBdr>
        <w:top w:val="none" w:sz="0" w:space="0" w:color="auto"/>
        <w:left w:val="none" w:sz="0" w:space="0" w:color="auto"/>
        <w:bottom w:val="none" w:sz="0" w:space="0" w:color="auto"/>
        <w:right w:val="none" w:sz="0" w:space="0" w:color="auto"/>
      </w:divBdr>
      <w:divsChild>
        <w:div w:id="1554847877">
          <w:marLeft w:val="-225"/>
          <w:marRight w:val="0"/>
          <w:marTop w:val="0"/>
          <w:marBottom w:val="0"/>
          <w:divBdr>
            <w:top w:val="none" w:sz="0" w:space="0" w:color="auto"/>
            <w:left w:val="none" w:sz="0" w:space="0" w:color="auto"/>
            <w:bottom w:val="none" w:sz="0" w:space="0" w:color="auto"/>
            <w:right w:val="none" w:sz="0" w:space="0" w:color="auto"/>
          </w:divBdr>
        </w:div>
        <w:div w:id="1475368887">
          <w:marLeft w:val="-225"/>
          <w:marRight w:val="0"/>
          <w:marTop w:val="0"/>
          <w:marBottom w:val="300"/>
          <w:divBdr>
            <w:top w:val="none" w:sz="0" w:space="0" w:color="auto"/>
            <w:left w:val="none" w:sz="0" w:space="0" w:color="auto"/>
            <w:bottom w:val="none" w:sz="0" w:space="0" w:color="auto"/>
            <w:right w:val="none" w:sz="0" w:space="0" w:color="auto"/>
          </w:divBdr>
          <w:divsChild>
            <w:div w:id="1619331852">
              <w:marLeft w:val="-225"/>
              <w:marRight w:val="0"/>
              <w:marTop w:val="0"/>
              <w:marBottom w:val="0"/>
              <w:divBdr>
                <w:top w:val="none" w:sz="0" w:space="0" w:color="auto"/>
                <w:left w:val="none" w:sz="0" w:space="0" w:color="auto"/>
                <w:bottom w:val="none" w:sz="0" w:space="0" w:color="auto"/>
                <w:right w:val="none" w:sz="0" w:space="0" w:color="auto"/>
              </w:divBdr>
              <w:divsChild>
                <w:div w:id="8930803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9004">
      <w:bodyDiv w:val="1"/>
      <w:marLeft w:val="0"/>
      <w:marRight w:val="0"/>
      <w:marTop w:val="0"/>
      <w:marBottom w:val="0"/>
      <w:divBdr>
        <w:top w:val="none" w:sz="0" w:space="0" w:color="auto"/>
        <w:left w:val="none" w:sz="0" w:space="0" w:color="auto"/>
        <w:bottom w:val="none" w:sz="0" w:space="0" w:color="auto"/>
        <w:right w:val="none" w:sz="0" w:space="0" w:color="auto"/>
      </w:divBdr>
      <w:divsChild>
        <w:div w:id="407532215">
          <w:marLeft w:val="-225"/>
          <w:marRight w:val="0"/>
          <w:marTop w:val="0"/>
          <w:marBottom w:val="0"/>
          <w:divBdr>
            <w:top w:val="none" w:sz="0" w:space="0" w:color="auto"/>
            <w:left w:val="none" w:sz="0" w:space="0" w:color="auto"/>
            <w:bottom w:val="none" w:sz="0" w:space="0" w:color="auto"/>
            <w:right w:val="none" w:sz="0" w:space="0" w:color="auto"/>
          </w:divBdr>
        </w:div>
        <w:div w:id="1077749440">
          <w:marLeft w:val="-225"/>
          <w:marRight w:val="0"/>
          <w:marTop w:val="0"/>
          <w:marBottom w:val="300"/>
          <w:divBdr>
            <w:top w:val="none" w:sz="0" w:space="0" w:color="auto"/>
            <w:left w:val="none" w:sz="0" w:space="0" w:color="auto"/>
            <w:bottom w:val="none" w:sz="0" w:space="0" w:color="auto"/>
            <w:right w:val="none" w:sz="0" w:space="0" w:color="auto"/>
          </w:divBdr>
          <w:divsChild>
            <w:div w:id="51581928">
              <w:marLeft w:val="-225"/>
              <w:marRight w:val="0"/>
              <w:marTop w:val="0"/>
              <w:marBottom w:val="0"/>
              <w:divBdr>
                <w:top w:val="none" w:sz="0" w:space="0" w:color="auto"/>
                <w:left w:val="none" w:sz="0" w:space="0" w:color="auto"/>
                <w:bottom w:val="none" w:sz="0" w:space="0" w:color="auto"/>
                <w:right w:val="none" w:sz="0" w:space="0" w:color="auto"/>
              </w:divBdr>
              <w:divsChild>
                <w:div w:id="203164224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1157">
      <w:bodyDiv w:val="1"/>
      <w:marLeft w:val="0"/>
      <w:marRight w:val="0"/>
      <w:marTop w:val="0"/>
      <w:marBottom w:val="0"/>
      <w:divBdr>
        <w:top w:val="none" w:sz="0" w:space="0" w:color="auto"/>
        <w:left w:val="none" w:sz="0" w:space="0" w:color="auto"/>
        <w:bottom w:val="none" w:sz="0" w:space="0" w:color="auto"/>
        <w:right w:val="none" w:sz="0" w:space="0" w:color="auto"/>
      </w:divBdr>
    </w:div>
    <w:div w:id="880285635">
      <w:bodyDiv w:val="1"/>
      <w:marLeft w:val="0"/>
      <w:marRight w:val="0"/>
      <w:marTop w:val="0"/>
      <w:marBottom w:val="0"/>
      <w:divBdr>
        <w:top w:val="none" w:sz="0" w:space="0" w:color="auto"/>
        <w:left w:val="none" w:sz="0" w:space="0" w:color="auto"/>
        <w:bottom w:val="none" w:sz="0" w:space="0" w:color="auto"/>
        <w:right w:val="none" w:sz="0" w:space="0" w:color="auto"/>
      </w:divBdr>
      <w:divsChild>
        <w:div w:id="1063213455">
          <w:marLeft w:val="-225"/>
          <w:marRight w:val="0"/>
          <w:marTop w:val="0"/>
          <w:marBottom w:val="0"/>
          <w:divBdr>
            <w:top w:val="none" w:sz="0" w:space="0" w:color="auto"/>
            <w:left w:val="none" w:sz="0" w:space="0" w:color="auto"/>
            <w:bottom w:val="none" w:sz="0" w:space="0" w:color="auto"/>
            <w:right w:val="none" w:sz="0" w:space="0" w:color="auto"/>
          </w:divBdr>
        </w:div>
        <w:div w:id="255485160">
          <w:marLeft w:val="-225"/>
          <w:marRight w:val="0"/>
          <w:marTop w:val="0"/>
          <w:marBottom w:val="300"/>
          <w:divBdr>
            <w:top w:val="none" w:sz="0" w:space="0" w:color="auto"/>
            <w:left w:val="none" w:sz="0" w:space="0" w:color="auto"/>
            <w:bottom w:val="none" w:sz="0" w:space="0" w:color="auto"/>
            <w:right w:val="none" w:sz="0" w:space="0" w:color="auto"/>
          </w:divBdr>
          <w:divsChild>
            <w:div w:id="673799168">
              <w:marLeft w:val="-225"/>
              <w:marRight w:val="0"/>
              <w:marTop w:val="0"/>
              <w:marBottom w:val="0"/>
              <w:divBdr>
                <w:top w:val="none" w:sz="0" w:space="0" w:color="auto"/>
                <w:left w:val="none" w:sz="0" w:space="0" w:color="auto"/>
                <w:bottom w:val="none" w:sz="0" w:space="0" w:color="auto"/>
                <w:right w:val="none" w:sz="0" w:space="0" w:color="auto"/>
              </w:divBdr>
              <w:divsChild>
                <w:div w:id="174182420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8326">
      <w:bodyDiv w:val="1"/>
      <w:marLeft w:val="0"/>
      <w:marRight w:val="0"/>
      <w:marTop w:val="0"/>
      <w:marBottom w:val="0"/>
      <w:divBdr>
        <w:top w:val="none" w:sz="0" w:space="0" w:color="auto"/>
        <w:left w:val="none" w:sz="0" w:space="0" w:color="auto"/>
        <w:bottom w:val="none" w:sz="0" w:space="0" w:color="auto"/>
        <w:right w:val="none" w:sz="0" w:space="0" w:color="auto"/>
      </w:divBdr>
    </w:div>
    <w:div w:id="1165782972">
      <w:bodyDiv w:val="1"/>
      <w:marLeft w:val="0"/>
      <w:marRight w:val="0"/>
      <w:marTop w:val="0"/>
      <w:marBottom w:val="0"/>
      <w:divBdr>
        <w:top w:val="none" w:sz="0" w:space="0" w:color="auto"/>
        <w:left w:val="none" w:sz="0" w:space="0" w:color="auto"/>
        <w:bottom w:val="none" w:sz="0" w:space="0" w:color="auto"/>
        <w:right w:val="none" w:sz="0" w:space="0" w:color="auto"/>
      </w:divBdr>
    </w:div>
    <w:div w:id="1229612178">
      <w:bodyDiv w:val="1"/>
      <w:marLeft w:val="0"/>
      <w:marRight w:val="0"/>
      <w:marTop w:val="0"/>
      <w:marBottom w:val="0"/>
      <w:divBdr>
        <w:top w:val="none" w:sz="0" w:space="0" w:color="auto"/>
        <w:left w:val="none" w:sz="0" w:space="0" w:color="auto"/>
        <w:bottom w:val="none" w:sz="0" w:space="0" w:color="auto"/>
        <w:right w:val="none" w:sz="0" w:space="0" w:color="auto"/>
      </w:divBdr>
    </w:div>
    <w:div w:id="1254777313">
      <w:bodyDiv w:val="1"/>
      <w:marLeft w:val="0"/>
      <w:marRight w:val="0"/>
      <w:marTop w:val="0"/>
      <w:marBottom w:val="0"/>
      <w:divBdr>
        <w:top w:val="none" w:sz="0" w:space="0" w:color="auto"/>
        <w:left w:val="none" w:sz="0" w:space="0" w:color="auto"/>
        <w:bottom w:val="none" w:sz="0" w:space="0" w:color="auto"/>
        <w:right w:val="none" w:sz="0" w:space="0" w:color="auto"/>
      </w:divBdr>
      <w:divsChild>
        <w:div w:id="1287396845">
          <w:marLeft w:val="0"/>
          <w:marRight w:val="0"/>
          <w:marTop w:val="0"/>
          <w:marBottom w:val="0"/>
          <w:divBdr>
            <w:top w:val="none" w:sz="0" w:space="0" w:color="auto"/>
            <w:left w:val="none" w:sz="0" w:space="0" w:color="auto"/>
            <w:bottom w:val="none" w:sz="0" w:space="0" w:color="auto"/>
            <w:right w:val="none" w:sz="0" w:space="0" w:color="auto"/>
          </w:divBdr>
          <w:divsChild>
            <w:div w:id="861356989">
              <w:marLeft w:val="0"/>
              <w:marRight w:val="0"/>
              <w:marTop w:val="0"/>
              <w:marBottom w:val="0"/>
              <w:divBdr>
                <w:top w:val="none" w:sz="0" w:space="0" w:color="auto"/>
                <w:left w:val="none" w:sz="0" w:space="0" w:color="auto"/>
                <w:bottom w:val="none" w:sz="0" w:space="0" w:color="auto"/>
                <w:right w:val="none" w:sz="0" w:space="0" w:color="auto"/>
              </w:divBdr>
            </w:div>
            <w:div w:id="1197818253">
              <w:marLeft w:val="0"/>
              <w:marRight w:val="0"/>
              <w:marTop w:val="0"/>
              <w:marBottom w:val="0"/>
              <w:divBdr>
                <w:top w:val="none" w:sz="0" w:space="0" w:color="auto"/>
                <w:left w:val="none" w:sz="0" w:space="0" w:color="auto"/>
                <w:bottom w:val="none" w:sz="0" w:space="0" w:color="auto"/>
                <w:right w:val="none" w:sz="0" w:space="0" w:color="auto"/>
              </w:divBdr>
            </w:div>
          </w:divsChild>
        </w:div>
        <w:div w:id="1654218827">
          <w:marLeft w:val="0"/>
          <w:marRight w:val="0"/>
          <w:marTop w:val="0"/>
          <w:marBottom w:val="0"/>
          <w:divBdr>
            <w:top w:val="none" w:sz="0" w:space="0" w:color="auto"/>
            <w:left w:val="none" w:sz="0" w:space="0" w:color="auto"/>
            <w:bottom w:val="none" w:sz="0" w:space="0" w:color="auto"/>
            <w:right w:val="none" w:sz="0" w:space="0" w:color="auto"/>
          </w:divBdr>
          <w:divsChild>
            <w:div w:id="382291913">
              <w:marLeft w:val="0"/>
              <w:marRight w:val="0"/>
              <w:marTop w:val="0"/>
              <w:marBottom w:val="0"/>
              <w:divBdr>
                <w:top w:val="none" w:sz="0" w:space="0" w:color="auto"/>
                <w:left w:val="none" w:sz="0" w:space="0" w:color="auto"/>
                <w:bottom w:val="none" w:sz="0" w:space="0" w:color="auto"/>
                <w:right w:val="none" w:sz="0" w:space="0" w:color="auto"/>
              </w:divBdr>
            </w:div>
            <w:div w:id="21323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7112">
      <w:bodyDiv w:val="1"/>
      <w:marLeft w:val="0"/>
      <w:marRight w:val="0"/>
      <w:marTop w:val="0"/>
      <w:marBottom w:val="0"/>
      <w:divBdr>
        <w:top w:val="none" w:sz="0" w:space="0" w:color="auto"/>
        <w:left w:val="none" w:sz="0" w:space="0" w:color="auto"/>
        <w:bottom w:val="none" w:sz="0" w:space="0" w:color="auto"/>
        <w:right w:val="none" w:sz="0" w:space="0" w:color="auto"/>
      </w:divBdr>
      <w:divsChild>
        <w:div w:id="509176031">
          <w:marLeft w:val="0"/>
          <w:marRight w:val="0"/>
          <w:marTop w:val="0"/>
          <w:marBottom w:val="0"/>
          <w:divBdr>
            <w:top w:val="none" w:sz="0" w:space="0" w:color="auto"/>
            <w:left w:val="none" w:sz="0" w:space="0" w:color="auto"/>
            <w:bottom w:val="none" w:sz="0" w:space="0" w:color="auto"/>
            <w:right w:val="none" w:sz="0" w:space="0" w:color="auto"/>
          </w:divBdr>
          <w:divsChild>
            <w:div w:id="1947224387">
              <w:marLeft w:val="0"/>
              <w:marRight w:val="0"/>
              <w:marTop w:val="0"/>
              <w:marBottom w:val="0"/>
              <w:divBdr>
                <w:top w:val="none" w:sz="0" w:space="0" w:color="auto"/>
                <w:left w:val="none" w:sz="0" w:space="0" w:color="auto"/>
                <w:bottom w:val="none" w:sz="0" w:space="0" w:color="auto"/>
                <w:right w:val="none" w:sz="0" w:space="0" w:color="auto"/>
              </w:divBdr>
              <w:divsChild>
                <w:div w:id="1930390028">
                  <w:marLeft w:val="0"/>
                  <w:marRight w:val="0"/>
                  <w:marTop w:val="375"/>
                  <w:marBottom w:val="0"/>
                  <w:divBdr>
                    <w:top w:val="none" w:sz="0" w:space="0" w:color="auto"/>
                    <w:left w:val="none" w:sz="0" w:space="0" w:color="auto"/>
                    <w:bottom w:val="none" w:sz="0" w:space="0" w:color="auto"/>
                    <w:right w:val="none" w:sz="0" w:space="0" w:color="auto"/>
                  </w:divBdr>
                  <w:divsChild>
                    <w:div w:id="490751521">
                      <w:marLeft w:val="0"/>
                      <w:marRight w:val="0"/>
                      <w:marTop w:val="0"/>
                      <w:marBottom w:val="0"/>
                      <w:divBdr>
                        <w:top w:val="none" w:sz="0" w:space="0" w:color="auto"/>
                        <w:left w:val="none" w:sz="0" w:space="0" w:color="auto"/>
                        <w:bottom w:val="none" w:sz="0" w:space="0" w:color="auto"/>
                        <w:right w:val="none" w:sz="0" w:space="0" w:color="auto"/>
                      </w:divBdr>
                      <w:divsChild>
                        <w:div w:id="1701738952">
                          <w:marLeft w:val="0"/>
                          <w:marRight w:val="0"/>
                          <w:marTop w:val="0"/>
                          <w:marBottom w:val="0"/>
                          <w:divBdr>
                            <w:top w:val="none" w:sz="0" w:space="0" w:color="auto"/>
                            <w:left w:val="none" w:sz="0" w:space="0" w:color="auto"/>
                            <w:bottom w:val="none" w:sz="0" w:space="0" w:color="auto"/>
                            <w:right w:val="none" w:sz="0" w:space="0" w:color="auto"/>
                          </w:divBdr>
                          <w:divsChild>
                            <w:div w:id="217977733">
                              <w:marLeft w:val="0"/>
                              <w:marRight w:val="0"/>
                              <w:marTop w:val="0"/>
                              <w:marBottom w:val="0"/>
                              <w:divBdr>
                                <w:top w:val="none" w:sz="0" w:space="0" w:color="auto"/>
                                <w:left w:val="none" w:sz="0" w:space="0" w:color="auto"/>
                                <w:bottom w:val="none" w:sz="0" w:space="0" w:color="auto"/>
                                <w:right w:val="none" w:sz="0" w:space="0" w:color="auto"/>
                              </w:divBdr>
                              <w:divsChild>
                                <w:div w:id="143011650">
                                  <w:marLeft w:val="0"/>
                                  <w:marRight w:val="0"/>
                                  <w:marTop w:val="0"/>
                                  <w:marBottom w:val="0"/>
                                  <w:divBdr>
                                    <w:top w:val="none" w:sz="0" w:space="0" w:color="auto"/>
                                    <w:left w:val="none" w:sz="0" w:space="0" w:color="auto"/>
                                    <w:bottom w:val="none" w:sz="0" w:space="0" w:color="auto"/>
                                    <w:right w:val="none" w:sz="0" w:space="0" w:color="auto"/>
                                  </w:divBdr>
                                  <w:divsChild>
                                    <w:div w:id="1441219787">
                                      <w:marLeft w:val="0"/>
                                      <w:marRight w:val="0"/>
                                      <w:marTop w:val="0"/>
                                      <w:marBottom w:val="0"/>
                                      <w:divBdr>
                                        <w:top w:val="none" w:sz="0" w:space="0" w:color="auto"/>
                                        <w:left w:val="none" w:sz="0" w:space="0" w:color="auto"/>
                                        <w:bottom w:val="none" w:sz="0" w:space="0" w:color="auto"/>
                                        <w:right w:val="none" w:sz="0" w:space="0" w:color="auto"/>
                                      </w:divBdr>
                                    </w:div>
                                    <w:div w:id="2072073068">
                                      <w:marLeft w:val="0"/>
                                      <w:marRight w:val="0"/>
                                      <w:marTop w:val="0"/>
                                      <w:marBottom w:val="75"/>
                                      <w:divBdr>
                                        <w:top w:val="none" w:sz="0" w:space="0" w:color="auto"/>
                                        <w:left w:val="none" w:sz="0" w:space="0" w:color="auto"/>
                                        <w:bottom w:val="none" w:sz="0" w:space="0" w:color="auto"/>
                                        <w:right w:val="none" w:sz="0" w:space="0" w:color="auto"/>
                                      </w:divBdr>
                                    </w:div>
                                  </w:divsChild>
                                </w:div>
                                <w:div w:id="503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5775">
          <w:marLeft w:val="0"/>
          <w:marRight w:val="0"/>
          <w:marTop w:val="0"/>
          <w:marBottom w:val="0"/>
          <w:divBdr>
            <w:top w:val="none" w:sz="0" w:space="0" w:color="auto"/>
            <w:left w:val="none" w:sz="0" w:space="0" w:color="auto"/>
            <w:bottom w:val="none" w:sz="0" w:space="0" w:color="auto"/>
            <w:right w:val="none" w:sz="0" w:space="0" w:color="auto"/>
          </w:divBdr>
          <w:divsChild>
            <w:div w:id="1525435428">
              <w:marLeft w:val="0"/>
              <w:marRight w:val="0"/>
              <w:marTop w:val="0"/>
              <w:marBottom w:val="0"/>
              <w:divBdr>
                <w:top w:val="none" w:sz="0" w:space="0" w:color="auto"/>
                <w:left w:val="none" w:sz="0" w:space="0" w:color="auto"/>
                <w:bottom w:val="single" w:sz="6" w:space="0" w:color="CFD5E4"/>
                <w:right w:val="none" w:sz="0" w:space="0" w:color="auto"/>
              </w:divBdr>
              <w:divsChild>
                <w:div w:id="744839894">
                  <w:marLeft w:val="0"/>
                  <w:marRight w:val="0"/>
                  <w:marTop w:val="0"/>
                  <w:marBottom w:val="0"/>
                  <w:divBdr>
                    <w:top w:val="none" w:sz="0" w:space="0" w:color="auto"/>
                    <w:left w:val="none" w:sz="0" w:space="0" w:color="auto"/>
                    <w:bottom w:val="none" w:sz="0" w:space="0" w:color="auto"/>
                    <w:right w:val="none" w:sz="0" w:space="0" w:color="auto"/>
                  </w:divBdr>
                  <w:divsChild>
                    <w:div w:id="473839079">
                      <w:marLeft w:val="0"/>
                      <w:marRight w:val="0"/>
                      <w:marTop w:val="0"/>
                      <w:marBottom w:val="0"/>
                      <w:divBdr>
                        <w:top w:val="none" w:sz="0" w:space="0" w:color="auto"/>
                        <w:left w:val="none" w:sz="0" w:space="0" w:color="auto"/>
                        <w:bottom w:val="none" w:sz="0" w:space="0" w:color="auto"/>
                        <w:right w:val="none" w:sz="0" w:space="0" w:color="auto"/>
                      </w:divBdr>
                    </w:div>
                    <w:div w:id="777869568">
                      <w:marLeft w:val="0"/>
                      <w:marRight w:val="0"/>
                      <w:marTop w:val="0"/>
                      <w:marBottom w:val="0"/>
                      <w:divBdr>
                        <w:top w:val="none" w:sz="0" w:space="0" w:color="auto"/>
                        <w:left w:val="none" w:sz="0" w:space="0" w:color="auto"/>
                        <w:bottom w:val="none" w:sz="0" w:space="0" w:color="auto"/>
                        <w:right w:val="none" w:sz="0" w:space="0" w:color="auto"/>
                      </w:divBdr>
                      <w:divsChild>
                        <w:div w:id="1774281779">
                          <w:marLeft w:val="0"/>
                          <w:marRight w:val="0"/>
                          <w:marTop w:val="0"/>
                          <w:marBottom w:val="0"/>
                          <w:divBdr>
                            <w:top w:val="none" w:sz="0" w:space="0" w:color="auto"/>
                            <w:left w:val="none" w:sz="0" w:space="0" w:color="auto"/>
                            <w:bottom w:val="none" w:sz="0" w:space="0" w:color="auto"/>
                            <w:right w:val="none" w:sz="0" w:space="0" w:color="auto"/>
                          </w:divBdr>
                        </w:div>
                      </w:divsChild>
                    </w:div>
                    <w:div w:id="1850868404">
                      <w:marLeft w:val="0"/>
                      <w:marRight w:val="0"/>
                      <w:marTop w:val="0"/>
                      <w:marBottom w:val="0"/>
                      <w:divBdr>
                        <w:top w:val="none" w:sz="0" w:space="0" w:color="auto"/>
                        <w:left w:val="none" w:sz="0" w:space="0" w:color="auto"/>
                        <w:bottom w:val="none" w:sz="0" w:space="0" w:color="auto"/>
                        <w:right w:val="none" w:sz="0" w:space="0" w:color="auto"/>
                      </w:divBdr>
                      <w:divsChild>
                        <w:div w:id="19555970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037972">
          <w:marLeft w:val="0"/>
          <w:marRight w:val="0"/>
          <w:marTop w:val="0"/>
          <w:marBottom w:val="0"/>
          <w:divBdr>
            <w:top w:val="none" w:sz="0" w:space="0" w:color="auto"/>
            <w:left w:val="single" w:sz="6" w:space="31" w:color="CFD5E4"/>
            <w:bottom w:val="none" w:sz="0" w:space="0" w:color="auto"/>
            <w:right w:val="none" w:sz="0" w:space="31" w:color="auto"/>
          </w:divBdr>
          <w:divsChild>
            <w:div w:id="981810739">
              <w:marLeft w:val="0"/>
              <w:marRight w:val="0"/>
              <w:marTop w:val="0"/>
              <w:marBottom w:val="0"/>
              <w:divBdr>
                <w:top w:val="none" w:sz="0" w:space="0" w:color="auto"/>
                <w:left w:val="none" w:sz="0" w:space="0" w:color="auto"/>
                <w:bottom w:val="none" w:sz="0" w:space="0" w:color="auto"/>
                <w:right w:val="none" w:sz="0" w:space="0" w:color="auto"/>
              </w:divBdr>
              <w:divsChild>
                <w:div w:id="1869873941">
                  <w:marLeft w:val="0"/>
                  <w:marRight w:val="0"/>
                  <w:marTop w:val="0"/>
                  <w:marBottom w:val="0"/>
                  <w:divBdr>
                    <w:top w:val="none" w:sz="0" w:space="0" w:color="auto"/>
                    <w:left w:val="none" w:sz="0" w:space="0" w:color="auto"/>
                    <w:bottom w:val="none" w:sz="0" w:space="0" w:color="auto"/>
                    <w:right w:val="none" w:sz="0" w:space="0" w:color="auto"/>
                  </w:divBdr>
                  <w:divsChild>
                    <w:div w:id="263809661">
                      <w:marLeft w:val="0"/>
                      <w:marRight w:val="0"/>
                      <w:marTop w:val="0"/>
                      <w:marBottom w:val="0"/>
                      <w:divBdr>
                        <w:top w:val="none" w:sz="0" w:space="0" w:color="auto"/>
                        <w:left w:val="none" w:sz="0" w:space="0" w:color="auto"/>
                        <w:bottom w:val="none" w:sz="0" w:space="0" w:color="auto"/>
                        <w:right w:val="none" w:sz="0" w:space="0" w:color="auto"/>
                      </w:divBdr>
                      <w:divsChild>
                        <w:div w:id="721058378">
                          <w:marLeft w:val="0"/>
                          <w:marRight w:val="0"/>
                          <w:marTop w:val="0"/>
                          <w:marBottom w:val="0"/>
                          <w:divBdr>
                            <w:top w:val="none" w:sz="0" w:space="0" w:color="auto"/>
                            <w:left w:val="none" w:sz="0" w:space="0" w:color="auto"/>
                            <w:bottom w:val="none" w:sz="0" w:space="0" w:color="auto"/>
                            <w:right w:val="none" w:sz="0" w:space="0" w:color="auto"/>
                          </w:divBdr>
                          <w:divsChild>
                            <w:div w:id="961809613">
                              <w:marLeft w:val="0"/>
                              <w:marRight w:val="0"/>
                              <w:marTop w:val="0"/>
                              <w:marBottom w:val="0"/>
                              <w:divBdr>
                                <w:top w:val="none" w:sz="0" w:space="0" w:color="auto"/>
                                <w:left w:val="none" w:sz="0" w:space="0" w:color="auto"/>
                                <w:bottom w:val="none" w:sz="0" w:space="0" w:color="auto"/>
                                <w:right w:val="none" w:sz="0" w:space="0" w:color="auto"/>
                              </w:divBdr>
                              <w:divsChild>
                                <w:div w:id="1957829048">
                                  <w:marLeft w:val="0"/>
                                  <w:marRight w:val="0"/>
                                  <w:marTop w:val="0"/>
                                  <w:marBottom w:val="165"/>
                                  <w:divBdr>
                                    <w:top w:val="none" w:sz="0" w:space="0" w:color="auto"/>
                                    <w:left w:val="none" w:sz="0" w:space="0" w:color="auto"/>
                                    <w:bottom w:val="none" w:sz="0" w:space="0" w:color="auto"/>
                                    <w:right w:val="none" w:sz="0" w:space="0" w:color="auto"/>
                                  </w:divBdr>
                                </w:div>
                              </w:divsChild>
                            </w:div>
                            <w:div w:id="239144902">
                              <w:marLeft w:val="0"/>
                              <w:marRight w:val="0"/>
                              <w:marTop w:val="165"/>
                              <w:marBottom w:val="165"/>
                              <w:divBdr>
                                <w:top w:val="none" w:sz="0" w:space="0" w:color="auto"/>
                                <w:left w:val="none" w:sz="0" w:space="0" w:color="auto"/>
                                <w:bottom w:val="none" w:sz="0" w:space="0" w:color="auto"/>
                                <w:right w:val="none" w:sz="0" w:space="0" w:color="auto"/>
                              </w:divBdr>
                              <w:divsChild>
                                <w:div w:id="729619411">
                                  <w:marLeft w:val="0"/>
                                  <w:marRight w:val="0"/>
                                  <w:marTop w:val="0"/>
                                  <w:marBottom w:val="0"/>
                                  <w:divBdr>
                                    <w:top w:val="none" w:sz="0" w:space="0" w:color="auto"/>
                                    <w:left w:val="none" w:sz="0" w:space="0" w:color="auto"/>
                                    <w:bottom w:val="none" w:sz="0" w:space="0" w:color="auto"/>
                                    <w:right w:val="none" w:sz="0" w:space="0" w:color="auto"/>
                                  </w:divBdr>
                                  <w:divsChild>
                                    <w:div w:id="3823691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596424">
      <w:bodyDiv w:val="1"/>
      <w:marLeft w:val="0"/>
      <w:marRight w:val="0"/>
      <w:marTop w:val="0"/>
      <w:marBottom w:val="0"/>
      <w:divBdr>
        <w:top w:val="none" w:sz="0" w:space="0" w:color="auto"/>
        <w:left w:val="none" w:sz="0" w:space="0" w:color="auto"/>
        <w:bottom w:val="none" w:sz="0" w:space="0" w:color="auto"/>
        <w:right w:val="none" w:sz="0" w:space="0" w:color="auto"/>
      </w:divBdr>
      <w:divsChild>
        <w:div w:id="1835023737">
          <w:marLeft w:val="-225"/>
          <w:marRight w:val="0"/>
          <w:marTop w:val="0"/>
          <w:marBottom w:val="0"/>
          <w:divBdr>
            <w:top w:val="none" w:sz="0" w:space="0" w:color="auto"/>
            <w:left w:val="none" w:sz="0" w:space="0" w:color="auto"/>
            <w:bottom w:val="none" w:sz="0" w:space="0" w:color="auto"/>
            <w:right w:val="none" w:sz="0" w:space="0" w:color="auto"/>
          </w:divBdr>
        </w:div>
        <w:div w:id="528760595">
          <w:marLeft w:val="-225"/>
          <w:marRight w:val="0"/>
          <w:marTop w:val="0"/>
          <w:marBottom w:val="300"/>
          <w:divBdr>
            <w:top w:val="none" w:sz="0" w:space="0" w:color="auto"/>
            <w:left w:val="none" w:sz="0" w:space="0" w:color="auto"/>
            <w:bottom w:val="none" w:sz="0" w:space="0" w:color="auto"/>
            <w:right w:val="none" w:sz="0" w:space="0" w:color="auto"/>
          </w:divBdr>
          <w:divsChild>
            <w:div w:id="1802574524">
              <w:marLeft w:val="-225"/>
              <w:marRight w:val="0"/>
              <w:marTop w:val="0"/>
              <w:marBottom w:val="0"/>
              <w:divBdr>
                <w:top w:val="none" w:sz="0" w:space="0" w:color="auto"/>
                <w:left w:val="none" w:sz="0" w:space="0" w:color="auto"/>
                <w:bottom w:val="none" w:sz="0" w:space="0" w:color="auto"/>
                <w:right w:val="none" w:sz="0" w:space="0" w:color="auto"/>
              </w:divBdr>
              <w:divsChild>
                <w:div w:id="140942604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7861">
      <w:bodyDiv w:val="1"/>
      <w:marLeft w:val="0"/>
      <w:marRight w:val="0"/>
      <w:marTop w:val="0"/>
      <w:marBottom w:val="0"/>
      <w:divBdr>
        <w:top w:val="none" w:sz="0" w:space="0" w:color="auto"/>
        <w:left w:val="none" w:sz="0" w:space="0" w:color="auto"/>
        <w:bottom w:val="none" w:sz="0" w:space="0" w:color="auto"/>
        <w:right w:val="none" w:sz="0" w:space="0" w:color="auto"/>
      </w:divBdr>
    </w:div>
    <w:div w:id="1580210014">
      <w:bodyDiv w:val="1"/>
      <w:marLeft w:val="0"/>
      <w:marRight w:val="0"/>
      <w:marTop w:val="0"/>
      <w:marBottom w:val="0"/>
      <w:divBdr>
        <w:top w:val="none" w:sz="0" w:space="0" w:color="auto"/>
        <w:left w:val="none" w:sz="0" w:space="0" w:color="auto"/>
        <w:bottom w:val="none" w:sz="0" w:space="0" w:color="auto"/>
        <w:right w:val="none" w:sz="0" w:space="0" w:color="auto"/>
      </w:divBdr>
    </w:div>
    <w:div w:id="1711608374">
      <w:bodyDiv w:val="1"/>
      <w:marLeft w:val="0"/>
      <w:marRight w:val="0"/>
      <w:marTop w:val="0"/>
      <w:marBottom w:val="0"/>
      <w:divBdr>
        <w:top w:val="none" w:sz="0" w:space="0" w:color="auto"/>
        <w:left w:val="none" w:sz="0" w:space="0" w:color="auto"/>
        <w:bottom w:val="none" w:sz="0" w:space="0" w:color="auto"/>
        <w:right w:val="none" w:sz="0" w:space="0" w:color="auto"/>
      </w:divBdr>
      <w:divsChild>
        <w:div w:id="1259800250">
          <w:marLeft w:val="-225"/>
          <w:marRight w:val="0"/>
          <w:marTop w:val="0"/>
          <w:marBottom w:val="0"/>
          <w:divBdr>
            <w:top w:val="none" w:sz="0" w:space="0" w:color="auto"/>
            <w:left w:val="none" w:sz="0" w:space="0" w:color="auto"/>
            <w:bottom w:val="none" w:sz="0" w:space="0" w:color="auto"/>
            <w:right w:val="none" w:sz="0" w:space="0" w:color="auto"/>
          </w:divBdr>
        </w:div>
        <w:div w:id="998729835">
          <w:marLeft w:val="-225"/>
          <w:marRight w:val="0"/>
          <w:marTop w:val="0"/>
          <w:marBottom w:val="300"/>
          <w:divBdr>
            <w:top w:val="none" w:sz="0" w:space="0" w:color="auto"/>
            <w:left w:val="none" w:sz="0" w:space="0" w:color="auto"/>
            <w:bottom w:val="none" w:sz="0" w:space="0" w:color="auto"/>
            <w:right w:val="none" w:sz="0" w:space="0" w:color="auto"/>
          </w:divBdr>
          <w:divsChild>
            <w:div w:id="917715500">
              <w:marLeft w:val="-225"/>
              <w:marRight w:val="0"/>
              <w:marTop w:val="0"/>
              <w:marBottom w:val="0"/>
              <w:divBdr>
                <w:top w:val="none" w:sz="0" w:space="0" w:color="auto"/>
                <w:left w:val="none" w:sz="0" w:space="0" w:color="auto"/>
                <w:bottom w:val="none" w:sz="0" w:space="0" w:color="auto"/>
                <w:right w:val="none" w:sz="0" w:space="0" w:color="auto"/>
              </w:divBdr>
              <w:divsChild>
                <w:div w:id="55909910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9915">
      <w:bodyDiv w:val="1"/>
      <w:marLeft w:val="0"/>
      <w:marRight w:val="0"/>
      <w:marTop w:val="0"/>
      <w:marBottom w:val="0"/>
      <w:divBdr>
        <w:top w:val="none" w:sz="0" w:space="0" w:color="auto"/>
        <w:left w:val="none" w:sz="0" w:space="0" w:color="auto"/>
        <w:bottom w:val="none" w:sz="0" w:space="0" w:color="auto"/>
        <w:right w:val="none" w:sz="0" w:space="0" w:color="auto"/>
      </w:divBdr>
      <w:divsChild>
        <w:div w:id="1622229407">
          <w:marLeft w:val="0"/>
          <w:marRight w:val="0"/>
          <w:marTop w:val="0"/>
          <w:marBottom w:val="0"/>
          <w:divBdr>
            <w:top w:val="none" w:sz="0" w:space="0" w:color="auto"/>
            <w:left w:val="none" w:sz="0" w:space="0" w:color="auto"/>
            <w:bottom w:val="none" w:sz="0" w:space="0" w:color="auto"/>
            <w:right w:val="none" w:sz="0" w:space="0" w:color="auto"/>
          </w:divBdr>
          <w:divsChild>
            <w:div w:id="2011787561">
              <w:marLeft w:val="0"/>
              <w:marRight w:val="0"/>
              <w:marTop w:val="0"/>
              <w:marBottom w:val="0"/>
              <w:divBdr>
                <w:top w:val="none" w:sz="0" w:space="0" w:color="auto"/>
                <w:left w:val="none" w:sz="0" w:space="0" w:color="auto"/>
                <w:bottom w:val="none" w:sz="0" w:space="0" w:color="auto"/>
                <w:right w:val="none" w:sz="0" w:space="0" w:color="auto"/>
              </w:divBdr>
              <w:divsChild>
                <w:div w:id="881401090">
                  <w:marLeft w:val="0"/>
                  <w:marRight w:val="0"/>
                  <w:marTop w:val="375"/>
                  <w:marBottom w:val="0"/>
                  <w:divBdr>
                    <w:top w:val="none" w:sz="0" w:space="0" w:color="auto"/>
                    <w:left w:val="none" w:sz="0" w:space="0" w:color="auto"/>
                    <w:bottom w:val="none" w:sz="0" w:space="0" w:color="auto"/>
                    <w:right w:val="none" w:sz="0" w:space="0" w:color="auto"/>
                  </w:divBdr>
                  <w:divsChild>
                    <w:div w:id="634339752">
                      <w:marLeft w:val="0"/>
                      <w:marRight w:val="0"/>
                      <w:marTop w:val="0"/>
                      <w:marBottom w:val="0"/>
                      <w:divBdr>
                        <w:top w:val="none" w:sz="0" w:space="0" w:color="auto"/>
                        <w:left w:val="none" w:sz="0" w:space="0" w:color="auto"/>
                        <w:bottom w:val="none" w:sz="0" w:space="0" w:color="auto"/>
                        <w:right w:val="none" w:sz="0" w:space="0" w:color="auto"/>
                      </w:divBdr>
                      <w:divsChild>
                        <w:div w:id="1940915478">
                          <w:marLeft w:val="0"/>
                          <w:marRight w:val="0"/>
                          <w:marTop w:val="0"/>
                          <w:marBottom w:val="0"/>
                          <w:divBdr>
                            <w:top w:val="none" w:sz="0" w:space="0" w:color="auto"/>
                            <w:left w:val="none" w:sz="0" w:space="0" w:color="auto"/>
                            <w:bottom w:val="none" w:sz="0" w:space="0" w:color="auto"/>
                            <w:right w:val="none" w:sz="0" w:space="0" w:color="auto"/>
                          </w:divBdr>
                          <w:divsChild>
                            <w:div w:id="582420557">
                              <w:marLeft w:val="0"/>
                              <w:marRight w:val="0"/>
                              <w:marTop w:val="0"/>
                              <w:marBottom w:val="0"/>
                              <w:divBdr>
                                <w:top w:val="none" w:sz="0" w:space="0" w:color="auto"/>
                                <w:left w:val="none" w:sz="0" w:space="0" w:color="auto"/>
                                <w:bottom w:val="none" w:sz="0" w:space="0" w:color="auto"/>
                                <w:right w:val="none" w:sz="0" w:space="0" w:color="auto"/>
                              </w:divBdr>
                              <w:divsChild>
                                <w:div w:id="729499286">
                                  <w:marLeft w:val="0"/>
                                  <w:marRight w:val="0"/>
                                  <w:marTop w:val="0"/>
                                  <w:marBottom w:val="0"/>
                                  <w:divBdr>
                                    <w:top w:val="none" w:sz="0" w:space="0" w:color="auto"/>
                                    <w:left w:val="none" w:sz="0" w:space="0" w:color="auto"/>
                                    <w:bottom w:val="none" w:sz="0" w:space="0" w:color="auto"/>
                                    <w:right w:val="none" w:sz="0" w:space="0" w:color="auto"/>
                                  </w:divBdr>
                                  <w:divsChild>
                                    <w:div w:id="1710492368">
                                      <w:marLeft w:val="0"/>
                                      <w:marRight w:val="0"/>
                                      <w:marTop w:val="0"/>
                                      <w:marBottom w:val="0"/>
                                      <w:divBdr>
                                        <w:top w:val="none" w:sz="0" w:space="0" w:color="auto"/>
                                        <w:left w:val="none" w:sz="0" w:space="0" w:color="auto"/>
                                        <w:bottom w:val="none" w:sz="0" w:space="0" w:color="auto"/>
                                        <w:right w:val="none" w:sz="0" w:space="0" w:color="auto"/>
                                      </w:divBdr>
                                    </w:div>
                                    <w:div w:id="1139616332">
                                      <w:marLeft w:val="0"/>
                                      <w:marRight w:val="0"/>
                                      <w:marTop w:val="0"/>
                                      <w:marBottom w:val="75"/>
                                      <w:divBdr>
                                        <w:top w:val="none" w:sz="0" w:space="0" w:color="auto"/>
                                        <w:left w:val="none" w:sz="0" w:space="0" w:color="auto"/>
                                        <w:bottom w:val="none" w:sz="0" w:space="0" w:color="auto"/>
                                        <w:right w:val="none" w:sz="0" w:space="0" w:color="auto"/>
                                      </w:divBdr>
                                    </w:div>
                                  </w:divsChild>
                                </w:div>
                                <w:div w:id="3756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09382">
          <w:marLeft w:val="0"/>
          <w:marRight w:val="0"/>
          <w:marTop w:val="0"/>
          <w:marBottom w:val="0"/>
          <w:divBdr>
            <w:top w:val="none" w:sz="0" w:space="0" w:color="auto"/>
            <w:left w:val="none" w:sz="0" w:space="0" w:color="auto"/>
            <w:bottom w:val="none" w:sz="0" w:space="0" w:color="auto"/>
            <w:right w:val="none" w:sz="0" w:space="0" w:color="auto"/>
          </w:divBdr>
          <w:divsChild>
            <w:div w:id="1711297663">
              <w:marLeft w:val="0"/>
              <w:marRight w:val="0"/>
              <w:marTop w:val="0"/>
              <w:marBottom w:val="0"/>
              <w:divBdr>
                <w:top w:val="none" w:sz="0" w:space="0" w:color="auto"/>
                <w:left w:val="none" w:sz="0" w:space="0" w:color="auto"/>
                <w:bottom w:val="single" w:sz="6" w:space="0" w:color="CFD5E4"/>
                <w:right w:val="none" w:sz="0" w:space="0" w:color="auto"/>
              </w:divBdr>
              <w:divsChild>
                <w:div w:id="719939864">
                  <w:marLeft w:val="0"/>
                  <w:marRight w:val="0"/>
                  <w:marTop w:val="0"/>
                  <w:marBottom w:val="0"/>
                  <w:divBdr>
                    <w:top w:val="none" w:sz="0" w:space="0" w:color="auto"/>
                    <w:left w:val="none" w:sz="0" w:space="0" w:color="auto"/>
                    <w:bottom w:val="none" w:sz="0" w:space="0" w:color="auto"/>
                    <w:right w:val="none" w:sz="0" w:space="0" w:color="auto"/>
                  </w:divBdr>
                  <w:divsChild>
                    <w:div w:id="538318312">
                      <w:marLeft w:val="0"/>
                      <w:marRight w:val="0"/>
                      <w:marTop w:val="0"/>
                      <w:marBottom w:val="0"/>
                      <w:divBdr>
                        <w:top w:val="none" w:sz="0" w:space="0" w:color="auto"/>
                        <w:left w:val="none" w:sz="0" w:space="0" w:color="auto"/>
                        <w:bottom w:val="none" w:sz="0" w:space="0" w:color="auto"/>
                        <w:right w:val="none" w:sz="0" w:space="0" w:color="auto"/>
                      </w:divBdr>
                    </w:div>
                    <w:div w:id="1652445275">
                      <w:marLeft w:val="0"/>
                      <w:marRight w:val="0"/>
                      <w:marTop w:val="0"/>
                      <w:marBottom w:val="0"/>
                      <w:divBdr>
                        <w:top w:val="none" w:sz="0" w:space="0" w:color="auto"/>
                        <w:left w:val="none" w:sz="0" w:space="0" w:color="auto"/>
                        <w:bottom w:val="none" w:sz="0" w:space="0" w:color="auto"/>
                        <w:right w:val="none" w:sz="0" w:space="0" w:color="auto"/>
                      </w:divBdr>
                      <w:divsChild>
                        <w:div w:id="101339167">
                          <w:marLeft w:val="0"/>
                          <w:marRight w:val="0"/>
                          <w:marTop w:val="0"/>
                          <w:marBottom w:val="0"/>
                          <w:divBdr>
                            <w:top w:val="none" w:sz="0" w:space="0" w:color="auto"/>
                            <w:left w:val="none" w:sz="0" w:space="0" w:color="auto"/>
                            <w:bottom w:val="none" w:sz="0" w:space="0" w:color="auto"/>
                            <w:right w:val="none" w:sz="0" w:space="0" w:color="auto"/>
                          </w:divBdr>
                        </w:div>
                      </w:divsChild>
                    </w:div>
                    <w:div w:id="1610426142">
                      <w:marLeft w:val="0"/>
                      <w:marRight w:val="0"/>
                      <w:marTop w:val="0"/>
                      <w:marBottom w:val="0"/>
                      <w:divBdr>
                        <w:top w:val="none" w:sz="0" w:space="0" w:color="auto"/>
                        <w:left w:val="none" w:sz="0" w:space="0" w:color="auto"/>
                        <w:bottom w:val="none" w:sz="0" w:space="0" w:color="auto"/>
                        <w:right w:val="none" w:sz="0" w:space="0" w:color="auto"/>
                      </w:divBdr>
                      <w:divsChild>
                        <w:div w:id="175219302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50017">
          <w:marLeft w:val="0"/>
          <w:marRight w:val="0"/>
          <w:marTop w:val="0"/>
          <w:marBottom w:val="0"/>
          <w:divBdr>
            <w:top w:val="none" w:sz="0" w:space="0" w:color="auto"/>
            <w:left w:val="single" w:sz="6" w:space="31" w:color="CFD5E4"/>
            <w:bottom w:val="none" w:sz="0" w:space="0" w:color="auto"/>
            <w:right w:val="none" w:sz="0" w:space="31" w:color="auto"/>
          </w:divBdr>
          <w:divsChild>
            <w:div w:id="1153567799">
              <w:marLeft w:val="0"/>
              <w:marRight w:val="0"/>
              <w:marTop w:val="0"/>
              <w:marBottom w:val="0"/>
              <w:divBdr>
                <w:top w:val="none" w:sz="0" w:space="0" w:color="auto"/>
                <w:left w:val="none" w:sz="0" w:space="0" w:color="auto"/>
                <w:bottom w:val="none" w:sz="0" w:space="0" w:color="auto"/>
                <w:right w:val="none" w:sz="0" w:space="0" w:color="auto"/>
              </w:divBdr>
              <w:divsChild>
                <w:div w:id="1723020957">
                  <w:marLeft w:val="0"/>
                  <w:marRight w:val="0"/>
                  <w:marTop w:val="0"/>
                  <w:marBottom w:val="0"/>
                  <w:divBdr>
                    <w:top w:val="none" w:sz="0" w:space="0" w:color="auto"/>
                    <w:left w:val="none" w:sz="0" w:space="0" w:color="auto"/>
                    <w:bottom w:val="none" w:sz="0" w:space="0" w:color="auto"/>
                    <w:right w:val="none" w:sz="0" w:space="0" w:color="auto"/>
                  </w:divBdr>
                  <w:divsChild>
                    <w:div w:id="754088718">
                      <w:marLeft w:val="0"/>
                      <w:marRight w:val="0"/>
                      <w:marTop w:val="0"/>
                      <w:marBottom w:val="0"/>
                      <w:divBdr>
                        <w:top w:val="none" w:sz="0" w:space="0" w:color="auto"/>
                        <w:left w:val="none" w:sz="0" w:space="0" w:color="auto"/>
                        <w:bottom w:val="none" w:sz="0" w:space="0" w:color="auto"/>
                        <w:right w:val="none" w:sz="0" w:space="0" w:color="auto"/>
                      </w:divBdr>
                      <w:divsChild>
                        <w:div w:id="1571040067">
                          <w:marLeft w:val="0"/>
                          <w:marRight w:val="0"/>
                          <w:marTop w:val="0"/>
                          <w:marBottom w:val="0"/>
                          <w:divBdr>
                            <w:top w:val="none" w:sz="0" w:space="0" w:color="auto"/>
                            <w:left w:val="none" w:sz="0" w:space="0" w:color="auto"/>
                            <w:bottom w:val="none" w:sz="0" w:space="0" w:color="auto"/>
                            <w:right w:val="none" w:sz="0" w:space="0" w:color="auto"/>
                          </w:divBdr>
                          <w:divsChild>
                            <w:div w:id="299190835">
                              <w:marLeft w:val="0"/>
                              <w:marRight w:val="0"/>
                              <w:marTop w:val="0"/>
                              <w:marBottom w:val="0"/>
                              <w:divBdr>
                                <w:top w:val="none" w:sz="0" w:space="0" w:color="auto"/>
                                <w:left w:val="none" w:sz="0" w:space="0" w:color="auto"/>
                                <w:bottom w:val="none" w:sz="0" w:space="0" w:color="auto"/>
                                <w:right w:val="none" w:sz="0" w:space="0" w:color="auto"/>
                              </w:divBdr>
                              <w:divsChild>
                                <w:div w:id="1656686249">
                                  <w:marLeft w:val="0"/>
                                  <w:marRight w:val="0"/>
                                  <w:marTop w:val="0"/>
                                  <w:marBottom w:val="165"/>
                                  <w:divBdr>
                                    <w:top w:val="none" w:sz="0" w:space="0" w:color="auto"/>
                                    <w:left w:val="none" w:sz="0" w:space="0" w:color="auto"/>
                                    <w:bottom w:val="none" w:sz="0" w:space="0" w:color="auto"/>
                                    <w:right w:val="none" w:sz="0" w:space="0" w:color="auto"/>
                                  </w:divBdr>
                                </w:div>
                              </w:divsChild>
                            </w:div>
                            <w:div w:id="731393897">
                              <w:marLeft w:val="0"/>
                              <w:marRight w:val="0"/>
                              <w:marTop w:val="165"/>
                              <w:marBottom w:val="165"/>
                              <w:divBdr>
                                <w:top w:val="none" w:sz="0" w:space="0" w:color="auto"/>
                                <w:left w:val="none" w:sz="0" w:space="0" w:color="auto"/>
                                <w:bottom w:val="none" w:sz="0" w:space="0" w:color="auto"/>
                                <w:right w:val="none" w:sz="0" w:space="0" w:color="auto"/>
                              </w:divBdr>
                              <w:divsChild>
                                <w:div w:id="465704349">
                                  <w:marLeft w:val="0"/>
                                  <w:marRight w:val="0"/>
                                  <w:marTop w:val="0"/>
                                  <w:marBottom w:val="0"/>
                                  <w:divBdr>
                                    <w:top w:val="none" w:sz="0" w:space="0" w:color="auto"/>
                                    <w:left w:val="none" w:sz="0" w:space="0" w:color="auto"/>
                                    <w:bottom w:val="none" w:sz="0" w:space="0" w:color="auto"/>
                                    <w:right w:val="none" w:sz="0" w:space="0" w:color="auto"/>
                                  </w:divBdr>
                                  <w:divsChild>
                                    <w:div w:id="47822716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1516">
      <w:bodyDiv w:val="1"/>
      <w:marLeft w:val="0"/>
      <w:marRight w:val="0"/>
      <w:marTop w:val="0"/>
      <w:marBottom w:val="0"/>
      <w:divBdr>
        <w:top w:val="none" w:sz="0" w:space="0" w:color="auto"/>
        <w:left w:val="none" w:sz="0" w:space="0" w:color="auto"/>
        <w:bottom w:val="none" w:sz="0" w:space="0" w:color="auto"/>
        <w:right w:val="none" w:sz="0" w:space="0" w:color="auto"/>
      </w:divBdr>
      <w:divsChild>
        <w:div w:id="785585450">
          <w:marLeft w:val="0"/>
          <w:marRight w:val="0"/>
          <w:marTop w:val="0"/>
          <w:marBottom w:val="0"/>
          <w:divBdr>
            <w:top w:val="none" w:sz="0" w:space="0" w:color="auto"/>
            <w:left w:val="none" w:sz="0" w:space="0" w:color="auto"/>
            <w:bottom w:val="none" w:sz="0" w:space="0" w:color="auto"/>
            <w:right w:val="none" w:sz="0" w:space="0" w:color="auto"/>
          </w:divBdr>
          <w:divsChild>
            <w:div w:id="1043865196">
              <w:marLeft w:val="0"/>
              <w:marRight w:val="0"/>
              <w:marTop w:val="0"/>
              <w:marBottom w:val="0"/>
              <w:divBdr>
                <w:top w:val="none" w:sz="0" w:space="0" w:color="auto"/>
                <w:left w:val="none" w:sz="0" w:space="0" w:color="auto"/>
                <w:bottom w:val="none" w:sz="0" w:space="0" w:color="auto"/>
                <w:right w:val="none" w:sz="0" w:space="0" w:color="auto"/>
              </w:divBdr>
              <w:divsChild>
                <w:div w:id="665715704">
                  <w:marLeft w:val="0"/>
                  <w:marRight w:val="0"/>
                  <w:marTop w:val="0"/>
                  <w:marBottom w:val="0"/>
                  <w:divBdr>
                    <w:top w:val="none" w:sz="0" w:space="0" w:color="auto"/>
                    <w:left w:val="none" w:sz="0" w:space="0" w:color="auto"/>
                    <w:bottom w:val="none" w:sz="0" w:space="0" w:color="auto"/>
                    <w:right w:val="none" w:sz="0" w:space="0" w:color="auto"/>
                  </w:divBdr>
                  <w:divsChild>
                    <w:div w:id="17348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2463">
          <w:marLeft w:val="0"/>
          <w:marRight w:val="0"/>
          <w:marTop w:val="0"/>
          <w:marBottom w:val="0"/>
          <w:divBdr>
            <w:top w:val="none" w:sz="0" w:space="0" w:color="auto"/>
            <w:left w:val="none" w:sz="0" w:space="0" w:color="auto"/>
            <w:bottom w:val="none" w:sz="0" w:space="0" w:color="auto"/>
            <w:right w:val="none" w:sz="0" w:space="0" w:color="auto"/>
          </w:divBdr>
          <w:divsChild>
            <w:div w:id="1650816882">
              <w:marLeft w:val="0"/>
              <w:marRight w:val="0"/>
              <w:marTop w:val="0"/>
              <w:marBottom w:val="0"/>
              <w:divBdr>
                <w:top w:val="none" w:sz="0" w:space="0" w:color="auto"/>
                <w:left w:val="none" w:sz="0" w:space="0" w:color="auto"/>
                <w:bottom w:val="none" w:sz="0" w:space="0" w:color="auto"/>
                <w:right w:val="none" w:sz="0" w:space="0" w:color="auto"/>
              </w:divBdr>
              <w:divsChild>
                <w:div w:id="1791632015">
                  <w:marLeft w:val="0"/>
                  <w:marRight w:val="0"/>
                  <w:marTop w:val="0"/>
                  <w:marBottom w:val="0"/>
                  <w:divBdr>
                    <w:top w:val="none" w:sz="0" w:space="0" w:color="auto"/>
                    <w:left w:val="none" w:sz="0" w:space="0" w:color="auto"/>
                    <w:bottom w:val="none" w:sz="0" w:space="0" w:color="auto"/>
                    <w:right w:val="none" w:sz="0" w:space="0" w:color="auto"/>
                  </w:divBdr>
                  <w:divsChild>
                    <w:div w:id="1254320185">
                      <w:marLeft w:val="0"/>
                      <w:marRight w:val="0"/>
                      <w:marTop w:val="0"/>
                      <w:marBottom w:val="300"/>
                      <w:divBdr>
                        <w:top w:val="none" w:sz="0" w:space="0" w:color="auto"/>
                        <w:left w:val="none" w:sz="0" w:space="0" w:color="auto"/>
                        <w:bottom w:val="none" w:sz="0" w:space="0" w:color="auto"/>
                        <w:right w:val="none" w:sz="0" w:space="0" w:color="auto"/>
                      </w:divBdr>
                      <w:divsChild>
                        <w:div w:id="1408962296">
                          <w:marLeft w:val="0"/>
                          <w:marRight w:val="0"/>
                          <w:marTop w:val="0"/>
                          <w:marBottom w:val="0"/>
                          <w:divBdr>
                            <w:top w:val="none" w:sz="0" w:space="0" w:color="auto"/>
                            <w:left w:val="none" w:sz="0" w:space="0" w:color="auto"/>
                            <w:bottom w:val="none" w:sz="0" w:space="0" w:color="auto"/>
                            <w:right w:val="none" w:sz="0" w:space="0" w:color="auto"/>
                          </w:divBdr>
                          <w:divsChild>
                            <w:div w:id="1986082231">
                              <w:marLeft w:val="0"/>
                              <w:marRight w:val="0"/>
                              <w:marTop w:val="0"/>
                              <w:marBottom w:val="0"/>
                              <w:divBdr>
                                <w:top w:val="none" w:sz="0" w:space="0" w:color="auto"/>
                                <w:left w:val="none" w:sz="0" w:space="0" w:color="auto"/>
                                <w:bottom w:val="none" w:sz="0" w:space="0" w:color="auto"/>
                                <w:right w:val="none" w:sz="0" w:space="0" w:color="auto"/>
                              </w:divBdr>
                              <w:divsChild>
                                <w:div w:id="1604846508">
                                  <w:marLeft w:val="0"/>
                                  <w:marRight w:val="0"/>
                                  <w:marTop w:val="0"/>
                                  <w:marBottom w:val="0"/>
                                  <w:divBdr>
                                    <w:top w:val="none" w:sz="0" w:space="0" w:color="auto"/>
                                    <w:left w:val="none" w:sz="0" w:space="0" w:color="auto"/>
                                    <w:bottom w:val="none" w:sz="0" w:space="0" w:color="auto"/>
                                    <w:right w:val="none" w:sz="0" w:space="0" w:color="auto"/>
                                  </w:divBdr>
                                  <w:divsChild>
                                    <w:div w:id="986974544">
                                      <w:marLeft w:val="0"/>
                                      <w:marRight w:val="0"/>
                                      <w:marTop w:val="0"/>
                                      <w:marBottom w:val="150"/>
                                      <w:divBdr>
                                        <w:top w:val="none" w:sz="0" w:space="0" w:color="auto"/>
                                        <w:left w:val="none" w:sz="0" w:space="0" w:color="auto"/>
                                        <w:bottom w:val="none" w:sz="0" w:space="0" w:color="auto"/>
                                        <w:right w:val="none" w:sz="0" w:space="0" w:color="auto"/>
                                      </w:divBdr>
                                      <w:divsChild>
                                        <w:div w:id="219756152">
                                          <w:marLeft w:val="0"/>
                                          <w:marRight w:val="0"/>
                                          <w:marTop w:val="0"/>
                                          <w:marBottom w:val="0"/>
                                          <w:divBdr>
                                            <w:top w:val="none" w:sz="0" w:space="0" w:color="auto"/>
                                            <w:left w:val="none" w:sz="0" w:space="0" w:color="auto"/>
                                            <w:bottom w:val="none" w:sz="0" w:space="0" w:color="auto"/>
                                            <w:right w:val="none" w:sz="0" w:space="0" w:color="auto"/>
                                          </w:divBdr>
                                          <w:divsChild>
                                            <w:div w:id="1629621880">
                                              <w:marLeft w:val="0"/>
                                              <w:marRight w:val="0"/>
                                              <w:marTop w:val="0"/>
                                              <w:marBottom w:val="0"/>
                                              <w:divBdr>
                                                <w:top w:val="none" w:sz="0" w:space="0" w:color="auto"/>
                                                <w:left w:val="none" w:sz="0" w:space="0" w:color="auto"/>
                                                <w:bottom w:val="none" w:sz="0" w:space="0" w:color="auto"/>
                                                <w:right w:val="none" w:sz="0" w:space="0" w:color="auto"/>
                                              </w:divBdr>
                                              <w:divsChild>
                                                <w:div w:id="13031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470506">
      <w:bodyDiv w:val="1"/>
      <w:marLeft w:val="0"/>
      <w:marRight w:val="0"/>
      <w:marTop w:val="0"/>
      <w:marBottom w:val="0"/>
      <w:divBdr>
        <w:top w:val="none" w:sz="0" w:space="0" w:color="auto"/>
        <w:left w:val="none" w:sz="0" w:space="0" w:color="auto"/>
        <w:bottom w:val="none" w:sz="0" w:space="0" w:color="auto"/>
        <w:right w:val="none" w:sz="0" w:space="0" w:color="auto"/>
      </w:divBdr>
    </w:div>
    <w:div w:id="2107917038">
      <w:bodyDiv w:val="1"/>
      <w:marLeft w:val="0"/>
      <w:marRight w:val="0"/>
      <w:marTop w:val="0"/>
      <w:marBottom w:val="0"/>
      <w:divBdr>
        <w:top w:val="none" w:sz="0" w:space="0" w:color="auto"/>
        <w:left w:val="none" w:sz="0" w:space="0" w:color="auto"/>
        <w:bottom w:val="none" w:sz="0" w:space="0" w:color="auto"/>
        <w:right w:val="none" w:sz="0" w:space="0" w:color="auto"/>
      </w:divBdr>
      <w:divsChild>
        <w:div w:id="1123885866">
          <w:marLeft w:val="-225"/>
          <w:marRight w:val="0"/>
          <w:marTop w:val="0"/>
          <w:marBottom w:val="0"/>
          <w:divBdr>
            <w:top w:val="none" w:sz="0" w:space="0" w:color="auto"/>
            <w:left w:val="none" w:sz="0" w:space="0" w:color="auto"/>
            <w:bottom w:val="none" w:sz="0" w:space="0" w:color="auto"/>
            <w:right w:val="none" w:sz="0" w:space="0" w:color="auto"/>
          </w:divBdr>
        </w:div>
        <w:div w:id="1267301825">
          <w:marLeft w:val="-225"/>
          <w:marRight w:val="0"/>
          <w:marTop w:val="0"/>
          <w:marBottom w:val="300"/>
          <w:divBdr>
            <w:top w:val="none" w:sz="0" w:space="0" w:color="auto"/>
            <w:left w:val="none" w:sz="0" w:space="0" w:color="auto"/>
            <w:bottom w:val="none" w:sz="0" w:space="0" w:color="auto"/>
            <w:right w:val="none" w:sz="0" w:space="0" w:color="auto"/>
          </w:divBdr>
          <w:divsChild>
            <w:div w:id="388891350">
              <w:marLeft w:val="-225"/>
              <w:marRight w:val="0"/>
              <w:marTop w:val="0"/>
              <w:marBottom w:val="0"/>
              <w:divBdr>
                <w:top w:val="none" w:sz="0" w:space="0" w:color="auto"/>
                <w:left w:val="none" w:sz="0" w:space="0" w:color="auto"/>
                <w:bottom w:val="none" w:sz="0" w:space="0" w:color="auto"/>
                <w:right w:val="none" w:sz="0" w:space="0" w:color="auto"/>
              </w:divBdr>
              <w:divsChild>
                <w:div w:id="29183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12E2-1FCA-44DF-9EC4-A19659185D1C}">
  <ds:schemaRefs>
    <ds:schemaRef ds:uri="http://schemas.microsoft.com/sharepoint/v3/contenttype/forms"/>
  </ds:schemaRefs>
</ds:datastoreItem>
</file>

<file path=customXml/itemProps2.xml><?xml version="1.0" encoding="utf-8"?>
<ds:datastoreItem xmlns:ds="http://schemas.openxmlformats.org/officeDocument/2006/customXml" ds:itemID="{59B5BF3B-039A-46B8-8081-136C83542778}">
  <ds:schemaRefs>
    <ds:schemaRef ds:uri="http://purl.org/dc/dcmitype/"/>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5EEC454-E8AA-40D7-91F9-1B050180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AD61B-26C7-449D-A797-C711FA90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13326</Words>
  <Characters>75960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2019-10-29T07:59:00Z</dcterms:created>
  <dcterms:modified xsi:type="dcterms:W3CDTF">2019-10-29T08:09:00Z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