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12D92" w14:textId="77777777" w:rsidR="00F45AED" w:rsidRDefault="00F45AED" w:rsidP="00F45AED">
      <w:pPr>
        <w:spacing w:line="260" w:lineRule="exact"/>
        <w:jc w:val="center"/>
        <w:rPr>
          <w:rFonts w:ascii="Arial" w:hAnsi="Arial" w:cs="Arial"/>
          <w:b/>
          <w:sz w:val="20"/>
          <w:szCs w:val="20"/>
          <w:lang w:val="en-US"/>
        </w:rPr>
      </w:pPr>
      <w:bookmarkStart w:id="0" w:name="_GoBack"/>
      <w:bookmarkEnd w:id="0"/>
      <w:r w:rsidRPr="00F45AED">
        <w:rPr>
          <w:rFonts w:ascii="Arial" w:hAnsi="Arial" w:cs="Arial"/>
          <w:b/>
          <w:sz w:val="20"/>
          <w:szCs w:val="20"/>
          <w:lang w:val="en-US"/>
        </w:rPr>
        <w:t>Contribution of</w:t>
      </w:r>
      <w:r>
        <w:rPr>
          <w:rFonts w:ascii="Arial" w:hAnsi="Arial" w:cs="Arial"/>
          <w:b/>
          <w:sz w:val="20"/>
          <w:szCs w:val="20"/>
          <w:lang w:val="en-US"/>
        </w:rPr>
        <w:t xml:space="preserve"> the Government of the </w:t>
      </w:r>
      <w:r w:rsidRPr="00F45AED">
        <w:rPr>
          <w:rFonts w:ascii="Arial" w:hAnsi="Arial" w:cs="Arial"/>
          <w:b/>
          <w:sz w:val="20"/>
          <w:szCs w:val="20"/>
          <w:lang w:val="en-US"/>
        </w:rPr>
        <w:t>Republic of Poland</w:t>
      </w:r>
      <w:r>
        <w:rPr>
          <w:rFonts w:ascii="Arial" w:hAnsi="Arial" w:cs="Arial"/>
          <w:b/>
          <w:sz w:val="20"/>
          <w:szCs w:val="20"/>
          <w:lang w:val="en-US"/>
        </w:rPr>
        <w:t xml:space="preserve"> to the </w:t>
      </w:r>
      <w:r w:rsidRPr="00F45AED">
        <w:rPr>
          <w:rFonts w:ascii="Arial" w:hAnsi="Arial" w:cs="Arial"/>
          <w:b/>
          <w:sz w:val="20"/>
          <w:szCs w:val="20"/>
          <w:lang w:val="en-US"/>
        </w:rPr>
        <w:t>Special Rapporteur on adequate housing as a component of the right to an adequate standard of living, and on the right to non-discrimination in this context</w:t>
      </w:r>
    </w:p>
    <w:p w14:paraId="7E812D93" w14:textId="77777777" w:rsidR="004356E0" w:rsidRPr="00F45AED" w:rsidRDefault="004356E0" w:rsidP="0067148D">
      <w:pPr>
        <w:spacing w:line="260" w:lineRule="exact"/>
        <w:jc w:val="both"/>
        <w:rPr>
          <w:rFonts w:ascii="Arial" w:hAnsi="Arial" w:cs="Arial"/>
          <w:sz w:val="20"/>
          <w:szCs w:val="20"/>
          <w:lang w:val="en-US"/>
        </w:rPr>
      </w:pPr>
    </w:p>
    <w:p w14:paraId="7E812D94" w14:textId="77777777" w:rsidR="004356E0" w:rsidRPr="00F45AED" w:rsidRDefault="004356E0" w:rsidP="0067148D">
      <w:pPr>
        <w:spacing w:line="260" w:lineRule="exact"/>
        <w:jc w:val="both"/>
        <w:rPr>
          <w:rFonts w:ascii="Arial" w:hAnsi="Arial" w:cs="Arial"/>
          <w:sz w:val="20"/>
          <w:szCs w:val="20"/>
          <w:lang w:val="en-US"/>
        </w:rPr>
      </w:pPr>
    </w:p>
    <w:p w14:paraId="7E812D95" w14:textId="77777777" w:rsidR="0067148D" w:rsidRPr="0067148D" w:rsidRDefault="0067148D" w:rsidP="0067148D">
      <w:pPr>
        <w:spacing w:line="260" w:lineRule="exact"/>
        <w:jc w:val="both"/>
        <w:rPr>
          <w:rFonts w:ascii="Arial" w:hAnsi="Arial" w:cs="Arial"/>
          <w:sz w:val="20"/>
          <w:szCs w:val="20"/>
          <w:lang w:val="en-GB"/>
        </w:rPr>
      </w:pPr>
      <w:r w:rsidRPr="0067148D">
        <w:rPr>
          <w:rFonts w:ascii="Arial" w:hAnsi="Arial" w:cs="Arial"/>
          <w:sz w:val="20"/>
          <w:szCs w:val="20"/>
          <w:lang w:val="en-GB"/>
        </w:rPr>
        <w:t xml:space="preserve">The most important aims of the </w:t>
      </w:r>
      <w:r w:rsidR="00313932">
        <w:rPr>
          <w:rFonts w:ascii="Arial" w:hAnsi="Arial" w:cs="Arial"/>
          <w:sz w:val="20"/>
          <w:szCs w:val="20"/>
          <w:lang w:val="en-GB"/>
        </w:rPr>
        <w:t>h</w:t>
      </w:r>
      <w:r w:rsidRPr="0067148D">
        <w:rPr>
          <w:rFonts w:ascii="Arial" w:hAnsi="Arial" w:cs="Arial"/>
          <w:sz w:val="20"/>
          <w:szCs w:val="20"/>
          <w:lang w:val="en-GB"/>
        </w:rPr>
        <w:t xml:space="preserve">ousing policy in Poland </w:t>
      </w:r>
      <w:r w:rsidR="00AD0C61">
        <w:rPr>
          <w:rFonts w:ascii="Arial" w:hAnsi="Arial" w:cs="Arial"/>
          <w:sz w:val="20"/>
          <w:szCs w:val="20"/>
          <w:lang w:val="en-GB"/>
        </w:rPr>
        <w:t xml:space="preserve"> are as follow</w:t>
      </w:r>
      <w:r w:rsidRPr="0067148D">
        <w:rPr>
          <w:rFonts w:ascii="Arial" w:hAnsi="Arial" w:cs="Arial"/>
          <w:sz w:val="20"/>
          <w:szCs w:val="20"/>
          <w:lang w:val="en-GB"/>
        </w:rPr>
        <w:t>:</w:t>
      </w:r>
    </w:p>
    <w:p w14:paraId="7E812D96" w14:textId="77777777" w:rsidR="0067148D" w:rsidRPr="0067148D" w:rsidRDefault="0067148D" w:rsidP="0067148D">
      <w:pPr>
        <w:pStyle w:val="ListParagraph"/>
        <w:numPr>
          <w:ilvl w:val="0"/>
          <w:numId w:val="7"/>
        </w:numPr>
        <w:spacing w:line="260" w:lineRule="exact"/>
        <w:jc w:val="both"/>
        <w:rPr>
          <w:rFonts w:ascii="Arial" w:hAnsi="Arial" w:cs="Arial"/>
          <w:sz w:val="20"/>
          <w:szCs w:val="20"/>
          <w:lang w:val="en-GB"/>
        </w:rPr>
      </w:pPr>
      <w:r>
        <w:rPr>
          <w:rFonts w:ascii="Arial" w:hAnsi="Arial" w:cs="Arial"/>
          <w:sz w:val="20"/>
          <w:szCs w:val="20"/>
          <w:lang w:val="en-GB"/>
        </w:rPr>
        <w:t>s</w:t>
      </w:r>
      <w:r w:rsidRPr="0067148D">
        <w:rPr>
          <w:rFonts w:ascii="Arial" w:hAnsi="Arial" w:cs="Arial"/>
          <w:sz w:val="20"/>
          <w:szCs w:val="20"/>
          <w:lang w:val="en-GB"/>
        </w:rPr>
        <w:t xml:space="preserve">atisfying of the </w:t>
      </w:r>
      <w:r w:rsidRPr="0067148D">
        <w:rPr>
          <w:rFonts w:ascii="Arial" w:hAnsi="Arial" w:cs="Arial"/>
          <w:b/>
          <w:sz w:val="20"/>
          <w:szCs w:val="20"/>
          <w:lang w:val="en-GB"/>
        </w:rPr>
        <w:t>basic housing needs</w:t>
      </w:r>
      <w:r w:rsidRPr="0067148D">
        <w:rPr>
          <w:rFonts w:ascii="Arial" w:hAnsi="Arial" w:cs="Arial"/>
          <w:sz w:val="20"/>
          <w:szCs w:val="20"/>
          <w:lang w:val="en-GB"/>
        </w:rPr>
        <w:t xml:space="preserve"> of people in danger of social exclusion because of low incomes or especially difficult living situation,</w:t>
      </w:r>
    </w:p>
    <w:p w14:paraId="7E812D97" w14:textId="77777777" w:rsidR="0067148D" w:rsidRPr="0067148D" w:rsidRDefault="0067148D" w:rsidP="0067148D">
      <w:pPr>
        <w:pStyle w:val="ListParagraph"/>
        <w:numPr>
          <w:ilvl w:val="0"/>
          <w:numId w:val="7"/>
        </w:numPr>
        <w:spacing w:line="260" w:lineRule="exact"/>
        <w:jc w:val="both"/>
        <w:rPr>
          <w:rFonts w:ascii="Arial" w:hAnsi="Arial" w:cs="Arial"/>
          <w:sz w:val="20"/>
          <w:szCs w:val="20"/>
          <w:lang w:val="en-GB"/>
        </w:rPr>
      </w:pPr>
      <w:r>
        <w:rPr>
          <w:rFonts w:ascii="Arial" w:hAnsi="Arial" w:cs="Arial"/>
          <w:sz w:val="20"/>
          <w:szCs w:val="20"/>
          <w:lang w:val="en-GB"/>
        </w:rPr>
        <w:t>s</w:t>
      </w:r>
      <w:r w:rsidRPr="0067148D">
        <w:rPr>
          <w:rFonts w:ascii="Arial" w:hAnsi="Arial" w:cs="Arial"/>
          <w:sz w:val="20"/>
          <w:szCs w:val="20"/>
          <w:lang w:val="en-GB"/>
        </w:rPr>
        <w:t xml:space="preserve">upporting </w:t>
      </w:r>
      <w:r w:rsidRPr="0067148D">
        <w:rPr>
          <w:rFonts w:ascii="Arial" w:hAnsi="Arial" w:cs="Arial"/>
          <w:b/>
          <w:sz w:val="20"/>
          <w:szCs w:val="20"/>
          <w:lang w:val="en-GB"/>
        </w:rPr>
        <w:t>access to housing</w:t>
      </w:r>
      <w:r w:rsidRPr="0067148D">
        <w:rPr>
          <w:rFonts w:ascii="Arial" w:hAnsi="Arial" w:cs="Arial"/>
          <w:sz w:val="20"/>
          <w:szCs w:val="20"/>
          <w:lang w:val="en-GB"/>
        </w:rPr>
        <w:t xml:space="preserve"> of people whose incomes are </w:t>
      </w:r>
      <w:r w:rsidR="00AD0C61">
        <w:rPr>
          <w:rFonts w:ascii="Arial" w:hAnsi="Arial" w:cs="Arial"/>
          <w:sz w:val="20"/>
          <w:szCs w:val="20"/>
          <w:lang w:val="en-GB"/>
        </w:rPr>
        <w:t>insufficient</w:t>
      </w:r>
      <w:r w:rsidRPr="0067148D">
        <w:rPr>
          <w:rFonts w:ascii="Arial" w:hAnsi="Arial" w:cs="Arial"/>
          <w:sz w:val="20"/>
          <w:szCs w:val="20"/>
          <w:lang w:val="en-GB"/>
        </w:rPr>
        <w:t xml:space="preserve"> to buy or rent a dwelling on</w:t>
      </w:r>
      <w:r w:rsidR="00AD0C61">
        <w:rPr>
          <w:rFonts w:ascii="Arial" w:hAnsi="Arial" w:cs="Arial"/>
          <w:sz w:val="20"/>
          <w:szCs w:val="20"/>
          <w:lang w:val="en-GB"/>
        </w:rPr>
        <w:t xml:space="preserve"> a</w:t>
      </w:r>
      <w:r w:rsidRPr="0067148D">
        <w:rPr>
          <w:rFonts w:ascii="Arial" w:hAnsi="Arial" w:cs="Arial"/>
          <w:sz w:val="20"/>
          <w:szCs w:val="20"/>
          <w:lang w:val="en-GB"/>
        </w:rPr>
        <w:t xml:space="preserve"> commercial </w:t>
      </w:r>
      <w:r w:rsidR="00AD0C61">
        <w:rPr>
          <w:rFonts w:ascii="Arial" w:hAnsi="Arial" w:cs="Arial"/>
          <w:sz w:val="20"/>
          <w:szCs w:val="20"/>
          <w:lang w:val="en-GB"/>
        </w:rPr>
        <w:t>basis</w:t>
      </w:r>
      <w:r w:rsidRPr="0067148D">
        <w:rPr>
          <w:rFonts w:ascii="Arial" w:hAnsi="Arial" w:cs="Arial"/>
          <w:sz w:val="20"/>
          <w:szCs w:val="20"/>
          <w:lang w:val="en-GB"/>
        </w:rPr>
        <w:t>, as well as stimulating the supply of affordable housing.</w:t>
      </w:r>
    </w:p>
    <w:p w14:paraId="7E812D98" w14:textId="77777777" w:rsidR="0067148D" w:rsidRPr="0067148D" w:rsidRDefault="0067148D" w:rsidP="0067148D">
      <w:pPr>
        <w:pStyle w:val="ListParagraph"/>
        <w:numPr>
          <w:ilvl w:val="0"/>
          <w:numId w:val="7"/>
        </w:numPr>
        <w:spacing w:line="260" w:lineRule="exact"/>
        <w:jc w:val="both"/>
        <w:rPr>
          <w:rFonts w:ascii="Arial" w:hAnsi="Arial" w:cs="Arial"/>
          <w:sz w:val="20"/>
          <w:szCs w:val="20"/>
          <w:lang w:val="en-GB"/>
        </w:rPr>
      </w:pPr>
      <w:r>
        <w:rPr>
          <w:rFonts w:ascii="Arial" w:hAnsi="Arial" w:cs="Arial"/>
          <w:sz w:val="20"/>
          <w:szCs w:val="20"/>
          <w:lang w:val="en-GB"/>
        </w:rPr>
        <w:t>i</w:t>
      </w:r>
      <w:r w:rsidRPr="0067148D">
        <w:rPr>
          <w:rFonts w:ascii="Arial" w:hAnsi="Arial" w:cs="Arial"/>
          <w:sz w:val="20"/>
          <w:szCs w:val="20"/>
          <w:lang w:val="en-GB"/>
        </w:rPr>
        <w:t xml:space="preserve">mprovement of </w:t>
      </w:r>
      <w:r w:rsidRPr="0067148D">
        <w:rPr>
          <w:rFonts w:ascii="Arial" w:hAnsi="Arial" w:cs="Arial"/>
          <w:b/>
          <w:sz w:val="20"/>
          <w:szCs w:val="20"/>
          <w:lang w:val="en-GB"/>
        </w:rPr>
        <w:t xml:space="preserve">technical </w:t>
      </w:r>
      <w:r w:rsidR="00DD7374">
        <w:rPr>
          <w:rFonts w:ascii="Arial" w:hAnsi="Arial" w:cs="Arial"/>
          <w:b/>
          <w:sz w:val="20"/>
          <w:szCs w:val="20"/>
          <w:lang w:val="en-GB"/>
        </w:rPr>
        <w:t xml:space="preserve">condition </w:t>
      </w:r>
      <w:r w:rsidRPr="0067148D">
        <w:rPr>
          <w:rFonts w:ascii="Arial" w:hAnsi="Arial" w:cs="Arial"/>
          <w:b/>
          <w:sz w:val="20"/>
          <w:szCs w:val="20"/>
          <w:lang w:val="en-GB"/>
        </w:rPr>
        <w:t>of</w:t>
      </w:r>
      <w:r w:rsidR="00DD7374">
        <w:rPr>
          <w:rFonts w:ascii="Arial" w:hAnsi="Arial" w:cs="Arial"/>
          <w:b/>
          <w:sz w:val="20"/>
          <w:szCs w:val="20"/>
          <w:lang w:val="en-GB"/>
        </w:rPr>
        <w:t xml:space="preserve"> existing</w:t>
      </w:r>
      <w:r w:rsidRPr="0067148D">
        <w:rPr>
          <w:rFonts w:ascii="Arial" w:hAnsi="Arial" w:cs="Arial"/>
          <w:b/>
          <w:sz w:val="20"/>
          <w:szCs w:val="20"/>
          <w:lang w:val="en-GB"/>
        </w:rPr>
        <w:t xml:space="preserve"> housing stock</w:t>
      </w:r>
      <w:r w:rsidRPr="0067148D">
        <w:rPr>
          <w:rFonts w:ascii="Arial" w:hAnsi="Arial" w:cs="Arial"/>
          <w:sz w:val="20"/>
          <w:szCs w:val="20"/>
          <w:lang w:val="en-GB"/>
        </w:rPr>
        <w:t xml:space="preserve">, including improvement of energy efficiency. </w:t>
      </w:r>
    </w:p>
    <w:p w14:paraId="7E812D99" w14:textId="77777777" w:rsidR="0067148D" w:rsidRPr="0067148D" w:rsidRDefault="0067148D" w:rsidP="0067148D">
      <w:pPr>
        <w:spacing w:line="260" w:lineRule="exact"/>
        <w:rPr>
          <w:rFonts w:ascii="Arial" w:hAnsi="Arial" w:cs="Arial"/>
          <w:sz w:val="20"/>
          <w:szCs w:val="20"/>
          <w:lang w:val="en-GB"/>
        </w:rPr>
      </w:pPr>
    </w:p>
    <w:p w14:paraId="7E812D9A" w14:textId="77777777" w:rsidR="0067148D" w:rsidRPr="0067148D" w:rsidRDefault="0067148D" w:rsidP="008C5C46">
      <w:pPr>
        <w:spacing w:line="260" w:lineRule="exact"/>
        <w:rPr>
          <w:rFonts w:ascii="Arial" w:hAnsi="Arial" w:cs="Arial"/>
          <w:sz w:val="20"/>
          <w:szCs w:val="20"/>
          <w:lang w:val="en-GB"/>
        </w:rPr>
      </w:pPr>
    </w:p>
    <w:p w14:paraId="7E812D9B" w14:textId="77777777" w:rsidR="001358D4" w:rsidRPr="006921AC" w:rsidRDefault="001358D4" w:rsidP="006921AC">
      <w:pPr>
        <w:spacing w:line="260" w:lineRule="atLeast"/>
        <w:jc w:val="both"/>
        <w:rPr>
          <w:rFonts w:ascii="Arial" w:hAnsi="Arial" w:cs="Arial"/>
          <w:sz w:val="20"/>
          <w:szCs w:val="20"/>
          <w:lang w:val="en-GB"/>
        </w:rPr>
      </w:pPr>
      <w:r w:rsidRPr="006921AC">
        <w:rPr>
          <w:rFonts w:ascii="Arial" w:hAnsi="Arial" w:cs="Arial"/>
          <w:sz w:val="20"/>
          <w:szCs w:val="20"/>
          <w:lang w:val="en-GB"/>
        </w:rPr>
        <w:t xml:space="preserve">The responsibilities </w:t>
      </w:r>
      <w:r w:rsidR="004726AC">
        <w:rPr>
          <w:rFonts w:ascii="Arial" w:hAnsi="Arial" w:cs="Arial"/>
          <w:sz w:val="20"/>
          <w:szCs w:val="20"/>
          <w:lang w:val="en-GB"/>
        </w:rPr>
        <w:t xml:space="preserve">within </w:t>
      </w:r>
      <w:r w:rsidR="00AD0C61">
        <w:rPr>
          <w:rFonts w:ascii="Arial" w:hAnsi="Arial" w:cs="Arial"/>
          <w:sz w:val="20"/>
          <w:szCs w:val="20"/>
          <w:lang w:val="en-GB"/>
        </w:rPr>
        <w:t>the</w:t>
      </w:r>
      <w:r w:rsidRPr="006921AC">
        <w:rPr>
          <w:rFonts w:ascii="Arial" w:hAnsi="Arial" w:cs="Arial"/>
          <w:sz w:val="20"/>
          <w:szCs w:val="20"/>
          <w:lang w:val="en-GB"/>
        </w:rPr>
        <w:t xml:space="preserve"> </w:t>
      </w:r>
      <w:r w:rsidR="00313932">
        <w:rPr>
          <w:rFonts w:ascii="Arial" w:hAnsi="Arial" w:cs="Arial"/>
          <w:sz w:val="20"/>
          <w:szCs w:val="20"/>
          <w:lang w:val="en-GB"/>
        </w:rPr>
        <w:t>h</w:t>
      </w:r>
      <w:r w:rsidRPr="006921AC">
        <w:rPr>
          <w:rFonts w:ascii="Arial" w:hAnsi="Arial" w:cs="Arial"/>
          <w:sz w:val="20"/>
          <w:szCs w:val="20"/>
          <w:lang w:val="en-GB"/>
        </w:rPr>
        <w:t xml:space="preserve">ousing policy in Poland are divided between local </w:t>
      </w:r>
      <w:r w:rsidR="00AD0C61">
        <w:rPr>
          <w:rFonts w:ascii="Arial" w:hAnsi="Arial" w:cs="Arial"/>
          <w:sz w:val="20"/>
          <w:szCs w:val="20"/>
          <w:lang w:val="en-GB"/>
        </w:rPr>
        <w:t>authorities</w:t>
      </w:r>
      <w:r w:rsidRPr="006921AC">
        <w:rPr>
          <w:rFonts w:ascii="Arial" w:hAnsi="Arial" w:cs="Arial"/>
          <w:sz w:val="20"/>
          <w:szCs w:val="20"/>
          <w:lang w:val="en-GB"/>
        </w:rPr>
        <w:t xml:space="preserve"> (municipalities) and </w:t>
      </w:r>
      <w:r w:rsidR="00AD0C61">
        <w:rPr>
          <w:rFonts w:ascii="Arial" w:hAnsi="Arial" w:cs="Arial"/>
          <w:sz w:val="20"/>
          <w:szCs w:val="20"/>
          <w:lang w:val="en-GB"/>
        </w:rPr>
        <w:t>central</w:t>
      </w:r>
      <w:r w:rsidRPr="006921AC">
        <w:rPr>
          <w:rFonts w:ascii="Arial" w:hAnsi="Arial" w:cs="Arial"/>
          <w:sz w:val="20"/>
          <w:szCs w:val="20"/>
          <w:lang w:val="en-GB"/>
        </w:rPr>
        <w:t xml:space="preserve"> government. Municipalities are responsible for the majority of spending on housing and housing-related infrastructure. This includes spending on: </w:t>
      </w:r>
    </w:p>
    <w:p w14:paraId="7E812D9C" w14:textId="77777777" w:rsidR="001358D4" w:rsidRPr="006921AC" w:rsidRDefault="001358D4" w:rsidP="006921AC">
      <w:pPr>
        <w:pStyle w:val="ListParagraph"/>
        <w:numPr>
          <w:ilvl w:val="0"/>
          <w:numId w:val="2"/>
        </w:numPr>
        <w:spacing w:line="260" w:lineRule="atLeast"/>
        <w:jc w:val="both"/>
        <w:rPr>
          <w:rFonts w:ascii="Arial" w:hAnsi="Arial" w:cs="Arial"/>
          <w:sz w:val="20"/>
          <w:szCs w:val="20"/>
          <w:lang w:val="en-GB"/>
        </w:rPr>
      </w:pPr>
      <w:r w:rsidRPr="006921AC">
        <w:rPr>
          <w:rFonts w:ascii="Arial" w:hAnsi="Arial" w:cs="Arial"/>
          <w:b/>
          <w:sz w:val="20"/>
          <w:szCs w:val="20"/>
          <w:lang w:val="en-GB"/>
        </w:rPr>
        <w:t xml:space="preserve">Housing </w:t>
      </w:r>
      <w:r w:rsidR="00F42AFC">
        <w:rPr>
          <w:rFonts w:ascii="Arial" w:hAnsi="Arial" w:cs="Arial"/>
          <w:b/>
          <w:sz w:val="20"/>
          <w:szCs w:val="20"/>
          <w:lang w:val="en-GB"/>
        </w:rPr>
        <w:t>allowances</w:t>
      </w:r>
      <w:r w:rsidRPr="006921AC">
        <w:rPr>
          <w:rFonts w:ascii="Arial" w:hAnsi="Arial" w:cs="Arial"/>
          <w:sz w:val="20"/>
          <w:szCs w:val="20"/>
          <w:lang w:val="en-GB"/>
        </w:rPr>
        <w:t xml:space="preserve">, which are means-tested, granted to the beneficiaries and paid directly to the administrator of the building. </w:t>
      </w:r>
    </w:p>
    <w:p w14:paraId="7E812D9D" w14:textId="77777777" w:rsidR="001358D4" w:rsidRPr="006921AC" w:rsidRDefault="001358D4" w:rsidP="006921AC">
      <w:pPr>
        <w:pStyle w:val="ListParagraph"/>
        <w:numPr>
          <w:ilvl w:val="0"/>
          <w:numId w:val="2"/>
        </w:numPr>
        <w:spacing w:line="260" w:lineRule="atLeast"/>
        <w:jc w:val="both"/>
        <w:rPr>
          <w:rFonts w:ascii="Arial" w:hAnsi="Arial" w:cs="Arial"/>
          <w:sz w:val="20"/>
          <w:szCs w:val="20"/>
          <w:lang w:val="en-GB"/>
        </w:rPr>
      </w:pPr>
      <w:r w:rsidRPr="006921AC">
        <w:rPr>
          <w:rFonts w:ascii="Arial" w:hAnsi="Arial" w:cs="Arial"/>
          <w:b/>
          <w:sz w:val="20"/>
          <w:szCs w:val="20"/>
          <w:lang w:val="en-GB"/>
        </w:rPr>
        <w:t xml:space="preserve">Rental </w:t>
      </w:r>
      <w:r w:rsidR="00F42AFC">
        <w:rPr>
          <w:rFonts w:ascii="Arial" w:hAnsi="Arial" w:cs="Arial"/>
          <w:b/>
          <w:sz w:val="20"/>
          <w:szCs w:val="20"/>
          <w:lang w:val="en-GB"/>
        </w:rPr>
        <w:t>dwellings within the municipal housing stock</w:t>
      </w:r>
      <w:r w:rsidRPr="006921AC">
        <w:rPr>
          <w:rFonts w:ascii="Arial" w:hAnsi="Arial" w:cs="Arial"/>
          <w:sz w:val="20"/>
          <w:szCs w:val="20"/>
          <w:lang w:val="en-GB"/>
        </w:rPr>
        <w:t xml:space="preserve">, which are managed by municipal governments and offer below-market rent (although there is no upper limit in municipal dwellings, in practice municipalities charge between 1-3% of replacement costs). Eligibility of the tenant is only checked at the time of application. </w:t>
      </w:r>
    </w:p>
    <w:p w14:paraId="7E812D9E" w14:textId="77777777" w:rsidR="001358D4" w:rsidRPr="006921AC" w:rsidRDefault="001358D4" w:rsidP="006921AC">
      <w:pPr>
        <w:pStyle w:val="ListParagraph"/>
        <w:numPr>
          <w:ilvl w:val="0"/>
          <w:numId w:val="2"/>
        </w:numPr>
        <w:spacing w:line="260" w:lineRule="atLeast"/>
        <w:jc w:val="both"/>
        <w:rPr>
          <w:rFonts w:ascii="Arial" w:hAnsi="Arial" w:cs="Arial"/>
          <w:sz w:val="20"/>
          <w:szCs w:val="20"/>
          <w:lang w:val="en-GB"/>
        </w:rPr>
      </w:pPr>
      <w:r w:rsidRPr="006921AC">
        <w:rPr>
          <w:rFonts w:ascii="Arial" w:hAnsi="Arial" w:cs="Arial"/>
          <w:b/>
          <w:sz w:val="20"/>
          <w:szCs w:val="20"/>
          <w:lang w:val="en-GB"/>
        </w:rPr>
        <w:t>Emergency housing</w:t>
      </w:r>
      <w:r w:rsidRPr="006921AC">
        <w:rPr>
          <w:rFonts w:ascii="Arial" w:hAnsi="Arial" w:cs="Arial"/>
          <w:sz w:val="20"/>
          <w:szCs w:val="20"/>
          <w:lang w:val="en-GB"/>
        </w:rPr>
        <w:t xml:space="preserve">, which accommodates the very poor and homeless persons (state funds are available to assist with these programmes). </w:t>
      </w:r>
    </w:p>
    <w:p w14:paraId="7E812D9F" w14:textId="77777777" w:rsidR="001358D4" w:rsidRPr="006921AC" w:rsidRDefault="001358D4" w:rsidP="006921AC">
      <w:pPr>
        <w:pStyle w:val="ListParagraph"/>
        <w:numPr>
          <w:ilvl w:val="0"/>
          <w:numId w:val="2"/>
        </w:numPr>
        <w:spacing w:line="260" w:lineRule="atLeast"/>
        <w:jc w:val="both"/>
        <w:rPr>
          <w:rFonts w:ascii="Arial" w:hAnsi="Arial" w:cs="Arial"/>
          <w:sz w:val="20"/>
          <w:szCs w:val="20"/>
          <w:lang w:val="en-GB"/>
        </w:rPr>
      </w:pPr>
      <w:r w:rsidRPr="006921AC">
        <w:rPr>
          <w:rFonts w:ascii="Arial" w:hAnsi="Arial" w:cs="Arial"/>
          <w:b/>
          <w:sz w:val="20"/>
          <w:szCs w:val="20"/>
          <w:lang w:val="en-GB"/>
        </w:rPr>
        <w:t>Technical infrastructure and communal services</w:t>
      </w:r>
      <w:r w:rsidRPr="006921AC">
        <w:rPr>
          <w:rFonts w:ascii="Arial" w:hAnsi="Arial" w:cs="Arial"/>
          <w:sz w:val="20"/>
          <w:szCs w:val="20"/>
          <w:lang w:val="en-GB"/>
        </w:rPr>
        <w:t xml:space="preserve"> related to housing. Spending in this category covers water and sewage systems, waste collection, greenery, street lighting and other public services.</w:t>
      </w:r>
    </w:p>
    <w:p w14:paraId="7E812DA0" w14:textId="77777777" w:rsidR="001358D4" w:rsidRPr="006921AC" w:rsidRDefault="001358D4" w:rsidP="006921AC">
      <w:pPr>
        <w:spacing w:line="260" w:lineRule="atLeast"/>
        <w:jc w:val="both"/>
        <w:rPr>
          <w:rFonts w:ascii="Arial" w:hAnsi="Arial" w:cs="Arial"/>
          <w:sz w:val="20"/>
          <w:szCs w:val="20"/>
          <w:lang w:val="en-GB"/>
        </w:rPr>
      </w:pPr>
    </w:p>
    <w:p w14:paraId="7E812DA1" w14:textId="77777777" w:rsidR="001358D4" w:rsidRPr="006921AC" w:rsidRDefault="001358D4" w:rsidP="006921AC">
      <w:pPr>
        <w:spacing w:line="260" w:lineRule="atLeast"/>
        <w:jc w:val="both"/>
        <w:rPr>
          <w:rFonts w:ascii="Arial" w:hAnsi="Arial" w:cs="Arial"/>
          <w:sz w:val="20"/>
          <w:szCs w:val="20"/>
          <w:lang w:val="en-GB"/>
        </w:rPr>
      </w:pPr>
      <w:r w:rsidRPr="006921AC">
        <w:rPr>
          <w:rFonts w:ascii="Arial" w:hAnsi="Arial" w:cs="Arial"/>
          <w:sz w:val="20"/>
          <w:szCs w:val="20"/>
          <w:lang w:val="en-GB"/>
        </w:rPr>
        <w:t>The state government is responsible for general housing regulations and general</w:t>
      </w:r>
      <w:r w:rsidR="00014EFB">
        <w:rPr>
          <w:rFonts w:ascii="Arial" w:hAnsi="Arial" w:cs="Arial"/>
          <w:sz w:val="20"/>
          <w:szCs w:val="20"/>
          <w:lang w:val="en-GB"/>
        </w:rPr>
        <w:t xml:space="preserve"> (nationwide)</w:t>
      </w:r>
      <w:r w:rsidRPr="006921AC">
        <w:rPr>
          <w:rFonts w:ascii="Arial" w:hAnsi="Arial" w:cs="Arial"/>
          <w:sz w:val="20"/>
          <w:szCs w:val="20"/>
          <w:lang w:val="en-GB"/>
        </w:rPr>
        <w:t xml:space="preserve"> housing </w:t>
      </w:r>
      <w:r w:rsidR="0077141D">
        <w:rPr>
          <w:rFonts w:ascii="Arial" w:hAnsi="Arial" w:cs="Arial"/>
          <w:sz w:val="20"/>
          <w:szCs w:val="20"/>
          <w:lang w:val="en-GB"/>
        </w:rPr>
        <w:t>finance measures</w:t>
      </w:r>
      <w:r w:rsidRPr="006921AC">
        <w:rPr>
          <w:rFonts w:ascii="Arial" w:hAnsi="Arial" w:cs="Arial"/>
          <w:sz w:val="20"/>
          <w:szCs w:val="20"/>
          <w:lang w:val="en-GB"/>
        </w:rPr>
        <w:t xml:space="preserve">. </w:t>
      </w:r>
    </w:p>
    <w:p w14:paraId="7E812DA2" w14:textId="77777777" w:rsidR="00DF1624" w:rsidRPr="006921AC" w:rsidRDefault="00DF1624" w:rsidP="006921AC">
      <w:pPr>
        <w:spacing w:line="260" w:lineRule="atLeast"/>
        <w:jc w:val="both"/>
        <w:rPr>
          <w:rFonts w:ascii="Arial" w:hAnsi="Arial" w:cs="Arial"/>
          <w:sz w:val="20"/>
          <w:szCs w:val="20"/>
          <w:lang w:val="en-GB"/>
        </w:rPr>
      </w:pPr>
    </w:p>
    <w:p w14:paraId="7E812DA3" w14:textId="77777777" w:rsidR="00DF1624" w:rsidRPr="006921AC" w:rsidRDefault="00DF1624" w:rsidP="006921AC">
      <w:pPr>
        <w:spacing w:line="260" w:lineRule="atLeast"/>
        <w:jc w:val="both"/>
        <w:rPr>
          <w:rFonts w:ascii="Arial" w:hAnsi="Arial" w:cs="Arial"/>
          <w:sz w:val="20"/>
          <w:szCs w:val="20"/>
          <w:lang w:val="en-GB"/>
        </w:rPr>
      </w:pPr>
      <w:r w:rsidRPr="006921AC">
        <w:rPr>
          <w:rFonts w:ascii="Arial" w:hAnsi="Arial" w:cs="Arial"/>
          <w:sz w:val="20"/>
          <w:szCs w:val="20"/>
          <w:lang w:val="en-GB"/>
        </w:rPr>
        <w:t>The three primary active programmes administered by the Ministry of Infrastructure and Development include:</w:t>
      </w:r>
    </w:p>
    <w:p w14:paraId="7E812DA4" w14:textId="77777777" w:rsidR="00DF1624" w:rsidRPr="006921AC" w:rsidRDefault="00DF1624" w:rsidP="006921AC">
      <w:pPr>
        <w:spacing w:line="260" w:lineRule="atLeast"/>
        <w:jc w:val="both"/>
        <w:rPr>
          <w:rFonts w:ascii="Arial" w:hAnsi="Arial" w:cs="Arial"/>
          <w:sz w:val="20"/>
          <w:szCs w:val="20"/>
          <w:lang w:val="en-GB"/>
        </w:rPr>
      </w:pPr>
    </w:p>
    <w:p w14:paraId="7E812DA5" w14:textId="77777777" w:rsidR="00DF1624" w:rsidRPr="006921AC" w:rsidRDefault="00DF1624" w:rsidP="006921AC">
      <w:pPr>
        <w:pStyle w:val="ListParagraph"/>
        <w:numPr>
          <w:ilvl w:val="0"/>
          <w:numId w:val="3"/>
        </w:numPr>
        <w:spacing w:line="260" w:lineRule="atLeast"/>
        <w:jc w:val="both"/>
        <w:rPr>
          <w:rFonts w:ascii="Arial" w:hAnsi="Arial" w:cs="Arial"/>
          <w:sz w:val="20"/>
          <w:szCs w:val="20"/>
          <w:lang w:val="en-GB"/>
        </w:rPr>
      </w:pPr>
      <w:r w:rsidRPr="006921AC">
        <w:rPr>
          <w:rFonts w:ascii="Arial" w:hAnsi="Arial" w:cs="Arial"/>
          <w:b/>
          <w:sz w:val="20"/>
          <w:szCs w:val="20"/>
          <w:lang w:val="en-GB"/>
        </w:rPr>
        <w:t xml:space="preserve">Housing for the Young </w:t>
      </w:r>
      <w:r w:rsidR="006921AC">
        <w:rPr>
          <w:rFonts w:ascii="Arial" w:hAnsi="Arial" w:cs="Arial"/>
          <w:b/>
          <w:sz w:val="20"/>
          <w:szCs w:val="20"/>
          <w:lang w:val="en-GB"/>
        </w:rPr>
        <w:t xml:space="preserve">programme </w:t>
      </w:r>
      <w:r w:rsidRPr="006921AC">
        <w:rPr>
          <w:rFonts w:ascii="Arial" w:hAnsi="Arial" w:cs="Arial"/>
          <w:b/>
          <w:sz w:val="20"/>
          <w:szCs w:val="20"/>
          <w:lang w:val="en-GB"/>
        </w:rPr>
        <w:t>(</w:t>
      </w:r>
      <w:r w:rsidR="00820DC1">
        <w:rPr>
          <w:rFonts w:ascii="Arial" w:hAnsi="Arial" w:cs="Arial"/>
          <w:b/>
          <w:sz w:val="20"/>
          <w:szCs w:val="20"/>
          <w:lang w:val="en-GB"/>
        </w:rPr>
        <w:t>so called “</w:t>
      </w:r>
      <w:r w:rsidRPr="006921AC">
        <w:rPr>
          <w:rFonts w:ascii="Arial" w:hAnsi="Arial" w:cs="Arial"/>
          <w:b/>
          <w:sz w:val="20"/>
          <w:szCs w:val="20"/>
          <w:lang w:val="en-GB"/>
        </w:rPr>
        <w:t>Mieszkanie dla Młodych</w:t>
      </w:r>
      <w:r w:rsidR="00820DC1">
        <w:rPr>
          <w:rFonts w:ascii="Arial" w:hAnsi="Arial" w:cs="Arial"/>
          <w:b/>
          <w:sz w:val="20"/>
          <w:szCs w:val="20"/>
          <w:lang w:val="en-GB"/>
        </w:rPr>
        <w:t>” programme</w:t>
      </w:r>
      <w:r w:rsidRPr="006921AC">
        <w:rPr>
          <w:rFonts w:ascii="Arial" w:hAnsi="Arial" w:cs="Arial"/>
          <w:b/>
          <w:sz w:val="20"/>
          <w:szCs w:val="20"/>
          <w:lang w:val="en-GB"/>
        </w:rPr>
        <w:t>)</w:t>
      </w:r>
      <w:r w:rsidRPr="006921AC">
        <w:rPr>
          <w:rFonts w:ascii="Arial" w:hAnsi="Arial" w:cs="Arial"/>
          <w:sz w:val="20"/>
          <w:szCs w:val="20"/>
          <w:lang w:val="en-GB"/>
        </w:rPr>
        <w:t xml:space="preserve"> is a co-financing mechanism introduced in 2014 with applications to be accepted until 2018. </w:t>
      </w:r>
      <w:r w:rsidR="006921AC">
        <w:rPr>
          <w:rFonts w:ascii="Arial" w:hAnsi="Arial" w:cs="Arial"/>
          <w:sz w:val="20"/>
          <w:szCs w:val="20"/>
          <w:lang w:val="en-GB"/>
        </w:rPr>
        <w:t xml:space="preserve">Beneficiaries can apply for the financial support in covering the own contribution demanded in mortgage loans. </w:t>
      </w:r>
      <w:r w:rsidRPr="006921AC">
        <w:rPr>
          <w:rFonts w:ascii="Arial" w:hAnsi="Arial" w:cs="Arial"/>
          <w:sz w:val="20"/>
          <w:szCs w:val="20"/>
          <w:lang w:val="en-GB"/>
        </w:rPr>
        <w:t>Housing for the Young targets first-time home-buyers aged 35 and under who are applying for a mortgage in the primary market. Additional eligibility criteria include a maximum dwelling size and maximum price per square meter (75m</w:t>
      </w:r>
      <w:r w:rsidRPr="006921AC">
        <w:rPr>
          <w:rFonts w:ascii="Arial" w:hAnsi="Arial" w:cs="Arial"/>
          <w:sz w:val="20"/>
          <w:szCs w:val="20"/>
          <w:vertAlign w:val="superscript"/>
          <w:lang w:val="en-GB"/>
        </w:rPr>
        <w:t>2</w:t>
      </w:r>
      <w:r w:rsidRPr="006921AC">
        <w:rPr>
          <w:rFonts w:ascii="Arial" w:hAnsi="Arial" w:cs="Arial"/>
          <w:sz w:val="20"/>
          <w:szCs w:val="20"/>
          <w:lang w:val="en-GB"/>
        </w:rPr>
        <w:t xml:space="preserve"> for a flat, 100m</w:t>
      </w:r>
      <w:r w:rsidRPr="006921AC">
        <w:rPr>
          <w:rFonts w:ascii="Arial" w:hAnsi="Arial" w:cs="Arial"/>
          <w:sz w:val="20"/>
          <w:szCs w:val="20"/>
          <w:vertAlign w:val="superscript"/>
          <w:lang w:val="en-GB"/>
        </w:rPr>
        <w:t>2</w:t>
      </w:r>
      <w:r w:rsidRPr="006921AC">
        <w:rPr>
          <w:rFonts w:ascii="Arial" w:hAnsi="Arial" w:cs="Arial"/>
          <w:sz w:val="20"/>
          <w:szCs w:val="20"/>
          <w:lang w:val="en-GB"/>
        </w:rPr>
        <w:t xml:space="preserve"> for a house, plus an additional 10m</w:t>
      </w:r>
      <w:r w:rsidRPr="006921AC">
        <w:rPr>
          <w:rFonts w:ascii="Arial" w:hAnsi="Arial" w:cs="Arial"/>
          <w:sz w:val="20"/>
          <w:szCs w:val="20"/>
          <w:vertAlign w:val="superscript"/>
          <w:lang w:val="en-GB"/>
        </w:rPr>
        <w:t>2</w:t>
      </w:r>
      <w:r w:rsidRPr="006921AC">
        <w:rPr>
          <w:rFonts w:ascii="Arial" w:hAnsi="Arial" w:cs="Arial"/>
          <w:sz w:val="20"/>
          <w:szCs w:val="20"/>
          <w:lang w:val="en-GB"/>
        </w:rPr>
        <w:t xml:space="preserve"> for families with at least three children</w:t>
      </w:r>
      <w:r w:rsidR="006921AC">
        <w:rPr>
          <w:rFonts w:ascii="Arial" w:hAnsi="Arial" w:cs="Arial"/>
          <w:sz w:val="20"/>
          <w:szCs w:val="20"/>
          <w:lang w:val="en-GB"/>
        </w:rPr>
        <w:t>)</w:t>
      </w:r>
      <w:r w:rsidRPr="006921AC">
        <w:rPr>
          <w:rFonts w:ascii="Arial" w:hAnsi="Arial" w:cs="Arial"/>
          <w:sz w:val="20"/>
          <w:szCs w:val="20"/>
          <w:lang w:val="en-GB"/>
        </w:rPr>
        <w:t xml:space="preserve">; the price of the square meter cannot exceed local limits, which is based on the average housing construction cost plus 10%). </w:t>
      </w:r>
    </w:p>
    <w:p w14:paraId="7E812DA6" w14:textId="77777777" w:rsidR="00DF1624" w:rsidRPr="006921AC" w:rsidRDefault="00DF1624" w:rsidP="006921AC">
      <w:pPr>
        <w:pStyle w:val="ListParagraph"/>
        <w:numPr>
          <w:ilvl w:val="0"/>
          <w:numId w:val="3"/>
        </w:numPr>
        <w:spacing w:line="260" w:lineRule="atLeast"/>
        <w:jc w:val="both"/>
        <w:rPr>
          <w:rFonts w:ascii="Arial" w:hAnsi="Arial" w:cs="Arial"/>
          <w:sz w:val="20"/>
          <w:szCs w:val="20"/>
          <w:lang w:val="en-GB"/>
        </w:rPr>
      </w:pPr>
      <w:r w:rsidRPr="006921AC">
        <w:rPr>
          <w:rFonts w:ascii="Arial" w:hAnsi="Arial" w:cs="Arial"/>
          <w:b/>
          <w:sz w:val="20"/>
          <w:szCs w:val="20"/>
          <w:lang w:val="en-GB"/>
        </w:rPr>
        <w:t>The thermal modernisation and renovation support programme</w:t>
      </w:r>
      <w:r w:rsidRPr="006921AC">
        <w:rPr>
          <w:rFonts w:ascii="Arial" w:hAnsi="Arial" w:cs="Arial"/>
          <w:sz w:val="20"/>
          <w:szCs w:val="20"/>
          <w:lang w:val="en-GB"/>
        </w:rPr>
        <w:t xml:space="preserve"> consists of two parts. The thermal modernisation bonus has been in operation since 1999, providing subsidies to reduce the energy consumption of residential buildings. In 2008, the programme was supplemented with an opportunity to obtain a renovation bonus for multi-family buildings developed before 1961. </w:t>
      </w:r>
      <w:r w:rsidR="006921AC">
        <w:rPr>
          <w:rFonts w:ascii="Arial" w:hAnsi="Arial" w:cs="Arial"/>
          <w:sz w:val="20"/>
          <w:szCs w:val="20"/>
          <w:lang w:val="en-GB"/>
        </w:rPr>
        <w:t xml:space="preserve">The majority of beneficiaries include housing cooperatives and condominiums. </w:t>
      </w:r>
    </w:p>
    <w:p w14:paraId="7E812DA7" w14:textId="77777777" w:rsidR="00DF1624" w:rsidRPr="006921AC" w:rsidRDefault="00DF1624" w:rsidP="006921AC">
      <w:pPr>
        <w:pStyle w:val="ListParagraph"/>
        <w:numPr>
          <w:ilvl w:val="0"/>
          <w:numId w:val="3"/>
        </w:numPr>
        <w:spacing w:line="260" w:lineRule="atLeast"/>
        <w:jc w:val="both"/>
        <w:rPr>
          <w:rFonts w:ascii="Arial" w:hAnsi="Arial" w:cs="Arial"/>
          <w:sz w:val="20"/>
          <w:szCs w:val="20"/>
          <w:lang w:val="en-GB"/>
        </w:rPr>
      </w:pPr>
      <w:r w:rsidRPr="006921AC">
        <w:rPr>
          <w:rFonts w:ascii="Arial" w:hAnsi="Arial" w:cs="Arial"/>
          <w:b/>
          <w:sz w:val="20"/>
          <w:szCs w:val="20"/>
          <w:lang w:val="en-GB"/>
        </w:rPr>
        <w:lastRenderedPageBreak/>
        <w:t>Financial support for the emergency housing programme</w:t>
      </w:r>
      <w:r w:rsidRPr="006921AC">
        <w:rPr>
          <w:rFonts w:ascii="Arial" w:hAnsi="Arial" w:cs="Arial"/>
          <w:sz w:val="20"/>
          <w:szCs w:val="20"/>
          <w:lang w:val="en-GB"/>
        </w:rPr>
        <w:t xml:space="preserve">, introduced in 2007, provides 30-50% of co-financing to local authorities for the purchase, construction or refurbishment of very low-income rental housing. In the case of construction or refurbishment of premises that will serve as night shelters or homes for the homeless, local authorities as well as NGOs are eligible for support. </w:t>
      </w:r>
    </w:p>
    <w:p w14:paraId="7E812DA8" w14:textId="77777777" w:rsidR="001358D4" w:rsidRPr="006921AC" w:rsidRDefault="001358D4" w:rsidP="006921AC">
      <w:pPr>
        <w:spacing w:line="260" w:lineRule="atLeast"/>
        <w:jc w:val="both"/>
        <w:rPr>
          <w:rFonts w:ascii="Arial" w:hAnsi="Arial" w:cs="Arial"/>
          <w:sz w:val="20"/>
          <w:szCs w:val="20"/>
          <w:lang w:val="en-GB"/>
        </w:rPr>
      </w:pPr>
    </w:p>
    <w:p w14:paraId="7E812DA9" w14:textId="77777777" w:rsidR="00DF1624" w:rsidRPr="00DF1624" w:rsidRDefault="00DF1624" w:rsidP="006921AC">
      <w:pPr>
        <w:tabs>
          <w:tab w:val="left" w:pos="850"/>
          <w:tab w:val="left" w:pos="1191"/>
          <w:tab w:val="left" w:pos="1531"/>
        </w:tabs>
        <w:spacing w:after="240" w:line="260" w:lineRule="atLeast"/>
        <w:jc w:val="both"/>
        <w:rPr>
          <w:rFonts w:ascii="Arial" w:hAnsi="Arial" w:cs="Arial"/>
          <w:sz w:val="20"/>
          <w:szCs w:val="20"/>
          <w:lang w:val="en-GB" w:eastAsia="zh-CN"/>
        </w:rPr>
      </w:pPr>
      <w:r w:rsidRPr="00DF1624">
        <w:rPr>
          <w:rFonts w:ascii="Arial" w:hAnsi="Arial" w:cs="Arial"/>
          <w:sz w:val="20"/>
          <w:szCs w:val="20"/>
          <w:lang w:val="en-GB" w:eastAsia="zh-CN"/>
        </w:rPr>
        <w:t xml:space="preserve">There are also inactive programmes that still require considerable state resources: </w:t>
      </w:r>
    </w:p>
    <w:p w14:paraId="7E812DAA" w14:textId="77777777" w:rsidR="00DF1624" w:rsidRPr="006921AC" w:rsidRDefault="00DF1624" w:rsidP="006921AC">
      <w:pPr>
        <w:pStyle w:val="ListParagraph"/>
        <w:numPr>
          <w:ilvl w:val="0"/>
          <w:numId w:val="4"/>
        </w:numPr>
        <w:tabs>
          <w:tab w:val="num" w:pos="850"/>
        </w:tabs>
        <w:spacing w:after="240" w:line="260" w:lineRule="atLeast"/>
        <w:jc w:val="both"/>
        <w:rPr>
          <w:rFonts w:ascii="Arial" w:hAnsi="Arial" w:cs="Arial"/>
          <w:sz w:val="20"/>
          <w:szCs w:val="20"/>
          <w:lang w:val="en-GB" w:eastAsia="zh-CN"/>
        </w:rPr>
      </w:pPr>
      <w:r w:rsidRPr="006921AC">
        <w:rPr>
          <w:rFonts w:ascii="Arial" w:hAnsi="Arial" w:cs="Arial"/>
          <w:sz w:val="20"/>
          <w:szCs w:val="20"/>
          <w:lang w:val="en-GB" w:eastAsia="zh-CN"/>
        </w:rPr>
        <w:t>The</w:t>
      </w:r>
      <w:r w:rsidRPr="006921AC">
        <w:rPr>
          <w:rFonts w:ascii="Arial" w:hAnsi="Arial" w:cs="Arial"/>
          <w:b/>
          <w:sz w:val="20"/>
          <w:szCs w:val="20"/>
          <w:lang w:val="en-GB" w:eastAsia="zh-CN"/>
        </w:rPr>
        <w:t xml:space="preserve"> Family’s Own Home</w:t>
      </w:r>
      <w:r w:rsidRPr="006921AC">
        <w:rPr>
          <w:rFonts w:ascii="Arial" w:hAnsi="Arial" w:cs="Arial"/>
          <w:sz w:val="20"/>
          <w:szCs w:val="20"/>
          <w:lang w:val="en-GB" w:eastAsia="zh-CN"/>
        </w:rPr>
        <w:t xml:space="preserve"> programme (</w:t>
      </w:r>
      <w:r w:rsidRPr="006921AC">
        <w:rPr>
          <w:rFonts w:ascii="Arial" w:hAnsi="Arial" w:cs="Arial"/>
          <w:i/>
          <w:sz w:val="20"/>
          <w:szCs w:val="20"/>
          <w:lang w:val="en-GB" w:eastAsia="zh-CN"/>
        </w:rPr>
        <w:t>Rodzina na Swoim</w:t>
      </w:r>
      <w:r w:rsidRPr="006921AC">
        <w:rPr>
          <w:rFonts w:ascii="Arial" w:hAnsi="Arial" w:cs="Arial"/>
          <w:sz w:val="20"/>
          <w:szCs w:val="20"/>
          <w:lang w:val="en-GB" w:eastAsia="zh-CN"/>
        </w:rPr>
        <w:t xml:space="preserve">), the predecessor of the </w:t>
      </w:r>
      <w:r w:rsidRPr="006921AC">
        <w:rPr>
          <w:rFonts w:ascii="Arial" w:hAnsi="Arial" w:cs="Arial"/>
          <w:i/>
          <w:sz w:val="20"/>
          <w:szCs w:val="20"/>
          <w:lang w:val="en-GB" w:eastAsia="zh-CN"/>
        </w:rPr>
        <w:t>Housing for the Young</w:t>
      </w:r>
      <w:r w:rsidRPr="006921AC">
        <w:rPr>
          <w:rFonts w:ascii="Arial" w:hAnsi="Arial" w:cs="Arial"/>
          <w:sz w:val="20"/>
          <w:szCs w:val="20"/>
          <w:lang w:val="en-GB" w:eastAsia="zh-CN"/>
        </w:rPr>
        <w:t xml:space="preserve"> programme, accepted applications between 2007 and 2012. This programme offered support to </w:t>
      </w:r>
      <w:r w:rsidR="006921AC">
        <w:rPr>
          <w:rFonts w:ascii="Arial" w:hAnsi="Arial" w:cs="Arial"/>
          <w:sz w:val="20"/>
          <w:szCs w:val="20"/>
          <w:lang w:val="en-GB" w:eastAsia="zh-CN"/>
        </w:rPr>
        <w:t xml:space="preserve">families and persons </w:t>
      </w:r>
      <w:r w:rsidRPr="006921AC">
        <w:rPr>
          <w:rFonts w:ascii="Arial" w:hAnsi="Arial" w:cs="Arial"/>
          <w:sz w:val="20"/>
          <w:szCs w:val="20"/>
          <w:lang w:val="en-GB" w:eastAsia="zh-CN"/>
        </w:rPr>
        <w:t>to purchase a home in the form of a temporary mortgage interest subsidy (lasting for eight years). Eligibility criteria included maximum useable floor space and maximum price per square meter, adjusted regionally. Although applications to this programme ended in 2012, resources from the state budget will have to be allocated to fulfil the open liabilities of the programme through 2021.</w:t>
      </w:r>
    </w:p>
    <w:p w14:paraId="7E812DAB" w14:textId="77777777" w:rsidR="00DF1624" w:rsidRPr="006921AC" w:rsidRDefault="00DF1624" w:rsidP="006921AC">
      <w:pPr>
        <w:pStyle w:val="ListParagraph"/>
        <w:numPr>
          <w:ilvl w:val="0"/>
          <w:numId w:val="4"/>
        </w:numPr>
        <w:tabs>
          <w:tab w:val="num" w:pos="850"/>
        </w:tabs>
        <w:spacing w:after="240" w:line="260" w:lineRule="atLeast"/>
        <w:jc w:val="both"/>
        <w:rPr>
          <w:rFonts w:ascii="Arial" w:hAnsi="Arial" w:cs="Arial"/>
          <w:sz w:val="20"/>
          <w:szCs w:val="20"/>
          <w:lang w:val="en-GB" w:eastAsia="zh-CN"/>
        </w:rPr>
      </w:pPr>
      <w:r w:rsidRPr="006921AC">
        <w:rPr>
          <w:rFonts w:ascii="Arial" w:hAnsi="Arial" w:cs="Arial"/>
          <w:sz w:val="20"/>
          <w:szCs w:val="20"/>
          <w:lang w:val="en-GB" w:eastAsia="zh-CN"/>
        </w:rPr>
        <w:t xml:space="preserve">Additional pre-transition liabilities stem from </w:t>
      </w:r>
      <w:r w:rsidRPr="006921AC">
        <w:rPr>
          <w:rFonts w:ascii="Arial" w:hAnsi="Arial" w:cs="Arial"/>
          <w:b/>
          <w:sz w:val="20"/>
          <w:szCs w:val="20"/>
          <w:lang w:val="en-GB" w:eastAsia="zh-CN"/>
        </w:rPr>
        <w:t>support for loan repayment and guarantee bonus</w:t>
      </w:r>
      <w:r w:rsidRPr="006921AC">
        <w:rPr>
          <w:rFonts w:ascii="Arial" w:hAnsi="Arial" w:cs="Arial"/>
          <w:sz w:val="20"/>
          <w:szCs w:val="20"/>
          <w:lang w:val="en-GB" w:eastAsia="zh-CN"/>
        </w:rPr>
        <w:t xml:space="preserve">, which aim to mitigate the negative impacts of the transition for persons who repay housing loans taken up prior to 1992 and persons saving via the so-called housing saving booklets. These subsidies were introduced following high inflation in 1990. The support to loan repayments are subsidies enabling the repayment of interest on mortgages taken up by co-operatives up to 1992. The guarantee bonus, on the other hand, ensures that individuals who have used housing saving booklets do not encounter losses resulting from inflation. </w:t>
      </w:r>
    </w:p>
    <w:p w14:paraId="7E812DAC" w14:textId="77777777" w:rsidR="008C5C46" w:rsidRPr="006921AC" w:rsidRDefault="008C5C46" w:rsidP="006921AC">
      <w:pPr>
        <w:spacing w:line="260" w:lineRule="atLeast"/>
        <w:jc w:val="both"/>
        <w:rPr>
          <w:rFonts w:ascii="Arial" w:hAnsi="Arial" w:cs="Arial"/>
          <w:sz w:val="20"/>
          <w:szCs w:val="20"/>
          <w:lang w:val="en-GB"/>
        </w:rPr>
      </w:pPr>
    </w:p>
    <w:p w14:paraId="7E812DAD" w14:textId="77777777" w:rsidR="00DF1624" w:rsidRPr="006921AC" w:rsidRDefault="00DF1624" w:rsidP="006921AC">
      <w:pPr>
        <w:spacing w:line="260" w:lineRule="atLeast"/>
        <w:jc w:val="both"/>
        <w:rPr>
          <w:rFonts w:ascii="Arial" w:hAnsi="Arial" w:cs="Arial"/>
          <w:sz w:val="20"/>
          <w:szCs w:val="20"/>
          <w:lang w:val="en-GB"/>
        </w:rPr>
      </w:pPr>
      <w:r w:rsidRPr="006921AC">
        <w:rPr>
          <w:rFonts w:ascii="Arial" w:hAnsi="Arial" w:cs="Arial"/>
          <w:sz w:val="20"/>
          <w:szCs w:val="20"/>
          <w:lang w:val="en-GB"/>
        </w:rPr>
        <w:t>Moreover, two housing instruments, which are based on VAT refunds and reductions, also affect the state budget:</w:t>
      </w:r>
    </w:p>
    <w:p w14:paraId="7E812DAE" w14:textId="77777777" w:rsidR="00DF1624" w:rsidRPr="006921AC" w:rsidRDefault="00DF1624" w:rsidP="006921AC">
      <w:pPr>
        <w:pStyle w:val="ListParagraph"/>
        <w:numPr>
          <w:ilvl w:val="0"/>
          <w:numId w:val="5"/>
        </w:numPr>
        <w:spacing w:line="260" w:lineRule="atLeast"/>
        <w:jc w:val="both"/>
        <w:rPr>
          <w:rFonts w:ascii="Arial" w:hAnsi="Arial" w:cs="Arial"/>
          <w:sz w:val="20"/>
          <w:szCs w:val="20"/>
          <w:lang w:val="en-GB"/>
        </w:rPr>
      </w:pPr>
      <w:r w:rsidRPr="006921AC">
        <w:rPr>
          <w:rFonts w:ascii="Arial" w:hAnsi="Arial" w:cs="Arial"/>
          <w:b/>
          <w:sz w:val="20"/>
          <w:szCs w:val="20"/>
          <w:lang w:val="en-GB"/>
        </w:rPr>
        <w:t>a refund of part of the VAT</w:t>
      </w:r>
      <w:r w:rsidRPr="006921AC">
        <w:rPr>
          <w:rFonts w:ascii="Arial" w:hAnsi="Arial" w:cs="Arial"/>
          <w:sz w:val="20"/>
          <w:szCs w:val="20"/>
          <w:lang w:val="en-GB"/>
        </w:rPr>
        <w:t xml:space="preserve"> paid by natural persons related to construction materials for the construction of a house. The system was introduced after Poland joined the European Union and VAT rates for construction materials increased dramatical</w:t>
      </w:r>
      <w:r w:rsidR="006921AC">
        <w:rPr>
          <w:rFonts w:ascii="Arial" w:hAnsi="Arial" w:cs="Arial"/>
          <w:sz w:val="20"/>
          <w:szCs w:val="20"/>
          <w:lang w:val="en-GB"/>
        </w:rPr>
        <w:t>ly</w:t>
      </w:r>
      <w:r w:rsidRPr="006921AC">
        <w:rPr>
          <w:rFonts w:ascii="Arial" w:hAnsi="Arial" w:cs="Arial"/>
          <w:sz w:val="20"/>
          <w:szCs w:val="20"/>
          <w:lang w:val="en-GB"/>
        </w:rPr>
        <w:t xml:space="preserve"> </w:t>
      </w:r>
      <w:r w:rsidR="006921AC">
        <w:rPr>
          <w:rFonts w:ascii="Arial" w:hAnsi="Arial" w:cs="Arial"/>
          <w:sz w:val="20"/>
          <w:szCs w:val="20"/>
          <w:lang w:val="en-GB"/>
        </w:rPr>
        <w:t>(</w:t>
      </w:r>
      <w:r w:rsidRPr="006921AC">
        <w:rPr>
          <w:rFonts w:ascii="Arial" w:hAnsi="Arial" w:cs="Arial"/>
          <w:sz w:val="20"/>
          <w:szCs w:val="20"/>
          <w:lang w:val="en-GB"/>
        </w:rPr>
        <w:t>from 7% to 22%</w:t>
      </w:r>
      <w:r w:rsidR="006921AC">
        <w:rPr>
          <w:rFonts w:ascii="Arial" w:hAnsi="Arial" w:cs="Arial"/>
          <w:sz w:val="20"/>
          <w:szCs w:val="20"/>
          <w:lang w:val="en-GB"/>
        </w:rPr>
        <w:t>)</w:t>
      </w:r>
      <w:r w:rsidRPr="006921AC">
        <w:rPr>
          <w:rFonts w:ascii="Arial" w:hAnsi="Arial" w:cs="Arial"/>
          <w:sz w:val="20"/>
          <w:szCs w:val="20"/>
          <w:lang w:val="en-GB"/>
        </w:rPr>
        <w:t xml:space="preserve">. To compensate for the increase, the state budget refunds the difference between the baseline and the reduced rate paid in connection with purchase of construction materials for renovation or construction of dwellings. However, by the end of 2013, this programme was terminated as it has dominated housing budget expenditures and was geared towards higher-income people. Since 2014, VAT compensation is limited to persons who are constructing their first home and who fulfil the criteria of the “Housing for the Young” programme. </w:t>
      </w:r>
    </w:p>
    <w:p w14:paraId="7E812DAF" w14:textId="77777777" w:rsidR="00DF1624" w:rsidRPr="006921AC" w:rsidRDefault="00DF1624" w:rsidP="006921AC">
      <w:pPr>
        <w:spacing w:line="260" w:lineRule="atLeast"/>
        <w:jc w:val="both"/>
        <w:rPr>
          <w:rFonts w:ascii="Arial" w:hAnsi="Arial" w:cs="Arial"/>
          <w:sz w:val="20"/>
          <w:szCs w:val="20"/>
          <w:lang w:val="en-GB"/>
        </w:rPr>
      </w:pPr>
    </w:p>
    <w:p w14:paraId="7E812DB0" w14:textId="77777777" w:rsidR="00DF1624" w:rsidRPr="006921AC" w:rsidRDefault="00DF1624" w:rsidP="006921AC">
      <w:pPr>
        <w:pStyle w:val="ListParagraph"/>
        <w:numPr>
          <w:ilvl w:val="0"/>
          <w:numId w:val="5"/>
        </w:numPr>
        <w:spacing w:line="260" w:lineRule="atLeast"/>
        <w:jc w:val="both"/>
        <w:rPr>
          <w:rFonts w:ascii="Arial" w:hAnsi="Arial" w:cs="Arial"/>
          <w:sz w:val="20"/>
          <w:szCs w:val="20"/>
          <w:lang w:val="en-GB"/>
        </w:rPr>
      </w:pPr>
      <w:r w:rsidRPr="006921AC">
        <w:rPr>
          <w:rFonts w:ascii="Arial" w:hAnsi="Arial" w:cs="Arial"/>
          <w:b/>
          <w:sz w:val="20"/>
          <w:szCs w:val="20"/>
          <w:lang w:val="en-GB"/>
        </w:rPr>
        <w:t>a reduced VAT rate (from 23% to 8%)</w:t>
      </w:r>
      <w:r w:rsidRPr="006921AC">
        <w:rPr>
          <w:rFonts w:ascii="Arial" w:hAnsi="Arial" w:cs="Arial"/>
          <w:sz w:val="20"/>
          <w:szCs w:val="20"/>
          <w:lang w:val="en-GB"/>
        </w:rPr>
        <w:t xml:space="preserve"> for residential housing construction, renovation and maintenance. Until the end of 2010, there were no floor space limits; after 2010 the reduced tax rate concerns services related to the construction or renovation of single-family residential buildings with the usable floor space of up to 300 m² and residential apartments with the usable floor space of up to 150 m². </w:t>
      </w:r>
    </w:p>
    <w:p w14:paraId="7E812DB1" w14:textId="77777777" w:rsidR="00DF1624" w:rsidRPr="006921AC" w:rsidRDefault="00DF1624" w:rsidP="006921AC">
      <w:pPr>
        <w:spacing w:line="260" w:lineRule="atLeast"/>
        <w:jc w:val="both"/>
        <w:rPr>
          <w:rFonts w:ascii="Arial" w:hAnsi="Arial" w:cs="Arial"/>
          <w:sz w:val="20"/>
          <w:szCs w:val="20"/>
          <w:lang w:val="en-GB"/>
        </w:rPr>
      </w:pPr>
    </w:p>
    <w:p w14:paraId="7E812DB2" w14:textId="77777777" w:rsidR="006921AC" w:rsidRPr="006921AC" w:rsidRDefault="00073DC7" w:rsidP="006921AC">
      <w:pPr>
        <w:spacing w:line="260" w:lineRule="atLeast"/>
        <w:jc w:val="both"/>
        <w:rPr>
          <w:rFonts w:ascii="Arial" w:hAnsi="Arial" w:cs="Arial"/>
          <w:sz w:val="20"/>
          <w:szCs w:val="20"/>
          <w:lang w:val="en-GB"/>
        </w:rPr>
      </w:pPr>
      <w:r w:rsidRPr="006921AC">
        <w:rPr>
          <w:rFonts w:ascii="Arial" w:hAnsi="Arial" w:cs="Arial"/>
          <w:sz w:val="20"/>
          <w:szCs w:val="20"/>
          <w:lang w:val="en-GB"/>
        </w:rPr>
        <w:t xml:space="preserve">Currently, under consideration of the government there is </w:t>
      </w:r>
      <w:r w:rsidRPr="005743AD">
        <w:rPr>
          <w:rFonts w:ascii="Arial" w:hAnsi="Arial" w:cs="Arial"/>
          <w:b/>
          <w:sz w:val="20"/>
          <w:szCs w:val="20"/>
          <w:lang w:val="en-GB"/>
        </w:rPr>
        <w:t>a new social housing programme</w:t>
      </w:r>
      <w:r w:rsidRPr="006921AC">
        <w:rPr>
          <w:rFonts w:ascii="Arial" w:hAnsi="Arial" w:cs="Arial"/>
          <w:sz w:val="20"/>
          <w:szCs w:val="20"/>
          <w:lang w:val="en-GB"/>
        </w:rPr>
        <w:t xml:space="preserve"> aimed to the people with low and medium income. Governments’ plans provide to implement </w:t>
      </w:r>
      <w:r w:rsidR="006921AC" w:rsidRPr="006921AC">
        <w:rPr>
          <w:rFonts w:ascii="Arial" w:hAnsi="Arial" w:cs="Arial"/>
          <w:sz w:val="20"/>
          <w:szCs w:val="20"/>
          <w:lang w:val="en-GB"/>
        </w:rPr>
        <w:t xml:space="preserve">new financial instruments (preferential investment credit) dedicated to social housing associations, housing cooperatives and municipal companies. The new programme is expected to be introduced in 2016. </w:t>
      </w:r>
    </w:p>
    <w:p w14:paraId="7E812DB3" w14:textId="77777777" w:rsidR="006921AC" w:rsidRPr="006921AC" w:rsidRDefault="006921AC" w:rsidP="006921AC">
      <w:pPr>
        <w:spacing w:line="260" w:lineRule="atLeast"/>
        <w:jc w:val="both"/>
        <w:rPr>
          <w:rFonts w:ascii="Arial" w:hAnsi="Arial" w:cs="Arial"/>
          <w:sz w:val="20"/>
          <w:szCs w:val="20"/>
          <w:lang w:val="en-GB"/>
        </w:rPr>
      </w:pPr>
    </w:p>
    <w:p w14:paraId="7E812DB4" w14:textId="77777777" w:rsidR="00073DC7" w:rsidRPr="006921AC" w:rsidRDefault="00073DC7" w:rsidP="006921AC">
      <w:pPr>
        <w:spacing w:line="260" w:lineRule="atLeast"/>
        <w:jc w:val="both"/>
        <w:rPr>
          <w:rFonts w:ascii="Arial" w:hAnsi="Arial" w:cs="Arial"/>
          <w:sz w:val="20"/>
          <w:szCs w:val="20"/>
          <w:lang w:val="en-GB"/>
        </w:rPr>
      </w:pPr>
    </w:p>
    <w:p w14:paraId="7E812DB5" w14:textId="77777777" w:rsidR="00DF1624" w:rsidRPr="006921AC" w:rsidRDefault="00DF1624" w:rsidP="006921AC">
      <w:pPr>
        <w:spacing w:line="260" w:lineRule="atLeast"/>
        <w:jc w:val="both"/>
        <w:rPr>
          <w:rFonts w:ascii="Arial" w:hAnsi="Arial" w:cs="Arial"/>
          <w:sz w:val="20"/>
          <w:szCs w:val="20"/>
          <w:lang w:val="en-GB"/>
        </w:rPr>
      </w:pPr>
      <w:r w:rsidRPr="006921AC">
        <w:rPr>
          <w:rFonts w:ascii="Arial" w:hAnsi="Arial" w:cs="Arial"/>
          <w:sz w:val="20"/>
          <w:szCs w:val="20"/>
          <w:lang w:val="en-GB"/>
        </w:rPr>
        <w:t xml:space="preserve">Apart from the above mentioned financing instruments, the law </w:t>
      </w:r>
      <w:r w:rsidR="000722A2">
        <w:rPr>
          <w:rFonts w:ascii="Arial" w:hAnsi="Arial" w:cs="Arial"/>
          <w:sz w:val="20"/>
          <w:szCs w:val="20"/>
          <w:lang w:val="en-GB"/>
        </w:rPr>
        <w:t xml:space="preserve">in Poland </w:t>
      </w:r>
      <w:r w:rsidRPr="006921AC">
        <w:rPr>
          <w:rFonts w:ascii="Arial" w:hAnsi="Arial" w:cs="Arial"/>
          <w:sz w:val="20"/>
          <w:szCs w:val="20"/>
          <w:lang w:val="en-GB"/>
        </w:rPr>
        <w:t>regulates such areas</w:t>
      </w:r>
      <w:r w:rsidR="00D95DC8">
        <w:rPr>
          <w:rFonts w:ascii="Arial" w:hAnsi="Arial" w:cs="Arial"/>
          <w:sz w:val="20"/>
          <w:szCs w:val="20"/>
          <w:lang w:val="en-GB"/>
        </w:rPr>
        <w:t xml:space="preserve"> connected to the housing conditions </w:t>
      </w:r>
      <w:r w:rsidRPr="006921AC">
        <w:rPr>
          <w:rFonts w:ascii="Arial" w:hAnsi="Arial" w:cs="Arial"/>
          <w:sz w:val="20"/>
          <w:szCs w:val="20"/>
          <w:lang w:val="en-GB"/>
        </w:rPr>
        <w:t xml:space="preserve"> as:</w:t>
      </w:r>
    </w:p>
    <w:p w14:paraId="7E812DB6" w14:textId="77777777" w:rsidR="00DF1624" w:rsidRPr="005743AD" w:rsidRDefault="00DF1624" w:rsidP="005743AD">
      <w:pPr>
        <w:pStyle w:val="ListParagraph"/>
        <w:numPr>
          <w:ilvl w:val="0"/>
          <w:numId w:val="6"/>
        </w:numPr>
        <w:spacing w:line="260" w:lineRule="atLeast"/>
        <w:jc w:val="both"/>
        <w:rPr>
          <w:rFonts w:ascii="Arial" w:hAnsi="Arial" w:cs="Arial"/>
          <w:sz w:val="20"/>
          <w:szCs w:val="20"/>
          <w:lang w:val="en-GB"/>
        </w:rPr>
      </w:pPr>
      <w:r w:rsidRPr="005743AD">
        <w:rPr>
          <w:rFonts w:ascii="Arial" w:hAnsi="Arial" w:cs="Arial"/>
          <w:b/>
          <w:sz w:val="20"/>
          <w:szCs w:val="20"/>
          <w:lang w:val="en-GB"/>
        </w:rPr>
        <w:t>Tenants protection</w:t>
      </w:r>
      <w:r w:rsidRPr="005743AD">
        <w:rPr>
          <w:rFonts w:ascii="Arial" w:hAnsi="Arial" w:cs="Arial"/>
          <w:sz w:val="20"/>
          <w:szCs w:val="20"/>
          <w:lang w:val="en-GB"/>
        </w:rPr>
        <w:t xml:space="preserve">, e.g. rules of lease of the dwelling, conditions of increasing the rents, situations in which evictions form the dwellings are possible and so on. </w:t>
      </w:r>
    </w:p>
    <w:p w14:paraId="7E812DB7" w14:textId="77777777" w:rsidR="00DF1624" w:rsidRPr="005743AD" w:rsidRDefault="00220FF5" w:rsidP="005743AD">
      <w:pPr>
        <w:pStyle w:val="ListParagraph"/>
        <w:numPr>
          <w:ilvl w:val="0"/>
          <w:numId w:val="6"/>
        </w:numPr>
        <w:spacing w:line="260" w:lineRule="atLeast"/>
        <w:jc w:val="both"/>
        <w:rPr>
          <w:rFonts w:ascii="Arial" w:hAnsi="Arial" w:cs="Arial"/>
          <w:sz w:val="20"/>
          <w:szCs w:val="20"/>
          <w:lang w:val="en-GB"/>
        </w:rPr>
      </w:pPr>
      <w:r w:rsidRPr="005743AD">
        <w:rPr>
          <w:rFonts w:ascii="Arial" w:hAnsi="Arial" w:cs="Arial"/>
          <w:b/>
          <w:sz w:val="20"/>
          <w:szCs w:val="20"/>
          <w:lang w:val="en-GB"/>
        </w:rPr>
        <w:t>Rules of maintaining</w:t>
      </w:r>
      <w:r w:rsidRPr="005743AD">
        <w:rPr>
          <w:rFonts w:ascii="Arial" w:hAnsi="Arial" w:cs="Arial"/>
          <w:sz w:val="20"/>
          <w:szCs w:val="20"/>
          <w:lang w:val="en-GB"/>
        </w:rPr>
        <w:t xml:space="preserve"> of the multifamily buildings,</w:t>
      </w:r>
    </w:p>
    <w:p w14:paraId="7E812DB8" w14:textId="77777777" w:rsidR="00220FF5" w:rsidRPr="005743AD" w:rsidRDefault="00220FF5" w:rsidP="005743AD">
      <w:pPr>
        <w:pStyle w:val="ListParagraph"/>
        <w:numPr>
          <w:ilvl w:val="0"/>
          <w:numId w:val="6"/>
        </w:numPr>
        <w:spacing w:line="260" w:lineRule="atLeast"/>
        <w:jc w:val="both"/>
        <w:rPr>
          <w:rFonts w:ascii="Arial" w:hAnsi="Arial" w:cs="Arial"/>
          <w:sz w:val="20"/>
          <w:szCs w:val="20"/>
          <w:lang w:val="en-GB"/>
        </w:rPr>
      </w:pPr>
      <w:r w:rsidRPr="005743AD">
        <w:rPr>
          <w:rFonts w:ascii="Arial" w:hAnsi="Arial" w:cs="Arial"/>
          <w:b/>
          <w:sz w:val="20"/>
          <w:szCs w:val="20"/>
          <w:lang w:val="en-GB"/>
        </w:rPr>
        <w:t>Rules of functioning of some housing entities</w:t>
      </w:r>
      <w:r w:rsidRPr="005743AD">
        <w:rPr>
          <w:rFonts w:ascii="Arial" w:hAnsi="Arial" w:cs="Arial"/>
          <w:sz w:val="20"/>
          <w:szCs w:val="20"/>
          <w:lang w:val="en-GB"/>
        </w:rPr>
        <w:t xml:space="preserve">, e.g. </w:t>
      </w:r>
      <w:r w:rsidR="005743AD">
        <w:rPr>
          <w:rFonts w:ascii="Arial" w:hAnsi="Arial" w:cs="Arial"/>
          <w:sz w:val="20"/>
          <w:szCs w:val="20"/>
          <w:lang w:val="en-GB"/>
        </w:rPr>
        <w:t xml:space="preserve">condominiums, </w:t>
      </w:r>
      <w:r w:rsidRPr="005743AD">
        <w:rPr>
          <w:rFonts w:ascii="Arial" w:hAnsi="Arial" w:cs="Arial"/>
          <w:sz w:val="20"/>
          <w:szCs w:val="20"/>
          <w:lang w:val="en-GB"/>
        </w:rPr>
        <w:t>housing cooperatives and social housing associations.</w:t>
      </w:r>
    </w:p>
    <w:p w14:paraId="7E812DB9" w14:textId="77777777" w:rsidR="00220FF5" w:rsidRDefault="00220FF5" w:rsidP="00DF1624">
      <w:pPr>
        <w:spacing w:line="260" w:lineRule="exact"/>
        <w:rPr>
          <w:rFonts w:ascii="Arial" w:hAnsi="Arial" w:cs="Arial"/>
          <w:sz w:val="22"/>
          <w:szCs w:val="22"/>
          <w:lang w:val="en-GB"/>
        </w:rPr>
      </w:pPr>
    </w:p>
    <w:p w14:paraId="7E812DBA" w14:textId="77777777" w:rsidR="00220FF5" w:rsidRPr="00DF1624" w:rsidRDefault="00220FF5" w:rsidP="00DF1624">
      <w:pPr>
        <w:spacing w:line="260" w:lineRule="exact"/>
        <w:rPr>
          <w:rFonts w:ascii="Arial" w:hAnsi="Arial" w:cs="Arial"/>
          <w:sz w:val="22"/>
          <w:szCs w:val="22"/>
          <w:lang w:val="en-GB"/>
        </w:rPr>
      </w:pPr>
    </w:p>
    <w:p w14:paraId="7E812DBB" w14:textId="77777777" w:rsidR="00DF1624" w:rsidRPr="00DF1624" w:rsidRDefault="00DF1624" w:rsidP="00DF1624">
      <w:pPr>
        <w:spacing w:line="260" w:lineRule="exact"/>
        <w:rPr>
          <w:rFonts w:ascii="Arial" w:hAnsi="Arial" w:cs="Arial"/>
          <w:sz w:val="22"/>
          <w:szCs w:val="22"/>
          <w:lang w:val="en-GB"/>
        </w:rPr>
      </w:pPr>
    </w:p>
    <w:p w14:paraId="7E812DBC" w14:textId="77777777" w:rsidR="005A1DD1" w:rsidRPr="005743AD" w:rsidRDefault="005A1DD1">
      <w:pPr>
        <w:rPr>
          <w:lang w:val="en-GB"/>
        </w:rPr>
      </w:pPr>
    </w:p>
    <w:sectPr w:rsidR="005A1DD1" w:rsidRPr="005743AD" w:rsidSect="002F5110">
      <w:footerReference w:type="even" r:id="rId11"/>
      <w:footerReference w:type="default" r:id="rId12"/>
      <w:headerReference w:type="first" r:id="rId13"/>
      <w:footerReference w:type="first" r:id="rId14"/>
      <w:type w:val="continuous"/>
      <w:pgSz w:w="11906" w:h="16838" w:code="9"/>
      <w:pgMar w:top="1134" w:right="1134" w:bottom="1134" w:left="1134" w:header="0"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12DBF" w14:textId="77777777" w:rsidR="007F7D6E" w:rsidRDefault="007F7D6E">
      <w:r>
        <w:separator/>
      </w:r>
    </w:p>
  </w:endnote>
  <w:endnote w:type="continuationSeparator" w:id="0">
    <w:p w14:paraId="7E812DC0" w14:textId="77777777" w:rsidR="007F7D6E" w:rsidRDefault="007F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12DC1" w14:textId="77777777" w:rsidR="002F5110" w:rsidRDefault="006145DC" w:rsidP="00C807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812DC2" w14:textId="77777777" w:rsidR="002F5110" w:rsidRDefault="00404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12DC3" w14:textId="77777777" w:rsidR="002F5110" w:rsidRPr="002F5110" w:rsidRDefault="006145DC" w:rsidP="002F5110">
    <w:pPr>
      <w:pStyle w:val="Footer"/>
      <w:framePr w:wrap="around" w:vAnchor="text" w:hAnchor="page" w:x="5995" w:y="577"/>
      <w:rPr>
        <w:rStyle w:val="PageNumber"/>
        <w:rFonts w:ascii="Arial" w:hAnsi="Arial" w:cs="Arial"/>
        <w:sz w:val="16"/>
        <w:szCs w:val="16"/>
      </w:rPr>
    </w:pPr>
    <w:r w:rsidRPr="002F5110">
      <w:rPr>
        <w:rStyle w:val="PageNumber"/>
        <w:rFonts w:ascii="Arial" w:hAnsi="Arial" w:cs="Arial"/>
        <w:sz w:val="16"/>
        <w:szCs w:val="16"/>
      </w:rPr>
      <w:fldChar w:fldCharType="begin"/>
    </w:r>
    <w:r w:rsidRPr="002F5110">
      <w:rPr>
        <w:rStyle w:val="PageNumber"/>
        <w:rFonts w:ascii="Arial" w:hAnsi="Arial" w:cs="Arial"/>
        <w:sz w:val="16"/>
        <w:szCs w:val="16"/>
      </w:rPr>
      <w:instrText xml:space="preserve">PAGE  </w:instrText>
    </w:r>
    <w:r w:rsidRPr="002F5110">
      <w:rPr>
        <w:rStyle w:val="PageNumber"/>
        <w:rFonts w:ascii="Arial" w:hAnsi="Arial" w:cs="Arial"/>
        <w:sz w:val="16"/>
        <w:szCs w:val="16"/>
      </w:rPr>
      <w:fldChar w:fldCharType="separate"/>
    </w:r>
    <w:r w:rsidR="00404D07">
      <w:rPr>
        <w:rStyle w:val="PageNumber"/>
        <w:rFonts w:ascii="Arial" w:hAnsi="Arial" w:cs="Arial"/>
        <w:noProof/>
        <w:sz w:val="16"/>
        <w:szCs w:val="16"/>
      </w:rPr>
      <w:t>3</w:t>
    </w:r>
    <w:r w:rsidRPr="002F5110">
      <w:rPr>
        <w:rStyle w:val="PageNumber"/>
        <w:rFonts w:ascii="Arial" w:hAnsi="Arial" w:cs="Arial"/>
        <w:sz w:val="16"/>
        <w:szCs w:val="16"/>
      </w:rPr>
      <w:fldChar w:fldCharType="end"/>
    </w:r>
  </w:p>
  <w:p w14:paraId="7E812DC4" w14:textId="77777777" w:rsidR="002F5110" w:rsidRDefault="008C5C46">
    <w:pPr>
      <w:pStyle w:val="Footer"/>
    </w:pPr>
    <w:r>
      <w:rPr>
        <w:noProof/>
        <w:lang w:val="en-GB" w:eastAsia="en-GB"/>
      </w:rPr>
      <w:drawing>
        <wp:anchor distT="0" distB="0" distL="114300" distR="114300" simplePos="0" relativeHeight="251660288" behindDoc="1" locked="1" layoutInCell="1" allowOverlap="1" wp14:anchorId="7E812DCE" wp14:editId="7E812DCF">
          <wp:simplePos x="0" y="0"/>
          <wp:positionH relativeFrom="page">
            <wp:posOffset>34290</wp:posOffset>
          </wp:positionH>
          <wp:positionV relativeFrom="page">
            <wp:posOffset>9749790</wp:posOffset>
          </wp:positionV>
          <wp:extent cx="7560310" cy="1145540"/>
          <wp:effectExtent l="0" t="0" r="2540" b="0"/>
          <wp:wrapNone/>
          <wp:docPr id="3" name="Obraz 3" descr="BDG_07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DG_070-2"/>
                  <pic:cNvPicPr>
                    <a:picLocks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7560310" cy="11455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12DC7" w14:textId="77777777" w:rsidR="00562F7F" w:rsidRPr="00562F7F" w:rsidRDefault="006145DC" w:rsidP="00315243">
    <w:pPr>
      <w:tabs>
        <w:tab w:val="left" w:pos="5443"/>
      </w:tabs>
      <w:ind w:left="3178"/>
      <w:rPr>
        <w:rFonts w:ascii="Arial" w:hAnsi="Arial" w:cs="Arial"/>
        <w:spacing w:val="4"/>
        <w:sz w:val="15"/>
        <w:szCs w:val="15"/>
      </w:rPr>
    </w:pPr>
    <w:r w:rsidRPr="00562F7F">
      <w:rPr>
        <w:rFonts w:ascii="Arial" w:hAnsi="Arial" w:cs="Arial"/>
        <w:spacing w:val="4"/>
        <w:sz w:val="15"/>
        <w:szCs w:val="15"/>
      </w:rPr>
      <w:t>Ministerstwo</w:t>
    </w:r>
    <w:r>
      <w:rPr>
        <w:rFonts w:ascii="Arial" w:hAnsi="Arial" w:cs="Arial"/>
        <w:spacing w:val="4"/>
        <w:sz w:val="15"/>
        <w:szCs w:val="15"/>
      </w:rPr>
      <w:tab/>
      <w:t>tel. (</w:t>
    </w:r>
    <w:r w:rsidRPr="00DB29BD">
      <w:rPr>
        <w:rFonts w:ascii="Arial" w:hAnsi="Arial" w:cs="Arial"/>
        <w:spacing w:val="4"/>
        <w:sz w:val="15"/>
        <w:szCs w:val="15"/>
      </w:rPr>
      <w:t xml:space="preserve">22) </w:t>
    </w:r>
    <w:r>
      <w:rPr>
        <w:rFonts w:ascii="Arial" w:hAnsi="Arial" w:cs="Arial"/>
        <w:spacing w:val="4"/>
        <w:sz w:val="15"/>
        <w:szCs w:val="15"/>
      </w:rPr>
      <w:t>522 53 00</w:t>
    </w:r>
  </w:p>
  <w:p w14:paraId="7E812DC8" w14:textId="77777777" w:rsidR="00562F7F" w:rsidRPr="00315243" w:rsidRDefault="006145DC" w:rsidP="00315243">
    <w:pPr>
      <w:tabs>
        <w:tab w:val="left" w:pos="5443"/>
      </w:tabs>
      <w:ind w:left="3178"/>
      <w:rPr>
        <w:rFonts w:ascii="Arial" w:hAnsi="Arial" w:cs="Arial"/>
        <w:spacing w:val="4"/>
        <w:sz w:val="15"/>
        <w:szCs w:val="15"/>
      </w:rPr>
    </w:pPr>
    <w:r>
      <w:rPr>
        <w:rFonts w:ascii="Arial" w:hAnsi="Arial" w:cs="Arial"/>
        <w:spacing w:val="4"/>
        <w:sz w:val="15"/>
        <w:szCs w:val="15"/>
      </w:rPr>
      <w:t xml:space="preserve">Infrastruktury i </w:t>
    </w:r>
    <w:r w:rsidRPr="00562F7F">
      <w:rPr>
        <w:rFonts w:ascii="Arial" w:hAnsi="Arial" w:cs="Arial"/>
        <w:spacing w:val="4"/>
        <w:sz w:val="15"/>
        <w:szCs w:val="15"/>
      </w:rPr>
      <w:t>Rozwoju</w:t>
    </w:r>
    <w:r>
      <w:rPr>
        <w:rFonts w:ascii="Arial" w:hAnsi="Arial" w:cs="Arial"/>
        <w:spacing w:val="4"/>
        <w:sz w:val="15"/>
        <w:szCs w:val="15"/>
      </w:rPr>
      <w:tab/>
      <w:t>fax (</w:t>
    </w:r>
    <w:r w:rsidRPr="00315243">
      <w:rPr>
        <w:rFonts w:ascii="Arial" w:hAnsi="Arial" w:cs="Arial"/>
        <w:spacing w:val="4"/>
        <w:sz w:val="15"/>
        <w:szCs w:val="15"/>
      </w:rPr>
      <w:t xml:space="preserve">22) </w:t>
    </w:r>
    <w:r>
      <w:rPr>
        <w:rFonts w:ascii="Arial" w:hAnsi="Arial" w:cs="Arial"/>
        <w:spacing w:val="4"/>
        <w:sz w:val="15"/>
        <w:szCs w:val="15"/>
      </w:rPr>
      <w:t>522 53 04</w:t>
    </w:r>
  </w:p>
  <w:p w14:paraId="7E812DC9" w14:textId="77777777" w:rsidR="00562F7F" w:rsidRPr="00315243" w:rsidRDefault="006145DC" w:rsidP="00161052">
    <w:pPr>
      <w:tabs>
        <w:tab w:val="left" w:pos="5443"/>
      </w:tabs>
      <w:ind w:left="3178"/>
      <w:rPr>
        <w:rFonts w:ascii="Arial" w:hAnsi="Arial" w:cs="Arial"/>
        <w:spacing w:val="4"/>
        <w:sz w:val="15"/>
        <w:szCs w:val="15"/>
      </w:rPr>
    </w:pPr>
    <w:r>
      <w:rPr>
        <w:rFonts w:ascii="Arial" w:hAnsi="Arial" w:cs="Arial"/>
        <w:spacing w:val="4"/>
        <w:sz w:val="15"/>
        <w:szCs w:val="15"/>
      </w:rPr>
      <w:t>ul. Wspólna 2/4</w:t>
    </w:r>
    <w:r>
      <w:rPr>
        <w:rFonts w:ascii="Arial" w:hAnsi="Arial" w:cs="Arial"/>
        <w:spacing w:val="4"/>
        <w:sz w:val="15"/>
        <w:szCs w:val="15"/>
      </w:rPr>
      <w:tab/>
      <w:t>www.mi</w:t>
    </w:r>
    <w:r w:rsidRPr="00315243">
      <w:rPr>
        <w:rFonts w:ascii="Arial" w:hAnsi="Arial" w:cs="Arial"/>
        <w:spacing w:val="4"/>
        <w:sz w:val="15"/>
        <w:szCs w:val="15"/>
      </w:rPr>
      <w:t>r.gov.pl</w:t>
    </w:r>
  </w:p>
  <w:p w14:paraId="7E812DCA" w14:textId="77777777" w:rsidR="00562F7F" w:rsidRPr="00562F7F" w:rsidRDefault="006145DC" w:rsidP="00161052">
    <w:pPr>
      <w:tabs>
        <w:tab w:val="left" w:pos="5443"/>
      </w:tabs>
      <w:ind w:left="3178"/>
      <w:rPr>
        <w:rFonts w:ascii="Arial" w:hAnsi="Arial" w:cs="Arial"/>
        <w:spacing w:val="4"/>
        <w:sz w:val="15"/>
        <w:szCs w:val="15"/>
      </w:rPr>
    </w:pPr>
    <w:r>
      <w:rPr>
        <w:rFonts w:ascii="Arial" w:hAnsi="Arial" w:cs="Arial"/>
        <w:spacing w:val="4"/>
        <w:sz w:val="15"/>
        <w:szCs w:val="15"/>
      </w:rPr>
      <w:t>00-926</w:t>
    </w:r>
    <w:r w:rsidRPr="00562F7F">
      <w:rPr>
        <w:rFonts w:ascii="Arial" w:hAnsi="Arial" w:cs="Arial"/>
        <w:spacing w:val="4"/>
        <w:sz w:val="15"/>
        <w:szCs w:val="15"/>
      </w:rPr>
      <w:t xml:space="preserve"> Warszawa</w:t>
    </w:r>
    <w:r>
      <w:rPr>
        <w:rFonts w:ascii="Arial" w:hAnsi="Arial" w:cs="Arial"/>
        <w:spacing w:val="4"/>
        <w:sz w:val="15"/>
        <w:szCs w:val="15"/>
      </w:rPr>
      <w:tab/>
    </w:r>
    <w:r w:rsidRPr="00DB29BD">
      <w:rPr>
        <w:rFonts w:ascii="Arial" w:hAnsi="Arial" w:cs="Arial"/>
        <w:spacing w:val="4"/>
        <w:sz w:val="15"/>
        <w:szCs w:val="15"/>
        <w:lang w:val="fr-FR"/>
      </w:rPr>
      <w:t>www.funduszeeuropejskie.gov.p</w:t>
    </w:r>
    <w:r>
      <w:rPr>
        <w:rFonts w:ascii="Arial" w:hAnsi="Arial" w:cs="Arial"/>
        <w:spacing w:val="4"/>
        <w:sz w:val="15"/>
        <w:szCs w:val="15"/>
        <w:lang w:val="fr-FR"/>
      </w:rPr>
      <w:t>l</w:t>
    </w:r>
  </w:p>
  <w:p w14:paraId="7E812DCB" w14:textId="77777777" w:rsidR="00562F7F" w:rsidRPr="00562F7F" w:rsidRDefault="00404D07">
    <w:pPr>
      <w:pStyle w:val="Footer"/>
      <w:rPr>
        <w:sz w:val="15"/>
        <w:szCs w:val="15"/>
      </w:rPr>
    </w:pPr>
  </w:p>
  <w:p w14:paraId="7E812DCC" w14:textId="77777777" w:rsidR="00562F7F" w:rsidRPr="00562F7F" w:rsidRDefault="00404D07">
    <w:pPr>
      <w:pStyle w:val="Footer"/>
      <w:rPr>
        <w:sz w:val="15"/>
        <w:szCs w:val="15"/>
      </w:rPr>
    </w:pPr>
  </w:p>
  <w:p w14:paraId="7E812DCD" w14:textId="77777777" w:rsidR="006325A2" w:rsidRDefault="008C5C46">
    <w:pPr>
      <w:pStyle w:val="Footer"/>
    </w:pPr>
    <w:r>
      <w:rPr>
        <w:noProof/>
        <w:lang w:val="en-GB" w:eastAsia="en-GB"/>
      </w:rPr>
      <w:drawing>
        <wp:anchor distT="0" distB="0" distL="114300" distR="114300" simplePos="0" relativeHeight="251659264" behindDoc="1" locked="1" layoutInCell="1" allowOverlap="1" wp14:anchorId="7E812DD0" wp14:editId="7E812DD1">
          <wp:simplePos x="0" y="0"/>
          <wp:positionH relativeFrom="page">
            <wp:align>right</wp:align>
          </wp:positionH>
          <wp:positionV relativeFrom="page">
            <wp:align>bottom</wp:align>
          </wp:positionV>
          <wp:extent cx="7560310" cy="1145540"/>
          <wp:effectExtent l="0" t="0" r="2540" b="0"/>
          <wp:wrapNone/>
          <wp:docPr id="1" name="Obraz 1" descr="BDG_07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DG_070-2"/>
                  <pic:cNvPicPr>
                    <a:picLocks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7560310" cy="11455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12DBD" w14:textId="77777777" w:rsidR="007F7D6E" w:rsidRDefault="007F7D6E">
      <w:r>
        <w:separator/>
      </w:r>
    </w:p>
  </w:footnote>
  <w:footnote w:type="continuationSeparator" w:id="0">
    <w:p w14:paraId="7E812DBE" w14:textId="77777777" w:rsidR="007F7D6E" w:rsidRDefault="007F7D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12DC5" w14:textId="77777777" w:rsidR="00423027" w:rsidRDefault="00404D07" w:rsidP="00AB2164">
    <w:pPr>
      <w:pStyle w:val="Header"/>
    </w:pPr>
  </w:p>
  <w:p w14:paraId="7E812DC6" w14:textId="77777777" w:rsidR="00B207C3" w:rsidRDefault="006145DC" w:rsidP="00650EA0">
    <w:pPr>
      <w:pStyle w:val="Header"/>
      <w:tabs>
        <w:tab w:val="left" w:pos="3686"/>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9FB"/>
    <w:multiLevelType w:val="hybridMultilevel"/>
    <w:tmpl w:val="2BC6903A"/>
    <w:lvl w:ilvl="0" w:tplc="BF86F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7D7E6D"/>
    <w:multiLevelType w:val="hybridMultilevel"/>
    <w:tmpl w:val="ECA89AA2"/>
    <w:lvl w:ilvl="0" w:tplc="BF86F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7085ABD"/>
    <w:multiLevelType w:val="hybridMultilevel"/>
    <w:tmpl w:val="941ED71E"/>
    <w:lvl w:ilvl="0" w:tplc="BF86F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BC40650"/>
    <w:multiLevelType w:val="hybridMultilevel"/>
    <w:tmpl w:val="C9C4E6D2"/>
    <w:lvl w:ilvl="0" w:tplc="BF86F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75FC1A8F"/>
    <w:multiLevelType w:val="hybridMultilevel"/>
    <w:tmpl w:val="2938BBDC"/>
    <w:lvl w:ilvl="0" w:tplc="BF86F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BF35A12"/>
    <w:multiLevelType w:val="hybridMultilevel"/>
    <w:tmpl w:val="A2BC95CA"/>
    <w:lvl w:ilvl="0" w:tplc="BAFCC900">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7D421474"/>
    <w:multiLevelType w:val="hybridMultilevel"/>
    <w:tmpl w:val="ABF0BA42"/>
    <w:lvl w:ilvl="0" w:tplc="BF86FE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C46"/>
    <w:rsid w:val="00011BF4"/>
    <w:rsid w:val="00014EFB"/>
    <w:rsid w:val="00060159"/>
    <w:rsid w:val="000722A2"/>
    <w:rsid w:val="00073DC7"/>
    <w:rsid w:val="00083C02"/>
    <w:rsid w:val="001358D4"/>
    <w:rsid w:val="00220FF5"/>
    <w:rsid w:val="002A3FE2"/>
    <w:rsid w:val="00313932"/>
    <w:rsid w:val="00342CB9"/>
    <w:rsid w:val="00345215"/>
    <w:rsid w:val="00353339"/>
    <w:rsid w:val="003E6463"/>
    <w:rsid w:val="00404D07"/>
    <w:rsid w:val="00422B60"/>
    <w:rsid w:val="004356E0"/>
    <w:rsid w:val="004726AC"/>
    <w:rsid w:val="004F6C41"/>
    <w:rsid w:val="005156DD"/>
    <w:rsid w:val="005743AD"/>
    <w:rsid w:val="005874C3"/>
    <w:rsid w:val="00590358"/>
    <w:rsid w:val="005A1DD1"/>
    <w:rsid w:val="006145DC"/>
    <w:rsid w:val="0067148D"/>
    <w:rsid w:val="006921AC"/>
    <w:rsid w:val="006B2828"/>
    <w:rsid w:val="006D22EF"/>
    <w:rsid w:val="0077141D"/>
    <w:rsid w:val="007E09A7"/>
    <w:rsid w:val="007F7D6E"/>
    <w:rsid w:val="00820DC1"/>
    <w:rsid w:val="008C5C46"/>
    <w:rsid w:val="00937EEA"/>
    <w:rsid w:val="009546C1"/>
    <w:rsid w:val="009B6022"/>
    <w:rsid w:val="00A870C5"/>
    <w:rsid w:val="00A928C3"/>
    <w:rsid w:val="00AD0C61"/>
    <w:rsid w:val="00B27624"/>
    <w:rsid w:val="00BE6F73"/>
    <w:rsid w:val="00C026B8"/>
    <w:rsid w:val="00D95DC8"/>
    <w:rsid w:val="00DD7374"/>
    <w:rsid w:val="00DF1624"/>
    <w:rsid w:val="00E70E4A"/>
    <w:rsid w:val="00EE024B"/>
    <w:rsid w:val="00F42AFC"/>
    <w:rsid w:val="00F45AED"/>
    <w:rsid w:val="00F8375B"/>
    <w:rsid w:val="00FC13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81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C46"/>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5C46"/>
    <w:pPr>
      <w:tabs>
        <w:tab w:val="center" w:pos="4536"/>
        <w:tab w:val="right" w:pos="9072"/>
      </w:tabs>
    </w:pPr>
  </w:style>
  <w:style w:type="character" w:customStyle="1" w:styleId="HeaderChar">
    <w:name w:val="Header Char"/>
    <w:basedOn w:val="DefaultParagraphFont"/>
    <w:link w:val="Header"/>
    <w:rsid w:val="008C5C46"/>
    <w:rPr>
      <w:rFonts w:ascii="Times New Roman" w:eastAsia="Times New Roman" w:hAnsi="Times New Roman" w:cs="Times New Roman"/>
      <w:sz w:val="24"/>
      <w:szCs w:val="24"/>
      <w:lang w:eastAsia="pl-PL"/>
    </w:rPr>
  </w:style>
  <w:style w:type="paragraph" w:styleId="Footer">
    <w:name w:val="footer"/>
    <w:basedOn w:val="Normal"/>
    <w:link w:val="FooterChar"/>
    <w:rsid w:val="008C5C46"/>
    <w:pPr>
      <w:tabs>
        <w:tab w:val="center" w:pos="4536"/>
        <w:tab w:val="right" w:pos="9072"/>
      </w:tabs>
    </w:pPr>
  </w:style>
  <w:style w:type="character" w:customStyle="1" w:styleId="FooterChar">
    <w:name w:val="Footer Char"/>
    <w:basedOn w:val="DefaultParagraphFont"/>
    <w:link w:val="Footer"/>
    <w:rsid w:val="008C5C46"/>
    <w:rPr>
      <w:rFonts w:ascii="Times New Roman" w:eastAsia="Times New Roman" w:hAnsi="Times New Roman" w:cs="Times New Roman"/>
      <w:sz w:val="24"/>
      <w:szCs w:val="24"/>
      <w:lang w:eastAsia="pl-PL"/>
    </w:rPr>
  </w:style>
  <w:style w:type="character" w:styleId="PageNumber">
    <w:name w:val="page number"/>
    <w:basedOn w:val="DefaultParagraphFont"/>
    <w:rsid w:val="008C5C46"/>
  </w:style>
  <w:style w:type="paragraph" w:styleId="ListParagraph">
    <w:name w:val="List Paragraph"/>
    <w:basedOn w:val="Normal"/>
    <w:uiPriority w:val="34"/>
    <w:qFormat/>
    <w:rsid w:val="00DF1624"/>
    <w:pPr>
      <w:ind w:left="720"/>
      <w:contextualSpacing/>
    </w:pPr>
  </w:style>
  <w:style w:type="paragraph" w:styleId="BalloonText">
    <w:name w:val="Balloon Text"/>
    <w:basedOn w:val="Normal"/>
    <w:link w:val="BalloonTextChar"/>
    <w:uiPriority w:val="99"/>
    <w:semiHidden/>
    <w:unhideWhenUsed/>
    <w:rsid w:val="004356E0"/>
    <w:rPr>
      <w:rFonts w:ascii="Tahoma" w:hAnsi="Tahoma" w:cs="Tahoma"/>
      <w:sz w:val="16"/>
      <w:szCs w:val="16"/>
    </w:rPr>
  </w:style>
  <w:style w:type="character" w:customStyle="1" w:styleId="BalloonTextChar">
    <w:name w:val="Balloon Text Char"/>
    <w:basedOn w:val="DefaultParagraphFont"/>
    <w:link w:val="BalloonText"/>
    <w:uiPriority w:val="99"/>
    <w:semiHidden/>
    <w:rsid w:val="004356E0"/>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C46"/>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5C46"/>
    <w:pPr>
      <w:tabs>
        <w:tab w:val="center" w:pos="4536"/>
        <w:tab w:val="right" w:pos="9072"/>
      </w:tabs>
    </w:pPr>
  </w:style>
  <w:style w:type="character" w:customStyle="1" w:styleId="HeaderChar">
    <w:name w:val="Header Char"/>
    <w:basedOn w:val="DefaultParagraphFont"/>
    <w:link w:val="Header"/>
    <w:rsid w:val="008C5C46"/>
    <w:rPr>
      <w:rFonts w:ascii="Times New Roman" w:eastAsia="Times New Roman" w:hAnsi="Times New Roman" w:cs="Times New Roman"/>
      <w:sz w:val="24"/>
      <w:szCs w:val="24"/>
      <w:lang w:eastAsia="pl-PL"/>
    </w:rPr>
  </w:style>
  <w:style w:type="paragraph" w:styleId="Footer">
    <w:name w:val="footer"/>
    <w:basedOn w:val="Normal"/>
    <w:link w:val="FooterChar"/>
    <w:rsid w:val="008C5C46"/>
    <w:pPr>
      <w:tabs>
        <w:tab w:val="center" w:pos="4536"/>
        <w:tab w:val="right" w:pos="9072"/>
      </w:tabs>
    </w:pPr>
  </w:style>
  <w:style w:type="character" w:customStyle="1" w:styleId="FooterChar">
    <w:name w:val="Footer Char"/>
    <w:basedOn w:val="DefaultParagraphFont"/>
    <w:link w:val="Footer"/>
    <w:rsid w:val="008C5C46"/>
    <w:rPr>
      <w:rFonts w:ascii="Times New Roman" w:eastAsia="Times New Roman" w:hAnsi="Times New Roman" w:cs="Times New Roman"/>
      <w:sz w:val="24"/>
      <w:szCs w:val="24"/>
      <w:lang w:eastAsia="pl-PL"/>
    </w:rPr>
  </w:style>
  <w:style w:type="character" w:styleId="PageNumber">
    <w:name w:val="page number"/>
    <w:basedOn w:val="DefaultParagraphFont"/>
    <w:rsid w:val="008C5C46"/>
  </w:style>
  <w:style w:type="paragraph" w:styleId="ListParagraph">
    <w:name w:val="List Paragraph"/>
    <w:basedOn w:val="Normal"/>
    <w:uiPriority w:val="34"/>
    <w:qFormat/>
    <w:rsid w:val="00DF1624"/>
    <w:pPr>
      <w:ind w:left="720"/>
      <w:contextualSpacing/>
    </w:pPr>
  </w:style>
  <w:style w:type="paragraph" w:styleId="BalloonText">
    <w:name w:val="Balloon Text"/>
    <w:basedOn w:val="Normal"/>
    <w:link w:val="BalloonTextChar"/>
    <w:uiPriority w:val="99"/>
    <w:semiHidden/>
    <w:unhideWhenUsed/>
    <w:rsid w:val="004356E0"/>
    <w:rPr>
      <w:rFonts w:ascii="Tahoma" w:hAnsi="Tahoma" w:cs="Tahoma"/>
      <w:sz w:val="16"/>
      <w:szCs w:val="16"/>
    </w:rPr>
  </w:style>
  <w:style w:type="character" w:customStyle="1" w:styleId="BalloonTextChar">
    <w:name w:val="Balloon Text Char"/>
    <w:basedOn w:val="DefaultParagraphFont"/>
    <w:link w:val="BalloonText"/>
    <w:uiPriority w:val="99"/>
    <w:semiHidden/>
    <w:rsid w:val="004356E0"/>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979AA-8DE3-4CB0-AD83-0511B60CB9FC}"/>
</file>

<file path=customXml/itemProps2.xml><?xml version="1.0" encoding="utf-8"?>
<ds:datastoreItem xmlns:ds="http://schemas.openxmlformats.org/officeDocument/2006/customXml" ds:itemID="{B2970E38-FEF5-4FDB-ACD6-6D9F4F9EF5C7}"/>
</file>

<file path=customXml/itemProps3.xml><?xml version="1.0" encoding="utf-8"?>
<ds:datastoreItem xmlns:ds="http://schemas.openxmlformats.org/officeDocument/2006/customXml" ds:itemID="{02FD6DCC-CFAB-4344-9D75-8411034823D0}"/>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6016</Characters>
  <Application>Microsoft Office Word</Application>
  <DocSecurity>0</DocSecurity>
  <Lines>50</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Microsoft</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Tarkowska-Martyniak</dc:creator>
  <cp:lastModifiedBy>Juana Sotomayor</cp:lastModifiedBy>
  <cp:revision>2</cp:revision>
  <dcterms:created xsi:type="dcterms:W3CDTF">2015-06-17T08:41:00Z</dcterms:created>
  <dcterms:modified xsi:type="dcterms:W3CDTF">2015-06-17T08:41:00Z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2900700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