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D10" w:rsidRPr="0033279D" w:rsidRDefault="00C31D10" w:rsidP="0033279D">
      <w:pPr>
        <w:jc w:val="center"/>
        <w:rPr>
          <w:rFonts w:ascii="Arial" w:hAnsi="Arial" w:cs="Arial"/>
          <w:iCs/>
        </w:rPr>
      </w:pPr>
      <w:r w:rsidRPr="00C31D10">
        <w:rPr>
          <w:rFonts w:ascii="Arial" w:hAnsi="Arial" w:cs="Arial"/>
          <w:iCs/>
        </w:rPr>
        <w:t>Reply to the questionnaire from the UN Special Rapporteur on adequate housing as a component of the right to an adequate standard of living and on the right to non-</w:t>
      </w:r>
      <w:r w:rsidR="0033279D">
        <w:rPr>
          <w:rFonts w:ascii="Arial" w:hAnsi="Arial" w:cs="Arial"/>
          <w:iCs/>
        </w:rPr>
        <w:t>discrimination in this regard</w:t>
      </w:r>
    </w:p>
    <w:p w:rsidR="00C31D10" w:rsidRDefault="00C31D10" w:rsidP="00AB412A">
      <w:pPr>
        <w:jc w:val="both"/>
        <w:rPr>
          <w:rFonts w:ascii="Arial" w:hAnsi="Arial" w:cs="Arial"/>
          <w:iCs/>
          <w:sz w:val="22"/>
          <w:szCs w:val="22"/>
        </w:rPr>
      </w:pPr>
    </w:p>
    <w:p w:rsidR="00DE05DD" w:rsidRPr="003965B5" w:rsidRDefault="0033279D" w:rsidP="00AB412A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The European Commission against Racism and Intolerance (</w:t>
      </w:r>
      <w:r w:rsidR="00436F2B" w:rsidRPr="003965B5">
        <w:rPr>
          <w:rFonts w:ascii="Arial" w:hAnsi="Arial" w:cs="Arial"/>
          <w:iCs/>
          <w:sz w:val="22"/>
          <w:szCs w:val="22"/>
        </w:rPr>
        <w:t>ECRI</w:t>
      </w:r>
      <w:r>
        <w:rPr>
          <w:rFonts w:ascii="Arial" w:hAnsi="Arial" w:cs="Arial"/>
          <w:iCs/>
          <w:sz w:val="22"/>
          <w:szCs w:val="22"/>
        </w:rPr>
        <w:t>)</w:t>
      </w:r>
      <w:r w:rsidR="00436F2B" w:rsidRPr="003965B5">
        <w:rPr>
          <w:rFonts w:ascii="Arial" w:hAnsi="Arial" w:cs="Arial"/>
          <w:iCs/>
          <w:sz w:val="22"/>
          <w:szCs w:val="22"/>
        </w:rPr>
        <w:t xml:space="preserve"> is a human rights body of the Council of Europe, composed of independent experts, which monitors problems of racism, xenophobia, antisemitism, intolerance and discrimination on grounds such as “race”, national/ethnic origin, colour, citizenship, religion and language (racial discrimination); it prepares reports and issues recommendations to member States.</w:t>
      </w:r>
    </w:p>
    <w:p w:rsidR="00436F2B" w:rsidRPr="003965B5" w:rsidRDefault="00436F2B" w:rsidP="00AB412A">
      <w:pPr>
        <w:jc w:val="both"/>
        <w:rPr>
          <w:rFonts w:ascii="Arial" w:hAnsi="Arial" w:cs="Arial"/>
          <w:iCs/>
          <w:sz w:val="22"/>
          <w:szCs w:val="22"/>
        </w:rPr>
      </w:pPr>
    </w:p>
    <w:p w:rsidR="003965B5" w:rsidRDefault="00436F2B" w:rsidP="00AB412A">
      <w:pPr>
        <w:jc w:val="both"/>
        <w:rPr>
          <w:rFonts w:ascii="Arial" w:hAnsi="Arial" w:cs="Arial"/>
          <w:sz w:val="22"/>
          <w:szCs w:val="22"/>
        </w:rPr>
      </w:pPr>
      <w:r w:rsidRPr="003965B5">
        <w:rPr>
          <w:rFonts w:ascii="Arial" w:hAnsi="Arial" w:cs="Arial"/>
          <w:iCs/>
          <w:sz w:val="22"/>
          <w:szCs w:val="22"/>
        </w:rPr>
        <w:t>During its 4</w:t>
      </w:r>
      <w:r w:rsidRPr="003965B5">
        <w:rPr>
          <w:rFonts w:ascii="Arial" w:hAnsi="Arial" w:cs="Arial"/>
          <w:iCs/>
          <w:sz w:val="22"/>
          <w:szCs w:val="22"/>
          <w:vertAlign w:val="superscript"/>
        </w:rPr>
        <w:t>th</w:t>
      </w:r>
      <w:r w:rsidRPr="003965B5">
        <w:rPr>
          <w:rFonts w:ascii="Arial" w:hAnsi="Arial" w:cs="Arial"/>
          <w:iCs/>
          <w:sz w:val="22"/>
          <w:szCs w:val="22"/>
        </w:rPr>
        <w:t xml:space="preserve"> country monitoring cycle (2007-2013) ECRI monitored equal access to adequate housing</w:t>
      </w:r>
      <w:r w:rsidR="00522EAB" w:rsidRPr="003965B5">
        <w:rPr>
          <w:rFonts w:ascii="Arial" w:hAnsi="Arial" w:cs="Arial"/>
          <w:iCs/>
          <w:sz w:val="22"/>
          <w:szCs w:val="22"/>
        </w:rPr>
        <w:t xml:space="preserve"> as</w:t>
      </w:r>
      <w:r w:rsidR="0033279D">
        <w:rPr>
          <w:rFonts w:ascii="Arial" w:hAnsi="Arial" w:cs="Arial"/>
          <w:iCs/>
          <w:sz w:val="22"/>
          <w:szCs w:val="22"/>
        </w:rPr>
        <w:t xml:space="preserve"> part of its analys</w:t>
      </w:r>
      <w:r w:rsidR="008D36FE">
        <w:rPr>
          <w:rFonts w:ascii="Arial" w:hAnsi="Arial" w:cs="Arial"/>
          <w:iCs/>
          <w:sz w:val="22"/>
          <w:szCs w:val="22"/>
        </w:rPr>
        <w:t>i</w:t>
      </w:r>
      <w:r w:rsidR="0033279D">
        <w:rPr>
          <w:rFonts w:ascii="Arial" w:hAnsi="Arial" w:cs="Arial"/>
          <w:iCs/>
          <w:sz w:val="22"/>
          <w:szCs w:val="22"/>
        </w:rPr>
        <w:t>s of</w:t>
      </w:r>
      <w:r w:rsidR="00522EAB" w:rsidRPr="003965B5">
        <w:rPr>
          <w:rFonts w:ascii="Arial" w:hAnsi="Arial" w:cs="Arial"/>
          <w:iCs/>
          <w:sz w:val="22"/>
          <w:szCs w:val="22"/>
        </w:rPr>
        <w:t xml:space="preserve"> racism and racial discrimination against vulnerable groups (</w:t>
      </w:r>
      <w:r w:rsidR="00A4625B">
        <w:rPr>
          <w:rFonts w:ascii="Arial" w:hAnsi="Arial" w:cs="Arial"/>
          <w:iCs/>
          <w:sz w:val="22"/>
          <w:szCs w:val="22"/>
        </w:rPr>
        <w:t>such as</w:t>
      </w:r>
      <w:r w:rsidR="00522EAB" w:rsidRPr="003965B5">
        <w:rPr>
          <w:rFonts w:ascii="Arial" w:hAnsi="Arial" w:cs="Arial"/>
          <w:iCs/>
          <w:sz w:val="22"/>
          <w:szCs w:val="22"/>
        </w:rPr>
        <w:t xml:space="preserve"> </w:t>
      </w:r>
      <w:r w:rsidR="00522EAB" w:rsidRPr="003965B5">
        <w:rPr>
          <w:rFonts w:ascii="Arial" w:hAnsi="Arial" w:cs="Arial"/>
          <w:sz w:val="22"/>
          <w:szCs w:val="22"/>
        </w:rPr>
        <w:t xml:space="preserve">Roma, migrants, refugees and asylum seekers, members of Black and Jewish communities, </w:t>
      </w:r>
      <w:r w:rsidR="008D36FE" w:rsidRPr="003965B5">
        <w:rPr>
          <w:rFonts w:ascii="Arial" w:hAnsi="Arial" w:cs="Arial"/>
          <w:sz w:val="22"/>
          <w:szCs w:val="22"/>
        </w:rPr>
        <w:t>Muslims</w:t>
      </w:r>
      <w:r w:rsidR="008D36FE">
        <w:rPr>
          <w:rFonts w:ascii="Arial" w:hAnsi="Arial" w:cs="Arial"/>
          <w:sz w:val="22"/>
          <w:szCs w:val="22"/>
        </w:rPr>
        <w:t>,</w:t>
      </w:r>
      <w:r w:rsidR="008D36FE" w:rsidRPr="003965B5">
        <w:rPr>
          <w:rFonts w:ascii="Arial" w:hAnsi="Arial" w:cs="Arial"/>
          <w:sz w:val="22"/>
          <w:szCs w:val="22"/>
        </w:rPr>
        <w:t xml:space="preserve"> </w:t>
      </w:r>
      <w:r w:rsidR="00522EAB" w:rsidRPr="003965B5">
        <w:rPr>
          <w:rFonts w:ascii="Arial" w:hAnsi="Arial" w:cs="Arial"/>
          <w:sz w:val="22"/>
          <w:szCs w:val="22"/>
        </w:rPr>
        <w:t>as well as other religious minorities</w:t>
      </w:r>
      <w:r w:rsidR="00C454AE">
        <w:rPr>
          <w:rFonts w:ascii="Arial" w:hAnsi="Arial" w:cs="Arial"/>
          <w:sz w:val="22"/>
          <w:szCs w:val="22"/>
        </w:rPr>
        <w:t xml:space="preserve">). </w:t>
      </w:r>
      <w:r w:rsidR="00DD5010">
        <w:rPr>
          <w:rFonts w:ascii="Arial" w:hAnsi="Arial" w:cs="Arial"/>
          <w:sz w:val="22"/>
          <w:szCs w:val="22"/>
        </w:rPr>
        <w:t>See here below t</w:t>
      </w:r>
      <w:r w:rsidR="00C454AE">
        <w:rPr>
          <w:rFonts w:ascii="Arial" w:hAnsi="Arial" w:cs="Arial"/>
          <w:sz w:val="22"/>
          <w:szCs w:val="22"/>
        </w:rPr>
        <w:t>wo examples of ECRI</w:t>
      </w:r>
      <w:r w:rsidR="00DD5010">
        <w:rPr>
          <w:rFonts w:ascii="Arial" w:hAnsi="Arial" w:cs="Arial"/>
          <w:sz w:val="22"/>
          <w:szCs w:val="22"/>
        </w:rPr>
        <w:t xml:space="preserve"> </w:t>
      </w:r>
      <w:r w:rsidR="006A1769">
        <w:rPr>
          <w:rFonts w:ascii="Arial" w:hAnsi="Arial" w:cs="Arial"/>
          <w:sz w:val="22"/>
          <w:szCs w:val="22"/>
        </w:rPr>
        <w:t xml:space="preserve">monitoring </w:t>
      </w:r>
      <w:r w:rsidR="00DD5010">
        <w:rPr>
          <w:rFonts w:ascii="Arial" w:hAnsi="Arial" w:cs="Arial"/>
          <w:sz w:val="22"/>
          <w:szCs w:val="22"/>
        </w:rPr>
        <w:t>findings</w:t>
      </w:r>
      <w:r w:rsidR="00C454AE">
        <w:rPr>
          <w:rFonts w:ascii="Arial" w:hAnsi="Arial" w:cs="Arial"/>
          <w:sz w:val="22"/>
          <w:szCs w:val="22"/>
        </w:rPr>
        <w:t>.</w:t>
      </w:r>
    </w:p>
    <w:p w:rsidR="003965B5" w:rsidRDefault="003965B5" w:rsidP="00AB412A">
      <w:pPr>
        <w:jc w:val="both"/>
        <w:rPr>
          <w:rFonts w:ascii="Arial" w:hAnsi="Arial" w:cs="Arial"/>
          <w:sz w:val="22"/>
          <w:szCs w:val="22"/>
        </w:rPr>
      </w:pPr>
    </w:p>
    <w:p w:rsidR="00305A02" w:rsidRPr="0033279D" w:rsidRDefault="00632AD7" w:rsidP="0033279D">
      <w:pPr>
        <w:jc w:val="both"/>
        <w:rPr>
          <w:rFonts w:ascii="Arial" w:hAnsi="Arial" w:cs="Arial"/>
          <w:sz w:val="22"/>
          <w:szCs w:val="22"/>
        </w:rPr>
      </w:pPr>
      <w:r w:rsidRPr="00FB7FD7">
        <w:rPr>
          <w:rFonts w:ascii="Arial" w:hAnsi="Arial" w:cs="Arial"/>
          <w:b/>
          <w:sz w:val="22"/>
          <w:szCs w:val="22"/>
        </w:rPr>
        <w:t>A</w:t>
      </w:r>
      <w:r w:rsidR="00AF10B8" w:rsidRPr="00FB7FD7">
        <w:rPr>
          <w:rFonts w:ascii="Arial" w:hAnsi="Arial" w:cs="Arial"/>
          <w:b/>
          <w:sz w:val="22"/>
          <w:szCs w:val="22"/>
        </w:rPr>
        <w:t xml:space="preserve">dequate housing </w:t>
      </w:r>
      <w:r w:rsidR="003A3F09" w:rsidRPr="00FB7FD7">
        <w:rPr>
          <w:rFonts w:ascii="Arial" w:hAnsi="Arial" w:cs="Arial"/>
          <w:b/>
          <w:sz w:val="22"/>
          <w:szCs w:val="22"/>
        </w:rPr>
        <w:t xml:space="preserve">for </w:t>
      </w:r>
      <w:r w:rsidR="00DB3202" w:rsidRPr="00FB7FD7">
        <w:rPr>
          <w:rFonts w:ascii="Arial" w:hAnsi="Arial" w:cs="Arial"/>
          <w:b/>
          <w:sz w:val="22"/>
          <w:szCs w:val="22"/>
        </w:rPr>
        <w:t>m</w:t>
      </w:r>
      <w:r w:rsidR="00AF10B8" w:rsidRPr="00FB7FD7">
        <w:rPr>
          <w:rFonts w:ascii="Arial" w:hAnsi="Arial" w:cs="Arial"/>
          <w:b/>
          <w:sz w:val="22"/>
          <w:szCs w:val="22"/>
        </w:rPr>
        <w:t>igrants</w:t>
      </w:r>
      <w:r w:rsidR="003A3F09" w:rsidRPr="0033279D">
        <w:rPr>
          <w:rFonts w:ascii="Arial" w:hAnsi="Arial" w:cs="Arial"/>
          <w:sz w:val="22"/>
          <w:szCs w:val="22"/>
        </w:rPr>
        <w:t>:</w:t>
      </w:r>
      <w:r w:rsidR="0033279D" w:rsidRPr="0033279D">
        <w:rPr>
          <w:rFonts w:ascii="Arial" w:hAnsi="Arial" w:cs="Arial"/>
          <w:sz w:val="22"/>
          <w:szCs w:val="22"/>
        </w:rPr>
        <w:t xml:space="preserve"> </w:t>
      </w:r>
      <w:r w:rsidR="003A3F09" w:rsidRPr="0033279D">
        <w:rPr>
          <w:rFonts w:ascii="Arial" w:hAnsi="Arial" w:cs="Arial"/>
          <w:sz w:val="22"/>
          <w:szCs w:val="22"/>
          <w:u w:val="single"/>
        </w:rPr>
        <w:t>In its 4</w:t>
      </w:r>
      <w:r w:rsidR="003A3F09" w:rsidRPr="0033279D">
        <w:rPr>
          <w:rFonts w:ascii="Arial" w:hAnsi="Arial" w:cs="Arial"/>
          <w:sz w:val="22"/>
          <w:szCs w:val="22"/>
          <w:u w:val="single"/>
          <w:vertAlign w:val="superscript"/>
        </w:rPr>
        <w:t>th</w:t>
      </w:r>
      <w:r w:rsidR="003A3F09" w:rsidRPr="0033279D">
        <w:rPr>
          <w:rFonts w:ascii="Arial" w:hAnsi="Arial" w:cs="Arial"/>
          <w:sz w:val="22"/>
          <w:szCs w:val="22"/>
          <w:u w:val="single"/>
        </w:rPr>
        <w:t xml:space="preserve"> monitoring report on the </w:t>
      </w:r>
      <w:r w:rsidR="003A3F09" w:rsidRPr="0033279D">
        <w:rPr>
          <w:rFonts w:ascii="Arial" w:hAnsi="Arial" w:cs="Arial"/>
          <w:b/>
          <w:sz w:val="22"/>
          <w:szCs w:val="22"/>
          <w:u w:val="single"/>
        </w:rPr>
        <w:t>Netherlands</w:t>
      </w:r>
      <w:r w:rsidR="00B37726" w:rsidRPr="0033279D">
        <w:rPr>
          <w:rFonts w:ascii="Arial" w:hAnsi="Arial" w:cs="Arial"/>
          <w:sz w:val="22"/>
          <w:szCs w:val="22"/>
        </w:rPr>
        <w:t xml:space="preserve"> (2013</w:t>
      </w:r>
      <w:r w:rsidR="00305A02" w:rsidRPr="0033279D">
        <w:rPr>
          <w:rFonts w:ascii="Arial" w:hAnsi="Arial" w:cs="Arial"/>
          <w:sz w:val="22"/>
          <w:szCs w:val="22"/>
        </w:rPr>
        <w:t xml:space="preserve">) </w:t>
      </w:r>
      <w:r w:rsidR="003A3F09" w:rsidRPr="0033279D">
        <w:rPr>
          <w:rFonts w:ascii="Arial" w:hAnsi="Arial" w:cs="Arial"/>
          <w:sz w:val="22"/>
          <w:szCs w:val="22"/>
        </w:rPr>
        <w:t>ECRI found that “Eastern European workers” were living “in a ghetto-like environment”</w:t>
      </w:r>
      <w:r w:rsidR="00305A02" w:rsidRPr="0033279D">
        <w:rPr>
          <w:rFonts w:ascii="Arial" w:hAnsi="Arial" w:cs="Arial"/>
          <w:sz w:val="22"/>
          <w:szCs w:val="22"/>
        </w:rPr>
        <w:t xml:space="preserve"> and “were offered by temporary employment agencies </w:t>
      </w:r>
      <w:r w:rsidR="003A3F09" w:rsidRPr="0033279D">
        <w:rPr>
          <w:rFonts w:ascii="Arial" w:hAnsi="Arial" w:cs="Arial"/>
          <w:sz w:val="22"/>
          <w:szCs w:val="22"/>
        </w:rPr>
        <w:t>“old abandoned buildings”</w:t>
      </w:r>
      <w:r w:rsidR="00305A02" w:rsidRPr="0033279D">
        <w:rPr>
          <w:rFonts w:ascii="Arial" w:hAnsi="Arial" w:cs="Arial"/>
          <w:sz w:val="22"/>
          <w:szCs w:val="22"/>
        </w:rPr>
        <w:t xml:space="preserve"> </w:t>
      </w:r>
      <w:r w:rsidR="003A3F09" w:rsidRPr="0033279D">
        <w:rPr>
          <w:rFonts w:ascii="Arial" w:hAnsi="Arial" w:cs="Arial"/>
          <w:sz w:val="22"/>
          <w:szCs w:val="22"/>
        </w:rPr>
        <w:t xml:space="preserve"> “with poor sanitary conditions”</w:t>
      </w:r>
      <w:r w:rsidR="00305A02" w:rsidRPr="0033279D">
        <w:rPr>
          <w:rFonts w:ascii="Arial" w:hAnsi="Arial" w:cs="Arial"/>
          <w:sz w:val="22"/>
          <w:szCs w:val="22"/>
        </w:rPr>
        <w:t xml:space="preserve">. ECRI recommended that </w:t>
      </w:r>
      <w:r w:rsidR="00C31D10" w:rsidRPr="0033279D">
        <w:rPr>
          <w:rFonts w:ascii="Arial" w:hAnsi="Arial" w:cs="Arial"/>
          <w:sz w:val="22"/>
          <w:szCs w:val="22"/>
        </w:rPr>
        <w:t>“</w:t>
      </w:r>
      <w:r w:rsidR="00305A02" w:rsidRPr="0033279D">
        <w:rPr>
          <w:rFonts w:ascii="Arial" w:hAnsi="Arial" w:cs="Arial"/>
          <w:sz w:val="22"/>
          <w:szCs w:val="22"/>
        </w:rPr>
        <w:t>housing regulations are complied with as concerns the accommodation offered to Eastern European temporary workers and that they carry out inspections in this respect”</w:t>
      </w:r>
      <w:r w:rsidR="0033279D">
        <w:rPr>
          <w:rFonts w:ascii="Arial" w:hAnsi="Arial" w:cs="Arial"/>
          <w:sz w:val="22"/>
          <w:szCs w:val="22"/>
        </w:rPr>
        <w:t>. (P</w:t>
      </w:r>
      <w:r w:rsidR="00D10108" w:rsidRPr="0033279D">
        <w:rPr>
          <w:rFonts w:ascii="Arial" w:hAnsi="Arial" w:cs="Arial"/>
          <w:sz w:val="22"/>
          <w:szCs w:val="22"/>
        </w:rPr>
        <w:t xml:space="preserve">aragraphs </w:t>
      </w:r>
      <w:r w:rsidR="00FB7FD7">
        <w:rPr>
          <w:rFonts w:ascii="Arial" w:hAnsi="Arial" w:cs="Arial"/>
          <w:sz w:val="22"/>
          <w:szCs w:val="22"/>
        </w:rPr>
        <w:t>90-91)</w:t>
      </w:r>
    </w:p>
    <w:p w:rsidR="00632AD7" w:rsidRPr="0033279D" w:rsidRDefault="00632AD7" w:rsidP="00305A02">
      <w:pPr>
        <w:pStyle w:val="Default"/>
        <w:jc w:val="both"/>
        <w:rPr>
          <w:sz w:val="22"/>
          <w:szCs w:val="22"/>
        </w:rPr>
      </w:pPr>
    </w:p>
    <w:p w:rsidR="003A3F09" w:rsidRPr="0033279D" w:rsidRDefault="00DB3202" w:rsidP="003917BA">
      <w:pPr>
        <w:pStyle w:val="Default"/>
        <w:jc w:val="both"/>
        <w:rPr>
          <w:sz w:val="22"/>
          <w:szCs w:val="22"/>
        </w:rPr>
      </w:pPr>
      <w:r w:rsidRPr="00FB7FD7">
        <w:rPr>
          <w:b/>
          <w:sz w:val="22"/>
          <w:szCs w:val="22"/>
        </w:rPr>
        <w:t>Decent accommodation for Roma</w:t>
      </w:r>
      <w:r w:rsidR="00B37726" w:rsidRPr="0033279D">
        <w:rPr>
          <w:sz w:val="22"/>
          <w:szCs w:val="22"/>
        </w:rPr>
        <w:t>:</w:t>
      </w:r>
      <w:r w:rsidR="0033279D" w:rsidRPr="0033279D">
        <w:rPr>
          <w:sz w:val="22"/>
          <w:szCs w:val="22"/>
        </w:rPr>
        <w:t xml:space="preserve"> </w:t>
      </w:r>
      <w:r w:rsidR="00D10108" w:rsidRPr="0033279D">
        <w:rPr>
          <w:sz w:val="22"/>
          <w:szCs w:val="22"/>
        </w:rPr>
        <w:t xml:space="preserve">In </w:t>
      </w:r>
      <w:r w:rsidR="009A162B">
        <w:rPr>
          <w:sz w:val="22"/>
          <w:szCs w:val="22"/>
        </w:rPr>
        <w:t>its</w:t>
      </w:r>
      <w:r w:rsidR="009A162B" w:rsidRPr="0033279D">
        <w:rPr>
          <w:sz w:val="22"/>
          <w:szCs w:val="22"/>
        </w:rPr>
        <w:t xml:space="preserve"> </w:t>
      </w:r>
      <w:r w:rsidR="00B37726" w:rsidRPr="0033279D">
        <w:rPr>
          <w:sz w:val="22"/>
          <w:szCs w:val="22"/>
          <w:u w:val="single"/>
        </w:rPr>
        <w:t>C</w:t>
      </w:r>
      <w:r w:rsidR="00D10108" w:rsidRPr="0033279D">
        <w:rPr>
          <w:sz w:val="22"/>
          <w:szCs w:val="22"/>
          <w:u w:val="single"/>
        </w:rPr>
        <w:t>onclusion</w:t>
      </w:r>
      <w:r w:rsidR="009A162B">
        <w:rPr>
          <w:sz w:val="22"/>
          <w:szCs w:val="22"/>
          <w:u w:val="single"/>
        </w:rPr>
        <w:t>s</w:t>
      </w:r>
      <w:r w:rsidR="00D10108" w:rsidRPr="0033279D">
        <w:rPr>
          <w:sz w:val="22"/>
          <w:szCs w:val="22"/>
          <w:u w:val="single"/>
        </w:rPr>
        <w:t xml:space="preserve"> on the implementation of a number of recommendations made in its previous report</w:t>
      </w:r>
      <w:r w:rsidR="00B37726" w:rsidRPr="0033279D">
        <w:rPr>
          <w:sz w:val="22"/>
          <w:szCs w:val="22"/>
          <w:u w:val="single"/>
        </w:rPr>
        <w:t xml:space="preserve"> on </w:t>
      </w:r>
      <w:r w:rsidR="00B37726" w:rsidRPr="0033279D">
        <w:rPr>
          <w:b/>
          <w:sz w:val="22"/>
          <w:szCs w:val="22"/>
          <w:u w:val="single"/>
        </w:rPr>
        <w:t>Italy</w:t>
      </w:r>
      <w:r w:rsidR="00B37726" w:rsidRPr="0033279D">
        <w:rPr>
          <w:sz w:val="22"/>
          <w:szCs w:val="22"/>
        </w:rPr>
        <w:t xml:space="preserve"> (2015)</w:t>
      </w:r>
      <w:r w:rsidR="00D10108" w:rsidRPr="0033279D">
        <w:rPr>
          <w:sz w:val="22"/>
          <w:szCs w:val="22"/>
        </w:rPr>
        <w:t xml:space="preserve">, ECRI found that the </w:t>
      </w:r>
      <w:r w:rsidR="00632AD7" w:rsidRPr="0033279D">
        <w:rPr>
          <w:sz w:val="22"/>
          <w:szCs w:val="22"/>
        </w:rPr>
        <w:t>process in wh</w:t>
      </w:r>
      <w:r w:rsidR="00B37726" w:rsidRPr="0033279D">
        <w:rPr>
          <w:sz w:val="22"/>
          <w:szCs w:val="22"/>
        </w:rPr>
        <w:t>ich the Italian authorities dealt</w:t>
      </w:r>
      <w:r w:rsidR="00632AD7" w:rsidRPr="0033279D">
        <w:rPr>
          <w:sz w:val="22"/>
          <w:szCs w:val="22"/>
        </w:rPr>
        <w:t xml:space="preserve"> with Roma c</w:t>
      </w:r>
      <w:r w:rsidR="00D10108" w:rsidRPr="0033279D">
        <w:rPr>
          <w:sz w:val="22"/>
          <w:szCs w:val="22"/>
        </w:rPr>
        <w:t xml:space="preserve">ommunities” </w:t>
      </w:r>
      <w:r w:rsidR="0033279D" w:rsidRPr="0033279D">
        <w:rPr>
          <w:sz w:val="22"/>
          <w:szCs w:val="22"/>
        </w:rPr>
        <w:t>had</w:t>
      </w:r>
      <w:r w:rsidR="00D10108" w:rsidRPr="0033279D">
        <w:rPr>
          <w:sz w:val="22"/>
          <w:szCs w:val="22"/>
        </w:rPr>
        <w:t xml:space="preserve"> “</w:t>
      </w:r>
      <w:r w:rsidR="00632AD7" w:rsidRPr="0033279D">
        <w:rPr>
          <w:sz w:val="22"/>
          <w:szCs w:val="22"/>
        </w:rPr>
        <w:t>not yet fully ensure</w:t>
      </w:r>
      <w:r w:rsidR="0033279D" w:rsidRPr="0033279D">
        <w:rPr>
          <w:sz w:val="22"/>
          <w:szCs w:val="22"/>
        </w:rPr>
        <w:t>d</w:t>
      </w:r>
      <w:r w:rsidR="00632AD7" w:rsidRPr="0033279D">
        <w:rPr>
          <w:sz w:val="22"/>
          <w:szCs w:val="22"/>
        </w:rPr>
        <w:t xml:space="preserve"> that all the Roma who may b</w:t>
      </w:r>
      <w:r w:rsidR="0033279D" w:rsidRPr="0033279D">
        <w:rPr>
          <w:sz w:val="22"/>
          <w:szCs w:val="22"/>
        </w:rPr>
        <w:t xml:space="preserve">e evicted from their homes </w:t>
      </w:r>
      <w:r w:rsidR="00632AD7" w:rsidRPr="0033279D">
        <w:rPr>
          <w:sz w:val="22"/>
          <w:szCs w:val="22"/>
        </w:rPr>
        <w:t>enjoy the guar</w:t>
      </w:r>
      <w:r w:rsidR="00D10108" w:rsidRPr="0033279D">
        <w:rPr>
          <w:sz w:val="22"/>
          <w:szCs w:val="22"/>
        </w:rPr>
        <w:t xml:space="preserve">antees needed” </w:t>
      </w:r>
      <w:r w:rsidR="00B37726" w:rsidRPr="0033279D">
        <w:rPr>
          <w:sz w:val="22"/>
          <w:szCs w:val="22"/>
        </w:rPr>
        <w:t xml:space="preserve">including </w:t>
      </w:r>
      <w:r w:rsidR="00B37726" w:rsidRPr="0033279D">
        <w:rPr>
          <w:iCs/>
          <w:sz w:val="22"/>
          <w:szCs w:val="22"/>
        </w:rPr>
        <w:t xml:space="preserve">the possibility of being rehoused in decent accommodation </w:t>
      </w:r>
      <w:r w:rsidR="0033279D">
        <w:rPr>
          <w:iCs/>
          <w:sz w:val="22"/>
          <w:szCs w:val="22"/>
        </w:rPr>
        <w:t>(pp</w:t>
      </w:r>
      <w:r w:rsidR="00B37726" w:rsidRPr="0033279D">
        <w:rPr>
          <w:iCs/>
          <w:sz w:val="22"/>
          <w:szCs w:val="22"/>
        </w:rPr>
        <w:t xml:space="preserve"> 6-7).</w:t>
      </w:r>
    </w:p>
    <w:p w:rsidR="00AF10B8" w:rsidRPr="0033279D" w:rsidRDefault="00AF10B8" w:rsidP="00AB412A">
      <w:pPr>
        <w:jc w:val="both"/>
        <w:rPr>
          <w:rFonts w:ascii="Arial" w:hAnsi="Arial" w:cs="Arial"/>
          <w:sz w:val="22"/>
          <w:szCs w:val="22"/>
        </w:rPr>
      </w:pPr>
    </w:p>
    <w:p w:rsidR="00AB412A" w:rsidRPr="0033279D" w:rsidRDefault="00B37726" w:rsidP="00AB412A">
      <w:pPr>
        <w:jc w:val="both"/>
        <w:rPr>
          <w:rFonts w:ascii="Arial" w:hAnsi="Arial" w:cs="Arial"/>
          <w:iCs/>
          <w:sz w:val="22"/>
          <w:szCs w:val="22"/>
        </w:rPr>
      </w:pPr>
      <w:r w:rsidRPr="0033279D">
        <w:rPr>
          <w:rFonts w:ascii="Arial" w:hAnsi="Arial" w:cs="Arial"/>
          <w:sz w:val="22"/>
          <w:szCs w:val="22"/>
        </w:rPr>
        <w:t xml:space="preserve">Under </w:t>
      </w:r>
      <w:r w:rsidR="003965B5" w:rsidRPr="0033279D">
        <w:rPr>
          <w:rFonts w:ascii="Arial" w:hAnsi="Arial" w:cs="Arial"/>
          <w:sz w:val="22"/>
          <w:szCs w:val="22"/>
        </w:rPr>
        <w:t xml:space="preserve">the ongoing </w:t>
      </w:r>
      <w:r w:rsidR="00AB412A" w:rsidRPr="0033279D">
        <w:rPr>
          <w:rFonts w:ascii="Arial" w:hAnsi="Arial" w:cs="Arial"/>
          <w:sz w:val="22"/>
          <w:szCs w:val="22"/>
        </w:rPr>
        <w:t>5</w:t>
      </w:r>
      <w:r w:rsidR="00AB412A" w:rsidRPr="0033279D">
        <w:rPr>
          <w:rFonts w:ascii="Arial" w:hAnsi="Arial" w:cs="Arial"/>
          <w:sz w:val="22"/>
          <w:szCs w:val="22"/>
          <w:vertAlign w:val="superscript"/>
        </w:rPr>
        <w:t>th</w:t>
      </w:r>
      <w:r w:rsidR="00AB412A" w:rsidRPr="0033279D">
        <w:rPr>
          <w:rFonts w:ascii="Arial" w:hAnsi="Arial" w:cs="Arial"/>
          <w:sz w:val="22"/>
          <w:szCs w:val="22"/>
        </w:rPr>
        <w:t xml:space="preserve"> </w:t>
      </w:r>
      <w:r w:rsidR="003965B5" w:rsidRPr="0033279D">
        <w:rPr>
          <w:rFonts w:ascii="Arial" w:hAnsi="Arial" w:cs="Arial"/>
          <w:sz w:val="22"/>
          <w:szCs w:val="22"/>
        </w:rPr>
        <w:t>country monitoring cycle</w:t>
      </w:r>
      <w:r w:rsidR="00522EAB" w:rsidRPr="0033279D">
        <w:rPr>
          <w:rFonts w:ascii="Arial" w:hAnsi="Arial" w:cs="Arial"/>
          <w:sz w:val="22"/>
          <w:szCs w:val="22"/>
        </w:rPr>
        <w:t xml:space="preserve"> </w:t>
      </w:r>
      <w:r w:rsidR="00A52CB5">
        <w:rPr>
          <w:rFonts w:ascii="Arial" w:hAnsi="Arial" w:cs="Arial"/>
          <w:sz w:val="22"/>
          <w:szCs w:val="22"/>
        </w:rPr>
        <w:t>(2014-2019</w:t>
      </w:r>
      <w:r w:rsidR="003965B5" w:rsidRPr="0033279D">
        <w:rPr>
          <w:rFonts w:ascii="Arial" w:hAnsi="Arial" w:cs="Arial"/>
          <w:sz w:val="22"/>
          <w:szCs w:val="22"/>
        </w:rPr>
        <w:t>) ECRI analyses</w:t>
      </w:r>
      <w:r w:rsidR="00AB412A" w:rsidRPr="0033279D">
        <w:rPr>
          <w:rFonts w:ascii="Arial" w:hAnsi="Arial" w:cs="Arial"/>
          <w:sz w:val="22"/>
          <w:szCs w:val="22"/>
        </w:rPr>
        <w:t xml:space="preserve"> equal access to adequate housing as part of</w:t>
      </w:r>
      <w:r w:rsidR="003965B5" w:rsidRPr="0033279D">
        <w:rPr>
          <w:rFonts w:ascii="Arial" w:hAnsi="Arial" w:cs="Arial"/>
          <w:sz w:val="22"/>
          <w:szCs w:val="22"/>
        </w:rPr>
        <w:t xml:space="preserve"> its review of national integration measures</w:t>
      </w:r>
      <w:r w:rsidR="00DD5010">
        <w:rPr>
          <w:rFonts w:ascii="Arial" w:hAnsi="Arial" w:cs="Arial"/>
          <w:sz w:val="22"/>
          <w:szCs w:val="22"/>
        </w:rPr>
        <w:t>. See below an example</w:t>
      </w:r>
      <w:r w:rsidR="006A1769">
        <w:rPr>
          <w:rFonts w:ascii="Arial" w:hAnsi="Arial" w:cs="Arial"/>
          <w:sz w:val="22"/>
          <w:szCs w:val="22"/>
        </w:rPr>
        <w:t xml:space="preserve"> of ECRI monitoring findings</w:t>
      </w:r>
      <w:r w:rsidR="003965B5" w:rsidRPr="0033279D">
        <w:rPr>
          <w:rFonts w:ascii="Arial" w:hAnsi="Arial" w:cs="Arial"/>
          <w:sz w:val="22"/>
          <w:szCs w:val="22"/>
        </w:rPr>
        <w:t xml:space="preserve">.  </w:t>
      </w:r>
      <w:r w:rsidR="00436F2B" w:rsidRPr="0033279D">
        <w:rPr>
          <w:rFonts w:ascii="Arial" w:hAnsi="Arial" w:cs="Arial"/>
          <w:iCs/>
          <w:sz w:val="22"/>
          <w:szCs w:val="22"/>
        </w:rPr>
        <w:t xml:space="preserve"> </w:t>
      </w:r>
    </w:p>
    <w:p w:rsidR="00AB412A" w:rsidRPr="0033279D" w:rsidRDefault="00AB412A" w:rsidP="00AB412A">
      <w:pPr>
        <w:jc w:val="both"/>
        <w:rPr>
          <w:rFonts w:ascii="Arial" w:hAnsi="Arial" w:cs="Arial"/>
          <w:iCs/>
          <w:sz w:val="22"/>
          <w:szCs w:val="22"/>
        </w:rPr>
      </w:pPr>
    </w:p>
    <w:p w:rsidR="00E776B9" w:rsidRPr="0033279D" w:rsidRDefault="00C31D10" w:rsidP="0033279D">
      <w:pPr>
        <w:jc w:val="both"/>
        <w:rPr>
          <w:rFonts w:ascii="Arial" w:hAnsi="Arial" w:cs="Arial"/>
          <w:iCs/>
          <w:sz w:val="22"/>
          <w:szCs w:val="22"/>
        </w:rPr>
      </w:pPr>
      <w:r w:rsidRPr="00FB7FD7">
        <w:rPr>
          <w:rFonts w:ascii="Arial" w:hAnsi="Arial" w:cs="Arial"/>
          <w:b/>
          <w:iCs/>
          <w:sz w:val="22"/>
          <w:szCs w:val="22"/>
        </w:rPr>
        <w:t xml:space="preserve">Access to housing for </w:t>
      </w:r>
      <w:r w:rsidR="00E776B9" w:rsidRPr="00FB7FD7">
        <w:rPr>
          <w:rFonts w:ascii="Arial" w:hAnsi="Arial" w:cs="Arial"/>
          <w:b/>
          <w:iCs/>
          <w:sz w:val="22"/>
          <w:szCs w:val="22"/>
        </w:rPr>
        <w:t>irregular migrants</w:t>
      </w:r>
      <w:r w:rsidR="00E776B9" w:rsidRPr="0033279D">
        <w:rPr>
          <w:rFonts w:ascii="Arial" w:hAnsi="Arial" w:cs="Arial"/>
          <w:iCs/>
          <w:sz w:val="22"/>
          <w:szCs w:val="22"/>
        </w:rPr>
        <w:t>:</w:t>
      </w:r>
      <w:r w:rsidR="0033279D" w:rsidRPr="0033279D">
        <w:rPr>
          <w:rFonts w:ascii="Arial" w:hAnsi="Arial" w:cs="Arial"/>
          <w:iCs/>
          <w:sz w:val="22"/>
          <w:szCs w:val="22"/>
        </w:rPr>
        <w:t xml:space="preserve"> </w:t>
      </w:r>
      <w:r w:rsidR="00E776B9" w:rsidRPr="0033279D">
        <w:rPr>
          <w:rFonts w:ascii="Arial" w:hAnsi="Arial" w:cs="Arial"/>
          <w:sz w:val="22"/>
          <w:szCs w:val="22"/>
          <w:u w:val="single"/>
        </w:rPr>
        <w:t>In its 5</w:t>
      </w:r>
      <w:r w:rsidR="00E776B9" w:rsidRPr="0033279D">
        <w:rPr>
          <w:rFonts w:ascii="Arial" w:hAnsi="Arial" w:cs="Arial"/>
          <w:sz w:val="22"/>
          <w:szCs w:val="22"/>
          <w:u w:val="single"/>
          <w:vertAlign w:val="superscript"/>
        </w:rPr>
        <w:t>th</w:t>
      </w:r>
      <w:r w:rsidR="00E776B9" w:rsidRPr="0033279D">
        <w:rPr>
          <w:rFonts w:ascii="Arial" w:hAnsi="Arial" w:cs="Arial"/>
          <w:sz w:val="22"/>
          <w:szCs w:val="22"/>
          <w:u w:val="single"/>
        </w:rPr>
        <w:t xml:space="preserve"> monitoring report on Greece </w:t>
      </w:r>
      <w:r w:rsidR="00E776B9" w:rsidRPr="0033279D">
        <w:rPr>
          <w:rFonts w:ascii="Arial" w:hAnsi="Arial" w:cs="Arial"/>
          <w:sz w:val="22"/>
          <w:szCs w:val="22"/>
        </w:rPr>
        <w:t>(2015) ECRI found that “</w:t>
      </w:r>
      <w:r w:rsidR="0033279D" w:rsidRPr="0033279D">
        <w:rPr>
          <w:rFonts w:ascii="Arial" w:hAnsi="Arial" w:cs="Arial"/>
          <w:sz w:val="22"/>
          <w:szCs w:val="22"/>
        </w:rPr>
        <w:t>i</w:t>
      </w:r>
      <w:r w:rsidR="00E776B9" w:rsidRPr="0033279D">
        <w:rPr>
          <w:rFonts w:ascii="Arial" w:hAnsi="Arial" w:cs="Arial"/>
          <w:sz w:val="22"/>
          <w:szCs w:val="22"/>
        </w:rPr>
        <w:t>rregular migrants, if not detained, are left to fend for themselves, without any social protection..”</w:t>
      </w:r>
      <w:r w:rsidR="00FB7FD7">
        <w:rPr>
          <w:rFonts w:ascii="Arial" w:hAnsi="Arial" w:cs="Arial"/>
          <w:sz w:val="22"/>
          <w:szCs w:val="22"/>
        </w:rPr>
        <w:t>.</w:t>
      </w:r>
      <w:r w:rsidR="00E776B9" w:rsidRPr="0033279D">
        <w:rPr>
          <w:rFonts w:ascii="Arial" w:hAnsi="Arial" w:cs="Arial"/>
          <w:sz w:val="22"/>
          <w:szCs w:val="22"/>
        </w:rPr>
        <w:t xml:space="preserve"> “Many have resorted to squatting in abandoned houses and derelict apartment buildings in inner-city Athens”.  “ECRI was informed that providing housing to irregular migrants is illegal and persons or organisations doing so can face prosecution.</w:t>
      </w:r>
      <w:r w:rsidRPr="0033279D">
        <w:rPr>
          <w:rFonts w:ascii="Arial" w:hAnsi="Arial" w:cs="Arial"/>
          <w:sz w:val="22"/>
          <w:szCs w:val="22"/>
        </w:rPr>
        <w:t xml:space="preserve"> </w:t>
      </w:r>
      <w:r w:rsidR="00E776B9" w:rsidRPr="0033279D">
        <w:rPr>
          <w:rFonts w:ascii="Arial" w:hAnsi="Arial" w:cs="Arial"/>
          <w:sz w:val="22"/>
          <w:szCs w:val="22"/>
        </w:rPr>
        <w:t>This leads to a situation in which charitable organisations, which would be prepared to offer some form of accommodation to irregular migrants are prevented from doing so</w:t>
      </w:r>
      <w:r w:rsidRPr="0033279D">
        <w:rPr>
          <w:rFonts w:ascii="Arial" w:hAnsi="Arial" w:cs="Arial"/>
          <w:sz w:val="22"/>
          <w:szCs w:val="22"/>
        </w:rPr>
        <w:t>”</w:t>
      </w:r>
      <w:r w:rsidR="00E776B9" w:rsidRPr="0033279D">
        <w:rPr>
          <w:rFonts w:ascii="Arial" w:hAnsi="Arial" w:cs="Arial"/>
          <w:sz w:val="22"/>
          <w:szCs w:val="22"/>
        </w:rPr>
        <w:t xml:space="preserve">. </w:t>
      </w:r>
      <w:r w:rsidRPr="0033279D">
        <w:rPr>
          <w:rFonts w:ascii="Arial" w:hAnsi="Arial" w:cs="Arial"/>
          <w:sz w:val="22"/>
          <w:szCs w:val="22"/>
        </w:rPr>
        <w:t>ECRI recommended</w:t>
      </w:r>
      <w:r w:rsidR="00E776B9" w:rsidRPr="0033279D">
        <w:rPr>
          <w:rFonts w:ascii="Arial" w:hAnsi="Arial" w:cs="Arial"/>
          <w:sz w:val="22"/>
          <w:szCs w:val="22"/>
        </w:rPr>
        <w:t xml:space="preserve"> </w:t>
      </w:r>
      <w:r w:rsidRPr="0033279D">
        <w:rPr>
          <w:rFonts w:ascii="Arial" w:hAnsi="Arial" w:cs="Arial"/>
          <w:sz w:val="22"/>
          <w:szCs w:val="22"/>
        </w:rPr>
        <w:t>“</w:t>
      </w:r>
      <w:r w:rsidR="00E776B9" w:rsidRPr="0033279D">
        <w:rPr>
          <w:rFonts w:ascii="Arial" w:hAnsi="Arial" w:cs="Arial"/>
          <w:sz w:val="22"/>
          <w:szCs w:val="22"/>
        </w:rPr>
        <w:t>that the authorities de-criminalise the provision of accommodation to irregular migrants in order to enable charitable organisations to provide assistance to irregular migrants who suffer from homelessness</w:t>
      </w:r>
      <w:r w:rsidRPr="0033279D">
        <w:rPr>
          <w:rFonts w:ascii="Arial" w:hAnsi="Arial" w:cs="Arial"/>
          <w:sz w:val="22"/>
          <w:szCs w:val="22"/>
        </w:rPr>
        <w:t>”</w:t>
      </w:r>
      <w:r w:rsidR="00E776B9" w:rsidRPr="0033279D">
        <w:rPr>
          <w:rFonts w:ascii="Arial" w:hAnsi="Arial" w:cs="Arial"/>
          <w:sz w:val="22"/>
          <w:szCs w:val="22"/>
        </w:rPr>
        <w:t>.</w:t>
      </w:r>
      <w:r w:rsidRPr="0033279D">
        <w:rPr>
          <w:rFonts w:ascii="Arial" w:hAnsi="Arial" w:cs="Arial"/>
          <w:sz w:val="22"/>
          <w:szCs w:val="22"/>
        </w:rPr>
        <w:t xml:space="preserve"> </w:t>
      </w:r>
      <w:r w:rsidR="00E776B9" w:rsidRPr="0033279D">
        <w:rPr>
          <w:rFonts w:ascii="Arial" w:hAnsi="Arial" w:cs="Arial"/>
          <w:sz w:val="22"/>
          <w:szCs w:val="22"/>
        </w:rPr>
        <w:t xml:space="preserve"> </w:t>
      </w:r>
      <w:r w:rsidR="0033279D" w:rsidRPr="0033279D">
        <w:rPr>
          <w:rFonts w:ascii="Arial" w:hAnsi="Arial" w:cs="Arial"/>
          <w:sz w:val="22"/>
          <w:szCs w:val="22"/>
        </w:rPr>
        <w:t>(Paragraphs</w:t>
      </w:r>
      <w:r w:rsidR="00FB7FD7">
        <w:rPr>
          <w:rFonts w:ascii="Arial" w:hAnsi="Arial" w:cs="Arial"/>
          <w:sz w:val="22"/>
          <w:szCs w:val="22"/>
        </w:rPr>
        <w:t xml:space="preserve"> 137-139)</w:t>
      </w:r>
    </w:p>
    <w:p w:rsidR="0033279D" w:rsidRDefault="0033279D" w:rsidP="00C31D10">
      <w:pPr>
        <w:pStyle w:val="Default"/>
        <w:jc w:val="both"/>
        <w:rPr>
          <w:sz w:val="22"/>
          <w:szCs w:val="22"/>
        </w:rPr>
      </w:pPr>
    </w:p>
    <w:p w:rsidR="0033279D" w:rsidRDefault="0033279D" w:rsidP="00FB7F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For more examples of ECRI monitoring finding</w:t>
      </w:r>
      <w:r w:rsidR="009A162B">
        <w:rPr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 w:rsidR="00FB7FD7">
        <w:rPr>
          <w:sz w:val="22"/>
          <w:szCs w:val="22"/>
        </w:rPr>
        <w:t xml:space="preserve">see: </w:t>
      </w:r>
      <w:hyperlink r:id="rId5" w:history="1">
        <w:r w:rsidR="00FB7FD7" w:rsidRPr="00B062A6">
          <w:rPr>
            <w:rStyle w:val="Hyperlink"/>
            <w:sz w:val="22"/>
            <w:szCs w:val="22"/>
          </w:rPr>
          <w:t>http://www.coe.int/t/dghl/monitoring/ecri/activities/countrybycountry_en.asp</w:t>
        </w:r>
      </w:hyperlink>
      <w:r w:rsidR="00FB7FD7">
        <w:rPr>
          <w:sz w:val="22"/>
          <w:szCs w:val="22"/>
        </w:rPr>
        <w:t xml:space="preserve"> </w:t>
      </w:r>
    </w:p>
    <w:p w:rsidR="00AB412A" w:rsidRPr="00D80D5E" w:rsidRDefault="00AB412A" w:rsidP="00D80D5E">
      <w:pPr>
        <w:jc w:val="both"/>
        <w:rPr>
          <w:rFonts w:ascii="Arial" w:hAnsi="Arial" w:cs="Arial"/>
          <w:iCs/>
          <w:sz w:val="22"/>
          <w:szCs w:val="22"/>
        </w:rPr>
      </w:pPr>
      <w:bookmarkStart w:id="0" w:name="_GoBack"/>
      <w:bookmarkEnd w:id="0"/>
    </w:p>
    <w:sectPr w:rsidR="00AB412A" w:rsidRPr="00D80D5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F2B"/>
    <w:rsid w:val="00070D5C"/>
    <w:rsid w:val="00104632"/>
    <w:rsid w:val="00305A02"/>
    <w:rsid w:val="0033279D"/>
    <w:rsid w:val="00342C76"/>
    <w:rsid w:val="003917BA"/>
    <w:rsid w:val="003965B5"/>
    <w:rsid w:val="003A3F09"/>
    <w:rsid w:val="00436F2B"/>
    <w:rsid w:val="00522EAB"/>
    <w:rsid w:val="0055641F"/>
    <w:rsid w:val="00632AD7"/>
    <w:rsid w:val="006A1769"/>
    <w:rsid w:val="0071634C"/>
    <w:rsid w:val="008D36FE"/>
    <w:rsid w:val="009A162B"/>
    <w:rsid w:val="00A4625B"/>
    <w:rsid w:val="00A52CB5"/>
    <w:rsid w:val="00A82A13"/>
    <w:rsid w:val="00AB412A"/>
    <w:rsid w:val="00AF10B8"/>
    <w:rsid w:val="00B37726"/>
    <w:rsid w:val="00C2525B"/>
    <w:rsid w:val="00C27550"/>
    <w:rsid w:val="00C31D10"/>
    <w:rsid w:val="00C454AE"/>
    <w:rsid w:val="00D10108"/>
    <w:rsid w:val="00D80D5E"/>
    <w:rsid w:val="00DB3202"/>
    <w:rsid w:val="00DD5010"/>
    <w:rsid w:val="00DE05DD"/>
    <w:rsid w:val="00E776B9"/>
    <w:rsid w:val="00FB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3F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FB7FD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8D36F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36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D36F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D36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36FE"/>
    <w:rPr>
      <w:b/>
      <w:bCs/>
      <w:lang w:eastAsia="en-US"/>
    </w:rPr>
  </w:style>
  <w:style w:type="paragraph" w:styleId="Revision">
    <w:name w:val="Revision"/>
    <w:hidden/>
    <w:uiPriority w:val="99"/>
    <w:semiHidden/>
    <w:rsid w:val="008D36FE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8D36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36F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3F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FB7FD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8D36F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36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D36F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D36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36FE"/>
    <w:rPr>
      <w:b/>
      <w:bCs/>
      <w:lang w:eastAsia="en-US"/>
    </w:rPr>
  </w:style>
  <w:style w:type="paragraph" w:styleId="Revision">
    <w:name w:val="Revision"/>
    <w:hidden/>
    <w:uiPriority w:val="99"/>
    <w:semiHidden/>
    <w:rsid w:val="008D36FE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8D36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36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e.int/t/dghl/monitoring/ecri/activities/countrybycountry_en.asp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4A77C5-131F-4F19-BBD4-24EE0A5B1AF5}"/>
</file>

<file path=customXml/itemProps2.xml><?xml version="1.0" encoding="utf-8"?>
<ds:datastoreItem xmlns:ds="http://schemas.openxmlformats.org/officeDocument/2006/customXml" ds:itemID="{D5B230EE-4BE0-4F54-8454-32764D286C4C}"/>
</file>

<file path=customXml/itemProps3.xml><?xml version="1.0" encoding="utf-8"?>
<ds:datastoreItem xmlns:ds="http://schemas.openxmlformats.org/officeDocument/2006/customXml" ds:itemID="{66A6B759-70F0-4190-B0E5-D1DA1D3887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 Stefano</dc:creator>
  <cp:lastModifiedBy>Maya Rasmussen</cp:lastModifiedBy>
  <cp:revision>4</cp:revision>
  <cp:lastPrinted>2015-09-29T15:56:00Z</cp:lastPrinted>
  <dcterms:created xsi:type="dcterms:W3CDTF">2015-09-30T15:56:00Z</dcterms:created>
  <dcterms:modified xsi:type="dcterms:W3CDTF">2015-09-30T15:58:00Z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3216500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