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855" w:rsidRPr="003843B4" w:rsidRDefault="00DE5855" w:rsidP="00DE5855">
      <w:pPr>
        <w:jc w:val="center"/>
        <w:rPr>
          <w:b/>
          <w:sz w:val="32"/>
          <w:lang w:val="es-EC"/>
        </w:rPr>
      </w:pPr>
      <w:r w:rsidRPr="003843B4">
        <w:rPr>
          <w:b/>
          <w:sz w:val="32"/>
          <w:lang w:val="es-EC"/>
        </w:rPr>
        <w:t>Cuestionario</w:t>
      </w:r>
    </w:p>
    <w:p w:rsidR="00DE5855" w:rsidRPr="001264EF" w:rsidRDefault="00DE5855" w:rsidP="00DE5855">
      <w:pPr>
        <w:jc w:val="center"/>
        <w:rPr>
          <w:b/>
          <w:sz w:val="28"/>
          <w:szCs w:val="24"/>
          <w:lang w:val="es-EC"/>
        </w:rPr>
      </w:pPr>
      <w:r>
        <w:rPr>
          <w:b/>
          <w:sz w:val="28"/>
          <w:szCs w:val="24"/>
          <w:lang w:val="es-EC"/>
        </w:rPr>
        <w:t>El a</w:t>
      </w:r>
      <w:r w:rsidRPr="001264EF">
        <w:rPr>
          <w:b/>
          <w:sz w:val="28"/>
          <w:szCs w:val="24"/>
          <w:lang w:val="es-EC"/>
        </w:rPr>
        <w:t xml:space="preserve">cceso a la </w:t>
      </w:r>
      <w:r>
        <w:rPr>
          <w:b/>
          <w:sz w:val="28"/>
          <w:szCs w:val="24"/>
          <w:lang w:val="es-EC"/>
        </w:rPr>
        <w:t>j</w:t>
      </w:r>
      <w:r w:rsidRPr="001264EF">
        <w:rPr>
          <w:b/>
          <w:sz w:val="28"/>
          <w:szCs w:val="24"/>
          <w:lang w:val="es-EC"/>
        </w:rPr>
        <w:t xml:space="preserve">usticia </w:t>
      </w:r>
      <w:r>
        <w:rPr>
          <w:b/>
          <w:sz w:val="28"/>
          <w:szCs w:val="24"/>
          <w:lang w:val="es-EC"/>
        </w:rPr>
        <w:t>para la realización d</w:t>
      </w:r>
      <w:r w:rsidRPr="001264EF">
        <w:rPr>
          <w:b/>
          <w:sz w:val="28"/>
          <w:szCs w:val="24"/>
          <w:lang w:val="es-EC"/>
        </w:rPr>
        <w:t>el Derecho a la Vivienda</w:t>
      </w:r>
    </w:p>
    <w:p w:rsidR="00DE5855" w:rsidRPr="001264EF" w:rsidRDefault="00DE5855" w:rsidP="00DE5855">
      <w:pPr>
        <w:rPr>
          <w:color w:val="000000"/>
          <w:sz w:val="24"/>
          <w:szCs w:val="24"/>
          <w:lang w:val="es-ES"/>
        </w:rPr>
      </w:pPr>
    </w:p>
    <w:p w:rsidR="00DE5855" w:rsidRPr="001264EF" w:rsidRDefault="00DE5855" w:rsidP="00DE5855">
      <w:pPr>
        <w:jc w:val="both"/>
        <w:rPr>
          <w:color w:val="000000"/>
          <w:sz w:val="24"/>
          <w:szCs w:val="24"/>
          <w:lang w:val="es-ES"/>
        </w:rPr>
      </w:pPr>
      <w:r w:rsidRPr="001264EF">
        <w:rPr>
          <w:color w:val="000000"/>
          <w:sz w:val="24"/>
          <w:szCs w:val="24"/>
          <w:lang w:val="es-ES"/>
        </w:rPr>
        <w:t>1.</w:t>
      </w:r>
      <w:r w:rsidRPr="001264EF">
        <w:rPr>
          <w:color w:val="000000"/>
          <w:sz w:val="24"/>
          <w:szCs w:val="24"/>
          <w:lang w:val="es-ES"/>
        </w:rPr>
        <w:tab/>
        <w:t>¿Están los siguientes componentes del derecho a la vivienda sujetos a audiencias y recursos efectivos ante los juzgados y/o tribunales de su país? En caso afirmativo, explique qué ley proporciona esta protección, quién tiene derecho a presentar las reclamaciones y qué juzgado o tribunal puede juzgar la reclamación. Proporcione un caso como ejemplo y explique brevemente de qu</w:t>
      </w:r>
      <w:r>
        <w:rPr>
          <w:color w:val="000000"/>
          <w:sz w:val="24"/>
          <w:szCs w:val="24"/>
          <w:lang w:val="es-ES"/>
        </w:rPr>
        <w:t>é</w:t>
      </w:r>
      <w:r w:rsidRPr="001264EF">
        <w:rPr>
          <w:color w:val="000000"/>
          <w:sz w:val="24"/>
          <w:szCs w:val="24"/>
          <w:lang w:val="es-ES"/>
        </w:rPr>
        <w:t xml:space="preserve"> manera esto proporciona una protección avanzada del derecho a la vivienda.</w:t>
      </w:r>
    </w:p>
    <w:p w:rsidR="00DE5855" w:rsidRPr="001264EF" w:rsidRDefault="00DE5855" w:rsidP="00DE5855">
      <w:pPr>
        <w:jc w:val="both"/>
        <w:rPr>
          <w:color w:val="000000"/>
          <w:sz w:val="24"/>
          <w:szCs w:val="24"/>
          <w:lang w:val="es-ES"/>
        </w:rPr>
      </w:pPr>
    </w:p>
    <w:p w:rsidR="00DE5855" w:rsidRPr="001264EF" w:rsidRDefault="00DE5855" w:rsidP="00DE5855">
      <w:pPr>
        <w:spacing w:after="120"/>
        <w:jc w:val="both"/>
        <w:rPr>
          <w:color w:val="000000"/>
          <w:sz w:val="24"/>
          <w:szCs w:val="24"/>
          <w:lang w:val="es-ES"/>
        </w:rPr>
      </w:pPr>
      <w:r w:rsidRPr="001264EF">
        <w:rPr>
          <w:color w:val="000000"/>
          <w:sz w:val="24"/>
          <w:szCs w:val="24"/>
          <w:lang w:val="es-ES"/>
        </w:rPr>
        <w:t>a)</w:t>
      </w:r>
      <w:r w:rsidRPr="001264EF">
        <w:rPr>
          <w:color w:val="000000"/>
          <w:sz w:val="24"/>
          <w:szCs w:val="24"/>
          <w:lang w:val="es-ES"/>
        </w:rPr>
        <w:tab/>
        <w:t>No-discriminación (incluyendo alojamiento adaptado para personas con discapacidad) S</w:t>
      </w:r>
      <w:r>
        <w:rPr>
          <w:color w:val="000000"/>
          <w:sz w:val="24"/>
          <w:szCs w:val="24"/>
          <w:lang w:val="es-ES"/>
        </w:rPr>
        <w:t>í</w:t>
      </w:r>
      <w:r w:rsidRPr="001264EF">
        <w:rPr>
          <w:color w:val="000000"/>
          <w:sz w:val="24"/>
          <w:szCs w:val="24"/>
          <w:lang w:val="es-ES"/>
        </w:rPr>
        <w:t>/No</w:t>
      </w:r>
    </w:p>
    <w:p w:rsidR="00DE5855" w:rsidRPr="001264EF" w:rsidRDefault="00DE5855" w:rsidP="00DE5855">
      <w:pPr>
        <w:spacing w:after="120"/>
        <w:jc w:val="both"/>
        <w:rPr>
          <w:color w:val="000000"/>
          <w:sz w:val="24"/>
          <w:szCs w:val="24"/>
          <w:lang w:val="es-ES"/>
        </w:rPr>
      </w:pPr>
      <w:r w:rsidRPr="001264EF">
        <w:rPr>
          <w:color w:val="000000"/>
          <w:sz w:val="24"/>
          <w:szCs w:val="24"/>
          <w:lang w:val="es-ES"/>
        </w:rPr>
        <w:t>b)</w:t>
      </w:r>
      <w:r w:rsidRPr="001264EF">
        <w:rPr>
          <w:color w:val="000000"/>
          <w:sz w:val="24"/>
          <w:szCs w:val="24"/>
          <w:lang w:val="es-ES"/>
        </w:rPr>
        <w:tab/>
        <w:t>Seguridad de tenencia (incluida la prohibición de desalojo sin alternativa de vivienda apropiada) S</w:t>
      </w:r>
      <w:r>
        <w:rPr>
          <w:color w:val="000000"/>
          <w:sz w:val="24"/>
          <w:szCs w:val="24"/>
          <w:lang w:val="es-ES"/>
        </w:rPr>
        <w:t>í</w:t>
      </w:r>
      <w:r w:rsidRPr="001264EF">
        <w:rPr>
          <w:color w:val="000000"/>
          <w:sz w:val="24"/>
          <w:szCs w:val="24"/>
          <w:lang w:val="es-ES"/>
        </w:rPr>
        <w:t>/No</w:t>
      </w:r>
    </w:p>
    <w:p w:rsidR="00DE5855" w:rsidRPr="001264EF" w:rsidRDefault="00DE5855" w:rsidP="00DE5855">
      <w:pPr>
        <w:spacing w:after="120"/>
        <w:jc w:val="both"/>
        <w:rPr>
          <w:color w:val="000000"/>
          <w:sz w:val="24"/>
          <w:szCs w:val="24"/>
          <w:lang w:val="es-ES"/>
        </w:rPr>
      </w:pPr>
      <w:r w:rsidRPr="001264EF">
        <w:rPr>
          <w:color w:val="000000"/>
          <w:sz w:val="24"/>
          <w:szCs w:val="24"/>
          <w:lang w:val="es-ES"/>
        </w:rPr>
        <w:t>c)</w:t>
      </w:r>
      <w:r w:rsidRPr="001264EF">
        <w:rPr>
          <w:color w:val="000000"/>
          <w:sz w:val="24"/>
          <w:szCs w:val="24"/>
          <w:lang w:val="es-ES"/>
        </w:rPr>
        <w:tab/>
        <w:t>Normas de adecuación (habitabilidad, acceso al agua, saneamiento, servicios, salud y seguridad, etc.) S</w:t>
      </w:r>
      <w:r>
        <w:rPr>
          <w:color w:val="000000"/>
          <w:sz w:val="24"/>
          <w:szCs w:val="24"/>
          <w:lang w:val="es-ES"/>
        </w:rPr>
        <w:t>í</w:t>
      </w:r>
      <w:r w:rsidRPr="001264EF">
        <w:rPr>
          <w:color w:val="000000"/>
          <w:sz w:val="24"/>
          <w:szCs w:val="24"/>
          <w:lang w:val="es-ES"/>
        </w:rPr>
        <w:t>/No</w:t>
      </w:r>
    </w:p>
    <w:p w:rsidR="00DE5855" w:rsidRPr="001264EF" w:rsidRDefault="00DE5855" w:rsidP="00DE5855">
      <w:pPr>
        <w:spacing w:after="120"/>
        <w:jc w:val="both"/>
        <w:rPr>
          <w:color w:val="000000"/>
          <w:sz w:val="24"/>
          <w:szCs w:val="24"/>
          <w:lang w:val="es-ES"/>
        </w:rPr>
      </w:pPr>
      <w:r w:rsidRPr="001264EF">
        <w:rPr>
          <w:color w:val="000000"/>
          <w:sz w:val="24"/>
          <w:szCs w:val="24"/>
          <w:lang w:val="es-ES"/>
        </w:rPr>
        <w:t>d)</w:t>
      </w:r>
      <w:r w:rsidRPr="001264EF">
        <w:rPr>
          <w:color w:val="000000"/>
          <w:sz w:val="24"/>
          <w:szCs w:val="24"/>
          <w:lang w:val="es-ES"/>
        </w:rPr>
        <w:tab/>
        <w:t>No-retroceso (revisión del efecto de los recortes de programas, eliminación de protecciones jurídicas o medidas de austeridad sobre el derecho a la vivienda) S</w:t>
      </w:r>
      <w:r>
        <w:rPr>
          <w:color w:val="000000"/>
          <w:sz w:val="24"/>
          <w:szCs w:val="24"/>
          <w:lang w:val="es-ES"/>
        </w:rPr>
        <w:t>í</w:t>
      </w:r>
      <w:r w:rsidRPr="001264EF">
        <w:rPr>
          <w:color w:val="000000"/>
          <w:sz w:val="24"/>
          <w:szCs w:val="24"/>
          <w:lang w:val="es-ES"/>
        </w:rPr>
        <w:t>/No</w:t>
      </w:r>
    </w:p>
    <w:p w:rsidR="00DE5855" w:rsidRPr="001264EF" w:rsidRDefault="00DE5855" w:rsidP="00DE5855">
      <w:pPr>
        <w:spacing w:after="120"/>
        <w:jc w:val="both"/>
        <w:rPr>
          <w:color w:val="000000"/>
          <w:sz w:val="24"/>
          <w:szCs w:val="24"/>
          <w:lang w:val="es-ES"/>
        </w:rPr>
      </w:pPr>
      <w:r w:rsidRPr="001264EF">
        <w:rPr>
          <w:color w:val="000000"/>
          <w:sz w:val="24"/>
          <w:szCs w:val="24"/>
          <w:lang w:val="es-ES"/>
        </w:rPr>
        <w:t>e)</w:t>
      </w:r>
      <w:r w:rsidRPr="001264EF">
        <w:rPr>
          <w:color w:val="000000"/>
          <w:sz w:val="24"/>
          <w:szCs w:val="24"/>
          <w:lang w:val="es-ES"/>
        </w:rPr>
        <w:tab/>
        <w:t>Realización progresiva - (obligación de tomar medidas razonables, establecer y cumplir metas y cronogramas, dar prioridad a los más desfavorecidos, asignar los máximos recursos disponibles, etc.) S</w:t>
      </w:r>
      <w:r>
        <w:rPr>
          <w:color w:val="000000"/>
          <w:sz w:val="24"/>
          <w:szCs w:val="24"/>
          <w:lang w:val="es-ES"/>
        </w:rPr>
        <w:t>í</w:t>
      </w:r>
      <w:r w:rsidRPr="001264EF">
        <w:rPr>
          <w:color w:val="000000"/>
          <w:sz w:val="24"/>
          <w:szCs w:val="24"/>
          <w:lang w:val="es-ES"/>
        </w:rPr>
        <w:t>/No</w:t>
      </w:r>
    </w:p>
    <w:p w:rsidR="00DE5855" w:rsidRPr="001264EF" w:rsidRDefault="00DE5855" w:rsidP="00DE5855">
      <w:pPr>
        <w:jc w:val="both"/>
        <w:rPr>
          <w:color w:val="000000"/>
          <w:sz w:val="24"/>
          <w:szCs w:val="24"/>
          <w:lang w:val="es-ES"/>
        </w:rPr>
      </w:pPr>
    </w:p>
    <w:p w:rsidR="00DE5855" w:rsidRPr="001264EF" w:rsidRDefault="00DE5855" w:rsidP="00DE5855">
      <w:pPr>
        <w:jc w:val="both"/>
        <w:rPr>
          <w:color w:val="000000"/>
          <w:sz w:val="24"/>
          <w:szCs w:val="24"/>
          <w:lang w:val="es-ES"/>
        </w:rPr>
      </w:pPr>
      <w:r w:rsidRPr="001264EF">
        <w:rPr>
          <w:color w:val="000000"/>
          <w:sz w:val="24"/>
          <w:szCs w:val="24"/>
          <w:lang w:val="es-ES"/>
        </w:rPr>
        <w:t>2.</w:t>
      </w:r>
      <w:r w:rsidRPr="001264EF">
        <w:rPr>
          <w:color w:val="000000"/>
          <w:sz w:val="24"/>
          <w:szCs w:val="24"/>
          <w:lang w:val="es-ES"/>
        </w:rPr>
        <w:tab/>
        <w:t xml:space="preserve">¿Qué medidas se han tomado o están previstas para mejorar el acceso a la justicia en relación con el derecho a la vivienda? Incluya, cuando corresponda, medidas relacionadas con i) educación de abogados, defensores y posibles demandantes de derechos; ii) barreras a las que se enfrentan las mujeres y otros grupos; iii) el acceso a representación legal; iv) hacer que las audiencias y otros procedimientos sean más accesibles y menos intimidantes o costosos; v) abordar más eficazmente los problemas sistémicos; y vi) asegurar la </w:t>
      </w:r>
      <w:r>
        <w:rPr>
          <w:color w:val="000000"/>
          <w:sz w:val="24"/>
          <w:szCs w:val="24"/>
          <w:lang w:val="es-ES"/>
        </w:rPr>
        <w:t>implementación de las medidas correctivas</w:t>
      </w:r>
      <w:r w:rsidRPr="001264EF">
        <w:rPr>
          <w:color w:val="000000"/>
          <w:sz w:val="24"/>
          <w:szCs w:val="24"/>
          <w:lang w:val="es-ES"/>
        </w:rPr>
        <w:t>.</w:t>
      </w:r>
    </w:p>
    <w:p w:rsidR="00DE5855" w:rsidRPr="001264EF" w:rsidRDefault="00DE5855" w:rsidP="00DE5855">
      <w:pPr>
        <w:jc w:val="both"/>
        <w:rPr>
          <w:color w:val="000000"/>
          <w:sz w:val="24"/>
          <w:szCs w:val="24"/>
          <w:lang w:val="es-ES"/>
        </w:rPr>
      </w:pPr>
    </w:p>
    <w:p w:rsidR="00DE5855" w:rsidRPr="001264EF" w:rsidRDefault="00DE5855" w:rsidP="00DE5855">
      <w:pPr>
        <w:jc w:val="both"/>
        <w:rPr>
          <w:color w:val="000000"/>
          <w:sz w:val="24"/>
          <w:szCs w:val="24"/>
          <w:lang w:val="es-ES"/>
        </w:rPr>
      </w:pPr>
      <w:r w:rsidRPr="001264EF">
        <w:rPr>
          <w:color w:val="000000"/>
          <w:sz w:val="24"/>
          <w:szCs w:val="24"/>
          <w:lang w:val="es-ES"/>
        </w:rPr>
        <w:t>3.</w:t>
      </w:r>
      <w:r w:rsidRPr="001264EF">
        <w:rPr>
          <w:color w:val="000000"/>
          <w:sz w:val="24"/>
          <w:szCs w:val="24"/>
          <w:lang w:val="es-ES"/>
        </w:rPr>
        <w:tab/>
        <w:t>Identifique dónde se sitúa la responsabilidad de educar y capacitar a los jueces y a los responsables de la toma de decisiones administrativas con respecto a sus obligaciones internacionales en materia de derechos humanos. ¿Qué medidas se han tomado para garantizar que las leyes nacionales se interpreten en la medida de lo posible para proporcionar recursos efectivos para ejercer el derecho a la vivienda?</w:t>
      </w:r>
    </w:p>
    <w:p w:rsidR="00DE5855" w:rsidRPr="001264EF" w:rsidRDefault="00DE5855" w:rsidP="00DE5855">
      <w:pPr>
        <w:jc w:val="both"/>
        <w:rPr>
          <w:color w:val="000000"/>
          <w:sz w:val="24"/>
          <w:szCs w:val="24"/>
          <w:lang w:val="es-ES"/>
        </w:rPr>
      </w:pPr>
    </w:p>
    <w:p w:rsidR="00DE5855" w:rsidRPr="001264EF" w:rsidRDefault="00DE5855" w:rsidP="00DE5855">
      <w:pPr>
        <w:jc w:val="both"/>
        <w:rPr>
          <w:color w:val="000000"/>
          <w:sz w:val="24"/>
          <w:szCs w:val="24"/>
          <w:lang w:val="es-ES"/>
        </w:rPr>
      </w:pPr>
      <w:r w:rsidRPr="001264EF">
        <w:rPr>
          <w:color w:val="000000"/>
          <w:sz w:val="24"/>
          <w:szCs w:val="24"/>
          <w:lang w:val="es-ES"/>
        </w:rPr>
        <w:t>4.</w:t>
      </w:r>
      <w:r w:rsidRPr="001264EF">
        <w:rPr>
          <w:color w:val="000000"/>
          <w:sz w:val="24"/>
          <w:szCs w:val="24"/>
          <w:lang w:val="es-ES"/>
        </w:rPr>
        <w:tab/>
        <w:t>¿Conoce ejemplos en su país de iniciativas comunitarias para proporcionar audiencias y recursos para ejercer el derecho a la vivienda fuera de los procesos judiciales formales? ¿Cómo han sido apoyados y cuán</w:t>
      </w:r>
      <w:r>
        <w:rPr>
          <w:color w:val="000000"/>
          <w:sz w:val="24"/>
          <w:szCs w:val="24"/>
          <w:lang w:val="es-ES"/>
        </w:rPr>
        <w:t>to</w:t>
      </w:r>
      <w:r w:rsidRPr="001264EF">
        <w:rPr>
          <w:color w:val="000000"/>
          <w:sz w:val="24"/>
          <w:szCs w:val="24"/>
          <w:lang w:val="es-ES"/>
        </w:rPr>
        <w:t xml:space="preserve"> efectivos han sido? ¿Funcionan a nivel nacional o </w:t>
      </w:r>
      <w:proofErr w:type="spellStart"/>
      <w:r w:rsidRPr="001264EF">
        <w:rPr>
          <w:color w:val="000000"/>
          <w:sz w:val="24"/>
          <w:szCs w:val="24"/>
          <w:lang w:val="es-ES"/>
        </w:rPr>
        <w:t>subnacional</w:t>
      </w:r>
      <w:proofErr w:type="spellEnd"/>
      <w:r w:rsidRPr="001264EF">
        <w:rPr>
          <w:color w:val="000000"/>
          <w:sz w:val="24"/>
          <w:szCs w:val="24"/>
          <w:lang w:val="es-ES"/>
        </w:rPr>
        <w:t>, y las decisiones crean precedentes en los que otros pueden confiar?</w:t>
      </w:r>
    </w:p>
    <w:p w:rsidR="00DE5855" w:rsidRPr="001264EF" w:rsidRDefault="00DE5855" w:rsidP="00DE5855">
      <w:pPr>
        <w:jc w:val="both"/>
        <w:rPr>
          <w:color w:val="000000"/>
          <w:sz w:val="24"/>
          <w:szCs w:val="24"/>
          <w:lang w:val="es-ES"/>
        </w:rPr>
      </w:pPr>
    </w:p>
    <w:p w:rsidR="00DE5855" w:rsidRDefault="00DE5855" w:rsidP="00DE5855">
      <w:pPr>
        <w:jc w:val="both"/>
        <w:rPr>
          <w:color w:val="000000"/>
          <w:sz w:val="24"/>
          <w:szCs w:val="24"/>
          <w:lang w:val="es-ES"/>
        </w:rPr>
      </w:pPr>
      <w:r w:rsidRPr="001264EF">
        <w:rPr>
          <w:color w:val="000000"/>
          <w:sz w:val="24"/>
          <w:szCs w:val="24"/>
          <w:lang w:val="es-ES"/>
        </w:rPr>
        <w:t>5.</w:t>
      </w:r>
      <w:r w:rsidRPr="001264EF">
        <w:rPr>
          <w:color w:val="000000"/>
          <w:sz w:val="24"/>
          <w:szCs w:val="24"/>
          <w:lang w:val="es-ES"/>
        </w:rPr>
        <w:tab/>
        <w:t>¿Qué papel juega su Institución Nacional de Derechos Humanos para garantizar el acceso a la justicia en relación con el derecho a la vivienda? ¿Hay otros órganos de derechos humanos que desempeñan un papel en este sentido, como los defensores del pueblo?</w:t>
      </w:r>
    </w:p>
    <w:p w:rsidR="00DE5855" w:rsidRDefault="00DE5855" w:rsidP="00DE5855">
      <w:pPr>
        <w:jc w:val="both"/>
        <w:rPr>
          <w:color w:val="000000"/>
          <w:sz w:val="24"/>
          <w:szCs w:val="24"/>
          <w:lang w:val="es-ES"/>
        </w:rPr>
      </w:pPr>
    </w:p>
    <w:p w:rsidR="00DE5855" w:rsidRDefault="00DE5855" w:rsidP="00DE5855">
      <w:pPr>
        <w:jc w:val="both"/>
        <w:rPr>
          <w:sz w:val="24"/>
          <w:szCs w:val="24"/>
        </w:rPr>
      </w:pPr>
      <w:r>
        <w:rPr>
          <w:sz w:val="24"/>
          <w:szCs w:val="24"/>
        </w:rPr>
        <w:t>----------------------------------------------------------------------------------------------------------</w:t>
      </w:r>
    </w:p>
    <w:p w:rsidR="00DE5855" w:rsidRPr="00C2724D" w:rsidRDefault="00DE5855" w:rsidP="00DE5855">
      <w:pPr>
        <w:jc w:val="both"/>
        <w:rPr>
          <w:sz w:val="24"/>
          <w:szCs w:val="24"/>
          <w:lang w:val="es-ES"/>
        </w:rPr>
      </w:pPr>
    </w:p>
    <w:p w:rsidR="00DE5855" w:rsidRPr="00C2724D" w:rsidRDefault="00DE5855" w:rsidP="00DE5855">
      <w:pPr>
        <w:jc w:val="both"/>
        <w:rPr>
          <w:sz w:val="24"/>
          <w:szCs w:val="24"/>
          <w:lang w:val="es-ES"/>
        </w:rPr>
      </w:pPr>
      <w:r w:rsidRPr="00C2724D">
        <w:rPr>
          <w:sz w:val="24"/>
          <w:szCs w:val="24"/>
          <w:lang w:val="es-ES"/>
        </w:rPr>
        <w:lastRenderedPageBreak/>
        <w:t>E</w:t>
      </w:r>
      <w:r>
        <w:rPr>
          <w:sz w:val="24"/>
          <w:szCs w:val="24"/>
          <w:lang w:val="es-ES"/>
        </w:rPr>
        <w:t>l informe será presentado durante la 40ª sesión del Consejo de Derechos Humanos en marzo</w:t>
      </w:r>
      <w:r w:rsidRPr="00C2724D">
        <w:rPr>
          <w:sz w:val="24"/>
          <w:szCs w:val="24"/>
          <w:lang w:val="es-ES"/>
        </w:rPr>
        <w:t xml:space="preserve"> de 2018. </w:t>
      </w:r>
      <w:r>
        <w:rPr>
          <w:sz w:val="24"/>
          <w:szCs w:val="24"/>
          <w:lang w:val="es-ES"/>
        </w:rPr>
        <w:t>La Relatora Especial</w:t>
      </w:r>
      <w:r w:rsidRPr="00C2724D">
        <w:rPr>
          <w:sz w:val="24"/>
          <w:szCs w:val="24"/>
          <w:lang w:val="es-ES"/>
        </w:rPr>
        <w:t xml:space="preserve"> sobre el derecho a una vivienda adecuada agradece las respuestas y </w:t>
      </w:r>
      <w:r>
        <w:rPr>
          <w:sz w:val="24"/>
          <w:szCs w:val="24"/>
          <w:lang w:val="es-ES"/>
        </w:rPr>
        <w:t>el envío</w:t>
      </w:r>
      <w:r w:rsidRPr="00C2724D">
        <w:rPr>
          <w:sz w:val="24"/>
          <w:szCs w:val="24"/>
          <w:lang w:val="es-ES"/>
        </w:rPr>
        <w:t xml:space="preserve"> de informes o estudios pertinentes a más </w:t>
      </w:r>
      <w:r>
        <w:rPr>
          <w:sz w:val="24"/>
          <w:szCs w:val="24"/>
          <w:lang w:val="es-ES"/>
        </w:rPr>
        <w:t>tardar el 17</w:t>
      </w:r>
      <w:r w:rsidRPr="00C2724D">
        <w:rPr>
          <w:sz w:val="24"/>
          <w:szCs w:val="24"/>
          <w:lang w:val="es-ES"/>
        </w:rPr>
        <w:t xml:space="preserve"> de </w:t>
      </w:r>
      <w:r>
        <w:rPr>
          <w:sz w:val="24"/>
          <w:szCs w:val="24"/>
          <w:lang w:val="es-ES"/>
        </w:rPr>
        <w:t>noviembre</w:t>
      </w:r>
      <w:r w:rsidRPr="00C2724D">
        <w:rPr>
          <w:sz w:val="24"/>
          <w:szCs w:val="24"/>
          <w:lang w:val="es-ES"/>
        </w:rPr>
        <w:t xml:space="preserve"> de 2018. Las </w:t>
      </w:r>
      <w:r>
        <w:rPr>
          <w:sz w:val="24"/>
          <w:szCs w:val="24"/>
          <w:lang w:val="es-ES"/>
        </w:rPr>
        <w:t>contribuciones</w:t>
      </w:r>
      <w:r w:rsidRPr="00C2724D">
        <w:rPr>
          <w:sz w:val="24"/>
          <w:szCs w:val="24"/>
          <w:lang w:val="es-ES"/>
        </w:rPr>
        <w:t xml:space="preserve"> </w:t>
      </w:r>
      <w:r>
        <w:rPr>
          <w:sz w:val="24"/>
          <w:szCs w:val="24"/>
          <w:lang w:val="es-ES"/>
        </w:rPr>
        <w:t>deben</w:t>
      </w:r>
      <w:r w:rsidRPr="00C2724D">
        <w:rPr>
          <w:sz w:val="24"/>
          <w:szCs w:val="24"/>
          <w:lang w:val="es-ES"/>
        </w:rPr>
        <w:t xml:space="preserve"> ser enviadas a: </w:t>
      </w:r>
      <w:hyperlink r:id="rId4" w:history="1">
        <w:r w:rsidRPr="00FE0C37">
          <w:rPr>
            <w:rStyle w:val="Hyperlink"/>
            <w:sz w:val="24"/>
            <w:szCs w:val="24"/>
            <w:lang w:val="es-ES"/>
          </w:rPr>
          <w:t>registry@ohchr.org</w:t>
        </w:r>
      </w:hyperlink>
      <w:r>
        <w:rPr>
          <w:sz w:val="24"/>
          <w:szCs w:val="24"/>
          <w:lang w:val="es-ES"/>
        </w:rPr>
        <w:t xml:space="preserve"> (con copia a </w:t>
      </w:r>
      <w:hyperlink r:id="rId5" w:history="1">
        <w:r w:rsidRPr="00FE0C37">
          <w:rPr>
            <w:rStyle w:val="Hyperlink"/>
            <w:sz w:val="24"/>
            <w:szCs w:val="24"/>
            <w:lang w:val="es-ES"/>
          </w:rPr>
          <w:t>srhousing@ohchr.org</w:t>
        </w:r>
      </w:hyperlink>
      <w:r>
        <w:rPr>
          <w:sz w:val="24"/>
          <w:szCs w:val="24"/>
          <w:lang w:val="es-ES"/>
        </w:rPr>
        <w:t>)</w:t>
      </w:r>
      <w:r w:rsidRPr="00C2724D">
        <w:rPr>
          <w:sz w:val="24"/>
          <w:szCs w:val="24"/>
          <w:lang w:val="es-ES"/>
        </w:rPr>
        <w:t>.</w:t>
      </w:r>
    </w:p>
    <w:p w:rsidR="00DE5855" w:rsidRPr="00C2724D" w:rsidRDefault="00DE5855" w:rsidP="00DE5855">
      <w:pPr>
        <w:jc w:val="both"/>
        <w:rPr>
          <w:sz w:val="24"/>
          <w:szCs w:val="24"/>
          <w:lang w:val="es-ES"/>
        </w:rPr>
      </w:pPr>
    </w:p>
    <w:p w:rsidR="00DE5855" w:rsidRDefault="00DE5855" w:rsidP="00DE5855">
      <w:pPr>
        <w:jc w:val="both"/>
        <w:rPr>
          <w:sz w:val="24"/>
          <w:szCs w:val="24"/>
          <w:lang w:val="es-ES"/>
        </w:rPr>
      </w:pPr>
      <w:r>
        <w:rPr>
          <w:sz w:val="24"/>
          <w:szCs w:val="24"/>
          <w:lang w:val="es-ES"/>
        </w:rPr>
        <w:t>Con el fi</w:t>
      </w:r>
      <w:r w:rsidRPr="00C2724D">
        <w:rPr>
          <w:sz w:val="24"/>
          <w:szCs w:val="24"/>
          <w:lang w:val="es-ES"/>
        </w:rPr>
        <w:t xml:space="preserve">n de facilitar el </w:t>
      </w:r>
      <w:r>
        <w:rPr>
          <w:sz w:val="24"/>
          <w:szCs w:val="24"/>
          <w:lang w:val="es-ES"/>
        </w:rPr>
        <w:t xml:space="preserve">análisis </w:t>
      </w:r>
      <w:r w:rsidRPr="00C2724D">
        <w:rPr>
          <w:sz w:val="24"/>
          <w:szCs w:val="24"/>
          <w:lang w:val="es-ES"/>
        </w:rPr>
        <w:t xml:space="preserve">de la información, </w:t>
      </w:r>
      <w:r>
        <w:rPr>
          <w:sz w:val="24"/>
          <w:szCs w:val="24"/>
          <w:lang w:val="es-ES"/>
        </w:rPr>
        <w:t xml:space="preserve">se agradecería que las contribuciones se hagan en </w:t>
      </w:r>
      <w:r w:rsidRPr="00C2724D">
        <w:rPr>
          <w:sz w:val="24"/>
          <w:szCs w:val="24"/>
          <w:lang w:val="es-ES"/>
        </w:rPr>
        <w:t>español</w:t>
      </w:r>
      <w:r>
        <w:rPr>
          <w:sz w:val="24"/>
          <w:szCs w:val="24"/>
          <w:lang w:val="es-ES"/>
        </w:rPr>
        <w:t>,</w:t>
      </w:r>
      <w:r w:rsidRPr="00C2724D">
        <w:rPr>
          <w:sz w:val="24"/>
          <w:szCs w:val="24"/>
          <w:lang w:val="es-ES"/>
        </w:rPr>
        <w:t xml:space="preserve"> francés</w:t>
      </w:r>
      <w:r>
        <w:rPr>
          <w:sz w:val="24"/>
          <w:szCs w:val="24"/>
          <w:lang w:val="es-ES"/>
        </w:rPr>
        <w:t xml:space="preserve"> o</w:t>
      </w:r>
      <w:r w:rsidRPr="00C2724D">
        <w:rPr>
          <w:sz w:val="24"/>
          <w:szCs w:val="24"/>
          <w:lang w:val="es-ES"/>
        </w:rPr>
        <w:t xml:space="preserve"> inglés. </w:t>
      </w:r>
      <w:r>
        <w:rPr>
          <w:sz w:val="24"/>
          <w:szCs w:val="24"/>
          <w:lang w:val="es-ES"/>
        </w:rPr>
        <w:t xml:space="preserve">Salvo que se solicite lo contrario, las </w:t>
      </w:r>
      <w:r w:rsidRPr="00C2724D">
        <w:rPr>
          <w:sz w:val="24"/>
          <w:szCs w:val="24"/>
          <w:lang w:val="es-ES"/>
        </w:rPr>
        <w:t xml:space="preserve">respuestas y </w:t>
      </w:r>
      <w:r>
        <w:rPr>
          <w:sz w:val="24"/>
          <w:szCs w:val="24"/>
          <w:lang w:val="es-ES"/>
        </w:rPr>
        <w:t xml:space="preserve">contribuciones serán publicadas en la </w:t>
      </w:r>
      <w:r w:rsidRPr="00C2724D">
        <w:rPr>
          <w:sz w:val="24"/>
          <w:szCs w:val="24"/>
          <w:lang w:val="es-ES"/>
        </w:rPr>
        <w:t>web de</w:t>
      </w:r>
      <w:r>
        <w:rPr>
          <w:sz w:val="24"/>
          <w:szCs w:val="24"/>
          <w:lang w:val="es-ES"/>
        </w:rPr>
        <w:t xml:space="preserve"> </w:t>
      </w:r>
      <w:r w:rsidRPr="00C2724D">
        <w:rPr>
          <w:sz w:val="24"/>
          <w:szCs w:val="24"/>
          <w:lang w:val="es-ES"/>
        </w:rPr>
        <w:t>l</w:t>
      </w:r>
      <w:r>
        <w:rPr>
          <w:sz w:val="24"/>
          <w:szCs w:val="24"/>
          <w:lang w:val="es-ES"/>
        </w:rPr>
        <w:t>a</w:t>
      </w:r>
      <w:r w:rsidRPr="00C2724D">
        <w:rPr>
          <w:sz w:val="24"/>
          <w:szCs w:val="24"/>
          <w:lang w:val="es-ES"/>
        </w:rPr>
        <w:t xml:space="preserve"> Relator</w:t>
      </w:r>
      <w:r>
        <w:rPr>
          <w:sz w:val="24"/>
          <w:szCs w:val="24"/>
          <w:lang w:val="es-ES"/>
        </w:rPr>
        <w:t>a</w:t>
      </w:r>
      <w:r w:rsidRPr="00C2724D">
        <w:rPr>
          <w:sz w:val="24"/>
          <w:szCs w:val="24"/>
          <w:lang w:val="es-ES"/>
        </w:rPr>
        <w:t xml:space="preserve"> Especial.</w:t>
      </w:r>
    </w:p>
    <w:p w:rsidR="00DE5855" w:rsidRDefault="00DE5855" w:rsidP="00DE5855">
      <w:pPr>
        <w:jc w:val="both"/>
        <w:rPr>
          <w:sz w:val="24"/>
          <w:szCs w:val="24"/>
          <w:lang w:val="es-ES"/>
        </w:rPr>
      </w:pPr>
    </w:p>
    <w:p w:rsidR="00BD706E" w:rsidRPr="00DE5855" w:rsidRDefault="00BD706E">
      <w:pPr>
        <w:rPr>
          <w:lang w:val="es-ES"/>
        </w:rPr>
      </w:pPr>
      <w:bookmarkStart w:id="0" w:name="_GoBack"/>
      <w:bookmarkEnd w:id="0"/>
    </w:p>
    <w:sectPr w:rsidR="00BD706E" w:rsidRPr="00DE5855" w:rsidSect="00700659">
      <w:footerReference w:type="first" r:id="rId6"/>
      <w:pgSz w:w="11906" w:h="16838" w:code="9"/>
      <w:pgMar w:top="1134" w:right="1701" w:bottom="1134" w:left="1701" w:header="284" w:footer="567" w:gutter="0"/>
      <w:cols w:space="720"/>
      <w:formProt w:val="0"/>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64EF" w:rsidRDefault="00DE5855" w:rsidP="006B5ED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5855"/>
    <w:rsid w:val="00BD706E"/>
    <w:rsid w:val="00DE58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E368FBC-AC51-43EA-9AA3-81D9D39DD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5855"/>
    <w:pPr>
      <w:spacing w:after="0" w:line="240" w:lineRule="auto"/>
    </w:pPr>
    <w:rPr>
      <w:rFonts w:ascii="Times New Roman" w:eastAsia="Times New Roman" w:hAnsi="Times New Roman" w:cs="Times New Roman"/>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E5855"/>
    <w:pPr>
      <w:tabs>
        <w:tab w:val="center" w:pos="4153"/>
        <w:tab w:val="right" w:pos="8306"/>
      </w:tabs>
    </w:pPr>
  </w:style>
  <w:style w:type="character" w:customStyle="1" w:styleId="FooterChar">
    <w:name w:val="Footer Char"/>
    <w:basedOn w:val="DefaultParagraphFont"/>
    <w:link w:val="Footer"/>
    <w:uiPriority w:val="99"/>
    <w:rsid w:val="00DE5855"/>
    <w:rPr>
      <w:rFonts w:ascii="Times New Roman" w:eastAsia="Times New Roman" w:hAnsi="Times New Roman" w:cs="Times New Roman"/>
      <w:sz w:val="20"/>
      <w:szCs w:val="20"/>
      <w:lang w:eastAsia="en-US"/>
    </w:rPr>
  </w:style>
  <w:style w:type="character" w:styleId="Hyperlink">
    <w:name w:val="Hyperlink"/>
    <w:rsid w:val="00DE58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3.xml"/><Relationship Id="rId5" Type="http://schemas.openxmlformats.org/officeDocument/2006/relationships/hyperlink" Target="mailto:srhousing@ohchr.org" TargetMode="External"/><Relationship Id="rId10" Type="http://schemas.openxmlformats.org/officeDocument/2006/relationships/customXml" Target="../customXml/item2.xml"/><Relationship Id="rId4" Type="http://schemas.openxmlformats.org/officeDocument/2006/relationships/hyperlink" Target="mailto:registry@ohchr.org" TargetMode="Externa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A704837-F42E-44C4-871F-5EE8FA47DBC1}"/>
</file>

<file path=customXml/itemProps2.xml><?xml version="1.0" encoding="utf-8"?>
<ds:datastoreItem xmlns:ds="http://schemas.openxmlformats.org/officeDocument/2006/customXml" ds:itemID="{4FBE4A4F-28E0-47D6-B139-7EF7BFEC89F2}"/>
</file>

<file path=customXml/itemProps3.xml><?xml version="1.0" encoding="utf-8"?>
<ds:datastoreItem xmlns:ds="http://schemas.openxmlformats.org/officeDocument/2006/customXml" ds:itemID="{FD110788-B879-444A-870F-0AFD0C58523E}"/>
</file>

<file path=docProps/app.xml><?xml version="1.0" encoding="utf-8"?>
<Properties xmlns="http://schemas.openxmlformats.org/officeDocument/2006/extended-properties" xmlns:vt="http://schemas.openxmlformats.org/officeDocument/2006/docPropsVTypes">
  <Template>Normal.dotm</Template>
  <TotalTime>0</TotalTime>
  <Pages>2</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3627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 Madoka</dc:creator>
  <cp:keywords/>
  <dc:description/>
  <cp:lastModifiedBy>SAJI Madoka</cp:lastModifiedBy>
  <cp:revision>1</cp:revision>
  <dcterms:created xsi:type="dcterms:W3CDTF">2018-10-17T15:22:00Z</dcterms:created>
  <dcterms:modified xsi:type="dcterms:W3CDTF">2018-10-17T15:22:00Z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