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C5" w:rsidRPr="001A7784" w:rsidRDefault="005F2CC5" w:rsidP="005F2CC5">
      <w:pPr>
        <w:tabs>
          <w:tab w:val="left" w:pos="2694"/>
        </w:tabs>
        <w:ind w:left="1440" w:firstLine="360"/>
        <w:rPr>
          <w:rFonts w:asciiTheme="majorHAnsi" w:hAnsiTheme="majorHAnsi"/>
          <w:b/>
          <w:sz w:val="28"/>
          <w:szCs w:val="28"/>
        </w:rPr>
      </w:pPr>
      <w:bookmarkStart w:id="0" w:name="_GoBack"/>
      <w:bookmarkEnd w:id="0"/>
      <w:r w:rsidRPr="008B1CFC">
        <w:rPr>
          <w:rFonts w:asciiTheme="majorHAnsi" w:hAnsiTheme="majorHAnsi"/>
          <w:b/>
          <w:noProof/>
          <w:sz w:val="28"/>
          <w:szCs w:val="28"/>
          <w:lang w:val="en-GB" w:eastAsia="en-GB"/>
        </w:rPr>
        <w:drawing>
          <wp:anchor distT="0" distB="0" distL="114300" distR="114300" simplePos="0" relativeHeight="251659264" behindDoc="1" locked="0" layoutInCell="1" allowOverlap="1">
            <wp:simplePos x="0" y="0"/>
            <wp:positionH relativeFrom="column">
              <wp:posOffset>176227</wp:posOffset>
            </wp:positionH>
            <wp:positionV relativeFrom="paragraph">
              <wp:posOffset>-114300</wp:posOffset>
            </wp:positionV>
            <wp:extent cx="987425" cy="904875"/>
            <wp:effectExtent l="0" t="0" r="0" b="0"/>
            <wp:wrapNone/>
            <wp:docPr id="1" name="Picture 1" descr="Logo HIC-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HIC-we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7425" cy="904875"/>
                    </a:xfrm>
                    <a:prstGeom prst="rect">
                      <a:avLst/>
                    </a:prstGeom>
                    <a:noFill/>
                    <a:ln>
                      <a:noFill/>
                    </a:ln>
                  </pic:spPr>
                </pic:pic>
              </a:graphicData>
            </a:graphic>
          </wp:anchor>
        </w:drawing>
      </w:r>
    </w:p>
    <w:p w:rsidR="005F2CC5" w:rsidRDefault="005F2CC5" w:rsidP="005F2CC5">
      <w:pPr>
        <w:spacing w:after="0" w:line="240" w:lineRule="auto"/>
        <w:ind w:left="1440"/>
        <w:rPr>
          <w:rFonts w:cstheme="minorHAnsi"/>
          <w:b/>
          <w:sz w:val="32"/>
          <w:szCs w:val="28"/>
        </w:rPr>
      </w:pPr>
      <w:r>
        <w:rPr>
          <w:rFonts w:asciiTheme="majorHAnsi" w:hAnsiTheme="majorHAnsi"/>
          <w:b/>
          <w:bCs/>
          <w:smallCaps/>
          <w:color w:val="008000"/>
          <w:sz w:val="28"/>
          <w:szCs w:val="28"/>
        </w:rPr>
        <w:t xml:space="preserve">   </w:t>
      </w:r>
      <w:r w:rsidRPr="001A7784">
        <w:rPr>
          <w:rFonts w:asciiTheme="majorHAnsi" w:hAnsiTheme="majorHAnsi"/>
          <w:b/>
          <w:bCs/>
          <w:smallCaps/>
          <w:color w:val="008000"/>
          <w:sz w:val="28"/>
          <w:szCs w:val="28"/>
        </w:rPr>
        <w:t>Housing and Land Rights Network (India)</w:t>
      </w:r>
    </w:p>
    <w:p w:rsidR="005F2CC5" w:rsidRDefault="005F2CC5" w:rsidP="005F2CC5">
      <w:pPr>
        <w:spacing w:after="0" w:line="240" w:lineRule="auto"/>
        <w:jc w:val="center"/>
        <w:rPr>
          <w:rFonts w:cstheme="minorHAnsi"/>
          <w:b/>
          <w:sz w:val="32"/>
          <w:szCs w:val="28"/>
        </w:rPr>
      </w:pPr>
    </w:p>
    <w:p w:rsidR="00736495" w:rsidRPr="00736495" w:rsidRDefault="00736495" w:rsidP="005F2CC5">
      <w:pPr>
        <w:spacing w:after="0" w:line="240" w:lineRule="auto"/>
        <w:jc w:val="center"/>
        <w:rPr>
          <w:rFonts w:cstheme="minorHAnsi"/>
          <w:b/>
          <w:sz w:val="12"/>
          <w:szCs w:val="12"/>
        </w:rPr>
      </w:pPr>
    </w:p>
    <w:p w:rsidR="005F2CC5" w:rsidRPr="00200584" w:rsidRDefault="005F2CC5" w:rsidP="005F2CC5">
      <w:pPr>
        <w:spacing w:after="0" w:line="240" w:lineRule="auto"/>
        <w:jc w:val="center"/>
        <w:rPr>
          <w:rFonts w:cstheme="minorHAnsi"/>
          <w:b/>
          <w:sz w:val="32"/>
          <w:szCs w:val="28"/>
        </w:rPr>
      </w:pPr>
      <w:r w:rsidRPr="00200584">
        <w:rPr>
          <w:rFonts w:cstheme="minorHAnsi"/>
          <w:b/>
          <w:sz w:val="32"/>
          <w:szCs w:val="28"/>
        </w:rPr>
        <w:t>Special Rapporteur on the Right to Adequate Housing</w:t>
      </w:r>
      <w:r>
        <w:rPr>
          <w:rFonts w:cstheme="minorHAnsi"/>
          <w:b/>
          <w:sz w:val="32"/>
          <w:szCs w:val="28"/>
        </w:rPr>
        <w:t>:</w:t>
      </w:r>
    </w:p>
    <w:p w:rsidR="005F2CC5" w:rsidRPr="00200584" w:rsidRDefault="005F2CC5" w:rsidP="005F2CC5">
      <w:pPr>
        <w:spacing w:after="0" w:line="240" w:lineRule="auto"/>
        <w:jc w:val="center"/>
        <w:rPr>
          <w:rFonts w:cstheme="minorHAnsi"/>
          <w:b/>
          <w:sz w:val="28"/>
          <w:szCs w:val="28"/>
        </w:rPr>
      </w:pPr>
      <w:r w:rsidRPr="00200584">
        <w:rPr>
          <w:rFonts w:cstheme="minorHAnsi"/>
          <w:b/>
          <w:sz w:val="28"/>
          <w:szCs w:val="28"/>
        </w:rPr>
        <w:t xml:space="preserve">Questionnaire on </w:t>
      </w:r>
      <w:r>
        <w:rPr>
          <w:rFonts w:cstheme="minorHAnsi"/>
          <w:b/>
          <w:sz w:val="28"/>
          <w:szCs w:val="28"/>
        </w:rPr>
        <w:t>the R</w:t>
      </w:r>
      <w:r w:rsidRPr="00200584">
        <w:rPr>
          <w:rFonts w:cstheme="minorHAnsi"/>
          <w:b/>
          <w:sz w:val="28"/>
          <w:szCs w:val="28"/>
        </w:rPr>
        <w:t xml:space="preserve">ight to </w:t>
      </w:r>
      <w:r>
        <w:rPr>
          <w:rFonts w:cstheme="minorHAnsi"/>
          <w:b/>
          <w:sz w:val="28"/>
          <w:szCs w:val="28"/>
        </w:rPr>
        <w:t>L</w:t>
      </w:r>
      <w:r w:rsidRPr="00200584">
        <w:rPr>
          <w:rFonts w:cstheme="minorHAnsi"/>
          <w:b/>
          <w:sz w:val="28"/>
          <w:szCs w:val="28"/>
        </w:rPr>
        <w:t xml:space="preserve">ife and the </w:t>
      </w:r>
      <w:r>
        <w:rPr>
          <w:rFonts w:cstheme="minorHAnsi"/>
          <w:b/>
          <w:sz w:val="28"/>
          <w:szCs w:val="28"/>
        </w:rPr>
        <w:t>R</w:t>
      </w:r>
      <w:r w:rsidRPr="00200584">
        <w:rPr>
          <w:rFonts w:cstheme="minorHAnsi"/>
          <w:b/>
          <w:sz w:val="28"/>
          <w:szCs w:val="28"/>
        </w:rPr>
        <w:t xml:space="preserve">ight to </w:t>
      </w:r>
      <w:r>
        <w:rPr>
          <w:rFonts w:cstheme="minorHAnsi"/>
          <w:b/>
          <w:sz w:val="28"/>
          <w:szCs w:val="28"/>
        </w:rPr>
        <w:t>A</w:t>
      </w:r>
      <w:r w:rsidRPr="00200584">
        <w:rPr>
          <w:rFonts w:cstheme="minorHAnsi"/>
          <w:b/>
          <w:sz w:val="28"/>
          <w:szCs w:val="28"/>
        </w:rPr>
        <w:t xml:space="preserve">dequate </w:t>
      </w:r>
      <w:r>
        <w:rPr>
          <w:rFonts w:cstheme="minorHAnsi"/>
          <w:b/>
          <w:sz w:val="28"/>
          <w:szCs w:val="28"/>
        </w:rPr>
        <w:t>H</w:t>
      </w:r>
      <w:r w:rsidRPr="00200584">
        <w:rPr>
          <w:rFonts w:cstheme="minorHAnsi"/>
          <w:b/>
          <w:sz w:val="28"/>
          <w:szCs w:val="28"/>
        </w:rPr>
        <w:t>ousing</w:t>
      </w:r>
    </w:p>
    <w:p w:rsidR="005F2CC5" w:rsidRPr="00736495" w:rsidRDefault="005F2CC5" w:rsidP="005F2CC5">
      <w:pPr>
        <w:spacing w:after="0" w:line="240" w:lineRule="auto"/>
        <w:jc w:val="center"/>
        <w:rPr>
          <w:rFonts w:cstheme="minorHAnsi"/>
          <w:b/>
          <w:sz w:val="16"/>
          <w:szCs w:val="16"/>
        </w:rPr>
      </w:pPr>
    </w:p>
    <w:p w:rsidR="005F2CC5" w:rsidRDefault="005F2CC5" w:rsidP="00736495">
      <w:pPr>
        <w:spacing w:after="0" w:line="240" w:lineRule="auto"/>
        <w:jc w:val="center"/>
        <w:rPr>
          <w:rFonts w:cstheme="minorHAnsi"/>
          <w:b/>
          <w:sz w:val="28"/>
          <w:szCs w:val="28"/>
        </w:rPr>
      </w:pPr>
      <w:r w:rsidRPr="00200584">
        <w:rPr>
          <w:rFonts w:cstheme="minorHAnsi"/>
          <w:b/>
          <w:sz w:val="28"/>
          <w:szCs w:val="28"/>
        </w:rPr>
        <w:t>Response from Housing and Land Rights Network</w:t>
      </w:r>
      <w:r>
        <w:rPr>
          <w:rFonts w:cstheme="minorHAnsi"/>
          <w:b/>
          <w:sz w:val="28"/>
          <w:szCs w:val="28"/>
        </w:rPr>
        <w:t xml:space="preserve"> (HLRN)</w:t>
      </w:r>
      <w:r w:rsidRPr="00200584">
        <w:rPr>
          <w:rFonts w:cstheme="minorHAnsi"/>
          <w:b/>
          <w:sz w:val="28"/>
          <w:szCs w:val="28"/>
        </w:rPr>
        <w:t>, India</w:t>
      </w:r>
      <w:r>
        <w:rPr>
          <w:rStyle w:val="FootnoteReference"/>
          <w:rFonts w:cstheme="minorHAnsi"/>
          <w:b/>
          <w:sz w:val="28"/>
          <w:szCs w:val="28"/>
        </w:rPr>
        <w:footnoteReference w:id="1"/>
      </w:r>
    </w:p>
    <w:p w:rsidR="005F2CC5" w:rsidRPr="00736495" w:rsidRDefault="002035B2" w:rsidP="00736495">
      <w:pPr>
        <w:spacing w:after="0" w:line="240" w:lineRule="auto"/>
        <w:jc w:val="center"/>
        <w:rPr>
          <w:rFonts w:cstheme="minorHAnsi"/>
          <w:b/>
          <w:sz w:val="16"/>
          <w:szCs w:val="16"/>
        </w:rPr>
      </w:pPr>
      <w:r>
        <w:rPr>
          <w:rFonts w:cstheme="minorHAnsi"/>
          <w:b/>
          <w:sz w:val="16"/>
          <w:szCs w:val="16"/>
        </w:rPr>
        <w:pict>
          <v:rect id="_x0000_i1025" style="width:0;height:1.5pt" o:hralign="center" o:hrstd="t" o:hr="t" fillcolor="#a0a0a0" stroked="f"/>
        </w:pict>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sidRPr="00A82656">
        <w:rPr>
          <w:rFonts w:ascii="Times New Roman" w:hAnsi="Times New Roman" w:cs="Times New Roman"/>
          <w:sz w:val="24"/>
          <w:szCs w:val="24"/>
        </w:rPr>
        <w:t xml:space="preserve">1. </w:t>
      </w:r>
      <w:r w:rsidRPr="004F706B">
        <w:rPr>
          <w:rFonts w:ascii="Times New Roman" w:hAnsi="Times New Roman" w:cs="Times New Roman"/>
          <w:b/>
          <w:sz w:val="24"/>
          <w:szCs w:val="24"/>
        </w:rPr>
        <w:t>Please provide any statistical indicators or other evidence regarding the health, mortality and morbidity consequences of inadequate housing and homelessness in your country on vulnerable groups, including documentation (visual or otherwise) of the lived experiences behind these numbers and of particular circumstances of which your organization is aware.</w:t>
      </w:r>
    </w:p>
    <w:p w:rsidR="005F2CC5" w:rsidRPr="00736495" w:rsidRDefault="005F2CC5" w:rsidP="005F2CC5">
      <w:pPr>
        <w:spacing w:after="0" w:line="240" w:lineRule="auto"/>
        <w:jc w:val="both"/>
        <w:rPr>
          <w:rFonts w:ascii="Times New Roman" w:hAnsi="Times New Roman" w:cs="Times New Roman"/>
        </w:rPr>
      </w:pPr>
    </w:p>
    <w:p w:rsidR="005F2CC5" w:rsidRPr="0000035E" w:rsidRDefault="005F2CC5" w:rsidP="005F2CC5">
      <w:pPr>
        <w:spacing w:after="0" w:line="240" w:lineRule="auto"/>
        <w:jc w:val="both"/>
        <w:rPr>
          <w:rFonts w:cs="Times New Roman"/>
          <w:b/>
          <w:color w:val="00B050"/>
          <w:sz w:val="25"/>
          <w:szCs w:val="25"/>
        </w:rPr>
      </w:pPr>
      <w:r w:rsidRPr="0000035E">
        <w:rPr>
          <w:rFonts w:cs="Times New Roman"/>
          <w:b/>
          <w:color w:val="00B050"/>
          <w:sz w:val="25"/>
          <w:szCs w:val="25"/>
        </w:rPr>
        <w:t>Deaths of Homeless Persons in India</w:t>
      </w:r>
    </w:p>
    <w:p w:rsidR="00010673" w:rsidRPr="00736495" w:rsidRDefault="00010673" w:rsidP="00010673">
      <w:pPr>
        <w:shd w:val="clear" w:color="auto" w:fill="FFFFFF" w:themeFill="background1"/>
        <w:spacing w:after="0" w:line="240" w:lineRule="auto"/>
        <w:jc w:val="both"/>
        <w:rPr>
          <w:rFonts w:ascii="Times New Roman" w:hAnsi="Times New Roman" w:cs="Times New Roman"/>
          <w:color w:val="330000"/>
          <w:shd w:val="clear" w:color="auto" w:fill="FFFCF1"/>
        </w:rPr>
      </w:pPr>
    </w:p>
    <w:p w:rsidR="00BB5715" w:rsidRDefault="00BB5715" w:rsidP="00BB5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According to the Census of India 2011, India has more than 1.7 million homeless persons, of which 938,384 are located in urban areas. These figures, however, grossly underestimate the real number of homeless persons. Civil society organizations estimate that at least one per cent of the population of urban India (</w:t>
      </w:r>
      <w:r w:rsidR="00BB0D90">
        <w:rPr>
          <w:rFonts w:ascii="Times New Roman" w:hAnsi="Times New Roman" w:cs="Times New Roman"/>
          <w:sz w:val="24"/>
          <w:szCs w:val="24"/>
        </w:rPr>
        <w:t xml:space="preserve">about </w:t>
      </w:r>
      <w:r>
        <w:rPr>
          <w:rFonts w:ascii="Times New Roman" w:hAnsi="Times New Roman" w:cs="Times New Roman"/>
          <w:sz w:val="24"/>
          <w:szCs w:val="24"/>
        </w:rPr>
        <w:t>37</w:t>
      </w:r>
      <w:r w:rsidR="00BB0D90">
        <w:rPr>
          <w:rFonts w:ascii="Times New Roman" w:hAnsi="Times New Roman" w:cs="Times New Roman"/>
          <w:sz w:val="24"/>
          <w:szCs w:val="24"/>
        </w:rPr>
        <w:t>8</w:t>
      </w:r>
      <w:r>
        <w:rPr>
          <w:rFonts w:ascii="Times New Roman" w:hAnsi="Times New Roman" w:cs="Times New Roman"/>
          <w:sz w:val="24"/>
          <w:szCs w:val="24"/>
        </w:rPr>
        <w:t xml:space="preserve"> million) is homeless. Based on this estimate, it can be extrapolated that the population of the urban homeless is at least three million.</w:t>
      </w:r>
    </w:p>
    <w:p w:rsidR="00010673" w:rsidRPr="00736495" w:rsidRDefault="00010673" w:rsidP="005F2CC5">
      <w:pPr>
        <w:spacing w:after="0" w:line="240" w:lineRule="auto"/>
        <w:jc w:val="both"/>
        <w:rPr>
          <w:rFonts w:ascii="Times New Roman" w:hAnsi="Times New Roman" w:cs="Times New Roman"/>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Zonal Integrated Police N</w:t>
      </w:r>
      <w:r w:rsidR="0067384D">
        <w:rPr>
          <w:rFonts w:ascii="Times New Roman" w:hAnsi="Times New Roman" w:cs="Times New Roman"/>
          <w:sz w:val="24"/>
          <w:szCs w:val="24"/>
        </w:rPr>
        <w:t>etwork (ZipNet</w:t>
      </w:r>
      <w:r>
        <w:rPr>
          <w:rFonts w:ascii="Times New Roman" w:hAnsi="Times New Roman" w:cs="Times New Roman"/>
          <w:sz w:val="24"/>
          <w:szCs w:val="24"/>
        </w:rPr>
        <w:t xml:space="preserve">) is an online portal of </w:t>
      </w:r>
      <w:r w:rsidR="0067384D">
        <w:rPr>
          <w:rFonts w:ascii="Times New Roman" w:hAnsi="Times New Roman" w:cs="Times New Roman"/>
          <w:sz w:val="24"/>
          <w:szCs w:val="24"/>
        </w:rPr>
        <w:t xml:space="preserve">the </w:t>
      </w:r>
      <w:r>
        <w:rPr>
          <w:rFonts w:ascii="Times New Roman" w:hAnsi="Times New Roman" w:cs="Times New Roman"/>
          <w:sz w:val="24"/>
          <w:szCs w:val="24"/>
        </w:rPr>
        <w:t xml:space="preserve">police of </w:t>
      </w:r>
      <w:r w:rsidR="0067384D">
        <w:rPr>
          <w:rFonts w:ascii="Times New Roman" w:hAnsi="Times New Roman" w:cs="Times New Roman"/>
          <w:sz w:val="24"/>
          <w:szCs w:val="24"/>
        </w:rPr>
        <w:t>eight</w:t>
      </w:r>
      <w:r>
        <w:rPr>
          <w:rFonts w:ascii="Times New Roman" w:hAnsi="Times New Roman" w:cs="Times New Roman"/>
          <w:sz w:val="24"/>
          <w:szCs w:val="24"/>
        </w:rPr>
        <w:t xml:space="preserve"> states and Union Territories in India, which records </w:t>
      </w:r>
      <w:r w:rsidR="005B74AB">
        <w:rPr>
          <w:rFonts w:ascii="Times New Roman" w:hAnsi="Times New Roman" w:cs="Times New Roman"/>
          <w:sz w:val="24"/>
          <w:szCs w:val="24"/>
        </w:rPr>
        <w:t>“</w:t>
      </w:r>
      <w:r>
        <w:rPr>
          <w:rFonts w:ascii="Times New Roman" w:hAnsi="Times New Roman" w:cs="Times New Roman"/>
          <w:sz w:val="24"/>
          <w:szCs w:val="24"/>
        </w:rPr>
        <w:t>crime and criminal information</w:t>
      </w:r>
      <w:r w:rsidR="005B74AB">
        <w:rPr>
          <w:rFonts w:ascii="Times New Roman" w:hAnsi="Times New Roman" w:cs="Times New Roman"/>
          <w:sz w:val="24"/>
          <w:szCs w:val="24"/>
        </w:rPr>
        <w:t xml:space="preserve"> in real time</w:t>
      </w:r>
      <w:r>
        <w:rPr>
          <w:rFonts w:ascii="Times New Roman" w:hAnsi="Times New Roman" w:cs="Times New Roman"/>
          <w:sz w:val="24"/>
          <w:szCs w:val="24"/>
        </w:rPr>
        <w:t>.</w:t>
      </w:r>
      <w:r w:rsidR="005B74AB">
        <w:rPr>
          <w:rFonts w:ascii="Times New Roman" w:hAnsi="Times New Roman" w:cs="Times New Roman"/>
          <w:sz w:val="24"/>
          <w:szCs w:val="24"/>
        </w:rPr>
        <w:t>”</w:t>
      </w:r>
      <w:r w:rsidR="005B74AB">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portal also documents ‘Un</w:t>
      </w:r>
      <w:r w:rsidRPr="00584117">
        <w:rPr>
          <w:rFonts w:ascii="Times New Roman" w:hAnsi="Times New Roman" w:cs="Times New Roman"/>
          <w:sz w:val="24"/>
          <w:szCs w:val="24"/>
        </w:rPr>
        <w:t>identified Dead Bodies</w:t>
      </w:r>
      <w:r>
        <w:rPr>
          <w:rFonts w:ascii="Times New Roman" w:hAnsi="Times New Roman" w:cs="Times New Roman"/>
          <w:sz w:val="24"/>
          <w:szCs w:val="24"/>
        </w:rPr>
        <w:t xml:space="preserve">.’ Experts working on issues </w:t>
      </w:r>
      <w:r w:rsidR="005B74AB">
        <w:rPr>
          <w:rFonts w:ascii="Times New Roman" w:hAnsi="Times New Roman" w:cs="Times New Roman"/>
          <w:sz w:val="24"/>
          <w:szCs w:val="24"/>
        </w:rPr>
        <w:t xml:space="preserve">of homelessness </w:t>
      </w:r>
      <w:r>
        <w:rPr>
          <w:rFonts w:ascii="Times New Roman" w:hAnsi="Times New Roman" w:cs="Times New Roman"/>
          <w:sz w:val="24"/>
          <w:szCs w:val="24"/>
        </w:rPr>
        <w:t xml:space="preserve">estimate that about 70–75 per cent of all unidentified deaths are deaths of homeless persons. Using the estimate of 70 per cent, Housing and Land Rights Network (HLRN) has calculated that between January 2010 and 31 May 2016, at least 23,846 homeless persons have died from a multitude of reasons: infectious diseases, chronic ailments, </w:t>
      </w:r>
      <w:r w:rsidR="005B74AB">
        <w:rPr>
          <w:rFonts w:ascii="Times New Roman" w:hAnsi="Times New Roman" w:cs="Times New Roman"/>
          <w:sz w:val="24"/>
          <w:szCs w:val="24"/>
        </w:rPr>
        <w:t xml:space="preserve">exposure to the </w:t>
      </w:r>
      <w:r>
        <w:rPr>
          <w:rFonts w:ascii="Times New Roman" w:hAnsi="Times New Roman" w:cs="Times New Roman"/>
          <w:sz w:val="24"/>
          <w:szCs w:val="24"/>
        </w:rPr>
        <w:t xml:space="preserve">cold, heat, </w:t>
      </w:r>
      <w:r w:rsidR="005B74AB">
        <w:rPr>
          <w:rFonts w:ascii="Times New Roman" w:hAnsi="Times New Roman" w:cs="Times New Roman"/>
          <w:sz w:val="24"/>
          <w:szCs w:val="24"/>
        </w:rPr>
        <w:t xml:space="preserve">and rain, </w:t>
      </w:r>
      <w:r>
        <w:rPr>
          <w:rFonts w:ascii="Times New Roman" w:hAnsi="Times New Roman" w:cs="Times New Roman"/>
          <w:sz w:val="24"/>
          <w:szCs w:val="24"/>
        </w:rPr>
        <w:t xml:space="preserve">violence, </w:t>
      </w:r>
      <w:r w:rsidR="005B74AB">
        <w:rPr>
          <w:rFonts w:ascii="Times New Roman" w:hAnsi="Times New Roman" w:cs="Times New Roman"/>
          <w:sz w:val="24"/>
          <w:szCs w:val="24"/>
        </w:rPr>
        <w:t xml:space="preserve">sexual abuse, murder, </w:t>
      </w:r>
      <w:r>
        <w:rPr>
          <w:rFonts w:ascii="Times New Roman" w:hAnsi="Times New Roman" w:cs="Times New Roman"/>
          <w:sz w:val="24"/>
          <w:szCs w:val="24"/>
        </w:rPr>
        <w:t xml:space="preserve">road accidents, and drug overdose. </w:t>
      </w:r>
    </w:p>
    <w:p w:rsidR="004F7325" w:rsidRDefault="004F7325" w:rsidP="005F2CC5">
      <w:pPr>
        <w:spacing w:after="0" w:line="240" w:lineRule="auto"/>
        <w:jc w:val="both"/>
        <w:rPr>
          <w:rFonts w:ascii="Times New Roman" w:hAnsi="Times New Roman" w:cs="Times New Roman"/>
          <w:sz w:val="24"/>
          <w:szCs w:val="24"/>
        </w:rPr>
      </w:pPr>
    </w:p>
    <w:tbl>
      <w:tblPr>
        <w:tblW w:w="5945" w:type="dxa"/>
        <w:jc w:val="center"/>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340"/>
        <w:gridCol w:w="3075"/>
      </w:tblGrid>
      <w:tr w:rsidR="0067384D" w:rsidRPr="009871A8" w:rsidTr="009A6DD3">
        <w:trPr>
          <w:trHeight w:val="300"/>
          <w:jc w:val="center"/>
        </w:trPr>
        <w:tc>
          <w:tcPr>
            <w:tcW w:w="530" w:type="dxa"/>
            <w:shd w:val="clear" w:color="auto" w:fill="FBD4B4" w:themeFill="accent6" w:themeFillTint="66"/>
          </w:tcPr>
          <w:p w:rsidR="0067384D" w:rsidRDefault="0067384D" w:rsidP="00E03256">
            <w:pPr>
              <w:spacing w:after="0" w:line="240" w:lineRule="auto"/>
              <w:jc w:val="center"/>
              <w:rPr>
                <w:rFonts w:ascii="Calibri" w:eastAsia="Times New Roman" w:hAnsi="Calibri" w:cs="Times New Roman"/>
                <w:b/>
                <w:bCs/>
                <w:color w:val="000000"/>
                <w:sz w:val="20"/>
                <w:szCs w:val="20"/>
              </w:rPr>
            </w:pPr>
          </w:p>
        </w:tc>
        <w:tc>
          <w:tcPr>
            <w:tcW w:w="2340" w:type="dxa"/>
            <w:shd w:val="clear" w:color="auto" w:fill="FBD4B4" w:themeFill="accent6" w:themeFillTint="66"/>
            <w:noWrap/>
            <w:vAlign w:val="bottom"/>
            <w:hideMark/>
          </w:tcPr>
          <w:p w:rsidR="0067384D" w:rsidRDefault="0067384D" w:rsidP="00E03256">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State/</w:t>
            </w:r>
            <w:r w:rsidRPr="009871A8">
              <w:rPr>
                <w:rFonts w:ascii="Calibri" w:eastAsia="Times New Roman" w:hAnsi="Calibri" w:cs="Times New Roman"/>
                <w:b/>
                <w:bCs/>
                <w:color w:val="000000"/>
                <w:sz w:val="20"/>
                <w:szCs w:val="20"/>
              </w:rPr>
              <w:t>Union Territory</w:t>
            </w:r>
          </w:p>
          <w:p w:rsidR="0067384D" w:rsidRPr="009871A8" w:rsidRDefault="0067384D" w:rsidP="00E03256">
            <w:pPr>
              <w:spacing w:after="0" w:line="240" w:lineRule="auto"/>
              <w:jc w:val="center"/>
              <w:rPr>
                <w:rFonts w:ascii="Calibri" w:eastAsia="Times New Roman" w:hAnsi="Calibri" w:cs="Times New Roman"/>
                <w:b/>
                <w:bCs/>
                <w:color w:val="000000"/>
                <w:sz w:val="20"/>
                <w:szCs w:val="20"/>
              </w:rPr>
            </w:pPr>
          </w:p>
        </w:tc>
        <w:tc>
          <w:tcPr>
            <w:tcW w:w="3075" w:type="dxa"/>
            <w:shd w:val="clear" w:color="auto" w:fill="FBD4B4" w:themeFill="accent6" w:themeFillTint="66"/>
            <w:noWrap/>
            <w:vAlign w:val="bottom"/>
            <w:hideMark/>
          </w:tcPr>
          <w:p w:rsidR="0067384D" w:rsidRPr="00444E36" w:rsidRDefault="0067384D" w:rsidP="00E03256">
            <w:pPr>
              <w:spacing w:after="0" w:line="240" w:lineRule="auto"/>
              <w:jc w:val="center"/>
              <w:rPr>
                <w:rFonts w:ascii="Calibri" w:eastAsia="Times New Roman" w:hAnsi="Calibri" w:cs="Times New Roman"/>
                <w:b/>
                <w:bCs/>
                <w:color w:val="000000"/>
                <w:sz w:val="20"/>
                <w:szCs w:val="20"/>
              </w:rPr>
            </w:pPr>
            <w:r w:rsidRPr="00444E36">
              <w:rPr>
                <w:rFonts w:ascii="Calibri" w:eastAsia="Times New Roman" w:hAnsi="Calibri" w:cs="Times New Roman"/>
                <w:b/>
                <w:bCs/>
                <w:color w:val="000000"/>
                <w:sz w:val="20"/>
                <w:szCs w:val="20"/>
              </w:rPr>
              <w:t xml:space="preserve">Unidentified Deaths between </w:t>
            </w:r>
          </w:p>
          <w:p w:rsidR="0067384D" w:rsidRPr="009871A8" w:rsidRDefault="0067384D" w:rsidP="00E03256">
            <w:pPr>
              <w:spacing w:after="0" w:line="240" w:lineRule="auto"/>
              <w:jc w:val="center"/>
              <w:rPr>
                <w:rFonts w:ascii="Calibri" w:eastAsia="Times New Roman" w:hAnsi="Calibri" w:cs="Times New Roman"/>
                <w:b/>
                <w:bCs/>
                <w:color w:val="000000"/>
                <w:sz w:val="20"/>
                <w:szCs w:val="20"/>
              </w:rPr>
            </w:pPr>
            <w:r w:rsidRPr="009871A8">
              <w:rPr>
                <w:rFonts w:ascii="Calibri" w:eastAsia="Times New Roman" w:hAnsi="Calibri" w:cs="Times New Roman"/>
                <w:b/>
                <w:bCs/>
                <w:color w:val="000000"/>
                <w:sz w:val="20"/>
                <w:szCs w:val="20"/>
              </w:rPr>
              <w:t>1 Jan</w:t>
            </w:r>
            <w:r>
              <w:rPr>
                <w:rFonts w:ascii="Calibri" w:eastAsia="Times New Roman" w:hAnsi="Calibri" w:cs="Times New Roman"/>
                <w:b/>
                <w:bCs/>
                <w:color w:val="000000"/>
                <w:sz w:val="20"/>
                <w:szCs w:val="20"/>
              </w:rPr>
              <w:t>uary</w:t>
            </w:r>
            <w:r w:rsidRPr="009871A8">
              <w:rPr>
                <w:rFonts w:ascii="Calibri" w:eastAsia="Times New Roman" w:hAnsi="Calibri" w:cs="Times New Roman"/>
                <w:b/>
                <w:bCs/>
                <w:color w:val="000000"/>
                <w:sz w:val="20"/>
                <w:szCs w:val="20"/>
              </w:rPr>
              <w:t xml:space="preserve"> 2010 </w:t>
            </w:r>
            <w:r>
              <w:rPr>
                <w:rFonts w:ascii="Calibri" w:eastAsia="Times New Roman" w:hAnsi="Calibri" w:cs="Times New Roman"/>
                <w:b/>
                <w:bCs/>
                <w:color w:val="000000"/>
                <w:sz w:val="20"/>
                <w:szCs w:val="20"/>
              </w:rPr>
              <w:t>and</w:t>
            </w:r>
            <w:r w:rsidRPr="009871A8">
              <w:rPr>
                <w:rFonts w:ascii="Calibri" w:eastAsia="Times New Roman" w:hAnsi="Calibri" w:cs="Times New Roman"/>
                <w:b/>
                <w:bCs/>
                <w:color w:val="000000"/>
                <w:sz w:val="20"/>
                <w:szCs w:val="20"/>
              </w:rPr>
              <w:t xml:space="preserve"> 31 May 2016</w:t>
            </w:r>
          </w:p>
        </w:tc>
      </w:tr>
      <w:tr w:rsidR="0067384D" w:rsidRPr="009871A8" w:rsidTr="009A6DD3">
        <w:trPr>
          <w:trHeight w:val="197"/>
          <w:jc w:val="center"/>
        </w:trPr>
        <w:tc>
          <w:tcPr>
            <w:tcW w:w="530" w:type="dxa"/>
            <w:shd w:val="clear" w:color="auto" w:fill="FDE9D9" w:themeFill="accent6" w:themeFillTint="33"/>
          </w:tcPr>
          <w:p w:rsidR="0067384D" w:rsidRPr="009871A8" w:rsidRDefault="0067384D" w:rsidP="009A6DD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2340" w:type="dxa"/>
            <w:shd w:val="clear" w:color="auto" w:fill="FDE9D9" w:themeFill="accent6" w:themeFillTint="33"/>
            <w:noWrap/>
            <w:vAlign w:val="bottom"/>
            <w:hideMark/>
          </w:tcPr>
          <w:p w:rsidR="0067384D" w:rsidRPr="009871A8" w:rsidRDefault="0067384D" w:rsidP="00E03256">
            <w:pPr>
              <w:spacing w:after="0" w:line="240" w:lineRule="auto"/>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Chandigarh</w:t>
            </w:r>
          </w:p>
        </w:tc>
        <w:tc>
          <w:tcPr>
            <w:tcW w:w="3075" w:type="dxa"/>
            <w:shd w:val="clear" w:color="auto" w:fill="FDE9D9" w:themeFill="accent6" w:themeFillTint="33"/>
            <w:noWrap/>
            <w:vAlign w:val="bottom"/>
            <w:hideMark/>
          </w:tcPr>
          <w:p w:rsidR="0067384D" w:rsidRPr="009871A8" w:rsidRDefault="0067384D" w:rsidP="00E03256">
            <w:pPr>
              <w:spacing w:after="0" w:line="240" w:lineRule="auto"/>
              <w:jc w:val="center"/>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385</w:t>
            </w:r>
          </w:p>
        </w:tc>
      </w:tr>
      <w:tr w:rsidR="0067384D" w:rsidRPr="009871A8" w:rsidTr="009A6DD3">
        <w:trPr>
          <w:trHeight w:val="300"/>
          <w:jc w:val="center"/>
        </w:trPr>
        <w:tc>
          <w:tcPr>
            <w:tcW w:w="530" w:type="dxa"/>
            <w:shd w:val="clear" w:color="auto" w:fill="FDE9D9" w:themeFill="accent6" w:themeFillTint="33"/>
          </w:tcPr>
          <w:p w:rsidR="0067384D" w:rsidRPr="009871A8" w:rsidRDefault="0067384D" w:rsidP="009A6DD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2340" w:type="dxa"/>
            <w:shd w:val="clear" w:color="auto" w:fill="FDE9D9" w:themeFill="accent6" w:themeFillTint="33"/>
            <w:noWrap/>
            <w:vAlign w:val="bottom"/>
            <w:hideMark/>
          </w:tcPr>
          <w:p w:rsidR="0067384D" w:rsidRPr="009871A8" w:rsidRDefault="0067384D" w:rsidP="00E03256">
            <w:pPr>
              <w:spacing w:after="0" w:line="240" w:lineRule="auto"/>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Delhi</w:t>
            </w:r>
          </w:p>
        </w:tc>
        <w:tc>
          <w:tcPr>
            <w:tcW w:w="3075" w:type="dxa"/>
            <w:shd w:val="clear" w:color="auto" w:fill="FDE9D9" w:themeFill="accent6" w:themeFillTint="33"/>
            <w:noWrap/>
            <w:vAlign w:val="bottom"/>
            <w:hideMark/>
          </w:tcPr>
          <w:p w:rsidR="0067384D" w:rsidRPr="009871A8" w:rsidRDefault="0067384D" w:rsidP="00E03256">
            <w:pPr>
              <w:spacing w:after="0" w:line="240" w:lineRule="auto"/>
              <w:jc w:val="center"/>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20,874</w:t>
            </w:r>
          </w:p>
        </w:tc>
      </w:tr>
      <w:tr w:rsidR="0067384D" w:rsidRPr="009871A8" w:rsidTr="009A6DD3">
        <w:trPr>
          <w:trHeight w:val="300"/>
          <w:jc w:val="center"/>
        </w:trPr>
        <w:tc>
          <w:tcPr>
            <w:tcW w:w="530" w:type="dxa"/>
            <w:shd w:val="clear" w:color="auto" w:fill="FDE9D9" w:themeFill="accent6" w:themeFillTint="33"/>
          </w:tcPr>
          <w:p w:rsidR="0067384D" w:rsidRPr="009871A8" w:rsidRDefault="0067384D" w:rsidP="009A6DD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2340" w:type="dxa"/>
            <w:shd w:val="clear" w:color="auto" w:fill="FDE9D9" w:themeFill="accent6" w:themeFillTint="33"/>
            <w:noWrap/>
            <w:vAlign w:val="bottom"/>
            <w:hideMark/>
          </w:tcPr>
          <w:p w:rsidR="0067384D" w:rsidRPr="009871A8" w:rsidRDefault="0067384D" w:rsidP="00E03256">
            <w:pPr>
              <w:spacing w:after="0" w:line="240" w:lineRule="auto"/>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Haryana</w:t>
            </w:r>
          </w:p>
        </w:tc>
        <w:tc>
          <w:tcPr>
            <w:tcW w:w="3075" w:type="dxa"/>
            <w:shd w:val="clear" w:color="auto" w:fill="FDE9D9" w:themeFill="accent6" w:themeFillTint="33"/>
            <w:noWrap/>
            <w:vAlign w:val="bottom"/>
            <w:hideMark/>
          </w:tcPr>
          <w:p w:rsidR="0067384D" w:rsidRPr="009871A8" w:rsidRDefault="0067384D" w:rsidP="00E03256">
            <w:pPr>
              <w:spacing w:after="0" w:line="240" w:lineRule="auto"/>
              <w:jc w:val="center"/>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2,434</w:t>
            </w:r>
          </w:p>
        </w:tc>
      </w:tr>
      <w:tr w:rsidR="0067384D" w:rsidRPr="009871A8" w:rsidTr="009A6DD3">
        <w:trPr>
          <w:trHeight w:val="300"/>
          <w:jc w:val="center"/>
        </w:trPr>
        <w:tc>
          <w:tcPr>
            <w:tcW w:w="530" w:type="dxa"/>
            <w:shd w:val="clear" w:color="auto" w:fill="FDE9D9" w:themeFill="accent6" w:themeFillTint="33"/>
          </w:tcPr>
          <w:p w:rsidR="0067384D" w:rsidRPr="009871A8" w:rsidRDefault="0067384D" w:rsidP="009A6DD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2340" w:type="dxa"/>
            <w:shd w:val="clear" w:color="auto" w:fill="FDE9D9" w:themeFill="accent6" w:themeFillTint="33"/>
            <w:noWrap/>
            <w:vAlign w:val="bottom"/>
            <w:hideMark/>
          </w:tcPr>
          <w:p w:rsidR="0067384D" w:rsidRPr="009871A8" w:rsidRDefault="0067384D" w:rsidP="00E03256">
            <w:pPr>
              <w:spacing w:after="0" w:line="240" w:lineRule="auto"/>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Himachal Pradesh</w:t>
            </w:r>
          </w:p>
        </w:tc>
        <w:tc>
          <w:tcPr>
            <w:tcW w:w="3075" w:type="dxa"/>
            <w:shd w:val="clear" w:color="auto" w:fill="FDE9D9" w:themeFill="accent6" w:themeFillTint="33"/>
            <w:noWrap/>
            <w:vAlign w:val="bottom"/>
            <w:hideMark/>
          </w:tcPr>
          <w:p w:rsidR="0067384D" w:rsidRPr="009871A8" w:rsidRDefault="0067384D" w:rsidP="00E03256">
            <w:pPr>
              <w:spacing w:after="0" w:line="240" w:lineRule="auto"/>
              <w:jc w:val="center"/>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33</w:t>
            </w:r>
          </w:p>
        </w:tc>
      </w:tr>
      <w:tr w:rsidR="0067384D" w:rsidRPr="009871A8" w:rsidTr="009A6DD3">
        <w:trPr>
          <w:trHeight w:val="300"/>
          <w:jc w:val="center"/>
        </w:trPr>
        <w:tc>
          <w:tcPr>
            <w:tcW w:w="530" w:type="dxa"/>
            <w:shd w:val="clear" w:color="auto" w:fill="FDE9D9" w:themeFill="accent6" w:themeFillTint="33"/>
          </w:tcPr>
          <w:p w:rsidR="0067384D" w:rsidRPr="009871A8" w:rsidRDefault="0067384D" w:rsidP="009A6DD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2340" w:type="dxa"/>
            <w:shd w:val="clear" w:color="auto" w:fill="FDE9D9" w:themeFill="accent6" w:themeFillTint="33"/>
            <w:noWrap/>
            <w:vAlign w:val="bottom"/>
            <w:hideMark/>
          </w:tcPr>
          <w:p w:rsidR="0067384D" w:rsidRPr="009871A8" w:rsidRDefault="0067384D" w:rsidP="00E03256">
            <w:pPr>
              <w:spacing w:after="0" w:line="240" w:lineRule="auto"/>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Punjab</w:t>
            </w:r>
          </w:p>
        </w:tc>
        <w:tc>
          <w:tcPr>
            <w:tcW w:w="3075" w:type="dxa"/>
            <w:shd w:val="clear" w:color="auto" w:fill="FDE9D9" w:themeFill="accent6" w:themeFillTint="33"/>
            <w:noWrap/>
            <w:vAlign w:val="bottom"/>
            <w:hideMark/>
          </w:tcPr>
          <w:p w:rsidR="0067384D" w:rsidRPr="009871A8" w:rsidRDefault="0067384D" w:rsidP="00E03256">
            <w:pPr>
              <w:spacing w:after="0" w:line="240" w:lineRule="auto"/>
              <w:jc w:val="center"/>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103</w:t>
            </w:r>
          </w:p>
        </w:tc>
      </w:tr>
      <w:tr w:rsidR="0067384D" w:rsidRPr="009871A8" w:rsidTr="009A6DD3">
        <w:trPr>
          <w:trHeight w:val="300"/>
          <w:jc w:val="center"/>
        </w:trPr>
        <w:tc>
          <w:tcPr>
            <w:tcW w:w="530" w:type="dxa"/>
            <w:shd w:val="clear" w:color="auto" w:fill="FDE9D9" w:themeFill="accent6" w:themeFillTint="33"/>
          </w:tcPr>
          <w:p w:rsidR="0067384D" w:rsidRPr="009871A8" w:rsidRDefault="0067384D" w:rsidP="009A6DD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2340" w:type="dxa"/>
            <w:shd w:val="clear" w:color="auto" w:fill="FDE9D9" w:themeFill="accent6" w:themeFillTint="33"/>
            <w:noWrap/>
            <w:vAlign w:val="bottom"/>
            <w:hideMark/>
          </w:tcPr>
          <w:p w:rsidR="0067384D" w:rsidRPr="009871A8" w:rsidRDefault="0067384D" w:rsidP="00E03256">
            <w:pPr>
              <w:spacing w:after="0" w:line="240" w:lineRule="auto"/>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Rajasthan</w:t>
            </w:r>
          </w:p>
        </w:tc>
        <w:tc>
          <w:tcPr>
            <w:tcW w:w="3075" w:type="dxa"/>
            <w:shd w:val="clear" w:color="auto" w:fill="FDE9D9" w:themeFill="accent6" w:themeFillTint="33"/>
            <w:noWrap/>
            <w:vAlign w:val="bottom"/>
            <w:hideMark/>
          </w:tcPr>
          <w:p w:rsidR="0067384D" w:rsidRPr="009871A8" w:rsidRDefault="0067384D" w:rsidP="00E03256">
            <w:pPr>
              <w:spacing w:after="0" w:line="240" w:lineRule="auto"/>
              <w:jc w:val="center"/>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4,745</w:t>
            </w:r>
          </w:p>
        </w:tc>
      </w:tr>
      <w:tr w:rsidR="0067384D" w:rsidRPr="009871A8" w:rsidTr="009A6DD3">
        <w:trPr>
          <w:trHeight w:val="300"/>
          <w:jc w:val="center"/>
        </w:trPr>
        <w:tc>
          <w:tcPr>
            <w:tcW w:w="530" w:type="dxa"/>
            <w:shd w:val="clear" w:color="auto" w:fill="FDE9D9" w:themeFill="accent6" w:themeFillTint="33"/>
          </w:tcPr>
          <w:p w:rsidR="0067384D" w:rsidRPr="009871A8" w:rsidRDefault="0067384D" w:rsidP="009A6DD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2340" w:type="dxa"/>
            <w:shd w:val="clear" w:color="auto" w:fill="FDE9D9" w:themeFill="accent6" w:themeFillTint="33"/>
            <w:noWrap/>
            <w:vAlign w:val="bottom"/>
            <w:hideMark/>
          </w:tcPr>
          <w:p w:rsidR="0067384D" w:rsidRPr="009871A8" w:rsidRDefault="0067384D" w:rsidP="00E03256">
            <w:pPr>
              <w:spacing w:after="0" w:line="240" w:lineRule="auto"/>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Uttar Pradesh</w:t>
            </w:r>
          </w:p>
        </w:tc>
        <w:tc>
          <w:tcPr>
            <w:tcW w:w="3075" w:type="dxa"/>
            <w:shd w:val="clear" w:color="auto" w:fill="FDE9D9" w:themeFill="accent6" w:themeFillTint="33"/>
            <w:noWrap/>
            <w:vAlign w:val="bottom"/>
            <w:hideMark/>
          </w:tcPr>
          <w:p w:rsidR="0067384D" w:rsidRPr="009871A8" w:rsidRDefault="0067384D" w:rsidP="00E03256">
            <w:pPr>
              <w:spacing w:after="0" w:line="240" w:lineRule="auto"/>
              <w:jc w:val="center"/>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3,117</w:t>
            </w:r>
          </w:p>
        </w:tc>
      </w:tr>
      <w:tr w:rsidR="0067384D" w:rsidRPr="009871A8" w:rsidTr="009A6DD3">
        <w:trPr>
          <w:trHeight w:val="300"/>
          <w:jc w:val="center"/>
        </w:trPr>
        <w:tc>
          <w:tcPr>
            <w:tcW w:w="530" w:type="dxa"/>
            <w:shd w:val="clear" w:color="auto" w:fill="FDE9D9" w:themeFill="accent6" w:themeFillTint="33"/>
          </w:tcPr>
          <w:p w:rsidR="0067384D" w:rsidRPr="009871A8" w:rsidRDefault="0067384D" w:rsidP="009A6DD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2340" w:type="dxa"/>
            <w:shd w:val="clear" w:color="auto" w:fill="FDE9D9" w:themeFill="accent6" w:themeFillTint="33"/>
            <w:noWrap/>
            <w:vAlign w:val="bottom"/>
            <w:hideMark/>
          </w:tcPr>
          <w:p w:rsidR="0067384D" w:rsidRPr="009871A8" w:rsidRDefault="0067384D" w:rsidP="00E03256">
            <w:pPr>
              <w:spacing w:after="0" w:line="240" w:lineRule="auto"/>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Utt</w:t>
            </w:r>
            <w:r>
              <w:rPr>
                <w:rFonts w:ascii="Calibri" w:eastAsia="Times New Roman" w:hAnsi="Calibri" w:cs="Times New Roman"/>
                <w:color w:val="000000"/>
                <w:sz w:val="20"/>
                <w:szCs w:val="20"/>
              </w:rPr>
              <w:t>a</w:t>
            </w:r>
            <w:r w:rsidRPr="009871A8">
              <w:rPr>
                <w:rFonts w:ascii="Calibri" w:eastAsia="Times New Roman" w:hAnsi="Calibri" w:cs="Times New Roman"/>
                <w:color w:val="000000"/>
                <w:sz w:val="20"/>
                <w:szCs w:val="20"/>
              </w:rPr>
              <w:t>rakhand</w:t>
            </w:r>
          </w:p>
        </w:tc>
        <w:tc>
          <w:tcPr>
            <w:tcW w:w="3075" w:type="dxa"/>
            <w:shd w:val="clear" w:color="auto" w:fill="FDE9D9" w:themeFill="accent6" w:themeFillTint="33"/>
            <w:noWrap/>
            <w:vAlign w:val="bottom"/>
            <w:hideMark/>
          </w:tcPr>
          <w:p w:rsidR="0067384D" w:rsidRPr="009871A8" w:rsidRDefault="0067384D" w:rsidP="00E03256">
            <w:pPr>
              <w:spacing w:after="0" w:line="240" w:lineRule="auto"/>
              <w:jc w:val="center"/>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2,375</w:t>
            </w:r>
          </w:p>
        </w:tc>
      </w:tr>
      <w:tr w:rsidR="0067384D" w:rsidRPr="009871A8" w:rsidTr="009A6DD3">
        <w:trPr>
          <w:trHeight w:val="300"/>
          <w:jc w:val="center"/>
        </w:trPr>
        <w:tc>
          <w:tcPr>
            <w:tcW w:w="530" w:type="dxa"/>
            <w:shd w:val="clear" w:color="auto" w:fill="FDE9D9" w:themeFill="accent6" w:themeFillTint="33"/>
          </w:tcPr>
          <w:p w:rsidR="0067384D" w:rsidRPr="009871A8" w:rsidRDefault="0067384D" w:rsidP="000949B0">
            <w:pPr>
              <w:spacing w:after="0" w:line="240" w:lineRule="auto"/>
              <w:jc w:val="right"/>
              <w:rPr>
                <w:rFonts w:ascii="Calibri" w:eastAsia="Times New Roman" w:hAnsi="Calibri" w:cs="Times New Roman"/>
                <w:color w:val="000000"/>
                <w:sz w:val="20"/>
                <w:szCs w:val="20"/>
              </w:rPr>
            </w:pPr>
          </w:p>
        </w:tc>
        <w:tc>
          <w:tcPr>
            <w:tcW w:w="2340" w:type="dxa"/>
            <w:shd w:val="clear" w:color="auto" w:fill="FDE9D9" w:themeFill="accent6" w:themeFillTint="33"/>
            <w:noWrap/>
            <w:vAlign w:val="bottom"/>
            <w:hideMark/>
          </w:tcPr>
          <w:p w:rsidR="0067384D" w:rsidRPr="009871A8" w:rsidRDefault="0067384D" w:rsidP="005B74AB">
            <w:pPr>
              <w:spacing w:after="0" w:line="240" w:lineRule="auto"/>
              <w:jc w:val="center"/>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Total Deaths</w:t>
            </w:r>
          </w:p>
        </w:tc>
        <w:tc>
          <w:tcPr>
            <w:tcW w:w="3075" w:type="dxa"/>
            <w:shd w:val="clear" w:color="auto" w:fill="FDE9D9" w:themeFill="accent6" w:themeFillTint="33"/>
            <w:noWrap/>
            <w:vAlign w:val="bottom"/>
            <w:hideMark/>
          </w:tcPr>
          <w:p w:rsidR="0067384D" w:rsidRPr="009871A8" w:rsidRDefault="0067384D" w:rsidP="005B74AB">
            <w:pPr>
              <w:spacing w:after="0" w:line="240" w:lineRule="auto"/>
              <w:jc w:val="center"/>
              <w:rPr>
                <w:rFonts w:ascii="Calibri" w:eastAsia="Times New Roman" w:hAnsi="Calibri" w:cs="Times New Roman"/>
                <w:color w:val="000000"/>
                <w:sz w:val="20"/>
                <w:szCs w:val="20"/>
              </w:rPr>
            </w:pPr>
            <w:r w:rsidRPr="009871A8">
              <w:rPr>
                <w:rFonts w:ascii="Calibri" w:eastAsia="Times New Roman" w:hAnsi="Calibri" w:cs="Times New Roman"/>
                <w:color w:val="000000"/>
                <w:sz w:val="20"/>
                <w:szCs w:val="20"/>
              </w:rPr>
              <w:t>34,066</w:t>
            </w:r>
          </w:p>
        </w:tc>
      </w:tr>
      <w:tr w:rsidR="0067384D" w:rsidRPr="009871A8" w:rsidTr="009A6DD3">
        <w:trPr>
          <w:trHeight w:val="300"/>
          <w:jc w:val="center"/>
        </w:trPr>
        <w:tc>
          <w:tcPr>
            <w:tcW w:w="530" w:type="dxa"/>
            <w:shd w:val="clear" w:color="auto" w:fill="FDE9D9" w:themeFill="accent6" w:themeFillTint="33"/>
          </w:tcPr>
          <w:p w:rsidR="0067384D" w:rsidRDefault="0067384D" w:rsidP="000949B0">
            <w:pPr>
              <w:spacing w:after="0" w:line="240" w:lineRule="auto"/>
              <w:jc w:val="right"/>
              <w:rPr>
                <w:rFonts w:ascii="Calibri" w:eastAsia="Times New Roman" w:hAnsi="Calibri" w:cs="Times New Roman"/>
                <w:b/>
                <w:bCs/>
                <w:color w:val="000000"/>
                <w:sz w:val="20"/>
                <w:szCs w:val="20"/>
              </w:rPr>
            </w:pPr>
          </w:p>
        </w:tc>
        <w:tc>
          <w:tcPr>
            <w:tcW w:w="2340" w:type="dxa"/>
            <w:shd w:val="clear" w:color="auto" w:fill="FDE9D9" w:themeFill="accent6" w:themeFillTint="33"/>
            <w:noWrap/>
            <w:vAlign w:val="bottom"/>
            <w:hideMark/>
          </w:tcPr>
          <w:p w:rsidR="0067384D" w:rsidRPr="009871A8" w:rsidRDefault="0067384D" w:rsidP="007F2879">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Total </w:t>
            </w:r>
            <w:r w:rsidRPr="009871A8">
              <w:rPr>
                <w:rFonts w:ascii="Calibri" w:eastAsia="Times New Roman" w:hAnsi="Calibri" w:cs="Times New Roman"/>
                <w:b/>
                <w:bCs/>
                <w:color w:val="000000"/>
                <w:sz w:val="20"/>
                <w:szCs w:val="20"/>
              </w:rPr>
              <w:t>Homeless Deaths</w:t>
            </w:r>
          </w:p>
        </w:tc>
        <w:tc>
          <w:tcPr>
            <w:tcW w:w="3075" w:type="dxa"/>
            <w:shd w:val="clear" w:color="auto" w:fill="FDE9D9" w:themeFill="accent6" w:themeFillTint="33"/>
            <w:noWrap/>
            <w:vAlign w:val="bottom"/>
            <w:hideMark/>
          </w:tcPr>
          <w:p w:rsidR="0067384D" w:rsidRPr="009871A8" w:rsidRDefault="0067384D" w:rsidP="007F2879">
            <w:pPr>
              <w:spacing w:after="0" w:line="240" w:lineRule="auto"/>
              <w:jc w:val="center"/>
              <w:rPr>
                <w:rFonts w:ascii="Calibri" w:eastAsia="Times New Roman" w:hAnsi="Calibri" w:cs="Times New Roman"/>
                <w:b/>
                <w:bCs/>
                <w:color w:val="000000"/>
                <w:sz w:val="20"/>
                <w:szCs w:val="20"/>
              </w:rPr>
            </w:pPr>
            <w:r w:rsidRPr="009871A8">
              <w:rPr>
                <w:rFonts w:ascii="Calibri" w:eastAsia="Times New Roman" w:hAnsi="Calibri" w:cs="Times New Roman"/>
                <w:b/>
                <w:bCs/>
                <w:color w:val="000000"/>
                <w:sz w:val="20"/>
                <w:szCs w:val="20"/>
              </w:rPr>
              <w:t>23,846</w:t>
            </w:r>
          </w:p>
        </w:tc>
      </w:tr>
    </w:tbl>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It is important to note that:</w:t>
      </w:r>
    </w:p>
    <w:p w:rsidR="005F2CC5" w:rsidRPr="00A30195" w:rsidRDefault="005F2CC5" w:rsidP="005F2CC5">
      <w:pPr>
        <w:pStyle w:val="ListParagraph"/>
        <w:numPr>
          <w:ilvl w:val="0"/>
          <w:numId w:val="5"/>
        </w:numPr>
        <w:spacing w:after="0" w:line="240" w:lineRule="auto"/>
        <w:ind w:left="360"/>
        <w:jc w:val="both"/>
        <w:rPr>
          <w:rFonts w:ascii="Times New Roman" w:hAnsi="Times New Roman" w:cs="Times New Roman"/>
          <w:sz w:val="24"/>
          <w:szCs w:val="24"/>
        </w:rPr>
      </w:pPr>
      <w:r w:rsidRPr="00A30195">
        <w:rPr>
          <w:rFonts w:ascii="Times New Roman" w:hAnsi="Times New Roman" w:cs="Times New Roman"/>
          <w:sz w:val="24"/>
          <w:szCs w:val="24"/>
        </w:rPr>
        <w:t>Himachal Pradesh police joined the network in 2012;</w:t>
      </w:r>
      <w:r>
        <w:rPr>
          <w:rFonts w:ascii="Times New Roman" w:hAnsi="Times New Roman" w:cs="Times New Roman"/>
          <w:sz w:val="24"/>
          <w:szCs w:val="24"/>
        </w:rPr>
        <w:t xml:space="preserve"> and,</w:t>
      </w:r>
    </w:p>
    <w:p w:rsidR="005F2CC5" w:rsidRPr="00A30195" w:rsidRDefault="005F2CC5" w:rsidP="005F2CC5">
      <w:pPr>
        <w:pStyle w:val="ListParagraph"/>
        <w:numPr>
          <w:ilvl w:val="0"/>
          <w:numId w:val="5"/>
        </w:numPr>
        <w:spacing w:after="0" w:line="240" w:lineRule="auto"/>
        <w:ind w:left="360"/>
        <w:jc w:val="both"/>
        <w:rPr>
          <w:rFonts w:ascii="Times New Roman" w:hAnsi="Times New Roman" w:cs="Times New Roman"/>
          <w:sz w:val="24"/>
          <w:szCs w:val="24"/>
        </w:rPr>
      </w:pPr>
      <w:r w:rsidRPr="00A30195">
        <w:rPr>
          <w:rFonts w:ascii="Times New Roman" w:hAnsi="Times New Roman" w:cs="Times New Roman"/>
          <w:sz w:val="24"/>
          <w:szCs w:val="24"/>
        </w:rPr>
        <w:t xml:space="preserve">Documentation of </w:t>
      </w:r>
      <w:r>
        <w:rPr>
          <w:rFonts w:ascii="Times New Roman" w:hAnsi="Times New Roman" w:cs="Times New Roman"/>
          <w:sz w:val="24"/>
          <w:szCs w:val="24"/>
        </w:rPr>
        <w:t>‘</w:t>
      </w:r>
      <w:r w:rsidRPr="00A30195">
        <w:rPr>
          <w:rFonts w:ascii="Times New Roman" w:hAnsi="Times New Roman" w:cs="Times New Roman"/>
          <w:sz w:val="24"/>
          <w:szCs w:val="24"/>
        </w:rPr>
        <w:t xml:space="preserve">unidentified </w:t>
      </w:r>
      <w:r>
        <w:rPr>
          <w:rFonts w:ascii="Times New Roman" w:hAnsi="Times New Roman" w:cs="Times New Roman"/>
          <w:sz w:val="24"/>
          <w:szCs w:val="24"/>
        </w:rPr>
        <w:t>bodies’</w:t>
      </w:r>
      <w:r w:rsidRPr="00A30195">
        <w:rPr>
          <w:rFonts w:ascii="Times New Roman" w:hAnsi="Times New Roman" w:cs="Times New Roman"/>
          <w:sz w:val="24"/>
          <w:szCs w:val="24"/>
        </w:rPr>
        <w:t xml:space="preserve"> is carried out more regularly by the Delhi Police.</w:t>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Living on the streets without any form of shelter greatly increases the vulnerability of the homeless to abuse, sexual violence, injury, disease, mental illness, and death. Many of these deaths are preventable, especially if the homeless had access to adequate housing, food, water, sanitation, and healthcare facilities.</w:t>
      </w:r>
    </w:p>
    <w:p w:rsidR="005F2CC5" w:rsidRDefault="005F2CC5" w:rsidP="005F2CC5">
      <w:pPr>
        <w:spacing w:after="0" w:line="240" w:lineRule="auto"/>
        <w:jc w:val="both"/>
        <w:rPr>
          <w:rFonts w:ascii="Times New Roman" w:hAnsi="Times New Roman" w:cs="Times New Roman"/>
          <w:sz w:val="24"/>
          <w:szCs w:val="24"/>
        </w:rPr>
      </w:pPr>
    </w:p>
    <w:p w:rsidR="005F2CC5" w:rsidRPr="0000035E" w:rsidRDefault="005F2CC5" w:rsidP="005F2CC5">
      <w:pPr>
        <w:spacing w:after="0" w:line="240" w:lineRule="auto"/>
        <w:jc w:val="both"/>
        <w:rPr>
          <w:rFonts w:cs="Times New Roman"/>
          <w:b/>
          <w:color w:val="00B050"/>
          <w:sz w:val="25"/>
          <w:szCs w:val="25"/>
        </w:rPr>
      </w:pPr>
      <w:r w:rsidRPr="0000035E">
        <w:rPr>
          <w:rFonts w:cs="Times New Roman"/>
          <w:b/>
          <w:color w:val="00B050"/>
          <w:sz w:val="25"/>
          <w:szCs w:val="25"/>
        </w:rPr>
        <w:t>Documented Deaths During and After Forced Evictions</w:t>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F2879">
        <w:rPr>
          <w:rFonts w:ascii="Times New Roman" w:hAnsi="Times New Roman" w:cs="Times New Roman"/>
          <w:sz w:val="24"/>
          <w:szCs w:val="24"/>
        </w:rPr>
        <w:t>G</w:t>
      </w:r>
      <w:r>
        <w:rPr>
          <w:rFonts w:ascii="Times New Roman" w:hAnsi="Times New Roman" w:cs="Times New Roman"/>
          <w:sz w:val="24"/>
          <w:szCs w:val="24"/>
        </w:rPr>
        <w:t xml:space="preserve">overnment </w:t>
      </w:r>
      <w:r w:rsidR="007F2879">
        <w:rPr>
          <w:rFonts w:ascii="Times New Roman" w:hAnsi="Times New Roman" w:cs="Times New Roman"/>
          <w:sz w:val="24"/>
          <w:szCs w:val="24"/>
        </w:rPr>
        <w:t xml:space="preserve">of India </w:t>
      </w:r>
      <w:r>
        <w:rPr>
          <w:rFonts w:ascii="Times New Roman" w:hAnsi="Times New Roman" w:cs="Times New Roman"/>
          <w:sz w:val="24"/>
          <w:szCs w:val="24"/>
        </w:rPr>
        <w:t xml:space="preserve">does not document </w:t>
      </w:r>
      <w:r w:rsidR="007F2879">
        <w:rPr>
          <w:rFonts w:ascii="Times New Roman" w:hAnsi="Times New Roman" w:cs="Times New Roman"/>
          <w:sz w:val="24"/>
          <w:szCs w:val="24"/>
        </w:rPr>
        <w:t xml:space="preserve">forced evictions or </w:t>
      </w:r>
      <w:r>
        <w:rPr>
          <w:rFonts w:ascii="Times New Roman" w:hAnsi="Times New Roman" w:cs="Times New Roman"/>
          <w:sz w:val="24"/>
          <w:szCs w:val="24"/>
        </w:rPr>
        <w:t>deaths resulting from evictions</w:t>
      </w:r>
      <w:r w:rsidR="007F2879">
        <w:rPr>
          <w:rFonts w:ascii="Times New Roman" w:hAnsi="Times New Roman" w:cs="Times New Roman"/>
          <w:sz w:val="24"/>
          <w:szCs w:val="24"/>
        </w:rPr>
        <w:t xml:space="preserve"> in the country;</w:t>
      </w:r>
      <w:r>
        <w:rPr>
          <w:rFonts w:ascii="Times New Roman" w:hAnsi="Times New Roman" w:cs="Times New Roman"/>
          <w:sz w:val="24"/>
          <w:szCs w:val="24"/>
        </w:rPr>
        <w:t xml:space="preserve"> neither do most civil society organizations. In many instances, the forced eviction and demolition of homes without resettlement/inadequate resettlement results in people being forced to live in extremely inadequate conditions. This increases their morbidity and mortality, especially of older persons</w:t>
      </w:r>
      <w:r w:rsidR="007F2879">
        <w:rPr>
          <w:rFonts w:ascii="Times New Roman" w:hAnsi="Times New Roman" w:cs="Times New Roman"/>
          <w:sz w:val="24"/>
          <w:szCs w:val="24"/>
        </w:rPr>
        <w:t>, infants, children,</w:t>
      </w:r>
      <w:r>
        <w:rPr>
          <w:rFonts w:ascii="Times New Roman" w:hAnsi="Times New Roman" w:cs="Times New Roman"/>
          <w:sz w:val="24"/>
          <w:szCs w:val="24"/>
        </w:rPr>
        <w:t xml:space="preserve"> and persons living with chronic health problems.</w:t>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HLRN’s research and direct field experience, a few </w:t>
      </w:r>
      <w:r w:rsidR="00BB5715">
        <w:rPr>
          <w:rFonts w:ascii="Times New Roman" w:hAnsi="Times New Roman" w:cs="Times New Roman"/>
          <w:sz w:val="24"/>
          <w:szCs w:val="24"/>
        </w:rPr>
        <w:t xml:space="preserve">instances </w:t>
      </w:r>
      <w:r>
        <w:rPr>
          <w:rFonts w:ascii="Times New Roman" w:hAnsi="Times New Roman" w:cs="Times New Roman"/>
          <w:sz w:val="24"/>
          <w:szCs w:val="24"/>
        </w:rPr>
        <w:t>of injur</w:t>
      </w:r>
      <w:r w:rsidR="00BB5715">
        <w:rPr>
          <w:rFonts w:ascii="Times New Roman" w:hAnsi="Times New Roman" w:cs="Times New Roman"/>
          <w:sz w:val="24"/>
          <w:szCs w:val="24"/>
        </w:rPr>
        <w:t>y</w:t>
      </w:r>
      <w:r>
        <w:rPr>
          <w:rFonts w:ascii="Times New Roman" w:hAnsi="Times New Roman" w:cs="Times New Roman"/>
          <w:sz w:val="24"/>
          <w:szCs w:val="24"/>
        </w:rPr>
        <w:t xml:space="preserve"> and death that have occurred during or after evictions, are tabulated below: </w:t>
      </w:r>
    </w:p>
    <w:p w:rsidR="005F2CC5" w:rsidRDefault="005F2CC5" w:rsidP="005F2CC5">
      <w:pPr>
        <w:spacing w:after="0" w:line="240" w:lineRule="auto"/>
        <w:jc w:val="both"/>
        <w:rPr>
          <w:rFonts w:ascii="Times New Roman" w:hAnsi="Times New Roman" w:cs="Times New Roman"/>
          <w:sz w:val="24"/>
          <w:szCs w:val="24"/>
        </w:rPr>
      </w:pPr>
    </w:p>
    <w:p w:rsidR="00F15DA6" w:rsidRPr="00F15DA6" w:rsidRDefault="00F15DA6" w:rsidP="00F15DA6">
      <w:pPr>
        <w:spacing w:after="0" w:line="240" w:lineRule="auto"/>
        <w:jc w:val="center"/>
        <w:rPr>
          <w:rFonts w:cs="Times New Roman"/>
          <w:b/>
        </w:rPr>
      </w:pPr>
      <w:r w:rsidRPr="00F15DA6">
        <w:rPr>
          <w:rFonts w:cs="Times New Roman"/>
          <w:b/>
        </w:rPr>
        <w:t>Injury and Death from Forced Evictions: 200</w:t>
      </w:r>
      <w:r w:rsidR="00BB5715">
        <w:rPr>
          <w:rFonts w:cs="Times New Roman"/>
          <w:b/>
        </w:rPr>
        <w:t>9</w:t>
      </w:r>
      <w:r w:rsidR="00A00500">
        <w:rPr>
          <w:rFonts w:cs="Times New Roman"/>
          <w:b/>
        </w:rPr>
        <w:t>–</w:t>
      </w:r>
      <w:r w:rsidRPr="00F15DA6">
        <w:rPr>
          <w:rFonts w:cs="Times New Roman"/>
          <w:b/>
        </w:rPr>
        <w:t>2015</w:t>
      </w:r>
    </w:p>
    <w:p w:rsidR="00F15DA6" w:rsidRPr="00C50129" w:rsidRDefault="00F15DA6" w:rsidP="00F15DA6">
      <w:pPr>
        <w:spacing w:after="0" w:line="240" w:lineRule="auto"/>
        <w:jc w:val="center"/>
        <w:rPr>
          <w:rFonts w:ascii="Times New Roman" w:hAnsi="Times New Roman" w:cs="Times New Roman"/>
          <w:sz w:val="12"/>
          <w:szCs w:val="12"/>
        </w:rPr>
      </w:pPr>
    </w:p>
    <w:tbl>
      <w:tblPr>
        <w:tblW w:w="8701"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5405"/>
      </w:tblGrid>
      <w:tr w:rsidR="005F2CC5" w:rsidRPr="00F33B8B" w:rsidTr="009A6DD3">
        <w:trPr>
          <w:trHeight w:val="300"/>
          <w:jc w:val="center"/>
        </w:trPr>
        <w:tc>
          <w:tcPr>
            <w:tcW w:w="3296" w:type="dxa"/>
            <w:shd w:val="clear" w:color="auto" w:fill="FBD4B4" w:themeFill="accent6" w:themeFillTint="66"/>
            <w:noWrap/>
            <w:vAlign w:val="center"/>
            <w:hideMark/>
          </w:tcPr>
          <w:p w:rsidR="005F2CC5" w:rsidRPr="00F15DA6" w:rsidRDefault="00D41F46" w:rsidP="00E03256">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Site of </w:t>
            </w:r>
            <w:r w:rsidR="005F2CC5" w:rsidRPr="00F15DA6">
              <w:rPr>
                <w:rFonts w:ascii="Calibri" w:eastAsia="Times New Roman" w:hAnsi="Calibri" w:cs="Times New Roman"/>
                <w:b/>
                <w:bCs/>
                <w:color w:val="000000"/>
              </w:rPr>
              <w:t>Eviction</w:t>
            </w:r>
            <w:r>
              <w:rPr>
                <w:rFonts w:ascii="Calibri" w:eastAsia="Times New Roman" w:hAnsi="Calibri" w:cs="Times New Roman"/>
                <w:b/>
                <w:bCs/>
                <w:color w:val="000000"/>
              </w:rPr>
              <w:t xml:space="preserve"> </w:t>
            </w:r>
            <w:r w:rsidR="005F2CC5" w:rsidRPr="00F15DA6">
              <w:rPr>
                <w:rFonts w:ascii="Calibri" w:eastAsia="Times New Roman" w:hAnsi="Calibri" w:cs="Times New Roman"/>
                <w:b/>
                <w:bCs/>
                <w:color w:val="000000"/>
              </w:rPr>
              <w:t>/</w:t>
            </w:r>
            <w:r>
              <w:rPr>
                <w:rFonts w:ascii="Calibri" w:eastAsia="Times New Roman" w:hAnsi="Calibri" w:cs="Times New Roman"/>
                <w:b/>
                <w:bCs/>
                <w:color w:val="000000"/>
              </w:rPr>
              <w:t xml:space="preserve"> </w:t>
            </w:r>
            <w:r w:rsidR="005F2CC5" w:rsidRPr="00F15DA6">
              <w:rPr>
                <w:rFonts w:ascii="Calibri" w:eastAsia="Times New Roman" w:hAnsi="Calibri" w:cs="Times New Roman"/>
                <w:b/>
                <w:bCs/>
                <w:color w:val="000000"/>
              </w:rPr>
              <w:t>Demolition</w:t>
            </w:r>
          </w:p>
        </w:tc>
        <w:tc>
          <w:tcPr>
            <w:tcW w:w="5405" w:type="dxa"/>
            <w:shd w:val="clear" w:color="auto" w:fill="FBD4B4" w:themeFill="accent6" w:themeFillTint="66"/>
            <w:noWrap/>
            <w:vAlign w:val="center"/>
            <w:hideMark/>
          </w:tcPr>
          <w:p w:rsidR="00F15DA6" w:rsidRPr="00F15DA6" w:rsidRDefault="00F15DA6" w:rsidP="00E03256">
            <w:pPr>
              <w:spacing w:after="0" w:line="240" w:lineRule="auto"/>
              <w:jc w:val="center"/>
              <w:rPr>
                <w:rFonts w:ascii="Calibri" w:eastAsia="Times New Roman" w:hAnsi="Calibri" w:cs="Times New Roman"/>
                <w:b/>
                <w:bCs/>
                <w:color w:val="000000"/>
              </w:rPr>
            </w:pPr>
          </w:p>
          <w:p w:rsidR="005F2CC5" w:rsidRPr="00F15DA6" w:rsidRDefault="005F2CC5" w:rsidP="00E03256">
            <w:pPr>
              <w:spacing w:after="0" w:line="240" w:lineRule="auto"/>
              <w:jc w:val="center"/>
              <w:rPr>
                <w:rFonts w:ascii="Calibri" w:eastAsia="Times New Roman" w:hAnsi="Calibri" w:cs="Times New Roman"/>
                <w:b/>
                <w:bCs/>
                <w:color w:val="000000"/>
              </w:rPr>
            </w:pPr>
            <w:r w:rsidRPr="00F15DA6">
              <w:rPr>
                <w:rFonts w:ascii="Calibri" w:eastAsia="Times New Roman" w:hAnsi="Calibri" w:cs="Times New Roman"/>
                <w:b/>
                <w:bCs/>
                <w:color w:val="000000"/>
              </w:rPr>
              <w:t>Injury</w:t>
            </w:r>
            <w:r w:rsidR="00D41F46">
              <w:rPr>
                <w:rFonts w:ascii="Calibri" w:eastAsia="Times New Roman" w:hAnsi="Calibri" w:cs="Times New Roman"/>
                <w:b/>
                <w:bCs/>
                <w:color w:val="000000"/>
              </w:rPr>
              <w:t xml:space="preserve"> </w:t>
            </w:r>
            <w:r w:rsidRPr="00F15DA6">
              <w:rPr>
                <w:rFonts w:ascii="Calibri" w:eastAsia="Times New Roman" w:hAnsi="Calibri" w:cs="Times New Roman"/>
                <w:b/>
                <w:bCs/>
                <w:color w:val="000000"/>
              </w:rPr>
              <w:t>/</w:t>
            </w:r>
            <w:r w:rsidR="00D41F46">
              <w:rPr>
                <w:rFonts w:ascii="Calibri" w:eastAsia="Times New Roman" w:hAnsi="Calibri" w:cs="Times New Roman"/>
                <w:b/>
                <w:bCs/>
                <w:color w:val="000000"/>
              </w:rPr>
              <w:t xml:space="preserve"> Deterioration of</w:t>
            </w:r>
            <w:r w:rsidRPr="00F15DA6">
              <w:rPr>
                <w:rFonts w:ascii="Calibri" w:eastAsia="Times New Roman" w:hAnsi="Calibri" w:cs="Times New Roman"/>
                <w:b/>
                <w:bCs/>
                <w:color w:val="000000"/>
              </w:rPr>
              <w:t xml:space="preserve"> Health</w:t>
            </w:r>
            <w:r w:rsidR="00D41F46">
              <w:rPr>
                <w:rFonts w:ascii="Calibri" w:eastAsia="Times New Roman" w:hAnsi="Calibri" w:cs="Times New Roman"/>
                <w:b/>
                <w:bCs/>
                <w:color w:val="000000"/>
              </w:rPr>
              <w:t xml:space="preserve"> </w:t>
            </w:r>
            <w:r w:rsidRPr="00F15DA6">
              <w:rPr>
                <w:rFonts w:ascii="Calibri" w:eastAsia="Times New Roman" w:hAnsi="Calibri" w:cs="Times New Roman"/>
                <w:b/>
                <w:bCs/>
                <w:color w:val="000000"/>
              </w:rPr>
              <w:t>/</w:t>
            </w:r>
            <w:r w:rsidR="00D41F46">
              <w:rPr>
                <w:rFonts w:ascii="Calibri" w:eastAsia="Times New Roman" w:hAnsi="Calibri" w:cs="Times New Roman"/>
                <w:b/>
                <w:bCs/>
                <w:color w:val="000000"/>
              </w:rPr>
              <w:t xml:space="preserve"> </w:t>
            </w:r>
            <w:r w:rsidRPr="00F15DA6">
              <w:rPr>
                <w:rFonts w:ascii="Calibri" w:eastAsia="Times New Roman" w:hAnsi="Calibri" w:cs="Times New Roman"/>
                <w:b/>
                <w:bCs/>
                <w:color w:val="000000"/>
              </w:rPr>
              <w:t>Death</w:t>
            </w:r>
          </w:p>
          <w:p w:rsidR="005F2CC5" w:rsidRPr="00F15DA6" w:rsidRDefault="005F2CC5" w:rsidP="00E03256">
            <w:pPr>
              <w:spacing w:after="0" w:line="240" w:lineRule="auto"/>
              <w:jc w:val="center"/>
              <w:rPr>
                <w:rFonts w:ascii="Calibri" w:eastAsia="Times New Roman" w:hAnsi="Calibri" w:cs="Times New Roman"/>
                <w:b/>
                <w:bCs/>
                <w:color w:val="000000"/>
              </w:rPr>
            </w:pPr>
          </w:p>
        </w:tc>
      </w:tr>
      <w:tr w:rsidR="005F2CC5" w:rsidRPr="00F33B8B" w:rsidTr="009A6DD3">
        <w:trPr>
          <w:trHeight w:val="197"/>
          <w:jc w:val="center"/>
        </w:trPr>
        <w:tc>
          <w:tcPr>
            <w:tcW w:w="3296" w:type="dxa"/>
            <w:shd w:val="clear" w:color="auto" w:fill="FDE9D9" w:themeFill="accent6" w:themeFillTint="33"/>
            <w:noWrap/>
            <w:vAlign w:val="center"/>
          </w:tcPr>
          <w:p w:rsidR="005F2CC5" w:rsidRPr="00F33B8B" w:rsidRDefault="005F2CC5"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C.P. Shekhar Nagar, Indore, Madhya Pradesh (2015)</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5F2CC5" w:rsidRDefault="005F2CC5"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Anand Totaram, a 26-year old man, died when a wall collapsed on him during a demolition drive by </w:t>
            </w:r>
            <w:r w:rsidR="00F10A82" w:rsidRPr="00F15DA6">
              <w:rPr>
                <w:rFonts w:ascii="Calibri" w:eastAsia="Times New Roman" w:hAnsi="Calibri" w:cs="Times New Roman"/>
                <w:color w:val="000000"/>
                <w:sz w:val="20"/>
                <w:szCs w:val="20"/>
              </w:rPr>
              <w:t>the Indore Municipal Corporation.</w:t>
            </w:r>
          </w:p>
          <w:p w:rsidR="005F2CC5" w:rsidRPr="00CB5CCA" w:rsidRDefault="005F2CC5" w:rsidP="00E03256">
            <w:pPr>
              <w:spacing w:after="0" w:line="240" w:lineRule="auto"/>
              <w:rPr>
                <w:rFonts w:ascii="Calibri" w:eastAsia="Times New Roman" w:hAnsi="Calibri" w:cs="Times New Roman"/>
                <w:color w:val="000000"/>
                <w:sz w:val="12"/>
                <w:szCs w:val="12"/>
              </w:rPr>
            </w:pPr>
          </w:p>
        </w:tc>
      </w:tr>
      <w:tr w:rsidR="005F2CC5" w:rsidRPr="00F33B8B" w:rsidTr="009A6DD3">
        <w:trPr>
          <w:trHeight w:val="197"/>
          <w:jc w:val="center"/>
        </w:trPr>
        <w:tc>
          <w:tcPr>
            <w:tcW w:w="3296" w:type="dxa"/>
            <w:shd w:val="clear" w:color="auto" w:fill="FDE9D9" w:themeFill="accent6" w:themeFillTint="33"/>
            <w:noWrap/>
            <w:vAlign w:val="center"/>
          </w:tcPr>
          <w:p w:rsidR="005F2CC5" w:rsidRDefault="005F2CC5"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Shakur Basti, Delhi (2015)</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5F2CC5" w:rsidRDefault="005F2CC5"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Rukaiya Khatoon, a six-month old infant girl died as a result of a chest and head injury</w:t>
            </w:r>
            <w:r w:rsidR="00F15DA6">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incurred during the demolition</w:t>
            </w:r>
            <w:r w:rsidR="0042305A">
              <w:rPr>
                <w:rFonts w:ascii="Calibri" w:eastAsia="Times New Roman" w:hAnsi="Calibri" w:cs="Times New Roman"/>
                <w:color w:val="000000"/>
                <w:sz w:val="20"/>
                <w:szCs w:val="20"/>
              </w:rPr>
              <w:t xml:space="preserve"> of her home by the Railways</w:t>
            </w:r>
            <w:r w:rsidR="00F15DA6">
              <w:rPr>
                <w:rFonts w:ascii="Calibri" w:eastAsia="Times New Roman" w:hAnsi="Calibri" w:cs="Times New Roman"/>
                <w:color w:val="000000"/>
                <w:sz w:val="20"/>
                <w:szCs w:val="20"/>
              </w:rPr>
              <w:t xml:space="preserve"> in the peak of winter</w:t>
            </w:r>
            <w:r w:rsidR="0042305A">
              <w:rPr>
                <w:rFonts w:ascii="Calibri" w:eastAsia="Times New Roman" w:hAnsi="Calibri" w:cs="Times New Roman"/>
                <w:color w:val="000000"/>
                <w:sz w:val="20"/>
                <w:szCs w:val="20"/>
              </w:rPr>
              <w:t>.</w:t>
            </w:r>
          </w:p>
          <w:p w:rsidR="005F2CC5" w:rsidRPr="00CB5CCA" w:rsidRDefault="005F2CC5" w:rsidP="00E03256">
            <w:pPr>
              <w:spacing w:after="0" w:line="240" w:lineRule="auto"/>
              <w:rPr>
                <w:rFonts w:ascii="Calibri" w:eastAsia="Times New Roman" w:hAnsi="Calibri" w:cs="Times New Roman"/>
                <w:color w:val="000000"/>
                <w:sz w:val="12"/>
                <w:szCs w:val="12"/>
              </w:rPr>
            </w:pPr>
          </w:p>
        </w:tc>
      </w:tr>
      <w:tr w:rsidR="005F2CC5" w:rsidRPr="00F33B8B" w:rsidTr="009A6DD3">
        <w:trPr>
          <w:trHeight w:val="197"/>
          <w:jc w:val="center"/>
        </w:trPr>
        <w:tc>
          <w:tcPr>
            <w:tcW w:w="3296" w:type="dxa"/>
            <w:shd w:val="clear" w:color="auto" w:fill="FDE9D9" w:themeFill="accent6" w:themeFillTint="33"/>
            <w:noWrap/>
            <w:vAlign w:val="center"/>
          </w:tcPr>
          <w:p w:rsidR="005F2CC5" w:rsidRDefault="005F2CC5" w:rsidP="00E03256">
            <w:pPr>
              <w:spacing w:after="0" w:line="240" w:lineRule="auto"/>
              <w:rPr>
                <w:rFonts w:ascii="Calibri" w:eastAsia="Times New Roman" w:hAnsi="Calibri" w:cs="Times New Roman"/>
                <w:color w:val="000000"/>
                <w:sz w:val="20"/>
                <w:szCs w:val="20"/>
              </w:rPr>
            </w:pPr>
            <w:r w:rsidRPr="007D7EA3">
              <w:rPr>
                <w:rFonts w:ascii="Calibri" w:eastAsia="Times New Roman" w:hAnsi="Calibri" w:cs="Times New Roman"/>
                <w:color w:val="000000"/>
                <w:sz w:val="20"/>
                <w:szCs w:val="20"/>
              </w:rPr>
              <w:t>Gulbarga, Karnataka</w:t>
            </w:r>
            <w:r>
              <w:rPr>
                <w:rFonts w:ascii="Calibri" w:eastAsia="Times New Roman" w:hAnsi="Calibri" w:cs="Times New Roman"/>
                <w:color w:val="000000"/>
                <w:sz w:val="20"/>
                <w:szCs w:val="20"/>
              </w:rPr>
              <w:t xml:space="preserve"> (2015) </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5F2CC5" w:rsidRDefault="005F2CC5" w:rsidP="00E03256">
            <w:pPr>
              <w:spacing w:after="0" w:line="240" w:lineRule="auto"/>
              <w:rPr>
                <w:rFonts w:ascii="Calibri" w:eastAsia="Times New Roman" w:hAnsi="Calibri" w:cs="Times New Roman"/>
                <w:color w:val="000000"/>
                <w:sz w:val="20"/>
                <w:szCs w:val="20"/>
              </w:rPr>
            </w:pPr>
            <w:r w:rsidRPr="00112814">
              <w:rPr>
                <w:rFonts w:ascii="Calibri" w:eastAsia="Times New Roman" w:hAnsi="Calibri" w:cs="Times New Roman"/>
                <w:color w:val="000000"/>
                <w:sz w:val="20"/>
                <w:szCs w:val="20"/>
              </w:rPr>
              <w:t xml:space="preserve">About 80 children, and pregnant and lactating women were among the worst affected </w:t>
            </w:r>
            <w:r>
              <w:rPr>
                <w:rFonts w:ascii="Calibri" w:eastAsia="Times New Roman" w:hAnsi="Calibri" w:cs="Times New Roman"/>
                <w:color w:val="000000"/>
                <w:sz w:val="20"/>
                <w:szCs w:val="20"/>
              </w:rPr>
              <w:t>during</w:t>
            </w:r>
            <w:r w:rsidRPr="00112814">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an</w:t>
            </w:r>
            <w:r w:rsidRPr="00112814">
              <w:rPr>
                <w:rFonts w:ascii="Calibri" w:eastAsia="Times New Roman" w:hAnsi="Calibri" w:cs="Times New Roman"/>
                <w:color w:val="000000"/>
                <w:sz w:val="20"/>
                <w:szCs w:val="20"/>
              </w:rPr>
              <w:t xml:space="preserve"> eviction</w:t>
            </w:r>
            <w:r>
              <w:rPr>
                <w:rFonts w:ascii="Calibri" w:eastAsia="Times New Roman" w:hAnsi="Calibri" w:cs="Times New Roman"/>
                <w:color w:val="000000"/>
                <w:sz w:val="20"/>
                <w:szCs w:val="20"/>
              </w:rPr>
              <w:t xml:space="preserve"> drive by</w:t>
            </w:r>
            <w:r w:rsidR="0028063C">
              <w:rPr>
                <w:rFonts w:ascii="Calibri" w:eastAsia="Times New Roman" w:hAnsi="Calibri" w:cs="Times New Roman"/>
                <w:color w:val="000000"/>
                <w:sz w:val="20"/>
                <w:szCs w:val="20"/>
              </w:rPr>
              <w:t xml:space="preserve"> </w:t>
            </w:r>
            <w:r w:rsidR="00F15DA6" w:rsidRPr="00F15DA6">
              <w:rPr>
                <w:rFonts w:ascii="Calibri" w:eastAsia="Times New Roman" w:hAnsi="Calibri" w:cs="Times New Roman"/>
                <w:color w:val="000000"/>
                <w:sz w:val="20"/>
                <w:szCs w:val="20"/>
              </w:rPr>
              <w:t xml:space="preserve">the </w:t>
            </w:r>
            <w:r w:rsidR="0028063C" w:rsidRPr="00F15DA6">
              <w:rPr>
                <w:rFonts w:ascii="Calibri" w:eastAsia="Times New Roman" w:hAnsi="Calibri" w:cs="Times New Roman"/>
                <w:color w:val="000000"/>
                <w:sz w:val="20"/>
                <w:szCs w:val="20"/>
              </w:rPr>
              <w:t xml:space="preserve">Bangalore Electricity Supply Company Limited </w:t>
            </w:r>
            <w:r w:rsidR="00F15DA6">
              <w:rPr>
                <w:rFonts w:ascii="Calibri" w:eastAsia="Times New Roman" w:hAnsi="Calibri" w:cs="Times New Roman"/>
                <w:color w:val="000000"/>
                <w:sz w:val="20"/>
                <w:szCs w:val="20"/>
              </w:rPr>
              <w:t>(</w:t>
            </w:r>
            <w:r w:rsidR="0028063C" w:rsidRPr="00F15DA6">
              <w:rPr>
                <w:rFonts w:ascii="Calibri" w:eastAsia="Times New Roman" w:hAnsi="Calibri" w:cs="Times New Roman"/>
                <w:color w:val="000000"/>
                <w:sz w:val="20"/>
                <w:szCs w:val="20"/>
              </w:rPr>
              <w:t xml:space="preserve">with the </w:t>
            </w:r>
            <w:r w:rsidR="00F15DA6" w:rsidRPr="00F15DA6">
              <w:rPr>
                <w:rFonts w:ascii="Calibri" w:eastAsia="Times New Roman" w:hAnsi="Calibri" w:cs="Times New Roman"/>
                <w:color w:val="000000"/>
                <w:sz w:val="20"/>
                <w:szCs w:val="20"/>
              </w:rPr>
              <w:t>assistance of</w:t>
            </w:r>
            <w:r w:rsidR="0028063C" w:rsidRPr="00F15DA6">
              <w:rPr>
                <w:rFonts w:ascii="Calibri" w:eastAsia="Times New Roman" w:hAnsi="Calibri" w:cs="Times New Roman"/>
                <w:color w:val="000000"/>
                <w:sz w:val="20"/>
                <w:szCs w:val="20"/>
              </w:rPr>
              <w:t xml:space="preserve"> the Bangalore Metropolitan Task Force</w:t>
            </w:r>
            <w:r w:rsidR="00F15DA6">
              <w:rPr>
                <w:rFonts w:ascii="Calibri" w:eastAsia="Times New Roman" w:hAnsi="Calibri" w:cs="Times New Roman"/>
                <w:color w:val="000000"/>
                <w:sz w:val="20"/>
                <w:szCs w:val="20"/>
              </w:rPr>
              <w:t>)</w:t>
            </w:r>
            <w:r w:rsidR="003B487A" w:rsidRPr="00F15DA6">
              <w:rPr>
                <w:rFonts w:ascii="Calibri" w:eastAsia="Times New Roman" w:hAnsi="Calibri" w:cs="Times New Roman"/>
                <w:color w:val="000000"/>
                <w:sz w:val="20"/>
                <w:szCs w:val="20"/>
              </w:rPr>
              <w:t>.</w:t>
            </w:r>
            <w:r w:rsidR="003B487A" w:rsidRPr="00F15DA6">
              <w:rPr>
                <w:rStyle w:val="FootnoteReference"/>
                <w:rFonts w:ascii="Calibri" w:eastAsia="Times New Roman" w:hAnsi="Calibri" w:cs="Times New Roman"/>
                <w:color w:val="000000"/>
                <w:sz w:val="20"/>
                <w:szCs w:val="20"/>
              </w:rPr>
              <w:footnoteReference w:id="3"/>
            </w:r>
          </w:p>
          <w:p w:rsidR="005F2CC5" w:rsidRPr="00CB5CCA" w:rsidRDefault="005F2CC5" w:rsidP="00E03256">
            <w:pPr>
              <w:spacing w:after="0" w:line="240" w:lineRule="auto"/>
              <w:rPr>
                <w:rFonts w:ascii="Calibri" w:eastAsia="Times New Roman" w:hAnsi="Calibri" w:cs="Times New Roman"/>
                <w:color w:val="000000"/>
                <w:sz w:val="12"/>
                <w:szCs w:val="12"/>
              </w:rPr>
            </w:pPr>
          </w:p>
        </w:tc>
      </w:tr>
      <w:tr w:rsidR="002B3602" w:rsidRPr="00F33B8B" w:rsidTr="009A6DD3">
        <w:trPr>
          <w:trHeight w:val="197"/>
          <w:jc w:val="center"/>
        </w:trPr>
        <w:tc>
          <w:tcPr>
            <w:tcW w:w="3296" w:type="dxa"/>
            <w:shd w:val="clear" w:color="auto" w:fill="FDE9D9" w:themeFill="accent6" w:themeFillTint="33"/>
            <w:noWrap/>
            <w:vAlign w:val="center"/>
          </w:tcPr>
          <w:p w:rsidR="002B3602" w:rsidRDefault="002B3602" w:rsidP="00E03256">
            <w:pPr>
              <w:spacing w:after="0" w:line="240" w:lineRule="auto"/>
              <w:rPr>
                <w:rFonts w:ascii="Calibri" w:eastAsia="Times New Roman" w:hAnsi="Calibri" w:cs="Times New Roman"/>
                <w:color w:val="000000"/>
                <w:sz w:val="20"/>
                <w:szCs w:val="20"/>
              </w:rPr>
            </w:pPr>
            <w:r w:rsidRPr="000D2C45">
              <w:rPr>
                <w:rFonts w:ascii="Calibri" w:eastAsia="Times New Roman" w:hAnsi="Calibri" w:cs="Times New Roman"/>
                <w:color w:val="000000"/>
                <w:sz w:val="20"/>
                <w:szCs w:val="20"/>
              </w:rPr>
              <w:t>Vinobhanagar</w:t>
            </w:r>
            <w:r>
              <w:rPr>
                <w:rFonts w:ascii="Calibri" w:eastAsia="Times New Roman" w:hAnsi="Calibri" w:cs="Times New Roman"/>
                <w:color w:val="000000"/>
                <w:sz w:val="20"/>
                <w:szCs w:val="20"/>
              </w:rPr>
              <w:t xml:space="preserve">, </w:t>
            </w:r>
            <w:r w:rsidR="00E03256">
              <w:rPr>
                <w:rFonts w:ascii="Calibri" w:eastAsia="Times New Roman" w:hAnsi="Calibri" w:cs="Times New Roman"/>
                <w:color w:val="000000"/>
                <w:sz w:val="20"/>
                <w:szCs w:val="20"/>
              </w:rPr>
              <w:t xml:space="preserve">Bengaluru, </w:t>
            </w:r>
            <w:r w:rsidRPr="007D7EA3">
              <w:rPr>
                <w:rFonts w:ascii="Calibri" w:eastAsia="Times New Roman" w:hAnsi="Calibri" w:cs="Times New Roman"/>
                <w:color w:val="000000"/>
                <w:sz w:val="20"/>
                <w:szCs w:val="20"/>
              </w:rPr>
              <w:t>Karnataka</w:t>
            </w:r>
            <w:r>
              <w:rPr>
                <w:rFonts w:ascii="Calibri" w:eastAsia="Times New Roman" w:hAnsi="Calibri" w:cs="Times New Roman"/>
                <w:color w:val="000000"/>
                <w:sz w:val="20"/>
                <w:szCs w:val="20"/>
              </w:rPr>
              <w:t xml:space="preserve"> (2014)</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CB5CCA" w:rsidRDefault="002B3602"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As a result of</w:t>
            </w:r>
            <w:r w:rsidRPr="004D1F8F">
              <w:rPr>
                <w:rFonts w:ascii="Calibri" w:eastAsia="Times New Roman" w:hAnsi="Calibri" w:cs="Times New Roman"/>
                <w:color w:val="000000"/>
                <w:sz w:val="20"/>
                <w:szCs w:val="20"/>
              </w:rPr>
              <w:t xml:space="preserve"> </w:t>
            </w:r>
            <w:r w:rsidR="00F15DA6">
              <w:rPr>
                <w:rFonts w:ascii="Calibri" w:eastAsia="Times New Roman" w:hAnsi="Calibri" w:cs="Times New Roman"/>
                <w:color w:val="000000"/>
                <w:sz w:val="20"/>
                <w:szCs w:val="20"/>
              </w:rPr>
              <w:t xml:space="preserve">the </w:t>
            </w:r>
            <w:r w:rsidRPr="004D1F8F">
              <w:rPr>
                <w:rFonts w:ascii="Calibri" w:eastAsia="Times New Roman" w:hAnsi="Calibri" w:cs="Times New Roman"/>
                <w:color w:val="000000"/>
                <w:sz w:val="20"/>
                <w:szCs w:val="20"/>
              </w:rPr>
              <w:t>forced eviction</w:t>
            </w:r>
            <w:r w:rsidR="006676C6">
              <w:rPr>
                <w:rFonts w:ascii="Calibri" w:eastAsia="Times New Roman" w:hAnsi="Calibri" w:cs="Times New Roman"/>
                <w:color w:val="000000"/>
                <w:sz w:val="20"/>
                <w:szCs w:val="20"/>
              </w:rPr>
              <w:t xml:space="preserve"> from their homes</w:t>
            </w:r>
            <w:r w:rsidR="00F15DA6">
              <w:rPr>
                <w:rFonts w:ascii="Calibri" w:eastAsia="Times New Roman" w:hAnsi="Calibri" w:cs="Times New Roman"/>
                <w:color w:val="000000"/>
                <w:sz w:val="20"/>
                <w:szCs w:val="20"/>
              </w:rPr>
              <w:t>,</w:t>
            </w:r>
            <w:r w:rsidRPr="004D1F8F">
              <w:rPr>
                <w:rFonts w:ascii="Calibri" w:eastAsia="Times New Roman" w:hAnsi="Calibri" w:cs="Times New Roman"/>
                <w:color w:val="000000"/>
                <w:sz w:val="20"/>
                <w:szCs w:val="20"/>
              </w:rPr>
              <w:t xml:space="preserve"> and </w:t>
            </w:r>
            <w:r>
              <w:rPr>
                <w:rFonts w:ascii="Calibri" w:eastAsia="Times New Roman" w:hAnsi="Calibri" w:cs="Times New Roman"/>
                <w:color w:val="000000"/>
                <w:sz w:val="20"/>
                <w:szCs w:val="20"/>
              </w:rPr>
              <w:t>the absence of resettlement</w:t>
            </w:r>
            <w:r w:rsidR="006676C6">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and </w:t>
            </w:r>
            <w:r w:rsidR="00F15DA6">
              <w:rPr>
                <w:rFonts w:ascii="Calibri" w:eastAsia="Times New Roman" w:hAnsi="Calibri" w:cs="Times New Roman"/>
                <w:color w:val="000000"/>
                <w:sz w:val="20"/>
                <w:szCs w:val="20"/>
              </w:rPr>
              <w:t>an</w:t>
            </w:r>
            <w:r w:rsidR="00F15DA6" w:rsidRPr="004D1F8F">
              <w:rPr>
                <w:rFonts w:ascii="Calibri" w:eastAsia="Times New Roman" w:hAnsi="Calibri" w:cs="Times New Roman"/>
                <w:color w:val="000000"/>
                <w:sz w:val="20"/>
                <w:szCs w:val="20"/>
              </w:rPr>
              <w:t xml:space="preserve"> </w:t>
            </w:r>
            <w:r w:rsidR="00F15DA6">
              <w:rPr>
                <w:rFonts w:ascii="Calibri" w:eastAsia="Times New Roman" w:hAnsi="Calibri" w:cs="Times New Roman"/>
                <w:color w:val="000000"/>
                <w:sz w:val="20"/>
                <w:szCs w:val="20"/>
              </w:rPr>
              <w:t>adequate</w:t>
            </w:r>
            <w:r w:rsidR="00F15DA6" w:rsidRPr="004D1F8F">
              <w:rPr>
                <w:rFonts w:ascii="Calibri" w:eastAsia="Times New Roman" w:hAnsi="Calibri" w:cs="Times New Roman"/>
                <w:color w:val="000000"/>
                <w:sz w:val="20"/>
                <w:szCs w:val="20"/>
              </w:rPr>
              <w:t xml:space="preserve"> </w:t>
            </w:r>
            <w:r w:rsidRPr="004D1F8F">
              <w:rPr>
                <w:rFonts w:ascii="Calibri" w:eastAsia="Times New Roman" w:hAnsi="Calibri" w:cs="Times New Roman"/>
                <w:color w:val="000000"/>
                <w:sz w:val="20"/>
                <w:szCs w:val="20"/>
              </w:rPr>
              <w:t>place to live</w:t>
            </w:r>
            <w:r>
              <w:rPr>
                <w:rFonts w:ascii="Calibri" w:eastAsia="Times New Roman" w:hAnsi="Calibri" w:cs="Times New Roman"/>
                <w:color w:val="000000"/>
                <w:sz w:val="20"/>
                <w:szCs w:val="20"/>
              </w:rPr>
              <w:t>,</w:t>
            </w:r>
            <w:r w:rsidRPr="004D1F8F">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evicted families’ living </w:t>
            </w:r>
            <w:r w:rsidRPr="004D1F8F">
              <w:rPr>
                <w:rFonts w:ascii="Calibri" w:eastAsia="Times New Roman" w:hAnsi="Calibri" w:cs="Times New Roman"/>
                <w:color w:val="000000"/>
                <w:sz w:val="20"/>
                <w:szCs w:val="20"/>
              </w:rPr>
              <w:t>condition</w:t>
            </w:r>
            <w:r>
              <w:rPr>
                <w:rFonts w:ascii="Calibri" w:eastAsia="Times New Roman" w:hAnsi="Calibri" w:cs="Times New Roman"/>
                <w:color w:val="000000"/>
                <w:sz w:val="20"/>
                <w:szCs w:val="20"/>
              </w:rPr>
              <w:t>s</w:t>
            </w:r>
            <w:r w:rsidRPr="004D1F8F">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are</w:t>
            </w:r>
            <w:r w:rsidRPr="004D1F8F">
              <w:rPr>
                <w:rFonts w:ascii="Calibri" w:eastAsia="Times New Roman" w:hAnsi="Calibri" w:cs="Times New Roman"/>
                <w:color w:val="000000"/>
                <w:sz w:val="20"/>
                <w:szCs w:val="20"/>
              </w:rPr>
              <w:t xml:space="preserve"> abysmal</w:t>
            </w:r>
            <w:r w:rsidR="0000035E">
              <w:rPr>
                <w:rFonts w:ascii="Calibri" w:eastAsia="Times New Roman" w:hAnsi="Calibri" w:cs="Times New Roman"/>
                <w:color w:val="000000"/>
                <w:sz w:val="20"/>
                <w:szCs w:val="20"/>
              </w:rPr>
              <w:t>.</w:t>
            </w:r>
            <w:r w:rsidRPr="004D1F8F">
              <w:rPr>
                <w:rFonts w:ascii="Calibri" w:eastAsia="Times New Roman" w:hAnsi="Calibri" w:cs="Times New Roman"/>
                <w:color w:val="000000"/>
                <w:sz w:val="20"/>
                <w:szCs w:val="20"/>
              </w:rPr>
              <w:t xml:space="preserve"> </w:t>
            </w:r>
            <w:r w:rsidR="0000035E">
              <w:rPr>
                <w:rFonts w:ascii="Calibri" w:eastAsia="Times New Roman" w:hAnsi="Calibri" w:cs="Times New Roman"/>
                <w:color w:val="000000"/>
                <w:sz w:val="20"/>
                <w:szCs w:val="20"/>
              </w:rPr>
              <w:t>S</w:t>
            </w:r>
            <w:r>
              <w:rPr>
                <w:rFonts w:ascii="Calibri" w:eastAsia="Times New Roman" w:hAnsi="Calibri" w:cs="Times New Roman"/>
                <w:color w:val="000000"/>
                <w:sz w:val="20"/>
                <w:szCs w:val="20"/>
              </w:rPr>
              <w:t>ix</w:t>
            </w:r>
            <w:r w:rsidRPr="004D1F8F">
              <w:rPr>
                <w:rFonts w:ascii="Calibri" w:eastAsia="Times New Roman" w:hAnsi="Calibri" w:cs="Times New Roman"/>
                <w:color w:val="000000"/>
                <w:sz w:val="20"/>
                <w:szCs w:val="20"/>
              </w:rPr>
              <w:t xml:space="preserve"> people have lost their lives due to accidents caused by vehicle</w:t>
            </w:r>
            <w:r>
              <w:rPr>
                <w:rFonts w:ascii="Calibri" w:eastAsia="Times New Roman" w:hAnsi="Calibri" w:cs="Times New Roman"/>
                <w:color w:val="000000"/>
                <w:sz w:val="20"/>
                <w:szCs w:val="20"/>
              </w:rPr>
              <w:t>s</w:t>
            </w:r>
            <w:r w:rsidRPr="004D1F8F">
              <w:rPr>
                <w:rFonts w:ascii="Calibri" w:eastAsia="Times New Roman" w:hAnsi="Calibri" w:cs="Times New Roman"/>
                <w:color w:val="000000"/>
                <w:sz w:val="20"/>
                <w:szCs w:val="20"/>
              </w:rPr>
              <w:t xml:space="preserve"> running over them while they </w:t>
            </w:r>
            <w:r w:rsidR="00CB5CCA">
              <w:rPr>
                <w:rFonts w:ascii="Calibri" w:eastAsia="Times New Roman" w:hAnsi="Calibri" w:cs="Times New Roman"/>
                <w:color w:val="000000"/>
                <w:sz w:val="20"/>
                <w:szCs w:val="20"/>
              </w:rPr>
              <w:t xml:space="preserve">were </w:t>
            </w:r>
            <w:r w:rsidRPr="004D1F8F">
              <w:rPr>
                <w:rFonts w:ascii="Calibri" w:eastAsia="Times New Roman" w:hAnsi="Calibri" w:cs="Times New Roman"/>
                <w:color w:val="000000"/>
                <w:sz w:val="20"/>
                <w:szCs w:val="20"/>
              </w:rPr>
              <w:t>sleep</w:t>
            </w:r>
            <w:r w:rsidR="00CB5CCA">
              <w:rPr>
                <w:rFonts w:ascii="Calibri" w:eastAsia="Times New Roman" w:hAnsi="Calibri" w:cs="Times New Roman"/>
                <w:color w:val="000000"/>
                <w:sz w:val="20"/>
                <w:szCs w:val="20"/>
              </w:rPr>
              <w:t>ing</w:t>
            </w:r>
            <w:r w:rsidRPr="004D1F8F">
              <w:rPr>
                <w:rFonts w:ascii="Calibri" w:eastAsia="Times New Roman" w:hAnsi="Calibri" w:cs="Times New Roman"/>
                <w:color w:val="000000"/>
                <w:sz w:val="20"/>
                <w:szCs w:val="20"/>
              </w:rPr>
              <w:t xml:space="preserve"> on pavements.</w:t>
            </w:r>
            <w:r w:rsidR="0039794E">
              <w:rPr>
                <w:rStyle w:val="FootnoteReference"/>
                <w:rFonts w:ascii="Calibri" w:eastAsia="Times New Roman" w:hAnsi="Calibri" w:cs="Times New Roman"/>
                <w:color w:val="000000"/>
                <w:sz w:val="20"/>
                <w:szCs w:val="20"/>
              </w:rPr>
              <w:footnoteReference w:id="4"/>
            </w:r>
            <w:r w:rsidR="00CB5CCA">
              <w:rPr>
                <w:rFonts w:ascii="Calibri" w:eastAsia="Times New Roman" w:hAnsi="Calibri" w:cs="Times New Roman"/>
                <w:color w:val="000000"/>
                <w:sz w:val="20"/>
                <w:szCs w:val="20"/>
              </w:rPr>
              <w:t xml:space="preserve"> None of these cases have been investigated by the police.</w:t>
            </w:r>
          </w:p>
          <w:p w:rsidR="002B3602" w:rsidRPr="00CB5CCA" w:rsidRDefault="002B3602" w:rsidP="00E03256">
            <w:pPr>
              <w:spacing w:after="0" w:line="240" w:lineRule="auto"/>
              <w:rPr>
                <w:rFonts w:ascii="Calibri" w:eastAsia="Times New Roman" w:hAnsi="Calibri" w:cs="Times New Roman"/>
                <w:color w:val="000000"/>
                <w:sz w:val="12"/>
                <w:szCs w:val="12"/>
              </w:rPr>
            </w:pPr>
          </w:p>
        </w:tc>
      </w:tr>
      <w:tr w:rsidR="005F2CC5" w:rsidRPr="00F33B8B" w:rsidTr="009A6DD3">
        <w:trPr>
          <w:trHeight w:val="197"/>
          <w:jc w:val="center"/>
        </w:trPr>
        <w:tc>
          <w:tcPr>
            <w:tcW w:w="3296" w:type="dxa"/>
            <w:shd w:val="clear" w:color="auto" w:fill="FDE9D9" w:themeFill="accent6" w:themeFillTint="33"/>
            <w:noWrap/>
            <w:vAlign w:val="center"/>
          </w:tcPr>
          <w:p w:rsidR="005F2CC5" w:rsidRPr="007D7EA3" w:rsidRDefault="005F2CC5" w:rsidP="00E03256">
            <w:pPr>
              <w:spacing w:after="0" w:line="240" w:lineRule="auto"/>
              <w:rPr>
                <w:rFonts w:ascii="Calibri" w:eastAsia="Times New Roman" w:hAnsi="Calibri" w:cs="Times New Roman"/>
                <w:color w:val="000000"/>
                <w:sz w:val="20"/>
                <w:szCs w:val="20"/>
              </w:rPr>
            </w:pPr>
            <w:r w:rsidRPr="00C45082">
              <w:rPr>
                <w:rFonts w:ascii="Calibri" w:eastAsia="Times New Roman" w:hAnsi="Calibri" w:cs="Times New Roman"/>
                <w:color w:val="000000"/>
                <w:sz w:val="20"/>
                <w:szCs w:val="20"/>
              </w:rPr>
              <w:t>Ejipura</w:t>
            </w:r>
            <w:r>
              <w:rPr>
                <w:rFonts w:ascii="Calibri" w:eastAsia="Times New Roman" w:hAnsi="Calibri" w:cs="Times New Roman"/>
                <w:color w:val="000000"/>
                <w:sz w:val="20"/>
                <w:szCs w:val="20"/>
              </w:rPr>
              <w:t xml:space="preserve">, </w:t>
            </w:r>
            <w:r w:rsidR="00F15DA6">
              <w:rPr>
                <w:rFonts w:ascii="Calibri" w:eastAsia="Times New Roman" w:hAnsi="Calibri" w:cs="Times New Roman"/>
                <w:color w:val="000000"/>
                <w:sz w:val="20"/>
                <w:szCs w:val="20"/>
              </w:rPr>
              <w:t xml:space="preserve">Bengaluru, </w:t>
            </w:r>
            <w:r w:rsidRPr="007D7EA3">
              <w:rPr>
                <w:rFonts w:ascii="Calibri" w:eastAsia="Times New Roman" w:hAnsi="Calibri" w:cs="Times New Roman"/>
                <w:color w:val="000000"/>
                <w:sz w:val="20"/>
                <w:szCs w:val="20"/>
              </w:rPr>
              <w:t>Karnataka</w:t>
            </w:r>
            <w:r>
              <w:rPr>
                <w:rFonts w:ascii="Calibri" w:eastAsia="Times New Roman" w:hAnsi="Calibri" w:cs="Times New Roman"/>
                <w:color w:val="000000"/>
                <w:sz w:val="20"/>
                <w:szCs w:val="20"/>
              </w:rPr>
              <w:t xml:space="preserve"> (2013)</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5F2CC5" w:rsidRDefault="005F2CC5" w:rsidP="00E03256">
            <w:pPr>
              <w:spacing w:after="0" w:line="240" w:lineRule="auto"/>
              <w:rPr>
                <w:rFonts w:ascii="Calibri" w:eastAsia="Times New Roman" w:hAnsi="Calibri" w:cs="Times New Roman"/>
                <w:color w:val="000000"/>
                <w:sz w:val="20"/>
                <w:szCs w:val="20"/>
              </w:rPr>
            </w:pPr>
            <w:r w:rsidRPr="00C45082">
              <w:rPr>
                <w:rFonts w:ascii="Calibri" w:eastAsia="Times New Roman" w:hAnsi="Calibri" w:cs="Times New Roman"/>
                <w:color w:val="000000"/>
                <w:sz w:val="20"/>
                <w:szCs w:val="20"/>
              </w:rPr>
              <w:t xml:space="preserve">Soon after </w:t>
            </w:r>
            <w:r>
              <w:rPr>
                <w:rFonts w:ascii="Calibri" w:eastAsia="Times New Roman" w:hAnsi="Calibri" w:cs="Times New Roman"/>
                <w:color w:val="000000"/>
                <w:sz w:val="20"/>
                <w:szCs w:val="20"/>
              </w:rPr>
              <w:t>the demolition of their homes by the Bangalore Municipal Corporation (BBMP)</w:t>
            </w:r>
            <w:r w:rsidR="006676C6">
              <w:rPr>
                <w:rFonts w:ascii="Calibri" w:eastAsia="Times New Roman" w:hAnsi="Calibri" w:cs="Times New Roman"/>
                <w:color w:val="000000"/>
                <w:sz w:val="20"/>
                <w:szCs w:val="20"/>
              </w:rPr>
              <w:t xml:space="preserve"> in January 2013</w:t>
            </w:r>
            <w:r>
              <w:rPr>
                <w:rFonts w:ascii="Calibri" w:eastAsia="Times New Roman" w:hAnsi="Calibri" w:cs="Times New Roman"/>
                <w:color w:val="000000"/>
                <w:sz w:val="20"/>
                <w:szCs w:val="20"/>
              </w:rPr>
              <w:t>,</w:t>
            </w:r>
            <w:r w:rsidRPr="00C45082">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one</w:t>
            </w:r>
            <w:r w:rsidRPr="00C45082">
              <w:rPr>
                <w:rFonts w:ascii="Calibri" w:eastAsia="Times New Roman" w:hAnsi="Calibri" w:cs="Times New Roman"/>
                <w:color w:val="000000"/>
                <w:sz w:val="20"/>
                <w:szCs w:val="20"/>
              </w:rPr>
              <w:t xml:space="preserve"> </w:t>
            </w:r>
            <w:r w:rsidR="00E03256">
              <w:rPr>
                <w:rFonts w:ascii="Calibri" w:eastAsia="Times New Roman" w:hAnsi="Calibri" w:cs="Times New Roman"/>
                <w:color w:val="000000"/>
                <w:sz w:val="20"/>
                <w:szCs w:val="20"/>
              </w:rPr>
              <w:t>woman</w:t>
            </w:r>
            <w:r w:rsidR="00E03256" w:rsidRPr="00C45082">
              <w:rPr>
                <w:rFonts w:ascii="Calibri" w:eastAsia="Times New Roman" w:hAnsi="Calibri" w:cs="Times New Roman"/>
                <w:color w:val="000000"/>
                <w:sz w:val="20"/>
                <w:szCs w:val="20"/>
              </w:rPr>
              <w:t xml:space="preserve"> </w:t>
            </w:r>
            <w:r w:rsidR="00E03256">
              <w:rPr>
                <w:rFonts w:ascii="Calibri" w:eastAsia="Times New Roman" w:hAnsi="Calibri" w:cs="Times New Roman"/>
                <w:color w:val="000000"/>
                <w:sz w:val="20"/>
                <w:szCs w:val="20"/>
              </w:rPr>
              <w:t xml:space="preserve">(55 years old) </w:t>
            </w:r>
            <w:r w:rsidRPr="00C45082">
              <w:rPr>
                <w:rFonts w:ascii="Calibri" w:eastAsia="Times New Roman" w:hAnsi="Calibri" w:cs="Times New Roman"/>
                <w:color w:val="000000"/>
                <w:sz w:val="20"/>
                <w:szCs w:val="20"/>
              </w:rPr>
              <w:t xml:space="preserve">died </w:t>
            </w:r>
            <w:r>
              <w:rPr>
                <w:rFonts w:ascii="Calibri" w:eastAsia="Times New Roman" w:hAnsi="Calibri" w:cs="Times New Roman"/>
                <w:color w:val="000000"/>
                <w:sz w:val="20"/>
                <w:szCs w:val="20"/>
              </w:rPr>
              <w:t>as a result of exposure</w:t>
            </w:r>
            <w:r w:rsidRPr="00C45082">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to the </w:t>
            </w:r>
            <w:r w:rsidRPr="00C45082">
              <w:rPr>
                <w:rFonts w:ascii="Calibri" w:eastAsia="Times New Roman" w:hAnsi="Calibri" w:cs="Times New Roman"/>
                <w:color w:val="000000"/>
                <w:sz w:val="20"/>
                <w:szCs w:val="20"/>
              </w:rPr>
              <w:t xml:space="preserve">cold </w:t>
            </w:r>
            <w:r>
              <w:rPr>
                <w:rFonts w:ascii="Calibri" w:eastAsia="Times New Roman" w:hAnsi="Calibri" w:cs="Times New Roman"/>
                <w:color w:val="000000"/>
                <w:sz w:val="20"/>
                <w:szCs w:val="20"/>
              </w:rPr>
              <w:t xml:space="preserve">while another </w:t>
            </w:r>
            <w:r>
              <w:rPr>
                <w:rFonts w:ascii="Calibri" w:eastAsia="Times New Roman" w:hAnsi="Calibri" w:cs="Times New Roman"/>
                <w:color w:val="000000"/>
                <w:sz w:val="20"/>
                <w:szCs w:val="20"/>
              </w:rPr>
              <w:lastRenderedPageBreak/>
              <w:t xml:space="preserve">person </w:t>
            </w:r>
            <w:r w:rsidR="00C50129">
              <w:rPr>
                <w:rFonts w:ascii="Calibri" w:eastAsia="Times New Roman" w:hAnsi="Calibri" w:cs="Times New Roman"/>
                <w:color w:val="000000"/>
                <w:sz w:val="20"/>
                <w:szCs w:val="20"/>
              </w:rPr>
              <w:t xml:space="preserve">(60 years) </w:t>
            </w:r>
            <w:r>
              <w:rPr>
                <w:rFonts w:ascii="Calibri" w:eastAsia="Times New Roman" w:hAnsi="Calibri" w:cs="Times New Roman"/>
                <w:color w:val="000000"/>
                <w:sz w:val="20"/>
                <w:szCs w:val="20"/>
              </w:rPr>
              <w:t xml:space="preserve">died from a </w:t>
            </w:r>
            <w:r w:rsidRPr="00C45082">
              <w:rPr>
                <w:rFonts w:ascii="Calibri" w:eastAsia="Times New Roman" w:hAnsi="Calibri" w:cs="Times New Roman"/>
                <w:color w:val="000000"/>
                <w:sz w:val="20"/>
                <w:szCs w:val="20"/>
              </w:rPr>
              <w:t>rat bite</w:t>
            </w:r>
            <w:r>
              <w:rPr>
                <w:rFonts w:ascii="Calibri" w:eastAsia="Times New Roman" w:hAnsi="Calibri" w:cs="Times New Roman"/>
                <w:color w:val="000000"/>
                <w:sz w:val="20"/>
                <w:szCs w:val="20"/>
              </w:rPr>
              <w:t xml:space="preserve"> incurred while sleeping on the street.</w:t>
            </w:r>
            <w:r w:rsidRPr="00C45082">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T</w:t>
            </w:r>
            <w:r w:rsidRPr="00C45082">
              <w:rPr>
                <w:rFonts w:ascii="Calibri" w:eastAsia="Times New Roman" w:hAnsi="Calibri" w:cs="Times New Roman"/>
                <w:color w:val="000000"/>
                <w:sz w:val="20"/>
                <w:szCs w:val="20"/>
              </w:rPr>
              <w:t xml:space="preserve">hree children </w:t>
            </w:r>
            <w:r w:rsidR="00E03256">
              <w:rPr>
                <w:rFonts w:ascii="Calibri" w:eastAsia="Times New Roman" w:hAnsi="Calibri" w:cs="Times New Roman"/>
                <w:color w:val="000000"/>
                <w:sz w:val="20"/>
                <w:szCs w:val="20"/>
              </w:rPr>
              <w:t>below</w:t>
            </w:r>
            <w:r w:rsidRPr="00C45082">
              <w:rPr>
                <w:rFonts w:ascii="Calibri" w:eastAsia="Times New Roman" w:hAnsi="Calibri" w:cs="Times New Roman"/>
                <w:color w:val="000000"/>
                <w:sz w:val="20"/>
                <w:szCs w:val="20"/>
              </w:rPr>
              <w:t xml:space="preserve"> six</w:t>
            </w:r>
            <w:r>
              <w:rPr>
                <w:rFonts w:ascii="Calibri" w:eastAsia="Times New Roman" w:hAnsi="Calibri" w:cs="Times New Roman"/>
                <w:color w:val="000000"/>
                <w:sz w:val="20"/>
                <w:szCs w:val="20"/>
              </w:rPr>
              <w:t xml:space="preserve"> </w:t>
            </w:r>
            <w:r w:rsidRPr="00C45082">
              <w:rPr>
                <w:rFonts w:ascii="Calibri" w:eastAsia="Times New Roman" w:hAnsi="Calibri" w:cs="Times New Roman"/>
                <w:color w:val="000000"/>
                <w:sz w:val="20"/>
                <w:szCs w:val="20"/>
              </w:rPr>
              <w:t>year</w:t>
            </w:r>
            <w:r>
              <w:rPr>
                <w:rFonts w:ascii="Calibri" w:eastAsia="Times New Roman" w:hAnsi="Calibri" w:cs="Times New Roman"/>
                <w:color w:val="000000"/>
                <w:sz w:val="20"/>
                <w:szCs w:val="20"/>
              </w:rPr>
              <w:t>s</w:t>
            </w:r>
            <w:r w:rsidRPr="00C45082">
              <w:rPr>
                <w:rFonts w:ascii="Calibri" w:eastAsia="Times New Roman" w:hAnsi="Calibri" w:cs="Times New Roman"/>
                <w:color w:val="000000"/>
                <w:sz w:val="20"/>
                <w:szCs w:val="20"/>
              </w:rPr>
              <w:t xml:space="preserve"> died </w:t>
            </w:r>
            <w:r>
              <w:rPr>
                <w:rFonts w:ascii="Calibri" w:eastAsia="Times New Roman" w:hAnsi="Calibri" w:cs="Times New Roman"/>
                <w:color w:val="000000"/>
                <w:sz w:val="20"/>
                <w:szCs w:val="20"/>
              </w:rPr>
              <w:t>from</w:t>
            </w:r>
            <w:r w:rsidRPr="00C45082">
              <w:rPr>
                <w:rFonts w:ascii="Calibri" w:eastAsia="Times New Roman" w:hAnsi="Calibri" w:cs="Times New Roman"/>
                <w:color w:val="000000"/>
                <w:sz w:val="20"/>
                <w:szCs w:val="20"/>
              </w:rPr>
              <w:t xml:space="preserve"> diarrhea and </w:t>
            </w:r>
            <w:r>
              <w:rPr>
                <w:rFonts w:ascii="Calibri" w:eastAsia="Times New Roman" w:hAnsi="Calibri" w:cs="Times New Roman"/>
                <w:color w:val="000000"/>
                <w:sz w:val="20"/>
                <w:szCs w:val="20"/>
              </w:rPr>
              <w:t>in</w:t>
            </w:r>
            <w:r w:rsidRPr="00C45082">
              <w:rPr>
                <w:rFonts w:ascii="Calibri" w:eastAsia="Times New Roman" w:hAnsi="Calibri" w:cs="Times New Roman"/>
                <w:color w:val="000000"/>
                <w:sz w:val="20"/>
                <w:szCs w:val="20"/>
              </w:rPr>
              <w:t>flu</w:t>
            </w:r>
            <w:r>
              <w:rPr>
                <w:rFonts w:ascii="Calibri" w:eastAsia="Times New Roman" w:hAnsi="Calibri" w:cs="Times New Roman"/>
                <w:color w:val="000000"/>
                <w:sz w:val="20"/>
                <w:szCs w:val="20"/>
              </w:rPr>
              <w:t>enza – as a result of the inadequate living conditions and the absence of resettlement or alternative housing by the state.</w:t>
            </w:r>
            <w:r w:rsidR="00BC4B94">
              <w:rPr>
                <w:rStyle w:val="FootnoteReference"/>
                <w:rFonts w:ascii="Calibri" w:eastAsia="Times New Roman" w:hAnsi="Calibri" w:cs="Times New Roman"/>
                <w:color w:val="000000"/>
                <w:sz w:val="20"/>
                <w:szCs w:val="20"/>
              </w:rPr>
              <w:footnoteReference w:id="5"/>
            </w:r>
          </w:p>
          <w:p w:rsidR="005F2CC5" w:rsidRPr="00CB5CCA" w:rsidRDefault="005F2CC5" w:rsidP="00E03256">
            <w:pPr>
              <w:spacing w:after="0" w:line="240" w:lineRule="auto"/>
              <w:rPr>
                <w:rFonts w:ascii="Calibri" w:eastAsia="Times New Roman" w:hAnsi="Calibri" w:cs="Times New Roman"/>
                <w:color w:val="000000"/>
                <w:sz w:val="12"/>
                <w:szCs w:val="12"/>
              </w:rPr>
            </w:pPr>
          </w:p>
        </w:tc>
      </w:tr>
      <w:tr w:rsidR="005F2CC5" w:rsidRPr="00F33B8B" w:rsidTr="009A6DD3">
        <w:trPr>
          <w:trHeight w:val="197"/>
          <w:jc w:val="center"/>
        </w:trPr>
        <w:tc>
          <w:tcPr>
            <w:tcW w:w="3296" w:type="dxa"/>
            <w:shd w:val="clear" w:color="auto" w:fill="FDE9D9" w:themeFill="accent6" w:themeFillTint="33"/>
            <w:noWrap/>
            <w:vAlign w:val="center"/>
          </w:tcPr>
          <w:p w:rsidR="005F2CC5" w:rsidRDefault="005F2CC5" w:rsidP="00E03256">
            <w:pPr>
              <w:spacing w:after="0" w:line="240" w:lineRule="auto"/>
              <w:rPr>
                <w:rFonts w:ascii="Calibri" w:eastAsia="Times New Roman" w:hAnsi="Calibri" w:cs="Times New Roman"/>
                <w:color w:val="000000"/>
                <w:sz w:val="20"/>
                <w:szCs w:val="20"/>
              </w:rPr>
            </w:pPr>
            <w:r w:rsidRPr="005933E1">
              <w:rPr>
                <w:rFonts w:ascii="Calibri" w:eastAsia="Times New Roman" w:hAnsi="Calibri" w:cs="Times New Roman"/>
                <w:color w:val="000000"/>
                <w:sz w:val="20"/>
                <w:szCs w:val="20"/>
              </w:rPr>
              <w:lastRenderedPageBreak/>
              <w:t xml:space="preserve">Topsia, </w:t>
            </w:r>
            <w:r w:rsidR="00F15DA6">
              <w:rPr>
                <w:rFonts w:ascii="Calibri" w:eastAsia="Times New Roman" w:hAnsi="Calibri" w:cs="Times New Roman"/>
                <w:color w:val="000000"/>
                <w:sz w:val="20"/>
                <w:szCs w:val="20"/>
              </w:rPr>
              <w:t xml:space="preserve">Kolkata, </w:t>
            </w:r>
            <w:r w:rsidRPr="005933E1">
              <w:rPr>
                <w:rFonts w:ascii="Calibri" w:eastAsia="Times New Roman" w:hAnsi="Calibri" w:cs="Times New Roman"/>
                <w:color w:val="000000"/>
                <w:sz w:val="20"/>
                <w:szCs w:val="20"/>
              </w:rPr>
              <w:t>West Bengal</w:t>
            </w:r>
            <w:r>
              <w:rPr>
                <w:rFonts w:ascii="Calibri" w:eastAsia="Times New Roman" w:hAnsi="Calibri" w:cs="Times New Roman"/>
                <w:color w:val="000000"/>
                <w:sz w:val="20"/>
                <w:szCs w:val="20"/>
              </w:rPr>
              <w:t xml:space="preserve"> (</w:t>
            </w:r>
            <w:r w:rsidRPr="005933E1">
              <w:rPr>
                <w:rFonts w:ascii="Calibri" w:eastAsia="Times New Roman" w:hAnsi="Calibri" w:cs="Times New Roman"/>
                <w:color w:val="000000"/>
                <w:sz w:val="20"/>
                <w:szCs w:val="20"/>
              </w:rPr>
              <w:t>2012</w:t>
            </w:r>
            <w:r>
              <w:rPr>
                <w:rFonts w:ascii="Calibri" w:eastAsia="Times New Roman" w:hAnsi="Calibri" w:cs="Times New Roman"/>
                <w:color w:val="000000"/>
                <w:sz w:val="20"/>
                <w:szCs w:val="20"/>
              </w:rPr>
              <w:t>)</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5F2CC5" w:rsidRDefault="005F2CC5"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The Government of West Bengal evicted 383 families for the construction of a fly-over</w:t>
            </w:r>
            <w:r w:rsidR="00F15DA6">
              <w:rPr>
                <w:rFonts w:ascii="Calibri" w:eastAsia="Times New Roman" w:hAnsi="Calibri" w:cs="Times New Roman"/>
                <w:color w:val="000000"/>
                <w:sz w:val="20"/>
                <w:szCs w:val="20"/>
              </w:rPr>
              <w:t xml:space="preserve"> in November 2012</w:t>
            </w:r>
            <w:r>
              <w:rPr>
                <w:rFonts w:ascii="Calibri" w:eastAsia="Times New Roman" w:hAnsi="Calibri" w:cs="Times New Roman"/>
                <w:color w:val="000000"/>
                <w:sz w:val="20"/>
                <w:szCs w:val="20"/>
              </w:rPr>
              <w:t xml:space="preserve">. </w:t>
            </w:r>
            <w:r w:rsidRPr="00282FDD">
              <w:rPr>
                <w:rFonts w:ascii="Calibri" w:eastAsia="Times New Roman" w:hAnsi="Calibri" w:cs="Times New Roman"/>
                <w:color w:val="000000"/>
                <w:sz w:val="20"/>
                <w:szCs w:val="20"/>
              </w:rPr>
              <w:t>Four pregnant women were reportedly hurt during the eviction process, and the baby of one pregnant woman, who suffered severe trauma, died after only three months of life.</w:t>
            </w:r>
            <w:r w:rsidR="00BC4B94">
              <w:rPr>
                <w:rStyle w:val="FootnoteReference"/>
                <w:rFonts w:ascii="Calibri" w:eastAsia="Times New Roman" w:hAnsi="Calibri" w:cs="Times New Roman"/>
                <w:color w:val="000000"/>
                <w:sz w:val="20"/>
                <w:szCs w:val="20"/>
              </w:rPr>
              <w:footnoteReference w:id="6"/>
            </w:r>
          </w:p>
          <w:p w:rsidR="005F2CC5" w:rsidRPr="00CB5CCA" w:rsidRDefault="005F2CC5" w:rsidP="00E03256">
            <w:pPr>
              <w:spacing w:after="0" w:line="240" w:lineRule="auto"/>
              <w:rPr>
                <w:rFonts w:ascii="Calibri" w:eastAsia="Times New Roman" w:hAnsi="Calibri" w:cs="Times New Roman"/>
                <w:color w:val="000000"/>
                <w:sz w:val="12"/>
                <w:szCs w:val="12"/>
              </w:rPr>
            </w:pPr>
          </w:p>
          <w:p w:rsidR="005F2CC5" w:rsidRDefault="005F2CC5" w:rsidP="00E03256">
            <w:pPr>
              <w:spacing w:after="0" w:line="240" w:lineRule="auto"/>
              <w:rPr>
                <w:rFonts w:ascii="Calibri" w:eastAsia="Times New Roman" w:hAnsi="Calibri" w:cs="Times New Roman"/>
                <w:color w:val="000000"/>
                <w:sz w:val="20"/>
                <w:szCs w:val="20"/>
              </w:rPr>
            </w:pPr>
            <w:r w:rsidRPr="00282FDD">
              <w:rPr>
                <w:rFonts w:ascii="Calibri" w:eastAsia="Times New Roman" w:hAnsi="Calibri" w:cs="Times New Roman"/>
                <w:color w:val="000000"/>
                <w:sz w:val="20"/>
                <w:szCs w:val="20"/>
              </w:rPr>
              <w:t>Inadequate living conditions, including the absence of housing and being forced to live out in the open, resulted in 20 per cent of the families contracting malaria at their new sites of residence.</w:t>
            </w:r>
            <w:r w:rsidR="00D36DE0">
              <w:rPr>
                <w:rStyle w:val="FootnoteReference"/>
                <w:rFonts w:ascii="Calibri" w:eastAsia="Times New Roman" w:hAnsi="Calibri" w:cs="Times New Roman"/>
                <w:color w:val="000000"/>
                <w:sz w:val="20"/>
                <w:szCs w:val="20"/>
              </w:rPr>
              <w:footnoteReference w:id="7"/>
            </w:r>
          </w:p>
          <w:p w:rsidR="005F2CC5" w:rsidRPr="00CB5CCA" w:rsidRDefault="005F2CC5" w:rsidP="00E03256">
            <w:pPr>
              <w:spacing w:after="0" w:line="240" w:lineRule="auto"/>
              <w:rPr>
                <w:rFonts w:ascii="Calibri" w:eastAsia="Times New Roman" w:hAnsi="Calibri" w:cs="Times New Roman"/>
                <w:color w:val="000000"/>
                <w:sz w:val="12"/>
                <w:szCs w:val="12"/>
              </w:rPr>
            </w:pPr>
          </w:p>
        </w:tc>
      </w:tr>
      <w:tr w:rsidR="005F2CC5" w:rsidRPr="00F33B8B" w:rsidTr="009A6DD3">
        <w:trPr>
          <w:trHeight w:val="197"/>
          <w:jc w:val="center"/>
        </w:trPr>
        <w:tc>
          <w:tcPr>
            <w:tcW w:w="3296" w:type="dxa"/>
            <w:shd w:val="clear" w:color="auto" w:fill="FDE9D9" w:themeFill="accent6" w:themeFillTint="33"/>
            <w:noWrap/>
            <w:vAlign w:val="center"/>
          </w:tcPr>
          <w:p w:rsidR="005F2CC5" w:rsidRPr="00F33B8B" w:rsidRDefault="005F2CC5"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Baljeet Nagar, Delhi (2011)</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5F2CC5" w:rsidRDefault="005F2CC5"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Anveesh Kumar, a five-year old boy, </w:t>
            </w:r>
            <w:r w:rsidRPr="00FF3C90">
              <w:rPr>
                <w:rFonts w:ascii="Calibri" w:eastAsia="Times New Roman" w:hAnsi="Calibri" w:cs="Times New Roman"/>
                <w:color w:val="000000"/>
                <w:sz w:val="20"/>
                <w:szCs w:val="20"/>
              </w:rPr>
              <w:t xml:space="preserve">lost sight </w:t>
            </w:r>
            <w:r>
              <w:rPr>
                <w:rFonts w:ascii="Calibri" w:eastAsia="Times New Roman" w:hAnsi="Calibri" w:cs="Times New Roman"/>
                <w:color w:val="000000"/>
                <w:sz w:val="20"/>
                <w:szCs w:val="20"/>
              </w:rPr>
              <w:t xml:space="preserve">in </w:t>
            </w:r>
            <w:r w:rsidR="00F15DA6">
              <w:rPr>
                <w:rFonts w:ascii="Calibri" w:eastAsia="Times New Roman" w:hAnsi="Calibri" w:cs="Times New Roman"/>
                <w:color w:val="000000"/>
                <w:sz w:val="20"/>
                <w:szCs w:val="20"/>
              </w:rPr>
              <w:t xml:space="preserve">one </w:t>
            </w:r>
            <w:r>
              <w:rPr>
                <w:rFonts w:ascii="Calibri" w:eastAsia="Times New Roman" w:hAnsi="Calibri" w:cs="Times New Roman"/>
                <w:color w:val="000000"/>
                <w:sz w:val="20"/>
                <w:szCs w:val="20"/>
              </w:rPr>
              <w:t>eye</w:t>
            </w:r>
            <w:r w:rsidR="00F15DA6">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as a result of severe</w:t>
            </w:r>
            <w:r w:rsidRPr="00FF3C90">
              <w:rPr>
                <w:rFonts w:ascii="Calibri" w:eastAsia="Times New Roman" w:hAnsi="Calibri" w:cs="Times New Roman"/>
                <w:color w:val="000000"/>
                <w:sz w:val="20"/>
                <w:szCs w:val="20"/>
              </w:rPr>
              <w:t xml:space="preserve"> injuries sustained during a demolition drive</w:t>
            </w:r>
            <w:r>
              <w:rPr>
                <w:rFonts w:ascii="Calibri" w:eastAsia="Times New Roman" w:hAnsi="Calibri" w:cs="Times New Roman"/>
                <w:color w:val="000000"/>
                <w:sz w:val="20"/>
                <w:szCs w:val="20"/>
              </w:rPr>
              <w:t xml:space="preserve"> by the Delhi Development Authority. He has not received any compensation from the state for the loss of his eyesight.</w:t>
            </w:r>
            <w:r w:rsidR="0058638F">
              <w:rPr>
                <w:rStyle w:val="FootnoteReference"/>
                <w:rFonts w:ascii="Calibri" w:eastAsia="Times New Roman" w:hAnsi="Calibri" w:cs="Times New Roman"/>
                <w:color w:val="000000"/>
                <w:sz w:val="20"/>
                <w:szCs w:val="20"/>
              </w:rPr>
              <w:footnoteReference w:id="8"/>
            </w:r>
          </w:p>
          <w:p w:rsidR="005F2CC5" w:rsidRPr="00CB5CCA" w:rsidRDefault="005F2CC5" w:rsidP="00E03256">
            <w:pPr>
              <w:spacing w:after="0" w:line="240" w:lineRule="auto"/>
              <w:rPr>
                <w:rFonts w:ascii="Calibri" w:eastAsia="Times New Roman" w:hAnsi="Calibri" w:cs="Times New Roman"/>
                <w:color w:val="000000"/>
                <w:sz w:val="12"/>
                <w:szCs w:val="12"/>
              </w:rPr>
            </w:pPr>
          </w:p>
        </w:tc>
      </w:tr>
      <w:tr w:rsidR="005F2CC5" w:rsidRPr="00F33B8B" w:rsidTr="009A6DD3">
        <w:trPr>
          <w:trHeight w:val="300"/>
          <w:jc w:val="center"/>
        </w:trPr>
        <w:tc>
          <w:tcPr>
            <w:tcW w:w="3296" w:type="dxa"/>
            <w:shd w:val="clear" w:color="auto" w:fill="FDE9D9" w:themeFill="accent6" w:themeFillTint="33"/>
            <w:noWrap/>
            <w:vAlign w:val="center"/>
            <w:hideMark/>
          </w:tcPr>
          <w:p w:rsidR="005F2CC5" w:rsidRPr="00F33B8B" w:rsidRDefault="004965DB" w:rsidP="004965D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Homeless tents at </w:t>
            </w:r>
            <w:r w:rsidR="005F2CC5" w:rsidRPr="003D0E54">
              <w:rPr>
                <w:rFonts w:ascii="Calibri" w:eastAsia="Times New Roman" w:hAnsi="Calibri" w:cs="Times New Roman"/>
                <w:color w:val="000000"/>
                <w:sz w:val="20"/>
                <w:szCs w:val="20"/>
              </w:rPr>
              <w:t>Pusa Roa</w:t>
            </w:r>
            <w:r w:rsidR="005F2CC5">
              <w:rPr>
                <w:rFonts w:ascii="Calibri" w:eastAsia="Times New Roman" w:hAnsi="Calibri" w:cs="Times New Roman"/>
                <w:color w:val="000000"/>
                <w:sz w:val="20"/>
                <w:szCs w:val="20"/>
              </w:rPr>
              <w:t>d, Delhi, (2010</w:t>
            </w:r>
            <w:r w:rsidR="005F2CC5" w:rsidRPr="003D0E54">
              <w:rPr>
                <w:rFonts w:ascii="Calibri" w:eastAsia="Times New Roman" w:hAnsi="Calibri" w:cs="Times New Roman"/>
                <w:color w:val="000000"/>
                <w:sz w:val="20"/>
                <w:szCs w:val="20"/>
              </w:rPr>
              <w:t>)</w:t>
            </w:r>
          </w:p>
        </w:tc>
        <w:tc>
          <w:tcPr>
            <w:tcW w:w="5405" w:type="dxa"/>
            <w:shd w:val="clear" w:color="auto" w:fill="FDE9D9" w:themeFill="accent6" w:themeFillTint="33"/>
            <w:noWrap/>
            <w:vAlign w:val="center"/>
            <w:hideMark/>
          </w:tcPr>
          <w:p w:rsidR="00CB5CCA" w:rsidRPr="00CB5CCA" w:rsidRDefault="00CB5CCA" w:rsidP="00E03256">
            <w:pPr>
              <w:spacing w:after="0" w:line="240" w:lineRule="auto"/>
              <w:rPr>
                <w:rFonts w:ascii="Calibri" w:eastAsia="Times New Roman" w:hAnsi="Calibri" w:cs="Times New Roman"/>
                <w:color w:val="000000"/>
                <w:sz w:val="12"/>
                <w:szCs w:val="12"/>
              </w:rPr>
            </w:pPr>
          </w:p>
          <w:p w:rsidR="005F2CC5" w:rsidRDefault="005F2CC5"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Sanjana, a </w:t>
            </w:r>
            <w:r w:rsidRPr="00D72A66">
              <w:rPr>
                <w:rFonts w:ascii="Calibri" w:eastAsia="Times New Roman" w:hAnsi="Calibri" w:cs="Times New Roman"/>
                <w:color w:val="000000"/>
                <w:sz w:val="20"/>
                <w:szCs w:val="20"/>
              </w:rPr>
              <w:t xml:space="preserve">one-year old </w:t>
            </w:r>
            <w:r>
              <w:rPr>
                <w:rFonts w:ascii="Calibri" w:eastAsia="Times New Roman" w:hAnsi="Calibri" w:cs="Times New Roman"/>
                <w:color w:val="000000"/>
                <w:sz w:val="20"/>
                <w:szCs w:val="20"/>
              </w:rPr>
              <w:t>girl,</w:t>
            </w:r>
            <w:r w:rsidRPr="00D72A66">
              <w:rPr>
                <w:rFonts w:ascii="Calibri" w:eastAsia="Times New Roman" w:hAnsi="Calibri" w:cs="Times New Roman"/>
                <w:color w:val="000000"/>
                <w:sz w:val="20"/>
                <w:szCs w:val="20"/>
              </w:rPr>
              <w:t xml:space="preserve"> died from breathlessness</w:t>
            </w:r>
            <w:r>
              <w:rPr>
                <w:rFonts w:ascii="Calibri" w:eastAsia="Times New Roman" w:hAnsi="Calibri" w:cs="Times New Roman"/>
                <w:color w:val="000000"/>
                <w:sz w:val="20"/>
                <w:szCs w:val="20"/>
              </w:rPr>
              <w:t xml:space="preserve"> </w:t>
            </w:r>
            <w:r w:rsidRPr="00D72A66">
              <w:rPr>
                <w:rFonts w:ascii="Calibri" w:eastAsia="Times New Roman" w:hAnsi="Calibri" w:cs="Times New Roman"/>
                <w:color w:val="000000"/>
                <w:sz w:val="20"/>
                <w:szCs w:val="20"/>
              </w:rPr>
              <w:t>while trying to escape injury</w:t>
            </w:r>
            <w:r>
              <w:rPr>
                <w:rFonts w:ascii="Calibri" w:eastAsia="Times New Roman" w:hAnsi="Calibri" w:cs="Times New Roman"/>
                <w:color w:val="000000"/>
                <w:sz w:val="20"/>
                <w:szCs w:val="20"/>
              </w:rPr>
              <w:t xml:space="preserve"> during the demolition of the homeless shelter in which she lived with her parents</w:t>
            </w:r>
            <w:r w:rsidRPr="00D72A66">
              <w:rPr>
                <w:rFonts w:ascii="Calibri" w:eastAsia="Times New Roman" w:hAnsi="Calibri" w:cs="Times New Roman"/>
                <w:color w:val="000000"/>
                <w:sz w:val="20"/>
                <w:szCs w:val="20"/>
              </w:rPr>
              <w:t>.</w:t>
            </w:r>
            <w:r w:rsidR="00DC0699">
              <w:rPr>
                <w:rStyle w:val="FootnoteReference"/>
                <w:rFonts w:ascii="Calibri" w:eastAsia="Times New Roman" w:hAnsi="Calibri" w:cs="Times New Roman"/>
                <w:color w:val="000000"/>
                <w:sz w:val="20"/>
                <w:szCs w:val="20"/>
              </w:rPr>
              <w:footnoteReference w:id="9"/>
            </w:r>
          </w:p>
          <w:p w:rsidR="005F2CC5" w:rsidRPr="00CB5CCA" w:rsidRDefault="005F2CC5" w:rsidP="00E03256">
            <w:pPr>
              <w:spacing w:after="0" w:line="240" w:lineRule="auto"/>
              <w:rPr>
                <w:rFonts w:ascii="Calibri" w:eastAsia="Times New Roman" w:hAnsi="Calibri" w:cs="Times New Roman"/>
                <w:color w:val="000000"/>
                <w:sz w:val="12"/>
                <w:szCs w:val="12"/>
              </w:rPr>
            </w:pPr>
          </w:p>
        </w:tc>
      </w:tr>
      <w:tr w:rsidR="005F2CC5" w:rsidRPr="00F33B8B" w:rsidTr="009A6DD3">
        <w:trPr>
          <w:trHeight w:val="300"/>
          <w:jc w:val="center"/>
        </w:trPr>
        <w:tc>
          <w:tcPr>
            <w:tcW w:w="3296" w:type="dxa"/>
            <w:shd w:val="clear" w:color="auto" w:fill="FDE9D9" w:themeFill="accent6" w:themeFillTint="33"/>
            <w:noWrap/>
            <w:vAlign w:val="center"/>
          </w:tcPr>
          <w:p w:rsidR="005F2CC5" w:rsidRPr="00F33B8B" w:rsidRDefault="005F2CC5"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Sector</w:t>
            </w:r>
            <w:r w:rsidR="00F15DA6">
              <w:rPr>
                <w:rFonts w:ascii="Calibri" w:eastAsia="Times New Roman" w:hAnsi="Calibri" w:cs="Times New Roman"/>
                <w:color w:val="000000"/>
                <w:sz w:val="20"/>
                <w:szCs w:val="20"/>
              </w:rPr>
              <w:t>s</w:t>
            </w:r>
            <w:r>
              <w:rPr>
                <w:rFonts w:ascii="Calibri" w:eastAsia="Times New Roman" w:hAnsi="Calibri" w:cs="Times New Roman"/>
                <w:color w:val="000000"/>
                <w:sz w:val="20"/>
                <w:szCs w:val="20"/>
              </w:rPr>
              <w:t xml:space="preserve"> 52 and 53, Gurgaon, Haryana (2010)</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5F2CC5" w:rsidRDefault="005F2CC5" w:rsidP="00E03256">
            <w:pPr>
              <w:spacing w:after="0" w:line="240" w:lineRule="auto"/>
              <w:rPr>
                <w:rFonts w:ascii="Calibri" w:eastAsia="Times New Roman" w:hAnsi="Calibri" w:cs="Times New Roman"/>
                <w:color w:val="000000"/>
                <w:sz w:val="20"/>
                <w:szCs w:val="20"/>
              </w:rPr>
            </w:pPr>
            <w:r w:rsidRPr="00993926">
              <w:rPr>
                <w:rFonts w:ascii="Calibri" w:eastAsia="Times New Roman" w:hAnsi="Calibri" w:cs="Times New Roman"/>
                <w:color w:val="000000"/>
                <w:sz w:val="20"/>
                <w:szCs w:val="20"/>
              </w:rPr>
              <w:t>Approximately 50 people sustained minor injuries</w:t>
            </w:r>
            <w:r>
              <w:rPr>
                <w:rFonts w:ascii="Calibri" w:eastAsia="Times New Roman" w:hAnsi="Calibri" w:cs="Times New Roman"/>
                <w:color w:val="000000"/>
                <w:sz w:val="20"/>
                <w:szCs w:val="20"/>
              </w:rPr>
              <w:t xml:space="preserve"> during the demolition of their homes</w:t>
            </w:r>
            <w:r w:rsidR="00F15DA6">
              <w:rPr>
                <w:rFonts w:ascii="Calibri" w:eastAsia="Times New Roman" w:hAnsi="Calibri" w:cs="Times New Roman"/>
                <w:color w:val="000000"/>
                <w:sz w:val="20"/>
                <w:szCs w:val="20"/>
              </w:rPr>
              <w:t xml:space="preserve"> by the state government</w:t>
            </w:r>
            <w:r>
              <w:rPr>
                <w:rFonts w:ascii="Calibri" w:eastAsia="Times New Roman" w:hAnsi="Calibri" w:cs="Times New Roman"/>
                <w:color w:val="000000"/>
                <w:sz w:val="20"/>
                <w:szCs w:val="20"/>
              </w:rPr>
              <w:t>.</w:t>
            </w:r>
            <w:r w:rsidR="005F3367">
              <w:rPr>
                <w:rStyle w:val="FootnoteReference"/>
                <w:rFonts w:ascii="Calibri" w:eastAsia="Times New Roman" w:hAnsi="Calibri" w:cs="Times New Roman"/>
                <w:color w:val="000000"/>
                <w:sz w:val="20"/>
                <w:szCs w:val="20"/>
              </w:rPr>
              <w:footnoteReference w:id="10"/>
            </w:r>
          </w:p>
          <w:p w:rsidR="005F2CC5" w:rsidRPr="00CB5CCA" w:rsidRDefault="005F2CC5" w:rsidP="00E03256">
            <w:pPr>
              <w:spacing w:after="0" w:line="240" w:lineRule="auto"/>
              <w:rPr>
                <w:rFonts w:ascii="Calibri" w:eastAsia="Times New Roman" w:hAnsi="Calibri" w:cs="Times New Roman"/>
                <w:color w:val="000000"/>
                <w:sz w:val="12"/>
                <w:szCs w:val="12"/>
              </w:rPr>
            </w:pPr>
          </w:p>
        </w:tc>
      </w:tr>
      <w:tr w:rsidR="00814729" w:rsidRPr="00F33B8B" w:rsidTr="009A6DD3">
        <w:trPr>
          <w:trHeight w:val="300"/>
          <w:jc w:val="center"/>
        </w:trPr>
        <w:tc>
          <w:tcPr>
            <w:tcW w:w="3296" w:type="dxa"/>
            <w:shd w:val="clear" w:color="auto" w:fill="FDE9D9" w:themeFill="accent6" w:themeFillTint="33"/>
            <w:noWrap/>
            <w:vAlign w:val="center"/>
            <w:hideMark/>
          </w:tcPr>
          <w:p w:rsidR="00814729" w:rsidRDefault="00814729"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Prabhu Market Camp</w:t>
            </w:r>
            <w:r w:rsidR="00642B48">
              <w:rPr>
                <w:rFonts w:ascii="Calibri" w:eastAsia="Times New Roman" w:hAnsi="Calibri" w:cs="Times New Roman"/>
                <w:color w:val="000000"/>
                <w:sz w:val="20"/>
                <w:szCs w:val="20"/>
              </w:rPr>
              <w:t xml:space="preserve"> and Prabhu Market Extension Camp</w:t>
            </w:r>
            <w:r>
              <w:rPr>
                <w:rFonts w:ascii="Calibri" w:eastAsia="Times New Roman" w:hAnsi="Calibri" w:cs="Times New Roman"/>
                <w:color w:val="000000"/>
                <w:sz w:val="20"/>
                <w:szCs w:val="20"/>
              </w:rPr>
              <w:t>, Delhi (2009)</w:t>
            </w:r>
          </w:p>
        </w:tc>
        <w:tc>
          <w:tcPr>
            <w:tcW w:w="5405" w:type="dxa"/>
            <w:shd w:val="clear" w:color="auto" w:fill="FDE9D9" w:themeFill="accent6" w:themeFillTint="33"/>
            <w:noWrap/>
            <w:vAlign w:val="center"/>
            <w:hideMark/>
          </w:tcPr>
          <w:p w:rsidR="00CB5CCA" w:rsidRPr="00CB5CCA" w:rsidRDefault="00CB5CCA" w:rsidP="00E03256">
            <w:pPr>
              <w:spacing w:after="0" w:line="240" w:lineRule="auto"/>
              <w:rPr>
                <w:rFonts w:ascii="Calibri" w:eastAsia="Times New Roman" w:hAnsi="Calibri" w:cs="Times New Roman"/>
                <w:color w:val="000000"/>
                <w:sz w:val="12"/>
                <w:szCs w:val="12"/>
              </w:rPr>
            </w:pPr>
          </w:p>
          <w:p w:rsidR="00642B48" w:rsidRDefault="00814729"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Bannay Singh passed away in January 2010</w:t>
            </w:r>
            <w:r w:rsidR="005F006B">
              <w:rPr>
                <w:rFonts w:ascii="Calibri" w:eastAsia="Times New Roman" w:hAnsi="Calibri" w:cs="Times New Roman"/>
                <w:color w:val="000000"/>
                <w:sz w:val="20"/>
                <w:szCs w:val="20"/>
              </w:rPr>
              <w:t xml:space="preserve">, from exposure to the cold. In the absence of any resettlement or alternative housing, he had been living on the streets for a year after the Delhi government demolished his home. </w:t>
            </w:r>
          </w:p>
          <w:p w:rsidR="005F006B" w:rsidRPr="00CB5CCA" w:rsidRDefault="005F006B" w:rsidP="00E03256">
            <w:pPr>
              <w:spacing w:after="0" w:line="240" w:lineRule="auto"/>
              <w:rPr>
                <w:rFonts w:ascii="Calibri" w:eastAsia="Times New Roman" w:hAnsi="Calibri" w:cs="Times New Roman"/>
                <w:color w:val="000000"/>
                <w:sz w:val="12"/>
                <w:szCs w:val="12"/>
              </w:rPr>
            </w:pPr>
          </w:p>
          <w:p w:rsidR="00814729" w:rsidRDefault="00642B48" w:rsidP="005F006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Sonu, a young man, committed suicide soon after the demolition of his home, as he could not afford the rent for alternative accommodation.</w:t>
            </w:r>
            <w:r w:rsidR="008B15D1">
              <w:rPr>
                <w:rStyle w:val="FootnoteReference"/>
                <w:rFonts w:ascii="Calibri" w:eastAsia="Times New Roman" w:hAnsi="Calibri" w:cs="Times New Roman"/>
                <w:color w:val="000000"/>
                <w:sz w:val="20"/>
                <w:szCs w:val="20"/>
              </w:rPr>
              <w:footnoteReference w:id="11"/>
            </w:r>
          </w:p>
          <w:p w:rsidR="005F006B" w:rsidRPr="00CB5CCA" w:rsidRDefault="005F006B" w:rsidP="005F006B">
            <w:pPr>
              <w:spacing w:after="0" w:line="240" w:lineRule="auto"/>
              <w:rPr>
                <w:rFonts w:ascii="Calibri" w:eastAsia="Times New Roman" w:hAnsi="Calibri" w:cs="Times New Roman"/>
                <w:color w:val="000000"/>
                <w:sz w:val="12"/>
                <w:szCs w:val="12"/>
              </w:rPr>
            </w:pPr>
          </w:p>
        </w:tc>
      </w:tr>
      <w:tr w:rsidR="00235A0E" w:rsidRPr="00F33B8B" w:rsidTr="009A6DD3">
        <w:trPr>
          <w:trHeight w:val="300"/>
          <w:jc w:val="center"/>
        </w:trPr>
        <w:tc>
          <w:tcPr>
            <w:tcW w:w="3296" w:type="dxa"/>
            <w:shd w:val="clear" w:color="auto" w:fill="FDE9D9" w:themeFill="accent6" w:themeFillTint="33"/>
            <w:noWrap/>
            <w:vAlign w:val="center"/>
            <w:hideMark/>
          </w:tcPr>
          <w:p w:rsidR="00235A0E" w:rsidRDefault="00235A0E"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JJ Arjun Das Camp, Delhi (2009)</w:t>
            </w:r>
          </w:p>
        </w:tc>
        <w:tc>
          <w:tcPr>
            <w:tcW w:w="5405" w:type="dxa"/>
            <w:shd w:val="clear" w:color="auto" w:fill="FDE9D9" w:themeFill="accent6" w:themeFillTint="33"/>
            <w:noWrap/>
            <w:vAlign w:val="center"/>
            <w:hideMark/>
          </w:tcPr>
          <w:p w:rsidR="00CB5CCA" w:rsidRPr="00CB5CCA" w:rsidRDefault="00CB5CCA" w:rsidP="00E03256">
            <w:pPr>
              <w:spacing w:after="0" w:line="240" w:lineRule="auto"/>
              <w:rPr>
                <w:rFonts w:ascii="Calibri" w:eastAsia="Times New Roman" w:hAnsi="Calibri" w:cs="Times New Roman"/>
                <w:color w:val="000000"/>
                <w:sz w:val="12"/>
                <w:szCs w:val="12"/>
              </w:rPr>
            </w:pPr>
          </w:p>
          <w:p w:rsidR="00235A0E" w:rsidRDefault="00235A0E"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During the demolition by the Delhi government, an eleven-year old boy suffered from a chest injury. He died within a few months, as his parents could not afford his medical treatment.</w:t>
            </w:r>
          </w:p>
          <w:p w:rsidR="00235A0E" w:rsidRPr="00CB5CCA" w:rsidRDefault="00235A0E" w:rsidP="00E03256">
            <w:pPr>
              <w:spacing w:after="0" w:line="240" w:lineRule="auto"/>
              <w:rPr>
                <w:rFonts w:ascii="Calibri" w:eastAsia="Times New Roman" w:hAnsi="Calibri" w:cs="Times New Roman"/>
                <w:color w:val="000000"/>
                <w:sz w:val="12"/>
                <w:szCs w:val="12"/>
              </w:rPr>
            </w:pPr>
          </w:p>
          <w:p w:rsidR="008B15D1" w:rsidRPr="00CB5CCA" w:rsidRDefault="008B15D1" w:rsidP="00BB5715">
            <w:pPr>
              <w:spacing w:after="0" w:line="240" w:lineRule="auto"/>
              <w:rPr>
                <w:rFonts w:ascii="Calibri" w:eastAsia="Times New Roman" w:hAnsi="Calibri" w:cs="Times New Roman"/>
                <w:color w:val="000000"/>
                <w:sz w:val="12"/>
                <w:szCs w:val="12"/>
              </w:rPr>
            </w:pPr>
            <w:r>
              <w:rPr>
                <w:rFonts w:ascii="Calibri" w:eastAsia="Times New Roman" w:hAnsi="Calibri" w:cs="Times New Roman"/>
                <w:color w:val="000000"/>
                <w:sz w:val="20"/>
                <w:szCs w:val="20"/>
              </w:rPr>
              <w:t>Five children reportedly died soon after the eviction.</w:t>
            </w:r>
          </w:p>
        </w:tc>
      </w:tr>
      <w:tr w:rsidR="005F2CC5" w:rsidRPr="00F33B8B" w:rsidTr="009A6DD3">
        <w:trPr>
          <w:trHeight w:val="300"/>
          <w:jc w:val="center"/>
        </w:trPr>
        <w:tc>
          <w:tcPr>
            <w:tcW w:w="3296" w:type="dxa"/>
            <w:shd w:val="clear" w:color="auto" w:fill="FDE9D9" w:themeFill="accent6" w:themeFillTint="33"/>
            <w:noWrap/>
            <w:vAlign w:val="center"/>
            <w:hideMark/>
          </w:tcPr>
          <w:p w:rsidR="00C50129" w:rsidRPr="00C50129" w:rsidRDefault="00C50129" w:rsidP="00E03256">
            <w:pPr>
              <w:spacing w:after="0" w:line="240" w:lineRule="auto"/>
              <w:rPr>
                <w:rFonts w:ascii="Calibri" w:eastAsia="Times New Roman" w:hAnsi="Calibri" w:cs="Times New Roman"/>
                <w:color w:val="000000"/>
                <w:sz w:val="12"/>
                <w:szCs w:val="12"/>
              </w:rPr>
            </w:pPr>
          </w:p>
          <w:p w:rsidR="005F2CC5" w:rsidRPr="00F33B8B" w:rsidRDefault="005F2CC5"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JJ Valmiki Camp, East Kidwai Nagar, Delhi (2009)</w:t>
            </w:r>
          </w:p>
        </w:tc>
        <w:tc>
          <w:tcPr>
            <w:tcW w:w="5405" w:type="dxa"/>
            <w:shd w:val="clear" w:color="auto" w:fill="FDE9D9" w:themeFill="accent6" w:themeFillTint="33"/>
            <w:noWrap/>
            <w:vAlign w:val="center"/>
            <w:hideMark/>
          </w:tcPr>
          <w:p w:rsidR="00CB5CCA" w:rsidRPr="00CB5CCA" w:rsidRDefault="00CB5CCA" w:rsidP="00E03256">
            <w:pPr>
              <w:spacing w:after="0" w:line="240" w:lineRule="auto"/>
              <w:rPr>
                <w:rFonts w:ascii="Calibri" w:eastAsia="Times New Roman" w:hAnsi="Calibri" w:cs="Times New Roman"/>
                <w:color w:val="000000"/>
                <w:sz w:val="12"/>
                <w:szCs w:val="12"/>
              </w:rPr>
            </w:pPr>
          </w:p>
          <w:p w:rsidR="005F2CC5" w:rsidRDefault="005F2CC5" w:rsidP="00E03256">
            <w:pPr>
              <w:spacing w:after="0" w:line="240" w:lineRule="auto"/>
              <w:rPr>
                <w:rFonts w:ascii="Calibri" w:eastAsia="Times New Roman" w:hAnsi="Calibri" w:cs="Times New Roman"/>
                <w:color w:val="000000"/>
                <w:sz w:val="20"/>
                <w:szCs w:val="20"/>
              </w:rPr>
            </w:pPr>
            <w:r w:rsidRPr="006434C8">
              <w:rPr>
                <w:rFonts w:ascii="Calibri" w:eastAsia="Times New Roman" w:hAnsi="Calibri" w:cs="Times New Roman"/>
                <w:color w:val="000000"/>
                <w:sz w:val="20"/>
                <w:szCs w:val="20"/>
              </w:rPr>
              <w:t>Janki, an elderly woman, narrowly</w:t>
            </w:r>
            <w:r>
              <w:rPr>
                <w:rFonts w:ascii="Calibri" w:eastAsia="Times New Roman" w:hAnsi="Calibri" w:cs="Times New Roman"/>
                <w:color w:val="000000"/>
                <w:sz w:val="20"/>
                <w:szCs w:val="20"/>
              </w:rPr>
              <w:t xml:space="preserve"> </w:t>
            </w:r>
            <w:r w:rsidRPr="006434C8">
              <w:rPr>
                <w:rFonts w:ascii="Calibri" w:eastAsia="Times New Roman" w:hAnsi="Calibri" w:cs="Times New Roman"/>
                <w:color w:val="000000"/>
                <w:sz w:val="20"/>
                <w:szCs w:val="20"/>
              </w:rPr>
              <w:t>escaped death, as she was trapped under a wall while attempting to safeguard</w:t>
            </w:r>
            <w:r>
              <w:rPr>
                <w:rFonts w:ascii="Calibri" w:eastAsia="Times New Roman" w:hAnsi="Calibri" w:cs="Times New Roman"/>
                <w:color w:val="000000"/>
                <w:sz w:val="20"/>
                <w:szCs w:val="20"/>
              </w:rPr>
              <w:t xml:space="preserve"> </w:t>
            </w:r>
            <w:r w:rsidRPr="006434C8">
              <w:rPr>
                <w:rFonts w:ascii="Calibri" w:eastAsia="Times New Roman" w:hAnsi="Calibri" w:cs="Times New Roman"/>
                <w:color w:val="000000"/>
                <w:sz w:val="20"/>
                <w:szCs w:val="20"/>
              </w:rPr>
              <w:t xml:space="preserve">her </w:t>
            </w:r>
            <w:r w:rsidRPr="006434C8">
              <w:rPr>
                <w:rFonts w:ascii="Calibri" w:eastAsia="Times New Roman" w:hAnsi="Calibri" w:cs="Times New Roman"/>
                <w:color w:val="000000"/>
                <w:sz w:val="20"/>
                <w:szCs w:val="20"/>
              </w:rPr>
              <w:lastRenderedPageBreak/>
              <w:t>possessions</w:t>
            </w:r>
            <w:r>
              <w:rPr>
                <w:rFonts w:ascii="Calibri" w:eastAsia="Times New Roman" w:hAnsi="Calibri" w:cs="Times New Roman"/>
                <w:color w:val="000000"/>
                <w:sz w:val="20"/>
                <w:szCs w:val="20"/>
              </w:rPr>
              <w:t xml:space="preserve"> during the demolition of her home</w:t>
            </w:r>
            <w:r w:rsidR="00976268">
              <w:rPr>
                <w:rFonts w:ascii="Calibri" w:eastAsia="Times New Roman" w:hAnsi="Calibri" w:cs="Times New Roman"/>
                <w:color w:val="000000"/>
                <w:sz w:val="20"/>
                <w:szCs w:val="20"/>
              </w:rPr>
              <w:t xml:space="preserve"> by the Delhi government</w:t>
            </w:r>
            <w:r w:rsidRPr="006434C8">
              <w:rPr>
                <w:rFonts w:ascii="Calibri" w:eastAsia="Times New Roman" w:hAnsi="Calibri" w:cs="Times New Roman"/>
                <w:color w:val="000000"/>
                <w:sz w:val="20"/>
                <w:szCs w:val="20"/>
              </w:rPr>
              <w:t>. She injured her knee in the process and now suffers from a</w:t>
            </w:r>
            <w:r>
              <w:rPr>
                <w:rFonts w:ascii="Calibri" w:eastAsia="Times New Roman" w:hAnsi="Calibri" w:cs="Times New Roman"/>
                <w:color w:val="000000"/>
                <w:sz w:val="20"/>
                <w:szCs w:val="20"/>
              </w:rPr>
              <w:t xml:space="preserve"> </w:t>
            </w:r>
            <w:r w:rsidRPr="006434C8">
              <w:rPr>
                <w:rFonts w:ascii="Calibri" w:eastAsia="Times New Roman" w:hAnsi="Calibri" w:cs="Times New Roman"/>
                <w:color w:val="000000"/>
                <w:sz w:val="20"/>
                <w:szCs w:val="20"/>
              </w:rPr>
              <w:t>permanent disability.</w:t>
            </w:r>
            <w:r w:rsidR="005F3367">
              <w:rPr>
                <w:rStyle w:val="FootnoteReference"/>
                <w:rFonts w:ascii="Calibri" w:eastAsia="Times New Roman" w:hAnsi="Calibri" w:cs="Times New Roman"/>
                <w:color w:val="000000"/>
                <w:sz w:val="20"/>
                <w:szCs w:val="20"/>
              </w:rPr>
              <w:footnoteReference w:id="12"/>
            </w:r>
          </w:p>
          <w:p w:rsidR="005F2CC5" w:rsidRPr="00CB5CCA" w:rsidRDefault="005F2CC5" w:rsidP="00E03256">
            <w:pPr>
              <w:spacing w:after="0" w:line="240" w:lineRule="auto"/>
              <w:rPr>
                <w:rFonts w:ascii="Calibri" w:eastAsia="Times New Roman" w:hAnsi="Calibri" w:cs="Times New Roman"/>
                <w:color w:val="000000"/>
                <w:sz w:val="12"/>
                <w:szCs w:val="12"/>
              </w:rPr>
            </w:pPr>
          </w:p>
          <w:p w:rsidR="005F2CC5" w:rsidRDefault="005F2CC5" w:rsidP="00E03256">
            <w:pPr>
              <w:spacing w:after="0" w:line="240" w:lineRule="auto"/>
              <w:rPr>
                <w:rFonts w:ascii="Calibri" w:eastAsia="Times New Roman" w:hAnsi="Calibri" w:cs="Times New Roman"/>
                <w:color w:val="000000"/>
                <w:sz w:val="20"/>
                <w:szCs w:val="20"/>
              </w:rPr>
            </w:pPr>
            <w:r w:rsidRPr="002B0429">
              <w:rPr>
                <w:rFonts w:ascii="Calibri" w:eastAsia="Times New Roman" w:hAnsi="Calibri" w:cs="Times New Roman"/>
                <w:color w:val="000000"/>
                <w:sz w:val="20"/>
                <w:szCs w:val="20"/>
              </w:rPr>
              <w:t>Anoop,</w:t>
            </w:r>
            <w:r>
              <w:rPr>
                <w:rFonts w:ascii="Calibri" w:eastAsia="Times New Roman" w:hAnsi="Calibri" w:cs="Times New Roman"/>
                <w:color w:val="000000"/>
                <w:sz w:val="20"/>
                <w:szCs w:val="20"/>
              </w:rPr>
              <w:t xml:space="preserve"> a young man,</w:t>
            </w:r>
            <w:r w:rsidRPr="002B0429">
              <w:rPr>
                <w:rFonts w:ascii="Calibri" w:eastAsia="Times New Roman" w:hAnsi="Calibri" w:cs="Times New Roman"/>
                <w:color w:val="000000"/>
                <w:sz w:val="20"/>
                <w:szCs w:val="20"/>
              </w:rPr>
              <w:t xml:space="preserve"> fractured his</w:t>
            </w:r>
            <w:r>
              <w:rPr>
                <w:rFonts w:ascii="Calibri" w:eastAsia="Times New Roman" w:hAnsi="Calibri" w:cs="Times New Roman"/>
                <w:color w:val="000000"/>
                <w:sz w:val="20"/>
                <w:szCs w:val="20"/>
              </w:rPr>
              <w:t xml:space="preserve"> </w:t>
            </w:r>
            <w:r w:rsidRPr="002B0429">
              <w:rPr>
                <w:rFonts w:ascii="Calibri" w:eastAsia="Times New Roman" w:hAnsi="Calibri" w:cs="Times New Roman"/>
                <w:color w:val="000000"/>
                <w:sz w:val="20"/>
                <w:szCs w:val="20"/>
              </w:rPr>
              <w:t>right leg while trying to rescue his possessions during the demolition process.</w:t>
            </w:r>
            <w:r w:rsidR="005F3367">
              <w:rPr>
                <w:rStyle w:val="FootnoteReference"/>
                <w:rFonts w:ascii="Calibri" w:eastAsia="Times New Roman" w:hAnsi="Calibri" w:cs="Times New Roman"/>
                <w:color w:val="000000"/>
                <w:sz w:val="20"/>
                <w:szCs w:val="20"/>
              </w:rPr>
              <w:footnoteReference w:id="13"/>
            </w:r>
          </w:p>
          <w:p w:rsidR="005F2CC5" w:rsidRPr="00CB5CCA" w:rsidRDefault="005F2CC5" w:rsidP="00E03256">
            <w:pPr>
              <w:spacing w:after="0" w:line="240" w:lineRule="auto"/>
              <w:rPr>
                <w:rFonts w:ascii="Calibri" w:eastAsia="Times New Roman" w:hAnsi="Calibri" w:cs="Times New Roman"/>
                <w:color w:val="000000"/>
                <w:sz w:val="12"/>
                <w:szCs w:val="12"/>
              </w:rPr>
            </w:pPr>
          </w:p>
          <w:p w:rsidR="005F2CC5" w:rsidRDefault="005F2CC5" w:rsidP="00E03256">
            <w:pPr>
              <w:spacing w:after="0" w:line="240" w:lineRule="auto"/>
              <w:rPr>
                <w:rFonts w:ascii="Calibri" w:eastAsia="Times New Roman" w:hAnsi="Calibri" w:cs="Times New Roman"/>
                <w:color w:val="000000"/>
                <w:sz w:val="20"/>
                <w:szCs w:val="20"/>
              </w:rPr>
            </w:pPr>
            <w:r w:rsidRPr="00353C48">
              <w:rPr>
                <w:rFonts w:ascii="Calibri" w:eastAsia="Times New Roman" w:hAnsi="Calibri" w:cs="Times New Roman"/>
                <w:color w:val="000000"/>
                <w:sz w:val="20"/>
                <w:szCs w:val="20"/>
              </w:rPr>
              <w:t>Ram Singh lost his two-year old son during the eviction. The child was unwell</w:t>
            </w:r>
            <w:r>
              <w:rPr>
                <w:rFonts w:ascii="Calibri" w:eastAsia="Times New Roman" w:hAnsi="Calibri" w:cs="Times New Roman"/>
                <w:color w:val="000000"/>
                <w:sz w:val="20"/>
                <w:szCs w:val="20"/>
              </w:rPr>
              <w:t xml:space="preserve"> </w:t>
            </w:r>
            <w:r w:rsidRPr="00353C48">
              <w:rPr>
                <w:rFonts w:ascii="Calibri" w:eastAsia="Times New Roman" w:hAnsi="Calibri" w:cs="Times New Roman"/>
                <w:color w:val="000000"/>
                <w:sz w:val="20"/>
                <w:szCs w:val="20"/>
              </w:rPr>
              <w:t>and alone at home when the demolition began.</w:t>
            </w:r>
            <w:r>
              <w:rPr>
                <w:rFonts w:ascii="Calibri" w:eastAsia="Times New Roman" w:hAnsi="Calibri" w:cs="Times New Roman"/>
                <w:color w:val="000000"/>
                <w:sz w:val="20"/>
                <w:szCs w:val="20"/>
              </w:rPr>
              <w:t xml:space="preserve"> </w:t>
            </w:r>
            <w:r w:rsidRPr="001B3042">
              <w:rPr>
                <w:rFonts w:ascii="Calibri" w:eastAsia="Times New Roman" w:hAnsi="Calibri" w:cs="Times New Roman"/>
                <w:color w:val="000000"/>
                <w:sz w:val="20"/>
                <w:szCs w:val="20"/>
              </w:rPr>
              <w:t>Though he was rescued by neighbours, he died of shock</w:t>
            </w:r>
            <w:r>
              <w:rPr>
                <w:rFonts w:ascii="Calibri" w:eastAsia="Times New Roman" w:hAnsi="Calibri" w:cs="Times New Roman"/>
                <w:color w:val="000000"/>
                <w:sz w:val="20"/>
                <w:szCs w:val="20"/>
              </w:rPr>
              <w:t xml:space="preserve"> </w:t>
            </w:r>
            <w:r w:rsidRPr="001B3042">
              <w:rPr>
                <w:rFonts w:ascii="Calibri" w:eastAsia="Times New Roman" w:hAnsi="Calibri" w:cs="Times New Roman"/>
                <w:color w:val="000000"/>
                <w:sz w:val="20"/>
                <w:szCs w:val="20"/>
              </w:rPr>
              <w:t>within hours of the demolition.</w:t>
            </w:r>
            <w:r w:rsidR="005F3367">
              <w:rPr>
                <w:rStyle w:val="FootnoteReference"/>
                <w:rFonts w:ascii="Calibri" w:eastAsia="Times New Roman" w:hAnsi="Calibri" w:cs="Times New Roman"/>
                <w:color w:val="000000"/>
                <w:sz w:val="20"/>
                <w:szCs w:val="20"/>
              </w:rPr>
              <w:footnoteReference w:id="14"/>
            </w:r>
          </w:p>
          <w:p w:rsidR="00C66EEE" w:rsidRPr="00CB5CCA" w:rsidRDefault="00C66EEE" w:rsidP="00E03256">
            <w:pPr>
              <w:spacing w:after="0" w:line="240" w:lineRule="auto"/>
              <w:rPr>
                <w:rFonts w:ascii="Calibri" w:eastAsia="Times New Roman" w:hAnsi="Calibri" w:cs="Times New Roman"/>
                <w:color w:val="000000"/>
                <w:sz w:val="12"/>
                <w:szCs w:val="12"/>
              </w:rPr>
            </w:pPr>
          </w:p>
          <w:p w:rsidR="00C66EEE" w:rsidRDefault="008B15D1"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Four</w:t>
            </w:r>
            <w:r w:rsidR="00C66EEE">
              <w:rPr>
                <w:rFonts w:ascii="Calibri" w:eastAsia="Times New Roman" w:hAnsi="Calibri" w:cs="Times New Roman"/>
                <w:color w:val="000000"/>
                <w:sz w:val="20"/>
                <w:szCs w:val="20"/>
              </w:rPr>
              <w:t xml:space="preserve"> persons, reportedly</w:t>
            </w:r>
            <w:r w:rsidR="005F006B">
              <w:rPr>
                <w:rFonts w:ascii="Calibri" w:eastAsia="Times New Roman" w:hAnsi="Calibri" w:cs="Times New Roman"/>
                <w:color w:val="000000"/>
                <w:sz w:val="20"/>
                <w:szCs w:val="20"/>
              </w:rPr>
              <w:t>,</w:t>
            </w:r>
            <w:r w:rsidR="00C66EEE">
              <w:rPr>
                <w:rFonts w:ascii="Calibri" w:eastAsia="Times New Roman" w:hAnsi="Calibri" w:cs="Times New Roman"/>
                <w:color w:val="000000"/>
                <w:sz w:val="20"/>
                <w:szCs w:val="20"/>
              </w:rPr>
              <w:t xml:space="preserve"> lost their lives from shock and trauma</w:t>
            </w:r>
            <w:r w:rsidR="005F006B">
              <w:rPr>
                <w:rFonts w:ascii="Calibri" w:eastAsia="Times New Roman" w:hAnsi="Calibri" w:cs="Times New Roman"/>
                <w:color w:val="000000"/>
                <w:sz w:val="20"/>
                <w:szCs w:val="20"/>
              </w:rPr>
              <w:t xml:space="preserve"> in the aftermath of the forced eviction</w:t>
            </w:r>
            <w:r w:rsidR="00C66EEE">
              <w:rPr>
                <w:rFonts w:ascii="Calibri" w:eastAsia="Times New Roman" w:hAnsi="Calibri" w:cs="Times New Roman"/>
                <w:color w:val="000000"/>
                <w:sz w:val="20"/>
                <w:szCs w:val="20"/>
              </w:rPr>
              <w:t>.</w:t>
            </w:r>
          </w:p>
          <w:p w:rsidR="005F2CC5" w:rsidRPr="00CB5CCA" w:rsidRDefault="005F2CC5" w:rsidP="00E03256">
            <w:pPr>
              <w:spacing w:after="0" w:line="240" w:lineRule="auto"/>
              <w:rPr>
                <w:rFonts w:ascii="Calibri" w:eastAsia="Times New Roman" w:hAnsi="Calibri" w:cs="Times New Roman"/>
                <w:color w:val="000000"/>
                <w:sz w:val="12"/>
                <w:szCs w:val="12"/>
              </w:rPr>
            </w:pPr>
          </w:p>
        </w:tc>
      </w:tr>
      <w:tr w:rsidR="00DE1069" w:rsidRPr="00F33B8B" w:rsidTr="009A6DD3">
        <w:trPr>
          <w:trHeight w:val="300"/>
          <w:jc w:val="center"/>
        </w:trPr>
        <w:tc>
          <w:tcPr>
            <w:tcW w:w="3296" w:type="dxa"/>
            <w:shd w:val="clear" w:color="auto" w:fill="FDE9D9" w:themeFill="accent6" w:themeFillTint="33"/>
            <w:noWrap/>
            <w:vAlign w:val="center"/>
          </w:tcPr>
          <w:p w:rsidR="00DE1069" w:rsidRDefault="00DE1069"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Bengali Camp, Delhi (2009)</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DE1069" w:rsidRDefault="00DE1069"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Lakhan and Geeta, who lost their homes during a state demolition drive for the 2010 Commonwealth Games, died after a few months, reportedly from depression and psychological trauma.</w:t>
            </w:r>
          </w:p>
          <w:p w:rsidR="00DE1069" w:rsidRPr="00CB5CCA" w:rsidRDefault="00DE1069" w:rsidP="00E03256">
            <w:pPr>
              <w:spacing w:after="0" w:line="240" w:lineRule="auto"/>
              <w:rPr>
                <w:rFonts w:ascii="Calibri" w:eastAsia="Times New Roman" w:hAnsi="Calibri" w:cs="Times New Roman"/>
                <w:color w:val="000000"/>
                <w:sz w:val="12"/>
                <w:szCs w:val="12"/>
              </w:rPr>
            </w:pPr>
          </w:p>
          <w:p w:rsidR="00DE1069" w:rsidRDefault="00DE1069"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Residents reported an increase in diseases after the loss of their homes. Dengue claimed two lives at the site.</w:t>
            </w:r>
            <w:r>
              <w:rPr>
                <w:rStyle w:val="FootnoteReference"/>
                <w:rFonts w:ascii="Calibri" w:eastAsia="Times New Roman" w:hAnsi="Calibri" w:cs="Times New Roman"/>
                <w:color w:val="000000"/>
                <w:sz w:val="20"/>
                <w:szCs w:val="20"/>
              </w:rPr>
              <w:footnoteReference w:id="15"/>
            </w:r>
          </w:p>
          <w:p w:rsidR="00DE1069" w:rsidRPr="00CB5CCA" w:rsidRDefault="00DE1069" w:rsidP="00E03256">
            <w:pPr>
              <w:spacing w:after="0" w:line="240" w:lineRule="auto"/>
              <w:rPr>
                <w:rFonts w:ascii="Calibri" w:eastAsia="Times New Roman" w:hAnsi="Calibri" w:cs="Times New Roman"/>
                <w:color w:val="000000"/>
                <w:sz w:val="12"/>
                <w:szCs w:val="12"/>
              </w:rPr>
            </w:pPr>
          </w:p>
        </w:tc>
      </w:tr>
      <w:tr w:rsidR="00DE1069" w:rsidRPr="00F33B8B" w:rsidTr="009A6DD3">
        <w:trPr>
          <w:trHeight w:val="300"/>
          <w:jc w:val="center"/>
        </w:trPr>
        <w:tc>
          <w:tcPr>
            <w:tcW w:w="3296" w:type="dxa"/>
            <w:shd w:val="clear" w:color="auto" w:fill="FDE9D9" w:themeFill="accent6" w:themeFillTint="33"/>
            <w:noWrap/>
            <w:vAlign w:val="center"/>
          </w:tcPr>
          <w:p w:rsidR="00DE1069" w:rsidRPr="00F33B8B" w:rsidRDefault="00DE1069"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JJ </w:t>
            </w:r>
            <w:r w:rsidRPr="00352D3C">
              <w:rPr>
                <w:rFonts w:ascii="Calibri" w:eastAsia="Times New Roman" w:hAnsi="Calibri" w:cs="Times New Roman"/>
                <w:color w:val="000000"/>
                <w:sz w:val="20"/>
                <w:szCs w:val="20"/>
              </w:rPr>
              <w:t>Camp, Prem Nagar</w:t>
            </w:r>
            <w:r>
              <w:rPr>
                <w:rFonts w:ascii="Calibri" w:eastAsia="Times New Roman" w:hAnsi="Calibri" w:cs="Times New Roman"/>
                <w:color w:val="000000"/>
                <w:sz w:val="20"/>
                <w:szCs w:val="20"/>
              </w:rPr>
              <w:t>, Delhi (2009)</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DE1069" w:rsidRDefault="00DE1069" w:rsidP="00E03256">
            <w:pPr>
              <w:spacing w:after="0" w:line="240" w:lineRule="auto"/>
              <w:rPr>
                <w:rFonts w:ascii="Calibri" w:eastAsia="Times New Roman" w:hAnsi="Calibri" w:cs="Times New Roman"/>
                <w:color w:val="000000"/>
                <w:sz w:val="20"/>
                <w:szCs w:val="20"/>
              </w:rPr>
            </w:pPr>
            <w:r w:rsidRPr="00352D3C">
              <w:rPr>
                <w:rFonts w:ascii="Calibri" w:eastAsia="Times New Roman" w:hAnsi="Calibri" w:cs="Times New Roman"/>
                <w:color w:val="000000"/>
                <w:sz w:val="20"/>
                <w:szCs w:val="20"/>
              </w:rPr>
              <w:t>Jai Ram</w:t>
            </w:r>
            <w:r>
              <w:rPr>
                <w:rFonts w:ascii="Calibri" w:eastAsia="Times New Roman" w:hAnsi="Calibri" w:cs="Times New Roman"/>
                <w:color w:val="000000"/>
                <w:sz w:val="20"/>
                <w:szCs w:val="20"/>
              </w:rPr>
              <w:t>, a young man,</w:t>
            </w:r>
            <w:r w:rsidRPr="00352D3C">
              <w:rPr>
                <w:rFonts w:ascii="Calibri" w:eastAsia="Times New Roman" w:hAnsi="Calibri" w:cs="Times New Roman"/>
                <w:color w:val="000000"/>
                <w:sz w:val="20"/>
                <w:szCs w:val="20"/>
              </w:rPr>
              <w:t xml:space="preserve"> was injured during </w:t>
            </w:r>
            <w:r>
              <w:rPr>
                <w:rFonts w:ascii="Calibri" w:eastAsia="Times New Roman" w:hAnsi="Calibri" w:cs="Times New Roman"/>
                <w:color w:val="000000"/>
                <w:sz w:val="20"/>
                <w:szCs w:val="20"/>
              </w:rPr>
              <w:t>the</w:t>
            </w:r>
            <w:r w:rsidRPr="00352D3C">
              <w:rPr>
                <w:rFonts w:ascii="Calibri" w:eastAsia="Times New Roman" w:hAnsi="Calibri" w:cs="Times New Roman"/>
                <w:color w:val="000000"/>
                <w:sz w:val="20"/>
                <w:szCs w:val="20"/>
              </w:rPr>
              <w:t xml:space="preserve"> demolition</w:t>
            </w:r>
            <w:r>
              <w:rPr>
                <w:rFonts w:ascii="Calibri" w:eastAsia="Times New Roman" w:hAnsi="Calibri" w:cs="Times New Roman"/>
                <w:color w:val="000000"/>
                <w:sz w:val="20"/>
                <w:szCs w:val="20"/>
              </w:rPr>
              <w:t xml:space="preserve"> of his home</w:t>
            </w:r>
            <w:r w:rsidRPr="00352D3C">
              <w:rPr>
                <w:rFonts w:ascii="Calibri" w:eastAsia="Times New Roman" w:hAnsi="Calibri" w:cs="Times New Roman"/>
                <w:color w:val="000000"/>
                <w:sz w:val="20"/>
                <w:szCs w:val="20"/>
              </w:rPr>
              <w:t xml:space="preserve">, as a wire pierced his thigh. </w:t>
            </w:r>
            <w:r>
              <w:rPr>
                <w:rFonts w:ascii="Calibri" w:eastAsia="Times New Roman" w:hAnsi="Calibri" w:cs="Times New Roman"/>
                <w:color w:val="000000"/>
                <w:sz w:val="20"/>
                <w:szCs w:val="20"/>
              </w:rPr>
              <w:t>T</w:t>
            </w:r>
            <w:r w:rsidRPr="00352D3C">
              <w:rPr>
                <w:rFonts w:ascii="Calibri" w:eastAsia="Times New Roman" w:hAnsi="Calibri" w:cs="Times New Roman"/>
                <w:color w:val="000000"/>
                <w:sz w:val="20"/>
                <w:szCs w:val="20"/>
              </w:rPr>
              <w:t xml:space="preserve">he angst and pain associated with losing his home </w:t>
            </w:r>
            <w:r>
              <w:rPr>
                <w:rFonts w:ascii="Calibri" w:eastAsia="Times New Roman" w:hAnsi="Calibri" w:cs="Times New Roman"/>
                <w:color w:val="000000"/>
                <w:sz w:val="20"/>
                <w:szCs w:val="20"/>
              </w:rPr>
              <w:t>resulted in his</w:t>
            </w:r>
            <w:r w:rsidRPr="00352D3C">
              <w:rPr>
                <w:rFonts w:ascii="Calibri" w:eastAsia="Times New Roman" w:hAnsi="Calibri" w:cs="Times New Roman"/>
                <w:color w:val="000000"/>
                <w:sz w:val="20"/>
                <w:szCs w:val="20"/>
              </w:rPr>
              <w:t xml:space="preserve"> develop</w:t>
            </w:r>
            <w:r>
              <w:rPr>
                <w:rFonts w:ascii="Calibri" w:eastAsia="Times New Roman" w:hAnsi="Calibri" w:cs="Times New Roman"/>
                <w:color w:val="000000"/>
                <w:sz w:val="20"/>
                <w:szCs w:val="20"/>
              </w:rPr>
              <w:t>ing a</w:t>
            </w:r>
            <w:r w:rsidRPr="00352D3C">
              <w:rPr>
                <w:rFonts w:ascii="Calibri" w:eastAsia="Times New Roman" w:hAnsi="Calibri" w:cs="Times New Roman"/>
                <w:color w:val="000000"/>
                <w:sz w:val="20"/>
                <w:szCs w:val="20"/>
              </w:rPr>
              <w:t xml:space="preserve"> fever</w:t>
            </w:r>
            <w:r>
              <w:rPr>
                <w:rFonts w:ascii="Calibri" w:eastAsia="Times New Roman" w:hAnsi="Calibri" w:cs="Times New Roman"/>
                <w:color w:val="000000"/>
                <w:sz w:val="20"/>
                <w:szCs w:val="20"/>
              </w:rPr>
              <w:t xml:space="preserve"> </w:t>
            </w:r>
            <w:r w:rsidRPr="00352D3C">
              <w:rPr>
                <w:rFonts w:ascii="Calibri" w:eastAsia="Times New Roman" w:hAnsi="Calibri" w:cs="Times New Roman"/>
                <w:color w:val="000000"/>
                <w:sz w:val="20"/>
                <w:szCs w:val="20"/>
              </w:rPr>
              <w:t xml:space="preserve">in the aftermath of the </w:t>
            </w:r>
            <w:r>
              <w:rPr>
                <w:rFonts w:ascii="Calibri" w:eastAsia="Times New Roman" w:hAnsi="Calibri" w:cs="Times New Roman"/>
                <w:color w:val="000000"/>
                <w:sz w:val="20"/>
                <w:szCs w:val="20"/>
              </w:rPr>
              <w:t>demolition.</w:t>
            </w:r>
            <w:r>
              <w:rPr>
                <w:rStyle w:val="FootnoteReference"/>
                <w:rFonts w:ascii="Calibri" w:eastAsia="Times New Roman" w:hAnsi="Calibri" w:cs="Times New Roman"/>
                <w:color w:val="000000"/>
                <w:sz w:val="20"/>
                <w:szCs w:val="20"/>
              </w:rPr>
              <w:footnoteReference w:id="16"/>
            </w:r>
          </w:p>
          <w:p w:rsidR="00DE1069" w:rsidRPr="00CB5CCA" w:rsidRDefault="00DE1069" w:rsidP="00E03256">
            <w:pPr>
              <w:spacing w:after="0" w:line="240" w:lineRule="auto"/>
              <w:rPr>
                <w:rFonts w:ascii="Calibri" w:eastAsia="Times New Roman" w:hAnsi="Calibri" w:cs="Times New Roman"/>
                <w:color w:val="000000"/>
                <w:sz w:val="12"/>
                <w:szCs w:val="12"/>
              </w:rPr>
            </w:pPr>
          </w:p>
        </w:tc>
      </w:tr>
      <w:tr w:rsidR="00DE1069" w:rsidRPr="00F33B8B" w:rsidTr="009A6DD3">
        <w:trPr>
          <w:trHeight w:val="300"/>
          <w:jc w:val="center"/>
        </w:trPr>
        <w:tc>
          <w:tcPr>
            <w:tcW w:w="3296" w:type="dxa"/>
            <w:shd w:val="clear" w:color="auto" w:fill="FDE9D9" w:themeFill="accent6" w:themeFillTint="33"/>
            <w:noWrap/>
            <w:vAlign w:val="center"/>
          </w:tcPr>
          <w:p w:rsidR="00DE1069" w:rsidRPr="00F33B8B" w:rsidRDefault="00DE1069" w:rsidP="00E03256">
            <w:pPr>
              <w:spacing w:after="0" w:line="240" w:lineRule="auto"/>
              <w:rPr>
                <w:rFonts w:ascii="Calibri" w:eastAsia="Times New Roman" w:hAnsi="Calibri" w:cs="Times New Roman"/>
                <w:color w:val="000000"/>
                <w:sz w:val="20"/>
                <w:szCs w:val="20"/>
              </w:rPr>
            </w:pPr>
            <w:r w:rsidRPr="00781824">
              <w:rPr>
                <w:rFonts w:ascii="Calibri" w:eastAsia="Times New Roman" w:hAnsi="Calibri" w:cs="Times New Roman"/>
                <w:color w:val="000000"/>
                <w:sz w:val="20"/>
                <w:szCs w:val="20"/>
              </w:rPr>
              <w:t>Swatantra Camp</w:t>
            </w:r>
            <w:r>
              <w:rPr>
                <w:rFonts w:ascii="Calibri" w:eastAsia="Times New Roman" w:hAnsi="Calibri" w:cs="Times New Roman"/>
                <w:color w:val="000000"/>
                <w:sz w:val="20"/>
                <w:szCs w:val="20"/>
              </w:rPr>
              <w:t>, Delhi (2009)</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DE1069" w:rsidRDefault="00DE1069"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Babita Devi, a pregnant woman, </w:t>
            </w:r>
            <w:r w:rsidRPr="005022A8">
              <w:rPr>
                <w:rFonts w:ascii="Calibri" w:eastAsia="Times New Roman" w:hAnsi="Calibri" w:cs="Times New Roman"/>
                <w:color w:val="000000"/>
                <w:sz w:val="20"/>
                <w:szCs w:val="20"/>
              </w:rPr>
              <w:t xml:space="preserve">was subjected to the bitter cold </w:t>
            </w:r>
            <w:r>
              <w:rPr>
                <w:rFonts w:ascii="Calibri" w:eastAsia="Times New Roman" w:hAnsi="Calibri" w:cs="Times New Roman"/>
                <w:color w:val="000000"/>
                <w:sz w:val="20"/>
                <w:szCs w:val="20"/>
              </w:rPr>
              <w:t>in</w:t>
            </w:r>
            <w:r w:rsidRPr="005022A8">
              <w:rPr>
                <w:rFonts w:ascii="Calibri" w:eastAsia="Times New Roman" w:hAnsi="Calibri" w:cs="Times New Roman"/>
                <w:color w:val="000000"/>
                <w:sz w:val="20"/>
                <w:szCs w:val="20"/>
              </w:rPr>
              <w:t xml:space="preserve"> an advanced stage of pregnancy, as </w:t>
            </w:r>
            <w:r>
              <w:rPr>
                <w:rFonts w:ascii="Calibri" w:eastAsia="Times New Roman" w:hAnsi="Calibri" w:cs="Times New Roman"/>
                <w:color w:val="000000"/>
                <w:sz w:val="20"/>
                <w:szCs w:val="20"/>
              </w:rPr>
              <w:t xml:space="preserve">Delhi government </w:t>
            </w:r>
            <w:r w:rsidRPr="005022A8">
              <w:rPr>
                <w:rFonts w:ascii="Calibri" w:eastAsia="Times New Roman" w:hAnsi="Calibri" w:cs="Times New Roman"/>
                <w:color w:val="000000"/>
                <w:sz w:val="20"/>
                <w:szCs w:val="20"/>
              </w:rPr>
              <w:t>authorities demolished</w:t>
            </w:r>
            <w:r>
              <w:rPr>
                <w:rFonts w:ascii="Calibri" w:eastAsia="Times New Roman" w:hAnsi="Calibri" w:cs="Times New Roman"/>
                <w:color w:val="000000"/>
                <w:sz w:val="20"/>
                <w:szCs w:val="20"/>
              </w:rPr>
              <w:t xml:space="preserve"> </w:t>
            </w:r>
            <w:r w:rsidRPr="005022A8">
              <w:rPr>
                <w:rFonts w:ascii="Calibri" w:eastAsia="Times New Roman" w:hAnsi="Calibri" w:cs="Times New Roman"/>
                <w:color w:val="000000"/>
                <w:sz w:val="20"/>
                <w:szCs w:val="20"/>
              </w:rPr>
              <w:t xml:space="preserve">her home in the peak of winter. She gave birth </w:t>
            </w:r>
            <w:r>
              <w:rPr>
                <w:rFonts w:ascii="Calibri" w:eastAsia="Times New Roman" w:hAnsi="Calibri" w:cs="Times New Roman"/>
                <w:color w:val="000000"/>
                <w:sz w:val="20"/>
                <w:szCs w:val="20"/>
              </w:rPr>
              <w:t>10</w:t>
            </w:r>
            <w:r w:rsidRPr="005022A8">
              <w:rPr>
                <w:rFonts w:ascii="Calibri" w:eastAsia="Times New Roman" w:hAnsi="Calibri" w:cs="Times New Roman"/>
                <w:color w:val="000000"/>
                <w:sz w:val="20"/>
                <w:szCs w:val="20"/>
              </w:rPr>
              <w:t xml:space="preserve"> days after the </w:t>
            </w:r>
            <w:r>
              <w:rPr>
                <w:rFonts w:ascii="Calibri" w:eastAsia="Times New Roman" w:hAnsi="Calibri" w:cs="Times New Roman"/>
                <w:color w:val="000000"/>
                <w:sz w:val="20"/>
                <w:szCs w:val="20"/>
              </w:rPr>
              <w:t xml:space="preserve">forced </w:t>
            </w:r>
            <w:r w:rsidRPr="005022A8">
              <w:rPr>
                <w:rFonts w:ascii="Calibri" w:eastAsia="Times New Roman" w:hAnsi="Calibri" w:cs="Times New Roman"/>
                <w:color w:val="000000"/>
                <w:sz w:val="20"/>
                <w:szCs w:val="20"/>
              </w:rPr>
              <w:t>eviction.</w:t>
            </w:r>
            <w:r>
              <w:rPr>
                <w:rStyle w:val="FootnoteReference"/>
                <w:rFonts w:ascii="Calibri" w:eastAsia="Times New Roman" w:hAnsi="Calibri" w:cs="Times New Roman"/>
                <w:color w:val="000000"/>
                <w:sz w:val="20"/>
                <w:szCs w:val="20"/>
              </w:rPr>
              <w:footnoteReference w:id="17"/>
            </w:r>
          </w:p>
          <w:p w:rsidR="00DE1069" w:rsidRPr="00CB5CCA" w:rsidRDefault="00DE1069" w:rsidP="00E03256">
            <w:pPr>
              <w:spacing w:after="0" w:line="240" w:lineRule="auto"/>
              <w:rPr>
                <w:rFonts w:ascii="Calibri" w:eastAsia="Times New Roman" w:hAnsi="Calibri" w:cs="Times New Roman"/>
                <w:color w:val="000000"/>
                <w:sz w:val="12"/>
                <w:szCs w:val="12"/>
              </w:rPr>
            </w:pPr>
          </w:p>
          <w:p w:rsidR="00DE1069" w:rsidRDefault="00DE1069"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w:t>
            </w:r>
            <w:r w:rsidRPr="000B4A87">
              <w:rPr>
                <w:rFonts w:ascii="Calibri" w:eastAsia="Times New Roman" w:hAnsi="Calibri" w:cs="Times New Roman"/>
                <w:color w:val="000000"/>
                <w:sz w:val="20"/>
                <w:szCs w:val="20"/>
              </w:rPr>
              <w:t>regnant women</w:t>
            </w:r>
            <w:r>
              <w:rPr>
                <w:rFonts w:ascii="Calibri" w:eastAsia="Times New Roman" w:hAnsi="Calibri" w:cs="Times New Roman"/>
                <w:color w:val="000000"/>
                <w:sz w:val="20"/>
                <w:szCs w:val="20"/>
              </w:rPr>
              <w:t xml:space="preserve"> </w:t>
            </w:r>
            <w:r w:rsidRPr="000B4A87">
              <w:rPr>
                <w:rFonts w:ascii="Calibri" w:eastAsia="Times New Roman" w:hAnsi="Calibri" w:cs="Times New Roman"/>
                <w:color w:val="000000"/>
                <w:sz w:val="20"/>
                <w:szCs w:val="20"/>
              </w:rPr>
              <w:t>reported physical stress while struggling to save their possessions</w:t>
            </w:r>
            <w:r>
              <w:rPr>
                <w:rFonts w:ascii="Calibri" w:eastAsia="Times New Roman" w:hAnsi="Calibri" w:cs="Times New Roman"/>
                <w:color w:val="000000"/>
                <w:sz w:val="20"/>
                <w:szCs w:val="20"/>
              </w:rPr>
              <w:t xml:space="preserve"> during the eviction drive</w:t>
            </w:r>
            <w:r w:rsidRPr="000B4A87">
              <w:rPr>
                <w:rFonts w:ascii="Calibri" w:eastAsia="Times New Roman" w:hAnsi="Calibri" w:cs="Times New Roman"/>
                <w:color w:val="000000"/>
                <w:sz w:val="20"/>
                <w:szCs w:val="20"/>
              </w:rPr>
              <w:t>.</w:t>
            </w:r>
            <w:r>
              <w:rPr>
                <w:rStyle w:val="FootnoteReference"/>
                <w:rFonts w:ascii="Calibri" w:eastAsia="Times New Roman" w:hAnsi="Calibri" w:cs="Times New Roman"/>
                <w:color w:val="000000"/>
                <w:sz w:val="20"/>
                <w:szCs w:val="20"/>
              </w:rPr>
              <w:footnoteReference w:id="18"/>
            </w:r>
          </w:p>
          <w:p w:rsidR="00DE1069" w:rsidRPr="00CB5CCA" w:rsidRDefault="00DE1069" w:rsidP="00E03256">
            <w:pPr>
              <w:spacing w:after="0" w:line="240" w:lineRule="auto"/>
              <w:rPr>
                <w:rFonts w:ascii="Calibri" w:eastAsia="Times New Roman" w:hAnsi="Calibri" w:cs="Times New Roman"/>
                <w:color w:val="000000"/>
                <w:sz w:val="12"/>
                <w:szCs w:val="12"/>
              </w:rPr>
            </w:pPr>
          </w:p>
        </w:tc>
      </w:tr>
      <w:tr w:rsidR="00DE1069" w:rsidRPr="00F33B8B" w:rsidTr="009A6DD3">
        <w:trPr>
          <w:trHeight w:val="300"/>
          <w:jc w:val="center"/>
        </w:trPr>
        <w:tc>
          <w:tcPr>
            <w:tcW w:w="3296" w:type="dxa"/>
            <w:shd w:val="clear" w:color="auto" w:fill="FDE9D9" w:themeFill="accent6" w:themeFillTint="33"/>
            <w:noWrap/>
            <w:vAlign w:val="center"/>
          </w:tcPr>
          <w:p w:rsidR="00CB5CCA" w:rsidRDefault="00CB5CCA" w:rsidP="004965DB">
            <w:pPr>
              <w:spacing w:after="0" w:line="240" w:lineRule="auto"/>
              <w:rPr>
                <w:rFonts w:ascii="Calibri" w:eastAsia="Times New Roman" w:hAnsi="Calibri" w:cs="Times New Roman"/>
                <w:color w:val="000000"/>
                <w:sz w:val="20"/>
                <w:szCs w:val="20"/>
              </w:rPr>
            </w:pPr>
          </w:p>
          <w:p w:rsidR="00DE1069" w:rsidRPr="00F33B8B" w:rsidRDefault="00DE1069" w:rsidP="004965D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Pusa Road, homeless shelter, Delhi, (2009)</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DE1069" w:rsidRDefault="00CB5CCA"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T</w:t>
            </w:r>
            <w:r w:rsidR="00DE1069">
              <w:rPr>
                <w:rFonts w:ascii="Calibri" w:eastAsia="Times New Roman" w:hAnsi="Calibri" w:cs="Times New Roman"/>
                <w:color w:val="000000"/>
                <w:sz w:val="20"/>
                <w:szCs w:val="20"/>
              </w:rPr>
              <w:t>he demolition of a temporary homeless shelter by the Municipal Corporation of Delhi on 24 December 2009, in the peak of winter, resulted in several injuries and subsequent deaths of the inhabitants.</w:t>
            </w:r>
          </w:p>
          <w:p w:rsidR="00DE1069" w:rsidRPr="00CB5CCA" w:rsidRDefault="00DE1069" w:rsidP="00E03256">
            <w:pPr>
              <w:spacing w:after="0" w:line="240" w:lineRule="auto"/>
              <w:rPr>
                <w:rFonts w:ascii="Calibri" w:eastAsia="Times New Roman" w:hAnsi="Calibri" w:cs="Times New Roman"/>
                <w:color w:val="000000"/>
                <w:sz w:val="12"/>
                <w:szCs w:val="12"/>
              </w:rPr>
            </w:pPr>
          </w:p>
          <w:p w:rsidR="00DE1069" w:rsidRDefault="00DE1069"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During the demolition, p</w:t>
            </w:r>
            <w:r w:rsidRPr="008E3AF7">
              <w:rPr>
                <w:rFonts w:ascii="Calibri" w:eastAsia="Times New Roman" w:hAnsi="Calibri" w:cs="Times New Roman"/>
                <w:color w:val="000000"/>
                <w:sz w:val="20"/>
                <w:szCs w:val="20"/>
              </w:rPr>
              <w:t>olice intimidated and beat up four lactating</w:t>
            </w:r>
            <w:r>
              <w:rPr>
                <w:rFonts w:ascii="Calibri" w:eastAsia="Times New Roman" w:hAnsi="Calibri" w:cs="Times New Roman"/>
                <w:color w:val="000000"/>
                <w:sz w:val="20"/>
                <w:szCs w:val="20"/>
              </w:rPr>
              <w:t xml:space="preserve"> </w:t>
            </w:r>
            <w:r w:rsidRPr="008E3AF7">
              <w:rPr>
                <w:rFonts w:ascii="Calibri" w:eastAsia="Times New Roman" w:hAnsi="Calibri" w:cs="Times New Roman"/>
                <w:color w:val="000000"/>
                <w:sz w:val="20"/>
                <w:szCs w:val="20"/>
              </w:rPr>
              <w:t>mothers, some of whom had two-day old babies.</w:t>
            </w:r>
          </w:p>
          <w:p w:rsidR="00DE1069" w:rsidRPr="00CB5CCA" w:rsidRDefault="00DE1069" w:rsidP="00E03256">
            <w:pPr>
              <w:spacing w:after="0" w:line="240" w:lineRule="auto"/>
              <w:rPr>
                <w:rFonts w:ascii="Calibri" w:eastAsia="Times New Roman" w:hAnsi="Calibri" w:cs="Times New Roman"/>
                <w:color w:val="000000"/>
                <w:sz w:val="12"/>
                <w:szCs w:val="12"/>
              </w:rPr>
            </w:pPr>
          </w:p>
          <w:p w:rsidR="00DE1069" w:rsidRDefault="00DE1069" w:rsidP="0006632D">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 the time of the demolition, </w:t>
            </w:r>
            <w:r w:rsidRPr="008E3AF7">
              <w:rPr>
                <w:rFonts w:ascii="Calibri" w:eastAsia="Times New Roman" w:hAnsi="Calibri" w:cs="Times New Roman"/>
                <w:color w:val="000000"/>
                <w:sz w:val="20"/>
                <w:szCs w:val="20"/>
              </w:rPr>
              <w:t xml:space="preserve">Tara Bai, </w:t>
            </w:r>
            <w:r>
              <w:rPr>
                <w:rFonts w:ascii="Calibri" w:eastAsia="Times New Roman" w:hAnsi="Calibri" w:cs="Times New Roman"/>
                <w:color w:val="000000"/>
                <w:sz w:val="20"/>
                <w:szCs w:val="20"/>
              </w:rPr>
              <w:t>a</w:t>
            </w:r>
            <w:r w:rsidRPr="008E3AF7">
              <w:rPr>
                <w:rFonts w:ascii="Calibri" w:eastAsia="Times New Roman" w:hAnsi="Calibri" w:cs="Times New Roman"/>
                <w:color w:val="000000"/>
                <w:sz w:val="20"/>
                <w:szCs w:val="20"/>
              </w:rPr>
              <w:t xml:space="preserve"> pregnant woman, was holding her one-and-a-half-year old daughter in her arms</w:t>
            </w:r>
            <w:r>
              <w:rPr>
                <w:rFonts w:ascii="Calibri" w:eastAsia="Times New Roman" w:hAnsi="Calibri" w:cs="Times New Roman"/>
                <w:color w:val="000000"/>
                <w:sz w:val="20"/>
                <w:szCs w:val="20"/>
              </w:rPr>
              <w:t>. The</w:t>
            </w:r>
            <w:r w:rsidRPr="008E3AF7">
              <w:rPr>
                <w:rFonts w:ascii="Calibri" w:eastAsia="Times New Roman" w:hAnsi="Calibri" w:cs="Times New Roman"/>
                <w:color w:val="000000"/>
                <w:sz w:val="20"/>
                <w:szCs w:val="20"/>
              </w:rPr>
              <w:t xml:space="preserve"> police hit her</w:t>
            </w:r>
            <w:r>
              <w:rPr>
                <w:rFonts w:ascii="Calibri" w:eastAsia="Times New Roman" w:hAnsi="Calibri" w:cs="Times New Roman"/>
                <w:color w:val="000000"/>
                <w:sz w:val="20"/>
                <w:szCs w:val="20"/>
              </w:rPr>
              <w:t>, and</w:t>
            </w:r>
            <w:r w:rsidRPr="008E3AF7">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t</w:t>
            </w:r>
            <w:r w:rsidRPr="008E3AF7">
              <w:rPr>
                <w:rFonts w:ascii="Calibri" w:eastAsia="Times New Roman" w:hAnsi="Calibri" w:cs="Times New Roman"/>
                <w:color w:val="000000"/>
                <w:sz w:val="20"/>
                <w:szCs w:val="20"/>
              </w:rPr>
              <w:t>he</w:t>
            </w:r>
            <w:r>
              <w:rPr>
                <w:rFonts w:ascii="Calibri" w:eastAsia="Times New Roman" w:hAnsi="Calibri" w:cs="Times New Roman"/>
                <w:color w:val="000000"/>
                <w:sz w:val="20"/>
                <w:szCs w:val="20"/>
              </w:rPr>
              <w:t xml:space="preserve"> </w:t>
            </w:r>
            <w:r w:rsidRPr="008E3AF7">
              <w:rPr>
                <w:rFonts w:ascii="Calibri" w:eastAsia="Times New Roman" w:hAnsi="Calibri" w:cs="Times New Roman"/>
                <w:color w:val="000000"/>
                <w:sz w:val="20"/>
                <w:szCs w:val="20"/>
              </w:rPr>
              <w:t>force of the violence made Tara Bai lose her footing. She fell on her child, crushing her instantly.</w:t>
            </w:r>
          </w:p>
          <w:p w:rsidR="00DE1069" w:rsidRPr="00CB5CCA" w:rsidRDefault="00DE1069" w:rsidP="0006632D">
            <w:pPr>
              <w:spacing w:after="0" w:line="240" w:lineRule="auto"/>
              <w:rPr>
                <w:rFonts w:ascii="Calibri" w:eastAsia="Times New Roman" w:hAnsi="Calibri" w:cs="Times New Roman"/>
                <w:color w:val="000000"/>
                <w:sz w:val="12"/>
                <w:szCs w:val="12"/>
              </w:rPr>
            </w:pPr>
          </w:p>
          <w:p w:rsidR="00DE1069" w:rsidRPr="00CB5CCA" w:rsidRDefault="00DE1069" w:rsidP="00C50129">
            <w:pPr>
              <w:spacing w:after="0" w:line="240" w:lineRule="auto"/>
              <w:rPr>
                <w:rFonts w:ascii="Calibri" w:eastAsia="Times New Roman" w:hAnsi="Calibri" w:cs="Times New Roman"/>
                <w:color w:val="000000"/>
                <w:sz w:val="12"/>
                <w:szCs w:val="12"/>
              </w:rPr>
            </w:pPr>
            <w:r>
              <w:rPr>
                <w:rFonts w:ascii="Calibri" w:eastAsia="Times New Roman" w:hAnsi="Calibri" w:cs="Times New Roman"/>
                <w:color w:val="000000"/>
                <w:sz w:val="20"/>
                <w:szCs w:val="20"/>
              </w:rPr>
              <w:t>Two adult homeless persons and two girls (aged three and one-and-a-half) lost their lives, as they succumbed to the cold, soon after the demolition of the shelter.</w:t>
            </w:r>
            <w:r>
              <w:rPr>
                <w:rStyle w:val="FootnoteReference"/>
                <w:rFonts w:ascii="Calibri" w:eastAsia="Times New Roman" w:hAnsi="Calibri" w:cs="Times New Roman"/>
                <w:color w:val="000000"/>
                <w:sz w:val="20"/>
                <w:szCs w:val="20"/>
              </w:rPr>
              <w:footnoteReference w:id="19"/>
            </w:r>
            <w:r>
              <w:rPr>
                <w:rFonts w:ascii="Calibri" w:eastAsia="Times New Roman" w:hAnsi="Calibri" w:cs="Times New Roman"/>
                <w:color w:val="000000"/>
                <w:sz w:val="20"/>
                <w:szCs w:val="20"/>
              </w:rPr>
              <w:t xml:space="preserve"> </w:t>
            </w:r>
          </w:p>
        </w:tc>
      </w:tr>
      <w:tr w:rsidR="00DE1069" w:rsidRPr="00F33B8B" w:rsidTr="009A6DD3">
        <w:trPr>
          <w:trHeight w:val="300"/>
          <w:jc w:val="center"/>
        </w:trPr>
        <w:tc>
          <w:tcPr>
            <w:tcW w:w="3296" w:type="dxa"/>
            <w:shd w:val="clear" w:color="auto" w:fill="FDE9D9" w:themeFill="accent6" w:themeFillTint="33"/>
            <w:noWrap/>
            <w:vAlign w:val="center"/>
          </w:tcPr>
          <w:p w:rsidR="00DE1069" w:rsidRDefault="00DE1069" w:rsidP="00E03256">
            <w:pPr>
              <w:spacing w:after="0" w:line="240" w:lineRule="auto"/>
              <w:rPr>
                <w:rFonts w:ascii="Calibri" w:eastAsia="Times New Roman" w:hAnsi="Calibri" w:cs="Times New Roman"/>
                <w:color w:val="000000"/>
                <w:sz w:val="20"/>
                <w:szCs w:val="20"/>
              </w:rPr>
            </w:pPr>
            <w:r w:rsidRPr="00675022">
              <w:rPr>
                <w:rFonts w:ascii="Calibri" w:eastAsia="Times New Roman" w:hAnsi="Calibri" w:cs="Times New Roman"/>
                <w:color w:val="000000"/>
                <w:sz w:val="20"/>
                <w:szCs w:val="20"/>
              </w:rPr>
              <w:lastRenderedPageBreak/>
              <w:t>Kalasipalya</w:t>
            </w:r>
            <w:r>
              <w:rPr>
                <w:rFonts w:ascii="Calibri" w:eastAsia="Times New Roman" w:hAnsi="Calibri" w:cs="Times New Roman"/>
                <w:color w:val="000000"/>
                <w:sz w:val="20"/>
                <w:szCs w:val="20"/>
              </w:rPr>
              <w:t xml:space="preserve">, </w:t>
            </w:r>
            <w:r w:rsidRPr="007D7EA3">
              <w:rPr>
                <w:rFonts w:ascii="Calibri" w:eastAsia="Times New Roman" w:hAnsi="Calibri" w:cs="Times New Roman"/>
                <w:color w:val="000000"/>
                <w:sz w:val="20"/>
                <w:szCs w:val="20"/>
              </w:rPr>
              <w:t>Karnataka</w:t>
            </w:r>
            <w:r>
              <w:rPr>
                <w:rFonts w:ascii="Calibri" w:eastAsia="Times New Roman" w:hAnsi="Calibri" w:cs="Times New Roman"/>
                <w:color w:val="000000"/>
                <w:sz w:val="20"/>
                <w:szCs w:val="20"/>
              </w:rPr>
              <w:t xml:space="preserve"> (2009)</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DE1069" w:rsidRDefault="00DE1069" w:rsidP="00E03256">
            <w:pPr>
              <w:spacing w:after="0" w:line="240" w:lineRule="auto"/>
              <w:rPr>
                <w:rFonts w:ascii="Calibri" w:eastAsia="Times New Roman" w:hAnsi="Calibri" w:cs="Times New Roman"/>
                <w:color w:val="000000"/>
                <w:sz w:val="20"/>
                <w:szCs w:val="20"/>
              </w:rPr>
            </w:pPr>
            <w:r w:rsidRPr="002B11B2">
              <w:rPr>
                <w:rFonts w:ascii="Calibri" w:eastAsia="Times New Roman" w:hAnsi="Calibri" w:cs="Times New Roman"/>
                <w:color w:val="000000"/>
                <w:sz w:val="20"/>
                <w:szCs w:val="20"/>
              </w:rPr>
              <w:t xml:space="preserve">A 45-year old woman died due </w:t>
            </w:r>
            <w:r>
              <w:rPr>
                <w:rFonts w:ascii="Calibri" w:eastAsia="Times New Roman" w:hAnsi="Calibri" w:cs="Times New Roman"/>
                <w:color w:val="000000"/>
                <w:sz w:val="20"/>
                <w:szCs w:val="20"/>
              </w:rPr>
              <w:t>from</w:t>
            </w:r>
            <w:r w:rsidRPr="002B11B2">
              <w:rPr>
                <w:rFonts w:ascii="Calibri" w:eastAsia="Times New Roman" w:hAnsi="Calibri" w:cs="Times New Roman"/>
                <w:color w:val="000000"/>
                <w:sz w:val="20"/>
                <w:szCs w:val="20"/>
              </w:rPr>
              <w:t xml:space="preserve"> hunger and disease contracted </w:t>
            </w:r>
            <w:r>
              <w:rPr>
                <w:rFonts w:ascii="Calibri" w:eastAsia="Times New Roman" w:hAnsi="Calibri" w:cs="Times New Roman"/>
                <w:color w:val="000000"/>
                <w:sz w:val="20"/>
                <w:szCs w:val="20"/>
              </w:rPr>
              <w:t>as a result of</w:t>
            </w:r>
            <w:r w:rsidRPr="002B11B2">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inadequate</w:t>
            </w:r>
            <w:r w:rsidRPr="002B11B2">
              <w:rPr>
                <w:rFonts w:ascii="Calibri" w:eastAsia="Times New Roman" w:hAnsi="Calibri" w:cs="Times New Roman"/>
                <w:color w:val="000000"/>
                <w:sz w:val="20"/>
                <w:szCs w:val="20"/>
              </w:rPr>
              <w:t xml:space="preserve"> living condition</w:t>
            </w:r>
            <w:r>
              <w:rPr>
                <w:rFonts w:ascii="Calibri" w:eastAsia="Times New Roman" w:hAnsi="Calibri" w:cs="Times New Roman"/>
                <w:color w:val="000000"/>
                <w:sz w:val="20"/>
                <w:szCs w:val="20"/>
              </w:rPr>
              <w:t>s after the forced eviction from her home</w:t>
            </w:r>
            <w:r w:rsidRPr="002B11B2">
              <w:rPr>
                <w:rFonts w:ascii="Calibri" w:eastAsia="Times New Roman" w:hAnsi="Calibri" w:cs="Times New Roman"/>
                <w:color w:val="000000"/>
                <w:sz w:val="20"/>
                <w:szCs w:val="20"/>
              </w:rPr>
              <w:t>.</w:t>
            </w:r>
            <w:r>
              <w:rPr>
                <w:rStyle w:val="FootnoteReference"/>
                <w:rFonts w:ascii="Calibri" w:eastAsia="Times New Roman" w:hAnsi="Calibri" w:cs="Times New Roman"/>
                <w:color w:val="000000"/>
                <w:sz w:val="20"/>
                <w:szCs w:val="20"/>
              </w:rPr>
              <w:footnoteReference w:id="20"/>
            </w:r>
          </w:p>
          <w:p w:rsidR="00E03256" w:rsidRPr="00CB5CCA" w:rsidRDefault="00E03256" w:rsidP="00E03256">
            <w:pPr>
              <w:spacing w:after="0" w:line="240" w:lineRule="auto"/>
              <w:rPr>
                <w:rFonts w:ascii="Calibri" w:eastAsia="Times New Roman" w:hAnsi="Calibri" w:cs="Times New Roman"/>
                <w:color w:val="000000"/>
                <w:sz w:val="12"/>
                <w:szCs w:val="12"/>
              </w:rPr>
            </w:pPr>
          </w:p>
          <w:p w:rsidR="00E03256" w:rsidRDefault="00C50129"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As a result of mosquito-borne </w:t>
            </w:r>
            <w:r w:rsidR="00E03256">
              <w:rPr>
                <w:rFonts w:ascii="Calibri" w:eastAsia="Times New Roman" w:hAnsi="Calibri" w:cs="Times New Roman"/>
                <w:color w:val="000000"/>
                <w:sz w:val="20"/>
                <w:szCs w:val="20"/>
              </w:rPr>
              <w:t>diseases</w:t>
            </w:r>
            <w:r>
              <w:rPr>
                <w:rFonts w:ascii="Calibri" w:eastAsia="Times New Roman" w:hAnsi="Calibri" w:cs="Times New Roman"/>
                <w:color w:val="000000"/>
                <w:sz w:val="20"/>
                <w:szCs w:val="20"/>
              </w:rPr>
              <w:t xml:space="preserve"> incurred while living in extremely inadequate conditions after the eviction</w:t>
            </w:r>
            <w:r w:rsidR="00E03256">
              <w:rPr>
                <w:rFonts w:ascii="Calibri" w:eastAsia="Times New Roman" w:hAnsi="Calibri" w:cs="Times New Roman"/>
                <w:color w:val="000000"/>
                <w:sz w:val="20"/>
                <w:szCs w:val="20"/>
              </w:rPr>
              <w:t>, 13 people have died.</w:t>
            </w:r>
          </w:p>
          <w:p w:rsidR="00E03256" w:rsidRPr="00CB5CCA" w:rsidRDefault="00E03256" w:rsidP="00E03256">
            <w:pPr>
              <w:spacing w:after="0" w:line="240" w:lineRule="auto"/>
              <w:rPr>
                <w:rFonts w:ascii="Calibri" w:eastAsia="Times New Roman" w:hAnsi="Calibri" w:cs="Times New Roman"/>
                <w:color w:val="000000"/>
                <w:sz w:val="12"/>
                <w:szCs w:val="12"/>
              </w:rPr>
            </w:pPr>
          </w:p>
          <w:p w:rsidR="00E03256" w:rsidRDefault="00E03256"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Displaced women are vulnerable to sexual harassment and abuse, as they do not have secure housing.</w:t>
            </w:r>
          </w:p>
          <w:p w:rsidR="00DE1069" w:rsidRPr="00CB5CCA" w:rsidRDefault="00DE1069" w:rsidP="00E03256">
            <w:pPr>
              <w:spacing w:after="0" w:line="240" w:lineRule="auto"/>
              <w:rPr>
                <w:rFonts w:ascii="Calibri" w:eastAsia="Times New Roman" w:hAnsi="Calibri" w:cs="Times New Roman"/>
                <w:color w:val="000000"/>
                <w:sz w:val="12"/>
                <w:szCs w:val="12"/>
              </w:rPr>
            </w:pPr>
          </w:p>
        </w:tc>
      </w:tr>
      <w:tr w:rsidR="00DE1069" w:rsidRPr="00F33B8B" w:rsidTr="009A6DD3">
        <w:trPr>
          <w:trHeight w:val="300"/>
          <w:jc w:val="center"/>
        </w:trPr>
        <w:tc>
          <w:tcPr>
            <w:tcW w:w="3296" w:type="dxa"/>
            <w:shd w:val="clear" w:color="auto" w:fill="FDE9D9" w:themeFill="accent6" w:themeFillTint="33"/>
            <w:noWrap/>
            <w:vAlign w:val="center"/>
          </w:tcPr>
          <w:p w:rsidR="00DE1069" w:rsidRPr="00675022" w:rsidRDefault="00DE1069" w:rsidP="00E03256">
            <w:pPr>
              <w:spacing w:after="0" w:line="240" w:lineRule="auto"/>
              <w:rPr>
                <w:rFonts w:ascii="Calibri" w:eastAsia="Times New Roman" w:hAnsi="Calibri" w:cs="Times New Roman"/>
                <w:color w:val="000000"/>
                <w:sz w:val="20"/>
                <w:szCs w:val="20"/>
              </w:rPr>
            </w:pPr>
            <w:r w:rsidRPr="002C252E">
              <w:rPr>
                <w:rFonts w:ascii="Calibri" w:eastAsia="Times New Roman" w:hAnsi="Calibri" w:cs="Times New Roman"/>
                <w:color w:val="000000"/>
                <w:sz w:val="20"/>
                <w:szCs w:val="20"/>
              </w:rPr>
              <w:t>Rajeev Nagar</w:t>
            </w:r>
            <w:r>
              <w:rPr>
                <w:rFonts w:ascii="Calibri" w:eastAsia="Times New Roman" w:hAnsi="Calibri" w:cs="Times New Roman"/>
                <w:color w:val="000000"/>
                <w:sz w:val="20"/>
                <w:szCs w:val="20"/>
              </w:rPr>
              <w:t xml:space="preserve">, </w:t>
            </w:r>
            <w:r w:rsidRPr="007D7EA3">
              <w:rPr>
                <w:rFonts w:ascii="Calibri" w:eastAsia="Times New Roman" w:hAnsi="Calibri" w:cs="Times New Roman"/>
                <w:color w:val="000000"/>
                <w:sz w:val="20"/>
                <w:szCs w:val="20"/>
              </w:rPr>
              <w:t>Karnataka</w:t>
            </w:r>
            <w:r>
              <w:rPr>
                <w:rFonts w:ascii="Calibri" w:eastAsia="Times New Roman" w:hAnsi="Calibri" w:cs="Times New Roman"/>
                <w:color w:val="000000"/>
                <w:sz w:val="20"/>
                <w:szCs w:val="20"/>
              </w:rPr>
              <w:t xml:space="preserve"> (2009)</w:t>
            </w:r>
          </w:p>
        </w:tc>
        <w:tc>
          <w:tcPr>
            <w:tcW w:w="5405" w:type="dxa"/>
            <w:shd w:val="clear" w:color="auto" w:fill="FDE9D9" w:themeFill="accent6" w:themeFillTint="33"/>
            <w:noWrap/>
            <w:vAlign w:val="center"/>
          </w:tcPr>
          <w:p w:rsidR="00CB5CCA" w:rsidRPr="00CB5CCA" w:rsidRDefault="00CB5CCA" w:rsidP="00E03256">
            <w:pPr>
              <w:spacing w:after="0" w:line="240" w:lineRule="auto"/>
              <w:rPr>
                <w:rFonts w:ascii="Calibri" w:eastAsia="Times New Roman" w:hAnsi="Calibri" w:cs="Times New Roman"/>
                <w:color w:val="000000"/>
                <w:sz w:val="12"/>
                <w:szCs w:val="12"/>
              </w:rPr>
            </w:pPr>
          </w:p>
          <w:p w:rsidR="00DE1069" w:rsidRDefault="00DE1069" w:rsidP="00E0325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After the demolition of their homes, a</w:t>
            </w:r>
            <w:r w:rsidRPr="000F7687">
              <w:rPr>
                <w:rFonts w:ascii="Calibri" w:eastAsia="Times New Roman" w:hAnsi="Calibri" w:cs="Times New Roman"/>
                <w:color w:val="000000"/>
                <w:sz w:val="20"/>
                <w:szCs w:val="20"/>
              </w:rPr>
              <w:t xml:space="preserve">ffected families </w:t>
            </w:r>
            <w:r>
              <w:rPr>
                <w:rFonts w:ascii="Calibri" w:eastAsia="Times New Roman" w:hAnsi="Calibri" w:cs="Times New Roman"/>
                <w:color w:val="000000"/>
                <w:sz w:val="20"/>
                <w:szCs w:val="20"/>
              </w:rPr>
              <w:t xml:space="preserve">have been </w:t>
            </w:r>
            <w:r w:rsidRPr="000F7687">
              <w:rPr>
                <w:rFonts w:ascii="Calibri" w:eastAsia="Times New Roman" w:hAnsi="Calibri" w:cs="Times New Roman"/>
                <w:color w:val="000000"/>
                <w:sz w:val="20"/>
                <w:szCs w:val="20"/>
              </w:rPr>
              <w:t xml:space="preserve">living near vacant plots near </w:t>
            </w:r>
            <w:r>
              <w:rPr>
                <w:rFonts w:ascii="Calibri" w:eastAsia="Times New Roman" w:hAnsi="Calibri" w:cs="Times New Roman"/>
                <w:color w:val="000000"/>
                <w:sz w:val="20"/>
                <w:szCs w:val="20"/>
              </w:rPr>
              <w:t>R</w:t>
            </w:r>
            <w:r w:rsidRPr="000F7687">
              <w:rPr>
                <w:rFonts w:ascii="Calibri" w:eastAsia="Times New Roman" w:hAnsi="Calibri" w:cs="Times New Roman"/>
                <w:color w:val="000000"/>
                <w:sz w:val="20"/>
                <w:szCs w:val="20"/>
              </w:rPr>
              <w:t xml:space="preserve">ailway land. Children and </w:t>
            </w:r>
            <w:r>
              <w:rPr>
                <w:rFonts w:ascii="Calibri" w:eastAsia="Times New Roman" w:hAnsi="Calibri" w:cs="Times New Roman"/>
                <w:color w:val="000000"/>
                <w:sz w:val="20"/>
                <w:szCs w:val="20"/>
              </w:rPr>
              <w:t>older persons</w:t>
            </w:r>
            <w:r w:rsidRPr="000F7687">
              <w:rPr>
                <w:rFonts w:ascii="Calibri" w:eastAsia="Times New Roman" w:hAnsi="Calibri" w:cs="Times New Roman"/>
                <w:color w:val="000000"/>
                <w:sz w:val="20"/>
                <w:szCs w:val="20"/>
              </w:rPr>
              <w:t xml:space="preserve"> often fall </w:t>
            </w:r>
            <w:r>
              <w:rPr>
                <w:rFonts w:ascii="Calibri" w:eastAsia="Times New Roman" w:hAnsi="Calibri" w:cs="Times New Roman"/>
                <w:color w:val="000000"/>
                <w:sz w:val="20"/>
                <w:szCs w:val="20"/>
              </w:rPr>
              <w:t>ill as a result of their inadequate living conditions.</w:t>
            </w:r>
            <w:r>
              <w:rPr>
                <w:rStyle w:val="FootnoteReference"/>
                <w:rFonts w:ascii="Calibri" w:eastAsia="Times New Roman" w:hAnsi="Calibri" w:cs="Times New Roman"/>
                <w:color w:val="000000"/>
                <w:sz w:val="20"/>
                <w:szCs w:val="20"/>
              </w:rPr>
              <w:footnoteReference w:id="21"/>
            </w:r>
          </w:p>
          <w:p w:rsidR="00C50129" w:rsidRPr="00C50129" w:rsidRDefault="00C50129" w:rsidP="00E03256">
            <w:pPr>
              <w:spacing w:after="0" w:line="240" w:lineRule="auto"/>
              <w:rPr>
                <w:rFonts w:ascii="Calibri" w:eastAsia="Times New Roman" w:hAnsi="Calibri" w:cs="Times New Roman"/>
                <w:color w:val="000000"/>
                <w:sz w:val="12"/>
                <w:szCs w:val="12"/>
              </w:rPr>
            </w:pPr>
          </w:p>
        </w:tc>
      </w:tr>
    </w:tbl>
    <w:p w:rsidR="005F2CC5" w:rsidRDefault="005F2CC5" w:rsidP="005F2CC5">
      <w:pPr>
        <w:spacing w:after="0" w:line="240" w:lineRule="auto"/>
        <w:jc w:val="both"/>
        <w:rPr>
          <w:rFonts w:ascii="Times New Roman" w:hAnsi="Times New Roman" w:cs="Times New Roman"/>
          <w:sz w:val="24"/>
          <w:szCs w:val="24"/>
        </w:rPr>
      </w:pPr>
    </w:p>
    <w:p w:rsidR="005F2CC5" w:rsidRPr="00A82656" w:rsidRDefault="005F2CC5" w:rsidP="005F2CC5">
      <w:pPr>
        <w:spacing w:after="0" w:line="240" w:lineRule="auto"/>
        <w:jc w:val="both"/>
        <w:rPr>
          <w:rFonts w:ascii="Times New Roman" w:hAnsi="Times New Roman" w:cs="Times New Roman"/>
          <w:sz w:val="24"/>
          <w:szCs w:val="24"/>
        </w:rPr>
      </w:pPr>
    </w:p>
    <w:p w:rsidR="005F2CC5" w:rsidRPr="00315928" w:rsidRDefault="005F2CC5" w:rsidP="005F2CC5">
      <w:pPr>
        <w:spacing w:after="0" w:line="240" w:lineRule="auto"/>
        <w:jc w:val="both"/>
        <w:rPr>
          <w:rFonts w:ascii="Times New Roman" w:hAnsi="Times New Roman" w:cs="Times New Roman"/>
          <w:b/>
          <w:sz w:val="24"/>
          <w:szCs w:val="24"/>
        </w:rPr>
      </w:pPr>
      <w:r w:rsidRPr="00315928">
        <w:rPr>
          <w:rFonts w:ascii="Times New Roman" w:hAnsi="Times New Roman" w:cs="Times New Roman"/>
          <w:b/>
          <w:sz w:val="24"/>
          <w:szCs w:val="24"/>
        </w:rPr>
        <w:t>2. Explain how the protection of the right to life in your state's (region or area of work) constitution or human rights legislation extends to violations resulting from alleged failures of governments to adequately address homelessness or inadequate housing. Please provide examples of attempts to secure access to justice for such violations of the right to life and describe the result. Please provide references to any relevant cases or initiatives.</w:t>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According to Article 21 of the Constitution of India, “</w:t>
      </w:r>
      <w:r w:rsidRPr="003F2C80">
        <w:rPr>
          <w:rFonts w:ascii="Times New Roman" w:hAnsi="Times New Roman" w:cs="Times New Roman"/>
          <w:sz w:val="24"/>
          <w:szCs w:val="24"/>
        </w:rPr>
        <w:t>No person shall be deprived of his life or personal</w:t>
      </w:r>
      <w:r>
        <w:rPr>
          <w:rFonts w:ascii="Times New Roman" w:hAnsi="Times New Roman" w:cs="Times New Roman"/>
          <w:sz w:val="24"/>
          <w:szCs w:val="24"/>
        </w:rPr>
        <w:t xml:space="preserve"> </w:t>
      </w:r>
      <w:r w:rsidRPr="003F2C80">
        <w:rPr>
          <w:rFonts w:ascii="Times New Roman" w:hAnsi="Times New Roman" w:cs="Times New Roman"/>
          <w:sz w:val="24"/>
          <w:szCs w:val="24"/>
        </w:rPr>
        <w:t>liberty except according to procedure established by law.</w:t>
      </w:r>
      <w:r>
        <w:rPr>
          <w:rFonts w:ascii="Times New Roman" w:hAnsi="Times New Roman" w:cs="Times New Roman"/>
          <w:sz w:val="24"/>
          <w:szCs w:val="24"/>
        </w:rPr>
        <w:t>” Under this and Articles 19 (1) (d), 19 (1) (e), and 19 (1) (g) of the Constitution, which provide for the rights to move, settle, and carry out trade, respectively, in any part of the country, the Constitution guarantees protection of the right to life, residence, and livelihood in India. However, it must be noted that there is no specific constitutional provision or national and state legislation that address the issue of homelessness or inadequate housing in the country. Though policies and schemes are available to address the issue of homelessness and inadequate housing, they are not legally enforceable and hence not sufficient to address the violation of housing rights of the majority of the people. Since India’s independence, there have been a host of urban and rural policies and schemes</w:t>
      </w:r>
      <w:r w:rsidR="0094750B">
        <w:rPr>
          <w:rFonts w:ascii="Times New Roman" w:hAnsi="Times New Roman" w:cs="Times New Roman"/>
          <w:sz w:val="24"/>
          <w:szCs w:val="24"/>
        </w:rPr>
        <w:t xml:space="preserve">; </w:t>
      </w:r>
      <w:r>
        <w:rPr>
          <w:rFonts w:ascii="Times New Roman" w:hAnsi="Times New Roman" w:cs="Times New Roman"/>
          <w:sz w:val="24"/>
          <w:szCs w:val="24"/>
        </w:rPr>
        <w:t>some of these have been phased out, while others have been renamed or recently announced.</w:t>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current relevant policies related to housing in India include: the </w:t>
      </w:r>
      <w:r w:rsidRPr="00884888">
        <w:rPr>
          <w:rFonts w:ascii="Times New Roman" w:hAnsi="Times New Roman" w:cs="Times New Roman"/>
          <w:sz w:val="24"/>
          <w:szCs w:val="24"/>
        </w:rPr>
        <w:t>National Urban Housing and Habitat Policy</w:t>
      </w:r>
      <w:r>
        <w:rPr>
          <w:rFonts w:ascii="Times New Roman" w:hAnsi="Times New Roman" w:cs="Times New Roman"/>
          <w:sz w:val="24"/>
          <w:szCs w:val="24"/>
        </w:rPr>
        <w:t xml:space="preserve">, </w:t>
      </w:r>
      <w:r w:rsidRPr="00884888">
        <w:rPr>
          <w:rFonts w:ascii="Times New Roman" w:hAnsi="Times New Roman" w:cs="Times New Roman"/>
          <w:sz w:val="24"/>
          <w:szCs w:val="24"/>
        </w:rPr>
        <w:t>Indira Awas Yojana</w:t>
      </w:r>
      <w:r>
        <w:rPr>
          <w:rFonts w:ascii="Times New Roman" w:hAnsi="Times New Roman" w:cs="Times New Roman"/>
          <w:sz w:val="24"/>
          <w:szCs w:val="24"/>
        </w:rPr>
        <w:t xml:space="preserve"> (renamed as </w:t>
      </w:r>
      <w:r w:rsidRPr="00884888">
        <w:rPr>
          <w:rFonts w:ascii="Times New Roman" w:hAnsi="Times New Roman" w:cs="Times New Roman"/>
          <w:sz w:val="24"/>
          <w:szCs w:val="24"/>
        </w:rPr>
        <w:t>Pradhan Mantri Awas Yojana</w:t>
      </w:r>
      <w:r>
        <w:rPr>
          <w:rFonts w:ascii="Times New Roman" w:hAnsi="Times New Roman" w:cs="Times New Roman"/>
          <w:sz w:val="24"/>
          <w:szCs w:val="24"/>
        </w:rPr>
        <w:t xml:space="preserve">–Gramin), </w:t>
      </w:r>
      <w:r w:rsidRPr="00884888">
        <w:rPr>
          <w:rFonts w:ascii="Times New Roman" w:hAnsi="Times New Roman" w:cs="Times New Roman"/>
          <w:sz w:val="24"/>
          <w:szCs w:val="24"/>
        </w:rPr>
        <w:t>National Urban Livelihoods Mission–</w:t>
      </w:r>
      <w:r w:rsidRPr="00681F36">
        <w:rPr>
          <w:rFonts w:ascii="Times New Roman" w:hAnsi="Times New Roman" w:cs="Times New Roman"/>
          <w:sz w:val="24"/>
          <w:szCs w:val="24"/>
        </w:rPr>
        <w:t>Scheme of Shelters for Urban Homeless</w:t>
      </w:r>
      <w:r>
        <w:rPr>
          <w:rFonts w:ascii="Times New Roman" w:hAnsi="Times New Roman" w:cs="Times New Roman"/>
          <w:sz w:val="24"/>
          <w:szCs w:val="24"/>
        </w:rPr>
        <w:t xml:space="preserve">, </w:t>
      </w:r>
      <w:r w:rsidRPr="00884888">
        <w:rPr>
          <w:rFonts w:ascii="Times New Roman" w:hAnsi="Times New Roman" w:cs="Times New Roman"/>
          <w:sz w:val="24"/>
          <w:szCs w:val="24"/>
        </w:rPr>
        <w:t>Pradhan Mantri Awas Yojana (Housing for All–2022)</w:t>
      </w:r>
      <w:r>
        <w:rPr>
          <w:rFonts w:ascii="Times New Roman" w:hAnsi="Times New Roman" w:cs="Times New Roman"/>
          <w:sz w:val="24"/>
          <w:szCs w:val="24"/>
        </w:rPr>
        <w:t xml:space="preserve">, </w:t>
      </w:r>
      <w:r w:rsidRPr="00884888">
        <w:rPr>
          <w:rFonts w:ascii="Times New Roman" w:hAnsi="Times New Roman" w:cs="Times New Roman"/>
          <w:sz w:val="24"/>
          <w:szCs w:val="24"/>
        </w:rPr>
        <w:t>Smart Cities Mission (SCM)</w:t>
      </w:r>
      <w:r>
        <w:rPr>
          <w:rFonts w:ascii="Times New Roman" w:hAnsi="Times New Roman" w:cs="Times New Roman"/>
          <w:sz w:val="24"/>
          <w:szCs w:val="24"/>
        </w:rPr>
        <w:t xml:space="preserve">, and the </w:t>
      </w:r>
      <w:r w:rsidRPr="00884888">
        <w:rPr>
          <w:rFonts w:ascii="Times New Roman" w:hAnsi="Times New Roman" w:cs="Times New Roman"/>
          <w:sz w:val="24"/>
          <w:szCs w:val="24"/>
        </w:rPr>
        <w:t xml:space="preserve">Draft </w:t>
      </w:r>
      <w:r>
        <w:rPr>
          <w:rFonts w:ascii="Times New Roman" w:hAnsi="Times New Roman" w:cs="Times New Roman"/>
          <w:sz w:val="24"/>
          <w:szCs w:val="24"/>
        </w:rPr>
        <w:t xml:space="preserve">National </w:t>
      </w:r>
      <w:r w:rsidRPr="00884888">
        <w:rPr>
          <w:rFonts w:ascii="Times New Roman" w:hAnsi="Times New Roman" w:cs="Times New Roman"/>
          <w:sz w:val="24"/>
          <w:szCs w:val="24"/>
        </w:rPr>
        <w:t>Urban Rental Housing Policy and Model Tenancy Act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India has </w:t>
      </w:r>
      <w:r w:rsidR="008B15D1">
        <w:rPr>
          <w:rFonts w:ascii="Times New Roman" w:hAnsi="Times New Roman" w:cs="Times New Roman"/>
          <w:sz w:val="24"/>
          <w:szCs w:val="24"/>
        </w:rPr>
        <w:t xml:space="preserve">certain </w:t>
      </w:r>
      <w:r>
        <w:rPr>
          <w:rFonts w:ascii="Times New Roman" w:hAnsi="Times New Roman" w:cs="Times New Roman"/>
          <w:sz w:val="24"/>
          <w:szCs w:val="24"/>
        </w:rPr>
        <w:t>laws that protect land rights</w:t>
      </w:r>
      <w:r w:rsidR="008B15D1">
        <w:rPr>
          <w:rFonts w:ascii="Times New Roman" w:hAnsi="Times New Roman" w:cs="Times New Roman"/>
          <w:sz w:val="24"/>
          <w:szCs w:val="24"/>
        </w:rPr>
        <w:t>.</w:t>
      </w:r>
      <w:r>
        <w:rPr>
          <w:rFonts w:ascii="Times New Roman" w:hAnsi="Times New Roman" w:cs="Times New Roman"/>
          <w:sz w:val="24"/>
          <w:szCs w:val="24"/>
        </w:rPr>
        <w:t xml:space="preserve"> </w:t>
      </w:r>
      <w:r w:rsidR="008B15D1">
        <w:rPr>
          <w:rFonts w:ascii="Times New Roman" w:hAnsi="Times New Roman" w:cs="Times New Roman"/>
          <w:sz w:val="24"/>
          <w:szCs w:val="24"/>
        </w:rPr>
        <w:t xml:space="preserve">Some of these </w:t>
      </w:r>
      <w:r>
        <w:rPr>
          <w:rFonts w:ascii="Times New Roman" w:hAnsi="Times New Roman" w:cs="Times New Roman"/>
          <w:sz w:val="24"/>
          <w:szCs w:val="24"/>
        </w:rPr>
        <w:t xml:space="preserve">have been used for advocacy to address issues of inadequate housing. These laws include: the </w:t>
      </w:r>
      <w:r w:rsidRPr="00A179AF">
        <w:rPr>
          <w:rFonts w:ascii="Times New Roman" w:hAnsi="Times New Roman" w:cs="Times New Roman"/>
          <w:sz w:val="24"/>
          <w:szCs w:val="24"/>
        </w:rPr>
        <w:t xml:space="preserve">Slum Areas (Improvement and </w:t>
      </w:r>
      <w:r w:rsidRPr="00A179AF">
        <w:rPr>
          <w:rFonts w:ascii="Times New Roman" w:hAnsi="Times New Roman" w:cs="Times New Roman"/>
          <w:sz w:val="24"/>
          <w:szCs w:val="24"/>
        </w:rPr>
        <w:lastRenderedPageBreak/>
        <w:t>Clearance) Act 1956</w:t>
      </w:r>
      <w:r>
        <w:rPr>
          <w:rFonts w:ascii="Times New Roman" w:hAnsi="Times New Roman" w:cs="Times New Roman"/>
          <w:sz w:val="24"/>
          <w:szCs w:val="24"/>
        </w:rPr>
        <w:t xml:space="preserve">; the </w:t>
      </w:r>
      <w:r w:rsidRPr="00A179AF">
        <w:rPr>
          <w:rFonts w:ascii="Times New Roman" w:hAnsi="Times New Roman" w:cs="Times New Roman"/>
          <w:sz w:val="24"/>
          <w:szCs w:val="24"/>
        </w:rPr>
        <w:t>Panchayats (Extension to Scheduled Areas) Act (PESA) 1996</w:t>
      </w:r>
      <w:r>
        <w:rPr>
          <w:rFonts w:ascii="Times New Roman" w:hAnsi="Times New Roman" w:cs="Times New Roman"/>
          <w:sz w:val="24"/>
          <w:szCs w:val="24"/>
        </w:rPr>
        <w:t xml:space="preserve">; the </w:t>
      </w:r>
      <w:r w:rsidRPr="00A179AF">
        <w:rPr>
          <w:rFonts w:ascii="Times New Roman" w:hAnsi="Times New Roman" w:cs="Times New Roman"/>
          <w:sz w:val="24"/>
          <w:szCs w:val="24"/>
        </w:rPr>
        <w:t>Scheduled Tribes and Other Traditional Forest Dwellers (Recognition of Forest Rights) Act 2006</w:t>
      </w:r>
      <w:r>
        <w:rPr>
          <w:rFonts w:ascii="Times New Roman" w:hAnsi="Times New Roman" w:cs="Times New Roman"/>
          <w:sz w:val="24"/>
          <w:szCs w:val="24"/>
        </w:rPr>
        <w:t>; t</w:t>
      </w:r>
      <w:r w:rsidRPr="00A179AF">
        <w:rPr>
          <w:rFonts w:ascii="Times New Roman" w:hAnsi="Times New Roman" w:cs="Times New Roman"/>
          <w:sz w:val="24"/>
          <w:szCs w:val="24"/>
        </w:rPr>
        <w:t>he Right to Fair Compensation and Transparency in Land Acquisition, Rehabilitation and</w:t>
      </w:r>
      <w:r>
        <w:rPr>
          <w:rFonts w:ascii="Times New Roman" w:hAnsi="Times New Roman" w:cs="Times New Roman"/>
          <w:sz w:val="24"/>
          <w:szCs w:val="24"/>
        </w:rPr>
        <w:t xml:space="preserve"> </w:t>
      </w:r>
      <w:r w:rsidRPr="00A179AF">
        <w:rPr>
          <w:rFonts w:ascii="Times New Roman" w:hAnsi="Times New Roman" w:cs="Times New Roman"/>
          <w:sz w:val="24"/>
          <w:szCs w:val="24"/>
        </w:rPr>
        <w:t>Resettlement Act 2013</w:t>
      </w:r>
      <w:r>
        <w:rPr>
          <w:rFonts w:ascii="Times New Roman" w:hAnsi="Times New Roman" w:cs="Times New Roman"/>
          <w:sz w:val="24"/>
          <w:szCs w:val="24"/>
        </w:rPr>
        <w:t xml:space="preserve">; the </w:t>
      </w:r>
      <w:r w:rsidRPr="00A179AF">
        <w:rPr>
          <w:rFonts w:ascii="Times New Roman" w:hAnsi="Times New Roman" w:cs="Times New Roman"/>
          <w:sz w:val="24"/>
          <w:szCs w:val="24"/>
        </w:rPr>
        <w:t>Coal Mines (Special Provisions) Act 2015</w:t>
      </w:r>
      <w:r>
        <w:rPr>
          <w:rFonts w:ascii="Times New Roman" w:hAnsi="Times New Roman" w:cs="Times New Roman"/>
          <w:sz w:val="24"/>
          <w:szCs w:val="24"/>
        </w:rPr>
        <w:t xml:space="preserve">; the </w:t>
      </w:r>
      <w:r w:rsidRPr="00A179AF">
        <w:rPr>
          <w:rFonts w:ascii="Times New Roman" w:hAnsi="Times New Roman" w:cs="Times New Roman"/>
          <w:sz w:val="24"/>
          <w:szCs w:val="24"/>
        </w:rPr>
        <w:t>Mines and Minerals (Development and Regulation) Amendment Act 2015</w:t>
      </w:r>
      <w:r>
        <w:rPr>
          <w:rFonts w:ascii="Times New Roman" w:hAnsi="Times New Roman" w:cs="Times New Roman"/>
          <w:sz w:val="24"/>
          <w:szCs w:val="24"/>
        </w:rPr>
        <w:t xml:space="preserve">; and the </w:t>
      </w:r>
      <w:r w:rsidRPr="00A179AF">
        <w:rPr>
          <w:rFonts w:ascii="Times New Roman" w:hAnsi="Times New Roman" w:cs="Times New Roman"/>
          <w:sz w:val="24"/>
          <w:szCs w:val="24"/>
        </w:rPr>
        <w:t>Street Vendors (Protection of Livelihood and Regulation of Street Vending) Act 2014</w:t>
      </w:r>
      <w:r>
        <w:rPr>
          <w:rFonts w:ascii="Times New Roman" w:hAnsi="Times New Roman" w:cs="Times New Roman"/>
          <w:sz w:val="24"/>
          <w:szCs w:val="24"/>
        </w:rPr>
        <w:t>.</w:t>
      </w: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Notwithstanding these laws, policies</w:t>
      </w:r>
      <w:r w:rsidR="00B03D1D">
        <w:rPr>
          <w:rFonts w:ascii="Times New Roman" w:hAnsi="Times New Roman" w:cs="Times New Roman"/>
          <w:sz w:val="24"/>
          <w:szCs w:val="24"/>
        </w:rPr>
        <w:t>,</w:t>
      </w:r>
      <w:r>
        <w:rPr>
          <w:rFonts w:ascii="Times New Roman" w:hAnsi="Times New Roman" w:cs="Times New Roman"/>
          <w:sz w:val="24"/>
          <w:szCs w:val="24"/>
        </w:rPr>
        <w:t xml:space="preserve"> and schemes, many people in India face discrimination and threat to their human rights to adequate housing and land, mostly residents of informal settlements, the homeless and landless, </w:t>
      </w:r>
      <w:r w:rsidR="00B03D1D">
        <w:rPr>
          <w:rFonts w:ascii="Times New Roman" w:hAnsi="Times New Roman" w:cs="Times New Roman"/>
          <w:sz w:val="24"/>
          <w:szCs w:val="24"/>
        </w:rPr>
        <w:t>Scheduled Tribes/</w:t>
      </w:r>
      <w:r>
        <w:rPr>
          <w:rFonts w:ascii="Times New Roman" w:hAnsi="Times New Roman" w:cs="Times New Roman"/>
          <w:sz w:val="24"/>
          <w:szCs w:val="24"/>
        </w:rPr>
        <w:t>indigenous peoples, Dalits</w:t>
      </w:r>
      <w:r w:rsidR="00B03D1D">
        <w:rPr>
          <w:rFonts w:ascii="Times New Roman" w:hAnsi="Times New Roman" w:cs="Times New Roman"/>
          <w:sz w:val="24"/>
          <w:szCs w:val="24"/>
        </w:rPr>
        <w:t>,</w:t>
      </w:r>
      <w:r>
        <w:rPr>
          <w:rFonts w:ascii="Times New Roman" w:hAnsi="Times New Roman" w:cs="Times New Roman"/>
          <w:sz w:val="24"/>
          <w:szCs w:val="24"/>
        </w:rPr>
        <w:t xml:space="preserve"> and minorities. In most cases, existing policies are used to evict people from their habitats rather than protecting their rights.</w:t>
      </w:r>
      <w:r>
        <w:rPr>
          <w:rStyle w:val="FootnoteReference"/>
          <w:rFonts w:ascii="Times New Roman" w:hAnsi="Times New Roman" w:cs="Times New Roman"/>
          <w:sz w:val="24"/>
          <w:szCs w:val="24"/>
        </w:rPr>
        <w:footnoteReference w:id="23"/>
      </w:r>
    </w:p>
    <w:p w:rsidR="005F2CC5" w:rsidRDefault="005F2CC5" w:rsidP="005F2CC5">
      <w:pPr>
        <w:spacing w:after="0" w:line="240" w:lineRule="auto"/>
        <w:jc w:val="both"/>
        <w:rPr>
          <w:rFonts w:ascii="Times New Roman" w:hAnsi="Times New Roman" w:cs="Times New Roman"/>
          <w:sz w:val="24"/>
          <w:szCs w:val="24"/>
        </w:rPr>
      </w:pPr>
    </w:p>
    <w:p w:rsidR="005F2CC5" w:rsidRPr="00C50129" w:rsidRDefault="005F2CC5" w:rsidP="005F2CC5">
      <w:pPr>
        <w:spacing w:after="0" w:line="240" w:lineRule="auto"/>
        <w:jc w:val="both"/>
        <w:rPr>
          <w:rFonts w:cs="Times New Roman"/>
          <w:b/>
          <w:color w:val="00B050"/>
          <w:sz w:val="24"/>
          <w:szCs w:val="24"/>
        </w:rPr>
      </w:pPr>
      <w:r w:rsidRPr="00C50129">
        <w:rPr>
          <w:rFonts w:cs="Times New Roman"/>
          <w:b/>
          <w:color w:val="00B050"/>
          <w:sz w:val="24"/>
          <w:szCs w:val="24"/>
        </w:rPr>
        <w:t>Securing Access to Justice</w:t>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Supreme Court of India in some of its judgements has linked the right to shelter with the right to life, stressing that the right to housing is implied under the right to life, and has attempted to secure access to justice for such violation of the right to life. The record of Indian courts, however, in the context of upholding the right to housing is a mix of positive and negative verdicts. In some cases, the right to housing, adequate rehabilitation, and compensation have been ordered, while in some cases evictions have been legitimized.</w:t>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following cases</w:t>
      </w:r>
      <w:r w:rsidR="00B03D1D">
        <w:rPr>
          <w:rFonts w:ascii="Times New Roman" w:hAnsi="Times New Roman" w:cs="Times New Roman"/>
          <w:sz w:val="24"/>
          <w:szCs w:val="24"/>
        </w:rPr>
        <w:t>,</w:t>
      </w:r>
      <w:r>
        <w:rPr>
          <w:rFonts w:ascii="Times New Roman" w:hAnsi="Times New Roman" w:cs="Times New Roman"/>
          <w:sz w:val="24"/>
          <w:szCs w:val="24"/>
        </w:rPr>
        <w:t xml:space="preserve"> courts in India have upheld the right to housing by linking it with the right to life:</w:t>
      </w:r>
    </w:p>
    <w:p w:rsidR="005F2CC5" w:rsidRPr="004F534B" w:rsidRDefault="005F2CC5" w:rsidP="005F2CC5">
      <w:pPr>
        <w:pStyle w:val="ListParagraph"/>
        <w:numPr>
          <w:ilvl w:val="0"/>
          <w:numId w:val="2"/>
        </w:numPr>
        <w:jc w:val="both"/>
        <w:rPr>
          <w:rFonts w:ascii="Times New Roman" w:hAnsi="Times New Roman" w:cs="Times New Roman"/>
          <w:sz w:val="24"/>
          <w:szCs w:val="24"/>
        </w:rPr>
      </w:pPr>
      <w:r w:rsidRPr="008B1CFC">
        <w:rPr>
          <w:rFonts w:ascii="Times New Roman" w:hAnsi="Times New Roman" w:cs="Times New Roman"/>
          <w:b/>
          <w:i/>
          <w:sz w:val="24"/>
          <w:szCs w:val="24"/>
        </w:rPr>
        <w:t>Francis Coralie Mullin v. Administrator, Union Territory of Delhi and Ors</w:t>
      </w:r>
      <w:r w:rsidRPr="006D402B">
        <w:rPr>
          <w:rFonts w:ascii="Times New Roman" w:hAnsi="Times New Roman" w:cs="Times New Roman"/>
          <w:b/>
          <w:sz w:val="24"/>
          <w:szCs w:val="24"/>
        </w:rPr>
        <w:t>. (1981)</w:t>
      </w:r>
      <w:r w:rsidRPr="00B03D1D">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r w:rsidRPr="003D4B41">
        <w:rPr>
          <w:rFonts w:ascii="Times New Roman" w:hAnsi="Times New Roman" w:cs="Times New Roman"/>
          <w:sz w:val="24"/>
          <w:szCs w:val="24"/>
        </w:rPr>
        <w:t>This judgement is a very good example of the indivisibility of rights, with the right to live with human dignity as a common trend.</w:t>
      </w:r>
    </w:p>
    <w:p w:rsidR="005F2CC5" w:rsidRDefault="005F2CC5" w:rsidP="005F2CC5">
      <w:pPr>
        <w:pStyle w:val="ListParagraph"/>
        <w:numPr>
          <w:ilvl w:val="0"/>
          <w:numId w:val="2"/>
        </w:numPr>
        <w:spacing w:after="0" w:line="240" w:lineRule="auto"/>
        <w:jc w:val="both"/>
        <w:rPr>
          <w:rFonts w:ascii="Times New Roman" w:hAnsi="Times New Roman" w:cs="Times New Roman"/>
          <w:sz w:val="24"/>
          <w:szCs w:val="24"/>
        </w:rPr>
      </w:pPr>
      <w:r w:rsidRPr="008B1CFC">
        <w:rPr>
          <w:rFonts w:ascii="Times New Roman" w:hAnsi="Times New Roman" w:cs="Times New Roman"/>
          <w:b/>
          <w:i/>
          <w:sz w:val="24"/>
          <w:szCs w:val="24"/>
        </w:rPr>
        <w:t xml:space="preserve">Olga Tellis v. Bombay Municipal Corporation </w:t>
      </w:r>
      <w:r w:rsidRPr="006D402B">
        <w:rPr>
          <w:rFonts w:ascii="Times New Roman" w:hAnsi="Times New Roman" w:cs="Times New Roman"/>
          <w:b/>
          <w:sz w:val="24"/>
          <w:szCs w:val="24"/>
        </w:rPr>
        <w:t>(1985)</w:t>
      </w:r>
      <w:r w:rsidRPr="00B03D1D">
        <w:rPr>
          <w:rFonts w:ascii="Times New Roman" w:hAnsi="Times New Roman" w:cs="Times New Roman"/>
          <w:sz w:val="24"/>
          <w:szCs w:val="24"/>
        </w:rPr>
        <w:t>:</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r w:rsidRPr="007F51E1">
        <w:rPr>
          <w:rFonts w:ascii="Times New Roman" w:hAnsi="Times New Roman" w:cs="Times New Roman"/>
          <w:sz w:val="24"/>
          <w:szCs w:val="24"/>
        </w:rPr>
        <w:t>The Olga Tellis judgement is the first Supreme Court decision to recogni</w:t>
      </w:r>
      <w:r>
        <w:rPr>
          <w:rFonts w:ascii="Times New Roman" w:hAnsi="Times New Roman" w:cs="Times New Roman"/>
          <w:sz w:val="24"/>
          <w:szCs w:val="24"/>
        </w:rPr>
        <w:t>z</w:t>
      </w:r>
      <w:r w:rsidRPr="007F51E1">
        <w:rPr>
          <w:rFonts w:ascii="Times New Roman" w:hAnsi="Times New Roman" w:cs="Times New Roman"/>
          <w:sz w:val="24"/>
          <w:szCs w:val="24"/>
        </w:rPr>
        <w:t>e explicitly that the right to livelihood forms an integral part of the right to life. This case was a pioneer in the field of housing rights worldwide.</w:t>
      </w:r>
    </w:p>
    <w:p w:rsidR="005F2CC5" w:rsidRDefault="005F2CC5" w:rsidP="005F2CC5">
      <w:pPr>
        <w:pStyle w:val="ListParagraph"/>
        <w:numPr>
          <w:ilvl w:val="0"/>
          <w:numId w:val="2"/>
        </w:numPr>
        <w:jc w:val="both"/>
        <w:rPr>
          <w:rFonts w:ascii="Times New Roman" w:hAnsi="Times New Roman" w:cs="Times New Roman"/>
          <w:sz w:val="24"/>
          <w:szCs w:val="24"/>
        </w:rPr>
      </w:pPr>
      <w:r w:rsidRPr="008B1CFC">
        <w:rPr>
          <w:rFonts w:ascii="Times New Roman" w:hAnsi="Times New Roman" w:cs="Times New Roman"/>
          <w:b/>
          <w:i/>
          <w:sz w:val="24"/>
          <w:szCs w:val="24"/>
        </w:rPr>
        <w:t xml:space="preserve">Shantistar Builders v. Narayan Khimalal Totame and </w:t>
      </w:r>
      <w:r>
        <w:rPr>
          <w:rFonts w:ascii="Times New Roman" w:hAnsi="Times New Roman" w:cs="Times New Roman"/>
          <w:b/>
          <w:i/>
          <w:sz w:val="24"/>
          <w:szCs w:val="24"/>
        </w:rPr>
        <w:t>O</w:t>
      </w:r>
      <w:r w:rsidRPr="008B1CFC">
        <w:rPr>
          <w:rFonts w:ascii="Times New Roman" w:hAnsi="Times New Roman" w:cs="Times New Roman"/>
          <w:b/>
          <w:i/>
          <w:sz w:val="24"/>
          <w:szCs w:val="24"/>
        </w:rPr>
        <w:t>thers</w:t>
      </w:r>
      <w:r w:rsidRPr="00F41721">
        <w:rPr>
          <w:rFonts w:ascii="Times New Roman" w:hAnsi="Times New Roman" w:cs="Times New Roman"/>
          <w:b/>
          <w:sz w:val="24"/>
          <w:szCs w:val="24"/>
        </w:rPr>
        <w:t xml:space="preserve"> (1990)</w:t>
      </w:r>
      <w:r w:rsidRPr="00B03D1D">
        <w:rPr>
          <w:rFonts w:ascii="Times New Roman" w:hAnsi="Times New Roman" w:cs="Times New Roman"/>
          <w:sz w:val="24"/>
          <w:szCs w:val="24"/>
        </w:rPr>
        <w:t>:</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In this case, the Supreme Court </w:t>
      </w:r>
      <w:r w:rsidRPr="00F41721">
        <w:rPr>
          <w:rFonts w:ascii="Times New Roman" w:hAnsi="Times New Roman" w:cs="Times New Roman"/>
          <w:sz w:val="24"/>
          <w:szCs w:val="24"/>
        </w:rPr>
        <w:t>examined the scope of the right to life, using the framework of basic needs</w:t>
      </w:r>
      <w:r>
        <w:rPr>
          <w:rFonts w:ascii="Times New Roman" w:hAnsi="Times New Roman" w:cs="Times New Roman"/>
          <w:sz w:val="24"/>
          <w:szCs w:val="24"/>
        </w:rPr>
        <w:t>.</w:t>
      </w:r>
    </w:p>
    <w:p w:rsidR="005F2CC5" w:rsidRPr="00A253D7" w:rsidRDefault="005F2CC5" w:rsidP="005F2CC5">
      <w:pPr>
        <w:pStyle w:val="ListParagraph"/>
        <w:numPr>
          <w:ilvl w:val="0"/>
          <w:numId w:val="2"/>
        </w:numPr>
        <w:jc w:val="both"/>
        <w:rPr>
          <w:rFonts w:ascii="Times New Roman" w:hAnsi="Times New Roman" w:cs="Times New Roman"/>
          <w:sz w:val="24"/>
          <w:szCs w:val="24"/>
        </w:rPr>
      </w:pPr>
      <w:r w:rsidRPr="008B1CFC">
        <w:rPr>
          <w:rFonts w:ascii="Times New Roman" w:hAnsi="Times New Roman" w:cs="Times New Roman"/>
          <w:b/>
          <w:i/>
          <w:sz w:val="24"/>
          <w:szCs w:val="24"/>
        </w:rPr>
        <w:t>Chameli Singh v. State of U.P.</w:t>
      </w:r>
      <w:r w:rsidRPr="004B6BE1">
        <w:rPr>
          <w:rFonts w:ascii="Times New Roman" w:hAnsi="Times New Roman" w:cs="Times New Roman"/>
          <w:b/>
          <w:sz w:val="24"/>
          <w:szCs w:val="24"/>
        </w:rPr>
        <w:t xml:space="preserve"> (1995)</w:t>
      </w:r>
      <w:r w:rsidRPr="00B03D1D">
        <w:rPr>
          <w:rFonts w:ascii="Times New Roman" w:hAnsi="Times New Roman" w:cs="Times New Roman"/>
          <w:sz w:val="24"/>
          <w:szCs w:val="24"/>
        </w:rPr>
        <w:t>:</w:t>
      </w:r>
      <w:r>
        <w:rPr>
          <w:rStyle w:val="FootnoteReference"/>
          <w:rFonts w:ascii="Times New Roman" w:hAnsi="Times New Roman" w:cs="Times New Roman"/>
          <w:sz w:val="24"/>
          <w:szCs w:val="24"/>
        </w:rPr>
        <w:footnoteReference w:id="27"/>
      </w:r>
      <w:r w:rsidRPr="00A253D7">
        <w:rPr>
          <w:rFonts w:ascii="Times New Roman" w:hAnsi="Times New Roman" w:cs="Times New Roman"/>
          <w:sz w:val="24"/>
          <w:szCs w:val="24"/>
        </w:rPr>
        <w:t xml:space="preserve"> </w:t>
      </w:r>
      <w:r>
        <w:rPr>
          <w:rFonts w:ascii="Times New Roman" w:hAnsi="Times New Roman" w:cs="Times New Roman"/>
          <w:sz w:val="24"/>
          <w:szCs w:val="24"/>
        </w:rPr>
        <w:t>T</w:t>
      </w:r>
      <w:r w:rsidRPr="00A253D7">
        <w:rPr>
          <w:rFonts w:ascii="Times New Roman" w:hAnsi="Times New Roman" w:cs="Times New Roman"/>
          <w:sz w:val="24"/>
          <w:szCs w:val="24"/>
        </w:rPr>
        <w:t xml:space="preserve">he Supreme Court unequivocally </w:t>
      </w:r>
      <w:r>
        <w:rPr>
          <w:rFonts w:ascii="Times New Roman" w:hAnsi="Times New Roman" w:cs="Times New Roman"/>
          <w:sz w:val="24"/>
          <w:szCs w:val="24"/>
        </w:rPr>
        <w:t>asserted in its verdict</w:t>
      </w:r>
      <w:r w:rsidRPr="00A253D7">
        <w:rPr>
          <w:rFonts w:ascii="Times New Roman" w:hAnsi="Times New Roman" w:cs="Times New Roman"/>
          <w:sz w:val="24"/>
          <w:szCs w:val="24"/>
        </w:rPr>
        <w:t>: “Right to shelter when used as an essential requisite to the right to live, should be deemed to have been guaranteed as a fundamental right.”</w:t>
      </w:r>
    </w:p>
    <w:p w:rsidR="005F2CC5" w:rsidRPr="00E912CE" w:rsidRDefault="005F2CC5" w:rsidP="005F2CC5">
      <w:pPr>
        <w:pStyle w:val="ListParagraph"/>
        <w:numPr>
          <w:ilvl w:val="0"/>
          <w:numId w:val="2"/>
        </w:numPr>
        <w:jc w:val="both"/>
        <w:rPr>
          <w:rFonts w:ascii="Times New Roman" w:hAnsi="Times New Roman" w:cs="Times New Roman"/>
          <w:sz w:val="24"/>
          <w:szCs w:val="24"/>
        </w:rPr>
      </w:pPr>
      <w:r w:rsidRPr="008B1CFC">
        <w:rPr>
          <w:rFonts w:ascii="Times New Roman" w:hAnsi="Times New Roman" w:cs="Times New Roman"/>
          <w:b/>
          <w:i/>
          <w:sz w:val="24"/>
          <w:szCs w:val="24"/>
        </w:rPr>
        <w:t>State of Karnataka and Ors. v. Narasimhamurthy and Ors</w:t>
      </w:r>
      <w:r w:rsidRPr="00E912CE">
        <w:rPr>
          <w:rFonts w:ascii="Times New Roman" w:hAnsi="Times New Roman" w:cs="Times New Roman"/>
          <w:b/>
          <w:sz w:val="24"/>
          <w:szCs w:val="24"/>
        </w:rPr>
        <w:t xml:space="preserve"> (1995)</w:t>
      </w:r>
      <w:r w:rsidRPr="00B03D1D">
        <w:rPr>
          <w:rFonts w:ascii="Times New Roman" w:hAnsi="Times New Roman" w:cs="Times New Roman"/>
          <w:sz w:val="24"/>
          <w:szCs w:val="24"/>
        </w:rPr>
        <w:t>:</w:t>
      </w:r>
      <w:r>
        <w:rPr>
          <w:rStyle w:val="FootnoteReference"/>
          <w:rFonts w:ascii="Times New Roman" w:hAnsi="Times New Roman" w:cs="Times New Roman"/>
          <w:sz w:val="24"/>
          <w:szCs w:val="24"/>
        </w:rPr>
        <w:footnoteReference w:id="28"/>
      </w:r>
      <w:r>
        <w:rPr>
          <w:rFonts w:ascii="Times New Roman" w:hAnsi="Times New Roman" w:cs="Times New Roman"/>
          <w:b/>
          <w:sz w:val="24"/>
          <w:szCs w:val="24"/>
        </w:rPr>
        <w:t xml:space="preserve"> </w:t>
      </w:r>
      <w:r>
        <w:rPr>
          <w:rFonts w:ascii="Times New Roman" w:hAnsi="Times New Roman" w:cs="Times New Roman"/>
          <w:sz w:val="24"/>
          <w:szCs w:val="24"/>
        </w:rPr>
        <w:t>T</w:t>
      </w:r>
      <w:r w:rsidRPr="00E912CE">
        <w:rPr>
          <w:rFonts w:ascii="Times New Roman" w:hAnsi="Times New Roman" w:cs="Times New Roman"/>
          <w:sz w:val="24"/>
          <w:szCs w:val="24"/>
        </w:rPr>
        <w:t>he Supreme Court stated</w:t>
      </w:r>
      <w:r>
        <w:rPr>
          <w:rFonts w:ascii="Times New Roman" w:hAnsi="Times New Roman" w:cs="Times New Roman"/>
          <w:sz w:val="24"/>
          <w:szCs w:val="24"/>
        </w:rPr>
        <w:t xml:space="preserve"> that</w:t>
      </w:r>
      <w:r w:rsidRPr="00E912CE">
        <w:rPr>
          <w:rFonts w:ascii="Times New Roman" w:hAnsi="Times New Roman" w:cs="Times New Roman"/>
          <w:sz w:val="24"/>
          <w:szCs w:val="24"/>
        </w:rPr>
        <w:t xml:space="preserve">: “Right to shelter is a fundamental right […]. To make the right meaningful to the poor, the State has to provide facilities and opportunity to build house. Acquisition of the land to provide house sites to the poor houseless is a public purpose as it is a constitutional duty of the State to provide house sites to the poor.” </w:t>
      </w:r>
    </w:p>
    <w:p w:rsidR="005F2CC5" w:rsidRPr="009837E5" w:rsidRDefault="005F2CC5" w:rsidP="005F2CC5">
      <w:pPr>
        <w:pStyle w:val="ListParagraph"/>
        <w:numPr>
          <w:ilvl w:val="0"/>
          <w:numId w:val="2"/>
        </w:numPr>
        <w:jc w:val="both"/>
        <w:rPr>
          <w:rFonts w:ascii="Times New Roman" w:hAnsi="Times New Roman" w:cs="Times New Roman"/>
          <w:sz w:val="24"/>
          <w:szCs w:val="24"/>
        </w:rPr>
      </w:pPr>
      <w:r w:rsidRPr="008B1CFC">
        <w:rPr>
          <w:rFonts w:ascii="Times New Roman" w:hAnsi="Times New Roman" w:cs="Times New Roman"/>
          <w:b/>
          <w:i/>
          <w:sz w:val="24"/>
          <w:szCs w:val="24"/>
        </w:rPr>
        <w:lastRenderedPageBreak/>
        <w:t>U.P. Avas Evam Vikas Parishad v. Friends Coop. Housing Society Ltd.</w:t>
      </w:r>
      <w:r w:rsidRPr="009837E5">
        <w:rPr>
          <w:rFonts w:ascii="Times New Roman" w:hAnsi="Times New Roman" w:cs="Times New Roman"/>
          <w:b/>
          <w:sz w:val="24"/>
          <w:szCs w:val="24"/>
        </w:rPr>
        <w:t xml:space="preserve"> (1996)</w:t>
      </w:r>
      <w:r w:rsidRPr="00B03D1D">
        <w:rPr>
          <w:rFonts w:ascii="Times New Roman" w:hAnsi="Times New Roman" w:cs="Times New Roman"/>
          <w:sz w:val="24"/>
          <w:szCs w:val="24"/>
        </w:rPr>
        <w:t>:</w:t>
      </w:r>
      <w:r>
        <w:rPr>
          <w:rStyle w:val="FootnoteReference"/>
          <w:rFonts w:ascii="Times New Roman" w:hAnsi="Times New Roman" w:cs="Times New Roman"/>
          <w:sz w:val="24"/>
          <w:szCs w:val="24"/>
        </w:rPr>
        <w:footnoteReference w:id="29"/>
      </w:r>
      <w:r w:rsidRPr="009837E5">
        <w:rPr>
          <w:rFonts w:ascii="Times New Roman" w:hAnsi="Times New Roman" w:cs="Times New Roman"/>
          <w:sz w:val="24"/>
          <w:szCs w:val="24"/>
        </w:rPr>
        <w:t xml:space="preserve"> </w:t>
      </w:r>
      <w:r>
        <w:rPr>
          <w:rFonts w:ascii="Times New Roman" w:hAnsi="Times New Roman" w:cs="Times New Roman"/>
          <w:sz w:val="24"/>
          <w:szCs w:val="24"/>
        </w:rPr>
        <w:t>T</w:t>
      </w:r>
      <w:r w:rsidRPr="009837E5">
        <w:rPr>
          <w:rFonts w:ascii="Times New Roman" w:hAnsi="Times New Roman" w:cs="Times New Roman"/>
          <w:sz w:val="24"/>
          <w:szCs w:val="24"/>
        </w:rPr>
        <w:t>he Supreme Court affirmed that: “The right to shelter is a fundamental right, which springs from the right to residence under Article 19 (1) (e) and the right to life under Article 21.”</w:t>
      </w:r>
    </w:p>
    <w:p w:rsidR="005F2CC5" w:rsidRDefault="005F2CC5" w:rsidP="005F2CC5">
      <w:pPr>
        <w:pStyle w:val="ListParagraph"/>
        <w:numPr>
          <w:ilvl w:val="0"/>
          <w:numId w:val="2"/>
        </w:numPr>
        <w:spacing w:after="0" w:line="240" w:lineRule="auto"/>
        <w:jc w:val="both"/>
        <w:rPr>
          <w:rFonts w:ascii="Times New Roman" w:hAnsi="Times New Roman" w:cs="Times New Roman"/>
          <w:sz w:val="24"/>
          <w:szCs w:val="24"/>
        </w:rPr>
      </w:pPr>
      <w:r w:rsidRPr="008B1CFC">
        <w:rPr>
          <w:rFonts w:ascii="Times New Roman" w:hAnsi="Times New Roman" w:cs="Times New Roman"/>
          <w:b/>
          <w:i/>
          <w:sz w:val="24"/>
          <w:szCs w:val="24"/>
        </w:rPr>
        <w:t>Ahmedabad Municipal Corporation v. Nawab Khan Gulab Khan and Ors.</w:t>
      </w:r>
      <w:r w:rsidRPr="002F075E">
        <w:rPr>
          <w:rFonts w:ascii="Times New Roman" w:hAnsi="Times New Roman" w:cs="Times New Roman"/>
          <w:b/>
          <w:sz w:val="24"/>
          <w:szCs w:val="24"/>
        </w:rPr>
        <w:t xml:space="preserve"> (1997)</w:t>
      </w:r>
      <w:r w:rsidRPr="00B03D1D">
        <w:rPr>
          <w:rFonts w:ascii="Times New Roman" w:hAnsi="Times New Roman" w:cs="Times New Roman"/>
          <w:sz w:val="24"/>
          <w:szCs w:val="24"/>
        </w:rPr>
        <w:t>:</w:t>
      </w:r>
      <w:r>
        <w:rPr>
          <w:rStyle w:val="FootnoteReference"/>
          <w:rFonts w:ascii="Times New Roman" w:hAnsi="Times New Roman" w:cs="Times New Roman"/>
          <w:sz w:val="24"/>
          <w:szCs w:val="24"/>
        </w:rPr>
        <w:footnoteReference w:id="30"/>
      </w:r>
      <w:r>
        <w:rPr>
          <w:rFonts w:ascii="Times New Roman" w:hAnsi="Times New Roman" w:cs="Times New Roman"/>
          <w:b/>
          <w:sz w:val="24"/>
          <w:szCs w:val="24"/>
        </w:rPr>
        <w:t xml:space="preserve"> </w:t>
      </w:r>
      <w:r>
        <w:rPr>
          <w:rFonts w:ascii="Times New Roman" w:hAnsi="Times New Roman" w:cs="Times New Roman"/>
          <w:sz w:val="24"/>
          <w:szCs w:val="24"/>
        </w:rPr>
        <w:t>T</w:t>
      </w:r>
      <w:r w:rsidRPr="002F075E">
        <w:rPr>
          <w:rFonts w:ascii="Times New Roman" w:hAnsi="Times New Roman" w:cs="Times New Roman"/>
          <w:sz w:val="24"/>
          <w:szCs w:val="24"/>
        </w:rPr>
        <w:t>he Supreme Court directed the state to construct affordable houses for the poor</w:t>
      </w:r>
      <w:r>
        <w:rPr>
          <w:rFonts w:ascii="Times New Roman" w:hAnsi="Times New Roman" w:cs="Times New Roman"/>
          <w:sz w:val="24"/>
          <w:szCs w:val="24"/>
        </w:rPr>
        <w:t>.</w:t>
      </w:r>
    </w:p>
    <w:p w:rsidR="005F2CC5" w:rsidRDefault="005F2CC5" w:rsidP="005F2CC5">
      <w:pPr>
        <w:pStyle w:val="ListParagraph"/>
        <w:numPr>
          <w:ilvl w:val="0"/>
          <w:numId w:val="2"/>
        </w:numPr>
        <w:spacing w:after="0" w:line="240" w:lineRule="auto"/>
        <w:jc w:val="both"/>
        <w:rPr>
          <w:rFonts w:ascii="Times New Roman" w:hAnsi="Times New Roman" w:cs="Times New Roman"/>
          <w:sz w:val="24"/>
          <w:szCs w:val="24"/>
        </w:rPr>
      </w:pPr>
      <w:r w:rsidRPr="008B1CFC">
        <w:rPr>
          <w:rFonts w:ascii="Times New Roman" w:hAnsi="Times New Roman" w:cs="Times New Roman"/>
          <w:b/>
          <w:i/>
          <w:sz w:val="24"/>
          <w:szCs w:val="24"/>
        </w:rPr>
        <w:t>People’s Union for Civil Liberties v. Union of India and Others</w:t>
      </w:r>
      <w:r w:rsidRPr="00B03D1D">
        <w:rPr>
          <w:rFonts w:ascii="Times New Roman" w:hAnsi="Times New Roman" w:cs="Times New Roman"/>
          <w:sz w:val="24"/>
          <w:szCs w:val="24"/>
        </w:rPr>
        <w:t>:</w:t>
      </w:r>
      <w:r w:rsidRPr="008B1CFC">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In this case, </w:t>
      </w:r>
      <w:r w:rsidRPr="00FE3CD7">
        <w:rPr>
          <w:rFonts w:ascii="Times New Roman" w:hAnsi="Times New Roman" w:cs="Times New Roman"/>
          <w:sz w:val="24"/>
          <w:szCs w:val="24"/>
        </w:rPr>
        <w:t>a series of orders were passed for ensuring food to the needy under various schemes</w:t>
      </w:r>
      <w:r>
        <w:rPr>
          <w:rFonts w:ascii="Times New Roman" w:hAnsi="Times New Roman" w:cs="Times New Roman"/>
          <w:sz w:val="24"/>
          <w:szCs w:val="24"/>
        </w:rPr>
        <w:t xml:space="preserve">. </w:t>
      </w:r>
      <w:r w:rsidRPr="00FE3CD7">
        <w:rPr>
          <w:rFonts w:ascii="Times New Roman" w:hAnsi="Times New Roman" w:cs="Times New Roman"/>
          <w:sz w:val="24"/>
          <w:szCs w:val="24"/>
        </w:rPr>
        <w:t>Th</w:t>
      </w:r>
      <w:r>
        <w:rPr>
          <w:rFonts w:ascii="Times New Roman" w:hAnsi="Times New Roman" w:cs="Times New Roman"/>
          <w:sz w:val="24"/>
          <w:szCs w:val="24"/>
        </w:rPr>
        <w:t>e</w:t>
      </w:r>
      <w:r w:rsidRPr="00FE3CD7">
        <w:rPr>
          <w:rFonts w:ascii="Times New Roman" w:hAnsi="Times New Roman" w:cs="Times New Roman"/>
          <w:sz w:val="24"/>
          <w:szCs w:val="24"/>
        </w:rPr>
        <w:t xml:space="preserve"> case also included the issue of homelessness and resulted in several landmark orders regulating shelters for the homeless across India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2"/>
      </w:r>
    </w:p>
    <w:p w:rsidR="005F2CC5" w:rsidRDefault="005F2CC5" w:rsidP="005F2CC5">
      <w:pPr>
        <w:pStyle w:val="ListParagraph"/>
        <w:numPr>
          <w:ilvl w:val="0"/>
          <w:numId w:val="2"/>
        </w:numPr>
        <w:spacing w:after="0" w:line="240" w:lineRule="auto"/>
        <w:jc w:val="both"/>
        <w:rPr>
          <w:rFonts w:ascii="Times New Roman" w:hAnsi="Times New Roman" w:cs="Times New Roman"/>
          <w:sz w:val="24"/>
          <w:szCs w:val="24"/>
        </w:rPr>
      </w:pPr>
      <w:r w:rsidRPr="008B1CFC">
        <w:rPr>
          <w:rFonts w:ascii="Times New Roman" w:hAnsi="Times New Roman" w:cs="Times New Roman"/>
          <w:b/>
          <w:i/>
          <w:sz w:val="24"/>
          <w:szCs w:val="24"/>
        </w:rPr>
        <w:t>Sudama Singh and Others v. Government of Delhi and Anr.</w:t>
      </w:r>
      <w:r w:rsidRPr="00E25953">
        <w:rPr>
          <w:rFonts w:ascii="Times New Roman" w:hAnsi="Times New Roman" w:cs="Times New Roman"/>
          <w:b/>
          <w:sz w:val="24"/>
          <w:szCs w:val="24"/>
        </w:rPr>
        <w:t xml:space="preserve"> (2010)</w:t>
      </w:r>
      <w:r w:rsidRPr="00B03D1D">
        <w:rPr>
          <w:rFonts w:ascii="Times New Roman" w:hAnsi="Times New Roman" w:cs="Times New Roman"/>
          <w:sz w:val="24"/>
          <w:szCs w:val="24"/>
        </w:rPr>
        <w:t>:</w:t>
      </w:r>
      <w:r w:rsidRPr="008B1CFC">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T</w:t>
      </w:r>
      <w:r w:rsidRPr="00E25953">
        <w:rPr>
          <w:rFonts w:ascii="Times New Roman" w:hAnsi="Times New Roman" w:cs="Times New Roman"/>
          <w:sz w:val="24"/>
          <w:szCs w:val="24"/>
        </w:rPr>
        <w:t xml:space="preserve">he High Court of Delhi </w:t>
      </w:r>
      <w:r>
        <w:rPr>
          <w:rFonts w:ascii="Times New Roman" w:hAnsi="Times New Roman" w:cs="Times New Roman"/>
          <w:sz w:val="24"/>
          <w:szCs w:val="24"/>
        </w:rPr>
        <w:t xml:space="preserve">in this case </w:t>
      </w:r>
      <w:r w:rsidRPr="00E25953">
        <w:rPr>
          <w:rFonts w:ascii="Times New Roman" w:hAnsi="Times New Roman" w:cs="Times New Roman"/>
          <w:sz w:val="24"/>
          <w:szCs w:val="24"/>
        </w:rPr>
        <w:t>established that housing is a human right</w:t>
      </w:r>
      <w:r>
        <w:rPr>
          <w:rFonts w:ascii="Times New Roman" w:hAnsi="Times New Roman" w:cs="Times New Roman"/>
          <w:sz w:val="24"/>
          <w:szCs w:val="24"/>
        </w:rPr>
        <w:t xml:space="preserve"> and also laid down responsibilities of the state towards fulfilling the right to housing and to resettlement</w:t>
      </w:r>
      <w:r w:rsidRPr="00E25953">
        <w:rPr>
          <w:rFonts w:ascii="Times New Roman" w:hAnsi="Times New Roman" w:cs="Times New Roman"/>
          <w:sz w:val="24"/>
          <w:szCs w:val="24"/>
        </w:rPr>
        <w:t>.</w:t>
      </w:r>
    </w:p>
    <w:p w:rsidR="005F2CC5" w:rsidRPr="00653113" w:rsidRDefault="005F2CC5" w:rsidP="005F2CC5">
      <w:pPr>
        <w:pStyle w:val="ListParagraph"/>
        <w:numPr>
          <w:ilvl w:val="0"/>
          <w:numId w:val="2"/>
        </w:numPr>
        <w:spacing w:after="0" w:line="240" w:lineRule="auto"/>
        <w:jc w:val="both"/>
        <w:rPr>
          <w:rFonts w:ascii="Times New Roman" w:hAnsi="Times New Roman" w:cs="Times New Roman"/>
          <w:sz w:val="24"/>
          <w:szCs w:val="24"/>
        </w:rPr>
      </w:pPr>
      <w:r w:rsidRPr="008B1CFC">
        <w:rPr>
          <w:rFonts w:ascii="Times New Roman" w:hAnsi="Times New Roman" w:cs="Times New Roman"/>
          <w:b/>
          <w:i/>
          <w:sz w:val="24"/>
          <w:szCs w:val="24"/>
        </w:rPr>
        <w:t>P.K. Koul and Ors. v. Estate Officer and Anr. and Ors</w:t>
      </w:r>
      <w:r>
        <w:rPr>
          <w:rFonts w:ascii="Times New Roman" w:hAnsi="Times New Roman" w:cs="Times New Roman"/>
          <w:b/>
          <w:sz w:val="24"/>
          <w:szCs w:val="24"/>
        </w:rPr>
        <w:t>.</w:t>
      </w:r>
      <w:r w:rsidRPr="00653113">
        <w:rPr>
          <w:rFonts w:ascii="Times New Roman" w:hAnsi="Times New Roman" w:cs="Times New Roman"/>
          <w:b/>
          <w:sz w:val="24"/>
          <w:szCs w:val="24"/>
        </w:rPr>
        <w:t xml:space="preserve"> (2010)</w:t>
      </w:r>
      <w:r w:rsidRPr="00B03D1D">
        <w:rPr>
          <w:rFonts w:ascii="Times New Roman" w:hAnsi="Times New Roman" w:cs="Times New Roman"/>
          <w:sz w:val="24"/>
          <w:szCs w:val="24"/>
        </w:rPr>
        <w:t>:</w:t>
      </w:r>
      <w:r>
        <w:rPr>
          <w:rStyle w:val="FootnoteReference"/>
          <w:rFonts w:ascii="Times New Roman" w:hAnsi="Times New Roman" w:cs="Times New Roman"/>
          <w:sz w:val="24"/>
          <w:szCs w:val="24"/>
        </w:rPr>
        <w:footnoteReference w:id="34"/>
      </w:r>
      <w:r w:rsidRPr="00653113">
        <w:rPr>
          <w:rFonts w:ascii="Times New Roman" w:hAnsi="Times New Roman" w:cs="Times New Roman"/>
          <w:sz w:val="24"/>
          <w:szCs w:val="24"/>
        </w:rPr>
        <w:t xml:space="preserve"> The High Court of Delhi affirmed that: </w:t>
      </w:r>
      <w:r>
        <w:rPr>
          <w:rFonts w:ascii="Times New Roman" w:hAnsi="Times New Roman" w:cs="Times New Roman"/>
          <w:sz w:val="24"/>
          <w:szCs w:val="24"/>
        </w:rPr>
        <w:t>“…</w:t>
      </w:r>
      <w:r w:rsidRPr="00653113">
        <w:rPr>
          <w:rFonts w:ascii="Times New Roman" w:hAnsi="Times New Roman" w:cs="Times New Roman"/>
          <w:sz w:val="24"/>
          <w:szCs w:val="24"/>
        </w:rPr>
        <w:t>right to residence and to settle in any part of the country is assured to every citizen as a fundamental right under Article 19 (1) (e) of the Constitution of India… The right to shelter springs from this right and has been considered to be an integral part for a meaningful enjoyment of right to life under Article 21 of the Constitution of India.</w:t>
      </w:r>
      <w:r>
        <w:rPr>
          <w:rFonts w:ascii="Times New Roman" w:hAnsi="Times New Roman" w:cs="Times New Roman"/>
          <w:sz w:val="24"/>
          <w:szCs w:val="24"/>
        </w:rPr>
        <w:t>”</w:t>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also other cases where courts have established the link between the right to life and the right to housing resulting in positive judgements. These cases include: </w:t>
      </w:r>
      <w:r w:rsidRPr="008B1CFC">
        <w:rPr>
          <w:rFonts w:ascii="Times New Roman" w:hAnsi="Times New Roman" w:cs="Times New Roman"/>
          <w:bCs/>
          <w:i/>
          <w:color w:val="000000"/>
          <w:sz w:val="24"/>
          <w:szCs w:val="24"/>
          <w:shd w:val="clear" w:color="auto" w:fill="FFFFFF"/>
        </w:rPr>
        <w:t>Delhi Dayalbagh Coop. House Building Society Ltd.</w:t>
      </w:r>
      <w:r w:rsidRPr="008B1CFC">
        <w:rPr>
          <w:rFonts w:ascii="Times New Roman" w:hAnsi="Times New Roman" w:cs="Times New Roman"/>
          <w:i/>
          <w:color w:val="000000"/>
          <w:sz w:val="24"/>
          <w:szCs w:val="24"/>
        </w:rPr>
        <w:t xml:space="preserve"> </w:t>
      </w:r>
      <w:r w:rsidRPr="008B1CFC">
        <w:rPr>
          <w:rFonts w:ascii="Times New Roman" w:hAnsi="Times New Roman" w:cs="Times New Roman"/>
          <w:bCs/>
          <w:i/>
          <w:color w:val="000000"/>
          <w:sz w:val="24"/>
          <w:szCs w:val="24"/>
          <w:shd w:val="clear" w:color="auto" w:fill="FFFFFF"/>
        </w:rPr>
        <w:t>v.</w:t>
      </w:r>
      <w:r w:rsidRPr="008B1CFC">
        <w:rPr>
          <w:rFonts w:ascii="Times New Roman" w:hAnsi="Times New Roman" w:cs="Times New Roman"/>
          <w:i/>
          <w:color w:val="000000"/>
          <w:sz w:val="24"/>
          <w:szCs w:val="24"/>
        </w:rPr>
        <w:t xml:space="preserve"> </w:t>
      </w:r>
      <w:r w:rsidRPr="008B1CFC">
        <w:rPr>
          <w:rFonts w:ascii="Times New Roman" w:hAnsi="Times New Roman" w:cs="Times New Roman"/>
          <w:bCs/>
          <w:i/>
          <w:color w:val="000000"/>
          <w:sz w:val="24"/>
          <w:szCs w:val="24"/>
          <w:shd w:val="clear" w:color="auto" w:fill="FFFFFF"/>
        </w:rPr>
        <w:t>The Registrar Cooperative Societies &amp; Ors.</w:t>
      </w:r>
      <w:r w:rsidRPr="00B03D1D">
        <w:rPr>
          <w:rFonts w:ascii="Times New Roman" w:hAnsi="Times New Roman" w:cs="Times New Roman"/>
          <w:bCs/>
          <w:color w:val="000000"/>
          <w:sz w:val="24"/>
          <w:szCs w:val="24"/>
          <w:shd w:val="clear" w:color="auto" w:fill="FFFFFF"/>
        </w:rPr>
        <w:t>;</w:t>
      </w:r>
      <w:r>
        <w:rPr>
          <w:rStyle w:val="FootnoteReference"/>
          <w:rFonts w:ascii="Times New Roman" w:hAnsi="Times New Roman" w:cs="Times New Roman"/>
          <w:sz w:val="24"/>
          <w:szCs w:val="24"/>
        </w:rPr>
        <w:footnoteReference w:id="35"/>
      </w:r>
      <w:r>
        <w:rPr>
          <w:rFonts w:ascii="Times New Roman" w:hAnsi="Times New Roman" w:cs="Times New Roman"/>
          <w:bCs/>
          <w:i/>
          <w:color w:val="000000"/>
          <w:sz w:val="24"/>
          <w:szCs w:val="24"/>
          <w:shd w:val="clear" w:color="auto" w:fill="FFFFFF"/>
        </w:rPr>
        <w:t xml:space="preserve"> </w:t>
      </w:r>
      <w:r w:rsidRPr="008B1CFC">
        <w:rPr>
          <w:rFonts w:ascii="Times New Roman" w:eastAsia="Calibri" w:hAnsi="Times New Roman" w:cs="Times New Roman"/>
          <w:bCs/>
          <w:i/>
          <w:sz w:val="24"/>
          <w:szCs w:val="24"/>
        </w:rPr>
        <w:t>The</w:t>
      </w:r>
      <w:r>
        <w:rPr>
          <w:rFonts w:ascii="Times New Roman" w:eastAsia="Calibri" w:hAnsi="Times New Roman" w:cs="Times New Roman"/>
          <w:bCs/>
          <w:i/>
          <w:sz w:val="24"/>
          <w:szCs w:val="24"/>
        </w:rPr>
        <w:t xml:space="preserve"> </w:t>
      </w:r>
      <w:r w:rsidRPr="008B1CFC">
        <w:rPr>
          <w:rFonts w:ascii="Times New Roman" w:eastAsia="Calibri" w:hAnsi="Times New Roman" w:cs="Times New Roman"/>
          <w:bCs/>
          <w:i/>
          <w:sz w:val="24"/>
          <w:szCs w:val="24"/>
        </w:rPr>
        <w:t>Commissioner, Bangalore Development Authority and Anr.</w:t>
      </w:r>
      <w:r w:rsidRPr="008B1CFC">
        <w:rPr>
          <w:rFonts w:ascii="Times New Roman" w:hAnsi="Times New Roman" w:cs="Times New Roman"/>
          <w:i/>
          <w:sz w:val="24"/>
          <w:szCs w:val="24"/>
        </w:rPr>
        <w:t xml:space="preserve"> </w:t>
      </w:r>
      <w:r w:rsidRPr="008B1CFC">
        <w:rPr>
          <w:rFonts w:ascii="Times New Roman" w:eastAsia="Calibri" w:hAnsi="Times New Roman" w:cs="Times New Roman"/>
          <w:bCs/>
          <w:i/>
          <w:sz w:val="24"/>
          <w:szCs w:val="24"/>
        </w:rPr>
        <w:t>v.</w:t>
      </w:r>
      <w:r w:rsidRPr="008B1CFC">
        <w:rPr>
          <w:rFonts w:ascii="Times New Roman" w:hAnsi="Times New Roman" w:cs="Times New Roman"/>
          <w:i/>
          <w:sz w:val="24"/>
          <w:szCs w:val="24"/>
        </w:rPr>
        <w:t xml:space="preserve"> </w:t>
      </w:r>
      <w:r w:rsidRPr="008B1CFC">
        <w:rPr>
          <w:rFonts w:ascii="Times New Roman" w:eastAsia="Calibri" w:hAnsi="Times New Roman" w:cs="Times New Roman"/>
          <w:bCs/>
          <w:i/>
          <w:sz w:val="24"/>
          <w:szCs w:val="24"/>
        </w:rPr>
        <w:t>State of Karnataka and Anr.</w:t>
      </w:r>
      <w:r w:rsidRPr="00B03D1D">
        <w:rPr>
          <w:rFonts w:ascii="Times New Roman" w:eastAsia="Calibri" w:hAnsi="Times New Roman" w:cs="Times New Roman"/>
          <w:bCs/>
          <w:sz w:val="24"/>
          <w:szCs w:val="24"/>
        </w:rPr>
        <w:t>;</w:t>
      </w:r>
      <w:r w:rsidRPr="0062612A">
        <w:rPr>
          <w:rStyle w:val="FootnoteReference"/>
          <w:rFonts w:ascii="Times New Roman" w:eastAsia="Calibri" w:hAnsi="Times New Roman" w:cs="Times New Roman"/>
          <w:bCs/>
          <w:sz w:val="24"/>
          <w:szCs w:val="24"/>
        </w:rPr>
        <w:footnoteReference w:id="36"/>
      </w:r>
      <w:r>
        <w:rPr>
          <w:rFonts w:ascii="Times New Roman" w:eastAsia="Calibri" w:hAnsi="Times New Roman" w:cs="Times New Roman"/>
          <w:bCs/>
          <w:sz w:val="24"/>
          <w:szCs w:val="24"/>
        </w:rPr>
        <w:t xml:space="preserve"> </w:t>
      </w:r>
      <w:r w:rsidRPr="008B1CFC">
        <w:rPr>
          <w:rFonts w:ascii="Times New Roman" w:hAnsi="Times New Roman" w:cs="Times New Roman"/>
          <w:bCs/>
          <w:i/>
          <w:color w:val="000000"/>
          <w:sz w:val="24"/>
          <w:szCs w:val="24"/>
          <w:shd w:val="clear" w:color="auto" w:fill="FFFFFF"/>
        </w:rPr>
        <w:t xml:space="preserve">R. Krishnasamy Gounder v. </w:t>
      </w:r>
      <w:r>
        <w:rPr>
          <w:rFonts w:ascii="Times New Roman" w:hAnsi="Times New Roman" w:cs="Times New Roman"/>
          <w:bCs/>
          <w:i/>
          <w:color w:val="000000"/>
          <w:sz w:val="24"/>
          <w:szCs w:val="24"/>
          <w:shd w:val="clear" w:color="auto" w:fill="FFFFFF"/>
        </w:rPr>
        <w:t>t</w:t>
      </w:r>
      <w:r w:rsidRPr="008B1CFC">
        <w:rPr>
          <w:rFonts w:ascii="Times New Roman" w:hAnsi="Times New Roman" w:cs="Times New Roman"/>
          <w:bCs/>
          <w:i/>
          <w:color w:val="000000"/>
          <w:sz w:val="24"/>
          <w:szCs w:val="24"/>
          <w:shd w:val="clear" w:color="auto" w:fill="FFFFFF"/>
        </w:rPr>
        <w:t xml:space="preserve">he State </w:t>
      </w:r>
      <w:r>
        <w:rPr>
          <w:rFonts w:ascii="Times New Roman" w:hAnsi="Times New Roman" w:cs="Times New Roman"/>
          <w:bCs/>
          <w:i/>
          <w:color w:val="000000"/>
          <w:sz w:val="24"/>
          <w:szCs w:val="24"/>
          <w:shd w:val="clear" w:color="auto" w:fill="FFFFFF"/>
        </w:rPr>
        <w:t>o</w:t>
      </w:r>
      <w:r w:rsidRPr="008B1CFC">
        <w:rPr>
          <w:rFonts w:ascii="Times New Roman" w:hAnsi="Times New Roman" w:cs="Times New Roman"/>
          <w:bCs/>
          <w:i/>
          <w:color w:val="000000"/>
          <w:sz w:val="24"/>
          <w:szCs w:val="24"/>
          <w:shd w:val="clear" w:color="auto" w:fill="FFFFFF"/>
        </w:rPr>
        <w:t>f Tamil Nadu</w:t>
      </w:r>
      <w:r>
        <w:rPr>
          <w:rFonts w:ascii="Times New Roman" w:hAnsi="Times New Roman" w:cs="Times New Roman"/>
          <w:bCs/>
          <w:i/>
          <w:color w:val="000000"/>
          <w:sz w:val="24"/>
          <w:szCs w:val="24"/>
          <w:shd w:val="clear" w:color="auto" w:fill="FFFFFF"/>
        </w:rPr>
        <w:t>;</w:t>
      </w:r>
      <w:r w:rsidRPr="0062612A">
        <w:rPr>
          <w:rStyle w:val="FootnoteReference"/>
          <w:rFonts w:ascii="Times New Roman" w:hAnsi="Times New Roman" w:cs="Times New Roman"/>
          <w:bCs/>
          <w:color w:val="000000"/>
          <w:sz w:val="24"/>
          <w:szCs w:val="24"/>
          <w:shd w:val="clear" w:color="auto" w:fill="FFFFFF"/>
        </w:rPr>
        <w:footnoteReference w:id="37"/>
      </w:r>
      <w:r>
        <w:rPr>
          <w:rFonts w:ascii="Times New Roman" w:hAnsi="Times New Roman" w:cs="Times New Roman"/>
          <w:bCs/>
          <w:color w:val="000000"/>
          <w:sz w:val="24"/>
          <w:szCs w:val="24"/>
          <w:shd w:val="clear" w:color="auto" w:fill="FFFFFF"/>
        </w:rPr>
        <w:t xml:space="preserve"> </w:t>
      </w:r>
      <w:r w:rsidRPr="008B1CFC">
        <w:rPr>
          <w:rFonts w:ascii="Times New Roman" w:hAnsi="Times New Roman" w:cs="Times New Roman"/>
          <w:i/>
          <w:sz w:val="24"/>
          <w:szCs w:val="24"/>
        </w:rPr>
        <w:t>Ramesh Chandra Sahni v. State of U.P.</w:t>
      </w:r>
      <w:r w:rsidRPr="0062612A">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t>
      </w:r>
      <w:r w:rsidRPr="008B1CFC">
        <w:rPr>
          <w:rFonts w:ascii="Times New Roman" w:hAnsi="Times New Roman" w:cs="Times New Roman"/>
          <w:bCs/>
          <w:i/>
          <w:color w:val="000000"/>
          <w:sz w:val="24"/>
          <w:szCs w:val="24"/>
          <w:shd w:val="clear" w:color="auto" w:fill="FFFFFF"/>
        </w:rPr>
        <w:t>Gopiram Agarwalla</w:t>
      </w:r>
      <w:r w:rsidRPr="008B1CFC">
        <w:rPr>
          <w:rFonts w:ascii="Times New Roman" w:hAnsi="Times New Roman" w:cs="Times New Roman"/>
          <w:i/>
          <w:color w:val="000000"/>
          <w:sz w:val="24"/>
          <w:szCs w:val="24"/>
        </w:rPr>
        <w:t xml:space="preserve"> </w:t>
      </w:r>
      <w:r w:rsidRPr="008B1CFC">
        <w:rPr>
          <w:rFonts w:ascii="Times New Roman" w:hAnsi="Times New Roman" w:cs="Times New Roman"/>
          <w:bCs/>
          <w:i/>
          <w:color w:val="000000"/>
          <w:sz w:val="24"/>
          <w:szCs w:val="24"/>
          <w:shd w:val="clear" w:color="auto" w:fill="FFFFFF"/>
        </w:rPr>
        <w:t>v. Smt. Bina Agarwalla and Anr</w:t>
      </w:r>
      <w:r w:rsidRPr="0062612A">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Pr="0062612A">
        <w:rPr>
          <w:rStyle w:val="FootnoteReference"/>
          <w:rFonts w:ascii="Times New Roman" w:hAnsi="Times New Roman" w:cs="Times New Roman"/>
          <w:bCs/>
          <w:color w:val="000000"/>
          <w:sz w:val="24"/>
          <w:szCs w:val="24"/>
          <w:shd w:val="clear" w:color="auto" w:fill="FFFFFF"/>
        </w:rPr>
        <w:footnoteReference w:id="39"/>
      </w:r>
      <w:r>
        <w:rPr>
          <w:rFonts w:ascii="Times New Roman" w:hAnsi="Times New Roman" w:cs="Times New Roman"/>
          <w:bCs/>
          <w:color w:val="000000"/>
          <w:sz w:val="24"/>
          <w:szCs w:val="24"/>
          <w:shd w:val="clear" w:color="auto" w:fill="FFFFFF"/>
        </w:rPr>
        <w:t xml:space="preserve"> </w:t>
      </w:r>
      <w:r w:rsidRPr="0062612A">
        <w:rPr>
          <w:rFonts w:ascii="Times New Roman" w:hAnsi="Times New Roman" w:cs="Times New Roman"/>
          <w:bCs/>
          <w:color w:val="000000"/>
          <w:sz w:val="24"/>
          <w:szCs w:val="24"/>
          <w:shd w:val="clear" w:color="auto" w:fill="FFFFFF"/>
        </w:rPr>
        <w:t>S</w:t>
      </w:r>
      <w:r w:rsidRPr="008B1CFC">
        <w:rPr>
          <w:rFonts w:ascii="Times New Roman" w:hAnsi="Times New Roman" w:cs="Times New Roman"/>
          <w:bCs/>
          <w:i/>
          <w:color w:val="000000"/>
          <w:sz w:val="24"/>
          <w:szCs w:val="24"/>
          <w:shd w:val="clear" w:color="auto" w:fill="FFFFFF"/>
        </w:rPr>
        <w:t>. Shangreikhai and Ors.</w:t>
      </w:r>
      <w:r w:rsidRPr="008B1CFC">
        <w:rPr>
          <w:rFonts w:ascii="Times New Roman" w:hAnsi="Times New Roman" w:cs="Times New Roman"/>
          <w:i/>
          <w:color w:val="000000"/>
          <w:sz w:val="24"/>
          <w:szCs w:val="24"/>
        </w:rPr>
        <w:t xml:space="preserve"> </w:t>
      </w:r>
      <w:r w:rsidRPr="008B1CFC">
        <w:rPr>
          <w:rFonts w:ascii="Times New Roman" w:hAnsi="Times New Roman" w:cs="Times New Roman"/>
          <w:bCs/>
          <w:i/>
          <w:color w:val="000000"/>
          <w:sz w:val="24"/>
          <w:szCs w:val="24"/>
          <w:shd w:val="clear" w:color="auto" w:fill="FFFFFF"/>
        </w:rPr>
        <w:t>v.</w:t>
      </w:r>
      <w:r w:rsidRPr="008B1CFC">
        <w:rPr>
          <w:rFonts w:ascii="Times New Roman" w:hAnsi="Times New Roman" w:cs="Times New Roman"/>
          <w:i/>
          <w:color w:val="000000"/>
          <w:sz w:val="24"/>
          <w:szCs w:val="24"/>
        </w:rPr>
        <w:t xml:space="preserve"> </w:t>
      </w:r>
      <w:r w:rsidRPr="008B1CFC">
        <w:rPr>
          <w:rFonts w:ascii="Times New Roman" w:hAnsi="Times New Roman" w:cs="Times New Roman"/>
          <w:bCs/>
          <w:i/>
          <w:color w:val="000000"/>
          <w:sz w:val="24"/>
          <w:szCs w:val="24"/>
          <w:shd w:val="clear" w:color="auto" w:fill="FFFFFF"/>
        </w:rPr>
        <w:t>Union of India and Ors</w:t>
      </w:r>
      <w:r w:rsidRPr="0062612A">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w:t>
      </w:r>
      <w:r w:rsidRPr="0062612A">
        <w:rPr>
          <w:rStyle w:val="FootnoteReference"/>
          <w:rFonts w:ascii="Times New Roman" w:hAnsi="Times New Roman" w:cs="Times New Roman"/>
          <w:bCs/>
          <w:color w:val="000000"/>
          <w:sz w:val="24"/>
          <w:szCs w:val="24"/>
          <w:shd w:val="clear" w:color="auto" w:fill="FFFFFF"/>
        </w:rPr>
        <w:footnoteReference w:id="40"/>
      </w:r>
      <w:r>
        <w:rPr>
          <w:rFonts w:ascii="Times New Roman" w:hAnsi="Times New Roman" w:cs="Times New Roman"/>
          <w:bCs/>
          <w:color w:val="000000"/>
          <w:sz w:val="24"/>
          <w:szCs w:val="24"/>
          <w:shd w:val="clear" w:color="auto" w:fill="FFFFFF"/>
        </w:rPr>
        <w:t xml:space="preserve"> and, </w:t>
      </w:r>
      <w:r w:rsidRPr="008B1CFC">
        <w:rPr>
          <w:rFonts w:ascii="Times New Roman" w:hAnsi="Times New Roman" w:cs="Times New Roman"/>
          <w:bCs/>
          <w:i/>
          <w:color w:val="000000"/>
          <w:sz w:val="24"/>
          <w:szCs w:val="24"/>
          <w:shd w:val="clear" w:color="auto" w:fill="FFFFFF"/>
        </w:rPr>
        <w:t>Yamkhomang Haokip v. State of Manipur and Ors</w:t>
      </w:r>
      <w:r>
        <w:rPr>
          <w:rFonts w:ascii="Times New Roman" w:hAnsi="Times New Roman" w:cs="Times New Roman"/>
          <w:bCs/>
          <w:i/>
          <w:color w:val="000000"/>
          <w:sz w:val="24"/>
          <w:szCs w:val="24"/>
          <w:shd w:val="clear" w:color="auto" w:fill="FFFFFF"/>
        </w:rPr>
        <w:t>.</w:t>
      </w:r>
      <w:r>
        <w:rPr>
          <w:rStyle w:val="FootnoteReference"/>
          <w:rFonts w:ascii="Times New Roman" w:hAnsi="Times New Roman" w:cs="Times New Roman"/>
          <w:bCs/>
          <w:color w:val="000000"/>
          <w:sz w:val="24"/>
          <w:szCs w:val="24"/>
          <w:shd w:val="clear" w:color="auto" w:fill="FFFFFF"/>
        </w:rPr>
        <w:footnoteReference w:id="41"/>
      </w:r>
      <w:r>
        <w:rPr>
          <w:rFonts w:ascii="Times New Roman" w:hAnsi="Times New Roman" w:cs="Times New Roman"/>
          <w:bCs/>
          <w:color w:val="000000"/>
          <w:sz w:val="24"/>
          <w:szCs w:val="24"/>
          <w:shd w:val="clear" w:color="auto" w:fill="FFFFFF"/>
        </w:rPr>
        <w:t xml:space="preserve"> </w:t>
      </w:r>
      <w:r w:rsidRPr="00E44C5F">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 xml:space="preserve">   </w:t>
      </w:r>
      <w:r>
        <w:rPr>
          <w:rFonts w:ascii="Times New Roman" w:hAnsi="Times New Roman" w:cs="Times New Roman"/>
          <w:sz w:val="24"/>
          <w:szCs w:val="24"/>
        </w:rPr>
        <w:t xml:space="preserve">   </w:t>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Some examples of cases in which the courts in India have ordered evictions and removal of people from their place of living for “encroaching on government land” and hence denying the right to housing are the following:</w:t>
      </w:r>
    </w:p>
    <w:p w:rsidR="005F2CC5" w:rsidRDefault="005F2CC5" w:rsidP="005F2CC5">
      <w:pPr>
        <w:spacing w:after="0" w:line="240" w:lineRule="auto"/>
        <w:jc w:val="both"/>
        <w:rPr>
          <w:rFonts w:ascii="Times New Roman" w:hAnsi="Times New Roman" w:cs="Times New Roman"/>
          <w:sz w:val="24"/>
          <w:szCs w:val="24"/>
        </w:rPr>
      </w:pPr>
    </w:p>
    <w:p w:rsidR="005F2CC5" w:rsidRPr="00272C9F" w:rsidRDefault="005F2CC5" w:rsidP="005F2CC5">
      <w:pPr>
        <w:pStyle w:val="ListParagraph"/>
        <w:numPr>
          <w:ilvl w:val="0"/>
          <w:numId w:val="3"/>
        </w:numPr>
        <w:spacing w:after="0" w:line="240" w:lineRule="auto"/>
        <w:jc w:val="both"/>
        <w:rPr>
          <w:rFonts w:ascii="Times New Roman" w:hAnsi="Times New Roman" w:cs="Times New Roman"/>
          <w:sz w:val="24"/>
          <w:szCs w:val="24"/>
        </w:rPr>
      </w:pPr>
      <w:r w:rsidRPr="008B1CFC">
        <w:rPr>
          <w:rFonts w:ascii="Times New Roman" w:hAnsi="Times New Roman" w:cs="Times New Roman"/>
          <w:i/>
          <w:sz w:val="24"/>
          <w:szCs w:val="24"/>
        </w:rPr>
        <w:t xml:space="preserve">Almitra Patel vs. Union of India </w:t>
      </w:r>
      <w:r w:rsidRPr="00B03D1D">
        <w:rPr>
          <w:rFonts w:ascii="Times New Roman" w:hAnsi="Times New Roman" w:cs="Times New Roman"/>
          <w:sz w:val="24"/>
          <w:szCs w:val="24"/>
        </w:rPr>
        <w:t>(2000);</w:t>
      </w:r>
      <w:r w:rsidRPr="00B03D1D">
        <w:rPr>
          <w:rStyle w:val="FootnoteReference"/>
          <w:rFonts w:ascii="Times New Roman" w:hAnsi="Times New Roman" w:cs="Times New Roman"/>
          <w:sz w:val="24"/>
          <w:szCs w:val="24"/>
        </w:rPr>
        <w:footnoteReference w:id="42"/>
      </w:r>
    </w:p>
    <w:p w:rsidR="005F2CC5" w:rsidRPr="00B03D1D" w:rsidRDefault="005F2CC5" w:rsidP="005F2CC5">
      <w:pPr>
        <w:pStyle w:val="ListParagraph"/>
        <w:numPr>
          <w:ilvl w:val="0"/>
          <w:numId w:val="3"/>
        </w:numPr>
        <w:spacing w:after="0" w:line="240" w:lineRule="auto"/>
        <w:jc w:val="both"/>
        <w:rPr>
          <w:rFonts w:ascii="Times New Roman" w:hAnsi="Times New Roman" w:cs="Times New Roman"/>
          <w:sz w:val="24"/>
          <w:szCs w:val="24"/>
        </w:rPr>
      </w:pPr>
      <w:r w:rsidRPr="008B1CFC">
        <w:rPr>
          <w:rFonts w:ascii="Times New Roman" w:hAnsi="Times New Roman" w:cs="Times New Roman"/>
          <w:i/>
          <w:sz w:val="24"/>
          <w:szCs w:val="24"/>
        </w:rPr>
        <w:t xml:space="preserve">Navniti CGHS vs. Lt. Governor </w:t>
      </w:r>
      <w:r w:rsidRPr="00B03D1D">
        <w:rPr>
          <w:rFonts w:ascii="Times New Roman" w:hAnsi="Times New Roman" w:cs="Times New Roman"/>
          <w:sz w:val="24"/>
          <w:szCs w:val="24"/>
        </w:rPr>
        <w:t>(2004);</w:t>
      </w:r>
      <w:r w:rsidRPr="00B03D1D">
        <w:rPr>
          <w:rStyle w:val="FootnoteReference"/>
          <w:rFonts w:ascii="Times New Roman" w:hAnsi="Times New Roman" w:cs="Times New Roman"/>
          <w:sz w:val="24"/>
          <w:szCs w:val="24"/>
        </w:rPr>
        <w:footnoteReference w:id="43"/>
      </w:r>
    </w:p>
    <w:p w:rsidR="005F2CC5" w:rsidRPr="00272C9F" w:rsidRDefault="005F2CC5" w:rsidP="005F2CC5">
      <w:pPr>
        <w:pStyle w:val="ListParagraph"/>
        <w:numPr>
          <w:ilvl w:val="0"/>
          <w:numId w:val="3"/>
        </w:numPr>
        <w:spacing w:after="0" w:line="240" w:lineRule="auto"/>
        <w:jc w:val="both"/>
        <w:rPr>
          <w:rFonts w:ascii="Times New Roman" w:hAnsi="Times New Roman" w:cs="Times New Roman"/>
          <w:sz w:val="24"/>
          <w:szCs w:val="24"/>
        </w:rPr>
      </w:pPr>
      <w:r w:rsidRPr="008B1CFC">
        <w:rPr>
          <w:rFonts w:ascii="Times New Roman" w:hAnsi="Times New Roman" w:cs="Times New Roman"/>
          <w:i/>
          <w:sz w:val="24"/>
          <w:szCs w:val="24"/>
        </w:rPr>
        <w:lastRenderedPageBreak/>
        <w:t>Hem Raj vs. Commissioner of Police</w:t>
      </w:r>
      <w:r w:rsidRPr="00272C9F">
        <w:rPr>
          <w:rFonts w:ascii="Times New Roman" w:hAnsi="Times New Roman" w:cs="Times New Roman"/>
          <w:sz w:val="24"/>
          <w:szCs w:val="24"/>
        </w:rPr>
        <w:t xml:space="preserve"> (2005);</w:t>
      </w:r>
      <w:r w:rsidRPr="00272C9F">
        <w:rPr>
          <w:rStyle w:val="FootnoteReference"/>
          <w:rFonts w:ascii="Times New Roman" w:hAnsi="Times New Roman" w:cs="Times New Roman"/>
          <w:sz w:val="24"/>
          <w:szCs w:val="24"/>
        </w:rPr>
        <w:footnoteReference w:id="44"/>
      </w:r>
      <w:r w:rsidRPr="00272C9F">
        <w:rPr>
          <w:rFonts w:ascii="Times New Roman" w:hAnsi="Times New Roman" w:cs="Times New Roman"/>
          <w:sz w:val="24"/>
          <w:szCs w:val="24"/>
        </w:rPr>
        <w:t xml:space="preserve"> and,</w:t>
      </w:r>
    </w:p>
    <w:p w:rsidR="005F2CC5" w:rsidRPr="008D1CA0" w:rsidRDefault="005F2CC5" w:rsidP="005F2CC5">
      <w:pPr>
        <w:pStyle w:val="ListParagraph"/>
        <w:numPr>
          <w:ilvl w:val="0"/>
          <w:numId w:val="3"/>
        </w:numPr>
        <w:spacing w:after="0" w:line="240" w:lineRule="auto"/>
        <w:jc w:val="both"/>
        <w:rPr>
          <w:rFonts w:ascii="Times New Roman" w:hAnsi="Times New Roman" w:cs="Times New Roman"/>
          <w:sz w:val="24"/>
          <w:szCs w:val="24"/>
        </w:rPr>
      </w:pPr>
      <w:r w:rsidRPr="008B1CFC">
        <w:rPr>
          <w:rFonts w:ascii="Times New Roman" w:hAnsi="Times New Roman" w:cs="Times New Roman"/>
          <w:i/>
          <w:sz w:val="24"/>
          <w:szCs w:val="24"/>
        </w:rPr>
        <w:t xml:space="preserve">Unnamed Girl Child of 13 </w:t>
      </w:r>
      <w:r w:rsidR="00B03D1D">
        <w:rPr>
          <w:rFonts w:ascii="Times New Roman" w:hAnsi="Times New Roman" w:cs="Times New Roman"/>
          <w:i/>
          <w:sz w:val="24"/>
          <w:szCs w:val="24"/>
        </w:rPr>
        <w:t>D</w:t>
      </w:r>
      <w:r w:rsidRPr="008B1CFC">
        <w:rPr>
          <w:rFonts w:ascii="Times New Roman" w:hAnsi="Times New Roman" w:cs="Times New Roman"/>
          <w:i/>
          <w:sz w:val="24"/>
          <w:szCs w:val="24"/>
        </w:rPr>
        <w:t xml:space="preserve">ays through its Mother the Natural Guardian Noori Sameer Mujavar v. State of Maharashtra </w:t>
      </w:r>
      <w:r w:rsidR="00B03D1D">
        <w:rPr>
          <w:rFonts w:ascii="Times New Roman" w:hAnsi="Times New Roman" w:cs="Times New Roman"/>
          <w:i/>
          <w:sz w:val="24"/>
          <w:szCs w:val="24"/>
        </w:rPr>
        <w:t>and</w:t>
      </w:r>
      <w:r w:rsidR="00B03D1D" w:rsidRPr="008B1CFC">
        <w:rPr>
          <w:rFonts w:ascii="Times New Roman" w:hAnsi="Times New Roman" w:cs="Times New Roman"/>
          <w:i/>
          <w:sz w:val="24"/>
          <w:szCs w:val="24"/>
        </w:rPr>
        <w:t xml:space="preserve"> </w:t>
      </w:r>
      <w:r w:rsidRPr="008B1CFC">
        <w:rPr>
          <w:rFonts w:ascii="Times New Roman" w:hAnsi="Times New Roman" w:cs="Times New Roman"/>
          <w:i/>
          <w:sz w:val="24"/>
          <w:szCs w:val="24"/>
        </w:rPr>
        <w:t>Others, 2016</w:t>
      </w:r>
      <w:r w:rsidRPr="00272C9F">
        <w:rPr>
          <w:rFonts w:ascii="Times New Roman" w:hAnsi="Times New Roman" w:cs="Times New Roman"/>
          <w:sz w:val="24"/>
          <w:szCs w:val="24"/>
        </w:rPr>
        <w:t>: In this case though recognizing the hou</w:t>
      </w:r>
      <w:r w:rsidRPr="008D1CA0">
        <w:rPr>
          <w:rFonts w:ascii="Times New Roman" w:hAnsi="Times New Roman" w:cs="Times New Roman"/>
          <w:sz w:val="24"/>
          <w:szCs w:val="24"/>
        </w:rPr>
        <w:t xml:space="preserve">sing need of those evicted, the state was absolved of its duty and obligation to provide housing to the affected families. </w:t>
      </w:r>
    </w:p>
    <w:p w:rsidR="005F2CC5" w:rsidRDefault="005F2CC5" w:rsidP="005F2CC5">
      <w:pPr>
        <w:spacing w:after="0" w:line="240" w:lineRule="auto"/>
        <w:jc w:val="both"/>
        <w:rPr>
          <w:rFonts w:ascii="Times New Roman" w:hAnsi="Times New Roman" w:cs="Times New Roman"/>
          <w:sz w:val="24"/>
          <w:szCs w:val="24"/>
        </w:rPr>
      </w:pPr>
    </w:p>
    <w:p w:rsidR="005F2CC5" w:rsidRPr="00A82656" w:rsidRDefault="005F2CC5" w:rsidP="005F2CC5">
      <w:pPr>
        <w:spacing w:after="0" w:line="240" w:lineRule="auto"/>
        <w:jc w:val="both"/>
        <w:rPr>
          <w:rFonts w:ascii="Times New Roman" w:hAnsi="Times New Roman" w:cs="Times New Roman"/>
          <w:sz w:val="24"/>
          <w:szCs w:val="24"/>
        </w:rPr>
      </w:pPr>
    </w:p>
    <w:p w:rsidR="005F2CC5" w:rsidRPr="00175D02" w:rsidRDefault="005F2CC5" w:rsidP="005F2CC5">
      <w:pPr>
        <w:spacing w:after="0" w:line="240" w:lineRule="auto"/>
        <w:jc w:val="both"/>
        <w:rPr>
          <w:rFonts w:ascii="Times New Roman" w:hAnsi="Times New Roman" w:cs="Times New Roman"/>
          <w:b/>
          <w:sz w:val="24"/>
          <w:szCs w:val="24"/>
        </w:rPr>
      </w:pPr>
      <w:r w:rsidRPr="00175D02">
        <w:rPr>
          <w:rFonts w:ascii="Times New Roman" w:hAnsi="Times New Roman" w:cs="Times New Roman"/>
          <w:b/>
          <w:sz w:val="24"/>
          <w:szCs w:val="24"/>
        </w:rPr>
        <w:t>3. Has the disproportionate effect of homelessness and inadequate housing on particular groups (e</w:t>
      </w:r>
      <w:r>
        <w:rPr>
          <w:rFonts w:ascii="Times New Roman" w:hAnsi="Times New Roman" w:cs="Times New Roman"/>
          <w:b/>
          <w:sz w:val="24"/>
          <w:szCs w:val="24"/>
        </w:rPr>
        <w:t>.</w:t>
      </w:r>
      <w:r w:rsidRPr="00175D02">
        <w:rPr>
          <w:rFonts w:ascii="Times New Roman" w:hAnsi="Times New Roman" w:cs="Times New Roman"/>
          <w:b/>
          <w:sz w:val="24"/>
          <w:szCs w:val="24"/>
        </w:rPr>
        <w:t>g</w:t>
      </w:r>
      <w:r>
        <w:rPr>
          <w:rFonts w:ascii="Times New Roman" w:hAnsi="Times New Roman" w:cs="Times New Roman"/>
          <w:b/>
          <w:sz w:val="24"/>
          <w:szCs w:val="24"/>
        </w:rPr>
        <w:t>.</w:t>
      </w:r>
      <w:r w:rsidRPr="00175D02">
        <w:rPr>
          <w:rFonts w:ascii="Times New Roman" w:hAnsi="Times New Roman" w:cs="Times New Roman"/>
          <w:b/>
          <w:sz w:val="24"/>
          <w:szCs w:val="24"/>
        </w:rPr>
        <w:t xml:space="preserve"> persons with disabilities, </w:t>
      </w:r>
      <w:r>
        <w:rPr>
          <w:rFonts w:ascii="Times New Roman" w:hAnsi="Times New Roman" w:cs="Times New Roman"/>
          <w:b/>
          <w:sz w:val="24"/>
          <w:szCs w:val="24"/>
        </w:rPr>
        <w:t>i</w:t>
      </w:r>
      <w:r w:rsidRPr="00175D02">
        <w:rPr>
          <w:rFonts w:ascii="Times New Roman" w:hAnsi="Times New Roman" w:cs="Times New Roman"/>
          <w:b/>
          <w:sz w:val="24"/>
          <w:szCs w:val="24"/>
        </w:rPr>
        <w:t>ndigenous peoples, women experiencing violence, etc.) been recognized by courts or human rights bodies in your country (region/area of work) as an issue of discrimination? Please provide examples.</w:t>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disproportionate effect of homelessness and inadequate housing on particular groups such as persons with disabilities, children, women, and indigenous people has, in some instances, been recognized by courts, laws, and national human rights institution in India. Some examples are given as under:  </w:t>
      </w:r>
    </w:p>
    <w:p w:rsidR="005F2CC5" w:rsidRDefault="005F2CC5" w:rsidP="005F2CC5">
      <w:pPr>
        <w:spacing w:after="0" w:line="240" w:lineRule="auto"/>
        <w:jc w:val="both"/>
        <w:rPr>
          <w:rFonts w:ascii="Times New Roman" w:hAnsi="Times New Roman" w:cs="Times New Roman"/>
          <w:sz w:val="24"/>
          <w:szCs w:val="24"/>
        </w:rPr>
      </w:pPr>
    </w:p>
    <w:p w:rsidR="005F2CC5" w:rsidRPr="00175D02" w:rsidRDefault="005F2CC5" w:rsidP="005F2CC5">
      <w:pPr>
        <w:pStyle w:val="ListParagraph"/>
        <w:numPr>
          <w:ilvl w:val="0"/>
          <w:numId w:val="4"/>
        </w:numPr>
        <w:spacing w:after="0" w:line="240" w:lineRule="auto"/>
        <w:jc w:val="both"/>
        <w:rPr>
          <w:rFonts w:ascii="Times New Roman" w:hAnsi="Times New Roman" w:cs="Times New Roman"/>
          <w:sz w:val="24"/>
          <w:szCs w:val="24"/>
        </w:rPr>
      </w:pPr>
      <w:r w:rsidRPr="00175D02">
        <w:rPr>
          <w:rFonts w:ascii="Times New Roman" w:hAnsi="Times New Roman" w:cs="Times New Roman"/>
          <w:sz w:val="24"/>
          <w:szCs w:val="24"/>
        </w:rPr>
        <w:t xml:space="preserve">In </w:t>
      </w:r>
      <w:r w:rsidRPr="008B1CFC">
        <w:rPr>
          <w:rFonts w:ascii="Times New Roman" w:hAnsi="Times New Roman" w:cs="Times New Roman"/>
          <w:b/>
          <w:i/>
          <w:sz w:val="24"/>
          <w:szCs w:val="24"/>
        </w:rPr>
        <w:t>Shantistar Builders v. Narayan Khimalal Totame</w:t>
      </w:r>
      <w:r w:rsidRPr="008B1CFC">
        <w:rPr>
          <w:rFonts w:ascii="Times New Roman" w:hAnsi="Times New Roman" w:cs="Times New Roman"/>
          <w:sz w:val="24"/>
          <w:szCs w:val="24"/>
        </w:rPr>
        <w:t>,</w:t>
      </w:r>
      <w:r>
        <w:rPr>
          <w:rStyle w:val="FootnoteReference"/>
          <w:rFonts w:ascii="Times New Roman" w:hAnsi="Times New Roman" w:cs="Times New Roman"/>
          <w:sz w:val="24"/>
          <w:szCs w:val="24"/>
        </w:rPr>
        <w:footnoteReference w:id="45"/>
      </w:r>
      <w:r w:rsidRPr="00175D02">
        <w:rPr>
          <w:rFonts w:ascii="Times New Roman" w:hAnsi="Times New Roman" w:cs="Times New Roman"/>
          <w:sz w:val="24"/>
          <w:szCs w:val="24"/>
        </w:rPr>
        <w:t xml:space="preserve"> the Supreme Court of India </w:t>
      </w:r>
      <w:r>
        <w:rPr>
          <w:rFonts w:ascii="Times New Roman" w:hAnsi="Times New Roman" w:cs="Times New Roman"/>
          <w:sz w:val="24"/>
          <w:szCs w:val="24"/>
        </w:rPr>
        <w:t xml:space="preserve">has </w:t>
      </w:r>
      <w:r w:rsidRPr="00175D02">
        <w:rPr>
          <w:rFonts w:ascii="Times New Roman" w:hAnsi="Times New Roman" w:cs="Times New Roman"/>
          <w:sz w:val="24"/>
          <w:szCs w:val="24"/>
        </w:rPr>
        <w:t xml:space="preserve">made specific mention of children’s right to </w:t>
      </w:r>
      <w:r w:rsidR="00B03D1D">
        <w:rPr>
          <w:rFonts w:ascii="Times New Roman" w:hAnsi="Times New Roman" w:cs="Times New Roman"/>
          <w:sz w:val="24"/>
          <w:szCs w:val="24"/>
        </w:rPr>
        <w:t>adequa</w:t>
      </w:r>
      <w:r w:rsidR="00A877D1">
        <w:rPr>
          <w:rFonts w:ascii="Times New Roman" w:hAnsi="Times New Roman" w:cs="Times New Roman"/>
          <w:sz w:val="24"/>
          <w:szCs w:val="24"/>
        </w:rPr>
        <w:t>te</w:t>
      </w:r>
      <w:r w:rsidR="00B03D1D">
        <w:rPr>
          <w:rFonts w:ascii="Times New Roman" w:hAnsi="Times New Roman" w:cs="Times New Roman"/>
          <w:sz w:val="24"/>
          <w:szCs w:val="24"/>
        </w:rPr>
        <w:t xml:space="preserve"> housing</w:t>
      </w:r>
      <w:r w:rsidRPr="00175D02">
        <w:rPr>
          <w:rFonts w:ascii="Times New Roman" w:hAnsi="Times New Roman" w:cs="Times New Roman"/>
          <w:sz w:val="24"/>
          <w:szCs w:val="24"/>
        </w:rPr>
        <w:t xml:space="preserve"> by asserting that: “The Constitution aims at ensuring the full development of every child. That would be possible only if </w:t>
      </w:r>
      <w:r>
        <w:rPr>
          <w:rFonts w:ascii="Times New Roman" w:hAnsi="Times New Roman" w:cs="Times New Roman"/>
          <w:sz w:val="24"/>
          <w:szCs w:val="24"/>
        </w:rPr>
        <w:t>the child is in a proper home.”</w:t>
      </w:r>
      <w:r>
        <w:rPr>
          <w:rStyle w:val="FootnoteReference"/>
          <w:rFonts w:ascii="Times New Roman" w:hAnsi="Times New Roman" w:cs="Times New Roman"/>
          <w:sz w:val="24"/>
          <w:szCs w:val="24"/>
        </w:rPr>
        <w:footnoteReference w:id="46"/>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pStyle w:val="ListParagraph"/>
        <w:numPr>
          <w:ilvl w:val="0"/>
          <w:numId w:val="4"/>
        </w:numPr>
        <w:spacing w:after="0" w:line="240" w:lineRule="auto"/>
        <w:jc w:val="both"/>
        <w:rPr>
          <w:rFonts w:ascii="Times New Roman" w:hAnsi="Times New Roman" w:cs="Times New Roman"/>
          <w:sz w:val="24"/>
          <w:szCs w:val="24"/>
        </w:rPr>
      </w:pPr>
      <w:r w:rsidRPr="00175D02">
        <w:rPr>
          <w:rFonts w:ascii="Times New Roman" w:hAnsi="Times New Roman" w:cs="Times New Roman"/>
          <w:sz w:val="24"/>
          <w:szCs w:val="24"/>
        </w:rPr>
        <w:t xml:space="preserve">The </w:t>
      </w:r>
      <w:r w:rsidRPr="00A112BA">
        <w:rPr>
          <w:rFonts w:ascii="Times New Roman" w:hAnsi="Times New Roman" w:cs="Times New Roman"/>
          <w:b/>
          <w:sz w:val="24"/>
          <w:szCs w:val="24"/>
        </w:rPr>
        <w:t>Persons with Disabilities (Equal Opportunities Protection of Rights and Full Participation) Act 1995</w:t>
      </w:r>
      <w:r w:rsidRPr="00175D02">
        <w:rPr>
          <w:rFonts w:ascii="Times New Roman" w:hAnsi="Times New Roman" w:cs="Times New Roman"/>
          <w:sz w:val="24"/>
          <w:szCs w:val="24"/>
        </w:rPr>
        <w:t xml:space="preserve">, upholds the right to housing and land of persons with disabilities. It </w:t>
      </w:r>
      <w:r>
        <w:rPr>
          <w:rFonts w:ascii="Times New Roman" w:hAnsi="Times New Roman" w:cs="Times New Roman"/>
          <w:sz w:val="24"/>
          <w:szCs w:val="24"/>
        </w:rPr>
        <w:t>states</w:t>
      </w:r>
      <w:r w:rsidRPr="00175D02">
        <w:rPr>
          <w:rFonts w:ascii="Times New Roman" w:hAnsi="Times New Roman" w:cs="Times New Roman"/>
          <w:sz w:val="24"/>
          <w:szCs w:val="24"/>
        </w:rPr>
        <w:t>, “The appropriate Governments and local authorities shall by notification frame schemes in favo</w:t>
      </w:r>
      <w:r w:rsidR="00B03D1D">
        <w:rPr>
          <w:rFonts w:ascii="Times New Roman" w:hAnsi="Times New Roman" w:cs="Times New Roman"/>
          <w:sz w:val="24"/>
          <w:szCs w:val="24"/>
        </w:rPr>
        <w:t>u</w:t>
      </w:r>
      <w:r w:rsidRPr="00175D02">
        <w:rPr>
          <w:rFonts w:ascii="Times New Roman" w:hAnsi="Times New Roman" w:cs="Times New Roman"/>
          <w:sz w:val="24"/>
          <w:szCs w:val="24"/>
        </w:rPr>
        <w:t>r of persons with disabilities, for the preferential allotment of land at concessional rates for: (a) house…”</w:t>
      </w:r>
      <w:r>
        <w:rPr>
          <w:rStyle w:val="FootnoteReference"/>
          <w:rFonts w:ascii="Times New Roman" w:hAnsi="Times New Roman" w:cs="Times New Roman"/>
          <w:sz w:val="24"/>
          <w:szCs w:val="24"/>
        </w:rPr>
        <w:footnoteReference w:id="47"/>
      </w:r>
    </w:p>
    <w:p w:rsidR="005F2CC5" w:rsidRPr="003A0C07" w:rsidRDefault="005F2CC5" w:rsidP="005F2CC5">
      <w:pPr>
        <w:pStyle w:val="ListParagraph"/>
        <w:rPr>
          <w:rFonts w:ascii="Times New Roman" w:hAnsi="Times New Roman" w:cs="Times New Roman"/>
          <w:sz w:val="24"/>
          <w:szCs w:val="24"/>
        </w:rPr>
      </w:pPr>
    </w:p>
    <w:p w:rsidR="005F2CC5" w:rsidRDefault="005F2CC5" w:rsidP="005F2CC5">
      <w:pPr>
        <w:pStyle w:val="ListParagraph"/>
        <w:numPr>
          <w:ilvl w:val="0"/>
          <w:numId w:val="4"/>
        </w:numPr>
        <w:spacing w:after="0" w:line="240" w:lineRule="auto"/>
        <w:jc w:val="both"/>
        <w:rPr>
          <w:rFonts w:ascii="Times New Roman" w:hAnsi="Times New Roman" w:cs="Times New Roman"/>
          <w:sz w:val="24"/>
          <w:szCs w:val="24"/>
        </w:rPr>
      </w:pPr>
      <w:r w:rsidRPr="003A0C07">
        <w:rPr>
          <w:rFonts w:ascii="Times New Roman" w:hAnsi="Times New Roman" w:cs="Times New Roman"/>
          <w:sz w:val="24"/>
          <w:szCs w:val="24"/>
        </w:rPr>
        <w:t xml:space="preserve">In </w:t>
      </w:r>
      <w:r w:rsidRPr="008B1CFC">
        <w:rPr>
          <w:rFonts w:ascii="Times New Roman" w:hAnsi="Times New Roman" w:cs="Times New Roman"/>
          <w:b/>
          <w:i/>
          <w:sz w:val="24"/>
          <w:szCs w:val="24"/>
        </w:rPr>
        <w:t>Ahmedabad Municipal Corporation v. Nawab Khan Gulab Khan and Others</w:t>
      </w:r>
      <w:r w:rsidRPr="008B1CFC">
        <w:rPr>
          <w:rFonts w:ascii="Times New Roman" w:hAnsi="Times New Roman" w:cs="Times New Roman"/>
          <w:i/>
          <w:sz w:val="24"/>
          <w:szCs w:val="24"/>
        </w:rPr>
        <w:t>,</w:t>
      </w:r>
      <w:r>
        <w:rPr>
          <w:rStyle w:val="FootnoteReference"/>
          <w:rFonts w:ascii="Times New Roman" w:hAnsi="Times New Roman" w:cs="Times New Roman"/>
          <w:sz w:val="24"/>
          <w:szCs w:val="24"/>
        </w:rPr>
        <w:footnoteReference w:id="48"/>
      </w:r>
      <w:r w:rsidRPr="003A0C07">
        <w:rPr>
          <w:rFonts w:ascii="Times New Roman" w:hAnsi="Times New Roman" w:cs="Times New Roman"/>
          <w:sz w:val="24"/>
          <w:szCs w:val="24"/>
        </w:rPr>
        <w:t xml:space="preserve"> the Supreme Court, while upholding right to residence and settlement in any part of India, asserted the protection of rights of Scheduled Castes and Schedules Tribes</w:t>
      </w:r>
      <w:r>
        <w:rPr>
          <w:rFonts w:ascii="Times New Roman" w:hAnsi="Times New Roman" w:cs="Times New Roman"/>
          <w:sz w:val="24"/>
          <w:szCs w:val="24"/>
        </w:rPr>
        <w:t>:</w:t>
      </w:r>
      <w:r w:rsidRPr="003A0C07">
        <w:rPr>
          <w:rFonts w:ascii="Times New Roman" w:hAnsi="Times New Roman" w:cs="Times New Roman"/>
          <w:sz w:val="24"/>
          <w:szCs w:val="24"/>
        </w:rPr>
        <w:t xml:space="preserve"> “The State and consequentially the local authorities are charged with the constitutional duty to provide the weaker sections, in particular the Scheduled Castes and Scheduled Tribes with socio-economic and political justice and to prevent their exploitation and to prevent them from injustice. The Union of India has evolved Indira Avas Yojna Scheme exclusively to provide housing accommodation to the Scheduled Castes and Scheduled Tribes and separate annual budgets are being allotted in that behalf by Parliament and the</w:t>
      </w:r>
      <w:r>
        <w:rPr>
          <w:rFonts w:ascii="Times New Roman" w:hAnsi="Times New Roman" w:cs="Times New Roman"/>
          <w:sz w:val="24"/>
          <w:szCs w:val="24"/>
        </w:rPr>
        <w:t xml:space="preserve"> </w:t>
      </w:r>
      <w:r w:rsidRPr="003A0C07">
        <w:rPr>
          <w:rFonts w:ascii="Times New Roman" w:hAnsi="Times New Roman" w:cs="Times New Roman"/>
          <w:sz w:val="24"/>
          <w:szCs w:val="24"/>
        </w:rPr>
        <w:t>appropriate legislatures in allied matters.”</w:t>
      </w:r>
    </w:p>
    <w:p w:rsidR="005F2CC5" w:rsidRPr="002C3F0F" w:rsidRDefault="005F2CC5" w:rsidP="005F2CC5">
      <w:pPr>
        <w:pStyle w:val="ListParagraph"/>
        <w:rPr>
          <w:rFonts w:ascii="Times New Roman" w:hAnsi="Times New Roman" w:cs="Times New Roman"/>
          <w:sz w:val="24"/>
          <w:szCs w:val="24"/>
        </w:rPr>
      </w:pPr>
    </w:p>
    <w:p w:rsidR="005F2CC5" w:rsidRDefault="005F2CC5" w:rsidP="005F2CC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8B1CFC">
        <w:rPr>
          <w:rFonts w:ascii="Times New Roman" w:hAnsi="Times New Roman" w:cs="Times New Roman"/>
          <w:b/>
          <w:i/>
          <w:sz w:val="24"/>
          <w:szCs w:val="24"/>
        </w:rPr>
        <w:t>Millennium Educational Trust v. State of Karnataka and Ors</w:t>
      </w:r>
      <w:r>
        <w:rPr>
          <w:rFonts w:ascii="Times New Roman" w:hAnsi="Times New Roman" w:cs="Times New Roman"/>
          <w:b/>
          <w:i/>
          <w:sz w:val="24"/>
          <w:szCs w:val="24"/>
        </w:rPr>
        <w:t>.</w:t>
      </w:r>
      <w:r w:rsidRPr="008B1CFC">
        <w:rPr>
          <w:rFonts w:ascii="Times New Roman" w:hAnsi="Times New Roman" w:cs="Times New Roman"/>
          <w:i/>
          <w:sz w:val="24"/>
          <w:szCs w:val="24"/>
        </w:rPr>
        <w:t>,</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the court asserted that, “‘</w:t>
      </w:r>
      <w:r w:rsidRPr="007A4242">
        <w:rPr>
          <w:rFonts w:ascii="Times New Roman" w:hAnsi="Times New Roman" w:cs="Times New Roman"/>
          <w:sz w:val="24"/>
          <w:szCs w:val="24"/>
        </w:rPr>
        <w:t>Right to shelter</w:t>
      </w:r>
      <w:r>
        <w:rPr>
          <w:rFonts w:ascii="Times New Roman" w:hAnsi="Times New Roman" w:cs="Times New Roman"/>
          <w:sz w:val="24"/>
          <w:szCs w:val="24"/>
        </w:rPr>
        <w:t>’</w:t>
      </w:r>
      <w:r w:rsidRPr="007A4242">
        <w:rPr>
          <w:rFonts w:ascii="Times New Roman" w:hAnsi="Times New Roman" w:cs="Times New Roman"/>
          <w:sz w:val="24"/>
          <w:szCs w:val="24"/>
        </w:rPr>
        <w:t xml:space="preserve"> cannot be looked only through the persons who make application for grant of housing site as a matter of right, the same has to be </w:t>
      </w:r>
      <w:r w:rsidRPr="007A4242">
        <w:rPr>
          <w:rFonts w:ascii="Times New Roman" w:hAnsi="Times New Roman" w:cs="Times New Roman"/>
          <w:sz w:val="24"/>
          <w:szCs w:val="24"/>
        </w:rPr>
        <w:lastRenderedPageBreak/>
        <w:t xml:space="preserve">looked through the succeeding generation, specially children's right. A </w:t>
      </w:r>
      <w:r>
        <w:rPr>
          <w:rFonts w:ascii="Times New Roman" w:hAnsi="Times New Roman" w:cs="Times New Roman"/>
          <w:sz w:val="24"/>
          <w:szCs w:val="24"/>
        </w:rPr>
        <w:t>c</w:t>
      </w:r>
      <w:r w:rsidRPr="007A4242">
        <w:rPr>
          <w:rFonts w:ascii="Times New Roman" w:hAnsi="Times New Roman" w:cs="Times New Roman"/>
          <w:sz w:val="24"/>
          <w:szCs w:val="24"/>
        </w:rPr>
        <w:t>hild</w:t>
      </w:r>
      <w:r>
        <w:rPr>
          <w:rFonts w:ascii="Times New Roman" w:hAnsi="Times New Roman" w:cs="Times New Roman"/>
          <w:sz w:val="24"/>
          <w:szCs w:val="24"/>
        </w:rPr>
        <w:t>’</w:t>
      </w:r>
      <w:r w:rsidRPr="007A4242">
        <w:rPr>
          <w:rFonts w:ascii="Times New Roman" w:hAnsi="Times New Roman" w:cs="Times New Roman"/>
          <w:sz w:val="24"/>
          <w:szCs w:val="24"/>
        </w:rPr>
        <w:t>s right is to be brought up in a safe environment. The right to housing and security are interconnected. While poor housing condition affects the health, homelessness and frequent displacement are prone to impair the child</w:t>
      </w:r>
      <w:r>
        <w:rPr>
          <w:rFonts w:ascii="Times New Roman" w:hAnsi="Times New Roman" w:cs="Times New Roman"/>
          <w:sz w:val="24"/>
          <w:szCs w:val="24"/>
        </w:rPr>
        <w:t>’</w:t>
      </w:r>
      <w:r w:rsidRPr="007A4242">
        <w:rPr>
          <w:rFonts w:ascii="Times New Roman" w:hAnsi="Times New Roman" w:cs="Times New Roman"/>
          <w:sz w:val="24"/>
          <w:szCs w:val="24"/>
        </w:rPr>
        <w:t>s learning</w:t>
      </w:r>
      <w:r>
        <w:rPr>
          <w:rFonts w:ascii="Times New Roman" w:hAnsi="Times New Roman" w:cs="Times New Roman"/>
          <w:sz w:val="24"/>
          <w:szCs w:val="24"/>
        </w:rPr>
        <w:t xml:space="preserve">. </w:t>
      </w:r>
      <w:r w:rsidRPr="007A4242">
        <w:rPr>
          <w:rFonts w:ascii="Times New Roman" w:hAnsi="Times New Roman" w:cs="Times New Roman"/>
          <w:sz w:val="24"/>
          <w:szCs w:val="24"/>
        </w:rPr>
        <w:t>Though housing remains as fundamental as food and security, the issue has not yet received the priority it deserves.</w:t>
      </w:r>
      <w:r>
        <w:rPr>
          <w:rFonts w:ascii="Times New Roman" w:hAnsi="Times New Roman" w:cs="Times New Roman"/>
          <w:sz w:val="24"/>
          <w:szCs w:val="24"/>
        </w:rPr>
        <w:t>”</w:t>
      </w:r>
    </w:p>
    <w:p w:rsidR="005F2CC5" w:rsidRPr="00CC5966" w:rsidRDefault="005F2CC5" w:rsidP="005F2CC5">
      <w:pPr>
        <w:spacing w:after="0" w:line="240" w:lineRule="auto"/>
        <w:jc w:val="both"/>
        <w:rPr>
          <w:rFonts w:ascii="Times New Roman" w:hAnsi="Times New Roman" w:cs="Times New Roman"/>
          <w:sz w:val="24"/>
          <w:szCs w:val="24"/>
        </w:rPr>
      </w:pPr>
    </w:p>
    <w:p w:rsidR="005F2CC5" w:rsidRPr="00035685" w:rsidRDefault="005F2CC5" w:rsidP="005F2CC5">
      <w:pPr>
        <w:pStyle w:val="ListParagraph"/>
        <w:numPr>
          <w:ilvl w:val="0"/>
          <w:numId w:val="4"/>
        </w:numPr>
        <w:spacing w:after="0" w:line="240" w:lineRule="auto"/>
        <w:jc w:val="both"/>
        <w:rPr>
          <w:rFonts w:ascii="Times New Roman" w:hAnsi="Times New Roman" w:cs="Times New Roman"/>
          <w:sz w:val="24"/>
          <w:szCs w:val="24"/>
        </w:rPr>
      </w:pPr>
      <w:r w:rsidRPr="00035685">
        <w:rPr>
          <w:rFonts w:ascii="Times New Roman" w:hAnsi="Times New Roman" w:cs="Times New Roman"/>
          <w:sz w:val="24"/>
          <w:szCs w:val="24"/>
        </w:rPr>
        <w:t xml:space="preserve">The </w:t>
      </w:r>
      <w:r w:rsidRPr="00C40BFF">
        <w:rPr>
          <w:rFonts w:ascii="Times New Roman" w:hAnsi="Times New Roman" w:cs="Times New Roman"/>
          <w:b/>
          <w:sz w:val="24"/>
          <w:szCs w:val="24"/>
        </w:rPr>
        <w:t>National Human Rights Commission</w:t>
      </w:r>
      <w:r w:rsidRPr="00035685">
        <w:rPr>
          <w:rFonts w:ascii="Times New Roman" w:hAnsi="Times New Roman" w:cs="Times New Roman"/>
          <w:sz w:val="24"/>
          <w:szCs w:val="24"/>
        </w:rPr>
        <w:t xml:space="preserve"> in its publication </w:t>
      </w:r>
      <w:r w:rsidRPr="00035685">
        <w:rPr>
          <w:rFonts w:ascii="Times New Roman" w:hAnsi="Times New Roman" w:cs="Times New Roman"/>
          <w:i/>
          <w:sz w:val="24"/>
          <w:szCs w:val="24"/>
        </w:rPr>
        <w:t>Know Your Rights Series:</w:t>
      </w:r>
      <w:r>
        <w:rPr>
          <w:rFonts w:ascii="Times New Roman" w:hAnsi="Times New Roman" w:cs="Times New Roman"/>
          <w:i/>
          <w:sz w:val="24"/>
          <w:szCs w:val="24"/>
        </w:rPr>
        <w:t xml:space="preserve"> </w:t>
      </w:r>
      <w:r w:rsidRPr="00035685">
        <w:rPr>
          <w:rFonts w:ascii="Times New Roman" w:hAnsi="Times New Roman" w:cs="Times New Roman"/>
          <w:i/>
          <w:sz w:val="24"/>
          <w:szCs w:val="24"/>
        </w:rPr>
        <w:t>Right to Adequate Shelter</w:t>
      </w:r>
      <w:r>
        <w:rPr>
          <w:rStyle w:val="FootnoteReference"/>
          <w:rFonts w:ascii="Times New Roman" w:hAnsi="Times New Roman" w:cs="Times New Roman"/>
          <w:sz w:val="24"/>
          <w:szCs w:val="24"/>
        </w:rPr>
        <w:footnoteReference w:id="50"/>
      </w:r>
      <w:r>
        <w:rPr>
          <w:rFonts w:ascii="Times New Roman" w:hAnsi="Times New Roman" w:cs="Times New Roman"/>
          <w:i/>
          <w:sz w:val="24"/>
          <w:szCs w:val="24"/>
        </w:rPr>
        <w:t xml:space="preserve"> </w:t>
      </w:r>
      <w:r>
        <w:rPr>
          <w:rFonts w:ascii="Times New Roman" w:hAnsi="Times New Roman" w:cs="Times New Roman"/>
          <w:sz w:val="24"/>
          <w:szCs w:val="24"/>
        </w:rPr>
        <w:t xml:space="preserve">has acknowledged the issue of homelessness and outlined national and international laws and instruments for its redress. It has also mentioned, in the publication, landmark court judgements for the protection of housing rights of all, including women, children, persons with disabilities, older persons, minorities, persons with mental illness, and internally displaced persons.    </w:t>
      </w:r>
      <w:r w:rsidRPr="00035685">
        <w:rPr>
          <w:rFonts w:ascii="Times New Roman" w:hAnsi="Times New Roman" w:cs="Times New Roman"/>
          <w:sz w:val="24"/>
          <w:szCs w:val="24"/>
        </w:rPr>
        <w:t xml:space="preserve"> </w:t>
      </w:r>
    </w:p>
    <w:p w:rsidR="005F2CC5" w:rsidRPr="008C0695" w:rsidRDefault="005F2CC5" w:rsidP="005F2CC5">
      <w:pPr>
        <w:spacing w:after="0" w:line="240" w:lineRule="auto"/>
        <w:jc w:val="both"/>
        <w:rPr>
          <w:rFonts w:ascii="Times New Roman" w:hAnsi="Times New Roman" w:cs="Times New Roman"/>
          <w:sz w:val="24"/>
          <w:szCs w:val="24"/>
        </w:rPr>
      </w:pPr>
    </w:p>
    <w:p w:rsidR="005F2CC5" w:rsidRPr="00901D29" w:rsidRDefault="005F2CC5" w:rsidP="005F2CC5">
      <w:pPr>
        <w:spacing w:after="0" w:line="240" w:lineRule="auto"/>
        <w:jc w:val="both"/>
        <w:rPr>
          <w:rFonts w:ascii="Times New Roman" w:hAnsi="Times New Roman" w:cs="Times New Roman"/>
          <w:b/>
          <w:sz w:val="24"/>
          <w:szCs w:val="24"/>
        </w:rPr>
      </w:pPr>
      <w:r w:rsidRPr="00901D29">
        <w:rPr>
          <w:rFonts w:ascii="Times New Roman" w:hAnsi="Times New Roman" w:cs="Times New Roman"/>
          <w:b/>
          <w:sz w:val="24"/>
          <w:szCs w:val="24"/>
        </w:rPr>
        <w:t>4. What measures does your organization promote or recommend to ensure access to justice for violations of the right to life resulting from homelessness and inadequate housing and to ensure that governments address these violations with appropriate urgency and commitment (e</w:t>
      </w:r>
      <w:r>
        <w:rPr>
          <w:rFonts w:ascii="Times New Roman" w:hAnsi="Times New Roman" w:cs="Times New Roman"/>
          <w:b/>
          <w:sz w:val="24"/>
          <w:szCs w:val="24"/>
        </w:rPr>
        <w:t>.</w:t>
      </w:r>
      <w:r w:rsidRPr="00901D29">
        <w:rPr>
          <w:rFonts w:ascii="Times New Roman" w:hAnsi="Times New Roman" w:cs="Times New Roman"/>
          <w:b/>
          <w:sz w:val="24"/>
          <w:szCs w:val="24"/>
        </w:rPr>
        <w:t>g</w:t>
      </w:r>
      <w:r>
        <w:rPr>
          <w:rFonts w:ascii="Times New Roman" w:hAnsi="Times New Roman" w:cs="Times New Roman"/>
          <w:b/>
          <w:sz w:val="24"/>
          <w:szCs w:val="24"/>
        </w:rPr>
        <w:t>.</w:t>
      </w:r>
      <w:r w:rsidRPr="00901D29">
        <w:rPr>
          <w:rFonts w:ascii="Times New Roman" w:hAnsi="Times New Roman" w:cs="Times New Roman"/>
          <w:b/>
          <w:sz w:val="24"/>
          <w:szCs w:val="24"/>
        </w:rPr>
        <w:t>: application of international human rights law; legal reform; institutional reform).</w:t>
      </w:r>
    </w:p>
    <w:p w:rsidR="005F2CC5" w:rsidRDefault="005F2CC5" w:rsidP="005F2CC5">
      <w:pPr>
        <w:spacing w:after="0" w:line="240" w:lineRule="auto"/>
        <w:jc w:val="both"/>
        <w:rPr>
          <w:rFonts w:ascii="Times New Roman" w:hAnsi="Times New Roman" w:cs="Times New Roman"/>
          <w:sz w:val="24"/>
          <w:szCs w:val="24"/>
        </w:rPr>
      </w:pPr>
    </w:p>
    <w:p w:rsidR="005F2CC5" w:rsidRDefault="005F2CC5" w:rsidP="005F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HLRN recommends the following measures to ensure access to justice for violations of the right to life </w:t>
      </w:r>
      <w:r w:rsidR="009A6DD3">
        <w:rPr>
          <w:rFonts w:ascii="Times New Roman" w:hAnsi="Times New Roman" w:cs="Times New Roman"/>
          <w:sz w:val="24"/>
          <w:szCs w:val="24"/>
        </w:rPr>
        <w:t>resulting from</w:t>
      </w:r>
      <w:r>
        <w:rPr>
          <w:rFonts w:ascii="Times New Roman" w:hAnsi="Times New Roman" w:cs="Times New Roman"/>
          <w:sz w:val="24"/>
          <w:szCs w:val="24"/>
        </w:rPr>
        <w:t xml:space="preserve"> homelessness and inadequate housing: </w:t>
      </w:r>
    </w:p>
    <w:p w:rsidR="005F2CC5" w:rsidRDefault="005F2CC5" w:rsidP="005F2CC5">
      <w:pPr>
        <w:spacing w:after="0" w:line="240" w:lineRule="auto"/>
        <w:jc w:val="both"/>
        <w:rPr>
          <w:rFonts w:ascii="Times New Roman" w:hAnsi="Times New Roman" w:cs="Times New Roman"/>
          <w:sz w:val="24"/>
          <w:szCs w:val="24"/>
        </w:rPr>
      </w:pPr>
    </w:p>
    <w:p w:rsidR="005F2CC5" w:rsidRPr="00C50129" w:rsidRDefault="005F2CC5" w:rsidP="005F2CC5">
      <w:pPr>
        <w:pStyle w:val="ListParagraph"/>
        <w:numPr>
          <w:ilvl w:val="0"/>
          <w:numId w:val="1"/>
        </w:numPr>
        <w:spacing w:after="0" w:line="240" w:lineRule="auto"/>
        <w:jc w:val="both"/>
        <w:rPr>
          <w:rFonts w:ascii="Times New Roman" w:hAnsi="Times New Roman" w:cs="Times New Roman"/>
          <w:sz w:val="24"/>
          <w:szCs w:val="24"/>
        </w:rPr>
      </w:pPr>
      <w:r w:rsidRPr="00C50129">
        <w:rPr>
          <w:rFonts w:ascii="Times New Roman" w:hAnsi="Times New Roman" w:cs="Times New Roman"/>
          <w:sz w:val="24"/>
          <w:szCs w:val="24"/>
        </w:rPr>
        <w:t xml:space="preserve">The </w:t>
      </w:r>
      <w:r w:rsidR="00C50129" w:rsidRPr="00C50129">
        <w:rPr>
          <w:rFonts w:ascii="Times New Roman" w:hAnsi="Times New Roman" w:cs="Times New Roman"/>
          <w:sz w:val="24"/>
          <w:szCs w:val="24"/>
        </w:rPr>
        <w:t>G</w:t>
      </w:r>
      <w:r w:rsidRPr="00C50129">
        <w:rPr>
          <w:rFonts w:ascii="Times New Roman" w:hAnsi="Times New Roman" w:cs="Times New Roman"/>
          <w:sz w:val="24"/>
          <w:szCs w:val="24"/>
        </w:rPr>
        <w:t xml:space="preserve">overnment </w:t>
      </w:r>
      <w:r w:rsidR="00C50129" w:rsidRPr="00C50129">
        <w:rPr>
          <w:rFonts w:ascii="Times New Roman" w:hAnsi="Times New Roman" w:cs="Times New Roman"/>
          <w:sz w:val="24"/>
          <w:szCs w:val="24"/>
        </w:rPr>
        <w:t xml:space="preserve">of India </w:t>
      </w:r>
      <w:r w:rsidRPr="00C50129">
        <w:rPr>
          <w:rFonts w:ascii="Times New Roman" w:hAnsi="Times New Roman" w:cs="Times New Roman"/>
          <w:sz w:val="24"/>
          <w:szCs w:val="24"/>
        </w:rPr>
        <w:t>should develop a human rights-based national law (National Right to Adequate Housing Act) that covers rural and urban areas</w:t>
      </w:r>
      <w:r w:rsidR="00C50129" w:rsidRPr="00C50129">
        <w:rPr>
          <w:rFonts w:ascii="Times New Roman" w:hAnsi="Times New Roman" w:cs="Times New Roman"/>
          <w:sz w:val="24"/>
          <w:szCs w:val="24"/>
        </w:rPr>
        <w:t>,</w:t>
      </w:r>
      <w:r w:rsidRPr="00C50129">
        <w:rPr>
          <w:rFonts w:ascii="Times New Roman" w:hAnsi="Times New Roman" w:cs="Times New Roman"/>
          <w:sz w:val="24"/>
          <w:szCs w:val="24"/>
        </w:rPr>
        <w:t xml:space="preserve"> and incorporates provisions of international law, guidelines, and human rights principles. </w:t>
      </w:r>
    </w:p>
    <w:p w:rsidR="005F2CC5" w:rsidRPr="00C50129" w:rsidRDefault="005F2CC5" w:rsidP="005F2CC5">
      <w:pPr>
        <w:pStyle w:val="ListParagraph"/>
        <w:numPr>
          <w:ilvl w:val="0"/>
          <w:numId w:val="1"/>
        </w:numPr>
        <w:spacing w:after="0" w:line="240" w:lineRule="auto"/>
        <w:jc w:val="both"/>
        <w:rPr>
          <w:rFonts w:ascii="Times New Roman" w:hAnsi="Times New Roman" w:cs="Times New Roman"/>
          <w:sz w:val="24"/>
          <w:szCs w:val="24"/>
        </w:rPr>
      </w:pPr>
      <w:r w:rsidRPr="00C50129">
        <w:rPr>
          <w:rFonts w:ascii="Times New Roman" w:hAnsi="Times New Roman" w:cs="Times New Roman"/>
          <w:sz w:val="24"/>
          <w:szCs w:val="24"/>
        </w:rPr>
        <w:t xml:space="preserve">The government should incorporate the human rights framework—including the principles of indivisibility of human rights, gender equality, non-discrimination, progressive realization, non-retrogression, and participation—in the implementation </w:t>
      </w:r>
      <w:r w:rsidR="00C50129" w:rsidRPr="00C50129">
        <w:rPr>
          <w:rFonts w:ascii="Times New Roman" w:hAnsi="Times New Roman" w:cs="Times New Roman"/>
          <w:sz w:val="24"/>
          <w:szCs w:val="24"/>
        </w:rPr>
        <w:t xml:space="preserve">and development </w:t>
      </w:r>
      <w:r w:rsidRPr="00C50129">
        <w:rPr>
          <w:rFonts w:ascii="Times New Roman" w:hAnsi="Times New Roman" w:cs="Times New Roman"/>
          <w:sz w:val="24"/>
          <w:szCs w:val="24"/>
        </w:rPr>
        <w:t xml:space="preserve">of all policies/schemes. </w:t>
      </w:r>
    </w:p>
    <w:p w:rsidR="005F2CC5" w:rsidRPr="00C50129" w:rsidRDefault="005F2CC5" w:rsidP="005F2CC5">
      <w:pPr>
        <w:pStyle w:val="ListParagraph"/>
        <w:numPr>
          <w:ilvl w:val="0"/>
          <w:numId w:val="1"/>
        </w:numPr>
        <w:spacing w:after="0" w:line="240" w:lineRule="auto"/>
        <w:jc w:val="both"/>
        <w:rPr>
          <w:rFonts w:ascii="Times New Roman" w:hAnsi="Times New Roman" w:cs="Times New Roman"/>
          <w:sz w:val="24"/>
          <w:szCs w:val="24"/>
        </w:rPr>
      </w:pPr>
      <w:r w:rsidRPr="00C50129">
        <w:rPr>
          <w:rFonts w:ascii="Times New Roman" w:hAnsi="Times New Roman" w:cs="Times New Roman"/>
          <w:sz w:val="24"/>
          <w:szCs w:val="24"/>
        </w:rPr>
        <w:t>All progressive orders of the Supreme Court of India and state High Courts on issues of housing, land, homelessness, and human rights should be implemented.</w:t>
      </w:r>
      <w:r w:rsidR="00C50129" w:rsidRPr="00C50129">
        <w:rPr>
          <w:rFonts w:ascii="Times New Roman" w:hAnsi="Times New Roman" w:cs="Times New Roman"/>
          <w:sz w:val="24"/>
          <w:szCs w:val="24"/>
        </w:rPr>
        <w:t xml:space="preserve"> Mechanisms to monitor implementation of orders should be developed at the state and local levels.</w:t>
      </w:r>
    </w:p>
    <w:p w:rsidR="005F2CC5" w:rsidRPr="00C50129" w:rsidRDefault="005F2CC5" w:rsidP="005F2CC5">
      <w:pPr>
        <w:pStyle w:val="ListParagraph"/>
        <w:numPr>
          <w:ilvl w:val="0"/>
          <w:numId w:val="1"/>
        </w:numPr>
        <w:spacing w:after="0" w:line="240" w:lineRule="auto"/>
        <w:jc w:val="both"/>
        <w:rPr>
          <w:rFonts w:ascii="Times New Roman" w:hAnsi="Times New Roman" w:cs="Times New Roman"/>
          <w:sz w:val="24"/>
          <w:szCs w:val="24"/>
        </w:rPr>
      </w:pPr>
      <w:r w:rsidRPr="00C50129">
        <w:rPr>
          <w:rFonts w:ascii="Times New Roman" w:hAnsi="Times New Roman" w:cs="Times New Roman"/>
          <w:sz w:val="24"/>
          <w:szCs w:val="24"/>
        </w:rPr>
        <w:t xml:space="preserve">The government should develop human rights-based indicators to assess </w:t>
      </w:r>
      <w:r w:rsidR="00C50129" w:rsidRPr="00C50129">
        <w:rPr>
          <w:rFonts w:ascii="Times New Roman" w:hAnsi="Times New Roman" w:cs="Times New Roman"/>
          <w:sz w:val="24"/>
          <w:szCs w:val="24"/>
        </w:rPr>
        <w:t xml:space="preserve">and </w:t>
      </w:r>
      <w:r w:rsidRPr="00C50129">
        <w:rPr>
          <w:rFonts w:ascii="Times New Roman" w:hAnsi="Times New Roman" w:cs="Times New Roman"/>
          <w:sz w:val="24"/>
          <w:szCs w:val="24"/>
        </w:rPr>
        <w:t xml:space="preserve">monitor implementation of progressive policies/schemes on housing and land. </w:t>
      </w:r>
    </w:p>
    <w:p w:rsidR="005F2CC5" w:rsidRPr="00C50129" w:rsidRDefault="005F2CC5" w:rsidP="005F2CC5">
      <w:pPr>
        <w:pStyle w:val="ListParagraph"/>
        <w:numPr>
          <w:ilvl w:val="0"/>
          <w:numId w:val="1"/>
        </w:numPr>
        <w:spacing w:after="0" w:line="240" w:lineRule="auto"/>
        <w:jc w:val="both"/>
        <w:rPr>
          <w:rFonts w:ascii="Times New Roman" w:hAnsi="Times New Roman" w:cs="Times New Roman"/>
          <w:sz w:val="24"/>
          <w:szCs w:val="24"/>
        </w:rPr>
      </w:pPr>
      <w:r w:rsidRPr="00C50129">
        <w:rPr>
          <w:rFonts w:ascii="Times New Roman" w:hAnsi="Times New Roman" w:cs="Times New Roman"/>
          <w:sz w:val="24"/>
          <w:szCs w:val="24"/>
        </w:rPr>
        <w:t xml:space="preserve">The government should take measures to ensure that law and policy processes are transparent and participatory, and involve affected people, social movements, local communities, independent institutions and experts, and civil society organizations. </w:t>
      </w:r>
    </w:p>
    <w:p w:rsidR="005F2CC5" w:rsidRPr="00C50129" w:rsidRDefault="005F2CC5" w:rsidP="005F2CC5">
      <w:pPr>
        <w:pStyle w:val="ListParagraph"/>
        <w:numPr>
          <w:ilvl w:val="0"/>
          <w:numId w:val="1"/>
        </w:numPr>
        <w:spacing w:after="0" w:line="240" w:lineRule="auto"/>
        <w:jc w:val="both"/>
        <w:rPr>
          <w:rFonts w:ascii="Times New Roman" w:hAnsi="Times New Roman" w:cs="Times New Roman"/>
          <w:sz w:val="24"/>
          <w:szCs w:val="24"/>
        </w:rPr>
      </w:pPr>
      <w:r w:rsidRPr="00C50129">
        <w:rPr>
          <w:rFonts w:ascii="Times New Roman" w:hAnsi="Times New Roman" w:cs="Times New Roman"/>
          <w:sz w:val="24"/>
          <w:szCs w:val="24"/>
        </w:rPr>
        <w:t xml:space="preserve">The </w:t>
      </w:r>
      <w:r w:rsidR="00C50129" w:rsidRPr="00C50129">
        <w:rPr>
          <w:rFonts w:ascii="Times New Roman" w:hAnsi="Times New Roman" w:cs="Times New Roman"/>
          <w:sz w:val="24"/>
          <w:szCs w:val="24"/>
        </w:rPr>
        <w:t xml:space="preserve">state and central </w:t>
      </w:r>
      <w:r w:rsidRPr="00C50129">
        <w:rPr>
          <w:rFonts w:ascii="Times New Roman" w:hAnsi="Times New Roman" w:cs="Times New Roman"/>
          <w:sz w:val="24"/>
          <w:szCs w:val="24"/>
        </w:rPr>
        <w:t>government should work towards providing free legal aid, including for women, to ensure that those whose rights to adequate housing and land are violated, have adequate and timely access to remedy.</w:t>
      </w:r>
    </w:p>
    <w:p w:rsidR="005F2CC5" w:rsidRPr="00C50129" w:rsidRDefault="005F2CC5" w:rsidP="005F2CC5">
      <w:pPr>
        <w:pStyle w:val="ListParagraph"/>
        <w:numPr>
          <w:ilvl w:val="0"/>
          <w:numId w:val="1"/>
        </w:numPr>
        <w:spacing w:after="0" w:line="240" w:lineRule="auto"/>
        <w:jc w:val="both"/>
        <w:rPr>
          <w:rFonts w:ascii="Times New Roman" w:hAnsi="Times New Roman" w:cs="Times New Roman"/>
          <w:sz w:val="24"/>
          <w:szCs w:val="24"/>
        </w:rPr>
      </w:pPr>
      <w:r w:rsidRPr="00C50129">
        <w:rPr>
          <w:rFonts w:ascii="Times New Roman" w:hAnsi="Times New Roman" w:cs="Times New Roman"/>
          <w:sz w:val="24"/>
          <w:szCs w:val="24"/>
        </w:rPr>
        <w:t>The state and central government should invest resources and time in promoting legal awareness on positive provisions in law</w:t>
      </w:r>
      <w:r w:rsidR="00C50129" w:rsidRPr="00C50129">
        <w:rPr>
          <w:rFonts w:ascii="Times New Roman" w:hAnsi="Times New Roman" w:cs="Times New Roman"/>
          <w:sz w:val="24"/>
          <w:szCs w:val="24"/>
        </w:rPr>
        <w:t>s</w:t>
      </w:r>
      <w:r w:rsidRPr="00C50129">
        <w:rPr>
          <w:rFonts w:ascii="Times New Roman" w:hAnsi="Times New Roman" w:cs="Times New Roman"/>
          <w:sz w:val="24"/>
          <w:szCs w:val="24"/>
        </w:rPr>
        <w:t>, including national and constitutional law as well as international law, with the aim of promoting their implementation. This should include training for judges, lawyers, police officials, and</w:t>
      </w:r>
      <w:r w:rsidR="00C50129" w:rsidRPr="00C50129">
        <w:rPr>
          <w:rFonts w:ascii="Times New Roman" w:hAnsi="Times New Roman" w:cs="Times New Roman"/>
          <w:sz w:val="24"/>
          <w:szCs w:val="24"/>
        </w:rPr>
        <w:t xml:space="preserve"> all other government employees </w:t>
      </w:r>
      <w:r w:rsidRPr="00C50129">
        <w:rPr>
          <w:rFonts w:ascii="Times New Roman" w:hAnsi="Times New Roman" w:cs="Times New Roman"/>
          <w:sz w:val="24"/>
          <w:szCs w:val="24"/>
        </w:rPr>
        <w:t>responsible for law enforc</w:t>
      </w:r>
      <w:r w:rsidR="00C50129" w:rsidRPr="00C50129">
        <w:rPr>
          <w:rFonts w:ascii="Times New Roman" w:hAnsi="Times New Roman" w:cs="Times New Roman"/>
          <w:sz w:val="24"/>
          <w:szCs w:val="24"/>
        </w:rPr>
        <w:t xml:space="preserve">ement </w:t>
      </w:r>
      <w:r w:rsidRPr="00C50129">
        <w:rPr>
          <w:rFonts w:ascii="Times New Roman" w:hAnsi="Times New Roman" w:cs="Times New Roman"/>
          <w:sz w:val="24"/>
          <w:szCs w:val="24"/>
        </w:rPr>
        <w:t>and policy development and implementation.</w:t>
      </w:r>
    </w:p>
    <w:p w:rsidR="005F2CC5" w:rsidRPr="00C50129" w:rsidRDefault="005F2CC5" w:rsidP="005F2CC5">
      <w:pPr>
        <w:pStyle w:val="ListParagraph"/>
        <w:numPr>
          <w:ilvl w:val="0"/>
          <w:numId w:val="1"/>
        </w:numPr>
        <w:spacing w:after="0" w:line="240" w:lineRule="auto"/>
        <w:jc w:val="both"/>
        <w:rPr>
          <w:rFonts w:ascii="Times New Roman" w:hAnsi="Times New Roman" w:cs="Times New Roman"/>
          <w:sz w:val="24"/>
          <w:szCs w:val="24"/>
        </w:rPr>
      </w:pPr>
      <w:r w:rsidRPr="00C50129">
        <w:rPr>
          <w:rFonts w:ascii="Times New Roman" w:hAnsi="Times New Roman" w:cs="Times New Roman"/>
          <w:sz w:val="24"/>
          <w:szCs w:val="24"/>
        </w:rPr>
        <w:lastRenderedPageBreak/>
        <w:t>The government should recognize and protect women’s equal rights to adequate housing, land, property, and inheritance. It should take steps to promote awareness on, and ensure adequate implementation of, the Protection of Women from Domestic Violence Act 2005 and the Hindu Succession (Amendment) Act 2005. It should also ensure the adequate participation of women in all law and policy-making processes, including those related to housing and land.</w:t>
      </w:r>
    </w:p>
    <w:p w:rsidR="005F2CC5" w:rsidRPr="00C50129" w:rsidRDefault="005F2CC5" w:rsidP="005F2CC5">
      <w:pPr>
        <w:pStyle w:val="ListParagraph"/>
        <w:numPr>
          <w:ilvl w:val="0"/>
          <w:numId w:val="1"/>
        </w:numPr>
        <w:spacing w:after="0" w:line="240" w:lineRule="auto"/>
        <w:jc w:val="both"/>
        <w:rPr>
          <w:rFonts w:ascii="Times New Roman" w:hAnsi="Times New Roman" w:cs="Times New Roman"/>
          <w:sz w:val="24"/>
          <w:szCs w:val="24"/>
        </w:rPr>
      </w:pPr>
      <w:r w:rsidRPr="00C50129">
        <w:rPr>
          <w:rFonts w:ascii="Times New Roman" w:hAnsi="Times New Roman" w:cs="Times New Roman"/>
          <w:sz w:val="24"/>
          <w:szCs w:val="24"/>
        </w:rPr>
        <w:t>All violations of the right to life and the right to adequate housing, including acts of forced eviction, land grabbing, and other violations of housing and land rights, should be investigated. Officials responsible for violating human rights and breaching local, national, and international law must be tried and prosecuted according to the law.</w:t>
      </w:r>
    </w:p>
    <w:p w:rsidR="005F2CC5" w:rsidRPr="00C50129" w:rsidRDefault="005F2CC5" w:rsidP="005F2CC5">
      <w:pPr>
        <w:pStyle w:val="ListParagraph"/>
        <w:numPr>
          <w:ilvl w:val="0"/>
          <w:numId w:val="1"/>
        </w:numPr>
        <w:spacing w:after="0" w:line="240" w:lineRule="auto"/>
        <w:jc w:val="both"/>
        <w:rPr>
          <w:rFonts w:ascii="Times New Roman" w:hAnsi="Times New Roman" w:cs="Times New Roman"/>
          <w:sz w:val="24"/>
          <w:szCs w:val="24"/>
        </w:rPr>
      </w:pPr>
      <w:r w:rsidRPr="00C50129">
        <w:rPr>
          <w:rFonts w:ascii="Times New Roman" w:hAnsi="Times New Roman" w:cs="Times New Roman"/>
          <w:sz w:val="24"/>
          <w:szCs w:val="24"/>
        </w:rPr>
        <w:t>Measures should be promoted so that state and national human rights institutions work effectively to prevent housing and land rights violations, and provide adequate reparation and restitution to affected individuals, groups, and communities.</w:t>
      </w:r>
    </w:p>
    <w:p w:rsidR="00617533" w:rsidRPr="00C50129" w:rsidRDefault="005F2CC5" w:rsidP="00014512">
      <w:pPr>
        <w:pStyle w:val="ListParagraph"/>
        <w:numPr>
          <w:ilvl w:val="0"/>
          <w:numId w:val="1"/>
        </w:numPr>
        <w:spacing w:after="0" w:line="240" w:lineRule="auto"/>
        <w:jc w:val="both"/>
        <w:rPr>
          <w:rFonts w:ascii="Times New Roman" w:hAnsi="Times New Roman" w:cs="Times New Roman"/>
          <w:sz w:val="24"/>
          <w:szCs w:val="24"/>
        </w:rPr>
      </w:pPr>
      <w:r w:rsidRPr="00C50129">
        <w:rPr>
          <w:rFonts w:ascii="Times New Roman" w:hAnsi="Times New Roman" w:cs="Times New Roman"/>
          <w:sz w:val="24"/>
          <w:szCs w:val="24"/>
        </w:rPr>
        <w:t>The government should implement recommendations of UN Special Procedures, treaty bodies, and the Universal Periodic Review in a timely manner, and ensure that international reporting timelines and schedules are adhered to and that all reports are prepared with the active participation of civil society.</w:t>
      </w:r>
    </w:p>
    <w:sectPr w:rsidR="00617533" w:rsidRPr="00C50129" w:rsidSect="0067384D">
      <w:headerReference w:type="default" r:id="rId10"/>
      <w:footerReference w:type="default" r:id="rId11"/>
      <w:pgSz w:w="11909" w:h="16834" w:code="9"/>
      <w:pgMar w:top="1134" w:right="1361" w:bottom="1134" w:left="136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FEF" w:rsidRDefault="00112FEF" w:rsidP="005F2CC5">
      <w:pPr>
        <w:spacing w:after="0" w:line="240" w:lineRule="auto"/>
      </w:pPr>
      <w:r>
        <w:separator/>
      </w:r>
    </w:p>
  </w:endnote>
  <w:endnote w:type="continuationSeparator" w:id="0">
    <w:p w:rsidR="00112FEF" w:rsidRDefault="00112FEF" w:rsidP="005F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644889"/>
      <w:docPartObj>
        <w:docPartGallery w:val="Page Numbers (Bottom of Page)"/>
        <w:docPartUnique/>
      </w:docPartObj>
    </w:sdtPr>
    <w:sdtEndPr/>
    <w:sdtContent>
      <w:p w:rsidR="00E03256" w:rsidRDefault="002035B2">
        <w:pPr>
          <w:pStyle w:val="Footer"/>
        </w:pPr>
        <w:r>
          <w:rPr>
            <w:rFonts w:ascii="Times New Roman" w:hAnsi="Times New Roman" w:cs="Times New Roman"/>
            <w:i/>
            <w:noProof/>
            <w:color w:val="808080" w:themeColor="background1" w:themeShade="80"/>
            <w:spacing w:val="60"/>
            <w:lang w:val="en-GB" w:eastAsia="en-GB"/>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543165" cy="190500"/>
                  <wp:effectExtent l="0" t="0" r="19685"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56" w:rsidRDefault="00E03256">
                                <w:pPr>
                                  <w:jc w:val="center"/>
                                </w:pPr>
                                <w:r>
                                  <w:fldChar w:fldCharType="begin"/>
                                </w:r>
                                <w:r>
                                  <w:instrText xml:space="preserve"> PAGE    \* MERGEFORMAT </w:instrText>
                                </w:r>
                                <w:r>
                                  <w:fldChar w:fldCharType="separate"/>
                                </w:r>
                                <w:r w:rsidR="002035B2" w:rsidRPr="002035B2">
                                  <w:rPr>
                                    <w:noProof/>
                                    <w:color w:val="8C8C8C" w:themeColor="background1" w:themeShade="8C"/>
                                  </w:rPr>
                                  <w:t>10</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3" o:spid="_x0000_s1026" style="position:absolute;margin-left:0;margin-top:0;width:593.9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kgNQQAAPsNAAAOAAAAZHJzL2Uyb0RvYy54bWzsV9uOpDYQfY+Uf7D83tNAAw1omNVMXyaR&#10;JslKO8m7G8wlAZvYzNCTKP+e8gX6tpusdnaTPKRbQgbbRdWpU6fw9Zt926BnKmTNWYrdKwcjyjKe&#10;16xM8Y+P21mEkewJy0nDGU3xC5X4zc3XX10PXUI9XvEmpwKBESaToUtx1fddMp/LrKItkVe8owwm&#10;Cy5a0sOtKOe5IANYb5u55zjhfOAi7wTPqJTwdG0m8Y22XxQ0638oCkl71KQYfOv1VejrTl3nN9ck&#10;KQXpqjqzbpBP8KIlNYOXTqbWpCfoSdQXpto6E1zyor/KeDvnRVFnVMcA0bjOWTT3gj91OpYyGcpu&#10;ggmgPcPpk81m3z+/FajOUxz6HkaMtJAk/V60WCh0hq5MYNG96N51b4UJEYYPPPtFwvT8fF7dl2Yx&#10;2g3f8Rzskaeea3T2hWiVCYgb7XUSXqYk0H2PMni4DPyFGwYYZTDnxk7g2CxlFaTysM314+U0s7Gb&#10;Xc8L7NaF2TcniXmr9tR6psICvskDpPJ1kL6rSEd1pqRCa4J0MUL6qMK743vkBQZVvU5Bivo9PIdQ&#10;NULSIIsYX1WElfRWCD5UlOTgoKt2QhjTVhOGVEb+DmrXiRxwRkHqx5FneD9CHgaxgduLIv2OETOS&#10;dEL295S3SA1SLKCgtJ/k+UH2yp3DEpVYxrd108BzkoBxWGJHphZ+j514E20if+Z74WbmO+v17Ha7&#10;8mfh1l0G68V6tVq7fyj7rp9UdZ5TpsyNden6H5ckqxCmoqbKlLypc2VOuSRFuVs1Aj0T0IWt/tnA&#10;j5bNT93QwUJUZyG5nu/cefFsG0bLmb/1gxnwMpo5bnwXh44f++vtaUgPNaOvDwkNKY4DYJMO54Ox&#10;Ofp3GRtJ2roH5W3qNsXRtIgkimsblusU9qRuzPgICuX+AQrI/5hozUxFRkPLfr/bgxVF1x3PX4Cj&#10;ggODQIShXcCg4uI3jAaQ3hTLX5+IoBg13zLgudLpcSDGwW4cEJbB1hT3GJnhqjd6/tSJuqzAsqkk&#10;xm9Bdopas/Tgha0gqH3lm9UqMzwuXH8sXKuFuvbOtU7J/au0EBVN3X0zenyiikfyNpbpkbh5i0n6&#10;rCiqRmuqe6lrmCRZtblURbvx31VFUGjTaFSGtHQib6k4arVtxUynyfbMdppJD/Xqx5cOusqJHJot&#10;av+H5VCj/dMZ2pe4HeAOgYmqC52DdtA8K4s7yvoVZwzUkYvFQSBVbZa5DZbkP7sYFW0DHxigOwga&#10;29SitJz+lZo27CML/jZQ/89Q8EnDrNL9p2R86jBHkmRU3UjRKE3a6TNJMjoEPNPPrQT8I98B4XsY&#10;r8v0CzNeS67q/ZprKp9WZFwvgM+9U8GYiO/Esf2I+jLMj8OlESlI2f/MvzwPvP8D5jMzH2pg6n56&#10;DCcMXTz2NKSOMMf3umoOZ7abPwEAAP//AwBQSwMEFAAGAAgAAAAhAIe8eGHdAAAABQEAAA8AAABk&#10;cnMvZG93bnJldi54bWxMj8FOwzAQRO9I/QdrK3GjdgtqS4hTAYIbVUVJgaMbL3FEvA62m4a/x+UC&#10;l5VGM5p5m68G27IefWgcSZhOBDCkyumGagnly+PFEliIirRqHaGEbwywKkZnucq0O9Iz9ttYs1RC&#10;IVMSTIxdxnmoDFoVJq5DSt6H81bFJH3NtVfHVG5bPhNizq1qKC0Y1eG9wepze7ASZovdVXh47zZ3&#10;693Xa//0Vhpfl1Kej4fbG2ARh/gXhhN+QociMe3dgXRgrYT0SPy9J2+6XFwD20u4FAJ4kfP/9MUP&#10;AAAA//8DAFBLAQItABQABgAIAAAAIQC2gziS/gAAAOEBAAATAAAAAAAAAAAAAAAAAAAAAABbQ29u&#10;dGVudF9UeXBlc10ueG1sUEsBAi0AFAAGAAgAAAAhADj9If/WAAAAlAEAAAsAAAAAAAAAAAAAAAAA&#10;LwEAAF9yZWxzLy5yZWxzUEsBAi0AFAAGAAgAAAAhANppiSA1BAAA+w0AAA4AAAAAAAAAAAAAAAAA&#10;LgIAAGRycy9lMm9Eb2MueG1sUEsBAi0AFAAGAAgAAAAhAIe8eGHdAAAABQEAAA8AAAAAAAAAAAAA&#10;AAAAjwYAAGRycy9kb3ducmV2LnhtbFBLBQYAAAAABAAEAPMAAACZ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E03256" w:rsidRDefault="00E03256">
                          <w:pPr>
                            <w:jc w:val="center"/>
                          </w:pPr>
                          <w:r>
                            <w:fldChar w:fldCharType="begin"/>
                          </w:r>
                          <w:r>
                            <w:instrText xml:space="preserve"> PAGE    \* MERGEFORMAT </w:instrText>
                          </w:r>
                          <w:r>
                            <w:fldChar w:fldCharType="separate"/>
                          </w:r>
                          <w:r w:rsidR="002035B2" w:rsidRPr="002035B2">
                            <w:rPr>
                              <w:noProof/>
                              <w:color w:val="8C8C8C" w:themeColor="background1" w:themeShade="8C"/>
                            </w:rPr>
                            <w:t>10</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FEF" w:rsidRDefault="00112FEF" w:rsidP="005F2CC5">
      <w:pPr>
        <w:spacing w:after="0" w:line="240" w:lineRule="auto"/>
      </w:pPr>
      <w:r>
        <w:separator/>
      </w:r>
    </w:p>
  </w:footnote>
  <w:footnote w:type="continuationSeparator" w:id="0">
    <w:p w:rsidR="00112FEF" w:rsidRDefault="00112FEF" w:rsidP="005F2CC5">
      <w:pPr>
        <w:spacing w:after="0" w:line="240" w:lineRule="auto"/>
      </w:pPr>
      <w:r>
        <w:continuationSeparator/>
      </w:r>
    </w:p>
  </w:footnote>
  <w:footnote w:id="1">
    <w:p w:rsidR="00E03256" w:rsidRDefault="00E03256" w:rsidP="005F2CC5">
      <w:pPr>
        <w:pStyle w:val="FootnoteText"/>
      </w:pPr>
      <w:r>
        <w:rPr>
          <w:rStyle w:val="FootnoteReference"/>
        </w:rPr>
        <w:footnoteRef/>
      </w:r>
      <w:r>
        <w:t xml:space="preserve"> Housing and Land Rights Network, India, is a human rights organization based in New Delhi, India. It works on the promotion, protection, and realization of the human rights to adequate housing and land, especially for the most marginalized. More information can be obtained at: </w:t>
      </w:r>
      <w:hyperlink r:id="rId1" w:history="1">
        <w:r w:rsidRPr="00E85C06">
          <w:rPr>
            <w:rStyle w:val="Hyperlink"/>
          </w:rPr>
          <w:t>www.hlrn.org.in</w:t>
        </w:r>
      </w:hyperlink>
      <w:r>
        <w:t xml:space="preserve">  or by writing to: </w:t>
      </w:r>
      <w:hyperlink r:id="rId2" w:history="1">
        <w:r w:rsidRPr="00E85C06">
          <w:rPr>
            <w:rStyle w:val="Hyperlink"/>
          </w:rPr>
          <w:t>contact@hlrn.org.in</w:t>
        </w:r>
      </w:hyperlink>
      <w:r>
        <w:t xml:space="preserve"> </w:t>
      </w:r>
    </w:p>
  </w:footnote>
  <w:footnote w:id="2">
    <w:p w:rsidR="00E03256" w:rsidRDefault="00E03256">
      <w:pPr>
        <w:pStyle w:val="FootnoteText"/>
      </w:pPr>
      <w:r>
        <w:rPr>
          <w:rStyle w:val="FootnoteReference"/>
        </w:rPr>
        <w:footnoteRef/>
      </w:r>
      <w:r>
        <w:t xml:space="preserve"> </w:t>
      </w:r>
      <w:hyperlink r:id="rId3" w:history="1">
        <w:r w:rsidRPr="00E25D6F">
          <w:rPr>
            <w:rStyle w:val="Hyperlink"/>
          </w:rPr>
          <w:t>http://zipnet.in/</w:t>
        </w:r>
      </w:hyperlink>
      <w:r>
        <w:t xml:space="preserve"> </w:t>
      </w:r>
    </w:p>
  </w:footnote>
  <w:footnote w:id="3">
    <w:p w:rsidR="00E03256" w:rsidRDefault="00E03256" w:rsidP="0039794E">
      <w:pPr>
        <w:pStyle w:val="FootnoteText"/>
      </w:pPr>
      <w:r>
        <w:rPr>
          <w:rStyle w:val="FootnoteReference"/>
        </w:rPr>
        <w:footnoteRef/>
      </w:r>
      <w:r>
        <w:t xml:space="preserve"> </w:t>
      </w:r>
      <w:r w:rsidRPr="0020290D">
        <w:rPr>
          <w:i/>
        </w:rPr>
        <w:t>Public Hearing on Slum Evictions in Karnataka: Examining Citizenship, Urban Deprivation and Future Policy Direction</w:t>
      </w:r>
      <w:r>
        <w:t>. Bengaluru: Karnataka Slum Janara Sanghatanegala Okkoota, January 2016.</w:t>
      </w:r>
    </w:p>
  </w:footnote>
  <w:footnote w:id="4">
    <w:p w:rsidR="00E03256" w:rsidRDefault="00E03256">
      <w:pPr>
        <w:pStyle w:val="FootnoteText"/>
      </w:pPr>
      <w:r>
        <w:rPr>
          <w:rStyle w:val="FootnoteReference"/>
        </w:rPr>
        <w:footnoteRef/>
      </w:r>
      <w:r>
        <w:t xml:space="preserve"> Ibid.</w:t>
      </w:r>
    </w:p>
  </w:footnote>
  <w:footnote w:id="5">
    <w:p w:rsidR="00E03256" w:rsidRDefault="00E03256">
      <w:pPr>
        <w:pStyle w:val="FootnoteText"/>
      </w:pPr>
      <w:r>
        <w:rPr>
          <w:rStyle w:val="FootnoteReference"/>
        </w:rPr>
        <w:footnoteRef/>
      </w:r>
      <w:r>
        <w:t xml:space="preserve"> Ibid.</w:t>
      </w:r>
    </w:p>
  </w:footnote>
  <w:footnote w:id="6">
    <w:p w:rsidR="00E03256" w:rsidRDefault="00E03256">
      <w:pPr>
        <w:pStyle w:val="FootnoteText"/>
      </w:pPr>
      <w:r>
        <w:rPr>
          <w:rStyle w:val="FootnoteReference"/>
        </w:rPr>
        <w:footnoteRef/>
      </w:r>
      <w:r>
        <w:t xml:space="preserve"> </w:t>
      </w:r>
      <w:r w:rsidRPr="0020290D">
        <w:rPr>
          <w:i/>
        </w:rPr>
        <w:t>From Deprivation to Destitution: The Impact of Forced Eviction in Topsia</w:t>
      </w:r>
      <w:r>
        <w:t xml:space="preserve">. New Delhi: </w:t>
      </w:r>
      <w:r w:rsidRPr="002E21C2">
        <w:t>Apne Aap Women Worldwide</w:t>
      </w:r>
      <w:r>
        <w:t>,</w:t>
      </w:r>
      <w:r w:rsidRPr="002E21C2">
        <w:t xml:space="preserve"> and Housing and Land Rights Network</w:t>
      </w:r>
      <w:r>
        <w:t>, 2015.</w:t>
      </w:r>
    </w:p>
  </w:footnote>
  <w:footnote w:id="7">
    <w:p w:rsidR="00E03256" w:rsidRDefault="00E03256">
      <w:pPr>
        <w:pStyle w:val="FootnoteText"/>
      </w:pPr>
      <w:r>
        <w:rPr>
          <w:rStyle w:val="FootnoteReference"/>
        </w:rPr>
        <w:footnoteRef/>
      </w:r>
      <w:r>
        <w:t xml:space="preserve"> Ibid.</w:t>
      </w:r>
    </w:p>
  </w:footnote>
  <w:footnote w:id="8">
    <w:p w:rsidR="00E03256" w:rsidRDefault="00E03256">
      <w:pPr>
        <w:pStyle w:val="FootnoteText"/>
      </w:pPr>
      <w:r>
        <w:rPr>
          <w:rStyle w:val="FootnoteReference"/>
        </w:rPr>
        <w:footnoteRef/>
      </w:r>
      <w:r>
        <w:t xml:space="preserve"> </w:t>
      </w:r>
      <w:r w:rsidRPr="0020290D">
        <w:rPr>
          <w:i/>
        </w:rPr>
        <w:t>The Cruel Side of Delhi's Beautification: Illegal Demolition in Baljeet Nagar</w:t>
      </w:r>
      <w:r>
        <w:t xml:space="preserve">. New Delhi: June 2011. Available at: </w:t>
      </w:r>
      <w:hyperlink r:id="rId4" w:history="1">
        <w:r w:rsidRPr="00E25D6F">
          <w:rPr>
            <w:rStyle w:val="Hyperlink"/>
          </w:rPr>
          <w:t>http://hlrn.org.in/documents/Baljeet_Nagar_Public_Hearing.pdf</w:t>
        </w:r>
      </w:hyperlink>
      <w:r>
        <w:t xml:space="preserve"> </w:t>
      </w:r>
    </w:p>
  </w:footnote>
  <w:footnote w:id="9">
    <w:p w:rsidR="00E03256" w:rsidRDefault="00E03256">
      <w:pPr>
        <w:pStyle w:val="FootnoteText"/>
      </w:pPr>
      <w:r>
        <w:rPr>
          <w:rStyle w:val="FootnoteReference"/>
        </w:rPr>
        <w:footnoteRef/>
      </w:r>
      <w:r>
        <w:t xml:space="preserve"> </w:t>
      </w:r>
      <w:r w:rsidRPr="006676C6">
        <w:rPr>
          <w:i/>
        </w:rPr>
        <w:t>Planned Dispossession: Forced Evictions and the 2010 Commonwealth Games</w:t>
      </w:r>
      <w:r w:rsidRPr="00DC0699">
        <w:t xml:space="preserve">. </w:t>
      </w:r>
      <w:r>
        <w:t xml:space="preserve">New Delhi: </w:t>
      </w:r>
      <w:r w:rsidRPr="00DC0699">
        <w:t xml:space="preserve">Housing and Land Rights Network, February 2011. Available at: </w:t>
      </w:r>
      <w:hyperlink r:id="rId5" w:history="1">
        <w:r w:rsidRPr="00E25D6F">
          <w:rPr>
            <w:rStyle w:val="Hyperlink"/>
          </w:rPr>
          <w:t>http://hlrn.org.in/documents/Planned_Dispossession.pdf</w:t>
        </w:r>
      </w:hyperlink>
      <w:r>
        <w:t xml:space="preserve"> </w:t>
      </w:r>
    </w:p>
  </w:footnote>
  <w:footnote w:id="10">
    <w:p w:rsidR="00E03256" w:rsidRDefault="00E03256">
      <w:pPr>
        <w:pStyle w:val="FootnoteText"/>
      </w:pPr>
      <w:r>
        <w:rPr>
          <w:rStyle w:val="FootnoteReference"/>
        </w:rPr>
        <w:footnoteRef/>
      </w:r>
      <w:r>
        <w:t xml:space="preserve"> Ibid.</w:t>
      </w:r>
    </w:p>
  </w:footnote>
  <w:footnote w:id="11">
    <w:p w:rsidR="00E03256" w:rsidRDefault="00E03256">
      <w:pPr>
        <w:pStyle w:val="FootnoteText"/>
      </w:pPr>
      <w:r>
        <w:rPr>
          <w:rStyle w:val="FootnoteReference"/>
        </w:rPr>
        <w:footnoteRef/>
      </w:r>
      <w:r>
        <w:t xml:space="preserve"> Ibid. </w:t>
      </w:r>
    </w:p>
  </w:footnote>
  <w:footnote w:id="12">
    <w:p w:rsidR="00E03256" w:rsidRDefault="00E03256">
      <w:pPr>
        <w:pStyle w:val="FootnoteText"/>
      </w:pPr>
      <w:r>
        <w:rPr>
          <w:rStyle w:val="FootnoteReference"/>
        </w:rPr>
        <w:footnoteRef/>
      </w:r>
      <w:r>
        <w:t xml:space="preserve"> Ibid.</w:t>
      </w:r>
    </w:p>
  </w:footnote>
  <w:footnote w:id="13">
    <w:p w:rsidR="00E03256" w:rsidRDefault="00E03256">
      <w:pPr>
        <w:pStyle w:val="FootnoteText"/>
      </w:pPr>
      <w:r>
        <w:rPr>
          <w:rStyle w:val="FootnoteReference"/>
        </w:rPr>
        <w:footnoteRef/>
      </w:r>
      <w:r>
        <w:t xml:space="preserve"> Ibid.</w:t>
      </w:r>
    </w:p>
  </w:footnote>
  <w:footnote w:id="14">
    <w:p w:rsidR="00E03256" w:rsidRDefault="00E03256">
      <w:pPr>
        <w:pStyle w:val="FootnoteText"/>
      </w:pPr>
      <w:r>
        <w:rPr>
          <w:rStyle w:val="FootnoteReference"/>
        </w:rPr>
        <w:footnoteRef/>
      </w:r>
      <w:r>
        <w:t xml:space="preserve"> Ibid.</w:t>
      </w:r>
    </w:p>
  </w:footnote>
  <w:footnote w:id="15">
    <w:p w:rsidR="00E03256" w:rsidRDefault="00E03256">
      <w:pPr>
        <w:pStyle w:val="FootnoteText"/>
      </w:pPr>
      <w:r>
        <w:rPr>
          <w:rStyle w:val="FootnoteReference"/>
        </w:rPr>
        <w:footnoteRef/>
      </w:r>
      <w:r>
        <w:t xml:space="preserve"> Ibid.</w:t>
      </w:r>
    </w:p>
  </w:footnote>
  <w:footnote w:id="16">
    <w:p w:rsidR="00E03256" w:rsidRDefault="00E03256">
      <w:pPr>
        <w:pStyle w:val="FootnoteText"/>
      </w:pPr>
      <w:r>
        <w:rPr>
          <w:rStyle w:val="FootnoteReference"/>
        </w:rPr>
        <w:footnoteRef/>
      </w:r>
      <w:r>
        <w:t xml:space="preserve"> Ibid.</w:t>
      </w:r>
    </w:p>
  </w:footnote>
  <w:footnote w:id="17">
    <w:p w:rsidR="00E03256" w:rsidRDefault="00E03256">
      <w:pPr>
        <w:pStyle w:val="FootnoteText"/>
      </w:pPr>
      <w:r>
        <w:rPr>
          <w:rStyle w:val="FootnoteReference"/>
        </w:rPr>
        <w:footnoteRef/>
      </w:r>
      <w:r>
        <w:t xml:space="preserve"> Ibid.</w:t>
      </w:r>
    </w:p>
  </w:footnote>
  <w:footnote w:id="18">
    <w:p w:rsidR="00E03256" w:rsidRDefault="00E03256">
      <w:pPr>
        <w:pStyle w:val="FootnoteText"/>
      </w:pPr>
      <w:r>
        <w:rPr>
          <w:rStyle w:val="FootnoteReference"/>
        </w:rPr>
        <w:footnoteRef/>
      </w:r>
      <w:r>
        <w:t xml:space="preserve"> Ibid.</w:t>
      </w:r>
    </w:p>
  </w:footnote>
  <w:footnote w:id="19">
    <w:p w:rsidR="00E03256" w:rsidRDefault="00E03256" w:rsidP="004965DB">
      <w:pPr>
        <w:pStyle w:val="FootnoteText"/>
      </w:pPr>
      <w:r>
        <w:rPr>
          <w:rStyle w:val="FootnoteReference"/>
        </w:rPr>
        <w:footnoteRef/>
      </w:r>
      <w:r>
        <w:t xml:space="preserve"> Ibid.</w:t>
      </w:r>
    </w:p>
  </w:footnote>
  <w:footnote w:id="20">
    <w:p w:rsidR="00E03256" w:rsidRDefault="00E03256">
      <w:pPr>
        <w:pStyle w:val="FootnoteText"/>
      </w:pPr>
      <w:r>
        <w:rPr>
          <w:rStyle w:val="FootnoteReference"/>
        </w:rPr>
        <w:footnoteRef/>
      </w:r>
      <w:r>
        <w:t xml:space="preserve"> </w:t>
      </w:r>
      <w:r w:rsidRPr="008B15D1">
        <w:rPr>
          <w:i/>
        </w:rPr>
        <w:t>Public Hearing on Slum Evictions in Karnataka: Examining Citizenship, Urban Deprivation and Future Policy Direction</w:t>
      </w:r>
      <w:r>
        <w:t>. Bengaluru: Karnataka Slum Janara Sanghatanegala Okkoota, January 2016.</w:t>
      </w:r>
    </w:p>
  </w:footnote>
  <w:footnote w:id="21">
    <w:p w:rsidR="00E03256" w:rsidRDefault="00E03256">
      <w:pPr>
        <w:pStyle w:val="FootnoteText"/>
      </w:pPr>
      <w:r>
        <w:rPr>
          <w:rStyle w:val="FootnoteReference"/>
        </w:rPr>
        <w:footnoteRef/>
      </w:r>
      <w:r>
        <w:t xml:space="preserve"> Ibid.</w:t>
      </w:r>
    </w:p>
  </w:footnote>
  <w:footnote w:id="22">
    <w:p w:rsidR="00E03256" w:rsidRDefault="00E03256" w:rsidP="005F2CC5">
      <w:pPr>
        <w:pStyle w:val="FootnoteText"/>
      </w:pPr>
      <w:r>
        <w:rPr>
          <w:rStyle w:val="FootnoteReference"/>
        </w:rPr>
        <w:footnoteRef/>
      </w:r>
      <w:r>
        <w:t xml:space="preserve"> </w:t>
      </w:r>
      <w:r w:rsidRPr="008B15D1">
        <w:rPr>
          <w:i/>
        </w:rPr>
        <w:t>Housing and Land Rights in India: Status Report for Habitat III</w:t>
      </w:r>
      <w:r>
        <w:t xml:space="preserve">. New Delhi: Housing and Land Rights Network, January 2016. Available at: </w:t>
      </w:r>
      <w:hyperlink r:id="rId6" w:history="1">
        <w:r w:rsidRPr="00C33B7D">
          <w:rPr>
            <w:rStyle w:val="Hyperlink"/>
          </w:rPr>
          <w:t>http://hlrn.org.in/documents/Housing_and_Land_Rights_in_India_Report_for_Habitat_III.pdf</w:t>
        </w:r>
      </w:hyperlink>
      <w:r>
        <w:t xml:space="preserve">   </w:t>
      </w:r>
    </w:p>
  </w:footnote>
  <w:footnote w:id="23">
    <w:p w:rsidR="00E03256" w:rsidRDefault="00E03256" w:rsidP="005F2CC5">
      <w:pPr>
        <w:pStyle w:val="FootnoteText"/>
      </w:pPr>
      <w:r>
        <w:rPr>
          <w:rStyle w:val="FootnoteReference"/>
        </w:rPr>
        <w:footnoteRef/>
      </w:r>
      <w:r>
        <w:t xml:space="preserve"> Ibid.   </w:t>
      </w:r>
    </w:p>
  </w:footnote>
  <w:footnote w:id="24">
    <w:p w:rsidR="00E03256" w:rsidRDefault="00E03256" w:rsidP="005F2CC5">
      <w:pPr>
        <w:pStyle w:val="FootnoteText"/>
      </w:pPr>
      <w:r>
        <w:rPr>
          <w:rStyle w:val="FootnoteReference"/>
        </w:rPr>
        <w:footnoteRef/>
      </w:r>
      <w:r>
        <w:t xml:space="preserve"> </w:t>
      </w:r>
      <w:r w:rsidRPr="003D4B41">
        <w:t>(1981) 1 SCC 608</w:t>
      </w:r>
      <w:r>
        <w:t>.</w:t>
      </w:r>
    </w:p>
  </w:footnote>
  <w:footnote w:id="25">
    <w:p w:rsidR="00E03256" w:rsidRDefault="00E03256" w:rsidP="005F2CC5">
      <w:pPr>
        <w:pStyle w:val="FootnoteText"/>
      </w:pPr>
      <w:r>
        <w:rPr>
          <w:rStyle w:val="FootnoteReference"/>
        </w:rPr>
        <w:footnoteRef/>
      </w:r>
      <w:r>
        <w:t xml:space="preserve"> </w:t>
      </w:r>
      <w:r w:rsidRPr="00BB2859">
        <w:rPr>
          <w:rFonts w:ascii="Calibri" w:hAnsi="Calibri" w:cs="Arial"/>
        </w:rPr>
        <w:t>(1985) 3 SCC 545</w:t>
      </w:r>
      <w:r>
        <w:rPr>
          <w:rFonts w:ascii="Calibri" w:hAnsi="Calibri" w:cs="Arial"/>
        </w:rPr>
        <w:t>.</w:t>
      </w:r>
    </w:p>
  </w:footnote>
  <w:footnote w:id="26">
    <w:p w:rsidR="00E03256" w:rsidRDefault="00E03256" w:rsidP="005F2CC5">
      <w:pPr>
        <w:pStyle w:val="FootnoteText"/>
      </w:pPr>
      <w:r>
        <w:rPr>
          <w:rStyle w:val="FootnoteReference"/>
        </w:rPr>
        <w:footnoteRef/>
      </w:r>
      <w:r>
        <w:t xml:space="preserve"> </w:t>
      </w:r>
      <w:r w:rsidRPr="00BB2859">
        <w:rPr>
          <w:rFonts w:ascii="Calibri" w:hAnsi="Calibri" w:cs="Arial"/>
        </w:rPr>
        <w:t>(1990) 1 SCC 520.</w:t>
      </w:r>
    </w:p>
  </w:footnote>
  <w:footnote w:id="27">
    <w:p w:rsidR="00E03256" w:rsidRDefault="00E03256" w:rsidP="005F2CC5">
      <w:pPr>
        <w:pStyle w:val="FootnoteText"/>
      </w:pPr>
      <w:r>
        <w:rPr>
          <w:rStyle w:val="FootnoteReference"/>
        </w:rPr>
        <w:footnoteRef/>
      </w:r>
      <w:r>
        <w:t xml:space="preserve"> </w:t>
      </w:r>
      <w:r w:rsidRPr="00BB2859">
        <w:rPr>
          <w:rFonts w:ascii="Calibri" w:hAnsi="Calibri" w:cs="Arial"/>
        </w:rPr>
        <w:t>(1996) 2 SCC 549.</w:t>
      </w:r>
    </w:p>
  </w:footnote>
  <w:footnote w:id="28">
    <w:p w:rsidR="00E03256" w:rsidRPr="00E44C5F" w:rsidRDefault="00E03256" w:rsidP="005F2CC5">
      <w:pPr>
        <w:pStyle w:val="FootnoteText"/>
        <w:rPr>
          <w:rFonts w:cstheme="minorHAnsi"/>
        </w:rPr>
      </w:pPr>
      <w:r w:rsidRPr="00E44C5F">
        <w:rPr>
          <w:rStyle w:val="FootnoteReference"/>
          <w:rFonts w:cstheme="minorHAnsi"/>
        </w:rPr>
        <w:footnoteRef/>
      </w:r>
      <w:r w:rsidRPr="00E44C5F">
        <w:rPr>
          <w:rFonts w:cstheme="minorHAnsi"/>
        </w:rPr>
        <w:t xml:space="preserve"> (1995) 5 SCC 524.</w:t>
      </w:r>
    </w:p>
  </w:footnote>
  <w:footnote w:id="29">
    <w:p w:rsidR="00E03256" w:rsidRPr="00E44C5F" w:rsidRDefault="00E03256" w:rsidP="005F2CC5">
      <w:pPr>
        <w:pStyle w:val="FootnoteText"/>
        <w:rPr>
          <w:rFonts w:cstheme="minorHAnsi"/>
        </w:rPr>
      </w:pPr>
      <w:r w:rsidRPr="00E44C5F">
        <w:rPr>
          <w:rStyle w:val="FootnoteReference"/>
          <w:rFonts w:cstheme="minorHAnsi"/>
        </w:rPr>
        <w:footnoteRef/>
      </w:r>
      <w:r w:rsidRPr="00E44C5F">
        <w:rPr>
          <w:rFonts w:cstheme="minorHAnsi"/>
        </w:rPr>
        <w:t xml:space="preserve"> (1996) AIR 114 1995 SCC.</w:t>
      </w:r>
    </w:p>
  </w:footnote>
  <w:footnote w:id="30">
    <w:p w:rsidR="00E03256" w:rsidRPr="00E44C5F" w:rsidRDefault="00E03256" w:rsidP="005F2CC5">
      <w:pPr>
        <w:pStyle w:val="FootnoteText"/>
        <w:rPr>
          <w:rFonts w:cstheme="minorHAnsi"/>
        </w:rPr>
      </w:pPr>
      <w:r w:rsidRPr="00E44C5F">
        <w:rPr>
          <w:rStyle w:val="FootnoteReference"/>
          <w:rFonts w:cstheme="minorHAnsi"/>
        </w:rPr>
        <w:footnoteRef/>
      </w:r>
      <w:r w:rsidRPr="00E44C5F">
        <w:rPr>
          <w:rFonts w:cstheme="minorHAnsi"/>
        </w:rPr>
        <w:t xml:space="preserve"> </w:t>
      </w:r>
      <w:r w:rsidRPr="00E44C5F">
        <w:rPr>
          <w:rFonts w:cstheme="minorHAnsi"/>
          <w:lang w:val="en-IN"/>
        </w:rPr>
        <w:t>(1997) 11 SCC 121.</w:t>
      </w:r>
    </w:p>
  </w:footnote>
  <w:footnote w:id="31">
    <w:p w:rsidR="00E03256" w:rsidRPr="00E44C5F" w:rsidRDefault="00E03256" w:rsidP="005F2CC5">
      <w:pPr>
        <w:pStyle w:val="FootnoteText"/>
        <w:rPr>
          <w:rFonts w:cstheme="minorHAnsi"/>
        </w:rPr>
      </w:pPr>
      <w:r w:rsidRPr="00E44C5F">
        <w:rPr>
          <w:rStyle w:val="FootnoteReference"/>
          <w:rFonts w:cstheme="minorHAnsi"/>
        </w:rPr>
        <w:footnoteRef/>
      </w:r>
      <w:r w:rsidRPr="00E44C5F">
        <w:rPr>
          <w:rFonts w:cstheme="minorHAnsi"/>
        </w:rPr>
        <w:t xml:space="preserve"> </w:t>
      </w:r>
      <w:r w:rsidRPr="008B1CFC">
        <w:rPr>
          <w:rFonts w:cstheme="minorHAnsi"/>
          <w:i/>
          <w:lang w:val="en-IN"/>
        </w:rPr>
        <w:t>People’s Union for Civil Liberties v. Union of India</w:t>
      </w:r>
      <w:r w:rsidRPr="00E44C5F">
        <w:rPr>
          <w:rFonts w:cstheme="minorHAnsi"/>
          <w:lang w:val="en-IN"/>
        </w:rPr>
        <w:t>, W.P</w:t>
      </w:r>
      <w:r>
        <w:rPr>
          <w:rFonts w:cstheme="minorHAnsi"/>
          <w:lang w:val="en-IN"/>
        </w:rPr>
        <w:t>.</w:t>
      </w:r>
      <w:r w:rsidRPr="00E44C5F">
        <w:rPr>
          <w:rFonts w:cstheme="minorHAnsi"/>
          <w:lang w:val="en-IN"/>
        </w:rPr>
        <w:t xml:space="preserve"> (C) No. 196 of 2001.</w:t>
      </w:r>
    </w:p>
  </w:footnote>
  <w:footnote w:id="32">
    <w:p w:rsidR="00E03256" w:rsidRPr="00E44C5F" w:rsidRDefault="00E03256" w:rsidP="005F2CC5">
      <w:pPr>
        <w:pStyle w:val="FootnoteText"/>
        <w:rPr>
          <w:rFonts w:cstheme="minorHAnsi"/>
        </w:rPr>
      </w:pPr>
      <w:r w:rsidRPr="00E44C5F">
        <w:rPr>
          <w:rStyle w:val="FootnoteReference"/>
          <w:rFonts w:cstheme="minorHAnsi"/>
        </w:rPr>
        <w:footnoteRef/>
      </w:r>
      <w:r w:rsidRPr="00E44C5F">
        <w:rPr>
          <w:rFonts w:cstheme="minorHAnsi"/>
        </w:rPr>
        <w:t xml:space="preserve"> For more information on this case, see: </w:t>
      </w:r>
      <w:hyperlink r:id="rId7" w:history="1">
        <w:r w:rsidRPr="00E44C5F">
          <w:rPr>
            <w:rStyle w:val="Hyperlink"/>
            <w:rFonts w:cstheme="minorHAnsi"/>
          </w:rPr>
          <w:t>http://www.righttofoodindia.org/case/case.html</w:t>
        </w:r>
      </w:hyperlink>
    </w:p>
  </w:footnote>
  <w:footnote w:id="33">
    <w:p w:rsidR="00E03256" w:rsidRPr="00E44C5F" w:rsidRDefault="00E03256" w:rsidP="005F2CC5">
      <w:pPr>
        <w:pStyle w:val="FootnoteText"/>
        <w:rPr>
          <w:rFonts w:cstheme="minorHAnsi"/>
        </w:rPr>
      </w:pPr>
      <w:r w:rsidRPr="00E44C5F">
        <w:rPr>
          <w:rStyle w:val="FootnoteReference"/>
          <w:rFonts w:cstheme="minorHAnsi"/>
        </w:rPr>
        <w:footnoteRef/>
      </w:r>
      <w:r w:rsidRPr="00E44C5F">
        <w:rPr>
          <w:rFonts w:cstheme="minorHAnsi"/>
        </w:rPr>
        <w:t xml:space="preserve"> </w:t>
      </w:r>
      <w:r w:rsidRPr="008B1CFC">
        <w:rPr>
          <w:rFonts w:cstheme="minorHAnsi"/>
          <w:i/>
        </w:rPr>
        <w:t>Sudama Singh and Others v. Government of Delhi and Anr</w:t>
      </w:r>
      <w:r w:rsidRPr="00E44C5F">
        <w:rPr>
          <w:rFonts w:cstheme="minorHAnsi"/>
        </w:rPr>
        <w:t>., W.P. (C) Nos. 8904/2009, 7735/2007,</w:t>
      </w:r>
    </w:p>
    <w:p w:rsidR="00E03256" w:rsidRPr="00E44C5F" w:rsidRDefault="00E03256" w:rsidP="005F2CC5">
      <w:pPr>
        <w:pStyle w:val="FootnoteText"/>
        <w:rPr>
          <w:rFonts w:cstheme="minorHAnsi"/>
        </w:rPr>
      </w:pPr>
      <w:r w:rsidRPr="00E44C5F">
        <w:rPr>
          <w:rFonts w:cstheme="minorHAnsi"/>
        </w:rPr>
        <w:t>7317/2009 and 9246/2009, High Court of Delhi, 11 February 2010.</w:t>
      </w:r>
    </w:p>
  </w:footnote>
  <w:footnote w:id="34">
    <w:p w:rsidR="00E03256" w:rsidRPr="00E44C5F" w:rsidRDefault="00E03256" w:rsidP="005F2CC5">
      <w:pPr>
        <w:pStyle w:val="FootnoteText"/>
        <w:rPr>
          <w:rFonts w:cstheme="minorHAnsi"/>
        </w:rPr>
      </w:pPr>
      <w:r w:rsidRPr="00E44C5F">
        <w:rPr>
          <w:rStyle w:val="FootnoteReference"/>
          <w:rFonts w:cstheme="minorHAnsi"/>
        </w:rPr>
        <w:footnoteRef/>
      </w:r>
      <w:r w:rsidRPr="00E44C5F">
        <w:rPr>
          <w:rFonts w:cstheme="minorHAnsi"/>
        </w:rPr>
        <w:t xml:space="preserve"> </w:t>
      </w:r>
      <w:r w:rsidRPr="008B1CFC">
        <w:rPr>
          <w:rFonts w:cstheme="minorHAnsi"/>
          <w:i/>
        </w:rPr>
        <w:t>P.K. Koul and Ors. v. Estate Offi cer and Anr. and Ors</w:t>
      </w:r>
      <w:r w:rsidRPr="00E44C5F">
        <w:rPr>
          <w:rFonts w:cstheme="minorHAnsi"/>
        </w:rPr>
        <w:t>., W.P. (C) No. 15239/2004 and CM No.</w:t>
      </w:r>
    </w:p>
    <w:p w:rsidR="00E03256" w:rsidRPr="00E44C5F" w:rsidRDefault="00E03256" w:rsidP="005F2CC5">
      <w:pPr>
        <w:pStyle w:val="FootnoteText"/>
        <w:rPr>
          <w:rFonts w:cstheme="minorHAnsi"/>
        </w:rPr>
      </w:pPr>
      <w:r w:rsidRPr="00E44C5F">
        <w:rPr>
          <w:rFonts w:cstheme="minorHAnsi"/>
        </w:rPr>
        <w:t>11011/2004, High Court of Delhi, 30 November 2010.</w:t>
      </w:r>
    </w:p>
  </w:footnote>
  <w:footnote w:id="35">
    <w:p w:rsidR="00E03256" w:rsidRPr="00E44C5F" w:rsidRDefault="00E03256" w:rsidP="005F2CC5">
      <w:pPr>
        <w:pStyle w:val="FootnoteText"/>
        <w:rPr>
          <w:rFonts w:cstheme="minorHAnsi"/>
        </w:rPr>
      </w:pPr>
      <w:r w:rsidRPr="00E44C5F">
        <w:rPr>
          <w:rStyle w:val="FootnoteReference"/>
          <w:rFonts w:cstheme="minorHAnsi"/>
        </w:rPr>
        <w:footnoteRef/>
      </w:r>
      <w:r w:rsidRPr="00E44C5F">
        <w:rPr>
          <w:rFonts w:cstheme="minorHAnsi"/>
        </w:rPr>
        <w:t xml:space="preserve"> 195 (2012) DLT 459.</w:t>
      </w:r>
    </w:p>
  </w:footnote>
  <w:footnote w:id="36">
    <w:p w:rsidR="00E03256" w:rsidRPr="00E44C5F" w:rsidRDefault="00E03256" w:rsidP="005F2CC5">
      <w:pPr>
        <w:pStyle w:val="FootnoteText"/>
        <w:jc w:val="both"/>
        <w:rPr>
          <w:rFonts w:eastAsia="Calibri" w:cstheme="minorHAnsi"/>
        </w:rPr>
      </w:pPr>
      <w:r w:rsidRPr="00E44C5F">
        <w:rPr>
          <w:rStyle w:val="FootnoteReference"/>
          <w:rFonts w:cstheme="minorHAnsi"/>
        </w:rPr>
        <w:footnoteRef/>
      </w:r>
      <w:r w:rsidRPr="00E44C5F">
        <w:rPr>
          <w:rFonts w:cstheme="minorHAnsi"/>
        </w:rPr>
        <w:t xml:space="preserve"> </w:t>
      </w:r>
      <w:r w:rsidRPr="00E44C5F">
        <w:rPr>
          <w:rFonts w:eastAsia="Calibri" w:cstheme="minorHAnsi"/>
        </w:rPr>
        <w:t>2006(1)</w:t>
      </w:r>
      <w:r>
        <w:rPr>
          <w:rFonts w:eastAsia="Calibri" w:cstheme="minorHAnsi"/>
        </w:rPr>
        <w:t xml:space="preserve"> </w:t>
      </w:r>
      <w:r w:rsidRPr="00E44C5F">
        <w:rPr>
          <w:rFonts w:eastAsia="Calibri" w:cstheme="minorHAnsi"/>
        </w:rPr>
        <w:t>Kar</w:t>
      </w:r>
      <w:r>
        <w:rPr>
          <w:rFonts w:eastAsia="Calibri" w:cstheme="minorHAnsi"/>
        </w:rPr>
        <w:t xml:space="preserve"> </w:t>
      </w:r>
      <w:r w:rsidRPr="00E44C5F">
        <w:rPr>
          <w:rFonts w:eastAsia="Calibri" w:cstheme="minorHAnsi"/>
        </w:rPr>
        <w:t>LJ1</w:t>
      </w:r>
      <w:r>
        <w:rPr>
          <w:rFonts w:eastAsia="Calibri" w:cstheme="minorHAnsi"/>
        </w:rPr>
        <w:t>.</w:t>
      </w:r>
    </w:p>
  </w:footnote>
  <w:footnote w:id="37">
    <w:p w:rsidR="00E03256" w:rsidRPr="00E44C5F" w:rsidRDefault="00E03256" w:rsidP="005F2CC5">
      <w:pPr>
        <w:pStyle w:val="HTMLPreformatted"/>
        <w:jc w:val="both"/>
        <w:rPr>
          <w:rFonts w:asciiTheme="minorHAnsi" w:hAnsiTheme="minorHAnsi" w:cstheme="minorHAnsi"/>
          <w:color w:val="000000"/>
        </w:rPr>
      </w:pPr>
      <w:r w:rsidRPr="00AB1010">
        <w:rPr>
          <w:rStyle w:val="FootnoteReference"/>
          <w:rFonts w:asciiTheme="minorHAnsi" w:hAnsiTheme="minorHAnsi" w:cstheme="minorHAnsi"/>
        </w:rPr>
        <w:footnoteRef/>
      </w:r>
      <w:r w:rsidRPr="00AB1010">
        <w:rPr>
          <w:rFonts w:asciiTheme="minorHAnsi" w:hAnsiTheme="minorHAnsi" w:cstheme="minorHAnsi"/>
        </w:rPr>
        <w:t xml:space="preserve"> </w:t>
      </w:r>
      <w:r>
        <w:rPr>
          <w:rFonts w:asciiTheme="minorHAnsi" w:hAnsiTheme="minorHAnsi" w:cstheme="minorHAnsi"/>
          <w:color w:val="000000"/>
        </w:rPr>
        <w:t xml:space="preserve">W.P. No. 7517 </w:t>
      </w:r>
      <w:r w:rsidRPr="00E44C5F">
        <w:rPr>
          <w:rFonts w:asciiTheme="minorHAnsi" w:hAnsiTheme="minorHAnsi" w:cstheme="minorHAnsi"/>
          <w:color w:val="000000"/>
        </w:rPr>
        <w:t>of 1998</w:t>
      </w:r>
      <w:r>
        <w:rPr>
          <w:rFonts w:asciiTheme="minorHAnsi" w:hAnsiTheme="minorHAnsi" w:cstheme="minorHAnsi"/>
          <w:color w:val="000000"/>
        </w:rPr>
        <w:t>.</w:t>
      </w:r>
      <w:r w:rsidRPr="00E44C5F">
        <w:rPr>
          <w:rFonts w:asciiTheme="minorHAnsi" w:hAnsiTheme="minorHAnsi" w:cstheme="minorHAnsi"/>
          <w:color w:val="000000"/>
        </w:rPr>
        <w:t xml:space="preserve"> </w:t>
      </w:r>
      <w:r>
        <w:rPr>
          <w:rFonts w:asciiTheme="minorHAnsi" w:hAnsiTheme="minorHAnsi" w:cstheme="minorHAnsi"/>
        </w:rPr>
        <w:t>Available at</w:t>
      </w:r>
      <w:r w:rsidRPr="00E44C5F">
        <w:rPr>
          <w:rFonts w:asciiTheme="minorHAnsi" w:hAnsiTheme="minorHAnsi" w:cstheme="minorHAnsi"/>
        </w:rPr>
        <w:t xml:space="preserve">: </w:t>
      </w:r>
      <w:hyperlink r:id="rId8" w:history="1">
        <w:r w:rsidRPr="00521A22">
          <w:rPr>
            <w:rStyle w:val="Hyperlink"/>
            <w:rFonts w:asciiTheme="minorHAnsi" w:hAnsiTheme="minorHAnsi" w:cstheme="minorHAnsi"/>
          </w:rPr>
          <w:t>https://indiankanoon.org/doc/714459/</w:t>
        </w:r>
      </w:hyperlink>
      <w:r>
        <w:rPr>
          <w:rFonts w:asciiTheme="minorHAnsi" w:hAnsiTheme="minorHAnsi" w:cstheme="minorHAnsi"/>
        </w:rPr>
        <w:t xml:space="preserve"> </w:t>
      </w:r>
    </w:p>
  </w:footnote>
  <w:footnote w:id="38">
    <w:p w:rsidR="00E03256" w:rsidRPr="002035B2" w:rsidRDefault="00E03256" w:rsidP="005F2CC5">
      <w:pPr>
        <w:pStyle w:val="FootnoteText"/>
        <w:jc w:val="both"/>
        <w:rPr>
          <w:rFonts w:cstheme="minorHAnsi"/>
          <w:lang w:val="fr-CH"/>
        </w:rPr>
      </w:pPr>
      <w:r w:rsidRPr="00E44C5F">
        <w:rPr>
          <w:rStyle w:val="FootnoteReference"/>
          <w:rFonts w:cstheme="minorHAnsi"/>
        </w:rPr>
        <w:footnoteRef/>
      </w:r>
      <w:r w:rsidRPr="002035B2">
        <w:rPr>
          <w:rFonts w:cstheme="minorHAnsi"/>
          <w:lang w:val="fr-CH"/>
        </w:rPr>
        <w:t xml:space="preserve"> 2006 (4) AWC 3993.</w:t>
      </w:r>
    </w:p>
  </w:footnote>
  <w:footnote w:id="39">
    <w:p w:rsidR="00E03256" w:rsidRPr="002035B2" w:rsidRDefault="00E03256" w:rsidP="005F2CC5">
      <w:pPr>
        <w:pStyle w:val="FootnoteText"/>
        <w:jc w:val="both"/>
        <w:rPr>
          <w:rFonts w:cstheme="minorHAnsi"/>
          <w:lang w:val="fr-CH"/>
        </w:rPr>
      </w:pPr>
      <w:r w:rsidRPr="00E44C5F">
        <w:rPr>
          <w:rStyle w:val="FootnoteReference"/>
          <w:rFonts w:cstheme="minorHAnsi"/>
        </w:rPr>
        <w:footnoteRef/>
      </w:r>
      <w:r w:rsidRPr="002035B2">
        <w:rPr>
          <w:rFonts w:cstheme="minorHAnsi"/>
          <w:lang w:val="fr-CH"/>
        </w:rPr>
        <w:t xml:space="preserve"> </w:t>
      </w:r>
      <w:r w:rsidRPr="002035B2">
        <w:rPr>
          <w:rFonts w:cstheme="minorHAnsi"/>
          <w:color w:val="000000"/>
          <w:shd w:val="clear" w:color="auto" w:fill="FFFFFF"/>
          <w:lang w:val="fr-CH"/>
        </w:rPr>
        <w:t>(1985) 1 GLR 248.</w:t>
      </w:r>
    </w:p>
  </w:footnote>
  <w:footnote w:id="40">
    <w:p w:rsidR="00E03256" w:rsidRPr="002035B2" w:rsidRDefault="00E03256" w:rsidP="005F2CC5">
      <w:pPr>
        <w:pStyle w:val="FootnoteText"/>
        <w:jc w:val="both"/>
        <w:rPr>
          <w:rFonts w:cstheme="minorHAnsi"/>
          <w:lang w:val="fr-CH"/>
        </w:rPr>
      </w:pPr>
      <w:r w:rsidRPr="00E44C5F">
        <w:rPr>
          <w:rStyle w:val="FootnoteReference"/>
          <w:rFonts w:cstheme="minorHAnsi"/>
        </w:rPr>
        <w:footnoteRef/>
      </w:r>
      <w:r w:rsidRPr="002035B2">
        <w:rPr>
          <w:rFonts w:cstheme="minorHAnsi"/>
          <w:lang w:val="fr-CH"/>
        </w:rPr>
        <w:t xml:space="preserve"> </w:t>
      </w:r>
      <w:r w:rsidRPr="002035B2">
        <w:rPr>
          <w:rFonts w:cstheme="minorHAnsi"/>
          <w:color w:val="000000"/>
          <w:shd w:val="clear" w:color="auto" w:fill="FFFFFF"/>
          <w:lang w:val="fr-CH"/>
        </w:rPr>
        <w:t>AIR 2011 Gau 171.</w:t>
      </w:r>
    </w:p>
  </w:footnote>
  <w:footnote w:id="41">
    <w:p w:rsidR="00E03256" w:rsidRPr="002035B2" w:rsidRDefault="00E03256" w:rsidP="005F2CC5">
      <w:pPr>
        <w:pStyle w:val="FootnoteText"/>
        <w:rPr>
          <w:lang w:val="fr-CH"/>
        </w:rPr>
      </w:pPr>
      <w:r w:rsidRPr="00E44C5F">
        <w:rPr>
          <w:rStyle w:val="FootnoteReference"/>
          <w:rFonts w:cstheme="minorHAnsi"/>
        </w:rPr>
        <w:footnoteRef/>
      </w:r>
      <w:r w:rsidRPr="002035B2">
        <w:rPr>
          <w:rFonts w:cstheme="minorHAnsi"/>
          <w:lang w:val="fr-CH"/>
        </w:rPr>
        <w:t xml:space="preserve"> (2003) 3 GLR 409.</w:t>
      </w:r>
    </w:p>
  </w:footnote>
  <w:footnote w:id="42">
    <w:p w:rsidR="00E03256" w:rsidRDefault="00E03256" w:rsidP="005F2CC5">
      <w:pPr>
        <w:pStyle w:val="FootnoteText"/>
      </w:pPr>
      <w:r>
        <w:rPr>
          <w:rStyle w:val="FootnoteReference"/>
        </w:rPr>
        <w:footnoteRef/>
      </w:r>
      <w:r>
        <w:t xml:space="preserve"> (2000) 2 SCC 679.</w:t>
      </w:r>
    </w:p>
  </w:footnote>
  <w:footnote w:id="43">
    <w:p w:rsidR="00E03256" w:rsidRDefault="00E03256" w:rsidP="005F2CC5">
      <w:pPr>
        <w:pStyle w:val="FootnoteText"/>
      </w:pPr>
      <w:r>
        <w:rPr>
          <w:rStyle w:val="FootnoteReference"/>
        </w:rPr>
        <w:footnoteRef/>
      </w:r>
      <w:r>
        <w:t xml:space="preserve"> WP (C) 5697/2002, High Court of Delhi, August 2004.</w:t>
      </w:r>
    </w:p>
  </w:footnote>
  <w:footnote w:id="44">
    <w:p w:rsidR="00E03256" w:rsidRDefault="00E03256" w:rsidP="005F2CC5">
      <w:pPr>
        <w:pStyle w:val="FootnoteText"/>
      </w:pPr>
      <w:r>
        <w:rPr>
          <w:rStyle w:val="FootnoteReference"/>
        </w:rPr>
        <w:footnoteRef/>
      </w:r>
      <w:r>
        <w:t xml:space="preserve"> </w:t>
      </w:r>
      <w:r w:rsidRPr="008E332C">
        <w:t>WP (C) 3419/ 1999, High Court of Delhi, 14 December 2005.</w:t>
      </w:r>
    </w:p>
  </w:footnote>
  <w:footnote w:id="45">
    <w:p w:rsidR="00E03256" w:rsidRDefault="00E03256" w:rsidP="005F2CC5">
      <w:pPr>
        <w:pStyle w:val="FootnoteText"/>
      </w:pPr>
      <w:r>
        <w:rPr>
          <w:rStyle w:val="FootnoteReference"/>
        </w:rPr>
        <w:footnoteRef/>
      </w:r>
      <w:r>
        <w:t xml:space="preserve"> </w:t>
      </w:r>
      <w:r w:rsidRPr="00BB2859">
        <w:rPr>
          <w:rFonts w:ascii="Calibri" w:hAnsi="Calibri" w:cs="Arial"/>
        </w:rPr>
        <w:t>(1990) 1 SCC 520.</w:t>
      </w:r>
    </w:p>
  </w:footnote>
  <w:footnote w:id="46">
    <w:p w:rsidR="00E03256" w:rsidRDefault="00E03256" w:rsidP="005F2CC5">
      <w:pPr>
        <w:pStyle w:val="FootnoteText"/>
      </w:pPr>
      <w:r>
        <w:rPr>
          <w:rStyle w:val="FootnoteReference"/>
        </w:rPr>
        <w:footnoteRef/>
      </w:r>
      <w:r>
        <w:t xml:space="preserve"> ‘The Human Right to Adequate Housing and Land’ (written by Housing and Land Rights Network). New Delhi: National Human Rights Commission, 2006. Available at:  </w:t>
      </w:r>
      <w:hyperlink r:id="rId9" w:history="1">
        <w:r w:rsidRPr="00521A22">
          <w:rPr>
            <w:rStyle w:val="Hyperlink"/>
          </w:rPr>
          <w:t>http://bhrc.bih.nic.in/Docs/Housing.pdf</w:t>
        </w:r>
      </w:hyperlink>
      <w:r>
        <w:t xml:space="preserve"> </w:t>
      </w:r>
    </w:p>
  </w:footnote>
  <w:footnote w:id="47">
    <w:p w:rsidR="00E03256" w:rsidRDefault="00E03256" w:rsidP="005F2CC5">
      <w:pPr>
        <w:pStyle w:val="FootnoteText"/>
      </w:pPr>
      <w:r>
        <w:rPr>
          <w:rStyle w:val="FootnoteReference"/>
        </w:rPr>
        <w:footnoteRef/>
      </w:r>
      <w:r>
        <w:t xml:space="preserve"> </w:t>
      </w:r>
      <w:r w:rsidRPr="00A112BA">
        <w:t>The Persons with Disabilities (Equal Opportunities, Protection of Rights and Full Participation) Act, 1995</w:t>
      </w:r>
      <w:r>
        <w:t xml:space="preserve">. Available at: </w:t>
      </w:r>
      <w:hyperlink r:id="rId10" w:history="1">
        <w:r w:rsidRPr="00521A22">
          <w:rPr>
            <w:rStyle w:val="Hyperlink"/>
          </w:rPr>
          <w:t>http://socialjustice.nic.in/pwdact1995.php?pageid=17</w:t>
        </w:r>
      </w:hyperlink>
      <w:r>
        <w:t xml:space="preserve"> </w:t>
      </w:r>
    </w:p>
  </w:footnote>
  <w:footnote w:id="48">
    <w:p w:rsidR="00E03256" w:rsidRDefault="00E03256" w:rsidP="005F2CC5">
      <w:pPr>
        <w:pStyle w:val="FootnoteText"/>
      </w:pPr>
      <w:r>
        <w:rPr>
          <w:rStyle w:val="FootnoteReference"/>
        </w:rPr>
        <w:footnoteRef/>
      </w:r>
      <w:r>
        <w:t xml:space="preserve"> </w:t>
      </w:r>
      <w:r w:rsidRPr="00BB2859">
        <w:rPr>
          <w:rFonts w:ascii="Calibri" w:hAnsi="Calibri" w:cs="Arial"/>
          <w:lang w:val="en-IN"/>
        </w:rPr>
        <w:t>(1997) 11 SCC 121.</w:t>
      </w:r>
      <w:r>
        <w:rPr>
          <w:rFonts w:ascii="Calibri" w:hAnsi="Calibri" w:cs="Arial"/>
          <w:lang w:val="en-IN"/>
        </w:rPr>
        <w:t xml:space="preserve"> </w:t>
      </w:r>
    </w:p>
  </w:footnote>
  <w:footnote w:id="49">
    <w:p w:rsidR="00E03256" w:rsidRDefault="00E03256" w:rsidP="005F2CC5">
      <w:pPr>
        <w:pStyle w:val="FootnoteText"/>
      </w:pPr>
      <w:r>
        <w:rPr>
          <w:rStyle w:val="FootnoteReference"/>
        </w:rPr>
        <w:footnoteRef/>
      </w:r>
      <w:r>
        <w:t xml:space="preserve"> </w:t>
      </w:r>
      <w:r w:rsidRPr="007A4242">
        <w:t>ILR 2013 KARNATAKA 1452</w:t>
      </w:r>
      <w:r>
        <w:t xml:space="preserve">. Available at: </w:t>
      </w:r>
      <w:hyperlink r:id="rId11" w:history="1">
        <w:r w:rsidR="00C50129" w:rsidRPr="00E25D6F">
          <w:rPr>
            <w:rStyle w:val="Hyperlink"/>
          </w:rPr>
          <w:t>https://indiankanoon.org/doc/124850548/</w:t>
        </w:r>
      </w:hyperlink>
      <w:r w:rsidR="00C50129">
        <w:t xml:space="preserve"> </w:t>
      </w:r>
    </w:p>
  </w:footnote>
  <w:footnote w:id="50">
    <w:p w:rsidR="00E03256" w:rsidRDefault="00E03256" w:rsidP="005F2CC5">
      <w:pPr>
        <w:pStyle w:val="FootnoteText"/>
      </w:pPr>
      <w:r>
        <w:rPr>
          <w:rStyle w:val="FootnoteReference"/>
        </w:rPr>
        <w:footnoteRef/>
      </w:r>
      <w:r>
        <w:t xml:space="preserve"> ‘Know Your Rights Series: Right to Adequate Shelter.’ New Delhi: National Human Rights Commission, 2011. Available at: </w:t>
      </w:r>
      <w:hyperlink r:id="rId12" w:history="1">
        <w:r w:rsidRPr="00475E7C">
          <w:rPr>
            <w:rStyle w:val="Hyperlink"/>
          </w:rPr>
          <w:t>http://nhrc.nic.in/Documents/Publications/KYR%20Shelter%20English.pdf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256" w:rsidRPr="00A04789" w:rsidRDefault="00E03256" w:rsidP="00E03256">
    <w:pPr>
      <w:pStyle w:val="Header"/>
      <w:rPr>
        <w:i/>
      </w:rPr>
    </w:pPr>
    <w:r w:rsidRPr="00A04789">
      <w:rPr>
        <w:i/>
      </w:rPr>
      <w:t xml:space="preserve">Housing and Land Rights Network, India: Response to Questionnaire of </w:t>
    </w:r>
    <w:r>
      <w:rPr>
        <w:i/>
      </w:rPr>
      <w:t xml:space="preserve">the Special Rapporteur </w:t>
    </w:r>
  </w:p>
  <w:p w:rsidR="00E03256" w:rsidRDefault="00E03256">
    <w:pPr>
      <w:pStyle w:val="Header"/>
    </w:pPr>
  </w:p>
  <w:p w:rsidR="00E03256" w:rsidRPr="00FC4630" w:rsidRDefault="00E03256" w:rsidP="00E03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F7EBF"/>
    <w:multiLevelType w:val="hybridMultilevel"/>
    <w:tmpl w:val="70AC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685C80"/>
    <w:multiLevelType w:val="hybridMultilevel"/>
    <w:tmpl w:val="E6CA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5643E"/>
    <w:multiLevelType w:val="hybridMultilevel"/>
    <w:tmpl w:val="1E420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F0788E"/>
    <w:multiLevelType w:val="hybridMultilevel"/>
    <w:tmpl w:val="6B1A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B465D8"/>
    <w:multiLevelType w:val="hybridMultilevel"/>
    <w:tmpl w:val="9E90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hdrShapeDefaults>
    <o:shapedefaults v:ext="edit" spidmax="2055"/>
    <o:shapelayout v:ext="edit">
      <o:rules v:ext="edit">
        <o:r id="V:Rule3" type="connector" idref="#AutoShape 27"/>
        <o:r id="V:Rule4" type="connector" idref="#AutoShape 28"/>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C5"/>
    <w:rsid w:val="000002D2"/>
    <w:rsid w:val="0000035E"/>
    <w:rsid w:val="00010673"/>
    <w:rsid w:val="00014512"/>
    <w:rsid w:val="0003473C"/>
    <w:rsid w:val="0006632D"/>
    <w:rsid w:val="000949B0"/>
    <w:rsid w:val="000C3CE1"/>
    <w:rsid w:val="001025F5"/>
    <w:rsid w:val="00105529"/>
    <w:rsid w:val="00112FEF"/>
    <w:rsid w:val="002004CB"/>
    <w:rsid w:val="0020290D"/>
    <w:rsid w:val="002035B2"/>
    <w:rsid w:val="00235A0E"/>
    <w:rsid w:val="00266046"/>
    <w:rsid w:val="0028063C"/>
    <w:rsid w:val="002B3602"/>
    <w:rsid w:val="002C5471"/>
    <w:rsid w:val="0039794E"/>
    <w:rsid w:val="00397DBF"/>
    <w:rsid w:val="003B487A"/>
    <w:rsid w:val="0042305A"/>
    <w:rsid w:val="004965DB"/>
    <w:rsid w:val="004F7325"/>
    <w:rsid w:val="00522D27"/>
    <w:rsid w:val="005470A5"/>
    <w:rsid w:val="005839B5"/>
    <w:rsid w:val="0058638F"/>
    <w:rsid w:val="005B30EB"/>
    <w:rsid w:val="005B74AB"/>
    <w:rsid w:val="005D5E18"/>
    <w:rsid w:val="005F006B"/>
    <w:rsid w:val="005F2CC5"/>
    <w:rsid w:val="005F3367"/>
    <w:rsid w:val="00617533"/>
    <w:rsid w:val="00642B48"/>
    <w:rsid w:val="006676C6"/>
    <w:rsid w:val="0067384D"/>
    <w:rsid w:val="00682110"/>
    <w:rsid w:val="00721281"/>
    <w:rsid w:val="00736495"/>
    <w:rsid w:val="00773F9B"/>
    <w:rsid w:val="007A0DE3"/>
    <w:rsid w:val="007F2879"/>
    <w:rsid w:val="00814729"/>
    <w:rsid w:val="00865F50"/>
    <w:rsid w:val="00877246"/>
    <w:rsid w:val="008852EF"/>
    <w:rsid w:val="008B15D1"/>
    <w:rsid w:val="008C17F3"/>
    <w:rsid w:val="008E421C"/>
    <w:rsid w:val="0094750B"/>
    <w:rsid w:val="00976268"/>
    <w:rsid w:val="00977E9C"/>
    <w:rsid w:val="009A6DD3"/>
    <w:rsid w:val="00A00500"/>
    <w:rsid w:val="00A05959"/>
    <w:rsid w:val="00A063A7"/>
    <w:rsid w:val="00A418D3"/>
    <w:rsid w:val="00A877D1"/>
    <w:rsid w:val="00AD4591"/>
    <w:rsid w:val="00AF5EBE"/>
    <w:rsid w:val="00B03D1D"/>
    <w:rsid w:val="00BB0D90"/>
    <w:rsid w:val="00BB5715"/>
    <w:rsid w:val="00BC4B94"/>
    <w:rsid w:val="00C35691"/>
    <w:rsid w:val="00C50129"/>
    <w:rsid w:val="00C66EEE"/>
    <w:rsid w:val="00CB5CCA"/>
    <w:rsid w:val="00D36DE0"/>
    <w:rsid w:val="00D41F46"/>
    <w:rsid w:val="00DC0699"/>
    <w:rsid w:val="00DC479E"/>
    <w:rsid w:val="00DD44A0"/>
    <w:rsid w:val="00DE1069"/>
    <w:rsid w:val="00E03256"/>
    <w:rsid w:val="00E826FC"/>
    <w:rsid w:val="00F10A82"/>
    <w:rsid w:val="00F15DA6"/>
    <w:rsid w:val="00F725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F2CC5"/>
    <w:pPr>
      <w:spacing w:after="0" w:line="240" w:lineRule="auto"/>
    </w:pPr>
    <w:rPr>
      <w:sz w:val="20"/>
      <w:szCs w:val="20"/>
    </w:rPr>
  </w:style>
  <w:style w:type="character" w:customStyle="1" w:styleId="FootnoteTextChar">
    <w:name w:val="Footnote Text Char"/>
    <w:basedOn w:val="DefaultParagraphFont"/>
    <w:link w:val="FootnoteText"/>
    <w:uiPriority w:val="99"/>
    <w:rsid w:val="005F2CC5"/>
    <w:rPr>
      <w:sz w:val="20"/>
      <w:szCs w:val="20"/>
    </w:rPr>
  </w:style>
  <w:style w:type="character" w:styleId="FootnoteReference">
    <w:name w:val="footnote reference"/>
    <w:basedOn w:val="DefaultParagraphFont"/>
    <w:uiPriority w:val="99"/>
    <w:semiHidden/>
    <w:unhideWhenUsed/>
    <w:rsid w:val="005F2CC5"/>
    <w:rPr>
      <w:vertAlign w:val="superscript"/>
    </w:rPr>
  </w:style>
  <w:style w:type="paragraph" w:styleId="ListParagraph">
    <w:name w:val="List Paragraph"/>
    <w:basedOn w:val="Normal"/>
    <w:uiPriority w:val="34"/>
    <w:qFormat/>
    <w:rsid w:val="005F2CC5"/>
    <w:pPr>
      <w:ind w:left="720"/>
      <w:contextualSpacing/>
    </w:pPr>
  </w:style>
  <w:style w:type="character" w:styleId="Hyperlink">
    <w:name w:val="Hyperlink"/>
    <w:basedOn w:val="DefaultParagraphFont"/>
    <w:uiPriority w:val="99"/>
    <w:unhideWhenUsed/>
    <w:rsid w:val="005F2CC5"/>
    <w:rPr>
      <w:color w:val="0000FF" w:themeColor="hyperlink"/>
      <w:u w:val="single"/>
    </w:rPr>
  </w:style>
  <w:style w:type="paragraph" w:styleId="Header">
    <w:name w:val="header"/>
    <w:basedOn w:val="Normal"/>
    <w:link w:val="HeaderChar"/>
    <w:uiPriority w:val="99"/>
    <w:unhideWhenUsed/>
    <w:rsid w:val="005F2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CC5"/>
  </w:style>
  <w:style w:type="paragraph" w:styleId="Footer">
    <w:name w:val="footer"/>
    <w:basedOn w:val="Normal"/>
    <w:link w:val="FooterChar"/>
    <w:uiPriority w:val="99"/>
    <w:unhideWhenUsed/>
    <w:rsid w:val="005F2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CC5"/>
  </w:style>
  <w:style w:type="paragraph" w:styleId="HTMLPreformatted">
    <w:name w:val="HTML Preformatted"/>
    <w:basedOn w:val="Normal"/>
    <w:link w:val="HTMLPreformattedChar"/>
    <w:uiPriority w:val="99"/>
    <w:unhideWhenUsed/>
    <w:rsid w:val="005F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2CC5"/>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5F2CC5"/>
    <w:rPr>
      <w:sz w:val="16"/>
      <w:szCs w:val="16"/>
    </w:rPr>
  </w:style>
  <w:style w:type="paragraph" w:styleId="CommentText">
    <w:name w:val="annotation text"/>
    <w:basedOn w:val="Normal"/>
    <w:link w:val="CommentTextChar"/>
    <w:uiPriority w:val="99"/>
    <w:semiHidden/>
    <w:unhideWhenUsed/>
    <w:rsid w:val="005F2CC5"/>
    <w:pPr>
      <w:spacing w:line="240" w:lineRule="auto"/>
    </w:pPr>
    <w:rPr>
      <w:sz w:val="20"/>
      <w:szCs w:val="20"/>
    </w:rPr>
  </w:style>
  <w:style w:type="character" w:customStyle="1" w:styleId="CommentTextChar">
    <w:name w:val="Comment Text Char"/>
    <w:basedOn w:val="DefaultParagraphFont"/>
    <w:link w:val="CommentText"/>
    <w:uiPriority w:val="99"/>
    <w:semiHidden/>
    <w:rsid w:val="005F2CC5"/>
    <w:rPr>
      <w:sz w:val="20"/>
      <w:szCs w:val="20"/>
    </w:rPr>
  </w:style>
  <w:style w:type="paragraph" w:styleId="BalloonText">
    <w:name w:val="Balloon Text"/>
    <w:basedOn w:val="Normal"/>
    <w:link w:val="BalloonTextChar"/>
    <w:uiPriority w:val="99"/>
    <w:semiHidden/>
    <w:unhideWhenUsed/>
    <w:rsid w:val="005F2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C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F2CC5"/>
    <w:pPr>
      <w:spacing w:after="0" w:line="240" w:lineRule="auto"/>
    </w:pPr>
    <w:rPr>
      <w:sz w:val="20"/>
      <w:szCs w:val="20"/>
    </w:rPr>
  </w:style>
  <w:style w:type="character" w:customStyle="1" w:styleId="FootnoteTextChar">
    <w:name w:val="Footnote Text Char"/>
    <w:basedOn w:val="DefaultParagraphFont"/>
    <w:link w:val="FootnoteText"/>
    <w:uiPriority w:val="99"/>
    <w:rsid w:val="005F2CC5"/>
    <w:rPr>
      <w:sz w:val="20"/>
      <w:szCs w:val="20"/>
    </w:rPr>
  </w:style>
  <w:style w:type="character" w:styleId="FootnoteReference">
    <w:name w:val="footnote reference"/>
    <w:basedOn w:val="DefaultParagraphFont"/>
    <w:uiPriority w:val="99"/>
    <w:semiHidden/>
    <w:unhideWhenUsed/>
    <w:rsid w:val="005F2CC5"/>
    <w:rPr>
      <w:vertAlign w:val="superscript"/>
    </w:rPr>
  </w:style>
  <w:style w:type="paragraph" w:styleId="ListParagraph">
    <w:name w:val="List Paragraph"/>
    <w:basedOn w:val="Normal"/>
    <w:uiPriority w:val="34"/>
    <w:qFormat/>
    <w:rsid w:val="005F2CC5"/>
    <w:pPr>
      <w:ind w:left="720"/>
      <w:contextualSpacing/>
    </w:pPr>
  </w:style>
  <w:style w:type="character" w:styleId="Hyperlink">
    <w:name w:val="Hyperlink"/>
    <w:basedOn w:val="DefaultParagraphFont"/>
    <w:uiPriority w:val="99"/>
    <w:unhideWhenUsed/>
    <w:rsid w:val="005F2CC5"/>
    <w:rPr>
      <w:color w:val="0000FF" w:themeColor="hyperlink"/>
      <w:u w:val="single"/>
    </w:rPr>
  </w:style>
  <w:style w:type="paragraph" w:styleId="Header">
    <w:name w:val="header"/>
    <w:basedOn w:val="Normal"/>
    <w:link w:val="HeaderChar"/>
    <w:uiPriority w:val="99"/>
    <w:unhideWhenUsed/>
    <w:rsid w:val="005F2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CC5"/>
  </w:style>
  <w:style w:type="paragraph" w:styleId="Footer">
    <w:name w:val="footer"/>
    <w:basedOn w:val="Normal"/>
    <w:link w:val="FooterChar"/>
    <w:uiPriority w:val="99"/>
    <w:unhideWhenUsed/>
    <w:rsid w:val="005F2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CC5"/>
  </w:style>
  <w:style w:type="paragraph" w:styleId="HTMLPreformatted">
    <w:name w:val="HTML Preformatted"/>
    <w:basedOn w:val="Normal"/>
    <w:link w:val="HTMLPreformattedChar"/>
    <w:uiPriority w:val="99"/>
    <w:unhideWhenUsed/>
    <w:rsid w:val="005F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2CC5"/>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5F2CC5"/>
    <w:rPr>
      <w:sz w:val="16"/>
      <w:szCs w:val="16"/>
    </w:rPr>
  </w:style>
  <w:style w:type="paragraph" w:styleId="CommentText">
    <w:name w:val="annotation text"/>
    <w:basedOn w:val="Normal"/>
    <w:link w:val="CommentTextChar"/>
    <w:uiPriority w:val="99"/>
    <w:semiHidden/>
    <w:unhideWhenUsed/>
    <w:rsid w:val="005F2CC5"/>
    <w:pPr>
      <w:spacing w:line="240" w:lineRule="auto"/>
    </w:pPr>
    <w:rPr>
      <w:sz w:val="20"/>
      <w:szCs w:val="20"/>
    </w:rPr>
  </w:style>
  <w:style w:type="character" w:customStyle="1" w:styleId="CommentTextChar">
    <w:name w:val="Comment Text Char"/>
    <w:basedOn w:val="DefaultParagraphFont"/>
    <w:link w:val="CommentText"/>
    <w:uiPriority w:val="99"/>
    <w:semiHidden/>
    <w:rsid w:val="005F2CC5"/>
    <w:rPr>
      <w:sz w:val="20"/>
      <w:szCs w:val="20"/>
    </w:rPr>
  </w:style>
  <w:style w:type="paragraph" w:styleId="BalloonText">
    <w:name w:val="Balloon Text"/>
    <w:basedOn w:val="Normal"/>
    <w:link w:val="BalloonTextChar"/>
    <w:uiPriority w:val="99"/>
    <w:semiHidden/>
    <w:unhideWhenUsed/>
    <w:rsid w:val="005F2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C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indiankanoon.org/doc/714459/" TargetMode="External"/><Relationship Id="rId3" Type="http://schemas.openxmlformats.org/officeDocument/2006/relationships/hyperlink" Target="http://zipnet.in/" TargetMode="External"/><Relationship Id="rId7" Type="http://schemas.openxmlformats.org/officeDocument/2006/relationships/hyperlink" Target="http://www.righttofoodindia.org/case/case.html" TargetMode="External"/><Relationship Id="rId12" Type="http://schemas.openxmlformats.org/officeDocument/2006/relationships/hyperlink" Target="http://nhrc.nic.in/Documents/Publications/KYR%20Shelter%20English.pdf" TargetMode="External"/><Relationship Id="rId2" Type="http://schemas.openxmlformats.org/officeDocument/2006/relationships/hyperlink" Target="mailto:contact@hlrn.org.in" TargetMode="External"/><Relationship Id="rId1" Type="http://schemas.openxmlformats.org/officeDocument/2006/relationships/hyperlink" Target="http://www.hlrn.org.in" TargetMode="External"/><Relationship Id="rId6" Type="http://schemas.openxmlformats.org/officeDocument/2006/relationships/hyperlink" Target="http://hlrn.org.in/documents/Housing_and_Land_Rights_in_India_Report_for_Habitat_III.pdf" TargetMode="External"/><Relationship Id="rId11" Type="http://schemas.openxmlformats.org/officeDocument/2006/relationships/hyperlink" Target="https://indiankanoon.org/doc/124850548/" TargetMode="External"/><Relationship Id="rId5" Type="http://schemas.openxmlformats.org/officeDocument/2006/relationships/hyperlink" Target="http://hlrn.org.in/documents/Planned_Dispossession.pdf" TargetMode="External"/><Relationship Id="rId10" Type="http://schemas.openxmlformats.org/officeDocument/2006/relationships/hyperlink" Target="http://socialjustice.nic.in/pwdact1995.php?pageid=17" TargetMode="External"/><Relationship Id="rId4" Type="http://schemas.openxmlformats.org/officeDocument/2006/relationships/hyperlink" Target="http://hlrn.org.in/documents/Baljeet_Nagar_Public_Hearing.pdf" TargetMode="External"/><Relationship Id="rId9" Type="http://schemas.openxmlformats.org/officeDocument/2006/relationships/hyperlink" Target="http://bhrc.bih.nic.in/Docs/Hous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8AE1D-9070-4BB0-A556-A98A18B86B86}"/>
</file>

<file path=customXml/itemProps2.xml><?xml version="1.0" encoding="utf-8"?>
<ds:datastoreItem xmlns:ds="http://schemas.openxmlformats.org/officeDocument/2006/customXml" ds:itemID="{9133BB63-5EE1-465D-8B8C-DC844C1BC4E8}"/>
</file>

<file path=customXml/itemProps3.xml><?xml version="1.0" encoding="utf-8"?>
<ds:datastoreItem xmlns:ds="http://schemas.openxmlformats.org/officeDocument/2006/customXml" ds:itemID="{B71C374B-846B-439A-9EB0-6B5CD21A730A}"/>
</file>

<file path=customXml/itemProps4.xml><?xml version="1.0" encoding="utf-8"?>
<ds:datastoreItem xmlns:ds="http://schemas.openxmlformats.org/officeDocument/2006/customXml" ds:itemID="{825C6CCC-C57E-4773-852D-5253A8D48F32}"/>
</file>

<file path=docProps/app.xml><?xml version="1.0" encoding="utf-8"?>
<Properties xmlns="http://schemas.openxmlformats.org/officeDocument/2006/extended-properties" xmlns:vt="http://schemas.openxmlformats.org/officeDocument/2006/docPropsVTypes">
  <Template>Normal.dotm</Template>
  <TotalTime>1</TotalTime>
  <Pages>10</Pages>
  <Words>3691</Words>
  <Characters>21040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HLRN</dc:creator>
  <cp:lastModifiedBy>Mariannick Koffi</cp:lastModifiedBy>
  <cp:revision>2</cp:revision>
  <dcterms:created xsi:type="dcterms:W3CDTF">2016-07-08T09:34:00Z</dcterms:created>
  <dcterms:modified xsi:type="dcterms:W3CDTF">2016-07-08T09:34:00Z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3619600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