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2A9C0" w14:textId="1C875432" w:rsidR="0030201D" w:rsidRPr="00231392" w:rsidRDefault="000A74C3" w:rsidP="00031B30">
      <w:pPr>
        <w:pStyle w:val="Heading1"/>
        <w:rPr>
          <w:lang w:val="aa-ET"/>
        </w:rPr>
      </w:pPr>
      <w:bookmarkStart w:id="0" w:name="_GoBack"/>
      <w:bookmarkEnd w:id="0"/>
      <w:r w:rsidRPr="00231392">
        <w:rPr>
          <w:lang w:val="aa-ET"/>
        </w:rPr>
        <w:t xml:space="preserve">Discrimination </w:t>
      </w:r>
      <w:r w:rsidR="00ED5FFE" w:rsidRPr="00231392">
        <w:rPr>
          <w:lang w:val="aa-ET"/>
        </w:rPr>
        <w:t>and</w:t>
      </w:r>
      <w:r w:rsidRPr="00231392">
        <w:rPr>
          <w:lang w:val="aa-ET"/>
        </w:rPr>
        <w:t xml:space="preserve"> housing in The Netherlands</w:t>
      </w:r>
    </w:p>
    <w:p w14:paraId="2B270AA9" w14:textId="77777777" w:rsidR="000A74C3" w:rsidRPr="00231392" w:rsidRDefault="000A74C3" w:rsidP="008174B7">
      <w:pPr>
        <w:jc w:val="both"/>
        <w:rPr>
          <w:rFonts w:cstheme="minorHAnsi"/>
          <w:sz w:val="22"/>
          <w:szCs w:val="22"/>
          <w:lang w:val="aa-ET"/>
        </w:rPr>
      </w:pPr>
    </w:p>
    <w:p w14:paraId="05759BA0" w14:textId="581808D9" w:rsidR="00FD4A55" w:rsidRPr="00231392" w:rsidRDefault="00EC668A" w:rsidP="008174B7">
      <w:pPr>
        <w:jc w:val="both"/>
        <w:rPr>
          <w:rFonts w:cstheme="minorHAnsi"/>
          <w:sz w:val="22"/>
          <w:szCs w:val="22"/>
          <w:u w:val="single"/>
          <w:lang w:val="aa-ET"/>
        </w:rPr>
      </w:pPr>
      <w:r w:rsidRPr="00231392">
        <w:rPr>
          <w:rFonts w:cstheme="minorHAnsi"/>
          <w:sz w:val="22"/>
          <w:szCs w:val="22"/>
          <w:u w:val="single"/>
          <w:lang w:val="aa-ET"/>
        </w:rPr>
        <w:t xml:space="preserve">Context: </w:t>
      </w:r>
      <w:r w:rsidR="00ED5FFE" w:rsidRPr="00231392">
        <w:rPr>
          <w:rFonts w:cstheme="minorHAnsi"/>
          <w:sz w:val="22"/>
          <w:szCs w:val="22"/>
          <w:u w:val="single"/>
          <w:lang w:val="aa-ET"/>
        </w:rPr>
        <w:t>Housing crisis</w:t>
      </w:r>
      <w:r w:rsidR="00FD4A55" w:rsidRPr="00231392">
        <w:rPr>
          <w:rFonts w:cstheme="minorHAnsi"/>
          <w:sz w:val="22"/>
          <w:szCs w:val="22"/>
          <w:u w:val="single"/>
          <w:lang w:val="aa-ET"/>
        </w:rPr>
        <w:t xml:space="preserve"> in The Netherlands</w:t>
      </w:r>
    </w:p>
    <w:p w14:paraId="248FF131" w14:textId="3AD71762" w:rsidR="00ED5FFE" w:rsidRPr="00231392" w:rsidRDefault="00FD4A55" w:rsidP="008174B7">
      <w:pPr>
        <w:jc w:val="both"/>
        <w:rPr>
          <w:rFonts w:cstheme="minorHAnsi"/>
          <w:sz w:val="22"/>
          <w:szCs w:val="22"/>
          <w:lang w:val="aa-ET"/>
        </w:rPr>
      </w:pPr>
      <w:r w:rsidRPr="00231392">
        <w:rPr>
          <w:rFonts w:cstheme="minorHAnsi"/>
          <w:sz w:val="22"/>
          <w:szCs w:val="22"/>
          <w:lang w:val="aa-ET"/>
        </w:rPr>
        <w:t>The Netherlands is experi</w:t>
      </w:r>
      <w:r w:rsidR="00524484" w:rsidRPr="00231392">
        <w:rPr>
          <w:rFonts w:cstheme="minorHAnsi"/>
          <w:sz w:val="22"/>
          <w:szCs w:val="22"/>
          <w:lang w:val="aa-ET"/>
        </w:rPr>
        <w:t>encing</w:t>
      </w:r>
      <w:r w:rsidRPr="00231392">
        <w:rPr>
          <w:rFonts w:cstheme="minorHAnsi"/>
          <w:sz w:val="22"/>
          <w:szCs w:val="22"/>
          <w:lang w:val="aa-ET"/>
        </w:rPr>
        <w:t xml:space="preserve"> a severe housing crisis. This affects many group</w:t>
      </w:r>
      <w:r w:rsidR="00FC3B9A" w:rsidRPr="00231392">
        <w:rPr>
          <w:rFonts w:cstheme="minorHAnsi"/>
          <w:sz w:val="22"/>
          <w:szCs w:val="22"/>
          <w:lang w:val="aa-ET"/>
        </w:rPr>
        <w:t xml:space="preserve">s of people in The Netherlands, including young ‘starters’ and people with middle income who are not eligible for social housing. </w:t>
      </w:r>
      <w:r w:rsidRPr="00231392">
        <w:rPr>
          <w:rFonts w:cstheme="minorHAnsi"/>
          <w:sz w:val="22"/>
          <w:szCs w:val="22"/>
          <w:lang w:val="aa-ET"/>
        </w:rPr>
        <w:t>Housing prices ar</w:t>
      </w:r>
      <w:r w:rsidR="00FC3B9A" w:rsidRPr="00231392">
        <w:rPr>
          <w:rFonts w:cstheme="minorHAnsi"/>
          <w:sz w:val="22"/>
          <w:szCs w:val="22"/>
          <w:lang w:val="aa-ET"/>
        </w:rPr>
        <w:t xml:space="preserve">e soaring, rental prizes in the private sector are increasing quickly. </w:t>
      </w:r>
      <w:r w:rsidR="0028659D" w:rsidRPr="00231392">
        <w:rPr>
          <w:rFonts w:cstheme="minorHAnsi"/>
          <w:sz w:val="22"/>
          <w:szCs w:val="22"/>
          <w:lang w:val="aa-ET"/>
        </w:rPr>
        <w:t>Availability housing is very limited.</w:t>
      </w:r>
    </w:p>
    <w:p w14:paraId="38BB365F" w14:textId="77777777" w:rsidR="00ED5FFE" w:rsidRPr="00231392" w:rsidRDefault="00ED5FFE" w:rsidP="008174B7">
      <w:pPr>
        <w:jc w:val="both"/>
        <w:rPr>
          <w:rFonts w:cstheme="minorHAnsi"/>
          <w:sz w:val="22"/>
          <w:szCs w:val="22"/>
          <w:lang w:val="aa-ET"/>
        </w:rPr>
      </w:pPr>
    </w:p>
    <w:p w14:paraId="74B907C4" w14:textId="5F4DDBC4" w:rsidR="003E7278" w:rsidRPr="00231392" w:rsidRDefault="00EC668A" w:rsidP="008174B7">
      <w:pPr>
        <w:jc w:val="both"/>
        <w:rPr>
          <w:rFonts w:cstheme="minorHAnsi"/>
          <w:sz w:val="22"/>
          <w:szCs w:val="22"/>
          <w:lang w:val="aa-ET"/>
        </w:rPr>
      </w:pPr>
      <w:r w:rsidRPr="00231392">
        <w:rPr>
          <w:rFonts w:cstheme="minorHAnsi"/>
          <w:sz w:val="22"/>
          <w:szCs w:val="22"/>
          <w:lang w:val="aa-ET"/>
        </w:rPr>
        <w:t>Specific groups</w:t>
      </w:r>
      <w:r w:rsidR="007C14C8" w:rsidRPr="00231392">
        <w:rPr>
          <w:rFonts w:cstheme="minorHAnsi"/>
          <w:sz w:val="22"/>
          <w:szCs w:val="22"/>
          <w:lang w:val="aa-ET"/>
        </w:rPr>
        <w:t xml:space="preserve"> in vulnerable situations</w:t>
      </w:r>
      <w:r w:rsidRPr="00231392">
        <w:rPr>
          <w:rFonts w:cstheme="minorHAnsi"/>
          <w:sz w:val="22"/>
          <w:szCs w:val="22"/>
          <w:lang w:val="aa-ET"/>
        </w:rPr>
        <w:t xml:space="preserve"> are hit hardest by the housing crisis</w:t>
      </w:r>
      <w:r w:rsidR="00FC3B9A" w:rsidRPr="00231392">
        <w:rPr>
          <w:rFonts w:cstheme="minorHAnsi"/>
          <w:sz w:val="22"/>
          <w:szCs w:val="22"/>
          <w:lang w:val="aa-ET"/>
        </w:rPr>
        <w:t>.</w:t>
      </w:r>
      <w:r w:rsidR="007C14C8" w:rsidRPr="00231392">
        <w:rPr>
          <w:rFonts w:cstheme="minorHAnsi"/>
          <w:sz w:val="22"/>
          <w:szCs w:val="22"/>
          <w:lang w:val="aa-ET"/>
        </w:rPr>
        <w:t xml:space="preserve"> In general, they are poor and/or have low income. P</w:t>
      </w:r>
      <w:r w:rsidR="003E7278" w:rsidRPr="00231392">
        <w:rPr>
          <w:rFonts w:cstheme="minorHAnsi"/>
          <w:sz w:val="22"/>
          <w:szCs w:val="22"/>
          <w:lang w:val="aa-ET"/>
        </w:rPr>
        <w:t>eople with a migrant background</w:t>
      </w:r>
      <w:r w:rsidR="00FC3B9A" w:rsidRPr="00231392">
        <w:rPr>
          <w:rFonts w:cstheme="minorHAnsi"/>
          <w:sz w:val="22"/>
          <w:szCs w:val="22"/>
          <w:lang w:val="aa-ET"/>
        </w:rPr>
        <w:t xml:space="preserve"> and people with disabilities</w:t>
      </w:r>
      <w:r w:rsidR="007C14C8" w:rsidRPr="00231392">
        <w:rPr>
          <w:rFonts w:cstheme="minorHAnsi"/>
          <w:sz w:val="22"/>
          <w:szCs w:val="22"/>
          <w:lang w:val="aa-ET"/>
        </w:rPr>
        <w:t xml:space="preserve"> are disproportionally affected by poverty</w:t>
      </w:r>
      <w:r w:rsidR="00FC3B9A" w:rsidRPr="00231392">
        <w:rPr>
          <w:rFonts w:cstheme="minorHAnsi"/>
          <w:sz w:val="22"/>
          <w:szCs w:val="22"/>
          <w:lang w:val="aa-ET"/>
        </w:rPr>
        <w:t>.</w:t>
      </w:r>
      <w:r w:rsidR="007C14C8" w:rsidRPr="00231392">
        <w:rPr>
          <w:rFonts w:cstheme="minorHAnsi"/>
          <w:sz w:val="22"/>
          <w:szCs w:val="22"/>
          <w:lang w:val="aa-ET"/>
        </w:rPr>
        <w:t xml:space="preserve"> </w:t>
      </w:r>
    </w:p>
    <w:p w14:paraId="37AB5BF7" w14:textId="77777777" w:rsidR="003E7278" w:rsidRPr="00231392" w:rsidRDefault="003E7278" w:rsidP="008174B7">
      <w:pPr>
        <w:jc w:val="both"/>
        <w:rPr>
          <w:rFonts w:cstheme="minorHAnsi"/>
          <w:sz w:val="22"/>
          <w:szCs w:val="22"/>
          <w:lang w:val="aa-ET"/>
        </w:rPr>
      </w:pPr>
    </w:p>
    <w:p w14:paraId="2B186F8D" w14:textId="759C1246" w:rsidR="00FD4A55" w:rsidRPr="00231392" w:rsidRDefault="003E7278" w:rsidP="008174B7">
      <w:pPr>
        <w:jc w:val="both"/>
        <w:rPr>
          <w:rFonts w:cstheme="minorHAnsi"/>
          <w:sz w:val="22"/>
          <w:szCs w:val="22"/>
          <w:lang w:val="aa-ET"/>
        </w:rPr>
      </w:pPr>
      <w:r w:rsidRPr="00231392">
        <w:rPr>
          <w:rFonts w:cstheme="minorHAnsi"/>
          <w:sz w:val="22"/>
          <w:szCs w:val="22"/>
          <w:lang w:val="aa-ET"/>
        </w:rPr>
        <w:t xml:space="preserve">Direct and indirect discriminatory practices, as well as Government policies, </w:t>
      </w:r>
      <w:r w:rsidR="00ED5FFE" w:rsidRPr="00231392">
        <w:rPr>
          <w:rFonts w:cstheme="minorHAnsi"/>
          <w:sz w:val="22"/>
          <w:szCs w:val="22"/>
          <w:lang w:val="aa-ET"/>
        </w:rPr>
        <w:t xml:space="preserve">in the field of housing, labour, health care and education, amongst others, increase the negative impact of the housing </w:t>
      </w:r>
      <w:r w:rsidRPr="00231392">
        <w:rPr>
          <w:rFonts w:cstheme="minorHAnsi"/>
          <w:sz w:val="22"/>
          <w:szCs w:val="22"/>
          <w:lang w:val="aa-ET"/>
        </w:rPr>
        <w:t>c</w:t>
      </w:r>
      <w:r w:rsidR="00ED5FFE" w:rsidRPr="00231392">
        <w:rPr>
          <w:rFonts w:cstheme="minorHAnsi"/>
          <w:sz w:val="22"/>
          <w:szCs w:val="22"/>
          <w:lang w:val="aa-ET"/>
        </w:rPr>
        <w:t>risis for these groups and/or fail to address the negative impact</w:t>
      </w:r>
      <w:r w:rsidR="00FC3B9A" w:rsidRPr="00231392">
        <w:rPr>
          <w:rFonts w:cstheme="minorHAnsi"/>
          <w:sz w:val="22"/>
          <w:szCs w:val="22"/>
          <w:lang w:val="aa-ET"/>
        </w:rPr>
        <w:t>.</w:t>
      </w:r>
      <w:r w:rsidR="002C4222" w:rsidRPr="00231392">
        <w:rPr>
          <w:rStyle w:val="FootnoteReference"/>
          <w:rFonts w:cstheme="minorHAnsi"/>
          <w:sz w:val="22"/>
          <w:szCs w:val="22"/>
          <w:lang w:val="aa-ET"/>
        </w:rPr>
        <w:footnoteReference w:id="1"/>
      </w:r>
      <w:r w:rsidR="00FC3B9A" w:rsidRPr="00231392">
        <w:rPr>
          <w:rFonts w:cstheme="minorHAnsi"/>
          <w:sz w:val="22"/>
          <w:szCs w:val="22"/>
          <w:lang w:val="aa-ET"/>
        </w:rPr>
        <w:t xml:space="preserve"> </w:t>
      </w:r>
      <w:r w:rsidR="007C14C8" w:rsidRPr="00231392">
        <w:rPr>
          <w:rFonts w:cstheme="minorHAnsi"/>
          <w:sz w:val="22"/>
          <w:szCs w:val="22"/>
          <w:lang w:val="aa-ET"/>
        </w:rPr>
        <w:t xml:space="preserve">Specific barriers to the realisation of the right to housing </w:t>
      </w:r>
      <w:r w:rsidRPr="00231392">
        <w:rPr>
          <w:rFonts w:cstheme="minorHAnsi"/>
          <w:sz w:val="22"/>
          <w:szCs w:val="22"/>
          <w:lang w:val="aa-ET"/>
        </w:rPr>
        <w:t xml:space="preserve">are: discrimination in accessing housing, affordability of housing, quality of housing, physical accessibility of housing, security of tenure and housing evictions, and homelessness. </w:t>
      </w:r>
      <w:r w:rsidR="0028659D" w:rsidRPr="00231392">
        <w:rPr>
          <w:rFonts w:cstheme="minorHAnsi"/>
          <w:sz w:val="22"/>
          <w:szCs w:val="22"/>
          <w:lang w:val="aa-ET"/>
        </w:rPr>
        <w:t xml:space="preserve">Social-economic background or poverty is not considered a discrimination ground in the Netherlands. </w:t>
      </w:r>
    </w:p>
    <w:p w14:paraId="57A4A38F" w14:textId="77777777" w:rsidR="00FC3B9A" w:rsidRPr="00231392" w:rsidRDefault="00FC3B9A" w:rsidP="008174B7">
      <w:pPr>
        <w:jc w:val="both"/>
        <w:rPr>
          <w:rFonts w:cstheme="minorHAnsi"/>
          <w:sz w:val="22"/>
          <w:szCs w:val="22"/>
          <w:lang w:val="aa-ET"/>
        </w:rPr>
      </w:pPr>
    </w:p>
    <w:p w14:paraId="0AD3E56C" w14:textId="77777777" w:rsidR="00FC3B9A" w:rsidRPr="00231392" w:rsidRDefault="00FC3B9A" w:rsidP="008174B7">
      <w:pPr>
        <w:jc w:val="both"/>
        <w:rPr>
          <w:rFonts w:cstheme="minorHAnsi"/>
          <w:sz w:val="22"/>
          <w:szCs w:val="22"/>
          <w:u w:val="single"/>
          <w:lang w:val="aa-ET"/>
        </w:rPr>
      </w:pPr>
      <w:r w:rsidRPr="00231392">
        <w:rPr>
          <w:rFonts w:cstheme="minorHAnsi"/>
          <w:sz w:val="22"/>
          <w:szCs w:val="22"/>
          <w:u w:val="single"/>
          <w:lang w:val="aa-ET"/>
        </w:rPr>
        <w:t>Affordable housing and social housing: access to housing for people with low income</w:t>
      </w:r>
    </w:p>
    <w:p w14:paraId="66C2A2B6" w14:textId="0C884AF3" w:rsidR="006D08C0" w:rsidRPr="00231392" w:rsidRDefault="006D08C0" w:rsidP="008174B7">
      <w:pPr>
        <w:jc w:val="both"/>
        <w:rPr>
          <w:rFonts w:cstheme="minorHAnsi"/>
          <w:sz w:val="22"/>
          <w:szCs w:val="22"/>
          <w:lang w:val="aa-ET"/>
        </w:rPr>
      </w:pPr>
      <w:r w:rsidRPr="00231392">
        <w:rPr>
          <w:rFonts w:cstheme="minorHAnsi"/>
          <w:sz w:val="22"/>
          <w:szCs w:val="22"/>
          <w:lang w:val="aa-ET"/>
        </w:rPr>
        <w:t>The number of affordable social housing units has diminished. Government policies and legislation have contributed to an increase in rent and a reduction of available affordable housing in the social housing sector and little incentive to build new housing units. Affordability and availability of housing for people with low income</w:t>
      </w:r>
      <w:r w:rsidR="00467AB1" w:rsidRPr="00231392">
        <w:rPr>
          <w:rFonts w:cstheme="minorHAnsi"/>
          <w:sz w:val="22"/>
          <w:szCs w:val="22"/>
          <w:lang w:val="aa-ET"/>
        </w:rPr>
        <w:t xml:space="preserve"> has become a serious problem</w:t>
      </w:r>
      <w:r w:rsidRPr="00231392">
        <w:rPr>
          <w:rFonts w:cstheme="minorHAnsi"/>
          <w:sz w:val="22"/>
          <w:szCs w:val="22"/>
          <w:lang w:val="aa-ET"/>
        </w:rPr>
        <w:t>.</w:t>
      </w:r>
    </w:p>
    <w:p w14:paraId="53E904F8" w14:textId="77777777" w:rsidR="006D08C0" w:rsidRPr="00231392" w:rsidRDefault="006D08C0" w:rsidP="008174B7">
      <w:pPr>
        <w:jc w:val="both"/>
        <w:rPr>
          <w:rFonts w:cstheme="minorHAnsi"/>
          <w:sz w:val="22"/>
          <w:szCs w:val="22"/>
          <w:lang w:val="aa-ET"/>
        </w:rPr>
      </w:pPr>
    </w:p>
    <w:p w14:paraId="2391774B" w14:textId="353E9162" w:rsidR="000A1696" w:rsidRPr="00231392" w:rsidRDefault="000A1696" w:rsidP="008174B7">
      <w:pPr>
        <w:jc w:val="both"/>
        <w:rPr>
          <w:rFonts w:cstheme="minorHAnsi"/>
          <w:i/>
          <w:sz w:val="22"/>
          <w:szCs w:val="22"/>
          <w:lang w:val="aa-ET"/>
        </w:rPr>
      </w:pPr>
      <w:r w:rsidRPr="00231392">
        <w:rPr>
          <w:rFonts w:cstheme="minorHAnsi"/>
          <w:i/>
          <w:sz w:val="22"/>
          <w:szCs w:val="22"/>
          <w:lang w:val="aa-ET"/>
        </w:rPr>
        <w:t>Effect of choices in legislation</w:t>
      </w:r>
    </w:p>
    <w:p w14:paraId="7166D696" w14:textId="3592F8E5" w:rsidR="00011EB4" w:rsidRPr="00231392" w:rsidRDefault="00011EB4" w:rsidP="008174B7">
      <w:pPr>
        <w:jc w:val="both"/>
        <w:rPr>
          <w:rFonts w:cstheme="minorHAnsi"/>
          <w:sz w:val="22"/>
          <w:szCs w:val="22"/>
          <w:lang w:val="aa-ET"/>
        </w:rPr>
      </w:pPr>
      <w:r w:rsidRPr="00231392">
        <w:rPr>
          <w:rFonts w:cstheme="minorHAnsi"/>
          <w:sz w:val="22"/>
          <w:szCs w:val="22"/>
          <w:lang w:val="aa-ET"/>
        </w:rPr>
        <w:lastRenderedPageBreak/>
        <w:t xml:space="preserve">Since the new Housing Law of 2015 housing corporations are only allowed to build and cater for people with (very) low income. </w:t>
      </w:r>
      <w:r w:rsidR="00F637E4" w:rsidRPr="00231392">
        <w:rPr>
          <w:rFonts w:cstheme="minorHAnsi"/>
          <w:sz w:val="22"/>
          <w:szCs w:val="22"/>
          <w:lang w:val="aa-ET"/>
        </w:rPr>
        <w:t>The i</w:t>
      </w:r>
      <w:r w:rsidR="00EC668A" w:rsidRPr="00231392">
        <w:rPr>
          <w:rFonts w:cstheme="minorHAnsi"/>
          <w:sz w:val="22"/>
          <w:szCs w:val="22"/>
          <w:lang w:val="aa-ET"/>
        </w:rPr>
        <w:t xml:space="preserve">ncome threshold for social housing is very low. </w:t>
      </w:r>
      <w:r w:rsidR="00F637E4" w:rsidRPr="00231392">
        <w:rPr>
          <w:rFonts w:cstheme="minorHAnsi"/>
          <w:sz w:val="22"/>
          <w:szCs w:val="22"/>
          <w:lang w:val="aa-ET"/>
        </w:rPr>
        <w:t xml:space="preserve"> </w:t>
      </w:r>
      <w:r w:rsidR="00EC668A" w:rsidRPr="00231392">
        <w:rPr>
          <w:rFonts w:cstheme="minorHAnsi"/>
          <w:sz w:val="22"/>
          <w:szCs w:val="22"/>
          <w:lang w:val="aa-ET"/>
        </w:rPr>
        <w:t>This means</w:t>
      </w:r>
      <w:r w:rsidR="006D08C0" w:rsidRPr="00231392">
        <w:rPr>
          <w:rFonts w:cstheme="minorHAnsi"/>
          <w:sz w:val="22"/>
          <w:szCs w:val="22"/>
          <w:lang w:val="aa-ET"/>
        </w:rPr>
        <w:t xml:space="preserve"> </w:t>
      </w:r>
      <w:r w:rsidR="00EC668A" w:rsidRPr="00231392">
        <w:rPr>
          <w:rFonts w:cstheme="minorHAnsi"/>
          <w:sz w:val="22"/>
          <w:szCs w:val="22"/>
          <w:lang w:val="aa-ET"/>
        </w:rPr>
        <w:t>that only people with l</w:t>
      </w:r>
      <w:r w:rsidR="00F637E4" w:rsidRPr="00231392">
        <w:rPr>
          <w:rFonts w:cstheme="minorHAnsi"/>
          <w:sz w:val="22"/>
          <w:szCs w:val="22"/>
          <w:lang w:val="aa-ET"/>
        </w:rPr>
        <w:t>ow income can access social housing</w:t>
      </w:r>
      <w:r w:rsidR="00344561" w:rsidRPr="00231392">
        <w:rPr>
          <w:rFonts w:cstheme="minorHAnsi"/>
          <w:sz w:val="22"/>
          <w:szCs w:val="22"/>
          <w:lang w:val="aa-ET"/>
        </w:rPr>
        <w:t xml:space="preserve"> </w:t>
      </w:r>
      <w:r w:rsidR="005F00A8" w:rsidRPr="00231392">
        <w:rPr>
          <w:rFonts w:cstheme="minorHAnsi"/>
          <w:sz w:val="22"/>
          <w:szCs w:val="22"/>
          <w:lang w:val="aa-ET"/>
        </w:rPr>
        <w:t>(€40.024)</w:t>
      </w:r>
      <w:r w:rsidR="00F637E4" w:rsidRPr="00231392">
        <w:rPr>
          <w:rFonts w:cstheme="minorHAnsi"/>
          <w:sz w:val="22"/>
          <w:szCs w:val="22"/>
          <w:lang w:val="aa-ET"/>
        </w:rPr>
        <w:t>.</w:t>
      </w:r>
      <w:r w:rsidR="005F00A8" w:rsidRPr="00231392">
        <w:rPr>
          <w:rFonts w:cstheme="minorHAnsi"/>
          <w:sz w:val="22"/>
          <w:szCs w:val="22"/>
          <w:lang w:val="aa-ET"/>
        </w:rPr>
        <w:t xml:space="preserve"> The rental threshold for social housing is €752,33 per month.</w:t>
      </w:r>
      <w:r w:rsidR="006D08C0" w:rsidRPr="00231392">
        <w:rPr>
          <w:rFonts w:cstheme="minorHAnsi"/>
          <w:sz w:val="22"/>
          <w:szCs w:val="22"/>
          <w:lang w:val="aa-ET"/>
        </w:rPr>
        <w:t xml:space="preserve"> When houses pass this threshold,</w:t>
      </w:r>
      <w:r w:rsidR="005F00A8" w:rsidRPr="00231392">
        <w:rPr>
          <w:rFonts w:cstheme="minorHAnsi"/>
          <w:sz w:val="22"/>
          <w:szCs w:val="22"/>
          <w:lang w:val="aa-ET"/>
        </w:rPr>
        <w:t xml:space="preserve"> </w:t>
      </w:r>
      <w:r w:rsidR="006D08C0" w:rsidRPr="00231392">
        <w:rPr>
          <w:rFonts w:cstheme="minorHAnsi"/>
          <w:sz w:val="22"/>
          <w:szCs w:val="22"/>
          <w:lang w:val="aa-ET"/>
        </w:rPr>
        <w:t>they</w:t>
      </w:r>
      <w:r w:rsidR="005F00A8" w:rsidRPr="00231392">
        <w:rPr>
          <w:rFonts w:cstheme="minorHAnsi"/>
          <w:sz w:val="22"/>
          <w:szCs w:val="22"/>
          <w:lang w:val="aa-ET"/>
        </w:rPr>
        <w:t xml:space="preserve"> can be ‘liberalised’ which means </w:t>
      </w:r>
      <w:r w:rsidR="006D08C0" w:rsidRPr="00231392">
        <w:rPr>
          <w:rFonts w:cstheme="minorHAnsi"/>
          <w:sz w:val="22"/>
          <w:szCs w:val="22"/>
          <w:lang w:val="aa-ET"/>
        </w:rPr>
        <w:t>they are</w:t>
      </w:r>
      <w:r w:rsidR="005F00A8" w:rsidRPr="00231392">
        <w:rPr>
          <w:rFonts w:cstheme="minorHAnsi"/>
          <w:sz w:val="22"/>
          <w:szCs w:val="22"/>
          <w:lang w:val="aa-ET"/>
        </w:rPr>
        <w:t xml:space="preserve"> sold or </w:t>
      </w:r>
      <w:r w:rsidR="006D08C0" w:rsidRPr="00231392">
        <w:rPr>
          <w:rFonts w:cstheme="minorHAnsi"/>
          <w:sz w:val="22"/>
          <w:szCs w:val="22"/>
          <w:lang w:val="aa-ET"/>
        </w:rPr>
        <w:t>let</w:t>
      </w:r>
      <w:r w:rsidR="005F00A8" w:rsidRPr="00231392">
        <w:rPr>
          <w:rFonts w:cstheme="minorHAnsi"/>
          <w:sz w:val="22"/>
          <w:szCs w:val="22"/>
          <w:lang w:val="aa-ET"/>
        </w:rPr>
        <w:t xml:space="preserve"> within the liberalised sector. </w:t>
      </w:r>
      <w:r w:rsidR="007C14C8" w:rsidRPr="00231392">
        <w:rPr>
          <w:rFonts w:cstheme="minorHAnsi"/>
          <w:sz w:val="22"/>
          <w:szCs w:val="22"/>
          <w:lang w:val="aa-ET"/>
        </w:rPr>
        <w:t>Because of</w:t>
      </w:r>
      <w:r w:rsidRPr="00231392">
        <w:rPr>
          <w:rFonts w:cstheme="minorHAnsi"/>
          <w:sz w:val="22"/>
          <w:szCs w:val="22"/>
          <w:lang w:val="aa-ET"/>
        </w:rPr>
        <w:t xml:space="preserve"> legislative choices m</w:t>
      </w:r>
      <w:r w:rsidR="006D08C0" w:rsidRPr="00231392">
        <w:rPr>
          <w:rFonts w:cstheme="minorHAnsi"/>
          <w:sz w:val="22"/>
          <w:szCs w:val="22"/>
          <w:lang w:val="aa-ET"/>
        </w:rPr>
        <w:t>any</w:t>
      </w:r>
      <w:r w:rsidR="005F00A8" w:rsidRPr="00231392">
        <w:rPr>
          <w:rFonts w:cstheme="minorHAnsi"/>
          <w:sz w:val="22"/>
          <w:szCs w:val="22"/>
          <w:lang w:val="aa-ET"/>
        </w:rPr>
        <w:t xml:space="preserve"> houses in the social housing stock were ‘liberalised’, meaning s</w:t>
      </w:r>
      <w:r w:rsidR="00FC3B9A" w:rsidRPr="00231392">
        <w:rPr>
          <w:rFonts w:cstheme="minorHAnsi"/>
          <w:sz w:val="22"/>
          <w:szCs w:val="22"/>
          <w:lang w:val="aa-ET"/>
        </w:rPr>
        <w:t xml:space="preserve">ocial housing corporations </w:t>
      </w:r>
      <w:r w:rsidR="005F00A8" w:rsidRPr="00231392">
        <w:rPr>
          <w:rFonts w:cstheme="minorHAnsi"/>
          <w:sz w:val="22"/>
          <w:szCs w:val="22"/>
          <w:lang w:val="aa-ET"/>
        </w:rPr>
        <w:t xml:space="preserve">could sell them. </w:t>
      </w:r>
      <w:r w:rsidR="000A1696" w:rsidRPr="00231392">
        <w:rPr>
          <w:rFonts w:cstheme="minorHAnsi"/>
          <w:sz w:val="22"/>
          <w:szCs w:val="22"/>
          <w:lang w:val="aa-ET"/>
        </w:rPr>
        <w:t>By selling of housing stock or putting it in the ‘liberalised’ rental sector, the num</w:t>
      </w:r>
      <w:r w:rsidR="00DF2744" w:rsidRPr="00231392">
        <w:rPr>
          <w:rFonts w:cstheme="minorHAnsi"/>
          <w:sz w:val="22"/>
          <w:szCs w:val="22"/>
          <w:lang w:val="aa-ET"/>
        </w:rPr>
        <w:t>b</w:t>
      </w:r>
      <w:r w:rsidR="000A1696" w:rsidRPr="00231392">
        <w:rPr>
          <w:rFonts w:cstheme="minorHAnsi"/>
          <w:sz w:val="22"/>
          <w:szCs w:val="22"/>
          <w:lang w:val="aa-ET"/>
        </w:rPr>
        <w:t>er of affordable social housing units has decreased.</w:t>
      </w:r>
      <w:r w:rsidR="00FE76E6" w:rsidRPr="00231392">
        <w:rPr>
          <w:rStyle w:val="FootnoteReference"/>
          <w:rFonts w:cstheme="minorHAnsi"/>
          <w:sz w:val="22"/>
          <w:szCs w:val="22"/>
          <w:lang w:val="aa-ET"/>
        </w:rPr>
        <w:footnoteReference w:id="2"/>
      </w:r>
      <w:r w:rsidRPr="00231392">
        <w:rPr>
          <w:rFonts w:cstheme="minorHAnsi"/>
          <w:sz w:val="22"/>
          <w:szCs w:val="22"/>
          <w:lang w:val="aa-ET"/>
        </w:rPr>
        <w:t xml:space="preserve"> The then Minister for Housing, current Minister of Foreign Affairs Blok, actively sought to interest private investors in The Netherlands indicating that cheap social housing stock would soon become available to them </w:t>
      </w:r>
      <w:r w:rsidR="007C14C8" w:rsidRPr="00231392">
        <w:rPr>
          <w:rFonts w:cstheme="minorHAnsi"/>
          <w:sz w:val="22"/>
          <w:szCs w:val="22"/>
          <w:lang w:val="aa-ET"/>
        </w:rPr>
        <w:t>because of</w:t>
      </w:r>
      <w:r w:rsidRPr="00231392">
        <w:rPr>
          <w:rFonts w:cstheme="minorHAnsi"/>
          <w:sz w:val="22"/>
          <w:szCs w:val="22"/>
          <w:lang w:val="aa-ET"/>
        </w:rPr>
        <w:t xml:space="preserve"> the new Housing Law.</w:t>
      </w:r>
      <w:r w:rsidRPr="00231392">
        <w:rPr>
          <w:rStyle w:val="FootnoteReference"/>
          <w:rFonts w:cstheme="minorHAnsi"/>
          <w:sz w:val="22"/>
          <w:szCs w:val="22"/>
          <w:lang w:val="aa-ET"/>
        </w:rPr>
        <w:footnoteReference w:id="3"/>
      </w:r>
    </w:p>
    <w:p w14:paraId="59A0E4E5" w14:textId="77777777" w:rsidR="00011EB4" w:rsidRPr="00231392" w:rsidRDefault="00011EB4" w:rsidP="008174B7">
      <w:pPr>
        <w:jc w:val="both"/>
        <w:rPr>
          <w:rFonts w:cstheme="minorHAnsi"/>
          <w:sz w:val="22"/>
          <w:szCs w:val="22"/>
          <w:lang w:val="aa-ET"/>
        </w:rPr>
      </w:pPr>
    </w:p>
    <w:p w14:paraId="70001D35" w14:textId="1143304E" w:rsidR="00011EB4" w:rsidRPr="00231392" w:rsidRDefault="00011EB4" w:rsidP="008174B7">
      <w:pPr>
        <w:jc w:val="both"/>
        <w:rPr>
          <w:rFonts w:cstheme="minorHAnsi"/>
          <w:sz w:val="22"/>
          <w:szCs w:val="22"/>
          <w:lang w:val="aa-ET"/>
        </w:rPr>
      </w:pPr>
      <w:r w:rsidRPr="00231392">
        <w:rPr>
          <w:rFonts w:cstheme="minorHAnsi"/>
          <w:sz w:val="22"/>
          <w:szCs w:val="22"/>
          <w:lang w:val="aa-ET"/>
        </w:rPr>
        <w:t>As the provision of social housing has come under pressure waiting lists for social housing have increased substantially in the last few years. Recent figures show that the waiting time for social housing is more than 7 years in a quarter of all municipalities.</w:t>
      </w:r>
      <w:r w:rsidRPr="00231392">
        <w:rPr>
          <w:rStyle w:val="FootnoteReference"/>
          <w:rFonts w:cstheme="minorHAnsi"/>
          <w:sz w:val="22"/>
          <w:szCs w:val="22"/>
          <w:lang w:val="aa-ET"/>
        </w:rPr>
        <w:footnoteReference w:id="4"/>
      </w:r>
      <w:r w:rsidRPr="00231392">
        <w:rPr>
          <w:rFonts w:cstheme="minorHAnsi"/>
          <w:sz w:val="22"/>
          <w:szCs w:val="22"/>
          <w:lang w:val="aa-ET"/>
        </w:rPr>
        <w:t xml:space="preserve"> </w:t>
      </w:r>
    </w:p>
    <w:p w14:paraId="6DDDD7E0" w14:textId="77777777" w:rsidR="006D08C0" w:rsidRPr="00231392" w:rsidRDefault="006D08C0" w:rsidP="008174B7">
      <w:pPr>
        <w:jc w:val="both"/>
        <w:rPr>
          <w:rFonts w:cstheme="minorHAnsi"/>
          <w:sz w:val="22"/>
          <w:szCs w:val="22"/>
          <w:lang w:val="aa-ET"/>
        </w:rPr>
      </w:pPr>
    </w:p>
    <w:p w14:paraId="3C5C1E9D" w14:textId="6458B09C" w:rsidR="000A1696" w:rsidRPr="00231392" w:rsidRDefault="000A1696" w:rsidP="008174B7">
      <w:pPr>
        <w:jc w:val="both"/>
        <w:rPr>
          <w:rFonts w:cstheme="minorHAnsi"/>
          <w:i/>
          <w:sz w:val="22"/>
          <w:szCs w:val="22"/>
          <w:lang w:val="aa-ET"/>
        </w:rPr>
      </w:pPr>
      <w:r w:rsidRPr="00231392">
        <w:rPr>
          <w:rFonts w:cstheme="minorHAnsi"/>
          <w:i/>
          <w:sz w:val="22"/>
          <w:szCs w:val="22"/>
          <w:lang w:val="aa-ET"/>
        </w:rPr>
        <w:t>Effect of tax policy</w:t>
      </w:r>
    </w:p>
    <w:p w14:paraId="7E1526E3" w14:textId="3581986F" w:rsidR="00FC3B9A" w:rsidRPr="00231392" w:rsidRDefault="005F00A8" w:rsidP="008174B7">
      <w:pPr>
        <w:jc w:val="both"/>
        <w:rPr>
          <w:rFonts w:cstheme="minorHAnsi"/>
          <w:sz w:val="22"/>
          <w:szCs w:val="22"/>
          <w:lang w:val="aa-ET"/>
        </w:rPr>
      </w:pPr>
      <w:r w:rsidRPr="00231392">
        <w:rPr>
          <w:rFonts w:cstheme="minorHAnsi"/>
          <w:sz w:val="22"/>
          <w:szCs w:val="22"/>
          <w:lang w:val="aa-ET"/>
        </w:rPr>
        <w:t>Also</w:t>
      </w:r>
      <w:r w:rsidR="00CF3B03" w:rsidRPr="00231392">
        <w:rPr>
          <w:rFonts w:cstheme="minorHAnsi"/>
          <w:sz w:val="22"/>
          <w:szCs w:val="22"/>
          <w:lang w:val="aa-ET"/>
        </w:rPr>
        <w:t>,</w:t>
      </w:r>
      <w:r w:rsidR="00FC3B9A" w:rsidRPr="00231392">
        <w:rPr>
          <w:rFonts w:cstheme="minorHAnsi"/>
          <w:sz w:val="22"/>
          <w:szCs w:val="22"/>
          <w:lang w:val="aa-ET"/>
        </w:rPr>
        <w:t xml:space="preserve"> </w:t>
      </w:r>
      <w:r w:rsidRPr="00231392">
        <w:rPr>
          <w:rFonts w:cstheme="minorHAnsi"/>
          <w:sz w:val="22"/>
          <w:szCs w:val="22"/>
          <w:lang w:val="aa-ET"/>
        </w:rPr>
        <w:t xml:space="preserve">social housing corporations were forced to pay </w:t>
      </w:r>
      <w:r w:rsidR="00FC3B9A" w:rsidRPr="00231392">
        <w:rPr>
          <w:rFonts w:cstheme="minorHAnsi"/>
          <w:sz w:val="22"/>
          <w:szCs w:val="22"/>
          <w:lang w:val="aa-ET"/>
        </w:rPr>
        <w:t>considerable extra tax</w:t>
      </w:r>
      <w:r w:rsidR="00BA337D" w:rsidRPr="00231392">
        <w:rPr>
          <w:rFonts w:cstheme="minorHAnsi"/>
          <w:sz w:val="22"/>
          <w:szCs w:val="22"/>
          <w:lang w:val="aa-ET"/>
        </w:rPr>
        <w:t xml:space="preserve"> (“verhuurderheffing”</w:t>
      </w:r>
      <w:r w:rsidRPr="00231392">
        <w:rPr>
          <w:rFonts w:cstheme="minorHAnsi"/>
          <w:sz w:val="22"/>
          <w:szCs w:val="22"/>
          <w:lang w:val="aa-ET"/>
        </w:rPr>
        <w:t>)</w:t>
      </w:r>
      <w:r w:rsidR="00FC3B9A" w:rsidRPr="00231392">
        <w:rPr>
          <w:rFonts w:cstheme="minorHAnsi"/>
          <w:sz w:val="22"/>
          <w:szCs w:val="22"/>
          <w:lang w:val="aa-ET"/>
        </w:rPr>
        <w:t xml:space="preserve">. This tax was introduced as a crisis measure </w:t>
      </w:r>
      <w:r w:rsidR="00BA337D" w:rsidRPr="00231392">
        <w:rPr>
          <w:rFonts w:cstheme="minorHAnsi"/>
          <w:sz w:val="22"/>
          <w:szCs w:val="22"/>
          <w:lang w:val="aa-ET"/>
        </w:rPr>
        <w:t xml:space="preserve">since </w:t>
      </w:r>
      <w:r w:rsidR="00CF3B03" w:rsidRPr="00231392">
        <w:rPr>
          <w:rFonts w:cstheme="minorHAnsi"/>
          <w:sz w:val="22"/>
          <w:szCs w:val="22"/>
          <w:lang w:val="aa-ET"/>
        </w:rPr>
        <w:t>2013</w:t>
      </w:r>
      <w:r w:rsidR="00FC3B9A" w:rsidRPr="00231392">
        <w:rPr>
          <w:rFonts w:cstheme="minorHAnsi"/>
          <w:sz w:val="22"/>
          <w:szCs w:val="22"/>
          <w:lang w:val="aa-ET"/>
        </w:rPr>
        <w:t>, but has</w:t>
      </w:r>
      <w:r w:rsidR="00BA337D" w:rsidRPr="00231392">
        <w:rPr>
          <w:rFonts w:cstheme="minorHAnsi"/>
          <w:sz w:val="22"/>
          <w:szCs w:val="22"/>
          <w:lang w:val="aa-ET"/>
        </w:rPr>
        <w:t xml:space="preserve"> since</w:t>
      </w:r>
      <w:r w:rsidR="00FC3B9A" w:rsidRPr="00231392">
        <w:rPr>
          <w:rFonts w:cstheme="minorHAnsi"/>
          <w:sz w:val="22"/>
          <w:szCs w:val="22"/>
          <w:lang w:val="aa-ET"/>
        </w:rPr>
        <w:t xml:space="preserve"> become a permanent tax measure. </w:t>
      </w:r>
      <w:r w:rsidR="00BA337D" w:rsidRPr="00231392">
        <w:rPr>
          <w:rFonts w:cstheme="minorHAnsi"/>
          <w:sz w:val="22"/>
          <w:szCs w:val="22"/>
          <w:lang w:val="aa-ET"/>
        </w:rPr>
        <w:t xml:space="preserve">The Dutch association of social housing providers (Aedes) and the Dutch </w:t>
      </w:r>
      <w:r w:rsidR="00CF3B03" w:rsidRPr="00231392">
        <w:rPr>
          <w:rFonts w:cstheme="minorHAnsi"/>
          <w:sz w:val="22"/>
          <w:szCs w:val="22"/>
          <w:lang w:val="aa-ET"/>
        </w:rPr>
        <w:t>tenant’s</w:t>
      </w:r>
      <w:r w:rsidR="00BA337D" w:rsidRPr="00231392">
        <w:rPr>
          <w:rFonts w:cstheme="minorHAnsi"/>
          <w:sz w:val="22"/>
          <w:szCs w:val="22"/>
          <w:lang w:val="aa-ET"/>
        </w:rPr>
        <w:t xml:space="preserve"> association (de Woonbond) have been advocating for the abolishment of this tax, indicati</w:t>
      </w:r>
      <w:r w:rsidR="00F637E4" w:rsidRPr="00231392">
        <w:rPr>
          <w:rFonts w:cstheme="minorHAnsi"/>
          <w:sz w:val="22"/>
          <w:szCs w:val="22"/>
          <w:lang w:val="aa-ET"/>
        </w:rPr>
        <w:t xml:space="preserve">ng that tenants indirectly pay for this extra tax </w:t>
      </w:r>
      <w:r w:rsidR="00BA337D" w:rsidRPr="00231392">
        <w:rPr>
          <w:rFonts w:cstheme="minorHAnsi"/>
          <w:sz w:val="22"/>
          <w:szCs w:val="22"/>
          <w:lang w:val="aa-ET"/>
        </w:rPr>
        <w:t>through their rents and it hampers social housing provider</w:t>
      </w:r>
      <w:r w:rsidR="00CF3B03" w:rsidRPr="00231392">
        <w:rPr>
          <w:rFonts w:cstheme="minorHAnsi"/>
          <w:sz w:val="22"/>
          <w:szCs w:val="22"/>
          <w:lang w:val="aa-ET"/>
        </w:rPr>
        <w:t>’</w:t>
      </w:r>
      <w:r w:rsidR="00BA337D" w:rsidRPr="00231392">
        <w:rPr>
          <w:rFonts w:cstheme="minorHAnsi"/>
          <w:sz w:val="22"/>
          <w:szCs w:val="22"/>
          <w:lang w:val="aa-ET"/>
        </w:rPr>
        <w:t>s efforts to increase their stock of affordable social housing.</w:t>
      </w:r>
      <w:r w:rsidR="003B347F" w:rsidRPr="00231392">
        <w:rPr>
          <w:rStyle w:val="FootnoteReference"/>
          <w:rFonts w:cstheme="minorHAnsi"/>
          <w:sz w:val="22"/>
          <w:szCs w:val="22"/>
          <w:lang w:val="aa-ET"/>
        </w:rPr>
        <w:footnoteReference w:id="5"/>
      </w:r>
      <w:r w:rsidR="00BA337D" w:rsidRPr="00231392">
        <w:rPr>
          <w:rFonts w:cstheme="minorHAnsi"/>
          <w:sz w:val="22"/>
          <w:szCs w:val="22"/>
          <w:lang w:val="aa-ET"/>
        </w:rPr>
        <w:t xml:space="preserve"> </w:t>
      </w:r>
    </w:p>
    <w:p w14:paraId="397C3B5F" w14:textId="0ADBE5EF" w:rsidR="000A1696" w:rsidRPr="00231392" w:rsidRDefault="000A1696" w:rsidP="008174B7">
      <w:pPr>
        <w:jc w:val="both"/>
        <w:rPr>
          <w:rFonts w:cstheme="minorHAnsi"/>
          <w:sz w:val="22"/>
          <w:szCs w:val="22"/>
          <w:lang w:val="aa-ET"/>
        </w:rPr>
      </w:pPr>
    </w:p>
    <w:p w14:paraId="006FBF4E" w14:textId="12459553" w:rsidR="000A1696" w:rsidRPr="00231392" w:rsidRDefault="000A1696" w:rsidP="008174B7">
      <w:pPr>
        <w:jc w:val="both"/>
        <w:rPr>
          <w:rFonts w:cstheme="minorHAnsi"/>
          <w:i/>
          <w:sz w:val="22"/>
          <w:szCs w:val="22"/>
          <w:lang w:val="aa-ET"/>
        </w:rPr>
      </w:pPr>
      <w:r w:rsidRPr="00231392">
        <w:rPr>
          <w:rFonts w:cstheme="minorHAnsi"/>
          <w:i/>
          <w:sz w:val="22"/>
          <w:szCs w:val="22"/>
          <w:lang w:val="aa-ET"/>
        </w:rPr>
        <w:t>Municipal housing policy: “diversification” of neighbourhoods</w:t>
      </w:r>
    </w:p>
    <w:p w14:paraId="79063D77" w14:textId="77777777" w:rsidR="0028659D" w:rsidRPr="00231392" w:rsidRDefault="000A1696" w:rsidP="008174B7">
      <w:pPr>
        <w:jc w:val="both"/>
        <w:rPr>
          <w:rFonts w:cstheme="minorHAnsi"/>
          <w:sz w:val="22"/>
          <w:szCs w:val="22"/>
          <w:lang w:val="aa-ET"/>
        </w:rPr>
      </w:pPr>
      <w:r w:rsidRPr="00231392">
        <w:rPr>
          <w:rFonts w:cstheme="minorHAnsi"/>
          <w:sz w:val="22"/>
          <w:szCs w:val="22"/>
          <w:lang w:val="aa-ET"/>
        </w:rPr>
        <w:t xml:space="preserve">Selling of social housing stock, liberalisation of social housing stock to be rented in the liberalised sector, and destruction of affordable housing has led to a decrease in affordable housing for people with low income. </w:t>
      </w:r>
      <w:r w:rsidR="0028659D" w:rsidRPr="00231392">
        <w:rPr>
          <w:rFonts w:cstheme="minorHAnsi"/>
          <w:sz w:val="22"/>
          <w:szCs w:val="22"/>
          <w:lang w:val="aa-ET"/>
        </w:rPr>
        <w:t xml:space="preserve">In certain municipalities this has been further exacerbated by housing policies and programmes designed to ‘diversify’ neighbourhoods. In essence this means limiting availability of affordable social housing for low income groups, in favour of more expensive private rental sector and home ownership. </w:t>
      </w:r>
    </w:p>
    <w:p w14:paraId="2C735EEF" w14:textId="77777777" w:rsidR="0028659D" w:rsidRPr="00231392" w:rsidRDefault="0028659D" w:rsidP="008174B7">
      <w:pPr>
        <w:jc w:val="both"/>
        <w:rPr>
          <w:rFonts w:cstheme="minorHAnsi"/>
          <w:sz w:val="22"/>
          <w:szCs w:val="22"/>
          <w:lang w:val="aa-ET"/>
        </w:rPr>
      </w:pPr>
    </w:p>
    <w:p w14:paraId="30011AF1" w14:textId="13FE6C0E" w:rsidR="003B347F" w:rsidRPr="00231392" w:rsidRDefault="0028659D" w:rsidP="008174B7">
      <w:pPr>
        <w:jc w:val="both"/>
        <w:rPr>
          <w:rFonts w:cstheme="minorHAnsi"/>
          <w:sz w:val="22"/>
          <w:szCs w:val="22"/>
          <w:lang w:val="aa-ET"/>
        </w:rPr>
      </w:pPr>
      <w:r w:rsidRPr="00231392">
        <w:rPr>
          <w:rFonts w:cstheme="minorHAnsi"/>
          <w:sz w:val="22"/>
          <w:szCs w:val="22"/>
          <w:lang w:val="aa-ET"/>
        </w:rPr>
        <w:t>T</w:t>
      </w:r>
      <w:r w:rsidR="000A1696" w:rsidRPr="00231392">
        <w:rPr>
          <w:rFonts w:cstheme="minorHAnsi"/>
          <w:sz w:val="22"/>
          <w:szCs w:val="22"/>
          <w:lang w:val="aa-ET"/>
        </w:rPr>
        <w:t xml:space="preserve">he municipality of Rotterdam is </w:t>
      </w:r>
      <w:r w:rsidR="004C591E" w:rsidRPr="00231392">
        <w:rPr>
          <w:rFonts w:cstheme="minorHAnsi"/>
          <w:sz w:val="22"/>
          <w:szCs w:val="22"/>
          <w:lang w:val="aa-ET"/>
        </w:rPr>
        <w:t xml:space="preserve">currently </w:t>
      </w:r>
      <w:r w:rsidR="005F6DCF" w:rsidRPr="00231392">
        <w:rPr>
          <w:rFonts w:cstheme="minorHAnsi"/>
          <w:sz w:val="22"/>
          <w:szCs w:val="22"/>
          <w:lang w:val="aa-ET"/>
        </w:rPr>
        <w:t>destroying</w:t>
      </w:r>
      <w:r w:rsidR="000A1696" w:rsidRPr="00231392">
        <w:rPr>
          <w:rFonts w:cstheme="minorHAnsi"/>
          <w:sz w:val="22"/>
          <w:szCs w:val="22"/>
          <w:lang w:val="aa-ET"/>
        </w:rPr>
        <w:t xml:space="preserve"> neighbourhoods</w:t>
      </w:r>
      <w:r w:rsidR="004C591E" w:rsidRPr="00231392">
        <w:rPr>
          <w:rFonts w:cstheme="minorHAnsi"/>
          <w:sz w:val="22"/>
          <w:szCs w:val="22"/>
          <w:lang w:val="aa-ET"/>
        </w:rPr>
        <w:t xml:space="preserve"> and evicting people from social housing</w:t>
      </w:r>
      <w:r w:rsidR="000A1696" w:rsidRPr="00231392">
        <w:rPr>
          <w:rFonts w:cstheme="minorHAnsi"/>
          <w:sz w:val="22"/>
          <w:szCs w:val="22"/>
          <w:lang w:val="aa-ET"/>
        </w:rPr>
        <w:t xml:space="preserve"> </w:t>
      </w:r>
      <w:r w:rsidR="004C591E" w:rsidRPr="00231392">
        <w:rPr>
          <w:rFonts w:cstheme="minorHAnsi"/>
          <w:sz w:val="22"/>
          <w:szCs w:val="22"/>
          <w:lang w:val="aa-ET"/>
        </w:rPr>
        <w:t xml:space="preserve">to be replaced by </w:t>
      </w:r>
      <w:r w:rsidR="000A1696" w:rsidRPr="00231392">
        <w:rPr>
          <w:rFonts w:cstheme="minorHAnsi"/>
          <w:sz w:val="22"/>
          <w:szCs w:val="22"/>
          <w:lang w:val="aa-ET"/>
        </w:rPr>
        <w:t>for private sector housing (to let and ownership), as part of a development policy in South of Rotterdam.</w:t>
      </w:r>
      <w:r w:rsidR="00BB7349" w:rsidRPr="00231392">
        <w:rPr>
          <w:rStyle w:val="FootnoteReference"/>
          <w:rFonts w:cstheme="minorHAnsi"/>
          <w:sz w:val="22"/>
          <w:szCs w:val="22"/>
          <w:lang w:val="aa-ET"/>
        </w:rPr>
        <w:footnoteReference w:id="6"/>
      </w:r>
      <w:r w:rsidR="000A1696" w:rsidRPr="00231392">
        <w:rPr>
          <w:rFonts w:cstheme="minorHAnsi"/>
          <w:sz w:val="22"/>
          <w:szCs w:val="22"/>
          <w:lang w:val="aa-ET"/>
        </w:rPr>
        <w:t xml:space="preserve"> </w:t>
      </w:r>
      <w:r w:rsidR="00BE6443" w:rsidRPr="00231392">
        <w:rPr>
          <w:rFonts w:cstheme="minorHAnsi"/>
          <w:sz w:val="22"/>
          <w:szCs w:val="22"/>
          <w:lang w:val="aa-ET"/>
        </w:rPr>
        <w:t xml:space="preserve"> In the Tweebos neighbourhood. 535 social housing units will be destroyed. Only 130 new social housing units will be rebuilt. Some 300 new houses will be available to buy or in the private rental sector. The explicit goal of the overarching policy is to create a more social-economic diverse population.</w:t>
      </w:r>
      <w:r w:rsidR="00CD41CE" w:rsidRPr="00231392">
        <w:rPr>
          <w:rStyle w:val="FootnoteReference"/>
          <w:rFonts w:cstheme="minorHAnsi"/>
          <w:sz w:val="22"/>
          <w:szCs w:val="22"/>
          <w:lang w:val="aa-ET"/>
        </w:rPr>
        <w:footnoteReference w:id="7"/>
      </w:r>
    </w:p>
    <w:p w14:paraId="594AAA57" w14:textId="77777777" w:rsidR="00BE6443" w:rsidRPr="00231392" w:rsidRDefault="00BE6443" w:rsidP="008174B7">
      <w:pPr>
        <w:jc w:val="both"/>
        <w:rPr>
          <w:rFonts w:cstheme="minorHAnsi"/>
          <w:sz w:val="22"/>
          <w:szCs w:val="22"/>
          <w:lang w:val="aa-ET"/>
        </w:rPr>
      </w:pPr>
    </w:p>
    <w:p w14:paraId="5C960A5D" w14:textId="261558B9" w:rsidR="00BE6443" w:rsidRPr="00231392" w:rsidRDefault="003B347F" w:rsidP="008174B7">
      <w:pPr>
        <w:jc w:val="both"/>
        <w:rPr>
          <w:rFonts w:cstheme="minorHAnsi"/>
          <w:sz w:val="22"/>
          <w:szCs w:val="22"/>
          <w:lang w:val="aa-ET"/>
        </w:rPr>
      </w:pPr>
      <w:r w:rsidRPr="00231392">
        <w:rPr>
          <w:rFonts w:cstheme="minorHAnsi"/>
          <w:sz w:val="22"/>
          <w:szCs w:val="22"/>
          <w:lang w:val="aa-ET"/>
        </w:rPr>
        <w:t xml:space="preserve">Most appeals against eviction were unsuccessful. In one </w:t>
      </w:r>
      <w:r w:rsidR="004C591E" w:rsidRPr="00231392">
        <w:rPr>
          <w:rFonts w:cstheme="minorHAnsi"/>
          <w:sz w:val="22"/>
          <w:szCs w:val="22"/>
          <w:lang w:val="aa-ET"/>
        </w:rPr>
        <w:t>case,</w:t>
      </w:r>
      <w:r w:rsidRPr="00231392">
        <w:rPr>
          <w:rFonts w:cstheme="minorHAnsi"/>
          <w:sz w:val="22"/>
          <w:szCs w:val="22"/>
          <w:lang w:val="aa-ET"/>
        </w:rPr>
        <w:t xml:space="preserve"> there was success. The judge indicated, amongst others, the housing corporation had failed to consult people threatened</w:t>
      </w:r>
      <w:r w:rsidR="004C591E" w:rsidRPr="00231392">
        <w:rPr>
          <w:rFonts w:cstheme="minorHAnsi"/>
          <w:sz w:val="22"/>
          <w:szCs w:val="22"/>
          <w:lang w:val="aa-ET"/>
        </w:rPr>
        <w:t xml:space="preserve"> by </w:t>
      </w:r>
      <w:r w:rsidR="00231392" w:rsidRPr="00231392">
        <w:rPr>
          <w:rFonts w:cstheme="minorHAnsi"/>
          <w:sz w:val="22"/>
          <w:szCs w:val="22"/>
          <w:lang w:val="aa-ET"/>
        </w:rPr>
        <w:t>eviction and</w:t>
      </w:r>
      <w:r w:rsidRPr="00231392">
        <w:rPr>
          <w:rFonts w:cstheme="minorHAnsi"/>
          <w:sz w:val="22"/>
          <w:szCs w:val="22"/>
          <w:lang w:val="aa-ET"/>
        </w:rPr>
        <w:t xml:space="preserve"> highlighted that availability of affordable housing was under severe threat. Destroying social housing stock without replacing it would not be in line with obligations under the right to housing as formulated in the Dutch Constitution (art. 22). The appeal by the social housing provider is pending.</w:t>
      </w:r>
      <w:r w:rsidR="00BE6443" w:rsidRPr="00231392">
        <w:rPr>
          <w:rFonts w:cstheme="minorHAnsi"/>
          <w:sz w:val="22"/>
          <w:szCs w:val="22"/>
          <w:lang w:val="aa-ET"/>
        </w:rPr>
        <w:t xml:space="preserve"> However, in April 2021, the social housing provider (Vestia) started the destruction of houses.</w:t>
      </w:r>
      <w:r w:rsidR="00785953" w:rsidRPr="00231392">
        <w:rPr>
          <w:rStyle w:val="FootnoteReference"/>
          <w:rFonts w:cstheme="minorHAnsi"/>
          <w:sz w:val="22"/>
          <w:szCs w:val="22"/>
          <w:lang w:val="aa-ET"/>
        </w:rPr>
        <w:footnoteReference w:id="8"/>
      </w:r>
    </w:p>
    <w:p w14:paraId="5754C1CE" w14:textId="77777777" w:rsidR="00FC3B9A" w:rsidRPr="00231392" w:rsidRDefault="00FC3B9A" w:rsidP="008174B7">
      <w:pPr>
        <w:jc w:val="both"/>
        <w:rPr>
          <w:rFonts w:cstheme="minorHAnsi"/>
          <w:sz w:val="22"/>
          <w:szCs w:val="22"/>
          <w:lang w:val="aa-ET"/>
        </w:rPr>
      </w:pPr>
    </w:p>
    <w:p w14:paraId="53C5CD95" w14:textId="77777777" w:rsidR="00231392" w:rsidRPr="00231392" w:rsidRDefault="00231392" w:rsidP="008174B7">
      <w:pPr>
        <w:jc w:val="both"/>
        <w:rPr>
          <w:rFonts w:cstheme="minorHAnsi"/>
          <w:i/>
          <w:sz w:val="22"/>
          <w:szCs w:val="22"/>
          <w:lang w:val="aa-ET"/>
        </w:rPr>
      </w:pPr>
    </w:p>
    <w:p w14:paraId="09343B36" w14:textId="0B018130" w:rsidR="000A1696" w:rsidRPr="00231392" w:rsidRDefault="000A1696" w:rsidP="008174B7">
      <w:pPr>
        <w:jc w:val="both"/>
        <w:rPr>
          <w:rFonts w:cstheme="minorHAnsi"/>
          <w:i/>
          <w:sz w:val="22"/>
          <w:szCs w:val="22"/>
          <w:lang w:val="aa-ET"/>
        </w:rPr>
      </w:pPr>
      <w:r w:rsidRPr="00231392">
        <w:rPr>
          <w:rFonts w:cstheme="minorHAnsi"/>
          <w:i/>
          <w:sz w:val="22"/>
          <w:szCs w:val="22"/>
          <w:lang w:val="aa-ET"/>
        </w:rPr>
        <w:lastRenderedPageBreak/>
        <w:t>Housing costs</w:t>
      </w:r>
    </w:p>
    <w:p w14:paraId="18ED2246" w14:textId="59AA3F3F" w:rsidR="001D7362" w:rsidRPr="00231392" w:rsidRDefault="00777442" w:rsidP="008174B7">
      <w:pPr>
        <w:jc w:val="both"/>
        <w:rPr>
          <w:rFonts w:cstheme="minorHAnsi"/>
          <w:sz w:val="22"/>
          <w:szCs w:val="22"/>
          <w:lang w:val="aa-ET"/>
        </w:rPr>
      </w:pPr>
      <w:r w:rsidRPr="00231392">
        <w:rPr>
          <w:rFonts w:cstheme="minorHAnsi"/>
          <w:sz w:val="22"/>
          <w:szCs w:val="22"/>
          <w:lang w:val="aa-ET"/>
        </w:rPr>
        <w:t xml:space="preserve">The </w:t>
      </w:r>
      <w:r w:rsidR="00FC3B9A" w:rsidRPr="00231392">
        <w:rPr>
          <w:rFonts w:cstheme="minorHAnsi"/>
          <w:sz w:val="22"/>
          <w:szCs w:val="22"/>
          <w:lang w:val="aa-ET"/>
        </w:rPr>
        <w:t>burden of housing-related costs</w:t>
      </w:r>
      <w:r w:rsidRPr="00231392">
        <w:rPr>
          <w:rFonts w:cstheme="minorHAnsi"/>
          <w:sz w:val="22"/>
          <w:szCs w:val="22"/>
          <w:lang w:val="aa-ET"/>
        </w:rPr>
        <w:t xml:space="preserve"> for poor households</w:t>
      </w:r>
      <w:r w:rsidR="00FC3B9A" w:rsidRPr="00231392">
        <w:rPr>
          <w:rFonts w:cstheme="minorHAnsi"/>
          <w:sz w:val="22"/>
          <w:szCs w:val="22"/>
          <w:lang w:val="aa-ET"/>
        </w:rPr>
        <w:t xml:space="preserve"> is increasingly high. Figures show</w:t>
      </w:r>
      <w:r w:rsidR="001D7362" w:rsidRPr="00231392">
        <w:rPr>
          <w:rFonts w:cstheme="minorHAnsi"/>
          <w:sz w:val="22"/>
          <w:szCs w:val="22"/>
          <w:lang w:val="aa-ET"/>
        </w:rPr>
        <w:t xml:space="preserve"> that poor households average share of housing expenditure as a proportion of disposable income is on average 46,7%</w:t>
      </w:r>
      <w:r w:rsidR="00FC3B9A" w:rsidRPr="00231392">
        <w:rPr>
          <w:rFonts w:cstheme="minorHAnsi"/>
          <w:sz w:val="22"/>
          <w:szCs w:val="22"/>
          <w:lang w:val="aa-ET"/>
        </w:rPr>
        <w:t>.</w:t>
      </w:r>
      <w:r w:rsidR="001D7362" w:rsidRPr="00231392">
        <w:rPr>
          <w:rFonts w:cstheme="minorHAnsi"/>
          <w:sz w:val="22"/>
          <w:szCs w:val="22"/>
          <w:lang w:val="aa-ET"/>
        </w:rPr>
        <w:t xml:space="preserve"> For the total population this is 23,4%.</w:t>
      </w:r>
      <w:r w:rsidR="00BF6AF0" w:rsidRPr="00231392">
        <w:rPr>
          <w:rStyle w:val="FootnoteReference"/>
          <w:rFonts w:cstheme="minorHAnsi"/>
          <w:sz w:val="22"/>
          <w:szCs w:val="22"/>
          <w:lang w:val="aa-ET"/>
        </w:rPr>
        <w:footnoteReference w:id="9"/>
      </w:r>
      <w:r w:rsidR="00FC3B9A" w:rsidRPr="00231392">
        <w:rPr>
          <w:rFonts w:cstheme="minorHAnsi"/>
          <w:sz w:val="22"/>
          <w:szCs w:val="22"/>
          <w:lang w:val="aa-ET"/>
        </w:rPr>
        <w:t xml:space="preserve"> </w:t>
      </w:r>
    </w:p>
    <w:p w14:paraId="029BEE3D" w14:textId="77777777" w:rsidR="000A1696" w:rsidRPr="00231392" w:rsidRDefault="000A1696" w:rsidP="008174B7">
      <w:pPr>
        <w:jc w:val="both"/>
        <w:rPr>
          <w:rFonts w:cstheme="minorHAnsi"/>
          <w:sz w:val="22"/>
          <w:szCs w:val="22"/>
          <w:lang w:val="aa-ET"/>
        </w:rPr>
      </w:pPr>
    </w:p>
    <w:p w14:paraId="699BD2AD" w14:textId="0C3086BC" w:rsidR="00FC3B9A" w:rsidRPr="00231392" w:rsidRDefault="001D7362" w:rsidP="008174B7">
      <w:pPr>
        <w:jc w:val="both"/>
        <w:rPr>
          <w:rFonts w:cstheme="minorHAnsi"/>
          <w:sz w:val="22"/>
          <w:szCs w:val="22"/>
          <w:lang w:val="aa-ET"/>
        </w:rPr>
      </w:pPr>
      <w:r w:rsidRPr="00231392">
        <w:rPr>
          <w:rFonts w:cstheme="minorHAnsi"/>
          <w:sz w:val="22"/>
          <w:szCs w:val="22"/>
          <w:lang w:val="aa-ET"/>
        </w:rPr>
        <w:t xml:space="preserve">People living on social benefits are disproportionally affected by poverty. </w:t>
      </w:r>
      <w:r w:rsidR="00FC3B9A" w:rsidRPr="00231392">
        <w:rPr>
          <w:rFonts w:cstheme="minorHAnsi"/>
          <w:sz w:val="22"/>
          <w:szCs w:val="22"/>
          <w:lang w:val="aa-ET"/>
        </w:rPr>
        <w:t>A recent report published by the association of social housing providers and the national tenants association shows that an important underlying problem is limited income. People on benefits, especially social assistance benefits, increasingly live in poverty. Their social benefits are not high enough to cover all expenses, including housing related expenses. While there is a system of allowances, this system is extremely complicated.</w:t>
      </w:r>
      <w:r w:rsidRPr="00231392">
        <w:rPr>
          <w:rFonts w:cstheme="minorHAnsi"/>
          <w:sz w:val="22"/>
          <w:szCs w:val="22"/>
          <w:lang w:val="aa-ET"/>
        </w:rPr>
        <w:t xml:space="preserve"> Rent increases </w:t>
      </w:r>
      <w:r w:rsidR="00CB0E91" w:rsidRPr="00231392">
        <w:rPr>
          <w:rFonts w:cstheme="minorHAnsi"/>
          <w:sz w:val="22"/>
          <w:szCs w:val="22"/>
          <w:lang w:val="aa-ET"/>
        </w:rPr>
        <w:t>have exacerbated the problem of affordability.</w:t>
      </w:r>
      <w:r w:rsidR="00BF6AF0" w:rsidRPr="00231392">
        <w:rPr>
          <w:rStyle w:val="FootnoteReference"/>
          <w:rFonts w:cstheme="minorHAnsi"/>
          <w:sz w:val="22"/>
          <w:szCs w:val="22"/>
          <w:lang w:val="aa-ET"/>
        </w:rPr>
        <w:footnoteReference w:id="10"/>
      </w:r>
    </w:p>
    <w:p w14:paraId="0B02E4E6" w14:textId="77777777" w:rsidR="004C591E" w:rsidRPr="00231392" w:rsidRDefault="004C591E" w:rsidP="008174B7">
      <w:pPr>
        <w:jc w:val="both"/>
        <w:rPr>
          <w:rFonts w:cstheme="minorHAnsi"/>
          <w:sz w:val="22"/>
          <w:szCs w:val="22"/>
          <w:lang w:val="aa-ET"/>
        </w:rPr>
      </w:pPr>
    </w:p>
    <w:p w14:paraId="456EFCE9" w14:textId="3E5809C7" w:rsidR="000A1696" w:rsidRPr="00231392" w:rsidRDefault="004C591E" w:rsidP="008174B7">
      <w:pPr>
        <w:jc w:val="both"/>
        <w:rPr>
          <w:rFonts w:cstheme="minorHAnsi"/>
          <w:i/>
          <w:sz w:val="22"/>
          <w:szCs w:val="22"/>
          <w:lang w:val="aa-ET"/>
        </w:rPr>
      </w:pPr>
      <w:r w:rsidRPr="00231392">
        <w:rPr>
          <w:rFonts w:cstheme="minorHAnsi"/>
          <w:i/>
          <w:sz w:val="22"/>
          <w:szCs w:val="22"/>
          <w:lang w:val="aa-ET"/>
        </w:rPr>
        <w:t>Legislation and policy has led to</w:t>
      </w:r>
      <w:r w:rsidR="000A1696" w:rsidRPr="00231392">
        <w:rPr>
          <w:rFonts w:cstheme="minorHAnsi"/>
          <w:i/>
          <w:sz w:val="22"/>
          <w:szCs w:val="22"/>
          <w:lang w:val="aa-ET"/>
        </w:rPr>
        <w:t xml:space="preserve"> </w:t>
      </w:r>
      <w:r w:rsidR="00231392" w:rsidRPr="00231392">
        <w:rPr>
          <w:rFonts w:cstheme="minorHAnsi"/>
          <w:i/>
          <w:sz w:val="22"/>
          <w:szCs w:val="22"/>
          <w:lang w:val="aa-ET"/>
        </w:rPr>
        <w:t>segregation.</w:t>
      </w:r>
    </w:p>
    <w:p w14:paraId="328A89BD" w14:textId="1975AA9B" w:rsidR="00EC668A" w:rsidRPr="00231392" w:rsidRDefault="000A1696" w:rsidP="008174B7">
      <w:pPr>
        <w:jc w:val="both"/>
        <w:rPr>
          <w:rFonts w:cstheme="minorHAnsi"/>
          <w:sz w:val="22"/>
          <w:szCs w:val="22"/>
          <w:lang w:val="aa-ET"/>
        </w:rPr>
      </w:pPr>
      <w:r w:rsidRPr="00231392">
        <w:rPr>
          <w:rFonts w:cstheme="minorHAnsi"/>
          <w:sz w:val="22"/>
          <w:szCs w:val="22"/>
          <w:lang w:val="aa-ET"/>
        </w:rPr>
        <w:t>L</w:t>
      </w:r>
      <w:r w:rsidR="00EC668A" w:rsidRPr="00231392">
        <w:rPr>
          <w:rFonts w:cstheme="minorHAnsi"/>
          <w:sz w:val="22"/>
          <w:szCs w:val="22"/>
          <w:lang w:val="aa-ET"/>
        </w:rPr>
        <w:t>egislation and policy has led to a heavy concentration of people in very vulnerable situations in certain neighbourhoods. At the same time, efforts to increase social housing stock in other (new) neighbourhoods are limited in scope. Local government often does not provide sufficient funds to support these neighbourhoods. Housing corporations have little room to increase liveability in the neighbourhoods themselves. Aedes published research in 2020 indicating too little is done by all actors to spread social housing throughout municipalities and increase liveability in neighbourhoods.</w:t>
      </w:r>
      <w:r w:rsidR="00BF6AF0" w:rsidRPr="00231392">
        <w:rPr>
          <w:rStyle w:val="FootnoteReference"/>
          <w:rFonts w:cstheme="minorHAnsi"/>
          <w:sz w:val="22"/>
          <w:szCs w:val="22"/>
          <w:lang w:val="aa-ET"/>
        </w:rPr>
        <w:footnoteReference w:id="11"/>
      </w:r>
    </w:p>
    <w:p w14:paraId="66F21F67" w14:textId="77777777" w:rsidR="00FC3B9A" w:rsidRPr="00231392" w:rsidRDefault="00FC3B9A" w:rsidP="008174B7">
      <w:pPr>
        <w:jc w:val="both"/>
        <w:rPr>
          <w:rFonts w:cstheme="minorHAnsi"/>
          <w:sz w:val="22"/>
          <w:szCs w:val="22"/>
          <w:lang w:val="aa-ET"/>
        </w:rPr>
      </w:pPr>
    </w:p>
    <w:p w14:paraId="4A3544BD" w14:textId="54511161" w:rsidR="00FC3B9A" w:rsidRPr="00231392" w:rsidRDefault="00FC3B9A" w:rsidP="008174B7">
      <w:pPr>
        <w:jc w:val="both"/>
        <w:rPr>
          <w:rFonts w:cstheme="minorHAnsi"/>
          <w:sz w:val="22"/>
          <w:szCs w:val="22"/>
          <w:u w:val="single"/>
          <w:lang w:val="aa-ET"/>
        </w:rPr>
      </w:pPr>
      <w:r w:rsidRPr="00231392">
        <w:rPr>
          <w:rFonts w:cstheme="minorHAnsi"/>
          <w:sz w:val="22"/>
          <w:szCs w:val="22"/>
          <w:u w:val="single"/>
          <w:lang w:val="aa-ET"/>
        </w:rPr>
        <w:t>Homelessness as an indicator for problems with access to housing</w:t>
      </w:r>
    </w:p>
    <w:p w14:paraId="7A2A38FE" w14:textId="53E90C06" w:rsidR="006E4A06" w:rsidRPr="00231392" w:rsidRDefault="00FC3B9A" w:rsidP="008174B7">
      <w:pPr>
        <w:jc w:val="both"/>
        <w:rPr>
          <w:rFonts w:cstheme="minorHAnsi"/>
          <w:sz w:val="22"/>
          <w:szCs w:val="22"/>
          <w:lang w:val="aa-ET"/>
        </w:rPr>
      </w:pPr>
      <w:r w:rsidRPr="00231392">
        <w:rPr>
          <w:rFonts w:cstheme="minorHAnsi"/>
          <w:sz w:val="22"/>
          <w:szCs w:val="22"/>
          <w:lang w:val="aa-ET"/>
        </w:rPr>
        <w:t xml:space="preserve">Homelessness and </w:t>
      </w:r>
      <w:r w:rsidR="00C25099" w:rsidRPr="00231392">
        <w:rPr>
          <w:rFonts w:cstheme="minorHAnsi"/>
          <w:sz w:val="22"/>
          <w:szCs w:val="22"/>
          <w:lang w:val="aa-ET"/>
        </w:rPr>
        <w:t>inadequate</w:t>
      </w:r>
      <w:r w:rsidRPr="00231392">
        <w:rPr>
          <w:rFonts w:cstheme="minorHAnsi"/>
          <w:sz w:val="22"/>
          <w:szCs w:val="22"/>
          <w:lang w:val="aa-ET"/>
        </w:rPr>
        <w:t xml:space="preserve"> housing has increased in The Netherlands.</w:t>
      </w:r>
      <w:r w:rsidR="006E4A06" w:rsidRPr="00231392">
        <w:rPr>
          <w:rFonts w:cstheme="minorHAnsi"/>
          <w:sz w:val="22"/>
          <w:szCs w:val="22"/>
          <w:lang w:val="aa-ET"/>
        </w:rPr>
        <w:t xml:space="preserve"> Though this affects many groups in society (and increasingly so), homelessness</w:t>
      </w:r>
      <w:r w:rsidR="00C25099" w:rsidRPr="00231392">
        <w:rPr>
          <w:rFonts w:cstheme="minorHAnsi"/>
          <w:sz w:val="22"/>
          <w:szCs w:val="22"/>
          <w:lang w:val="aa-ET"/>
        </w:rPr>
        <w:t xml:space="preserve"> and inadequate housing</w:t>
      </w:r>
      <w:r w:rsidR="006E4A06" w:rsidRPr="00231392">
        <w:rPr>
          <w:rFonts w:cstheme="minorHAnsi"/>
          <w:sz w:val="22"/>
          <w:szCs w:val="22"/>
          <w:lang w:val="aa-ET"/>
        </w:rPr>
        <w:t xml:space="preserve"> affects certain groups more than others. Homeless people are also discriminated against limiting their access to adequate housing. </w:t>
      </w:r>
      <w:r w:rsidR="00467AB1" w:rsidRPr="00231392">
        <w:rPr>
          <w:rFonts w:cstheme="minorHAnsi"/>
          <w:sz w:val="22"/>
          <w:szCs w:val="22"/>
          <w:lang w:val="aa-ET"/>
        </w:rPr>
        <w:t xml:space="preserve">Policies and legislation negatively, </w:t>
      </w:r>
      <w:r w:rsidR="00231392" w:rsidRPr="00231392">
        <w:rPr>
          <w:rFonts w:cstheme="minorHAnsi"/>
          <w:sz w:val="22"/>
          <w:szCs w:val="22"/>
          <w:lang w:val="aa-ET"/>
        </w:rPr>
        <w:t>directly,</w:t>
      </w:r>
      <w:r w:rsidR="00467AB1" w:rsidRPr="00231392">
        <w:rPr>
          <w:rFonts w:cstheme="minorHAnsi"/>
          <w:sz w:val="22"/>
          <w:szCs w:val="22"/>
          <w:lang w:val="aa-ET"/>
        </w:rPr>
        <w:t xml:space="preserve"> or indirectly, either </w:t>
      </w:r>
      <w:r w:rsidR="00467AB1" w:rsidRPr="00231392">
        <w:rPr>
          <w:rFonts w:cstheme="minorHAnsi"/>
          <w:sz w:val="22"/>
          <w:szCs w:val="22"/>
          <w:lang w:val="aa-ET"/>
        </w:rPr>
        <w:lastRenderedPageBreak/>
        <w:t>increase homelessness or hamper its reduction. Not enough is done to address underlying causes of homelessness, such as inequality, poverty, discrimination on the labour market, problems with access to (health) care, unequal access to high quality education and availability of affordable housing for the most vulnerable groups.</w:t>
      </w:r>
      <w:r w:rsidR="006E4A06" w:rsidRPr="00231392">
        <w:rPr>
          <w:rFonts w:cstheme="minorHAnsi"/>
          <w:sz w:val="22"/>
          <w:szCs w:val="22"/>
          <w:lang w:val="aa-ET"/>
        </w:rPr>
        <w:t xml:space="preserve"> </w:t>
      </w:r>
      <w:r w:rsidRPr="00231392">
        <w:rPr>
          <w:rFonts w:cstheme="minorHAnsi"/>
          <w:sz w:val="22"/>
          <w:szCs w:val="22"/>
          <w:lang w:val="aa-ET"/>
        </w:rPr>
        <w:t xml:space="preserve"> </w:t>
      </w:r>
    </w:p>
    <w:p w14:paraId="6F534472" w14:textId="77777777" w:rsidR="006E4A06" w:rsidRPr="00231392" w:rsidRDefault="006E4A06" w:rsidP="008174B7">
      <w:pPr>
        <w:jc w:val="both"/>
        <w:rPr>
          <w:rFonts w:cstheme="minorHAnsi"/>
          <w:sz w:val="22"/>
          <w:szCs w:val="22"/>
          <w:lang w:val="aa-ET"/>
        </w:rPr>
      </w:pPr>
    </w:p>
    <w:p w14:paraId="78BCACED" w14:textId="2500B421" w:rsidR="00ED5FFE" w:rsidRPr="00231392" w:rsidRDefault="00FC3B9A" w:rsidP="008174B7">
      <w:pPr>
        <w:jc w:val="both"/>
        <w:rPr>
          <w:rFonts w:cstheme="minorHAnsi"/>
          <w:sz w:val="22"/>
          <w:szCs w:val="22"/>
          <w:lang w:val="aa-ET"/>
        </w:rPr>
      </w:pPr>
      <w:r w:rsidRPr="00231392">
        <w:rPr>
          <w:rFonts w:cstheme="minorHAnsi"/>
          <w:sz w:val="22"/>
          <w:szCs w:val="22"/>
          <w:lang w:val="aa-ET"/>
        </w:rPr>
        <w:t xml:space="preserve">Since 2009 </w:t>
      </w:r>
      <w:r w:rsidR="006E4A06" w:rsidRPr="00231392">
        <w:rPr>
          <w:rFonts w:cstheme="minorHAnsi"/>
          <w:sz w:val="22"/>
          <w:szCs w:val="22"/>
          <w:lang w:val="aa-ET"/>
        </w:rPr>
        <w:t>homelessness has more than</w:t>
      </w:r>
      <w:r w:rsidRPr="00231392">
        <w:rPr>
          <w:rFonts w:cstheme="minorHAnsi"/>
          <w:sz w:val="22"/>
          <w:szCs w:val="22"/>
          <w:lang w:val="aa-ET"/>
        </w:rPr>
        <w:t xml:space="preserve"> doubled from 18.000 homeless</w:t>
      </w:r>
      <w:r w:rsidR="006E4A06" w:rsidRPr="00231392">
        <w:rPr>
          <w:rFonts w:cstheme="minorHAnsi"/>
          <w:sz w:val="22"/>
          <w:szCs w:val="22"/>
          <w:lang w:val="aa-ET"/>
        </w:rPr>
        <w:t xml:space="preserve"> in 2009</w:t>
      </w:r>
      <w:r w:rsidRPr="00231392">
        <w:rPr>
          <w:rFonts w:cstheme="minorHAnsi"/>
          <w:sz w:val="22"/>
          <w:szCs w:val="22"/>
          <w:lang w:val="aa-ET"/>
        </w:rPr>
        <w:t xml:space="preserve"> to almost 40.000 homeless</w:t>
      </w:r>
      <w:r w:rsidR="006E4A06" w:rsidRPr="00231392">
        <w:rPr>
          <w:rFonts w:cstheme="minorHAnsi"/>
          <w:sz w:val="22"/>
          <w:szCs w:val="22"/>
          <w:lang w:val="aa-ET"/>
        </w:rPr>
        <w:t xml:space="preserve"> 2018</w:t>
      </w:r>
      <w:r w:rsidRPr="00231392">
        <w:rPr>
          <w:rFonts w:cstheme="minorHAnsi"/>
          <w:sz w:val="22"/>
          <w:szCs w:val="22"/>
          <w:lang w:val="aa-ET"/>
        </w:rPr>
        <w:t>.</w:t>
      </w:r>
      <w:r w:rsidR="0001184C" w:rsidRPr="00231392">
        <w:rPr>
          <w:rStyle w:val="FootnoteReference"/>
          <w:rFonts w:cstheme="minorHAnsi"/>
          <w:sz w:val="22"/>
          <w:szCs w:val="22"/>
          <w:lang w:val="aa-ET"/>
        </w:rPr>
        <w:footnoteReference w:id="12"/>
      </w:r>
      <w:r w:rsidRPr="00231392">
        <w:rPr>
          <w:rFonts w:cstheme="minorHAnsi"/>
          <w:sz w:val="22"/>
          <w:szCs w:val="22"/>
          <w:lang w:val="aa-ET"/>
        </w:rPr>
        <w:t xml:space="preserve"> Though recent figures indicate this may have stagnated</w:t>
      </w:r>
      <w:r w:rsidR="0001184C" w:rsidRPr="00231392">
        <w:rPr>
          <w:rStyle w:val="FootnoteReference"/>
          <w:rFonts w:cstheme="minorHAnsi"/>
          <w:sz w:val="22"/>
          <w:szCs w:val="22"/>
          <w:lang w:val="aa-ET"/>
        </w:rPr>
        <w:footnoteReference w:id="13"/>
      </w:r>
      <w:r w:rsidRPr="00231392">
        <w:rPr>
          <w:rFonts w:cstheme="minorHAnsi"/>
          <w:sz w:val="22"/>
          <w:szCs w:val="22"/>
          <w:lang w:val="aa-ET"/>
        </w:rPr>
        <w:t>, all indicators point to a new increase post-Covid 19.</w:t>
      </w:r>
      <w:r w:rsidR="0001184C" w:rsidRPr="00231392">
        <w:rPr>
          <w:rStyle w:val="FootnoteReference"/>
          <w:rFonts w:cstheme="minorHAnsi"/>
          <w:sz w:val="22"/>
          <w:szCs w:val="22"/>
          <w:lang w:val="aa-ET"/>
        </w:rPr>
        <w:footnoteReference w:id="14"/>
      </w:r>
      <w:r w:rsidR="006E4A06" w:rsidRPr="00231392">
        <w:rPr>
          <w:rFonts w:cstheme="minorHAnsi"/>
          <w:sz w:val="22"/>
          <w:szCs w:val="22"/>
          <w:lang w:val="aa-ET"/>
        </w:rPr>
        <w:t xml:space="preserve"> These figures relate to a limited number of categories of homeless people.</w:t>
      </w:r>
      <w:r w:rsidR="00C25099" w:rsidRPr="00231392">
        <w:rPr>
          <w:rFonts w:cstheme="minorHAnsi"/>
          <w:sz w:val="22"/>
          <w:szCs w:val="22"/>
          <w:lang w:val="aa-ET"/>
        </w:rPr>
        <w:t xml:space="preserve"> People who have access to the homeless service shelter system</w:t>
      </w:r>
      <w:r w:rsidR="006E4A06" w:rsidRPr="00231392">
        <w:rPr>
          <w:rFonts w:cstheme="minorHAnsi"/>
          <w:sz w:val="22"/>
          <w:szCs w:val="22"/>
          <w:lang w:val="aa-ET"/>
        </w:rPr>
        <w:t xml:space="preserve"> are not considered homeless</w:t>
      </w:r>
      <w:r w:rsidR="000A1696" w:rsidRPr="00231392">
        <w:rPr>
          <w:rFonts w:cstheme="minorHAnsi"/>
          <w:sz w:val="22"/>
          <w:szCs w:val="22"/>
          <w:lang w:val="aa-ET"/>
        </w:rPr>
        <w:t xml:space="preserve"> and/or counted as such. A</w:t>
      </w:r>
      <w:r w:rsidRPr="00231392">
        <w:rPr>
          <w:rFonts w:cstheme="minorHAnsi"/>
          <w:sz w:val="22"/>
          <w:szCs w:val="22"/>
          <w:lang w:val="aa-ET"/>
        </w:rPr>
        <w:t>pproximat</w:t>
      </w:r>
      <w:r w:rsidR="000A1696" w:rsidRPr="00231392">
        <w:rPr>
          <w:rFonts w:cstheme="minorHAnsi"/>
          <w:sz w:val="22"/>
          <w:szCs w:val="22"/>
          <w:lang w:val="aa-ET"/>
        </w:rPr>
        <w:t>ely 7</w:t>
      </w:r>
      <w:r w:rsidR="00C25099" w:rsidRPr="00231392">
        <w:rPr>
          <w:rFonts w:cstheme="minorHAnsi"/>
          <w:sz w:val="22"/>
          <w:szCs w:val="22"/>
          <w:lang w:val="aa-ET"/>
        </w:rPr>
        <w:t>0.000 people are in this</w:t>
      </w:r>
      <w:r w:rsidRPr="00231392">
        <w:rPr>
          <w:rFonts w:cstheme="minorHAnsi"/>
          <w:sz w:val="22"/>
          <w:szCs w:val="22"/>
          <w:lang w:val="aa-ET"/>
        </w:rPr>
        <w:t xml:space="preserve"> institutionalised setting for homeless people</w:t>
      </w:r>
      <w:r w:rsidR="000A1696" w:rsidRPr="00231392">
        <w:rPr>
          <w:rFonts w:cstheme="minorHAnsi"/>
          <w:sz w:val="22"/>
          <w:szCs w:val="22"/>
          <w:lang w:val="aa-ET"/>
        </w:rPr>
        <w:t xml:space="preserve"> (excluding those in protective housing)</w:t>
      </w:r>
      <w:r w:rsidRPr="00231392">
        <w:rPr>
          <w:rFonts w:cstheme="minorHAnsi"/>
          <w:sz w:val="22"/>
          <w:szCs w:val="22"/>
          <w:lang w:val="aa-ET"/>
        </w:rPr>
        <w:t>.</w:t>
      </w:r>
      <w:r w:rsidR="00065D9E" w:rsidRPr="00231392">
        <w:rPr>
          <w:rStyle w:val="FootnoteReference"/>
          <w:rFonts w:cstheme="minorHAnsi"/>
          <w:sz w:val="22"/>
          <w:szCs w:val="22"/>
          <w:lang w:val="aa-ET"/>
        </w:rPr>
        <w:footnoteReference w:id="15"/>
      </w:r>
      <w:r w:rsidR="00B15ADD" w:rsidRPr="00231392">
        <w:rPr>
          <w:rFonts w:cstheme="minorHAnsi"/>
          <w:sz w:val="22"/>
          <w:szCs w:val="22"/>
          <w:lang w:val="aa-ET"/>
        </w:rPr>
        <w:t xml:space="preserve"> This number has increased continuously. At the same time waiting lists to access these shelters has increased as well and only a very limited number of people access permanent adequate housing. </w:t>
      </w:r>
      <w:r w:rsidRPr="00231392">
        <w:rPr>
          <w:rFonts w:cstheme="minorHAnsi"/>
          <w:sz w:val="22"/>
          <w:szCs w:val="22"/>
          <w:lang w:val="aa-ET"/>
        </w:rPr>
        <w:t>The number of people in marginalised (or inadequate) housing and at risk of homelessness is unclear. This data is not collected and monitored in a structural manner. However, research indicates there are</w:t>
      </w:r>
      <w:r w:rsidR="00ED5FFE" w:rsidRPr="00231392">
        <w:rPr>
          <w:rFonts w:cstheme="minorHAnsi"/>
          <w:sz w:val="22"/>
          <w:szCs w:val="22"/>
          <w:lang w:val="aa-ET"/>
        </w:rPr>
        <w:t xml:space="preserve"> tens of thousands </w:t>
      </w:r>
      <w:r w:rsidRPr="00231392">
        <w:rPr>
          <w:rFonts w:cstheme="minorHAnsi"/>
          <w:sz w:val="22"/>
          <w:szCs w:val="22"/>
          <w:lang w:val="aa-ET"/>
        </w:rPr>
        <w:t>who live involuntarily in holiday parks, boats and garden sheds.</w:t>
      </w:r>
      <w:r w:rsidR="00065D9E" w:rsidRPr="00231392">
        <w:rPr>
          <w:rStyle w:val="FootnoteReference"/>
          <w:rFonts w:cstheme="minorHAnsi"/>
          <w:sz w:val="22"/>
          <w:szCs w:val="22"/>
          <w:lang w:val="aa-ET"/>
        </w:rPr>
        <w:footnoteReference w:id="16"/>
      </w:r>
      <w:r w:rsidRPr="00231392">
        <w:rPr>
          <w:rFonts w:cstheme="minorHAnsi"/>
          <w:sz w:val="22"/>
          <w:szCs w:val="22"/>
          <w:lang w:val="aa-ET"/>
        </w:rPr>
        <w:t xml:space="preserve"> </w:t>
      </w:r>
    </w:p>
    <w:p w14:paraId="1997C559" w14:textId="77777777" w:rsidR="00ED5FFE" w:rsidRPr="00231392" w:rsidRDefault="00ED5FFE" w:rsidP="008174B7">
      <w:pPr>
        <w:jc w:val="both"/>
        <w:rPr>
          <w:rFonts w:cstheme="minorHAnsi"/>
          <w:sz w:val="22"/>
          <w:szCs w:val="22"/>
          <w:lang w:val="aa-ET"/>
        </w:rPr>
      </w:pPr>
    </w:p>
    <w:p w14:paraId="279099CF" w14:textId="30C1BE5A" w:rsidR="00452E7C" w:rsidRPr="00231392" w:rsidRDefault="00452E7C" w:rsidP="008174B7">
      <w:pPr>
        <w:jc w:val="both"/>
        <w:rPr>
          <w:rFonts w:cstheme="minorHAnsi"/>
          <w:i/>
          <w:sz w:val="22"/>
          <w:szCs w:val="22"/>
          <w:lang w:val="aa-ET"/>
        </w:rPr>
      </w:pPr>
      <w:r w:rsidRPr="00231392">
        <w:rPr>
          <w:rFonts w:cstheme="minorHAnsi"/>
          <w:i/>
          <w:sz w:val="22"/>
          <w:szCs w:val="22"/>
          <w:lang w:val="aa-ET"/>
        </w:rPr>
        <w:t>Discrimination as a cause of homelessness</w:t>
      </w:r>
    </w:p>
    <w:p w14:paraId="634E3E53" w14:textId="4A43D152" w:rsidR="00ED5FFE" w:rsidRPr="00231392" w:rsidRDefault="00FC3B9A" w:rsidP="008174B7">
      <w:pPr>
        <w:jc w:val="both"/>
        <w:rPr>
          <w:rFonts w:cstheme="minorHAnsi"/>
          <w:sz w:val="22"/>
          <w:szCs w:val="22"/>
          <w:lang w:val="aa-ET"/>
        </w:rPr>
      </w:pPr>
      <w:r w:rsidRPr="00231392">
        <w:rPr>
          <w:rFonts w:cstheme="minorHAnsi"/>
          <w:sz w:val="22"/>
          <w:szCs w:val="22"/>
          <w:lang w:val="aa-ET"/>
        </w:rPr>
        <w:t>People who live in poverty are much likelier to become homeless.</w:t>
      </w:r>
      <w:r w:rsidR="00ED5FFE" w:rsidRPr="00231392">
        <w:rPr>
          <w:rFonts w:cstheme="minorHAnsi"/>
          <w:sz w:val="22"/>
          <w:szCs w:val="22"/>
          <w:lang w:val="aa-ET"/>
        </w:rPr>
        <w:t xml:space="preserve"> Most research indicates</w:t>
      </w:r>
      <w:r w:rsidRPr="00231392">
        <w:rPr>
          <w:rFonts w:cstheme="minorHAnsi"/>
          <w:sz w:val="22"/>
          <w:szCs w:val="22"/>
          <w:lang w:val="aa-ET"/>
        </w:rPr>
        <w:t xml:space="preserve"> </w:t>
      </w:r>
      <w:r w:rsidR="00452E7C" w:rsidRPr="00231392">
        <w:rPr>
          <w:rFonts w:cstheme="minorHAnsi"/>
          <w:sz w:val="22"/>
          <w:szCs w:val="22"/>
          <w:lang w:val="aa-ET"/>
        </w:rPr>
        <w:t>most</w:t>
      </w:r>
      <w:r w:rsidRPr="00231392">
        <w:rPr>
          <w:rFonts w:cstheme="minorHAnsi"/>
          <w:sz w:val="22"/>
          <w:szCs w:val="22"/>
          <w:lang w:val="aa-ET"/>
        </w:rPr>
        <w:t xml:space="preserve"> homeless people previously lived on benefits</w:t>
      </w:r>
      <w:r w:rsidR="00452E7C" w:rsidRPr="00231392">
        <w:rPr>
          <w:rFonts w:cstheme="minorHAnsi"/>
          <w:sz w:val="22"/>
          <w:szCs w:val="22"/>
          <w:lang w:val="aa-ET"/>
        </w:rPr>
        <w:t xml:space="preserve"> and have debts</w:t>
      </w:r>
      <w:r w:rsidRPr="00231392">
        <w:rPr>
          <w:rFonts w:cstheme="minorHAnsi"/>
          <w:sz w:val="22"/>
          <w:szCs w:val="22"/>
          <w:lang w:val="aa-ET"/>
        </w:rPr>
        <w:t xml:space="preserve">. </w:t>
      </w:r>
      <w:r w:rsidR="00ED5FFE" w:rsidRPr="00231392">
        <w:rPr>
          <w:rFonts w:cstheme="minorHAnsi"/>
          <w:sz w:val="22"/>
          <w:szCs w:val="22"/>
          <w:lang w:val="aa-ET"/>
        </w:rPr>
        <w:t>There is an increase of people with a job who become homeless. A job as such does not provide enough income and certainty to be able to provide housing.</w:t>
      </w:r>
      <w:r w:rsidR="006069B3" w:rsidRPr="00231392">
        <w:rPr>
          <w:rStyle w:val="FootnoteReference"/>
          <w:rFonts w:cstheme="minorHAnsi"/>
          <w:sz w:val="22"/>
          <w:szCs w:val="22"/>
          <w:lang w:val="aa-ET"/>
        </w:rPr>
        <w:footnoteReference w:id="17"/>
      </w:r>
    </w:p>
    <w:p w14:paraId="34B77A90" w14:textId="77777777" w:rsidR="00ED5FFE" w:rsidRPr="00231392" w:rsidRDefault="00ED5FFE" w:rsidP="008174B7">
      <w:pPr>
        <w:jc w:val="both"/>
        <w:rPr>
          <w:rFonts w:cstheme="minorHAnsi"/>
          <w:sz w:val="22"/>
          <w:szCs w:val="22"/>
          <w:lang w:val="aa-ET"/>
        </w:rPr>
      </w:pPr>
    </w:p>
    <w:p w14:paraId="5F98D846" w14:textId="06B720C9" w:rsidR="008338A1" w:rsidRPr="00231392" w:rsidRDefault="008338A1" w:rsidP="008174B7">
      <w:pPr>
        <w:jc w:val="both"/>
        <w:rPr>
          <w:rFonts w:cstheme="minorHAnsi"/>
          <w:sz w:val="22"/>
          <w:szCs w:val="22"/>
          <w:lang w:val="aa-ET"/>
        </w:rPr>
      </w:pPr>
      <w:r w:rsidRPr="00231392">
        <w:rPr>
          <w:rFonts w:cstheme="minorHAnsi"/>
          <w:sz w:val="22"/>
          <w:szCs w:val="22"/>
          <w:lang w:val="aa-ET"/>
        </w:rPr>
        <w:lastRenderedPageBreak/>
        <w:t>More than half of the registered homeless people have a non-western background. At the same there are large numbers of so-called undocumented people (residing in The Netherlands illegally) who are not reg</w:t>
      </w:r>
      <w:r w:rsidR="00811180" w:rsidRPr="00231392">
        <w:rPr>
          <w:rFonts w:cstheme="minorHAnsi"/>
          <w:sz w:val="22"/>
          <w:szCs w:val="22"/>
          <w:lang w:val="aa-ET"/>
        </w:rPr>
        <w:t>istered in official statistics.</w:t>
      </w:r>
      <w:r w:rsidR="00811180" w:rsidRPr="00231392">
        <w:rPr>
          <w:rStyle w:val="FootnoteReference"/>
          <w:rFonts w:cstheme="minorHAnsi"/>
          <w:sz w:val="22"/>
          <w:szCs w:val="22"/>
          <w:lang w:val="aa-ET"/>
        </w:rPr>
        <w:footnoteReference w:id="18"/>
      </w:r>
    </w:p>
    <w:p w14:paraId="7C67A886" w14:textId="77777777" w:rsidR="008338A1" w:rsidRPr="00231392" w:rsidRDefault="008338A1" w:rsidP="008174B7">
      <w:pPr>
        <w:jc w:val="both"/>
        <w:rPr>
          <w:rFonts w:cstheme="minorHAnsi"/>
          <w:sz w:val="22"/>
          <w:szCs w:val="22"/>
          <w:lang w:val="aa-ET"/>
        </w:rPr>
      </w:pPr>
    </w:p>
    <w:p w14:paraId="61805FFC" w14:textId="0CD74BCC" w:rsidR="00FC3B9A" w:rsidRPr="00231392" w:rsidRDefault="008338A1" w:rsidP="008174B7">
      <w:pPr>
        <w:jc w:val="both"/>
        <w:rPr>
          <w:rFonts w:cstheme="minorHAnsi"/>
          <w:sz w:val="22"/>
          <w:szCs w:val="22"/>
          <w:lang w:val="aa-ET"/>
        </w:rPr>
      </w:pPr>
      <w:r w:rsidRPr="00231392">
        <w:rPr>
          <w:rFonts w:cstheme="minorHAnsi"/>
          <w:sz w:val="22"/>
          <w:szCs w:val="22"/>
          <w:lang w:val="aa-ET"/>
        </w:rPr>
        <w:t>Many</w:t>
      </w:r>
      <w:r w:rsidR="00F90061" w:rsidRPr="00231392">
        <w:rPr>
          <w:rFonts w:cstheme="minorHAnsi"/>
          <w:sz w:val="22"/>
          <w:szCs w:val="22"/>
          <w:lang w:val="aa-ET"/>
        </w:rPr>
        <w:t xml:space="preserve"> homeless people and those who are</w:t>
      </w:r>
      <w:r w:rsidR="00FC3B9A" w:rsidRPr="00231392">
        <w:rPr>
          <w:rFonts w:cstheme="minorHAnsi"/>
          <w:sz w:val="22"/>
          <w:szCs w:val="22"/>
          <w:lang w:val="aa-ET"/>
        </w:rPr>
        <w:t xml:space="preserve"> institutionalised</w:t>
      </w:r>
      <w:r w:rsidR="00F90061" w:rsidRPr="00231392">
        <w:rPr>
          <w:rFonts w:cstheme="minorHAnsi"/>
          <w:sz w:val="22"/>
          <w:szCs w:val="22"/>
          <w:lang w:val="aa-ET"/>
        </w:rPr>
        <w:t xml:space="preserve"> in shelters</w:t>
      </w:r>
      <w:r w:rsidR="00FC3B9A" w:rsidRPr="00231392">
        <w:rPr>
          <w:rFonts w:cstheme="minorHAnsi"/>
          <w:sz w:val="22"/>
          <w:szCs w:val="22"/>
          <w:lang w:val="aa-ET"/>
        </w:rPr>
        <w:t xml:space="preserve"> have a mental disability. </w:t>
      </w:r>
      <w:r w:rsidRPr="00231392">
        <w:rPr>
          <w:rFonts w:cstheme="minorHAnsi"/>
          <w:sz w:val="22"/>
          <w:szCs w:val="22"/>
          <w:lang w:val="aa-ET"/>
        </w:rPr>
        <w:t>Th</w:t>
      </w:r>
      <w:r w:rsidR="00F90061" w:rsidRPr="00231392">
        <w:rPr>
          <w:rFonts w:cstheme="minorHAnsi"/>
          <w:sz w:val="22"/>
          <w:szCs w:val="22"/>
          <w:lang w:val="aa-ET"/>
        </w:rPr>
        <w:t>ere is more awareness about the impact of mental disability</w:t>
      </w:r>
      <w:r w:rsidRPr="00231392">
        <w:rPr>
          <w:rFonts w:cstheme="minorHAnsi"/>
          <w:sz w:val="22"/>
          <w:szCs w:val="22"/>
          <w:lang w:val="aa-ET"/>
        </w:rPr>
        <w:t xml:space="preserve"> within the shelter and support system and efforts are underway to support them </w:t>
      </w:r>
      <w:r w:rsidR="00452E7C" w:rsidRPr="00231392">
        <w:rPr>
          <w:rFonts w:cstheme="minorHAnsi"/>
          <w:sz w:val="22"/>
          <w:szCs w:val="22"/>
          <w:lang w:val="aa-ET"/>
        </w:rPr>
        <w:t>per</w:t>
      </w:r>
      <w:r w:rsidRPr="00231392">
        <w:rPr>
          <w:rFonts w:cstheme="minorHAnsi"/>
          <w:sz w:val="22"/>
          <w:szCs w:val="22"/>
          <w:lang w:val="aa-ET"/>
        </w:rPr>
        <w:t xml:space="preserve"> their needs.</w:t>
      </w:r>
      <w:r w:rsidR="00E639D5" w:rsidRPr="00231392">
        <w:rPr>
          <w:rStyle w:val="FootnoteReference"/>
          <w:rFonts w:cstheme="minorHAnsi"/>
          <w:sz w:val="22"/>
          <w:szCs w:val="22"/>
          <w:lang w:val="aa-ET"/>
        </w:rPr>
        <w:footnoteReference w:id="19"/>
      </w:r>
      <w:r w:rsidRPr="00231392">
        <w:rPr>
          <w:rFonts w:cstheme="minorHAnsi"/>
          <w:sz w:val="22"/>
          <w:szCs w:val="22"/>
          <w:lang w:val="aa-ET"/>
        </w:rPr>
        <w:t xml:space="preserve"> Underlying structural problems are not addressed sufficiently. One of these</w:t>
      </w:r>
      <w:r w:rsidR="00AC2ABB" w:rsidRPr="00231392">
        <w:rPr>
          <w:rFonts w:cstheme="minorHAnsi"/>
          <w:sz w:val="22"/>
          <w:szCs w:val="22"/>
          <w:lang w:val="aa-ET"/>
        </w:rPr>
        <w:t xml:space="preserve"> may also </w:t>
      </w:r>
      <w:r w:rsidR="00231392" w:rsidRPr="00231392">
        <w:rPr>
          <w:rFonts w:cstheme="minorHAnsi"/>
          <w:sz w:val="22"/>
          <w:szCs w:val="22"/>
          <w:lang w:val="aa-ET"/>
        </w:rPr>
        <w:t>be budgetary</w:t>
      </w:r>
      <w:r w:rsidRPr="00231392">
        <w:rPr>
          <w:rFonts w:cstheme="minorHAnsi"/>
          <w:sz w:val="22"/>
          <w:szCs w:val="22"/>
          <w:lang w:val="aa-ET"/>
        </w:rPr>
        <w:t xml:space="preserve"> cuts to mental health care and a trend to deinstitutionalise the mental care system without adequate ambulant support.</w:t>
      </w:r>
      <w:r w:rsidR="00C417FF" w:rsidRPr="00231392">
        <w:rPr>
          <w:rStyle w:val="FootnoteReference"/>
          <w:rFonts w:cstheme="minorHAnsi"/>
          <w:sz w:val="22"/>
          <w:szCs w:val="22"/>
          <w:lang w:val="aa-ET"/>
        </w:rPr>
        <w:footnoteReference w:id="20"/>
      </w:r>
      <w:r w:rsidRPr="00231392">
        <w:rPr>
          <w:rFonts w:cstheme="minorHAnsi"/>
          <w:sz w:val="22"/>
          <w:szCs w:val="22"/>
          <w:lang w:val="aa-ET"/>
        </w:rPr>
        <w:t xml:space="preserve"> Other root causes include barriers to access the labour market, education and dependence on limited social benefits.</w:t>
      </w:r>
      <w:r w:rsidR="00FA3ECE" w:rsidRPr="00231392">
        <w:rPr>
          <w:rStyle w:val="FootnoteReference"/>
          <w:rFonts w:cstheme="minorHAnsi"/>
          <w:sz w:val="22"/>
          <w:szCs w:val="22"/>
          <w:lang w:val="aa-ET"/>
        </w:rPr>
        <w:footnoteReference w:id="21"/>
      </w:r>
    </w:p>
    <w:p w14:paraId="14EF3CDD" w14:textId="77777777" w:rsidR="00FC3B9A" w:rsidRPr="00231392" w:rsidRDefault="00FC3B9A" w:rsidP="008174B7">
      <w:pPr>
        <w:jc w:val="both"/>
        <w:rPr>
          <w:rFonts w:cstheme="minorHAnsi"/>
          <w:sz w:val="22"/>
          <w:szCs w:val="22"/>
          <w:lang w:val="aa-ET"/>
        </w:rPr>
      </w:pPr>
    </w:p>
    <w:p w14:paraId="665852F0" w14:textId="7B91C1FE" w:rsidR="005B0AD4" w:rsidRPr="00231392" w:rsidRDefault="008338A1" w:rsidP="008174B7">
      <w:pPr>
        <w:jc w:val="both"/>
        <w:rPr>
          <w:rFonts w:cstheme="minorHAnsi"/>
          <w:sz w:val="22"/>
          <w:szCs w:val="22"/>
          <w:lang w:val="aa-ET"/>
        </w:rPr>
      </w:pPr>
      <w:r w:rsidRPr="00231392">
        <w:rPr>
          <w:rFonts w:cstheme="minorHAnsi"/>
          <w:sz w:val="22"/>
          <w:szCs w:val="22"/>
          <w:lang w:val="aa-ET"/>
        </w:rPr>
        <w:t>As the previous Special Rapporteur on the Right to Housing</w:t>
      </w:r>
      <w:r w:rsidR="00467AB1" w:rsidRPr="00231392">
        <w:rPr>
          <w:rFonts w:cstheme="minorHAnsi"/>
          <w:sz w:val="22"/>
          <w:szCs w:val="22"/>
          <w:lang w:val="aa-ET"/>
        </w:rPr>
        <w:t>, Leilani Farha,</w:t>
      </w:r>
      <w:r w:rsidR="00FC3B9A" w:rsidRPr="00231392">
        <w:rPr>
          <w:rFonts w:cstheme="minorHAnsi"/>
          <w:sz w:val="22"/>
          <w:szCs w:val="22"/>
          <w:lang w:val="aa-ET"/>
        </w:rPr>
        <w:t xml:space="preserve"> recalled</w:t>
      </w:r>
      <w:r w:rsidRPr="00231392">
        <w:rPr>
          <w:rFonts w:cstheme="minorHAnsi"/>
          <w:sz w:val="22"/>
          <w:szCs w:val="22"/>
          <w:lang w:val="aa-ET"/>
        </w:rPr>
        <w:t xml:space="preserve"> discrimination is a root cause for </w:t>
      </w:r>
      <w:r w:rsidR="00FC3B9A" w:rsidRPr="00231392">
        <w:rPr>
          <w:rFonts w:cstheme="minorHAnsi"/>
          <w:sz w:val="22"/>
          <w:szCs w:val="22"/>
          <w:lang w:val="aa-ET"/>
        </w:rPr>
        <w:t>homelessness</w:t>
      </w:r>
      <w:r w:rsidRPr="00231392">
        <w:rPr>
          <w:rFonts w:cstheme="minorHAnsi"/>
          <w:sz w:val="22"/>
          <w:szCs w:val="22"/>
          <w:lang w:val="aa-ET"/>
        </w:rPr>
        <w:t xml:space="preserve">. At the same </w:t>
      </w:r>
      <w:r w:rsidR="00452E7C" w:rsidRPr="00231392">
        <w:rPr>
          <w:rFonts w:cstheme="minorHAnsi"/>
          <w:sz w:val="22"/>
          <w:szCs w:val="22"/>
          <w:lang w:val="aa-ET"/>
        </w:rPr>
        <w:t>time,</w:t>
      </w:r>
      <w:r w:rsidRPr="00231392">
        <w:rPr>
          <w:rFonts w:cstheme="minorHAnsi"/>
          <w:sz w:val="22"/>
          <w:szCs w:val="22"/>
          <w:lang w:val="aa-ET"/>
        </w:rPr>
        <w:t xml:space="preserve"> homeless people</w:t>
      </w:r>
      <w:r w:rsidR="00FC3B9A" w:rsidRPr="00231392">
        <w:rPr>
          <w:rFonts w:cstheme="minorHAnsi"/>
          <w:sz w:val="22"/>
          <w:szCs w:val="22"/>
          <w:lang w:val="aa-ET"/>
        </w:rPr>
        <w:t xml:space="preserve"> are discriminated ag</w:t>
      </w:r>
      <w:r w:rsidRPr="00231392">
        <w:rPr>
          <w:rFonts w:cstheme="minorHAnsi"/>
          <w:sz w:val="22"/>
          <w:szCs w:val="22"/>
          <w:lang w:val="aa-ET"/>
        </w:rPr>
        <w:t>ainst due to their homelessness</w:t>
      </w:r>
      <w:r w:rsidR="00FC3B9A" w:rsidRPr="00231392">
        <w:rPr>
          <w:rFonts w:cstheme="minorHAnsi"/>
          <w:sz w:val="22"/>
          <w:szCs w:val="22"/>
          <w:lang w:val="aa-ET"/>
        </w:rPr>
        <w:t>.</w:t>
      </w:r>
      <w:r w:rsidR="00452E7C" w:rsidRPr="00231392">
        <w:rPr>
          <w:rFonts w:cstheme="minorHAnsi"/>
          <w:sz w:val="22"/>
          <w:szCs w:val="22"/>
          <w:lang w:val="aa-ET"/>
        </w:rPr>
        <w:t xml:space="preserve"> In t</w:t>
      </w:r>
      <w:r w:rsidRPr="00231392">
        <w:rPr>
          <w:rFonts w:cstheme="minorHAnsi"/>
          <w:sz w:val="22"/>
          <w:szCs w:val="22"/>
          <w:lang w:val="aa-ET"/>
        </w:rPr>
        <w:t xml:space="preserve">he </w:t>
      </w:r>
      <w:r w:rsidR="00452E7C" w:rsidRPr="00231392">
        <w:rPr>
          <w:rFonts w:cstheme="minorHAnsi"/>
          <w:sz w:val="22"/>
          <w:szCs w:val="22"/>
          <w:lang w:val="aa-ET"/>
        </w:rPr>
        <w:t>Netherlands,</w:t>
      </w:r>
      <w:r w:rsidRPr="00231392">
        <w:rPr>
          <w:rFonts w:cstheme="minorHAnsi"/>
          <w:sz w:val="22"/>
          <w:szCs w:val="22"/>
          <w:lang w:val="aa-ET"/>
        </w:rPr>
        <w:t xml:space="preserve"> this discrimination, based on the stigma of homelessness is a barrier to realise their right to adequate housing.</w:t>
      </w:r>
      <w:r w:rsidR="005B0AD4" w:rsidRPr="00231392">
        <w:rPr>
          <w:rFonts w:cstheme="minorHAnsi"/>
          <w:sz w:val="22"/>
          <w:szCs w:val="22"/>
          <w:lang w:val="aa-ET"/>
        </w:rPr>
        <w:t xml:space="preserve"> Examples of this are:</w:t>
      </w:r>
    </w:p>
    <w:p w14:paraId="121CD99E" w14:textId="4E1DB878" w:rsidR="005B0AD4" w:rsidRPr="00231392" w:rsidRDefault="005B0AD4" w:rsidP="008174B7">
      <w:pPr>
        <w:pStyle w:val="ListParagraph"/>
        <w:numPr>
          <w:ilvl w:val="0"/>
          <w:numId w:val="1"/>
        </w:numPr>
        <w:jc w:val="both"/>
        <w:rPr>
          <w:rFonts w:cstheme="minorHAnsi"/>
          <w:sz w:val="22"/>
          <w:szCs w:val="22"/>
          <w:lang w:val="aa-ET"/>
        </w:rPr>
      </w:pPr>
      <w:r w:rsidRPr="00231392">
        <w:rPr>
          <w:rFonts w:cstheme="minorHAnsi"/>
          <w:sz w:val="22"/>
          <w:szCs w:val="22"/>
          <w:lang w:val="aa-ET"/>
        </w:rPr>
        <w:lastRenderedPageBreak/>
        <w:t>P</w:t>
      </w:r>
      <w:r w:rsidR="008338A1" w:rsidRPr="00231392">
        <w:rPr>
          <w:rFonts w:cstheme="minorHAnsi"/>
          <w:sz w:val="22"/>
          <w:szCs w:val="22"/>
          <w:lang w:val="aa-ET"/>
        </w:rPr>
        <w:t>eople are still fined for sleeping rough, increasing the debts of financially overburdened people</w:t>
      </w:r>
      <w:r w:rsidR="009E2DB8" w:rsidRPr="00231392">
        <w:rPr>
          <w:rFonts w:cstheme="minorHAnsi"/>
          <w:sz w:val="22"/>
          <w:szCs w:val="22"/>
          <w:lang w:val="aa-ET"/>
        </w:rPr>
        <w:t>.</w:t>
      </w:r>
      <w:r w:rsidR="00F90061" w:rsidRPr="00231392">
        <w:rPr>
          <w:rStyle w:val="FootnoteReference"/>
          <w:rFonts w:cstheme="minorHAnsi"/>
          <w:sz w:val="22"/>
          <w:szCs w:val="22"/>
          <w:lang w:val="aa-ET"/>
        </w:rPr>
        <w:footnoteReference w:id="22"/>
      </w:r>
      <w:r w:rsidR="009E2DB8" w:rsidRPr="00231392">
        <w:rPr>
          <w:rFonts w:cstheme="minorHAnsi"/>
          <w:sz w:val="22"/>
          <w:szCs w:val="22"/>
          <w:lang w:val="aa-ET"/>
        </w:rPr>
        <w:t xml:space="preserve"> Certain municipalities, such as Amsterdam and Rotterdam indicate they are willing to stop this</w:t>
      </w:r>
      <w:r w:rsidR="009E2DB8" w:rsidRPr="00231392">
        <w:rPr>
          <w:rStyle w:val="FootnoteReference"/>
          <w:rFonts w:cstheme="minorHAnsi"/>
          <w:sz w:val="22"/>
          <w:szCs w:val="22"/>
          <w:lang w:val="aa-ET"/>
        </w:rPr>
        <w:footnoteReference w:id="23"/>
      </w:r>
      <w:r w:rsidR="009E2DB8" w:rsidRPr="00231392">
        <w:rPr>
          <w:rFonts w:cstheme="minorHAnsi"/>
          <w:sz w:val="22"/>
          <w:szCs w:val="22"/>
          <w:lang w:val="aa-ET"/>
        </w:rPr>
        <w:t>;</w:t>
      </w:r>
      <w:r w:rsidR="00F90061" w:rsidRPr="00231392">
        <w:rPr>
          <w:rFonts w:cstheme="minorHAnsi"/>
          <w:sz w:val="22"/>
          <w:szCs w:val="22"/>
          <w:lang w:val="aa-ET"/>
        </w:rPr>
        <w:t xml:space="preserve"> </w:t>
      </w:r>
    </w:p>
    <w:p w14:paraId="594DA139" w14:textId="353042D5" w:rsidR="005B0AD4" w:rsidRPr="00231392" w:rsidRDefault="005B0AD4" w:rsidP="008174B7">
      <w:pPr>
        <w:pStyle w:val="ListParagraph"/>
        <w:numPr>
          <w:ilvl w:val="0"/>
          <w:numId w:val="1"/>
        </w:numPr>
        <w:jc w:val="both"/>
        <w:rPr>
          <w:rFonts w:cstheme="minorHAnsi"/>
          <w:sz w:val="22"/>
          <w:szCs w:val="22"/>
          <w:lang w:val="aa-ET"/>
        </w:rPr>
      </w:pPr>
      <w:r w:rsidRPr="00231392">
        <w:rPr>
          <w:rFonts w:cstheme="minorHAnsi"/>
          <w:sz w:val="22"/>
          <w:szCs w:val="22"/>
          <w:lang w:val="aa-ET"/>
        </w:rPr>
        <w:t>S</w:t>
      </w:r>
      <w:r w:rsidR="00C912F3" w:rsidRPr="00231392">
        <w:rPr>
          <w:rFonts w:cstheme="minorHAnsi"/>
          <w:sz w:val="22"/>
          <w:szCs w:val="22"/>
          <w:lang w:val="aa-ET"/>
        </w:rPr>
        <w:t>ocial benefits are</w:t>
      </w:r>
      <w:r w:rsidRPr="00231392">
        <w:rPr>
          <w:rFonts w:cstheme="minorHAnsi"/>
          <w:sz w:val="22"/>
          <w:szCs w:val="22"/>
          <w:lang w:val="aa-ET"/>
        </w:rPr>
        <w:t xml:space="preserve"> reduced for </w:t>
      </w:r>
      <w:r w:rsidR="00FD6CDA" w:rsidRPr="00231392">
        <w:rPr>
          <w:rFonts w:cstheme="minorHAnsi"/>
          <w:sz w:val="22"/>
          <w:szCs w:val="22"/>
          <w:lang w:val="aa-ET"/>
        </w:rPr>
        <w:t xml:space="preserve">certain groups of </w:t>
      </w:r>
      <w:r w:rsidRPr="00231392">
        <w:rPr>
          <w:rFonts w:cstheme="minorHAnsi"/>
          <w:sz w:val="22"/>
          <w:szCs w:val="22"/>
          <w:lang w:val="aa-ET"/>
        </w:rPr>
        <w:t>homeless persons in a number of municipalities</w:t>
      </w:r>
      <w:r w:rsidR="00C912F3" w:rsidRPr="00231392">
        <w:rPr>
          <w:rFonts w:cstheme="minorHAnsi"/>
          <w:sz w:val="22"/>
          <w:szCs w:val="22"/>
          <w:lang w:val="aa-ET"/>
        </w:rPr>
        <w:t>. The rationale behind</w:t>
      </w:r>
      <w:r w:rsidRPr="00231392">
        <w:rPr>
          <w:rFonts w:cstheme="minorHAnsi"/>
          <w:sz w:val="22"/>
          <w:szCs w:val="22"/>
          <w:lang w:val="aa-ET"/>
        </w:rPr>
        <w:t xml:space="preserve"> reducing</w:t>
      </w:r>
      <w:r w:rsidR="00C912F3" w:rsidRPr="00231392">
        <w:rPr>
          <w:rFonts w:cstheme="minorHAnsi"/>
          <w:sz w:val="22"/>
          <w:szCs w:val="22"/>
          <w:lang w:val="aa-ET"/>
        </w:rPr>
        <w:t xml:space="preserve"> social benefits is that homeless persons do not have housing costs. </w:t>
      </w:r>
      <w:r w:rsidRPr="00231392">
        <w:rPr>
          <w:rFonts w:cstheme="minorHAnsi"/>
          <w:sz w:val="22"/>
          <w:szCs w:val="22"/>
          <w:lang w:val="aa-ET"/>
        </w:rPr>
        <w:t>Their homelessness is thus a reason to limit their right to social benefits and their right to an adequate standard of living;</w:t>
      </w:r>
      <w:r w:rsidR="00FD6CDA" w:rsidRPr="00231392">
        <w:rPr>
          <w:rStyle w:val="FootnoteReference"/>
          <w:rFonts w:cstheme="minorHAnsi"/>
          <w:sz w:val="22"/>
          <w:szCs w:val="22"/>
          <w:lang w:val="aa-ET"/>
        </w:rPr>
        <w:footnoteReference w:id="24"/>
      </w:r>
    </w:p>
    <w:p w14:paraId="71ABA907" w14:textId="3FCCFE0C" w:rsidR="00FC3B9A" w:rsidRPr="00231392" w:rsidRDefault="005B0AD4" w:rsidP="008174B7">
      <w:pPr>
        <w:pStyle w:val="ListParagraph"/>
        <w:numPr>
          <w:ilvl w:val="0"/>
          <w:numId w:val="1"/>
        </w:numPr>
        <w:jc w:val="both"/>
        <w:rPr>
          <w:rFonts w:cstheme="minorHAnsi"/>
          <w:sz w:val="22"/>
          <w:szCs w:val="22"/>
          <w:lang w:val="aa-ET"/>
        </w:rPr>
      </w:pPr>
      <w:r w:rsidRPr="00231392">
        <w:rPr>
          <w:rFonts w:cstheme="minorHAnsi"/>
          <w:sz w:val="22"/>
          <w:szCs w:val="22"/>
          <w:lang w:val="aa-ET"/>
        </w:rPr>
        <w:t>A</w:t>
      </w:r>
      <w:r w:rsidR="00F90061" w:rsidRPr="00231392">
        <w:rPr>
          <w:rFonts w:cstheme="minorHAnsi"/>
          <w:sz w:val="22"/>
          <w:szCs w:val="22"/>
          <w:lang w:val="aa-ET"/>
        </w:rPr>
        <w:t>ccess</w:t>
      </w:r>
      <w:r w:rsidR="00FC3B9A" w:rsidRPr="00231392">
        <w:rPr>
          <w:rFonts w:cstheme="minorHAnsi"/>
          <w:sz w:val="22"/>
          <w:szCs w:val="22"/>
          <w:lang w:val="aa-ET"/>
        </w:rPr>
        <w:t xml:space="preserve"> to social housing is </w:t>
      </w:r>
      <w:r w:rsidR="008338A1" w:rsidRPr="00231392">
        <w:rPr>
          <w:rFonts w:cstheme="minorHAnsi"/>
          <w:sz w:val="22"/>
          <w:szCs w:val="22"/>
          <w:lang w:val="aa-ET"/>
        </w:rPr>
        <w:t xml:space="preserve">often only </w:t>
      </w:r>
      <w:r w:rsidR="00FC3B9A" w:rsidRPr="00231392">
        <w:rPr>
          <w:rFonts w:cstheme="minorHAnsi"/>
          <w:sz w:val="22"/>
          <w:szCs w:val="22"/>
          <w:lang w:val="aa-ET"/>
        </w:rPr>
        <w:t>possible</w:t>
      </w:r>
      <w:r w:rsidR="008338A1" w:rsidRPr="00231392">
        <w:rPr>
          <w:rFonts w:cstheme="minorHAnsi"/>
          <w:sz w:val="22"/>
          <w:szCs w:val="22"/>
          <w:lang w:val="aa-ET"/>
        </w:rPr>
        <w:t xml:space="preserve"> when a care </w:t>
      </w:r>
      <w:r w:rsidR="00F90061" w:rsidRPr="00231392">
        <w:rPr>
          <w:rFonts w:cstheme="minorHAnsi"/>
          <w:sz w:val="22"/>
          <w:szCs w:val="22"/>
          <w:lang w:val="aa-ET"/>
        </w:rPr>
        <w:t xml:space="preserve">/support </w:t>
      </w:r>
      <w:r w:rsidR="008338A1" w:rsidRPr="00231392">
        <w:rPr>
          <w:rFonts w:cstheme="minorHAnsi"/>
          <w:sz w:val="22"/>
          <w:szCs w:val="22"/>
          <w:lang w:val="aa-ET"/>
        </w:rPr>
        <w:t>provider is willing to take on the rental contract with the social housing provider. G</w:t>
      </w:r>
      <w:r w:rsidR="00FC3B9A" w:rsidRPr="00231392">
        <w:rPr>
          <w:rFonts w:cstheme="minorHAnsi"/>
          <w:sz w:val="22"/>
          <w:szCs w:val="22"/>
          <w:lang w:val="aa-ET"/>
        </w:rPr>
        <w:t>etting security of tenure is possible when the ex-homeless person has proven good beh</w:t>
      </w:r>
      <w:r w:rsidR="008338A1" w:rsidRPr="00231392">
        <w:rPr>
          <w:rFonts w:cstheme="minorHAnsi"/>
          <w:sz w:val="22"/>
          <w:szCs w:val="22"/>
          <w:lang w:val="aa-ET"/>
        </w:rPr>
        <w:t>aviour for a certain amount of time.</w:t>
      </w:r>
      <w:r w:rsidR="00F90061" w:rsidRPr="00231392">
        <w:rPr>
          <w:rFonts w:cstheme="minorHAnsi"/>
          <w:sz w:val="22"/>
          <w:szCs w:val="22"/>
          <w:lang w:val="aa-ET"/>
        </w:rPr>
        <w:t xml:space="preserve"> Care/support providers take on this role to support access to housing for their clients</w:t>
      </w:r>
      <w:r w:rsidR="00C37E09" w:rsidRPr="00231392">
        <w:rPr>
          <w:rFonts w:cstheme="minorHAnsi"/>
          <w:sz w:val="22"/>
          <w:szCs w:val="22"/>
          <w:lang w:val="aa-ET"/>
        </w:rPr>
        <w:t xml:space="preserve"> (“omklapcontracten”)</w:t>
      </w:r>
      <w:r w:rsidR="00F90061" w:rsidRPr="00231392">
        <w:rPr>
          <w:rFonts w:cstheme="minorHAnsi"/>
          <w:sz w:val="22"/>
          <w:szCs w:val="22"/>
          <w:lang w:val="aa-ET"/>
        </w:rPr>
        <w:t>. This is positive</w:t>
      </w:r>
      <w:r w:rsidR="000F7397" w:rsidRPr="00231392">
        <w:rPr>
          <w:rFonts w:cstheme="minorHAnsi"/>
          <w:sz w:val="22"/>
          <w:szCs w:val="22"/>
          <w:lang w:val="aa-ET"/>
        </w:rPr>
        <w:t xml:space="preserve"> and in certain limited situations such a contract could be just</w:t>
      </w:r>
      <w:r w:rsidR="00F90061" w:rsidRPr="00231392">
        <w:rPr>
          <w:rFonts w:cstheme="minorHAnsi"/>
          <w:sz w:val="22"/>
          <w:szCs w:val="22"/>
          <w:lang w:val="aa-ET"/>
        </w:rPr>
        <w:t>. Yet, this practice does highlight the level of stigma and discrimination faced by homeless persons and the effect on security of tenure. Thus, limiting the realisation of their right to housing.</w:t>
      </w:r>
      <w:r w:rsidR="00C37E09" w:rsidRPr="00231392">
        <w:rPr>
          <w:rStyle w:val="FootnoteReference"/>
          <w:rFonts w:cstheme="minorHAnsi"/>
          <w:sz w:val="22"/>
          <w:szCs w:val="22"/>
          <w:lang w:val="aa-ET"/>
        </w:rPr>
        <w:footnoteReference w:id="25"/>
      </w:r>
    </w:p>
    <w:p w14:paraId="62238049" w14:textId="77777777" w:rsidR="00FC3B9A" w:rsidRPr="00231392" w:rsidRDefault="00FC3B9A" w:rsidP="008174B7">
      <w:pPr>
        <w:jc w:val="both"/>
        <w:rPr>
          <w:rFonts w:cstheme="minorHAnsi"/>
          <w:sz w:val="22"/>
          <w:szCs w:val="22"/>
          <w:lang w:val="aa-ET"/>
        </w:rPr>
      </w:pPr>
    </w:p>
    <w:p w14:paraId="4684B52D" w14:textId="42FA162F" w:rsidR="00FC3B9A" w:rsidRPr="00231392" w:rsidRDefault="00FC3B9A" w:rsidP="008174B7">
      <w:pPr>
        <w:jc w:val="both"/>
        <w:rPr>
          <w:rFonts w:cstheme="minorHAnsi"/>
          <w:sz w:val="22"/>
          <w:szCs w:val="22"/>
          <w:u w:val="single"/>
          <w:lang w:val="aa-ET"/>
        </w:rPr>
      </w:pPr>
      <w:r w:rsidRPr="00231392">
        <w:rPr>
          <w:rFonts w:cstheme="minorHAnsi"/>
          <w:sz w:val="22"/>
          <w:szCs w:val="22"/>
          <w:u w:val="single"/>
          <w:lang w:val="aa-ET"/>
        </w:rPr>
        <w:t>Limiting access to housing for people with disabilities</w:t>
      </w:r>
    </w:p>
    <w:p w14:paraId="6C275DE8" w14:textId="54CD54CA" w:rsidR="00FC3B9A" w:rsidRPr="00231392" w:rsidRDefault="00451E2E" w:rsidP="008174B7">
      <w:pPr>
        <w:jc w:val="both"/>
        <w:rPr>
          <w:rFonts w:cstheme="minorHAnsi"/>
          <w:sz w:val="22"/>
          <w:szCs w:val="22"/>
          <w:lang w:val="aa-ET"/>
        </w:rPr>
      </w:pPr>
      <w:r w:rsidRPr="00231392">
        <w:rPr>
          <w:rFonts w:cstheme="minorHAnsi"/>
          <w:sz w:val="22"/>
          <w:szCs w:val="22"/>
          <w:lang w:val="aa-ET"/>
        </w:rPr>
        <w:t xml:space="preserve">Access </w:t>
      </w:r>
      <w:r w:rsidR="00FC3B9A" w:rsidRPr="00231392">
        <w:rPr>
          <w:rFonts w:cstheme="minorHAnsi"/>
          <w:sz w:val="22"/>
          <w:szCs w:val="22"/>
          <w:lang w:val="aa-ET"/>
        </w:rPr>
        <w:t xml:space="preserve">to housing for people with disabilities is under </w:t>
      </w:r>
      <w:r w:rsidRPr="00231392">
        <w:rPr>
          <w:rFonts w:cstheme="minorHAnsi"/>
          <w:sz w:val="22"/>
          <w:szCs w:val="22"/>
          <w:lang w:val="aa-ET"/>
        </w:rPr>
        <w:t xml:space="preserve">severe </w:t>
      </w:r>
      <w:r w:rsidR="00FC3B9A" w:rsidRPr="00231392">
        <w:rPr>
          <w:rFonts w:cstheme="minorHAnsi"/>
          <w:sz w:val="22"/>
          <w:szCs w:val="22"/>
          <w:lang w:val="aa-ET"/>
        </w:rPr>
        <w:t xml:space="preserve">pressure. </w:t>
      </w:r>
      <w:r w:rsidRPr="00231392">
        <w:rPr>
          <w:rFonts w:cstheme="minorHAnsi"/>
          <w:sz w:val="22"/>
          <w:szCs w:val="22"/>
          <w:lang w:val="aa-ET"/>
        </w:rPr>
        <w:t xml:space="preserve">Firstly, because many people with disabilities live in poverty or only have limited income. They depend largely on </w:t>
      </w:r>
      <w:r w:rsidRPr="00231392">
        <w:rPr>
          <w:rFonts w:cstheme="minorHAnsi"/>
          <w:sz w:val="22"/>
          <w:szCs w:val="22"/>
          <w:lang w:val="aa-ET"/>
        </w:rPr>
        <w:lastRenderedPageBreak/>
        <w:t xml:space="preserve">social housing. Availability of social housing is more and more limited. </w:t>
      </w:r>
      <w:r w:rsidR="00865D3F" w:rsidRPr="00231392">
        <w:rPr>
          <w:rFonts w:cstheme="minorHAnsi"/>
          <w:sz w:val="22"/>
          <w:szCs w:val="22"/>
          <w:lang w:val="aa-ET"/>
        </w:rPr>
        <w:t>Existing a</w:t>
      </w:r>
      <w:r w:rsidRPr="00231392">
        <w:rPr>
          <w:rFonts w:cstheme="minorHAnsi"/>
          <w:sz w:val="22"/>
          <w:szCs w:val="22"/>
          <w:lang w:val="aa-ET"/>
        </w:rPr>
        <w:t>vai</w:t>
      </w:r>
      <w:r w:rsidR="00865D3F" w:rsidRPr="00231392">
        <w:rPr>
          <w:rFonts w:cstheme="minorHAnsi"/>
          <w:sz w:val="22"/>
          <w:szCs w:val="22"/>
          <w:lang w:val="aa-ET"/>
        </w:rPr>
        <w:t xml:space="preserve">lable housing is often not </w:t>
      </w:r>
      <w:r w:rsidRPr="00231392">
        <w:rPr>
          <w:rFonts w:cstheme="minorHAnsi"/>
          <w:sz w:val="22"/>
          <w:szCs w:val="22"/>
          <w:lang w:val="aa-ET"/>
        </w:rPr>
        <w:t>accessible to them.</w:t>
      </w:r>
      <w:r w:rsidR="00865D3F" w:rsidRPr="00231392">
        <w:rPr>
          <w:rFonts w:cstheme="minorHAnsi"/>
          <w:sz w:val="22"/>
          <w:szCs w:val="22"/>
          <w:lang w:val="aa-ET"/>
        </w:rPr>
        <w:t xml:space="preserve"> Whereas there is no explicit obligation for new housing projects to consider accessibility.</w:t>
      </w:r>
      <w:r w:rsidR="00865D3F" w:rsidRPr="00231392">
        <w:rPr>
          <w:rStyle w:val="FootnoteReference"/>
          <w:rFonts w:cstheme="minorHAnsi"/>
          <w:sz w:val="22"/>
          <w:szCs w:val="22"/>
          <w:lang w:val="aa-ET"/>
        </w:rPr>
        <w:footnoteReference w:id="26"/>
      </w:r>
      <w:r w:rsidR="00865D3F" w:rsidRPr="00231392">
        <w:rPr>
          <w:rFonts w:cstheme="minorHAnsi"/>
          <w:sz w:val="22"/>
          <w:szCs w:val="22"/>
          <w:lang w:val="aa-ET"/>
        </w:rPr>
        <w:t xml:space="preserve"> </w:t>
      </w:r>
      <w:r w:rsidRPr="00231392">
        <w:rPr>
          <w:rFonts w:cstheme="minorHAnsi"/>
          <w:sz w:val="22"/>
          <w:szCs w:val="22"/>
          <w:lang w:val="aa-ET"/>
        </w:rPr>
        <w:t xml:space="preserve"> Making alterations to houses to increase accessibility is excessively burdensome. If people with disabilities, </w:t>
      </w:r>
      <w:r w:rsidR="00452E7C" w:rsidRPr="00231392">
        <w:rPr>
          <w:rFonts w:cstheme="minorHAnsi"/>
          <w:sz w:val="22"/>
          <w:szCs w:val="22"/>
          <w:lang w:val="aa-ET"/>
        </w:rPr>
        <w:t>especially people</w:t>
      </w:r>
      <w:r w:rsidRPr="00231392">
        <w:rPr>
          <w:rFonts w:cstheme="minorHAnsi"/>
          <w:sz w:val="22"/>
          <w:szCs w:val="22"/>
          <w:lang w:val="aa-ET"/>
        </w:rPr>
        <w:t xml:space="preserve"> with chronic diseases, are in the position to buy a house they find it difficult to get a mortgage. One of the conditions to get a mortgage is to have a life insurance. For people with chronic diseases this is very difficult and very expensive.</w:t>
      </w:r>
    </w:p>
    <w:p w14:paraId="6D780F5A" w14:textId="77777777" w:rsidR="0001608E" w:rsidRPr="00231392" w:rsidRDefault="0001608E" w:rsidP="008174B7">
      <w:pPr>
        <w:jc w:val="both"/>
        <w:rPr>
          <w:rFonts w:cstheme="minorHAnsi"/>
          <w:sz w:val="22"/>
          <w:szCs w:val="22"/>
          <w:lang w:val="aa-ET"/>
        </w:rPr>
      </w:pPr>
    </w:p>
    <w:p w14:paraId="31F1D885" w14:textId="65C80D6E" w:rsidR="0001608E" w:rsidRPr="00231392" w:rsidRDefault="0001608E" w:rsidP="008174B7">
      <w:pPr>
        <w:jc w:val="both"/>
        <w:rPr>
          <w:rFonts w:cstheme="minorHAnsi"/>
          <w:sz w:val="22"/>
          <w:szCs w:val="22"/>
          <w:lang w:val="aa-ET"/>
        </w:rPr>
      </w:pPr>
      <w:r w:rsidRPr="00231392">
        <w:rPr>
          <w:rFonts w:cstheme="minorHAnsi"/>
          <w:sz w:val="22"/>
          <w:szCs w:val="22"/>
          <w:lang w:val="aa-ET"/>
        </w:rPr>
        <w:t xml:space="preserve">Also, there is no </w:t>
      </w:r>
      <w:r w:rsidR="00FF5D8C" w:rsidRPr="00231392">
        <w:rPr>
          <w:rFonts w:cstheme="minorHAnsi"/>
          <w:sz w:val="22"/>
          <w:szCs w:val="22"/>
          <w:lang w:val="aa-ET"/>
        </w:rPr>
        <w:t xml:space="preserve">clear </w:t>
      </w:r>
      <w:r w:rsidRPr="00231392">
        <w:rPr>
          <w:rFonts w:cstheme="minorHAnsi"/>
          <w:sz w:val="22"/>
          <w:szCs w:val="22"/>
          <w:lang w:val="aa-ET"/>
        </w:rPr>
        <w:t>obligation for municipalities and housi</w:t>
      </w:r>
      <w:r w:rsidR="006C0DC8" w:rsidRPr="00231392">
        <w:rPr>
          <w:rFonts w:cstheme="minorHAnsi"/>
          <w:sz w:val="22"/>
          <w:szCs w:val="22"/>
          <w:lang w:val="aa-ET"/>
        </w:rPr>
        <w:t xml:space="preserve">ng developers to make sure new housing development plans </w:t>
      </w:r>
      <w:r w:rsidR="003262ED" w:rsidRPr="00231392">
        <w:rPr>
          <w:rFonts w:cstheme="minorHAnsi"/>
          <w:sz w:val="22"/>
          <w:szCs w:val="22"/>
          <w:lang w:val="aa-ET"/>
        </w:rPr>
        <w:t>consider</w:t>
      </w:r>
      <w:r w:rsidR="006C0DC8" w:rsidRPr="00231392">
        <w:rPr>
          <w:rFonts w:cstheme="minorHAnsi"/>
          <w:sz w:val="22"/>
          <w:szCs w:val="22"/>
          <w:lang w:val="aa-ET"/>
        </w:rPr>
        <w:t xml:space="preserve"> accessibility of housing for people </w:t>
      </w:r>
      <w:r w:rsidR="003262ED" w:rsidRPr="00231392">
        <w:rPr>
          <w:rFonts w:cstheme="minorHAnsi"/>
          <w:sz w:val="22"/>
          <w:szCs w:val="22"/>
          <w:lang w:val="aa-ET"/>
        </w:rPr>
        <w:t>with disabilities.</w:t>
      </w:r>
      <w:r w:rsidR="00FF5D8C" w:rsidRPr="00231392">
        <w:rPr>
          <w:rFonts w:cstheme="minorHAnsi"/>
          <w:sz w:val="22"/>
          <w:szCs w:val="22"/>
          <w:lang w:val="aa-ET"/>
        </w:rPr>
        <w:t xml:space="preserve"> Though nationally accessibility of the ‘living environment’, including housing and the surrounding infrastructure, is considered by the National Government of national interest in their recent vision document on ‘living environment’ in the Netherlands.</w:t>
      </w:r>
      <w:r w:rsidR="00FF5D8C" w:rsidRPr="00231392">
        <w:rPr>
          <w:rStyle w:val="FootnoteReference"/>
          <w:rFonts w:cstheme="minorHAnsi"/>
          <w:sz w:val="22"/>
          <w:szCs w:val="22"/>
          <w:lang w:val="aa-ET"/>
        </w:rPr>
        <w:footnoteReference w:id="27"/>
      </w:r>
      <w:r w:rsidR="00FF5D8C" w:rsidRPr="00231392">
        <w:rPr>
          <w:rFonts w:cstheme="minorHAnsi"/>
          <w:sz w:val="22"/>
          <w:szCs w:val="22"/>
          <w:lang w:val="aa-ET"/>
        </w:rPr>
        <w:t xml:space="preserve"> A move applauded by one of the main representatives of people with physical disabilities, Ieder(In).</w:t>
      </w:r>
      <w:r w:rsidR="00FF5D8C" w:rsidRPr="00231392">
        <w:rPr>
          <w:rStyle w:val="FootnoteReference"/>
          <w:rFonts w:cstheme="minorHAnsi"/>
          <w:sz w:val="22"/>
          <w:szCs w:val="22"/>
          <w:lang w:val="aa-ET"/>
        </w:rPr>
        <w:footnoteReference w:id="28"/>
      </w:r>
    </w:p>
    <w:p w14:paraId="5AD207DE" w14:textId="77777777" w:rsidR="00FC3B9A" w:rsidRPr="00231392" w:rsidRDefault="00FC3B9A" w:rsidP="008174B7">
      <w:pPr>
        <w:jc w:val="both"/>
        <w:rPr>
          <w:rFonts w:cstheme="minorHAnsi"/>
          <w:sz w:val="22"/>
          <w:szCs w:val="22"/>
          <w:lang w:val="aa-ET"/>
        </w:rPr>
      </w:pPr>
    </w:p>
    <w:p w14:paraId="4E45CBF5" w14:textId="66AE58E8" w:rsidR="00451E2E" w:rsidRPr="00231392" w:rsidRDefault="00451E2E" w:rsidP="008174B7">
      <w:pPr>
        <w:jc w:val="both"/>
        <w:rPr>
          <w:rFonts w:cstheme="minorHAnsi"/>
          <w:sz w:val="22"/>
          <w:szCs w:val="22"/>
          <w:u w:val="single"/>
          <w:lang w:val="aa-ET"/>
        </w:rPr>
      </w:pPr>
      <w:r w:rsidRPr="00231392">
        <w:rPr>
          <w:rFonts w:cstheme="minorHAnsi"/>
          <w:sz w:val="22"/>
          <w:szCs w:val="22"/>
          <w:u w:val="single"/>
          <w:lang w:val="aa-ET"/>
        </w:rPr>
        <w:t>Limiting access to housing based on race and ethnicity</w:t>
      </w:r>
    </w:p>
    <w:p w14:paraId="13D0BC0E" w14:textId="77777777" w:rsidR="000A74C3" w:rsidRPr="00231392" w:rsidRDefault="000A74C3" w:rsidP="008174B7">
      <w:pPr>
        <w:jc w:val="both"/>
        <w:rPr>
          <w:rFonts w:cstheme="minorHAnsi"/>
          <w:i/>
          <w:sz w:val="22"/>
          <w:szCs w:val="22"/>
          <w:lang w:val="aa-ET"/>
        </w:rPr>
      </w:pPr>
      <w:r w:rsidRPr="00231392">
        <w:rPr>
          <w:rFonts w:cstheme="minorHAnsi"/>
          <w:i/>
          <w:sz w:val="22"/>
          <w:szCs w:val="22"/>
          <w:lang w:val="aa-ET"/>
        </w:rPr>
        <w:t>Positive measures</w:t>
      </w:r>
    </w:p>
    <w:p w14:paraId="49CB2393" w14:textId="2AAB7489" w:rsidR="000A74C3" w:rsidRPr="00231392" w:rsidRDefault="000A74C3" w:rsidP="008174B7">
      <w:pPr>
        <w:jc w:val="both"/>
        <w:rPr>
          <w:rFonts w:cstheme="minorHAnsi"/>
          <w:sz w:val="22"/>
          <w:szCs w:val="22"/>
          <w:lang w:val="aa-ET"/>
        </w:rPr>
      </w:pPr>
      <w:r w:rsidRPr="00231392">
        <w:rPr>
          <w:rFonts w:cstheme="minorHAnsi"/>
          <w:sz w:val="22"/>
          <w:szCs w:val="22"/>
          <w:lang w:val="aa-ET"/>
        </w:rPr>
        <w:t xml:space="preserve">The national government has indicated its intention to implement measures to curb discrimination in the private rental sector. </w:t>
      </w:r>
      <w:r w:rsidR="00037E75" w:rsidRPr="00231392">
        <w:rPr>
          <w:rFonts w:cstheme="minorHAnsi"/>
          <w:sz w:val="22"/>
          <w:szCs w:val="22"/>
          <w:lang w:val="aa-ET"/>
        </w:rPr>
        <w:t>This follows up on national research on discrimination in access to housing in the rental sector, especially focused on race and ethnicity.</w:t>
      </w:r>
      <w:r w:rsidR="00876ED2" w:rsidRPr="00231392">
        <w:rPr>
          <w:rStyle w:val="FootnoteReference"/>
          <w:rFonts w:cstheme="minorHAnsi"/>
          <w:sz w:val="22"/>
          <w:szCs w:val="22"/>
          <w:lang w:val="aa-ET"/>
        </w:rPr>
        <w:footnoteReference w:id="29"/>
      </w:r>
      <w:r w:rsidR="00037E75" w:rsidRPr="00231392">
        <w:rPr>
          <w:rFonts w:cstheme="minorHAnsi"/>
          <w:sz w:val="22"/>
          <w:szCs w:val="22"/>
          <w:lang w:val="aa-ET"/>
        </w:rPr>
        <w:t xml:space="preserve"> Proposed measures include measures </w:t>
      </w:r>
      <w:r w:rsidR="0016043F" w:rsidRPr="00231392">
        <w:rPr>
          <w:rFonts w:cstheme="minorHAnsi"/>
          <w:sz w:val="22"/>
          <w:szCs w:val="22"/>
          <w:lang w:val="aa-ET"/>
        </w:rPr>
        <w:t>on: raising awareness</w:t>
      </w:r>
      <w:r w:rsidR="00037E75" w:rsidRPr="00231392">
        <w:rPr>
          <w:rFonts w:cstheme="minorHAnsi"/>
          <w:sz w:val="22"/>
          <w:szCs w:val="22"/>
          <w:lang w:val="aa-ET"/>
        </w:rPr>
        <w:t xml:space="preserve"> about discrimination among </w:t>
      </w:r>
      <w:r w:rsidR="0016043F" w:rsidRPr="00231392">
        <w:rPr>
          <w:rFonts w:cstheme="minorHAnsi"/>
          <w:sz w:val="22"/>
          <w:szCs w:val="22"/>
          <w:lang w:val="aa-ET"/>
        </w:rPr>
        <w:t>owners and intermediaries; a system of permits for intermediaries; mystery guests; and sanctions.</w:t>
      </w:r>
      <w:r w:rsidR="00876ED2" w:rsidRPr="00231392">
        <w:rPr>
          <w:rStyle w:val="FootnoteReference"/>
          <w:rFonts w:cstheme="minorHAnsi"/>
          <w:sz w:val="22"/>
          <w:szCs w:val="22"/>
          <w:lang w:val="aa-ET"/>
        </w:rPr>
        <w:footnoteReference w:id="30"/>
      </w:r>
      <w:r w:rsidR="0016043F" w:rsidRPr="00231392">
        <w:rPr>
          <w:rFonts w:cstheme="minorHAnsi"/>
          <w:sz w:val="22"/>
          <w:szCs w:val="22"/>
          <w:lang w:val="aa-ET"/>
        </w:rPr>
        <w:t xml:space="preserve"> The measures especially provide a regulatory and legislative basis for municipalities to take action. </w:t>
      </w:r>
      <w:r w:rsidR="0016043F" w:rsidRPr="00231392">
        <w:rPr>
          <w:rFonts w:cstheme="minorHAnsi"/>
          <w:sz w:val="22"/>
          <w:szCs w:val="22"/>
          <w:lang w:val="aa-ET"/>
        </w:rPr>
        <w:lastRenderedPageBreak/>
        <w:t>Some municipalities have indicated they are going to enhance their struggle against these discriminatory practices following specific research in those municipalities (such as, Rotterdam and Utrecht).</w:t>
      </w:r>
      <w:r w:rsidR="00876ED2" w:rsidRPr="00231392">
        <w:rPr>
          <w:rStyle w:val="FootnoteReference"/>
          <w:rFonts w:cstheme="minorHAnsi"/>
          <w:sz w:val="22"/>
          <w:szCs w:val="22"/>
          <w:lang w:val="aa-ET"/>
        </w:rPr>
        <w:footnoteReference w:id="31"/>
      </w:r>
    </w:p>
    <w:p w14:paraId="3E60F781" w14:textId="77777777" w:rsidR="0016043F" w:rsidRPr="00231392" w:rsidRDefault="0016043F" w:rsidP="008174B7">
      <w:pPr>
        <w:jc w:val="both"/>
        <w:rPr>
          <w:rFonts w:cstheme="minorHAnsi"/>
          <w:sz w:val="22"/>
          <w:szCs w:val="22"/>
          <w:lang w:val="aa-ET"/>
        </w:rPr>
      </w:pPr>
    </w:p>
    <w:p w14:paraId="074F2B0E" w14:textId="0E045AB2" w:rsidR="00EC668A" w:rsidRPr="00231392" w:rsidRDefault="00EC668A" w:rsidP="008174B7">
      <w:pPr>
        <w:jc w:val="both"/>
        <w:rPr>
          <w:rFonts w:cstheme="minorHAnsi"/>
          <w:sz w:val="22"/>
          <w:szCs w:val="22"/>
          <w:lang w:val="aa-ET"/>
        </w:rPr>
      </w:pPr>
      <w:r w:rsidRPr="00231392">
        <w:rPr>
          <w:rFonts w:cstheme="minorHAnsi"/>
          <w:sz w:val="22"/>
          <w:szCs w:val="22"/>
          <w:lang w:val="aa-ET"/>
        </w:rPr>
        <w:t xml:space="preserve">These efforts are positive. However, without a integral policy that also focuses on direct and indirect discrimination by the State their impact will be very limited. </w:t>
      </w:r>
    </w:p>
    <w:p w14:paraId="03336858" w14:textId="77777777" w:rsidR="00EC668A" w:rsidRPr="00231392" w:rsidRDefault="00EC668A" w:rsidP="008174B7">
      <w:pPr>
        <w:jc w:val="both"/>
        <w:rPr>
          <w:rFonts w:cstheme="minorHAnsi"/>
          <w:sz w:val="22"/>
          <w:szCs w:val="22"/>
          <w:lang w:val="aa-ET"/>
        </w:rPr>
      </w:pPr>
    </w:p>
    <w:p w14:paraId="11CD661A" w14:textId="4ED9744A" w:rsidR="001F4615" w:rsidRPr="00231392" w:rsidRDefault="001F4615" w:rsidP="008174B7">
      <w:pPr>
        <w:jc w:val="both"/>
        <w:rPr>
          <w:rFonts w:cstheme="minorHAnsi"/>
          <w:i/>
          <w:sz w:val="22"/>
          <w:szCs w:val="22"/>
          <w:lang w:val="aa-ET"/>
        </w:rPr>
      </w:pPr>
      <w:r w:rsidRPr="00231392">
        <w:rPr>
          <w:rFonts w:cstheme="minorHAnsi"/>
          <w:i/>
          <w:sz w:val="22"/>
          <w:szCs w:val="22"/>
          <w:lang w:val="aa-ET"/>
        </w:rPr>
        <w:t>Rotterdamwet</w:t>
      </w:r>
    </w:p>
    <w:p w14:paraId="0FD2A2E1" w14:textId="50FD22C3" w:rsidR="001F4615" w:rsidRPr="00231392" w:rsidRDefault="00C84483" w:rsidP="008174B7">
      <w:pPr>
        <w:jc w:val="both"/>
        <w:rPr>
          <w:rFonts w:cstheme="minorHAnsi"/>
          <w:sz w:val="22"/>
          <w:szCs w:val="22"/>
          <w:lang w:val="aa-ET"/>
        </w:rPr>
      </w:pPr>
      <w:r w:rsidRPr="00231392">
        <w:rPr>
          <w:rFonts w:cstheme="minorHAnsi"/>
          <w:sz w:val="22"/>
          <w:szCs w:val="22"/>
          <w:lang w:val="aa-ET"/>
        </w:rPr>
        <w:t>Inner City Problems (Special Measures) Act limits access to housing in certain areas of cities to people with low income.</w:t>
      </w:r>
      <w:r w:rsidR="0064290E" w:rsidRPr="00231392">
        <w:rPr>
          <w:rStyle w:val="FootnoteReference"/>
          <w:rFonts w:cstheme="minorHAnsi"/>
          <w:sz w:val="22"/>
          <w:szCs w:val="22"/>
          <w:lang w:val="aa-ET"/>
        </w:rPr>
        <w:footnoteReference w:id="32"/>
      </w:r>
      <w:r w:rsidRPr="00231392">
        <w:rPr>
          <w:rFonts w:cstheme="minorHAnsi"/>
          <w:sz w:val="22"/>
          <w:szCs w:val="22"/>
          <w:lang w:val="aa-ET"/>
        </w:rPr>
        <w:t xml:space="preserve"> </w:t>
      </w:r>
      <w:r w:rsidR="00E90944" w:rsidRPr="00231392">
        <w:rPr>
          <w:rFonts w:cstheme="minorHAnsi"/>
          <w:sz w:val="22"/>
          <w:szCs w:val="22"/>
          <w:lang w:val="aa-ET"/>
        </w:rPr>
        <w:t xml:space="preserve">It was </w:t>
      </w:r>
      <w:r w:rsidR="002371AF" w:rsidRPr="00231392">
        <w:rPr>
          <w:rFonts w:cstheme="minorHAnsi"/>
          <w:sz w:val="22"/>
          <w:szCs w:val="22"/>
          <w:lang w:val="aa-ET"/>
        </w:rPr>
        <w:t xml:space="preserve">implemented in 2005. </w:t>
      </w:r>
      <w:r w:rsidRPr="00231392">
        <w:rPr>
          <w:rFonts w:cstheme="minorHAnsi"/>
          <w:sz w:val="22"/>
          <w:szCs w:val="22"/>
          <w:lang w:val="aa-ET"/>
        </w:rPr>
        <w:t xml:space="preserve">Municipalities can apply for permission to institute the Act on specific areas of the municipality for a period of 4 years. People who want to move in a house in a designated area need to apply for a housing permit. If you have a low income </w:t>
      </w:r>
      <w:r w:rsidR="00FB2C60" w:rsidRPr="00231392">
        <w:rPr>
          <w:rFonts w:cstheme="minorHAnsi"/>
          <w:sz w:val="22"/>
          <w:szCs w:val="22"/>
          <w:lang w:val="aa-ET"/>
        </w:rPr>
        <w:t>and</w:t>
      </w:r>
      <w:r w:rsidRPr="00231392">
        <w:rPr>
          <w:rFonts w:cstheme="minorHAnsi"/>
          <w:sz w:val="22"/>
          <w:szCs w:val="22"/>
          <w:lang w:val="aa-ET"/>
        </w:rPr>
        <w:t xml:space="preserve"> have not lived in the area for 6 or more years</w:t>
      </w:r>
      <w:r w:rsidR="00FB2C60" w:rsidRPr="00231392">
        <w:rPr>
          <w:rFonts w:cstheme="minorHAnsi"/>
          <w:sz w:val="22"/>
          <w:szCs w:val="22"/>
          <w:lang w:val="aa-ET"/>
        </w:rPr>
        <w:t xml:space="preserve"> you do not get a housing permit</w:t>
      </w:r>
      <w:r w:rsidRPr="00231392">
        <w:rPr>
          <w:rFonts w:cstheme="minorHAnsi"/>
          <w:sz w:val="22"/>
          <w:szCs w:val="22"/>
          <w:lang w:val="aa-ET"/>
        </w:rPr>
        <w:t xml:space="preserve">. Other articles of the Act make it possible for a municipality to favour people with a certain level of education or profession to access housing (art. 9) and forbid people who have been the subject of complaints of nuisance to access housing in those areas (art. 10). </w:t>
      </w:r>
    </w:p>
    <w:p w14:paraId="17836348" w14:textId="77777777" w:rsidR="00C84483" w:rsidRPr="00231392" w:rsidRDefault="00C84483" w:rsidP="008174B7">
      <w:pPr>
        <w:jc w:val="both"/>
        <w:rPr>
          <w:rFonts w:cstheme="minorHAnsi"/>
          <w:sz w:val="22"/>
          <w:szCs w:val="22"/>
          <w:lang w:val="aa-ET"/>
        </w:rPr>
      </w:pPr>
    </w:p>
    <w:p w14:paraId="6519145E" w14:textId="05B9D25C" w:rsidR="00DF2F24" w:rsidRPr="00231392" w:rsidRDefault="00DF2F24" w:rsidP="008174B7">
      <w:pPr>
        <w:jc w:val="both"/>
        <w:rPr>
          <w:rFonts w:cstheme="minorHAnsi"/>
          <w:sz w:val="22"/>
          <w:szCs w:val="22"/>
          <w:lang w:val="aa-ET"/>
        </w:rPr>
      </w:pPr>
      <w:r w:rsidRPr="00231392">
        <w:rPr>
          <w:rFonts w:cstheme="minorHAnsi"/>
          <w:sz w:val="22"/>
          <w:szCs w:val="22"/>
          <w:lang w:val="aa-ET"/>
        </w:rPr>
        <w:t>The goal of implementing the act is to improve living conditions in those areas. Concretely, this means limiting the number of people with low income and creating possibilities for economic-social diversification of the population. In applying for permission from the Minister of Interior municipalities use indicators from the “Leefbarometer” (a set of indicators to capture the liveability in a neighbourhood). When an area has low scores on this ‘Leefbarometer’ it may be subject to application of the Act. One of the indicators is: num</w:t>
      </w:r>
      <w:r w:rsidR="002371AF" w:rsidRPr="00231392">
        <w:rPr>
          <w:rFonts w:cstheme="minorHAnsi"/>
          <w:sz w:val="22"/>
          <w:szCs w:val="22"/>
          <w:lang w:val="aa-ET"/>
        </w:rPr>
        <w:t>b</w:t>
      </w:r>
      <w:r w:rsidRPr="00231392">
        <w:rPr>
          <w:rFonts w:cstheme="minorHAnsi"/>
          <w:sz w:val="22"/>
          <w:szCs w:val="22"/>
          <w:lang w:val="aa-ET"/>
        </w:rPr>
        <w:t>er of people with a migrant background. The higher the proportion of people with a migrant background the lower the score on the “Leefbarometer”. Num</w:t>
      </w:r>
      <w:r w:rsidR="002371AF" w:rsidRPr="00231392">
        <w:rPr>
          <w:rFonts w:cstheme="minorHAnsi"/>
          <w:sz w:val="22"/>
          <w:szCs w:val="22"/>
          <w:lang w:val="aa-ET"/>
        </w:rPr>
        <w:t>b</w:t>
      </w:r>
      <w:r w:rsidRPr="00231392">
        <w:rPr>
          <w:rFonts w:cstheme="minorHAnsi"/>
          <w:sz w:val="22"/>
          <w:szCs w:val="22"/>
          <w:lang w:val="aa-ET"/>
        </w:rPr>
        <w:t xml:space="preserve">er of people living on social benefits is also a key indicator. In fact, a decrease in that number </w:t>
      </w:r>
      <w:r w:rsidR="00EF2649" w:rsidRPr="00231392">
        <w:rPr>
          <w:rFonts w:cstheme="minorHAnsi"/>
          <w:sz w:val="22"/>
          <w:szCs w:val="22"/>
          <w:lang w:val="aa-ET"/>
        </w:rPr>
        <w:t>is</w:t>
      </w:r>
      <w:r w:rsidRPr="00231392">
        <w:rPr>
          <w:rFonts w:cstheme="minorHAnsi"/>
          <w:sz w:val="22"/>
          <w:szCs w:val="22"/>
          <w:lang w:val="aa-ET"/>
        </w:rPr>
        <w:t xml:space="preserve"> </w:t>
      </w:r>
      <w:r w:rsidR="00EF2649" w:rsidRPr="00231392">
        <w:rPr>
          <w:rFonts w:cstheme="minorHAnsi"/>
          <w:sz w:val="22"/>
          <w:szCs w:val="22"/>
          <w:lang w:val="aa-ET"/>
        </w:rPr>
        <w:t xml:space="preserve">considered </w:t>
      </w:r>
      <w:r w:rsidRPr="00231392">
        <w:rPr>
          <w:rFonts w:cstheme="minorHAnsi"/>
          <w:sz w:val="22"/>
          <w:szCs w:val="22"/>
          <w:lang w:val="aa-ET"/>
        </w:rPr>
        <w:t xml:space="preserve">a positive result </w:t>
      </w:r>
      <w:r w:rsidR="002371AF" w:rsidRPr="00231392">
        <w:rPr>
          <w:rFonts w:cstheme="minorHAnsi"/>
          <w:sz w:val="22"/>
          <w:szCs w:val="22"/>
          <w:lang w:val="aa-ET"/>
        </w:rPr>
        <w:t>of</w:t>
      </w:r>
      <w:r w:rsidRPr="00231392">
        <w:rPr>
          <w:rFonts w:cstheme="minorHAnsi"/>
          <w:sz w:val="22"/>
          <w:szCs w:val="22"/>
          <w:lang w:val="aa-ET"/>
        </w:rPr>
        <w:t xml:space="preserve"> the application of the Act.</w:t>
      </w:r>
    </w:p>
    <w:p w14:paraId="2C128BBE" w14:textId="77777777" w:rsidR="00DF2F24" w:rsidRPr="00231392" w:rsidRDefault="00DF2F24" w:rsidP="008174B7">
      <w:pPr>
        <w:jc w:val="both"/>
        <w:rPr>
          <w:rFonts w:cstheme="minorHAnsi"/>
          <w:sz w:val="22"/>
          <w:szCs w:val="22"/>
          <w:lang w:val="aa-ET"/>
        </w:rPr>
      </w:pPr>
    </w:p>
    <w:p w14:paraId="5D0B7E8C" w14:textId="7BBE915E" w:rsidR="00C84483" w:rsidRPr="00231392" w:rsidRDefault="00C84483" w:rsidP="008174B7">
      <w:pPr>
        <w:jc w:val="both"/>
        <w:rPr>
          <w:rFonts w:cstheme="minorHAnsi"/>
          <w:sz w:val="22"/>
          <w:szCs w:val="22"/>
          <w:lang w:val="aa-ET"/>
        </w:rPr>
      </w:pPr>
      <w:r w:rsidRPr="00231392">
        <w:rPr>
          <w:rFonts w:cstheme="minorHAnsi"/>
          <w:sz w:val="22"/>
          <w:szCs w:val="22"/>
          <w:lang w:val="aa-ET"/>
        </w:rPr>
        <w:t xml:space="preserve">The Act or parts </w:t>
      </w:r>
      <w:r w:rsidR="00DF2F24" w:rsidRPr="00231392">
        <w:rPr>
          <w:rFonts w:cstheme="minorHAnsi"/>
          <w:sz w:val="22"/>
          <w:szCs w:val="22"/>
          <w:lang w:val="aa-ET"/>
        </w:rPr>
        <w:t>of the Act are now enacted by 10</w:t>
      </w:r>
      <w:r w:rsidRPr="00231392">
        <w:rPr>
          <w:rFonts w:cstheme="minorHAnsi"/>
          <w:sz w:val="22"/>
          <w:szCs w:val="22"/>
          <w:lang w:val="aa-ET"/>
        </w:rPr>
        <w:t xml:space="preserve"> municipalities in The Netherlands. If a municipality wants to extend the period of the implementation of the Act it must ask the Minister of Interior for permission. In doing so it must provide information that indicates the measures are needed.</w:t>
      </w:r>
      <w:r w:rsidR="00FB2C60" w:rsidRPr="00231392">
        <w:rPr>
          <w:rFonts w:cstheme="minorHAnsi"/>
          <w:sz w:val="22"/>
          <w:szCs w:val="22"/>
          <w:lang w:val="aa-ET"/>
        </w:rPr>
        <w:t xml:space="preserve"> </w:t>
      </w:r>
      <w:r w:rsidRPr="00231392">
        <w:rPr>
          <w:rFonts w:cstheme="minorHAnsi"/>
          <w:sz w:val="22"/>
          <w:szCs w:val="22"/>
          <w:lang w:val="aa-ET"/>
        </w:rPr>
        <w:t xml:space="preserve">Different evaluations, including assessments by municipalities themselves (as part of their extension) have indicated there are no clear positive results stemming from the implementation of the policy. </w:t>
      </w:r>
      <w:r w:rsidR="00FB2C60" w:rsidRPr="00231392">
        <w:rPr>
          <w:rFonts w:cstheme="minorHAnsi"/>
          <w:sz w:val="22"/>
          <w:szCs w:val="22"/>
          <w:lang w:val="aa-ET"/>
        </w:rPr>
        <w:t>It does not improve living conditions in those areas.</w:t>
      </w:r>
      <w:r w:rsidR="00EF2649" w:rsidRPr="00231392">
        <w:rPr>
          <w:rStyle w:val="FootnoteReference"/>
          <w:rFonts w:cstheme="minorHAnsi"/>
          <w:sz w:val="22"/>
          <w:szCs w:val="22"/>
          <w:lang w:val="aa-ET"/>
        </w:rPr>
        <w:footnoteReference w:id="33"/>
      </w:r>
    </w:p>
    <w:p w14:paraId="0BBE4B1F" w14:textId="77777777" w:rsidR="00C84483" w:rsidRPr="00231392" w:rsidRDefault="00C84483" w:rsidP="008174B7">
      <w:pPr>
        <w:jc w:val="both"/>
        <w:rPr>
          <w:rFonts w:cstheme="minorHAnsi"/>
          <w:sz w:val="22"/>
          <w:szCs w:val="22"/>
          <w:lang w:val="aa-ET"/>
        </w:rPr>
      </w:pPr>
    </w:p>
    <w:p w14:paraId="171AB4DC" w14:textId="1C1442BF" w:rsidR="0028659D" w:rsidRPr="00231392" w:rsidRDefault="0028659D" w:rsidP="008174B7">
      <w:pPr>
        <w:jc w:val="both"/>
        <w:rPr>
          <w:rFonts w:cstheme="minorHAnsi"/>
          <w:sz w:val="22"/>
          <w:szCs w:val="22"/>
          <w:lang w:val="aa-ET"/>
        </w:rPr>
      </w:pPr>
      <w:r w:rsidRPr="00231392">
        <w:rPr>
          <w:rFonts w:cstheme="minorHAnsi"/>
          <w:sz w:val="22"/>
          <w:szCs w:val="22"/>
          <w:lang w:val="aa-ET"/>
        </w:rPr>
        <w:t>In the Rotterdam area in particular access to affordable housing for people with low income has come under severe pressure, partly due to the Act. It has not only been implemented in Rotterdam, but also in surrounding municipalities.</w:t>
      </w:r>
    </w:p>
    <w:p w14:paraId="76991757" w14:textId="77777777" w:rsidR="0028659D" w:rsidRPr="00231392" w:rsidRDefault="0028659D" w:rsidP="008174B7">
      <w:pPr>
        <w:jc w:val="both"/>
        <w:rPr>
          <w:rFonts w:cstheme="minorHAnsi"/>
          <w:sz w:val="22"/>
          <w:szCs w:val="22"/>
          <w:lang w:val="aa-ET"/>
        </w:rPr>
      </w:pPr>
    </w:p>
    <w:p w14:paraId="3A2F58A8" w14:textId="46D12364" w:rsidR="00DA5D23" w:rsidRPr="00231392" w:rsidRDefault="00C84483" w:rsidP="008174B7">
      <w:pPr>
        <w:jc w:val="both"/>
        <w:rPr>
          <w:rFonts w:cstheme="minorHAnsi"/>
          <w:sz w:val="22"/>
          <w:szCs w:val="22"/>
          <w:lang w:val="aa-ET"/>
        </w:rPr>
      </w:pPr>
      <w:r w:rsidRPr="00231392">
        <w:rPr>
          <w:rFonts w:cstheme="minorHAnsi"/>
          <w:sz w:val="22"/>
          <w:szCs w:val="22"/>
          <w:lang w:val="aa-ET"/>
        </w:rPr>
        <w:t xml:space="preserve">The Act is clearly discriminatory towards people living in poverty. Many of these have a migrant background pointing to indirect discrimination. </w:t>
      </w:r>
      <w:r w:rsidR="00DA5D23" w:rsidRPr="00231392">
        <w:rPr>
          <w:rFonts w:cstheme="minorHAnsi"/>
          <w:sz w:val="22"/>
          <w:szCs w:val="22"/>
          <w:lang w:val="aa-ET"/>
        </w:rPr>
        <w:t xml:space="preserve">This point is highlighted in the Garib case that was brought to the European Court for Human Rights. The Grand Chamber judged the Act not to be a violation of art. 2 of Protocol 4 ECHR (freedom of movement). However, the Grand Chamber declined to consider art. 14 ECHR (prohibition of discrimination). The decision was heavily criticised with 5 judges subscribing to 3 highly critical dissenting opinions. </w:t>
      </w:r>
      <w:r w:rsidR="002160AA" w:rsidRPr="00231392">
        <w:rPr>
          <w:rFonts w:cstheme="minorHAnsi"/>
          <w:sz w:val="22"/>
          <w:szCs w:val="22"/>
          <w:lang w:val="aa-ET"/>
        </w:rPr>
        <w:t xml:space="preserve">One of the very critical dissenting opinions is by </w:t>
      </w:r>
      <w:r w:rsidR="0028659D" w:rsidRPr="00231392">
        <w:rPr>
          <w:rFonts w:cstheme="minorHAnsi"/>
          <w:sz w:val="22"/>
          <w:szCs w:val="22"/>
          <w:lang w:val="aa-ET"/>
        </w:rPr>
        <w:t>Pinto de Alburquerque and Vehabovic. They highlight the direct and indirect discriminatory nature of the Act.</w:t>
      </w:r>
      <w:r w:rsidR="0028659D" w:rsidRPr="00231392">
        <w:rPr>
          <w:rStyle w:val="FootnoteReference"/>
          <w:rFonts w:cstheme="minorHAnsi"/>
          <w:sz w:val="22"/>
          <w:szCs w:val="22"/>
          <w:lang w:val="aa-ET"/>
        </w:rPr>
        <w:footnoteReference w:id="34"/>
      </w:r>
      <w:r w:rsidR="0028659D" w:rsidRPr="00231392">
        <w:rPr>
          <w:rFonts w:cstheme="minorHAnsi"/>
          <w:sz w:val="22"/>
          <w:szCs w:val="22"/>
          <w:lang w:val="aa-ET"/>
        </w:rPr>
        <w:t xml:space="preserve"> </w:t>
      </w:r>
    </w:p>
    <w:p w14:paraId="0BBFE182" w14:textId="77777777" w:rsidR="00605D7B" w:rsidRDefault="00605D7B" w:rsidP="008174B7">
      <w:pPr>
        <w:jc w:val="both"/>
        <w:rPr>
          <w:rFonts w:cstheme="minorHAnsi"/>
          <w:sz w:val="22"/>
          <w:szCs w:val="22"/>
          <w:lang w:val="aa-ET"/>
        </w:rPr>
      </w:pPr>
    </w:p>
    <w:p w14:paraId="7C8B5FEA" w14:textId="77777777" w:rsidR="00605D7B" w:rsidRDefault="00605D7B" w:rsidP="008174B7">
      <w:pPr>
        <w:jc w:val="both"/>
        <w:rPr>
          <w:rFonts w:cstheme="minorHAnsi"/>
          <w:sz w:val="22"/>
          <w:szCs w:val="22"/>
          <w:lang w:val="aa-ET"/>
        </w:rPr>
      </w:pPr>
    </w:p>
    <w:p w14:paraId="61C4A4BD" w14:textId="2CA511C0" w:rsidR="00605D7B" w:rsidRPr="00605D7B" w:rsidRDefault="00031B30" w:rsidP="008174B7">
      <w:pPr>
        <w:jc w:val="both"/>
        <w:rPr>
          <w:rFonts w:cstheme="minorHAnsi"/>
          <w:sz w:val="22"/>
          <w:szCs w:val="22"/>
          <w:lang w:val="aa-ET"/>
        </w:rPr>
      </w:pPr>
      <w:r w:rsidRPr="00231392">
        <w:rPr>
          <w:rFonts w:cstheme="minorHAnsi"/>
          <w:sz w:val="22"/>
          <w:szCs w:val="22"/>
          <w:lang w:val="aa-ET"/>
        </w:rPr>
        <w:t>For</w:t>
      </w:r>
      <w:r w:rsidR="00196697" w:rsidRPr="00231392">
        <w:rPr>
          <w:rFonts w:cstheme="minorHAnsi"/>
          <w:sz w:val="22"/>
          <w:szCs w:val="22"/>
          <w:lang w:val="aa-ET"/>
        </w:rPr>
        <w:t xml:space="preserve"> additional information, please contact:</w:t>
      </w:r>
    </w:p>
    <w:p w14:paraId="5827AFA1" w14:textId="77777777" w:rsidR="00605D7B" w:rsidRDefault="00605D7B" w:rsidP="008174B7">
      <w:pPr>
        <w:jc w:val="both"/>
        <w:rPr>
          <w:rFonts w:cstheme="minorHAnsi"/>
          <w:b/>
          <w:bCs/>
          <w:sz w:val="22"/>
          <w:szCs w:val="22"/>
          <w:lang w:val="aa-ET"/>
        </w:rPr>
      </w:pPr>
    </w:p>
    <w:p w14:paraId="61E19C3F" w14:textId="0A43B19D" w:rsidR="00196697" w:rsidRDefault="00196697" w:rsidP="008174B7">
      <w:pPr>
        <w:jc w:val="both"/>
        <w:rPr>
          <w:rFonts w:cstheme="minorHAnsi"/>
          <w:sz w:val="22"/>
          <w:szCs w:val="22"/>
          <w:lang w:val="en-US"/>
        </w:rPr>
      </w:pPr>
      <w:r w:rsidRPr="005F6DCF">
        <w:rPr>
          <w:rFonts w:cstheme="minorHAnsi"/>
          <w:b/>
          <w:bCs/>
          <w:sz w:val="22"/>
          <w:szCs w:val="22"/>
          <w:lang w:val="aa-ET"/>
        </w:rPr>
        <w:t xml:space="preserve">FEANTSA </w:t>
      </w:r>
      <w:r w:rsidR="00AC59F7">
        <w:rPr>
          <w:rFonts w:cstheme="minorHAnsi"/>
          <w:b/>
          <w:bCs/>
          <w:sz w:val="22"/>
          <w:szCs w:val="22"/>
          <w:lang w:val="en-US"/>
        </w:rPr>
        <w:t xml:space="preserve">AC </w:t>
      </w:r>
      <w:r w:rsidRPr="005F6DCF">
        <w:rPr>
          <w:rFonts w:cstheme="minorHAnsi"/>
          <w:b/>
          <w:bCs/>
          <w:sz w:val="22"/>
          <w:szCs w:val="22"/>
          <w:lang w:val="aa-ET"/>
        </w:rPr>
        <w:t>member:</w:t>
      </w:r>
      <w:r w:rsidR="005F6DCF">
        <w:rPr>
          <w:rFonts w:cstheme="minorHAnsi"/>
          <w:b/>
          <w:bCs/>
          <w:sz w:val="22"/>
          <w:szCs w:val="22"/>
          <w:lang w:val="en-US"/>
        </w:rPr>
        <w:t xml:space="preserve"> </w:t>
      </w:r>
      <w:r w:rsidR="009B3B2F" w:rsidRPr="009B3B2F">
        <w:rPr>
          <w:rFonts w:cstheme="minorHAnsi"/>
          <w:sz w:val="22"/>
          <w:szCs w:val="22"/>
          <w:lang w:val="en-US"/>
        </w:rPr>
        <w:t>Jules van Dam</w:t>
      </w:r>
      <w:r w:rsidR="00605D7B">
        <w:rPr>
          <w:rFonts w:cstheme="minorHAnsi"/>
          <w:sz w:val="22"/>
          <w:szCs w:val="22"/>
          <w:lang w:val="en-US"/>
        </w:rPr>
        <w:t xml:space="preserve">, </w:t>
      </w:r>
      <w:r w:rsidR="009B3B2F" w:rsidRPr="009B3B2F">
        <w:rPr>
          <w:rFonts w:cstheme="minorHAnsi"/>
          <w:sz w:val="22"/>
          <w:szCs w:val="22"/>
          <w:lang w:val="en-US"/>
        </w:rPr>
        <w:t xml:space="preserve"> </w:t>
      </w:r>
      <w:hyperlink r:id="rId8" w:history="1">
        <w:r w:rsidR="00605D7B" w:rsidRPr="00A3099B">
          <w:rPr>
            <w:rStyle w:val="Hyperlink"/>
            <w:rFonts w:cstheme="minorHAnsi"/>
            <w:sz w:val="22"/>
            <w:szCs w:val="22"/>
            <w:lang w:val="en-US"/>
          </w:rPr>
          <w:t>julesvandam@tussenvoorziening.nl</w:t>
        </w:r>
      </w:hyperlink>
    </w:p>
    <w:p w14:paraId="379AE39E" w14:textId="77777777" w:rsidR="00605D7B" w:rsidRPr="009B3B2F" w:rsidRDefault="00605D7B" w:rsidP="008174B7">
      <w:pPr>
        <w:jc w:val="both"/>
        <w:rPr>
          <w:rFonts w:cstheme="minorHAnsi"/>
          <w:sz w:val="22"/>
          <w:szCs w:val="22"/>
        </w:rPr>
      </w:pPr>
    </w:p>
    <w:p w14:paraId="1CA05599" w14:textId="679A35DF" w:rsidR="00196697" w:rsidRPr="00231392" w:rsidRDefault="00196697" w:rsidP="00605D7B">
      <w:pPr>
        <w:rPr>
          <w:rFonts w:cstheme="minorHAnsi"/>
          <w:sz w:val="22"/>
          <w:szCs w:val="22"/>
          <w:lang w:val="aa-ET"/>
        </w:rPr>
      </w:pPr>
      <w:r w:rsidRPr="00605D7B">
        <w:rPr>
          <w:rFonts w:cstheme="minorHAnsi"/>
          <w:b/>
          <w:bCs/>
          <w:sz w:val="22"/>
          <w:szCs w:val="22"/>
          <w:lang w:val="aa-ET"/>
        </w:rPr>
        <w:t>Researcher</w:t>
      </w:r>
      <w:r w:rsidR="004721CE" w:rsidRPr="00605D7B">
        <w:rPr>
          <w:rFonts w:cstheme="minorHAnsi"/>
          <w:b/>
          <w:bCs/>
          <w:sz w:val="22"/>
          <w:szCs w:val="22"/>
          <w:lang w:val="aa-ET"/>
        </w:rPr>
        <w:t>s:</w:t>
      </w:r>
      <w:r w:rsidR="004721CE" w:rsidRPr="00231392">
        <w:rPr>
          <w:rFonts w:cstheme="minorHAnsi"/>
          <w:sz w:val="22"/>
          <w:szCs w:val="22"/>
          <w:lang w:val="aa-ET"/>
        </w:rPr>
        <w:t xml:space="preserve"> </w:t>
      </w:r>
      <w:r w:rsidR="00BA6B55" w:rsidRPr="00231392">
        <w:rPr>
          <w:rFonts w:cstheme="minorHAnsi"/>
          <w:sz w:val="22"/>
          <w:szCs w:val="22"/>
          <w:lang w:val="aa-ET"/>
        </w:rPr>
        <w:t>Lia van Doorn</w:t>
      </w:r>
      <w:r w:rsidR="00605D7B">
        <w:rPr>
          <w:rFonts w:cstheme="minorHAnsi"/>
          <w:sz w:val="22"/>
          <w:szCs w:val="22"/>
          <w:lang w:val="en-US"/>
        </w:rPr>
        <w:t>,</w:t>
      </w:r>
      <w:r w:rsidR="00BA6B55" w:rsidRPr="00231392">
        <w:rPr>
          <w:rFonts w:cstheme="minorHAnsi"/>
          <w:sz w:val="22"/>
          <w:szCs w:val="22"/>
          <w:lang w:val="aa-ET"/>
        </w:rPr>
        <w:t xml:space="preserve"> </w:t>
      </w:r>
      <w:hyperlink r:id="rId9" w:history="1">
        <w:r w:rsidR="00BA6B55" w:rsidRPr="00231392">
          <w:rPr>
            <w:rStyle w:val="Hyperlink"/>
            <w:rFonts w:cstheme="minorHAnsi"/>
            <w:sz w:val="22"/>
            <w:szCs w:val="22"/>
            <w:lang w:val="aa-ET"/>
          </w:rPr>
          <w:t>lia.vandoorn@hu.nl</w:t>
        </w:r>
      </w:hyperlink>
      <w:r w:rsidR="004721CE" w:rsidRPr="00231392">
        <w:rPr>
          <w:rFonts w:cstheme="minorHAnsi"/>
          <w:sz w:val="22"/>
          <w:szCs w:val="22"/>
          <w:lang w:val="aa-ET"/>
        </w:rPr>
        <w:t xml:space="preserve"> </w:t>
      </w:r>
      <w:r w:rsidR="00605D7B" w:rsidRPr="00231392">
        <w:rPr>
          <w:rFonts w:cstheme="minorHAnsi"/>
          <w:sz w:val="22"/>
          <w:szCs w:val="22"/>
          <w:lang w:val="aa-ET"/>
        </w:rPr>
        <w:t>and Jan</w:t>
      </w:r>
      <w:r w:rsidR="00031B30" w:rsidRPr="00231392">
        <w:rPr>
          <w:rFonts w:cstheme="minorHAnsi"/>
          <w:sz w:val="22"/>
          <w:szCs w:val="22"/>
          <w:lang w:val="aa-ET"/>
        </w:rPr>
        <w:t xml:space="preserve"> de Vries</w:t>
      </w:r>
      <w:r w:rsidR="00605D7B">
        <w:rPr>
          <w:rFonts w:cstheme="minorHAnsi"/>
          <w:sz w:val="22"/>
          <w:szCs w:val="22"/>
          <w:lang w:val="en-US"/>
        </w:rPr>
        <w:t>,</w:t>
      </w:r>
      <w:r w:rsidR="00031B30" w:rsidRPr="00231392">
        <w:rPr>
          <w:rFonts w:cstheme="minorHAnsi"/>
          <w:sz w:val="22"/>
          <w:szCs w:val="22"/>
          <w:lang w:val="aa-ET"/>
        </w:rPr>
        <w:t xml:space="preserve"> </w:t>
      </w:r>
      <w:hyperlink r:id="rId10" w:history="1">
        <w:r w:rsidR="00605D7B" w:rsidRPr="00A3099B">
          <w:rPr>
            <w:rStyle w:val="Hyperlink"/>
            <w:rFonts w:cstheme="minorHAnsi"/>
            <w:sz w:val="22"/>
            <w:szCs w:val="22"/>
            <w:lang w:val="aa-ET"/>
          </w:rPr>
          <w:t>vriesjan@yahoo.com</w:t>
        </w:r>
      </w:hyperlink>
      <w:r w:rsidR="00031B30" w:rsidRPr="00231392">
        <w:rPr>
          <w:rFonts w:cstheme="minorHAnsi"/>
          <w:sz w:val="22"/>
          <w:szCs w:val="22"/>
          <w:lang w:val="aa-ET"/>
        </w:rPr>
        <w:br/>
      </w:r>
    </w:p>
    <w:sectPr w:rsidR="00196697" w:rsidRPr="00231392" w:rsidSect="00031B3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B463A" w14:textId="77777777" w:rsidR="008E4250" w:rsidRDefault="008E4250" w:rsidP="002C4222">
      <w:r>
        <w:separator/>
      </w:r>
    </w:p>
  </w:endnote>
  <w:endnote w:type="continuationSeparator" w:id="0">
    <w:p w14:paraId="6B6C688C" w14:textId="77777777" w:rsidR="008E4250" w:rsidRDefault="008E4250" w:rsidP="002C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931921"/>
      <w:docPartObj>
        <w:docPartGallery w:val="Page Numbers (Bottom of Page)"/>
        <w:docPartUnique/>
      </w:docPartObj>
    </w:sdtPr>
    <w:sdtEndPr>
      <w:rPr>
        <w:noProof/>
      </w:rPr>
    </w:sdtEndPr>
    <w:sdtContent>
      <w:p w14:paraId="3D11FEC6" w14:textId="05B964FC" w:rsidR="0055146B" w:rsidRDefault="0055146B">
        <w:pPr>
          <w:pStyle w:val="Footer"/>
          <w:jc w:val="right"/>
        </w:pPr>
        <w:r>
          <w:fldChar w:fldCharType="begin"/>
        </w:r>
        <w:r>
          <w:instrText xml:space="preserve"> PAGE   \* MERGEFORMAT </w:instrText>
        </w:r>
        <w:r>
          <w:fldChar w:fldCharType="separate"/>
        </w:r>
        <w:r w:rsidR="009929FA">
          <w:rPr>
            <w:noProof/>
          </w:rPr>
          <w:t>1</w:t>
        </w:r>
        <w:r>
          <w:rPr>
            <w:noProof/>
          </w:rPr>
          <w:fldChar w:fldCharType="end"/>
        </w:r>
      </w:p>
    </w:sdtContent>
  </w:sdt>
  <w:p w14:paraId="4BEC3608" w14:textId="77777777" w:rsidR="0055146B" w:rsidRDefault="00551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C646C" w14:textId="77777777" w:rsidR="008E4250" w:rsidRDefault="008E4250" w:rsidP="002C4222">
      <w:r>
        <w:separator/>
      </w:r>
    </w:p>
  </w:footnote>
  <w:footnote w:type="continuationSeparator" w:id="0">
    <w:p w14:paraId="0287DE5E" w14:textId="77777777" w:rsidR="008E4250" w:rsidRDefault="008E4250" w:rsidP="002C4222">
      <w:r>
        <w:continuationSeparator/>
      </w:r>
    </w:p>
  </w:footnote>
  <w:footnote w:id="1">
    <w:p w14:paraId="2A6CA73E" w14:textId="062D12E5" w:rsidR="002C4222" w:rsidRPr="005B0CDF" w:rsidRDefault="002C4222">
      <w:pPr>
        <w:pStyle w:val="FootnoteText"/>
        <w:rPr>
          <w:sz w:val="20"/>
          <w:szCs w:val="20"/>
          <w:lang w:val="en-GB"/>
        </w:rPr>
      </w:pPr>
      <w:r w:rsidRPr="005B0CDF">
        <w:rPr>
          <w:rStyle w:val="FootnoteReference"/>
          <w:sz w:val="20"/>
          <w:szCs w:val="20"/>
        </w:rPr>
        <w:footnoteRef/>
      </w:r>
      <w:r w:rsidRPr="005B0CDF">
        <w:rPr>
          <w:sz w:val="20"/>
          <w:szCs w:val="20"/>
          <w:lang w:val="en-GB"/>
        </w:rPr>
        <w:t xml:space="preserve"> For a </w:t>
      </w:r>
      <w:r w:rsidR="00F12E25" w:rsidRPr="005B0CDF">
        <w:rPr>
          <w:sz w:val="20"/>
          <w:szCs w:val="20"/>
          <w:lang w:val="en-GB"/>
        </w:rPr>
        <w:t xml:space="preserve">general </w:t>
      </w:r>
      <w:r w:rsidRPr="005B0CDF">
        <w:rPr>
          <w:sz w:val="20"/>
          <w:szCs w:val="20"/>
          <w:lang w:val="en-GB"/>
        </w:rPr>
        <w:t xml:space="preserve">overview of the links between right to housing, right to education, rights to an adequate standard of health and right to work, with poverty and social inclusion, see: </w:t>
      </w:r>
      <w:r w:rsidR="00F12E25" w:rsidRPr="005B0CDF">
        <w:rPr>
          <w:sz w:val="20"/>
          <w:szCs w:val="20"/>
          <w:lang w:val="en-GB"/>
        </w:rPr>
        <w:t xml:space="preserve">Netherlands Institute for Human Rights, </w:t>
      </w:r>
      <w:r w:rsidR="00F12E25" w:rsidRPr="005B0CDF">
        <w:rPr>
          <w:i/>
          <w:sz w:val="20"/>
          <w:szCs w:val="20"/>
          <w:lang w:val="en-GB"/>
        </w:rPr>
        <w:t>Armoede, sociale uitsluiting en mensenrechten: Jaarlijkse rapportage 2016 (Poverty, Social exclusion and Human Rights: annual report 2016),</w:t>
      </w:r>
      <w:r w:rsidR="00F12E25" w:rsidRPr="005B0CDF">
        <w:rPr>
          <w:sz w:val="20"/>
          <w:szCs w:val="20"/>
          <w:lang w:val="en-GB"/>
        </w:rPr>
        <w:t xml:space="preserve"> Netherlands Institute for Human Rights, 2017.</w:t>
      </w:r>
    </w:p>
  </w:footnote>
  <w:footnote w:id="2">
    <w:p w14:paraId="1343722D" w14:textId="2507828D" w:rsidR="00FE76E6" w:rsidRPr="005B0CDF" w:rsidRDefault="00FE76E6" w:rsidP="00065D9E">
      <w:pPr>
        <w:jc w:val="both"/>
        <w:rPr>
          <w:sz w:val="20"/>
          <w:szCs w:val="20"/>
          <w:lang w:val="en-GB"/>
        </w:rPr>
      </w:pPr>
      <w:r w:rsidRPr="005B0CDF">
        <w:rPr>
          <w:rStyle w:val="FootnoteReference"/>
          <w:sz w:val="20"/>
          <w:szCs w:val="20"/>
        </w:rPr>
        <w:footnoteRef/>
      </w:r>
      <w:r w:rsidRPr="005B0CDF">
        <w:rPr>
          <w:sz w:val="20"/>
          <w:szCs w:val="20"/>
          <w:lang w:val="de-AT"/>
        </w:rPr>
        <w:t xml:space="preserve"> </w:t>
      </w:r>
      <w:r w:rsidR="00011EB4" w:rsidRPr="005B0CDF">
        <w:rPr>
          <w:sz w:val="20"/>
          <w:szCs w:val="20"/>
          <w:lang w:val="de-AT"/>
        </w:rPr>
        <w:t xml:space="preserve">Kullberg, J. and Ras, M., “Wonen” in </w:t>
      </w:r>
      <w:r w:rsidR="00011EB4" w:rsidRPr="005B0CDF">
        <w:rPr>
          <w:i/>
          <w:sz w:val="20"/>
          <w:szCs w:val="20"/>
          <w:lang w:val="de-AT"/>
        </w:rPr>
        <w:t>Sociale Staat van Nederland 2020</w:t>
      </w:r>
      <w:r w:rsidR="00011EB4" w:rsidRPr="005B0CDF">
        <w:rPr>
          <w:sz w:val="20"/>
          <w:szCs w:val="20"/>
          <w:lang w:val="de-AT"/>
        </w:rPr>
        <w:t>, Soc</w:t>
      </w:r>
      <w:r w:rsidR="00065D9E" w:rsidRPr="005B0CDF">
        <w:rPr>
          <w:sz w:val="20"/>
          <w:szCs w:val="20"/>
          <w:lang w:val="de-AT"/>
        </w:rPr>
        <w:t xml:space="preserve">iaal Cultureel Planbureau, 2020; </w:t>
      </w:r>
      <w:r w:rsidR="00065D9E" w:rsidRPr="005B0CDF">
        <w:rPr>
          <w:sz w:val="20"/>
          <w:szCs w:val="20"/>
          <w:lang w:val="de-DE"/>
        </w:rPr>
        <w:t xml:space="preserve">Hochstenbach, C., &amp; Gent, W. van (2018). </w:t>
      </w:r>
      <w:r w:rsidR="00065D9E" w:rsidRPr="005B0CDF">
        <w:rPr>
          <w:i/>
          <w:iCs/>
          <w:sz w:val="20"/>
          <w:szCs w:val="20"/>
        </w:rPr>
        <w:t>Betaalbaar wonen verder weggedrukt: de sociale en ruimtelijke implicaties van de Woningwet 2015.</w:t>
      </w:r>
      <w:r w:rsidR="00065D9E" w:rsidRPr="005B0CDF">
        <w:rPr>
          <w:sz w:val="20"/>
          <w:szCs w:val="20"/>
        </w:rPr>
        <w:t xml:space="preserve"> </w:t>
      </w:r>
      <w:r w:rsidR="00065D9E" w:rsidRPr="005B0CDF">
        <w:rPr>
          <w:sz w:val="20"/>
          <w:szCs w:val="20"/>
          <w:lang w:val="en-GB"/>
        </w:rPr>
        <w:t>Essay written for the evaluation of the Housing Law 2015, evaluation done for by the Commission Van Bochove, for Aedes.</w:t>
      </w:r>
    </w:p>
  </w:footnote>
  <w:footnote w:id="3">
    <w:p w14:paraId="3D4D7739" w14:textId="4BB15C9D" w:rsidR="00011EB4" w:rsidRPr="005B0CDF" w:rsidRDefault="00011EB4">
      <w:pPr>
        <w:pStyle w:val="FootnoteText"/>
        <w:rPr>
          <w:b/>
          <w:bCs/>
          <w:sz w:val="20"/>
          <w:szCs w:val="20"/>
          <w:lang w:val="en-GB"/>
        </w:rPr>
      </w:pPr>
      <w:r w:rsidRPr="005B0CDF">
        <w:rPr>
          <w:rStyle w:val="FootnoteReference"/>
          <w:sz w:val="20"/>
          <w:szCs w:val="20"/>
        </w:rPr>
        <w:footnoteRef/>
      </w:r>
      <w:r w:rsidRPr="005B0CDF">
        <w:rPr>
          <w:sz w:val="20"/>
          <w:szCs w:val="20"/>
          <w:lang w:val="en-GB"/>
        </w:rPr>
        <w:t xml:space="preserve"> </w:t>
      </w:r>
      <w:r w:rsidR="00CD41CE" w:rsidRPr="005B0CDF">
        <w:rPr>
          <w:sz w:val="20"/>
          <w:szCs w:val="20"/>
          <w:lang w:val="en-GB"/>
        </w:rPr>
        <w:t>Amongst others: Griffioen, R., “</w:t>
      </w:r>
      <w:r w:rsidR="00CD41CE" w:rsidRPr="005B0CDF">
        <w:rPr>
          <w:bCs/>
          <w:sz w:val="20"/>
          <w:szCs w:val="20"/>
          <w:lang w:val="en-GB"/>
        </w:rPr>
        <w:t>Te koop: de sociale huurwoningen van Nederland (prijs: meer ongelijkheid)”, De Correspondent, June 22</w:t>
      </w:r>
      <w:r w:rsidR="00CD41CE" w:rsidRPr="005B0CDF">
        <w:rPr>
          <w:bCs/>
          <w:sz w:val="20"/>
          <w:szCs w:val="20"/>
          <w:vertAlign w:val="superscript"/>
          <w:lang w:val="en-GB"/>
        </w:rPr>
        <w:t>nd</w:t>
      </w:r>
      <w:r w:rsidR="00CD41CE" w:rsidRPr="005B0CDF">
        <w:rPr>
          <w:bCs/>
          <w:sz w:val="20"/>
          <w:szCs w:val="20"/>
          <w:lang w:val="en-GB"/>
        </w:rPr>
        <w:t xml:space="preserve"> 2015.</w:t>
      </w:r>
    </w:p>
  </w:footnote>
  <w:footnote w:id="4">
    <w:p w14:paraId="35789241" w14:textId="77777777" w:rsidR="00011EB4" w:rsidRPr="005B0CDF" w:rsidRDefault="00011EB4" w:rsidP="00011EB4">
      <w:pPr>
        <w:pStyle w:val="FootnoteText"/>
        <w:rPr>
          <w:b/>
          <w:bCs/>
          <w:sz w:val="20"/>
          <w:szCs w:val="20"/>
        </w:rPr>
      </w:pPr>
      <w:r w:rsidRPr="005B0CDF">
        <w:rPr>
          <w:rStyle w:val="FootnoteReference"/>
          <w:sz w:val="20"/>
          <w:szCs w:val="20"/>
        </w:rPr>
        <w:footnoteRef/>
      </w:r>
      <w:r w:rsidRPr="005B0CDF">
        <w:rPr>
          <w:sz w:val="20"/>
          <w:szCs w:val="20"/>
          <w:lang w:val="en-GB"/>
        </w:rPr>
        <w:t xml:space="preserve"> Research done by NOS, “</w:t>
      </w:r>
      <w:r w:rsidRPr="005B0CDF">
        <w:rPr>
          <w:bCs/>
          <w:sz w:val="20"/>
          <w:szCs w:val="20"/>
          <w:lang w:val="en-GB"/>
        </w:rPr>
        <w:t xml:space="preserve">Sociale huurwoning? </w:t>
      </w:r>
      <w:r w:rsidRPr="005B0CDF">
        <w:rPr>
          <w:bCs/>
          <w:sz w:val="20"/>
          <w:szCs w:val="20"/>
        </w:rPr>
        <w:t>In zeker een kwart van de gemeenten wacht je meer dan 7 jaar”, NOS, 2021.</w:t>
      </w:r>
    </w:p>
  </w:footnote>
  <w:footnote w:id="5">
    <w:p w14:paraId="690A577B" w14:textId="6EBDF3B1" w:rsidR="003B347F" w:rsidRPr="005B0CDF" w:rsidRDefault="003B347F">
      <w:pPr>
        <w:pStyle w:val="FootnoteText"/>
        <w:rPr>
          <w:sz w:val="20"/>
          <w:szCs w:val="20"/>
          <w:lang w:val="en-GB"/>
        </w:rPr>
      </w:pPr>
      <w:r w:rsidRPr="005B0CDF">
        <w:rPr>
          <w:rStyle w:val="FootnoteReference"/>
          <w:sz w:val="20"/>
          <w:szCs w:val="20"/>
        </w:rPr>
        <w:footnoteRef/>
      </w:r>
      <w:r w:rsidRPr="005B0CDF">
        <w:rPr>
          <w:sz w:val="20"/>
          <w:szCs w:val="20"/>
          <w:lang w:val="en-GB"/>
        </w:rPr>
        <w:t xml:space="preserve"> See, for example: Lijzenga, J., Wissink, J., Pijpers, R. and Smit, S, </w:t>
      </w:r>
      <w:r w:rsidRPr="005B0CDF">
        <w:rPr>
          <w:i/>
          <w:sz w:val="20"/>
          <w:szCs w:val="20"/>
          <w:lang w:val="en-GB"/>
        </w:rPr>
        <w:t xml:space="preserve">Effecten van de verhuurderheffing op wonen in Nederland: een evaluatie 2013 tot 2020 (Effects of the tax on housing providers on housing in The Netherlands: an evaluation from 2013 to 2020), </w:t>
      </w:r>
      <w:r w:rsidRPr="005B0CDF">
        <w:rPr>
          <w:sz w:val="20"/>
          <w:szCs w:val="20"/>
          <w:lang w:val="en-GB"/>
        </w:rPr>
        <w:t>Companen and Thésor, for Woonbond, Aedes and VNG, 2020.</w:t>
      </w:r>
    </w:p>
  </w:footnote>
  <w:footnote w:id="6">
    <w:p w14:paraId="43D3CC61" w14:textId="11A20676" w:rsidR="00BB7349" w:rsidRPr="005B0CDF" w:rsidRDefault="00BB7349">
      <w:pPr>
        <w:pStyle w:val="FootnoteText"/>
        <w:rPr>
          <w:sz w:val="20"/>
          <w:szCs w:val="20"/>
          <w:lang w:val="en-GB"/>
        </w:rPr>
      </w:pPr>
      <w:r w:rsidRPr="005B0CDF">
        <w:rPr>
          <w:rStyle w:val="FootnoteReference"/>
          <w:sz w:val="20"/>
          <w:szCs w:val="20"/>
        </w:rPr>
        <w:footnoteRef/>
      </w:r>
      <w:r w:rsidRPr="005B0CDF">
        <w:rPr>
          <w:sz w:val="20"/>
          <w:szCs w:val="20"/>
          <w:lang w:val="en-GB"/>
        </w:rPr>
        <w:t xml:space="preserve"> “Nationaal Programma Rotterdam Zuid”, Municipality of Rotterdam</w:t>
      </w:r>
      <w:r w:rsidR="00850CEB" w:rsidRPr="005B0CDF">
        <w:rPr>
          <w:sz w:val="20"/>
          <w:szCs w:val="20"/>
          <w:lang w:val="en-GB"/>
        </w:rPr>
        <w:t>. Each phase of the plan has plans of action spanning several years. The latest is for the period 2019 – 2022. The implementation of the plan is done, amongst others, the Municipality, Social Housing providers and with financial support of the central Government.</w:t>
      </w:r>
    </w:p>
  </w:footnote>
  <w:footnote w:id="7">
    <w:p w14:paraId="5ED8A431" w14:textId="60583C65" w:rsidR="00CD41CE" w:rsidRPr="005B0CDF" w:rsidRDefault="00CD41CE">
      <w:pPr>
        <w:pStyle w:val="FootnoteText"/>
        <w:rPr>
          <w:sz w:val="20"/>
          <w:szCs w:val="20"/>
        </w:rPr>
      </w:pPr>
      <w:r w:rsidRPr="005B0CDF">
        <w:rPr>
          <w:rStyle w:val="FootnoteReference"/>
          <w:sz w:val="20"/>
          <w:szCs w:val="20"/>
        </w:rPr>
        <w:footnoteRef/>
      </w:r>
      <w:r w:rsidRPr="005B0CDF">
        <w:rPr>
          <w:sz w:val="20"/>
          <w:szCs w:val="20"/>
          <w:lang w:val="en-GB"/>
        </w:rPr>
        <w:t xml:space="preserve"> </w:t>
      </w:r>
      <w:r w:rsidR="0091799F" w:rsidRPr="005B0CDF">
        <w:rPr>
          <w:sz w:val="20"/>
          <w:szCs w:val="20"/>
          <w:lang w:val="en-GB"/>
        </w:rPr>
        <w:t xml:space="preserve">“Woonvisie Rotterdam: koers naar 2030, agenda tot 2020”, </w:t>
      </w:r>
      <w:r w:rsidR="0091799F" w:rsidRPr="005B0CDF">
        <w:rPr>
          <w:sz w:val="20"/>
          <w:szCs w:val="20"/>
        </w:rPr>
        <w:t>Municipality of Rotterdam, 2016.</w:t>
      </w:r>
    </w:p>
  </w:footnote>
  <w:footnote w:id="8">
    <w:p w14:paraId="3A5956FA" w14:textId="6B287B75" w:rsidR="00785953" w:rsidRPr="00AC59F7" w:rsidRDefault="00785953">
      <w:pPr>
        <w:pStyle w:val="FootnoteText"/>
        <w:rPr>
          <w:bCs/>
          <w:sz w:val="20"/>
          <w:szCs w:val="20"/>
          <w:lang w:val="de-AT"/>
        </w:rPr>
      </w:pPr>
      <w:r w:rsidRPr="005B0CDF">
        <w:rPr>
          <w:rStyle w:val="FootnoteReference"/>
          <w:sz w:val="20"/>
          <w:szCs w:val="20"/>
        </w:rPr>
        <w:footnoteRef/>
      </w:r>
      <w:r w:rsidRPr="00AC59F7">
        <w:rPr>
          <w:sz w:val="20"/>
          <w:szCs w:val="20"/>
          <w:lang w:val="de-AT"/>
        </w:rPr>
        <w:t xml:space="preserve"> </w:t>
      </w:r>
      <w:r w:rsidRPr="00AC59F7">
        <w:rPr>
          <w:bCs/>
          <w:sz w:val="20"/>
          <w:szCs w:val="20"/>
          <w:lang w:val="de-AT"/>
        </w:rPr>
        <w:t>ECLI:NL:RBROT:2020:125 - Rechtbank Rotterdam, 10-01-2020</w:t>
      </w:r>
    </w:p>
  </w:footnote>
  <w:footnote w:id="9">
    <w:p w14:paraId="73492AF3" w14:textId="6FBBCFDD" w:rsidR="00BF6AF0" w:rsidRPr="005B0CDF" w:rsidRDefault="00BF6AF0">
      <w:pPr>
        <w:pStyle w:val="FootnoteText"/>
        <w:rPr>
          <w:sz w:val="20"/>
          <w:szCs w:val="20"/>
          <w:lang w:val="en-GB"/>
        </w:rPr>
      </w:pPr>
      <w:r w:rsidRPr="005B0CDF">
        <w:rPr>
          <w:rStyle w:val="FootnoteReference"/>
          <w:sz w:val="20"/>
          <w:szCs w:val="20"/>
        </w:rPr>
        <w:footnoteRef/>
      </w:r>
      <w:r w:rsidRPr="005B0CDF">
        <w:rPr>
          <w:sz w:val="20"/>
          <w:szCs w:val="20"/>
          <w:lang w:val="en-GB"/>
        </w:rPr>
        <w:t xml:space="preserve"> Feantsa and Fondation Abbé Pierre, “Fifth Overview of  Housing exclusion in Europe 2020”, Feantsa and Fondation Abbé Pierre, 2020.</w:t>
      </w:r>
    </w:p>
  </w:footnote>
  <w:footnote w:id="10">
    <w:p w14:paraId="3CAD890D" w14:textId="096097BF" w:rsidR="00BF6AF0" w:rsidRPr="005B0CDF" w:rsidRDefault="00BF6AF0">
      <w:pPr>
        <w:pStyle w:val="FootnoteText"/>
        <w:rPr>
          <w:sz w:val="20"/>
          <w:szCs w:val="20"/>
          <w:lang w:val="en-GB"/>
        </w:rPr>
      </w:pPr>
      <w:r w:rsidRPr="005B0CDF">
        <w:rPr>
          <w:rStyle w:val="FootnoteReference"/>
          <w:sz w:val="20"/>
          <w:szCs w:val="20"/>
        </w:rPr>
        <w:footnoteRef/>
      </w:r>
      <w:r w:rsidRPr="005B0CDF">
        <w:rPr>
          <w:sz w:val="20"/>
          <w:szCs w:val="20"/>
          <w:lang w:val="en-GB"/>
        </w:rPr>
        <w:t xml:space="preserve"> Bos, J. And Verberk, M., </w:t>
      </w:r>
      <w:r w:rsidRPr="005B0CDF">
        <w:rPr>
          <w:i/>
          <w:sz w:val="20"/>
          <w:szCs w:val="20"/>
          <w:lang w:val="en-GB"/>
        </w:rPr>
        <w:t>Ontwikkeling financiële positie kwetsbare huurders: een odnerzoek naar de ontwikkeling van de inkomsten en uitgaven 2010-2020,</w:t>
      </w:r>
      <w:r w:rsidRPr="005B0CDF">
        <w:rPr>
          <w:sz w:val="20"/>
          <w:szCs w:val="20"/>
          <w:lang w:val="en-GB"/>
        </w:rPr>
        <w:t xml:space="preserve"> Nibud, for Woonbond and Aedes, 2021.</w:t>
      </w:r>
    </w:p>
  </w:footnote>
  <w:footnote w:id="11">
    <w:p w14:paraId="521EABBD" w14:textId="45529525" w:rsidR="00BF6AF0" w:rsidRPr="005B0CDF" w:rsidRDefault="00BF6AF0">
      <w:pPr>
        <w:pStyle w:val="FootnoteText"/>
        <w:rPr>
          <w:sz w:val="20"/>
          <w:szCs w:val="20"/>
        </w:rPr>
      </w:pPr>
      <w:r w:rsidRPr="005B0CDF">
        <w:rPr>
          <w:rStyle w:val="FootnoteReference"/>
          <w:sz w:val="20"/>
          <w:szCs w:val="20"/>
        </w:rPr>
        <w:footnoteRef/>
      </w:r>
      <w:r w:rsidRPr="005B0CDF">
        <w:rPr>
          <w:sz w:val="20"/>
          <w:szCs w:val="20"/>
        </w:rPr>
        <w:t xml:space="preserve"> Leidelmeijer, K., Frissen, J. And Iersel, J., “Veerkracht in het corporatiebezit”, In Fact Research, Circusvis, Rigo, for Aedes, 2020.</w:t>
      </w:r>
    </w:p>
  </w:footnote>
  <w:footnote w:id="12">
    <w:p w14:paraId="6BBD76BD" w14:textId="4847D4EE" w:rsidR="0001184C" w:rsidRPr="005B0CDF" w:rsidRDefault="0001184C">
      <w:pPr>
        <w:pStyle w:val="FootnoteText"/>
        <w:rPr>
          <w:sz w:val="20"/>
          <w:szCs w:val="20"/>
        </w:rPr>
      </w:pPr>
      <w:r w:rsidRPr="005B0CDF">
        <w:rPr>
          <w:rStyle w:val="FootnoteReference"/>
          <w:sz w:val="20"/>
          <w:szCs w:val="20"/>
        </w:rPr>
        <w:footnoteRef/>
      </w:r>
      <w:r w:rsidRPr="005B0CDF">
        <w:rPr>
          <w:sz w:val="20"/>
          <w:szCs w:val="20"/>
        </w:rPr>
        <w:t xml:space="preserve"> CBS, “Aantal daklozen sinds 2009 meer dan verdubbeld”, CBS, 2019.</w:t>
      </w:r>
    </w:p>
  </w:footnote>
  <w:footnote w:id="13">
    <w:p w14:paraId="60F5F8A8" w14:textId="7965D830" w:rsidR="0001184C" w:rsidRPr="005B0CDF" w:rsidRDefault="0001184C">
      <w:pPr>
        <w:pStyle w:val="FootnoteText"/>
        <w:rPr>
          <w:sz w:val="20"/>
          <w:szCs w:val="20"/>
        </w:rPr>
      </w:pPr>
      <w:r w:rsidRPr="005B0CDF">
        <w:rPr>
          <w:rStyle w:val="FootnoteReference"/>
          <w:sz w:val="20"/>
          <w:szCs w:val="20"/>
        </w:rPr>
        <w:footnoteRef/>
      </w:r>
      <w:r w:rsidRPr="005B0CDF">
        <w:rPr>
          <w:sz w:val="20"/>
          <w:szCs w:val="20"/>
        </w:rPr>
        <w:t xml:space="preserve"> CBS, “Stijging van het aantal daklozen tot stilstand gekomen”, CBS, 2021.</w:t>
      </w:r>
    </w:p>
  </w:footnote>
  <w:footnote w:id="14">
    <w:p w14:paraId="24BDD230" w14:textId="6B5228C4" w:rsidR="0001184C" w:rsidRPr="005B0CDF" w:rsidRDefault="0001184C">
      <w:pPr>
        <w:pStyle w:val="FootnoteText"/>
        <w:rPr>
          <w:sz w:val="20"/>
          <w:szCs w:val="20"/>
        </w:rPr>
      </w:pPr>
      <w:r w:rsidRPr="005B0CDF">
        <w:rPr>
          <w:rStyle w:val="FootnoteReference"/>
          <w:sz w:val="20"/>
          <w:szCs w:val="20"/>
        </w:rPr>
        <w:footnoteRef/>
      </w:r>
      <w:r w:rsidRPr="005B0CDF">
        <w:rPr>
          <w:sz w:val="20"/>
          <w:szCs w:val="20"/>
        </w:rPr>
        <w:t xml:space="preserve"> </w:t>
      </w:r>
      <w:r w:rsidR="00196CE2" w:rsidRPr="005B0CDF">
        <w:rPr>
          <w:sz w:val="20"/>
          <w:szCs w:val="20"/>
        </w:rPr>
        <w:t>Valente, “Dakloosheidscijfers CBS over 2019 onverminderd hoog”, Valente, 2021.</w:t>
      </w:r>
    </w:p>
  </w:footnote>
  <w:footnote w:id="15">
    <w:p w14:paraId="270B256A" w14:textId="066BD5A3" w:rsidR="00065D9E" w:rsidRPr="005B0CDF" w:rsidRDefault="00065D9E" w:rsidP="00065D9E">
      <w:pPr>
        <w:jc w:val="both"/>
        <w:rPr>
          <w:sz w:val="20"/>
          <w:szCs w:val="20"/>
        </w:rPr>
      </w:pPr>
      <w:r w:rsidRPr="005B0CDF">
        <w:rPr>
          <w:rStyle w:val="FootnoteReference"/>
          <w:sz w:val="20"/>
          <w:szCs w:val="20"/>
        </w:rPr>
        <w:footnoteRef/>
      </w:r>
      <w:r w:rsidRPr="005B0CDF">
        <w:rPr>
          <w:sz w:val="20"/>
          <w:szCs w:val="20"/>
        </w:rPr>
        <w:t xml:space="preserve"> Federatie Opvang (now: Valente), “Meer mensen dan ooit in daklozenopvang en beschermd wonen”, Federatie Opvang, 2018</w:t>
      </w:r>
    </w:p>
  </w:footnote>
  <w:footnote w:id="16">
    <w:p w14:paraId="07F79965" w14:textId="6C09FA9A" w:rsidR="00065D9E" w:rsidRPr="00605D7B" w:rsidRDefault="00065D9E" w:rsidP="00065D9E">
      <w:pPr>
        <w:jc w:val="both"/>
        <w:rPr>
          <w:sz w:val="20"/>
          <w:szCs w:val="20"/>
        </w:rPr>
      </w:pPr>
      <w:r w:rsidRPr="00605D7B">
        <w:rPr>
          <w:rStyle w:val="FootnoteReference"/>
          <w:sz w:val="20"/>
          <w:szCs w:val="20"/>
        </w:rPr>
        <w:footnoteRef/>
      </w:r>
      <w:r w:rsidRPr="00605D7B">
        <w:rPr>
          <w:sz w:val="20"/>
          <w:szCs w:val="20"/>
        </w:rPr>
        <w:t xml:space="preserve"> Lupi, T., Velden, J. van der, Ooms, M. and Louwerse D., “Wonen in de luwte. Een verkennend onderzoek naar bewoning van vakantieparken op de Veluwe”, Platform31, 2018.</w:t>
      </w:r>
    </w:p>
  </w:footnote>
  <w:footnote w:id="17">
    <w:p w14:paraId="26C210DB" w14:textId="4ADC5EED" w:rsidR="006069B3" w:rsidRPr="00605D7B" w:rsidRDefault="006069B3">
      <w:pPr>
        <w:pStyle w:val="FootnoteText"/>
        <w:rPr>
          <w:sz w:val="20"/>
          <w:szCs w:val="20"/>
        </w:rPr>
      </w:pPr>
      <w:r w:rsidRPr="00605D7B">
        <w:rPr>
          <w:rStyle w:val="FootnoteReference"/>
          <w:sz w:val="20"/>
          <w:szCs w:val="20"/>
        </w:rPr>
        <w:footnoteRef/>
      </w:r>
      <w:r w:rsidRPr="00605D7B">
        <w:rPr>
          <w:sz w:val="20"/>
          <w:szCs w:val="20"/>
        </w:rPr>
        <w:t xml:space="preserve"> Raad Volksgezondheid en Samenleving, </w:t>
      </w:r>
      <w:r w:rsidRPr="00605D7B">
        <w:rPr>
          <w:i/>
          <w:sz w:val="20"/>
          <w:szCs w:val="20"/>
        </w:rPr>
        <w:t>Herstel begint met een huis: dakloosheid voorkomen en verminderen</w:t>
      </w:r>
      <w:r w:rsidRPr="00605D7B">
        <w:rPr>
          <w:sz w:val="20"/>
          <w:szCs w:val="20"/>
        </w:rPr>
        <w:t xml:space="preserve">, RvS, 2020.  </w:t>
      </w:r>
    </w:p>
  </w:footnote>
  <w:footnote w:id="18">
    <w:p w14:paraId="3A7185C1" w14:textId="4C2F993C" w:rsidR="00811180" w:rsidRPr="00605D7B" w:rsidRDefault="00811180">
      <w:pPr>
        <w:pStyle w:val="FootnoteText"/>
        <w:rPr>
          <w:sz w:val="20"/>
          <w:szCs w:val="20"/>
        </w:rPr>
      </w:pPr>
      <w:r w:rsidRPr="00605D7B">
        <w:rPr>
          <w:rStyle w:val="FootnoteReference"/>
          <w:sz w:val="20"/>
          <w:szCs w:val="20"/>
        </w:rPr>
        <w:footnoteRef/>
      </w:r>
      <w:r w:rsidRPr="00605D7B">
        <w:rPr>
          <w:sz w:val="20"/>
          <w:szCs w:val="20"/>
        </w:rPr>
        <w:t xml:space="preserve"> </w:t>
      </w:r>
      <w:r w:rsidR="00EC7B5E" w:rsidRPr="00605D7B">
        <w:rPr>
          <w:sz w:val="20"/>
          <w:szCs w:val="20"/>
        </w:rPr>
        <w:t>CBS, “Stijging van het aantal daklozen tot stilstand gekomen”, CBS, 2021.</w:t>
      </w:r>
    </w:p>
  </w:footnote>
  <w:footnote w:id="19">
    <w:p w14:paraId="27FFD749" w14:textId="7A327D4A" w:rsidR="00AC2ABB" w:rsidRPr="00605D7B" w:rsidRDefault="00E639D5" w:rsidP="00AC2ABB">
      <w:pPr>
        <w:pStyle w:val="FootnoteText"/>
        <w:rPr>
          <w:sz w:val="20"/>
          <w:szCs w:val="20"/>
        </w:rPr>
      </w:pPr>
      <w:r w:rsidRPr="00605D7B">
        <w:rPr>
          <w:rStyle w:val="FootnoteReference"/>
          <w:sz w:val="20"/>
          <w:szCs w:val="20"/>
        </w:rPr>
        <w:footnoteRef/>
      </w:r>
      <w:r w:rsidRPr="00605D7B">
        <w:rPr>
          <w:sz w:val="20"/>
          <w:szCs w:val="20"/>
        </w:rPr>
        <w:t xml:space="preserve"> See, for example: Straaten, van B., </w:t>
      </w:r>
      <w:r w:rsidRPr="00605D7B">
        <w:rPr>
          <w:i/>
          <w:sz w:val="20"/>
          <w:szCs w:val="20"/>
        </w:rPr>
        <w:t>Licht verstandelijke beperking onder cliënten van een Rotterdamse Opvang</w:t>
      </w:r>
      <w:r w:rsidRPr="00605D7B">
        <w:rPr>
          <w:sz w:val="20"/>
          <w:szCs w:val="20"/>
        </w:rPr>
        <w:t xml:space="preserve">, IVO, 2018; Everdingen, c. van, </w:t>
      </w:r>
      <w:r w:rsidRPr="00605D7B">
        <w:rPr>
          <w:i/>
          <w:sz w:val="20"/>
          <w:szCs w:val="20"/>
        </w:rPr>
        <w:t>De Utrechtse nachtopvang en crisisopvang in beeld</w:t>
      </w:r>
      <w:r w:rsidRPr="00605D7B">
        <w:rPr>
          <w:sz w:val="20"/>
          <w:szCs w:val="20"/>
        </w:rPr>
        <w:t>, EverdingenConsult for the Municipality of Utrecht, 2016;</w:t>
      </w:r>
      <w:r w:rsidR="00AC2ABB" w:rsidRPr="00605D7B">
        <w:rPr>
          <w:sz w:val="20"/>
          <w:szCs w:val="20"/>
        </w:rPr>
        <w:t xml:space="preserve"> Laere I van, Slockers, M. &amp; Muijsenbergh M van den., “Gezondheidsproblemen bij</w:t>
      </w:r>
    </w:p>
    <w:p w14:paraId="63610D24" w14:textId="0C823901" w:rsidR="00E639D5" w:rsidRPr="00605D7B" w:rsidRDefault="00AC2ABB">
      <w:pPr>
        <w:pStyle w:val="FootnoteText"/>
        <w:rPr>
          <w:sz w:val="20"/>
          <w:szCs w:val="20"/>
          <w:lang w:val="en-GB"/>
        </w:rPr>
      </w:pPr>
      <w:r w:rsidRPr="00605D7B">
        <w:rPr>
          <w:sz w:val="20"/>
          <w:szCs w:val="20"/>
        </w:rPr>
        <w:t>daklozen”, in Huisarts en Wetenschap, 2017;</w:t>
      </w:r>
      <w:r w:rsidR="00CD1422" w:rsidRPr="00605D7B">
        <w:rPr>
          <w:sz w:val="20"/>
          <w:szCs w:val="20"/>
        </w:rPr>
        <w:t xml:space="preserve"> </w:t>
      </w:r>
      <w:r w:rsidR="00152693" w:rsidRPr="00605D7B">
        <w:rPr>
          <w:sz w:val="20"/>
          <w:szCs w:val="20"/>
        </w:rPr>
        <w:t>Everdingen, C. Van, Peerenboom, P. B., Velder, K. Van der, and Delespaul, P.</w:t>
      </w:r>
      <w:r w:rsidR="00C25099" w:rsidRPr="00605D7B">
        <w:rPr>
          <w:sz w:val="20"/>
          <w:szCs w:val="20"/>
        </w:rPr>
        <w:t xml:space="preserve"> Deslespaul., “Helath Patterns Reveal Interdependent Needs of Dutch Homeless Service Users”, Front Psychiatry, 25th of March, 2021</w:t>
      </w:r>
      <w:r w:rsidR="0001184C" w:rsidRPr="00605D7B">
        <w:rPr>
          <w:sz w:val="20"/>
          <w:szCs w:val="20"/>
        </w:rPr>
        <w:t xml:space="preserve">.  </w:t>
      </w:r>
    </w:p>
  </w:footnote>
  <w:footnote w:id="20">
    <w:p w14:paraId="13968E08" w14:textId="38EDE4F7" w:rsidR="00C417FF" w:rsidRPr="00605D7B" w:rsidRDefault="00C417FF">
      <w:pPr>
        <w:pStyle w:val="FootnoteText"/>
        <w:rPr>
          <w:b/>
          <w:bCs/>
          <w:sz w:val="20"/>
          <w:szCs w:val="20"/>
          <w:lang w:val="en-GB"/>
        </w:rPr>
      </w:pPr>
      <w:r w:rsidRPr="00605D7B">
        <w:rPr>
          <w:rStyle w:val="FootnoteReference"/>
          <w:sz w:val="20"/>
          <w:szCs w:val="20"/>
        </w:rPr>
        <w:footnoteRef/>
      </w:r>
      <w:r w:rsidRPr="00605D7B">
        <w:rPr>
          <w:sz w:val="20"/>
          <w:szCs w:val="20"/>
          <w:lang w:val="en-GB"/>
        </w:rPr>
        <w:t xml:space="preserve"> </w:t>
      </w:r>
      <w:r w:rsidR="00BF6AF0" w:rsidRPr="00605D7B">
        <w:rPr>
          <w:sz w:val="20"/>
          <w:szCs w:val="20"/>
          <w:lang w:val="en-GB"/>
        </w:rPr>
        <w:t>NOS, “</w:t>
      </w:r>
      <w:r w:rsidR="00BF6AF0" w:rsidRPr="00605D7B">
        <w:rPr>
          <w:bCs/>
          <w:sz w:val="20"/>
          <w:szCs w:val="20"/>
          <w:lang w:val="en-GB"/>
        </w:rPr>
        <w:t xml:space="preserve">Noodkreet grote steden over aantal daklozen: 'De grens is bereikt', 2019. </w:t>
      </w:r>
    </w:p>
  </w:footnote>
  <w:footnote w:id="21">
    <w:p w14:paraId="09985E68" w14:textId="225300D3" w:rsidR="00FA3ECE" w:rsidRPr="00605D7B" w:rsidRDefault="00FA3ECE">
      <w:pPr>
        <w:pStyle w:val="FootnoteText"/>
        <w:rPr>
          <w:sz w:val="20"/>
          <w:szCs w:val="20"/>
          <w:lang w:val="en-GB"/>
        </w:rPr>
      </w:pPr>
      <w:r w:rsidRPr="00605D7B">
        <w:rPr>
          <w:rStyle w:val="FootnoteReference"/>
          <w:sz w:val="20"/>
          <w:szCs w:val="20"/>
        </w:rPr>
        <w:footnoteRef/>
      </w:r>
      <w:r w:rsidRPr="00605D7B">
        <w:rPr>
          <w:sz w:val="20"/>
          <w:szCs w:val="20"/>
          <w:lang w:val="en-GB"/>
        </w:rPr>
        <w:t xml:space="preserve"> Netherlands Institute for Human Rights, “</w:t>
      </w:r>
      <w:r w:rsidRPr="00605D7B">
        <w:rPr>
          <w:bCs/>
          <w:sz w:val="20"/>
          <w:szCs w:val="20"/>
          <w:lang w:val="en-GB"/>
        </w:rPr>
        <w:t>Submission to the committee on the Rights of Persons with Disabilities </w:t>
      </w:r>
      <w:r w:rsidRPr="00605D7B">
        <w:rPr>
          <w:sz w:val="20"/>
          <w:szCs w:val="20"/>
          <w:lang w:val="en-GB"/>
        </w:rPr>
        <w:t>Concerning the initial report of the Netherlands”, 2018; </w:t>
      </w:r>
    </w:p>
  </w:footnote>
  <w:footnote w:id="22">
    <w:p w14:paraId="4F5C75F2" w14:textId="121EE233" w:rsidR="00F90061" w:rsidRPr="00605D7B" w:rsidRDefault="00F90061">
      <w:pPr>
        <w:pStyle w:val="FootnoteText"/>
        <w:rPr>
          <w:b/>
          <w:bCs/>
          <w:sz w:val="20"/>
          <w:szCs w:val="20"/>
          <w:lang w:val="en-GB"/>
        </w:rPr>
      </w:pPr>
      <w:r w:rsidRPr="00605D7B">
        <w:rPr>
          <w:rStyle w:val="FootnoteReference"/>
          <w:sz w:val="20"/>
          <w:szCs w:val="20"/>
        </w:rPr>
        <w:footnoteRef/>
      </w:r>
      <w:r w:rsidRPr="00605D7B">
        <w:rPr>
          <w:sz w:val="20"/>
          <w:szCs w:val="20"/>
          <w:lang w:val="en-GB"/>
        </w:rPr>
        <w:t xml:space="preserve"> </w:t>
      </w:r>
      <w:r w:rsidR="00103D29" w:rsidRPr="00605D7B">
        <w:rPr>
          <w:sz w:val="20"/>
          <w:szCs w:val="20"/>
          <w:lang w:val="en-GB"/>
        </w:rPr>
        <w:t xml:space="preserve">See, for example, </w:t>
      </w:r>
      <w:r w:rsidR="00E82C1D" w:rsidRPr="00605D7B">
        <w:rPr>
          <w:sz w:val="20"/>
          <w:szCs w:val="20"/>
          <w:lang w:val="en-GB"/>
        </w:rPr>
        <w:t>“</w:t>
      </w:r>
      <w:r w:rsidR="00E82C1D" w:rsidRPr="00605D7B">
        <w:rPr>
          <w:bCs/>
          <w:sz w:val="20"/>
          <w:szCs w:val="20"/>
          <w:lang w:val="en-GB"/>
        </w:rPr>
        <w:t>Boeteregen daalt neer op daklozen: ‘Stel kreeg in maand tijd 34 boetes voor het slapen onder een brug’”</w:t>
      </w:r>
      <w:r w:rsidR="00FC2D96" w:rsidRPr="00605D7B">
        <w:rPr>
          <w:bCs/>
          <w:sz w:val="20"/>
          <w:szCs w:val="20"/>
          <w:lang w:val="en-GB"/>
        </w:rPr>
        <w:t xml:space="preserve"> (Large number of fines for homeless people: “One couple gets 34 fines for sleeping under a bridge”)</w:t>
      </w:r>
      <w:r w:rsidR="00E82C1D" w:rsidRPr="00605D7B">
        <w:rPr>
          <w:bCs/>
          <w:sz w:val="20"/>
          <w:szCs w:val="20"/>
          <w:lang w:val="en-GB"/>
        </w:rPr>
        <w:t>, Algemeen Dagblad, 18</w:t>
      </w:r>
      <w:r w:rsidR="00E82C1D" w:rsidRPr="00605D7B">
        <w:rPr>
          <w:bCs/>
          <w:sz w:val="20"/>
          <w:szCs w:val="20"/>
          <w:vertAlign w:val="superscript"/>
          <w:lang w:val="en-GB"/>
        </w:rPr>
        <w:t>th</w:t>
      </w:r>
      <w:r w:rsidR="009E2DB8" w:rsidRPr="00605D7B">
        <w:rPr>
          <w:bCs/>
          <w:sz w:val="20"/>
          <w:szCs w:val="20"/>
          <w:lang w:val="en-GB"/>
        </w:rPr>
        <w:t xml:space="preserve"> of January 2021;</w:t>
      </w:r>
    </w:p>
  </w:footnote>
  <w:footnote w:id="23">
    <w:p w14:paraId="653AACC2" w14:textId="4CC6BD97" w:rsidR="009E2DB8" w:rsidRPr="00FC2D96" w:rsidRDefault="009E2DB8">
      <w:pPr>
        <w:pStyle w:val="FootnoteText"/>
        <w:rPr>
          <w:b/>
          <w:bCs/>
          <w:lang w:val="en-GB"/>
        </w:rPr>
      </w:pPr>
      <w:r w:rsidRPr="00605D7B">
        <w:rPr>
          <w:rStyle w:val="FootnoteReference"/>
          <w:sz w:val="20"/>
          <w:szCs w:val="20"/>
        </w:rPr>
        <w:footnoteRef/>
      </w:r>
      <w:r w:rsidRPr="00605D7B">
        <w:rPr>
          <w:sz w:val="20"/>
          <w:szCs w:val="20"/>
          <w:lang w:val="en-GB"/>
        </w:rPr>
        <w:t xml:space="preserve"> </w:t>
      </w:r>
      <w:r w:rsidR="00FC2D96" w:rsidRPr="00605D7B">
        <w:rPr>
          <w:sz w:val="20"/>
          <w:szCs w:val="20"/>
          <w:lang w:val="en-GB"/>
        </w:rPr>
        <w:t xml:space="preserve">Bureau Straatjurist, Jaarverslag 2020” (Annual report 2020), Bureau Straatjurist, April 2021. </w:t>
      </w:r>
      <w:r w:rsidRPr="00605D7B">
        <w:rPr>
          <w:sz w:val="20"/>
          <w:szCs w:val="20"/>
          <w:lang w:val="en-GB"/>
        </w:rPr>
        <w:t>Bureau Straatjurist intervened in the Municipal council to signal that despite earlier promises the practice of fining people for sleeping rough was still a regular occurrence. The mayor indicated she was shocked and supported change. See: “</w:t>
      </w:r>
      <w:r w:rsidRPr="00605D7B">
        <w:rPr>
          <w:bCs/>
          <w:sz w:val="20"/>
          <w:szCs w:val="20"/>
          <w:lang w:val="en-GB"/>
        </w:rPr>
        <w:t>Halsema vindt beboeten van slapende daklozen 'beschamend'”</w:t>
      </w:r>
      <w:r w:rsidR="00FC2D96" w:rsidRPr="00605D7B">
        <w:rPr>
          <w:bCs/>
          <w:sz w:val="20"/>
          <w:szCs w:val="20"/>
          <w:lang w:val="en-GB"/>
        </w:rPr>
        <w:t xml:space="preserve"> (Halsema believes fines for rough sleeping are “shameful”)</w:t>
      </w:r>
      <w:r w:rsidRPr="00605D7B">
        <w:rPr>
          <w:bCs/>
          <w:sz w:val="20"/>
          <w:szCs w:val="20"/>
          <w:lang w:val="en-GB"/>
        </w:rPr>
        <w:t>, AT5, January 7</w:t>
      </w:r>
      <w:r w:rsidRPr="00605D7B">
        <w:rPr>
          <w:bCs/>
          <w:sz w:val="20"/>
          <w:szCs w:val="20"/>
          <w:vertAlign w:val="superscript"/>
          <w:lang w:val="en-GB"/>
        </w:rPr>
        <w:t>th</w:t>
      </w:r>
      <w:r w:rsidRPr="00605D7B">
        <w:rPr>
          <w:bCs/>
          <w:sz w:val="20"/>
          <w:szCs w:val="20"/>
          <w:lang w:val="en-GB"/>
        </w:rPr>
        <w:t xml:space="preserve"> 2021.</w:t>
      </w:r>
    </w:p>
  </w:footnote>
  <w:footnote w:id="24">
    <w:p w14:paraId="72E7FEB8" w14:textId="3682AF36" w:rsidR="00FD6CDA" w:rsidRPr="00605D7B" w:rsidRDefault="00FD6CDA">
      <w:pPr>
        <w:pStyle w:val="FootnoteText"/>
        <w:rPr>
          <w:sz w:val="20"/>
          <w:szCs w:val="20"/>
          <w:lang w:val="en-GB"/>
        </w:rPr>
      </w:pPr>
      <w:r w:rsidRPr="00605D7B">
        <w:rPr>
          <w:rStyle w:val="FootnoteReference"/>
          <w:sz w:val="20"/>
          <w:szCs w:val="20"/>
        </w:rPr>
        <w:footnoteRef/>
      </w:r>
      <w:r w:rsidRPr="00605D7B">
        <w:rPr>
          <w:sz w:val="20"/>
          <w:szCs w:val="20"/>
          <w:lang w:val="en-GB"/>
        </w:rPr>
        <w:t xml:space="preserve"> See, for example: MDHG, “Hoogte Bijstandsuitkering voor dak- en thuislozen die geen gebruik maken van de nachtopvang of maatschappelijke opvang”</w:t>
      </w:r>
      <w:r w:rsidR="00FC2D96" w:rsidRPr="00605D7B">
        <w:rPr>
          <w:sz w:val="20"/>
          <w:szCs w:val="20"/>
          <w:lang w:val="en-GB"/>
        </w:rPr>
        <w:t xml:space="preserve"> (Level of social benefits for homeless people who do not use night shelters or institutionalised shelters)</w:t>
      </w:r>
      <w:r w:rsidRPr="00605D7B">
        <w:rPr>
          <w:sz w:val="20"/>
          <w:szCs w:val="20"/>
          <w:lang w:val="en-GB"/>
        </w:rPr>
        <w:t>, MDHG, March 2020.</w:t>
      </w:r>
    </w:p>
  </w:footnote>
  <w:footnote w:id="25">
    <w:p w14:paraId="7EFA034A" w14:textId="46750DD8" w:rsidR="00C37E09" w:rsidRPr="00605D7B" w:rsidRDefault="00C37E09">
      <w:pPr>
        <w:pStyle w:val="FootnoteText"/>
        <w:rPr>
          <w:sz w:val="20"/>
          <w:szCs w:val="20"/>
        </w:rPr>
      </w:pPr>
      <w:r w:rsidRPr="00605D7B">
        <w:rPr>
          <w:rStyle w:val="FootnoteReference"/>
          <w:sz w:val="20"/>
          <w:szCs w:val="20"/>
        </w:rPr>
        <w:footnoteRef/>
      </w:r>
      <w:r w:rsidRPr="00605D7B">
        <w:rPr>
          <w:sz w:val="20"/>
          <w:szCs w:val="20"/>
          <w:lang w:val="en-GB"/>
        </w:rPr>
        <w:t xml:space="preserve"> See, for </w:t>
      </w:r>
      <w:r w:rsidR="00183FE7" w:rsidRPr="00605D7B">
        <w:rPr>
          <w:sz w:val="20"/>
          <w:szCs w:val="20"/>
          <w:lang w:val="en-GB"/>
        </w:rPr>
        <w:t xml:space="preserve">an </w:t>
      </w:r>
      <w:r w:rsidRPr="00605D7B">
        <w:rPr>
          <w:sz w:val="20"/>
          <w:szCs w:val="20"/>
          <w:lang w:val="en-GB"/>
        </w:rPr>
        <w:t>example</w:t>
      </w:r>
      <w:r w:rsidR="00183FE7" w:rsidRPr="00605D7B">
        <w:rPr>
          <w:sz w:val="20"/>
          <w:szCs w:val="20"/>
          <w:lang w:val="en-GB"/>
        </w:rPr>
        <w:t xml:space="preserve"> of this policy</w:t>
      </w:r>
      <w:r w:rsidRPr="00605D7B">
        <w:rPr>
          <w:sz w:val="20"/>
          <w:szCs w:val="20"/>
          <w:lang w:val="en-GB"/>
        </w:rPr>
        <w:t xml:space="preserve">, </w:t>
      </w:r>
      <w:r w:rsidR="00183FE7" w:rsidRPr="00605D7B">
        <w:rPr>
          <w:sz w:val="20"/>
          <w:szCs w:val="20"/>
          <w:lang w:val="en-GB"/>
        </w:rPr>
        <w:t xml:space="preserve">“Tien werkafspraken ‘Thuis in de Wijk’” (Ten working-agreements “At home in the neighbourhood”), Municipality of Amsterdam, 2020. </w:t>
      </w:r>
      <w:r w:rsidR="00183FE7" w:rsidRPr="00605D7B">
        <w:rPr>
          <w:sz w:val="20"/>
          <w:szCs w:val="20"/>
        </w:rPr>
        <w:t>For further background see:</w:t>
      </w:r>
      <w:r w:rsidR="00D33840" w:rsidRPr="00605D7B">
        <w:rPr>
          <w:sz w:val="20"/>
          <w:szCs w:val="20"/>
        </w:rPr>
        <w:t xml:space="preserve"> Beuzenberg, V. And Lupi, T., “Met zorg verhuurd: handreiking intermeidiaire verhuur voor woningcorporaties en zorginstellingen”, Aedes and Platform31, 2017.</w:t>
      </w:r>
    </w:p>
  </w:footnote>
  <w:footnote w:id="26">
    <w:p w14:paraId="643AB68D" w14:textId="0327AF6E" w:rsidR="00865D3F" w:rsidRPr="00605D7B" w:rsidRDefault="00865D3F">
      <w:pPr>
        <w:pStyle w:val="FootnoteText"/>
        <w:rPr>
          <w:sz w:val="20"/>
          <w:szCs w:val="20"/>
        </w:rPr>
      </w:pPr>
      <w:r w:rsidRPr="00605D7B">
        <w:rPr>
          <w:rStyle w:val="FootnoteReference"/>
          <w:sz w:val="20"/>
          <w:szCs w:val="20"/>
        </w:rPr>
        <w:footnoteRef/>
      </w:r>
      <w:r w:rsidRPr="00605D7B">
        <w:rPr>
          <w:sz w:val="20"/>
          <w:szCs w:val="20"/>
        </w:rPr>
        <w:t xml:space="preserve"> Ieder(In), Landelijk Platform GGZ, and Patiëntenfederatie Nederland, “Wonen voor iedereen: Slagen mensen met een beperking of aandoening erin om goed zelfstandig te wonen”, 2016; </w:t>
      </w:r>
      <w:r w:rsidR="00375B5C" w:rsidRPr="00605D7B">
        <w:rPr>
          <w:sz w:val="20"/>
          <w:szCs w:val="20"/>
          <w:lang w:val="en-GB"/>
        </w:rPr>
        <w:t>Netherlands Institute for Human Rights, “</w:t>
      </w:r>
      <w:r w:rsidR="00375B5C" w:rsidRPr="00605D7B">
        <w:rPr>
          <w:bCs/>
          <w:sz w:val="20"/>
          <w:szCs w:val="20"/>
          <w:lang w:val="en-GB"/>
        </w:rPr>
        <w:t>Submission to the committee on the Rights of Persons with Disabilities </w:t>
      </w:r>
      <w:r w:rsidR="00375B5C" w:rsidRPr="00605D7B">
        <w:rPr>
          <w:sz w:val="20"/>
          <w:szCs w:val="20"/>
          <w:lang w:val="en-GB"/>
        </w:rPr>
        <w:t>Concerning the initial report of the Netherlands”, 2018.</w:t>
      </w:r>
    </w:p>
  </w:footnote>
  <w:footnote w:id="27">
    <w:p w14:paraId="6A7F9556" w14:textId="52F4E5F6" w:rsidR="00FF5D8C" w:rsidRPr="00605D7B" w:rsidRDefault="00FF5D8C">
      <w:pPr>
        <w:pStyle w:val="FootnoteText"/>
        <w:rPr>
          <w:sz w:val="20"/>
          <w:szCs w:val="20"/>
        </w:rPr>
      </w:pPr>
      <w:r w:rsidRPr="00605D7B">
        <w:rPr>
          <w:rStyle w:val="FootnoteReference"/>
          <w:sz w:val="20"/>
          <w:szCs w:val="20"/>
        </w:rPr>
        <w:footnoteRef/>
      </w:r>
      <w:r w:rsidRPr="00605D7B">
        <w:rPr>
          <w:sz w:val="20"/>
          <w:szCs w:val="20"/>
        </w:rPr>
        <w:t xml:space="preserve"> Ministry of Interior, “Nationale Omgevingsvisie: duurzaam perspectief voor onze leefomgeving”, 2020.</w:t>
      </w:r>
    </w:p>
  </w:footnote>
  <w:footnote w:id="28">
    <w:p w14:paraId="7C9B8161" w14:textId="1826E822" w:rsidR="00FF5D8C" w:rsidRPr="00605D7B" w:rsidRDefault="00FF5D8C">
      <w:pPr>
        <w:pStyle w:val="FootnoteText"/>
        <w:rPr>
          <w:bCs/>
          <w:sz w:val="20"/>
          <w:szCs w:val="20"/>
          <w:lang w:val="de-AT"/>
        </w:rPr>
      </w:pPr>
      <w:r w:rsidRPr="00605D7B">
        <w:rPr>
          <w:rStyle w:val="FootnoteReference"/>
          <w:sz w:val="20"/>
          <w:szCs w:val="20"/>
        </w:rPr>
        <w:footnoteRef/>
      </w:r>
      <w:r w:rsidRPr="00605D7B">
        <w:rPr>
          <w:sz w:val="20"/>
          <w:szCs w:val="20"/>
        </w:rPr>
        <w:t xml:space="preserve"> Ieder(In), “</w:t>
      </w:r>
      <w:r w:rsidRPr="00605D7B">
        <w:rPr>
          <w:bCs/>
          <w:sz w:val="20"/>
          <w:szCs w:val="20"/>
          <w:lang w:val="de-AT"/>
        </w:rPr>
        <w:t>Nationale Omgevingsvisie verschenen, mét aandacht voor inclusive”, 2020.</w:t>
      </w:r>
    </w:p>
  </w:footnote>
  <w:footnote w:id="29">
    <w:p w14:paraId="5E7C0AF2" w14:textId="203C1FD5" w:rsidR="00876ED2" w:rsidRPr="00605D7B" w:rsidRDefault="00876ED2">
      <w:pPr>
        <w:pStyle w:val="FootnoteText"/>
        <w:rPr>
          <w:sz w:val="20"/>
          <w:szCs w:val="20"/>
        </w:rPr>
      </w:pPr>
      <w:r w:rsidRPr="00605D7B">
        <w:rPr>
          <w:rStyle w:val="FootnoteReference"/>
          <w:sz w:val="20"/>
          <w:szCs w:val="20"/>
        </w:rPr>
        <w:footnoteRef/>
      </w:r>
      <w:r w:rsidRPr="00605D7B">
        <w:rPr>
          <w:sz w:val="20"/>
          <w:szCs w:val="20"/>
        </w:rPr>
        <w:t xml:space="preserve"> Hoogenbosch, A. and Fiere, B., “Gelijke kansen op een huurwoning in Nederland: monitor discriminatie bij woningverhuur”, Art. 1/RADAR, fort he Ministry of the Interior, February 2021.</w:t>
      </w:r>
    </w:p>
  </w:footnote>
  <w:footnote w:id="30">
    <w:p w14:paraId="71358EF4" w14:textId="476FE4DB" w:rsidR="00876ED2" w:rsidRPr="00605D7B" w:rsidRDefault="00876ED2">
      <w:pPr>
        <w:pStyle w:val="FootnoteText"/>
        <w:rPr>
          <w:sz w:val="20"/>
          <w:szCs w:val="20"/>
          <w:lang w:val="en-GB"/>
        </w:rPr>
      </w:pPr>
      <w:r w:rsidRPr="00605D7B">
        <w:rPr>
          <w:rStyle w:val="FootnoteReference"/>
          <w:sz w:val="20"/>
          <w:szCs w:val="20"/>
        </w:rPr>
        <w:footnoteRef/>
      </w:r>
      <w:r w:rsidRPr="00605D7B">
        <w:rPr>
          <w:sz w:val="20"/>
          <w:szCs w:val="20"/>
          <w:lang w:val="en-GB"/>
        </w:rPr>
        <w:t xml:space="preserve"> Ministry of Interior, Letter to Parliament on the issue of discrimination in the rental sector: results of research and follow-up. Letter of 23d of April 2021, no. 2021-0000215787.</w:t>
      </w:r>
    </w:p>
  </w:footnote>
  <w:footnote w:id="31">
    <w:p w14:paraId="0EA2707B" w14:textId="2F52F165" w:rsidR="00876ED2" w:rsidRPr="00605D7B" w:rsidRDefault="00876ED2">
      <w:pPr>
        <w:pStyle w:val="FootnoteText"/>
        <w:rPr>
          <w:sz w:val="20"/>
          <w:szCs w:val="20"/>
        </w:rPr>
      </w:pPr>
      <w:r w:rsidRPr="00605D7B">
        <w:rPr>
          <w:rStyle w:val="FootnoteReference"/>
          <w:sz w:val="20"/>
          <w:szCs w:val="20"/>
        </w:rPr>
        <w:footnoteRef/>
      </w:r>
      <w:r w:rsidRPr="00605D7B">
        <w:rPr>
          <w:sz w:val="20"/>
          <w:szCs w:val="20"/>
        </w:rPr>
        <w:t xml:space="preserve"> </w:t>
      </w:r>
      <w:r w:rsidR="00C11020" w:rsidRPr="00605D7B">
        <w:rPr>
          <w:sz w:val="20"/>
          <w:szCs w:val="20"/>
        </w:rPr>
        <w:t xml:space="preserve">Hoogenbosch, A. and Dibbits, A., “’Normale verhuurders willen gewoon normale huurders’: veldverkenning discriminatie bij woningverhuur in Rotterdam”, Art.1/RADAR, December 2019; and </w:t>
      </w:r>
      <w:r w:rsidR="0064290E" w:rsidRPr="00605D7B">
        <w:rPr>
          <w:sz w:val="20"/>
          <w:szCs w:val="20"/>
        </w:rPr>
        <w:t>Andriessen, I. And Wittebrood, K., “Discriminatie op de woningmarkt: een praktijkgericht onderzoek naar de aanpak van discriminatie op de particuliere huurwoningmarkt”, Verwey-Jonker, Utrecht, February 2021.</w:t>
      </w:r>
    </w:p>
  </w:footnote>
  <w:footnote w:id="32">
    <w:p w14:paraId="4D27CA71" w14:textId="2DB9F381" w:rsidR="0064290E" w:rsidRPr="00EF2649" w:rsidRDefault="0064290E">
      <w:pPr>
        <w:pStyle w:val="FootnoteText"/>
        <w:rPr>
          <w:lang w:val="en-GB"/>
        </w:rPr>
      </w:pPr>
      <w:r w:rsidRPr="00605D7B">
        <w:rPr>
          <w:rStyle w:val="FootnoteReference"/>
          <w:sz w:val="20"/>
          <w:szCs w:val="20"/>
        </w:rPr>
        <w:footnoteRef/>
      </w:r>
      <w:r w:rsidRPr="00605D7B">
        <w:rPr>
          <w:sz w:val="20"/>
          <w:szCs w:val="20"/>
          <w:lang w:val="en-GB"/>
        </w:rPr>
        <w:t xml:space="preserve"> </w:t>
      </w:r>
      <w:r w:rsidR="00EF2649" w:rsidRPr="00605D7B">
        <w:rPr>
          <w:sz w:val="20"/>
          <w:szCs w:val="20"/>
          <w:lang w:val="en-GB"/>
        </w:rPr>
        <w:t>Wet Bijzondere Maatregelen Grootstedelijke Problematiek, also known as the ‘Rotterdamwet’, as it was first implemented there as a local regulation.</w:t>
      </w:r>
      <w:r w:rsidR="00EF2649" w:rsidRPr="00EF2649">
        <w:rPr>
          <w:lang w:val="en-GB"/>
        </w:rPr>
        <w:t xml:space="preserve"> </w:t>
      </w:r>
    </w:p>
  </w:footnote>
  <w:footnote w:id="33">
    <w:p w14:paraId="58DBAD05" w14:textId="44B862CF" w:rsidR="00EF2649" w:rsidRPr="00605D7B" w:rsidRDefault="00EF2649">
      <w:pPr>
        <w:pStyle w:val="FootnoteText"/>
        <w:rPr>
          <w:sz w:val="20"/>
          <w:szCs w:val="20"/>
        </w:rPr>
      </w:pPr>
      <w:r w:rsidRPr="00605D7B">
        <w:rPr>
          <w:rStyle w:val="FootnoteReference"/>
          <w:sz w:val="20"/>
          <w:szCs w:val="20"/>
        </w:rPr>
        <w:footnoteRef/>
      </w:r>
      <w:r w:rsidRPr="00605D7B">
        <w:rPr>
          <w:sz w:val="20"/>
          <w:szCs w:val="20"/>
          <w:lang w:val="en-GB"/>
        </w:rPr>
        <w:t xml:space="preserve"> </w:t>
      </w:r>
      <w:r w:rsidR="00C3288B" w:rsidRPr="00605D7B">
        <w:rPr>
          <w:sz w:val="20"/>
          <w:szCs w:val="20"/>
          <w:lang w:val="en-GB"/>
        </w:rPr>
        <w:t>The most recent comprehensive evalua</w:t>
      </w:r>
      <w:r w:rsidR="00243DA4" w:rsidRPr="00605D7B">
        <w:rPr>
          <w:sz w:val="20"/>
          <w:szCs w:val="20"/>
          <w:lang w:val="en-GB"/>
        </w:rPr>
        <w:t>tions were done in 2015 and 2017</w:t>
      </w:r>
      <w:r w:rsidR="00C3288B" w:rsidRPr="00605D7B">
        <w:rPr>
          <w:sz w:val="20"/>
          <w:szCs w:val="20"/>
          <w:lang w:val="en-GB"/>
        </w:rPr>
        <w:t xml:space="preserve"> in Rotterdam. Other ‘evaluations’ were not carried out by external evaluators and their quality was extremely limited. Yet they do provide the basis for extension both at a local level, and by extension, on national level. </w:t>
      </w:r>
      <w:r w:rsidR="00C3288B" w:rsidRPr="00605D7B">
        <w:rPr>
          <w:sz w:val="20"/>
          <w:szCs w:val="20"/>
        </w:rPr>
        <w:t xml:space="preserve">Hochstenbach, C., Uitermark, J., and Gent, W. van, “Evaluatie effecten Wet bijzondere maatregelen grootstedelijke problematiek (“Rotterdamwet”) in Rotterdam”, Amsterdam: AISSR, University of Amsterdam, 2015; </w:t>
      </w:r>
      <w:r w:rsidR="00243DA4" w:rsidRPr="00605D7B">
        <w:rPr>
          <w:sz w:val="20"/>
          <w:szCs w:val="20"/>
        </w:rPr>
        <w:t>Lauwerier, R., Wever, E., and Colenbrander, S., “Evaluatie toepassing art. 8 Rotterdamwet, Gemeente Rotterdam”, Twynstra Gudde, November 2017.</w:t>
      </w:r>
    </w:p>
  </w:footnote>
  <w:footnote w:id="34">
    <w:p w14:paraId="6E0EA06E" w14:textId="77777777" w:rsidR="0028659D" w:rsidRPr="0028659D" w:rsidRDefault="0028659D" w:rsidP="0028659D">
      <w:pPr>
        <w:pStyle w:val="FootnoteText"/>
        <w:rPr>
          <w:lang w:val="en-GB"/>
        </w:rPr>
      </w:pPr>
      <w:r w:rsidRPr="00605D7B">
        <w:rPr>
          <w:rStyle w:val="FootnoteReference"/>
          <w:sz w:val="20"/>
          <w:szCs w:val="20"/>
        </w:rPr>
        <w:footnoteRef/>
      </w:r>
      <w:r w:rsidRPr="00605D7B">
        <w:rPr>
          <w:sz w:val="20"/>
          <w:szCs w:val="20"/>
          <w:lang w:val="en-GB"/>
        </w:rPr>
        <w:t xml:space="preserve"> Grand Chamber ECHR, Case of Garib v. The Netherlands, Application no. 43494/09, 6</w:t>
      </w:r>
      <w:r w:rsidRPr="00605D7B">
        <w:rPr>
          <w:sz w:val="20"/>
          <w:szCs w:val="20"/>
          <w:vertAlign w:val="superscript"/>
          <w:lang w:val="en-GB"/>
        </w:rPr>
        <w:t>th</w:t>
      </w:r>
      <w:r w:rsidRPr="00605D7B">
        <w:rPr>
          <w:sz w:val="20"/>
          <w:szCs w:val="20"/>
          <w:lang w:val="en-GB"/>
        </w:rPr>
        <w:t xml:space="preserve"> of November 2017.</w:t>
      </w:r>
      <w:r>
        <w:rPr>
          <w:lang w:val="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054D84"/>
    <w:multiLevelType w:val="hybridMultilevel"/>
    <w:tmpl w:val="219CAA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C3"/>
    <w:rsid w:val="0001184C"/>
    <w:rsid w:val="00011EB4"/>
    <w:rsid w:val="0001608E"/>
    <w:rsid w:val="00031B30"/>
    <w:rsid w:val="00037E75"/>
    <w:rsid w:val="000621A9"/>
    <w:rsid w:val="000641D4"/>
    <w:rsid w:val="00065D9E"/>
    <w:rsid w:val="000A1696"/>
    <w:rsid w:val="000A74C3"/>
    <w:rsid w:val="000D4EED"/>
    <w:rsid w:val="000F23F6"/>
    <w:rsid w:val="000F7397"/>
    <w:rsid w:val="00103D29"/>
    <w:rsid w:val="00152693"/>
    <w:rsid w:val="0016043F"/>
    <w:rsid w:val="00183FE7"/>
    <w:rsid w:val="00196697"/>
    <w:rsid w:val="00196CE2"/>
    <w:rsid w:val="001D4042"/>
    <w:rsid w:val="001D7362"/>
    <w:rsid w:val="001F4615"/>
    <w:rsid w:val="002160AA"/>
    <w:rsid w:val="00231392"/>
    <w:rsid w:val="002371AF"/>
    <w:rsid w:val="00243DA4"/>
    <w:rsid w:val="0028659D"/>
    <w:rsid w:val="002C4222"/>
    <w:rsid w:val="0031545A"/>
    <w:rsid w:val="003262ED"/>
    <w:rsid w:val="00344561"/>
    <w:rsid w:val="00375B5C"/>
    <w:rsid w:val="003B347F"/>
    <w:rsid w:val="003E7278"/>
    <w:rsid w:val="004110B2"/>
    <w:rsid w:val="00451E2E"/>
    <w:rsid w:val="00452E7C"/>
    <w:rsid w:val="00467AB1"/>
    <w:rsid w:val="004721CE"/>
    <w:rsid w:val="004C2602"/>
    <w:rsid w:val="004C591E"/>
    <w:rsid w:val="00524484"/>
    <w:rsid w:val="0055146B"/>
    <w:rsid w:val="005B0AD4"/>
    <w:rsid w:val="005B0CDF"/>
    <w:rsid w:val="005F00A8"/>
    <w:rsid w:val="005F6DCF"/>
    <w:rsid w:val="00605D7B"/>
    <w:rsid w:val="006069B3"/>
    <w:rsid w:val="006133EB"/>
    <w:rsid w:val="0064290E"/>
    <w:rsid w:val="0065211C"/>
    <w:rsid w:val="00662DDD"/>
    <w:rsid w:val="00674DCB"/>
    <w:rsid w:val="006C0DC8"/>
    <w:rsid w:val="006D08C0"/>
    <w:rsid w:val="006E4A06"/>
    <w:rsid w:val="00777442"/>
    <w:rsid w:val="00785953"/>
    <w:rsid w:val="007C14C8"/>
    <w:rsid w:val="007D05C2"/>
    <w:rsid w:val="007E3B27"/>
    <w:rsid w:val="00811180"/>
    <w:rsid w:val="008174B7"/>
    <w:rsid w:val="008338A1"/>
    <w:rsid w:val="00850CEB"/>
    <w:rsid w:val="008515E5"/>
    <w:rsid w:val="00865D3F"/>
    <w:rsid w:val="00876ED2"/>
    <w:rsid w:val="008E4250"/>
    <w:rsid w:val="0091799F"/>
    <w:rsid w:val="00985EC6"/>
    <w:rsid w:val="009929FA"/>
    <w:rsid w:val="009B3B2F"/>
    <w:rsid w:val="009E2DB8"/>
    <w:rsid w:val="00AC2ABB"/>
    <w:rsid w:val="00AC59F7"/>
    <w:rsid w:val="00B019E4"/>
    <w:rsid w:val="00B15ADD"/>
    <w:rsid w:val="00B425C7"/>
    <w:rsid w:val="00BA337D"/>
    <w:rsid w:val="00BA6B55"/>
    <w:rsid w:val="00BB7349"/>
    <w:rsid w:val="00BE6443"/>
    <w:rsid w:val="00BF6AF0"/>
    <w:rsid w:val="00C11020"/>
    <w:rsid w:val="00C25099"/>
    <w:rsid w:val="00C3288B"/>
    <w:rsid w:val="00C37E09"/>
    <w:rsid w:val="00C417FF"/>
    <w:rsid w:val="00C84483"/>
    <w:rsid w:val="00C912F3"/>
    <w:rsid w:val="00C969B1"/>
    <w:rsid w:val="00CB0E91"/>
    <w:rsid w:val="00CD1422"/>
    <w:rsid w:val="00CD41CE"/>
    <w:rsid w:val="00CF3B03"/>
    <w:rsid w:val="00D33840"/>
    <w:rsid w:val="00D371A3"/>
    <w:rsid w:val="00D86C70"/>
    <w:rsid w:val="00DA5D23"/>
    <w:rsid w:val="00DF2744"/>
    <w:rsid w:val="00DF2F24"/>
    <w:rsid w:val="00E30615"/>
    <w:rsid w:val="00E3495E"/>
    <w:rsid w:val="00E373DC"/>
    <w:rsid w:val="00E639D5"/>
    <w:rsid w:val="00E82C1D"/>
    <w:rsid w:val="00E90944"/>
    <w:rsid w:val="00EA5B90"/>
    <w:rsid w:val="00EC668A"/>
    <w:rsid w:val="00EC7B5E"/>
    <w:rsid w:val="00ED5FFE"/>
    <w:rsid w:val="00EF2649"/>
    <w:rsid w:val="00EF3F38"/>
    <w:rsid w:val="00F12E25"/>
    <w:rsid w:val="00F637E4"/>
    <w:rsid w:val="00F65269"/>
    <w:rsid w:val="00F84A7A"/>
    <w:rsid w:val="00F90061"/>
    <w:rsid w:val="00FA3ECE"/>
    <w:rsid w:val="00FB2C60"/>
    <w:rsid w:val="00FC2D96"/>
    <w:rsid w:val="00FC3B9A"/>
    <w:rsid w:val="00FD4A55"/>
    <w:rsid w:val="00FD6CDA"/>
    <w:rsid w:val="00FE76E6"/>
    <w:rsid w:val="00FF5D8C"/>
    <w:rsid w:val="00FF7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411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l-NL"/>
    </w:rPr>
  </w:style>
  <w:style w:type="paragraph" w:styleId="Heading1">
    <w:name w:val="heading 1"/>
    <w:basedOn w:val="Normal"/>
    <w:next w:val="Normal"/>
    <w:link w:val="Heading1Char"/>
    <w:uiPriority w:val="9"/>
    <w:qFormat/>
    <w:rsid w:val="00E82C1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C4222"/>
  </w:style>
  <w:style w:type="character" w:customStyle="1" w:styleId="FootnoteTextChar">
    <w:name w:val="Footnote Text Char"/>
    <w:basedOn w:val="DefaultParagraphFont"/>
    <w:link w:val="FootnoteText"/>
    <w:uiPriority w:val="99"/>
    <w:rsid w:val="002C4222"/>
    <w:rPr>
      <w:lang w:val="nl-NL"/>
    </w:rPr>
  </w:style>
  <w:style w:type="character" w:styleId="FootnoteReference">
    <w:name w:val="footnote reference"/>
    <w:basedOn w:val="DefaultParagraphFont"/>
    <w:uiPriority w:val="99"/>
    <w:unhideWhenUsed/>
    <w:rsid w:val="002C4222"/>
    <w:rPr>
      <w:vertAlign w:val="superscript"/>
    </w:rPr>
  </w:style>
  <w:style w:type="character" w:customStyle="1" w:styleId="Heading1Char">
    <w:name w:val="Heading 1 Char"/>
    <w:basedOn w:val="DefaultParagraphFont"/>
    <w:link w:val="Heading1"/>
    <w:uiPriority w:val="9"/>
    <w:rsid w:val="00E82C1D"/>
    <w:rPr>
      <w:rFonts w:asciiTheme="majorHAnsi" w:eastAsiaTheme="majorEastAsia" w:hAnsiTheme="majorHAnsi" w:cstheme="majorBidi"/>
      <w:color w:val="2F5496" w:themeColor="accent1" w:themeShade="BF"/>
      <w:sz w:val="32"/>
      <w:szCs w:val="32"/>
      <w:lang w:val="nl-NL"/>
    </w:rPr>
  </w:style>
  <w:style w:type="paragraph" w:styleId="ListParagraph">
    <w:name w:val="List Paragraph"/>
    <w:basedOn w:val="Normal"/>
    <w:uiPriority w:val="34"/>
    <w:qFormat/>
    <w:rsid w:val="005B0AD4"/>
    <w:pPr>
      <w:ind w:left="720"/>
      <w:contextualSpacing/>
    </w:pPr>
  </w:style>
  <w:style w:type="paragraph" w:styleId="Header">
    <w:name w:val="header"/>
    <w:basedOn w:val="Normal"/>
    <w:link w:val="HeaderChar"/>
    <w:uiPriority w:val="99"/>
    <w:unhideWhenUsed/>
    <w:rsid w:val="0055146B"/>
    <w:pPr>
      <w:tabs>
        <w:tab w:val="center" w:pos="4680"/>
        <w:tab w:val="right" w:pos="9360"/>
      </w:tabs>
    </w:pPr>
  </w:style>
  <w:style w:type="character" w:customStyle="1" w:styleId="HeaderChar">
    <w:name w:val="Header Char"/>
    <w:basedOn w:val="DefaultParagraphFont"/>
    <w:link w:val="Header"/>
    <w:uiPriority w:val="99"/>
    <w:rsid w:val="0055146B"/>
    <w:rPr>
      <w:lang w:val="nl-NL"/>
    </w:rPr>
  </w:style>
  <w:style w:type="paragraph" w:styleId="Footer">
    <w:name w:val="footer"/>
    <w:basedOn w:val="Normal"/>
    <w:link w:val="FooterChar"/>
    <w:uiPriority w:val="99"/>
    <w:unhideWhenUsed/>
    <w:rsid w:val="0055146B"/>
    <w:pPr>
      <w:tabs>
        <w:tab w:val="center" w:pos="4680"/>
        <w:tab w:val="right" w:pos="9360"/>
      </w:tabs>
    </w:pPr>
  </w:style>
  <w:style w:type="character" w:customStyle="1" w:styleId="FooterChar">
    <w:name w:val="Footer Char"/>
    <w:basedOn w:val="DefaultParagraphFont"/>
    <w:link w:val="Footer"/>
    <w:uiPriority w:val="99"/>
    <w:rsid w:val="0055146B"/>
    <w:rPr>
      <w:lang w:val="nl-NL"/>
    </w:rPr>
  </w:style>
  <w:style w:type="character" w:styleId="Hyperlink">
    <w:name w:val="Hyperlink"/>
    <w:basedOn w:val="DefaultParagraphFont"/>
    <w:uiPriority w:val="99"/>
    <w:unhideWhenUsed/>
    <w:rsid w:val="004721CE"/>
    <w:rPr>
      <w:color w:val="0563C1" w:themeColor="hyperlink"/>
      <w:u w:val="single"/>
    </w:rPr>
  </w:style>
  <w:style w:type="character" w:customStyle="1" w:styleId="UnresolvedMention">
    <w:name w:val="Unresolved Mention"/>
    <w:basedOn w:val="DefaultParagraphFont"/>
    <w:uiPriority w:val="99"/>
    <w:rsid w:val="00472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3220">
      <w:bodyDiv w:val="1"/>
      <w:marLeft w:val="0"/>
      <w:marRight w:val="0"/>
      <w:marTop w:val="0"/>
      <w:marBottom w:val="0"/>
      <w:divBdr>
        <w:top w:val="none" w:sz="0" w:space="0" w:color="auto"/>
        <w:left w:val="none" w:sz="0" w:space="0" w:color="auto"/>
        <w:bottom w:val="none" w:sz="0" w:space="0" w:color="auto"/>
        <w:right w:val="none" w:sz="0" w:space="0" w:color="auto"/>
      </w:divBdr>
    </w:div>
    <w:div w:id="60253009">
      <w:bodyDiv w:val="1"/>
      <w:marLeft w:val="0"/>
      <w:marRight w:val="0"/>
      <w:marTop w:val="0"/>
      <w:marBottom w:val="0"/>
      <w:divBdr>
        <w:top w:val="none" w:sz="0" w:space="0" w:color="auto"/>
        <w:left w:val="none" w:sz="0" w:space="0" w:color="auto"/>
        <w:bottom w:val="none" w:sz="0" w:space="0" w:color="auto"/>
        <w:right w:val="none" w:sz="0" w:space="0" w:color="auto"/>
      </w:divBdr>
    </w:div>
    <w:div w:id="116338909">
      <w:bodyDiv w:val="1"/>
      <w:marLeft w:val="0"/>
      <w:marRight w:val="0"/>
      <w:marTop w:val="0"/>
      <w:marBottom w:val="0"/>
      <w:divBdr>
        <w:top w:val="none" w:sz="0" w:space="0" w:color="auto"/>
        <w:left w:val="none" w:sz="0" w:space="0" w:color="auto"/>
        <w:bottom w:val="none" w:sz="0" w:space="0" w:color="auto"/>
        <w:right w:val="none" w:sz="0" w:space="0" w:color="auto"/>
      </w:divBdr>
    </w:div>
    <w:div w:id="287011752">
      <w:bodyDiv w:val="1"/>
      <w:marLeft w:val="0"/>
      <w:marRight w:val="0"/>
      <w:marTop w:val="0"/>
      <w:marBottom w:val="0"/>
      <w:divBdr>
        <w:top w:val="none" w:sz="0" w:space="0" w:color="auto"/>
        <w:left w:val="none" w:sz="0" w:space="0" w:color="auto"/>
        <w:bottom w:val="none" w:sz="0" w:space="0" w:color="auto"/>
        <w:right w:val="none" w:sz="0" w:space="0" w:color="auto"/>
      </w:divBdr>
    </w:div>
    <w:div w:id="552817173">
      <w:bodyDiv w:val="1"/>
      <w:marLeft w:val="0"/>
      <w:marRight w:val="0"/>
      <w:marTop w:val="0"/>
      <w:marBottom w:val="0"/>
      <w:divBdr>
        <w:top w:val="none" w:sz="0" w:space="0" w:color="auto"/>
        <w:left w:val="none" w:sz="0" w:space="0" w:color="auto"/>
        <w:bottom w:val="none" w:sz="0" w:space="0" w:color="auto"/>
        <w:right w:val="none" w:sz="0" w:space="0" w:color="auto"/>
      </w:divBdr>
    </w:div>
    <w:div w:id="601643214">
      <w:bodyDiv w:val="1"/>
      <w:marLeft w:val="0"/>
      <w:marRight w:val="0"/>
      <w:marTop w:val="0"/>
      <w:marBottom w:val="0"/>
      <w:divBdr>
        <w:top w:val="none" w:sz="0" w:space="0" w:color="auto"/>
        <w:left w:val="none" w:sz="0" w:space="0" w:color="auto"/>
        <w:bottom w:val="none" w:sz="0" w:space="0" w:color="auto"/>
        <w:right w:val="none" w:sz="0" w:space="0" w:color="auto"/>
      </w:divBdr>
    </w:div>
    <w:div w:id="631910376">
      <w:bodyDiv w:val="1"/>
      <w:marLeft w:val="0"/>
      <w:marRight w:val="0"/>
      <w:marTop w:val="0"/>
      <w:marBottom w:val="0"/>
      <w:divBdr>
        <w:top w:val="none" w:sz="0" w:space="0" w:color="auto"/>
        <w:left w:val="none" w:sz="0" w:space="0" w:color="auto"/>
        <w:bottom w:val="none" w:sz="0" w:space="0" w:color="auto"/>
        <w:right w:val="none" w:sz="0" w:space="0" w:color="auto"/>
      </w:divBdr>
    </w:div>
    <w:div w:id="670721829">
      <w:bodyDiv w:val="1"/>
      <w:marLeft w:val="0"/>
      <w:marRight w:val="0"/>
      <w:marTop w:val="0"/>
      <w:marBottom w:val="0"/>
      <w:divBdr>
        <w:top w:val="none" w:sz="0" w:space="0" w:color="auto"/>
        <w:left w:val="none" w:sz="0" w:space="0" w:color="auto"/>
        <w:bottom w:val="none" w:sz="0" w:space="0" w:color="auto"/>
        <w:right w:val="none" w:sz="0" w:space="0" w:color="auto"/>
      </w:divBdr>
    </w:div>
    <w:div w:id="932710349">
      <w:bodyDiv w:val="1"/>
      <w:marLeft w:val="0"/>
      <w:marRight w:val="0"/>
      <w:marTop w:val="0"/>
      <w:marBottom w:val="0"/>
      <w:divBdr>
        <w:top w:val="none" w:sz="0" w:space="0" w:color="auto"/>
        <w:left w:val="none" w:sz="0" w:space="0" w:color="auto"/>
        <w:bottom w:val="none" w:sz="0" w:space="0" w:color="auto"/>
        <w:right w:val="none" w:sz="0" w:space="0" w:color="auto"/>
      </w:divBdr>
    </w:div>
    <w:div w:id="1065684393">
      <w:bodyDiv w:val="1"/>
      <w:marLeft w:val="0"/>
      <w:marRight w:val="0"/>
      <w:marTop w:val="0"/>
      <w:marBottom w:val="0"/>
      <w:divBdr>
        <w:top w:val="none" w:sz="0" w:space="0" w:color="auto"/>
        <w:left w:val="none" w:sz="0" w:space="0" w:color="auto"/>
        <w:bottom w:val="none" w:sz="0" w:space="0" w:color="auto"/>
        <w:right w:val="none" w:sz="0" w:space="0" w:color="auto"/>
      </w:divBdr>
    </w:div>
    <w:div w:id="1198545541">
      <w:bodyDiv w:val="1"/>
      <w:marLeft w:val="0"/>
      <w:marRight w:val="0"/>
      <w:marTop w:val="0"/>
      <w:marBottom w:val="0"/>
      <w:divBdr>
        <w:top w:val="none" w:sz="0" w:space="0" w:color="auto"/>
        <w:left w:val="none" w:sz="0" w:space="0" w:color="auto"/>
        <w:bottom w:val="none" w:sz="0" w:space="0" w:color="auto"/>
        <w:right w:val="none" w:sz="0" w:space="0" w:color="auto"/>
      </w:divBdr>
    </w:div>
    <w:div w:id="1309363420">
      <w:bodyDiv w:val="1"/>
      <w:marLeft w:val="0"/>
      <w:marRight w:val="0"/>
      <w:marTop w:val="0"/>
      <w:marBottom w:val="0"/>
      <w:divBdr>
        <w:top w:val="none" w:sz="0" w:space="0" w:color="auto"/>
        <w:left w:val="none" w:sz="0" w:space="0" w:color="auto"/>
        <w:bottom w:val="none" w:sz="0" w:space="0" w:color="auto"/>
        <w:right w:val="none" w:sz="0" w:space="0" w:color="auto"/>
      </w:divBdr>
    </w:div>
    <w:div w:id="1379819979">
      <w:bodyDiv w:val="1"/>
      <w:marLeft w:val="0"/>
      <w:marRight w:val="0"/>
      <w:marTop w:val="0"/>
      <w:marBottom w:val="0"/>
      <w:divBdr>
        <w:top w:val="none" w:sz="0" w:space="0" w:color="auto"/>
        <w:left w:val="none" w:sz="0" w:space="0" w:color="auto"/>
        <w:bottom w:val="none" w:sz="0" w:space="0" w:color="auto"/>
        <w:right w:val="none" w:sz="0" w:space="0" w:color="auto"/>
      </w:divBdr>
    </w:div>
    <w:div w:id="1479033464">
      <w:bodyDiv w:val="1"/>
      <w:marLeft w:val="0"/>
      <w:marRight w:val="0"/>
      <w:marTop w:val="0"/>
      <w:marBottom w:val="0"/>
      <w:divBdr>
        <w:top w:val="none" w:sz="0" w:space="0" w:color="auto"/>
        <w:left w:val="none" w:sz="0" w:space="0" w:color="auto"/>
        <w:bottom w:val="none" w:sz="0" w:space="0" w:color="auto"/>
        <w:right w:val="none" w:sz="0" w:space="0" w:color="auto"/>
      </w:divBdr>
    </w:div>
    <w:div w:id="1556311502">
      <w:bodyDiv w:val="1"/>
      <w:marLeft w:val="0"/>
      <w:marRight w:val="0"/>
      <w:marTop w:val="0"/>
      <w:marBottom w:val="0"/>
      <w:divBdr>
        <w:top w:val="none" w:sz="0" w:space="0" w:color="auto"/>
        <w:left w:val="none" w:sz="0" w:space="0" w:color="auto"/>
        <w:bottom w:val="none" w:sz="0" w:space="0" w:color="auto"/>
        <w:right w:val="none" w:sz="0" w:space="0" w:color="auto"/>
      </w:divBdr>
    </w:div>
    <w:div w:id="1567910295">
      <w:bodyDiv w:val="1"/>
      <w:marLeft w:val="0"/>
      <w:marRight w:val="0"/>
      <w:marTop w:val="0"/>
      <w:marBottom w:val="0"/>
      <w:divBdr>
        <w:top w:val="none" w:sz="0" w:space="0" w:color="auto"/>
        <w:left w:val="none" w:sz="0" w:space="0" w:color="auto"/>
        <w:bottom w:val="none" w:sz="0" w:space="0" w:color="auto"/>
        <w:right w:val="none" w:sz="0" w:space="0" w:color="auto"/>
      </w:divBdr>
    </w:div>
    <w:div w:id="1776316758">
      <w:bodyDiv w:val="1"/>
      <w:marLeft w:val="0"/>
      <w:marRight w:val="0"/>
      <w:marTop w:val="0"/>
      <w:marBottom w:val="0"/>
      <w:divBdr>
        <w:top w:val="none" w:sz="0" w:space="0" w:color="auto"/>
        <w:left w:val="none" w:sz="0" w:space="0" w:color="auto"/>
        <w:bottom w:val="none" w:sz="0" w:space="0" w:color="auto"/>
        <w:right w:val="none" w:sz="0" w:space="0" w:color="auto"/>
      </w:divBdr>
    </w:div>
    <w:div w:id="1814986422">
      <w:bodyDiv w:val="1"/>
      <w:marLeft w:val="0"/>
      <w:marRight w:val="0"/>
      <w:marTop w:val="0"/>
      <w:marBottom w:val="0"/>
      <w:divBdr>
        <w:top w:val="none" w:sz="0" w:space="0" w:color="auto"/>
        <w:left w:val="none" w:sz="0" w:space="0" w:color="auto"/>
        <w:bottom w:val="none" w:sz="0" w:space="0" w:color="auto"/>
        <w:right w:val="none" w:sz="0" w:space="0" w:color="auto"/>
      </w:divBdr>
    </w:div>
    <w:div w:id="1882522255">
      <w:bodyDiv w:val="1"/>
      <w:marLeft w:val="0"/>
      <w:marRight w:val="0"/>
      <w:marTop w:val="0"/>
      <w:marBottom w:val="0"/>
      <w:divBdr>
        <w:top w:val="none" w:sz="0" w:space="0" w:color="auto"/>
        <w:left w:val="none" w:sz="0" w:space="0" w:color="auto"/>
        <w:bottom w:val="none" w:sz="0" w:space="0" w:color="auto"/>
        <w:right w:val="none" w:sz="0" w:space="0" w:color="auto"/>
      </w:divBdr>
    </w:div>
    <w:div w:id="1976249928">
      <w:bodyDiv w:val="1"/>
      <w:marLeft w:val="0"/>
      <w:marRight w:val="0"/>
      <w:marTop w:val="0"/>
      <w:marBottom w:val="0"/>
      <w:divBdr>
        <w:top w:val="none" w:sz="0" w:space="0" w:color="auto"/>
        <w:left w:val="none" w:sz="0" w:space="0" w:color="auto"/>
        <w:bottom w:val="none" w:sz="0" w:space="0" w:color="auto"/>
        <w:right w:val="none" w:sz="0" w:space="0" w:color="auto"/>
      </w:divBdr>
    </w:div>
    <w:div w:id="1984263220">
      <w:bodyDiv w:val="1"/>
      <w:marLeft w:val="0"/>
      <w:marRight w:val="0"/>
      <w:marTop w:val="0"/>
      <w:marBottom w:val="0"/>
      <w:divBdr>
        <w:top w:val="none" w:sz="0" w:space="0" w:color="auto"/>
        <w:left w:val="none" w:sz="0" w:space="0" w:color="auto"/>
        <w:bottom w:val="none" w:sz="0" w:space="0" w:color="auto"/>
        <w:right w:val="none" w:sz="0" w:space="0" w:color="auto"/>
      </w:divBdr>
    </w:div>
    <w:div w:id="1993173144">
      <w:bodyDiv w:val="1"/>
      <w:marLeft w:val="0"/>
      <w:marRight w:val="0"/>
      <w:marTop w:val="0"/>
      <w:marBottom w:val="0"/>
      <w:divBdr>
        <w:top w:val="none" w:sz="0" w:space="0" w:color="auto"/>
        <w:left w:val="none" w:sz="0" w:space="0" w:color="auto"/>
        <w:bottom w:val="none" w:sz="0" w:space="0" w:color="auto"/>
        <w:right w:val="none" w:sz="0" w:space="0" w:color="auto"/>
      </w:divBdr>
    </w:div>
    <w:div w:id="2027825827">
      <w:bodyDiv w:val="1"/>
      <w:marLeft w:val="0"/>
      <w:marRight w:val="0"/>
      <w:marTop w:val="0"/>
      <w:marBottom w:val="0"/>
      <w:divBdr>
        <w:top w:val="none" w:sz="0" w:space="0" w:color="auto"/>
        <w:left w:val="none" w:sz="0" w:space="0" w:color="auto"/>
        <w:bottom w:val="none" w:sz="0" w:space="0" w:color="auto"/>
        <w:right w:val="none" w:sz="0" w:space="0" w:color="auto"/>
      </w:divBdr>
    </w:div>
    <w:div w:id="2052144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esvandam@tussenvoorziening.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vriesjan@yahoo.com" TargetMode="External"/><Relationship Id="rId4" Type="http://schemas.openxmlformats.org/officeDocument/2006/relationships/settings" Target="settings.xml"/><Relationship Id="rId9" Type="http://schemas.openxmlformats.org/officeDocument/2006/relationships/hyperlink" Target="mailto:lia.vandoorn@hu.n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12A664-84F6-48FB-862B-B4D871EECDB1}">
  <ds:schemaRefs>
    <ds:schemaRef ds:uri="http://schemas.openxmlformats.org/officeDocument/2006/bibliography"/>
  </ds:schemaRefs>
</ds:datastoreItem>
</file>

<file path=customXml/itemProps2.xml><?xml version="1.0" encoding="utf-8"?>
<ds:datastoreItem xmlns:ds="http://schemas.openxmlformats.org/officeDocument/2006/customXml" ds:itemID="{44BB635C-AFF9-4329-9821-9B1999164A9F}"/>
</file>

<file path=customXml/itemProps3.xml><?xml version="1.0" encoding="utf-8"?>
<ds:datastoreItem xmlns:ds="http://schemas.openxmlformats.org/officeDocument/2006/customXml" ds:itemID="{10D8EAE3-ED23-4748-9BB5-70120B079B0A}"/>
</file>

<file path=customXml/itemProps4.xml><?xml version="1.0" encoding="utf-8"?>
<ds:datastoreItem xmlns:ds="http://schemas.openxmlformats.org/officeDocument/2006/customXml" ds:itemID="{095B61DF-CE1C-46B6-ABBD-BDC2B6375E13}"/>
</file>

<file path=docProps/app.xml><?xml version="1.0" encoding="utf-8"?>
<Properties xmlns="http://schemas.openxmlformats.org/officeDocument/2006/extended-properties" xmlns:vt="http://schemas.openxmlformats.org/officeDocument/2006/docPropsVTypes">
  <Template>Normal.dotm</Template>
  <TotalTime>1</TotalTime>
  <Pages>7</Pages>
  <Words>2560</Words>
  <Characters>14596</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vriesjan@yahoo.com</dc:creator>
  <cp:keywords/>
  <dc:description/>
  <cp:lastModifiedBy>THEISSEN Gunnar</cp:lastModifiedBy>
  <cp:revision>2</cp:revision>
  <cp:lastPrinted>2021-05-12T10:22:00Z</cp:lastPrinted>
  <dcterms:created xsi:type="dcterms:W3CDTF">2021-05-25T08:15:00Z</dcterms:created>
  <dcterms:modified xsi:type="dcterms:W3CDTF">2021-05-25T08:15:00Z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